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4D9ED09" w:rsidR="009125CE" w:rsidRPr="00AB172D" w:rsidRDefault="00E90EC1" w:rsidP="00E90EC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B172D">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C55FB9E">
            <wp:simplePos x="0" y="0"/>
            <wp:positionH relativeFrom="margin">
              <wp:posOffset>156210</wp:posOffset>
            </wp:positionH>
            <wp:positionV relativeFrom="margin">
              <wp:posOffset>-140335</wp:posOffset>
            </wp:positionV>
            <wp:extent cx="1495425" cy="1387840"/>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5425" cy="1387840"/>
                    </a:xfrm>
                    <a:prstGeom prst="rect">
                      <a:avLst/>
                    </a:prstGeom>
                  </pic:spPr>
                </pic:pic>
              </a:graphicData>
            </a:graphic>
            <wp14:sizeRelH relativeFrom="margin">
              <wp14:pctWidth>0</wp14:pctWidth>
            </wp14:sizeRelH>
            <wp14:sizeRelV relativeFrom="margin">
              <wp14:pctHeight>0</wp14:pctHeight>
            </wp14:sizeRelV>
          </wp:anchor>
        </w:drawing>
      </w:r>
      <w:r w:rsidR="009125CE" w:rsidRPr="00AB172D">
        <w:rPr>
          <w:rFonts w:ascii="Simplified Arabic" w:hAnsi="Simplified Arabic" w:cs="Simplified Arabic"/>
          <w:b/>
          <w:bCs/>
          <w:color w:val="000000" w:themeColor="text1"/>
          <w:sz w:val="32"/>
          <w:szCs w:val="32"/>
          <w:rtl/>
          <w:lang w:bidi="ar-EG"/>
        </w:rPr>
        <w:t xml:space="preserve">جامعة </w:t>
      </w:r>
      <w:proofErr w:type="spellStart"/>
      <w:r w:rsidR="009125CE" w:rsidRPr="00AB172D">
        <w:rPr>
          <w:rFonts w:ascii="Simplified Arabic" w:hAnsi="Simplified Arabic" w:cs="Simplified Arabic"/>
          <w:b/>
          <w:bCs/>
          <w:color w:val="000000" w:themeColor="text1"/>
          <w:sz w:val="32"/>
          <w:szCs w:val="32"/>
          <w:rtl/>
          <w:lang w:bidi="ar-EG"/>
        </w:rPr>
        <w:t>ميدأوشن</w:t>
      </w:r>
      <w:proofErr w:type="spellEnd"/>
      <w:r w:rsidR="009125CE" w:rsidRPr="00AB172D">
        <w:rPr>
          <w:rFonts w:ascii="Simplified Arabic" w:hAnsi="Simplified Arabic" w:cs="Simplified Arabic"/>
          <w:b/>
          <w:bCs/>
          <w:color w:val="000000" w:themeColor="text1"/>
          <w:sz w:val="32"/>
          <w:szCs w:val="32"/>
          <w:rtl/>
          <w:lang w:bidi="ar-EG"/>
        </w:rPr>
        <w:t xml:space="preserve"> </w:t>
      </w:r>
    </w:p>
    <w:p w14:paraId="1E957002" w14:textId="0D40AA82" w:rsidR="00F546CE" w:rsidRPr="00AB172D" w:rsidRDefault="009125CE" w:rsidP="00E90EC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172D">
        <w:rPr>
          <w:rFonts w:ascii="Simplified Arabic" w:hAnsi="Simplified Arabic" w:cs="Simplified Arabic"/>
          <w:b/>
          <w:bCs/>
          <w:color w:val="000000" w:themeColor="text1"/>
          <w:sz w:val="32"/>
          <w:szCs w:val="32"/>
          <w:rtl/>
          <w:lang w:bidi="ar-EG"/>
        </w:rPr>
        <w:t xml:space="preserve">كلية </w:t>
      </w:r>
      <w:r w:rsidR="008C42C1" w:rsidRPr="00AB172D">
        <w:rPr>
          <w:rFonts w:ascii="Simplified Arabic" w:hAnsi="Simplified Arabic" w:cs="Simplified Arabic"/>
          <w:b/>
          <w:bCs/>
          <w:color w:val="000000" w:themeColor="text1"/>
          <w:sz w:val="32"/>
          <w:szCs w:val="32"/>
          <w:rtl/>
          <w:lang w:bidi="ar-EG"/>
        </w:rPr>
        <w:t>الإدارة</w:t>
      </w:r>
      <w:r w:rsidRPr="00AB172D">
        <w:rPr>
          <w:rFonts w:ascii="Simplified Arabic" w:hAnsi="Simplified Arabic" w:cs="Simplified Arabic"/>
          <w:b/>
          <w:bCs/>
          <w:color w:val="000000" w:themeColor="text1"/>
          <w:sz w:val="32"/>
          <w:szCs w:val="32"/>
          <w:rtl/>
          <w:lang w:bidi="ar-EG"/>
        </w:rPr>
        <w:t xml:space="preserve"> </w:t>
      </w:r>
    </w:p>
    <w:p w14:paraId="5F6542BF" w14:textId="08F85E3D" w:rsidR="009125CE" w:rsidRPr="00AB172D" w:rsidRDefault="000D72E4" w:rsidP="00E90EC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172D">
        <w:rPr>
          <w:rFonts w:ascii="Simplified Arabic" w:hAnsi="Simplified Arabic" w:cs="Simplified Arabic"/>
          <w:b/>
          <w:bCs/>
          <w:color w:val="000000" w:themeColor="text1"/>
          <w:sz w:val="32"/>
          <w:szCs w:val="32"/>
          <w:rtl/>
          <w:lang w:bidi="ar-EG"/>
        </w:rPr>
        <w:t xml:space="preserve">ماجستير </w:t>
      </w:r>
      <w:proofErr w:type="spellStart"/>
      <w:r w:rsidRPr="00AB172D">
        <w:rPr>
          <w:rFonts w:ascii="Simplified Arabic" w:hAnsi="Simplified Arabic" w:cs="Simplified Arabic"/>
          <w:b/>
          <w:bCs/>
          <w:color w:val="000000" w:themeColor="text1"/>
          <w:sz w:val="32"/>
          <w:szCs w:val="32"/>
          <w:rtl/>
          <w:lang w:bidi="ar-EG"/>
        </w:rPr>
        <w:t>ادارة</w:t>
      </w:r>
      <w:proofErr w:type="spellEnd"/>
      <w:r w:rsidRPr="00AB172D">
        <w:rPr>
          <w:rFonts w:ascii="Simplified Arabic" w:hAnsi="Simplified Arabic" w:cs="Simplified Arabic"/>
          <w:b/>
          <w:bCs/>
          <w:color w:val="000000" w:themeColor="text1"/>
          <w:sz w:val="32"/>
          <w:szCs w:val="32"/>
          <w:rtl/>
          <w:lang w:bidi="ar-EG"/>
        </w:rPr>
        <w:t xml:space="preserve"> </w:t>
      </w:r>
      <w:proofErr w:type="spellStart"/>
      <w:r w:rsidRPr="00AB172D">
        <w:rPr>
          <w:rFonts w:ascii="Simplified Arabic" w:hAnsi="Simplified Arabic" w:cs="Simplified Arabic"/>
          <w:b/>
          <w:bCs/>
          <w:color w:val="000000" w:themeColor="text1"/>
          <w:sz w:val="32"/>
          <w:szCs w:val="32"/>
          <w:rtl/>
          <w:lang w:bidi="ar-EG"/>
        </w:rPr>
        <w:t>اعمال</w:t>
      </w:r>
      <w:proofErr w:type="spellEnd"/>
    </w:p>
    <w:p w14:paraId="6B449BCF" w14:textId="77777777" w:rsidR="00CC6261" w:rsidRPr="00AB172D" w:rsidRDefault="00CC6261" w:rsidP="00E90EC1">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1E8119F" w14:textId="1AC71AE7" w:rsidR="00F542DF" w:rsidRPr="00AB172D" w:rsidRDefault="00F542DF" w:rsidP="00E90EC1">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AB172D">
        <w:rPr>
          <w:rFonts w:ascii="Simplified Arabic" w:hAnsi="Simplified Arabic" w:cs="Simplified Arabic"/>
          <w:b/>
          <w:bCs/>
          <w:color w:val="000000" w:themeColor="text1"/>
          <w:sz w:val="40"/>
          <w:szCs w:val="40"/>
          <w:rtl/>
        </w:rPr>
        <w:t>أثر ممارسات الإدارة الرشيقة (المتمثلة في التطوير التكراري، واللامركزية في اتخاذ القرارات، وحلقات تغذية العملاء الراجعة) في الاستدامة المالية للشركات الناشئة بمنطقة الشرق الأوسط وشمال أفريقيا</w:t>
      </w:r>
    </w:p>
    <w:p w14:paraId="751A7E65" w14:textId="22CCB27C" w:rsidR="009125CE" w:rsidRPr="00AB172D" w:rsidRDefault="009125CE"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172D">
        <w:rPr>
          <w:rFonts w:ascii="Simplified Arabic" w:hAnsi="Simplified Arabic" w:cs="Simplified Arabic"/>
          <w:b/>
          <w:bCs/>
          <w:color w:val="000000" w:themeColor="text1"/>
          <w:sz w:val="36"/>
          <w:szCs w:val="36"/>
          <w:rtl/>
          <w:lang w:bidi="ar-EG"/>
        </w:rPr>
        <w:t>إعداد الطالب/</w:t>
      </w:r>
    </w:p>
    <w:p w14:paraId="48AEEE20" w14:textId="77801642" w:rsidR="00E90EC1" w:rsidRDefault="008E194D"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E194D">
        <w:rPr>
          <w:rFonts w:ascii="Simplified Arabic" w:hAnsi="Simplified Arabic" w:cs="Simplified Arabic"/>
          <w:b/>
          <w:bCs/>
          <w:color w:val="000000" w:themeColor="text1"/>
          <w:sz w:val="36"/>
          <w:szCs w:val="36"/>
          <w:rtl/>
          <w:lang w:bidi="ar-EG"/>
        </w:rPr>
        <w:t>مشاعل رضاء الشمري</w:t>
      </w:r>
    </w:p>
    <w:p w14:paraId="23A4AC23" w14:textId="50B90F1F" w:rsidR="008E194D" w:rsidRPr="00AB172D" w:rsidRDefault="008E194D"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E194D">
        <w:rPr>
          <w:rFonts w:ascii="Simplified Arabic" w:hAnsi="Simplified Arabic" w:cs="Simplified Arabic"/>
          <w:b/>
          <w:bCs/>
          <w:color w:val="000000" w:themeColor="text1"/>
          <w:sz w:val="36"/>
          <w:szCs w:val="36"/>
          <w:rtl/>
          <w:lang w:bidi="ar-EG"/>
        </w:rPr>
        <w:t>253002880</w:t>
      </w:r>
    </w:p>
    <w:p w14:paraId="7E82CAFD"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E90EC1" w:rsidRPr="00AB172D" w14:paraId="51C262E5" w14:textId="77777777" w:rsidTr="00E90EC1">
        <w:tc>
          <w:tcPr>
            <w:tcW w:w="4530" w:type="dxa"/>
          </w:tcPr>
          <w:p w14:paraId="262A1A2E"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172D">
              <w:rPr>
                <w:rFonts w:ascii="Simplified Arabic" w:hAnsi="Simplified Arabic" w:cs="Simplified Arabic" w:hint="cs"/>
                <w:b/>
                <w:bCs/>
                <w:color w:val="000000" w:themeColor="text1"/>
                <w:sz w:val="36"/>
                <w:szCs w:val="36"/>
                <w:rtl/>
                <w:lang w:bidi="ar-EG"/>
              </w:rPr>
              <w:t>المشرف الرئيسي/</w:t>
            </w:r>
          </w:p>
        </w:tc>
        <w:tc>
          <w:tcPr>
            <w:tcW w:w="4531" w:type="dxa"/>
          </w:tcPr>
          <w:p w14:paraId="383B308D"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172D">
              <w:rPr>
                <w:rFonts w:ascii="Simplified Arabic" w:hAnsi="Simplified Arabic" w:cs="Simplified Arabic" w:hint="cs"/>
                <w:b/>
                <w:bCs/>
                <w:color w:val="000000" w:themeColor="text1"/>
                <w:sz w:val="36"/>
                <w:szCs w:val="36"/>
                <w:rtl/>
                <w:lang w:bidi="ar-EG"/>
              </w:rPr>
              <w:t>المشرف الثاني/</w:t>
            </w:r>
          </w:p>
        </w:tc>
      </w:tr>
      <w:tr w:rsidR="00E90EC1" w:rsidRPr="00AB172D" w14:paraId="694FACCF" w14:textId="77777777" w:rsidTr="00E90EC1">
        <w:tc>
          <w:tcPr>
            <w:tcW w:w="4530" w:type="dxa"/>
          </w:tcPr>
          <w:p w14:paraId="2958C495"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172D">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D7A565B"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AB172D">
              <w:rPr>
                <w:rFonts w:ascii="Simplified Arabic" w:eastAsia="Calibri" w:hAnsi="Simplified Arabic" w:cs="Simplified Arabic"/>
                <w:color w:val="000000" w:themeColor="text1"/>
                <w:kern w:val="0"/>
                <w:sz w:val="36"/>
                <w:szCs w:val="36"/>
                <w:rtl/>
                <w:lang w:bidi="ar-EG"/>
                <w14:ligatures w14:val="none"/>
              </w:rPr>
              <w:t>د.فايز</w:t>
            </w:r>
            <w:proofErr w:type="spellEnd"/>
            <w:r w:rsidRPr="00AB172D">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30A5738B"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172D">
        <w:rPr>
          <w:rFonts w:ascii="Simplified Arabic" w:hAnsi="Simplified Arabic" w:cs="Simplified Arabic"/>
          <w:b/>
          <w:bCs/>
          <w:color w:val="000000" w:themeColor="text1"/>
          <w:sz w:val="36"/>
          <w:szCs w:val="36"/>
          <w:rtl/>
          <w:lang w:bidi="ar-EG"/>
        </w:rPr>
        <w:t>العام الدراسي:</w:t>
      </w:r>
    </w:p>
    <w:p w14:paraId="564E5604"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AB172D">
        <w:rPr>
          <w:rFonts w:ascii="Simplified Arabic" w:hAnsi="Simplified Arabic" w:cs="Simplified Arabic" w:hint="cs"/>
          <w:color w:val="000000" w:themeColor="text1"/>
          <w:sz w:val="36"/>
          <w:szCs w:val="36"/>
          <w:rtl/>
          <w:lang w:bidi="ar-EG"/>
        </w:rPr>
        <w:t xml:space="preserve">1448 </w:t>
      </w:r>
      <w:r w:rsidRPr="00AB172D">
        <w:rPr>
          <w:rFonts w:ascii="Simplified Arabic" w:hAnsi="Simplified Arabic" w:cs="Simplified Arabic"/>
          <w:color w:val="000000" w:themeColor="text1"/>
          <w:sz w:val="36"/>
          <w:szCs w:val="36"/>
          <w:rtl/>
          <w:lang w:bidi="ar-EG"/>
        </w:rPr>
        <w:t>–</w:t>
      </w:r>
      <w:r w:rsidRPr="00AB172D">
        <w:rPr>
          <w:rFonts w:ascii="Simplified Arabic" w:hAnsi="Simplified Arabic" w:cs="Simplified Arabic" w:hint="cs"/>
          <w:color w:val="000000" w:themeColor="text1"/>
          <w:sz w:val="36"/>
          <w:szCs w:val="36"/>
          <w:rtl/>
          <w:lang w:bidi="ar-EG"/>
        </w:rPr>
        <w:t xml:space="preserve"> 2026</w:t>
      </w:r>
    </w:p>
    <w:p w14:paraId="40D77A45"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E90EC1" w:rsidRPr="00AB172D" w:rsidSect="00E90EC1">
          <w:type w:val="continuous"/>
          <w:pgSz w:w="11906" w:h="16838" w:code="9"/>
          <w:pgMar w:top="1134" w:right="1701" w:bottom="1134" w:left="1134" w:header="720" w:footer="720" w:gutter="0"/>
          <w:pgNumType w:fmt="arabicAbjad" w:start="1"/>
          <w:cols w:space="708"/>
          <w:bidi/>
          <w:rtlGutter/>
          <w:docGrid w:linePitch="360"/>
        </w:sectPr>
      </w:pPr>
    </w:p>
    <w:p w14:paraId="66E5FC7F" w14:textId="77777777" w:rsidR="00E90EC1" w:rsidRPr="00AB172D" w:rsidRDefault="00E90EC1" w:rsidP="00E90EC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E90EC1" w:rsidRPr="00AB172D" w:rsidSect="00E90EC1">
          <w:type w:val="continuous"/>
          <w:pgSz w:w="11906" w:h="16838" w:code="9"/>
          <w:pgMar w:top="1134" w:right="1701" w:bottom="1134" w:left="1134" w:header="720" w:footer="720" w:gutter="0"/>
          <w:pgNumType w:fmt="arabicAbjad" w:start="1"/>
          <w:cols w:space="708"/>
          <w:bidi/>
          <w:rtlGutter/>
          <w:docGrid w:linePitch="360"/>
        </w:sectPr>
      </w:pPr>
    </w:p>
    <w:p w14:paraId="2C25A29F" w14:textId="3FCE0989" w:rsidR="00E90EC1" w:rsidRPr="00AB172D" w:rsidRDefault="00E90EC1" w:rsidP="004F5783">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4338530"/>
      <w:bookmarkStart w:id="1" w:name="_Toc169790506"/>
      <w:bookmarkStart w:id="2" w:name="_Toc233910546"/>
      <w:r w:rsidRPr="00AB172D">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3EAB33ED" w14:textId="6E9C7563" w:rsidR="00E90EC1" w:rsidRPr="00AB172D" w:rsidRDefault="004F5783" w:rsidP="004F5783">
      <w:pPr>
        <w:spacing w:before="100" w:beforeAutospacing="1" w:after="100" w:afterAutospacing="1" w:line="276" w:lineRule="auto"/>
        <w:jc w:val="both"/>
        <w:outlineLvl w:val="1"/>
        <w:rPr>
          <w:rFonts w:ascii="Simplified Arabic" w:eastAsiaTheme="majorEastAsia" w:hAnsi="Simplified Arabic" w:cs="Simplified Arabic"/>
          <w:b/>
          <w:bCs/>
          <w:color w:val="000000" w:themeColor="text1"/>
          <w:sz w:val="36"/>
          <w:szCs w:val="36"/>
          <w:rtl/>
        </w:rPr>
      </w:pPr>
      <w:bookmarkStart w:id="3" w:name="_Toc234338531"/>
      <w:r w:rsidRPr="00AB172D">
        <w:rPr>
          <w:rFonts w:ascii="Simplified Arabic" w:hAnsi="Simplified Arabic" w:cs="Simplified Arabic" w:hint="cs"/>
          <w:b/>
          <w:bCs/>
          <w:color w:val="000000" w:themeColor="text1"/>
          <w:sz w:val="36"/>
          <w:szCs w:val="36"/>
          <w:rtl/>
        </w:rPr>
        <w:t>1.1</w:t>
      </w:r>
      <w:r w:rsidR="00E90EC1" w:rsidRPr="00AB172D">
        <w:rPr>
          <w:rFonts w:ascii="Simplified Arabic" w:hAnsi="Simplified Arabic" w:cs="Simplified Arabic"/>
          <w:b/>
          <w:bCs/>
          <w:color w:val="000000" w:themeColor="text1"/>
          <w:sz w:val="36"/>
          <w:szCs w:val="36"/>
          <w:rtl/>
        </w:rPr>
        <w:t xml:space="preserve"> مقدمة الدراسة</w:t>
      </w:r>
      <w:bookmarkEnd w:id="3"/>
    </w:p>
    <w:p w14:paraId="48F3CF5C"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يشهد العالم المعاصر تحولات متسارعة ومتلاحقة على كافة الأصعدة الاقتصادية والتكنولوجية والاجتماعية، أفرزت بيئة أعمال شديدة التعقيد وعالية الديناميكية، تفرض على منظمات الأعمال بمختلف أحجامها وأنماطها ضرورة إعادة النظر في فلسفاتها الإدارية وممارساتها التشغيلية، وذلك بهدف مواكبة هذه التحولات وضمان بقائها واستمراريتها في ظل مناخ تنافسي غير مسبوق. وقد أضحت المنظمات مطالَبة اليوم بتبنّي نماذج إدارية مرنة ومبتكرة تُمكّنها من الاستجابة السريعة للتغيّرات، وإعادة تشكيل عملياتها الداخلية بما ينسجم مع متطلبات السوق واحتياجات العملاء المتجددة، لا سيما في ظل ما فرضته الأزمات العالمية الأخيرة كجائحة كوفيد-19 من تحديات جسيمة على استقرار المنظمات وأدائها المالي (</w:t>
      </w:r>
      <w:proofErr w:type="spellStart"/>
      <w:r w:rsidRPr="00AB172D">
        <w:rPr>
          <w:rFonts w:ascii="Simplified Arabic" w:hAnsi="Simplified Arabic" w:cs="Simplified Arabic"/>
          <w:color w:val="000000" w:themeColor="text1"/>
          <w:sz w:val="28"/>
          <w:szCs w:val="28"/>
        </w:rPr>
        <w:t>Esamah</w:t>
      </w:r>
      <w:proofErr w:type="spellEnd"/>
      <w:r w:rsidRPr="00AB172D">
        <w:rPr>
          <w:rFonts w:ascii="Simplified Arabic" w:hAnsi="Simplified Arabic" w:cs="Simplified Arabic"/>
          <w:color w:val="000000" w:themeColor="text1"/>
          <w:sz w:val="28"/>
          <w:szCs w:val="28"/>
        </w:rPr>
        <w:t xml:space="preserve"> et al., 2023</w:t>
      </w:r>
      <w:r w:rsidRPr="00AB172D">
        <w:rPr>
          <w:rFonts w:ascii="Simplified Arabic" w:hAnsi="Simplified Arabic" w:cs="Simplified Arabic"/>
          <w:color w:val="000000" w:themeColor="text1"/>
          <w:sz w:val="28"/>
          <w:szCs w:val="28"/>
          <w:rtl/>
        </w:rPr>
        <w:t>).</w:t>
      </w:r>
    </w:p>
    <w:p w14:paraId="4C66D91C"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وفي هذا السياق، برزت الإدارة الرشيقة (</w:t>
      </w:r>
      <w:r w:rsidRPr="00AB172D">
        <w:rPr>
          <w:rFonts w:ascii="Simplified Arabic" w:hAnsi="Simplified Arabic" w:cs="Simplified Arabic"/>
          <w:color w:val="000000" w:themeColor="text1"/>
          <w:sz w:val="28"/>
          <w:szCs w:val="28"/>
        </w:rPr>
        <w:t>Agile Management</w:t>
      </w:r>
      <w:r w:rsidRPr="00AB172D">
        <w:rPr>
          <w:rFonts w:ascii="Simplified Arabic" w:hAnsi="Simplified Arabic" w:cs="Simplified Arabic"/>
          <w:color w:val="000000" w:themeColor="text1"/>
          <w:sz w:val="28"/>
          <w:szCs w:val="28"/>
          <w:rtl/>
        </w:rPr>
        <w:t>) بوصفها نموذجاً إدارياً حديثاً يقوم على مجموعة من المبادئ والممارسات التي تُعزّز مرونة المنظمة وقدرتها على التكيّف مع المتغيّرات، من خلال تبنّي منهجية التطوير التكراري، وتفويض الصلاحيات، وتقصير دورات اتخاذ القرار، وتوطيد قنوات التواصل مع العملاء. وتُعدّ الإدارة الرشيقة استجابةً منهجية لقصور النماذج الإدارية التقليدية عن التعامل مع البيئات المضطربة، إذ تُتيح للمنظمات تحويل التغيير من تهديد إلى فرصة، وتمكينها من تحقيق ميزة تنافسية مستدامة عبر تسريع وتيرة الابتكار وتحسين جودة المخرجات (</w:t>
      </w:r>
      <w:r w:rsidRPr="00AB172D">
        <w:rPr>
          <w:rFonts w:ascii="Simplified Arabic" w:hAnsi="Simplified Arabic" w:cs="Simplified Arabic"/>
          <w:color w:val="000000" w:themeColor="text1"/>
          <w:sz w:val="28"/>
          <w:szCs w:val="28"/>
        </w:rPr>
        <w:t>Ciric Lalic et al., 2022</w:t>
      </w:r>
      <w:r w:rsidRPr="00AB172D">
        <w:rPr>
          <w:rFonts w:ascii="Simplified Arabic" w:hAnsi="Simplified Arabic" w:cs="Simplified Arabic"/>
          <w:color w:val="000000" w:themeColor="text1"/>
          <w:sz w:val="28"/>
          <w:szCs w:val="28"/>
          <w:rtl/>
        </w:rPr>
        <w:t>).</w:t>
      </w:r>
    </w:p>
    <w:p w14:paraId="20A3D519"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وقد اتّسع نطاق تطبيق الإدارة الرشيقة ليتجاوز قطاع تكنولوجيا المعلومات الذي نشأت في كنفه، ليمتدّ إلى قطاعات متنوعة كالصناعة والخدمات والقطاع المصرفي والقطاع الحكومي، بوصفها فلسفة إدارية شاملة قادرة على إحداث تحول جوهري في طريقة عمل المنظمات. وتشير الأدبيات إلى أنّ تبنّي ممارسات الإدارة الرشيقة يُسهم في تعزيز الأداء التنظيمي والوظيفي، ودعم الإبداع الإداري، وتحقيق التميز المؤسسي، فضلاً عن تحسين جودة الخدمات المقدَّمة وتعزيز رضا العملاء (المحلاوي، 2024).</w:t>
      </w:r>
    </w:p>
    <w:p w14:paraId="4832F653"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تُمثّل الاستدامة المالية (</w:t>
      </w:r>
      <w:r w:rsidRPr="00AB172D">
        <w:rPr>
          <w:rFonts w:ascii="Simplified Arabic" w:hAnsi="Simplified Arabic" w:cs="Simplified Arabic"/>
          <w:color w:val="000000" w:themeColor="text1"/>
          <w:sz w:val="28"/>
          <w:szCs w:val="28"/>
        </w:rPr>
        <w:t>Financial Sustainability</w:t>
      </w:r>
      <w:r w:rsidRPr="00AB172D">
        <w:rPr>
          <w:rFonts w:ascii="Simplified Arabic" w:hAnsi="Simplified Arabic" w:cs="Simplified Arabic"/>
          <w:color w:val="000000" w:themeColor="text1"/>
          <w:sz w:val="28"/>
          <w:szCs w:val="28"/>
          <w:rtl/>
        </w:rPr>
        <w:t xml:space="preserve">) أحد أبرز المفاهيم التي استقطبت اهتماماً واسعاً في الفكر الإداري والمالي المعاصر، إذ تُشير إلى قدرة المنظمة على الحفاظ على توازنها المالي في الأجل الطويل، والوفاء بالتزاماتها، وتمويل عملياتها التشغيلية والاستثمارية دون الاعتماد المفرط على </w:t>
      </w:r>
      <w:r w:rsidRPr="00AB172D">
        <w:rPr>
          <w:rFonts w:ascii="Simplified Arabic" w:hAnsi="Simplified Arabic" w:cs="Simplified Arabic"/>
          <w:color w:val="000000" w:themeColor="text1"/>
          <w:sz w:val="28"/>
          <w:szCs w:val="28"/>
          <w:rtl/>
        </w:rPr>
        <w:lastRenderedPageBreak/>
        <w:t>مصادر تمويل خارجية، بما يضمن استمراريتها ونموّها في مواجهة الصدمات والأزمات. وتتضمّن الاستدامة المالية أبعاداً متعددة تشمل الربحية، والسيولة، والملاءة، وكفاءة استخدام الأصول، ومستويات المخاطر، وهي أبعاد تعكس مجتمعةً الصحة المالية للمنظمة وقدرتها على الاستمرار (</w:t>
      </w:r>
      <w:proofErr w:type="spellStart"/>
      <w:r w:rsidRPr="00AB172D">
        <w:rPr>
          <w:rFonts w:ascii="Simplified Arabic" w:hAnsi="Simplified Arabic" w:cs="Simplified Arabic"/>
          <w:color w:val="000000" w:themeColor="text1"/>
          <w:sz w:val="28"/>
          <w:szCs w:val="28"/>
        </w:rPr>
        <w:t>Gleißner</w:t>
      </w:r>
      <w:proofErr w:type="spellEnd"/>
      <w:r w:rsidRPr="00AB172D">
        <w:rPr>
          <w:rFonts w:ascii="Simplified Arabic" w:hAnsi="Simplified Arabic" w:cs="Simplified Arabic"/>
          <w:color w:val="000000" w:themeColor="text1"/>
          <w:sz w:val="28"/>
          <w:szCs w:val="28"/>
        </w:rPr>
        <w:t xml:space="preserve"> et al., 2022</w:t>
      </w:r>
      <w:r w:rsidRPr="00AB172D">
        <w:rPr>
          <w:rFonts w:ascii="Simplified Arabic" w:hAnsi="Simplified Arabic" w:cs="Simplified Arabic"/>
          <w:color w:val="000000" w:themeColor="text1"/>
          <w:sz w:val="28"/>
          <w:szCs w:val="28"/>
          <w:rtl/>
        </w:rPr>
        <w:t>).</w:t>
      </w:r>
    </w:p>
    <w:p w14:paraId="6620AA9D"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ولا تقتصر أهمية الاستدامة المالية على المنظمات الربحية فحسب، بل تمتدّ لتشمل المؤسسات الحكومية والمنظمات غير الربحية والقطاع المصرفي، إذ باتت معياراً محورياً في تقييم الأداء المؤسسي واتخاذ قرارات الاستثمار والتمويل. وقد أظهرت الدراسات أنّ الاستدامة المالية تتأثر بجملة من العوامل، منها الشمول المالي، والتحول الرقمي، والتمويل الأخضر، والريادة الاستراتيجية، ونظم المعلومات المحاسبية، مما يعكس تعقّد هذا المفهوم وتعدّد المداخل المؤثرة فيه (عبدالمنعم وشريف، 2025)</w:t>
      </w:r>
    </w:p>
    <w:p w14:paraId="0E3E286C"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وتكتسب هذه العلاقة أبعاداً خاصة في منطقة الشرق الأوسط وشمال أفريقيا (</w:t>
      </w:r>
      <w:r w:rsidRPr="00AB172D">
        <w:rPr>
          <w:rFonts w:ascii="Simplified Arabic" w:hAnsi="Simplified Arabic" w:cs="Simplified Arabic"/>
          <w:color w:val="000000" w:themeColor="text1"/>
          <w:sz w:val="28"/>
          <w:szCs w:val="28"/>
        </w:rPr>
        <w:t>MENA</w:t>
      </w:r>
      <w:r w:rsidRPr="00AB172D">
        <w:rPr>
          <w:rFonts w:ascii="Simplified Arabic" w:hAnsi="Simplified Arabic" w:cs="Simplified Arabic"/>
          <w:color w:val="000000" w:themeColor="text1"/>
          <w:sz w:val="28"/>
          <w:szCs w:val="28"/>
          <w:rtl/>
        </w:rPr>
        <w:t>)، التي تشهد نمواً متسارعاً في منظومة الشركات الناشئة في ظل بيئة تتّسم بعدم الاستقرار الاقتصادي والسياسي وشُحّ التمويل، مما يفرض على هذه الشركات تحديات جسيمة تتعلق باستدامتها المالية. ومن هنا تنطلق الدراسة الحالية لاستقصاء أثر ممارسات الإدارة الرشيقة (التطوير التكراري، واللامركزية في اتخاذ القرارات، وحلقات تغذية العملاء الراجعة) في الاستدامة المالية للشركات الناشئة بهذه المنطقة، سعياً إلى تقديم إسهام معرفي وتطبيقي يُثري الأدبيات ويدعم صنّاع القرار في هذا القطاع الحيوي .</w:t>
      </w:r>
    </w:p>
    <w:p w14:paraId="29D7EAA9" w14:textId="187C1E4A" w:rsidR="00E90EC1" w:rsidRPr="00AB172D" w:rsidRDefault="004F5783" w:rsidP="004F57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4" w:name="_Toc234338532"/>
      <w:r w:rsidRPr="00AB172D">
        <w:rPr>
          <w:rFonts w:ascii="Simplified Arabic" w:hAnsi="Simplified Arabic" w:cs="Simplified Arabic" w:hint="cs"/>
          <w:b/>
          <w:bCs/>
          <w:color w:val="000000" w:themeColor="text1"/>
          <w:sz w:val="36"/>
          <w:szCs w:val="36"/>
          <w:rtl/>
        </w:rPr>
        <w:t>2.1</w:t>
      </w:r>
      <w:r w:rsidR="00E90EC1" w:rsidRPr="00AB172D">
        <w:rPr>
          <w:rFonts w:ascii="Simplified Arabic" w:hAnsi="Simplified Arabic" w:cs="Simplified Arabic"/>
          <w:b/>
          <w:bCs/>
          <w:color w:val="000000" w:themeColor="text1"/>
          <w:sz w:val="36"/>
          <w:szCs w:val="36"/>
          <w:rtl/>
        </w:rPr>
        <w:t xml:space="preserve"> مشكلة الدراسة</w:t>
      </w:r>
      <w:bookmarkEnd w:id="4"/>
    </w:p>
    <w:p w14:paraId="5B5218FB"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تُشكّل الشركات الناشئة في منطقة الشرق الأوسط وشمال أفريقيا رافداً حيوياً للاقتصادات الوطنية، إذ تُسهم في خلق فرص العمل، وتحفيز الابتكار، وتنويع القاعدة الاقتصادية، وتعزيز التنافسية الإقليمية. غير أنّ هذه الشركات تواجه واقعاً بالغ التعقيد يُهدّد قدرتها على الاستمرار والنمو، إذ تشير الإحصاءات العالمية إلى أنّ نسبة كبيرة من الشركات الناشئة تفشل خلال السنوات الخمس الأولى من عمرها، وتُعزى معظم حالات الفشل هذه إلى إشكاليات ذات طابع مالي، تتمثّل في نضوب السيولة، وعدم القدرة على تحقيق ربحية مستدامة، وضعف كفاءة إدارة الموارد المالية، وتنامي الأعباء التشغيلية بمعدلات تفوق نمو الإيرادات. وتزداد حدة هذه الإشكاليات في منطقة الشرق الأوسط وشمال أفريقيا في ظل بيئة اقتصادية وسياسية مضطربة تتّسم بمحدودية مصادر التمويل، وارتفاع تكلفة رأس المال، وضعف البنية التحتية الرقمية والمصرفية، مما يُلقي بظلاله على قدرة هذه الشركات على تحقيق الاستدامة المالية (يوسف، 2024).</w:t>
      </w:r>
    </w:p>
    <w:p w14:paraId="77953460"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lastRenderedPageBreak/>
        <w:t>وعلى الرغم من الاهتمام المتنامي بمفهوم الاستدامة المالية في الأدبيات المعاصرة، فإنّ معظم الدراسات ركّزت على المؤسسات الكبرى والقطاع المصرفي والمؤسسات الحكومية، في حين ظلّت الشركات الناشئة خارج بؤرة الاهتمام البحثي إلى حدّ بعيد، على الرغم من أنّها تُمثّل الشريحة الأكثر هشاشةً والأشدّ حاجةً إلى نماذج إدارية تدعم استدامتها المالية. كما أنّ الدراسات التي تناولت العوامل المؤثرة في الاستدامة المالية ركّزت في معظمها على المتغيّرات الاقتصادية الكلية والمؤشرات المالية التقليدية، دون أن تُولي اهتماماً كافياً للمتغيّرات الإدارية الحديثة كالإدارة الرشيقة، التي يُفترض نظرياً أن تُسهم في تعزيز الاستدامة المالية عبر آليات متعددة (كردي، 2025)</w:t>
      </w:r>
    </w:p>
    <w:p w14:paraId="320751A5"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ومن جهة أخرى، تناولت الأدبيات المتعلقة بالإدارة الرشيقة أثرها في متغيّرات كالأداء التنظيمي، والإبداع الإداري، والتميز المؤسسي، وجودة الخدمة، وجودة الحياة الوظيفية، غير أنّ العلاقة بينها وبين الاستدامة المالية لم تحظَ بدراسات ميدانية كافية، لا سيما في سياق الشركات الناشئة. وتشير الدراسات القليلة التي تناولت هذه العلاقة إلى وجود أثر إيجابي محتمل لممارسات الإدارة الرشيقة في تعزيز الاستدامة المالية، عبر تقليص الهدر، وتسريع دورات الإيرادات، وتحسين كفاءة استخدام الموارد، غير أنّ هذه الفرضية لم تُختبَر بشكل منهجي في سياق الشركات الناشئة بمنطقة الشرق الأوسط وشمال أفريقيا(</w:t>
      </w:r>
      <w:r w:rsidRPr="00AB172D">
        <w:rPr>
          <w:rFonts w:ascii="Simplified Arabic" w:hAnsi="Simplified Arabic" w:cs="Simplified Arabic"/>
          <w:color w:val="000000" w:themeColor="text1"/>
          <w:sz w:val="28"/>
          <w:szCs w:val="28"/>
        </w:rPr>
        <w:t>Gomes Silva et al., 2022</w:t>
      </w:r>
      <w:r w:rsidRPr="00AB172D">
        <w:rPr>
          <w:rFonts w:ascii="Simplified Arabic" w:hAnsi="Simplified Arabic" w:cs="Simplified Arabic"/>
          <w:color w:val="000000" w:themeColor="text1"/>
          <w:sz w:val="28"/>
          <w:szCs w:val="28"/>
          <w:rtl/>
        </w:rPr>
        <w:t xml:space="preserve">؛ </w:t>
      </w:r>
      <w:r w:rsidRPr="00AB172D">
        <w:rPr>
          <w:rFonts w:ascii="Simplified Arabic" w:hAnsi="Simplified Arabic" w:cs="Simplified Arabic"/>
          <w:color w:val="000000" w:themeColor="text1"/>
          <w:sz w:val="28"/>
          <w:szCs w:val="28"/>
        </w:rPr>
        <w:t>Surenthran et al., 2025</w:t>
      </w:r>
      <w:r w:rsidRPr="00AB172D">
        <w:rPr>
          <w:rFonts w:ascii="Simplified Arabic" w:hAnsi="Simplified Arabic" w:cs="Simplified Arabic"/>
          <w:color w:val="000000" w:themeColor="text1"/>
          <w:sz w:val="28"/>
          <w:szCs w:val="28"/>
          <w:rtl/>
        </w:rPr>
        <w:t>).)</w:t>
      </w:r>
    </w:p>
    <w:p w14:paraId="5DD3E9B3"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كما لوحظ أنّ الدراسات السابقة تناولت الإدارة الرشيقة بأبعاد متعددة ومتباينة، دون التركيز على الأبعاد الأكثر ملاءمةً للشركات الناشئة، والتي تتمثّل في التطوير التكراري بوصفه آلية لاختبار المنتجات وتطويرها بصورة متدرجة، واللامركزية في اتخاذ القرارات بوصفها آلية لتسريع الاستجابة للفرص والتهديدات، وحلقات تغذية العملاء الراجعة بوصفها آلية لضمان مواءمة المنتجات لاحتياجات السوق. وتُعدّ هذه الأبعاد الثلاثة الأكثر جوهرية في الشركات الناشئة، لكونها تنسجم مع طبيعتها المرنة ومحدودية مواردها وحاجتها الماسة إلى التعلّم السريع من السوق (</w:t>
      </w:r>
      <w:r w:rsidRPr="00AB172D">
        <w:rPr>
          <w:rFonts w:ascii="Simplified Arabic" w:hAnsi="Simplified Arabic" w:cs="Simplified Arabic"/>
          <w:color w:val="000000" w:themeColor="text1"/>
          <w:sz w:val="28"/>
          <w:szCs w:val="28"/>
        </w:rPr>
        <w:t>Muhammad et al., 2021</w:t>
      </w:r>
      <w:r w:rsidRPr="00AB172D">
        <w:rPr>
          <w:rFonts w:ascii="Simplified Arabic" w:hAnsi="Simplified Arabic" w:cs="Simplified Arabic"/>
          <w:color w:val="000000" w:themeColor="text1"/>
          <w:sz w:val="28"/>
          <w:szCs w:val="28"/>
          <w:rtl/>
        </w:rPr>
        <w:t xml:space="preserve">؛ </w:t>
      </w:r>
      <w:proofErr w:type="spellStart"/>
      <w:r w:rsidRPr="00AB172D">
        <w:rPr>
          <w:rFonts w:ascii="Simplified Arabic" w:hAnsi="Simplified Arabic" w:cs="Simplified Arabic"/>
          <w:color w:val="000000" w:themeColor="text1"/>
          <w:sz w:val="28"/>
          <w:szCs w:val="28"/>
        </w:rPr>
        <w:t>Malatyinszki</w:t>
      </w:r>
      <w:proofErr w:type="spellEnd"/>
      <w:r w:rsidRPr="00AB172D">
        <w:rPr>
          <w:rFonts w:ascii="Simplified Arabic" w:hAnsi="Simplified Arabic" w:cs="Simplified Arabic"/>
          <w:color w:val="000000" w:themeColor="text1"/>
          <w:sz w:val="28"/>
          <w:szCs w:val="28"/>
        </w:rPr>
        <w:t xml:space="preserve"> et al., 2025</w:t>
      </w:r>
      <w:r w:rsidRPr="00AB172D">
        <w:rPr>
          <w:rFonts w:ascii="Simplified Arabic" w:hAnsi="Simplified Arabic" w:cs="Simplified Arabic"/>
          <w:color w:val="000000" w:themeColor="text1"/>
          <w:sz w:val="28"/>
          <w:szCs w:val="28"/>
          <w:rtl/>
        </w:rPr>
        <w:t>).</w:t>
      </w:r>
    </w:p>
    <w:p w14:paraId="25B9722A"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ومن ثمّ، تتبلور مشكلة الدراسة الحالية في وجود فجوة بحثية مزدوجة: فجوة نظرية تتمثّل في نُدرة الدراسات التي ربطت بين ممارسات الإدارة الرشيقة والاستدامة المالية بصورة منهجية، وفجوة تطبيقية تتمثّل في غياب الدراسات الميدانية التي اختبرت هذه العلاقة في سياق الشركات الناشئة بمنطقة الشرق الأوسط وشمال أفريقيا. وتسعى الدراسة الحالية إلى سدّ هذه الفجوة عبر الإجابة عن التساؤل المحوري الآتي:</w:t>
      </w:r>
    </w:p>
    <w:p w14:paraId="565D6B94"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lastRenderedPageBreak/>
        <w:t>ما أثر ممارسات الإدارة الرشيقة (التطوير التكراري، واللامركزية في اتخاذ القرارات، وحلقات تغذية العملاء الراجعة) في الاستدامة المالية للشركات الناشئة بمنطقة الشرق الأوسط وشمال أفريقيا؟</w:t>
      </w:r>
    </w:p>
    <w:p w14:paraId="4A364C54" w14:textId="1BC9A6A6" w:rsidR="00E90EC1" w:rsidRPr="00AB172D" w:rsidRDefault="004F5783" w:rsidP="004F57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5" w:name="_Toc234338533"/>
      <w:r w:rsidRPr="00AB172D">
        <w:rPr>
          <w:rFonts w:ascii="Simplified Arabic" w:hAnsi="Simplified Arabic" w:cs="Simplified Arabic" w:hint="cs"/>
          <w:b/>
          <w:bCs/>
          <w:color w:val="000000" w:themeColor="text1"/>
          <w:sz w:val="36"/>
          <w:szCs w:val="36"/>
          <w:rtl/>
        </w:rPr>
        <w:t xml:space="preserve">3.1 </w:t>
      </w:r>
      <w:r w:rsidR="00E90EC1" w:rsidRPr="00AB172D">
        <w:rPr>
          <w:rFonts w:ascii="Simplified Arabic" w:hAnsi="Simplified Arabic" w:cs="Simplified Arabic"/>
          <w:b/>
          <w:bCs/>
          <w:color w:val="000000" w:themeColor="text1"/>
          <w:sz w:val="36"/>
          <w:szCs w:val="36"/>
          <w:rtl/>
        </w:rPr>
        <w:t>أهمية الدراسة</w:t>
      </w:r>
      <w:bookmarkEnd w:id="5"/>
    </w:p>
    <w:p w14:paraId="201B0EFB"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32"/>
          <w:szCs w:val="32"/>
          <w:rtl/>
        </w:rPr>
      </w:pPr>
      <w:r w:rsidRPr="00AB172D">
        <w:rPr>
          <w:rFonts w:ascii="Simplified Arabic" w:hAnsi="Simplified Arabic" w:cs="Simplified Arabic"/>
          <w:b/>
          <w:bCs/>
          <w:color w:val="000000" w:themeColor="text1"/>
          <w:sz w:val="32"/>
          <w:szCs w:val="32"/>
          <w:rtl/>
        </w:rPr>
        <w:t>1. الأهمية العلمية (النظرية)</w:t>
      </w:r>
    </w:p>
    <w:p w14:paraId="491A6C34" w14:textId="441F1C54" w:rsidR="00E90EC1" w:rsidRPr="00AB172D" w:rsidRDefault="00E90EC1" w:rsidP="00A95744">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إثراء الأدبيات الإدارية والمالية العربية بدراسة تجمع بين متغيّرَين حديثين هما الإدارة الرشيقة والاستدامة المالية، في سياق بحثي لم يحظَ بالاهتمام الكافي.</w:t>
      </w:r>
    </w:p>
    <w:p w14:paraId="15B5E980" w14:textId="5DB60867" w:rsidR="00E90EC1" w:rsidRPr="00AB172D" w:rsidRDefault="00E90EC1" w:rsidP="00A95744">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سدّ فجوة بحثية واضحة في الأدبيات المتعلقة بالعلاقة بين ممارسات الإدارة الرشيقة والاستدامة المالية، لا سيما في قطاع الشركات الناشئة.</w:t>
      </w:r>
    </w:p>
    <w:p w14:paraId="7ECB8879" w14:textId="2595C087" w:rsidR="00E90EC1" w:rsidRPr="00AB172D" w:rsidRDefault="00E90EC1" w:rsidP="00A95744">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تقديم إطار نظري متكامل يربط بين أبعاد الإدارة الرشيقة الثلاثة (التطوير التكراري، واللامركزية في اتخاذ القرارات، وحلقات تغذية العملاء الراجعة) وأبعاد الاستدامة المالية.</w:t>
      </w:r>
    </w:p>
    <w:p w14:paraId="613F73E7" w14:textId="42E8E142" w:rsidR="00E90EC1" w:rsidRPr="00AB172D" w:rsidRDefault="00E90EC1" w:rsidP="00A95744">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توفير مرجعية علمية للباحثين المهتمين بمجالَي الإدارة الرشيقة والاستدامة المالية، ودعم البحوث المستقبلية في هذا المجال الحيوي.</w:t>
      </w:r>
    </w:p>
    <w:p w14:paraId="5A4E5F20" w14:textId="473A702D" w:rsidR="00E90EC1" w:rsidRPr="00AB172D" w:rsidRDefault="00E90EC1" w:rsidP="00A95744">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تعزيز الفهم الأكاديمي لطبيعة العلاقة بين الممارسات الإدارية الحديثة والاستدامة المالية في بيئة الشركات الناشئة تحديداً.</w:t>
      </w:r>
    </w:p>
    <w:p w14:paraId="0BA43248"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32"/>
          <w:szCs w:val="32"/>
          <w:rtl/>
        </w:rPr>
      </w:pPr>
      <w:r w:rsidRPr="00AB172D">
        <w:rPr>
          <w:rFonts w:ascii="Simplified Arabic" w:hAnsi="Simplified Arabic" w:cs="Simplified Arabic"/>
          <w:b/>
          <w:bCs/>
          <w:color w:val="000000" w:themeColor="text1"/>
          <w:sz w:val="32"/>
          <w:szCs w:val="32"/>
          <w:rtl/>
        </w:rPr>
        <w:t>2. الأهمية العملية (التطبيقية)</w:t>
      </w:r>
    </w:p>
    <w:p w14:paraId="3529BDF6" w14:textId="167D49F3" w:rsidR="00E90EC1" w:rsidRPr="00AB172D" w:rsidRDefault="00E90EC1" w:rsidP="00A95744">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تقديم رؤى تطبيقية لأصحاب الشركات الناشئة ومديريها حول كيفية تبنّي ممارسات الإدارة الرشيقة لتعزيز استدامتها المالية.</w:t>
      </w:r>
    </w:p>
    <w:p w14:paraId="1D695CFD" w14:textId="3D0BE285" w:rsidR="00E90EC1" w:rsidRPr="00AB172D" w:rsidRDefault="00E90EC1" w:rsidP="00A95744">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دعم صنّاع القرار في المؤسسات الداعمة لريادة الأعمال (كحاضنات الأعمال ومسرّعات الشركات الناشئة) بمعلومات علمية تُسهم في تطوير برامجهم.</w:t>
      </w:r>
    </w:p>
    <w:p w14:paraId="6E21087C" w14:textId="7E598BB1" w:rsidR="00E90EC1" w:rsidRPr="00AB172D" w:rsidRDefault="00E90EC1" w:rsidP="00A95744">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مساعدة الجهات التمويلية والمستثمرين على تقييم الشركات الناشئة استناداً إلى مؤشرات الاستدامة المالية المرتبطة بالممارسات الإدارية الرشيقة.</w:t>
      </w:r>
    </w:p>
    <w:p w14:paraId="044F6E31" w14:textId="74E6F22E" w:rsidR="00E90EC1" w:rsidRPr="00AB172D" w:rsidRDefault="00E90EC1" w:rsidP="00A95744">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توفير توصيات عملية للجهات الحكومية والتنظيمية في منطقة الشرق الأوسط وشمال أفريقيا حول السياسات التي تدعم استدامة الشركات الناشئة.</w:t>
      </w:r>
    </w:p>
    <w:p w14:paraId="76430C10" w14:textId="5BEC70E4" w:rsidR="00E90EC1" w:rsidRPr="00AB172D" w:rsidRDefault="00E90EC1" w:rsidP="00A95744">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lastRenderedPageBreak/>
        <w:t>إسهام الدراسة في الحدّ من معدلات فشل الشركات الناشئة عبر تسليط الضوء على الممارسات الإدارية الأكثر فاعلية في تعزيز استدامتها المالية.</w:t>
      </w:r>
    </w:p>
    <w:p w14:paraId="0532BFD9" w14:textId="473499BB" w:rsidR="00E90EC1" w:rsidRPr="00AB172D" w:rsidRDefault="00E90EC1" w:rsidP="00A95744">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تعزيز مساهمة الشركات الناشئة في التنمية الاقتصادية الإقليمية عبر دعم استمراريتها ونموّها.</w:t>
      </w:r>
    </w:p>
    <w:p w14:paraId="3AF396ED" w14:textId="72675229" w:rsidR="00E90EC1" w:rsidRPr="00AB172D" w:rsidRDefault="004F5783" w:rsidP="004F57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6" w:name="_Toc234338534"/>
      <w:r w:rsidRPr="00AB172D">
        <w:rPr>
          <w:rFonts w:ascii="Simplified Arabic" w:hAnsi="Simplified Arabic" w:cs="Simplified Arabic" w:hint="cs"/>
          <w:b/>
          <w:bCs/>
          <w:color w:val="000000" w:themeColor="text1"/>
          <w:sz w:val="36"/>
          <w:szCs w:val="36"/>
          <w:rtl/>
        </w:rPr>
        <w:t>4.1</w:t>
      </w:r>
      <w:r w:rsidR="00E90EC1" w:rsidRPr="00AB172D">
        <w:rPr>
          <w:rFonts w:ascii="Simplified Arabic" w:hAnsi="Simplified Arabic" w:cs="Simplified Arabic"/>
          <w:b/>
          <w:bCs/>
          <w:color w:val="000000" w:themeColor="text1"/>
          <w:sz w:val="36"/>
          <w:szCs w:val="36"/>
          <w:rtl/>
        </w:rPr>
        <w:t xml:space="preserve"> أهداف الدراسة</w:t>
      </w:r>
      <w:bookmarkEnd w:id="6"/>
    </w:p>
    <w:p w14:paraId="2DF1E395"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الهدف الرئيس: تهدف الدراسة إلى دراسة أثر ممارسات الإدارة الرشيقة بأبعادها (التطوير التكراري، واللامركزية في اتخاذ القرارات، وحلقات تغذية العملاء الراجعة) على الاستدامة المالية في الشركات الناشئة بمنطقة الشرق الأوسط وشمال أفريقيا.</w:t>
      </w:r>
    </w:p>
    <w:p w14:paraId="33B48AAB"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وتتفرّع من هذا الهدف الرئيس مجموعة من الأهداف الفرعية، هي:</w:t>
      </w:r>
    </w:p>
    <w:p w14:paraId="30389D29" w14:textId="0280FF2D"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التعرف على المفهوم النظري لممارسات الإدارة الرشيقة وأبعادها الثلاثة (التطوير التكراري، واللامركزية في اتخاذ القرارات، وحلقات تغذية العملاء الراجعة) في سياق الشركات الناشئة.</w:t>
      </w:r>
    </w:p>
    <w:p w14:paraId="06F1FBF9" w14:textId="217C9682"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تحليل مفهوم الاستدامة المالية وأبعادها ومؤشراتها في بيئة الشركات الناشئة.</w:t>
      </w:r>
    </w:p>
    <w:p w14:paraId="0C5C3D47" w14:textId="638BE518"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الكشف عن مستوى تطبيق ممارسات الإدارة الرشيقة بأبعادها المختلفة في الشركات الناشئة بمنطقة الشرق الأوسط وشمال أفريقيا.</w:t>
      </w:r>
    </w:p>
    <w:p w14:paraId="49A77AA6" w14:textId="67395B9D"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قياس مستوى الاستدامة المالية للشركات الناشئة في منطقة الشرق الأوسط وشمال أفريقيا.</w:t>
      </w:r>
    </w:p>
    <w:p w14:paraId="39191270" w14:textId="01BCED0D"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تحديد أثر بُعد التطوير التكراري في الاستدامة المالية للشركات الناشئة محلّ الدراسة.</w:t>
      </w:r>
    </w:p>
    <w:p w14:paraId="11E52E41" w14:textId="50C94AD6"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تحديد أثر بُعد اللامركزية في اتخاذ القرارات في الاستدامة المالية للشركات الناشئة محلّ الدراسة.</w:t>
      </w:r>
    </w:p>
    <w:p w14:paraId="202C25BE" w14:textId="402CDC85"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تحديد أثر بُعد حلقات تغذية العملاء الراجعة في الاستدامة المالية للشركات الناشئة محلّ الدراسة.</w:t>
      </w:r>
    </w:p>
    <w:p w14:paraId="58B0B15B" w14:textId="59E3C086"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الكشف عن الأثر المشترك لممارسات الإدارة الرشيقة بأبعادها مجتمعةً في الاستدامة المالية للشركات الناشئة.</w:t>
      </w:r>
    </w:p>
    <w:p w14:paraId="0D90C6E7" w14:textId="5DBBDD34"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تحديد الفروق في مستوى تطبيق ممارسات الإدارة الرشيقة والاستدامة المالية وفقاً للمتغيرات الديموغرافية والتنظيمية (كحجم الشركة، وعمرها، وقطاعها).</w:t>
      </w:r>
    </w:p>
    <w:p w14:paraId="062B5367" w14:textId="35E76406" w:rsidR="00E90EC1" w:rsidRPr="00AB172D" w:rsidRDefault="00E90EC1" w:rsidP="00A95744">
      <w:pPr>
        <w:pStyle w:val="a6"/>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تقديم إطار مقترح ورؤية تطبيقية لتعزيز الاستدامة المالية للشركات الناشئة عبر تبنّي ممارسات الإدارة الرشيقة.</w:t>
      </w:r>
    </w:p>
    <w:p w14:paraId="646254FB" w14:textId="565776A3" w:rsidR="00E90EC1" w:rsidRPr="00AB172D" w:rsidRDefault="004F5783" w:rsidP="004F57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7" w:name="_Toc234338535"/>
      <w:r w:rsidRPr="00AB172D">
        <w:rPr>
          <w:rFonts w:ascii="Simplified Arabic" w:hAnsi="Simplified Arabic" w:cs="Simplified Arabic" w:hint="cs"/>
          <w:b/>
          <w:bCs/>
          <w:color w:val="000000" w:themeColor="text1"/>
          <w:sz w:val="36"/>
          <w:szCs w:val="36"/>
          <w:rtl/>
        </w:rPr>
        <w:t>5.1</w:t>
      </w:r>
      <w:r w:rsidR="00E90EC1" w:rsidRPr="00AB172D">
        <w:rPr>
          <w:rFonts w:ascii="Simplified Arabic" w:hAnsi="Simplified Arabic" w:cs="Simplified Arabic"/>
          <w:b/>
          <w:bCs/>
          <w:color w:val="000000" w:themeColor="text1"/>
          <w:sz w:val="36"/>
          <w:szCs w:val="36"/>
          <w:rtl/>
        </w:rPr>
        <w:t xml:space="preserve"> أسئلة الدراسة</w:t>
      </w:r>
      <w:bookmarkEnd w:id="7"/>
    </w:p>
    <w:p w14:paraId="2B6306B7"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lastRenderedPageBreak/>
        <w:t>السؤال الرئيس: ما أثر ممارسات الإدارة الرشيقة بأبعادها (التطوير التكراري، واللامركزية في اتخاذ القرارات، وحلقات تغذية العملاء الراجعة) على الاستدامة المالية في الشركات الناشئة بمنطقة الشرق الأوسط وشمال أفريقيا؟</w:t>
      </w:r>
    </w:p>
    <w:p w14:paraId="110552AE"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وتتفرّع منه الأسئلة الفرعية الآتية:</w:t>
      </w:r>
    </w:p>
    <w:p w14:paraId="14419988" w14:textId="0FA73C57" w:rsidR="00E90EC1" w:rsidRPr="00AB172D" w:rsidRDefault="00E90EC1" w:rsidP="00A95744">
      <w:pPr>
        <w:pStyle w:val="a6"/>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ما مستوى تطبيق ممارسات الإدارة الرشيقة بأبعادها الثلاثة في الشركات الناشئة بمنطقة الشرق الأوسط وشمال أفريقيا؟</w:t>
      </w:r>
    </w:p>
    <w:p w14:paraId="33ABB25A" w14:textId="207EDA76" w:rsidR="00E90EC1" w:rsidRPr="00AB172D" w:rsidRDefault="00E90EC1" w:rsidP="00A95744">
      <w:pPr>
        <w:pStyle w:val="a6"/>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ما مستوى الاستدامة المالية للشركات الناشئة بمنطقة الشرق الأوسط وشمال أفريقيا؟</w:t>
      </w:r>
    </w:p>
    <w:p w14:paraId="5CE5E628" w14:textId="2F2E874E" w:rsidR="00E90EC1" w:rsidRPr="00AB172D" w:rsidRDefault="00E90EC1" w:rsidP="00A95744">
      <w:pPr>
        <w:pStyle w:val="a6"/>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ما أثر التطوير التكراري في الاستدامة المالية للشركات الناشئة محلّ الدراسة؟</w:t>
      </w:r>
    </w:p>
    <w:p w14:paraId="7ABB86F6" w14:textId="55F9ED3C" w:rsidR="00E90EC1" w:rsidRPr="00AB172D" w:rsidRDefault="00E90EC1" w:rsidP="00A95744">
      <w:pPr>
        <w:pStyle w:val="a6"/>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ما أثر اللامركزية في اتخاذ القرارات في الاستدامة المالية للشركات الناشئة محلّ الدراسة؟</w:t>
      </w:r>
    </w:p>
    <w:p w14:paraId="073583EE" w14:textId="186EE523" w:rsidR="00E90EC1" w:rsidRPr="00AB172D" w:rsidRDefault="00E90EC1" w:rsidP="00A95744">
      <w:pPr>
        <w:pStyle w:val="a6"/>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ما أثر حلقات تغذية العملاء الراجعة في الاستدامة المالية للشركات الناشئة محلّ الدراسة؟</w:t>
      </w:r>
    </w:p>
    <w:p w14:paraId="2B12FEFB" w14:textId="53D53077" w:rsidR="00E90EC1" w:rsidRPr="00AB172D" w:rsidRDefault="00E90EC1" w:rsidP="00A95744">
      <w:pPr>
        <w:pStyle w:val="a6"/>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هل توجد فروق ذات دلالة إحصائية في مستوى تطبيق ممارسات الإدارة الرشيقة والاستدامة المالية تُعزى إلى المتغيرات الديموغرافية والتنظيمية (حجم الشركة، وعمرها، وقطاعها، والدولة)؟</w:t>
      </w:r>
    </w:p>
    <w:p w14:paraId="4E777AA9" w14:textId="07C875DD" w:rsidR="00E90EC1" w:rsidRPr="00AB172D" w:rsidRDefault="004F5783" w:rsidP="004F57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8" w:name="_Toc234338536"/>
      <w:r w:rsidRPr="00AB172D">
        <w:rPr>
          <w:rFonts w:ascii="Simplified Arabic" w:hAnsi="Simplified Arabic" w:cs="Simplified Arabic" w:hint="cs"/>
          <w:b/>
          <w:bCs/>
          <w:color w:val="000000" w:themeColor="text1"/>
          <w:sz w:val="36"/>
          <w:szCs w:val="36"/>
          <w:rtl/>
        </w:rPr>
        <w:t xml:space="preserve">6.1 </w:t>
      </w:r>
      <w:r w:rsidR="00E90EC1" w:rsidRPr="00AB172D">
        <w:rPr>
          <w:rFonts w:ascii="Simplified Arabic" w:hAnsi="Simplified Arabic" w:cs="Simplified Arabic"/>
          <w:b/>
          <w:bCs/>
          <w:color w:val="000000" w:themeColor="text1"/>
          <w:sz w:val="36"/>
          <w:szCs w:val="36"/>
          <w:rtl/>
        </w:rPr>
        <w:t>فروض الدراسة</w:t>
      </w:r>
      <w:bookmarkEnd w:id="8"/>
    </w:p>
    <w:p w14:paraId="58A97F75"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انطلاقاً من مشكلة الدراسة وأهدافها وأسئلتها، تسعى الدراسة الحالية إلى اختبار الفروض الآتية:</w:t>
      </w:r>
    </w:p>
    <w:p w14:paraId="798B9214"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الفرض الرئيس: يوجد أثر ذو دلالة إحصائية عند مستوى معنوية (</w:t>
      </w:r>
      <w:r w:rsidRPr="00AB172D">
        <w:rPr>
          <w:rFonts w:ascii="Cambria" w:hAnsi="Cambria" w:cs="Cambria"/>
          <w:color w:val="000000" w:themeColor="text1"/>
          <w:sz w:val="28"/>
          <w:szCs w:val="28"/>
        </w:rPr>
        <w:t>α</w:t>
      </w:r>
      <w:r w:rsidRPr="00AB172D">
        <w:rPr>
          <w:rFonts w:ascii="Simplified Arabic" w:hAnsi="Simplified Arabic" w:cs="Simplified Arabic"/>
          <w:color w:val="000000" w:themeColor="text1"/>
          <w:sz w:val="28"/>
          <w:szCs w:val="28"/>
        </w:rPr>
        <w:t xml:space="preserve"> </w:t>
      </w:r>
      <w:r w:rsidRPr="00AB172D">
        <w:rPr>
          <w:rFonts w:ascii="Times New Roman" w:hAnsi="Times New Roman" w:cs="Times New Roman"/>
          <w:color w:val="000000" w:themeColor="text1"/>
          <w:sz w:val="28"/>
          <w:szCs w:val="28"/>
        </w:rPr>
        <w:t>≤</w:t>
      </w:r>
      <w:r w:rsidRPr="00AB172D">
        <w:rPr>
          <w:rFonts w:ascii="Simplified Arabic" w:hAnsi="Simplified Arabic" w:cs="Simplified Arabic"/>
          <w:color w:val="000000" w:themeColor="text1"/>
          <w:sz w:val="28"/>
          <w:szCs w:val="28"/>
        </w:rPr>
        <w:t xml:space="preserve"> 0.05</w:t>
      </w:r>
      <w:r w:rsidRPr="00AB172D">
        <w:rPr>
          <w:rFonts w:ascii="Simplified Arabic" w:hAnsi="Simplified Arabic" w:cs="Simplified Arabic"/>
          <w:color w:val="000000" w:themeColor="text1"/>
          <w:sz w:val="28"/>
          <w:szCs w:val="28"/>
          <w:rtl/>
        </w:rPr>
        <w:t>) لممارسات الإدارة الرشيقة بأبعادها (التطوير التكراري، واللامركزية في اتخاذ القرارات، وحلقات تغذية العملاء الراجعة) في الاستدامة المالية للشركات الناشئة بمنطقة الشرق الأوسط وشمال أفريقيا.</w:t>
      </w:r>
    </w:p>
    <w:p w14:paraId="7A6FFCA7"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وتتفرّع منه الفروض الفرعية الآتية:</w:t>
      </w:r>
    </w:p>
    <w:p w14:paraId="353C8862" w14:textId="77777777" w:rsidR="00E90EC1" w:rsidRPr="00AB172D" w:rsidRDefault="00E90EC1" w:rsidP="00A95744">
      <w:pPr>
        <w:pStyle w:val="a6"/>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الفرض الفرعي الأول (</w:t>
      </w:r>
      <w:r w:rsidRPr="00AB172D">
        <w:rPr>
          <w:rFonts w:ascii="Simplified Arabic" w:hAnsi="Simplified Arabic" w:cs="Simplified Arabic"/>
          <w:color w:val="000000" w:themeColor="text1"/>
          <w:sz w:val="28"/>
          <w:szCs w:val="28"/>
        </w:rPr>
        <w:t>H1</w:t>
      </w:r>
      <w:r w:rsidRPr="00AB172D">
        <w:rPr>
          <w:rFonts w:ascii="Simplified Arabic" w:hAnsi="Simplified Arabic" w:cs="Simplified Arabic"/>
          <w:color w:val="000000" w:themeColor="text1"/>
          <w:sz w:val="28"/>
          <w:szCs w:val="28"/>
          <w:rtl/>
        </w:rPr>
        <w:t>): يوجد أثر ذو دلالة إحصائية عند مستوى معنوية (</w:t>
      </w:r>
      <w:r w:rsidRPr="00AB172D">
        <w:rPr>
          <w:rFonts w:ascii="Cambria" w:hAnsi="Cambria" w:cs="Cambria"/>
          <w:color w:val="000000" w:themeColor="text1"/>
          <w:sz w:val="28"/>
          <w:szCs w:val="28"/>
        </w:rPr>
        <w:t>α</w:t>
      </w:r>
      <w:r w:rsidRPr="00AB172D">
        <w:rPr>
          <w:rFonts w:ascii="Simplified Arabic" w:hAnsi="Simplified Arabic" w:cs="Simplified Arabic"/>
          <w:color w:val="000000" w:themeColor="text1"/>
          <w:sz w:val="28"/>
          <w:szCs w:val="28"/>
        </w:rPr>
        <w:t xml:space="preserve"> </w:t>
      </w:r>
      <w:r w:rsidRPr="00AB172D">
        <w:rPr>
          <w:rFonts w:ascii="Times New Roman" w:hAnsi="Times New Roman" w:cs="Times New Roman"/>
          <w:color w:val="000000" w:themeColor="text1"/>
          <w:sz w:val="28"/>
          <w:szCs w:val="28"/>
        </w:rPr>
        <w:t>≤</w:t>
      </w:r>
      <w:r w:rsidRPr="00AB172D">
        <w:rPr>
          <w:rFonts w:ascii="Simplified Arabic" w:hAnsi="Simplified Arabic" w:cs="Simplified Arabic"/>
          <w:color w:val="000000" w:themeColor="text1"/>
          <w:sz w:val="28"/>
          <w:szCs w:val="28"/>
        </w:rPr>
        <w:t xml:space="preserve"> 0.05</w:t>
      </w:r>
      <w:r w:rsidRPr="00AB172D">
        <w:rPr>
          <w:rFonts w:ascii="Simplified Arabic" w:hAnsi="Simplified Arabic" w:cs="Simplified Arabic"/>
          <w:color w:val="000000" w:themeColor="text1"/>
          <w:sz w:val="28"/>
          <w:szCs w:val="28"/>
          <w:rtl/>
        </w:rPr>
        <w:t>) لبُعد التطوير التكراري في الاستدامة المالية للشركات الناشئة بمنطقة الشرق الأوسط وشمال أفريقيا.</w:t>
      </w:r>
    </w:p>
    <w:p w14:paraId="6E48D8DD" w14:textId="77777777" w:rsidR="00E90EC1" w:rsidRPr="00AB172D" w:rsidRDefault="00E90EC1" w:rsidP="00A95744">
      <w:pPr>
        <w:pStyle w:val="a6"/>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الفرض الفرعي الثاني (</w:t>
      </w:r>
      <w:r w:rsidRPr="00AB172D">
        <w:rPr>
          <w:rFonts w:ascii="Simplified Arabic" w:hAnsi="Simplified Arabic" w:cs="Simplified Arabic"/>
          <w:color w:val="000000" w:themeColor="text1"/>
          <w:sz w:val="28"/>
          <w:szCs w:val="28"/>
        </w:rPr>
        <w:t>H2</w:t>
      </w:r>
      <w:r w:rsidRPr="00AB172D">
        <w:rPr>
          <w:rFonts w:ascii="Simplified Arabic" w:hAnsi="Simplified Arabic" w:cs="Simplified Arabic"/>
          <w:color w:val="000000" w:themeColor="text1"/>
          <w:sz w:val="28"/>
          <w:szCs w:val="28"/>
          <w:rtl/>
        </w:rPr>
        <w:t>): يوجد أثر ذو دلالة إحصائية عند مستوى معنوية (</w:t>
      </w:r>
      <w:r w:rsidRPr="00AB172D">
        <w:rPr>
          <w:rFonts w:ascii="Cambria" w:hAnsi="Cambria" w:cs="Cambria"/>
          <w:color w:val="000000" w:themeColor="text1"/>
          <w:sz w:val="28"/>
          <w:szCs w:val="28"/>
        </w:rPr>
        <w:t>α</w:t>
      </w:r>
      <w:r w:rsidRPr="00AB172D">
        <w:rPr>
          <w:rFonts w:ascii="Simplified Arabic" w:hAnsi="Simplified Arabic" w:cs="Simplified Arabic"/>
          <w:color w:val="000000" w:themeColor="text1"/>
          <w:sz w:val="28"/>
          <w:szCs w:val="28"/>
        </w:rPr>
        <w:t xml:space="preserve"> </w:t>
      </w:r>
      <w:r w:rsidRPr="00AB172D">
        <w:rPr>
          <w:rFonts w:ascii="Times New Roman" w:hAnsi="Times New Roman" w:cs="Times New Roman"/>
          <w:color w:val="000000" w:themeColor="text1"/>
          <w:sz w:val="28"/>
          <w:szCs w:val="28"/>
        </w:rPr>
        <w:t>≤</w:t>
      </w:r>
      <w:r w:rsidRPr="00AB172D">
        <w:rPr>
          <w:rFonts w:ascii="Simplified Arabic" w:hAnsi="Simplified Arabic" w:cs="Simplified Arabic"/>
          <w:color w:val="000000" w:themeColor="text1"/>
          <w:sz w:val="28"/>
          <w:szCs w:val="28"/>
        </w:rPr>
        <w:t xml:space="preserve"> 0.05</w:t>
      </w:r>
      <w:r w:rsidRPr="00AB172D">
        <w:rPr>
          <w:rFonts w:ascii="Simplified Arabic" w:hAnsi="Simplified Arabic" w:cs="Simplified Arabic"/>
          <w:color w:val="000000" w:themeColor="text1"/>
          <w:sz w:val="28"/>
          <w:szCs w:val="28"/>
          <w:rtl/>
        </w:rPr>
        <w:t>) لبُعد اللامركزية في اتخاذ القرارات في الاستدامة المالية للشركات الناشئة بمنطقة الشرق الأوسط وشمال أفريقيا.</w:t>
      </w:r>
    </w:p>
    <w:p w14:paraId="7BB47823" w14:textId="77777777" w:rsidR="00E90EC1" w:rsidRPr="00AB172D" w:rsidRDefault="00E90EC1" w:rsidP="00A95744">
      <w:pPr>
        <w:pStyle w:val="a6"/>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lastRenderedPageBreak/>
        <w:t>الفرض الفرعي الثالث (</w:t>
      </w:r>
      <w:r w:rsidRPr="00AB172D">
        <w:rPr>
          <w:rFonts w:ascii="Simplified Arabic" w:hAnsi="Simplified Arabic" w:cs="Simplified Arabic"/>
          <w:color w:val="000000" w:themeColor="text1"/>
          <w:sz w:val="28"/>
          <w:szCs w:val="28"/>
        </w:rPr>
        <w:t>H3</w:t>
      </w:r>
      <w:r w:rsidRPr="00AB172D">
        <w:rPr>
          <w:rFonts w:ascii="Simplified Arabic" w:hAnsi="Simplified Arabic" w:cs="Simplified Arabic"/>
          <w:color w:val="000000" w:themeColor="text1"/>
          <w:sz w:val="28"/>
          <w:szCs w:val="28"/>
          <w:rtl/>
        </w:rPr>
        <w:t>): يوجد أثر ذو دلالة إحصائية عند مستوى معنوية (</w:t>
      </w:r>
      <w:r w:rsidRPr="00AB172D">
        <w:rPr>
          <w:rFonts w:ascii="Cambria" w:hAnsi="Cambria" w:cs="Cambria"/>
          <w:color w:val="000000" w:themeColor="text1"/>
          <w:sz w:val="28"/>
          <w:szCs w:val="28"/>
        </w:rPr>
        <w:t>α</w:t>
      </w:r>
      <w:r w:rsidRPr="00AB172D">
        <w:rPr>
          <w:rFonts w:ascii="Simplified Arabic" w:hAnsi="Simplified Arabic" w:cs="Simplified Arabic"/>
          <w:color w:val="000000" w:themeColor="text1"/>
          <w:sz w:val="28"/>
          <w:szCs w:val="28"/>
        </w:rPr>
        <w:t xml:space="preserve"> </w:t>
      </w:r>
      <w:r w:rsidRPr="00AB172D">
        <w:rPr>
          <w:rFonts w:ascii="Times New Roman" w:hAnsi="Times New Roman" w:cs="Times New Roman"/>
          <w:color w:val="000000" w:themeColor="text1"/>
          <w:sz w:val="28"/>
          <w:szCs w:val="28"/>
        </w:rPr>
        <w:t>≤</w:t>
      </w:r>
      <w:r w:rsidRPr="00AB172D">
        <w:rPr>
          <w:rFonts w:ascii="Simplified Arabic" w:hAnsi="Simplified Arabic" w:cs="Simplified Arabic"/>
          <w:color w:val="000000" w:themeColor="text1"/>
          <w:sz w:val="28"/>
          <w:szCs w:val="28"/>
        </w:rPr>
        <w:t xml:space="preserve"> 0.05</w:t>
      </w:r>
      <w:r w:rsidRPr="00AB172D">
        <w:rPr>
          <w:rFonts w:ascii="Simplified Arabic" w:hAnsi="Simplified Arabic" w:cs="Simplified Arabic"/>
          <w:color w:val="000000" w:themeColor="text1"/>
          <w:sz w:val="28"/>
          <w:szCs w:val="28"/>
          <w:rtl/>
        </w:rPr>
        <w:t>) لبُعد حلقات تغذية العملاء الراجعة في الاستدامة المالية للشركات الناشئة بمنطقة الشرق الأوسط وشمال أفريقيا.</w:t>
      </w:r>
    </w:p>
    <w:p w14:paraId="5571DF9C" w14:textId="77777777" w:rsidR="00E90EC1" w:rsidRPr="00AB172D" w:rsidRDefault="00E90EC1" w:rsidP="00A95744">
      <w:pPr>
        <w:pStyle w:val="a6"/>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الفرض الفرعي الرابع (</w:t>
      </w:r>
      <w:r w:rsidRPr="00AB172D">
        <w:rPr>
          <w:rFonts w:ascii="Simplified Arabic" w:hAnsi="Simplified Arabic" w:cs="Simplified Arabic"/>
          <w:color w:val="000000" w:themeColor="text1"/>
          <w:sz w:val="28"/>
          <w:szCs w:val="28"/>
        </w:rPr>
        <w:t>H4</w:t>
      </w:r>
      <w:r w:rsidRPr="00AB172D">
        <w:rPr>
          <w:rFonts w:ascii="Simplified Arabic" w:hAnsi="Simplified Arabic" w:cs="Simplified Arabic"/>
          <w:color w:val="000000" w:themeColor="text1"/>
          <w:sz w:val="28"/>
          <w:szCs w:val="28"/>
          <w:rtl/>
        </w:rPr>
        <w:t>): توجد فروق ذات دلالة إحصائية عند مستوى معنوية (</w:t>
      </w:r>
      <w:r w:rsidRPr="00AB172D">
        <w:rPr>
          <w:rFonts w:ascii="Cambria" w:hAnsi="Cambria" w:cs="Cambria"/>
          <w:color w:val="000000" w:themeColor="text1"/>
          <w:sz w:val="28"/>
          <w:szCs w:val="28"/>
        </w:rPr>
        <w:t>α</w:t>
      </w:r>
      <w:r w:rsidRPr="00AB172D">
        <w:rPr>
          <w:rFonts w:ascii="Simplified Arabic" w:hAnsi="Simplified Arabic" w:cs="Simplified Arabic"/>
          <w:color w:val="000000" w:themeColor="text1"/>
          <w:sz w:val="28"/>
          <w:szCs w:val="28"/>
        </w:rPr>
        <w:t xml:space="preserve"> </w:t>
      </w:r>
      <w:r w:rsidRPr="00AB172D">
        <w:rPr>
          <w:rFonts w:ascii="Times New Roman" w:hAnsi="Times New Roman" w:cs="Times New Roman"/>
          <w:color w:val="000000" w:themeColor="text1"/>
          <w:sz w:val="28"/>
          <w:szCs w:val="28"/>
        </w:rPr>
        <w:t>≤</w:t>
      </w:r>
      <w:r w:rsidRPr="00AB172D">
        <w:rPr>
          <w:rFonts w:ascii="Simplified Arabic" w:hAnsi="Simplified Arabic" w:cs="Simplified Arabic"/>
          <w:color w:val="000000" w:themeColor="text1"/>
          <w:sz w:val="28"/>
          <w:szCs w:val="28"/>
        </w:rPr>
        <w:t xml:space="preserve"> 0.05</w:t>
      </w:r>
      <w:r w:rsidRPr="00AB172D">
        <w:rPr>
          <w:rFonts w:ascii="Simplified Arabic" w:hAnsi="Simplified Arabic" w:cs="Simplified Arabic"/>
          <w:color w:val="000000" w:themeColor="text1"/>
          <w:sz w:val="28"/>
          <w:szCs w:val="28"/>
          <w:rtl/>
        </w:rPr>
        <w:t>) بين استجابات المبحوثين حول مستوى تطبيق ممارسات الإدارة الرشيقة والاستدامة المالية تُعزى إلى المتغيرات الديموغرافية والتنظيمية (حجم الشركة، وعمرها، وقطاعها، والدولة).</w:t>
      </w:r>
    </w:p>
    <w:p w14:paraId="05D9C79B" w14:textId="3AF317E3" w:rsidR="00E90EC1" w:rsidRPr="00AB172D" w:rsidRDefault="004F5783" w:rsidP="004F5783">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9" w:name="_Toc234338537"/>
      <w:r w:rsidRPr="00AB172D">
        <w:rPr>
          <w:rFonts w:ascii="Simplified Arabic" w:hAnsi="Simplified Arabic" w:cs="Simplified Arabic" w:hint="cs"/>
          <w:b/>
          <w:bCs/>
          <w:color w:val="000000" w:themeColor="text1"/>
          <w:sz w:val="36"/>
          <w:szCs w:val="36"/>
          <w:rtl/>
        </w:rPr>
        <w:t xml:space="preserve">7.1 </w:t>
      </w:r>
      <w:r w:rsidR="00E90EC1" w:rsidRPr="00AB172D">
        <w:rPr>
          <w:rFonts w:ascii="Simplified Arabic" w:hAnsi="Simplified Arabic" w:cs="Simplified Arabic"/>
          <w:b/>
          <w:bCs/>
          <w:color w:val="000000" w:themeColor="text1"/>
          <w:sz w:val="36"/>
          <w:szCs w:val="36"/>
          <w:rtl/>
        </w:rPr>
        <w:t>مقدمة الدراسات السابقة</w:t>
      </w:r>
      <w:bookmarkEnd w:id="9"/>
    </w:p>
    <w:p w14:paraId="0ECB3890"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AB172D">
        <w:rPr>
          <w:rFonts w:ascii="Simplified Arabic" w:hAnsi="Simplified Arabic" w:cs="Simplified Arabic"/>
          <w:b/>
          <w:bCs/>
          <w:color w:val="000000" w:themeColor="text1"/>
          <w:sz w:val="32"/>
          <w:szCs w:val="32"/>
          <w:rtl/>
        </w:rPr>
        <w:t>المحور الأول: الدراسات المتعلقة بالمتغير المستقل (الإدارة الرشيقة) وعلاقته بمتغيرات أخرى</w:t>
      </w:r>
    </w:p>
    <w:p w14:paraId="2545A915"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أولاً: الدراسات العربية</w:t>
      </w:r>
    </w:p>
    <w:p w14:paraId="7C744A04"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1. دراسة المحلاوي (2024) بعنوان “تأثير الإدارة الرشيقة على الأداء التنظيمي: دراسة تطبيقية على شركات صناعة الأسمنت في جمهورية مصر العربية”.</w:t>
      </w:r>
    </w:p>
    <w:p w14:paraId="14486EEC"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التعرف على تأثير الإدارة الرشيقة بأبعادها (القيادة الرشيقة، والقوى العاملة الرشيقة، والتكنولوجيا الرشيقة، والاستراتيجية الرشيقة) على الأداء التنظيمي في شركات صناعة الأسمنت بمصر. واستخدمت الدراسة المنهج الوصفي التحليلي، وتكوّنت العينة من (320) مفردة من العاملين في المستويات الإدارية المختلفة بشركات الأسمنت. وتوصّلت نتائج الدراسة إلى وجود أثر إيجابي ذي دلالة إحصائية للإدارة الرشيقة بأبعادها مجتمعةً في الأداء التنظيمي، وأنّ بُعد الاستراتيجية الرشيقة كان الأكثر تأثيراً. وأوصت الدراسة بضرورة تبنّي شركات الأسمنت لمبادئ الإدارة الرشيقة، وتدريب العاملين على المرونة والاستجابة السريعة للتغيّرات.</w:t>
      </w:r>
    </w:p>
    <w:p w14:paraId="39D403C4"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2. دراسة العتيبي (2024) بعنوان “دور الإدارة الرشيقة في رفع الأداء الوظيفي: دراسة تطبيقية على وزارة الصحة في المملكة العربية السعودية”.</w:t>
      </w:r>
    </w:p>
    <w:p w14:paraId="15A13A3E"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 xml:space="preserve">هدفت الدراسة إلى التعرف على دور الإدارة الرشيقة بأبعادها (المرونة، والسرعة، والاستجابة، والكفاءة) في رفع الأداء الوظيفي بوزارة الصحة السعودية. واستخدمت الدراسة المنهج الوصفي التحليلي، وتكوّنت العينة من (280) موظفاً وموظفة بوزارة الصحة. وتوصّلت النتائج إلى وجود دور إيجابي وفعّال للإدارة </w:t>
      </w:r>
      <w:r w:rsidRPr="00AB172D">
        <w:rPr>
          <w:rFonts w:ascii="Simplified Arabic" w:hAnsi="Simplified Arabic" w:cs="Simplified Arabic"/>
          <w:color w:val="000000" w:themeColor="text1"/>
          <w:sz w:val="28"/>
          <w:szCs w:val="28"/>
          <w:rtl/>
        </w:rPr>
        <w:lastRenderedPageBreak/>
        <w:t>الرشيقة في رفع الأداء الوظيفي، مع تصدُّر بُعد المرونة أعلى مستويات التأثير. وأوصت الدراسة بتعزيز ثقافة الرشاقة الإدارية، وتطوير آليات اتخاذ القرار داخل الوزارة.</w:t>
      </w:r>
    </w:p>
    <w:p w14:paraId="65440D4D"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3. دراسة الجعيد والثبيتي (2024) بعنوان “أثر الإدارة الرشيقة في تحقيق الإبداع الوظيفي: دراسة تطبيقية على جامعة الطائف”.</w:t>
      </w:r>
    </w:p>
    <w:p w14:paraId="7EBF2653"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الكشف عن أثر الإدارة الرشيقة بأبعادها (الاستشعار، والمرونة، والسرعة، والكفاءة) في تحقيق الإبداع الوظيفي بجامعة الطائف. واستخدمت الدراسة المنهج الوصفي التحليلي، وتكوّنت العينة من (245) من أعضاء هيئة التدريس والموظفين الإداريين. وتوصّلت النتائج إلى وجود أثر إيجابي ذي دلالة إحصائية للإدارة الرشيقة في تعزيز الإبداع الوظيفي. وأوصت الدراسة بتوفير بيئة عمل محفّزة للإبداع، وتبنّي أساليب إدارية مرنة تدعم المبادرات الابتكارية.</w:t>
      </w:r>
    </w:p>
    <w:p w14:paraId="062E38D0"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4. دراسة الدوشان (2024) بعنوان “دور الإدارة الرشيقة في تحقيق التميز المؤسسي: دراسة تطبيقية على مستشفى عسير المركزي بمدينة أبها”.</w:t>
      </w:r>
    </w:p>
    <w:p w14:paraId="36464460"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التعرف على دور الإدارة الرشيقة بأبعادها (القيادة الرشيقة، والاستراتيجية الرشيقة، والعمليات الرشيقة، والموارد البشرية الرشيقة) في تحقيق التميز المؤسسي بمستشفى عسير المركزي. واستخدمت الدراسة المنهج الوصفي التحليلي، وتكوّنت العينة من (210) من العاملين بالمستشفى. وتوصّلت النتائج إلى وجود دور إيجابي للإدارة الرشيقة في تحقيق التميز المؤسسي بأبعاده المختلفة. وأوصت الدراسة بضرورة تبنّي إدارة المستشفى لممارسات الرشاقة الإدارية، وتطوير آليات الاستجابة السريعة لاحتياجات المرضى.</w:t>
      </w:r>
    </w:p>
    <w:p w14:paraId="40B9F549"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 xml:space="preserve">5. دراسة الزيدي ومنذور (2021) بعنوان “الإدارة الرشيقة ودورها في تحسين جودة الخدمة: بحث ميداني في مديرية بلدية </w:t>
      </w:r>
      <w:proofErr w:type="spellStart"/>
      <w:r w:rsidRPr="00AB172D">
        <w:rPr>
          <w:rFonts w:ascii="Simplified Arabic" w:hAnsi="Simplified Arabic" w:cs="Simplified Arabic"/>
          <w:b/>
          <w:bCs/>
          <w:color w:val="000000" w:themeColor="text1"/>
          <w:sz w:val="28"/>
          <w:szCs w:val="28"/>
          <w:rtl/>
        </w:rPr>
        <w:t>المحاويل</w:t>
      </w:r>
      <w:proofErr w:type="spellEnd"/>
      <w:r w:rsidRPr="00AB172D">
        <w:rPr>
          <w:rFonts w:ascii="Simplified Arabic" w:hAnsi="Simplified Arabic" w:cs="Simplified Arabic"/>
          <w:b/>
          <w:bCs/>
          <w:color w:val="000000" w:themeColor="text1"/>
          <w:sz w:val="28"/>
          <w:szCs w:val="28"/>
          <w:rtl/>
        </w:rPr>
        <w:t>”.</w:t>
      </w:r>
    </w:p>
    <w:p w14:paraId="3903C644"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 xml:space="preserve">هدفت الدراسة إلى بيان دور الإدارة الرشيقة بأبعادها (القيادة، والتكنولوجيا، والاستراتيجية، والقوى العاملة) في تحسين جودة الخدمة المقدَّمة في مديرية بلدية </w:t>
      </w:r>
      <w:proofErr w:type="spellStart"/>
      <w:r w:rsidRPr="00AB172D">
        <w:rPr>
          <w:rFonts w:ascii="Simplified Arabic" w:hAnsi="Simplified Arabic" w:cs="Simplified Arabic"/>
          <w:color w:val="000000" w:themeColor="text1"/>
          <w:sz w:val="28"/>
          <w:szCs w:val="28"/>
          <w:rtl/>
        </w:rPr>
        <w:t>المحاويل</w:t>
      </w:r>
      <w:proofErr w:type="spellEnd"/>
      <w:r w:rsidRPr="00AB172D">
        <w:rPr>
          <w:rFonts w:ascii="Simplified Arabic" w:hAnsi="Simplified Arabic" w:cs="Simplified Arabic"/>
          <w:color w:val="000000" w:themeColor="text1"/>
          <w:sz w:val="28"/>
          <w:szCs w:val="28"/>
          <w:rtl/>
        </w:rPr>
        <w:t xml:space="preserve"> بالعراق. واستخدمت الدراسة المنهج الوصفي التحليلي، وتكوّنت العينة من (85) موظفاً بالمديرية. وتوصّلت النتائج إلى وجود علاقة ارتباط وتأثير إيجابيين بين الإدارة الرشيقة وجودة الخدمة. وأوصت الدراسة بتدريب العاملين على مبادئ الإدارة الرشيقة، والاستثمار في التكنولوجيا الحديثة لتحسين جودة الخدمات المقدَّمة للمواطنين.</w:t>
      </w:r>
    </w:p>
    <w:p w14:paraId="60D9E2E3"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lastRenderedPageBreak/>
        <w:t>6. دراسة أبو زيد ورضوان (2023) بعنوان “دور الإدارة الرشيقة في تحسين الأداء الوظيفي: دراسة تطبيقية على العاملين بالشركات الصناعية بالقطاع الخاص بمحافظة الغربية”.</w:t>
      </w:r>
    </w:p>
    <w:p w14:paraId="21E2038C"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التعرف على دور الإدارة الرشيقة بأبعادها (المرونة، والاستجابة، والسرعة، والكفاءة، والابتكار) في تحسين الأداء الوظيفي بالشركات الصناعية بالقطاع الخاص بمحافظة الغربية. واستخدمت الدراسة المنهج الوصفي التحليلي، وتكوّنت العينة من (385) عاملاً بالشركات الصناعية. وتوصّلت النتائج إلى وجود دور إيجابي ذي دلالة إحصائية للإدارة الرشيقة في تحسين الأداء الوظيفي. وأوصت الدراسة بضرورة نشر ثقافة الرشاقة الإدارية، وتبنّي أساليب حديثة في إدارة العاملين.</w:t>
      </w:r>
    </w:p>
    <w:p w14:paraId="76AEC69B"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7. دراسة شيخ السوق وآخرين (2025) بعنوان “دور الإدارة الرشيقة في تعزيز الإبداع الإداري: دراسة تطبيقية على مجموعة مصانع العربي بجمهورية مصر العربية”.</w:t>
      </w:r>
    </w:p>
    <w:p w14:paraId="2A0623B8"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الكشف عن دور الإدارة الرشيقة بأبعادها (القيادة الرشيقة، والاستراتيجية الرشيقة، والقوى العاملة الرشيقة، والتكنولوجيا الرشيقة) في تعزيز الإبداع الإداري بمجموعة مصانع العربي. واستخدمت الدراسة المنهج الوصفي التحليلي، وتكوّنت العينة من (350) من العاملين بالإدارات المختلفة بالمجموعة. وتوصّلت النتائج إلى وجود دور جوهري للإدارة الرشيقة في تعزيز الإبداع الإداري، وأنّ بُعد القيادة الرشيقة كان الأكثر تأثيراً. وأوصت الدراسة بتطوير القيادات الإدارية، ودعم ثقافة الابتكار والإبداع داخل بيئة العمل.</w:t>
      </w:r>
    </w:p>
    <w:p w14:paraId="4895039D"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ثانياً: الدراسات الأجنبية</w:t>
      </w:r>
    </w:p>
    <w:p w14:paraId="17B8799A"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 xml:space="preserve">8. دراسة </w:t>
      </w:r>
      <w:r w:rsidRPr="00AB172D">
        <w:rPr>
          <w:rFonts w:ascii="Simplified Arabic" w:hAnsi="Simplified Arabic" w:cs="Simplified Arabic"/>
          <w:b/>
          <w:bCs/>
          <w:color w:val="000000" w:themeColor="text1"/>
          <w:sz w:val="28"/>
          <w:szCs w:val="28"/>
        </w:rPr>
        <w:t>Ciric Lalic et al</w:t>
      </w:r>
      <w:r w:rsidRPr="00AB172D">
        <w:rPr>
          <w:rFonts w:ascii="Simplified Arabic" w:hAnsi="Simplified Arabic" w:cs="Simplified Arabic"/>
          <w:b/>
          <w:bCs/>
          <w:color w:val="000000" w:themeColor="text1"/>
          <w:sz w:val="28"/>
          <w:szCs w:val="28"/>
          <w:rtl/>
        </w:rPr>
        <w:t>. (2022) بعنوان “</w:t>
      </w:r>
      <w:r w:rsidRPr="00AB172D">
        <w:rPr>
          <w:rFonts w:ascii="Simplified Arabic" w:hAnsi="Simplified Arabic" w:cs="Simplified Arabic"/>
          <w:b/>
          <w:bCs/>
          <w:color w:val="000000" w:themeColor="text1"/>
          <w:sz w:val="28"/>
          <w:szCs w:val="28"/>
        </w:rPr>
        <w:t>How project management approach impact project success? From traditional to agile</w:t>
      </w:r>
      <w:r w:rsidRPr="00AB172D">
        <w:rPr>
          <w:rFonts w:ascii="Simplified Arabic" w:hAnsi="Simplified Arabic" w:cs="Simplified Arabic"/>
          <w:b/>
          <w:bCs/>
          <w:color w:val="000000" w:themeColor="text1"/>
          <w:sz w:val="28"/>
          <w:szCs w:val="28"/>
          <w:rtl/>
        </w:rPr>
        <w:t>”.</w:t>
      </w:r>
    </w:p>
    <w:p w14:paraId="1B1DBB13"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التعرف على أثر مناهج إدارة المشروعات (التقليدية، والهجينة، والرشيقة) بأبعادها المختلفة في نجاح المشروعات. واستخدمت الدراسة المنهج الوصفي التحليلي المقارن، وتكوّنت العينة من (321) مشروعاً في قطاعات صناعية متنوعة. وتوصّلت النتائج إلى تفوّق المنهج الرشيق على المنهج التقليدي في تحقيق نجاح المشروعات، خاصةً في البيئات ذات التغيّر السريع. وأوصت الدراسة بتبنّي منظمات الأعمال لمنهجيات الإدارة الرشيقة، وتطوير قدرات العاملين على التكيّف مع التغيّرات المتسارعة.</w:t>
      </w:r>
    </w:p>
    <w:p w14:paraId="5E9E8F3C"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lastRenderedPageBreak/>
        <w:t xml:space="preserve">9. دراسة </w:t>
      </w:r>
      <w:r w:rsidRPr="00AB172D">
        <w:rPr>
          <w:rFonts w:ascii="Simplified Arabic" w:hAnsi="Simplified Arabic" w:cs="Simplified Arabic"/>
          <w:b/>
          <w:bCs/>
          <w:color w:val="000000" w:themeColor="text1"/>
          <w:sz w:val="28"/>
          <w:szCs w:val="28"/>
        </w:rPr>
        <w:t>Muhammad et al</w:t>
      </w:r>
      <w:r w:rsidRPr="00AB172D">
        <w:rPr>
          <w:rFonts w:ascii="Simplified Arabic" w:hAnsi="Simplified Arabic" w:cs="Simplified Arabic"/>
          <w:b/>
          <w:bCs/>
          <w:color w:val="000000" w:themeColor="text1"/>
          <w:sz w:val="28"/>
          <w:szCs w:val="28"/>
          <w:rtl/>
        </w:rPr>
        <w:t>. (2021) بعنوان “</w:t>
      </w:r>
      <w:r w:rsidRPr="00AB172D">
        <w:rPr>
          <w:rFonts w:ascii="Simplified Arabic" w:hAnsi="Simplified Arabic" w:cs="Simplified Arabic"/>
          <w:b/>
          <w:bCs/>
          <w:color w:val="000000" w:themeColor="text1"/>
          <w:sz w:val="28"/>
          <w:szCs w:val="28"/>
        </w:rPr>
        <w:t>Impact of agile management on project performance: Evidence from IT sector of Pakistan</w:t>
      </w:r>
      <w:r w:rsidRPr="00AB172D">
        <w:rPr>
          <w:rFonts w:ascii="Simplified Arabic" w:hAnsi="Simplified Arabic" w:cs="Simplified Arabic"/>
          <w:b/>
          <w:bCs/>
          <w:color w:val="000000" w:themeColor="text1"/>
          <w:sz w:val="28"/>
          <w:szCs w:val="28"/>
          <w:rtl/>
        </w:rPr>
        <w:t>”.</w:t>
      </w:r>
    </w:p>
    <w:p w14:paraId="03E9C7A5"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قياس أثر الإدارة الرشيقة بأبعادها (التطوير التكراري، والتعاون، والمرونة، والاستجابة للتغيير) في أداء المشروعات في قطاع تكنولوجيا المعلومات بباكستان. واستخدمت الدراسة المنهج الوصفي التحليلي، وتكوّنت العينة من (250) مديراً وعاملاً في شركات تكنولوجيا المعلومات. وتوصّلت النتائج إلى وجود أثر إيجابي ذي دلالة إحصائية للإدارة الرشيقة في تعزيز أداء المشروعات. وأوصت الدراسة بتعميم تطبيق الإدارة الرشيقة على قطاعات أخرى، وتدريب العاملين على أدواتها وممارساتها.</w:t>
      </w:r>
    </w:p>
    <w:p w14:paraId="3A9CA60F"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 xml:space="preserve">10. دراسة </w:t>
      </w:r>
      <w:proofErr w:type="spellStart"/>
      <w:r w:rsidRPr="00AB172D">
        <w:rPr>
          <w:rFonts w:ascii="Simplified Arabic" w:hAnsi="Simplified Arabic" w:cs="Simplified Arabic"/>
          <w:b/>
          <w:bCs/>
          <w:color w:val="000000" w:themeColor="text1"/>
          <w:sz w:val="28"/>
          <w:szCs w:val="28"/>
        </w:rPr>
        <w:t>Esamah</w:t>
      </w:r>
      <w:proofErr w:type="spellEnd"/>
      <w:r w:rsidRPr="00AB172D">
        <w:rPr>
          <w:rFonts w:ascii="Simplified Arabic" w:hAnsi="Simplified Arabic" w:cs="Simplified Arabic"/>
          <w:b/>
          <w:bCs/>
          <w:color w:val="000000" w:themeColor="text1"/>
          <w:sz w:val="28"/>
          <w:szCs w:val="28"/>
        </w:rPr>
        <w:t xml:space="preserve"> et al</w:t>
      </w:r>
      <w:r w:rsidRPr="00AB172D">
        <w:rPr>
          <w:rFonts w:ascii="Simplified Arabic" w:hAnsi="Simplified Arabic" w:cs="Simplified Arabic"/>
          <w:b/>
          <w:bCs/>
          <w:color w:val="000000" w:themeColor="text1"/>
          <w:sz w:val="28"/>
          <w:szCs w:val="28"/>
          <w:rtl/>
        </w:rPr>
        <w:t>. (2023) بعنوان “</w:t>
      </w:r>
      <w:r w:rsidRPr="00AB172D">
        <w:rPr>
          <w:rFonts w:ascii="Simplified Arabic" w:hAnsi="Simplified Arabic" w:cs="Simplified Arabic"/>
          <w:b/>
          <w:bCs/>
          <w:color w:val="000000" w:themeColor="text1"/>
          <w:sz w:val="28"/>
          <w:szCs w:val="28"/>
        </w:rPr>
        <w:t>Agile leadership and digital transformation in savings cooperative limited: Impact on sustainable performance amidst COVID-19</w:t>
      </w:r>
      <w:r w:rsidRPr="00AB172D">
        <w:rPr>
          <w:rFonts w:ascii="Simplified Arabic" w:hAnsi="Simplified Arabic" w:cs="Simplified Arabic"/>
          <w:b/>
          <w:bCs/>
          <w:color w:val="000000" w:themeColor="text1"/>
          <w:sz w:val="28"/>
          <w:szCs w:val="28"/>
          <w:rtl/>
        </w:rPr>
        <w:t>”.</w:t>
      </w:r>
    </w:p>
    <w:p w14:paraId="269B723B"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بيان أثر القيادة الرشيقة والتحول الرقمي بأبعادهما في الأداء المستدام لجمعيات التوفير التعاونية خلال جائحة كوفيد-19. واستخدمت الدراسة المنهج الوصفي التحليلي بالاعتماد على نمذجة المعادلات الهيكلية، وتكوّنت العينة من (395) من العاملين والقياديين في الجمعيات التعاونية بتايلاند. وتوصّلت النتائج إلى وجود أثر إيجابي للقيادة الرشيقة في تعزيز الأداء المستدام، وأنّ التحول الرقمي يتوسّط هذه العلاقة. وأوصت الدراسة بتنمية مهارات القيادة الرشيقة، وتسريع تبنّي الحلول الرقمية لمواجهة الأزمات.</w:t>
      </w:r>
    </w:p>
    <w:p w14:paraId="4778AC03"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AB172D">
        <w:rPr>
          <w:rFonts w:ascii="Simplified Arabic" w:hAnsi="Simplified Arabic" w:cs="Simplified Arabic"/>
          <w:b/>
          <w:bCs/>
          <w:color w:val="000000" w:themeColor="text1"/>
          <w:sz w:val="32"/>
          <w:szCs w:val="32"/>
          <w:rtl/>
        </w:rPr>
        <w:t>المحور الثاني: الدراسات المتعلقة بالمتغير التابع (الاستدامة المالية) وعلاقته بمتغيرات أخرى</w:t>
      </w:r>
    </w:p>
    <w:p w14:paraId="7B6BCDA5"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أولاً: الدراسات العربية</w:t>
      </w:r>
    </w:p>
    <w:p w14:paraId="71BD3BFC"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1. دراسة كردي (2025) بعنوان “تأثير بعض المؤشرات المالية في الاستدامة المالية: دراسة تطبيقية لعدد من المصارف التجارية العراقية الخاصة”.</w:t>
      </w:r>
    </w:p>
    <w:p w14:paraId="03B314EF"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 xml:space="preserve">هدفت الدراسة إلى التعرف على تأثير المؤشرات المالية بأبعادها (الربحية، والسيولة، وكفاية رأس المال، وجودة الأصول) في الاستدامة المالية لعدد من المصارف التجارية العراقية الخاصة. واستخدمت الدراسة </w:t>
      </w:r>
      <w:r w:rsidRPr="00AB172D">
        <w:rPr>
          <w:rFonts w:ascii="Simplified Arabic" w:hAnsi="Simplified Arabic" w:cs="Simplified Arabic"/>
          <w:color w:val="000000" w:themeColor="text1"/>
          <w:sz w:val="28"/>
          <w:szCs w:val="28"/>
          <w:rtl/>
        </w:rPr>
        <w:lastRenderedPageBreak/>
        <w:t>المنهج الوصفي التحليلي والقياسي، وتكوّنت العينة من (8) مصارف تجارية خاصة خلال الفترة (2015-2022). وتوصّلت النتائج إلى وجود تأثير معنوي للمؤشرات المالية في تعزيز الاستدامة المالية للمصارف. وأوصت الدراسة بضرورة تحسين المؤشرات المالية للمصارف، وتعزيز إدارة المخاطر المصرفية لتحقيق الاستدامة المالية.</w:t>
      </w:r>
    </w:p>
    <w:p w14:paraId="0836B4F9"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2. دراسة عبدالمنعم وشريف (2025) بعنوان “تأثير الشمول المالي على الاستدامة المالية: دراسة تطبيقية على الموازنة العامة للدولة”.</w:t>
      </w:r>
    </w:p>
    <w:p w14:paraId="35C96503"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التعرف على تأثير الشمول المالي بأبعاده (الوصول إلى الخدمات المالية، واستخدامها، وجودتها) في الاستدامة المالية للموازنة العامة للدولة المصرية. واستخدمت الدراسة المنهج الوصفي التحليلي والقياسي، وتكوّنت العينة من بيانات الموازنة العامة للدولة خلال الفترة (2010-2023). وتوصّلت النتائج إلى وجود أثر إيجابي ذي دلالة إحصائية للشمول المالي في تعزيز الاستدامة المالية للموازنة العامة. وأوصت الدراسة بتوسيع قاعدة المستفيدين من الخدمات المالية، وتطوير البنية التحتية المالية والرقمية.</w:t>
      </w:r>
    </w:p>
    <w:p w14:paraId="0A34F28B"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3. دراسة جاب الله وآخرين (2024) بعنوان “أثر التحول الرقمي على الاستدامة المالية: دراسة تطبيقية على الهيئة العامة للتنمية الصناعية”.</w:t>
      </w:r>
    </w:p>
    <w:p w14:paraId="2C4978CB"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قياس أثر التحول الرقمي بأبعاده (البنية التحتية الرقمية، والمهارات الرقمية، والثقافة الرقمية، والحوكمة الرقمية) في الاستدامة المالية بالهيئة العامة للتنمية الصناعية بمصر. واستخدمت الدراسة المنهج الوصفي التحليلي، وتكوّنت العينة من (300) من العاملين بالهيئة. وتوصّلت النتائج إلى وجود أثر إيجابي ذي دلالة إحصائية للتحول الرقمي في تعزيز الاستدامة المالية. وأوصت الدراسة بتسريع مسار التحول الرقمي، والاستثمار في تنمية المهارات الرقمية للعاملين.</w:t>
      </w:r>
    </w:p>
    <w:p w14:paraId="19ABC35D"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4. دراسة عتيق والمخلافي (2025) بعنوان “أثر الريادة الاستراتيجية في الاستدامة المالية: دراسة ميدانية في إدارة المدارس الأهلية في أمانة العاصمة صنعاء”.</w:t>
      </w:r>
    </w:p>
    <w:p w14:paraId="6D72826D"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 xml:space="preserve">هدفت الدراسة إلى الكشف عن أثر الريادة الاستراتيجية بأبعادها (التفكير الاستراتيجي، والقيادة الاستراتيجية، وثقافة الابتكار، والإدارة الاستراتيجية للموارد البشرية) في الاستدامة المالية للمدارس الأهلية بأمانة العاصمة صنعاء. واستخدمت الدراسة المنهج الوصفي التحليلي، وتكوّنت العينة من (220) من </w:t>
      </w:r>
      <w:r w:rsidRPr="00AB172D">
        <w:rPr>
          <w:rFonts w:ascii="Simplified Arabic" w:hAnsi="Simplified Arabic" w:cs="Simplified Arabic"/>
          <w:color w:val="000000" w:themeColor="text1"/>
          <w:sz w:val="28"/>
          <w:szCs w:val="28"/>
          <w:rtl/>
        </w:rPr>
        <w:lastRenderedPageBreak/>
        <w:t xml:space="preserve">مديري </w:t>
      </w:r>
      <w:proofErr w:type="spellStart"/>
      <w:r w:rsidRPr="00AB172D">
        <w:rPr>
          <w:rFonts w:ascii="Simplified Arabic" w:hAnsi="Simplified Arabic" w:cs="Simplified Arabic"/>
          <w:color w:val="000000" w:themeColor="text1"/>
          <w:sz w:val="28"/>
          <w:szCs w:val="28"/>
          <w:rtl/>
        </w:rPr>
        <w:t>وإداريي</w:t>
      </w:r>
      <w:proofErr w:type="spellEnd"/>
      <w:r w:rsidRPr="00AB172D">
        <w:rPr>
          <w:rFonts w:ascii="Simplified Arabic" w:hAnsi="Simplified Arabic" w:cs="Simplified Arabic"/>
          <w:color w:val="000000" w:themeColor="text1"/>
          <w:sz w:val="28"/>
          <w:szCs w:val="28"/>
          <w:rtl/>
        </w:rPr>
        <w:t xml:space="preserve"> المدارس الأهلية. وتوصّلت النتائج إلى وجود أثر إيجابي ذي دلالة إحصائية للريادة الاستراتيجية بأبعادها في الاستدامة المالية. وأوصت الدراسة بتبنّي إدارات المدارس لمبادئ الريادة الاستراتيجية، وتنمية ثقافة الابتكار.</w:t>
      </w:r>
    </w:p>
    <w:p w14:paraId="5D027FEA"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5. دراسة العويدي وآخرين (2025) بعنوان “الشمول المالي ودوره في تحقيق الاستدامة المالية: دراسة تطبيقية في عينة من المصارف التجارية والحكومية العاملة في بابل”.</w:t>
      </w:r>
    </w:p>
    <w:p w14:paraId="43F218A3"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بيان دور الشمول المالي بأبعاده (الوصول، والاستخدام، والجودة) في تحقيق الاستدامة المالية لعينة من المصارف التجارية والحكومية العاملة في محافظة بابل بالعراق. واستخدمت الدراسة المنهج الوصفي التحليلي، وتكوّنت العينة من (120) موظفاً من العاملين بالمصارف. وتوصّلت النتائج إلى وجود دور إيجابي ومعنوي للشمول المالي في تحقيق الاستدامة المالية. وأوصت الدراسة بتوسيع نطاق الخدمات المصرفية، وتعزيز الوعي المالي لدى المواطنين.</w:t>
      </w:r>
    </w:p>
    <w:p w14:paraId="39A7FCE2"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 xml:space="preserve">6. دراسة </w:t>
      </w:r>
      <w:proofErr w:type="spellStart"/>
      <w:r w:rsidRPr="00AB172D">
        <w:rPr>
          <w:rFonts w:ascii="Simplified Arabic" w:hAnsi="Simplified Arabic" w:cs="Simplified Arabic"/>
          <w:b/>
          <w:bCs/>
          <w:color w:val="000000" w:themeColor="text1"/>
          <w:sz w:val="28"/>
          <w:szCs w:val="28"/>
          <w:rtl/>
        </w:rPr>
        <w:t>السلموني</w:t>
      </w:r>
      <w:proofErr w:type="spellEnd"/>
      <w:r w:rsidRPr="00AB172D">
        <w:rPr>
          <w:rFonts w:ascii="Simplified Arabic" w:hAnsi="Simplified Arabic" w:cs="Simplified Arabic"/>
          <w:b/>
          <w:bCs/>
          <w:color w:val="000000" w:themeColor="text1"/>
          <w:sz w:val="28"/>
          <w:szCs w:val="28"/>
          <w:rtl/>
        </w:rPr>
        <w:t xml:space="preserve"> والجارحي (2023) بعنوان “أثر الاستدامة المالية على الأداء المالي للمؤسسات: دراسة تطبيقية على قطاع البترول في مصر”.</w:t>
      </w:r>
    </w:p>
    <w:p w14:paraId="7C9D3181"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التعرف على أثر الاستدامة المالية بأبعادها (الملاءة، والسيولة، والربحية، وكفاءة استخدام الأصول) في الأداء المالي لشركات قطاع البترول المصري. واستخدمت الدراسة المنهج الوصفي التحليلي والقياسي، وتكوّنت العينة من (10) شركات بترولية مقيّدة بالبورصة المصرية خلال الفترة (2015-2021). وتوصّلت النتائج إلى وجود أثر إيجابي ذي دلالة إحصائية للاستدامة المالية في تعزيز الأداء المالي لشركات القطاع. وأوصت الدراسة بضرورة تبنّي شركات البترول لممارسات الاستدامة المالية، وتحسين إدارة الأصول والمخاطر المالية.</w:t>
      </w:r>
    </w:p>
    <w:p w14:paraId="3581260A"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7. دراسة إسكندر (2021) بعنوان “دور التمويل الأخضر في تحقيق الاستدامة المالية: دراسة تحليلية لآراء عينة من العاملين في مصرفي جيهان والموصل للتنمية والاستثمار في محافظة نينوى”.</w:t>
      </w:r>
    </w:p>
    <w:p w14:paraId="369D10FF"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 xml:space="preserve">هدفت الدراسة إلى الكشف عن دور التمويل الأخضر بأبعاده (المنتجات المالية الخضراء، والاستثمارات الخضراء، والقروض الخضراء، والسياسات البيئية المصرفية) في تحقيق الاستدامة المالية بمصرفي جيهان والموصل للتنمية والاستثمار. واستخدمت الدراسة المنهج الوصفي التحليلي، وتكوّنت العينة من (90) موظفاً من العاملين بالمصرفين. وتوصّلت النتائج إلى وجود دور إيجابي ذي دلالة إحصائية للتمويل الأخضر في </w:t>
      </w:r>
      <w:r w:rsidRPr="00AB172D">
        <w:rPr>
          <w:rFonts w:ascii="Simplified Arabic" w:hAnsi="Simplified Arabic" w:cs="Simplified Arabic"/>
          <w:color w:val="000000" w:themeColor="text1"/>
          <w:sz w:val="28"/>
          <w:szCs w:val="28"/>
          <w:rtl/>
        </w:rPr>
        <w:lastRenderedPageBreak/>
        <w:t>تحقيق الاستدامة المالية. وأوصت الدراسة بتوسيع نطاق منتجات التمويل الأخضر، وتعزيز الوعي البيئي في القطاع المصرفي.</w:t>
      </w:r>
    </w:p>
    <w:p w14:paraId="42A1C56D" w14:textId="77777777" w:rsidR="00E90EC1" w:rsidRPr="00AB172D" w:rsidRDefault="00E90EC1" w:rsidP="00E90EC1">
      <w:pPr>
        <w:spacing w:before="100" w:beforeAutospacing="1" w:after="100" w:afterAutospacing="1" w:line="276" w:lineRule="auto"/>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ثانياً: الدراسات الأجنبية</w:t>
      </w:r>
    </w:p>
    <w:p w14:paraId="531FC8AE"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 xml:space="preserve">8. دراسة </w:t>
      </w:r>
      <w:proofErr w:type="spellStart"/>
      <w:r w:rsidRPr="00AB172D">
        <w:rPr>
          <w:rFonts w:ascii="Simplified Arabic" w:hAnsi="Simplified Arabic" w:cs="Simplified Arabic"/>
          <w:b/>
          <w:bCs/>
          <w:color w:val="000000" w:themeColor="text1"/>
          <w:sz w:val="28"/>
          <w:szCs w:val="28"/>
        </w:rPr>
        <w:t>Gleißner</w:t>
      </w:r>
      <w:proofErr w:type="spellEnd"/>
      <w:r w:rsidRPr="00AB172D">
        <w:rPr>
          <w:rFonts w:ascii="Simplified Arabic" w:hAnsi="Simplified Arabic" w:cs="Simplified Arabic"/>
          <w:b/>
          <w:bCs/>
          <w:color w:val="000000" w:themeColor="text1"/>
          <w:sz w:val="28"/>
          <w:szCs w:val="28"/>
        </w:rPr>
        <w:t xml:space="preserve">, Günther, &amp; </w:t>
      </w:r>
      <w:proofErr w:type="spellStart"/>
      <w:r w:rsidRPr="00AB172D">
        <w:rPr>
          <w:rFonts w:ascii="Simplified Arabic" w:hAnsi="Simplified Arabic" w:cs="Simplified Arabic"/>
          <w:b/>
          <w:bCs/>
          <w:color w:val="000000" w:themeColor="text1"/>
          <w:sz w:val="28"/>
          <w:szCs w:val="28"/>
        </w:rPr>
        <w:t>Walkshäusl</w:t>
      </w:r>
      <w:proofErr w:type="spellEnd"/>
      <w:r w:rsidRPr="00AB172D">
        <w:rPr>
          <w:rFonts w:ascii="Simplified Arabic" w:hAnsi="Simplified Arabic" w:cs="Simplified Arabic"/>
          <w:b/>
          <w:bCs/>
          <w:color w:val="000000" w:themeColor="text1"/>
          <w:sz w:val="28"/>
          <w:szCs w:val="28"/>
          <w:rtl/>
        </w:rPr>
        <w:t xml:space="preserve"> (2022) بعنوان “</w:t>
      </w:r>
      <w:r w:rsidRPr="00AB172D">
        <w:rPr>
          <w:rFonts w:ascii="Simplified Arabic" w:hAnsi="Simplified Arabic" w:cs="Simplified Arabic"/>
          <w:b/>
          <w:bCs/>
          <w:color w:val="000000" w:themeColor="text1"/>
          <w:sz w:val="28"/>
          <w:szCs w:val="28"/>
        </w:rPr>
        <w:t>Financial sustainability: measurement and empirical evidence</w:t>
      </w:r>
      <w:r w:rsidRPr="00AB172D">
        <w:rPr>
          <w:rFonts w:ascii="Simplified Arabic" w:hAnsi="Simplified Arabic" w:cs="Simplified Arabic"/>
          <w:b/>
          <w:bCs/>
          <w:color w:val="000000" w:themeColor="text1"/>
          <w:sz w:val="28"/>
          <w:szCs w:val="28"/>
          <w:rtl/>
        </w:rPr>
        <w:t>”.</w:t>
      </w:r>
    </w:p>
    <w:p w14:paraId="05628C23"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هدفت الدراسة إلى تطوير إطار لقياس الاستدامة المالية للشركات بأبعادها (الربحية، والسيولة، والملاءة، ومخاطر الإفلاس، ونمو الأرباح) وتقديم أدلة تجريبية على أهميتها. واستخدمت الدراسة المنهج التحليلي القياسي، وتكوّنت العينة من عيّنة واسعة من الشركات الأوروبية والأمريكية خلال الفترة (1999-2018). وتوصّلت النتائج إلى أنّ الشركات ذات الاستدامة المالية المرتفعة تحقّق عوائد أعلى في سوق الأسهم، وأنّ الاستدامة المالية معيار محوري في تقييم الشركات. وأوصت الدراسة بتبنّي إطار قياس الاستدامة المالية كأداة لدعم قرارات الاستثمار وإدارة المخاطر.</w:t>
      </w:r>
    </w:p>
    <w:p w14:paraId="30A6D4C9"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 xml:space="preserve">9. دراسة </w:t>
      </w:r>
      <w:r w:rsidRPr="00AB172D">
        <w:rPr>
          <w:rFonts w:ascii="Simplified Arabic" w:hAnsi="Simplified Arabic" w:cs="Simplified Arabic"/>
          <w:b/>
          <w:bCs/>
          <w:color w:val="000000" w:themeColor="text1"/>
          <w:sz w:val="28"/>
          <w:szCs w:val="28"/>
        </w:rPr>
        <w:t>Cunha, Meira, &amp; Orsato</w:t>
      </w:r>
      <w:r w:rsidRPr="00AB172D">
        <w:rPr>
          <w:rFonts w:ascii="Simplified Arabic" w:hAnsi="Simplified Arabic" w:cs="Simplified Arabic"/>
          <w:b/>
          <w:bCs/>
          <w:color w:val="000000" w:themeColor="text1"/>
          <w:sz w:val="28"/>
          <w:szCs w:val="28"/>
          <w:rtl/>
        </w:rPr>
        <w:t xml:space="preserve"> (2021) بعنوان “</w:t>
      </w:r>
      <w:r w:rsidRPr="00AB172D">
        <w:rPr>
          <w:rFonts w:ascii="Simplified Arabic" w:hAnsi="Simplified Arabic" w:cs="Simplified Arabic"/>
          <w:b/>
          <w:bCs/>
          <w:color w:val="000000" w:themeColor="text1"/>
          <w:sz w:val="28"/>
          <w:szCs w:val="28"/>
        </w:rPr>
        <w:t>Sustainable finance and investment: Review and research agenda</w:t>
      </w:r>
      <w:r w:rsidRPr="00AB172D">
        <w:rPr>
          <w:rFonts w:ascii="Simplified Arabic" w:hAnsi="Simplified Arabic" w:cs="Simplified Arabic"/>
          <w:b/>
          <w:bCs/>
          <w:color w:val="000000" w:themeColor="text1"/>
          <w:sz w:val="28"/>
          <w:szCs w:val="28"/>
          <w:rtl/>
        </w:rPr>
        <w:t>”.</w:t>
      </w:r>
    </w:p>
    <w:p w14:paraId="0B3DF418" w14:textId="77777777"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 xml:space="preserve">هدفت الدراسة إلى مراجعة شاملة لأدبيات التمويل والاستثمار المستدام بأبعادها (المعايير البيئية والاجتماعية والحوكمة </w:t>
      </w:r>
      <w:r w:rsidRPr="00AB172D">
        <w:rPr>
          <w:rFonts w:ascii="Simplified Arabic" w:hAnsi="Simplified Arabic" w:cs="Simplified Arabic"/>
          <w:color w:val="000000" w:themeColor="text1"/>
          <w:sz w:val="28"/>
          <w:szCs w:val="28"/>
        </w:rPr>
        <w:t>ESG</w:t>
      </w:r>
      <w:r w:rsidRPr="00AB172D">
        <w:rPr>
          <w:rFonts w:ascii="Simplified Arabic" w:hAnsi="Simplified Arabic" w:cs="Simplified Arabic"/>
          <w:color w:val="000000" w:themeColor="text1"/>
          <w:sz w:val="28"/>
          <w:szCs w:val="28"/>
          <w:rtl/>
        </w:rPr>
        <w:t>، والاستثمار المسؤول، والتمويل الأخضر، والاستدامة المالية) وتحديد أجندة بحثية مستقبلية. واستخدمت الدراسة المنهج التحليلي للأدبيات (</w:t>
      </w:r>
      <w:r w:rsidRPr="00AB172D">
        <w:rPr>
          <w:rFonts w:ascii="Simplified Arabic" w:hAnsi="Simplified Arabic" w:cs="Simplified Arabic"/>
          <w:color w:val="000000" w:themeColor="text1"/>
          <w:sz w:val="28"/>
          <w:szCs w:val="28"/>
        </w:rPr>
        <w:t>Bibliometric Analysis</w:t>
      </w:r>
      <w:r w:rsidRPr="00AB172D">
        <w:rPr>
          <w:rFonts w:ascii="Simplified Arabic" w:hAnsi="Simplified Arabic" w:cs="Simplified Arabic"/>
          <w:color w:val="000000" w:themeColor="text1"/>
          <w:sz w:val="28"/>
          <w:szCs w:val="28"/>
          <w:rtl/>
        </w:rPr>
        <w:t>)، وتكوّنت العينة من (166) دراسة منشورة في المجلات العلمية المحكّمة. وتوصّلت النتائج إلى تنامي الاهتمام بالتمويل المستدام، وتحديد فجوات بحثية عديدة تتعلق بربط الأداء المالي بالاستدامة. وأوصت الدراسة بتوجيه البحوث المستقبلية نحو دراسة الآليات التي يتحقق بها التوازن بين الأهداف المالية والاستدامة.</w:t>
      </w:r>
    </w:p>
    <w:p w14:paraId="62CA04B9" w14:textId="77777777" w:rsidR="00E90EC1" w:rsidRPr="00AB172D" w:rsidRDefault="00E90EC1"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AB172D">
        <w:rPr>
          <w:rFonts w:ascii="Simplified Arabic" w:hAnsi="Simplified Arabic" w:cs="Simplified Arabic"/>
          <w:b/>
          <w:bCs/>
          <w:color w:val="000000" w:themeColor="text1"/>
          <w:sz w:val="28"/>
          <w:szCs w:val="28"/>
          <w:rtl/>
        </w:rPr>
        <w:t xml:space="preserve">10. دراسة </w:t>
      </w:r>
      <w:proofErr w:type="spellStart"/>
      <w:r w:rsidRPr="00AB172D">
        <w:rPr>
          <w:rFonts w:ascii="Simplified Arabic" w:hAnsi="Simplified Arabic" w:cs="Simplified Arabic"/>
          <w:b/>
          <w:bCs/>
          <w:color w:val="000000" w:themeColor="text1"/>
          <w:sz w:val="28"/>
          <w:szCs w:val="28"/>
        </w:rPr>
        <w:t>Oudat</w:t>
      </w:r>
      <w:proofErr w:type="spellEnd"/>
      <w:r w:rsidRPr="00AB172D">
        <w:rPr>
          <w:rFonts w:ascii="Simplified Arabic" w:hAnsi="Simplified Arabic" w:cs="Simplified Arabic"/>
          <w:b/>
          <w:bCs/>
          <w:color w:val="000000" w:themeColor="text1"/>
          <w:sz w:val="28"/>
          <w:szCs w:val="28"/>
          <w:rtl/>
        </w:rPr>
        <w:t xml:space="preserve"> (2021) بعنوان “</w:t>
      </w:r>
      <w:r w:rsidRPr="00AB172D">
        <w:rPr>
          <w:rFonts w:ascii="Simplified Arabic" w:hAnsi="Simplified Arabic" w:cs="Simplified Arabic"/>
          <w:b/>
          <w:bCs/>
          <w:color w:val="000000" w:themeColor="text1"/>
          <w:sz w:val="28"/>
          <w:szCs w:val="28"/>
        </w:rPr>
        <w:t>Accounting information system and financial sustainability of commercial and Islamic banks: A review of the literature</w:t>
      </w:r>
      <w:r w:rsidRPr="00AB172D">
        <w:rPr>
          <w:rFonts w:ascii="Simplified Arabic" w:hAnsi="Simplified Arabic" w:cs="Simplified Arabic"/>
          <w:b/>
          <w:bCs/>
          <w:color w:val="000000" w:themeColor="text1"/>
          <w:sz w:val="28"/>
          <w:szCs w:val="28"/>
          <w:rtl/>
        </w:rPr>
        <w:t>”.</w:t>
      </w:r>
    </w:p>
    <w:p w14:paraId="15CE5054" w14:textId="7B241C66" w:rsidR="00E90EC1" w:rsidRPr="00AB172D" w:rsidRDefault="00E90EC1"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B172D">
        <w:rPr>
          <w:rFonts w:ascii="Simplified Arabic" w:hAnsi="Simplified Arabic" w:cs="Simplified Arabic"/>
          <w:color w:val="000000" w:themeColor="text1"/>
          <w:sz w:val="28"/>
          <w:szCs w:val="28"/>
          <w:rtl/>
        </w:rPr>
        <w:t xml:space="preserve">هدفت الدراسة إلى استعراض أثر نظم المعلومات المحاسبية بأبعادها (جودة المعلومات، وموثوقيتها، وتوقيتها، وملاءمتها) في الاستدامة المالية للمصارف التجارية والإسلامية. واستخدمت الدراسة المنهج </w:t>
      </w:r>
      <w:r w:rsidRPr="00AB172D">
        <w:rPr>
          <w:rFonts w:ascii="Simplified Arabic" w:hAnsi="Simplified Arabic" w:cs="Simplified Arabic"/>
          <w:color w:val="000000" w:themeColor="text1"/>
          <w:sz w:val="28"/>
          <w:szCs w:val="28"/>
          <w:rtl/>
        </w:rPr>
        <w:lastRenderedPageBreak/>
        <w:t>الوصفي التحليلي لمراجعة الأدبيات، وتكوّنت العينة من مجموعة من الدراسات السابقة المنشورة في المجلات العلمية المحكّمة خلال الفترة (2010-2020). وتوصّلت النتائج إلى وجود دور محوري لنظم المعلومات المحاسبية في تعزيز الاستدامة المالية للمصارف، سواء التجارية أو الإسلامية. وأوصت الدراسة بضرورة تطوير نظم المعلومات المحاسبية في القطاع المصرفي، وتعزيز كفاءتها لدعم اتخاذ القرارات الاستراتيجية وتحقيق الاستدامة المالية.</w:t>
      </w:r>
    </w:p>
    <w:p w14:paraId="0D38D813" w14:textId="4077BC2D" w:rsidR="00B40DE7" w:rsidRPr="00AB172D" w:rsidRDefault="004F5783" w:rsidP="004F578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10" w:name="_Toc234338538"/>
      <w:r w:rsidRPr="00AB172D">
        <w:rPr>
          <w:rFonts w:ascii="Simplified Arabic" w:hAnsi="Simplified Arabic" w:cs="Simplified Arabic" w:hint="cs"/>
          <w:b/>
          <w:bCs/>
          <w:color w:val="000000" w:themeColor="text1"/>
          <w:sz w:val="36"/>
          <w:szCs w:val="36"/>
          <w:rtl/>
        </w:rPr>
        <w:t xml:space="preserve">8.1 </w:t>
      </w:r>
      <w:r w:rsidR="00B40DE7" w:rsidRPr="00AB172D">
        <w:rPr>
          <w:rFonts w:ascii="Simplified Arabic" w:hAnsi="Simplified Arabic" w:cs="Simplified Arabic"/>
          <w:b/>
          <w:bCs/>
          <w:color w:val="000000" w:themeColor="text1"/>
          <w:sz w:val="36"/>
          <w:szCs w:val="36"/>
          <w:rtl/>
        </w:rPr>
        <w:t>الفجوة البحثية والمنطلقات النظرية للدراسة</w:t>
      </w:r>
      <w:bookmarkEnd w:id="10"/>
    </w:p>
    <w:p w14:paraId="58C6062D"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B172D">
        <w:rPr>
          <w:rFonts w:ascii="Simplified Arabic" w:hAnsi="Simplified Arabic" w:cs="Simplified Arabic"/>
          <w:b/>
          <w:bCs/>
          <w:color w:val="000000" w:themeColor="text1"/>
          <w:sz w:val="32"/>
          <w:szCs w:val="32"/>
          <w:rtl/>
        </w:rPr>
        <w:t>أولاً: الفجوة البحثية</w:t>
      </w:r>
    </w:p>
    <w:p w14:paraId="3FE7CBCE" w14:textId="77777777"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يتّضح من خلال الاستقراء المنهجي للدراسات السابقة العربية والأجنبية التي تناولت متغيّرَي الإدارة الرشيقة والاستدامة المالية، وجود العديد من أوجه الاتفاق بين هذه الدراسات والدراسة الحالية، إذ اتّفقت معها في تناول الإدارة الرشيقة بوصفها متغيراً مستقلاً ذا أبعاد متعددة تُسهم في تعزيز الأداء المؤسسي والتنظيمي، كما في دراسة المحلاوي (2024)، ودراسة العتيبي (2024)، ودراسة الجعيد والثبيتي (2024)، ودراسة شيخ السوق وآخرين (2025)، فضلاً عن الدراسات الأجنبية كدراسة</w:t>
      </w:r>
      <w:r w:rsidRPr="00AB172D">
        <w:rPr>
          <w:rFonts w:ascii="Simplified Arabic" w:hAnsi="Simplified Arabic" w:cs="Simplified Arabic"/>
          <w:color w:val="000000" w:themeColor="text1"/>
          <w:sz w:val="28"/>
          <w:szCs w:val="28"/>
          <w:lang w:bidi="ar-EG"/>
        </w:rPr>
        <w:t xml:space="preserve"> Ciric Lalic et al. (2022) </w:t>
      </w:r>
      <w:r w:rsidRPr="00AB172D">
        <w:rPr>
          <w:rFonts w:ascii="Simplified Arabic" w:hAnsi="Simplified Arabic" w:cs="Simplified Arabic"/>
          <w:color w:val="000000" w:themeColor="text1"/>
          <w:sz w:val="28"/>
          <w:szCs w:val="28"/>
          <w:rtl/>
        </w:rPr>
        <w:t>ودراسة</w:t>
      </w:r>
      <w:r w:rsidRPr="00AB172D">
        <w:rPr>
          <w:rFonts w:ascii="Simplified Arabic" w:hAnsi="Simplified Arabic" w:cs="Simplified Arabic"/>
          <w:color w:val="000000" w:themeColor="text1"/>
          <w:sz w:val="28"/>
          <w:szCs w:val="28"/>
          <w:lang w:bidi="ar-EG"/>
        </w:rPr>
        <w:t xml:space="preserve"> Muhammad et al. (2021) </w:t>
      </w:r>
      <w:r w:rsidRPr="00AB172D">
        <w:rPr>
          <w:rFonts w:ascii="Simplified Arabic" w:hAnsi="Simplified Arabic" w:cs="Simplified Arabic"/>
          <w:color w:val="000000" w:themeColor="text1"/>
          <w:sz w:val="28"/>
          <w:szCs w:val="28"/>
          <w:rtl/>
        </w:rPr>
        <w:t xml:space="preserve">التي ركّزت على أثر الإدارة الرشيقة في نجاح المشروعات وأدائها. كما اتّفقت الدراسة الحالية مع كثير من الدراسات السابقة في تناول الاستدامة المالية بوصفها متغيراً تابعاً ذا أهمية استراتيجية، كما في دراسة كردي (2025)، ودراسة عبدالمنعم وشريف (2025)، ودراسة </w:t>
      </w:r>
      <w:proofErr w:type="spellStart"/>
      <w:r w:rsidRPr="00AB172D">
        <w:rPr>
          <w:rFonts w:ascii="Simplified Arabic" w:hAnsi="Simplified Arabic" w:cs="Simplified Arabic"/>
          <w:color w:val="000000" w:themeColor="text1"/>
          <w:sz w:val="28"/>
          <w:szCs w:val="28"/>
          <w:rtl/>
        </w:rPr>
        <w:t>السلموني</w:t>
      </w:r>
      <w:proofErr w:type="spellEnd"/>
      <w:r w:rsidRPr="00AB172D">
        <w:rPr>
          <w:rFonts w:ascii="Simplified Arabic" w:hAnsi="Simplified Arabic" w:cs="Simplified Arabic"/>
          <w:color w:val="000000" w:themeColor="text1"/>
          <w:sz w:val="28"/>
          <w:szCs w:val="28"/>
          <w:rtl/>
        </w:rPr>
        <w:t xml:space="preserve"> والجارحي (2023)، ودراسة إسكندر (2021)، ودراسة</w:t>
      </w:r>
      <w:r w:rsidRPr="00AB172D">
        <w:rPr>
          <w:rFonts w:ascii="Simplified Arabic" w:hAnsi="Simplified Arabic" w:cs="Simplified Arabic"/>
          <w:color w:val="000000" w:themeColor="text1"/>
          <w:sz w:val="28"/>
          <w:szCs w:val="28"/>
          <w:lang w:bidi="ar-EG"/>
        </w:rPr>
        <w:t xml:space="preserve"> </w:t>
      </w:r>
      <w:proofErr w:type="spellStart"/>
      <w:r w:rsidRPr="00AB172D">
        <w:rPr>
          <w:rFonts w:ascii="Simplified Arabic" w:hAnsi="Simplified Arabic" w:cs="Simplified Arabic"/>
          <w:color w:val="000000" w:themeColor="text1"/>
          <w:sz w:val="28"/>
          <w:szCs w:val="28"/>
          <w:lang w:bidi="ar-EG"/>
        </w:rPr>
        <w:t>Glei</w:t>
      </w:r>
      <w:r w:rsidRPr="00AB172D">
        <w:rPr>
          <w:rFonts w:ascii="Cambria" w:hAnsi="Cambria" w:cs="Cambria"/>
          <w:color w:val="000000" w:themeColor="text1"/>
          <w:sz w:val="28"/>
          <w:szCs w:val="28"/>
          <w:lang w:bidi="ar-EG"/>
        </w:rPr>
        <w:t>ß</w:t>
      </w:r>
      <w:r w:rsidRPr="00AB172D">
        <w:rPr>
          <w:rFonts w:ascii="Simplified Arabic" w:hAnsi="Simplified Arabic" w:cs="Simplified Arabic"/>
          <w:color w:val="000000" w:themeColor="text1"/>
          <w:sz w:val="28"/>
          <w:szCs w:val="28"/>
          <w:lang w:bidi="ar-EG"/>
        </w:rPr>
        <w:t>ner</w:t>
      </w:r>
      <w:proofErr w:type="spellEnd"/>
      <w:r w:rsidRPr="00AB172D">
        <w:rPr>
          <w:rFonts w:ascii="Simplified Arabic" w:hAnsi="Simplified Arabic" w:cs="Simplified Arabic"/>
          <w:color w:val="000000" w:themeColor="text1"/>
          <w:sz w:val="28"/>
          <w:szCs w:val="28"/>
          <w:lang w:bidi="ar-EG"/>
        </w:rPr>
        <w:t xml:space="preserve"> et al. (2022). </w:t>
      </w:r>
      <w:r w:rsidRPr="00AB172D">
        <w:rPr>
          <w:rFonts w:ascii="Simplified Arabic" w:hAnsi="Simplified Arabic" w:cs="Simplified Arabic"/>
          <w:color w:val="000000" w:themeColor="text1"/>
          <w:sz w:val="28"/>
          <w:szCs w:val="28"/>
          <w:rtl/>
        </w:rPr>
        <w:t>كما تلتقي الدراسة الحالية مع معظم الدراسات السابقة في تبنّي المنهج الوصفي التحليلي، واستخدام الاستبانة أداةً رئيسةً لجمع البيانات، ونمذجة المعادلات الهيكلية أداةً للتحليل الإحصائي</w:t>
      </w:r>
      <w:r w:rsidRPr="00AB172D">
        <w:rPr>
          <w:rFonts w:ascii="Simplified Arabic" w:hAnsi="Simplified Arabic" w:cs="Simplified Arabic"/>
          <w:color w:val="000000" w:themeColor="text1"/>
          <w:sz w:val="28"/>
          <w:szCs w:val="28"/>
          <w:lang w:bidi="ar-EG"/>
        </w:rPr>
        <w:t>.</w:t>
      </w:r>
    </w:p>
    <w:p w14:paraId="3C919E5D" w14:textId="248108BA"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 xml:space="preserve">في المقابل، تتمايز الدراسة الحالية عن الدراسات السابقة في جملة من أوجه الاختلاف الجوهرية التي تُشكّل مجتمعةً الفجوة البحثية التي تسعى إلى سدّها. فمن حيث المتغيّر المستقل، تناولت معظم الدراسات السابقة الإدارة الرشيقة بأبعاد كلاسيكية شاملة كالقيادة الرشيقة والاستراتيجية الرشيقة والقوى العاملة الرشيقة والتكنولوجيا الرشيقة (المحلاوي، 2024؛ الدوشان، 2024؛ شيخ السوق وآخرون، 2025)، في حين تنفرد الدراسة الحالية بتبنّي ثلاثة أبعاد محددة تتناسب مع طبيعة الشركات الناشئة، هي: التطوير التكراري، واللامركزية في اتخاذ القرارات، وحلقات تغذية العملاء الراجعة، وهي أبعاد لم تُدرَس مجتمعةً في الأدبيات </w:t>
      </w:r>
      <w:r w:rsidRPr="00AB172D">
        <w:rPr>
          <w:rFonts w:ascii="Simplified Arabic" w:hAnsi="Simplified Arabic" w:cs="Simplified Arabic"/>
          <w:color w:val="000000" w:themeColor="text1"/>
          <w:sz w:val="28"/>
          <w:szCs w:val="28"/>
          <w:rtl/>
        </w:rPr>
        <w:lastRenderedPageBreak/>
        <w:t xml:space="preserve">العربية على حدّ علم الباحث. ومن حيث المتغيّر التابع، ربطت الدراسات السابقة الإدارة الرشيقة بمتغيرات كالأداء التنظيمي، والإبداع الوظيفي، والتميز المؤسسي، وجودة الخدمة، وجودة الحياة الوظيفية (الجعيد والثبيتي، 2024؛ الزيدي ومنذور، 2021؛ </w:t>
      </w:r>
      <w:proofErr w:type="spellStart"/>
      <w:r w:rsidRPr="00AB172D">
        <w:rPr>
          <w:rFonts w:ascii="Simplified Arabic" w:hAnsi="Simplified Arabic" w:cs="Simplified Arabic"/>
          <w:color w:val="000000" w:themeColor="text1"/>
          <w:sz w:val="28"/>
          <w:szCs w:val="28"/>
          <w:rtl/>
        </w:rPr>
        <w:t>الولدي</w:t>
      </w:r>
      <w:proofErr w:type="spellEnd"/>
      <w:r w:rsidRPr="00AB172D">
        <w:rPr>
          <w:rFonts w:ascii="Simplified Arabic" w:hAnsi="Simplified Arabic" w:cs="Simplified Arabic"/>
          <w:color w:val="000000" w:themeColor="text1"/>
          <w:sz w:val="28"/>
          <w:szCs w:val="28"/>
          <w:rtl/>
        </w:rPr>
        <w:t xml:space="preserve"> والشماسي، 2024)، في حين تنفرد الدراسة الحالية بربط الإدارة الرشيقة بالاستدامة المالية، وهو ربط نادر في الأدبيات العربية. ومن حيث مجتمع الدراسة، تناولت الدراسات السابقة قطاعات كالصناعة، والقطاع الصحي، والقطاع المصرفي، والقطاع الحكومي، والقطاع التعليمي (المحلاوي، 2024؛ العتيبي، 2024؛ كردي، 2025)، في حين تنفرد الدراسة الحالية بالتطبيق على الشركات الناشئة التي لم تحظَ باهتمام بحثي كافٍ في هذا السياق. ومن حيث النطاق الجغرافي، ركّزت معظم الدراسات السابقة على دولة واحدة (كمصر أو السعودية أو العراق أو الأردن)، في حين توسّع الدراسة الحالية نطاقها ليشمل منطقة الشرق الأوسط وشمال أفريقيا</w:t>
      </w:r>
      <w:r w:rsidRPr="00AB172D">
        <w:rPr>
          <w:rFonts w:ascii="Simplified Arabic" w:hAnsi="Simplified Arabic" w:cs="Simplified Arabic"/>
          <w:color w:val="000000" w:themeColor="text1"/>
          <w:sz w:val="28"/>
          <w:szCs w:val="28"/>
          <w:lang w:bidi="ar-EG"/>
        </w:rPr>
        <w:t xml:space="preserve"> (MENA) </w:t>
      </w:r>
      <w:r w:rsidRPr="00AB172D">
        <w:rPr>
          <w:rFonts w:ascii="Simplified Arabic" w:hAnsi="Simplified Arabic" w:cs="Simplified Arabic"/>
          <w:color w:val="000000" w:themeColor="text1"/>
          <w:sz w:val="28"/>
          <w:szCs w:val="28"/>
          <w:rtl/>
        </w:rPr>
        <w:t>بوصفها إقليماً متكاملاً، مما يُضفي عليها بُعداً إقليمياً مقارناً. ومن هنا، تتبلور الفجوة البحثية في الجمع النوعي بين متغيّرَي الإدارة الرشيقة بأبعادها المحددة والاستدامة المالية، في سياق الشركات الناشئة، ضمن نطاق جغرافي إقليمي متكامل، وهو مزيج بحثي لم يتناوله أيّ من الدراسات السابقة، مما يمنح الدراسة الحالية إسهاماً أصيلاً ومتميزاً في الأدبيات العلمية</w:t>
      </w:r>
      <w:r w:rsidRPr="00AB172D">
        <w:rPr>
          <w:rFonts w:ascii="Simplified Arabic" w:hAnsi="Simplified Arabic" w:cs="Simplified Arabic"/>
          <w:color w:val="000000" w:themeColor="text1"/>
          <w:sz w:val="28"/>
          <w:szCs w:val="28"/>
          <w:lang w:bidi="ar-EG"/>
        </w:rPr>
        <w:t>.</w:t>
      </w:r>
    </w:p>
    <w:p w14:paraId="397519BF"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B172D">
        <w:rPr>
          <w:rFonts w:ascii="Simplified Arabic" w:hAnsi="Simplified Arabic" w:cs="Simplified Arabic"/>
          <w:b/>
          <w:bCs/>
          <w:color w:val="000000" w:themeColor="text1"/>
          <w:sz w:val="32"/>
          <w:szCs w:val="32"/>
          <w:rtl/>
        </w:rPr>
        <w:t>ثانياً: المنطلقات النظرية للدراسة</w:t>
      </w:r>
    </w:p>
    <w:p w14:paraId="5C69848F" w14:textId="05387EB9"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AB172D">
        <w:rPr>
          <w:rFonts w:ascii="Simplified Arabic" w:hAnsi="Simplified Arabic" w:cs="Simplified Arabic"/>
          <w:b/>
          <w:bCs/>
          <w:color w:val="000000" w:themeColor="text1"/>
          <w:sz w:val="28"/>
          <w:szCs w:val="28"/>
          <w:rtl/>
        </w:rPr>
        <w:t>الإطار النظري للدراسة</w:t>
      </w:r>
    </w:p>
    <w:p w14:paraId="570F496D" w14:textId="77777777"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تستند الدراسة الحالية إلى مجموعة من المرتكزات النظرية التي تُشكّل الأساس الفكري والمعرفي لفهم العلاقة بين ممارسات الإدارة الرشيقة والاستدامة المالية في الشركات الناشئة</w:t>
      </w:r>
      <w:r w:rsidRPr="00AB172D">
        <w:rPr>
          <w:rFonts w:ascii="Simplified Arabic" w:hAnsi="Simplified Arabic" w:cs="Simplified Arabic"/>
          <w:color w:val="000000" w:themeColor="text1"/>
          <w:sz w:val="28"/>
          <w:szCs w:val="28"/>
          <w:lang w:bidi="ar-EG"/>
        </w:rPr>
        <w:t>.</w:t>
      </w:r>
    </w:p>
    <w:p w14:paraId="0080AE86" w14:textId="77777777"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أولاً: نظرية الرشاقة التنظيمية</w:t>
      </w:r>
      <w:r w:rsidRPr="00AB172D">
        <w:rPr>
          <w:rFonts w:ascii="Simplified Arabic" w:hAnsi="Simplified Arabic" w:cs="Simplified Arabic"/>
          <w:color w:val="000000" w:themeColor="text1"/>
          <w:sz w:val="28"/>
          <w:szCs w:val="28"/>
          <w:lang w:bidi="ar-EG"/>
        </w:rPr>
        <w:t xml:space="preserve"> (Organizational Agility Theory): </w:t>
      </w:r>
      <w:r w:rsidRPr="00AB172D">
        <w:rPr>
          <w:rFonts w:ascii="Simplified Arabic" w:hAnsi="Simplified Arabic" w:cs="Simplified Arabic"/>
          <w:color w:val="000000" w:themeColor="text1"/>
          <w:sz w:val="28"/>
          <w:szCs w:val="28"/>
          <w:rtl/>
        </w:rPr>
        <w:t>تُعدّ هذه النظرية المرتكز النظري الأول للدراسة، إذ تفترض أنّ قدرة المنظمة على البقاء والنمو في البيئات الديناميكية تتوقف على مدى مرونتها وسرعة استجابتها للتغيّرات. وتقوم النظرية على أنّ الرشاقة تُعبّر عن قدرة المنظمة على الاستشعار المبكر للفرص والتهديدات، وإعادة تشكيل مواردها بسرعة، والاستجابة الفعّالة للتحوّلات في بيئة الأعمال. وتُقدّم هذه النظرية إطاراً مفاهيمياً لفهم كيف يمكن للممارسات الرشيقة أن تُترجَم إلى نتائج تنظيمية إيجابية، بما فيها الاستدامة المالية</w:t>
      </w:r>
      <w:r w:rsidRPr="00AB172D">
        <w:rPr>
          <w:rFonts w:ascii="Simplified Arabic" w:hAnsi="Simplified Arabic" w:cs="Simplified Arabic"/>
          <w:color w:val="000000" w:themeColor="text1"/>
          <w:sz w:val="28"/>
          <w:szCs w:val="28"/>
          <w:lang w:bidi="ar-EG"/>
        </w:rPr>
        <w:t xml:space="preserve"> (Ciric Lalic et al., 2022).</w:t>
      </w:r>
    </w:p>
    <w:p w14:paraId="63B3E893" w14:textId="77777777"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lastRenderedPageBreak/>
        <w:t>ثانياً: منهجية أجايل</w:t>
      </w:r>
      <w:r w:rsidRPr="00AB172D">
        <w:rPr>
          <w:rFonts w:ascii="Simplified Arabic" w:hAnsi="Simplified Arabic" w:cs="Simplified Arabic"/>
          <w:color w:val="000000" w:themeColor="text1"/>
          <w:sz w:val="28"/>
          <w:szCs w:val="28"/>
          <w:lang w:bidi="ar-EG"/>
        </w:rPr>
        <w:t xml:space="preserve"> (Agile Methodology): </w:t>
      </w:r>
      <w:r w:rsidRPr="00AB172D">
        <w:rPr>
          <w:rFonts w:ascii="Simplified Arabic" w:hAnsi="Simplified Arabic" w:cs="Simplified Arabic"/>
          <w:color w:val="000000" w:themeColor="text1"/>
          <w:sz w:val="28"/>
          <w:szCs w:val="28"/>
          <w:rtl/>
        </w:rPr>
        <w:t>نشأت هذه المنهجية في مطلع الألفية الثالثة عبر بيان أجايل</w:t>
      </w:r>
      <w:r w:rsidRPr="00AB172D">
        <w:rPr>
          <w:rFonts w:ascii="Simplified Arabic" w:hAnsi="Simplified Arabic" w:cs="Simplified Arabic"/>
          <w:color w:val="000000" w:themeColor="text1"/>
          <w:sz w:val="28"/>
          <w:szCs w:val="28"/>
          <w:lang w:bidi="ar-EG"/>
        </w:rPr>
        <w:t xml:space="preserve"> (Agile Manifesto) </w:t>
      </w:r>
      <w:r w:rsidRPr="00AB172D">
        <w:rPr>
          <w:rFonts w:ascii="Simplified Arabic" w:hAnsi="Simplified Arabic" w:cs="Simplified Arabic"/>
          <w:color w:val="000000" w:themeColor="text1"/>
          <w:sz w:val="28"/>
          <w:szCs w:val="28"/>
          <w:rtl/>
        </w:rPr>
        <w:t>في عام 2001، وارتكزت على أربع قيم جوهرية: تفضيل الأفراد والتفاعلات على العمليات والأدوات، وتفضيل البرمجيات العاملة على التوثيق الشامل، وتفضيل التعاون مع العملاء على التفاوض التعاقدي، وتفضيل الاستجابة للتغيير على اتّباع الخطة. وقد امتدّ تطبيق هذه المنهجية لتتجاوز قطاع تكنولوجيا المعلومات لتشمل قطاعات متعددة، وأصبحت تُمثّل فلسفة إدارية شاملة</w:t>
      </w:r>
      <w:r w:rsidRPr="00AB172D">
        <w:rPr>
          <w:rFonts w:ascii="Simplified Arabic" w:hAnsi="Simplified Arabic" w:cs="Simplified Arabic"/>
          <w:color w:val="000000" w:themeColor="text1"/>
          <w:sz w:val="28"/>
          <w:szCs w:val="28"/>
          <w:lang w:bidi="ar-EG"/>
        </w:rPr>
        <w:t xml:space="preserve"> (Muhammad et al., 2021).</w:t>
      </w:r>
    </w:p>
    <w:p w14:paraId="07EE3B74" w14:textId="77777777"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ثالثاً: نظرية الشركات الناشئة الرشيقة</w:t>
      </w:r>
      <w:r w:rsidRPr="00AB172D">
        <w:rPr>
          <w:rFonts w:ascii="Simplified Arabic" w:hAnsi="Simplified Arabic" w:cs="Simplified Arabic"/>
          <w:color w:val="000000" w:themeColor="text1"/>
          <w:sz w:val="28"/>
          <w:szCs w:val="28"/>
          <w:lang w:bidi="ar-EG"/>
        </w:rPr>
        <w:t xml:space="preserve"> (Lean Startup Theory): </w:t>
      </w:r>
      <w:r w:rsidRPr="00AB172D">
        <w:rPr>
          <w:rFonts w:ascii="Simplified Arabic" w:hAnsi="Simplified Arabic" w:cs="Simplified Arabic"/>
          <w:color w:val="000000" w:themeColor="text1"/>
          <w:sz w:val="28"/>
          <w:szCs w:val="28"/>
          <w:rtl/>
        </w:rPr>
        <w:t>طوّرها إريك ريس</w:t>
      </w:r>
      <w:r w:rsidRPr="00AB172D">
        <w:rPr>
          <w:rFonts w:ascii="Simplified Arabic" w:hAnsi="Simplified Arabic" w:cs="Simplified Arabic"/>
          <w:color w:val="000000" w:themeColor="text1"/>
          <w:sz w:val="28"/>
          <w:szCs w:val="28"/>
          <w:lang w:bidi="ar-EG"/>
        </w:rPr>
        <w:t xml:space="preserve"> (Eric Ries) </w:t>
      </w:r>
      <w:r w:rsidRPr="00AB172D">
        <w:rPr>
          <w:rFonts w:ascii="Simplified Arabic" w:hAnsi="Simplified Arabic" w:cs="Simplified Arabic"/>
          <w:color w:val="000000" w:themeColor="text1"/>
          <w:sz w:val="28"/>
          <w:szCs w:val="28"/>
          <w:rtl/>
        </w:rPr>
        <w:t>في عام 2011، وتقوم على مفهوم البناء-القياس-التعلّم</w:t>
      </w:r>
      <w:r w:rsidRPr="00AB172D">
        <w:rPr>
          <w:rFonts w:ascii="Simplified Arabic" w:hAnsi="Simplified Arabic" w:cs="Simplified Arabic"/>
          <w:color w:val="000000" w:themeColor="text1"/>
          <w:sz w:val="28"/>
          <w:szCs w:val="28"/>
          <w:lang w:bidi="ar-EG"/>
        </w:rPr>
        <w:t xml:space="preserve"> (Build-Measure-Learn)</w:t>
      </w:r>
      <w:r w:rsidRPr="00AB172D">
        <w:rPr>
          <w:rFonts w:ascii="Simplified Arabic" w:hAnsi="Simplified Arabic" w:cs="Simplified Arabic"/>
          <w:color w:val="000000" w:themeColor="text1"/>
          <w:sz w:val="28"/>
          <w:szCs w:val="28"/>
          <w:rtl/>
        </w:rPr>
        <w:t>، وتؤكّد على أهمية التطوير التكراري للمنتجات والخدمات، والاختبار المستمر مع العملاء، والتعلّم السريع من السوق. وتُعدّ هذه النظرية مرتكزاً محورياً في فهم كيفية إدارة الشركات الناشئة في ظل عدم اليقين ومحدودية الموارد</w:t>
      </w:r>
      <w:r w:rsidRPr="00AB172D">
        <w:rPr>
          <w:rFonts w:ascii="Simplified Arabic" w:hAnsi="Simplified Arabic" w:cs="Simplified Arabic"/>
          <w:color w:val="000000" w:themeColor="text1"/>
          <w:sz w:val="28"/>
          <w:szCs w:val="28"/>
          <w:lang w:bidi="ar-EG"/>
        </w:rPr>
        <w:t xml:space="preserve"> (</w:t>
      </w:r>
      <w:proofErr w:type="spellStart"/>
      <w:r w:rsidRPr="00AB172D">
        <w:rPr>
          <w:rFonts w:ascii="Simplified Arabic" w:hAnsi="Simplified Arabic" w:cs="Simplified Arabic"/>
          <w:color w:val="000000" w:themeColor="text1"/>
          <w:sz w:val="28"/>
          <w:szCs w:val="28"/>
          <w:lang w:bidi="ar-EG"/>
        </w:rPr>
        <w:t>Amuna</w:t>
      </w:r>
      <w:proofErr w:type="spellEnd"/>
      <w:r w:rsidRPr="00AB172D">
        <w:rPr>
          <w:rFonts w:ascii="Simplified Arabic" w:hAnsi="Simplified Arabic" w:cs="Simplified Arabic"/>
          <w:color w:val="000000" w:themeColor="text1"/>
          <w:sz w:val="28"/>
          <w:szCs w:val="28"/>
          <w:lang w:bidi="ar-EG"/>
        </w:rPr>
        <w:t xml:space="preserve"> et al., 2026).</w:t>
      </w:r>
    </w:p>
    <w:p w14:paraId="596B8D3B" w14:textId="77777777"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رابعاً: نظرية الاستدامة المالية</w:t>
      </w:r>
      <w:r w:rsidRPr="00AB172D">
        <w:rPr>
          <w:rFonts w:ascii="Simplified Arabic" w:hAnsi="Simplified Arabic" w:cs="Simplified Arabic"/>
          <w:color w:val="000000" w:themeColor="text1"/>
          <w:sz w:val="28"/>
          <w:szCs w:val="28"/>
          <w:lang w:bidi="ar-EG"/>
        </w:rPr>
        <w:t xml:space="preserve"> (Financial Sustainability Theory): </w:t>
      </w:r>
      <w:r w:rsidRPr="00AB172D">
        <w:rPr>
          <w:rFonts w:ascii="Simplified Arabic" w:hAnsi="Simplified Arabic" w:cs="Simplified Arabic"/>
          <w:color w:val="000000" w:themeColor="text1"/>
          <w:sz w:val="28"/>
          <w:szCs w:val="28"/>
          <w:rtl/>
        </w:rPr>
        <w:t>تنطلق هذه النظرية من افتراض أنّ الاستدامة المالية تُمثّل قدرة المنظمة على الحفاظ على توازنها المالي في الأجل الطويل، والوفاء بالتزاماتها، وتحقيق نمو مستدام دون الاعتماد المفرط على مصادر تمويل خارجية. وتُقدّم النظرية إطاراً لقياس الاستدامة المالية عبر مجموعة من المؤشرات كالربحية، والسيولة، والملاءة، وكفاءة استخدام الأصول، ومستويات المخاطر</w:t>
      </w:r>
      <w:r w:rsidRPr="00AB172D">
        <w:rPr>
          <w:rFonts w:ascii="Simplified Arabic" w:hAnsi="Simplified Arabic" w:cs="Simplified Arabic"/>
          <w:color w:val="000000" w:themeColor="text1"/>
          <w:sz w:val="28"/>
          <w:szCs w:val="28"/>
          <w:lang w:bidi="ar-EG"/>
        </w:rPr>
        <w:t xml:space="preserve"> (</w:t>
      </w:r>
      <w:proofErr w:type="spellStart"/>
      <w:r w:rsidRPr="00AB172D">
        <w:rPr>
          <w:rFonts w:ascii="Simplified Arabic" w:hAnsi="Simplified Arabic" w:cs="Simplified Arabic"/>
          <w:color w:val="000000" w:themeColor="text1"/>
          <w:sz w:val="28"/>
          <w:szCs w:val="28"/>
          <w:lang w:bidi="ar-EG"/>
        </w:rPr>
        <w:t>Glei</w:t>
      </w:r>
      <w:r w:rsidRPr="00AB172D">
        <w:rPr>
          <w:rFonts w:ascii="Cambria" w:hAnsi="Cambria" w:cs="Cambria"/>
          <w:color w:val="000000" w:themeColor="text1"/>
          <w:sz w:val="28"/>
          <w:szCs w:val="28"/>
          <w:lang w:bidi="ar-EG"/>
        </w:rPr>
        <w:t>ß</w:t>
      </w:r>
      <w:r w:rsidRPr="00AB172D">
        <w:rPr>
          <w:rFonts w:ascii="Simplified Arabic" w:hAnsi="Simplified Arabic" w:cs="Simplified Arabic"/>
          <w:color w:val="000000" w:themeColor="text1"/>
          <w:sz w:val="28"/>
          <w:szCs w:val="28"/>
          <w:lang w:bidi="ar-EG"/>
        </w:rPr>
        <w:t>ner</w:t>
      </w:r>
      <w:proofErr w:type="spellEnd"/>
      <w:r w:rsidRPr="00AB172D">
        <w:rPr>
          <w:rFonts w:ascii="Simplified Arabic" w:hAnsi="Simplified Arabic" w:cs="Simplified Arabic"/>
          <w:color w:val="000000" w:themeColor="text1"/>
          <w:sz w:val="28"/>
          <w:szCs w:val="28"/>
          <w:lang w:bidi="ar-EG"/>
        </w:rPr>
        <w:t xml:space="preserve">, Günther, &amp; </w:t>
      </w:r>
      <w:proofErr w:type="spellStart"/>
      <w:r w:rsidRPr="00AB172D">
        <w:rPr>
          <w:rFonts w:ascii="Simplified Arabic" w:hAnsi="Simplified Arabic" w:cs="Simplified Arabic"/>
          <w:color w:val="000000" w:themeColor="text1"/>
          <w:sz w:val="28"/>
          <w:szCs w:val="28"/>
          <w:lang w:bidi="ar-EG"/>
        </w:rPr>
        <w:t>Walksh</w:t>
      </w:r>
      <w:r w:rsidRPr="00AB172D">
        <w:rPr>
          <w:rFonts w:ascii="Cambria" w:hAnsi="Cambria" w:cs="Cambria"/>
          <w:color w:val="000000" w:themeColor="text1"/>
          <w:sz w:val="28"/>
          <w:szCs w:val="28"/>
          <w:lang w:bidi="ar-EG"/>
        </w:rPr>
        <w:t>ä</w:t>
      </w:r>
      <w:r w:rsidRPr="00AB172D">
        <w:rPr>
          <w:rFonts w:ascii="Simplified Arabic" w:hAnsi="Simplified Arabic" w:cs="Simplified Arabic"/>
          <w:color w:val="000000" w:themeColor="text1"/>
          <w:sz w:val="28"/>
          <w:szCs w:val="28"/>
          <w:lang w:bidi="ar-EG"/>
        </w:rPr>
        <w:t>usl</w:t>
      </w:r>
      <w:proofErr w:type="spellEnd"/>
      <w:r w:rsidRPr="00AB172D">
        <w:rPr>
          <w:rFonts w:ascii="Simplified Arabic" w:hAnsi="Simplified Arabic" w:cs="Simplified Arabic"/>
          <w:color w:val="000000" w:themeColor="text1"/>
          <w:sz w:val="28"/>
          <w:szCs w:val="28"/>
          <w:lang w:bidi="ar-EG"/>
        </w:rPr>
        <w:t>, 2022).</w:t>
      </w:r>
    </w:p>
    <w:p w14:paraId="0E160434" w14:textId="77777777"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خامساً: نظرية الموارد والقدرات</w:t>
      </w:r>
      <w:r w:rsidRPr="00AB172D">
        <w:rPr>
          <w:rFonts w:ascii="Simplified Arabic" w:hAnsi="Simplified Arabic" w:cs="Simplified Arabic"/>
          <w:color w:val="000000" w:themeColor="text1"/>
          <w:sz w:val="28"/>
          <w:szCs w:val="28"/>
          <w:lang w:bidi="ar-EG"/>
        </w:rPr>
        <w:t xml:space="preserve"> (Resource-Based View): </w:t>
      </w:r>
      <w:r w:rsidRPr="00AB172D">
        <w:rPr>
          <w:rFonts w:ascii="Simplified Arabic" w:hAnsi="Simplified Arabic" w:cs="Simplified Arabic"/>
          <w:color w:val="000000" w:themeColor="text1"/>
          <w:sz w:val="28"/>
          <w:szCs w:val="28"/>
          <w:rtl/>
        </w:rPr>
        <w:t>تفترض هذه النظرية أنّ الميزة التنافسية المستدامة للمنظمة تنبع من امتلاكها لموارد وقدرات نادرة وقيّمة ويصعب تقليدها. وتُقدّم هذه النظرية إطاراً لفهم كيف تُشكّل ممارسات الإدارة الرشيقة قدرة تنظيمية استراتيجية تُسهم في تعزيز الاستدامة المالية</w:t>
      </w:r>
      <w:r w:rsidRPr="00AB172D">
        <w:rPr>
          <w:rFonts w:ascii="Simplified Arabic" w:hAnsi="Simplified Arabic" w:cs="Simplified Arabic"/>
          <w:color w:val="000000" w:themeColor="text1"/>
          <w:sz w:val="28"/>
          <w:szCs w:val="28"/>
          <w:lang w:bidi="ar-EG"/>
        </w:rPr>
        <w:t xml:space="preserve"> (Habib et al., 2021).</w:t>
      </w:r>
    </w:p>
    <w:p w14:paraId="7DABE45A" w14:textId="77777777" w:rsidR="00B40DE7" w:rsidRPr="00AB172D" w:rsidRDefault="00B40DE7"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سادساً: نظرية أصحاب المصلحة</w:t>
      </w:r>
      <w:r w:rsidRPr="00AB172D">
        <w:rPr>
          <w:rFonts w:ascii="Simplified Arabic" w:hAnsi="Simplified Arabic" w:cs="Simplified Arabic"/>
          <w:color w:val="000000" w:themeColor="text1"/>
          <w:sz w:val="28"/>
          <w:szCs w:val="28"/>
          <w:lang w:bidi="ar-EG"/>
        </w:rPr>
        <w:t xml:space="preserve"> (Stakeholder Theory): </w:t>
      </w:r>
      <w:r w:rsidRPr="00AB172D">
        <w:rPr>
          <w:rFonts w:ascii="Simplified Arabic" w:hAnsi="Simplified Arabic" w:cs="Simplified Arabic"/>
          <w:color w:val="000000" w:themeColor="text1"/>
          <w:sz w:val="28"/>
          <w:szCs w:val="28"/>
          <w:rtl/>
        </w:rPr>
        <w:t>ترى هذه النظرية أنّ نجاح المنظمة يتوقف على قدرتها على تحقيق التوازن بين مصالح أصحاب المصلحة المختلفين، بمن فيهم العملاء والموظفون والمستثمرون والمورّدون والمجتمع. وتُقدّم هذه النظرية إطاراً لفهم أهمية حلقات تغذية العملاء الراجعة بوصفها آلية لتحقيق هذا التوازن</w:t>
      </w:r>
      <w:r w:rsidRPr="00AB172D">
        <w:rPr>
          <w:rFonts w:ascii="Simplified Arabic" w:hAnsi="Simplified Arabic" w:cs="Simplified Arabic"/>
          <w:color w:val="000000" w:themeColor="text1"/>
          <w:sz w:val="28"/>
          <w:szCs w:val="28"/>
          <w:lang w:bidi="ar-EG"/>
        </w:rPr>
        <w:t xml:space="preserve"> (Cunha, Meira, &amp; Orsato, 2021).</w:t>
      </w:r>
    </w:p>
    <w:p w14:paraId="46644A01" w14:textId="418E300F"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B172D">
        <w:rPr>
          <w:rFonts w:ascii="Simplified Arabic" w:hAnsi="Simplified Arabic" w:cs="Simplified Arabic"/>
          <w:b/>
          <w:bCs/>
          <w:color w:val="000000" w:themeColor="text1"/>
          <w:sz w:val="32"/>
          <w:szCs w:val="32"/>
          <w:rtl/>
        </w:rPr>
        <w:lastRenderedPageBreak/>
        <w:t>مصطلحات الدراسة المفاهيمية والإجرائية</w:t>
      </w:r>
    </w:p>
    <w:p w14:paraId="1077E534"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AB172D">
        <w:rPr>
          <w:rFonts w:ascii="Simplified Arabic" w:hAnsi="Simplified Arabic" w:cs="Simplified Arabic"/>
          <w:b/>
          <w:bCs/>
          <w:color w:val="000000" w:themeColor="text1"/>
          <w:sz w:val="28"/>
          <w:szCs w:val="28"/>
          <w:rtl/>
        </w:rPr>
        <w:t>أ. الإدارة الرشيقة</w:t>
      </w:r>
      <w:r w:rsidRPr="00AB172D">
        <w:rPr>
          <w:rFonts w:ascii="Simplified Arabic" w:hAnsi="Simplified Arabic" w:cs="Simplified Arabic"/>
          <w:b/>
          <w:bCs/>
          <w:color w:val="000000" w:themeColor="text1"/>
          <w:sz w:val="28"/>
          <w:szCs w:val="28"/>
          <w:lang w:bidi="ar-EG"/>
        </w:rPr>
        <w:t xml:space="preserve"> (Agile Management):</w:t>
      </w:r>
    </w:p>
    <w:p w14:paraId="62A0B163" w14:textId="77777777" w:rsidR="00B40DE7" w:rsidRPr="00AB172D" w:rsidRDefault="00B40DE7" w:rsidP="00A95744">
      <w:pPr>
        <w:pStyle w:val="a6"/>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المفاهيمي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فلسفة إدارية حديثة تقوم على تعزيز مرونة المنظمة وقدرتها على التكيّف مع التغيّرات البيئية عبر تبنّي ممارسات تعتمد على التطوير التدريجي، والتعاون المستمر، وتقصير دورات اتخاذ القرار، والاستجابة السريعة لاحتياجات العملاء</w:t>
      </w:r>
      <w:r w:rsidRPr="00AB172D">
        <w:rPr>
          <w:rFonts w:ascii="Simplified Arabic" w:hAnsi="Simplified Arabic" w:cs="Simplified Arabic"/>
          <w:color w:val="000000" w:themeColor="text1"/>
          <w:sz w:val="28"/>
          <w:szCs w:val="28"/>
          <w:lang w:bidi="ar-EG"/>
        </w:rPr>
        <w:t xml:space="preserve"> (Ciric Lalic et al., 2022).</w:t>
      </w:r>
    </w:p>
    <w:p w14:paraId="49C21754" w14:textId="77777777" w:rsidR="00B40DE7" w:rsidRPr="00AB172D" w:rsidRDefault="00B40DE7" w:rsidP="00A95744">
      <w:pPr>
        <w:pStyle w:val="a6"/>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الإجرائي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يُقصد بها في الدراسة الحالية مجموعة الممارسات الإدارية التي تتبنّاها الشركات الناشئة في منطقة الشرق الأوسط وشمال أفريقيا، والمتمثّلة في التطوير التكراري، واللامركزية في اتخاذ القرارات، وحلقات تغذية العملاء الراجعة، وتُقاس بالدرجة التي يحصل عليها المبحوث على الفقرات المخصصة لها في أداة الدراسة (الاستبانة)</w:t>
      </w:r>
      <w:r w:rsidRPr="00AB172D">
        <w:rPr>
          <w:rFonts w:ascii="Simplified Arabic" w:hAnsi="Simplified Arabic" w:cs="Simplified Arabic"/>
          <w:color w:val="000000" w:themeColor="text1"/>
          <w:sz w:val="28"/>
          <w:szCs w:val="28"/>
          <w:lang w:bidi="ar-EG"/>
        </w:rPr>
        <w:t>.</w:t>
      </w:r>
    </w:p>
    <w:p w14:paraId="3605CEBA"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AB172D">
        <w:rPr>
          <w:rFonts w:ascii="Simplified Arabic" w:hAnsi="Simplified Arabic" w:cs="Simplified Arabic"/>
          <w:b/>
          <w:bCs/>
          <w:color w:val="000000" w:themeColor="text1"/>
          <w:sz w:val="28"/>
          <w:szCs w:val="28"/>
          <w:rtl/>
        </w:rPr>
        <w:t>ب. التطوير التكراري</w:t>
      </w:r>
      <w:r w:rsidRPr="00AB172D">
        <w:rPr>
          <w:rFonts w:ascii="Simplified Arabic" w:hAnsi="Simplified Arabic" w:cs="Simplified Arabic"/>
          <w:b/>
          <w:bCs/>
          <w:color w:val="000000" w:themeColor="text1"/>
          <w:sz w:val="28"/>
          <w:szCs w:val="28"/>
          <w:lang w:bidi="ar-EG"/>
        </w:rPr>
        <w:t xml:space="preserve"> (Iterative Development):</w:t>
      </w:r>
    </w:p>
    <w:p w14:paraId="17D88DEA" w14:textId="77777777" w:rsidR="00B40DE7" w:rsidRPr="00AB172D" w:rsidRDefault="00B40DE7" w:rsidP="00A95744">
      <w:pPr>
        <w:pStyle w:val="a6"/>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المفاهيمي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أسلوب في تطوير المنتجات والخدمات يقوم على تقسيم العمل إلى دورات قصيرة ومتتالية، بحيث يتمّ في كل دورة بناء نسخة من المنتج واختبارها ومراجعتها، بما يُتيح التعلّم المستمر والتحسين التدريجي</w:t>
      </w:r>
      <w:r w:rsidRPr="00AB172D">
        <w:rPr>
          <w:rFonts w:ascii="Simplified Arabic" w:hAnsi="Simplified Arabic" w:cs="Simplified Arabic"/>
          <w:color w:val="000000" w:themeColor="text1"/>
          <w:sz w:val="28"/>
          <w:szCs w:val="28"/>
          <w:lang w:bidi="ar-EG"/>
        </w:rPr>
        <w:t xml:space="preserve"> (Muhammad et al., 2021).</w:t>
      </w:r>
    </w:p>
    <w:p w14:paraId="69C90367" w14:textId="77777777" w:rsidR="00B40DE7" w:rsidRPr="00AB172D" w:rsidRDefault="00B40DE7" w:rsidP="00A95744">
      <w:pPr>
        <w:pStyle w:val="a6"/>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الإجرائي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يُقصد به في الدراسة الحالية مدى اعتماد الشركات الناشئة على تقسيم عملياتها التطويرية إلى دورات قصيرة ومتتالية تُتيح الاختبار والمراجعة والتحسين المستمر، ويُقاس بدرجة استجابة المبحوثين على الفقرات المخصصة لهذا البُعد</w:t>
      </w:r>
      <w:r w:rsidRPr="00AB172D">
        <w:rPr>
          <w:rFonts w:ascii="Simplified Arabic" w:hAnsi="Simplified Arabic" w:cs="Simplified Arabic"/>
          <w:color w:val="000000" w:themeColor="text1"/>
          <w:sz w:val="28"/>
          <w:szCs w:val="28"/>
          <w:lang w:bidi="ar-EG"/>
        </w:rPr>
        <w:t>.</w:t>
      </w:r>
    </w:p>
    <w:p w14:paraId="5F946580"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AB172D">
        <w:rPr>
          <w:rFonts w:ascii="Simplified Arabic" w:hAnsi="Simplified Arabic" w:cs="Simplified Arabic"/>
          <w:b/>
          <w:bCs/>
          <w:color w:val="000000" w:themeColor="text1"/>
          <w:sz w:val="28"/>
          <w:szCs w:val="28"/>
          <w:rtl/>
        </w:rPr>
        <w:t>ج. اللامركزية في اتخاذ القرارات</w:t>
      </w:r>
      <w:r w:rsidRPr="00AB172D">
        <w:rPr>
          <w:rFonts w:ascii="Simplified Arabic" w:hAnsi="Simplified Arabic" w:cs="Simplified Arabic"/>
          <w:b/>
          <w:bCs/>
          <w:color w:val="000000" w:themeColor="text1"/>
          <w:sz w:val="28"/>
          <w:szCs w:val="28"/>
          <w:lang w:bidi="ar-EG"/>
        </w:rPr>
        <w:t xml:space="preserve"> (Decentralized Decision-Making):</w:t>
      </w:r>
    </w:p>
    <w:p w14:paraId="5B06CC98" w14:textId="77777777" w:rsidR="00B40DE7" w:rsidRPr="00AB172D" w:rsidRDefault="00B40DE7" w:rsidP="00A95744">
      <w:pPr>
        <w:pStyle w:val="a6"/>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المفاهيمي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توزيع صلاحيات اتخاذ القرار على المستويات التنظيمية الأدنى، بما يُتيح للفرق والأفراد اتخاذ قرارات فورية ضمن نطاق مسؤولياتهم، دون الحاجة إلى الرجوع المستمر إلى الإدارة العليا</w:t>
      </w:r>
      <w:r w:rsidRPr="00AB172D">
        <w:rPr>
          <w:rFonts w:ascii="Simplified Arabic" w:hAnsi="Simplified Arabic" w:cs="Simplified Arabic"/>
          <w:color w:val="000000" w:themeColor="text1"/>
          <w:sz w:val="28"/>
          <w:szCs w:val="28"/>
          <w:lang w:bidi="ar-EG"/>
        </w:rPr>
        <w:t xml:space="preserve"> (</w:t>
      </w:r>
      <w:proofErr w:type="spellStart"/>
      <w:r w:rsidRPr="00AB172D">
        <w:rPr>
          <w:rFonts w:ascii="Simplified Arabic" w:hAnsi="Simplified Arabic" w:cs="Simplified Arabic"/>
          <w:color w:val="000000" w:themeColor="text1"/>
          <w:sz w:val="28"/>
          <w:szCs w:val="28"/>
          <w:lang w:bidi="ar-EG"/>
        </w:rPr>
        <w:t>Esamah</w:t>
      </w:r>
      <w:proofErr w:type="spellEnd"/>
      <w:r w:rsidRPr="00AB172D">
        <w:rPr>
          <w:rFonts w:ascii="Simplified Arabic" w:hAnsi="Simplified Arabic" w:cs="Simplified Arabic"/>
          <w:color w:val="000000" w:themeColor="text1"/>
          <w:sz w:val="28"/>
          <w:szCs w:val="28"/>
          <w:lang w:bidi="ar-EG"/>
        </w:rPr>
        <w:t xml:space="preserve"> et al., 2023).</w:t>
      </w:r>
    </w:p>
    <w:p w14:paraId="2EE3CF0B" w14:textId="77777777" w:rsidR="00B40DE7" w:rsidRPr="00AB172D" w:rsidRDefault="00B40DE7" w:rsidP="00A95744">
      <w:pPr>
        <w:pStyle w:val="a6"/>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الإجرائي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يُقصد بها في الدراسة الحالية مدى منح الفرق والأفراد في الشركات الناشئة صلاحيات فعلية لاتخاذ القرارات المتعلقة بمهامّهم اليومية، ويُقاس بدرجة استجابة المبحوثين على الفقرات المخصصة لهذا البُعد</w:t>
      </w:r>
      <w:r w:rsidRPr="00AB172D">
        <w:rPr>
          <w:rFonts w:ascii="Simplified Arabic" w:hAnsi="Simplified Arabic" w:cs="Simplified Arabic"/>
          <w:color w:val="000000" w:themeColor="text1"/>
          <w:sz w:val="28"/>
          <w:szCs w:val="28"/>
          <w:lang w:bidi="ar-EG"/>
        </w:rPr>
        <w:t>.</w:t>
      </w:r>
    </w:p>
    <w:p w14:paraId="748A9B14"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AB172D">
        <w:rPr>
          <w:rFonts w:ascii="Simplified Arabic" w:hAnsi="Simplified Arabic" w:cs="Simplified Arabic"/>
          <w:b/>
          <w:bCs/>
          <w:color w:val="000000" w:themeColor="text1"/>
          <w:sz w:val="28"/>
          <w:szCs w:val="28"/>
          <w:rtl/>
        </w:rPr>
        <w:lastRenderedPageBreak/>
        <w:t>د. حلقات تغذية العملاء الراجعة</w:t>
      </w:r>
      <w:r w:rsidRPr="00AB172D">
        <w:rPr>
          <w:rFonts w:ascii="Simplified Arabic" w:hAnsi="Simplified Arabic" w:cs="Simplified Arabic"/>
          <w:b/>
          <w:bCs/>
          <w:color w:val="000000" w:themeColor="text1"/>
          <w:sz w:val="28"/>
          <w:szCs w:val="28"/>
          <w:lang w:bidi="ar-EG"/>
        </w:rPr>
        <w:t xml:space="preserve"> (Customer Feedback Loops):</w:t>
      </w:r>
    </w:p>
    <w:p w14:paraId="046C566A" w14:textId="77777777" w:rsidR="00B40DE7" w:rsidRPr="00AB172D" w:rsidRDefault="00B40DE7" w:rsidP="00A95744">
      <w:pPr>
        <w:pStyle w:val="a6"/>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المفاهيمي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آليات منهجية لجمع آراء العملاء وتحليلها وتوظيفها بشكل منتظم في تحسين المنتجات والخدمات وتطوير العمليات، بما يضمن مواءمة مخرجات المنظمة لاحتياجات السوق</w:t>
      </w:r>
      <w:r w:rsidRPr="00AB172D">
        <w:rPr>
          <w:rFonts w:ascii="Simplified Arabic" w:hAnsi="Simplified Arabic" w:cs="Simplified Arabic"/>
          <w:color w:val="000000" w:themeColor="text1"/>
          <w:sz w:val="28"/>
          <w:szCs w:val="28"/>
          <w:lang w:bidi="ar-EG"/>
        </w:rPr>
        <w:t xml:space="preserve"> (</w:t>
      </w:r>
      <w:proofErr w:type="spellStart"/>
      <w:r w:rsidRPr="00AB172D">
        <w:rPr>
          <w:rFonts w:ascii="Simplified Arabic" w:hAnsi="Simplified Arabic" w:cs="Simplified Arabic"/>
          <w:color w:val="000000" w:themeColor="text1"/>
          <w:sz w:val="28"/>
          <w:szCs w:val="28"/>
          <w:lang w:bidi="ar-EG"/>
        </w:rPr>
        <w:t>Malatyinszki</w:t>
      </w:r>
      <w:proofErr w:type="spellEnd"/>
      <w:r w:rsidRPr="00AB172D">
        <w:rPr>
          <w:rFonts w:ascii="Simplified Arabic" w:hAnsi="Simplified Arabic" w:cs="Simplified Arabic"/>
          <w:color w:val="000000" w:themeColor="text1"/>
          <w:sz w:val="28"/>
          <w:szCs w:val="28"/>
          <w:lang w:bidi="ar-EG"/>
        </w:rPr>
        <w:t xml:space="preserve"> et al., 2025).</w:t>
      </w:r>
    </w:p>
    <w:p w14:paraId="4B3BD5A2" w14:textId="77777777" w:rsidR="00B40DE7" w:rsidRPr="00AB172D" w:rsidRDefault="00B40DE7" w:rsidP="00A95744">
      <w:pPr>
        <w:pStyle w:val="a6"/>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الإجرائي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يُقصد بها في الدراسة الحالية مدى امتلاك الشركات الناشئة لآليات منتظمة لجمع تعليقات العملاء وتحليلها وتوظيفها في تطوير منتجاتها وخدماتها، ويُقاس بدرجة استجابة المبحوثين على الفقرات المخصصة لهذا البُعد</w:t>
      </w:r>
      <w:r w:rsidRPr="00AB172D">
        <w:rPr>
          <w:rFonts w:ascii="Simplified Arabic" w:hAnsi="Simplified Arabic" w:cs="Simplified Arabic"/>
          <w:color w:val="000000" w:themeColor="text1"/>
          <w:sz w:val="28"/>
          <w:szCs w:val="28"/>
          <w:lang w:bidi="ar-EG"/>
        </w:rPr>
        <w:t>.</w:t>
      </w:r>
    </w:p>
    <w:p w14:paraId="517F795F"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AB172D">
        <w:rPr>
          <w:rFonts w:ascii="Simplified Arabic" w:hAnsi="Simplified Arabic" w:cs="Simplified Arabic"/>
          <w:b/>
          <w:bCs/>
          <w:color w:val="000000" w:themeColor="text1"/>
          <w:sz w:val="28"/>
          <w:szCs w:val="28"/>
          <w:rtl/>
        </w:rPr>
        <w:t>هـ. الاستدامة المالية</w:t>
      </w:r>
      <w:r w:rsidRPr="00AB172D">
        <w:rPr>
          <w:rFonts w:ascii="Simplified Arabic" w:hAnsi="Simplified Arabic" w:cs="Simplified Arabic"/>
          <w:b/>
          <w:bCs/>
          <w:color w:val="000000" w:themeColor="text1"/>
          <w:sz w:val="28"/>
          <w:szCs w:val="28"/>
          <w:lang w:bidi="ar-EG"/>
        </w:rPr>
        <w:t xml:space="preserve"> (Financial Sustainability):</w:t>
      </w:r>
    </w:p>
    <w:p w14:paraId="22602354" w14:textId="77777777" w:rsidR="00B40DE7" w:rsidRPr="00AB172D" w:rsidRDefault="00B40DE7" w:rsidP="00A95744">
      <w:pPr>
        <w:pStyle w:val="a6"/>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المفاهيمي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قدرة المنظمة على الحفاظ على توازنها المالي في الأجل الطويل، والوفاء بالتزاماتها المالية، وتمويل عملياتها التشغيلية والاستثمارية بكفاءة، وتحقيق نمو مستدام في ظل الظروف الاقتصادية المتغيّرة</w:t>
      </w:r>
      <w:r w:rsidRPr="00AB172D">
        <w:rPr>
          <w:rFonts w:ascii="Simplified Arabic" w:hAnsi="Simplified Arabic" w:cs="Simplified Arabic"/>
          <w:color w:val="000000" w:themeColor="text1"/>
          <w:sz w:val="28"/>
          <w:szCs w:val="28"/>
          <w:lang w:bidi="ar-EG"/>
        </w:rPr>
        <w:t xml:space="preserve"> (</w:t>
      </w:r>
      <w:proofErr w:type="spellStart"/>
      <w:r w:rsidRPr="00AB172D">
        <w:rPr>
          <w:rFonts w:ascii="Simplified Arabic" w:hAnsi="Simplified Arabic" w:cs="Simplified Arabic"/>
          <w:color w:val="000000" w:themeColor="text1"/>
          <w:sz w:val="28"/>
          <w:szCs w:val="28"/>
          <w:lang w:bidi="ar-EG"/>
        </w:rPr>
        <w:t>Glei</w:t>
      </w:r>
      <w:r w:rsidRPr="00AB172D">
        <w:rPr>
          <w:rFonts w:ascii="Cambria" w:hAnsi="Cambria" w:cs="Cambria"/>
          <w:color w:val="000000" w:themeColor="text1"/>
          <w:sz w:val="28"/>
          <w:szCs w:val="28"/>
          <w:lang w:bidi="ar-EG"/>
        </w:rPr>
        <w:t>ß</w:t>
      </w:r>
      <w:r w:rsidRPr="00AB172D">
        <w:rPr>
          <w:rFonts w:ascii="Simplified Arabic" w:hAnsi="Simplified Arabic" w:cs="Simplified Arabic"/>
          <w:color w:val="000000" w:themeColor="text1"/>
          <w:sz w:val="28"/>
          <w:szCs w:val="28"/>
          <w:lang w:bidi="ar-EG"/>
        </w:rPr>
        <w:t>ner</w:t>
      </w:r>
      <w:proofErr w:type="spellEnd"/>
      <w:r w:rsidRPr="00AB172D">
        <w:rPr>
          <w:rFonts w:ascii="Simplified Arabic" w:hAnsi="Simplified Arabic" w:cs="Simplified Arabic"/>
          <w:color w:val="000000" w:themeColor="text1"/>
          <w:sz w:val="28"/>
          <w:szCs w:val="28"/>
          <w:lang w:bidi="ar-EG"/>
        </w:rPr>
        <w:t xml:space="preserve">, Günther, &amp; </w:t>
      </w:r>
      <w:proofErr w:type="spellStart"/>
      <w:r w:rsidRPr="00AB172D">
        <w:rPr>
          <w:rFonts w:ascii="Simplified Arabic" w:hAnsi="Simplified Arabic" w:cs="Simplified Arabic"/>
          <w:color w:val="000000" w:themeColor="text1"/>
          <w:sz w:val="28"/>
          <w:szCs w:val="28"/>
          <w:lang w:bidi="ar-EG"/>
        </w:rPr>
        <w:t>Walksh</w:t>
      </w:r>
      <w:r w:rsidRPr="00AB172D">
        <w:rPr>
          <w:rFonts w:ascii="Cambria" w:hAnsi="Cambria" w:cs="Cambria"/>
          <w:color w:val="000000" w:themeColor="text1"/>
          <w:sz w:val="28"/>
          <w:szCs w:val="28"/>
          <w:lang w:bidi="ar-EG"/>
        </w:rPr>
        <w:t>ä</w:t>
      </w:r>
      <w:r w:rsidRPr="00AB172D">
        <w:rPr>
          <w:rFonts w:ascii="Simplified Arabic" w:hAnsi="Simplified Arabic" w:cs="Simplified Arabic"/>
          <w:color w:val="000000" w:themeColor="text1"/>
          <w:sz w:val="28"/>
          <w:szCs w:val="28"/>
          <w:lang w:bidi="ar-EG"/>
        </w:rPr>
        <w:t>usl</w:t>
      </w:r>
      <w:proofErr w:type="spellEnd"/>
      <w:r w:rsidRPr="00AB172D">
        <w:rPr>
          <w:rFonts w:ascii="Simplified Arabic" w:hAnsi="Simplified Arabic" w:cs="Simplified Arabic"/>
          <w:color w:val="000000" w:themeColor="text1"/>
          <w:sz w:val="28"/>
          <w:szCs w:val="28"/>
          <w:lang w:bidi="ar-EG"/>
        </w:rPr>
        <w:t>, 2022).</w:t>
      </w:r>
    </w:p>
    <w:p w14:paraId="5D3823FB" w14:textId="77777777" w:rsidR="00B40DE7" w:rsidRPr="00AB172D" w:rsidRDefault="00B40DE7" w:rsidP="00A95744">
      <w:pPr>
        <w:pStyle w:val="a6"/>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الإجرائي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يُقصد بها في الدراسة الحالية قدرة الشركات الناشئة في منطقة الشرق الأوسط وشمال أفريقيا على تحقيق التوازن بين إيراداتها ونفقاتها، وضمان توافر السيولة اللازمة، وتحقيق الربحية، والحفاظ على الملاءة المالية، وكفاءة استخدام الموارد، وتُقاس بمجموع الدرجات التي يحصل عليها المبحوث على الفقرات المخصصة لها في الاستبانة</w:t>
      </w:r>
      <w:r w:rsidRPr="00AB172D">
        <w:rPr>
          <w:rFonts w:ascii="Simplified Arabic" w:hAnsi="Simplified Arabic" w:cs="Simplified Arabic"/>
          <w:color w:val="000000" w:themeColor="text1"/>
          <w:sz w:val="28"/>
          <w:szCs w:val="28"/>
          <w:lang w:bidi="ar-EG"/>
        </w:rPr>
        <w:t>.</w:t>
      </w:r>
    </w:p>
    <w:p w14:paraId="4DC9458D"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AB172D">
        <w:rPr>
          <w:rFonts w:ascii="Simplified Arabic" w:hAnsi="Simplified Arabic" w:cs="Simplified Arabic"/>
          <w:b/>
          <w:bCs/>
          <w:color w:val="000000" w:themeColor="text1"/>
          <w:sz w:val="28"/>
          <w:szCs w:val="28"/>
          <w:rtl/>
        </w:rPr>
        <w:t>و. الشركات الناشئة</w:t>
      </w:r>
      <w:r w:rsidRPr="00AB172D">
        <w:rPr>
          <w:rFonts w:ascii="Simplified Arabic" w:hAnsi="Simplified Arabic" w:cs="Simplified Arabic"/>
          <w:b/>
          <w:bCs/>
          <w:color w:val="000000" w:themeColor="text1"/>
          <w:sz w:val="28"/>
          <w:szCs w:val="28"/>
          <w:lang w:bidi="ar-EG"/>
        </w:rPr>
        <w:t xml:space="preserve"> (Startups):</w:t>
      </w:r>
    </w:p>
    <w:p w14:paraId="3D7E053E" w14:textId="77777777" w:rsidR="00B40DE7" w:rsidRPr="00AB172D" w:rsidRDefault="00B40DE7" w:rsidP="00A95744">
      <w:pPr>
        <w:pStyle w:val="a6"/>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المفاهيمي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كيانات تجارية حديثة التأسيس (يتراوح عمرها عادةً بين سنة و10 سنوات)، تتّسم بالنمو السريع وارتفاع مستوى المخاطر وعدم اليقين، وتقوم على نموذج أعمال مبتكر يستهدف تقديم منتج أو خدمة جديدة أو تحسين قائمة</w:t>
      </w:r>
      <w:r w:rsidRPr="00AB172D">
        <w:rPr>
          <w:rFonts w:ascii="Simplified Arabic" w:hAnsi="Simplified Arabic" w:cs="Simplified Arabic"/>
          <w:color w:val="000000" w:themeColor="text1"/>
          <w:sz w:val="28"/>
          <w:szCs w:val="28"/>
          <w:lang w:bidi="ar-EG"/>
        </w:rPr>
        <w:t xml:space="preserve"> (</w:t>
      </w:r>
      <w:proofErr w:type="spellStart"/>
      <w:r w:rsidRPr="00AB172D">
        <w:rPr>
          <w:rFonts w:ascii="Simplified Arabic" w:hAnsi="Simplified Arabic" w:cs="Simplified Arabic"/>
          <w:color w:val="000000" w:themeColor="text1"/>
          <w:sz w:val="28"/>
          <w:szCs w:val="28"/>
          <w:lang w:bidi="ar-EG"/>
        </w:rPr>
        <w:t>Amuna</w:t>
      </w:r>
      <w:proofErr w:type="spellEnd"/>
      <w:r w:rsidRPr="00AB172D">
        <w:rPr>
          <w:rFonts w:ascii="Simplified Arabic" w:hAnsi="Simplified Arabic" w:cs="Simplified Arabic"/>
          <w:color w:val="000000" w:themeColor="text1"/>
          <w:sz w:val="28"/>
          <w:szCs w:val="28"/>
          <w:lang w:bidi="ar-EG"/>
        </w:rPr>
        <w:t xml:space="preserve"> et al., 2026).</w:t>
      </w:r>
    </w:p>
    <w:p w14:paraId="269BFF41" w14:textId="77777777" w:rsidR="00B40DE7" w:rsidRPr="00AB172D" w:rsidRDefault="00B40DE7" w:rsidP="00A95744">
      <w:pPr>
        <w:pStyle w:val="a6"/>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الإجرائي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يُقصد بها في الدراسة الحالية الشركات المسجلة رسمياً في دول منطقة الشرق الأوسط وشمال أفريقيا، التي لا يتجاوز عمرها عشر سنوات، وتعمل في قطاعات متنوعة كالتكنولوجيا، والتجارة الإلكترونية، والخدمات المالية الرقمية، والخدمات اللوجستية، والصحة الرقمية، والتعليم الإلكتروني</w:t>
      </w:r>
      <w:r w:rsidRPr="00AB172D">
        <w:rPr>
          <w:rFonts w:ascii="Simplified Arabic" w:hAnsi="Simplified Arabic" w:cs="Simplified Arabic"/>
          <w:color w:val="000000" w:themeColor="text1"/>
          <w:sz w:val="28"/>
          <w:szCs w:val="28"/>
          <w:lang w:bidi="ar-EG"/>
        </w:rPr>
        <w:t>.</w:t>
      </w:r>
    </w:p>
    <w:p w14:paraId="499C3163" w14:textId="77777777" w:rsidR="00B40DE7" w:rsidRPr="00AB172D" w:rsidRDefault="00B40DE7" w:rsidP="00E90EC1">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AB172D">
        <w:rPr>
          <w:rFonts w:ascii="Simplified Arabic" w:hAnsi="Simplified Arabic" w:cs="Simplified Arabic"/>
          <w:b/>
          <w:bCs/>
          <w:color w:val="000000" w:themeColor="text1"/>
          <w:sz w:val="28"/>
          <w:szCs w:val="28"/>
          <w:rtl/>
        </w:rPr>
        <w:t>ز. منطقة الشرق الأوسط وشمال أفريقيا</w:t>
      </w:r>
      <w:r w:rsidRPr="00AB172D">
        <w:rPr>
          <w:rFonts w:ascii="Simplified Arabic" w:hAnsi="Simplified Arabic" w:cs="Simplified Arabic"/>
          <w:b/>
          <w:bCs/>
          <w:color w:val="000000" w:themeColor="text1"/>
          <w:sz w:val="28"/>
          <w:szCs w:val="28"/>
          <w:lang w:bidi="ar-EG"/>
        </w:rPr>
        <w:t xml:space="preserve"> (MENA Region):</w:t>
      </w:r>
    </w:p>
    <w:p w14:paraId="081F7577" w14:textId="77777777" w:rsidR="00B40DE7" w:rsidRPr="00AB172D" w:rsidRDefault="00B40DE7" w:rsidP="00A95744">
      <w:pPr>
        <w:pStyle w:val="a6"/>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lastRenderedPageBreak/>
        <w:t>التعريف المفاهيمي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منطقة جغرافية اقتصادية تضمّ مجموعة من دول الشرق الأوسط وشمال أفريقيا التي تتشارك في خصائص اقتصادية واجتماعية وثقافية متقاربة</w:t>
      </w:r>
      <w:r w:rsidRPr="00AB172D">
        <w:rPr>
          <w:rFonts w:ascii="Simplified Arabic" w:hAnsi="Simplified Arabic" w:cs="Simplified Arabic"/>
          <w:color w:val="000000" w:themeColor="text1"/>
          <w:sz w:val="28"/>
          <w:szCs w:val="28"/>
          <w:lang w:bidi="ar-EG"/>
        </w:rPr>
        <w:t>.</w:t>
      </w:r>
    </w:p>
    <w:p w14:paraId="39EA092F" w14:textId="77777777" w:rsidR="00B40DE7" w:rsidRPr="00AB172D" w:rsidRDefault="00B40DE7" w:rsidP="00A95744">
      <w:pPr>
        <w:pStyle w:val="a6"/>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rPr>
        <w:t>التعريف الإجرائي</w:t>
      </w:r>
      <w:r w:rsidRPr="00AB172D">
        <w:rPr>
          <w:rFonts w:ascii="Simplified Arabic" w:hAnsi="Simplified Arabic" w:cs="Simplified Arabic"/>
          <w:color w:val="000000" w:themeColor="text1"/>
          <w:sz w:val="28"/>
          <w:szCs w:val="28"/>
          <w:lang w:bidi="ar-EG"/>
        </w:rPr>
        <w:t xml:space="preserve">: </w:t>
      </w:r>
      <w:r w:rsidRPr="00AB172D">
        <w:rPr>
          <w:rFonts w:ascii="Simplified Arabic" w:hAnsi="Simplified Arabic" w:cs="Simplified Arabic"/>
          <w:color w:val="000000" w:themeColor="text1"/>
          <w:sz w:val="28"/>
          <w:szCs w:val="28"/>
          <w:rtl/>
        </w:rPr>
        <w:t>يُقصد بها في الدراسة الحالية مجموعة الدول التي تُطبَّق فيها الدراسة، وتشمل بشكل أساسي كلاً من مصر، والمملكة العربية السعودية، والإمارات العربية المتحدة، والأردن، والمغرب، وتونس، بوصفها الدول الأكثر نشاطاً في منظومة الشركات الناشئة بالمنطقة</w:t>
      </w:r>
      <w:r w:rsidRPr="00AB172D">
        <w:rPr>
          <w:rFonts w:ascii="Simplified Arabic" w:hAnsi="Simplified Arabic" w:cs="Simplified Arabic"/>
          <w:color w:val="000000" w:themeColor="text1"/>
          <w:sz w:val="28"/>
          <w:szCs w:val="28"/>
          <w:lang w:bidi="ar-EG"/>
        </w:rPr>
        <w:t>.</w:t>
      </w:r>
    </w:p>
    <w:p w14:paraId="4CB5ACFC" w14:textId="1D759494" w:rsidR="004F5783" w:rsidRPr="00AB172D" w:rsidRDefault="004F5783" w:rsidP="004F578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11" w:name="_Toc234338539"/>
      <w:r w:rsidRPr="00AB172D">
        <w:rPr>
          <w:rFonts w:ascii="Simplified Arabic" w:hAnsi="Simplified Arabic" w:cs="Simplified Arabic" w:hint="cs"/>
          <w:b/>
          <w:bCs/>
          <w:color w:val="000000" w:themeColor="text1"/>
          <w:sz w:val="36"/>
          <w:szCs w:val="36"/>
          <w:rtl/>
          <w:lang w:bidi="ar-EG"/>
        </w:rPr>
        <w:t xml:space="preserve">9.1 </w:t>
      </w:r>
      <w:r w:rsidRPr="00AB172D">
        <w:rPr>
          <w:rFonts w:ascii="Simplified Arabic" w:hAnsi="Simplified Arabic" w:cs="Simplified Arabic"/>
          <w:b/>
          <w:bCs/>
          <w:color w:val="000000" w:themeColor="text1"/>
          <w:sz w:val="36"/>
          <w:szCs w:val="36"/>
          <w:rtl/>
          <w:lang w:bidi="ar-EG"/>
        </w:rPr>
        <w:t>منهجية الدراسة وإجراءاتها</w:t>
      </w:r>
      <w:bookmarkEnd w:id="11"/>
    </w:p>
    <w:p w14:paraId="30CB415A"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172D">
        <w:rPr>
          <w:rFonts w:ascii="Simplified Arabic" w:hAnsi="Simplified Arabic" w:cs="Simplified Arabic"/>
          <w:b/>
          <w:bCs/>
          <w:color w:val="000000" w:themeColor="text1"/>
          <w:sz w:val="32"/>
          <w:szCs w:val="32"/>
          <w:rtl/>
          <w:lang w:bidi="ar-EG"/>
        </w:rPr>
        <w:t>أولاً: منهجية الدراسة</w:t>
      </w:r>
    </w:p>
    <w:p w14:paraId="0096D99D"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ستعتمد الدراسة الحالية على المنهج الوصفي التحليلي بوصفه المنهج الأنسب لطبيعة الدراسة وأهدافها، إذ يُتيح هذا المنهج وصف الظاهرة موضع الدراسة وصفاً دقيقاً، وتحليل العلاقات بين متغيّراتها، والوصول إلى استنتاجات علمية تُسهم في فهم أثر ممارسات الإدارة الرشيقة بأبعادها (التطوير التكراري، واللامركزية في اتخاذ القرارات، وحلقات تغذية العملاء الراجعة) في الاستدامة المالية للشركات الناشئة بمنطقة الشرق الأوسط وشمال أفريقيا. وسيتمّ توظيف هذا المنهج عبر شقّين متكاملين: الشقّ الأول نظري يعتمد على استعراض الأدبيات والدراسات السابقة العربية والأجنبية لبناء الإطار النظري للدراسة، والشقّ الثاني ميداني يعتمد على جمع البيانات الأولية من مجتمع الدراسة وتحليلها إحصائياً للإجابة عن أسئلة الدراسة واختبار فروضها.</w:t>
      </w:r>
    </w:p>
    <w:p w14:paraId="36270D30"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كما ستستعين الدراسة بـالمنهج الإحصائي التحليلي بوصفه منهجاً مكمّلاً، إذ سيتمّ توظيف أساليب الإحصاء الوصفي والاستدلالي لتحليل البيانات الميدانية التي سيتمّ جمعها من عينة الدراسة، بما يُتيح قياس العلاقات بين المتغيّرات وتحديد اتجاهات التأثير ومستوياته. وستُوظَّف نمذجة المعادلات الهيكلية (</w:t>
      </w:r>
      <w:r w:rsidRPr="00AB172D">
        <w:rPr>
          <w:rFonts w:ascii="Simplified Arabic" w:hAnsi="Simplified Arabic" w:cs="Simplified Arabic"/>
          <w:color w:val="000000" w:themeColor="text1"/>
          <w:sz w:val="28"/>
          <w:szCs w:val="28"/>
          <w:lang w:bidi="ar-EG"/>
        </w:rPr>
        <w:t>SEM</w:t>
      </w:r>
      <w:r w:rsidRPr="00AB172D">
        <w:rPr>
          <w:rFonts w:ascii="Simplified Arabic" w:hAnsi="Simplified Arabic" w:cs="Simplified Arabic"/>
          <w:color w:val="000000" w:themeColor="text1"/>
          <w:sz w:val="28"/>
          <w:szCs w:val="28"/>
          <w:rtl/>
          <w:lang w:bidi="ar-EG"/>
        </w:rPr>
        <w:t>) بشكل خاصّ لاختبار النموذج البنائي للدراسة والتحقق من صحة الفروض، بما يمنح النتائج قدراً عالياً من الدقة والموثوقية العلمية.</w:t>
      </w:r>
    </w:p>
    <w:p w14:paraId="7829AA94"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172D">
        <w:rPr>
          <w:rFonts w:ascii="Simplified Arabic" w:hAnsi="Simplified Arabic" w:cs="Simplified Arabic"/>
          <w:b/>
          <w:bCs/>
          <w:color w:val="000000" w:themeColor="text1"/>
          <w:sz w:val="32"/>
          <w:szCs w:val="32"/>
          <w:rtl/>
          <w:lang w:bidi="ar-EG"/>
        </w:rPr>
        <w:t>ثانياً: مجتمع وعينة الدراسة</w:t>
      </w:r>
    </w:p>
    <w:p w14:paraId="7181F715"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سيتكوّن مجتمع الدراسة من العاملين في الإدارات العليا والوسطى بالشركات الناشئة العاملة في منطقة الشرق الأوسط وشمال أفريقيا (</w:t>
      </w:r>
      <w:r w:rsidRPr="00AB172D">
        <w:rPr>
          <w:rFonts w:ascii="Simplified Arabic" w:hAnsi="Simplified Arabic" w:cs="Simplified Arabic"/>
          <w:color w:val="000000" w:themeColor="text1"/>
          <w:sz w:val="28"/>
          <w:szCs w:val="28"/>
          <w:lang w:bidi="ar-EG"/>
        </w:rPr>
        <w:t>MENA</w:t>
      </w:r>
      <w:r w:rsidRPr="00AB172D">
        <w:rPr>
          <w:rFonts w:ascii="Simplified Arabic" w:hAnsi="Simplified Arabic" w:cs="Simplified Arabic"/>
          <w:color w:val="000000" w:themeColor="text1"/>
          <w:sz w:val="28"/>
          <w:szCs w:val="28"/>
          <w:rtl/>
          <w:lang w:bidi="ar-EG"/>
        </w:rPr>
        <w:t xml:space="preserve">)، وتحديداً في ستّ دول تُمثّل النسبة الأكبر من منظومة الشركات </w:t>
      </w:r>
      <w:r w:rsidRPr="00AB172D">
        <w:rPr>
          <w:rFonts w:ascii="Simplified Arabic" w:hAnsi="Simplified Arabic" w:cs="Simplified Arabic"/>
          <w:color w:val="000000" w:themeColor="text1"/>
          <w:sz w:val="28"/>
          <w:szCs w:val="28"/>
          <w:rtl/>
          <w:lang w:bidi="ar-EG"/>
        </w:rPr>
        <w:lastRenderedPageBreak/>
        <w:t>الناشئة في المنطقة، هي: جمهورية مصر العربية، والمملكة العربية السعودية، ودولة الإمارات العربية المتحدة، والمملكة الأردنية الهاشمية، والمملكة المغربية، والجمهورية التونسية. ووفقاً لتقارير منصة “</w:t>
      </w:r>
      <w:proofErr w:type="spellStart"/>
      <w:r w:rsidRPr="00AB172D">
        <w:rPr>
          <w:rFonts w:ascii="Simplified Arabic" w:hAnsi="Simplified Arabic" w:cs="Simplified Arabic"/>
          <w:color w:val="000000" w:themeColor="text1"/>
          <w:sz w:val="28"/>
          <w:szCs w:val="28"/>
          <w:lang w:bidi="ar-EG"/>
        </w:rPr>
        <w:t>MAGNiTT</w:t>
      </w:r>
      <w:proofErr w:type="spellEnd"/>
      <w:r w:rsidRPr="00AB172D">
        <w:rPr>
          <w:rFonts w:ascii="Simplified Arabic" w:hAnsi="Simplified Arabic" w:cs="Simplified Arabic"/>
          <w:color w:val="000000" w:themeColor="text1"/>
          <w:sz w:val="28"/>
          <w:szCs w:val="28"/>
          <w:rtl/>
          <w:lang w:bidi="ar-EG"/>
        </w:rPr>
        <w:t>” و"</w:t>
      </w:r>
      <w:proofErr w:type="spellStart"/>
      <w:r w:rsidRPr="00AB172D">
        <w:rPr>
          <w:rFonts w:ascii="Simplified Arabic" w:hAnsi="Simplified Arabic" w:cs="Simplified Arabic"/>
          <w:color w:val="000000" w:themeColor="text1"/>
          <w:sz w:val="28"/>
          <w:szCs w:val="28"/>
          <w:lang w:bidi="ar-EG"/>
        </w:rPr>
        <w:t>Wamda</w:t>
      </w:r>
      <w:proofErr w:type="spellEnd"/>
      <w:r w:rsidRPr="00AB172D">
        <w:rPr>
          <w:rFonts w:ascii="Simplified Arabic" w:hAnsi="Simplified Arabic" w:cs="Simplified Arabic"/>
          <w:color w:val="000000" w:themeColor="text1"/>
          <w:sz w:val="28"/>
          <w:szCs w:val="28"/>
          <w:rtl/>
          <w:lang w:bidi="ar-EG"/>
        </w:rPr>
        <w:t>" لعام 2024، يبلغ العدد التقديري للشركات الناشئة النشطة في هذه الدول نحو (23,500) شركة ناشئة، تتوزّع بواقع (7,200) شركة في الإمارات، و(5,800) شركة في المملكة العربية السعودية، و(4,900) شركة في مصر، و(2,300) شركة في المغرب، و(1,850) شركة في الأردن، و(1,450) شركة في تونس، وتعمل في قطاعات متنوعة تشمل التكنولوجيا المالية (</w:t>
      </w:r>
      <w:r w:rsidRPr="00AB172D">
        <w:rPr>
          <w:rFonts w:ascii="Simplified Arabic" w:hAnsi="Simplified Arabic" w:cs="Simplified Arabic"/>
          <w:color w:val="000000" w:themeColor="text1"/>
          <w:sz w:val="28"/>
          <w:szCs w:val="28"/>
          <w:lang w:bidi="ar-EG"/>
        </w:rPr>
        <w:t>FinTech</w:t>
      </w:r>
      <w:r w:rsidRPr="00AB172D">
        <w:rPr>
          <w:rFonts w:ascii="Simplified Arabic" w:hAnsi="Simplified Arabic" w:cs="Simplified Arabic"/>
          <w:color w:val="000000" w:themeColor="text1"/>
          <w:sz w:val="28"/>
          <w:szCs w:val="28"/>
          <w:rtl/>
          <w:lang w:bidi="ar-EG"/>
        </w:rPr>
        <w:t>)، والتجارة الإلكترونية، والخدمات اللوجستية، والصحة الرقمية، والتعليم الإلكتروني، والذكاء الاصطناعي.</w:t>
      </w:r>
    </w:p>
    <w:p w14:paraId="21F0E2A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وستُطبَّق الدراسة على عينة عشوائية طبقية يتمّ اختيارها بما يتناسب مع التوزيع الجغرافي والقطاعي للشركات الناشئة في مجتمع الدراسة. وبالاستناد إلى معادلة “ستيفن </w:t>
      </w:r>
      <w:proofErr w:type="spellStart"/>
      <w:r w:rsidRPr="00AB172D">
        <w:rPr>
          <w:rFonts w:ascii="Simplified Arabic" w:hAnsi="Simplified Arabic" w:cs="Simplified Arabic"/>
          <w:color w:val="000000" w:themeColor="text1"/>
          <w:sz w:val="28"/>
          <w:szCs w:val="28"/>
          <w:rtl/>
          <w:lang w:bidi="ar-EG"/>
        </w:rPr>
        <w:t>ثامبسون</w:t>
      </w:r>
      <w:proofErr w:type="spellEnd"/>
      <w:r w:rsidRPr="00AB172D">
        <w:rPr>
          <w:rFonts w:ascii="Simplified Arabic" w:hAnsi="Simplified Arabic" w:cs="Simplified Arabic"/>
          <w:color w:val="000000" w:themeColor="text1"/>
          <w:sz w:val="28"/>
          <w:szCs w:val="28"/>
          <w:rtl/>
          <w:lang w:bidi="ar-EG"/>
        </w:rPr>
        <w:t>” لتحديد حجم العينة عند مستوى ثقة (95%) وهامش خطأ (5%)، سيبلغ حجم العينة المستهدفة (378) مفردة كحدّ أدنى، غير أنّ الباحث سيستهدف توزيع (500) استبانة على مؤسّسي ومديري الشركات الناشئة والمسؤولين الماليين والتشغيليين فيها، تحسّباً لاحتمالات عدم الاستجابة أو عدم صلاحية بعض الاستبانات للتحليل، بما يضمن الحصول على عدد كافٍ من الاستجابات الصالحة لا يقلّ عن (400) استجابة، وبمعدل استرداد متوقّع لا يقلّ عن (80%)، مما يمنح النتائج قدراً عالياً من التمثيل والموثوقية العلمية.</w:t>
      </w:r>
    </w:p>
    <w:p w14:paraId="107A225D"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172D">
        <w:rPr>
          <w:rFonts w:ascii="Simplified Arabic" w:hAnsi="Simplified Arabic" w:cs="Simplified Arabic"/>
          <w:b/>
          <w:bCs/>
          <w:color w:val="000000" w:themeColor="text1"/>
          <w:sz w:val="32"/>
          <w:szCs w:val="32"/>
          <w:rtl/>
          <w:lang w:bidi="ar-EG"/>
        </w:rPr>
        <w:t>ثالثاً: مصادر جمع البيانات</w:t>
      </w:r>
    </w:p>
    <w:p w14:paraId="3884F685"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سيعتمد الباحث في جمع بيانات الدراسة على مصدرين متكاملين:</w:t>
      </w:r>
    </w:p>
    <w:p w14:paraId="5FF210A6" w14:textId="65023C53" w:rsidR="004F5783" w:rsidRPr="00AB172D" w:rsidRDefault="004F5783" w:rsidP="00A95744">
      <w:pPr>
        <w:pStyle w:val="a6"/>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المصادر الثانوية: ستتمثّل في الكتب والمراجع العلمية، والدوريات العربية والأجنبية المحكّمة، والرسائل العلمية (الماجستير والدكتوراه)، والتقارير الصادرة عن المؤسسات الدولية والإقليمية المتخصصة في ريادة الأعمال والشركات الناشئة (كتقارير </w:t>
      </w:r>
      <w:proofErr w:type="spellStart"/>
      <w:r w:rsidRPr="00AB172D">
        <w:rPr>
          <w:rFonts w:ascii="Simplified Arabic" w:hAnsi="Simplified Arabic" w:cs="Simplified Arabic"/>
          <w:color w:val="000000" w:themeColor="text1"/>
          <w:sz w:val="28"/>
          <w:szCs w:val="28"/>
          <w:lang w:bidi="ar-EG"/>
        </w:rPr>
        <w:t>Wamda</w:t>
      </w:r>
      <w:proofErr w:type="spellEnd"/>
      <w:r w:rsidRPr="00AB172D">
        <w:rPr>
          <w:rFonts w:ascii="Simplified Arabic" w:hAnsi="Simplified Arabic" w:cs="Simplified Arabic"/>
          <w:color w:val="000000" w:themeColor="text1"/>
          <w:sz w:val="28"/>
          <w:szCs w:val="28"/>
          <w:rtl/>
          <w:lang w:bidi="ar-EG"/>
        </w:rPr>
        <w:t xml:space="preserve"> و</w:t>
      </w:r>
      <w:proofErr w:type="spellStart"/>
      <w:r w:rsidRPr="00AB172D">
        <w:rPr>
          <w:rFonts w:ascii="Simplified Arabic" w:hAnsi="Simplified Arabic" w:cs="Simplified Arabic"/>
          <w:color w:val="000000" w:themeColor="text1"/>
          <w:sz w:val="28"/>
          <w:szCs w:val="28"/>
          <w:lang w:bidi="ar-EG"/>
        </w:rPr>
        <w:t>MAGNiTT</w:t>
      </w:r>
      <w:proofErr w:type="spellEnd"/>
      <w:r w:rsidRPr="00AB172D">
        <w:rPr>
          <w:rFonts w:ascii="Simplified Arabic" w:hAnsi="Simplified Arabic" w:cs="Simplified Arabic"/>
          <w:color w:val="000000" w:themeColor="text1"/>
          <w:sz w:val="28"/>
          <w:szCs w:val="28"/>
          <w:rtl/>
          <w:lang w:bidi="ar-EG"/>
        </w:rPr>
        <w:t xml:space="preserve"> والبنك الدولي)، وقواعد البيانات الإلكترونية كمنظومة دار المنظومة و</w:t>
      </w:r>
      <w:r w:rsidRPr="00AB172D">
        <w:rPr>
          <w:rFonts w:ascii="Simplified Arabic" w:hAnsi="Simplified Arabic" w:cs="Simplified Arabic"/>
          <w:color w:val="000000" w:themeColor="text1"/>
          <w:sz w:val="28"/>
          <w:szCs w:val="28"/>
          <w:lang w:bidi="ar-EG"/>
        </w:rPr>
        <w:t>Google Scholar</w:t>
      </w:r>
      <w:r w:rsidRPr="00AB172D">
        <w:rPr>
          <w:rFonts w:ascii="Simplified Arabic" w:hAnsi="Simplified Arabic" w:cs="Simplified Arabic"/>
          <w:color w:val="000000" w:themeColor="text1"/>
          <w:sz w:val="28"/>
          <w:szCs w:val="28"/>
          <w:rtl/>
          <w:lang w:bidi="ar-EG"/>
        </w:rPr>
        <w:t xml:space="preserve"> و</w:t>
      </w:r>
      <w:r w:rsidRPr="00AB172D">
        <w:rPr>
          <w:rFonts w:ascii="Simplified Arabic" w:hAnsi="Simplified Arabic" w:cs="Simplified Arabic"/>
          <w:color w:val="000000" w:themeColor="text1"/>
          <w:sz w:val="28"/>
          <w:szCs w:val="28"/>
          <w:lang w:bidi="ar-EG"/>
        </w:rPr>
        <w:t>Scopus</w:t>
      </w:r>
      <w:r w:rsidRPr="00AB172D">
        <w:rPr>
          <w:rFonts w:ascii="Simplified Arabic" w:hAnsi="Simplified Arabic" w:cs="Simplified Arabic"/>
          <w:color w:val="000000" w:themeColor="text1"/>
          <w:sz w:val="28"/>
          <w:szCs w:val="28"/>
          <w:rtl/>
          <w:lang w:bidi="ar-EG"/>
        </w:rPr>
        <w:t xml:space="preserve"> و</w:t>
      </w:r>
      <w:r w:rsidRPr="00AB172D">
        <w:rPr>
          <w:rFonts w:ascii="Simplified Arabic" w:hAnsi="Simplified Arabic" w:cs="Simplified Arabic"/>
          <w:color w:val="000000" w:themeColor="text1"/>
          <w:sz w:val="28"/>
          <w:szCs w:val="28"/>
          <w:lang w:bidi="ar-EG"/>
        </w:rPr>
        <w:t>Emerald</w:t>
      </w:r>
      <w:r w:rsidRPr="00AB172D">
        <w:rPr>
          <w:rFonts w:ascii="Simplified Arabic" w:hAnsi="Simplified Arabic" w:cs="Simplified Arabic"/>
          <w:color w:val="000000" w:themeColor="text1"/>
          <w:sz w:val="28"/>
          <w:szCs w:val="28"/>
          <w:rtl/>
          <w:lang w:bidi="ar-EG"/>
        </w:rPr>
        <w:t>، وذلك بهدف بناء الإطار النظري للدراسة واستعراض الدراسات السابقة.</w:t>
      </w:r>
    </w:p>
    <w:p w14:paraId="6475A351" w14:textId="02E282B9" w:rsidR="004F5783" w:rsidRPr="00AB172D" w:rsidRDefault="004F5783" w:rsidP="00A95744">
      <w:pPr>
        <w:pStyle w:val="a6"/>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المصادر الأولية: ستتمثّل في البيانات الميدانية التي سيتمّ جمعها مباشرةً من مفردات عينة الدراسة عبر أداة الاستبانة الإلكترونية، بهدف اختبار فروض الدراسة والإجابة عن أسئلتها.</w:t>
      </w:r>
    </w:p>
    <w:p w14:paraId="04215031"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172D">
        <w:rPr>
          <w:rFonts w:ascii="Simplified Arabic" w:hAnsi="Simplified Arabic" w:cs="Simplified Arabic"/>
          <w:b/>
          <w:bCs/>
          <w:color w:val="000000" w:themeColor="text1"/>
          <w:sz w:val="32"/>
          <w:szCs w:val="32"/>
          <w:rtl/>
          <w:lang w:bidi="ar-EG"/>
        </w:rPr>
        <w:t>رابعاً: أداة الدراسة</w:t>
      </w:r>
    </w:p>
    <w:p w14:paraId="0D0E1A75"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lastRenderedPageBreak/>
        <w:t>سيقوم الباحث بتصميم استبانة إلكترونية بوصفها الأداة الرئيسة لجمع البيانات الميدانية، وسيتمّ بناؤها بالاستناد إلى الأدبيات والدراسات السابقة ذات الصلة، مع مراعاة خصوصية بيئة الشركات الناشئة في منطقة الشرق الأوسط وشمال أفريقيا. وستتضمّن الاستبانة ثلاثة أقسام رئيسة على النحو الآتي:</w:t>
      </w:r>
    </w:p>
    <w:p w14:paraId="7119A5E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القسم الأول: يتضمّن البيانات الديموغرافية والتنظيمية للمبحوثين، كالجنس، والعمر، والمؤهل العلمي، والمسمى الوظيفي، وسنوات الخبرة، ودولة الشركة، وقطاع نشاطها، وعمرها، وحجم القوى العاملة فيها.</w:t>
      </w:r>
    </w:p>
    <w:p w14:paraId="7FFDD5D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القسم الثاني: يقيس المتغيّر المستقل (ممارسات الإدارة الرشيقة) بأبعاده الثلاثة، ويتضمّن (12) فقرة موزعة على النحو الآتي:</w:t>
      </w:r>
    </w:p>
    <w:p w14:paraId="4800C9E8" w14:textId="3BBE2590" w:rsidR="004F5783" w:rsidRPr="00AB172D" w:rsidRDefault="004F5783" w:rsidP="00A95744">
      <w:pPr>
        <w:pStyle w:val="a6"/>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بُعد التطوير التكراري: (4) فقرات.</w:t>
      </w:r>
    </w:p>
    <w:p w14:paraId="614EA36B" w14:textId="641DEC50" w:rsidR="004F5783" w:rsidRPr="00AB172D" w:rsidRDefault="004F5783" w:rsidP="00A95744">
      <w:pPr>
        <w:pStyle w:val="a6"/>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بُعد اللامركزية في اتخاذ القرارات: (4) فقرات.</w:t>
      </w:r>
    </w:p>
    <w:p w14:paraId="20E02D6B" w14:textId="11BC1E08" w:rsidR="004F5783" w:rsidRPr="00AB172D" w:rsidRDefault="004F5783" w:rsidP="00A95744">
      <w:pPr>
        <w:pStyle w:val="a6"/>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بُعد حلقات تغذية العملاء الراجعة: (4) فقرات.</w:t>
      </w:r>
    </w:p>
    <w:p w14:paraId="533B2AC7"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القسم الثالث: يقيس المتغيّر التابع (الاستدامة المالية) بوصفه متغيراً أحادي المحور، ويتضمّن (10) فقرات تعكس أبعاد الاستدامة المالية المختلفة (الربحية، والسيولة، والملاءة، وكفاءة استخدام الأصول، وإدارة المخاطر).</w:t>
      </w:r>
    </w:p>
    <w:p w14:paraId="1FE4E405"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وستُقاس استجابات المبحوثين على فقرات القسمين الثاني والثالث وفقاً لمقياس </w:t>
      </w:r>
      <w:proofErr w:type="spellStart"/>
      <w:r w:rsidRPr="00AB172D">
        <w:rPr>
          <w:rFonts w:ascii="Simplified Arabic" w:hAnsi="Simplified Arabic" w:cs="Simplified Arabic"/>
          <w:color w:val="000000" w:themeColor="text1"/>
          <w:sz w:val="28"/>
          <w:szCs w:val="28"/>
          <w:rtl/>
          <w:lang w:bidi="ar-EG"/>
        </w:rPr>
        <w:t>ليكرت</w:t>
      </w:r>
      <w:proofErr w:type="spellEnd"/>
      <w:r w:rsidRPr="00AB172D">
        <w:rPr>
          <w:rFonts w:ascii="Simplified Arabic" w:hAnsi="Simplified Arabic" w:cs="Simplified Arabic"/>
          <w:color w:val="000000" w:themeColor="text1"/>
          <w:sz w:val="28"/>
          <w:szCs w:val="28"/>
          <w:rtl/>
          <w:lang w:bidi="ar-EG"/>
        </w:rPr>
        <w:t xml:space="preserve"> الخماسي (</w:t>
      </w:r>
      <w:r w:rsidRPr="00AB172D">
        <w:rPr>
          <w:rFonts w:ascii="Simplified Arabic" w:hAnsi="Simplified Arabic" w:cs="Simplified Arabic"/>
          <w:color w:val="000000" w:themeColor="text1"/>
          <w:sz w:val="28"/>
          <w:szCs w:val="28"/>
          <w:lang w:bidi="ar-EG"/>
        </w:rPr>
        <w:t>Likert Scale</w:t>
      </w:r>
      <w:r w:rsidRPr="00AB172D">
        <w:rPr>
          <w:rFonts w:ascii="Simplified Arabic" w:hAnsi="Simplified Arabic" w:cs="Simplified Arabic"/>
          <w:color w:val="000000" w:themeColor="text1"/>
          <w:sz w:val="28"/>
          <w:szCs w:val="28"/>
          <w:rtl/>
          <w:lang w:bidi="ar-EG"/>
        </w:rPr>
        <w:t xml:space="preserve">)، الذي يتدرّج من (1) “لا أوافق بشدة” إلى (5) “أوافق بشدة”. وسيتمّ التحقق من صدق الأداة عبر عرضها على مجموعة من المحكّمين الأكاديميين المتخصصين، والتحقق من ثباتها عبر حساب معامل ألفا </w:t>
      </w:r>
      <w:proofErr w:type="spellStart"/>
      <w:r w:rsidRPr="00AB172D">
        <w:rPr>
          <w:rFonts w:ascii="Simplified Arabic" w:hAnsi="Simplified Arabic" w:cs="Simplified Arabic"/>
          <w:color w:val="000000" w:themeColor="text1"/>
          <w:sz w:val="28"/>
          <w:szCs w:val="28"/>
          <w:rtl/>
          <w:lang w:bidi="ar-EG"/>
        </w:rPr>
        <w:t>كرونباخ</w:t>
      </w:r>
      <w:proofErr w:type="spellEnd"/>
      <w:r w:rsidRPr="00AB172D">
        <w:rPr>
          <w:rFonts w:ascii="Simplified Arabic" w:hAnsi="Simplified Arabic" w:cs="Simplified Arabic"/>
          <w:color w:val="000000" w:themeColor="text1"/>
          <w:sz w:val="28"/>
          <w:szCs w:val="28"/>
          <w:rtl/>
          <w:lang w:bidi="ar-EG"/>
        </w:rPr>
        <w:t xml:space="preserve"> (</w:t>
      </w:r>
      <w:r w:rsidRPr="00AB172D">
        <w:rPr>
          <w:rFonts w:ascii="Simplified Arabic" w:hAnsi="Simplified Arabic" w:cs="Simplified Arabic"/>
          <w:color w:val="000000" w:themeColor="text1"/>
          <w:sz w:val="28"/>
          <w:szCs w:val="28"/>
          <w:lang w:bidi="ar-EG"/>
        </w:rPr>
        <w:t>Cronbach’s Alpha</w:t>
      </w:r>
      <w:r w:rsidRPr="00AB172D">
        <w:rPr>
          <w:rFonts w:ascii="Simplified Arabic" w:hAnsi="Simplified Arabic" w:cs="Simplified Arabic"/>
          <w:color w:val="000000" w:themeColor="text1"/>
          <w:sz w:val="28"/>
          <w:szCs w:val="28"/>
          <w:rtl/>
          <w:lang w:bidi="ar-EG"/>
        </w:rPr>
        <w:t>) الذي يُشترط ألا يقلّ عن (0.70) لقبول الأداة.</w:t>
      </w:r>
    </w:p>
    <w:p w14:paraId="129EC855"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172D">
        <w:rPr>
          <w:rFonts w:ascii="Simplified Arabic" w:hAnsi="Simplified Arabic" w:cs="Simplified Arabic"/>
          <w:b/>
          <w:bCs/>
          <w:color w:val="000000" w:themeColor="text1"/>
          <w:sz w:val="32"/>
          <w:szCs w:val="32"/>
          <w:rtl/>
          <w:lang w:bidi="ar-EG"/>
        </w:rPr>
        <w:t>خامساً: الأساليب الإحصائية المستخدمة</w:t>
      </w:r>
    </w:p>
    <w:p w14:paraId="707826E3"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ستُوظَّف الدراسة مجموعة من الأساليب الإحصائية الملائمة لطبيعة البيانات وأهداف الدراسة، وذلك باستخدام حزمة البرامج الإحصائية (</w:t>
      </w:r>
      <w:r w:rsidRPr="00AB172D">
        <w:rPr>
          <w:rFonts w:ascii="Simplified Arabic" w:hAnsi="Simplified Arabic" w:cs="Simplified Arabic"/>
          <w:color w:val="000000" w:themeColor="text1"/>
          <w:sz w:val="28"/>
          <w:szCs w:val="28"/>
          <w:lang w:bidi="ar-EG"/>
        </w:rPr>
        <w:t>SPSS v.28</w:t>
      </w:r>
      <w:r w:rsidRPr="00AB172D">
        <w:rPr>
          <w:rFonts w:ascii="Simplified Arabic" w:hAnsi="Simplified Arabic" w:cs="Simplified Arabic"/>
          <w:color w:val="000000" w:themeColor="text1"/>
          <w:sz w:val="28"/>
          <w:szCs w:val="28"/>
          <w:rtl/>
          <w:lang w:bidi="ar-EG"/>
        </w:rPr>
        <w:t>) و(</w:t>
      </w:r>
      <w:r w:rsidRPr="00AB172D">
        <w:rPr>
          <w:rFonts w:ascii="Simplified Arabic" w:hAnsi="Simplified Arabic" w:cs="Simplified Arabic"/>
          <w:color w:val="000000" w:themeColor="text1"/>
          <w:sz w:val="28"/>
          <w:szCs w:val="28"/>
          <w:lang w:bidi="ar-EG"/>
        </w:rPr>
        <w:t>AMOS v.28</w:t>
      </w:r>
      <w:r w:rsidRPr="00AB172D">
        <w:rPr>
          <w:rFonts w:ascii="Simplified Arabic" w:hAnsi="Simplified Arabic" w:cs="Simplified Arabic"/>
          <w:color w:val="000000" w:themeColor="text1"/>
          <w:sz w:val="28"/>
          <w:szCs w:val="28"/>
          <w:rtl/>
          <w:lang w:bidi="ar-EG"/>
        </w:rPr>
        <w:t>)، وتشمل:</w:t>
      </w:r>
    </w:p>
    <w:p w14:paraId="4C78D3A4"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مقاييس الإحصاء الوصفي كالمتوسطات الحسابية والانحرافات المعيارية والتكرارات والنسب المئوية لوصف خصائص عينة الدراسة واستجابات المبحوثين، ومعامل ألفا </w:t>
      </w:r>
      <w:proofErr w:type="spellStart"/>
      <w:r w:rsidRPr="00AB172D">
        <w:rPr>
          <w:rFonts w:ascii="Simplified Arabic" w:hAnsi="Simplified Arabic" w:cs="Simplified Arabic"/>
          <w:color w:val="000000" w:themeColor="text1"/>
          <w:sz w:val="28"/>
          <w:szCs w:val="28"/>
          <w:rtl/>
          <w:lang w:bidi="ar-EG"/>
        </w:rPr>
        <w:t>كرونباخ</w:t>
      </w:r>
      <w:proofErr w:type="spellEnd"/>
      <w:r w:rsidRPr="00AB172D">
        <w:rPr>
          <w:rFonts w:ascii="Simplified Arabic" w:hAnsi="Simplified Arabic" w:cs="Simplified Arabic"/>
          <w:color w:val="000000" w:themeColor="text1"/>
          <w:sz w:val="28"/>
          <w:szCs w:val="28"/>
          <w:rtl/>
          <w:lang w:bidi="ar-EG"/>
        </w:rPr>
        <w:t xml:space="preserve"> لقياس ثبات أداة الدراسة، ومعامل ارتباط بيرسون (</w:t>
      </w:r>
      <w:r w:rsidRPr="00AB172D">
        <w:rPr>
          <w:rFonts w:ascii="Simplified Arabic" w:hAnsi="Simplified Arabic" w:cs="Simplified Arabic"/>
          <w:color w:val="000000" w:themeColor="text1"/>
          <w:sz w:val="28"/>
          <w:szCs w:val="28"/>
          <w:lang w:bidi="ar-EG"/>
        </w:rPr>
        <w:t>Pearson Correlation</w:t>
      </w:r>
      <w:r w:rsidRPr="00AB172D">
        <w:rPr>
          <w:rFonts w:ascii="Simplified Arabic" w:hAnsi="Simplified Arabic" w:cs="Simplified Arabic"/>
          <w:color w:val="000000" w:themeColor="text1"/>
          <w:sz w:val="28"/>
          <w:szCs w:val="28"/>
          <w:rtl/>
          <w:lang w:bidi="ar-EG"/>
        </w:rPr>
        <w:t xml:space="preserve">) لقياس العلاقات بين المتغيّرات، ومعامل تضخم التباين </w:t>
      </w:r>
      <w:r w:rsidRPr="00AB172D">
        <w:rPr>
          <w:rFonts w:ascii="Simplified Arabic" w:hAnsi="Simplified Arabic" w:cs="Simplified Arabic"/>
          <w:color w:val="000000" w:themeColor="text1"/>
          <w:sz w:val="28"/>
          <w:szCs w:val="28"/>
          <w:rtl/>
          <w:lang w:bidi="ar-EG"/>
        </w:rPr>
        <w:lastRenderedPageBreak/>
        <w:t>(</w:t>
      </w:r>
      <w:r w:rsidRPr="00AB172D">
        <w:rPr>
          <w:rFonts w:ascii="Simplified Arabic" w:hAnsi="Simplified Arabic" w:cs="Simplified Arabic"/>
          <w:color w:val="000000" w:themeColor="text1"/>
          <w:sz w:val="28"/>
          <w:szCs w:val="28"/>
          <w:lang w:bidi="ar-EG"/>
        </w:rPr>
        <w:t>VIF</w:t>
      </w:r>
      <w:r w:rsidRPr="00AB172D">
        <w:rPr>
          <w:rFonts w:ascii="Simplified Arabic" w:hAnsi="Simplified Arabic" w:cs="Simplified Arabic"/>
          <w:color w:val="000000" w:themeColor="text1"/>
          <w:sz w:val="28"/>
          <w:szCs w:val="28"/>
          <w:rtl/>
          <w:lang w:bidi="ar-EG"/>
        </w:rPr>
        <w:t>) للتحقق من عدم وجود ارتباط خطي متعدد بين المتغيّرات المستقلة، ونمذجة المعادلات الهيكلية (</w:t>
      </w:r>
      <w:r w:rsidRPr="00AB172D">
        <w:rPr>
          <w:rFonts w:ascii="Simplified Arabic" w:hAnsi="Simplified Arabic" w:cs="Simplified Arabic"/>
          <w:color w:val="000000" w:themeColor="text1"/>
          <w:sz w:val="28"/>
          <w:szCs w:val="28"/>
          <w:lang w:bidi="ar-EG"/>
        </w:rPr>
        <w:t>SEM</w:t>
      </w:r>
      <w:r w:rsidRPr="00AB172D">
        <w:rPr>
          <w:rFonts w:ascii="Simplified Arabic" w:hAnsi="Simplified Arabic" w:cs="Simplified Arabic"/>
          <w:color w:val="000000" w:themeColor="text1"/>
          <w:sz w:val="28"/>
          <w:szCs w:val="28"/>
          <w:rtl/>
          <w:lang w:bidi="ar-EG"/>
        </w:rPr>
        <w:t>) لاختبار النموذج البنائي للدراسة والتحقق من صحة الفروض، والتحليل العاملي التوكيدي (</w:t>
      </w:r>
      <w:r w:rsidRPr="00AB172D">
        <w:rPr>
          <w:rFonts w:ascii="Simplified Arabic" w:hAnsi="Simplified Arabic" w:cs="Simplified Arabic"/>
          <w:color w:val="000000" w:themeColor="text1"/>
          <w:sz w:val="28"/>
          <w:szCs w:val="28"/>
          <w:lang w:bidi="ar-EG"/>
        </w:rPr>
        <w:t>CFA</w:t>
      </w:r>
      <w:r w:rsidRPr="00AB172D">
        <w:rPr>
          <w:rFonts w:ascii="Simplified Arabic" w:hAnsi="Simplified Arabic" w:cs="Simplified Arabic"/>
          <w:color w:val="000000" w:themeColor="text1"/>
          <w:sz w:val="28"/>
          <w:szCs w:val="28"/>
          <w:rtl/>
          <w:lang w:bidi="ar-EG"/>
        </w:rPr>
        <w:t>) للتحقق من الصدق البنائي للأداة، وتحليل الانحدار المتعدد (</w:t>
      </w:r>
      <w:r w:rsidRPr="00AB172D">
        <w:rPr>
          <w:rFonts w:ascii="Simplified Arabic" w:hAnsi="Simplified Arabic" w:cs="Simplified Arabic"/>
          <w:color w:val="000000" w:themeColor="text1"/>
          <w:sz w:val="28"/>
          <w:szCs w:val="28"/>
          <w:lang w:bidi="ar-EG"/>
        </w:rPr>
        <w:t>Multiple Regression</w:t>
      </w:r>
      <w:r w:rsidRPr="00AB172D">
        <w:rPr>
          <w:rFonts w:ascii="Simplified Arabic" w:hAnsi="Simplified Arabic" w:cs="Simplified Arabic"/>
          <w:color w:val="000000" w:themeColor="text1"/>
          <w:sz w:val="28"/>
          <w:szCs w:val="28"/>
          <w:rtl/>
          <w:lang w:bidi="ar-EG"/>
        </w:rPr>
        <w:t>) لقياس أثر المتغيّرات المستقلة في المتغيّر التابع، واختبار (</w:t>
      </w:r>
      <w:r w:rsidRPr="00AB172D">
        <w:rPr>
          <w:rFonts w:ascii="Simplified Arabic" w:hAnsi="Simplified Arabic" w:cs="Simplified Arabic"/>
          <w:color w:val="000000" w:themeColor="text1"/>
          <w:sz w:val="28"/>
          <w:szCs w:val="28"/>
          <w:lang w:bidi="ar-EG"/>
        </w:rPr>
        <w:t>T-Test</w:t>
      </w:r>
      <w:r w:rsidRPr="00AB172D">
        <w:rPr>
          <w:rFonts w:ascii="Simplified Arabic" w:hAnsi="Simplified Arabic" w:cs="Simplified Arabic"/>
          <w:color w:val="000000" w:themeColor="text1"/>
          <w:sz w:val="28"/>
          <w:szCs w:val="28"/>
          <w:rtl/>
          <w:lang w:bidi="ar-EG"/>
        </w:rPr>
        <w:t>) وتحليل التباين الأحادي (</w:t>
      </w:r>
      <w:r w:rsidRPr="00AB172D">
        <w:rPr>
          <w:rFonts w:ascii="Simplified Arabic" w:hAnsi="Simplified Arabic" w:cs="Simplified Arabic"/>
          <w:color w:val="000000" w:themeColor="text1"/>
          <w:sz w:val="28"/>
          <w:szCs w:val="28"/>
          <w:lang w:bidi="ar-EG"/>
        </w:rPr>
        <w:t>One-Way ANOVA</w:t>
      </w:r>
      <w:r w:rsidRPr="00AB172D">
        <w:rPr>
          <w:rFonts w:ascii="Simplified Arabic" w:hAnsi="Simplified Arabic" w:cs="Simplified Arabic"/>
          <w:color w:val="000000" w:themeColor="text1"/>
          <w:sz w:val="28"/>
          <w:szCs w:val="28"/>
          <w:rtl/>
          <w:lang w:bidi="ar-EG"/>
        </w:rPr>
        <w:t>) للكشف عن الفروق في استجابات المبحوثين وفقاً للمتغيّرات الديموغرافية والتنظيمية.</w:t>
      </w:r>
    </w:p>
    <w:p w14:paraId="326294B7"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172D">
        <w:rPr>
          <w:rFonts w:ascii="Simplified Arabic" w:hAnsi="Simplified Arabic" w:cs="Simplified Arabic"/>
          <w:b/>
          <w:bCs/>
          <w:color w:val="000000" w:themeColor="text1"/>
          <w:sz w:val="32"/>
          <w:szCs w:val="32"/>
          <w:rtl/>
          <w:lang w:bidi="ar-EG"/>
        </w:rPr>
        <w:t>سادساً: حدود الدراسة</w:t>
      </w:r>
    </w:p>
    <w:p w14:paraId="0AF00394"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ستلتزم الدراسة الحالية بالحدود الآتية:</w:t>
      </w:r>
    </w:p>
    <w:p w14:paraId="34C6091A" w14:textId="03A80203" w:rsidR="004F5783" w:rsidRPr="00AB172D" w:rsidRDefault="004F5783" w:rsidP="00A95744">
      <w:pPr>
        <w:pStyle w:val="a6"/>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الحدود الموضوعية: تقتصر الدراسة على تناول أثر ممارسات الإدارة الرشيقة بأبعادها الثلاثة (التطوير التكراري، واللامركزية في اتخاذ القرارات، وحلقات تغذية العملاء الراجعة) في الاستدامة المالية.</w:t>
      </w:r>
    </w:p>
    <w:p w14:paraId="2C57F719" w14:textId="1AB343C4" w:rsidR="004F5783" w:rsidRPr="00AB172D" w:rsidRDefault="004F5783" w:rsidP="00A95744">
      <w:pPr>
        <w:pStyle w:val="a6"/>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الحدود المكانية: ستُطبَّق الدراسة على الشركات الناشئة العاملة في منطقة الشرق الأوسط وشمال أفريقيا (</w:t>
      </w:r>
      <w:r w:rsidRPr="00AB172D">
        <w:rPr>
          <w:rFonts w:ascii="Simplified Arabic" w:hAnsi="Simplified Arabic" w:cs="Simplified Arabic"/>
          <w:color w:val="000000" w:themeColor="text1"/>
          <w:sz w:val="28"/>
          <w:szCs w:val="28"/>
          <w:lang w:bidi="ar-EG"/>
        </w:rPr>
        <w:t>MENA</w:t>
      </w:r>
      <w:r w:rsidRPr="00AB172D">
        <w:rPr>
          <w:rFonts w:ascii="Simplified Arabic" w:hAnsi="Simplified Arabic" w:cs="Simplified Arabic"/>
          <w:color w:val="000000" w:themeColor="text1"/>
          <w:sz w:val="28"/>
          <w:szCs w:val="28"/>
          <w:rtl/>
          <w:lang w:bidi="ar-EG"/>
        </w:rPr>
        <w:t>)، وتحديداً في ستّ دول هي: مصر، والمملكة العربية السعودية، والإمارات العربية المتحدة، والأردن، والمغرب، وتونس، بوصفها الدول الأكثر نشاطاً في منظومة الشركات الناشئة بالمنطقة.</w:t>
      </w:r>
    </w:p>
    <w:p w14:paraId="45AF4CF4" w14:textId="6E1766CB" w:rsidR="004F5783" w:rsidRPr="00AB172D" w:rsidRDefault="004F5783" w:rsidP="00A95744">
      <w:pPr>
        <w:pStyle w:val="a6"/>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الحدود البشرية: ستقتصر الدراسة على مؤسّسي ومديري الشركات الناشئة والمسؤولين في الإدارات العليا والوسطى والمسؤولين الماليين والتشغيليين فيها.</w:t>
      </w:r>
    </w:p>
    <w:p w14:paraId="7128026E" w14:textId="569CB4D4" w:rsidR="004F5783" w:rsidRPr="00AB172D" w:rsidRDefault="004F5783" w:rsidP="00A95744">
      <w:pPr>
        <w:pStyle w:val="a6"/>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الحدود الزمانية: ستُجرى الدراسة الميدانية خلال الفترة الممتدة من مطلع عام 2026.</w:t>
      </w:r>
    </w:p>
    <w:p w14:paraId="34F51C5A" w14:textId="3439BA27" w:rsidR="004F5783" w:rsidRPr="00AB172D" w:rsidRDefault="004F5783" w:rsidP="004F5783">
      <w:pPr>
        <w:jc w:val="center"/>
        <w:outlineLvl w:val="0"/>
        <w:rPr>
          <w:rFonts w:ascii="Simplified Arabic" w:hAnsi="Simplified Arabic" w:cs="Simplified Arabic"/>
          <w:b/>
          <w:bCs/>
          <w:color w:val="000000" w:themeColor="text1"/>
          <w:sz w:val="40"/>
          <w:szCs w:val="40"/>
          <w:rtl/>
          <w:lang w:bidi="ar-EG"/>
        </w:rPr>
      </w:pPr>
      <w:r w:rsidRPr="00AB172D">
        <w:rPr>
          <w:rFonts w:ascii="Simplified Arabic" w:hAnsi="Simplified Arabic" w:cs="Simplified Arabic"/>
          <w:b/>
          <w:bCs/>
          <w:color w:val="000000" w:themeColor="text1"/>
          <w:sz w:val="40"/>
          <w:szCs w:val="40"/>
          <w:rtl/>
          <w:lang w:bidi="ar-EG"/>
        </w:rPr>
        <w:br w:type="page"/>
      </w:r>
      <w:bookmarkStart w:id="12" w:name="_Toc234338540"/>
      <w:r w:rsidRPr="00AB172D">
        <w:rPr>
          <w:rFonts w:ascii="Simplified Arabic" w:hAnsi="Simplified Arabic" w:cs="Simplified Arabic" w:hint="cs"/>
          <w:b/>
          <w:bCs/>
          <w:color w:val="000000" w:themeColor="text1"/>
          <w:sz w:val="40"/>
          <w:szCs w:val="40"/>
          <w:rtl/>
          <w:lang w:bidi="ar-EG"/>
        </w:rPr>
        <w:lastRenderedPageBreak/>
        <w:t xml:space="preserve">الفصل الثاني: </w:t>
      </w:r>
      <w:r w:rsidRPr="00AB172D">
        <w:rPr>
          <w:rFonts w:ascii="Simplified Arabic" w:hAnsi="Simplified Arabic" w:cs="Simplified Arabic"/>
          <w:b/>
          <w:bCs/>
          <w:color w:val="000000" w:themeColor="text1"/>
          <w:sz w:val="40"/>
          <w:szCs w:val="40"/>
          <w:rtl/>
          <w:lang w:bidi="ar-EG"/>
        </w:rPr>
        <w:t>الإطار النظري للدراسة</w:t>
      </w:r>
      <w:bookmarkEnd w:id="12"/>
    </w:p>
    <w:p w14:paraId="4B8FA831" w14:textId="77777777" w:rsidR="004F5783" w:rsidRPr="00AB172D" w:rsidRDefault="004F5783" w:rsidP="004F5783">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tl/>
          <w:lang w:bidi="ar-EG"/>
        </w:rPr>
      </w:pPr>
      <w:bookmarkStart w:id="13" w:name="_Toc234338541"/>
      <w:r w:rsidRPr="00AB172D">
        <w:rPr>
          <w:rFonts w:ascii="Simplified Arabic" w:hAnsi="Simplified Arabic" w:cs="Simplified Arabic"/>
          <w:b/>
          <w:bCs/>
          <w:color w:val="000000" w:themeColor="text1"/>
          <w:sz w:val="36"/>
          <w:szCs w:val="36"/>
          <w:rtl/>
          <w:lang w:bidi="ar-EG"/>
        </w:rPr>
        <w:t>المبحث الأول: الإدارة الرشيقة (</w:t>
      </w:r>
      <w:r w:rsidRPr="00AB172D">
        <w:rPr>
          <w:rFonts w:ascii="Simplified Arabic" w:hAnsi="Simplified Arabic" w:cs="Simplified Arabic"/>
          <w:b/>
          <w:bCs/>
          <w:color w:val="000000" w:themeColor="text1"/>
          <w:sz w:val="36"/>
          <w:szCs w:val="36"/>
          <w:lang w:bidi="ar-EG"/>
        </w:rPr>
        <w:t>Agile Management</w:t>
      </w:r>
      <w:r w:rsidRPr="00AB172D">
        <w:rPr>
          <w:rFonts w:ascii="Simplified Arabic" w:hAnsi="Simplified Arabic" w:cs="Simplified Arabic"/>
          <w:b/>
          <w:bCs/>
          <w:color w:val="000000" w:themeColor="text1"/>
          <w:sz w:val="36"/>
          <w:szCs w:val="36"/>
          <w:rtl/>
          <w:lang w:bidi="ar-EG"/>
        </w:rPr>
        <w:t>)</w:t>
      </w:r>
      <w:bookmarkEnd w:id="13"/>
    </w:p>
    <w:p w14:paraId="61342BED" w14:textId="0373CC87" w:rsidR="004F5783" w:rsidRPr="00AB172D" w:rsidRDefault="004F5783" w:rsidP="004F578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14" w:name="_Toc234338542"/>
      <w:r w:rsidRPr="00AB172D">
        <w:rPr>
          <w:rFonts w:ascii="Simplified Arabic" w:hAnsi="Simplified Arabic" w:cs="Simplified Arabic" w:hint="cs"/>
          <w:b/>
          <w:bCs/>
          <w:color w:val="000000" w:themeColor="text1"/>
          <w:sz w:val="32"/>
          <w:szCs w:val="32"/>
          <w:rtl/>
          <w:lang w:bidi="ar-EG"/>
        </w:rPr>
        <w:t xml:space="preserve">1.1.2 </w:t>
      </w:r>
      <w:r w:rsidRPr="00AB172D">
        <w:rPr>
          <w:rFonts w:ascii="Simplified Arabic" w:hAnsi="Simplified Arabic" w:cs="Simplified Arabic"/>
          <w:b/>
          <w:bCs/>
          <w:color w:val="000000" w:themeColor="text1"/>
          <w:sz w:val="32"/>
          <w:szCs w:val="32"/>
          <w:rtl/>
          <w:lang w:bidi="ar-EG"/>
        </w:rPr>
        <w:t>تمهيد</w:t>
      </w:r>
      <w:bookmarkEnd w:id="14"/>
    </w:p>
    <w:p w14:paraId="298611EB"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تُمثّل الإدارة الرشيقة أحد أبرز التحولات الفكرية والمنهجية التي شهدها الفكر الإداري المعاصر، إذ برزت استجابةً لقصور النماذج الإدارية التقليدية عن التعامل مع بيئات الأعمال المتّسمة بالتغيّر السريع وعدم اليقين. وقد نشأت جذور هذه الفلسفة في قطاع تطوير البرمجيات مع إطلاق بيان أجايل (</w:t>
      </w:r>
      <w:r w:rsidRPr="00AB172D">
        <w:rPr>
          <w:rFonts w:ascii="Simplified Arabic" w:hAnsi="Simplified Arabic" w:cs="Simplified Arabic"/>
          <w:color w:val="000000" w:themeColor="text1"/>
          <w:sz w:val="28"/>
          <w:szCs w:val="28"/>
          <w:lang w:bidi="ar-EG"/>
        </w:rPr>
        <w:t>Agile Manifesto</w:t>
      </w:r>
      <w:r w:rsidRPr="00AB172D">
        <w:rPr>
          <w:rFonts w:ascii="Simplified Arabic" w:hAnsi="Simplified Arabic" w:cs="Simplified Arabic"/>
          <w:color w:val="000000" w:themeColor="text1"/>
          <w:sz w:val="28"/>
          <w:szCs w:val="28"/>
          <w:rtl/>
          <w:lang w:bidi="ar-EG"/>
        </w:rPr>
        <w:t>) في عام 2001، ثم توسّع نطاقها التطبيقي ليشمل مختلف قطاعات الأعمال، حتى باتت تُمثّل فلسفةً إداريةً شاملةً تُعيد تشكيل طريقة إدارة المنظمات وعملياتها ومواردها البشرية. وتقوم الإدارة الرشيقة على منظومة متكاملة من المبادئ والممارسات التي تُعزّز مرونة المنظمة، وسرعة استجابتها للتغيّرات، وقدرتها على تحويل التحديات إلى فرص، لا سيما في ظل التنافسية الحادّة والتحولات الرقمية المتسارعة التي تفرض على المنظمات ضرورة إعادة النظر في هياكلها وعملياتها ونماذج قيادتها (</w:t>
      </w:r>
      <w:r w:rsidRPr="00AB172D">
        <w:rPr>
          <w:rFonts w:ascii="Simplified Arabic" w:hAnsi="Simplified Arabic" w:cs="Simplified Arabic"/>
          <w:color w:val="000000" w:themeColor="text1"/>
          <w:sz w:val="28"/>
          <w:szCs w:val="28"/>
          <w:lang w:bidi="ar-EG"/>
        </w:rPr>
        <w:t>Ciric Lalic et al., 2022</w:t>
      </w:r>
      <w:r w:rsidRPr="00AB172D">
        <w:rPr>
          <w:rFonts w:ascii="Simplified Arabic" w:hAnsi="Simplified Arabic" w:cs="Simplified Arabic"/>
          <w:color w:val="000000" w:themeColor="text1"/>
          <w:sz w:val="28"/>
          <w:szCs w:val="28"/>
          <w:rtl/>
          <w:lang w:bidi="ar-EG"/>
        </w:rPr>
        <w:t>). وسيتناول هذا المبحث الإدارة الرشيقة من خلال استعراض مفهومها، وأهميتها، وأهدافها، وأبعادها، وواقع تطبيقها في الشركات الناشئة.</w:t>
      </w:r>
    </w:p>
    <w:p w14:paraId="176A30A7" w14:textId="2B55D1CC" w:rsidR="004F5783" w:rsidRPr="00AB172D" w:rsidRDefault="004F5783" w:rsidP="004F578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15" w:name="_Toc234338543"/>
      <w:r w:rsidRPr="00AB172D">
        <w:rPr>
          <w:rFonts w:ascii="Simplified Arabic" w:hAnsi="Simplified Arabic" w:cs="Simplified Arabic" w:hint="cs"/>
          <w:b/>
          <w:bCs/>
          <w:color w:val="000000" w:themeColor="text1"/>
          <w:sz w:val="32"/>
          <w:szCs w:val="32"/>
          <w:rtl/>
          <w:lang w:bidi="ar-EG"/>
        </w:rPr>
        <w:t xml:space="preserve">2.1.2 </w:t>
      </w:r>
      <w:r w:rsidRPr="00AB172D">
        <w:rPr>
          <w:rFonts w:ascii="Simplified Arabic" w:hAnsi="Simplified Arabic" w:cs="Simplified Arabic"/>
          <w:b/>
          <w:bCs/>
          <w:color w:val="000000" w:themeColor="text1"/>
          <w:sz w:val="32"/>
          <w:szCs w:val="32"/>
          <w:rtl/>
          <w:lang w:bidi="ar-EG"/>
        </w:rPr>
        <w:t>مفهوم الإدارة الرشيقة</w:t>
      </w:r>
      <w:bookmarkEnd w:id="15"/>
    </w:p>
    <w:p w14:paraId="5FD926B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يُعدّ مفهوم الإدارة الرشيقة من المفاهيم الإدارية الحديثة التي شهدت تطوراً ملحوظاً في الفكر الإداري المعاصر، وقد تعدّدت التعريفات التي قدّمها الباحثون لهذا المفهوم بتعدّد المداخل والزوايا التي تناولوها من خلالها.</w:t>
      </w:r>
    </w:p>
    <w:p w14:paraId="28AE6510"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فقد عرّفها المحلاوي (2024) بأنّها منظومة من الممارسات الإدارية القائمة على المرونة والاستجابة السريعة للتغيّرات البيئية، عبر توظيف قيادات مرنة وقوى عاملة مؤهّلة وتكنولوجيا متطورة واستراتيجيات ديناميكية، بما يُتيح للمنظمة تحقيق التكيّف المستمر مع متطلبات السوق. في حين نظر إليها إبراهيم (2023) بوصفها فلسفة إدارية تُعيد تصميم العمليات والهياكل التنظيمية بما يُعزّز قدرة المنظمة على الابتكار والاستجابة السريعة للفرص والتهديدات، مؤكداً على الطابع الشمولي للإدارة الرشيقة الذي يتجاوز مجرد كونها أسلوباً في إدارة المشروعات.</w:t>
      </w:r>
    </w:p>
    <w:p w14:paraId="4567EDF4"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lastRenderedPageBreak/>
        <w:t>وتناولها الزيدي ومنذور (2021) من زاوية وظيفية، إذ عدّاها آليةً إداريةً تُوظّف مجموعة من الأدوات والممارسات التي تُتيح للمنظمة تقديم خدمات ومنتجات عالية الجودة في أقصر وقت ممكن وبأقل التكاليف، بما يُحقّق رضا المستفيدين. وأضاف علي (2021) بُعداً استراتيجياً لهذا المفهوم عبر تعريفها بأنّها قدرة تنظيمية استراتيجية تُمكّن المنظمة من الاستشعار المبكر للتغيّرات، وإعادة تشكيل مواردها بسرعة، والاستجابة الفعّالة للتحوّلات في بيئة الأعمال بما يُعزّز أداءها المؤسسي.</w:t>
      </w:r>
    </w:p>
    <w:p w14:paraId="3F208CFF"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ومن منظور مختلف، قدّم الدوشان (2024) تعريفاً يُركّز على البُعد التشغيلي، إذ عرّفها بأنّها ممارسات إدارية متكاملة تسعى إلى القضاء على الهدر في العمليات، وتحسين تدفّق القيمة، وتعزيز ثقافة التحسين المستمر داخل المنظمة. أما حوراني والصمادي (2023) فقد ركّزا على البُعد الإنساني للإدارة الرشيقة بوصفها فلسفةً تضع الإنسان في قلب العملية الإدارية، عبر تمكين العاملين وتفويض الصلاحيات وتعزيز روح الفريق والتعاون.</w:t>
      </w:r>
    </w:p>
    <w:p w14:paraId="5ECDE6EE"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وفي السياق الأجنبي، عرّفها </w:t>
      </w:r>
      <w:r w:rsidRPr="00AB172D">
        <w:rPr>
          <w:rFonts w:ascii="Simplified Arabic" w:hAnsi="Simplified Arabic" w:cs="Simplified Arabic"/>
          <w:color w:val="000000" w:themeColor="text1"/>
          <w:sz w:val="28"/>
          <w:szCs w:val="28"/>
          <w:lang w:bidi="ar-EG"/>
        </w:rPr>
        <w:t>Ciric Lalic et al</w:t>
      </w:r>
      <w:r w:rsidRPr="00AB172D">
        <w:rPr>
          <w:rFonts w:ascii="Simplified Arabic" w:hAnsi="Simplified Arabic" w:cs="Simplified Arabic"/>
          <w:color w:val="000000" w:themeColor="text1"/>
          <w:sz w:val="28"/>
          <w:szCs w:val="28"/>
          <w:rtl/>
          <w:lang w:bidi="ar-EG"/>
        </w:rPr>
        <w:t xml:space="preserve">. (2022) بوصفها منهجيةً حديثةً في إدارة المشروعات تقوم على التطوير التدريجي والتكراري، والتعاون المستمر بين أفراد الفريق والعملاء، والاستجابة السريعة للتغيير بدلاً من التمسّك بالخطة الأصلية. في حين قدّم </w:t>
      </w:r>
      <w:r w:rsidRPr="00AB172D">
        <w:rPr>
          <w:rFonts w:ascii="Simplified Arabic" w:hAnsi="Simplified Arabic" w:cs="Simplified Arabic"/>
          <w:color w:val="000000" w:themeColor="text1"/>
          <w:sz w:val="28"/>
          <w:szCs w:val="28"/>
          <w:lang w:bidi="ar-EG"/>
        </w:rPr>
        <w:t>Muhammad et al</w:t>
      </w:r>
      <w:r w:rsidRPr="00AB172D">
        <w:rPr>
          <w:rFonts w:ascii="Simplified Arabic" w:hAnsi="Simplified Arabic" w:cs="Simplified Arabic"/>
          <w:color w:val="000000" w:themeColor="text1"/>
          <w:sz w:val="28"/>
          <w:szCs w:val="28"/>
          <w:rtl/>
          <w:lang w:bidi="ar-EG"/>
        </w:rPr>
        <w:t xml:space="preserve">. (2021) تعريفاً يُبرز البُعد المرن، إذ عدّاها منظومةً إداريةً تقوم على تقسيم العمل إلى دورات قصيرة ومتتالية تُتيح المراجعة والتحسين المستمر، مع التركيز على تسليم القيمة للعميل بصورة تدريجية. وربطها </w:t>
      </w:r>
      <w:proofErr w:type="spellStart"/>
      <w:r w:rsidRPr="00AB172D">
        <w:rPr>
          <w:rFonts w:ascii="Simplified Arabic" w:hAnsi="Simplified Arabic" w:cs="Simplified Arabic"/>
          <w:color w:val="000000" w:themeColor="text1"/>
          <w:sz w:val="28"/>
          <w:szCs w:val="28"/>
          <w:lang w:bidi="ar-EG"/>
        </w:rPr>
        <w:t>Esamah</w:t>
      </w:r>
      <w:proofErr w:type="spellEnd"/>
      <w:r w:rsidRPr="00AB172D">
        <w:rPr>
          <w:rFonts w:ascii="Simplified Arabic" w:hAnsi="Simplified Arabic" w:cs="Simplified Arabic"/>
          <w:color w:val="000000" w:themeColor="text1"/>
          <w:sz w:val="28"/>
          <w:szCs w:val="28"/>
          <w:lang w:bidi="ar-EG"/>
        </w:rPr>
        <w:t xml:space="preserve"> et al</w:t>
      </w:r>
      <w:r w:rsidRPr="00AB172D">
        <w:rPr>
          <w:rFonts w:ascii="Simplified Arabic" w:hAnsi="Simplified Arabic" w:cs="Simplified Arabic"/>
          <w:color w:val="000000" w:themeColor="text1"/>
          <w:sz w:val="28"/>
          <w:szCs w:val="28"/>
          <w:rtl/>
          <w:lang w:bidi="ar-EG"/>
        </w:rPr>
        <w:t xml:space="preserve">. (2023) بمفهوم القيادة الرشيقة بوصفها نمطاً قياديّاً يجمع بين الرؤية الاستراتيجية والاستجابة التكتيكية السريعة، بما يُتيح للمنظمة التكيّف مع الأزمات والتحوّلات الرقمية. كما قدّم </w:t>
      </w:r>
      <w:r w:rsidRPr="00AB172D">
        <w:rPr>
          <w:rFonts w:ascii="Simplified Arabic" w:hAnsi="Simplified Arabic" w:cs="Simplified Arabic"/>
          <w:color w:val="000000" w:themeColor="text1"/>
          <w:sz w:val="28"/>
          <w:szCs w:val="28"/>
          <w:lang w:bidi="ar-EG"/>
        </w:rPr>
        <w:t>Gomes Silva et al</w:t>
      </w:r>
      <w:r w:rsidRPr="00AB172D">
        <w:rPr>
          <w:rFonts w:ascii="Simplified Arabic" w:hAnsi="Simplified Arabic" w:cs="Simplified Arabic"/>
          <w:color w:val="000000" w:themeColor="text1"/>
          <w:sz w:val="28"/>
          <w:szCs w:val="28"/>
          <w:rtl/>
          <w:lang w:bidi="ar-EG"/>
        </w:rPr>
        <w:t>. (2022) قراءةً تكامليةً للمفهوم عبر ربطه بأركان الاستدامة الثلاثة، مؤكداً على أنّ الإدارة الرشيقة ليست مجرد منهجية تشغيلية، بل فلسفة شاملة تتقاطع مع أبعاد الاستدامة الاقتصادية والاجتماعية والبيئية.</w:t>
      </w:r>
    </w:p>
    <w:p w14:paraId="1C211F91"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رأي الباحث: يتّضح مما سبق أنّ مفهوم الإدارة الرشيقة يحمل أبعاداً متعددةً ومتشابكةً تتراوح بين البُعد التشغيلي، والبُعد الاستراتيجي، والبُعد الإنساني، والبُعد التكنولوجي. وفي ضوء تعدّد المداخل المذكورة، يرى الباحث أنّ الإدارة الرشيقة يمكن تعريفها إجرائياً في سياق الشركات الناشئة بأنّها: “منظومة متكاملة من الممارسات الإدارية التي تتبنّاها الشركات الناشئة للتكيّف مع بيئة الأعمال الديناميكية، وتقوم على التطوير التكراري للمنتجات والخدمات، واللامركزية في اتخاذ القرارات، وبناء حلقات منتظمة للتغذية الراجعة من العملاء، بما يُتيح للشركة تحقيق التوازن بين المرونة التشغيلية والاستدامة المالية في ظل محدودية الموارد </w:t>
      </w:r>
      <w:r w:rsidRPr="00AB172D">
        <w:rPr>
          <w:rFonts w:ascii="Simplified Arabic" w:hAnsi="Simplified Arabic" w:cs="Simplified Arabic"/>
          <w:color w:val="000000" w:themeColor="text1"/>
          <w:sz w:val="28"/>
          <w:szCs w:val="28"/>
          <w:rtl/>
          <w:lang w:bidi="ar-EG"/>
        </w:rPr>
        <w:lastRenderedPageBreak/>
        <w:t>وارتفاع مستويات المخاطر”. ويرى الباحث أنّ هذا التعريف يستوعب خصوصية الشركات الناشئة، ويُبرز الأبعاد الأكثر ملاءمةً لطبيعتها، بعيداً عن الأبعاد الكلاسيكية الشاملة التي تتناسب مع المنظمات الكبرى.</w:t>
      </w:r>
    </w:p>
    <w:p w14:paraId="3DC4AEC1" w14:textId="2D8868E9" w:rsidR="004F5783" w:rsidRPr="00AB172D" w:rsidRDefault="004F5783" w:rsidP="004F578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16" w:name="_Toc234338544"/>
      <w:r w:rsidRPr="00AB172D">
        <w:rPr>
          <w:rFonts w:ascii="Simplified Arabic" w:hAnsi="Simplified Arabic" w:cs="Simplified Arabic" w:hint="cs"/>
          <w:b/>
          <w:bCs/>
          <w:color w:val="000000" w:themeColor="text1"/>
          <w:sz w:val="32"/>
          <w:szCs w:val="32"/>
          <w:rtl/>
          <w:lang w:bidi="ar-EG"/>
        </w:rPr>
        <w:t xml:space="preserve">3.1.2 </w:t>
      </w:r>
      <w:r w:rsidRPr="00AB172D">
        <w:rPr>
          <w:rFonts w:ascii="Simplified Arabic" w:hAnsi="Simplified Arabic" w:cs="Simplified Arabic"/>
          <w:b/>
          <w:bCs/>
          <w:color w:val="000000" w:themeColor="text1"/>
          <w:sz w:val="32"/>
          <w:szCs w:val="32"/>
          <w:rtl/>
          <w:lang w:bidi="ar-EG"/>
        </w:rPr>
        <w:t>أهمية الإدارة الرشيقة</w:t>
      </w:r>
      <w:bookmarkEnd w:id="16"/>
    </w:p>
    <w:p w14:paraId="3D70FAFB"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تكتسب الإدارة الرشيقة أهميةً متعاظمةً في الفكر الإداري المعاصر، لكونها تُمثّل استجابةً منهجيةً لتحديات البيئة التنافسية الحديثة، ومخرجاً فكرياً من قيود النماذج الإدارية التقليدية. وتتجلّى هذه الأهمية عبر تعدّد الأبعاد التي تتقاطع معها، سواء على المستوى التنظيمي أو الاستراتيجي أو التشغيلي أو المالي.</w:t>
      </w:r>
    </w:p>
    <w:p w14:paraId="325932FF"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ويشير المحلاوي (2024) إلى أنّ أهمية الإدارة الرشيقة تتمثّل في:</w:t>
      </w:r>
    </w:p>
    <w:p w14:paraId="230622E0" w14:textId="4647F00D" w:rsidR="004F5783" w:rsidRPr="00AB172D" w:rsidRDefault="004F5783" w:rsidP="00A95744">
      <w:pPr>
        <w:pStyle w:val="a6"/>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تعزيز قدرة المنظمة على الاستجابة السريعة للتحوّلات في بيئة الأعمال، مما يُتيح لها استغلال الفرص وتحييد التهديدات في وقت مبكر.</w:t>
      </w:r>
    </w:p>
    <w:p w14:paraId="3D74B4BB" w14:textId="7531E16E" w:rsidR="004F5783" w:rsidRPr="00AB172D" w:rsidRDefault="004F5783" w:rsidP="00A95744">
      <w:pPr>
        <w:pStyle w:val="a6"/>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تحسين الأداء التنظيمي عبر تبسيط العمليات وتقليص دورات اتخاذ القرار.</w:t>
      </w:r>
    </w:p>
    <w:p w14:paraId="41463D1B" w14:textId="374FC4B1" w:rsidR="004F5783" w:rsidRPr="00AB172D" w:rsidRDefault="004F5783" w:rsidP="00A95744">
      <w:pPr>
        <w:pStyle w:val="a6"/>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رفع كفاءة استخدام الموارد وتقليص الهدر في العمليات التشغيلية.</w:t>
      </w:r>
    </w:p>
    <w:p w14:paraId="3EA3001D" w14:textId="3A7F2B2E" w:rsidR="004F5783" w:rsidRPr="00AB172D" w:rsidRDefault="004F5783" w:rsidP="00A95744">
      <w:pPr>
        <w:pStyle w:val="a6"/>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تعزيز ثقافة الابتكار والتطوير المستمر داخل المنظمة.</w:t>
      </w:r>
    </w:p>
    <w:p w14:paraId="0E482112" w14:textId="477C7437" w:rsidR="004F5783" w:rsidRPr="00AB172D" w:rsidRDefault="004F5783" w:rsidP="00A95744">
      <w:pPr>
        <w:pStyle w:val="a6"/>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تدعيم القدرات التنافسية للمنظمة في الأسواق المتغيّرة.</w:t>
      </w:r>
    </w:p>
    <w:p w14:paraId="00295C6D"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ويرى العتيبي (2024) أنّ أهمية الإدارة الرشيقة تكمن في: تحسين الأداء الوظيفي للعاملين عبر تمكينهم ومنحهم صلاحيات أوسع، وتعزيز روح المبادرة والالتزام لدى الكوادر البشرية، وتقليص الفجوة بين الإدارة العليا والمستويات الوظيفية الأدنى، وبناء بيئة عمل قائمة على التعاون والثقة المتبادلة.</w:t>
      </w:r>
    </w:p>
    <w:p w14:paraId="4DCB6D81"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فيما يُقدّم الجعيد والثبيتي (2024) رؤيةً مكمّلةً، إذ يريان أنّ الإدارة الرشيقة تُكتسب أهميتها من كونها: منظومةً محفّزةً للإبداع الوظيفي والتنظيمي، وأداةً لتفعيل الطاقات الكامنة لدى العاملين، ومرتكزاً لبناء منظمات ذكية قادرة على التعلّم المستمر، وإطاراً يُسهم في تعظيم القيمة المضافة للمنظمة.</w:t>
      </w:r>
    </w:p>
    <w:p w14:paraId="1034D8A4"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وينظر إليها الزيدي ومنذور (2021) بوصفها ركيزةً محوريةً لتحسين جودة الخدمات المقدَّمة للمستفيدين، عبر تقصير دورات الاستجابة، وتحسين آليات التواصل، وتعزيز مرونة العمليات التشغيلية، بما يُلبّي التوقعات المتنامية للعملاء والمستفيدين.</w:t>
      </w:r>
    </w:p>
    <w:p w14:paraId="5667C738"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 xml:space="preserve">ومن منظور تكاملي، يرى </w:t>
      </w:r>
      <w:r w:rsidRPr="00AB172D">
        <w:rPr>
          <w:rFonts w:ascii="Simplified Arabic" w:hAnsi="Simplified Arabic" w:cs="Simplified Arabic"/>
          <w:b/>
          <w:bCs/>
          <w:color w:val="000000" w:themeColor="text1"/>
          <w:sz w:val="28"/>
          <w:szCs w:val="28"/>
          <w:lang w:bidi="ar-EG"/>
        </w:rPr>
        <w:t>Gomes Silva et al</w:t>
      </w:r>
      <w:r w:rsidRPr="00AB172D">
        <w:rPr>
          <w:rFonts w:ascii="Simplified Arabic" w:hAnsi="Simplified Arabic" w:cs="Simplified Arabic"/>
          <w:b/>
          <w:bCs/>
          <w:color w:val="000000" w:themeColor="text1"/>
          <w:sz w:val="28"/>
          <w:szCs w:val="28"/>
          <w:rtl/>
          <w:lang w:bidi="ar-EG"/>
        </w:rPr>
        <w:t>. (2022) أنّ أهمية الإدارة الرشيقة تتّضح في:</w:t>
      </w:r>
    </w:p>
    <w:p w14:paraId="66529FA9" w14:textId="3A116505" w:rsidR="004F5783" w:rsidRPr="00AB172D" w:rsidRDefault="004F5783" w:rsidP="00A95744">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lastRenderedPageBreak/>
        <w:t>تحقيق التوازن بين أركان الاستدامة الثلاثة (الاقتصادية، والاجتماعية، والبيئية).</w:t>
      </w:r>
    </w:p>
    <w:p w14:paraId="0AC3FAF4" w14:textId="7FDD7E5B" w:rsidR="004F5783" w:rsidRPr="00AB172D" w:rsidRDefault="004F5783" w:rsidP="00A95744">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تعزيز القدرة على إدارة المشروعات في ظل بيئات معقّدة وغير مستقرة.</w:t>
      </w:r>
    </w:p>
    <w:p w14:paraId="1B7F0CFA" w14:textId="6776011A" w:rsidR="004F5783" w:rsidRPr="00AB172D" w:rsidRDefault="004F5783" w:rsidP="00A95744">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دعم قدرة المنظمة على التكيّف مع متطلبات التحوّل نحو نماذج الأعمال المستدامة.</w:t>
      </w:r>
    </w:p>
    <w:p w14:paraId="74219E58" w14:textId="21E133EA" w:rsidR="004F5783" w:rsidRPr="00AB172D" w:rsidRDefault="004F5783" w:rsidP="00A95744">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تدعيم آليات المشاركة وأصحاب المصلحة في قرارات المنظمة.</w:t>
      </w:r>
    </w:p>
    <w:p w14:paraId="48C499C4"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ويُبرز </w:t>
      </w:r>
      <w:r w:rsidRPr="00AB172D">
        <w:rPr>
          <w:rFonts w:ascii="Simplified Arabic" w:hAnsi="Simplified Arabic" w:cs="Simplified Arabic"/>
          <w:color w:val="000000" w:themeColor="text1"/>
          <w:sz w:val="28"/>
          <w:szCs w:val="28"/>
          <w:lang w:bidi="ar-EG"/>
        </w:rPr>
        <w:t>Habib et al</w:t>
      </w:r>
      <w:r w:rsidRPr="00AB172D">
        <w:rPr>
          <w:rFonts w:ascii="Simplified Arabic" w:hAnsi="Simplified Arabic" w:cs="Simplified Arabic"/>
          <w:color w:val="000000" w:themeColor="text1"/>
          <w:sz w:val="28"/>
          <w:szCs w:val="28"/>
          <w:rtl/>
          <w:lang w:bidi="ar-EG"/>
        </w:rPr>
        <w:t>. (2021) بُعداً استراتيجياً آخر لأهمية الإدارة الرشيقة، متمثّلاً في: ربطها بالتوجّهات الاستراتيجية للمنظمة، ودعمها لتطبيق ممارسات إدارة سلسلة التوريد المستدامة، وتعزيز الأداء المستدام للشركات في الأسواق التنافسية.</w:t>
      </w:r>
    </w:p>
    <w:p w14:paraId="394BE186" w14:textId="3A6459C9" w:rsidR="004F5783" w:rsidRPr="00AB172D" w:rsidRDefault="004F5783" w:rsidP="004F578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17" w:name="_Toc234338545"/>
      <w:r w:rsidRPr="00AB172D">
        <w:rPr>
          <w:rFonts w:ascii="Simplified Arabic" w:hAnsi="Simplified Arabic" w:cs="Simplified Arabic" w:hint="cs"/>
          <w:b/>
          <w:bCs/>
          <w:color w:val="000000" w:themeColor="text1"/>
          <w:sz w:val="32"/>
          <w:szCs w:val="32"/>
          <w:rtl/>
          <w:lang w:bidi="ar-EG"/>
        </w:rPr>
        <w:t xml:space="preserve">4.1.2 </w:t>
      </w:r>
      <w:r w:rsidRPr="00AB172D">
        <w:rPr>
          <w:rFonts w:ascii="Simplified Arabic" w:hAnsi="Simplified Arabic" w:cs="Simplified Arabic"/>
          <w:b/>
          <w:bCs/>
          <w:color w:val="000000" w:themeColor="text1"/>
          <w:sz w:val="32"/>
          <w:szCs w:val="32"/>
          <w:rtl/>
          <w:lang w:bidi="ar-EG"/>
        </w:rPr>
        <w:t>أهداف الإدارة الرشيقة</w:t>
      </w:r>
      <w:bookmarkEnd w:id="17"/>
    </w:p>
    <w:p w14:paraId="2F17AC0B"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تسعى الإدارة الرشيقة إلى تحقيق جملة من الأهداف المتداخلة التي تعكس فلسفتها الشمولية، وقد أجملها الباحثون في عدة نقاط ومحاور:</w:t>
      </w:r>
    </w:p>
    <w:p w14:paraId="3A2FFE15" w14:textId="77777777" w:rsidR="004F5783" w:rsidRPr="00AB172D" w:rsidRDefault="004F5783" w:rsidP="004F5783">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يرى شيخ السوق وآخرون (2025) أنّ الإدارة الرشيقة تسعى إلى:</w:t>
      </w:r>
    </w:p>
    <w:p w14:paraId="5E334E88" w14:textId="03A05407" w:rsidR="004F5783" w:rsidRPr="00AB172D" w:rsidRDefault="004F5783" w:rsidP="00A95744">
      <w:pPr>
        <w:pStyle w:val="a6"/>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تعزيز الإبداع الإداري وتحفيز روح المبادرة داخل المنظمة.</w:t>
      </w:r>
    </w:p>
    <w:p w14:paraId="7158AE9D" w14:textId="37506DC8" w:rsidR="004F5783" w:rsidRPr="00AB172D" w:rsidRDefault="004F5783" w:rsidP="00A95744">
      <w:pPr>
        <w:pStyle w:val="a6"/>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تحسين آليات صنع القرار عبر تفويض الصلاحيات وتقصير المسافات الهرمية.</w:t>
      </w:r>
    </w:p>
    <w:p w14:paraId="722FBCDC" w14:textId="178167FF" w:rsidR="004F5783" w:rsidRPr="00AB172D" w:rsidRDefault="004F5783" w:rsidP="00A95744">
      <w:pPr>
        <w:pStyle w:val="a6"/>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تطوير قدرات القيادات على قيادة التغيير وإدارة عدم اليقين.</w:t>
      </w:r>
    </w:p>
    <w:p w14:paraId="2C6D3FA1" w14:textId="71E95AAF" w:rsidR="004F5783" w:rsidRPr="00AB172D" w:rsidRDefault="004F5783" w:rsidP="00A95744">
      <w:pPr>
        <w:pStyle w:val="a6"/>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بناء ثقافة تنظيمية قائمة على المرونة والتعلّم المستمر.</w:t>
      </w:r>
    </w:p>
    <w:p w14:paraId="762ED921"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ويُضيف أبو زيد ورضوان (2023) أهدافاً أخرى تشمل: رفع مستوى الأداء الوظيفي للعاملين، وتحسين علاقات العمل بين الإدارة والعاملين، وتوسيع نطاق مشاركة العاملين في اتخاذ القرارات، وتنمية مهاراتهم من خلال التدريب المستمر والتعلّم في مكان العمل.</w:t>
      </w:r>
    </w:p>
    <w:p w14:paraId="7E4CB86D"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فيما يُشير </w:t>
      </w:r>
      <w:proofErr w:type="spellStart"/>
      <w:r w:rsidRPr="00AB172D">
        <w:rPr>
          <w:rFonts w:ascii="Simplified Arabic" w:hAnsi="Simplified Arabic" w:cs="Simplified Arabic"/>
          <w:color w:val="000000" w:themeColor="text1"/>
          <w:sz w:val="28"/>
          <w:szCs w:val="28"/>
          <w:rtl/>
          <w:lang w:bidi="ar-EG"/>
        </w:rPr>
        <w:t>الولدي</w:t>
      </w:r>
      <w:proofErr w:type="spellEnd"/>
      <w:r w:rsidRPr="00AB172D">
        <w:rPr>
          <w:rFonts w:ascii="Simplified Arabic" w:hAnsi="Simplified Arabic" w:cs="Simplified Arabic"/>
          <w:color w:val="000000" w:themeColor="text1"/>
          <w:sz w:val="28"/>
          <w:szCs w:val="28"/>
          <w:rtl/>
          <w:lang w:bidi="ar-EG"/>
        </w:rPr>
        <w:t xml:space="preserve"> والشماسي (2024) إلى أهداف تتعلّق بجودة الحياة الوظيفية، أبرزها: تعزيز شعور العاملين بالانتماء للمنظمة، وتحسين بيئة العمل المادية والمعنوية، وتحقيق التوازن بين الحياة العملية والشخصية للعاملين، ورفع مستويات الرضا الوظيفي.</w:t>
      </w:r>
    </w:p>
    <w:p w14:paraId="604C2E19"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lastRenderedPageBreak/>
        <w:t xml:space="preserve">ويرى </w:t>
      </w:r>
      <w:proofErr w:type="spellStart"/>
      <w:r w:rsidRPr="00AB172D">
        <w:rPr>
          <w:rFonts w:ascii="Simplified Arabic" w:hAnsi="Simplified Arabic" w:cs="Simplified Arabic"/>
          <w:color w:val="000000" w:themeColor="text1"/>
          <w:sz w:val="28"/>
          <w:szCs w:val="28"/>
          <w:rtl/>
          <w:lang w:bidi="ar-EG"/>
        </w:rPr>
        <w:t>بورحلة</w:t>
      </w:r>
      <w:proofErr w:type="spellEnd"/>
      <w:r w:rsidRPr="00AB172D">
        <w:rPr>
          <w:rFonts w:ascii="Simplified Arabic" w:hAnsi="Simplified Arabic" w:cs="Simplified Arabic"/>
          <w:color w:val="000000" w:themeColor="text1"/>
          <w:sz w:val="28"/>
          <w:szCs w:val="28"/>
          <w:rtl/>
          <w:lang w:bidi="ar-EG"/>
        </w:rPr>
        <w:t xml:space="preserve"> (2024) أنّ الإدارة الرشيقة تستهدف: تحقيق الأداء المتميّز للمنظمة، وتعزيز قدرتها على الصمود في مواجهة الأزمات، وتحسين مؤشرات الكفاءة والفعّالية التشغيلية، والحفاظ على مركز تنافسي متقدّم في السوق.</w:t>
      </w:r>
    </w:p>
    <w:p w14:paraId="659162B3"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كما يُبرز عبدالله ورضوان (2024) أهدافاً استراتيجيةً للإدارة الرشيقة، تشمل: دعم عمليات التجديد الاستراتيجي للمنظمة، وتمكينها من إعادة تشكيل نموذج أعمالها بمرونة، وتعزيز قدرتها على استكشاف فرص نمو جديدة، وتطوير قدراتها الاستراتيجية بصورة مستمرة.</w:t>
      </w:r>
    </w:p>
    <w:p w14:paraId="15846344" w14:textId="2F3BFD46" w:rsidR="004F5783" w:rsidRPr="00AB172D" w:rsidRDefault="004F5783" w:rsidP="004F5783">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18" w:name="_Toc234338546"/>
      <w:r w:rsidRPr="00AB172D">
        <w:rPr>
          <w:rFonts w:ascii="Simplified Arabic" w:hAnsi="Simplified Arabic" w:cs="Simplified Arabic" w:hint="cs"/>
          <w:b/>
          <w:bCs/>
          <w:color w:val="000000" w:themeColor="text1"/>
          <w:sz w:val="32"/>
          <w:szCs w:val="32"/>
          <w:rtl/>
          <w:lang w:bidi="ar-EG"/>
        </w:rPr>
        <w:t xml:space="preserve">5.1.2 </w:t>
      </w:r>
      <w:r w:rsidRPr="00AB172D">
        <w:rPr>
          <w:rFonts w:ascii="Simplified Arabic" w:hAnsi="Simplified Arabic" w:cs="Simplified Arabic"/>
          <w:b/>
          <w:bCs/>
          <w:color w:val="000000" w:themeColor="text1"/>
          <w:sz w:val="32"/>
          <w:szCs w:val="32"/>
          <w:rtl/>
          <w:lang w:bidi="ar-EG"/>
        </w:rPr>
        <w:t>أبعاد الإدارة الرشيقة (متغيرات الدراسة)</w:t>
      </w:r>
      <w:bookmarkEnd w:id="18"/>
    </w:p>
    <w:p w14:paraId="12E0F34F"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تمّ تحديد أبعاد الإدارة الرشيقة في الدراسة الحالية بالاستناد إلى مراجعة معمّقة للأدبيات، لا سيما دراسة </w:t>
      </w:r>
      <w:r w:rsidRPr="00AB172D">
        <w:rPr>
          <w:rFonts w:ascii="Simplified Arabic" w:hAnsi="Simplified Arabic" w:cs="Simplified Arabic"/>
          <w:color w:val="000000" w:themeColor="text1"/>
          <w:sz w:val="28"/>
          <w:szCs w:val="28"/>
          <w:lang w:bidi="ar-EG"/>
        </w:rPr>
        <w:t>Ciric Lalic et al</w:t>
      </w:r>
      <w:r w:rsidRPr="00AB172D">
        <w:rPr>
          <w:rFonts w:ascii="Simplified Arabic" w:hAnsi="Simplified Arabic" w:cs="Simplified Arabic"/>
          <w:color w:val="000000" w:themeColor="text1"/>
          <w:sz w:val="28"/>
          <w:szCs w:val="28"/>
          <w:rtl/>
          <w:lang w:bidi="ar-EG"/>
        </w:rPr>
        <w:t xml:space="preserve">. (2022) ودراسة </w:t>
      </w:r>
      <w:r w:rsidRPr="00AB172D">
        <w:rPr>
          <w:rFonts w:ascii="Simplified Arabic" w:hAnsi="Simplified Arabic" w:cs="Simplified Arabic"/>
          <w:color w:val="000000" w:themeColor="text1"/>
          <w:sz w:val="28"/>
          <w:szCs w:val="28"/>
          <w:lang w:bidi="ar-EG"/>
        </w:rPr>
        <w:t>Muhammad et al</w:t>
      </w:r>
      <w:r w:rsidRPr="00AB172D">
        <w:rPr>
          <w:rFonts w:ascii="Simplified Arabic" w:hAnsi="Simplified Arabic" w:cs="Simplified Arabic"/>
          <w:color w:val="000000" w:themeColor="text1"/>
          <w:sz w:val="28"/>
          <w:szCs w:val="28"/>
          <w:rtl/>
          <w:lang w:bidi="ar-EG"/>
        </w:rPr>
        <w:t xml:space="preserve">. (2021) ودراسة </w:t>
      </w:r>
      <w:proofErr w:type="spellStart"/>
      <w:r w:rsidRPr="00AB172D">
        <w:rPr>
          <w:rFonts w:ascii="Simplified Arabic" w:hAnsi="Simplified Arabic" w:cs="Simplified Arabic"/>
          <w:color w:val="000000" w:themeColor="text1"/>
          <w:sz w:val="28"/>
          <w:szCs w:val="28"/>
          <w:lang w:bidi="ar-EG"/>
        </w:rPr>
        <w:t>Malatyinszki</w:t>
      </w:r>
      <w:proofErr w:type="spellEnd"/>
      <w:r w:rsidRPr="00AB172D">
        <w:rPr>
          <w:rFonts w:ascii="Simplified Arabic" w:hAnsi="Simplified Arabic" w:cs="Simplified Arabic"/>
          <w:color w:val="000000" w:themeColor="text1"/>
          <w:sz w:val="28"/>
          <w:szCs w:val="28"/>
          <w:lang w:bidi="ar-EG"/>
        </w:rPr>
        <w:t xml:space="preserve"> et al</w:t>
      </w:r>
      <w:r w:rsidRPr="00AB172D">
        <w:rPr>
          <w:rFonts w:ascii="Simplified Arabic" w:hAnsi="Simplified Arabic" w:cs="Simplified Arabic"/>
          <w:color w:val="000000" w:themeColor="text1"/>
          <w:sz w:val="28"/>
          <w:szCs w:val="28"/>
          <w:rtl/>
          <w:lang w:bidi="ar-EG"/>
        </w:rPr>
        <w:t>. (2025)، فضلاً عن ملاءمة هذه الأبعاد لطبيعة الشركات الناشئة وخصوصية بيئتها. وقد تمّ الاقتصار على ثلاثة أبعاد جوهرية تنسجم مع فلسفة الرشاقة في سياق الشركات الناشئة، هي: التطوير التكراري، واللامركزية في اتخاذ القرارات، وحلقات تغذية العملاء الراجعة.</w:t>
      </w:r>
    </w:p>
    <w:p w14:paraId="5AE2DBBD" w14:textId="77777777" w:rsidR="004F5783" w:rsidRPr="00AB172D" w:rsidRDefault="004F5783" w:rsidP="004F5783">
      <w:pPr>
        <w:spacing w:before="100" w:beforeAutospacing="1" w:after="100" w:afterAutospacing="1" w:line="276" w:lineRule="auto"/>
        <w:ind w:hanging="1"/>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1. البُعد الأول: التطوير التكراري (</w:t>
      </w:r>
      <w:r w:rsidRPr="00AB172D">
        <w:rPr>
          <w:rFonts w:ascii="Simplified Arabic" w:hAnsi="Simplified Arabic" w:cs="Simplified Arabic"/>
          <w:b/>
          <w:bCs/>
          <w:color w:val="000000" w:themeColor="text1"/>
          <w:sz w:val="28"/>
          <w:szCs w:val="28"/>
          <w:lang w:bidi="ar-EG"/>
        </w:rPr>
        <w:t>Iterative Development</w:t>
      </w:r>
      <w:r w:rsidRPr="00AB172D">
        <w:rPr>
          <w:rFonts w:ascii="Simplified Arabic" w:hAnsi="Simplified Arabic" w:cs="Simplified Arabic"/>
          <w:b/>
          <w:bCs/>
          <w:color w:val="000000" w:themeColor="text1"/>
          <w:sz w:val="28"/>
          <w:szCs w:val="28"/>
          <w:rtl/>
          <w:lang w:bidi="ar-EG"/>
        </w:rPr>
        <w:t>)</w:t>
      </w:r>
    </w:p>
    <w:p w14:paraId="4C14CAC9"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يُمثّل التطوير التكراري الركيزة المنهجية الأولى للإدارة الرشيقة، وينطلق من فكرة تقسيم العمل إلى دورات قصيرة ومتتالية (</w:t>
      </w:r>
      <w:r w:rsidRPr="00AB172D">
        <w:rPr>
          <w:rFonts w:ascii="Simplified Arabic" w:hAnsi="Simplified Arabic" w:cs="Simplified Arabic"/>
          <w:color w:val="000000" w:themeColor="text1"/>
          <w:sz w:val="28"/>
          <w:szCs w:val="28"/>
          <w:lang w:bidi="ar-EG"/>
        </w:rPr>
        <w:t>Sprints/Iterations</w:t>
      </w:r>
      <w:r w:rsidRPr="00AB172D">
        <w:rPr>
          <w:rFonts w:ascii="Simplified Arabic" w:hAnsi="Simplified Arabic" w:cs="Simplified Arabic"/>
          <w:color w:val="000000" w:themeColor="text1"/>
          <w:sz w:val="28"/>
          <w:szCs w:val="28"/>
          <w:rtl/>
          <w:lang w:bidi="ar-EG"/>
        </w:rPr>
        <w:t>)، بحيث يتمّ في كل دورة بناء نسخة من المنتج أو الخدمة، واختبارها، ومراجعتها، وتحسينها استناداً إلى ما يُستفاد من الدورة السابقة. ويقوم هذا البُعد على فرضية جوهرية مفادها أنّ التطوير المتدرّج والاختبار المبكر يُتيحان للمنظمة التعلّم السريع من الأخطاء، وتقليص المخاطر، وتحسين جودة المخرجات النهائية (</w:t>
      </w:r>
      <w:r w:rsidRPr="00AB172D">
        <w:rPr>
          <w:rFonts w:ascii="Simplified Arabic" w:hAnsi="Simplified Arabic" w:cs="Simplified Arabic"/>
          <w:color w:val="000000" w:themeColor="text1"/>
          <w:sz w:val="28"/>
          <w:szCs w:val="28"/>
          <w:lang w:bidi="ar-EG"/>
        </w:rPr>
        <w:t>Ciric Lalic et al., 2022</w:t>
      </w:r>
      <w:r w:rsidRPr="00AB172D">
        <w:rPr>
          <w:rFonts w:ascii="Simplified Arabic" w:hAnsi="Simplified Arabic" w:cs="Simplified Arabic"/>
          <w:color w:val="000000" w:themeColor="text1"/>
          <w:sz w:val="28"/>
          <w:szCs w:val="28"/>
          <w:rtl/>
          <w:lang w:bidi="ar-EG"/>
        </w:rPr>
        <w:t>).</w:t>
      </w:r>
    </w:p>
    <w:p w14:paraId="54B454CA"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ويكتسب التطوير التكراري أهميةً خاصةً في الشركات الناشئة، إذ يتلاءم مع طبيعتها التي تتّسم بمحدودية الموارد وارتفاع مستويات عدم اليقين، فبدلاً من الاستثمار الضخم في تطوير منتج نهائي قد لا يُلبّي احتياجات السوق، تستطيع الشركات الناشئة عبر التطوير التكراري إطلاق نسخة أوليّة (</w:t>
      </w:r>
      <w:r w:rsidRPr="00AB172D">
        <w:rPr>
          <w:rFonts w:ascii="Simplified Arabic" w:hAnsi="Simplified Arabic" w:cs="Simplified Arabic"/>
          <w:color w:val="000000" w:themeColor="text1"/>
          <w:sz w:val="28"/>
          <w:szCs w:val="28"/>
          <w:lang w:bidi="ar-EG"/>
        </w:rPr>
        <w:t>Minimum Viable Product</w:t>
      </w:r>
      <w:r w:rsidRPr="00AB172D">
        <w:rPr>
          <w:rFonts w:ascii="Simplified Arabic" w:hAnsi="Simplified Arabic" w:cs="Simplified Arabic"/>
          <w:color w:val="000000" w:themeColor="text1"/>
          <w:sz w:val="28"/>
          <w:szCs w:val="28"/>
          <w:rtl/>
          <w:lang w:bidi="ar-EG"/>
        </w:rPr>
        <w:t>) واختبارها في السوق، ثم تطويرها تدريجياً بناءً على استجابة العملاء (</w:t>
      </w:r>
      <w:proofErr w:type="spellStart"/>
      <w:r w:rsidRPr="00AB172D">
        <w:rPr>
          <w:rFonts w:ascii="Simplified Arabic" w:hAnsi="Simplified Arabic" w:cs="Simplified Arabic"/>
          <w:color w:val="000000" w:themeColor="text1"/>
          <w:sz w:val="28"/>
          <w:szCs w:val="28"/>
          <w:lang w:bidi="ar-EG"/>
        </w:rPr>
        <w:t>Amuna</w:t>
      </w:r>
      <w:proofErr w:type="spellEnd"/>
      <w:r w:rsidRPr="00AB172D">
        <w:rPr>
          <w:rFonts w:ascii="Simplified Arabic" w:hAnsi="Simplified Arabic" w:cs="Simplified Arabic"/>
          <w:color w:val="000000" w:themeColor="text1"/>
          <w:sz w:val="28"/>
          <w:szCs w:val="28"/>
          <w:lang w:bidi="ar-EG"/>
        </w:rPr>
        <w:t xml:space="preserve"> et al., 2026</w:t>
      </w:r>
      <w:r w:rsidRPr="00AB172D">
        <w:rPr>
          <w:rFonts w:ascii="Simplified Arabic" w:hAnsi="Simplified Arabic" w:cs="Simplified Arabic"/>
          <w:color w:val="000000" w:themeColor="text1"/>
          <w:sz w:val="28"/>
          <w:szCs w:val="28"/>
          <w:rtl/>
          <w:lang w:bidi="ar-EG"/>
        </w:rPr>
        <w:t>). ويُتيح هذا الأسلوب للشركات الناشئة إدارة مواردها بكفاءة، وتوجيه استثماراتها نحو المسارات الأكثر جدوى.</w:t>
      </w:r>
    </w:p>
    <w:p w14:paraId="2525A61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lastRenderedPageBreak/>
        <w:t xml:space="preserve">ويرتبط التطوير التكراري بمجموعة من الممارسات الفرعية، تشمل التخطيط التدريجي، والاختبار المستمر، والمراجعات الدورية، والتحسين المستمر. ويؤكّد </w:t>
      </w:r>
      <w:r w:rsidRPr="00AB172D">
        <w:rPr>
          <w:rFonts w:ascii="Simplified Arabic" w:hAnsi="Simplified Arabic" w:cs="Simplified Arabic"/>
          <w:color w:val="000000" w:themeColor="text1"/>
          <w:sz w:val="28"/>
          <w:szCs w:val="28"/>
          <w:lang w:bidi="ar-EG"/>
        </w:rPr>
        <w:t>Muhammad et al</w:t>
      </w:r>
      <w:r w:rsidRPr="00AB172D">
        <w:rPr>
          <w:rFonts w:ascii="Simplified Arabic" w:hAnsi="Simplified Arabic" w:cs="Simplified Arabic"/>
          <w:color w:val="000000" w:themeColor="text1"/>
          <w:sz w:val="28"/>
          <w:szCs w:val="28"/>
          <w:rtl/>
          <w:lang w:bidi="ar-EG"/>
        </w:rPr>
        <w:t>. (2021) على أنّ نجاح التطوير التكراري يتوقّف على وجود ثقافة تنظيمية داعمة للتعلّم من الأخطاء، وقيادات قادرة على تحمّل المخاطر المحسوبة، وفرق عمل متعددة التخصصات قادرة على التنسيق والتعاون.</w:t>
      </w:r>
    </w:p>
    <w:p w14:paraId="3060CE77" w14:textId="77777777" w:rsidR="004F5783" w:rsidRPr="00AB172D" w:rsidRDefault="004F5783" w:rsidP="004F5783">
      <w:pPr>
        <w:spacing w:before="100" w:beforeAutospacing="1" w:after="100" w:afterAutospacing="1" w:line="276" w:lineRule="auto"/>
        <w:ind w:hanging="1"/>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2. البُعد الثاني: اللامركزية في اتخاذ القرارات (</w:t>
      </w:r>
      <w:r w:rsidRPr="00AB172D">
        <w:rPr>
          <w:rFonts w:ascii="Simplified Arabic" w:hAnsi="Simplified Arabic" w:cs="Simplified Arabic"/>
          <w:b/>
          <w:bCs/>
          <w:color w:val="000000" w:themeColor="text1"/>
          <w:sz w:val="28"/>
          <w:szCs w:val="28"/>
          <w:lang w:bidi="ar-EG"/>
        </w:rPr>
        <w:t>Decentralized Decision-Making</w:t>
      </w:r>
      <w:r w:rsidRPr="00AB172D">
        <w:rPr>
          <w:rFonts w:ascii="Simplified Arabic" w:hAnsi="Simplified Arabic" w:cs="Simplified Arabic"/>
          <w:b/>
          <w:bCs/>
          <w:color w:val="000000" w:themeColor="text1"/>
          <w:sz w:val="28"/>
          <w:szCs w:val="28"/>
          <w:rtl/>
          <w:lang w:bidi="ar-EG"/>
        </w:rPr>
        <w:t>)</w:t>
      </w:r>
    </w:p>
    <w:p w14:paraId="0CDD817A"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تُمثّل اللامركزية في اتخاذ القرارات البُعد الثاني للإدارة الرشيقة، وتنطلق من فلسفة توزيع صلاحيات اتخاذ القرار على المستويات التنظيمية الأدنى، بما يُتيح للفرق والأفراد اتخاذ قرارات فورية ضمن نطاق مسؤولياتهم، دون الحاجة إلى الرجوع المستمر إلى الإدارة العليا. ويقوم هذا البُعد على مبدأ أنّ الأشخاص الأقرب إلى المشكلة هم الأقدر على اتخاذ القرارات المتعلقة بها، لكونهم يمتلكون المعلومات التفصيلية والفهم الميداني للسياق (</w:t>
      </w:r>
      <w:proofErr w:type="spellStart"/>
      <w:r w:rsidRPr="00AB172D">
        <w:rPr>
          <w:rFonts w:ascii="Simplified Arabic" w:hAnsi="Simplified Arabic" w:cs="Simplified Arabic"/>
          <w:color w:val="000000" w:themeColor="text1"/>
          <w:sz w:val="28"/>
          <w:szCs w:val="28"/>
          <w:lang w:bidi="ar-EG"/>
        </w:rPr>
        <w:t>Esamah</w:t>
      </w:r>
      <w:proofErr w:type="spellEnd"/>
      <w:r w:rsidRPr="00AB172D">
        <w:rPr>
          <w:rFonts w:ascii="Simplified Arabic" w:hAnsi="Simplified Arabic" w:cs="Simplified Arabic"/>
          <w:color w:val="000000" w:themeColor="text1"/>
          <w:sz w:val="28"/>
          <w:szCs w:val="28"/>
          <w:lang w:bidi="ar-EG"/>
        </w:rPr>
        <w:t xml:space="preserve"> et al., 2023</w:t>
      </w:r>
      <w:r w:rsidRPr="00AB172D">
        <w:rPr>
          <w:rFonts w:ascii="Simplified Arabic" w:hAnsi="Simplified Arabic" w:cs="Simplified Arabic"/>
          <w:color w:val="000000" w:themeColor="text1"/>
          <w:sz w:val="28"/>
          <w:szCs w:val="28"/>
          <w:rtl/>
          <w:lang w:bidi="ar-EG"/>
        </w:rPr>
        <w:t>).</w:t>
      </w:r>
    </w:p>
    <w:p w14:paraId="28BCDB6C"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وتتّضح أهمية اللامركزية في الشركات الناشئة عبر جملة من الاعتبارات، أبرزها: تسريع دورة اتخاذ القرار في بيئة تتّسم بالتغيّر السريع، وتعزيز روح المبادرة والابتكار لدى العاملين، وتخفيف العبء الإداري عن المؤسّسين والقيادات العليا، وبناء منظمة قادرة على التوسّع والنمو دون أن تتحوّل إلى بيروقراطية معطّلة. كما تُسهم اللامركزية في تعزيز ثقافة المسؤولية والملكية لدى العاملين، إذ يشعر كل فرد بأنّه شريك حقيقي في نجاح المنظمة (الحياصات والعطيات، 2023).</w:t>
      </w:r>
    </w:p>
    <w:p w14:paraId="703A7741"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غير أنّ نجاح تطبيق اللامركزية يستلزم توافر عدة شروط، منها: وجود آليات واضحة لتحديد نطاق الصلاحيات والمسؤوليات، ووجود نظام معلومات فعّال يضمن تدفّق البيانات بين المستويات المختلفة، ووجود ثقافة تنظيمية قائمة على الثقة، وتوافر الكفاءات القادرة على اتخاذ قرارات رشيدة. ويُبرز إبراهيم (2023) أنّ اللامركزية ليست غايةً في ذاتها، بل أداةً لتحقيق التوازن بين المرونة التشغيلية والانضباط الاستراتيجي.</w:t>
      </w:r>
    </w:p>
    <w:p w14:paraId="0DFDDB39" w14:textId="77777777" w:rsidR="004F5783" w:rsidRPr="00AB172D" w:rsidRDefault="004F5783" w:rsidP="004F5783">
      <w:pPr>
        <w:spacing w:before="100" w:beforeAutospacing="1" w:after="100" w:afterAutospacing="1" w:line="276" w:lineRule="auto"/>
        <w:ind w:hanging="1"/>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3. البُعد الثالث: حلقات تغذية العملاء الراجعة (</w:t>
      </w:r>
      <w:r w:rsidRPr="00AB172D">
        <w:rPr>
          <w:rFonts w:ascii="Simplified Arabic" w:hAnsi="Simplified Arabic" w:cs="Simplified Arabic"/>
          <w:b/>
          <w:bCs/>
          <w:color w:val="000000" w:themeColor="text1"/>
          <w:sz w:val="28"/>
          <w:szCs w:val="28"/>
          <w:lang w:bidi="ar-EG"/>
        </w:rPr>
        <w:t>Customer Feedback Loops</w:t>
      </w:r>
      <w:r w:rsidRPr="00AB172D">
        <w:rPr>
          <w:rFonts w:ascii="Simplified Arabic" w:hAnsi="Simplified Arabic" w:cs="Simplified Arabic"/>
          <w:b/>
          <w:bCs/>
          <w:color w:val="000000" w:themeColor="text1"/>
          <w:sz w:val="28"/>
          <w:szCs w:val="28"/>
          <w:rtl/>
          <w:lang w:bidi="ar-EG"/>
        </w:rPr>
        <w:t>)</w:t>
      </w:r>
    </w:p>
    <w:p w14:paraId="5ECFCEAE"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يُمثّل هذا البُعد الركيزة الثالثة للإدارة الرشيقة، ويُشير إلى وجود آليات منهجية ومنتظمة لجمع آراء العملاء وتحليلها وتوظيفها في تحسين المنتجات والخدمات وتطوير العمليات، بما يضمن مواءمة مخرجات </w:t>
      </w:r>
      <w:r w:rsidRPr="00AB172D">
        <w:rPr>
          <w:rFonts w:ascii="Simplified Arabic" w:hAnsi="Simplified Arabic" w:cs="Simplified Arabic"/>
          <w:color w:val="000000" w:themeColor="text1"/>
          <w:sz w:val="28"/>
          <w:szCs w:val="28"/>
          <w:rtl/>
          <w:lang w:bidi="ar-EG"/>
        </w:rPr>
        <w:lastRenderedPageBreak/>
        <w:t>المنظمة لاحتياجات السوق. وتقوم فلسفة حلقات التغذية الراجعة على فكرة أنّ العميل شريك محوري في عملية الابتكار، وليس مجرد مستقبل سلبي للمنتجات والخدمات (</w:t>
      </w:r>
      <w:proofErr w:type="spellStart"/>
      <w:r w:rsidRPr="00AB172D">
        <w:rPr>
          <w:rFonts w:ascii="Simplified Arabic" w:hAnsi="Simplified Arabic" w:cs="Simplified Arabic"/>
          <w:color w:val="000000" w:themeColor="text1"/>
          <w:sz w:val="28"/>
          <w:szCs w:val="28"/>
          <w:lang w:bidi="ar-EG"/>
        </w:rPr>
        <w:t>Malatyinszki</w:t>
      </w:r>
      <w:proofErr w:type="spellEnd"/>
      <w:r w:rsidRPr="00AB172D">
        <w:rPr>
          <w:rFonts w:ascii="Simplified Arabic" w:hAnsi="Simplified Arabic" w:cs="Simplified Arabic"/>
          <w:color w:val="000000" w:themeColor="text1"/>
          <w:sz w:val="28"/>
          <w:szCs w:val="28"/>
          <w:lang w:bidi="ar-EG"/>
        </w:rPr>
        <w:t xml:space="preserve"> et al., 2025</w:t>
      </w:r>
      <w:r w:rsidRPr="00AB172D">
        <w:rPr>
          <w:rFonts w:ascii="Simplified Arabic" w:hAnsi="Simplified Arabic" w:cs="Simplified Arabic"/>
          <w:color w:val="000000" w:themeColor="text1"/>
          <w:sz w:val="28"/>
          <w:szCs w:val="28"/>
          <w:rtl/>
          <w:lang w:bidi="ar-EG"/>
        </w:rPr>
        <w:t>).</w:t>
      </w:r>
    </w:p>
    <w:p w14:paraId="6538D328"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وتتنوّع أدوات جمع تغذية العملاء الراجعة، لتشمل الاستبانات، والمقابلات، وتحليل بيانات الاستخدام، ورصد التفاعل على وسائل التواصل الاجتماعي، وتنظيم مجموعات التركيز، وإجراء اختبارات قابلية الاستخدام. غير أنّ الجوهر ليس في جمع البيانات فحسب، بل في تحويلها إلى رؤى قابلة للتنفيذ تُغذّي دورات التطوير التالية (</w:t>
      </w:r>
      <w:r w:rsidRPr="00AB172D">
        <w:rPr>
          <w:rFonts w:ascii="Simplified Arabic" w:hAnsi="Simplified Arabic" w:cs="Simplified Arabic"/>
          <w:color w:val="000000" w:themeColor="text1"/>
          <w:sz w:val="28"/>
          <w:szCs w:val="28"/>
          <w:lang w:bidi="ar-EG"/>
        </w:rPr>
        <w:t>Surenthran et al., 2025</w:t>
      </w:r>
      <w:r w:rsidRPr="00AB172D">
        <w:rPr>
          <w:rFonts w:ascii="Simplified Arabic" w:hAnsi="Simplified Arabic" w:cs="Simplified Arabic"/>
          <w:color w:val="000000" w:themeColor="text1"/>
          <w:sz w:val="28"/>
          <w:szCs w:val="28"/>
          <w:rtl/>
          <w:lang w:bidi="ar-EG"/>
        </w:rPr>
        <w:t>).</w:t>
      </w:r>
    </w:p>
    <w:p w14:paraId="50099F97"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وتكتسب حلقات التغذية الراجعة أهميةً استثنائيةً في الشركات الناشئة، إذ تُتيح لها التحقّق المستمر من صحة افتراضاتها حول السوق والعملاء، وتوجيه قرارات التطوير نحو المسارات الأكثر جدوى، وبناء علاقات وثيقة مع قاعدة عملائها الأولى. ويؤكّد </w:t>
      </w:r>
      <w:r w:rsidRPr="00AB172D">
        <w:rPr>
          <w:rFonts w:ascii="Simplified Arabic" w:hAnsi="Simplified Arabic" w:cs="Simplified Arabic"/>
          <w:color w:val="000000" w:themeColor="text1"/>
          <w:sz w:val="28"/>
          <w:szCs w:val="28"/>
          <w:lang w:bidi="ar-EG"/>
        </w:rPr>
        <w:t>Cunha et al</w:t>
      </w:r>
      <w:r w:rsidRPr="00AB172D">
        <w:rPr>
          <w:rFonts w:ascii="Simplified Arabic" w:hAnsi="Simplified Arabic" w:cs="Simplified Arabic"/>
          <w:color w:val="000000" w:themeColor="text1"/>
          <w:sz w:val="28"/>
          <w:szCs w:val="28"/>
          <w:rtl/>
          <w:lang w:bidi="ar-EG"/>
        </w:rPr>
        <w:t>. (2021) على أنّ حلقات التغذية الراجعة تُشكّل آليةً محوريةً لتحقيق التوازن بين مصالح أصحاب المصلحة المختلفين، بما ينسجم مع نظرية أصحاب المصلحة (</w:t>
      </w:r>
      <w:r w:rsidRPr="00AB172D">
        <w:rPr>
          <w:rFonts w:ascii="Simplified Arabic" w:hAnsi="Simplified Arabic" w:cs="Simplified Arabic"/>
          <w:color w:val="000000" w:themeColor="text1"/>
          <w:sz w:val="28"/>
          <w:szCs w:val="28"/>
          <w:lang w:bidi="ar-EG"/>
        </w:rPr>
        <w:t>Stakeholder Theory</w:t>
      </w:r>
      <w:r w:rsidRPr="00AB172D">
        <w:rPr>
          <w:rFonts w:ascii="Simplified Arabic" w:hAnsi="Simplified Arabic" w:cs="Simplified Arabic"/>
          <w:color w:val="000000" w:themeColor="text1"/>
          <w:sz w:val="28"/>
          <w:szCs w:val="28"/>
          <w:rtl/>
          <w:lang w:bidi="ar-EG"/>
        </w:rPr>
        <w:t>).</w:t>
      </w:r>
    </w:p>
    <w:p w14:paraId="1C3C3993" w14:textId="168F4A96" w:rsidR="004F5783" w:rsidRPr="00AB172D" w:rsidRDefault="004F5783"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19" w:name="_Toc234338547"/>
      <w:r w:rsidRPr="00AB172D">
        <w:rPr>
          <w:rFonts w:ascii="Simplified Arabic" w:hAnsi="Simplified Arabic" w:cs="Simplified Arabic" w:hint="cs"/>
          <w:b/>
          <w:bCs/>
          <w:color w:val="000000" w:themeColor="text1"/>
          <w:sz w:val="32"/>
          <w:szCs w:val="32"/>
          <w:rtl/>
          <w:lang w:bidi="ar-EG"/>
        </w:rPr>
        <w:t xml:space="preserve">6.1.2 </w:t>
      </w:r>
      <w:r w:rsidRPr="00AB172D">
        <w:rPr>
          <w:rFonts w:ascii="Simplified Arabic" w:hAnsi="Simplified Arabic" w:cs="Simplified Arabic"/>
          <w:b/>
          <w:bCs/>
          <w:color w:val="000000" w:themeColor="text1"/>
          <w:sz w:val="32"/>
          <w:szCs w:val="32"/>
          <w:rtl/>
          <w:lang w:bidi="ar-EG"/>
        </w:rPr>
        <w:t>استراتيجيات تطبيق الإدارة الرشيقة</w:t>
      </w:r>
      <w:bookmarkEnd w:id="19"/>
    </w:p>
    <w:p w14:paraId="4D798E73"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يستلزم تطبيق الإدارة الرشيقة في الشركات الناشئة تبنّي جملة من الاستراتيجيات المتكاملة، أبرزها: إعادة تصميم الهياكل التنظيمية بما يُتيح المرونة والانسيابية، وبناء فرق عمل صغيرة ومتعددة التخصصات، وتبنّي أدوات إدارية رقمية تدعم التعاون والتواصل، وتطوير أنظمة قياس أداء تتناسب مع الطبيعة التكرارية للعمل، والاستثمار في تنمية القدرات البشرية عبر التدريب المستمر (</w:t>
      </w:r>
      <w:proofErr w:type="spellStart"/>
      <w:r w:rsidRPr="00AB172D">
        <w:rPr>
          <w:rFonts w:ascii="Simplified Arabic" w:hAnsi="Simplified Arabic" w:cs="Simplified Arabic"/>
          <w:color w:val="000000" w:themeColor="text1"/>
          <w:sz w:val="28"/>
          <w:szCs w:val="28"/>
          <w:rtl/>
          <w:lang w:bidi="ar-EG"/>
        </w:rPr>
        <w:t>بورحلة</w:t>
      </w:r>
      <w:proofErr w:type="spellEnd"/>
      <w:r w:rsidRPr="00AB172D">
        <w:rPr>
          <w:rFonts w:ascii="Simplified Arabic" w:hAnsi="Simplified Arabic" w:cs="Simplified Arabic"/>
          <w:color w:val="000000" w:themeColor="text1"/>
          <w:sz w:val="28"/>
          <w:szCs w:val="28"/>
          <w:rtl/>
          <w:lang w:bidi="ar-EG"/>
        </w:rPr>
        <w:t>، 2024).</w:t>
      </w:r>
    </w:p>
    <w:p w14:paraId="4B5AA7A5"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كما تتطلّب الإدارة الرشيقة قيادةً تحويلية قادرة على قيادة التغيير، وثقافةً تنظيمية داعمة للابتكار والتجريب، ونظام حوافز يُشجّع على المبادرة وتحمّل المخاطر المحسوبة. ويرى </w:t>
      </w:r>
      <w:r w:rsidRPr="00AB172D">
        <w:rPr>
          <w:rFonts w:ascii="Simplified Arabic" w:hAnsi="Simplified Arabic" w:cs="Simplified Arabic"/>
          <w:color w:val="000000" w:themeColor="text1"/>
          <w:sz w:val="28"/>
          <w:szCs w:val="28"/>
          <w:lang w:bidi="ar-EG"/>
        </w:rPr>
        <w:t>Alzoubi et al</w:t>
      </w:r>
      <w:r w:rsidRPr="00AB172D">
        <w:rPr>
          <w:rFonts w:ascii="Simplified Arabic" w:hAnsi="Simplified Arabic" w:cs="Simplified Arabic"/>
          <w:color w:val="000000" w:themeColor="text1"/>
          <w:sz w:val="28"/>
          <w:szCs w:val="28"/>
          <w:rtl/>
          <w:lang w:bidi="ar-EG"/>
        </w:rPr>
        <w:t>. (2024) أنّ نجاح هذه الاستراتيجيات يتوقّف على مدى تكاملها مع منظومة الممارسات الإدارية الأخرى داخل المنظمة، وعلى قدرة القيادة على إحداث تحوّل ثقافي شامل.</w:t>
      </w:r>
    </w:p>
    <w:p w14:paraId="6FDE44EC" w14:textId="0029007B" w:rsidR="004F5783" w:rsidRPr="00AB172D" w:rsidRDefault="004F5783"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0" w:name="_Toc234338548"/>
      <w:r w:rsidRPr="00AB172D">
        <w:rPr>
          <w:rFonts w:ascii="Simplified Arabic" w:hAnsi="Simplified Arabic" w:cs="Simplified Arabic" w:hint="cs"/>
          <w:b/>
          <w:bCs/>
          <w:color w:val="000000" w:themeColor="text1"/>
          <w:sz w:val="32"/>
          <w:szCs w:val="32"/>
          <w:rtl/>
          <w:lang w:bidi="ar-EG"/>
        </w:rPr>
        <w:t>7.1.2</w:t>
      </w:r>
      <w:r w:rsidRPr="00AB172D">
        <w:rPr>
          <w:rFonts w:ascii="Simplified Arabic" w:hAnsi="Simplified Arabic" w:cs="Simplified Arabic"/>
          <w:b/>
          <w:bCs/>
          <w:color w:val="000000" w:themeColor="text1"/>
          <w:sz w:val="32"/>
          <w:szCs w:val="32"/>
          <w:rtl/>
          <w:lang w:bidi="ar-EG"/>
        </w:rPr>
        <w:t>تحديات تطبيق الإدارة الرشيقة في الشركات الناشئة</w:t>
      </w:r>
      <w:bookmarkEnd w:id="20"/>
    </w:p>
    <w:p w14:paraId="3D0705B9"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على الرغم من المزايا العديدة للإدارة الرشيقة، فإنّ تطبيقها في الشركات الناشئة يواجه جملة من التحديات، منها: مقاومة التغيير من قِبل بعض العاملين الذين اعتادوا على النماذج الإدارية التقليدية، </w:t>
      </w:r>
      <w:r w:rsidRPr="00AB172D">
        <w:rPr>
          <w:rFonts w:ascii="Simplified Arabic" w:hAnsi="Simplified Arabic" w:cs="Simplified Arabic"/>
          <w:color w:val="000000" w:themeColor="text1"/>
          <w:sz w:val="28"/>
          <w:szCs w:val="28"/>
          <w:rtl/>
          <w:lang w:bidi="ar-EG"/>
        </w:rPr>
        <w:lastRenderedPageBreak/>
        <w:t>ومحدودية الموارد المالية والبشرية اللازمة لبناء البنية التحتية للرشاقة، وضعف الوعي بمفاهيم الإدارة الرشيقة في بعض البيئات الإقليمية، وصعوبة تحقيق التوازن بين المرونة والانضباط، وتحدّي الحفاظ على الرشاقة مع نمو الشركة وتوسّعها (</w:t>
      </w:r>
      <w:proofErr w:type="spellStart"/>
      <w:r w:rsidRPr="00AB172D">
        <w:rPr>
          <w:rFonts w:ascii="Simplified Arabic" w:hAnsi="Simplified Arabic" w:cs="Simplified Arabic"/>
          <w:color w:val="000000" w:themeColor="text1"/>
          <w:sz w:val="28"/>
          <w:szCs w:val="28"/>
          <w:lang w:bidi="ar-EG"/>
        </w:rPr>
        <w:t>Amuna</w:t>
      </w:r>
      <w:proofErr w:type="spellEnd"/>
      <w:r w:rsidRPr="00AB172D">
        <w:rPr>
          <w:rFonts w:ascii="Simplified Arabic" w:hAnsi="Simplified Arabic" w:cs="Simplified Arabic"/>
          <w:color w:val="000000" w:themeColor="text1"/>
          <w:sz w:val="28"/>
          <w:szCs w:val="28"/>
          <w:lang w:bidi="ar-EG"/>
        </w:rPr>
        <w:t xml:space="preserve"> et al., 2026</w:t>
      </w:r>
      <w:r w:rsidRPr="00AB172D">
        <w:rPr>
          <w:rFonts w:ascii="Simplified Arabic" w:hAnsi="Simplified Arabic" w:cs="Simplified Arabic"/>
          <w:color w:val="000000" w:themeColor="text1"/>
          <w:sz w:val="28"/>
          <w:szCs w:val="28"/>
          <w:rtl/>
          <w:lang w:bidi="ar-EG"/>
        </w:rPr>
        <w:t>).</w:t>
      </w:r>
    </w:p>
    <w:p w14:paraId="51736AF0"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كما تواجه الشركات الناشئة في منطقة الشرق الأوسط وشمال أفريقيا تحديات إضافية مرتبطة بخصوصية البيئة الإقليمية، تشمل: عدم الاستقرار الاقتصادي والسياسي، ومحدودية مصادر التمويل، وضعف البنية التحتية الرقمية في بعض الدول، وتباين الأطر التنظيمية والقانونية بين الدول (يوسف، 2024).</w:t>
      </w:r>
    </w:p>
    <w:p w14:paraId="53DA6622" w14:textId="1C4C948A"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1" w:name="_Toc234338549"/>
      <w:r w:rsidRPr="00AB172D">
        <w:rPr>
          <w:rFonts w:ascii="Simplified Arabic" w:hAnsi="Simplified Arabic" w:cs="Simplified Arabic" w:hint="cs"/>
          <w:b/>
          <w:bCs/>
          <w:color w:val="000000" w:themeColor="text1"/>
          <w:sz w:val="32"/>
          <w:szCs w:val="32"/>
          <w:rtl/>
          <w:lang w:bidi="ar-EG"/>
        </w:rPr>
        <w:t xml:space="preserve">8.1.2 </w:t>
      </w:r>
      <w:r w:rsidR="004F5783" w:rsidRPr="00AB172D">
        <w:rPr>
          <w:rFonts w:ascii="Simplified Arabic" w:hAnsi="Simplified Arabic" w:cs="Simplified Arabic"/>
          <w:b/>
          <w:bCs/>
          <w:color w:val="000000" w:themeColor="text1"/>
          <w:sz w:val="32"/>
          <w:szCs w:val="32"/>
          <w:rtl/>
          <w:lang w:bidi="ar-EG"/>
        </w:rPr>
        <w:t>واقع تطبيق الإدارة الرشيقة</w:t>
      </w:r>
      <w:bookmarkEnd w:id="21"/>
    </w:p>
    <w:p w14:paraId="7C8D043C"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يشهد تطبيق الإدارة الرشيقة تنامياً ملحوظاً في مختلف قطاعات الأعمال، وقد امتدّ نطاقها من قطاع تكنولوجيا المعلومات الذي نشأت فيه ليشمل قطاعات الصناعة والخدمات المالية والقطاع الصحي والقطاع الحكومي. ويشير جاسم وإبراهيم (2023) إلى أنّ الإدارة الرشيقة أصبحت جزءاً من منظومة الحوكمة الحديثة في المؤسسات، إذ تتقاطع مع مبادئ الشفافية والمساءلة وكفاءة الأداء.</w:t>
      </w:r>
    </w:p>
    <w:p w14:paraId="48E8627D"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وفي سياق الشركات الناشئة تحديداً، تُمثّل الإدارة الرشيقة نموذجاً إدارياً مهيمناً، إذ تتبنّاها معظم الشركات الناشئة الناجحة عالمياً بوصفها أسلوباً في العمل يتلاءم مع طبيعتها وبيئتها. غير أنّ تطبيقها في منطقة الشرق الأوسط وشمال أفريقيا لا يزال في مراحله الأولى مقارنةً بالأسواق الناضجة، مما يفتح المجال أمام مزيد من الدراسات المتخصصة (</w:t>
      </w:r>
      <w:proofErr w:type="spellStart"/>
      <w:r w:rsidRPr="00AB172D">
        <w:rPr>
          <w:rFonts w:ascii="Simplified Arabic" w:hAnsi="Simplified Arabic" w:cs="Simplified Arabic"/>
          <w:color w:val="000000" w:themeColor="text1"/>
          <w:sz w:val="28"/>
          <w:szCs w:val="28"/>
          <w:lang w:bidi="ar-EG"/>
        </w:rPr>
        <w:t>Malatyinszki</w:t>
      </w:r>
      <w:proofErr w:type="spellEnd"/>
      <w:r w:rsidRPr="00AB172D">
        <w:rPr>
          <w:rFonts w:ascii="Simplified Arabic" w:hAnsi="Simplified Arabic" w:cs="Simplified Arabic"/>
          <w:color w:val="000000" w:themeColor="text1"/>
          <w:sz w:val="28"/>
          <w:szCs w:val="28"/>
          <w:lang w:bidi="ar-EG"/>
        </w:rPr>
        <w:t xml:space="preserve"> et al., 2025</w:t>
      </w:r>
      <w:r w:rsidRPr="00AB172D">
        <w:rPr>
          <w:rFonts w:ascii="Simplified Arabic" w:hAnsi="Simplified Arabic" w:cs="Simplified Arabic"/>
          <w:color w:val="000000" w:themeColor="text1"/>
          <w:sz w:val="28"/>
          <w:szCs w:val="28"/>
          <w:rtl/>
          <w:lang w:bidi="ar-EG"/>
        </w:rPr>
        <w:t>).</w:t>
      </w:r>
    </w:p>
    <w:p w14:paraId="13906F82" w14:textId="30975E3D" w:rsidR="004F5783" w:rsidRPr="00AB172D" w:rsidRDefault="00BD4FDD" w:rsidP="00BD4FDD">
      <w:pPr>
        <w:jc w:val="center"/>
        <w:outlineLvl w:val="1"/>
        <w:rPr>
          <w:rFonts w:ascii="Simplified Arabic" w:hAnsi="Simplified Arabic" w:cs="Simplified Arabic"/>
          <w:b/>
          <w:bCs/>
          <w:color w:val="000000" w:themeColor="text1"/>
          <w:sz w:val="36"/>
          <w:szCs w:val="36"/>
          <w:rtl/>
          <w:lang w:bidi="ar-EG"/>
        </w:rPr>
      </w:pPr>
      <w:r w:rsidRPr="00AB172D">
        <w:rPr>
          <w:rFonts w:ascii="Simplified Arabic" w:hAnsi="Simplified Arabic" w:cs="Simplified Arabic"/>
          <w:b/>
          <w:bCs/>
          <w:color w:val="000000" w:themeColor="text1"/>
          <w:sz w:val="36"/>
          <w:szCs w:val="36"/>
          <w:rtl/>
          <w:lang w:bidi="ar-EG"/>
        </w:rPr>
        <w:br w:type="page"/>
      </w:r>
      <w:bookmarkStart w:id="22" w:name="_Toc234338550"/>
      <w:r w:rsidR="004F5783" w:rsidRPr="00AB172D">
        <w:rPr>
          <w:rFonts w:ascii="Simplified Arabic" w:hAnsi="Simplified Arabic" w:cs="Simplified Arabic"/>
          <w:b/>
          <w:bCs/>
          <w:color w:val="000000" w:themeColor="text1"/>
          <w:sz w:val="36"/>
          <w:szCs w:val="36"/>
          <w:rtl/>
          <w:lang w:bidi="ar-EG"/>
        </w:rPr>
        <w:lastRenderedPageBreak/>
        <w:t>المبحث الثاني: الاستدامة المالية (</w:t>
      </w:r>
      <w:r w:rsidR="004F5783" w:rsidRPr="00AB172D">
        <w:rPr>
          <w:rFonts w:ascii="Simplified Arabic" w:hAnsi="Simplified Arabic" w:cs="Simplified Arabic"/>
          <w:b/>
          <w:bCs/>
          <w:color w:val="000000" w:themeColor="text1"/>
          <w:sz w:val="36"/>
          <w:szCs w:val="36"/>
          <w:lang w:bidi="ar-EG"/>
        </w:rPr>
        <w:t>Financial Sustainability</w:t>
      </w:r>
      <w:r w:rsidR="004F5783" w:rsidRPr="00AB172D">
        <w:rPr>
          <w:rFonts w:ascii="Simplified Arabic" w:hAnsi="Simplified Arabic" w:cs="Simplified Arabic"/>
          <w:b/>
          <w:bCs/>
          <w:color w:val="000000" w:themeColor="text1"/>
          <w:sz w:val="36"/>
          <w:szCs w:val="36"/>
          <w:rtl/>
          <w:lang w:bidi="ar-EG"/>
        </w:rPr>
        <w:t>)</w:t>
      </w:r>
      <w:bookmarkEnd w:id="22"/>
    </w:p>
    <w:p w14:paraId="27129BA1" w14:textId="77F0EC55"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3" w:name="_Toc234338551"/>
      <w:r w:rsidRPr="00AB172D">
        <w:rPr>
          <w:rFonts w:ascii="Simplified Arabic" w:hAnsi="Simplified Arabic" w:cs="Simplified Arabic" w:hint="cs"/>
          <w:b/>
          <w:bCs/>
          <w:color w:val="000000" w:themeColor="text1"/>
          <w:sz w:val="32"/>
          <w:szCs w:val="32"/>
          <w:rtl/>
          <w:lang w:bidi="ar-EG"/>
        </w:rPr>
        <w:t xml:space="preserve">1.2.2 </w:t>
      </w:r>
      <w:r w:rsidR="004F5783" w:rsidRPr="00AB172D">
        <w:rPr>
          <w:rFonts w:ascii="Simplified Arabic" w:hAnsi="Simplified Arabic" w:cs="Simplified Arabic"/>
          <w:b/>
          <w:bCs/>
          <w:color w:val="000000" w:themeColor="text1"/>
          <w:sz w:val="32"/>
          <w:szCs w:val="32"/>
          <w:rtl/>
          <w:lang w:bidi="ar-EG"/>
        </w:rPr>
        <w:t>تمهيد</w:t>
      </w:r>
      <w:bookmarkEnd w:id="23"/>
    </w:p>
    <w:p w14:paraId="0FE93B5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تُمثّل الاستدامة المالية أحد أبرز المفاهيم التي فرضت حضورها القوي في الفكر الإداري والمالي المعاصر، إذ تجاوزت النظرة التقليدية القاصرة للأداء المالي المرتكزة على الربحية قصيرة الأجل، لتُشكّل رؤيةً شموليةً تتناول قدرة المنظمة على البقاء والنمو في المدى الطويل. وقد اكتسب هذا المفهوم زخماً استثنائياً في أعقاب الأزمات الاقتصادية والمالية العالمية المتعاقبة، التي كشفت عن هشاشة كثير من المنظمات، وأبرزت الحاجة إلى تبنّي أُطر تحليلية أعمق تُتيح تقييم الصحة المالية للمنظمة تقييماً متكاملاً. وتزداد أهمية هذا المفهوم في سياق الشركات الناشئة، بوصفها كيانات اقتصادية تتّسم بالهشاشة المالية وارتفاع مخاطر الفشل، ممّا يجعل الاستدامة المالية معياراً حاسماً في تحديد مصيرها (</w:t>
      </w:r>
      <w:proofErr w:type="spellStart"/>
      <w:r w:rsidRPr="00AB172D">
        <w:rPr>
          <w:rFonts w:ascii="Simplified Arabic" w:hAnsi="Simplified Arabic" w:cs="Simplified Arabic"/>
          <w:color w:val="000000" w:themeColor="text1"/>
          <w:sz w:val="28"/>
          <w:szCs w:val="28"/>
          <w:lang w:bidi="ar-EG"/>
        </w:rPr>
        <w:t>Gleißner</w:t>
      </w:r>
      <w:proofErr w:type="spellEnd"/>
      <w:r w:rsidRPr="00AB172D">
        <w:rPr>
          <w:rFonts w:ascii="Simplified Arabic" w:hAnsi="Simplified Arabic" w:cs="Simplified Arabic"/>
          <w:color w:val="000000" w:themeColor="text1"/>
          <w:sz w:val="28"/>
          <w:szCs w:val="28"/>
          <w:lang w:bidi="ar-EG"/>
        </w:rPr>
        <w:t xml:space="preserve"> et al., 2022</w:t>
      </w:r>
      <w:r w:rsidRPr="00AB172D">
        <w:rPr>
          <w:rFonts w:ascii="Simplified Arabic" w:hAnsi="Simplified Arabic" w:cs="Simplified Arabic"/>
          <w:color w:val="000000" w:themeColor="text1"/>
          <w:sz w:val="28"/>
          <w:szCs w:val="28"/>
          <w:rtl/>
          <w:lang w:bidi="ar-EG"/>
        </w:rPr>
        <w:t>). وسيتناول هذا المبحث الاستدامة المالية عبر مفهومها، وأهميتها، وأهدافها، وأبعادها، وعوامل تحقيقها، وواقعها في الشركات الناشئة.</w:t>
      </w:r>
    </w:p>
    <w:p w14:paraId="01956560" w14:textId="6B919901"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4" w:name="_Toc234338552"/>
      <w:r w:rsidRPr="00AB172D">
        <w:rPr>
          <w:rFonts w:ascii="Simplified Arabic" w:hAnsi="Simplified Arabic" w:cs="Simplified Arabic" w:hint="cs"/>
          <w:b/>
          <w:bCs/>
          <w:color w:val="000000" w:themeColor="text1"/>
          <w:sz w:val="32"/>
          <w:szCs w:val="32"/>
          <w:rtl/>
          <w:lang w:bidi="ar-EG"/>
        </w:rPr>
        <w:t xml:space="preserve">2.2.2 </w:t>
      </w:r>
      <w:r w:rsidR="004F5783" w:rsidRPr="00AB172D">
        <w:rPr>
          <w:rFonts w:ascii="Simplified Arabic" w:hAnsi="Simplified Arabic" w:cs="Simplified Arabic"/>
          <w:b/>
          <w:bCs/>
          <w:color w:val="000000" w:themeColor="text1"/>
          <w:sz w:val="32"/>
          <w:szCs w:val="32"/>
          <w:rtl/>
          <w:lang w:bidi="ar-EG"/>
        </w:rPr>
        <w:t>مفهوم الاستدامة المالية</w:t>
      </w:r>
      <w:bookmarkEnd w:id="24"/>
    </w:p>
    <w:p w14:paraId="5B5ECA46"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تنوّعت التعريفات التي قدّمها الباحثون لمفهوم الاستدامة المالية بتنوّع المداخل التحليلية والسياقات التطبيقية، وقد شكّل هذا التنوّع ثراءً معرفياً يعكس شمولية المفهوم وتعدّد أبعاده.</w:t>
      </w:r>
    </w:p>
    <w:p w14:paraId="5E82B453"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يُعرّفها الخولي وآخرون (2023) بأنّها قدرة الوحدة الاقتصادية على الوفاء بالتزاماتها المالية في الأجلين القصير والطويل دون الاضطرار إلى إجراء تعديلات جوهرية في سياساتها المالية والاقتصادية، بما يضمن استمرار قدرتها على تمويل نشاطاتها. في حين يرى الزبيدي ونعيم (2022) أنّها ترتبط بشكل عضوي بأبعاد المالية السلوكية، إذ عدّاها منظومةً تتشكّل عبر تفاعل العوامل السلوكية والمالية والإدارية، بما يعكس قدرة المنظمة على اتخاذ قرارات مالية رشيدة تخدم استمراريتها.</w:t>
      </w:r>
    </w:p>
    <w:p w14:paraId="574CB1BD"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ويُقدّم أحمد (2024) قراءةً تكاملية للاستدامة المالية بوصفها أحد مكوّنات الاستدامة التنظيمية الشاملة، مؤكداً على أنّها تُمثّل الركيزة الاقتصادية التي تُدعّم قدرة المنظمة على تحقيق الاستدامة في أبعادها الاجتماعية والبيئية. أما دراعي ويدو (2022) فقد ربطا مفهوم الاستدامة المالية باستراتيجيات النمو </w:t>
      </w:r>
      <w:r w:rsidRPr="00AB172D">
        <w:rPr>
          <w:rFonts w:ascii="Simplified Arabic" w:hAnsi="Simplified Arabic" w:cs="Simplified Arabic"/>
          <w:color w:val="000000" w:themeColor="text1"/>
          <w:sz w:val="28"/>
          <w:szCs w:val="28"/>
          <w:rtl/>
          <w:lang w:bidi="ar-EG"/>
        </w:rPr>
        <w:lastRenderedPageBreak/>
        <w:t>والاستثمار، حيث عدّاها إطاراً استراتيجياً يُتيح توظيف الموارد المالية بكفاءة تُحقّق التوازن بين احتياجات الحاضر ومتطلبات المستقبل.</w:t>
      </w:r>
    </w:p>
    <w:p w14:paraId="344B747B"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وينظر إليها كردي (2025) من منظور مصرفي، إذ عدّها منظومةً من المؤشرات التي تعكس قدرة المصرف على تحقيق الربحية المستدامة، والحفاظ على الملاءة، وإدارة السيولة بكفاءة، بما يضمن استمرار قدرته على القيام بدوره </w:t>
      </w:r>
      <w:proofErr w:type="spellStart"/>
      <w:r w:rsidRPr="00AB172D">
        <w:rPr>
          <w:rFonts w:ascii="Simplified Arabic" w:hAnsi="Simplified Arabic" w:cs="Simplified Arabic"/>
          <w:color w:val="000000" w:themeColor="text1"/>
          <w:sz w:val="28"/>
          <w:szCs w:val="28"/>
          <w:rtl/>
          <w:lang w:bidi="ar-EG"/>
        </w:rPr>
        <w:t>الوساطي</w:t>
      </w:r>
      <w:proofErr w:type="spellEnd"/>
      <w:r w:rsidRPr="00AB172D">
        <w:rPr>
          <w:rFonts w:ascii="Simplified Arabic" w:hAnsi="Simplified Arabic" w:cs="Simplified Arabic"/>
          <w:color w:val="000000" w:themeColor="text1"/>
          <w:sz w:val="28"/>
          <w:szCs w:val="28"/>
          <w:rtl/>
          <w:lang w:bidi="ar-EG"/>
        </w:rPr>
        <w:t xml:space="preserve"> في الاقتصاد. ويُضيف العويدي وآخرون (2025) بُعداً شاملاً بربطها بالشمول المالي، بوصفها إطاراً يعكس مدى قدرة النظام المالي على تلبية احتياجات مختلف الشرائح دون المساس بمتانته المالية.</w:t>
      </w:r>
    </w:p>
    <w:p w14:paraId="4DC05DD6"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وفي السياق الأجنبي، قدّم </w:t>
      </w:r>
      <w:proofErr w:type="spellStart"/>
      <w:r w:rsidRPr="00AB172D">
        <w:rPr>
          <w:rFonts w:ascii="Simplified Arabic" w:hAnsi="Simplified Arabic" w:cs="Simplified Arabic"/>
          <w:color w:val="000000" w:themeColor="text1"/>
          <w:sz w:val="28"/>
          <w:szCs w:val="28"/>
          <w:lang w:bidi="ar-EG"/>
        </w:rPr>
        <w:t>Gleißner</w:t>
      </w:r>
      <w:proofErr w:type="spellEnd"/>
      <w:r w:rsidRPr="00AB172D">
        <w:rPr>
          <w:rFonts w:ascii="Simplified Arabic" w:hAnsi="Simplified Arabic" w:cs="Simplified Arabic"/>
          <w:color w:val="000000" w:themeColor="text1"/>
          <w:sz w:val="28"/>
          <w:szCs w:val="28"/>
          <w:lang w:bidi="ar-EG"/>
        </w:rPr>
        <w:t xml:space="preserve"> et al</w:t>
      </w:r>
      <w:r w:rsidRPr="00AB172D">
        <w:rPr>
          <w:rFonts w:ascii="Simplified Arabic" w:hAnsi="Simplified Arabic" w:cs="Simplified Arabic"/>
          <w:color w:val="000000" w:themeColor="text1"/>
          <w:sz w:val="28"/>
          <w:szCs w:val="28"/>
          <w:rtl/>
          <w:lang w:bidi="ar-EG"/>
        </w:rPr>
        <w:t xml:space="preserve">. (2022) تعريفاً منهجياً منضبطاً للاستدامة المالية، إذ عدّوها منظومةً من المعايير القابلة للقياس التي تعكس قدرة الشركة على الحفاظ على توازنها المالي في الأجل الطويل، متضمنةً مؤشرات الربحية، والسيولة، والملاءة، ومخاطر الإفلاس، ونمو الأرباح. في حين قدّم </w:t>
      </w:r>
      <w:r w:rsidRPr="00AB172D">
        <w:rPr>
          <w:rFonts w:ascii="Simplified Arabic" w:hAnsi="Simplified Arabic" w:cs="Simplified Arabic"/>
          <w:color w:val="000000" w:themeColor="text1"/>
          <w:sz w:val="28"/>
          <w:szCs w:val="28"/>
          <w:lang w:bidi="ar-EG"/>
        </w:rPr>
        <w:t>Cunha et al</w:t>
      </w:r>
      <w:r w:rsidRPr="00AB172D">
        <w:rPr>
          <w:rFonts w:ascii="Simplified Arabic" w:hAnsi="Simplified Arabic" w:cs="Simplified Arabic"/>
          <w:color w:val="000000" w:themeColor="text1"/>
          <w:sz w:val="28"/>
          <w:szCs w:val="28"/>
          <w:rtl/>
          <w:lang w:bidi="ar-EG"/>
        </w:rPr>
        <w:t>. (2021) قراءةً موسّعةً للاستدامة المالية عبر ربطها بالتمويل المستدام والاستثمار المسؤول، بوصفها إطاراً يتقاطع مع المعايير البيئية والاجتماعية والحوكمة (</w:t>
      </w:r>
      <w:r w:rsidRPr="00AB172D">
        <w:rPr>
          <w:rFonts w:ascii="Simplified Arabic" w:hAnsi="Simplified Arabic" w:cs="Simplified Arabic"/>
          <w:color w:val="000000" w:themeColor="text1"/>
          <w:sz w:val="28"/>
          <w:szCs w:val="28"/>
          <w:lang w:bidi="ar-EG"/>
        </w:rPr>
        <w:t>ESG</w:t>
      </w:r>
      <w:r w:rsidRPr="00AB172D">
        <w:rPr>
          <w:rFonts w:ascii="Simplified Arabic" w:hAnsi="Simplified Arabic" w:cs="Simplified Arabic"/>
          <w:color w:val="000000" w:themeColor="text1"/>
          <w:sz w:val="28"/>
          <w:szCs w:val="28"/>
          <w:rtl/>
          <w:lang w:bidi="ar-EG"/>
        </w:rPr>
        <w:t>).</w:t>
      </w:r>
    </w:p>
    <w:p w14:paraId="67DCBBB3"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وربطها </w:t>
      </w:r>
      <w:r w:rsidRPr="00AB172D">
        <w:rPr>
          <w:rFonts w:ascii="Simplified Arabic" w:hAnsi="Simplified Arabic" w:cs="Simplified Arabic"/>
          <w:color w:val="000000" w:themeColor="text1"/>
          <w:sz w:val="28"/>
          <w:szCs w:val="28"/>
          <w:lang w:bidi="ar-EG"/>
        </w:rPr>
        <w:t xml:space="preserve">Ahlström &amp; </w:t>
      </w:r>
      <w:proofErr w:type="spellStart"/>
      <w:r w:rsidRPr="00AB172D">
        <w:rPr>
          <w:rFonts w:ascii="Simplified Arabic" w:hAnsi="Simplified Arabic" w:cs="Simplified Arabic"/>
          <w:color w:val="000000" w:themeColor="text1"/>
          <w:sz w:val="28"/>
          <w:szCs w:val="28"/>
          <w:lang w:bidi="ar-EG"/>
        </w:rPr>
        <w:t>Monciardini</w:t>
      </w:r>
      <w:proofErr w:type="spellEnd"/>
      <w:r w:rsidRPr="00AB172D">
        <w:rPr>
          <w:rFonts w:ascii="Simplified Arabic" w:hAnsi="Simplified Arabic" w:cs="Simplified Arabic"/>
          <w:color w:val="000000" w:themeColor="text1"/>
          <w:sz w:val="28"/>
          <w:szCs w:val="28"/>
          <w:rtl/>
          <w:lang w:bidi="ar-EG"/>
        </w:rPr>
        <w:t xml:space="preserve"> (2022) بالسياق التنظيمي والتشريعي، مؤكدين على أنّ الاستدامة المالية لا يمكن فهمها بمعزل عن الإطار التنظيمي الذي يُشكّل بيئتها المؤسسية، لا سيما في ظل الإصلاحات التنظيمية العالمية المتعلقة بالتمويل المستدام. أما </w:t>
      </w:r>
      <w:proofErr w:type="spellStart"/>
      <w:r w:rsidRPr="00AB172D">
        <w:rPr>
          <w:rFonts w:ascii="Simplified Arabic" w:hAnsi="Simplified Arabic" w:cs="Simplified Arabic"/>
          <w:color w:val="000000" w:themeColor="text1"/>
          <w:sz w:val="28"/>
          <w:szCs w:val="28"/>
          <w:lang w:bidi="ar-EG"/>
        </w:rPr>
        <w:t>Oudat</w:t>
      </w:r>
      <w:proofErr w:type="spellEnd"/>
      <w:r w:rsidRPr="00AB172D">
        <w:rPr>
          <w:rFonts w:ascii="Simplified Arabic" w:hAnsi="Simplified Arabic" w:cs="Simplified Arabic"/>
          <w:color w:val="000000" w:themeColor="text1"/>
          <w:sz w:val="28"/>
          <w:szCs w:val="28"/>
          <w:rtl/>
          <w:lang w:bidi="ar-EG"/>
        </w:rPr>
        <w:t xml:space="preserve"> (2021) فقد قدّم قراءةً تربط الاستدامة المالية بجودة نظم المعلومات المحاسبية، بوصف الأخيرة ركيزةً معلوماتيةً تدعم اتخاذ القرارات المالية الرشيدة.</w:t>
      </w:r>
    </w:p>
    <w:p w14:paraId="1A199D84"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رأي الباحث: يتضح من التعريفات المتقدّمة أنّ الاستدامة المالية مفهوم متعدد الأبعاد يجمع بين البُعد الكمي القابل للقياس (المؤشرات المالية)، والبُعد الاستراتيجي (القدرة على البقاء والنمو)، والبُعد السلوكي (رشد القرارات المالية)، والبُعد </w:t>
      </w:r>
      <w:proofErr w:type="spellStart"/>
      <w:r w:rsidRPr="00AB172D">
        <w:rPr>
          <w:rFonts w:ascii="Simplified Arabic" w:hAnsi="Simplified Arabic" w:cs="Simplified Arabic"/>
          <w:color w:val="000000" w:themeColor="text1"/>
          <w:sz w:val="28"/>
          <w:szCs w:val="28"/>
          <w:rtl/>
          <w:lang w:bidi="ar-EG"/>
        </w:rPr>
        <w:t>السياقي</w:t>
      </w:r>
      <w:proofErr w:type="spellEnd"/>
      <w:r w:rsidRPr="00AB172D">
        <w:rPr>
          <w:rFonts w:ascii="Simplified Arabic" w:hAnsi="Simplified Arabic" w:cs="Simplified Arabic"/>
          <w:color w:val="000000" w:themeColor="text1"/>
          <w:sz w:val="28"/>
          <w:szCs w:val="28"/>
          <w:rtl/>
          <w:lang w:bidi="ar-EG"/>
        </w:rPr>
        <w:t xml:space="preserve"> (البيئة التنظيمية والاقتصادية). ويرى الباحث أنّ الاستدامة المالية في سياق الشركات الناشئة يمكن تعريفها بأنّها: “قدرة الشركة الناشئة على تحقيق التوازن الديناميكي بين إيراداتها ونفقاتها، والحفاظ على مستويات كافية من السيولة والملاءة، وتوليد ربحية تدريجية تدعم نموّها، وإدارة مخاطرها المالية بكفاءة، بما يُتيح لها الاستمرار والتوسّع في ظل بيئة تتّسم بمحدودية الموارد وارتفاع مستويات عدم اليقين”. ويرى الباحث أنّ خصوصية الشركات الناشئة تستلزم إعادة صياغة مفهوم الاستدامة </w:t>
      </w:r>
      <w:r w:rsidRPr="00AB172D">
        <w:rPr>
          <w:rFonts w:ascii="Simplified Arabic" w:hAnsi="Simplified Arabic" w:cs="Simplified Arabic"/>
          <w:color w:val="000000" w:themeColor="text1"/>
          <w:sz w:val="28"/>
          <w:szCs w:val="28"/>
          <w:rtl/>
          <w:lang w:bidi="ar-EG"/>
        </w:rPr>
        <w:lastRenderedPageBreak/>
        <w:t>المالية بصورة تنسجم مع طبيعتها، بعيداً عن المؤشرات التقليدية التي تُصمَّم عادةً للمؤسسات الكبرى والقطاع المصرفي.</w:t>
      </w:r>
    </w:p>
    <w:p w14:paraId="63BCA279" w14:textId="709B13F0"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5" w:name="_Toc234338553"/>
      <w:r w:rsidRPr="00AB172D">
        <w:rPr>
          <w:rFonts w:ascii="Simplified Arabic" w:hAnsi="Simplified Arabic" w:cs="Simplified Arabic" w:hint="cs"/>
          <w:b/>
          <w:bCs/>
          <w:color w:val="000000" w:themeColor="text1"/>
          <w:sz w:val="32"/>
          <w:szCs w:val="32"/>
          <w:rtl/>
          <w:lang w:bidi="ar-EG"/>
        </w:rPr>
        <w:t xml:space="preserve">3.2.2 </w:t>
      </w:r>
      <w:r w:rsidR="004F5783" w:rsidRPr="00AB172D">
        <w:rPr>
          <w:rFonts w:ascii="Simplified Arabic" w:hAnsi="Simplified Arabic" w:cs="Simplified Arabic"/>
          <w:b/>
          <w:bCs/>
          <w:color w:val="000000" w:themeColor="text1"/>
          <w:sz w:val="32"/>
          <w:szCs w:val="32"/>
          <w:rtl/>
          <w:lang w:bidi="ar-EG"/>
        </w:rPr>
        <w:t>أهمية الاستدامة المالية</w:t>
      </w:r>
      <w:bookmarkEnd w:id="25"/>
    </w:p>
    <w:p w14:paraId="56B1EDC6"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تحتلّ الاستدامة المالية موقعاً محورياً في منظومة الفكر الإداري والمالي المعاصر، لكونها تُشكّل معياراً جوهرياً في تقييم أداء المنظمات ومستقبلها، وتتقاطع مع مصالح مختلف أصحاب المصلحة، من مالكين ومستثمرين وعاملين وعملاء وجهات تنظيمية.</w:t>
      </w:r>
    </w:p>
    <w:p w14:paraId="02FB9B67" w14:textId="77777777" w:rsidR="004F5783" w:rsidRPr="00AB172D" w:rsidRDefault="004F5783" w:rsidP="00BD4FDD">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 xml:space="preserve">ويُشير </w:t>
      </w:r>
      <w:proofErr w:type="spellStart"/>
      <w:r w:rsidRPr="00AB172D">
        <w:rPr>
          <w:rFonts w:ascii="Simplified Arabic" w:hAnsi="Simplified Arabic" w:cs="Simplified Arabic"/>
          <w:b/>
          <w:bCs/>
          <w:color w:val="000000" w:themeColor="text1"/>
          <w:sz w:val="28"/>
          <w:szCs w:val="28"/>
          <w:rtl/>
          <w:lang w:bidi="ar-EG"/>
        </w:rPr>
        <w:t>السلموني</w:t>
      </w:r>
      <w:proofErr w:type="spellEnd"/>
      <w:r w:rsidRPr="00AB172D">
        <w:rPr>
          <w:rFonts w:ascii="Simplified Arabic" w:hAnsi="Simplified Arabic" w:cs="Simplified Arabic"/>
          <w:b/>
          <w:bCs/>
          <w:color w:val="000000" w:themeColor="text1"/>
          <w:sz w:val="28"/>
          <w:szCs w:val="28"/>
          <w:rtl/>
          <w:lang w:bidi="ar-EG"/>
        </w:rPr>
        <w:t xml:space="preserve"> والجارحي (2023) إلى أنّ أهمية الاستدامة المالية تتجلّى في:</w:t>
      </w:r>
    </w:p>
    <w:p w14:paraId="09856310" w14:textId="72EAD2B8" w:rsidR="004F5783" w:rsidRPr="00AB172D" w:rsidRDefault="004F5783" w:rsidP="00A9574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تعزيز قدرة المؤسسات على الحفاظ على أدائها المالي في الأجل الطويل.</w:t>
      </w:r>
    </w:p>
    <w:p w14:paraId="5D360978" w14:textId="6203B7EC" w:rsidR="004F5783" w:rsidRPr="00AB172D" w:rsidRDefault="004F5783" w:rsidP="00A9574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تمكين المنظمة من مواجهة الصدمات المالية والاقتصادية غير المتوقّعة.</w:t>
      </w:r>
    </w:p>
    <w:p w14:paraId="7D163B50" w14:textId="4AC6EC90" w:rsidR="004F5783" w:rsidRPr="00AB172D" w:rsidRDefault="004F5783" w:rsidP="00A9574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توفير أساس متين لاتخاذ قرارات الاستثمار والتمويل بصورة رشيدة.</w:t>
      </w:r>
    </w:p>
    <w:p w14:paraId="58EE7135" w14:textId="17D987A9" w:rsidR="004F5783" w:rsidRPr="00AB172D" w:rsidRDefault="004F5783" w:rsidP="00A9574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بناء ثقة أصحاب المصلحة في المنظمة وتعزيز سمعتها في السوق.</w:t>
      </w:r>
    </w:p>
    <w:p w14:paraId="4E79F5EA" w14:textId="632BB250" w:rsidR="004F5783" w:rsidRPr="00AB172D" w:rsidRDefault="004F5783" w:rsidP="00A9574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تحقيق التوازن بين الأهداف المالية قصيرة الأجل والأهداف الاستراتيجية طويلة الأجل.</w:t>
      </w:r>
    </w:p>
    <w:p w14:paraId="37DBEEEB"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ويرى </w:t>
      </w:r>
      <w:proofErr w:type="spellStart"/>
      <w:r w:rsidRPr="00AB172D">
        <w:rPr>
          <w:rFonts w:ascii="Simplified Arabic" w:hAnsi="Simplified Arabic" w:cs="Simplified Arabic"/>
          <w:color w:val="000000" w:themeColor="text1"/>
          <w:sz w:val="28"/>
          <w:szCs w:val="28"/>
          <w:rtl/>
          <w:lang w:bidi="ar-EG"/>
        </w:rPr>
        <w:t>بوربيعة</w:t>
      </w:r>
      <w:proofErr w:type="spellEnd"/>
      <w:r w:rsidRPr="00AB172D">
        <w:rPr>
          <w:rFonts w:ascii="Simplified Arabic" w:hAnsi="Simplified Arabic" w:cs="Simplified Arabic"/>
          <w:color w:val="000000" w:themeColor="text1"/>
          <w:sz w:val="28"/>
          <w:szCs w:val="28"/>
          <w:rtl/>
          <w:lang w:bidi="ar-EG"/>
        </w:rPr>
        <w:t xml:space="preserve"> (2022) أنّ الاستدامة المالية تكتسب أهميتها من كونها: أداةً للتصدّي لتداعيات الأزمات كالجائحات والتقلّبات الاقتصادية، وإطاراً يُتيح تحديد نقاط الضعف المالية قبل تفاقمها، ومرتكزاً لبناء منظومة اقتصادية إقليمية أكثر متانة، وضمانةً لاستمرار قدرة الدول على الوفاء بالتزاماتها الاقتصادية والاجتماعية.</w:t>
      </w:r>
    </w:p>
    <w:p w14:paraId="0B699034"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فيما يُشير جاسم وإبراهيم (2023) إلى بُعد </w:t>
      </w:r>
      <w:proofErr w:type="spellStart"/>
      <w:r w:rsidRPr="00AB172D">
        <w:rPr>
          <w:rFonts w:ascii="Simplified Arabic" w:hAnsi="Simplified Arabic" w:cs="Simplified Arabic"/>
          <w:color w:val="000000" w:themeColor="text1"/>
          <w:sz w:val="28"/>
          <w:szCs w:val="28"/>
          <w:rtl/>
          <w:lang w:bidi="ar-EG"/>
        </w:rPr>
        <w:t>حوكمي</w:t>
      </w:r>
      <w:proofErr w:type="spellEnd"/>
      <w:r w:rsidRPr="00AB172D">
        <w:rPr>
          <w:rFonts w:ascii="Simplified Arabic" w:hAnsi="Simplified Arabic" w:cs="Simplified Arabic"/>
          <w:color w:val="000000" w:themeColor="text1"/>
          <w:sz w:val="28"/>
          <w:szCs w:val="28"/>
          <w:rtl/>
          <w:lang w:bidi="ar-EG"/>
        </w:rPr>
        <w:t xml:space="preserve"> لأهمية الاستدامة المالية، متمثّل في: تدعيم مبادئ الحوكمة الرشيدة للنفقات والموارد المالية، وتعزيز الشفافية والمساءلة في إدارة المال العام والخاص، وتقليص فرص الفساد المالي والإداري، ودعم الاستقرار الاقتصادي على المستوى الوطني.</w:t>
      </w:r>
    </w:p>
    <w:p w14:paraId="6BCDE4C4"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ويُقدّم إسكندر (2021) رؤيةً مكمّلةً بربط الاستدامة المالية بالتمويل الأخضر، إذ يرى أنّ أهميتها تتّضح في: تمويل التحوّل نحو الاقتصاد الأخضر، ودعم مشروعات التنمية المستدامة، وربط الأهداف المالية بالأهداف البيئية والاجتماعية، وتعزيز المسؤولية المجتمعية للمؤسسات المالية.</w:t>
      </w:r>
    </w:p>
    <w:p w14:paraId="54CE3727"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ومن منظور شامل، يُبرز يوسف (2024) أهمية الاستدامة المالية على المستوى الإقليمي، إذ يرى أنّها تُمثّل:</w:t>
      </w:r>
    </w:p>
    <w:p w14:paraId="0626A811" w14:textId="268D2E17" w:rsidR="004F5783" w:rsidRPr="00AB172D" w:rsidRDefault="004F5783" w:rsidP="00A95744">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lastRenderedPageBreak/>
        <w:t>ضمانةً لاستقرار الاقتصادات الوطنية في مواجهة الديون المتنامية.</w:t>
      </w:r>
    </w:p>
    <w:p w14:paraId="140A3FF0" w14:textId="25631F22" w:rsidR="004F5783" w:rsidRPr="00AB172D" w:rsidRDefault="004F5783" w:rsidP="00A95744">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مرتكزاً لبناء اقتصاد إقليمي أكثر مرونة ومتانة.</w:t>
      </w:r>
    </w:p>
    <w:p w14:paraId="684390A9" w14:textId="21201AC2" w:rsidR="004F5783" w:rsidRPr="00AB172D" w:rsidRDefault="004F5783" w:rsidP="00A95744">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أداةً لتخفيف الاعتماد على مصادر التمويل الخارجي.</w:t>
      </w:r>
    </w:p>
    <w:p w14:paraId="03117F43" w14:textId="42F7A2AA" w:rsidR="004F5783" w:rsidRPr="00AB172D" w:rsidRDefault="004F5783" w:rsidP="00A95744">
      <w:pPr>
        <w:pStyle w:val="a6"/>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إطاراً يُدعّم قدرة الدول على التنمية المستدامة.</w:t>
      </w:r>
    </w:p>
    <w:p w14:paraId="514BD4FA" w14:textId="6CBA47EE"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6" w:name="_Toc234338554"/>
      <w:r w:rsidRPr="00AB172D">
        <w:rPr>
          <w:rFonts w:ascii="Simplified Arabic" w:hAnsi="Simplified Arabic" w:cs="Simplified Arabic" w:hint="cs"/>
          <w:b/>
          <w:bCs/>
          <w:color w:val="000000" w:themeColor="text1"/>
          <w:sz w:val="32"/>
          <w:szCs w:val="32"/>
          <w:rtl/>
          <w:lang w:bidi="ar-EG"/>
        </w:rPr>
        <w:t xml:space="preserve">4.2.2 </w:t>
      </w:r>
      <w:r w:rsidR="004F5783" w:rsidRPr="00AB172D">
        <w:rPr>
          <w:rFonts w:ascii="Simplified Arabic" w:hAnsi="Simplified Arabic" w:cs="Simplified Arabic"/>
          <w:b/>
          <w:bCs/>
          <w:color w:val="000000" w:themeColor="text1"/>
          <w:sz w:val="32"/>
          <w:szCs w:val="32"/>
          <w:rtl/>
          <w:lang w:bidi="ar-EG"/>
        </w:rPr>
        <w:t>أهداف الاستدامة المالية</w:t>
      </w:r>
      <w:bookmarkEnd w:id="26"/>
    </w:p>
    <w:p w14:paraId="65365808"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تسعى الاستدامة المالية إلى تحقيق جملة من الأهداف المتشعبة التي تعكس شموليتها، وقد أجملها الباحثون في عدة محاور:</w:t>
      </w:r>
    </w:p>
    <w:p w14:paraId="70DC1A3F" w14:textId="77777777" w:rsidR="004F5783" w:rsidRPr="00AB172D" w:rsidRDefault="004F5783" w:rsidP="00BD4FDD">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يرى دراعي ويدو (2022) أنّ الاستدامة المالية تستهدف:</w:t>
      </w:r>
    </w:p>
    <w:p w14:paraId="46E7DFF1" w14:textId="4C711B29" w:rsidR="004F5783" w:rsidRPr="00AB172D" w:rsidRDefault="004F5783" w:rsidP="00A95744">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ضمان استمرارية تدفّق الإيرادات وتنويع مصادرها.</w:t>
      </w:r>
    </w:p>
    <w:p w14:paraId="48870089" w14:textId="3DA14017" w:rsidR="004F5783" w:rsidRPr="00AB172D" w:rsidRDefault="004F5783" w:rsidP="00A95744">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تحقيق التوازن بين النفقات والإيرادات على المدى الطويل.</w:t>
      </w:r>
    </w:p>
    <w:p w14:paraId="7E2C5564" w14:textId="37C3043E" w:rsidR="004F5783" w:rsidRPr="00AB172D" w:rsidRDefault="004F5783" w:rsidP="00A95744">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بناء احتياطيات مالية كافية لمواجهة الأزمات والتقلّبات.</w:t>
      </w:r>
    </w:p>
    <w:p w14:paraId="05D4E46D" w14:textId="56AF3F81" w:rsidR="004F5783" w:rsidRPr="00AB172D" w:rsidRDefault="004F5783" w:rsidP="00A95744">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تعظيم العائد على الاستثمارات مع تحييد المخاطر المفرطة.</w:t>
      </w:r>
    </w:p>
    <w:p w14:paraId="534BF041" w14:textId="1DFC1C78" w:rsidR="004F5783" w:rsidRPr="00AB172D" w:rsidRDefault="004F5783" w:rsidP="00A95744">
      <w:pPr>
        <w:pStyle w:val="a6"/>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دعم توجّهات النمو والتوسّع بصورة مدروسة ومستدامة.</w:t>
      </w:r>
    </w:p>
    <w:p w14:paraId="234CD278"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ويُضيف عبدالمنعم وشريف (2025) أهدافاً أخرى تتعلّق بالبُعد الاقتصادي الشامل، تشمل: تعزيز الشمول المالي وتوسيع قاعدة المستفيدين من الخدمات المالية، وتقليص الاعتماد على القروض والتمويلات الخارجية، وبناء منظومة مالية متكاملة ومستقرة، ودعم قدرة الموازنات العامة على الاستمرار.</w:t>
      </w:r>
    </w:p>
    <w:p w14:paraId="55330BCD"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فيما يُشير عتيق والمخلافي (2025) إلى أهداف استراتيجية للاستدامة المالية، أبرزها: ربط القرارات المالية بالتوجّهات الاستراتيجية للمنظمة، وتفعيل دور الريادة الاستراتيجية في تعزيز الأداء المالي، وبناء ميزة تنافسية مستدامة، وتحويل المؤسسات إلى كيانات قادرة على التعلّم والتكيّف.</w:t>
      </w:r>
    </w:p>
    <w:p w14:paraId="225898E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كما يرى جاب الله وآخرون (2024) أنّ الاستدامة المالية تسعى إلى: تسريع مسار التحوّل الرقمي في المنظمات، وتحسين كفاءة استخدام الموارد المالية عبر الأدوات الرقمية، وتقليص التكاليف التشغيلية، وتوسيع نطاق الخدمات المالية المقدّمة.</w:t>
      </w:r>
    </w:p>
    <w:p w14:paraId="3BEDCEAC" w14:textId="4D413EA6"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7" w:name="_Toc234338555"/>
      <w:r w:rsidRPr="00AB172D">
        <w:rPr>
          <w:rFonts w:ascii="Simplified Arabic" w:hAnsi="Simplified Arabic" w:cs="Simplified Arabic" w:hint="cs"/>
          <w:b/>
          <w:bCs/>
          <w:color w:val="000000" w:themeColor="text1"/>
          <w:sz w:val="32"/>
          <w:szCs w:val="32"/>
          <w:rtl/>
          <w:lang w:bidi="ar-EG"/>
        </w:rPr>
        <w:lastRenderedPageBreak/>
        <w:t xml:space="preserve">5.2.2 </w:t>
      </w:r>
      <w:r w:rsidR="004F5783" w:rsidRPr="00AB172D">
        <w:rPr>
          <w:rFonts w:ascii="Simplified Arabic" w:hAnsi="Simplified Arabic" w:cs="Simplified Arabic"/>
          <w:b/>
          <w:bCs/>
          <w:color w:val="000000" w:themeColor="text1"/>
          <w:sz w:val="32"/>
          <w:szCs w:val="32"/>
          <w:rtl/>
          <w:lang w:bidi="ar-EG"/>
        </w:rPr>
        <w:t>أبعاد الاستدامة المالية</w:t>
      </w:r>
      <w:bookmarkEnd w:id="27"/>
    </w:p>
    <w:p w14:paraId="2D1E7BA5"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تمّ تحديد أبعاد الاستدامة المالية في الدراسة الحالية بالاستناد إلى مراجعة معمّقة للأدبيات، لا سيما دراسة </w:t>
      </w:r>
      <w:proofErr w:type="spellStart"/>
      <w:r w:rsidRPr="00AB172D">
        <w:rPr>
          <w:rFonts w:ascii="Simplified Arabic" w:hAnsi="Simplified Arabic" w:cs="Simplified Arabic"/>
          <w:color w:val="000000" w:themeColor="text1"/>
          <w:sz w:val="28"/>
          <w:szCs w:val="28"/>
          <w:lang w:bidi="ar-EG"/>
        </w:rPr>
        <w:t>Gleißner</w:t>
      </w:r>
      <w:proofErr w:type="spellEnd"/>
      <w:r w:rsidRPr="00AB172D">
        <w:rPr>
          <w:rFonts w:ascii="Simplified Arabic" w:hAnsi="Simplified Arabic" w:cs="Simplified Arabic"/>
          <w:color w:val="000000" w:themeColor="text1"/>
          <w:sz w:val="28"/>
          <w:szCs w:val="28"/>
          <w:lang w:bidi="ar-EG"/>
        </w:rPr>
        <w:t xml:space="preserve"> et al</w:t>
      </w:r>
      <w:r w:rsidRPr="00AB172D">
        <w:rPr>
          <w:rFonts w:ascii="Simplified Arabic" w:hAnsi="Simplified Arabic" w:cs="Simplified Arabic"/>
          <w:color w:val="000000" w:themeColor="text1"/>
          <w:sz w:val="28"/>
          <w:szCs w:val="28"/>
          <w:rtl/>
          <w:lang w:bidi="ar-EG"/>
        </w:rPr>
        <w:t xml:space="preserve">. (2022) ودراسة كردي (2025) ودراسة </w:t>
      </w:r>
      <w:proofErr w:type="spellStart"/>
      <w:r w:rsidRPr="00AB172D">
        <w:rPr>
          <w:rFonts w:ascii="Simplified Arabic" w:hAnsi="Simplified Arabic" w:cs="Simplified Arabic"/>
          <w:color w:val="000000" w:themeColor="text1"/>
          <w:sz w:val="28"/>
          <w:szCs w:val="28"/>
          <w:rtl/>
          <w:lang w:bidi="ar-EG"/>
        </w:rPr>
        <w:t>السلموني</w:t>
      </w:r>
      <w:proofErr w:type="spellEnd"/>
      <w:r w:rsidRPr="00AB172D">
        <w:rPr>
          <w:rFonts w:ascii="Simplified Arabic" w:hAnsi="Simplified Arabic" w:cs="Simplified Arabic"/>
          <w:color w:val="000000" w:themeColor="text1"/>
          <w:sz w:val="28"/>
          <w:szCs w:val="28"/>
          <w:rtl/>
          <w:lang w:bidi="ar-EG"/>
        </w:rPr>
        <w:t xml:space="preserve"> والجارحي (2023) ودراسة العويدي وآخرون (2025)، بالإضافة إلى ملاءمة هذه الأبعاد لخصوصية الشركات الناشئة. وتتضمّن الأبعاد الآتية:</w:t>
      </w:r>
    </w:p>
    <w:p w14:paraId="057A36A5" w14:textId="77777777" w:rsidR="004F5783" w:rsidRPr="00AB172D" w:rsidRDefault="004F5783" w:rsidP="00BD4FDD">
      <w:pPr>
        <w:spacing w:before="100" w:beforeAutospacing="1" w:after="100" w:afterAutospacing="1" w:line="276" w:lineRule="auto"/>
        <w:ind w:hanging="1"/>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1. البُعد الأول: الربحية (</w:t>
      </w:r>
      <w:r w:rsidRPr="00AB172D">
        <w:rPr>
          <w:rFonts w:ascii="Simplified Arabic" w:hAnsi="Simplified Arabic" w:cs="Simplified Arabic"/>
          <w:b/>
          <w:bCs/>
          <w:color w:val="000000" w:themeColor="text1"/>
          <w:sz w:val="28"/>
          <w:szCs w:val="28"/>
          <w:lang w:bidi="ar-EG"/>
        </w:rPr>
        <w:t>Profitability</w:t>
      </w:r>
      <w:r w:rsidRPr="00AB172D">
        <w:rPr>
          <w:rFonts w:ascii="Simplified Arabic" w:hAnsi="Simplified Arabic" w:cs="Simplified Arabic"/>
          <w:b/>
          <w:bCs/>
          <w:color w:val="000000" w:themeColor="text1"/>
          <w:sz w:val="28"/>
          <w:szCs w:val="28"/>
          <w:rtl/>
          <w:lang w:bidi="ar-EG"/>
        </w:rPr>
        <w:t>)</w:t>
      </w:r>
    </w:p>
    <w:p w14:paraId="3C8F1948"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تُمثّل الربحية الركيزة الأولى للاستدامة المالية، وتُشير إلى قدرة المنظمة على توليد فائض إيجابي من نشاطها التشغيلي، أي تحقيق إيرادات تفوق مجموع نفقاتها، بما يُتيح لها الاحتفاظ بجزء من هذا الفائض لتمويل نموّها وتوسّعها. وتُعدّ الربحية شرطاً ضرورياً - وإن لم يكن كافياً - لتحقيق الاستدامة المالية، إذ لا يمكن لمنظمة تتكبّد خسائر متواصلة أن تحافظ على استمراريتها في الأجل الطويل (</w:t>
      </w:r>
      <w:proofErr w:type="spellStart"/>
      <w:r w:rsidRPr="00AB172D">
        <w:rPr>
          <w:rFonts w:ascii="Simplified Arabic" w:hAnsi="Simplified Arabic" w:cs="Simplified Arabic"/>
          <w:color w:val="000000" w:themeColor="text1"/>
          <w:sz w:val="28"/>
          <w:szCs w:val="28"/>
          <w:lang w:bidi="ar-EG"/>
        </w:rPr>
        <w:t>Gleißner</w:t>
      </w:r>
      <w:proofErr w:type="spellEnd"/>
      <w:r w:rsidRPr="00AB172D">
        <w:rPr>
          <w:rFonts w:ascii="Simplified Arabic" w:hAnsi="Simplified Arabic" w:cs="Simplified Arabic"/>
          <w:color w:val="000000" w:themeColor="text1"/>
          <w:sz w:val="28"/>
          <w:szCs w:val="28"/>
          <w:lang w:bidi="ar-EG"/>
        </w:rPr>
        <w:t xml:space="preserve"> et al., 2022</w:t>
      </w:r>
      <w:r w:rsidRPr="00AB172D">
        <w:rPr>
          <w:rFonts w:ascii="Simplified Arabic" w:hAnsi="Simplified Arabic" w:cs="Simplified Arabic"/>
          <w:color w:val="000000" w:themeColor="text1"/>
          <w:sz w:val="28"/>
          <w:szCs w:val="28"/>
          <w:rtl/>
          <w:lang w:bidi="ar-EG"/>
        </w:rPr>
        <w:t>).</w:t>
      </w:r>
    </w:p>
    <w:p w14:paraId="58C9A19E"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وتتخذ الربحية في الشركات الناشئة طابعاً خاصاً، إذ لا يُتوقّع منها تحقيق ربحية مرتفعة في السنوات الأولى، وإنما بناء مسار واضح نحو الربحية (</w:t>
      </w:r>
      <w:r w:rsidRPr="00AB172D">
        <w:rPr>
          <w:rFonts w:ascii="Simplified Arabic" w:hAnsi="Simplified Arabic" w:cs="Simplified Arabic"/>
          <w:color w:val="000000" w:themeColor="text1"/>
          <w:sz w:val="28"/>
          <w:szCs w:val="28"/>
          <w:lang w:bidi="ar-EG"/>
        </w:rPr>
        <w:t>Path to Profitability</w:t>
      </w:r>
      <w:r w:rsidRPr="00AB172D">
        <w:rPr>
          <w:rFonts w:ascii="Simplified Arabic" w:hAnsi="Simplified Arabic" w:cs="Simplified Arabic"/>
          <w:color w:val="000000" w:themeColor="text1"/>
          <w:sz w:val="28"/>
          <w:szCs w:val="28"/>
          <w:rtl/>
          <w:lang w:bidi="ar-EG"/>
        </w:rPr>
        <w:t>)، بحيث تظهر مؤشرات تحسّن هوامش الربح تدريجياً مع نمو الإيرادات وتوسّع قاعدة العملاء.</w:t>
      </w:r>
    </w:p>
    <w:p w14:paraId="4A4A08A8" w14:textId="77777777" w:rsidR="004F5783" w:rsidRPr="00AB172D" w:rsidRDefault="004F5783" w:rsidP="00BD4FDD">
      <w:pPr>
        <w:spacing w:before="100" w:beforeAutospacing="1" w:after="100" w:afterAutospacing="1" w:line="276" w:lineRule="auto"/>
        <w:ind w:hanging="1"/>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2. البُعد الثاني: السيولة (</w:t>
      </w:r>
      <w:r w:rsidRPr="00AB172D">
        <w:rPr>
          <w:rFonts w:ascii="Simplified Arabic" w:hAnsi="Simplified Arabic" w:cs="Simplified Arabic"/>
          <w:b/>
          <w:bCs/>
          <w:color w:val="000000" w:themeColor="text1"/>
          <w:sz w:val="28"/>
          <w:szCs w:val="28"/>
          <w:lang w:bidi="ar-EG"/>
        </w:rPr>
        <w:t>Liquidity</w:t>
      </w:r>
      <w:r w:rsidRPr="00AB172D">
        <w:rPr>
          <w:rFonts w:ascii="Simplified Arabic" w:hAnsi="Simplified Arabic" w:cs="Simplified Arabic"/>
          <w:b/>
          <w:bCs/>
          <w:color w:val="000000" w:themeColor="text1"/>
          <w:sz w:val="28"/>
          <w:szCs w:val="28"/>
          <w:rtl/>
          <w:lang w:bidi="ar-EG"/>
        </w:rPr>
        <w:t>)</w:t>
      </w:r>
    </w:p>
    <w:p w14:paraId="153B0234"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تُمثّل السيولة قدرة المنظمة على الوفاء بالتزاماتها قصيرة الأجل عند استحقاقها، وتُعدّ من أكثر أبعاد الاستدامة المالية حساسيةً في الشركات الناشئة، إذ إنّ نضوب السيولة يُشكّل السبب الأول والمباشر لفشل معظم هذه الشركات. وتُقاس السيولة عبر نسب متعددة، أبرزها نسبة التداول، ونسبة السيولة السريعة، والمعدّل النقدي (</w:t>
      </w:r>
      <w:r w:rsidRPr="00AB172D">
        <w:rPr>
          <w:rFonts w:ascii="Simplified Arabic" w:hAnsi="Simplified Arabic" w:cs="Simplified Arabic"/>
          <w:color w:val="000000" w:themeColor="text1"/>
          <w:sz w:val="28"/>
          <w:szCs w:val="28"/>
          <w:lang w:bidi="ar-EG"/>
        </w:rPr>
        <w:t>Cash Runway</w:t>
      </w:r>
      <w:r w:rsidRPr="00AB172D">
        <w:rPr>
          <w:rFonts w:ascii="Simplified Arabic" w:hAnsi="Simplified Arabic" w:cs="Simplified Arabic"/>
          <w:color w:val="000000" w:themeColor="text1"/>
          <w:sz w:val="28"/>
          <w:szCs w:val="28"/>
          <w:rtl/>
          <w:lang w:bidi="ar-EG"/>
        </w:rPr>
        <w:t>) الذي يُشير إلى الفترة الزمنية التي تستطيع الشركة الاستمرار خلالها بالنقد المتاح (كردي، 2025).</w:t>
      </w:r>
    </w:p>
    <w:p w14:paraId="13D05152" w14:textId="77777777" w:rsidR="004F5783" w:rsidRPr="00AB172D" w:rsidRDefault="004F5783" w:rsidP="00BD4FDD">
      <w:pPr>
        <w:spacing w:before="100" w:beforeAutospacing="1" w:after="100" w:afterAutospacing="1" w:line="276" w:lineRule="auto"/>
        <w:ind w:hanging="1"/>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3. البُعد الثالث: الملاءة المالية (</w:t>
      </w:r>
      <w:r w:rsidRPr="00AB172D">
        <w:rPr>
          <w:rFonts w:ascii="Simplified Arabic" w:hAnsi="Simplified Arabic" w:cs="Simplified Arabic"/>
          <w:b/>
          <w:bCs/>
          <w:color w:val="000000" w:themeColor="text1"/>
          <w:sz w:val="28"/>
          <w:szCs w:val="28"/>
          <w:lang w:bidi="ar-EG"/>
        </w:rPr>
        <w:t>Solvency</w:t>
      </w:r>
      <w:r w:rsidRPr="00AB172D">
        <w:rPr>
          <w:rFonts w:ascii="Simplified Arabic" w:hAnsi="Simplified Arabic" w:cs="Simplified Arabic"/>
          <w:b/>
          <w:bCs/>
          <w:color w:val="000000" w:themeColor="text1"/>
          <w:sz w:val="28"/>
          <w:szCs w:val="28"/>
          <w:rtl/>
          <w:lang w:bidi="ar-EG"/>
        </w:rPr>
        <w:t>)</w:t>
      </w:r>
    </w:p>
    <w:p w14:paraId="39CC74C1"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تعكس الملاءة المالية قدرة المنظمة على الوفاء بالتزاماتها طويلة الأجل، وتُشير إلى التوازن الهيكلي بين مواردها المالية والتزاماتها. وتُقاس الملاءة عبر نسب متعددة، منها نسبة الدين إلى حقوق الملكية، </w:t>
      </w:r>
      <w:r w:rsidRPr="00AB172D">
        <w:rPr>
          <w:rFonts w:ascii="Simplified Arabic" w:hAnsi="Simplified Arabic" w:cs="Simplified Arabic"/>
          <w:color w:val="000000" w:themeColor="text1"/>
          <w:sz w:val="28"/>
          <w:szCs w:val="28"/>
          <w:rtl/>
          <w:lang w:bidi="ar-EG"/>
        </w:rPr>
        <w:lastRenderedPageBreak/>
        <w:t>ونسبة تغطية الفائدة، ونسبة الأصول إلى الالتزامات. ويُبرز الخولي وآخرون (2023) أنّ الملاءة تُشكّل ركيزةً محوريةً للاستدامة المالية، لكونها تعكس القدرة الهيكلية على الاستمرار.</w:t>
      </w:r>
    </w:p>
    <w:p w14:paraId="73A7F244" w14:textId="77777777" w:rsidR="004F5783" w:rsidRPr="00AB172D" w:rsidRDefault="004F5783" w:rsidP="00BD4FDD">
      <w:pPr>
        <w:spacing w:before="100" w:beforeAutospacing="1" w:after="100" w:afterAutospacing="1" w:line="276" w:lineRule="auto"/>
        <w:ind w:hanging="1"/>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4. البُعد الرابع: كفاءة استخدام الأصول (</w:t>
      </w:r>
      <w:r w:rsidRPr="00AB172D">
        <w:rPr>
          <w:rFonts w:ascii="Simplified Arabic" w:hAnsi="Simplified Arabic" w:cs="Simplified Arabic"/>
          <w:b/>
          <w:bCs/>
          <w:color w:val="000000" w:themeColor="text1"/>
          <w:sz w:val="28"/>
          <w:szCs w:val="28"/>
          <w:lang w:bidi="ar-EG"/>
        </w:rPr>
        <w:t>Asset Utilization Efficiency</w:t>
      </w:r>
      <w:r w:rsidRPr="00AB172D">
        <w:rPr>
          <w:rFonts w:ascii="Simplified Arabic" w:hAnsi="Simplified Arabic" w:cs="Simplified Arabic"/>
          <w:b/>
          <w:bCs/>
          <w:color w:val="000000" w:themeColor="text1"/>
          <w:sz w:val="28"/>
          <w:szCs w:val="28"/>
          <w:rtl/>
          <w:lang w:bidi="ar-EG"/>
        </w:rPr>
        <w:t>)</w:t>
      </w:r>
    </w:p>
    <w:p w14:paraId="0D0618F6"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يُشير هذا البُعد إلى مدى قدرة المنظمة على توظيف أصولها لتوليد إيرادات وأرباح، ويُقاس عبر نسب دوران الأصول، والعائد على الأصول، وكفاءة رأس المال العامل. وتكتسب كفاءة استخدام الأصول أهميةً استثنائيةً في الشركات الناشئة، لكونها تعمل عادةً في ظل موارد محدودة، ممّا يستلزم توظيف كل أصل بأقصى قدر من الكفاءة (</w:t>
      </w:r>
      <w:proofErr w:type="spellStart"/>
      <w:r w:rsidRPr="00AB172D">
        <w:rPr>
          <w:rFonts w:ascii="Simplified Arabic" w:hAnsi="Simplified Arabic" w:cs="Simplified Arabic"/>
          <w:color w:val="000000" w:themeColor="text1"/>
          <w:sz w:val="28"/>
          <w:szCs w:val="28"/>
          <w:rtl/>
          <w:lang w:bidi="ar-EG"/>
        </w:rPr>
        <w:t>السلموني</w:t>
      </w:r>
      <w:proofErr w:type="spellEnd"/>
      <w:r w:rsidRPr="00AB172D">
        <w:rPr>
          <w:rFonts w:ascii="Simplified Arabic" w:hAnsi="Simplified Arabic" w:cs="Simplified Arabic"/>
          <w:color w:val="000000" w:themeColor="text1"/>
          <w:sz w:val="28"/>
          <w:szCs w:val="28"/>
          <w:rtl/>
          <w:lang w:bidi="ar-EG"/>
        </w:rPr>
        <w:t xml:space="preserve"> والجارحي، 2023).</w:t>
      </w:r>
    </w:p>
    <w:p w14:paraId="3DF84B64" w14:textId="77777777" w:rsidR="004F5783" w:rsidRPr="00AB172D" w:rsidRDefault="004F5783" w:rsidP="00BD4FDD">
      <w:pPr>
        <w:spacing w:before="100" w:beforeAutospacing="1" w:after="100" w:afterAutospacing="1" w:line="276" w:lineRule="auto"/>
        <w:ind w:hanging="1"/>
        <w:jc w:val="both"/>
        <w:rPr>
          <w:rFonts w:ascii="Simplified Arabic" w:hAnsi="Simplified Arabic" w:cs="Simplified Arabic"/>
          <w:b/>
          <w:bCs/>
          <w:color w:val="000000" w:themeColor="text1"/>
          <w:sz w:val="28"/>
          <w:szCs w:val="28"/>
          <w:rtl/>
          <w:lang w:bidi="ar-EG"/>
        </w:rPr>
      </w:pPr>
      <w:r w:rsidRPr="00AB172D">
        <w:rPr>
          <w:rFonts w:ascii="Simplified Arabic" w:hAnsi="Simplified Arabic" w:cs="Simplified Arabic"/>
          <w:b/>
          <w:bCs/>
          <w:color w:val="000000" w:themeColor="text1"/>
          <w:sz w:val="28"/>
          <w:szCs w:val="28"/>
          <w:rtl/>
          <w:lang w:bidi="ar-EG"/>
        </w:rPr>
        <w:t>5. البُعد الخامس: إدارة المخاطر المالية (</w:t>
      </w:r>
      <w:r w:rsidRPr="00AB172D">
        <w:rPr>
          <w:rFonts w:ascii="Simplified Arabic" w:hAnsi="Simplified Arabic" w:cs="Simplified Arabic"/>
          <w:b/>
          <w:bCs/>
          <w:color w:val="000000" w:themeColor="text1"/>
          <w:sz w:val="28"/>
          <w:szCs w:val="28"/>
          <w:lang w:bidi="ar-EG"/>
        </w:rPr>
        <w:t>Financial Risk Management</w:t>
      </w:r>
      <w:r w:rsidRPr="00AB172D">
        <w:rPr>
          <w:rFonts w:ascii="Simplified Arabic" w:hAnsi="Simplified Arabic" w:cs="Simplified Arabic"/>
          <w:b/>
          <w:bCs/>
          <w:color w:val="000000" w:themeColor="text1"/>
          <w:sz w:val="28"/>
          <w:szCs w:val="28"/>
          <w:rtl/>
          <w:lang w:bidi="ar-EG"/>
        </w:rPr>
        <w:t>)</w:t>
      </w:r>
    </w:p>
    <w:p w14:paraId="797113BE"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AB172D">
        <w:rPr>
          <w:rFonts w:ascii="Simplified Arabic" w:hAnsi="Simplified Arabic" w:cs="Simplified Arabic"/>
          <w:color w:val="000000" w:themeColor="text1"/>
          <w:sz w:val="28"/>
          <w:szCs w:val="28"/>
          <w:rtl/>
          <w:lang w:bidi="ar-EG"/>
        </w:rPr>
        <w:t>يُمثّل هذا البُعد قدرة المنظمة على تحديد المخاطر المالية التي تواجهها، وتقييمها، ووضع الاستراتيجيات المناسبة للتعامل معها، سواء عبر التحييد أو التخفيف أو النقل أو القبول المحسوب. ويشمل ذلك مخاطر السوق، ومخاطر الائتمان، ومخاطر السيولة، والمخاطر التشغيلية (</w:t>
      </w:r>
      <w:r w:rsidRPr="00AB172D">
        <w:rPr>
          <w:rFonts w:ascii="Simplified Arabic" w:hAnsi="Simplified Arabic" w:cs="Simplified Arabic"/>
          <w:color w:val="000000" w:themeColor="text1"/>
          <w:sz w:val="28"/>
          <w:szCs w:val="28"/>
          <w:lang w:bidi="ar-EG"/>
        </w:rPr>
        <w:t xml:space="preserve">Ahlström &amp; </w:t>
      </w:r>
      <w:proofErr w:type="spellStart"/>
      <w:r w:rsidRPr="00AB172D">
        <w:rPr>
          <w:rFonts w:ascii="Simplified Arabic" w:hAnsi="Simplified Arabic" w:cs="Simplified Arabic"/>
          <w:color w:val="000000" w:themeColor="text1"/>
          <w:sz w:val="28"/>
          <w:szCs w:val="28"/>
          <w:lang w:bidi="ar-EG"/>
        </w:rPr>
        <w:t>Monciardini</w:t>
      </w:r>
      <w:proofErr w:type="spellEnd"/>
      <w:r w:rsidRPr="00AB172D">
        <w:rPr>
          <w:rFonts w:ascii="Simplified Arabic" w:hAnsi="Simplified Arabic" w:cs="Simplified Arabic"/>
          <w:color w:val="000000" w:themeColor="text1"/>
          <w:sz w:val="28"/>
          <w:szCs w:val="28"/>
          <w:lang w:bidi="ar-EG"/>
        </w:rPr>
        <w:t>, 2022</w:t>
      </w:r>
      <w:r w:rsidRPr="00AB172D">
        <w:rPr>
          <w:rFonts w:ascii="Simplified Arabic" w:hAnsi="Simplified Arabic" w:cs="Simplified Arabic"/>
          <w:color w:val="000000" w:themeColor="text1"/>
          <w:sz w:val="28"/>
          <w:szCs w:val="28"/>
          <w:rtl/>
          <w:lang w:bidi="ar-EG"/>
        </w:rPr>
        <w:t>).</w:t>
      </w:r>
    </w:p>
    <w:p w14:paraId="020F46C1" w14:textId="2BB2B067"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8" w:name="_Toc234338556"/>
      <w:r w:rsidRPr="00AB172D">
        <w:rPr>
          <w:rFonts w:ascii="Simplified Arabic" w:hAnsi="Simplified Arabic" w:cs="Simplified Arabic" w:hint="cs"/>
          <w:b/>
          <w:bCs/>
          <w:color w:val="000000" w:themeColor="text1"/>
          <w:sz w:val="32"/>
          <w:szCs w:val="32"/>
          <w:rtl/>
          <w:lang w:bidi="ar-EG"/>
        </w:rPr>
        <w:t xml:space="preserve">6.2.2 </w:t>
      </w:r>
      <w:r w:rsidR="004F5783" w:rsidRPr="00AB172D">
        <w:rPr>
          <w:rFonts w:ascii="Simplified Arabic" w:hAnsi="Simplified Arabic" w:cs="Simplified Arabic"/>
          <w:b/>
          <w:bCs/>
          <w:color w:val="000000" w:themeColor="text1"/>
          <w:sz w:val="32"/>
          <w:szCs w:val="32"/>
          <w:rtl/>
          <w:lang w:bidi="ar-EG"/>
        </w:rPr>
        <w:t>عوامل تحقيق الاستدامة المالية في الشركات الناشئة</w:t>
      </w:r>
      <w:bookmarkEnd w:id="28"/>
    </w:p>
    <w:p w14:paraId="1F1A0ECA"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يتوقّف تحقيق الاستدامة المالية في الشركات الناشئة على جملة من العوامل المتشابكة، أبرزها: تبنّي نموذج أعمال قابل للتوسّع والاستمرار، والإدارة الرشيدة للتدفّقات النقدية، وتنويع مصادر التمويل، والاستثمار في تنمية القدرات البشرية والتكنولوجية، وبناء نظم معلومات محاسبية دقيقة تدعم اتخاذ القرارات، وتبنّي ممارسات إدارية حديثة تُعزّز الكفاءة التشغيلية (</w:t>
      </w:r>
      <w:proofErr w:type="spellStart"/>
      <w:r w:rsidRPr="00AB172D">
        <w:rPr>
          <w:rFonts w:ascii="Simplified Arabic" w:hAnsi="Simplified Arabic" w:cs="Simplified Arabic"/>
          <w:color w:val="000000" w:themeColor="text1"/>
          <w:sz w:val="28"/>
          <w:szCs w:val="28"/>
          <w:lang w:bidi="ar-EG"/>
        </w:rPr>
        <w:t>Oudat</w:t>
      </w:r>
      <w:proofErr w:type="spellEnd"/>
      <w:r w:rsidRPr="00AB172D">
        <w:rPr>
          <w:rFonts w:ascii="Simplified Arabic" w:hAnsi="Simplified Arabic" w:cs="Simplified Arabic"/>
          <w:color w:val="000000" w:themeColor="text1"/>
          <w:sz w:val="28"/>
          <w:szCs w:val="28"/>
          <w:lang w:bidi="ar-EG"/>
        </w:rPr>
        <w:t>, 2021</w:t>
      </w:r>
      <w:r w:rsidRPr="00AB172D">
        <w:rPr>
          <w:rFonts w:ascii="Simplified Arabic" w:hAnsi="Simplified Arabic" w:cs="Simplified Arabic"/>
          <w:color w:val="000000" w:themeColor="text1"/>
          <w:sz w:val="28"/>
          <w:szCs w:val="28"/>
          <w:rtl/>
          <w:lang w:bidi="ar-EG"/>
        </w:rPr>
        <w:t>).</w:t>
      </w:r>
    </w:p>
    <w:p w14:paraId="45B62976"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كما تُسهم عوامل خارجية في تحقيق الاستدامة المالية، منها: توافر بيئة تنظيمية داعمة لريادة الأعمال، ووجود منظومة تمويل متنوّعة تشمل صناديق الاستثمار الجريء والحاضنات والمسرّعات، واستقرار الاقتصاد الكلي، وتوافر بنية تحتية رقمية متطورة (</w:t>
      </w:r>
      <w:proofErr w:type="spellStart"/>
      <w:r w:rsidRPr="00AB172D">
        <w:rPr>
          <w:rFonts w:ascii="Simplified Arabic" w:hAnsi="Simplified Arabic" w:cs="Simplified Arabic"/>
          <w:color w:val="000000" w:themeColor="text1"/>
          <w:sz w:val="28"/>
          <w:szCs w:val="28"/>
          <w:lang w:bidi="ar-EG"/>
        </w:rPr>
        <w:t>Amuna</w:t>
      </w:r>
      <w:proofErr w:type="spellEnd"/>
      <w:r w:rsidRPr="00AB172D">
        <w:rPr>
          <w:rFonts w:ascii="Simplified Arabic" w:hAnsi="Simplified Arabic" w:cs="Simplified Arabic"/>
          <w:color w:val="000000" w:themeColor="text1"/>
          <w:sz w:val="28"/>
          <w:szCs w:val="28"/>
          <w:lang w:bidi="ar-EG"/>
        </w:rPr>
        <w:t xml:space="preserve"> et al., 2026</w:t>
      </w:r>
      <w:r w:rsidRPr="00AB172D">
        <w:rPr>
          <w:rFonts w:ascii="Simplified Arabic" w:hAnsi="Simplified Arabic" w:cs="Simplified Arabic"/>
          <w:color w:val="000000" w:themeColor="text1"/>
          <w:sz w:val="28"/>
          <w:szCs w:val="28"/>
          <w:rtl/>
          <w:lang w:bidi="ar-EG"/>
        </w:rPr>
        <w:t>).</w:t>
      </w:r>
    </w:p>
    <w:p w14:paraId="786168AF" w14:textId="4539F3C1"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29" w:name="_Toc234338557"/>
      <w:r w:rsidRPr="00AB172D">
        <w:rPr>
          <w:rFonts w:ascii="Simplified Arabic" w:hAnsi="Simplified Arabic" w:cs="Simplified Arabic" w:hint="cs"/>
          <w:b/>
          <w:bCs/>
          <w:color w:val="000000" w:themeColor="text1"/>
          <w:sz w:val="32"/>
          <w:szCs w:val="32"/>
          <w:rtl/>
          <w:lang w:bidi="ar-EG"/>
        </w:rPr>
        <w:t xml:space="preserve">7.2.2 </w:t>
      </w:r>
      <w:r w:rsidR="004F5783" w:rsidRPr="00AB172D">
        <w:rPr>
          <w:rFonts w:ascii="Simplified Arabic" w:hAnsi="Simplified Arabic" w:cs="Simplified Arabic"/>
          <w:b/>
          <w:bCs/>
          <w:color w:val="000000" w:themeColor="text1"/>
          <w:sz w:val="32"/>
          <w:szCs w:val="32"/>
          <w:rtl/>
          <w:lang w:bidi="ar-EG"/>
        </w:rPr>
        <w:t>استراتيجيات تعزيز الاستدامة المالية</w:t>
      </w:r>
      <w:bookmarkEnd w:id="29"/>
    </w:p>
    <w:p w14:paraId="4BF9F317"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lastRenderedPageBreak/>
        <w:t xml:space="preserve">تتنوّع استراتيجيات تعزيز الاستدامة المالية بتنوّع سياقات المنظمات وطبيعة نشاطها. ويُبرز </w:t>
      </w:r>
      <w:r w:rsidRPr="00AB172D">
        <w:rPr>
          <w:rFonts w:ascii="Simplified Arabic" w:hAnsi="Simplified Arabic" w:cs="Simplified Arabic"/>
          <w:color w:val="000000" w:themeColor="text1"/>
          <w:sz w:val="28"/>
          <w:szCs w:val="28"/>
          <w:lang w:bidi="ar-EG"/>
        </w:rPr>
        <w:t>Habib et al</w:t>
      </w:r>
      <w:r w:rsidRPr="00AB172D">
        <w:rPr>
          <w:rFonts w:ascii="Simplified Arabic" w:hAnsi="Simplified Arabic" w:cs="Simplified Arabic"/>
          <w:color w:val="000000" w:themeColor="text1"/>
          <w:sz w:val="28"/>
          <w:szCs w:val="28"/>
          <w:rtl/>
          <w:lang w:bidi="ar-EG"/>
        </w:rPr>
        <w:t xml:space="preserve">. (2021) أهمية الاستراتيجيات القائمة على التوجّه البيئي، حيث تتبنّى المنظمات ممارسات مستدامة تُعزّز أداءها المالي على المدى الطويل. في حين يرى </w:t>
      </w:r>
      <w:r w:rsidRPr="00AB172D">
        <w:rPr>
          <w:rFonts w:ascii="Simplified Arabic" w:hAnsi="Simplified Arabic" w:cs="Simplified Arabic"/>
          <w:color w:val="000000" w:themeColor="text1"/>
          <w:sz w:val="28"/>
          <w:szCs w:val="28"/>
          <w:lang w:bidi="ar-EG"/>
        </w:rPr>
        <w:t>Alzoubi et al</w:t>
      </w:r>
      <w:r w:rsidRPr="00AB172D">
        <w:rPr>
          <w:rFonts w:ascii="Simplified Arabic" w:hAnsi="Simplified Arabic" w:cs="Simplified Arabic"/>
          <w:color w:val="000000" w:themeColor="text1"/>
          <w:sz w:val="28"/>
          <w:szCs w:val="28"/>
          <w:rtl/>
          <w:lang w:bidi="ar-EG"/>
        </w:rPr>
        <w:t>. (2024) أنّ تكامل الممارسات البيئية مع سلسلة التوريد يُسهم في تعزيز الأداء المستدام للمنظمات.</w:t>
      </w:r>
    </w:p>
    <w:p w14:paraId="4EEF9A63"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وفي سياق الشركات الناشئة تحديداً، تتضمّن استراتيجيات تعزيز الاستدامة المالية: تطبيق منهجيات الشركات الناشئة الرشيقة (</w:t>
      </w:r>
      <w:r w:rsidRPr="00AB172D">
        <w:rPr>
          <w:rFonts w:ascii="Simplified Arabic" w:hAnsi="Simplified Arabic" w:cs="Simplified Arabic"/>
          <w:color w:val="000000" w:themeColor="text1"/>
          <w:sz w:val="28"/>
          <w:szCs w:val="28"/>
          <w:lang w:bidi="ar-EG"/>
        </w:rPr>
        <w:t>Lean Startup</w:t>
      </w:r>
      <w:r w:rsidRPr="00AB172D">
        <w:rPr>
          <w:rFonts w:ascii="Simplified Arabic" w:hAnsi="Simplified Arabic" w:cs="Simplified Arabic"/>
          <w:color w:val="000000" w:themeColor="text1"/>
          <w:sz w:val="28"/>
          <w:szCs w:val="28"/>
          <w:rtl/>
          <w:lang w:bidi="ar-EG"/>
        </w:rPr>
        <w:t>) لتقليص الهدر وتسريع التعلّم، وبناء علاقات قوية مع العملاء لضمان تدفّق إيرادات مستقرة، والتوسّع التدريجي المدروس بدلاً من التوسّع المتسرّع، وإدارة رأس المال العامل بكفاءة (</w:t>
      </w:r>
      <w:r w:rsidRPr="00AB172D">
        <w:rPr>
          <w:rFonts w:ascii="Simplified Arabic" w:hAnsi="Simplified Arabic" w:cs="Simplified Arabic"/>
          <w:color w:val="000000" w:themeColor="text1"/>
          <w:sz w:val="28"/>
          <w:szCs w:val="28"/>
          <w:lang w:bidi="ar-EG"/>
        </w:rPr>
        <w:t>Surenthran et al., 2025</w:t>
      </w:r>
      <w:r w:rsidRPr="00AB172D">
        <w:rPr>
          <w:rFonts w:ascii="Simplified Arabic" w:hAnsi="Simplified Arabic" w:cs="Simplified Arabic"/>
          <w:color w:val="000000" w:themeColor="text1"/>
          <w:sz w:val="28"/>
          <w:szCs w:val="28"/>
          <w:rtl/>
          <w:lang w:bidi="ar-EG"/>
        </w:rPr>
        <w:t>).</w:t>
      </w:r>
    </w:p>
    <w:p w14:paraId="5902AA6B" w14:textId="663CF3B9"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30" w:name="_Toc234338558"/>
      <w:r w:rsidRPr="00AB172D">
        <w:rPr>
          <w:rFonts w:ascii="Simplified Arabic" w:hAnsi="Simplified Arabic" w:cs="Simplified Arabic" w:hint="cs"/>
          <w:b/>
          <w:bCs/>
          <w:color w:val="000000" w:themeColor="text1"/>
          <w:sz w:val="32"/>
          <w:szCs w:val="32"/>
          <w:rtl/>
          <w:lang w:bidi="ar-EG"/>
        </w:rPr>
        <w:t xml:space="preserve">8.2.2 </w:t>
      </w:r>
      <w:r w:rsidR="004F5783" w:rsidRPr="00AB172D">
        <w:rPr>
          <w:rFonts w:ascii="Simplified Arabic" w:hAnsi="Simplified Arabic" w:cs="Simplified Arabic"/>
          <w:b/>
          <w:bCs/>
          <w:color w:val="000000" w:themeColor="text1"/>
          <w:sz w:val="32"/>
          <w:szCs w:val="32"/>
          <w:rtl/>
          <w:lang w:bidi="ar-EG"/>
        </w:rPr>
        <w:t>تحديات تحقيق الاستدامة المالية</w:t>
      </w:r>
      <w:bookmarkEnd w:id="30"/>
    </w:p>
    <w:p w14:paraId="5650BEA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تواجه المنظمات في سعيها لتحقيق الاستدامة المالية جملة من التحديات، تشمل: التقلّبات الاقتصادية وعدم اليقين في الأسواق، وضعف البنية التنظيمية والتشريعية في بعض البيئات، ومحدودية الوعي المالي لدى القيادات، وصعوبة التوفيق بين الأهداف قصيرة وطويلة الأجل. وتتضاعف هذه التحديات في منطقة الشرق الأوسط وشمال أفريقيا في ظل الأزمات الإقليمية المتعاقبة (</w:t>
      </w:r>
      <w:proofErr w:type="spellStart"/>
      <w:r w:rsidRPr="00AB172D">
        <w:rPr>
          <w:rFonts w:ascii="Simplified Arabic" w:hAnsi="Simplified Arabic" w:cs="Simplified Arabic"/>
          <w:color w:val="000000" w:themeColor="text1"/>
          <w:sz w:val="28"/>
          <w:szCs w:val="28"/>
          <w:rtl/>
          <w:lang w:bidi="ar-EG"/>
        </w:rPr>
        <w:t>بوربيعة</w:t>
      </w:r>
      <w:proofErr w:type="spellEnd"/>
      <w:r w:rsidRPr="00AB172D">
        <w:rPr>
          <w:rFonts w:ascii="Simplified Arabic" w:hAnsi="Simplified Arabic" w:cs="Simplified Arabic"/>
          <w:color w:val="000000" w:themeColor="text1"/>
          <w:sz w:val="28"/>
          <w:szCs w:val="28"/>
          <w:rtl/>
          <w:lang w:bidi="ar-EG"/>
        </w:rPr>
        <w:t>، 2022).</w:t>
      </w:r>
    </w:p>
    <w:p w14:paraId="72AE3F0A" w14:textId="3735B162" w:rsidR="004F5783" w:rsidRPr="00AB172D" w:rsidRDefault="00BD4FDD" w:rsidP="00BD4F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tl/>
          <w:lang w:bidi="ar-EG"/>
        </w:rPr>
      </w:pPr>
      <w:bookmarkStart w:id="31" w:name="_Toc234338559"/>
      <w:r w:rsidRPr="00AB172D">
        <w:rPr>
          <w:rFonts w:ascii="Simplified Arabic" w:hAnsi="Simplified Arabic" w:cs="Simplified Arabic" w:hint="cs"/>
          <w:b/>
          <w:bCs/>
          <w:color w:val="000000" w:themeColor="text1"/>
          <w:sz w:val="32"/>
          <w:szCs w:val="32"/>
          <w:rtl/>
          <w:lang w:bidi="ar-EG"/>
        </w:rPr>
        <w:t xml:space="preserve">9.2.2 </w:t>
      </w:r>
      <w:r w:rsidR="004F5783" w:rsidRPr="00AB172D">
        <w:rPr>
          <w:rFonts w:ascii="Simplified Arabic" w:hAnsi="Simplified Arabic" w:cs="Simplified Arabic"/>
          <w:b/>
          <w:bCs/>
          <w:color w:val="000000" w:themeColor="text1"/>
          <w:sz w:val="32"/>
          <w:szCs w:val="32"/>
          <w:rtl/>
          <w:lang w:bidi="ar-EG"/>
        </w:rPr>
        <w:t>واقع الاستدامة المالية في الشركات الناشئة بمنطقة الشرق الأوسط وشمال أفريقيا</w:t>
      </w:r>
      <w:bookmarkEnd w:id="31"/>
    </w:p>
    <w:p w14:paraId="21B55BF2" w14:textId="77777777" w:rsidR="004F5783" w:rsidRPr="00AB172D" w:rsidRDefault="004F5783" w:rsidP="004F5783">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B172D">
        <w:rPr>
          <w:rFonts w:ascii="Simplified Arabic" w:hAnsi="Simplified Arabic" w:cs="Simplified Arabic"/>
          <w:color w:val="000000" w:themeColor="text1"/>
          <w:sz w:val="28"/>
          <w:szCs w:val="28"/>
          <w:rtl/>
          <w:lang w:bidi="ar-EG"/>
        </w:rPr>
        <w:t xml:space="preserve">يشهد واقع الاستدامة المالية للشركات الناشئة في منطقة الشرق الأوسط وشمال أفريقيا تفاوتاً ملحوظاً بين الدول، إذ تتصدّر دول الخليج العربي (لا سيما الإمارات والسعودية) قائمة الدول الأكثر توفيراً لبيئة داعمة للشركات الناشئة، فيما تواجه دول أخرى تحديات تتعلّق بالتمويل والبنية التحتية. ويُبرز </w:t>
      </w:r>
      <w:proofErr w:type="spellStart"/>
      <w:r w:rsidRPr="00AB172D">
        <w:rPr>
          <w:rFonts w:ascii="Simplified Arabic" w:hAnsi="Simplified Arabic" w:cs="Simplified Arabic"/>
          <w:color w:val="000000" w:themeColor="text1"/>
          <w:sz w:val="28"/>
          <w:szCs w:val="28"/>
          <w:lang w:bidi="ar-EG"/>
        </w:rPr>
        <w:t>Amuna</w:t>
      </w:r>
      <w:proofErr w:type="spellEnd"/>
      <w:r w:rsidRPr="00AB172D">
        <w:rPr>
          <w:rFonts w:ascii="Simplified Arabic" w:hAnsi="Simplified Arabic" w:cs="Simplified Arabic"/>
          <w:color w:val="000000" w:themeColor="text1"/>
          <w:sz w:val="28"/>
          <w:szCs w:val="28"/>
          <w:lang w:bidi="ar-EG"/>
        </w:rPr>
        <w:t xml:space="preserve"> et al</w:t>
      </w:r>
      <w:r w:rsidRPr="00AB172D">
        <w:rPr>
          <w:rFonts w:ascii="Simplified Arabic" w:hAnsi="Simplified Arabic" w:cs="Simplified Arabic"/>
          <w:color w:val="000000" w:themeColor="text1"/>
          <w:sz w:val="28"/>
          <w:szCs w:val="28"/>
          <w:rtl/>
          <w:lang w:bidi="ar-EG"/>
        </w:rPr>
        <w:t>. (2026) أنّ الاقتصادات الناشئة تحتاج إلى تبنّي أُطر إدارية رشيقة وممارسات مالية مسؤولة لتعزيز استدامة قطاعاتها المالية والاقتصادية.</w:t>
      </w:r>
    </w:p>
    <w:p w14:paraId="0DDE4072" w14:textId="465F4FD5" w:rsidR="00AC1DBA" w:rsidRPr="00AB172D" w:rsidRDefault="00BD4FDD" w:rsidP="003F361A">
      <w:pPr>
        <w:jc w:val="center"/>
        <w:outlineLvl w:val="0"/>
        <w:rPr>
          <w:rFonts w:ascii="Simplified Arabic" w:hAnsi="Simplified Arabic" w:cs="Simplified Arabic"/>
          <w:b/>
          <w:bCs/>
          <w:color w:val="000000" w:themeColor="text1"/>
          <w:szCs w:val="28"/>
          <w:rtl/>
        </w:rPr>
        <w:sectPr w:rsidR="00AC1DBA" w:rsidRPr="00AB172D" w:rsidSect="00E90EC1">
          <w:footerReference w:type="default" r:id="rId9"/>
          <w:pgSz w:w="11906" w:h="16838" w:code="9"/>
          <w:pgMar w:top="1134" w:right="1701" w:bottom="1134" w:left="1134" w:header="720" w:footer="720" w:gutter="0"/>
          <w:pgNumType w:start="1"/>
          <w:cols w:space="708"/>
          <w:bidi/>
          <w:rtlGutter/>
          <w:docGrid w:linePitch="360"/>
        </w:sectPr>
      </w:pPr>
      <w:r w:rsidRPr="00AB172D">
        <w:rPr>
          <w:rFonts w:ascii="Simplified Arabic" w:hAnsi="Simplified Arabic" w:cs="Simplified Arabic"/>
          <w:b/>
          <w:bCs/>
          <w:color w:val="000000" w:themeColor="text1"/>
          <w:sz w:val="40"/>
          <w:szCs w:val="40"/>
          <w:rtl/>
          <w:lang w:bidi="ar-EG"/>
        </w:rPr>
        <w:br w:type="page"/>
      </w:r>
      <w:bookmarkEnd w:id="1"/>
      <w:bookmarkEnd w:id="2"/>
    </w:p>
    <w:p w14:paraId="29D4231B" w14:textId="5692A5E0" w:rsidR="0081623B" w:rsidRPr="00AB172D" w:rsidRDefault="00E27D3B" w:rsidP="00E90EC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B172D">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2F42C59">
            <wp:simplePos x="0" y="0"/>
            <wp:positionH relativeFrom="column">
              <wp:posOffset>4339590</wp:posOffset>
            </wp:positionH>
            <wp:positionV relativeFrom="paragraph">
              <wp:posOffset>0</wp:posOffset>
            </wp:positionV>
            <wp:extent cx="1301115" cy="1204595"/>
            <wp:effectExtent l="0" t="0" r="0" b="0"/>
            <wp:wrapTight wrapText="bothSides">
              <wp:wrapPolygon edited="0">
                <wp:start x="0" y="0"/>
                <wp:lineTo x="0" y="21179"/>
                <wp:lineTo x="21189" y="21179"/>
                <wp:lineTo x="2118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1115" cy="120459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B172D">
        <w:rPr>
          <w:rFonts w:asciiTheme="majorBidi" w:eastAsia="Calibri" w:hAnsiTheme="majorBidi" w:cstheme="majorBidi"/>
          <w:b/>
          <w:bCs/>
          <w:color w:val="000000" w:themeColor="text1"/>
          <w:kern w:val="0"/>
          <w:sz w:val="32"/>
          <w:szCs w:val="32"/>
          <w:lang w:bidi="ar-EG"/>
          <w14:ligatures w14:val="none"/>
        </w:rPr>
        <w:t>Mid</w:t>
      </w:r>
      <w:r w:rsidR="000D353F" w:rsidRPr="00AB172D">
        <w:rPr>
          <w:rFonts w:asciiTheme="majorBidi" w:eastAsia="Calibri" w:hAnsiTheme="majorBidi" w:cstheme="majorBidi"/>
          <w:b/>
          <w:bCs/>
          <w:color w:val="000000" w:themeColor="text1"/>
          <w:kern w:val="0"/>
          <w:sz w:val="32"/>
          <w:szCs w:val="32"/>
          <w:lang w:bidi="ar-EG"/>
          <w14:ligatures w14:val="none"/>
        </w:rPr>
        <w:t xml:space="preserve"> </w:t>
      </w:r>
      <w:r w:rsidR="0081623B" w:rsidRPr="00AB172D">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B172D" w:rsidRDefault="0081623B" w:rsidP="00E90EC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B172D">
        <w:rPr>
          <w:rFonts w:asciiTheme="majorBidi" w:eastAsia="Calibri" w:hAnsiTheme="majorBidi" w:cstheme="majorBidi"/>
          <w:b/>
          <w:bCs/>
          <w:color w:val="000000" w:themeColor="text1"/>
          <w:kern w:val="0"/>
          <w:sz w:val="32"/>
          <w:szCs w:val="32"/>
          <w:lang w:bidi="ar-EG"/>
          <w14:ligatures w14:val="none"/>
        </w:rPr>
        <w:t>College of Management</w:t>
      </w:r>
    </w:p>
    <w:p w14:paraId="1AEE9EF9" w14:textId="1EA7BB24" w:rsidR="000D72E4" w:rsidRPr="00AB172D" w:rsidRDefault="007014C3" w:rsidP="00E90EC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B172D">
        <w:rPr>
          <w:rFonts w:asciiTheme="majorBidi" w:eastAsia="Calibri" w:hAnsiTheme="majorBidi" w:cstheme="majorBidi"/>
          <w:b/>
          <w:bCs/>
          <w:color w:val="000000" w:themeColor="text1"/>
          <w:kern w:val="0"/>
          <w:sz w:val="32"/>
          <w:szCs w:val="32"/>
          <w:lang w:bidi="ar-EG"/>
          <w14:ligatures w14:val="none"/>
        </w:rPr>
        <w:t xml:space="preserve">Master of </w:t>
      </w:r>
      <w:r w:rsidR="000D72E4" w:rsidRPr="00AB172D">
        <w:rPr>
          <w:rFonts w:asciiTheme="majorBidi" w:eastAsia="Calibri" w:hAnsiTheme="majorBidi" w:cstheme="majorBidi"/>
          <w:b/>
          <w:bCs/>
          <w:color w:val="000000" w:themeColor="text1"/>
          <w:kern w:val="0"/>
          <w:sz w:val="32"/>
          <w:szCs w:val="32"/>
          <w:lang w:bidi="ar-EG"/>
          <w14:ligatures w14:val="none"/>
        </w:rPr>
        <w:t>business administration</w:t>
      </w:r>
    </w:p>
    <w:p w14:paraId="0CBE22B0" w14:textId="77777777" w:rsidR="00CC6261" w:rsidRPr="00AB172D" w:rsidRDefault="00CC6261" w:rsidP="00E90EC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AE815AE" w14:textId="77777777" w:rsidR="00F562D8" w:rsidRPr="00AB172D" w:rsidRDefault="00F562D8" w:rsidP="00AC1DB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AB172D">
        <w:rPr>
          <w:rFonts w:asciiTheme="majorBidi" w:eastAsia="Calibri" w:hAnsiTheme="majorBidi" w:cstheme="majorBidi"/>
          <w:b/>
          <w:bCs/>
          <w:color w:val="000000" w:themeColor="text1"/>
          <w:kern w:val="0"/>
          <w:sz w:val="40"/>
          <w:szCs w:val="40"/>
          <w:lang w:bidi="ar-EG"/>
          <w14:ligatures w14:val="none"/>
        </w:rPr>
        <w:t>The impact of agile management practices (represented by iterative development, decentralization in decision-making, and customer feedback loops) on the financial sustainability of startups in the Middle East and North Africa region.</w:t>
      </w:r>
    </w:p>
    <w:p w14:paraId="013FE43A" w14:textId="77777777" w:rsidR="00F562D8" w:rsidRPr="00AB172D" w:rsidRDefault="00F562D8" w:rsidP="00E90EC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3C60462" w14:textId="7494885A" w:rsidR="0025395E" w:rsidRPr="00AB172D" w:rsidRDefault="0025395E" w:rsidP="00AC1DB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B172D">
        <w:rPr>
          <w:rFonts w:asciiTheme="majorBidi" w:eastAsia="Calibri" w:hAnsiTheme="majorBidi" w:cstheme="majorBidi"/>
          <w:b/>
          <w:bCs/>
          <w:color w:val="000000" w:themeColor="text1"/>
          <w:kern w:val="0"/>
          <w:sz w:val="36"/>
          <w:szCs w:val="36"/>
          <w:lang w:bidi="ar-EG"/>
          <w14:ligatures w14:val="none"/>
        </w:rPr>
        <w:t>Prepared by</w:t>
      </w:r>
    </w:p>
    <w:p w14:paraId="16B8017D" w14:textId="77777777" w:rsidR="008E194D" w:rsidRDefault="008E194D" w:rsidP="008E194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roofErr w:type="spellStart"/>
      <w:r w:rsidRPr="003F1478">
        <w:rPr>
          <w:rFonts w:asciiTheme="majorBidi" w:eastAsia="Calibri" w:hAnsiTheme="majorBidi" w:cstheme="majorBidi"/>
          <w:b/>
          <w:bCs/>
          <w:color w:val="000000" w:themeColor="text1"/>
          <w:kern w:val="0"/>
          <w:sz w:val="36"/>
          <w:szCs w:val="36"/>
          <w:lang w:bidi="ar-EG"/>
          <w14:ligatures w14:val="none"/>
        </w:rPr>
        <w:t>Masha'il</w:t>
      </w:r>
      <w:proofErr w:type="spellEnd"/>
      <w:r w:rsidRPr="003F1478">
        <w:rPr>
          <w:rFonts w:asciiTheme="majorBidi" w:eastAsia="Calibri" w:hAnsiTheme="majorBidi" w:cstheme="majorBidi"/>
          <w:b/>
          <w:bCs/>
          <w:color w:val="000000" w:themeColor="text1"/>
          <w:kern w:val="0"/>
          <w:sz w:val="36"/>
          <w:szCs w:val="36"/>
          <w:lang w:bidi="ar-EG"/>
          <w14:ligatures w14:val="none"/>
        </w:rPr>
        <w:t xml:space="preserve"> Redha Al-Shammari </w:t>
      </w:r>
    </w:p>
    <w:p w14:paraId="2C1DCBBD" w14:textId="77777777" w:rsidR="008E194D" w:rsidRPr="003F1478" w:rsidRDefault="008E194D" w:rsidP="008E194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F1478">
        <w:rPr>
          <w:rFonts w:asciiTheme="majorBidi" w:eastAsia="Calibri" w:hAnsiTheme="majorBidi" w:cstheme="majorBidi"/>
          <w:b/>
          <w:bCs/>
          <w:color w:val="000000" w:themeColor="text1"/>
          <w:kern w:val="0"/>
          <w:sz w:val="36"/>
          <w:szCs w:val="36"/>
          <w:lang w:bidi="ar-EG"/>
          <w14:ligatures w14:val="none"/>
        </w:rPr>
        <w:t>253002880</w:t>
      </w:r>
    </w:p>
    <w:p w14:paraId="40B257FB" w14:textId="77777777" w:rsidR="00AC1DBA" w:rsidRPr="00AB172D" w:rsidRDefault="00AC1DBA" w:rsidP="00AC1DB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14E60E21" w14:textId="77777777" w:rsidR="00AC1DBA" w:rsidRPr="00AB172D" w:rsidRDefault="00AC1DBA" w:rsidP="00AC1DB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AB172D" w:rsidRPr="00AB172D" w14:paraId="3C7DB069" w14:textId="77777777" w:rsidTr="002A3F2C">
        <w:tc>
          <w:tcPr>
            <w:tcW w:w="4530" w:type="dxa"/>
          </w:tcPr>
          <w:p w14:paraId="43F39F45" w14:textId="77777777" w:rsidR="00AC1DBA" w:rsidRPr="00AB172D" w:rsidRDefault="00AC1DBA" w:rsidP="002A3F2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B172D">
              <w:rPr>
                <w:rFonts w:asciiTheme="majorBidi" w:eastAsia="Calibri" w:hAnsiTheme="majorBidi" w:cstheme="majorBidi"/>
                <w:b/>
                <w:bCs/>
                <w:color w:val="000000" w:themeColor="text1"/>
                <w:kern w:val="0"/>
                <w:sz w:val="36"/>
                <w:szCs w:val="36"/>
                <w:lang w:bidi="ar-EG"/>
                <w14:ligatures w14:val="none"/>
              </w:rPr>
              <w:t>Main supervisor</w:t>
            </w:r>
            <w:r w:rsidRPr="00AB172D">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431FB2C" w14:textId="77777777" w:rsidR="00AC1DBA" w:rsidRPr="00AB172D" w:rsidRDefault="00AC1DBA" w:rsidP="002A3F2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B172D">
              <w:rPr>
                <w:rFonts w:asciiTheme="majorBidi" w:eastAsia="Calibri" w:hAnsiTheme="majorBidi" w:cstheme="majorBidi"/>
                <w:b/>
                <w:bCs/>
                <w:color w:val="000000" w:themeColor="text1"/>
                <w:kern w:val="0"/>
                <w:sz w:val="36"/>
                <w:szCs w:val="36"/>
                <w:lang w:bidi="ar-EG"/>
                <w14:ligatures w14:val="none"/>
              </w:rPr>
              <w:t>Second supervisor</w:t>
            </w:r>
            <w:r w:rsidRPr="00AB172D">
              <w:rPr>
                <w:rFonts w:asciiTheme="majorBidi" w:eastAsia="Calibri" w:hAnsiTheme="majorBidi" w:cstheme="majorBidi"/>
                <w:b/>
                <w:bCs/>
                <w:color w:val="000000" w:themeColor="text1"/>
                <w:kern w:val="0"/>
                <w:sz w:val="36"/>
                <w:szCs w:val="36"/>
                <w:rtl/>
                <w:lang w:bidi="ar-EG"/>
                <w14:ligatures w14:val="none"/>
              </w:rPr>
              <w:t>/</w:t>
            </w:r>
          </w:p>
        </w:tc>
      </w:tr>
      <w:tr w:rsidR="00AB172D" w:rsidRPr="00AB172D" w14:paraId="3876CBCA" w14:textId="77777777" w:rsidTr="002A3F2C">
        <w:tc>
          <w:tcPr>
            <w:tcW w:w="4530" w:type="dxa"/>
          </w:tcPr>
          <w:p w14:paraId="3CE57580" w14:textId="77777777" w:rsidR="00AC1DBA" w:rsidRPr="00AB172D" w:rsidRDefault="00AC1DBA" w:rsidP="002A3F2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B172D">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9D982AC" w14:textId="77777777" w:rsidR="00AC1DBA" w:rsidRPr="00AB172D" w:rsidRDefault="00AC1DBA" w:rsidP="002A3F2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B172D">
              <w:rPr>
                <w:rFonts w:asciiTheme="majorBidi" w:eastAsia="Calibri" w:hAnsiTheme="majorBidi" w:cstheme="majorBidi"/>
                <w:color w:val="000000" w:themeColor="text1"/>
                <w:kern w:val="0"/>
                <w:sz w:val="36"/>
                <w:szCs w:val="36"/>
                <w:lang w:bidi="ar-EG"/>
                <w14:ligatures w14:val="none"/>
              </w:rPr>
              <w:t>Dr. Fayez Jarad</w:t>
            </w:r>
          </w:p>
        </w:tc>
      </w:tr>
    </w:tbl>
    <w:p w14:paraId="4074CCEA" w14:textId="77777777" w:rsidR="00AC1DBA" w:rsidRPr="00AB172D" w:rsidRDefault="00AC1DBA" w:rsidP="00AC1DB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B172D">
        <w:rPr>
          <w:rFonts w:asciiTheme="majorBidi" w:eastAsia="Calibri" w:hAnsiTheme="majorBidi" w:cstheme="majorBidi"/>
          <w:color w:val="000000" w:themeColor="text1"/>
          <w:kern w:val="0"/>
          <w:sz w:val="36"/>
          <w:szCs w:val="36"/>
          <w:rtl/>
          <w:lang w:bidi="ar-EG"/>
          <w14:ligatures w14:val="none"/>
        </w:rPr>
        <w:t>1448 – 2026</w:t>
      </w:r>
    </w:p>
    <w:p w14:paraId="58B8C893" w14:textId="77777777" w:rsidR="00AC1DBA" w:rsidRPr="00AB172D" w:rsidRDefault="00AC1DBA" w:rsidP="00AC1DB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66F46792" w14:textId="77777777" w:rsidR="007014C3" w:rsidRPr="00AB172D" w:rsidRDefault="007014C3" w:rsidP="00E90EC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484808" w14:textId="77777777" w:rsidR="000D72E4" w:rsidRPr="00AB172D" w:rsidRDefault="000D72E4" w:rsidP="00E90EC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C921C88" w:rsidR="009125CE" w:rsidRPr="00AB172D" w:rsidRDefault="009125CE" w:rsidP="00E90EC1">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B172D" w:rsidSect="00E90EC1">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B5EA1" w14:textId="77777777" w:rsidR="00F53A17" w:rsidRDefault="00F53A17" w:rsidP="009125CE">
      <w:pPr>
        <w:spacing w:after="0" w:line="240" w:lineRule="auto"/>
      </w:pPr>
      <w:r>
        <w:separator/>
      </w:r>
    </w:p>
  </w:endnote>
  <w:endnote w:type="continuationSeparator" w:id="0">
    <w:p w14:paraId="140D4A76" w14:textId="77777777" w:rsidR="00F53A17" w:rsidRDefault="00F53A1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1535168"/>
      <w:docPartObj>
        <w:docPartGallery w:val="Page Numbers (Bottom of Page)"/>
        <w:docPartUnique/>
      </w:docPartObj>
    </w:sdtPr>
    <w:sdtContent>
      <w:p w14:paraId="6E3AD73F" w14:textId="77777777" w:rsidR="002A3F2C" w:rsidRDefault="002A3F2C">
        <w:pPr>
          <w:pStyle w:val="a4"/>
        </w:pPr>
        <w:r>
          <w:rPr>
            <w:noProof/>
          </w:rPr>
          <mc:AlternateContent>
            <mc:Choice Requires="wpg">
              <w:drawing>
                <wp:anchor distT="0" distB="0" distL="114300" distR="114300" simplePos="0" relativeHeight="251662336" behindDoc="0" locked="0" layoutInCell="1" allowOverlap="1" wp14:anchorId="6260874B" wp14:editId="2F49EB21">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16F847F" w14:textId="77777777" w:rsidR="002A3F2C" w:rsidRPr="00E90EC1" w:rsidRDefault="002A3F2C">
                                <w:pPr>
                                  <w:pStyle w:val="a4"/>
                                  <w:jc w:val="center"/>
                                  <w:rPr>
                                    <w:rFonts w:ascii="Simplified Arabic" w:hAnsi="Simplified Arabic" w:cs="Simplified Arabic"/>
                                    <w:b/>
                                    <w:bCs/>
                                    <w:sz w:val="24"/>
                                    <w:szCs w:val="24"/>
                                  </w:rPr>
                                </w:pPr>
                                <w:r w:rsidRPr="00E90EC1">
                                  <w:rPr>
                                    <w:rFonts w:ascii="Simplified Arabic" w:hAnsi="Simplified Arabic" w:cs="Simplified Arabic"/>
                                    <w:b/>
                                    <w:bCs/>
                                    <w:sz w:val="24"/>
                                    <w:szCs w:val="24"/>
                                  </w:rPr>
                                  <w:fldChar w:fldCharType="begin"/>
                                </w:r>
                                <w:r w:rsidRPr="00E90EC1">
                                  <w:rPr>
                                    <w:rFonts w:ascii="Simplified Arabic" w:hAnsi="Simplified Arabic" w:cs="Simplified Arabic"/>
                                    <w:b/>
                                    <w:bCs/>
                                    <w:sz w:val="24"/>
                                    <w:szCs w:val="24"/>
                                  </w:rPr>
                                  <w:instrText xml:space="preserve"> PAGE    \* MERGEFORMAT </w:instrText>
                                </w:r>
                                <w:r w:rsidRPr="00E90EC1">
                                  <w:rPr>
                                    <w:rFonts w:ascii="Simplified Arabic" w:hAnsi="Simplified Arabic" w:cs="Simplified Arabic"/>
                                    <w:b/>
                                    <w:bCs/>
                                    <w:sz w:val="24"/>
                                    <w:szCs w:val="24"/>
                                  </w:rPr>
                                  <w:fldChar w:fldCharType="separate"/>
                                </w:r>
                                <w:r w:rsidR="003F361A">
                                  <w:rPr>
                                    <w:rFonts w:ascii="Simplified Arabic" w:hAnsi="Simplified Arabic" w:cs="Simplified Arabic"/>
                                    <w:b/>
                                    <w:bCs/>
                                    <w:noProof/>
                                    <w:sz w:val="24"/>
                                    <w:szCs w:val="24"/>
                                    <w:rtl/>
                                  </w:rPr>
                                  <w:t>38</w:t>
                                </w:r>
                                <w:r w:rsidRPr="00E90EC1">
                                  <w:rPr>
                                    <w:rFonts w:ascii="Simplified Arabic" w:hAnsi="Simplified Arabic" w:cs="Simplified Arabic"/>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60874B" id="Group 7" o:spid="_x0000_s1026" style="position:absolute;left:0;text-align:left;margin-left:0;margin-top:0;width:34.4pt;height:56.45pt;z-index:251662336;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LaAMAAB8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Ez78Eto&#10;AwAAHw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416F847F" w14:textId="77777777" w:rsidR="002A3F2C" w:rsidRPr="00E90EC1" w:rsidRDefault="002A3F2C">
                          <w:pPr>
                            <w:pStyle w:val="Footer"/>
                            <w:jc w:val="center"/>
                            <w:rPr>
                              <w:rFonts w:ascii="Simplified Arabic" w:hAnsi="Simplified Arabic" w:cs="Simplified Arabic"/>
                              <w:b/>
                              <w:bCs/>
                              <w:sz w:val="24"/>
                              <w:szCs w:val="24"/>
                            </w:rPr>
                          </w:pPr>
                          <w:r w:rsidRPr="00E90EC1">
                            <w:rPr>
                              <w:rFonts w:ascii="Simplified Arabic" w:hAnsi="Simplified Arabic" w:cs="Simplified Arabic"/>
                              <w:b/>
                              <w:bCs/>
                              <w:sz w:val="24"/>
                              <w:szCs w:val="24"/>
                            </w:rPr>
                            <w:fldChar w:fldCharType="begin"/>
                          </w:r>
                          <w:r w:rsidRPr="00E90EC1">
                            <w:rPr>
                              <w:rFonts w:ascii="Simplified Arabic" w:hAnsi="Simplified Arabic" w:cs="Simplified Arabic"/>
                              <w:b/>
                              <w:bCs/>
                              <w:sz w:val="24"/>
                              <w:szCs w:val="24"/>
                            </w:rPr>
                            <w:instrText xml:space="preserve"> PAGE    \* MERGEFORMAT </w:instrText>
                          </w:r>
                          <w:r w:rsidRPr="00E90EC1">
                            <w:rPr>
                              <w:rFonts w:ascii="Simplified Arabic" w:hAnsi="Simplified Arabic" w:cs="Simplified Arabic"/>
                              <w:b/>
                              <w:bCs/>
                              <w:sz w:val="24"/>
                              <w:szCs w:val="24"/>
                            </w:rPr>
                            <w:fldChar w:fldCharType="separate"/>
                          </w:r>
                          <w:r w:rsidR="003F361A">
                            <w:rPr>
                              <w:rFonts w:ascii="Simplified Arabic" w:hAnsi="Simplified Arabic" w:cs="Simplified Arabic"/>
                              <w:b/>
                              <w:bCs/>
                              <w:noProof/>
                              <w:sz w:val="24"/>
                              <w:szCs w:val="24"/>
                              <w:rtl/>
                            </w:rPr>
                            <w:t>38</w:t>
                          </w:r>
                          <w:r w:rsidRPr="00E90EC1">
                            <w:rPr>
                              <w:rFonts w:ascii="Simplified Arabic" w:hAnsi="Simplified Arabic" w:cs="Simplified Arabic"/>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06530840"/>
      <w:docPartObj>
        <w:docPartGallery w:val="Page Numbers (Bottom of Page)"/>
        <w:docPartUnique/>
      </w:docPartObj>
    </w:sdtPr>
    <w:sdtContent>
      <w:p w14:paraId="3FF62157" w14:textId="001299A4" w:rsidR="002A3F2C" w:rsidRDefault="002A3F2C">
        <w:pPr>
          <w:pStyle w:val="a4"/>
        </w:pPr>
        <w:r>
          <w:rPr>
            <w:noProof/>
            <w:rtl/>
          </w:rPr>
          <mc:AlternateContent>
            <mc:Choice Requires="wps">
              <w:drawing>
                <wp:anchor distT="0" distB="0" distL="114300" distR="114300" simplePos="0" relativeHeight="251665408" behindDoc="0" locked="0" layoutInCell="1" allowOverlap="1" wp14:anchorId="649CDFE0" wp14:editId="749F0319">
                  <wp:simplePos x="0" y="0"/>
                  <wp:positionH relativeFrom="column">
                    <wp:posOffset>1550876</wp:posOffset>
                  </wp:positionH>
                  <wp:positionV relativeFrom="paragraph">
                    <wp:posOffset>339725</wp:posOffset>
                  </wp:positionV>
                  <wp:extent cx="0" cy="280035"/>
                  <wp:effectExtent l="0" t="0" r="19050" b="24765"/>
                  <wp:wrapNone/>
                  <wp:docPr id="13"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0035"/>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type w14:anchorId="37DC3EF6" id="_x0000_t32" coordsize="21600,21600" o:spt="32" o:oned="t" path="m,l21600,21600e" filled="f">
                  <v:path arrowok="t" fillok="f" o:connecttype="none"/>
                  <o:lock v:ext="edit" shapetype="t"/>
                </v:shapetype>
                <v:shape id="AutoShape 77" o:spid="_x0000_s1026" type="#_x0000_t32" style="position:absolute;margin-left:122.1pt;margin-top:26.75pt;width:0;height:22.0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" strokecolor="#7f7f7f"/>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5D5DE" w14:textId="77777777" w:rsidR="00F53A17" w:rsidRDefault="00F53A17" w:rsidP="009125CE">
      <w:pPr>
        <w:spacing w:after="0" w:line="240" w:lineRule="auto"/>
      </w:pPr>
      <w:r>
        <w:separator/>
      </w:r>
    </w:p>
  </w:footnote>
  <w:footnote w:type="continuationSeparator" w:id="0">
    <w:p w14:paraId="0D2A476C" w14:textId="77777777" w:rsidR="00F53A17" w:rsidRDefault="00F53A1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67076"/>
    <w:multiLevelType w:val="hybridMultilevel"/>
    <w:tmpl w:val="5D98ED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D96E1D"/>
    <w:multiLevelType w:val="hybridMultilevel"/>
    <w:tmpl w:val="596AAC36"/>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 w15:restartNumberingAfterBreak="0">
    <w:nsid w:val="0D227FAA"/>
    <w:multiLevelType w:val="hybridMultilevel"/>
    <w:tmpl w:val="E3B895B8"/>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3" w15:restartNumberingAfterBreak="0">
    <w:nsid w:val="0E9059C9"/>
    <w:multiLevelType w:val="hybridMultilevel"/>
    <w:tmpl w:val="5F42F4DE"/>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4" w15:restartNumberingAfterBreak="0">
    <w:nsid w:val="11A35D1A"/>
    <w:multiLevelType w:val="hybridMultilevel"/>
    <w:tmpl w:val="053C28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42E6336"/>
    <w:multiLevelType w:val="hybridMultilevel"/>
    <w:tmpl w:val="B378AC4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00F20EE"/>
    <w:multiLevelType w:val="hybridMultilevel"/>
    <w:tmpl w:val="E6722874"/>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7" w15:restartNumberingAfterBreak="0">
    <w:nsid w:val="344625C8"/>
    <w:multiLevelType w:val="hybridMultilevel"/>
    <w:tmpl w:val="6792E594"/>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8" w15:restartNumberingAfterBreak="0">
    <w:nsid w:val="45E77561"/>
    <w:multiLevelType w:val="hybridMultilevel"/>
    <w:tmpl w:val="BF12CF8E"/>
    <w:lvl w:ilvl="0" w:tplc="04090005">
      <w:start w:val="1"/>
      <w:numFmt w:val="bullet"/>
      <w:lvlText w:val=""/>
      <w:lvlJc w:val="left"/>
      <w:pPr>
        <w:ind w:left="1080" w:hanging="360"/>
      </w:pPr>
      <w:rPr>
        <w:rFonts w:ascii="Wingdings" w:hAnsi="Wingdings" w:hint="default"/>
      </w:rPr>
    </w:lvl>
    <w:lvl w:ilvl="1" w:tplc="32FEC6BA">
      <w:numFmt w:val="bullet"/>
      <w:lvlText w:val="•"/>
      <w:lvlJc w:val="left"/>
      <w:pPr>
        <w:ind w:left="2160" w:hanging="720"/>
      </w:pPr>
      <w:rPr>
        <w:rFonts w:ascii="Simplified Arabic" w:eastAsiaTheme="minorHAnsi"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8310622"/>
    <w:multiLevelType w:val="hybridMultilevel"/>
    <w:tmpl w:val="0DDA9FEC"/>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0" w15:restartNumberingAfterBreak="0">
    <w:nsid w:val="589D4067"/>
    <w:multiLevelType w:val="hybridMultilevel"/>
    <w:tmpl w:val="EDFC9E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6B288E"/>
    <w:multiLevelType w:val="hybridMultilevel"/>
    <w:tmpl w:val="FFB427F0"/>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2" w15:restartNumberingAfterBreak="0">
    <w:nsid w:val="650828B3"/>
    <w:multiLevelType w:val="hybridMultilevel"/>
    <w:tmpl w:val="2F8EAC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377B76"/>
    <w:multiLevelType w:val="hybridMultilevel"/>
    <w:tmpl w:val="7A44154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6D4F35DF"/>
    <w:multiLevelType w:val="hybridMultilevel"/>
    <w:tmpl w:val="DE805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3F36C8"/>
    <w:multiLevelType w:val="hybridMultilevel"/>
    <w:tmpl w:val="C7020FA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A5A2146"/>
    <w:multiLevelType w:val="hybridMultilevel"/>
    <w:tmpl w:val="82FA45AA"/>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num w:numId="1" w16cid:durableId="576944259">
    <w:abstractNumId w:val="8"/>
  </w:num>
  <w:num w:numId="2" w16cid:durableId="956133638">
    <w:abstractNumId w:val="13"/>
  </w:num>
  <w:num w:numId="3" w16cid:durableId="1528256693">
    <w:abstractNumId w:val="10"/>
  </w:num>
  <w:num w:numId="4" w16cid:durableId="785999012">
    <w:abstractNumId w:val="14"/>
  </w:num>
  <w:num w:numId="5" w16cid:durableId="2052026932">
    <w:abstractNumId w:val="12"/>
  </w:num>
  <w:num w:numId="6" w16cid:durableId="1304895987">
    <w:abstractNumId w:val="0"/>
  </w:num>
  <w:num w:numId="7" w16cid:durableId="1807239782">
    <w:abstractNumId w:val="15"/>
  </w:num>
  <w:num w:numId="8" w16cid:durableId="365059136">
    <w:abstractNumId w:val="5"/>
  </w:num>
  <w:num w:numId="9" w16cid:durableId="454644537">
    <w:abstractNumId w:val="11"/>
  </w:num>
  <w:num w:numId="10" w16cid:durableId="2139951578">
    <w:abstractNumId w:val="4"/>
  </w:num>
  <w:num w:numId="11" w16cid:durableId="704061048">
    <w:abstractNumId w:val="16"/>
  </w:num>
  <w:num w:numId="12" w16cid:durableId="136385534">
    <w:abstractNumId w:val="9"/>
  </w:num>
  <w:num w:numId="13" w16cid:durableId="1597396161">
    <w:abstractNumId w:val="6"/>
  </w:num>
  <w:num w:numId="14" w16cid:durableId="233511592">
    <w:abstractNumId w:val="1"/>
  </w:num>
  <w:num w:numId="15" w16cid:durableId="511603858">
    <w:abstractNumId w:val="7"/>
  </w:num>
  <w:num w:numId="16" w16cid:durableId="778186332">
    <w:abstractNumId w:val="2"/>
  </w:num>
  <w:num w:numId="17" w16cid:durableId="1722902850">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16962"/>
    <w:rsid w:val="000204A8"/>
    <w:rsid w:val="00020F7B"/>
    <w:rsid w:val="00022B3A"/>
    <w:rsid w:val="0004554E"/>
    <w:rsid w:val="00052AB0"/>
    <w:rsid w:val="00053122"/>
    <w:rsid w:val="000541D3"/>
    <w:rsid w:val="000543EF"/>
    <w:rsid w:val="000602CA"/>
    <w:rsid w:val="000610C9"/>
    <w:rsid w:val="00061FA2"/>
    <w:rsid w:val="00064FF1"/>
    <w:rsid w:val="00067938"/>
    <w:rsid w:val="0007370A"/>
    <w:rsid w:val="00075DF4"/>
    <w:rsid w:val="000769E1"/>
    <w:rsid w:val="000842EB"/>
    <w:rsid w:val="00093973"/>
    <w:rsid w:val="00094E98"/>
    <w:rsid w:val="000A06E6"/>
    <w:rsid w:val="000A2ED4"/>
    <w:rsid w:val="000A4AC3"/>
    <w:rsid w:val="000A4DAE"/>
    <w:rsid w:val="000A6930"/>
    <w:rsid w:val="000B28D9"/>
    <w:rsid w:val="000C4130"/>
    <w:rsid w:val="000C46EE"/>
    <w:rsid w:val="000D03ED"/>
    <w:rsid w:val="000D2E22"/>
    <w:rsid w:val="000D353F"/>
    <w:rsid w:val="000D452F"/>
    <w:rsid w:val="000D72E4"/>
    <w:rsid w:val="000D7A52"/>
    <w:rsid w:val="000E0212"/>
    <w:rsid w:val="000E2A00"/>
    <w:rsid w:val="000E3680"/>
    <w:rsid w:val="000E503B"/>
    <w:rsid w:val="000F44B4"/>
    <w:rsid w:val="001038CB"/>
    <w:rsid w:val="0010665F"/>
    <w:rsid w:val="00110487"/>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1718D"/>
    <w:rsid w:val="00217ADA"/>
    <w:rsid w:val="0022009F"/>
    <w:rsid w:val="00223AE0"/>
    <w:rsid w:val="002304C2"/>
    <w:rsid w:val="00234450"/>
    <w:rsid w:val="00244894"/>
    <w:rsid w:val="00250D99"/>
    <w:rsid w:val="00251BCA"/>
    <w:rsid w:val="0025395E"/>
    <w:rsid w:val="00256363"/>
    <w:rsid w:val="00260558"/>
    <w:rsid w:val="0026283D"/>
    <w:rsid w:val="00270FB5"/>
    <w:rsid w:val="00274BDE"/>
    <w:rsid w:val="002766BC"/>
    <w:rsid w:val="00276887"/>
    <w:rsid w:val="00280068"/>
    <w:rsid w:val="002807A1"/>
    <w:rsid w:val="002828EF"/>
    <w:rsid w:val="00286958"/>
    <w:rsid w:val="0029680E"/>
    <w:rsid w:val="002A32D6"/>
    <w:rsid w:val="002A337C"/>
    <w:rsid w:val="002A365A"/>
    <w:rsid w:val="002A3F2C"/>
    <w:rsid w:val="002A76B5"/>
    <w:rsid w:val="002B1274"/>
    <w:rsid w:val="002C205F"/>
    <w:rsid w:val="002C21BB"/>
    <w:rsid w:val="002C5EE0"/>
    <w:rsid w:val="002D0190"/>
    <w:rsid w:val="002D30A7"/>
    <w:rsid w:val="002D3120"/>
    <w:rsid w:val="002D5C0C"/>
    <w:rsid w:val="002E36BC"/>
    <w:rsid w:val="002E4629"/>
    <w:rsid w:val="002F5968"/>
    <w:rsid w:val="002F5C8D"/>
    <w:rsid w:val="002F5FA3"/>
    <w:rsid w:val="00301731"/>
    <w:rsid w:val="00303BF8"/>
    <w:rsid w:val="00304304"/>
    <w:rsid w:val="003060F7"/>
    <w:rsid w:val="0031075C"/>
    <w:rsid w:val="00310B47"/>
    <w:rsid w:val="00311651"/>
    <w:rsid w:val="00312E0E"/>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61A"/>
    <w:rsid w:val="003F3DA3"/>
    <w:rsid w:val="00401DBE"/>
    <w:rsid w:val="00402123"/>
    <w:rsid w:val="00403383"/>
    <w:rsid w:val="004130C0"/>
    <w:rsid w:val="00413CBD"/>
    <w:rsid w:val="00413DF8"/>
    <w:rsid w:val="00413F36"/>
    <w:rsid w:val="004163C7"/>
    <w:rsid w:val="004215C5"/>
    <w:rsid w:val="004260FE"/>
    <w:rsid w:val="00433FD4"/>
    <w:rsid w:val="0043649D"/>
    <w:rsid w:val="0044617B"/>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1550"/>
    <w:rsid w:val="004D23E7"/>
    <w:rsid w:val="004D6581"/>
    <w:rsid w:val="004D6B08"/>
    <w:rsid w:val="004E439C"/>
    <w:rsid w:val="004F1444"/>
    <w:rsid w:val="004F2475"/>
    <w:rsid w:val="004F3AF6"/>
    <w:rsid w:val="004F5783"/>
    <w:rsid w:val="00504E7A"/>
    <w:rsid w:val="00505B9A"/>
    <w:rsid w:val="00513B3A"/>
    <w:rsid w:val="005146DA"/>
    <w:rsid w:val="0051585E"/>
    <w:rsid w:val="00522010"/>
    <w:rsid w:val="00522E11"/>
    <w:rsid w:val="0052581D"/>
    <w:rsid w:val="00532025"/>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678B"/>
    <w:rsid w:val="005B7D85"/>
    <w:rsid w:val="005C0751"/>
    <w:rsid w:val="005D0E3A"/>
    <w:rsid w:val="005D25AE"/>
    <w:rsid w:val="005D2620"/>
    <w:rsid w:val="005D5DB7"/>
    <w:rsid w:val="005E37C2"/>
    <w:rsid w:val="005E4AF3"/>
    <w:rsid w:val="005F2722"/>
    <w:rsid w:val="006020A6"/>
    <w:rsid w:val="006044AD"/>
    <w:rsid w:val="006112DD"/>
    <w:rsid w:val="0061146E"/>
    <w:rsid w:val="0061422F"/>
    <w:rsid w:val="00617C5B"/>
    <w:rsid w:val="00625CAD"/>
    <w:rsid w:val="0062761F"/>
    <w:rsid w:val="006335D0"/>
    <w:rsid w:val="00633F50"/>
    <w:rsid w:val="006344B4"/>
    <w:rsid w:val="006352B0"/>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951D0"/>
    <w:rsid w:val="006A0FCA"/>
    <w:rsid w:val="006A2677"/>
    <w:rsid w:val="006A3B5F"/>
    <w:rsid w:val="006A6C3D"/>
    <w:rsid w:val="006B07CD"/>
    <w:rsid w:val="006B3A4B"/>
    <w:rsid w:val="006B40EF"/>
    <w:rsid w:val="006B4F02"/>
    <w:rsid w:val="006C3118"/>
    <w:rsid w:val="006D0A16"/>
    <w:rsid w:val="006D4C88"/>
    <w:rsid w:val="006E05DC"/>
    <w:rsid w:val="006E4126"/>
    <w:rsid w:val="006E41F3"/>
    <w:rsid w:val="006E65A3"/>
    <w:rsid w:val="006F162C"/>
    <w:rsid w:val="006F29F1"/>
    <w:rsid w:val="007014C3"/>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2755"/>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467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94D"/>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4519"/>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5340"/>
    <w:rsid w:val="00A823EC"/>
    <w:rsid w:val="00A840CF"/>
    <w:rsid w:val="00A86E11"/>
    <w:rsid w:val="00A95744"/>
    <w:rsid w:val="00A97576"/>
    <w:rsid w:val="00AA005F"/>
    <w:rsid w:val="00AA79E9"/>
    <w:rsid w:val="00AB0A70"/>
    <w:rsid w:val="00AB172D"/>
    <w:rsid w:val="00AB3E18"/>
    <w:rsid w:val="00AB41F1"/>
    <w:rsid w:val="00AB5A3B"/>
    <w:rsid w:val="00AB6A7C"/>
    <w:rsid w:val="00AC1DBA"/>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0DE7"/>
    <w:rsid w:val="00B4269F"/>
    <w:rsid w:val="00B44182"/>
    <w:rsid w:val="00B467CC"/>
    <w:rsid w:val="00B47D7F"/>
    <w:rsid w:val="00B5443B"/>
    <w:rsid w:val="00B570EB"/>
    <w:rsid w:val="00B57582"/>
    <w:rsid w:val="00B63B0F"/>
    <w:rsid w:val="00B653F7"/>
    <w:rsid w:val="00B72A08"/>
    <w:rsid w:val="00B74A10"/>
    <w:rsid w:val="00B74FF2"/>
    <w:rsid w:val="00B75E84"/>
    <w:rsid w:val="00B7612A"/>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4FDD"/>
    <w:rsid w:val="00BD590D"/>
    <w:rsid w:val="00BE2024"/>
    <w:rsid w:val="00BF35D5"/>
    <w:rsid w:val="00C01C2B"/>
    <w:rsid w:val="00C11091"/>
    <w:rsid w:val="00C1175F"/>
    <w:rsid w:val="00C11CB2"/>
    <w:rsid w:val="00C16713"/>
    <w:rsid w:val="00C16D65"/>
    <w:rsid w:val="00C20A1C"/>
    <w:rsid w:val="00C23616"/>
    <w:rsid w:val="00C23A70"/>
    <w:rsid w:val="00C32E49"/>
    <w:rsid w:val="00C35B07"/>
    <w:rsid w:val="00C35BBA"/>
    <w:rsid w:val="00C36E3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2FA"/>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3F61"/>
    <w:rsid w:val="00E373EB"/>
    <w:rsid w:val="00E43E62"/>
    <w:rsid w:val="00E452A2"/>
    <w:rsid w:val="00E50B03"/>
    <w:rsid w:val="00E53564"/>
    <w:rsid w:val="00E552BA"/>
    <w:rsid w:val="00E640C5"/>
    <w:rsid w:val="00E64188"/>
    <w:rsid w:val="00E6570B"/>
    <w:rsid w:val="00E663FA"/>
    <w:rsid w:val="00E67CA1"/>
    <w:rsid w:val="00E67D1B"/>
    <w:rsid w:val="00E71C79"/>
    <w:rsid w:val="00E73AFE"/>
    <w:rsid w:val="00E7565E"/>
    <w:rsid w:val="00E76742"/>
    <w:rsid w:val="00E76A3D"/>
    <w:rsid w:val="00E76DB1"/>
    <w:rsid w:val="00E802F2"/>
    <w:rsid w:val="00E82DAD"/>
    <w:rsid w:val="00E86613"/>
    <w:rsid w:val="00E90EC1"/>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3A17"/>
    <w:rsid w:val="00F540A1"/>
    <w:rsid w:val="00F542DF"/>
    <w:rsid w:val="00F546CE"/>
    <w:rsid w:val="00F562D8"/>
    <w:rsid w:val="00F563E2"/>
    <w:rsid w:val="00F60BB7"/>
    <w:rsid w:val="00F66109"/>
    <w:rsid w:val="00F72CBB"/>
    <w:rsid w:val="00F733B2"/>
    <w:rsid w:val="00F91846"/>
    <w:rsid w:val="00F95872"/>
    <w:rsid w:val="00F965AA"/>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0566"/>
    <w:rsid w:val="00FE1E71"/>
    <w:rsid w:val="00FE22A8"/>
    <w:rsid w:val="00FF0880"/>
    <w:rsid w:val="00FF1D40"/>
    <w:rsid w:val="00FF4634"/>
    <w:rsid w:val="00FF4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FF4B24"/>
    <w:pPr>
      <w:keepNext/>
      <w:keepLines/>
      <w:spacing w:before="480" w:after="240" w:line="276" w:lineRule="auto"/>
      <w:jc w:val="lowKashida"/>
      <w:outlineLvl w:val="0"/>
    </w:pPr>
    <w:rPr>
      <w:rFonts w:ascii="Simplified Arabic" w:eastAsiaTheme="majorEastAsia" w:hAnsi="Simplified Arabic" w:cs="Simplified Arabic"/>
      <w:b/>
      <w:bCs/>
      <w:sz w:val="28"/>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F4B24"/>
    <w:rPr>
      <w:rFonts w:ascii="Simplified Arabic" w:eastAsiaTheme="majorEastAsia" w:hAnsi="Simplified Arabic" w:cs="Simplified Arabic"/>
      <w:b/>
      <w:bCs/>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11">
    <w:name w:val="إشارة لم يتم حلها1"/>
    <w:basedOn w:val="a0"/>
    <w:uiPriority w:val="99"/>
    <w:semiHidden/>
    <w:unhideWhenUsed/>
    <w:rsid w:val="00DA1C1B"/>
    <w:rPr>
      <w:color w:val="605E5C"/>
      <w:shd w:val="clear" w:color="auto" w:fill="E1DFDD"/>
    </w:rPr>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styleId="aa">
    <w:name w:val="FollowedHyperlink"/>
    <w:basedOn w:val="a0"/>
    <w:uiPriority w:val="99"/>
    <w:semiHidden/>
    <w:unhideWhenUsed/>
    <w:rsid w:val="00311651"/>
    <w:rPr>
      <w:color w:val="954F72" w:themeColor="followedHyperlink"/>
      <w:u w:val="single"/>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paragraph" w:customStyle="1" w:styleId="msonormal0">
    <w:name w:val="msonormal"/>
    <w:basedOn w:val="a"/>
    <w:rsid w:val="00F965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0">
    <w:name w:val="Plain Table 5"/>
    <w:basedOn w:val="a1"/>
    <w:uiPriority w:val="45"/>
    <w:rsid w:val="00E90EC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AC1DB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697727-6E05-4E9B-9224-DF06CEA9B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10086</Words>
  <Characters>57493</Characters>
  <Application>Microsoft Office Word</Application>
  <DocSecurity>0</DocSecurity>
  <Lines>479</Lines>
  <Paragraphs>134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2026-07-07T14:50:00Z</cp:lastPrinted>
  <dcterms:created xsi:type="dcterms:W3CDTF">2026-07-07T14:49:00Z</dcterms:created>
  <dcterms:modified xsi:type="dcterms:W3CDTF">2026-07-08T21:25:00Z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