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CBC96AF" w:rsidR="009125CE" w:rsidRPr="00B25A97" w:rsidRDefault="006964D7" w:rsidP="006964D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B25A97">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EE6715C">
            <wp:simplePos x="0" y="0"/>
            <wp:positionH relativeFrom="margin">
              <wp:posOffset>461010</wp:posOffset>
            </wp:positionH>
            <wp:positionV relativeFrom="margin">
              <wp:posOffset>-125730</wp:posOffset>
            </wp:positionV>
            <wp:extent cx="1647825" cy="152908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7825" cy="1529080"/>
                    </a:xfrm>
                    <a:prstGeom prst="rect">
                      <a:avLst/>
                    </a:prstGeom>
                  </pic:spPr>
                </pic:pic>
              </a:graphicData>
            </a:graphic>
            <wp14:sizeRelH relativeFrom="margin">
              <wp14:pctWidth>0</wp14:pctWidth>
            </wp14:sizeRelH>
            <wp14:sizeRelV relativeFrom="margin">
              <wp14:pctHeight>0</wp14:pctHeight>
            </wp14:sizeRelV>
          </wp:anchor>
        </w:drawing>
      </w:r>
      <w:r w:rsidR="009125CE" w:rsidRPr="00B25A97">
        <w:rPr>
          <w:rFonts w:ascii="Simplified Arabic" w:hAnsi="Simplified Arabic" w:cs="Simplified Arabic"/>
          <w:b/>
          <w:bCs/>
          <w:color w:val="000000" w:themeColor="text1"/>
          <w:sz w:val="32"/>
          <w:szCs w:val="32"/>
          <w:rtl/>
          <w:lang w:bidi="ar-EG"/>
        </w:rPr>
        <w:t xml:space="preserve">جامعة </w:t>
      </w:r>
      <w:proofErr w:type="spellStart"/>
      <w:r w:rsidR="009125CE" w:rsidRPr="00B25A97">
        <w:rPr>
          <w:rFonts w:ascii="Simplified Arabic" w:hAnsi="Simplified Arabic" w:cs="Simplified Arabic"/>
          <w:b/>
          <w:bCs/>
          <w:color w:val="000000" w:themeColor="text1"/>
          <w:sz w:val="32"/>
          <w:szCs w:val="32"/>
          <w:rtl/>
          <w:lang w:bidi="ar-EG"/>
        </w:rPr>
        <w:t>ميدأوشن</w:t>
      </w:r>
      <w:proofErr w:type="spellEnd"/>
      <w:r w:rsidR="009125CE" w:rsidRPr="00B25A97">
        <w:rPr>
          <w:rFonts w:ascii="Simplified Arabic" w:hAnsi="Simplified Arabic" w:cs="Simplified Arabic"/>
          <w:b/>
          <w:bCs/>
          <w:color w:val="000000" w:themeColor="text1"/>
          <w:sz w:val="32"/>
          <w:szCs w:val="32"/>
          <w:rtl/>
          <w:lang w:bidi="ar-EG"/>
        </w:rPr>
        <w:t xml:space="preserve"> </w:t>
      </w:r>
    </w:p>
    <w:p w14:paraId="1E957002" w14:textId="1BA7BAF9" w:rsidR="00F546CE" w:rsidRPr="00B25A97" w:rsidRDefault="009125CE" w:rsidP="006964D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25A97">
        <w:rPr>
          <w:rFonts w:ascii="Simplified Arabic" w:hAnsi="Simplified Arabic" w:cs="Simplified Arabic"/>
          <w:b/>
          <w:bCs/>
          <w:color w:val="000000" w:themeColor="text1"/>
          <w:sz w:val="32"/>
          <w:szCs w:val="32"/>
          <w:rtl/>
          <w:lang w:bidi="ar-EG"/>
        </w:rPr>
        <w:t xml:space="preserve">كلية </w:t>
      </w:r>
      <w:r w:rsidR="008C42C1" w:rsidRPr="00B25A97">
        <w:rPr>
          <w:rFonts w:ascii="Simplified Arabic" w:hAnsi="Simplified Arabic" w:cs="Simplified Arabic"/>
          <w:b/>
          <w:bCs/>
          <w:color w:val="000000" w:themeColor="text1"/>
          <w:sz w:val="32"/>
          <w:szCs w:val="32"/>
          <w:rtl/>
          <w:lang w:bidi="ar-EG"/>
        </w:rPr>
        <w:t>الإدارة</w:t>
      </w:r>
      <w:r w:rsidRPr="00B25A97">
        <w:rPr>
          <w:rFonts w:ascii="Simplified Arabic" w:hAnsi="Simplified Arabic" w:cs="Simplified Arabic"/>
          <w:b/>
          <w:bCs/>
          <w:color w:val="000000" w:themeColor="text1"/>
          <w:sz w:val="32"/>
          <w:szCs w:val="32"/>
          <w:rtl/>
          <w:lang w:bidi="ar-EG"/>
        </w:rPr>
        <w:t xml:space="preserve"> </w:t>
      </w:r>
    </w:p>
    <w:p w14:paraId="62D977E4" w14:textId="77777777" w:rsidR="00927467" w:rsidRPr="00B25A97" w:rsidRDefault="00927467" w:rsidP="006964D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B25A97">
        <w:rPr>
          <w:rFonts w:ascii="Simplified Arabic" w:hAnsi="Simplified Arabic" w:cs="Simplified Arabic"/>
          <w:b/>
          <w:bCs/>
          <w:color w:val="000000" w:themeColor="text1"/>
          <w:sz w:val="32"/>
          <w:szCs w:val="32"/>
          <w:rtl/>
          <w:lang w:bidi="ar-EG"/>
        </w:rPr>
        <w:t>ماجستير ادارة اعمال</w:t>
      </w:r>
    </w:p>
    <w:p w14:paraId="0A25F43C" w14:textId="77777777" w:rsidR="008C7BB4" w:rsidRPr="00B25A97" w:rsidRDefault="008C7BB4" w:rsidP="006964D7">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6187F98" w14:textId="7A356C4A" w:rsidR="006964D7" w:rsidRDefault="0079044B" w:rsidP="006964D7">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79044B">
        <w:rPr>
          <w:rFonts w:ascii="Simplified Arabic" w:hAnsi="Simplified Arabic" w:cs="Simplified Arabic"/>
          <w:b/>
          <w:bCs/>
          <w:color w:val="000000" w:themeColor="text1"/>
          <w:sz w:val="40"/>
          <w:szCs w:val="40"/>
          <w:rtl/>
        </w:rPr>
        <w:t>استراتيجيات الابتكار ودورها في استمرارية الأعمال دراسة تطبيقية على الشركات في المملكة العربية السعودية</w:t>
      </w:r>
    </w:p>
    <w:p w14:paraId="1F55ECA8" w14:textId="77777777" w:rsidR="0079044B" w:rsidRPr="00B25A97" w:rsidRDefault="0079044B" w:rsidP="006964D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67C247A1" w:rsidR="009125CE" w:rsidRPr="00B25A97" w:rsidRDefault="009125CE" w:rsidP="006964D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5A97">
        <w:rPr>
          <w:rFonts w:ascii="Simplified Arabic" w:hAnsi="Simplified Arabic" w:cs="Simplified Arabic"/>
          <w:b/>
          <w:bCs/>
          <w:color w:val="000000" w:themeColor="text1"/>
          <w:sz w:val="36"/>
          <w:szCs w:val="36"/>
          <w:rtl/>
          <w:lang w:bidi="ar-EG"/>
        </w:rPr>
        <w:t>إعداد الطالب/</w:t>
      </w:r>
    </w:p>
    <w:p w14:paraId="45029287" w14:textId="79AF4F6B" w:rsidR="00606507" w:rsidRPr="00B25A97" w:rsidRDefault="0079044B" w:rsidP="006964D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9044B">
        <w:rPr>
          <w:rFonts w:ascii="Simplified Arabic" w:hAnsi="Simplified Arabic" w:cs="Simplified Arabic"/>
          <w:b/>
          <w:bCs/>
          <w:color w:val="000000" w:themeColor="text1"/>
          <w:sz w:val="36"/>
          <w:szCs w:val="36"/>
          <w:rtl/>
          <w:lang w:bidi="ar-EG"/>
        </w:rPr>
        <w:t>أماني السبيعي</w:t>
      </w:r>
    </w:p>
    <w:p w14:paraId="0EBC2EFF" w14:textId="11B128A6" w:rsidR="00606507" w:rsidRPr="00B25A97" w:rsidRDefault="00B51A2E" w:rsidP="006964D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253001488</w:t>
      </w:r>
    </w:p>
    <w:tbl>
      <w:tblPr>
        <w:bidiVisual/>
        <w:tblW w:w="0" w:type="auto"/>
        <w:tblLook w:val="04A0" w:firstRow="1" w:lastRow="0" w:firstColumn="1" w:lastColumn="0" w:noHBand="0" w:noVBand="1"/>
      </w:tblPr>
      <w:tblGrid>
        <w:gridCol w:w="4530"/>
        <w:gridCol w:w="4531"/>
      </w:tblGrid>
      <w:tr w:rsidR="00606507" w:rsidRPr="00B25A97" w14:paraId="66AB538A" w14:textId="77777777" w:rsidTr="00E940E4">
        <w:tc>
          <w:tcPr>
            <w:tcW w:w="4530" w:type="dxa"/>
          </w:tcPr>
          <w:p w14:paraId="5C1694CF" w14:textId="77777777" w:rsidR="00606507" w:rsidRPr="00B25A97" w:rsidRDefault="00606507" w:rsidP="00E940E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5A97">
              <w:rPr>
                <w:rFonts w:ascii="Simplified Arabic" w:hAnsi="Simplified Arabic" w:cs="Simplified Arabic" w:hint="cs"/>
                <w:b/>
                <w:bCs/>
                <w:color w:val="000000" w:themeColor="text1"/>
                <w:sz w:val="36"/>
                <w:szCs w:val="36"/>
                <w:rtl/>
                <w:lang w:bidi="ar-EG"/>
              </w:rPr>
              <w:t>المشرف الرئيسي/</w:t>
            </w:r>
          </w:p>
        </w:tc>
        <w:tc>
          <w:tcPr>
            <w:tcW w:w="4531" w:type="dxa"/>
          </w:tcPr>
          <w:p w14:paraId="6957C19B" w14:textId="77777777" w:rsidR="00606507" w:rsidRPr="00B25A97" w:rsidRDefault="00606507" w:rsidP="00E940E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5A97">
              <w:rPr>
                <w:rFonts w:ascii="Simplified Arabic" w:hAnsi="Simplified Arabic" w:cs="Simplified Arabic" w:hint="cs"/>
                <w:b/>
                <w:bCs/>
                <w:color w:val="000000" w:themeColor="text1"/>
                <w:sz w:val="36"/>
                <w:szCs w:val="36"/>
                <w:rtl/>
                <w:lang w:bidi="ar-EG"/>
              </w:rPr>
              <w:t>المشرف الثاني/</w:t>
            </w:r>
          </w:p>
        </w:tc>
      </w:tr>
      <w:tr w:rsidR="00606507" w:rsidRPr="00B25A97" w14:paraId="4A10AE69" w14:textId="77777777" w:rsidTr="00E940E4">
        <w:tc>
          <w:tcPr>
            <w:tcW w:w="4530" w:type="dxa"/>
          </w:tcPr>
          <w:p w14:paraId="55B0B51D" w14:textId="77777777" w:rsidR="00606507" w:rsidRPr="00B25A97" w:rsidRDefault="00606507" w:rsidP="00E940E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5A97">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7210D85" w14:textId="77777777" w:rsidR="00606507" w:rsidRPr="00B25A97" w:rsidRDefault="00606507" w:rsidP="00E940E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B25A97">
              <w:rPr>
                <w:rFonts w:ascii="Simplified Arabic" w:eastAsia="Calibri" w:hAnsi="Simplified Arabic" w:cs="Simplified Arabic"/>
                <w:color w:val="000000" w:themeColor="text1"/>
                <w:kern w:val="0"/>
                <w:sz w:val="36"/>
                <w:szCs w:val="36"/>
                <w:rtl/>
                <w:lang w:bidi="ar-EG"/>
                <w14:ligatures w14:val="none"/>
              </w:rPr>
              <w:t>د.فايز</w:t>
            </w:r>
            <w:proofErr w:type="spellEnd"/>
            <w:r w:rsidRPr="00B25A97">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7CFFDF29" w14:textId="77777777" w:rsidR="00606507" w:rsidRPr="00B25A97" w:rsidRDefault="00606507" w:rsidP="0060650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5A97">
        <w:rPr>
          <w:rFonts w:ascii="Simplified Arabic" w:hAnsi="Simplified Arabic" w:cs="Simplified Arabic"/>
          <w:b/>
          <w:bCs/>
          <w:color w:val="000000" w:themeColor="text1"/>
          <w:sz w:val="36"/>
          <w:szCs w:val="36"/>
          <w:rtl/>
          <w:lang w:bidi="ar-EG"/>
        </w:rPr>
        <w:t>العام الدراسي:</w:t>
      </w:r>
    </w:p>
    <w:p w14:paraId="646399F7" w14:textId="19226979" w:rsidR="00606507" w:rsidRPr="00B25A97" w:rsidRDefault="00606507" w:rsidP="00606507">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5A97">
        <w:rPr>
          <w:rFonts w:ascii="Simplified Arabic" w:hAnsi="Simplified Arabic" w:cs="Simplified Arabic" w:hint="cs"/>
          <w:color w:val="000000" w:themeColor="text1"/>
          <w:sz w:val="36"/>
          <w:szCs w:val="36"/>
          <w:rtl/>
          <w:lang w:bidi="ar-EG"/>
        </w:rPr>
        <w:t xml:space="preserve">1448 </w:t>
      </w:r>
      <w:r w:rsidRPr="00B25A97">
        <w:rPr>
          <w:rFonts w:ascii="Simplified Arabic" w:hAnsi="Simplified Arabic" w:cs="Simplified Arabic"/>
          <w:color w:val="000000" w:themeColor="text1"/>
          <w:sz w:val="36"/>
          <w:szCs w:val="36"/>
          <w:rtl/>
          <w:lang w:bidi="ar-EG"/>
        </w:rPr>
        <w:t>–</w:t>
      </w:r>
      <w:r w:rsidRPr="00B25A97">
        <w:rPr>
          <w:rFonts w:ascii="Simplified Arabic" w:hAnsi="Simplified Arabic" w:cs="Simplified Arabic" w:hint="cs"/>
          <w:color w:val="000000" w:themeColor="text1"/>
          <w:sz w:val="36"/>
          <w:szCs w:val="36"/>
          <w:rtl/>
          <w:lang w:bidi="ar-EG"/>
        </w:rPr>
        <w:t xml:space="preserve"> 2026 </w:t>
      </w:r>
    </w:p>
    <w:p w14:paraId="0625E567" w14:textId="77777777" w:rsidR="00606507" w:rsidRPr="00B25A97" w:rsidRDefault="00606507" w:rsidP="00606507">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606507" w:rsidRPr="00B25A97" w:rsidSect="00606507">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6A74C6B8" w14:textId="1E4D6BDB" w:rsidR="00606507" w:rsidRPr="00B25A97" w:rsidRDefault="00606507" w:rsidP="00606507">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5213651"/>
      <w:r w:rsidRPr="00B25A97">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7671547D" w14:textId="50C6D76C" w:rsidR="006964D7" w:rsidRPr="00B25A97" w:rsidRDefault="00606507" w:rsidP="0060650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 w:name="_Toc235213652"/>
      <w:r w:rsidRPr="00B25A97">
        <w:rPr>
          <w:rFonts w:ascii="Simplified Arabic" w:hAnsi="Simplified Arabic" w:cs="Simplified Arabic" w:hint="cs"/>
          <w:b/>
          <w:bCs/>
          <w:color w:val="000000" w:themeColor="text1"/>
          <w:sz w:val="36"/>
          <w:szCs w:val="36"/>
          <w:rtl/>
        </w:rPr>
        <w:t>1.1 المقدمة</w:t>
      </w:r>
      <w:bookmarkEnd w:id="1"/>
    </w:p>
    <w:p w14:paraId="0941CE9D" w14:textId="7CACEE3C"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تعمل المؤسسات المعاصرة في بيئة تتسم بتسارع التحولات التقنية والاقتصادية، وتغير تفضيلات العملاء، واشتداد المنافسة، وتزايد احتمالات التعرض للاضطرابات التشغيلية والمالية وسلاسل الإمداد. وفي مثل هذه البيئة، لم تعد القدرة على المحافظة على الأنشطة المعتادة كافية لضمان البقاء، بل أصبحت المؤسسات مطالبة بتطوير قدرات تساعدها على استباق التغيرات والاستجابة لها والتعافي منها مع المحافظة على تقديم منتجاتها وخدماتها عند مستويات مقبولة. </w:t>
      </w:r>
    </w:p>
    <w:p w14:paraId="65ABABFB" w14:textId="113C6C0F"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ويُعد الابتكار من أبرز القدرات الاستراتيجية التي يمكن أن تسهم في تعزيز قدرة المؤسسة على التكيف والاستمرار. فالابتكار لا يقتصر على تقديم منتج أو خدمة جديدة، وإنما يشمل كذلك تطوير العمليات الداخلية، وإعادة تصميم النظم الإدارية، والاستفادة من التقنيات الحديثة، وإيجاد أساليب تسويقية وتنظيمية أكثر فاعلية. ويتيح هذا المنظور للمؤسسة تحسين استخدام مواردها، وتقليل مواطن الهدر، والاستجابة بصورة أسرع لاحتياجات السوق والظروف غير المتوقعة. </w:t>
      </w:r>
    </w:p>
    <w:p w14:paraId="23D54AA9" w14:textId="560A4374"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أما استمرارية الأعمال فتعبر عن قدرة المؤسسة على مواصلة الأنشطة والمنتجات والخدمات ذات الأولوية أثناء الاضطرابات وبعدها ضمن مستويات زمنية وتشغيلية مقبولة. ويتطلب تحقيقها وجود جاهزية مسبقة، وتحديد للعمليات الحرجة، وإدارة للمخاطر، ومرونة في الموارد والعمليات، وقدرة على التعافي والتعلم من الأزمات. ومن ثم فإن استمرارية الأعمال لا تمثل خطة طوارئ منفصلة فحسب، بل تُعد قدرة تنظيمية تتداخل مع الاستراتيجية والقيادة والتقنية والثقافة المؤسسية. </w:t>
      </w:r>
    </w:p>
    <w:p w14:paraId="6D9C7D70" w14:textId="62CAA855"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وفي المملكة العربية السعودية، تزداد أهمية الابتكار واستمرارية الأعمال في ظل التحولات المرتبطة برؤية السعودية 2030، والتوسع في </w:t>
      </w:r>
      <w:proofErr w:type="spellStart"/>
      <w:r w:rsidRPr="00C91FF7">
        <w:rPr>
          <w:rFonts w:ascii="Simplified Arabic" w:eastAsia="Times New Roman" w:hAnsi="Simplified Arabic" w:cs="Simplified Arabic"/>
          <w:color w:val="000000" w:themeColor="text1"/>
          <w:kern w:val="0"/>
          <w:sz w:val="28"/>
          <w:szCs w:val="28"/>
          <w:rtl/>
          <w14:ligatures w14:val="none"/>
        </w:rPr>
        <w:t>الرقمنة</w:t>
      </w:r>
      <w:proofErr w:type="spellEnd"/>
      <w:r w:rsidRPr="00C91FF7">
        <w:rPr>
          <w:rFonts w:ascii="Simplified Arabic" w:eastAsia="Times New Roman" w:hAnsi="Simplified Arabic" w:cs="Simplified Arabic"/>
          <w:color w:val="000000" w:themeColor="text1"/>
          <w:kern w:val="0"/>
          <w:sz w:val="28"/>
          <w:szCs w:val="28"/>
          <w:rtl/>
          <w14:ligatures w14:val="none"/>
        </w:rPr>
        <w:t xml:space="preserve">، وتنويع الأنشطة الاقتصادية، ونمو دور القطاع الخاص، وارتفاع توقعات العملاء وأصحاب المصلحة. وتواجه الشركات العاملة في القطاعات المختلفة حاجة متزايدة إلى الجمع بين تطوير نماذج أعمال مبتكرة وبين بناء قدرات مؤسسية تحافظ على استقرار العمليات عند حدوث الأزمات أو التحولات المفاجئة. </w:t>
      </w:r>
    </w:p>
    <w:p w14:paraId="3BAF8B63" w14:textId="13A8B400"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 xml:space="preserve">وعلى الرغم من الاهتمام المتزايد بكل من الابتكار واستمرارية الأعمال، فإن العلاقة بينهما في البيئة السعودية ما تزال بحاجة إلى مزيد من الدراسة التطبيقية، ولا سيما على مستوى الشركات العاملة في قطاعات متعددة. ومن هذا المنطلق، تسعى الدراسة الحالية إلى قياس دور استراتيجيات الابتكار بأبعادها المختلفة في تعزيز استمرارية الأعمال، واستكشاف الأبعاد الأكثر تأثيرًا، بما يتيح تقديم توصيات عملية تساعد إدارات الشركات وصناع القرار على تطوير سياسات أكثر تكاملًا. </w:t>
      </w:r>
    </w:p>
    <w:p w14:paraId="39C75C1B" w14:textId="3DABCA0D" w:rsidR="00C91FF7" w:rsidRPr="00C91FF7" w:rsidRDefault="00C91FF7" w:rsidP="00C91FF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 w:name="_Toc235213653"/>
      <w:r w:rsidRPr="00C91FF7">
        <w:rPr>
          <w:rFonts w:ascii="Simplified Arabic" w:eastAsia="Times New Roman" w:hAnsi="Simplified Arabic" w:cs="Simplified Arabic" w:hint="cs"/>
          <w:b/>
          <w:bCs/>
          <w:color w:val="000000" w:themeColor="text1"/>
          <w:kern w:val="0"/>
          <w:sz w:val="36"/>
          <w:szCs w:val="36"/>
          <w:rtl/>
          <w14:ligatures w14:val="none"/>
        </w:rPr>
        <w:t xml:space="preserve">2.1 </w:t>
      </w:r>
      <w:r w:rsidRPr="00C91FF7">
        <w:rPr>
          <w:rFonts w:ascii="Simplified Arabic" w:eastAsia="Times New Roman" w:hAnsi="Simplified Arabic" w:cs="Simplified Arabic"/>
          <w:b/>
          <w:bCs/>
          <w:color w:val="000000" w:themeColor="text1"/>
          <w:kern w:val="0"/>
          <w:sz w:val="36"/>
          <w:szCs w:val="36"/>
          <w:rtl/>
          <w14:ligatures w14:val="none"/>
        </w:rPr>
        <w:t>مشكلة الدراسة</w:t>
      </w:r>
      <w:bookmarkEnd w:id="2"/>
      <w:r w:rsidRPr="00C91FF7">
        <w:rPr>
          <w:rFonts w:ascii="Simplified Arabic" w:eastAsia="Times New Roman" w:hAnsi="Simplified Arabic" w:cs="Simplified Arabic"/>
          <w:b/>
          <w:bCs/>
          <w:color w:val="000000" w:themeColor="text1"/>
          <w:kern w:val="0"/>
          <w:sz w:val="36"/>
          <w:szCs w:val="36"/>
          <w:rtl/>
          <w14:ligatures w14:val="none"/>
        </w:rPr>
        <w:t xml:space="preserve"> </w:t>
      </w:r>
    </w:p>
    <w:p w14:paraId="224FC3C4" w14:textId="0273220E"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تواجه الشركات في المملكة العربية السعودية تغيرات متلاحقة في الأسواق والتقنيات والتشريعات وتوقعات العملاء، إضافة إلى احتمالات التعرض للاضطرابات التشغيلية والأزمات الخارجية. وقد تدفع هذه الظروف الشركات إلى تبني مبادرات ابتكارية في المنتجات والخدمات أو العمليات أو الإدارة أو التقنية أو التسويق. إلا أن تبني الابتكار لا يعني بالضرورة أن المؤسسة أصبحت أكثر قدرة على الاستمرار، إذ قد تكون المبادرات متفرقة أو غير مرتبطة بإدارة المخاطر والعمليات الحرجة وخطط التعافي. </w:t>
      </w:r>
    </w:p>
    <w:p w14:paraId="087BEC58" w14:textId="15EE1D0C"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وتتمثل المشكلة البحثية في عدم وضوح مدى إسهام استراتيجيات الابتكار، بأبعادها المختلفة، في تعزيز استمرارية الأعمال داخل الشركات السعودية العاملة في قطاعات متنوعة. كما يبرز تساؤل حول الأبعاد الابتكارية التي تحقق التأثير الأكبر، وما إذا كانت الشركات توظف الابتكار باعتباره أداة استراتيجية للمرونة والتعافي، أم تقتصر ممارساتها على تحسينات تشغيلية متفرقة. </w:t>
      </w:r>
    </w:p>
    <w:p w14:paraId="05EAC826" w14:textId="6ADD2469"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وبناءً على ذلك، تتمحور مشكلة الدراسة حول السؤال الرئيس الآتي: ما دور استراتيجيات الابتكار في تعزيز استمرارية الأعمال في الشركات العاملة في المملكة العربية السعودية؟ </w:t>
      </w:r>
    </w:p>
    <w:p w14:paraId="60EE1BDE" w14:textId="2FCE6AD3" w:rsidR="00C91FF7" w:rsidRPr="00C91FF7" w:rsidRDefault="00C91FF7" w:rsidP="00C91FF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 w:name="_Toc235213654"/>
      <w:r w:rsidRPr="00C91FF7">
        <w:rPr>
          <w:rFonts w:ascii="Simplified Arabic" w:eastAsia="Times New Roman" w:hAnsi="Simplified Arabic" w:cs="Simplified Arabic" w:hint="cs"/>
          <w:b/>
          <w:bCs/>
          <w:color w:val="000000" w:themeColor="text1"/>
          <w:kern w:val="0"/>
          <w:sz w:val="36"/>
          <w:szCs w:val="36"/>
          <w:rtl/>
          <w14:ligatures w14:val="none"/>
        </w:rPr>
        <w:t xml:space="preserve">3.1 </w:t>
      </w:r>
      <w:r w:rsidRPr="00C91FF7">
        <w:rPr>
          <w:rFonts w:ascii="Simplified Arabic" w:eastAsia="Times New Roman" w:hAnsi="Simplified Arabic" w:cs="Simplified Arabic"/>
          <w:b/>
          <w:bCs/>
          <w:color w:val="000000" w:themeColor="text1"/>
          <w:kern w:val="0"/>
          <w:sz w:val="36"/>
          <w:szCs w:val="36"/>
          <w:rtl/>
          <w14:ligatures w14:val="none"/>
        </w:rPr>
        <w:t>أسئلة الدراسة</w:t>
      </w:r>
      <w:bookmarkEnd w:id="3"/>
      <w:r w:rsidRPr="00C91FF7">
        <w:rPr>
          <w:rFonts w:ascii="Simplified Arabic" w:eastAsia="Times New Roman" w:hAnsi="Simplified Arabic" w:cs="Simplified Arabic"/>
          <w:b/>
          <w:bCs/>
          <w:color w:val="000000" w:themeColor="text1"/>
          <w:kern w:val="0"/>
          <w:sz w:val="36"/>
          <w:szCs w:val="36"/>
          <w:rtl/>
          <w14:ligatures w14:val="none"/>
        </w:rPr>
        <w:t xml:space="preserve"> </w:t>
      </w:r>
    </w:p>
    <w:p w14:paraId="5EAF3524" w14:textId="0C19CF46"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ما مستوى تطبيق استراتيجيات الابتكار في الشركات العاملة في المملكة العربية السعودية؟ </w:t>
      </w:r>
    </w:p>
    <w:p w14:paraId="623A919A" w14:textId="59AE6A3A"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ما مستوى استمرارية الأعمال في الشركات محل الدراسة؟ </w:t>
      </w:r>
    </w:p>
    <w:p w14:paraId="5BECF179" w14:textId="21EFADBB"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ما أثر الابتكار في المنتجات والخدمات في استمرارية الأعمال؟ </w:t>
      </w:r>
    </w:p>
    <w:p w14:paraId="7A9EB504" w14:textId="70D49DA4"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ما أثر الابتكار في العمليات في استمرارية الأعمال؟ </w:t>
      </w:r>
    </w:p>
    <w:p w14:paraId="71826B58" w14:textId="428DDE17"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ما أثر الابتكار الإداري والتنظيمي في استمرارية الأعمال؟ </w:t>
      </w:r>
    </w:p>
    <w:p w14:paraId="1224D34B" w14:textId="6AE9A2DA"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 xml:space="preserve">ما أثر الابتكار التقني في استمرارية الأعمال؟ </w:t>
      </w:r>
    </w:p>
    <w:p w14:paraId="5AF213F9" w14:textId="6E67F16B"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ما أثر الابتكار التسويقي في استمرارية الأعمال؟ </w:t>
      </w:r>
    </w:p>
    <w:p w14:paraId="13F52C0C" w14:textId="40D9B576"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هل تختلف استجابات أفراد العينة باختلاف خصائصهم الديموغرافية والوظيفية وخصائص الشركات؟ </w:t>
      </w:r>
    </w:p>
    <w:p w14:paraId="1AE9E884" w14:textId="70647B53" w:rsidR="00C91FF7" w:rsidRPr="00C91FF7" w:rsidRDefault="00C91FF7" w:rsidP="00C91FF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35213655"/>
      <w:r w:rsidRPr="00C91FF7">
        <w:rPr>
          <w:rFonts w:ascii="Simplified Arabic" w:eastAsia="Times New Roman" w:hAnsi="Simplified Arabic" w:cs="Simplified Arabic" w:hint="cs"/>
          <w:b/>
          <w:bCs/>
          <w:color w:val="000000" w:themeColor="text1"/>
          <w:kern w:val="0"/>
          <w:sz w:val="36"/>
          <w:szCs w:val="36"/>
          <w:rtl/>
          <w14:ligatures w14:val="none"/>
        </w:rPr>
        <w:t xml:space="preserve">4.1 </w:t>
      </w:r>
      <w:r w:rsidRPr="00C91FF7">
        <w:rPr>
          <w:rFonts w:ascii="Simplified Arabic" w:eastAsia="Times New Roman" w:hAnsi="Simplified Arabic" w:cs="Simplified Arabic"/>
          <w:b/>
          <w:bCs/>
          <w:color w:val="000000" w:themeColor="text1"/>
          <w:kern w:val="0"/>
          <w:sz w:val="36"/>
          <w:szCs w:val="36"/>
          <w:rtl/>
          <w14:ligatures w14:val="none"/>
        </w:rPr>
        <w:t>أهداف الدراسة</w:t>
      </w:r>
      <w:bookmarkEnd w:id="4"/>
      <w:r w:rsidRPr="00C91FF7">
        <w:rPr>
          <w:rFonts w:ascii="Simplified Arabic" w:eastAsia="Times New Roman" w:hAnsi="Simplified Arabic" w:cs="Simplified Arabic"/>
          <w:b/>
          <w:bCs/>
          <w:color w:val="000000" w:themeColor="text1"/>
          <w:kern w:val="0"/>
          <w:sz w:val="36"/>
          <w:szCs w:val="36"/>
          <w:rtl/>
          <w14:ligatures w14:val="none"/>
        </w:rPr>
        <w:t xml:space="preserve"> </w:t>
      </w:r>
    </w:p>
    <w:p w14:paraId="543415F6" w14:textId="592DD5BF" w:rsidR="00C91FF7" w:rsidRPr="00C91FF7" w:rsidRDefault="00C91FF7" w:rsidP="00C91FF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 xml:space="preserve">الهدف العام: </w:t>
      </w:r>
    </w:p>
    <w:p w14:paraId="1C3D3231" w14:textId="4E6DE46A"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قياس وتحليل دور استراتيجيات الابتكار في تعزيز استمرارية الأعمال في الشركات العاملة في المملكة العربية السعودية. </w:t>
      </w:r>
    </w:p>
    <w:p w14:paraId="13D7EC61" w14:textId="68E0A327" w:rsidR="00C91FF7" w:rsidRPr="00C91FF7" w:rsidRDefault="00C91FF7" w:rsidP="00C91FF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 xml:space="preserve">الأهداف الفرعية: </w:t>
      </w:r>
    </w:p>
    <w:p w14:paraId="143A2DCE" w14:textId="317F7D8F"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قياس مستوى تطبيق استراتيجيات الابتكار في الشركات السعودية. </w:t>
      </w:r>
    </w:p>
    <w:p w14:paraId="5C36CE70" w14:textId="7B5A02FE"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قياس مستوى استمرارية الأعمال في الشركات محل الدراسة. </w:t>
      </w:r>
    </w:p>
    <w:p w14:paraId="6A03253B" w14:textId="25FC807A"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تحليل أثر الابتكار في المنتجات والخدمات في استمرارية الأعمال. </w:t>
      </w:r>
    </w:p>
    <w:p w14:paraId="566ECD6D" w14:textId="26DDE898"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تحليل أثر الابتكار في العمليات في استمرارية الأعمال. </w:t>
      </w:r>
    </w:p>
    <w:p w14:paraId="6709A25B" w14:textId="73801C98"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تحليل أثر الابتكار الإداري والتنظيمي في استمرارية الأعمال. </w:t>
      </w:r>
    </w:p>
    <w:p w14:paraId="4914C587" w14:textId="40CA0F0A"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تحليل أثر الابتكار التقني في استمرارية الأعمال. </w:t>
      </w:r>
    </w:p>
    <w:p w14:paraId="135784D8" w14:textId="0CCD77A7"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تحليل أثر الابتكار التسويقي في استمرارية الأعمال. </w:t>
      </w:r>
    </w:p>
    <w:p w14:paraId="1F8FFDB4" w14:textId="284742C3"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تقديم توصيات عملية تساعد الشركات على دمج الابتكار ضمن منظومة استمرارية الأعمال. </w:t>
      </w:r>
    </w:p>
    <w:p w14:paraId="399961E9" w14:textId="4DCD8BEB" w:rsidR="00C91FF7" w:rsidRPr="00C91FF7" w:rsidRDefault="00C91FF7" w:rsidP="00C91FF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5" w:name="_Toc235213656"/>
      <w:r w:rsidRPr="00C91FF7">
        <w:rPr>
          <w:rFonts w:ascii="Simplified Arabic" w:eastAsia="Times New Roman" w:hAnsi="Simplified Arabic" w:cs="Simplified Arabic" w:hint="cs"/>
          <w:b/>
          <w:bCs/>
          <w:color w:val="000000" w:themeColor="text1"/>
          <w:kern w:val="0"/>
          <w:sz w:val="36"/>
          <w:szCs w:val="36"/>
          <w:rtl/>
          <w14:ligatures w14:val="none"/>
        </w:rPr>
        <w:t xml:space="preserve">5.1 </w:t>
      </w:r>
      <w:r w:rsidRPr="00C91FF7">
        <w:rPr>
          <w:rFonts w:ascii="Simplified Arabic" w:eastAsia="Times New Roman" w:hAnsi="Simplified Arabic" w:cs="Simplified Arabic"/>
          <w:b/>
          <w:bCs/>
          <w:color w:val="000000" w:themeColor="text1"/>
          <w:kern w:val="0"/>
          <w:sz w:val="36"/>
          <w:szCs w:val="36"/>
          <w:rtl/>
          <w14:ligatures w14:val="none"/>
        </w:rPr>
        <w:t>أهمية الدراسة</w:t>
      </w:r>
      <w:bookmarkEnd w:id="5"/>
      <w:r w:rsidRPr="00C91FF7">
        <w:rPr>
          <w:rFonts w:ascii="Simplified Arabic" w:eastAsia="Times New Roman" w:hAnsi="Simplified Arabic" w:cs="Simplified Arabic"/>
          <w:b/>
          <w:bCs/>
          <w:color w:val="000000" w:themeColor="text1"/>
          <w:kern w:val="0"/>
          <w:sz w:val="36"/>
          <w:szCs w:val="36"/>
          <w:rtl/>
          <w14:ligatures w14:val="none"/>
        </w:rPr>
        <w:t xml:space="preserve"> </w:t>
      </w:r>
    </w:p>
    <w:p w14:paraId="28E0D83A" w14:textId="2332B456" w:rsidR="00C91FF7" w:rsidRPr="00C91FF7" w:rsidRDefault="00C91FF7" w:rsidP="00C91FF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 xml:space="preserve">الأهمية العلمية: </w:t>
      </w:r>
    </w:p>
    <w:p w14:paraId="637AE215" w14:textId="3C37C2A9"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الإسهام في إثراء الأدبيات التي تربط بين استراتيجيات الابتكار واستمرارية الأعمال ضمن سياق الشركات السعودية. </w:t>
      </w:r>
    </w:p>
    <w:p w14:paraId="4681CFB3" w14:textId="1DEAC311"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تقديم نموذج مفاهيمي يجمع أبعاد الابتكار في إطار واحد لاختبار أثرها في استمرارية الأعمال. </w:t>
      </w:r>
    </w:p>
    <w:p w14:paraId="7D09DF6A" w14:textId="3261234F"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 xml:space="preserve">توفير أساس بحثي يمكن أن تستفيد منه الدراسات اللاحقة في قطاعات أو مناطق أو أحجام شركات مختلفة. </w:t>
      </w:r>
    </w:p>
    <w:p w14:paraId="567429CB" w14:textId="4254C215" w:rsidR="00C91FF7" w:rsidRPr="00C91FF7" w:rsidRDefault="00C91FF7" w:rsidP="00C91FF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 xml:space="preserve">الأهمية التطبيقية: </w:t>
      </w:r>
    </w:p>
    <w:p w14:paraId="22AC15FB" w14:textId="29F435CD"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مساعدة القيادات الإدارية على تحديد أبعاد الابتكار الأكثر تأثيرًا في استمرارية الأعمال. </w:t>
      </w:r>
    </w:p>
    <w:p w14:paraId="6917D672" w14:textId="0113DC1E"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دعم الشركات في توجيه استثمارات الابتكار نحو تعزيز المرونة والجاهزية والتعافي واستمرار العمليات. </w:t>
      </w:r>
    </w:p>
    <w:p w14:paraId="528ABF29" w14:textId="6CECBBDA" w:rsidR="00C91FF7" w:rsidRPr="00C91FF7" w:rsidRDefault="00C91FF7" w:rsidP="00A62091">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تقديم مؤشرات يمكن الاستفادة منها عند تطوير سياسات الابتكار وإدارة المخاطر وخطط الاستمرارية. </w:t>
      </w:r>
    </w:p>
    <w:p w14:paraId="02DB6DC8" w14:textId="61169C59" w:rsidR="00C91FF7" w:rsidRPr="00C91FF7" w:rsidRDefault="00C91FF7" w:rsidP="00C91FF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5213657"/>
      <w:r w:rsidRPr="00C91FF7">
        <w:rPr>
          <w:rFonts w:ascii="Simplified Arabic" w:eastAsia="Times New Roman" w:hAnsi="Simplified Arabic" w:cs="Simplified Arabic" w:hint="cs"/>
          <w:b/>
          <w:bCs/>
          <w:color w:val="000000" w:themeColor="text1"/>
          <w:kern w:val="0"/>
          <w:sz w:val="36"/>
          <w:szCs w:val="36"/>
          <w:rtl/>
          <w14:ligatures w14:val="none"/>
        </w:rPr>
        <w:t xml:space="preserve">6.1 </w:t>
      </w:r>
      <w:r w:rsidRPr="00C91FF7">
        <w:rPr>
          <w:rFonts w:ascii="Simplified Arabic" w:eastAsia="Times New Roman" w:hAnsi="Simplified Arabic" w:cs="Simplified Arabic"/>
          <w:b/>
          <w:bCs/>
          <w:color w:val="000000" w:themeColor="text1"/>
          <w:kern w:val="0"/>
          <w:sz w:val="36"/>
          <w:szCs w:val="36"/>
          <w:rtl/>
          <w14:ligatures w14:val="none"/>
        </w:rPr>
        <w:t>فرضيات الدراسة</w:t>
      </w:r>
      <w:bookmarkEnd w:id="6"/>
      <w:r w:rsidRPr="00C91FF7">
        <w:rPr>
          <w:rFonts w:ascii="Simplified Arabic" w:eastAsia="Times New Roman" w:hAnsi="Simplified Arabic" w:cs="Simplified Arabic"/>
          <w:b/>
          <w:bCs/>
          <w:color w:val="000000" w:themeColor="text1"/>
          <w:kern w:val="0"/>
          <w:sz w:val="36"/>
          <w:szCs w:val="36"/>
          <w:rtl/>
          <w14:ligatures w14:val="none"/>
        </w:rPr>
        <w:t xml:space="preserve"> </w:t>
      </w:r>
    </w:p>
    <w:p w14:paraId="79A0A3D2" w14:textId="0D9C1DD6" w:rsidR="00C91FF7" w:rsidRPr="00C91FF7" w:rsidRDefault="00C91FF7" w:rsidP="00C91FF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 xml:space="preserve">الفرضية الرئيسة: </w:t>
      </w:r>
    </w:p>
    <w:p w14:paraId="22B9A0CF" w14:textId="77777777" w:rsidR="00C91FF7" w:rsidRPr="00C91FF7" w:rsidRDefault="00C91FF7" w:rsidP="00A6209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يوجد أثر ذو دلالة إحصائية لاستراتيجيات الابتكار في استمرارية الأعمال في الشركات العاملة في المملكة العربية السعودية. </w:t>
      </w:r>
    </w:p>
    <w:p w14:paraId="099B1B37" w14:textId="22A7ED27" w:rsidR="00C91FF7" w:rsidRPr="00C91FF7" w:rsidRDefault="00C91FF7" w:rsidP="00C91FF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 xml:space="preserve">الفرضيات الفرعية: </w:t>
      </w:r>
    </w:p>
    <w:p w14:paraId="3E1D925C" w14:textId="1F41B129" w:rsidR="00C91FF7" w:rsidRPr="00C91FF7" w:rsidRDefault="00C91FF7" w:rsidP="00A6209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14:ligatures w14:val="none"/>
        </w:rPr>
        <w:t>H1</w:t>
      </w:r>
      <w:r w:rsidRPr="00C91FF7">
        <w:rPr>
          <w:rFonts w:ascii="Simplified Arabic" w:eastAsia="Times New Roman" w:hAnsi="Simplified Arabic" w:cs="Simplified Arabic"/>
          <w:color w:val="000000" w:themeColor="text1"/>
          <w:kern w:val="0"/>
          <w:sz w:val="28"/>
          <w:szCs w:val="28"/>
          <w:rtl/>
          <w14:ligatures w14:val="none"/>
        </w:rPr>
        <w:t xml:space="preserve">: يوجد أثر ذو دلالة إحصائية للابتكار في المنتجات والخدمات في استمرارية الأعمال. </w:t>
      </w:r>
    </w:p>
    <w:p w14:paraId="7067CFF7" w14:textId="36362A04" w:rsidR="00C91FF7" w:rsidRPr="00C91FF7" w:rsidRDefault="00C91FF7" w:rsidP="00A6209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14:ligatures w14:val="none"/>
        </w:rPr>
        <w:t>H2</w:t>
      </w:r>
      <w:r w:rsidRPr="00C91FF7">
        <w:rPr>
          <w:rFonts w:ascii="Simplified Arabic" w:eastAsia="Times New Roman" w:hAnsi="Simplified Arabic" w:cs="Simplified Arabic"/>
          <w:color w:val="000000" w:themeColor="text1"/>
          <w:kern w:val="0"/>
          <w:sz w:val="28"/>
          <w:szCs w:val="28"/>
          <w:rtl/>
          <w14:ligatures w14:val="none"/>
        </w:rPr>
        <w:t xml:space="preserve">: يوجد أثر ذو دلالة إحصائية للابتكار في العمليات في استمرارية الأعمال. </w:t>
      </w:r>
    </w:p>
    <w:p w14:paraId="3DFA2DD1" w14:textId="56F6B72A" w:rsidR="00C91FF7" w:rsidRPr="00C91FF7" w:rsidRDefault="00C91FF7" w:rsidP="00A6209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14:ligatures w14:val="none"/>
        </w:rPr>
        <w:t>H3</w:t>
      </w:r>
      <w:r w:rsidRPr="00C91FF7">
        <w:rPr>
          <w:rFonts w:ascii="Simplified Arabic" w:eastAsia="Times New Roman" w:hAnsi="Simplified Arabic" w:cs="Simplified Arabic"/>
          <w:color w:val="000000" w:themeColor="text1"/>
          <w:kern w:val="0"/>
          <w:sz w:val="28"/>
          <w:szCs w:val="28"/>
          <w:rtl/>
          <w14:ligatures w14:val="none"/>
        </w:rPr>
        <w:t xml:space="preserve">: يوجد أثر ذو دلالة إحصائية للابتكار الإداري والتنظيمي في استمرارية الأعمال. </w:t>
      </w:r>
    </w:p>
    <w:p w14:paraId="788BC161" w14:textId="51DDACAF" w:rsidR="00C91FF7" w:rsidRPr="00C91FF7" w:rsidRDefault="00C91FF7" w:rsidP="00A6209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14:ligatures w14:val="none"/>
        </w:rPr>
        <w:t>H4</w:t>
      </w:r>
      <w:r w:rsidRPr="00C91FF7">
        <w:rPr>
          <w:rFonts w:ascii="Simplified Arabic" w:eastAsia="Times New Roman" w:hAnsi="Simplified Arabic" w:cs="Simplified Arabic"/>
          <w:color w:val="000000" w:themeColor="text1"/>
          <w:kern w:val="0"/>
          <w:sz w:val="28"/>
          <w:szCs w:val="28"/>
          <w:rtl/>
          <w14:ligatures w14:val="none"/>
        </w:rPr>
        <w:t xml:space="preserve">: يوجد أثر ذو دلالة إحصائية للابتكار التقني في استمرارية الأعمال. </w:t>
      </w:r>
    </w:p>
    <w:p w14:paraId="5D2D68E7" w14:textId="40369B07" w:rsidR="00C91FF7" w:rsidRPr="00C91FF7" w:rsidRDefault="00C91FF7" w:rsidP="00A6209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14:ligatures w14:val="none"/>
        </w:rPr>
        <w:t>H5</w:t>
      </w:r>
      <w:r w:rsidRPr="00C91FF7">
        <w:rPr>
          <w:rFonts w:ascii="Simplified Arabic" w:eastAsia="Times New Roman" w:hAnsi="Simplified Arabic" w:cs="Simplified Arabic"/>
          <w:color w:val="000000" w:themeColor="text1"/>
          <w:kern w:val="0"/>
          <w:sz w:val="28"/>
          <w:szCs w:val="28"/>
          <w:rtl/>
          <w14:ligatures w14:val="none"/>
        </w:rPr>
        <w:t xml:space="preserve">: يوجد أثر ذو دلالة إحصائية للابتكار التسويقي في استمرارية الأعمال. </w:t>
      </w:r>
    </w:p>
    <w:p w14:paraId="4E63DCEE" w14:textId="3F5D2EE9" w:rsidR="00C91FF7" w:rsidRPr="00C91FF7" w:rsidRDefault="00C91FF7" w:rsidP="00C91FF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5213658"/>
      <w:r w:rsidRPr="00C91FF7">
        <w:rPr>
          <w:rFonts w:ascii="Simplified Arabic" w:eastAsia="Times New Roman" w:hAnsi="Simplified Arabic" w:cs="Simplified Arabic" w:hint="cs"/>
          <w:b/>
          <w:bCs/>
          <w:color w:val="000000" w:themeColor="text1"/>
          <w:kern w:val="0"/>
          <w:sz w:val="36"/>
          <w:szCs w:val="36"/>
          <w:rtl/>
          <w14:ligatures w14:val="none"/>
        </w:rPr>
        <w:t xml:space="preserve">7.1 </w:t>
      </w:r>
      <w:r w:rsidRPr="00C91FF7">
        <w:rPr>
          <w:rFonts w:ascii="Simplified Arabic" w:eastAsia="Times New Roman" w:hAnsi="Simplified Arabic" w:cs="Simplified Arabic"/>
          <w:b/>
          <w:bCs/>
          <w:color w:val="000000" w:themeColor="text1"/>
          <w:kern w:val="0"/>
          <w:sz w:val="36"/>
          <w:szCs w:val="36"/>
          <w:rtl/>
          <w14:ligatures w14:val="none"/>
        </w:rPr>
        <w:t>النموذج المفاهيمي للدراسة</w:t>
      </w:r>
      <w:bookmarkEnd w:id="7"/>
      <w:r w:rsidRPr="00C91FF7">
        <w:rPr>
          <w:rFonts w:ascii="Simplified Arabic" w:eastAsia="Times New Roman" w:hAnsi="Simplified Arabic" w:cs="Simplified Arabic"/>
          <w:b/>
          <w:bCs/>
          <w:color w:val="000000" w:themeColor="text1"/>
          <w:kern w:val="0"/>
          <w:sz w:val="36"/>
          <w:szCs w:val="36"/>
          <w:rtl/>
          <w14:ligatures w14:val="none"/>
        </w:rPr>
        <w:t xml:space="preserve"> </w:t>
      </w:r>
    </w:p>
    <w:p w14:paraId="1C06CA69" w14:textId="74DD6799" w:rsidR="00C91FF7" w:rsidRPr="00C91FF7" w:rsidRDefault="00C91FF7" w:rsidP="00C91FF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C91FF7">
        <w:rPr>
          <w:rFonts w:ascii="Simplified Arabic" w:eastAsia="Times New Roman" w:hAnsi="Simplified Arabic" w:cs="Simplified Arabic"/>
          <w:b/>
          <w:bCs/>
          <w:color w:val="000000" w:themeColor="text1"/>
          <w:kern w:val="0"/>
          <w:sz w:val="28"/>
          <w:szCs w:val="28"/>
          <w:rtl/>
          <w14:ligatures w14:val="none"/>
        </w:rPr>
        <w:t xml:space="preserve">المتغير المستقل: استراتيجيات الابتكار </w:t>
      </w:r>
    </w:p>
    <w:p w14:paraId="10AA7D98" w14:textId="77777777" w:rsidR="009330A0" w:rsidRPr="00C91FF7" w:rsidRDefault="009330A0" w:rsidP="009330A0">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الابتكار في المنتجات والخدمات </w:t>
      </w:r>
    </w:p>
    <w:p w14:paraId="77A0F274" w14:textId="77777777" w:rsidR="009330A0" w:rsidRPr="00C91FF7" w:rsidRDefault="009330A0" w:rsidP="009330A0">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الابتكار في العمليات </w:t>
      </w:r>
    </w:p>
    <w:p w14:paraId="74823BDB" w14:textId="77777777" w:rsidR="009330A0" w:rsidRPr="00C91FF7" w:rsidRDefault="009330A0" w:rsidP="009330A0">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الابتكار الإداري والتنظيمي </w:t>
      </w:r>
    </w:p>
    <w:p w14:paraId="433F3A2B" w14:textId="77777777" w:rsidR="009330A0" w:rsidRPr="00C91FF7" w:rsidRDefault="009330A0" w:rsidP="009330A0">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 xml:space="preserve">الابتكار التقني </w:t>
      </w:r>
    </w:p>
    <w:p w14:paraId="6BA755F7" w14:textId="77777777" w:rsidR="009330A0" w:rsidRPr="00C91FF7" w:rsidRDefault="009330A0" w:rsidP="009330A0">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الابتكار التسويقي </w:t>
      </w:r>
    </w:p>
    <w:p w14:paraId="699A1936" w14:textId="4E3A817C" w:rsidR="00C91FF7" w:rsidRPr="00C91FF7" w:rsidRDefault="00C91FF7" w:rsidP="00C91FF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 xml:space="preserve">المتغير التابع: استمرارية الأعمال </w:t>
      </w:r>
    </w:p>
    <w:p w14:paraId="7C65CBFE" w14:textId="15C6982E" w:rsidR="00C91FF7" w:rsidRPr="00C91FF7" w:rsidRDefault="00C91FF7" w:rsidP="00A6209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الجاهزية وإدارة المخاطر </w:t>
      </w:r>
    </w:p>
    <w:p w14:paraId="684FD804" w14:textId="70FF1B30" w:rsidR="00C91FF7" w:rsidRPr="00C91FF7" w:rsidRDefault="00C91FF7" w:rsidP="00A6209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المرونة التنظيمية </w:t>
      </w:r>
    </w:p>
    <w:p w14:paraId="5A1EFE53" w14:textId="114E0009" w:rsidR="00C91FF7" w:rsidRPr="00C91FF7" w:rsidRDefault="00C91FF7" w:rsidP="00A6209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استمرارية العمليات والخدمات </w:t>
      </w:r>
    </w:p>
    <w:p w14:paraId="720F8D11" w14:textId="4D60D888" w:rsidR="00C91FF7" w:rsidRPr="00C91FF7" w:rsidRDefault="00C91FF7" w:rsidP="00A6209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الاستجابة والتعافي </w:t>
      </w:r>
    </w:p>
    <w:p w14:paraId="59A3B9FD" w14:textId="77B4366B" w:rsidR="00C91FF7" w:rsidRPr="00C91FF7" w:rsidRDefault="00C91FF7" w:rsidP="00A62091">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التعلم والتحسين المستمر </w:t>
      </w:r>
    </w:p>
    <w:p w14:paraId="3C7DA9B7" w14:textId="6CA0413A" w:rsidR="00C91FF7" w:rsidRPr="00C91FF7" w:rsidRDefault="00C91FF7" w:rsidP="00C91FF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5213659"/>
      <w:r w:rsidRPr="00C91FF7">
        <w:rPr>
          <w:rFonts w:ascii="Simplified Arabic" w:eastAsia="Times New Roman" w:hAnsi="Simplified Arabic" w:cs="Simplified Arabic" w:hint="cs"/>
          <w:b/>
          <w:bCs/>
          <w:color w:val="000000" w:themeColor="text1"/>
          <w:kern w:val="0"/>
          <w:sz w:val="36"/>
          <w:szCs w:val="36"/>
          <w:rtl/>
          <w14:ligatures w14:val="none"/>
        </w:rPr>
        <w:t xml:space="preserve">8.1 </w:t>
      </w:r>
      <w:r w:rsidRPr="00C91FF7">
        <w:rPr>
          <w:rFonts w:ascii="Simplified Arabic" w:eastAsia="Times New Roman" w:hAnsi="Simplified Arabic" w:cs="Simplified Arabic"/>
          <w:b/>
          <w:bCs/>
          <w:color w:val="000000" w:themeColor="text1"/>
          <w:kern w:val="0"/>
          <w:sz w:val="36"/>
          <w:szCs w:val="36"/>
          <w:rtl/>
          <w14:ligatures w14:val="none"/>
        </w:rPr>
        <w:t>التعريفات الإجرائية</w:t>
      </w:r>
      <w:bookmarkEnd w:id="8"/>
      <w:r w:rsidRPr="00C91FF7">
        <w:rPr>
          <w:rFonts w:ascii="Simplified Arabic" w:eastAsia="Times New Roman" w:hAnsi="Simplified Arabic" w:cs="Simplified Arabic"/>
          <w:b/>
          <w:bCs/>
          <w:color w:val="000000" w:themeColor="text1"/>
          <w:kern w:val="0"/>
          <w:sz w:val="36"/>
          <w:szCs w:val="36"/>
          <w:rtl/>
          <w14:ligatures w14:val="none"/>
        </w:rPr>
        <w:t xml:space="preserve"> </w:t>
      </w:r>
    </w:p>
    <w:p w14:paraId="4E50DD2D" w14:textId="5AF32FDA"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استراتيجيات الابتكار: مجموعة التوجهات والممارسات المنظمة التي تتبناها الشركة لتطوير منتجاتها وخدماتها وعملياتها وأساليبها الإدارية والتقنية والتسويقية، وتقاس إجرائيًا بالدرجة التي يحصل عليها المشارك في فقرات المحور الأول من الاستبانة. </w:t>
      </w:r>
    </w:p>
    <w:p w14:paraId="6ED00FF1" w14:textId="3E7F99AF"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الابتكار في المنتجات والخدمات: قدرة الشركة على تقديم منتجات أو خدمات جديدة أو محسنة بصورة ملموسة بما يلبي احتياجات العملاء ويعزز القيمة المقدمة. </w:t>
      </w:r>
    </w:p>
    <w:p w14:paraId="11374B09" w14:textId="4037A019"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الابتكار في العمليات: تطوير طرق الإنتاج أو تقديم الخدمة أو الإجراءات التشغيلية بهدف رفع الكفاءة والجودة والسرعة وتقليل التكلفة أو التعطل. </w:t>
      </w:r>
    </w:p>
    <w:p w14:paraId="53D42D87" w14:textId="3105AA89"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الابتكار الإداري والتنظيمي: تطبيق أساليب أو هياكل أو سياسات أو ممارسات إدارية جديدة تسهم في تحسين التنسيق واتخاذ القرار والاستجابة للتغيرات. </w:t>
      </w:r>
    </w:p>
    <w:p w14:paraId="0DE379A6"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الابتكار التقني: توظيف التقنيات والأنظمة الرقمية والأدوات الحديثة في تطوير الأعمال والعمليات ودعم اتخاذ القرار. </w:t>
      </w:r>
    </w:p>
    <w:p w14:paraId="6ABE9478"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p>
    <w:p w14:paraId="788A20D8" w14:textId="416C203D"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 xml:space="preserve">الابتكار التسويقي: استخدام أساليب جديدة أو محسنة في التسعير والترويج والتوزيع والتواصل مع العملاء والوصول إلى الأسواق. </w:t>
      </w:r>
    </w:p>
    <w:p w14:paraId="35EDAF8B" w14:textId="6C1D8F29"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استمرارية الأعمال: قدرة الشركة على المحافظة على الأنشطة والمنتجات والخدمات ذات الأولوية أثناء الاضطرابات وبعدها، ضمن مستويات زمنية وتشغيلية مقبولة، وتقاس إجرائيًا بالدرجة التي يحصل عليها المشارك في فقرات المحور الثاني من الاستبانة. </w:t>
      </w:r>
    </w:p>
    <w:p w14:paraId="581DFBDF" w14:textId="500C419F" w:rsidR="00C91FF7" w:rsidRPr="00C91FF7" w:rsidRDefault="00C91FF7" w:rsidP="00C91FF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9" w:name="_Toc235213660"/>
      <w:r w:rsidRPr="00C91FF7">
        <w:rPr>
          <w:rFonts w:ascii="Simplified Arabic" w:eastAsia="Times New Roman" w:hAnsi="Simplified Arabic" w:cs="Simplified Arabic" w:hint="cs"/>
          <w:b/>
          <w:bCs/>
          <w:color w:val="000000" w:themeColor="text1"/>
          <w:kern w:val="0"/>
          <w:sz w:val="36"/>
          <w:szCs w:val="36"/>
          <w:rtl/>
          <w14:ligatures w14:val="none"/>
        </w:rPr>
        <w:t xml:space="preserve">9.1 </w:t>
      </w:r>
      <w:r w:rsidRPr="00C91FF7">
        <w:rPr>
          <w:rFonts w:ascii="Simplified Arabic" w:eastAsia="Times New Roman" w:hAnsi="Simplified Arabic" w:cs="Simplified Arabic"/>
          <w:b/>
          <w:bCs/>
          <w:color w:val="000000" w:themeColor="text1"/>
          <w:kern w:val="0"/>
          <w:sz w:val="36"/>
          <w:szCs w:val="36"/>
          <w:rtl/>
          <w14:ligatures w14:val="none"/>
        </w:rPr>
        <w:t>حدود الدراسة</w:t>
      </w:r>
      <w:bookmarkEnd w:id="9"/>
      <w:r w:rsidRPr="00C91FF7">
        <w:rPr>
          <w:rFonts w:ascii="Simplified Arabic" w:eastAsia="Times New Roman" w:hAnsi="Simplified Arabic" w:cs="Simplified Arabic"/>
          <w:b/>
          <w:bCs/>
          <w:color w:val="000000" w:themeColor="text1"/>
          <w:kern w:val="0"/>
          <w:sz w:val="36"/>
          <w:szCs w:val="36"/>
          <w:rtl/>
          <w14:ligatures w14:val="none"/>
        </w:rPr>
        <w:t xml:space="preserve"> </w:t>
      </w:r>
    </w:p>
    <w:p w14:paraId="716E7289" w14:textId="013E52EC" w:rsidR="00C91FF7" w:rsidRPr="00C91FF7" w:rsidRDefault="00C91FF7" w:rsidP="00A6209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الحدود الموضوعية: دراسة دور استراتيجيات الابتكار بأبعادها: ابتكار المنتجات والخدمات، والعمليات، والابتكار الإداري والتنظيمي، والتقني، والتسويقي، في استمرارية الأعمال. </w:t>
      </w:r>
    </w:p>
    <w:p w14:paraId="15F5CA1B" w14:textId="4EFFD943" w:rsidR="00C91FF7" w:rsidRPr="00C91FF7" w:rsidRDefault="00C91FF7" w:rsidP="00A6209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الحدود البشرية: المديرون والمشرفون والموظفون الإداريون والفنيون الذين لديهم معرفة كافية بممارسات الشركة وعملياتها، في الشركات العاملة في المملكة العربية السعودية. </w:t>
      </w:r>
    </w:p>
    <w:p w14:paraId="5998BD2D" w14:textId="483EBBA7" w:rsidR="00C91FF7" w:rsidRPr="00C91FF7" w:rsidRDefault="00C91FF7" w:rsidP="00A6209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الحدود المكانية: الشركات العاملة في مناطق المملكة العربية السعودية ومن قطاعات اقتصادية متعددة. </w:t>
      </w:r>
    </w:p>
    <w:p w14:paraId="7D734F5A" w14:textId="29B1D295" w:rsidR="00C91FF7" w:rsidRPr="00C91FF7" w:rsidRDefault="00C91FF7" w:rsidP="00A6209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الحدود الزمنية: العام الجامعي 2026، وفق فترة تطبيق الاستبانة التي ستحدد لاحقًا. </w:t>
      </w:r>
    </w:p>
    <w:p w14:paraId="4BB81C57" w14:textId="77777777" w:rsidR="00C91FF7" w:rsidRPr="00C91FF7" w:rsidRDefault="00C91FF7" w:rsidP="00A62091">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الحدود المنهجية: المنهج الوصفي التحليلي، واستخدام الاستبانة أداةً رئيسة لجمع البيانات. </w:t>
      </w:r>
    </w:p>
    <w:p w14:paraId="7882EA19" w14:textId="45530874" w:rsidR="00C91FF7" w:rsidRPr="00C91FF7" w:rsidRDefault="00C91FF7" w:rsidP="00C91FF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0" w:name="_Toc235213661"/>
      <w:r w:rsidRPr="00C91FF7">
        <w:rPr>
          <w:rFonts w:ascii="Simplified Arabic" w:eastAsia="Times New Roman" w:hAnsi="Simplified Arabic" w:cs="Simplified Arabic" w:hint="cs"/>
          <w:b/>
          <w:bCs/>
          <w:color w:val="000000" w:themeColor="text1"/>
          <w:kern w:val="0"/>
          <w:sz w:val="36"/>
          <w:szCs w:val="36"/>
          <w:rtl/>
          <w14:ligatures w14:val="none"/>
        </w:rPr>
        <w:t>10.1</w:t>
      </w:r>
      <w:r w:rsidRPr="00C91FF7">
        <w:rPr>
          <w:rFonts w:ascii="Simplified Arabic" w:eastAsia="Times New Roman" w:hAnsi="Simplified Arabic" w:cs="Simplified Arabic"/>
          <w:b/>
          <w:bCs/>
          <w:color w:val="000000" w:themeColor="text1"/>
          <w:kern w:val="0"/>
          <w:sz w:val="36"/>
          <w:szCs w:val="36"/>
          <w:rtl/>
          <w14:ligatures w14:val="none"/>
        </w:rPr>
        <w:t>منهج الدراسة المبدئي</w:t>
      </w:r>
      <w:bookmarkEnd w:id="10"/>
      <w:r w:rsidRPr="00C91FF7">
        <w:rPr>
          <w:rFonts w:ascii="Simplified Arabic" w:eastAsia="Times New Roman" w:hAnsi="Simplified Arabic" w:cs="Simplified Arabic"/>
          <w:b/>
          <w:bCs/>
          <w:color w:val="000000" w:themeColor="text1"/>
          <w:kern w:val="0"/>
          <w:sz w:val="36"/>
          <w:szCs w:val="36"/>
          <w:rtl/>
          <w14:ligatures w14:val="none"/>
        </w:rPr>
        <w:t xml:space="preserve"> </w:t>
      </w:r>
    </w:p>
    <w:p w14:paraId="47ED8106" w14:textId="1D78299A"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ستعتمد الدراسة المنهج الوصفي التحليلي لملاءمته لطبيعة المشكلة وأهدافها. وستجمع البيانات باستخدام استبانة مغلقة تعتمد مقياس </w:t>
      </w:r>
      <w:proofErr w:type="spellStart"/>
      <w:r w:rsidRPr="00C91FF7">
        <w:rPr>
          <w:rFonts w:ascii="Simplified Arabic" w:eastAsia="Times New Roman" w:hAnsi="Simplified Arabic" w:cs="Simplified Arabic"/>
          <w:color w:val="000000" w:themeColor="text1"/>
          <w:kern w:val="0"/>
          <w:sz w:val="28"/>
          <w:szCs w:val="28"/>
          <w:rtl/>
          <w14:ligatures w14:val="none"/>
        </w:rPr>
        <w:t>ليكرت</w:t>
      </w:r>
      <w:proofErr w:type="spellEnd"/>
      <w:r w:rsidRPr="00C91FF7">
        <w:rPr>
          <w:rFonts w:ascii="Simplified Arabic" w:eastAsia="Times New Roman" w:hAnsi="Simplified Arabic" w:cs="Simplified Arabic"/>
          <w:color w:val="000000" w:themeColor="text1"/>
          <w:kern w:val="0"/>
          <w:sz w:val="28"/>
          <w:szCs w:val="28"/>
          <w:rtl/>
          <w14:ligatures w14:val="none"/>
        </w:rPr>
        <w:t xml:space="preserve"> الخماسي، وتوجه إلى أفراد تتوافر لديهم معرفة مناسبة بممارسات الابتكار واستمرارية الأعمال داخل شركاتهم. وسيحدد حجم العينة وفق حجم المجتمع المتاح ومعدل الاستجابة، مع السعي إلى تحقيق عدد كافٍ لإجراء اختبارات الصدق والثبات والارتباط والانحدار واختبار الفرضيات باستخدام برنامج </w:t>
      </w:r>
      <w:r w:rsidRPr="00C91FF7">
        <w:rPr>
          <w:rFonts w:ascii="Simplified Arabic" w:eastAsia="Times New Roman" w:hAnsi="Simplified Arabic" w:cs="Simplified Arabic"/>
          <w:color w:val="000000" w:themeColor="text1"/>
          <w:kern w:val="0"/>
          <w:sz w:val="28"/>
          <w:szCs w:val="28"/>
          <w14:ligatures w14:val="none"/>
        </w:rPr>
        <w:t>SPSS</w:t>
      </w:r>
      <w:r w:rsidRPr="00C91FF7">
        <w:rPr>
          <w:rFonts w:ascii="Simplified Arabic" w:eastAsia="Times New Roman" w:hAnsi="Simplified Arabic" w:cs="Simplified Arabic"/>
          <w:color w:val="000000" w:themeColor="text1"/>
          <w:kern w:val="0"/>
          <w:sz w:val="28"/>
          <w:szCs w:val="28"/>
          <w:rtl/>
          <w14:ligatures w14:val="none"/>
        </w:rPr>
        <w:t xml:space="preserve">. </w:t>
      </w:r>
    </w:p>
    <w:p w14:paraId="08D0CB2D" w14:textId="25E0BC28" w:rsidR="00C91FF7" w:rsidRPr="00C91FF7" w:rsidRDefault="00C91FF7" w:rsidP="00C91FF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 xml:space="preserve">خطة بناء الاستبانة الأولية </w:t>
      </w:r>
    </w:p>
    <w:p w14:paraId="4D0F2AFB" w14:textId="77777777" w:rsid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تتكون الاستبانة المقترحة من مقدمة توضح الغرض العلمي والسرية، ثم بيانات ديموغرافية ووظيفية، ثم محور استراتيجيات الابتكار ومحور استمرارية الأعمال. وتُعرض الفقرات على محكمين متخصصين قبل التطبيق، ثم تجرى دراسة استطلاعية لاختبار الوضوح والثبات. </w:t>
      </w:r>
    </w:p>
    <w:p w14:paraId="549BC5C6" w14:textId="40E897CC" w:rsidR="00BE3936" w:rsidRPr="00BE3936" w:rsidRDefault="00BE3936" w:rsidP="00C91FF7">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rtl/>
          <w14:ligatures w14:val="none"/>
        </w:rPr>
      </w:pPr>
      <w:r w:rsidRPr="00BE3936">
        <w:rPr>
          <w:rFonts w:ascii="Simplified Arabic" w:eastAsia="Times New Roman" w:hAnsi="Simplified Arabic" w:cs="Simplified Arabic" w:hint="cs"/>
          <w:b/>
          <w:bCs/>
          <w:color w:val="000000" w:themeColor="text1"/>
          <w:kern w:val="0"/>
          <w:sz w:val="28"/>
          <w:szCs w:val="28"/>
          <w:rtl/>
          <w14:ligatures w14:val="none"/>
        </w:rPr>
        <w:lastRenderedPageBreak/>
        <w:t xml:space="preserve">جدول (1 </w:t>
      </w:r>
      <w:r w:rsidRPr="00BE3936">
        <w:rPr>
          <w:rFonts w:ascii="Simplified Arabic" w:eastAsia="Times New Roman" w:hAnsi="Simplified Arabic" w:cs="Simplified Arabic"/>
          <w:b/>
          <w:bCs/>
          <w:color w:val="000000" w:themeColor="text1"/>
          <w:kern w:val="0"/>
          <w:sz w:val="28"/>
          <w:szCs w:val="28"/>
          <w:rtl/>
          <w14:ligatures w14:val="none"/>
        </w:rPr>
        <w:t>–</w:t>
      </w:r>
      <w:r w:rsidRPr="00BE3936">
        <w:rPr>
          <w:rFonts w:ascii="Simplified Arabic" w:eastAsia="Times New Roman" w:hAnsi="Simplified Arabic" w:cs="Simplified Arabic" w:hint="cs"/>
          <w:b/>
          <w:bCs/>
          <w:color w:val="000000" w:themeColor="text1"/>
          <w:kern w:val="0"/>
          <w:sz w:val="28"/>
          <w:szCs w:val="28"/>
          <w:rtl/>
          <w14:ligatures w14:val="none"/>
        </w:rPr>
        <w:t xml:space="preserve"> 1 ) خطة بناء الاستبانة الأولية </w:t>
      </w:r>
    </w:p>
    <w:tbl>
      <w:tblPr>
        <w:tblStyle w:val="12"/>
        <w:bidiVisual/>
        <w:tblW w:w="0" w:type="auto"/>
        <w:tblLook w:val="04A0" w:firstRow="1" w:lastRow="0" w:firstColumn="1" w:lastColumn="0" w:noHBand="0" w:noVBand="1"/>
      </w:tblPr>
      <w:tblGrid>
        <w:gridCol w:w="1980"/>
        <w:gridCol w:w="3400"/>
        <w:gridCol w:w="2214"/>
        <w:gridCol w:w="853"/>
      </w:tblGrid>
      <w:tr w:rsidR="009330A0" w14:paraId="1D4B8ED6" w14:textId="77777777" w:rsidTr="004644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Align w:val="center"/>
          </w:tcPr>
          <w:p w14:paraId="693EB38C" w14:textId="45A2100E" w:rsidR="009330A0" w:rsidRDefault="009330A0" w:rsidP="0046444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المحور</w:t>
            </w:r>
          </w:p>
        </w:tc>
        <w:tc>
          <w:tcPr>
            <w:tcW w:w="3400" w:type="dxa"/>
            <w:vAlign w:val="center"/>
          </w:tcPr>
          <w:p w14:paraId="257AEDAF" w14:textId="7876C8DB" w:rsidR="009330A0" w:rsidRDefault="00464441" w:rsidP="0046444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البعد</w:t>
            </w:r>
          </w:p>
        </w:tc>
        <w:tc>
          <w:tcPr>
            <w:tcW w:w="2214" w:type="dxa"/>
            <w:vAlign w:val="center"/>
          </w:tcPr>
          <w:p w14:paraId="77FD14A8" w14:textId="2B65A91E" w:rsidR="009330A0" w:rsidRDefault="00464441" w:rsidP="0046444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عدد الفقرات المقترح</w:t>
            </w:r>
          </w:p>
        </w:tc>
        <w:tc>
          <w:tcPr>
            <w:tcW w:w="853" w:type="dxa"/>
            <w:vAlign w:val="center"/>
          </w:tcPr>
          <w:p w14:paraId="430E792D" w14:textId="754EB596" w:rsidR="009330A0" w:rsidRDefault="00464441" w:rsidP="0046444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الترميز</w:t>
            </w:r>
          </w:p>
        </w:tc>
      </w:tr>
      <w:tr w:rsidR="00464441" w14:paraId="45AD1446" w14:textId="77777777" w:rsidTr="00464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restart"/>
            <w:vAlign w:val="center"/>
          </w:tcPr>
          <w:p w14:paraId="76B37943" w14:textId="795BAD22" w:rsidR="00464441" w:rsidRDefault="00464441" w:rsidP="0046444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rtl/>
                <w14:ligatures w14:val="none"/>
              </w:rPr>
              <w:t>استراتيجيات الابتكار</w:t>
            </w:r>
          </w:p>
        </w:tc>
        <w:tc>
          <w:tcPr>
            <w:tcW w:w="3400" w:type="dxa"/>
            <w:vAlign w:val="center"/>
          </w:tcPr>
          <w:p w14:paraId="5E3FF128" w14:textId="0F296D9B"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rtl/>
                <w14:ligatures w14:val="none"/>
              </w:rPr>
              <w:t>ابتكار المنتجات والخدمات</w:t>
            </w:r>
          </w:p>
        </w:tc>
        <w:tc>
          <w:tcPr>
            <w:tcW w:w="2214" w:type="dxa"/>
            <w:vAlign w:val="center"/>
          </w:tcPr>
          <w:p w14:paraId="56136213" w14:textId="55DF8610"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5</w:t>
            </w:r>
          </w:p>
        </w:tc>
        <w:tc>
          <w:tcPr>
            <w:tcW w:w="853" w:type="dxa"/>
            <w:vAlign w:val="center"/>
          </w:tcPr>
          <w:p w14:paraId="40A644E0" w14:textId="094FCFB2"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14:ligatures w14:val="none"/>
              </w:rPr>
              <w:t>IP</w:t>
            </w:r>
          </w:p>
        </w:tc>
      </w:tr>
      <w:tr w:rsidR="00464441" w14:paraId="659E1695" w14:textId="77777777" w:rsidTr="00464441">
        <w:tc>
          <w:tcPr>
            <w:cnfStyle w:val="001000000000" w:firstRow="0" w:lastRow="0" w:firstColumn="1" w:lastColumn="0" w:oddVBand="0" w:evenVBand="0" w:oddHBand="0" w:evenHBand="0" w:firstRowFirstColumn="0" w:firstRowLastColumn="0" w:lastRowFirstColumn="0" w:lastRowLastColumn="0"/>
            <w:tcW w:w="1980" w:type="dxa"/>
            <w:vMerge/>
            <w:vAlign w:val="center"/>
          </w:tcPr>
          <w:p w14:paraId="1BEFA589" w14:textId="039D2B55" w:rsidR="00464441" w:rsidRDefault="00464441" w:rsidP="0046444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tc>
        <w:tc>
          <w:tcPr>
            <w:tcW w:w="3400" w:type="dxa"/>
            <w:vAlign w:val="center"/>
          </w:tcPr>
          <w:p w14:paraId="53AE4605" w14:textId="355CB1C4"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rtl/>
                <w14:ligatures w14:val="none"/>
              </w:rPr>
              <w:t>ابتكار العمليات</w:t>
            </w:r>
          </w:p>
        </w:tc>
        <w:tc>
          <w:tcPr>
            <w:tcW w:w="2214" w:type="dxa"/>
            <w:vAlign w:val="center"/>
          </w:tcPr>
          <w:p w14:paraId="5FC11212" w14:textId="6266C90C"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5</w:t>
            </w:r>
          </w:p>
        </w:tc>
        <w:tc>
          <w:tcPr>
            <w:tcW w:w="853" w:type="dxa"/>
            <w:vAlign w:val="center"/>
          </w:tcPr>
          <w:p w14:paraId="0CDF17BB" w14:textId="3E1FBB72"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14:ligatures w14:val="none"/>
              </w:rPr>
              <w:t>PR</w:t>
            </w:r>
          </w:p>
        </w:tc>
      </w:tr>
      <w:tr w:rsidR="00464441" w14:paraId="20325E6F" w14:textId="77777777" w:rsidTr="00464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ign w:val="center"/>
          </w:tcPr>
          <w:p w14:paraId="7CD52E10" w14:textId="77777777" w:rsidR="00464441" w:rsidRDefault="00464441" w:rsidP="0046444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tc>
        <w:tc>
          <w:tcPr>
            <w:tcW w:w="3400" w:type="dxa"/>
            <w:vAlign w:val="center"/>
          </w:tcPr>
          <w:p w14:paraId="19551726" w14:textId="4A0D3E99"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rtl/>
                <w14:ligatures w14:val="none"/>
              </w:rPr>
              <w:t>الابتكار الإداري والتنظيمي</w:t>
            </w:r>
          </w:p>
        </w:tc>
        <w:tc>
          <w:tcPr>
            <w:tcW w:w="2214" w:type="dxa"/>
            <w:vAlign w:val="center"/>
          </w:tcPr>
          <w:p w14:paraId="7065BFAE" w14:textId="0A3A41B3"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5</w:t>
            </w:r>
          </w:p>
        </w:tc>
        <w:tc>
          <w:tcPr>
            <w:tcW w:w="853" w:type="dxa"/>
            <w:vAlign w:val="center"/>
          </w:tcPr>
          <w:p w14:paraId="0A775CDE" w14:textId="77BC3495"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14:ligatures w14:val="none"/>
              </w:rPr>
              <w:t>OI</w:t>
            </w:r>
          </w:p>
        </w:tc>
      </w:tr>
      <w:tr w:rsidR="00464441" w14:paraId="5CEE49BD" w14:textId="77777777" w:rsidTr="00464441">
        <w:tc>
          <w:tcPr>
            <w:cnfStyle w:val="001000000000" w:firstRow="0" w:lastRow="0" w:firstColumn="1" w:lastColumn="0" w:oddVBand="0" w:evenVBand="0" w:oddHBand="0" w:evenHBand="0" w:firstRowFirstColumn="0" w:firstRowLastColumn="0" w:lastRowFirstColumn="0" w:lastRowLastColumn="0"/>
            <w:tcW w:w="1980" w:type="dxa"/>
            <w:vMerge/>
            <w:vAlign w:val="center"/>
          </w:tcPr>
          <w:p w14:paraId="475D7B20" w14:textId="77777777" w:rsidR="00464441" w:rsidRDefault="00464441" w:rsidP="0046444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tc>
        <w:tc>
          <w:tcPr>
            <w:tcW w:w="3400" w:type="dxa"/>
            <w:vAlign w:val="center"/>
          </w:tcPr>
          <w:p w14:paraId="68495A4E" w14:textId="7EFE6276"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rtl/>
                <w14:ligatures w14:val="none"/>
              </w:rPr>
              <w:t>الابتكار التقني</w:t>
            </w:r>
          </w:p>
        </w:tc>
        <w:tc>
          <w:tcPr>
            <w:tcW w:w="2214" w:type="dxa"/>
            <w:vAlign w:val="center"/>
          </w:tcPr>
          <w:p w14:paraId="611A60D0" w14:textId="06454BC3"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5</w:t>
            </w:r>
          </w:p>
        </w:tc>
        <w:tc>
          <w:tcPr>
            <w:tcW w:w="853" w:type="dxa"/>
            <w:vAlign w:val="center"/>
          </w:tcPr>
          <w:p w14:paraId="4C00FCC7" w14:textId="3FDC6CC3"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14:ligatures w14:val="none"/>
              </w:rPr>
              <w:t>TI</w:t>
            </w:r>
          </w:p>
        </w:tc>
      </w:tr>
      <w:tr w:rsidR="00464441" w14:paraId="161D2F5E" w14:textId="77777777" w:rsidTr="00464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ign w:val="center"/>
          </w:tcPr>
          <w:p w14:paraId="3C8FC3A2" w14:textId="77777777" w:rsidR="00464441" w:rsidRDefault="00464441" w:rsidP="0046444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tc>
        <w:tc>
          <w:tcPr>
            <w:tcW w:w="3400" w:type="dxa"/>
            <w:vAlign w:val="center"/>
          </w:tcPr>
          <w:p w14:paraId="7250EDDF" w14:textId="593D2AF7"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rtl/>
                <w14:ligatures w14:val="none"/>
              </w:rPr>
              <w:t>الابتكار التسويقي</w:t>
            </w:r>
          </w:p>
        </w:tc>
        <w:tc>
          <w:tcPr>
            <w:tcW w:w="2214" w:type="dxa"/>
            <w:vAlign w:val="center"/>
          </w:tcPr>
          <w:p w14:paraId="25C283EB" w14:textId="1AA61921"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5</w:t>
            </w:r>
          </w:p>
        </w:tc>
        <w:tc>
          <w:tcPr>
            <w:tcW w:w="853" w:type="dxa"/>
            <w:vAlign w:val="center"/>
          </w:tcPr>
          <w:p w14:paraId="324B843F" w14:textId="373D9A1D"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14:ligatures w14:val="none"/>
              </w:rPr>
              <w:t>MI</w:t>
            </w:r>
          </w:p>
        </w:tc>
      </w:tr>
      <w:tr w:rsidR="00464441" w14:paraId="6B832CBA" w14:textId="77777777" w:rsidTr="00464441">
        <w:tc>
          <w:tcPr>
            <w:cnfStyle w:val="001000000000" w:firstRow="0" w:lastRow="0" w:firstColumn="1" w:lastColumn="0" w:oddVBand="0" w:evenVBand="0" w:oddHBand="0" w:evenHBand="0" w:firstRowFirstColumn="0" w:firstRowLastColumn="0" w:lastRowFirstColumn="0" w:lastRowLastColumn="0"/>
            <w:tcW w:w="1980" w:type="dxa"/>
            <w:vMerge w:val="restart"/>
            <w:vAlign w:val="center"/>
          </w:tcPr>
          <w:p w14:paraId="267D997D" w14:textId="1D31BD58" w:rsidR="00464441" w:rsidRDefault="00464441" w:rsidP="0046444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rtl/>
                <w14:ligatures w14:val="none"/>
              </w:rPr>
              <w:t>استمرارية الأعمال</w:t>
            </w:r>
          </w:p>
        </w:tc>
        <w:tc>
          <w:tcPr>
            <w:tcW w:w="3400" w:type="dxa"/>
            <w:vAlign w:val="center"/>
          </w:tcPr>
          <w:p w14:paraId="3B760BE7" w14:textId="420522FF"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rtl/>
                <w14:ligatures w14:val="none"/>
              </w:rPr>
              <w:t>الجاهزية وإدارة المخاطر</w:t>
            </w:r>
          </w:p>
        </w:tc>
        <w:tc>
          <w:tcPr>
            <w:tcW w:w="2214" w:type="dxa"/>
            <w:vAlign w:val="center"/>
          </w:tcPr>
          <w:p w14:paraId="3AB37F4D" w14:textId="5BFD20C9"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5</w:t>
            </w:r>
          </w:p>
        </w:tc>
        <w:tc>
          <w:tcPr>
            <w:tcW w:w="853" w:type="dxa"/>
            <w:vAlign w:val="center"/>
          </w:tcPr>
          <w:p w14:paraId="13277369" w14:textId="4E9A2E09"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14:ligatures w14:val="none"/>
              </w:rPr>
              <w:t>BC1</w:t>
            </w:r>
          </w:p>
        </w:tc>
      </w:tr>
      <w:tr w:rsidR="00464441" w14:paraId="62F34A8C" w14:textId="77777777" w:rsidTr="00464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ign w:val="center"/>
          </w:tcPr>
          <w:p w14:paraId="35BF01C0" w14:textId="77777777" w:rsidR="00464441" w:rsidRDefault="00464441" w:rsidP="0046444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tc>
        <w:tc>
          <w:tcPr>
            <w:tcW w:w="3400" w:type="dxa"/>
            <w:vAlign w:val="center"/>
          </w:tcPr>
          <w:p w14:paraId="7BB30581" w14:textId="7442977A"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rtl/>
                <w14:ligatures w14:val="none"/>
              </w:rPr>
              <w:t>المرونة التنظيمية</w:t>
            </w:r>
          </w:p>
        </w:tc>
        <w:tc>
          <w:tcPr>
            <w:tcW w:w="2214" w:type="dxa"/>
            <w:vAlign w:val="center"/>
          </w:tcPr>
          <w:p w14:paraId="1DE70F24" w14:textId="18DF9903"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5</w:t>
            </w:r>
          </w:p>
        </w:tc>
        <w:tc>
          <w:tcPr>
            <w:tcW w:w="853" w:type="dxa"/>
            <w:vAlign w:val="center"/>
          </w:tcPr>
          <w:p w14:paraId="443C937F" w14:textId="7FEA5649"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14:ligatures w14:val="none"/>
              </w:rPr>
              <w:t>BC2</w:t>
            </w:r>
          </w:p>
        </w:tc>
      </w:tr>
      <w:tr w:rsidR="00464441" w14:paraId="31030BBE" w14:textId="77777777" w:rsidTr="00464441">
        <w:tc>
          <w:tcPr>
            <w:cnfStyle w:val="001000000000" w:firstRow="0" w:lastRow="0" w:firstColumn="1" w:lastColumn="0" w:oddVBand="0" w:evenVBand="0" w:oddHBand="0" w:evenHBand="0" w:firstRowFirstColumn="0" w:firstRowLastColumn="0" w:lastRowFirstColumn="0" w:lastRowLastColumn="0"/>
            <w:tcW w:w="1980" w:type="dxa"/>
            <w:vMerge/>
            <w:vAlign w:val="center"/>
          </w:tcPr>
          <w:p w14:paraId="75F4D79A" w14:textId="77777777" w:rsidR="00464441" w:rsidRDefault="00464441" w:rsidP="0046444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tc>
        <w:tc>
          <w:tcPr>
            <w:tcW w:w="3400" w:type="dxa"/>
            <w:vAlign w:val="center"/>
          </w:tcPr>
          <w:p w14:paraId="4D002734" w14:textId="150B3D2E"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rtl/>
                <w14:ligatures w14:val="none"/>
              </w:rPr>
              <w:t>استمرارية العمليات والخدمات</w:t>
            </w:r>
          </w:p>
        </w:tc>
        <w:tc>
          <w:tcPr>
            <w:tcW w:w="2214" w:type="dxa"/>
            <w:vAlign w:val="center"/>
          </w:tcPr>
          <w:p w14:paraId="19ECE443" w14:textId="6B36C96D"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5</w:t>
            </w:r>
          </w:p>
        </w:tc>
        <w:tc>
          <w:tcPr>
            <w:tcW w:w="853" w:type="dxa"/>
            <w:vAlign w:val="center"/>
          </w:tcPr>
          <w:p w14:paraId="2FFDA72C" w14:textId="2F55A668"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14:ligatures w14:val="none"/>
              </w:rPr>
              <w:t>BC3</w:t>
            </w:r>
          </w:p>
        </w:tc>
      </w:tr>
      <w:tr w:rsidR="00464441" w14:paraId="19F37F69" w14:textId="77777777" w:rsidTr="004644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vMerge/>
            <w:vAlign w:val="center"/>
          </w:tcPr>
          <w:p w14:paraId="4FB4E619" w14:textId="77777777" w:rsidR="00464441" w:rsidRDefault="00464441" w:rsidP="0046444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tc>
        <w:tc>
          <w:tcPr>
            <w:tcW w:w="3400" w:type="dxa"/>
            <w:vAlign w:val="center"/>
          </w:tcPr>
          <w:p w14:paraId="69EC2173" w14:textId="5428F054"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rtl/>
                <w14:ligatures w14:val="none"/>
              </w:rPr>
              <w:t>الاستجابة والتعافي</w:t>
            </w:r>
          </w:p>
        </w:tc>
        <w:tc>
          <w:tcPr>
            <w:tcW w:w="2214" w:type="dxa"/>
            <w:vAlign w:val="center"/>
          </w:tcPr>
          <w:p w14:paraId="22CC26D9" w14:textId="0AB9DDC8"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5</w:t>
            </w:r>
          </w:p>
        </w:tc>
        <w:tc>
          <w:tcPr>
            <w:tcW w:w="853" w:type="dxa"/>
            <w:vAlign w:val="center"/>
          </w:tcPr>
          <w:p w14:paraId="0CFB2628" w14:textId="65445D3D" w:rsidR="00464441" w:rsidRDefault="00464441" w:rsidP="0046444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14:ligatures w14:val="none"/>
              </w:rPr>
              <w:t>BC4</w:t>
            </w:r>
          </w:p>
        </w:tc>
      </w:tr>
      <w:tr w:rsidR="00464441" w14:paraId="49F74E22" w14:textId="77777777" w:rsidTr="00464441">
        <w:tc>
          <w:tcPr>
            <w:cnfStyle w:val="001000000000" w:firstRow="0" w:lastRow="0" w:firstColumn="1" w:lastColumn="0" w:oddVBand="0" w:evenVBand="0" w:oddHBand="0" w:evenHBand="0" w:firstRowFirstColumn="0" w:firstRowLastColumn="0" w:lastRowFirstColumn="0" w:lastRowLastColumn="0"/>
            <w:tcW w:w="1980" w:type="dxa"/>
            <w:vMerge/>
            <w:vAlign w:val="center"/>
          </w:tcPr>
          <w:p w14:paraId="12490904" w14:textId="77777777" w:rsidR="00464441" w:rsidRDefault="00464441" w:rsidP="00464441">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rtl/>
                <w14:ligatures w14:val="none"/>
              </w:rPr>
            </w:pPr>
          </w:p>
        </w:tc>
        <w:tc>
          <w:tcPr>
            <w:tcW w:w="3400" w:type="dxa"/>
            <w:vAlign w:val="center"/>
          </w:tcPr>
          <w:p w14:paraId="16EB8964" w14:textId="5300EBE8"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rtl/>
                <w14:ligatures w14:val="none"/>
              </w:rPr>
              <w:t>التعلم والتحسين المستمر</w:t>
            </w:r>
          </w:p>
        </w:tc>
        <w:tc>
          <w:tcPr>
            <w:tcW w:w="2214" w:type="dxa"/>
            <w:vAlign w:val="center"/>
          </w:tcPr>
          <w:p w14:paraId="650277E0" w14:textId="6566FE2B"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hint="cs"/>
                <w:color w:val="000000" w:themeColor="text1"/>
                <w:kern w:val="0"/>
                <w:sz w:val="28"/>
                <w:szCs w:val="28"/>
                <w:rtl/>
                <w14:ligatures w14:val="none"/>
              </w:rPr>
              <w:t>5</w:t>
            </w:r>
          </w:p>
        </w:tc>
        <w:tc>
          <w:tcPr>
            <w:tcW w:w="853" w:type="dxa"/>
            <w:vAlign w:val="center"/>
          </w:tcPr>
          <w:p w14:paraId="2ABDAF35" w14:textId="4485E7F2" w:rsidR="00464441" w:rsidRDefault="00464441" w:rsidP="0046444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464441">
              <w:rPr>
                <w:rFonts w:ascii="Simplified Arabic" w:eastAsia="Times New Roman" w:hAnsi="Simplified Arabic" w:cs="Simplified Arabic"/>
                <w:color w:val="000000" w:themeColor="text1"/>
                <w:kern w:val="0"/>
                <w:sz w:val="28"/>
                <w:szCs w:val="28"/>
                <w14:ligatures w14:val="none"/>
              </w:rPr>
              <w:t>BC5</w:t>
            </w:r>
          </w:p>
        </w:tc>
      </w:tr>
    </w:tbl>
    <w:p w14:paraId="1F63564E"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الفئة المستهدفة المقترحة: المديرون، والمشرفون، والموظفون الإداريون والفنيون الذين أمضوا مدة تسمح لهم بتقييم ممارسات الشركة. ولا يُشترط أن يكون جميع المشاركين في مناصب إدارية عليا، لكن يُستبعد من لا يملك معرفة كافية بالعمليات أو سياسات العمل. </w:t>
      </w:r>
    </w:p>
    <w:p w14:paraId="6C75554B" w14:textId="399F21C0" w:rsidR="00C91FF7" w:rsidRPr="00C91FF7" w:rsidRDefault="00C91FF7" w:rsidP="00C91FF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 xml:space="preserve">المراجع الأولية </w:t>
      </w:r>
    </w:p>
    <w:p w14:paraId="3EB59548" w14:textId="28DE86B6" w:rsidR="00C91FF7" w:rsidRPr="00C91FF7" w:rsidRDefault="00C91FF7" w:rsidP="00A62091">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منظمة التعاون الاقتصادي والتنمية والمكتب الإحصائي للاتحاد الأوروبي. (2018). دليل أوسلو 2018: إرشادات جمع بيانات الابتكار وتفسيرها، الطبعة الرابعة. </w:t>
      </w:r>
    </w:p>
    <w:p w14:paraId="6A1E4CDC" w14:textId="09794DB7" w:rsidR="00C91FF7" w:rsidRPr="00C91FF7" w:rsidRDefault="00C91FF7" w:rsidP="00A62091">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المنظمة الدولية للتقييس. (2019). </w:t>
      </w:r>
      <w:r w:rsidRPr="00C91FF7">
        <w:rPr>
          <w:rFonts w:ascii="Simplified Arabic" w:eastAsia="Times New Roman" w:hAnsi="Simplified Arabic" w:cs="Simplified Arabic"/>
          <w:color w:val="000000" w:themeColor="text1"/>
          <w:kern w:val="0"/>
          <w:sz w:val="28"/>
          <w:szCs w:val="28"/>
          <w14:ligatures w14:val="none"/>
        </w:rPr>
        <w:t>ISO 22301:2019</w:t>
      </w:r>
      <w:r w:rsidRPr="00C91FF7">
        <w:rPr>
          <w:rFonts w:ascii="Simplified Arabic" w:eastAsia="Times New Roman" w:hAnsi="Simplified Arabic" w:cs="Simplified Arabic"/>
          <w:color w:val="000000" w:themeColor="text1"/>
          <w:kern w:val="0"/>
          <w:sz w:val="28"/>
          <w:szCs w:val="28"/>
          <w:rtl/>
          <w14:ligatures w14:val="none"/>
        </w:rPr>
        <w:t xml:space="preserve"> الأمن والمرونة - نظم إدارة استمرارية الأعمال - المتطلبات. </w:t>
      </w:r>
    </w:p>
    <w:p w14:paraId="27778A16" w14:textId="77777777" w:rsidR="00C91FF7" w:rsidRPr="00C91FF7" w:rsidRDefault="00C91FF7" w:rsidP="00A62091">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رؤية السعودية 2030. (2016). وثيقة رؤية المملكة العربية السعودية 2030. </w:t>
      </w:r>
    </w:p>
    <w:p w14:paraId="032E7112" w14:textId="6B7E6694" w:rsidR="00C91FF7" w:rsidRPr="00C91FF7" w:rsidRDefault="00C91FF7" w:rsidP="00C91FF7">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5213662"/>
      <w:r w:rsidRPr="00C91FF7">
        <w:rPr>
          <w:rFonts w:ascii="Simplified Arabic" w:eastAsia="Times New Roman" w:hAnsi="Simplified Arabic" w:cs="Simplified Arabic" w:hint="cs"/>
          <w:b/>
          <w:bCs/>
          <w:color w:val="000000" w:themeColor="text1"/>
          <w:kern w:val="0"/>
          <w:sz w:val="36"/>
          <w:szCs w:val="36"/>
          <w:rtl/>
          <w14:ligatures w14:val="none"/>
        </w:rPr>
        <w:t xml:space="preserve">11.1 </w:t>
      </w:r>
      <w:r w:rsidRPr="00C91FF7">
        <w:rPr>
          <w:rFonts w:ascii="Simplified Arabic" w:eastAsia="Times New Roman" w:hAnsi="Simplified Arabic" w:cs="Simplified Arabic"/>
          <w:b/>
          <w:bCs/>
          <w:color w:val="000000" w:themeColor="text1"/>
          <w:kern w:val="0"/>
          <w:sz w:val="36"/>
          <w:szCs w:val="36"/>
          <w:rtl/>
          <w14:ligatures w14:val="none"/>
        </w:rPr>
        <w:t>الدراسات السابقة</w:t>
      </w:r>
      <w:bookmarkEnd w:id="11"/>
    </w:p>
    <w:p w14:paraId="3B34BD1D" w14:textId="77777777" w:rsidR="00C91FF7" w:rsidRPr="00C91FF7" w:rsidRDefault="00C91FF7" w:rsidP="00C91FF7">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مقدمة الدراسات السابقة</w:t>
      </w:r>
    </w:p>
    <w:p w14:paraId="6D169F47"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تُعد الدراسات السابقة من العناصر الأساسية في البحوث العلمية، إذ تسهم في توضيح الجهود البحثية التي تناولت موضوع الدراسة أو أحد متغيراتها، كما تساعد الباحثة على تحديد الفجوة البحثية، والاستفادة من المناهج والأدوات والأساليب الإحصائية المستخدمة في الدراسات السابقة، بالإضافة إلى مقارنة نتائج الدراسة الحالية بنتائج الدراسات ذات الصلة.</w:t>
      </w:r>
    </w:p>
    <w:p w14:paraId="45D2F97F" w14:textId="77777777" w:rsid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وقد تم الاطلاع على عدد من الدراسات العربية والأجنبية التي تناولت استراتيجيات الابتكار، واستمرارية الأعمال، والعلاقة بينهما، وذلك بهدف بناء إطار علمي متكامل يساعد في تفسير نتائج الدراسة الحالية، وتحديد أوجه الاتفاق والاختلاف بينها وبين الدراسات السابقة.</w:t>
      </w:r>
    </w:p>
    <w:p w14:paraId="2FF932A1" w14:textId="49BA52EE"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ولغرض تنظيم عرض الدراسات السابقة، قامت الباحثة بتقسيمها إلى محورين رئيسين، يتمثل الأول في الدراسات التي تناولت استراتيجيات الابتكار، بينم</w:t>
      </w:r>
    </w:p>
    <w:p w14:paraId="4C214569" w14:textId="77777777" w:rsidR="00C91FF7" w:rsidRPr="00C91FF7" w:rsidRDefault="00C91FF7" w:rsidP="00C91FF7">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الدراسات الأجنبية</w:t>
      </w:r>
    </w:p>
    <w:p w14:paraId="6F5D850C"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أجرى </w:t>
      </w:r>
      <w:r w:rsidRPr="00C91FF7">
        <w:rPr>
          <w:rFonts w:ascii="Simplified Arabic" w:eastAsia="Times New Roman" w:hAnsi="Simplified Arabic" w:cs="Simplified Arabic"/>
          <w:color w:val="000000" w:themeColor="text1"/>
          <w:kern w:val="0"/>
          <w:sz w:val="28"/>
          <w:szCs w:val="28"/>
          <w14:ligatures w14:val="none"/>
        </w:rPr>
        <w:t>Buzzao</w:t>
      </w:r>
      <w:r w:rsidRPr="00C91FF7">
        <w:rPr>
          <w:rFonts w:ascii="Simplified Arabic" w:eastAsia="Times New Roman" w:hAnsi="Simplified Arabic" w:cs="Simplified Arabic"/>
          <w:color w:val="000000" w:themeColor="text1"/>
          <w:kern w:val="0"/>
          <w:sz w:val="28"/>
          <w:szCs w:val="28"/>
          <w:rtl/>
          <w14:ligatures w14:val="none"/>
        </w:rPr>
        <w:t xml:space="preserve"> و</w:t>
      </w:r>
      <w:r w:rsidRPr="00C91FF7">
        <w:rPr>
          <w:rFonts w:ascii="Simplified Arabic" w:eastAsia="Times New Roman" w:hAnsi="Simplified Arabic" w:cs="Simplified Arabic"/>
          <w:color w:val="000000" w:themeColor="text1"/>
          <w:kern w:val="0"/>
          <w:sz w:val="28"/>
          <w:szCs w:val="28"/>
          <w14:ligatures w14:val="none"/>
        </w:rPr>
        <w:t>Rizzi</w:t>
      </w:r>
      <w:r w:rsidRPr="00C91FF7">
        <w:rPr>
          <w:rFonts w:ascii="Simplified Arabic" w:eastAsia="Times New Roman" w:hAnsi="Simplified Arabic" w:cs="Simplified Arabic"/>
          <w:color w:val="000000" w:themeColor="text1"/>
          <w:kern w:val="0"/>
          <w:sz w:val="28"/>
          <w:szCs w:val="28"/>
          <w:rtl/>
          <w14:ligatures w14:val="none"/>
        </w:rPr>
        <w:t xml:space="preserve"> (2023) دراسة بعنوان </w:t>
      </w:r>
      <w:r w:rsidRPr="00C91FF7">
        <w:rPr>
          <w:rFonts w:ascii="Simplified Arabic" w:eastAsia="Times New Roman" w:hAnsi="Simplified Arabic" w:cs="Simplified Arabic"/>
          <w:color w:val="000000" w:themeColor="text1"/>
          <w:kern w:val="0"/>
          <w:sz w:val="28"/>
          <w:szCs w:val="28"/>
          <w14:ligatures w14:val="none"/>
        </w:rPr>
        <w:t>The Role of Dynamic Capabilities for Resilience in Pursuing Business Continuity</w:t>
      </w:r>
      <w:r w:rsidRPr="00C91FF7">
        <w:rPr>
          <w:rFonts w:ascii="Simplified Arabic" w:eastAsia="Times New Roman" w:hAnsi="Simplified Arabic" w:cs="Simplified Arabic"/>
          <w:color w:val="000000" w:themeColor="text1"/>
          <w:kern w:val="0"/>
          <w:sz w:val="28"/>
          <w:szCs w:val="28"/>
          <w:rtl/>
          <w14:ligatures w14:val="none"/>
        </w:rPr>
        <w:t xml:space="preserve">، هدفت إلى استكشاف دور القدرات الديناميكية في تعزيز استمرارية الأعمال والمرونة التنظيمية. اعتمدت الدراسة على المنهج الكمي، وتم جمع البيانات من 419 منظمة تعمل في قطاعات مختلفة في إيطاليا، واستخدم الباحثان نمذجة المعادلات الهيكلية لتحليل البيانات. وأظهرت النتائج أن متطلبات معيار </w:t>
      </w:r>
      <w:r w:rsidRPr="00C91FF7">
        <w:rPr>
          <w:rFonts w:ascii="Simplified Arabic" w:eastAsia="Times New Roman" w:hAnsi="Simplified Arabic" w:cs="Simplified Arabic"/>
          <w:color w:val="000000" w:themeColor="text1"/>
          <w:kern w:val="0"/>
          <w:sz w:val="28"/>
          <w:szCs w:val="28"/>
          <w14:ligatures w14:val="none"/>
        </w:rPr>
        <w:t>ISO 22301</w:t>
      </w:r>
      <w:r w:rsidRPr="00C91FF7">
        <w:rPr>
          <w:rFonts w:ascii="Simplified Arabic" w:eastAsia="Times New Roman" w:hAnsi="Simplified Arabic" w:cs="Simplified Arabic"/>
          <w:color w:val="000000" w:themeColor="text1"/>
          <w:kern w:val="0"/>
          <w:sz w:val="28"/>
          <w:szCs w:val="28"/>
          <w:rtl/>
          <w14:ligatures w14:val="none"/>
        </w:rPr>
        <w:t xml:space="preserve"> مترابطة ولا يمكن فصلها، وأن قدرة المؤسسة على تنسيق مواردها البشرية والتقنية والمعلوماتية تعد عاملًا رئيسًا في تحقيق استمرارية الأعمال وتعزيز المرونة التنظيمية. وتتشابه هذه الدراسة مع الدراسة الحالية في تناولها استمرارية الأعمال، بينما تختلف عنها في أنها ركزت على القدرات الديناميكية بصورة مباشرة، في حين تركز الدراسة الحالية على استراتيجيات الابتكار بوصفها متغيرًا مستقلًا. </w:t>
      </w:r>
    </w:p>
    <w:p w14:paraId="136AF286" w14:textId="1A775358"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قدم </w:t>
      </w:r>
      <w:r w:rsidRPr="00C91FF7">
        <w:rPr>
          <w:rFonts w:ascii="Simplified Arabic" w:eastAsia="Times New Roman" w:hAnsi="Simplified Arabic" w:cs="Simplified Arabic"/>
          <w:color w:val="000000" w:themeColor="text1"/>
          <w:kern w:val="0"/>
          <w:sz w:val="28"/>
          <w:szCs w:val="28"/>
          <w14:ligatures w14:val="none"/>
        </w:rPr>
        <w:t>Galaitsi</w:t>
      </w:r>
      <w:r w:rsidRPr="00C91FF7">
        <w:rPr>
          <w:rFonts w:ascii="Simplified Arabic" w:eastAsia="Times New Roman" w:hAnsi="Simplified Arabic" w:cs="Simplified Arabic"/>
          <w:color w:val="000000" w:themeColor="text1"/>
          <w:kern w:val="0"/>
          <w:sz w:val="28"/>
          <w:szCs w:val="28"/>
          <w:rtl/>
          <w14:ligatures w14:val="none"/>
        </w:rPr>
        <w:t xml:space="preserve"> وآخرون (2023) دراسة بعنوان </w:t>
      </w:r>
      <w:r w:rsidRPr="00C91FF7">
        <w:rPr>
          <w:rFonts w:ascii="Simplified Arabic" w:eastAsia="Times New Roman" w:hAnsi="Simplified Arabic" w:cs="Simplified Arabic"/>
          <w:color w:val="000000" w:themeColor="text1"/>
          <w:kern w:val="0"/>
          <w:sz w:val="28"/>
          <w:szCs w:val="28"/>
          <w14:ligatures w14:val="none"/>
        </w:rPr>
        <w:t>Business Continuity Management, Operational Resilience, and Organizational Resilience</w:t>
      </w:r>
      <w:r w:rsidRPr="00C91FF7">
        <w:rPr>
          <w:rFonts w:ascii="Simplified Arabic" w:eastAsia="Times New Roman" w:hAnsi="Simplified Arabic" w:cs="Simplified Arabic"/>
          <w:color w:val="000000" w:themeColor="text1"/>
          <w:kern w:val="0"/>
          <w:sz w:val="28"/>
          <w:szCs w:val="28"/>
          <w:rtl/>
          <w14:ligatures w14:val="none"/>
        </w:rPr>
        <w:t xml:space="preserve">، هدفت إلى توضيح العلاقة بين إدارة استمرارية الأعمال والمرونة التشغيلية والمرونة التنظيمية، من خلال مراجعة وتحليل الأدبيات العلمية والمعايير الدولية. وأوضحت الدراسة أن إدارة استمرارية الأعمال تمثل إطارًا متكاملًا يشمل الاستعداد، والاستجابة، والتعافي، والتحسين المستمر، وأن المؤسسات التي تطبق هذه المبادئ تكون أكثر قدرة على </w:t>
      </w:r>
      <w:r w:rsidRPr="00C91FF7">
        <w:rPr>
          <w:rFonts w:ascii="Simplified Arabic" w:eastAsia="Times New Roman" w:hAnsi="Simplified Arabic" w:cs="Simplified Arabic"/>
          <w:color w:val="000000" w:themeColor="text1"/>
          <w:kern w:val="0"/>
          <w:sz w:val="28"/>
          <w:szCs w:val="28"/>
          <w:rtl/>
          <w14:ligatures w14:val="none"/>
        </w:rPr>
        <w:lastRenderedPageBreak/>
        <w:t xml:space="preserve">مواجهة الأزمات والتكيف مع المتغيرات. وأكدت الدراسة أهمية دمج إدارة المخاطر والمرونة التنظيمية ضمن منظومة واحدة لتحقيق الاستدامة المؤسسية. وتستفيد الدراسة الحالية من هذه النتائج في بناء الإطار النظري لمفهوم استمرارية الأعمال وأبعاده. </w:t>
      </w:r>
    </w:p>
    <w:p w14:paraId="08E6C305"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أجرى </w:t>
      </w:r>
      <w:r w:rsidRPr="00C91FF7">
        <w:rPr>
          <w:rFonts w:ascii="Simplified Arabic" w:eastAsia="Times New Roman" w:hAnsi="Simplified Arabic" w:cs="Simplified Arabic"/>
          <w:color w:val="000000" w:themeColor="text1"/>
          <w:kern w:val="0"/>
          <w:sz w:val="28"/>
          <w:szCs w:val="28"/>
          <w14:ligatures w14:val="none"/>
        </w:rPr>
        <w:t>Aloulou</w:t>
      </w:r>
      <w:r w:rsidRPr="00C91FF7">
        <w:rPr>
          <w:rFonts w:ascii="Simplified Arabic" w:eastAsia="Times New Roman" w:hAnsi="Simplified Arabic" w:cs="Simplified Arabic"/>
          <w:color w:val="000000" w:themeColor="text1"/>
          <w:kern w:val="0"/>
          <w:sz w:val="28"/>
          <w:szCs w:val="28"/>
          <w:rtl/>
          <w14:ligatures w14:val="none"/>
        </w:rPr>
        <w:t xml:space="preserve"> (2023) دراسة بعنوان </w:t>
      </w:r>
      <w:r w:rsidRPr="00C91FF7">
        <w:rPr>
          <w:rFonts w:ascii="Simplified Arabic" w:eastAsia="Times New Roman" w:hAnsi="Simplified Arabic" w:cs="Simplified Arabic"/>
          <w:color w:val="000000" w:themeColor="text1"/>
          <w:kern w:val="0"/>
          <w:sz w:val="28"/>
          <w:szCs w:val="28"/>
          <w14:ligatures w14:val="none"/>
        </w:rPr>
        <w:t>Be Innovative and Resilient: Empirical Evidence from Saudi Firms</w:t>
      </w:r>
      <w:r w:rsidRPr="00C91FF7">
        <w:rPr>
          <w:rFonts w:ascii="Simplified Arabic" w:eastAsia="Times New Roman" w:hAnsi="Simplified Arabic" w:cs="Simplified Arabic"/>
          <w:color w:val="000000" w:themeColor="text1"/>
          <w:kern w:val="0"/>
          <w:sz w:val="28"/>
          <w:szCs w:val="28"/>
          <w:rtl/>
          <w14:ligatures w14:val="none"/>
        </w:rPr>
        <w:t xml:space="preserve">، هدفت إلى دراسة العلاقة بين التوجه الريادي، والقدرة الابتكارية، والمرونة المؤسسية، والأداء في الشركات السعودية الصغيرة والمتوسطة. واعتمدت الدراسة على استبانة وُزعت على 225 شركة سعودية، وتم تحليل البيانات باستخدام نمذجة المعادلات الهيكلية. وأظهرت النتائج وجود علاقة إيجابية بين القدرات الابتكارية والمرونة المؤسسية، وأن الابتكار يمثل آلية مهمة لتحسين قدرة الشركات على التكيف مع التغيرات وتحقيق أداء أفضل. وتتميز الدراسة الحالية عن هذه الدراسة بأنها تركز بصورة مباشرة على أثر استراتيجيات الابتكار في تعزيز استمرارية الأعمال في مختلف القطاعات، وليس فقط الشركات الصغيرة والمتوسطة. </w:t>
      </w:r>
    </w:p>
    <w:p w14:paraId="2010912B" w14:textId="171FD0E8"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قدم </w:t>
      </w:r>
      <w:r w:rsidRPr="00C91FF7">
        <w:rPr>
          <w:rFonts w:ascii="Simplified Arabic" w:eastAsia="Times New Roman" w:hAnsi="Simplified Arabic" w:cs="Simplified Arabic"/>
          <w:color w:val="000000" w:themeColor="text1"/>
          <w:kern w:val="0"/>
          <w:sz w:val="28"/>
          <w:szCs w:val="28"/>
          <w14:ligatures w14:val="none"/>
        </w:rPr>
        <w:t>Aboudayah</w:t>
      </w:r>
      <w:r w:rsidRPr="00C91FF7">
        <w:rPr>
          <w:rFonts w:ascii="Simplified Arabic" w:eastAsia="Times New Roman" w:hAnsi="Simplified Arabic" w:cs="Simplified Arabic"/>
          <w:color w:val="000000" w:themeColor="text1"/>
          <w:kern w:val="0"/>
          <w:sz w:val="28"/>
          <w:szCs w:val="28"/>
          <w:rtl/>
          <w14:ligatures w14:val="none"/>
        </w:rPr>
        <w:t xml:space="preserve"> (2023) دراسة دكتوراه بعنوان </w:t>
      </w:r>
      <w:r w:rsidRPr="00C91FF7">
        <w:rPr>
          <w:rFonts w:ascii="Simplified Arabic" w:eastAsia="Times New Roman" w:hAnsi="Simplified Arabic" w:cs="Simplified Arabic"/>
          <w:color w:val="000000" w:themeColor="text1"/>
          <w:kern w:val="0"/>
          <w:sz w:val="28"/>
          <w:szCs w:val="28"/>
          <w14:ligatures w14:val="none"/>
        </w:rPr>
        <w:t>Assessing Small and Medium Enterprises’ Innovation Capabilities within a Rapid Economic Transformation: An Empirical Study in Saudi Arabia</w:t>
      </w:r>
      <w:r w:rsidRPr="00C91FF7">
        <w:rPr>
          <w:rFonts w:ascii="Simplified Arabic" w:eastAsia="Times New Roman" w:hAnsi="Simplified Arabic" w:cs="Simplified Arabic"/>
          <w:color w:val="000000" w:themeColor="text1"/>
          <w:kern w:val="0"/>
          <w:sz w:val="28"/>
          <w:szCs w:val="28"/>
          <w:rtl/>
          <w14:ligatures w14:val="none"/>
        </w:rPr>
        <w:t>، وهدفت إلى قياس القدرات الابتكارية للمنشآت الصغيرة والمتوسطة في المملكة العربية السعودية في ظل التحولات الاقتصادية المرتبطة برؤية المملكة 2030. واعتمدت الدراسة على بيانات 211 منشأة، وأظهرت النتائج أن المرونة التنظيمية تعزز العلاقة بين عدم اليقين البيئي والقدرات الابتكارية، وأن الاستثمار في الابتكار يسهم في رفع قدرة الشركات على التكيف مع التغيرات. وتفيد هذه الدراسة في دعم الإطار النظري للدراسة الحالية وربط الابتكار بالمرونة والاستدامة في البيئة السعودية.</w:t>
      </w:r>
    </w:p>
    <w:p w14:paraId="28420F69" w14:textId="5CE4A116" w:rsidR="00C91FF7" w:rsidRPr="00C91FF7" w:rsidRDefault="00C91FF7" w:rsidP="00C91FF7">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 xml:space="preserve"> </w:t>
      </w:r>
      <w:r w:rsidRPr="00C91FF7">
        <w:rPr>
          <w:rFonts w:ascii="Simplified Arabic" w:eastAsia="Times New Roman" w:hAnsi="Simplified Arabic" w:cs="Simplified Arabic" w:hint="cs"/>
          <w:b/>
          <w:bCs/>
          <w:color w:val="000000" w:themeColor="text1"/>
          <w:kern w:val="0"/>
          <w:sz w:val="32"/>
          <w:szCs w:val="32"/>
          <w:rtl/>
          <w14:ligatures w14:val="none"/>
        </w:rPr>
        <w:t>ا</w:t>
      </w:r>
      <w:r w:rsidRPr="00C91FF7">
        <w:rPr>
          <w:rFonts w:ascii="Simplified Arabic" w:eastAsia="Times New Roman" w:hAnsi="Simplified Arabic" w:cs="Simplified Arabic"/>
          <w:b/>
          <w:bCs/>
          <w:color w:val="000000" w:themeColor="text1"/>
          <w:kern w:val="0"/>
          <w:sz w:val="32"/>
          <w:szCs w:val="32"/>
          <w:rtl/>
          <w14:ligatures w14:val="none"/>
        </w:rPr>
        <w:t>لدراسات العربية</w:t>
      </w:r>
    </w:p>
    <w:p w14:paraId="0955FB93"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أجرى بودي والشيخ مبارك (</w:t>
      </w:r>
      <w:r w:rsidRPr="00C91FF7">
        <w:rPr>
          <w:rFonts w:ascii="Simplified Arabic" w:eastAsia="Times New Roman" w:hAnsi="Simplified Arabic" w:cs="Simplified Arabic"/>
          <w:color w:val="000000" w:themeColor="text1"/>
          <w:kern w:val="0"/>
          <w:sz w:val="28"/>
          <w:szCs w:val="28"/>
          <w14:ligatures w14:val="none"/>
        </w:rPr>
        <w:t>Boudi &amp; Alshaikhmubarak, 2024</w:t>
      </w:r>
      <w:r w:rsidRPr="00C91FF7">
        <w:rPr>
          <w:rFonts w:ascii="Simplified Arabic" w:eastAsia="Times New Roman" w:hAnsi="Simplified Arabic" w:cs="Simplified Arabic"/>
          <w:color w:val="000000" w:themeColor="text1"/>
          <w:kern w:val="0"/>
          <w:sz w:val="28"/>
          <w:szCs w:val="28"/>
          <w:rtl/>
          <w14:ligatures w14:val="none"/>
        </w:rPr>
        <w:t xml:space="preserve">) دراسة بعنوان </w:t>
      </w:r>
      <w:r w:rsidRPr="00C91FF7">
        <w:rPr>
          <w:rFonts w:ascii="Simplified Arabic" w:eastAsia="Times New Roman" w:hAnsi="Simplified Arabic" w:cs="Simplified Arabic"/>
          <w:color w:val="000000" w:themeColor="text1"/>
          <w:kern w:val="0"/>
          <w:sz w:val="28"/>
          <w:szCs w:val="28"/>
          <w14:ligatures w14:val="none"/>
        </w:rPr>
        <w:t>Business Continuity and Sustainability in Government Organisations</w:t>
      </w:r>
      <w:r w:rsidRPr="00C91FF7">
        <w:rPr>
          <w:rFonts w:ascii="Simplified Arabic" w:eastAsia="Times New Roman" w:hAnsi="Simplified Arabic" w:cs="Simplified Arabic"/>
          <w:color w:val="000000" w:themeColor="text1"/>
          <w:kern w:val="0"/>
          <w:sz w:val="28"/>
          <w:szCs w:val="28"/>
          <w:rtl/>
          <w14:ligatures w14:val="none"/>
        </w:rPr>
        <w:t xml:space="preserve">، هدفت إلى التعرف على أثر ممارسات إدارة استمرارية الأعمال في الأداء التنظيمي للجهات الحكومية في المملكة العربية السعودية، مع التركيز على دور المرونة المخططة والمرونة التكيفية. واعتمدت الدراسة على المنهج الكمي، حيث جُمعت البيانات من 200 مشارك باستخدام استبانة إلكترونية، وتم تحليلها إحصائيًا. وأظهرت النتائج وجود علاقة </w:t>
      </w:r>
      <w:r w:rsidRPr="00C91FF7">
        <w:rPr>
          <w:rFonts w:ascii="Simplified Arabic" w:eastAsia="Times New Roman" w:hAnsi="Simplified Arabic" w:cs="Simplified Arabic"/>
          <w:color w:val="000000" w:themeColor="text1"/>
          <w:kern w:val="0"/>
          <w:sz w:val="28"/>
          <w:szCs w:val="28"/>
          <w:rtl/>
          <w14:ligatures w14:val="none"/>
        </w:rPr>
        <w:lastRenderedPageBreak/>
        <w:t xml:space="preserve">إيجابية ذات دلالة إحصائية بين تطبيق ممارسات استمرارية الأعمال وتحسين الأداء التنظيمي، كما أكدت أهمية بناء القدرات التنظيمية والمرونة المؤسسية لضمان استدامة الخدمات. وتستفيد الدراسة الحالية من هذه النتائج في دعم الجانب النظري المتعلق باستمرارية الأعمال، بينما تختلف عنها في أنها تركز على استراتيجيات الابتكار بوصفها العامل المؤثر في استمرارية الأعمال داخل الشركات السعودية. </w:t>
      </w:r>
    </w:p>
    <w:p w14:paraId="369DEAAD" w14:textId="67F04D48"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قدم العلي والرشدة (</w:t>
      </w:r>
      <w:r w:rsidRPr="00C91FF7">
        <w:rPr>
          <w:rFonts w:ascii="Simplified Arabic" w:eastAsia="Times New Roman" w:hAnsi="Simplified Arabic" w:cs="Simplified Arabic"/>
          <w:color w:val="000000" w:themeColor="text1"/>
          <w:kern w:val="0"/>
          <w:sz w:val="28"/>
          <w:szCs w:val="28"/>
          <w14:ligatures w14:val="none"/>
        </w:rPr>
        <w:t>Allui &amp; Rawshdeh, 2023</w:t>
      </w:r>
      <w:r w:rsidRPr="00C91FF7">
        <w:rPr>
          <w:rFonts w:ascii="Simplified Arabic" w:eastAsia="Times New Roman" w:hAnsi="Simplified Arabic" w:cs="Simplified Arabic"/>
          <w:color w:val="000000" w:themeColor="text1"/>
          <w:kern w:val="0"/>
          <w:sz w:val="28"/>
          <w:szCs w:val="28"/>
          <w:rtl/>
          <w14:ligatures w14:val="none"/>
        </w:rPr>
        <w:t xml:space="preserve">) دراسة بعنوان </w:t>
      </w:r>
      <w:r w:rsidRPr="00C91FF7">
        <w:rPr>
          <w:rFonts w:ascii="Simplified Arabic" w:eastAsia="Times New Roman" w:hAnsi="Simplified Arabic" w:cs="Simplified Arabic"/>
          <w:color w:val="000000" w:themeColor="text1"/>
          <w:kern w:val="0"/>
          <w:sz w:val="28"/>
          <w:szCs w:val="28"/>
          <w14:ligatures w14:val="none"/>
        </w:rPr>
        <w:t>Strategic Innovation and Organizational Sustainability in the Context of Vision 2030 in Saudi Arabia</w:t>
      </w:r>
      <w:r w:rsidRPr="00C91FF7">
        <w:rPr>
          <w:rFonts w:ascii="Simplified Arabic" w:eastAsia="Times New Roman" w:hAnsi="Simplified Arabic" w:cs="Simplified Arabic"/>
          <w:color w:val="000000" w:themeColor="text1"/>
          <w:kern w:val="0"/>
          <w:sz w:val="28"/>
          <w:szCs w:val="28"/>
          <w:rtl/>
          <w14:ligatures w14:val="none"/>
        </w:rPr>
        <w:t>، هدفت إلى استكشاف أثر الابتكار الإستراتيجي في تحقيق الاستدامة التنظيمية في ضوء مستهدفات رؤية المملكة العربية السعودية 2030. واعتمدت الدراسة على المنهج الكمي من خلال استبانة طبقت على مؤسسات عاملة في المملكة. وأشارت النتائج إلى أن تبني الابتكار الإستراتيجي يسهم بصورة إيجابية في تعزيز الاستدامة التنظيمية، وتحسين قدرة المؤسسات على التكيف مع التغيرات البيئية، ودعم تحقيق مستهدفات رؤية 2030. وتتفق هذه الدراسة مع الدراسة الحالية في اهتمامها بالابتكار في البيئة السعودية، بينما تختلف في أن الدراسة الحالية تربط الابتكار مباشرة باستمرارية الأعمال وليس بالاستدامة التنظيمية فقط.</w:t>
      </w:r>
    </w:p>
    <w:p w14:paraId="6340B055" w14:textId="07C5BC40" w:rsid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جرى </w:t>
      </w:r>
      <w:r w:rsidRPr="00C91FF7">
        <w:rPr>
          <w:rFonts w:ascii="Simplified Arabic" w:eastAsia="Times New Roman" w:hAnsi="Simplified Arabic" w:cs="Simplified Arabic"/>
          <w:color w:val="000000" w:themeColor="text1"/>
          <w:kern w:val="0"/>
          <w:sz w:val="28"/>
          <w:szCs w:val="28"/>
          <w14:ligatures w14:val="none"/>
        </w:rPr>
        <w:t>Aboudayah</w:t>
      </w:r>
      <w:r w:rsidRPr="00C91FF7">
        <w:rPr>
          <w:rFonts w:ascii="Simplified Arabic" w:eastAsia="Times New Roman" w:hAnsi="Simplified Arabic" w:cs="Simplified Arabic"/>
          <w:color w:val="000000" w:themeColor="text1"/>
          <w:kern w:val="0"/>
          <w:sz w:val="28"/>
          <w:szCs w:val="28"/>
          <w:rtl/>
          <w14:ligatures w14:val="none"/>
        </w:rPr>
        <w:t xml:space="preserve"> (2023) دراسة بعنوان </w:t>
      </w:r>
      <w:r w:rsidRPr="00C91FF7">
        <w:rPr>
          <w:rFonts w:ascii="Simplified Arabic" w:eastAsia="Times New Roman" w:hAnsi="Simplified Arabic" w:cs="Simplified Arabic"/>
          <w:color w:val="000000" w:themeColor="text1"/>
          <w:kern w:val="0"/>
          <w:sz w:val="28"/>
          <w:szCs w:val="28"/>
          <w14:ligatures w14:val="none"/>
        </w:rPr>
        <w:t>Assessing Small and Medium Enterprises’ Innovation Capabilities within a Rapid Economic Transformation: An Empirical Study in Saudi Arabia</w:t>
      </w:r>
      <w:r w:rsidRPr="00C91FF7">
        <w:rPr>
          <w:rFonts w:ascii="Simplified Arabic" w:eastAsia="Times New Roman" w:hAnsi="Simplified Arabic" w:cs="Simplified Arabic"/>
          <w:color w:val="000000" w:themeColor="text1"/>
          <w:kern w:val="0"/>
          <w:sz w:val="28"/>
          <w:szCs w:val="28"/>
          <w:rtl/>
          <w14:ligatures w14:val="none"/>
        </w:rPr>
        <w:t>، وهدفت إلى قياس أثر عدم اليقين البيئي والمرونة التنظيمية في تنمية القدرات الابتكارية للمنشآت الصغيرة والمتوسطة في المملكة العربية السعودية. واعتمدت الدراسة على المنهج الكمي، حيث جُمعت البيانات من 211 منشأة في قطاع الخدمات، وحُللت باستخدام نمذجة المعادلات الهيكلية بالمربعات الصغرى الجزئية (</w:t>
      </w:r>
      <w:r w:rsidRPr="00C91FF7">
        <w:rPr>
          <w:rFonts w:ascii="Simplified Arabic" w:eastAsia="Times New Roman" w:hAnsi="Simplified Arabic" w:cs="Simplified Arabic"/>
          <w:color w:val="000000" w:themeColor="text1"/>
          <w:kern w:val="0"/>
          <w:sz w:val="28"/>
          <w:szCs w:val="28"/>
          <w14:ligatures w14:val="none"/>
        </w:rPr>
        <w:t>PLS-SEM</w:t>
      </w:r>
      <w:r w:rsidRPr="00C91FF7">
        <w:rPr>
          <w:rFonts w:ascii="Simplified Arabic" w:eastAsia="Times New Roman" w:hAnsi="Simplified Arabic" w:cs="Simplified Arabic"/>
          <w:color w:val="000000" w:themeColor="text1"/>
          <w:kern w:val="0"/>
          <w:sz w:val="28"/>
          <w:szCs w:val="28"/>
          <w:rtl/>
          <w14:ligatures w14:val="none"/>
        </w:rPr>
        <w:t>). وأظهرت النتائج أن عدم اليقين البيئي يؤثر إيجابًا في تنمية القدرات الابتكارية، وأن المرونة التنظيمية تعزز هذه العلاقة، مما يؤكد أهمية الابتكار في تمكين المؤسسات من التكيف مع التحولات الاقتصادية. وتفيد هذه الدراسة في دعم الإطار النظري للدراسة الحالية، خصوصًا فيما يتعلق بدور الابتكار في تعزيز مرونة المؤسسات واستدامتها.</w:t>
      </w:r>
    </w:p>
    <w:p w14:paraId="429ADADA" w14:textId="26D6EA76" w:rsid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أجرى بودي والشيخ مبارك (2024) دراسة بعنوان “</w:t>
      </w:r>
      <w:r w:rsidRPr="00C91FF7">
        <w:rPr>
          <w:rFonts w:ascii="Simplified Arabic" w:eastAsia="Times New Roman" w:hAnsi="Simplified Arabic" w:cs="Simplified Arabic"/>
          <w:color w:val="000000" w:themeColor="text1"/>
          <w:kern w:val="0"/>
          <w:sz w:val="28"/>
          <w:szCs w:val="28"/>
          <w14:ligatures w14:val="none"/>
        </w:rPr>
        <w:t>Business Continuity and Sustainability in Government Organisations</w:t>
      </w:r>
      <w:r w:rsidRPr="00C91FF7">
        <w:rPr>
          <w:rFonts w:ascii="Simplified Arabic" w:eastAsia="Times New Roman" w:hAnsi="Simplified Arabic" w:cs="Simplified Arabic"/>
          <w:color w:val="000000" w:themeColor="text1"/>
          <w:kern w:val="0"/>
          <w:sz w:val="28"/>
          <w:szCs w:val="28"/>
          <w:rtl/>
          <w14:ligatures w14:val="none"/>
        </w:rPr>
        <w:t xml:space="preserve">”، وهدفت إلى دراسة أثر ممارسات إدارة استمرارية الأعمال في تحسين الأداء التنظيمي للجهات الحكومية في المملكة العربية السعودية، مع التركيز على دور المرونة المخططة والمرونة التكيفية. واعتمدت الدراسة على المنهج الكمي، حيث جُمعت البيانات من 200 مشارك </w:t>
      </w:r>
      <w:r w:rsidRPr="00C91FF7">
        <w:rPr>
          <w:rFonts w:ascii="Simplified Arabic" w:eastAsia="Times New Roman" w:hAnsi="Simplified Arabic" w:cs="Simplified Arabic"/>
          <w:color w:val="000000" w:themeColor="text1"/>
          <w:kern w:val="0"/>
          <w:sz w:val="28"/>
          <w:szCs w:val="28"/>
          <w:rtl/>
          <w14:ligatures w14:val="none"/>
        </w:rPr>
        <w:lastRenderedPageBreak/>
        <w:t xml:space="preserve">باستخدام استبانة إلكترونية. وأظهرت النتائج وجود علاقة إيجابية ذات دلالة إحصائية بين تطبيق ممارسات إدارة استمرارية الأعمال وتحسين الأداء التنظيمي، كما بينت أن المرونة التنظيمية تسهم بصورة مباشرة في رفع قدرة المؤسسات على الاستجابة للأزمات واستدامة أعمالها. وتستفيد الدراسة الحالية من هذه النتائج في دعم الجانب النظري المتعلق باستمرارية الأعمال، بينما تختلف عنها في تركيزها على أثر </w:t>
      </w:r>
      <w:r>
        <w:rPr>
          <w:rFonts w:ascii="Simplified Arabic" w:eastAsia="Times New Roman" w:hAnsi="Simplified Arabic" w:cs="Simplified Arabic"/>
          <w:color w:val="000000" w:themeColor="text1"/>
          <w:kern w:val="0"/>
          <w:sz w:val="28"/>
          <w:szCs w:val="28"/>
          <w:rtl/>
          <w14:ligatures w14:val="none"/>
        </w:rPr>
        <w:t>استراتيجيات الابتكار في الشركات</w:t>
      </w:r>
      <w:r>
        <w:rPr>
          <w:rFonts w:ascii="Simplified Arabic" w:eastAsia="Times New Roman" w:hAnsi="Simplified Arabic" w:cs="Simplified Arabic" w:hint="cs"/>
          <w:color w:val="000000" w:themeColor="text1"/>
          <w:kern w:val="0"/>
          <w:sz w:val="28"/>
          <w:szCs w:val="28"/>
          <w:rtl/>
          <w14:ligatures w14:val="none"/>
        </w:rPr>
        <w:t>.</w:t>
      </w:r>
    </w:p>
    <w:p w14:paraId="1DED6612" w14:textId="74B91E9D" w:rsid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تناولت دراسة </w:t>
      </w:r>
      <w:r w:rsidRPr="00C91FF7">
        <w:rPr>
          <w:rFonts w:ascii="Simplified Arabic" w:eastAsia="Times New Roman" w:hAnsi="Simplified Arabic" w:cs="Simplified Arabic"/>
          <w:color w:val="000000" w:themeColor="text1"/>
          <w:kern w:val="0"/>
          <w:sz w:val="28"/>
          <w:szCs w:val="28"/>
          <w14:ligatures w14:val="none"/>
        </w:rPr>
        <w:t>Badereg</w:t>
      </w:r>
      <w:r w:rsidRPr="00C91FF7">
        <w:rPr>
          <w:rFonts w:ascii="Simplified Arabic" w:eastAsia="Times New Roman" w:hAnsi="Simplified Arabic" w:cs="Simplified Arabic"/>
          <w:color w:val="000000" w:themeColor="text1"/>
          <w:kern w:val="0"/>
          <w:sz w:val="28"/>
          <w:szCs w:val="28"/>
          <w:rtl/>
          <w14:ligatures w14:val="none"/>
        </w:rPr>
        <w:t xml:space="preserve"> (2024) بعنوان “</w:t>
      </w:r>
      <w:r w:rsidRPr="00C91FF7">
        <w:rPr>
          <w:rFonts w:ascii="Simplified Arabic" w:eastAsia="Times New Roman" w:hAnsi="Simplified Arabic" w:cs="Simplified Arabic"/>
          <w:color w:val="000000" w:themeColor="text1"/>
          <w:kern w:val="0"/>
          <w:sz w:val="28"/>
          <w:szCs w:val="28"/>
          <w14:ligatures w14:val="none"/>
        </w:rPr>
        <w:t>Investigating Organisational Success Determinants for Adoption of Innovation in Saudi Deep Technology and Environmental Engineering Businesses</w:t>
      </w:r>
      <w:r w:rsidRPr="00C91FF7">
        <w:rPr>
          <w:rFonts w:ascii="Simplified Arabic" w:eastAsia="Times New Roman" w:hAnsi="Simplified Arabic" w:cs="Simplified Arabic"/>
          <w:color w:val="000000" w:themeColor="text1"/>
          <w:kern w:val="0"/>
          <w:sz w:val="28"/>
          <w:szCs w:val="28"/>
          <w:rtl/>
          <w14:ligatures w14:val="none"/>
        </w:rPr>
        <w:t>” محددات نجاح تبني الابتكار في شركات التقنية العميقة والهندسة البيئية في المملكة العربية السعودية. واعتمدت الدراسة على منهج يجمع بين الاستبانة والمقابلات ودراسات الحالة، وانتهت إلى أن القيادة، وبناء القدرات، وثقافة الابتكار، وتطوير مؤشرات الأداء تعد من أهم العوامل التي تدعم نجاح الابتكار داخل المؤسسات. كما أشارت إلى أن ضعف الثقافة الابتكارية يمثل أحد أبرز التحديات التي تواجه الشركات السعودية في هذا المجال. وتدعم هذه النتائج أهمية الاستثمار في الابتكار المؤسسي لتحقيق استدامة الأعمال وتعزيز القدرة التنافسية.</w:t>
      </w:r>
    </w:p>
    <w:p w14:paraId="256A8841" w14:textId="5D20C445" w:rsidR="004D24C7" w:rsidRPr="00681BE6" w:rsidRDefault="004D24C7" w:rsidP="00681BE6">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4D24C7">
        <w:rPr>
          <w:rFonts w:ascii="Simplified Arabic" w:eastAsia="Times New Roman" w:hAnsi="Simplified Arabic" w:cs="Simplified Arabic" w:hint="cs"/>
          <w:b/>
          <w:bCs/>
          <w:color w:val="000000" w:themeColor="text1"/>
          <w:kern w:val="0"/>
          <w:sz w:val="28"/>
          <w:szCs w:val="28"/>
          <w:rtl/>
          <w14:ligatures w14:val="none"/>
        </w:rPr>
        <w:t xml:space="preserve">جدول (1 </w:t>
      </w:r>
      <w:r w:rsidRPr="004D24C7">
        <w:rPr>
          <w:rFonts w:ascii="Simplified Arabic" w:eastAsia="Times New Roman" w:hAnsi="Simplified Arabic" w:cs="Simplified Arabic"/>
          <w:b/>
          <w:bCs/>
          <w:color w:val="000000" w:themeColor="text1"/>
          <w:kern w:val="0"/>
          <w:sz w:val="28"/>
          <w:szCs w:val="28"/>
          <w:rtl/>
          <w14:ligatures w14:val="none"/>
        </w:rPr>
        <w:t>–</w:t>
      </w:r>
      <w:r w:rsidRPr="004D24C7">
        <w:rPr>
          <w:rFonts w:ascii="Simplified Arabic" w:eastAsia="Times New Roman" w:hAnsi="Simplified Arabic" w:cs="Simplified Arabic" w:hint="cs"/>
          <w:b/>
          <w:bCs/>
          <w:color w:val="000000" w:themeColor="text1"/>
          <w:kern w:val="0"/>
          <w:sz w:val="28"/>
          <w:szCs w:val="28"/>
          <w:rtl/>
          <w14:ligatures w14:val="none"/>
        </w:rPr>
        <w:t xml:space="preserve"> </w:t>
      </w:r>
      <w:r w:rsidR="00BE3936">
        <w:rPr>
          <w:rFonts w:ascii="Simplified Arabic" w:eastAsia="Times New Roman" w:hAnsi="Simplified Arabic" w:cs="Simplified Arabic" w:hint="cs"/>
          <w:b/>
          <w:bCs/>
          <w:color w:val="000000" w:themeColor="text1"/>
          <w:kern w:val="0"/>
          <w:sz w:val="28"/>
          <w:szCs w:val="28"/>
          <w:rtl/>
          <w14:ligatures w14:val="none"/>
        </w:rPr>
        <w:t>2</w:t>
      </w:r>
      <w:r w:rsidRPr="004D24C7">
        <w:rPr>
          <w:rFonts w:ascii="Simplified Arabic" w:eastAsia="Times New Roman" w:hAnsi="Simplified Arabic" w:cs="Simplified Arabic" w:hint="cs"/>
          <w:b/>
          <w:bCs/>
          <w:color w:val="000000" w:themeColor="text1"/>
          <w:kern w:val="0"/>
          <w:sz w:val="28"/>
          <w:szCs w:val="28"/>
          <w:rtl/>
          <w14:ligatures w14:val="none"/>
        </w:rPr>
        <w:t xml:space="preserve">) ملخص الدراسات السابقة </w:t>
      </w:r>
    </w:p>
    <w:tbl>
      <w:tblPr>
        <w:tblStyle w:val="12"/>
        <w:bidiVisual/>
        <w:tblW w:w="9064" w:type="dxa"/>
        <w:jc w:val="center"/>
        <w:tblLayout w:type="fixed"/>
        <w:tblLook w:val="04A0" w:firstRow="1" w:lastRow="0" w:firstColumn="1" w:lastColumn="0" w:noHBand="0" w:noVBand="1"/>
      </w:tblPr>
      <w:tblGrid>
        <w:gridCol w:w="1697"/>
        <w:gridCol w:w="805"/>
        <w:gridCol w:w="818"/>
        <w:gridCol w:w="1656"/>
        <w:gridCol w:w="4088"/>
      </w:tblGrid>
      <w:tr w:rsidR="00681BE6" w:rsidRPr="00681BE6" w14:paraId="658E28D7" w14:textId="77777777" w:rsidTr="00681BE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97" w:type="dxa"/>
            <w:vAlign w:val="center"/>
            <w:hideMark/>
          </w:tcPr>
          <w:p w14:paraId="0F50791A" w14:textId="77777777" w:rsidR="00681BE6" w:rsidRPr="00681BE6" w:rsidRDefault="00681BE6" w:rsidP="00681BE6">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681BE6">
              <w:rPr>
                <w:rFonts w:ascii="Simplified Arabic" w:eastAsia="Times New Roman" w:hAnsi="Simplified Arabic" w:cs="Simplified Arabic"/>
                <w:color w:val="000000" w:themeColor="text1"/>
                <w:kern w:val="0"/>
                <w:sz w:val="28"/>
                <w:szCs w:val="28"/>
                <w:rtl/>
                <w14:ligatures w14:val="none"/>
              </w:rPr>
              <w:t>الباحث</w:t>
            </w:r>
          </w:p>
        </w:tc>
        <w:tc>
          <w:tcPr>
            <w:tcW w:w="805" w:type="dxa"/>
            <w:vAlign w:val="center"/>
            <w:hideMark/>
          </w:tcPr>
          <w:p w14:paraId="1D429484" w14:textId="77777777" w:rsidR="00681BE6" w:rsidRPr="00681BE6" w:rsidRDefault="00681BE6" w:rsidP="00681BE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السنة</w:t>
            </w:r>
          </w:p>
        </w:tc>
        <w:tc>
          <w:tcPr>
            <w:tcW w:w="818" w:type="dxa"/>
            <w:vAlign w:val="center"/>
            <w:hideMark/>
          </w:tcPr>
          <w:p w14:paraId="1E485D07" w14:textId="77777777" w:rsidR="00681BE6" w:rsidRPr="00681BE6" w:rsidRDefault="00681BE6" w:rsidP="00681BE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المنهج</w:t>
            </w:r>
          </w:p>
        </w:tc>
        <w:tc>
          <w:tcPr>
            <w:tcW w:w="1656" w:type="dxa"/>
            <w:vAlign w:val="center"/>
            <w:hideMark/>
          </w:tcPr>
          <w:p w14:paraId="59259D8C" w14:textId="77777777" w:rsidR="00681BE6" w:rsidRPr="00681BE6" w:rsidRDefault="00681BE6" w:rsidP="00681BE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المجتمع/العينة</w:t>
            </w:r>
          </w:p>
        </w:tc>
        <w:tc>
          <w:tcPr>
            <w:tcW w:w="4088" w:type="dxa"/>
            <w:vAlign w:val="center"/>
            <w:hideMark/>
          </w:tcPr>
          <w:p w14:paraId="1319F30E" w14:textId="77777777" w:rsidR="00681BE6" w:rsidRPr="00681BE6" w:rsidRDefault="00681BE6" w:rsidP="00681BE6">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أهم النتائج</w:t>
            </w:r>
          </w:p>
        </w:tc>
      </w:tr>
      <w:tr w:rsidR="00681BE6" w:rsidRPr="00681BE6" w14:paraId="7B6D1D2C" w14:textId="77777777" w:rsidTr="00681B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97" w:type="dxa"/>
            <w:vAlign w:val="center"/>
            <w:hideMark/>
          </w:tcPr>
          <w:p w14:paraId="19C1A842" w14:textId="77777777" w:rsidR="00681BE6" w:rsidRPr="00681BE6" w:rsidRDefault="00681BE6" w:rsidP="00681BE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rtl/>
                <w14:ligatures w14:val="none"/>
              </w:rPr>
            </w:pPr>
            <w:r w:rsidRPr="00681BE6">
              <w:rPr>
                <w:rFonts w:ascii="Simplified Arabic" w:eastAsia="Times New Roman" w:hAnsi="Simplified Arabic" w:cs="Simplified Arabic"/>
                <w:b w:val="0"/>
                <w:bCs w:val="0"/>
                <w:color w:val="000000" w:themeColor="text1"/>
                <w:kern w:val="0"/>
                <w:sz w:val="28"/>
                <w:szCs w:val="28"/>
                <w14:ligatures w14:val="none"/>
              </w:rPr>
              <w:t>Domènech</w:t>
            </w:r>
            <w:r w:rsidRPr="00681BE6">
              <w:rPr>
                <w:rFonts w:ascii="Simplified Arabic" w:eastAsia="Times New Roman" w:hAnsi="Simplified Arabic" w:cs="Simplified Arabic"/>
                <w:b w:val="0"/>
                <w:bCs w:val="0"/>
                <w:color w:val="000000" w:themeColor="text1"/>
                <w:kern w:val="0"/>
                <w:sz w:val="28"/>
                <w:szCs w:val="28"/>
                <w:rtl/>
                <w14:ligatures w14:val="none"/>
              </w:rPr>
              <w:t xml:space="preserve"> &amp; </w:t>
            </w:r>
            <w:r w:rsidRPr="00681BE6">
              <w:rPr>
                <w:rFonts w:ascii="Simplified Arabic" w:eastAsia="Times New Roman" w:hAnsi="Simplified Arabic" w:cs="Simplified Arabic"/>
                <w:b w:val="0"/>
                <w:bCs w:val="0"/>
                <w:color w:val="000000" w:themeColor="text1"/>
                <w:kern w:val="0"/>
                <w:sz w:val="28"/>
                <w:szCs w:val="28"/>
                <w14:ligatures w14:val="none"/>
              </w:rPr>
              <w:t>Blanco</w:t>
            </w:r>
          </w:p>
        </w:tc>
        <w:tc>
          <w:tcPr>
            <w:tcW w:w="805" w:type="dxa"/>
            <w:vAlign w:val="center"/>
            <w:hideMark/>
          </w:tcPr>
          <w:p w14:paraId="3560B1E3" w14:textId="77777777" w:rsidR="00681BE6" w:rsidRPr="00681BE6" w:rsidRDefault="00681BE6" w:rsidP="00681BE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2023</w:t>
            </w:r>
          </w:p>
        </w:tc>
        <w:tc>
          <w:tcPr>
            <w:tcW w:w="818" w:type="dxa"/>
            <w:vAlign w:val="center"/>
            <w:hideMark/>
          </w:tcPr>
          <w:p w14:paraId="599516FF" w14:textId="77777777" w:rsidR="00681BE6" w:rsidRPr="00681BE6" w:rsidRDefault="00681BE6" w:rsidP="00681BE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كمي</w:t>
            </w:r>
          </w:p>
        </w:tc>
        <w:tc>
          <w:tcPr>
            <w:tcW w:w="1656" w:type="dxa"/>
            <w:vAlign w:val="center"/>
            <w:hideMark/>
          </w:tcPr>
          <w:p w14:paraId="47A0240E" w14:textId="77777777" w:rsidR="00681BE6" w:rsidRPr="00681BE6" w:rsidRDefault="00681BE6" w:rsidP="00681BE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419 منظمة</w:t>
            </w:r>
          </w:p>
        </w:tc>
        <w:tc>
          <w:tcPr>
            <w:tcW w:w="4088" w:type="dxa"/>
            <w:vAlign w:val="center"/>
            <w:hideMark/>
          </w:tcPr>
          <w:p w14:paraId="65940ABF" w14:textId="77777777" w:rsidR="00681BE6" w:rsidRPr="00681BE6" w:rsidRDefault="00681BE6" w:rsidP="00681BE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وجود علاقة إيجابية بين القدرات الديناميكية واستمرارية الأعمال والمرونة التنظيمية.</w:t>
            </w:r>
          </w:p>
        </w:tc>
      </w:tr>
      <w:tr w:rsidR="00681BE6" w:rsidRPr="00681BE6" w14:paraId="196708A8" w14:textId="77777777" w:rsidTr="00681BE6">
        <w:trPr>
          <w:jc w:val="center"/>
        </w:trPr>
        <w:tc>
          <w:tcPr>
            <w:cnfStyle w:val="001000000000" w:firstRow="0" w:lastRow="0" w:firstColumn="1" w:lastColumn="0" w:oddVBand="0" w:evenVBand="0" w:oddHBand="0" w:evenHBand="0" w:firstRowFirstColumn="0" w:firstRowLastColumn="0" w:lastRowFirstColumn="0" w:lastRowLastColumn="0"/>
            <w:tcW w:w="1697" w:type="dxa"/>
            <w:vAlign w:val="center"/>
            <w:hideMark/>
          </w:tcPr>
          <w:p w14:paraId="24050E62" w14:textId="77777777" w:rsidR="00681BE6" w:rsidRPr="00681BE6" w:rsidRDefault="00681BE6" w:rsidP="00681BE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rtl/>
                <w14:ligatures w14:val="none"/>
              </w:rPr>
            </w:pPr>
            <w:r w:rsidRPr="00681BE6">
              <w:rPr>
                <w:rFonts w:ascii="Simplified Arabic" w:eastAsia="Times New Roman" w:hAnsi="Simplified Arabic" w:cs="Simplified Arabic"/>
                <w:b w:val="0"/>
                <w:bCs w:val="0"/>
                <w:color w:val="000000" w:themeColor="text1"/>
                <w:kern w:val="0"/>
                <w:sz w:val="28"/>
                <w:szCs w:val="28"/>
                <w14:ligatures w14:val="none"/>
              </w:rPr>
              <w:t>Galaitsi</w:t>
            </w:r>
            <w:r w:rsidRPr="00681BE6">
              <w:rPr>
                <w:rFonts w:ascii="Simplified Arabic" w:eastAsia="Times New Roman" w:hAnsi="Simplified Arabic" w:cs="Simplified Arabic"/>
                <w:b w:val="0"/>
                <w:bCs w:val="0"/>
                <w:color w:val="000000" w:themeColor="text1"/>
                <w:kern w:val="0"/>
                <w:sz w:val="28"/>
                <w:szCs w:val="28"/>
                <w:rtl/>
                <w14:ligatures w14:val="none"/>
              </w:rPr>
              <w:t xml:space="preserve"> وآخرون</w:t>
            </w:r>
          </w:p>
        </w:tc>
        <w:tc>
          <w:tcPr>
            <w:tcW w:w="805" w:type="dxa"/>
            <w:vAlign w:val="center"/>
            <w:hideMark/>
          </w:tcPr>
          <w:p w14:paraId="71058091" w14:textId="77777777" w:rsidR="00681BE6" w:rsidRPr="00681BE6" w:rsidRDefault="00681BE6" w:rsidP="00681BE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2023</w:t>
            </w:r>
          </w:p>
        </w:tc>
        <w:tc>
          <w:tcPr>
            <w:tcW w:w="818" w:type="dxa"/>
            <w:vAlign w:val="center"/>
            <w:hideMark/>
          </w:tcPr>
          <w:p w14:paraId="7B223900" w14:textId="77777777" w:rsidR="00681BE6" w:rsidRPr="00681BE6" w:rsidRDefault="00681BE6" w:rsidP="00681BE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نوعي</w:t>
            </w:r>
          </w:p>
        </w:tc>
        <w:tc>
          <w:tcPr>
            <w:tcW w:w="1656" w:type="dxa"/>
            <w:vAlign w:val="center"/>
            <w:hideMark/>
          </w:tcPr>
          <w:p w14:paraId="6AF1BECA" w14:textId="77777777" w:rsidR="00681BE6" w:rsidRPr="00681BE6" w:rsidRDefault="00681BE6" w:rsidP="00681BE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مراجعة أدبيات</w:t>
            </w:r>
          </w:p>
        </w:tc>
        <w:tc>
          <w:tcPr>
            <w:tcW w:w="4088" w:type="dxa"/>
            <w:vAlign w:val="center"/>
            <w:hideMark/>
          </w:tcPr>
          <w:p w14:paraId="57314D15" w14:textId="77777777" w:rsidR="00681BE6" w:rsidRPr="00681BE6" w:rsidRDefault="00681BE6" w:rsidP="00681BE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إدارة استمرارية الأعمال عنصر رئيس في المرونة المؤسسية.</w:t>
            </w:r>
          </w:p>
        </w:tc>
      </w:tr>
      <w:tr w:rsidR="00681BE6" w:rsidRPr="00681BE6" w14:paraId="609FCD45" w14:textId="77777777" w:rsidTr="00681B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97" w:type="dxa"/>
            <w:vAlign w:val="center"/>
            <w:hideMark/>
          </w:tcPr>
          <w:p w14:paraId="20C3C955" w14:textId="77777777" w:rsidR="00681BE6" w:rsidRPr="00681BE6" w:rsidRDefault="00681BE6" w:rsidP="00681BE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rtl/>
                <w14:ligatures w14:val="none"/>
              </w:rPr>
            </w:pPr>
            <w:r w:rsidRPr="00681BE6">
              <w:rPr>
                <w:rFonts w:ascii="Simplified Arabic" w:eastAsia="Times New Roman" w:hAnsi="Simplified Arabic" w:cs="Simplified Arabic"/>
                <w:b w:val="0"/>
                <w:bCs w:val="0"/>
                <w:color w:val="000000" w:themeColor="text1"/>
                <w:kern w:val="0"/>
                <w:sz w:val="28"/>
                <w:szCs w:val="28"/>
                <w14:ligatures w14:val="none"/>
              </w:rPr>
              <w:t>Aloulou</w:t>
            </w:r>
          </w:p>
        </w:tc>
        <w:tc>
          <w:tcPr>
            <w:tcW w:w="805" w:type="dxa"/>
            <w:vAlign w:val="center"/>
            <w:hideMark/>
          </w:tcPr>
          <w:p w14:paraId="120F937B" w14:textId="77777777" w:rsidR="00681BE6" w:rsidRPr="00681BE6" w:rsidRDefault="00681BE6" w:rsidP="00681BE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2023</w:t>
            </w:r>
          </w:p>
        </w:tc>
        <w:tc>
          <w:tcPr>
            <w:tcW w:w="818" w:type="dxa"/>
            <w:vAlign w:val="center"/>
            <w:hideMark/>
          </w:tcPr>
          <w:p w14:paraId="7A9981BD" w14:textId="77777777" w:rsidR="00681BE6" w:rsidRPr="00681BE6" w:rsidRDefault="00681BE6" w:rsidP="00681BE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كمي</w:t>
            </w:r>
          </w:p>
        </w:tc>
        <w:tc>
          <w:tcPr>
            <w:tcW w:w="1656" w:type="dxa"/>
            <w:vAlign w:val="center"/>
            <w:hideMark/>
          </w:tcPr>
          <w:p w14:paraId="6E13285E" w14:textId="77777777" w:rsidR="00681BE6" w:rsidRPr="00681BE6" w:rsidRDefault="00681BE6" w:rsidP="00681BE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225 شركة سعودية</w:t>
            </w:r>
          </w:p>
        </w:tc>
        <w:tc>
          <w:tcPr>
            <w:tcW w:w="4088" w:type="dxa"/>
            <w:vAlign w:val="center"/>
            <w:hideMark/>
          </w:tcPr>
          <w:p w14:paraId="70008FF6" w14:textId="77777777" w:rsidR="00681BE6" w:rsidRPr="00681BE6" w:rsidRDefault="00681BE6" w:rsidP="00681BE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الابتكار يعزز المرونة التنظيمية والأداء المؤسسي.</w:t>
            </w:r>
          </w:p>
        </w:tc>
      </w:tr>
      <w:tr w:rsidR="00681BE6" w:rsidRPr="00681BE6" w14:paraId="502CE305" w14:textId="77777777" w:rsidTr="00681BE6">
        <w:trPr>
          <w:jc w:val="center"/>
        </w:trPr>
        <w:tc>
          <w:tcPr>
            <w:cnfStyle w:val="001000000000" w:firstRow="0" w:lastRow="0" w:firstColumn="1" w:lastColumn="0" w:oddVBand="0" w:evenVBand="0" w:oddHBand="0" w:evenHBand="0" w:firstRowFirstColumn="0" w:firstRowLastColumn="0" w:lastRowFirstColumn="0" w:lastRowLastColumn="0"/>
            <w:tcW w:w="1697" w:type="dxa"/>
            <w:vAlign w:val="center"/>
            <w:hideMark/>
          </w:tcPr>
          <w:p w14:paraId="6D92C879" w14:textId="77777777" w:rsidR="00681BE6" w:rsidRPr="00681BE6" w:rsidRDefault="00681BE6" w:rsidP="00681BE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rtl/>
                <w14:ligatures w14:val="none"/>
              </w:rPr>
            </w:pPr>
            <w:r w:rsidRPr="00681BE6">
              <w:rPr>
                <w:rFonts w:ascii="Simplified Arabic" w:eastAsia="Times New Roman" w:hAnsi="Simplified Arabic" w:cs="Simplified Arabic"/>
                <w:b w:val="0"/>
                <w:bCs w:val="0"/>
                <w:color w:val="000000" w:themeColor="text1"/>
                <w:kern w:val="0"/>
                <w:sz w:val="28"/>
                <w:szCs w:val="28"/>
                <w14:ligatures w14:val="none"/>
              </w:rPr>
              <w:t>Aboudayah</w:t>
            </w:r>
          </w:p>
        </w:tc>
        <w:tc>
          <w:tcPr>
            <w:tcW w:w="805" w:type="dxa"/>
            <w:vAlign w:val="center"/>
            <w:hideMark/>
          </w:tcPr>
          <w:p w14:paraId="3321C630" w14:textId="77777777" w:rsidR="00681BE6" w:rsidRPr="00681BE6" w:rsidRDefault="00681BE6" w:rsidP="00681BE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2023</w:t>
            </w:r>
          </w:p>
        </w:tc>
        <w:tc>
          <w:tcPr>
            <w:tcW w:w="818" w:type="dxa"/>
            <w:vAlign w:val="center"/>
            <w:hideMark/>
          </w:tcPr>
          <w:p w14:paraId="31BCFF92" w14:textId="77777777" w:rsidR="00681BE6" w:rsidRPr="00681BE6" w:rsidRDefault="00681BE6" w:rsidP="00681BE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كمي</w:t>
            </w:r>
          </w:p>
        </w:tc>
        <w:tc>
          <w:tcPr>
            <w:tcW w:w="1656" w:type="dxa"/>
            <w:vAlign w:val="center"/>
            <w:hideMark/>
          </w:tcPr>
          <w:p w14:paraId="3AA55F9A" w14:textId="77777777" w:rsidR="00681BE6" w:rsidRPr="00681BE6" w:rsidRDefault="00681BE6" w:rsidP="00681BE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211 منشأة سعودية</w:t>
            </w:r>
          </w:p>
        </w:tc>
        <w:tc>
          <w:tcPr>
            <w:tcW w:w="4088" w:type="dxa"/>
            <w:vAlign w:val="center"/>
            <w:hideMark/>
          </w:tcPr>
          <w:p w14:paraId="75516F6F" w14:textId="77777777" w:rsidR="00681BE6" w:rsidRPr="00681BE6" w:rsidRDefault="00681BE6" w:rsidP="00681BE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المرونة التنظيمية تدعم القدرات الابتكارية في بيئة الأعمال السعودية.</w:t>
            </w:r>
          </w:p>
        </w:tc>
      </w:tr>
      <w:tr w:rsidR="00681BE6" w:rsidRPr="00681BE6" w14:paraId="69D24C47" w14:textId="77777777" w:rsidTr="00681B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97" w:type="dxa"/>
            <w:vAlign w:val="center"/>
            <w:hideMark/>
          </w:tcPr>
          <w:p w14:paraId="650E0DA8" w14:textId="77777777" w:rsidR="00681BE6" w:rsidRPr="00681BE6" w:rsidRDefault="00681BE6" w:rsidP="00681BE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rtl/>
                <w14:ligatures w14:val="none"/>
              </w:rPr>
            </w:pPr>
            <w:r w:rsidRPr="00681BE6">
              <w:rPr>
                <w:rFonts w:ascii="Simplified Arabic" w:eastAsia="Times New Roman" w:hAnsi="Simplified Arabic" w:cs="Simplified Arabic"/>
                <w:b w:val="0"/>
                <w:bCs w:val="0"/>
                <w:color w:val="000000" w:themeColor="text1"/>
                <w:kern w:val="0"/>
                <w:sz w:val="28"/>
                <w:szCs w:val="28"/>
                <w14:ligatures w14:val="none"/>
              </w:rPr>
              <w:lastRenderedPageBreak/>
              <w:t>Boudi</w:t>
            </w:r>
            <w:r w:rsidRPr="00681BE6">
              <w:rPr>
                <w:rFonts w:ascii="Simplified Arabic" w:eastAsia="Times New Roman" w:hAnsi="Simplified Arabic" w:cs="Simplified Arabic"/>
                <w:b w:val="0"/>
                <w:bCs w:val="0"/>
                <w:color w:val="000000" w:themeColor="text1"/>
                <w:kern w:val="0"/>
                <w:sz w:val="28"/>
                <w:szCs w:val="28"/>
                <w:rtl/>
                <w14:ligatures w14:val="none"/>
              </w:rPr>
              <w:t xml:space="preserve"> &amp; </w:t>
            </w:r>
            <w:r w:rsidRPr="00681BE6">
              <w:rPr>
                <w:rFonts w:ascii="Simplified Arabic" w:eastAsia="Times New Roman" w:hAnsi="Simplified Arabic" w:cs="Simplified Arabic"/>
                <w:b w:val="0"/>
                <w:bCs w:val="0"/>
                <w:color w:val="000000" w:themeColor="text1"/>
                <w:kern w:val="0"/>
                <w:sz w:val="28"/>
                <w:szCs w:val="28"/>
                <w14:ligatures w14:val="none"/>
              </w:rPr>
              <w:t>Alshaikhmubarak</w:t>
            </w:r>
          </w:p>
        </w:tc>
        <w:tc>
          <w:tcPr>
            <w:tcW w:w="805" w:type="dxa"/>
            <w:vAlign w:val="center"/>
            <w:hideMark/>
          </w:tcPr>
          <w:p w14:paraId="672ED3E0" w14:textId="77777777" w:rsidR="00681BE6" w:rsidRPr="00681BE6" w:rsidRDefault="00681BE6" w:rsidP="00681BE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2024</w:t>
            </w:r>
          </w:p>
        </w:tc>
        <w:tc>
          <w:tcPr>
            <w:tcW w:w="818" w:type="dxa"/>
            <w:vAlign w:val="center"/>
            <w:hideMark/>
          </w:tcPr>
          <w:p w14:paraId="0A831D28" w14:textId="77777777" w:rsidR="00681BE6" w:rsidRPr="00681BE6" w:rsidRDefault="00681BE6" w:rsidP="00681BE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كمي</w:t>
            </w:r>
          </w:p>
        </w:tc>
        <w:tc>
          <w:tcPr>
            <w:tcW w:w="1656" w:type="dxa"/>
            <w:vAlign w:val="center"/>
            <w:hideMark/>
          </w:tcPr>
          <w:p w14:paraId="630246C5" w14:textId="77777777" w:rsidR="00681BE6" w:rsidRPr="00681BE6" w:rsidRDefault="00681BE6" w:rsidP="00681BE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200 مشارك</w:t>
            </w:r>
          </w:p>
        </w:tc>
        <w:tc>
          <w:tcPr>
            <w:tcW w:w="4088" w:type="dxa"/>
            <w:vAlign w:val="center"/>
            <w:hideMark/>
          </w:tcPr>
          <w:p w14:paraId="6961D918" w14:textId="77777777" w:rsidR="00681BE6" w:rsidRPr="00681BE6" w:rsidRDefault="00681BE6" w:rsidP="00681BE6">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تطبيق ممارسات استمرارية الأعمال يحسن الأداء التنظيمي.</w:t>
            </w:r>
          </w:p>
        </w:tc>
      </w:tr>
      <w:tr w:rsidR="00681BE6" w:rsidRPr="00681BE6" w14:paraId="352CE8D5" w14:textId="77777777" w:rsidTr="00681BE6">
        <w:trPr>
          <w:jc w:val="center"/>
        </w:trPr>
        <w:tc>
          <w:tcPr>
            <w:cnfStyle w:val="001000000000" w:firstRow="0" w:lastRow="0" w:firstColumn="1" w:lastColumn="0" w:oddVBand="0" w:evenVBand="0" w:oddHBand="0" w:evenHBand="0" w:firstRowFirstColumn="0" w:firstRowLastColumn="0" w:lastRowFirstColumn="0" w:lastRowLastColumn="0"/>
            <w:tcW w:w="1697" w:type="dxa"/>
            <w:vAlign w:val="center"/>
            <w:hideMark/>
          </w:tcPr>
          <w:p w14:paraId="43C52279" w14:textId="77777777" w:rsidR="00681BE6" w:rsidRPr="00681BE6" w:rsidRDefault="00681BE6" w:rsidP="00681BE6">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rtl/>
                <w14:ligatures w14:val="none"/>
              </w:rPr>
            </w:pPr>
            <w:r w:rsidRPr="00681BE6">
              <w:rPr>
                <w:rFonts w:ascii="Simplified Arabic" w:eastAsia="Times New Roman" w:hAnsi="Simplified Arabic" w:cs="Simplified Arabic"/>
                <w:b w:val="0"/>
                <w:bCs w:val="0"/>
                <w:color w:val="000000" w:themeColor="text1"/>
                <w:kern w:val="0"/>
                <w:sz w:val="28"/>
                <w:szCs w:val="28"/>
                <w14:ligatures w14:val="none"/>
              </w:rPr>
              <w:t>Allui</w:t>
            </w:r>
            <w:r w:rsidRPr="00681BE6">
              <w:rPr>
                <w:rFonts w:ascii="Simplified Arabic" w:eastAsia="Times New Roman" w:hAnsi="Simplified Arabic" w:cs="Simplified Arabic"/>
                <w:b w:val="0"/>
                <w:bCs w:val="0"/>
                <w:color w:val="000000" w:themeColor="text1"/>
                <w:kern w:val="0"/>
                <w:sz w:val="28"/>
                <w:szCs w:val="28"/>
                <w:rtl/>
                <w14:ligatures w14:val="none"/>
              </w:rPr>
              <w:t xml:space="preserve"> &amp; </w:t>
            </w:r>
            <w:r w:rsidRPr="00681BE6">
              <w:rPr>
                <w:rFonts w:ascii="Simplified Arabic" w:eastAsia="Times New Roman" w:hAnsi="Simplified Arabic" w:cs="Simplified Arabic"/>
                <w:b w:val="0"/>
                <w:bCs w:val="0"/>
                <w:color w:val="000000" w:themeColor="text1"/>
                <w:kern w:val="0"/>
                <w:sz w:val="28"/>
                <w:szCs w:val="28"/>
                <w14:ligatures w14:val="none"/>
              </w:rPr>
              <w:t>Rawshdeh</w:t>
            </w:r>
          </w:p>
        </w:tc>
        <w:tc>
          <w:tcPr>
            <w:tcW w:w="805" w:type="dxa"/>
            <w:vAlign w:val="center"/>
            <w:hideMark/>
          </w:tcPr>
          <w:p w14:paraId="7CC85E42" w14:textId="77777777" w:rsidR="00681BE6" w:rsidRPr="00681BE6" w:rsidRDefault="00681BE6" w:rsidP="00681BE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2023</w:t>
            </w:r>
          </w:p>
        </w:tc>
        <w:tc>
          <w:tcPr>
            <w:tcW w:w="818" w:type="dxa"/>
            <w:vAlign w:val="center"/>
            <w:hideMark/>
          </w:tcPr>
          <w:p w14:paraId="2DD5162B" w14:textId="77777777" w:rsidR="00681BE6" w:rsidRPr="00681BE6" w:rsidRDefault="00681BE6" w:rsidP="00681BE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كمي</w:t>
            </w:r>
          </w:p>
        </w:tc>
        <w:tc>
          <w:tcPr>
            <w:tcW w:w="1656" w:type="dxa"/>
            <w:vAlign w:val="center"/>
            <w:hideMark/>
          </w:tcPr>
          <w:p w14:paraId="62C043C4" w14:textId="77777777" w:rsidR="00681BE6" w:rsidRPr="00681BE6" w:rsidRDefault="00681BE6" w:rsidP="00681BE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مؤسسات سعودية</w:t>
            </w:r>
          </w:p>
        </w:tc>
        <w:tc>
          <w:tcPr>
            <w:tcW w:w="4088" w:type="dxa"/>
            <w:vAlign w:val="center"/>
            <w:hideMark/>
          </w:tcPr>
          <w:p w14:paraId="04F48F5F" w14:textId="77777777" w:rsidR="00681BE6" w:rsidRPr="00681BE6" w:rsidRDefault="00681BE6" w:rsidP="00681BE6">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681BE6">
              <w:rPr>
                <w:rFonts w:ascii="Simplified Arabic" w:eastAsia="Times New Roman" w:hAnsi="Simplified Arabic" w:cs="Simplified Arabic"/>
                <w:color w:val="000000" w:themeColor="text1"/>
                <w:kern w:val="0"/>
                <w:sz w:val="28"/>
                <w:szCs w:val="28"/>
                <w:rtl/>
                <w14:ligatures w14:val="none"/>
              </w:rPr>
              <w:t>الابتكار الإستراتيجي يدعم الاستدامة التنظيمية في ضوء رؤية 2030.</w:t>
            </w:r>
          </w:p>
        </w:tc>
      </w:tr>
    </w:tbl>
    <w:p w14:paraId="2BF89321" w14:textId="11C59F0B" w:rsidR="00C91FF7" w:rsidRPr="00C91FF7" w:rsidRDefault="00C91FF7" w:rsidP="00C91FF7">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 xml:space="preserve"> التعقيب على الدراسات السابقة</w:t>
      </w:r>
    </w:p>
    <w:p w14:paraId="47AC57E9"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يتضح من الدراسات السابقة وجود اهتمام متزايد بدراسة الابتكار والمرونة التنظيمية واستمرارية الأعمال، إلا أن معظم الدراسات تناولت هذه المتغيرات بصورة منفصلة أو ركزت على قطاعات أو بيئات محددة. كما ركزت بعض الدراسات على أثر الابتكار في الأداء التنظيمي أو الاستدامة، بينما تناولت دراسات أخرى إدارة استمرارية الأعمال والمرونة المؤسسية دون الربط المباشر بين استراتيجيات الابتكار واستمرارية الأعمال.</w:t>
      </w:r>
    </w:p>
    <w:p w14:paraId="43B9A3A4" w14:textId="7D4DF307" w:rsid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وتتميز الدراسة الحالية بأنها تجمع بين استراتيجيات الابتكار واستمرارية الأعمال في نموذج بحثي واحد، وتطبق هذا النموذج على الشركات العاملة في المملكة العربية السعودية بمختلف قطاعاتها، وهو ما يسهم في سد فجوة بحثية في الأدبيات العربية، ويقدم نتائج يمكن أن تفيد الباحثين ومتخذي القرار في القطاع الخاص</w:t>
      </w:r>
    </w:p>
    <w:p w14:paraId="59D7B5C4" w14:textId="77777777" w:rsidR="00C91FF7" w:rsidRPr="00C91FF7" w:rsidRDefault="00C91FF7" w:rsidP="00C91FF7">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أوجه الاستفادة من الدراسات السابقة</w:t>
      </w:r>
    </w:p>
    <w:p w14:paraId="7DEE2D03" w14:textId="3CAE2901"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استفادت الباحثة من الدراسات السابقة في بناء الإطار النظري للدراسة، وصياغة مشكلة الدراسة وأسئلتها، وتحديد أبعاد متغيرات الدراسة، واختيار المنهج المناسب، وتصميم أداة الدراسة، بالإضافة إلى الاستفادة من الأساليب الإحصائية المستخدمة في تحليل البيانات ومناقشة النتائج.</w:t>
      </w:r>
    </w:p>
    <w:p w14:paraId="6AB526B5" w14:textId="3541D642"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كما أسهمت الدراسات السابقة في تحديد الفجوة البحثية التي تنطلق منها الدراسة الحالية، والمتمثلة في محدودية الدراسات التي تناولت العلاقة المباشرة بين استراتيجيات الابتكار واستمرارية الأعمال في الشركات العاملة في المملكة العربية السعودية.</w:t>
      </w:r>
    </w:p>
    <w:p w14:paraId="7ED94592" w14:textId="77777777" w:rsidR="00C91FF7" w:rsidRPr="00C91FF7" w:rsidRDefault="00C91FF7" w:rsidP="00C91FF7">
      <w:pPr>
        <w:spacing w:before="100" w:beforeAutospacing="1" w:after="100" w:afterAutospacing="1" w:line="276" w:lineRule="auto"/>
        <w:rPr>
          <w:rFonts w:ascii="Simplified Arabic" w:eastAsia="Times New Roman" w:hAnsi="Simplified Arabic" w:cs="Simplified Arabic"/>
          <w:b/>
          <w:bCs/>
          <w:color w:val="000000" w:themeColor="text1"/>
          <w:kern w:val="0"/>
          <w:sz w:val="28"/>
          <w:szCs w:val="28"/>
          <w:rtl/>
          <w14:ligatures w14:val="none"/>
        </w:rPr>
      </w:pPr>
      <w:r w:rsidRPr="00C91FF7">
        <w:rPr>
          <w:rFonts w:ascii="Simplified Arabic" w:eastAsia="Times New Roman" w:hAnsi="Simplified Arabic" w:cs="Simplified Arabic"/>
          <w:b/>
          <w:bCs/>
          <w:color w:val="000000" w:themeColor="text1"/>
          <w:kern w:val="0"/>
          <w:sz w:val="28"/>
          <w:szCs w:val="28"/>
          <w:rtl/>
          <w14:ligatures w14:val="none"/>
        </w:rPr>
        <w:t>ما يميز الدراسة الحالية عن الدراسات السابقة</w:t>
      </w:r>
    </w:p>
    <w:p w14:paraId="03ECD9E0" w14:textId="1D5A50C6" w:rsidR="00C91FF7" w:rsidRPr="00C91FF7" w:rsidRDefault="00C91FF7" w:rsidP="00C91FF7">
      <w:pPr>
        <w:spacing w:before="100" w:beforeAutospacing="1" w:after="100" w:afterAutospacing="1" w:line="276" w:lineRule="auto"/>
        <w:rPr>
          <w:rFonts w:ascii="Simplified Arabic" w:eastAsia="Times New Roman" w:hAnsi="Simplified Arabic" w:cs="Simplified Arabic"/>
          <w:b/>
          <w:bCs/>
          <w:color w:val="000000" w:themeColor="text1"/>
          <w:kern w:val="0"/>
          <w:sz w:val="28"/>
          <w:szCs w:val="28"/>
          <w:rtl/>
          <w14:ligatures w14:val="none"/>
        </w:rPr>
      </w:pPr>
      <w:r w:rsidRPr="00C91FF7">
        <w:rPr>
          <w:rFonts w:ascii="Simplified Arabic" w:eastAsia="Times New Roman" w:hAnsi="Simplified Arabic" w:cs="Simplified Arabic"/>
          <w:b/>
          <w:bCs/>
          <w:color w:val="000000" w:themeColor="text1"/>
          <w:kern w:val="0"/>
          <w:sz w:val="28"/>
          <w:szCs w:val="28"/>
          <w:rtl/>
          <w14:ligatures w14:val="none"/>
        </w:rPr>
        <w:lastRenderedPageBreak/>
        <w:t>تتميز الدراسة الحالية عن الدراسات السابقة في عدة جوانب، من أهمها:</w:t>
      </w:r>
    </w:p>
    <w:p w14:paraId="306F2877" w14:textId="31DE0C5C" w:rsidR="00C91FF7" w:rsidRPr="00C91FF7" w:rsidRDefault="00C91FF7" w:rsidP="00A62091">
      <w:pPr>
        <w:pStyle w:val="a6"/>
        <w:numPr>
          <w:ilvl w:val="0"/>
          <w:numId w:val="6"/>
        </w:numPr>
        <w:spacing w:before="100" w:beforeAutospacing="1" w:after="100" w:afterAutospacing="1" w:line="276" w:lineRule="auto"/>
        <w:ind w:left="424"/>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تناول العلاقة المباشرة بين استراتيجيات الابتكار واستمرارية الأعمال ضمن نموذج بحثي واحد.</w:t>
      </w:r>
    </w:p>
    <w:p w14:paraId="337018A6" w14:textId="5E418CD4" w:rsidR="00C91FF7" w:rsidRPr="00C91FF7" w:rsidRDefault="00C91FF7" w:rsidP="00A62091">
      <w:pPr>
        <w:pStyle w:val="a6"/>
        <w:numPr>
          <w:ilvl w:val="0"/>
          <w:numId w:val="6"/>
        </w:numPr>
        <w:spacing w:before="100" w:beforeAutospacing="1" w:after="100" w:afterAutospacing="1" w:line="276" w:lineRule="auto"/>
        <w:ind w:left="424"/>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تطبيق الدراسة على الشركات العاملة في المملكة العربية السعودية بمختلف قطاعاتها.</w:t>
      </w:r>
    </w:p>
    <w:p w14:paraId="6E6E73B7" w14:textId="04D2C036" w:rsidR="00C91FF7" w:rsidRPr="00C91FF7" w:rsidRDefault="00C91FF7" w:rsidP="00A62091">
      <w:pPr>
        <w:pStyle w:val="a6"/>
        <w:numPr>
          <w:ilvl w:val="0"/>
          <w:numId w:val="6"/>
        </w:numPr>
        <w:spacing w:before="100" w:beforeAutospacing="1" w:after="100" w:afterAutospacing="1" w:line="276" w:lineRule="auto"/>
        <w:ind w:left="424"/>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الاعتماد على خمسة أبعاد لاستراتيجيات الابتكار وخمسة أبعاد لاستمرارية الأعمال.</w:t>
      </w:r>
    </w:p>
    <w:p w14:paraId="1E5A2466" w14:textId="51C2C667" w:rsidR="00C91FF7" w:rsidRPr="00C91FF7" w:rsidRDefault="00C91FF7" w:rsidP="00A62091">
      <w:pPr>
        <w:pStyle w:val="a6"/>
        <w:numPr>
          <w:ilvl w:val="0"/>
          <w:numId w:val="6"/>
        </w:numPr>
        <w:spacing w:before="100" w:beforeAutospacing="1" w:after="100" w:afterAutospacing="1" w:line="276" w:lineRule="auto"/>
        <w:ind w:left="424"/>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ربط نتائج الدراسة بمستهدفات رؤية المملكة العربية السعودية 2030.</w:t>
      </w:r>
    </w:p>
    <w:p w14:paraId="43C7A099" w14:textId="0FA6D7C8" w:rsidR="00C91FF7" w:rsidRPr="00C91FF7" w:rsidRDefault="00C91FF7" w:rsidP="00A62091">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تقديم توصيات تطبيقية يمكن أن يستفيد منها متخذو القرار في الشركات السعودية.</w:t>
      </w:r>
    </w:p>
    <w:p w14:paraId="75AA85A7" w14:textId="77777777" w:rsidR="00C91FF7" w:rsidRPr="00C91FF7" w:rsidRDefault="00C91FF7" w:rsidP="00C91FF7">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وجه الاتفاق بين الدراسات السابقة</w:t>
      </w:r>
    </w:p>
    <w:p w14:paraId="2F0B8892" w14:textId="02185A5B"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أظهرت غالبية الدراسات السابقة وجود علاقة إيجابية بين تبني ممارسات الابتكار وتحسين أداء المؤسسات ورفع قدرتها على التكيف مع التغيرات والأزمات. كما اتفقت الدراسات على أن المرونة التنظيمية وإدارة استمرارية الأعمال تمثلان عنصرين أساسيين في تحقيق الاستدامة المؤسسية، وأن الاستثمار في الابتكار يسهم في تعزيز جاهزية المؤسسات لمواجهة المخاطر المستقبلية.</w:t>
      </w:r>
    </w:p>
    <w:p w14:paraId="688321FA" w14:textId="77777777" w:rsidR="00C91FF7" w:rsidRPr="00C91FF7" w:rsidRDefault="00C91FF7" w:rsidP="00C91FF7">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أوجه الاختلاف بين الدراسات السابقة</w:t>
      </w:r>
    </w:p>
    <w:p w14:paraId="5D835880" w14:textId="63C21BB5"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اختلفت الدراسات السابقة في طبيعة المجتمعات التي أجريت عليها، حيث ركز بعضها على الشركات الصغيرة والمتوسطة، بينما تناولت دراسات أخرى المؤسسات الحكومية أو قطاعات اقتصادية محددة. كما اختلفت في المتغيرات التابعة، إذ ركزت بعض الدراسات على الأداء التنظيمي أو الاستدامة، في حين ركزت أخرى على المرونة التنظيمية أو استمرارية الأعمال.</w:t>
      </w:r>
    </w:p>
    <w:p w14:paraId="12E71E3D" w14:textId="77777777" w:rsidR="00C91FF7" w:rsidRPr="00C91FF7" w:rsidRDefault="00C91FF7" w:rsidP="00C91FF7">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C91FF7">
        <w:rPr>
          <w:rFonts w:ascii="Simplified Arabic" w:eastAsia="Times New Roman" w:hAnsi="Simplified Arabic" w:cs="Simplified Arabic"/>
          <w:b/>
          <w:bCs/>
          <w:color w:val="000000" w:themeColor="text1"/>
          <w:kern w:val="0"/>
          <w:sz w:val="32"/>
          <w:szCs w:val="32"/>
          <w:rtl/>
          <w14:ligatures w14:val="none"/>
        </w:rPr>
        <w:t>تميز الدراسة الحالية</w:t>
      </w:r>
    </w:p>
    <w:p w14:paraId="2C9A3634" w14:textId="28ADE96A" w:rsidR="00C91FF7" w:rsidRPr="00C91FF7" w:rsidRDefault="00C91FF7" w:rsidP="00C91FF7">
      <w:pPr>
        <w:spacing w:before="100" w:beforeAutospacing="1" w:after="100" w:afterAutospacing="1" w:line="276" w:lineRule="auto"/>
        <w:rPr>
          <w:rFonts w:ascii="Simplified Arabic" w:eastAsia="Times New Roman" w:hAnsi="Simplified Arabic" w:cs="Simplified Arabic"/>
          <w:b/>
          <w:bCs/>
          <w:color w:val="000000" w:themeColor="text1"/>
          <w:kern w:val="0"/>
          <w:sz w:val="28"/>
          <w:szCs w:val="28"/>
          <w:rtl/>
          <w14:ligatures w14:val="none"/>
        </w:rPr>
      </w:pPr>
      <w:r w:rsidRPr="00C91FF7">
        <w:rPr>
          <w:rFonts w:ascii="Simplified Arabic" w:eastAsia="Times New Roman" w:hAnsi="Simplified Arabic" w:cs="Simplified Arabic"/>
          <w:b/>
          <w:bCs/>
          <w:color w:val="000000" w:themeColor="text1"/>
          <w:kern w:val="0"/>
          <w:sz w:val="28"/>
          <w:szCs w:val="28"/>
          <w:rtl/>
          <w14:ligatures w14:val="none"/>
        </w:rPr>
        <w:t>تتميز الدراسة الحالية عن الدراسات السابقة في عدة جوانب، من أبرزها:</w:t>
      </w:r>
    </w:p>
    <w:p w14:paraId="331E42F5" w14:textId="73D4C2BE" w:rsidR="00C91FF7" w:rsidRPr="00C91FF7" w:rsidRDefault="00C91FF7" w:rsidP="00A62091">
      <w:pPr>
        <w:pStyle w:val="a6"/>
        <w:numPr>
          <w:ilvl w:val="0"/>
          <w:numId w:val="6"/>
        </w:numPr>
        <w:spacing w:before="100" w:beforeAutospacing="1" w:after="100" w:afterAutospacing="1" w:line="276" w:lineRule="auto"/>
        <w:ind w:left="424"/>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دراسة أثر استراتيجيات الابتكار بأبعادها الخمسة على استمرارية الأعمال بأبعادها الخمسة في نموذج واحد.</w:t>
      </w:r>
    </w:p>
    <w:p w14:paraId="2AFB7138" w14:textId="2A0C3FB1" w:rsidR="00C91FF7" w:rsidRPr="00C91FF7" w:rsidRDefault="00C91FF7" w:rsidP="00A62091">
      <w:pPr>
        <w:pStyle w:val="a6"/>
        <w:numPr>
          <w:ilvl w:val="0"/>
          <w:numId w:val="6"/>
        </w:numPr>
        <w:spacing w:before="100" w:beforeAutospacing="1" w:after="100" w:afterAutospacing="1" w:line="276" w:lineRule="auto"/>
        <w:ind w:left="424"/>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تطبيق الدراسة على شركات تعمل في قطاعات مختلفة داخل المملكة العربية السعودية.</w:t>
      </w:r>
    </w:p>
    <w:p w14:paraId="0B333E60" w14:textId="55DE1D01" w:rsidR="00C91FF7" w:rsidRPr="00C91FF7" w:rsidRDefault="00C91FF7" w:rsidP="00A62091">
      <w:pPr>
        <w:pStyle w:val="a6"/>
        <w:numPr>
          <w:ilvl w:val="0"/>
          <w:numId w:val="6"/>
        </w:numPr>
        <w:spacing w:before="100" w:beforeAutospacing="1" w:after="100" w:afterAutospacing="1" w:line="276" w:lineRule="auto"/>
        <w:ind w:left="424"/>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الربط بين نتائج الدراسة ومستهدفات رؤية المملكة العربية السعودية 2030.</w:t>
      </w:r>
    </w:p>
    <w:p w14:paraId="46074E2A" w14:textId="5B64FDCA" w:rsidR="00C91FF7" w:rsidRDefault="00C91FF7" w:rsidP="00A62091">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تقديم نموذج تطبيقي يمكن الاستفادة منه في دعم قرارات الإدارة العليا فيما يتعلق بالابتكار واستمرارية الأعمال.</w:t>
      </w:r>
    </w:p>
    <w:p w14:paraId="7D528A8A" w14:textId="2FFA6B6A" w:rsidR="009252BB" w:rsidRPr="009252BB" w:rsidRDefault="009252BB" w:rsidP="009252BB">
      <w:pPr>
        <w:spacing w:before="100" w:beforeAutospacing="1" w:after="100" w:afterAutospacing="1" w:line="276" w:lineRule="auto"/>
        <w:ind w:left="64"/>
        <w:jc w:val="both"/>
        <w:rPr>
          <w:rFonts w:ascii="Simplified Arabic" w:eastAsia="Times New Roman" w:hAnsi="Simplified Arabic" w:cs="Simplified Arabic"/>
          <w:b/>
          <w:bCs/>
          <w:color w:val="000000" w:themeColor="text1"/>
          <w:kern w:val="0"/>
          <w:sz w:val="28"/>
          <w:szCs w:val="28"/>
          <w14:ligatures w14:val="none"/>
        </w:rPr>
      </w:pPr>
      <w:r w:rsidRPr="009252BB">
        <w:rPr>
          <w:rFonts w:ascii="Simplified Arabic" w:eastAsia="Times New Roman" w:hAnsi="Simplified Arabic" w:cs="Simplified Arabic" w:hint="cs"/>
          <w:b/>
          <w:bCs/>
          <w:color w:val="000000" w:themeColor="text1"/>
          <w:kern w:val="0"/>
          <w:sz w:val="28"/>
          <w:szCs w:val="28"/>
          <w:rtl/>
          <w14:ligatures w14:val="none"/>
        </w:rPr>
        <w:t>جدول (</w:t>
      </w:r>
      <w:r w:rsidR="00BE3936">
        <w:rPr>
          <w:rFonts w:ascii="Simplified Arabic" w:eastAsia="Times New Roman" w:hAnsi="Simplified Arabic" w:cs="Simplified Arabic" w:hint="cs"/>
          <w:b/>
          <w:bCs/>
          <w:color w:val="000000" w:themeColor="text1"/>
          <w:kern w:val="0"/>
          <w:sz w:val="28"/>
          <w:szCs w:val="28"/>
          <w:rtl/>
          <w14:ligatures w14:val="none"/>
        </w:rPr>
        <w:t>1</w:t>
      </w:r>
      <w:r w:rsidRPr="009252BB">
        <w:rPr>
          <w:rFonts w:ascii="Simplified Arabic" w:eastAsia="Times New Roman" w:hAnsi="Simplified Arabic" w:cs="Simplified Arabic" w:hint="cs"/>
          <w:b/>
          <w:bCs/>
          <w:color w:val="000000" w:themeColor="text1"/>
          <w:kern w:val="0"/>
          <w:sz w:val="28"/>
          <w:szCs w:val="28"/>
          <w:rtl/>
          <w14:ligatures w14:val="none"/>
        </w:rPr>
        <w:t xml:space="preserve"> </w:t>
      </w:r>
      <w:r w:rsidRPr="009252BB">
        <w:rPr>
          <w:rFonts w:ascii="Simplified Arabic" w:eastAsia="Times New Roman" w:hAnsi="Simplified Arabic" w:cs="Simplified Arabic"/>
          <w:b/>
          <w:bCs/>
          <w:color w:val="000000" w:themeColor="text1"/>
          <w:kern w:val="0"/>
          <w:sz w:val="28"/>
          <w:szCs w:val="28"/>
          <w:rtl/>
          <w14:ligatures w14:val="none"/>
        </w:rPr>
        <w:t>–</w:t>
      </w:r>
      <w:r w:rsidRPr="009252BB">
        <w:rPr>
          <w:rFonts w:ascii="Simplified Arabic" w:eastAsia="Times New Roman" w:hAnsi="Simplified Arabic" w:cs="Simplified Arabic" w:hint="cs"/>
          <w:b/>
          <w:bCs/>
          <w:color w:val="000000" w:themeColor="text1"/>
          <w:kern w:val="0"/>
          <w:sz w:val="28"/>
          <w:szCs w:val="28"/>
          <w:rtl/>
          <w14:ligatures w14:val="none"/>
        </w:rPr>
        <w:t xml:space="preserve"> </w:t>
      </w:r>
      <w:r w:rsidR="00BE3936">
        <w:rPr>
          <w:rFonts w:ascii="Simplified Arabic" w:eastAsia="Times New Roman" w:hAnsi="Simplified Arabic" w:cs="Simplified Arabic" w:hint="cs"/>
          <w:b/>
          <w:bCs/>
          <w:color w:val="000000" w:themeColor="text1"/>
          <w:kern w:val="0"/>
          <w:sz w:val="28"/>
          <w:szCs w:val="28"/>
          <w:rtl/>
          <w14:ligatures w14:val="none"/>
        </w:rPr>
        <w:t>3</w:t>
      </w:r>
      <w:r w:rsidRPr="009252BB">
        <w:rPr>
          <w:rFonts w:ascii="Simplified Arabic" w:eastAsia="Times New Roman" w:hAnsi="Simplified Arabic" w:cs="Simplified Arabic" w:hint="cs"/>
          <w:b/>
          <w:bCs/>
          <w:color w:val="000000" w:themeColor="text1"/>
          <w:kern w:val="0"/>
          <w:sz w:val="28"/>
          <w:szCs w:val="28"/>
          <w:rtl/>
          <w14:ligatures w14:val="none"/>
        </w:rPr>
        <w:t xml:space="preserve"> ) </w:t>
      </w:r>
      <w:r w:rsidRPr="009252BB">
        <w:rPr>
          <w:rFonts w:ascii="Simplified Arabic" w:eastAsia="Times New Roman" w:hAnsi="Simplified Arabic" w:cs="Simplified Arabic"/>
          <w:b/>
          <w:bCs/>
          <w:color w:val="000000" w:themeColor="text1"/>
          <w:kern w:val="0"/>
          <w:sz w:val="28"/>
          <w:szCs w:val="28"/>
          <w:rtl/>
          <w14:ligatures w14:val="none"/>
        </w:rPr>
        <w:t>مقارنة الدراسة الحالية بالدراسات السابقة</w:t>
      </w:r>
    </w:p>
    <w:tbl>
      <w:tblPr>
        <w:tblStyle w:val="12"/>
        <w:bidiVisual/>
        <w:tblW w:w="8936" w:type="dxa"/>
        <w:tblLook w:val="04A0" w:firstRow="1" w:lastRow="0" w:firstColumn="1" w:lastColumn="0" w:noHBand="0" w:noVBand="1"/>
      </w:tblPr>
      <w:tblGrid>
        <w:gridCol w:w="1697"/>
        <w:gridCol w:w="3972"/>
        <w:gridCol w:w="3267"/>
      </w:tblGrid>
      <w:tr w:rsidR="009252BB" w:rsidRPr="009252BB" w14:paraId="08E92C1A" w14:textId="77777777" w:rsidTr="009252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hideMark/>
          </w:tcPr>
          <w:p w14:paraId="7E6816E9" w14:textId="794FDE42" w:rsidR="009252BB" w:rsidRPr="009252BB" w:rsidRDefault="009252BB" w:rsidP="009252BB">
            <w:pPr>
              <w:spacing w:before="100" w:beforeAutospacing="1" w:after="100" w:afterAutospacing="1" w:line="276" w:lineRule="auto"/>
              <w:ind w:left="64"/>
              <w:jc w:val="both"/>
              <w:rPr>
                <w:rFonts w:ascii="Simplified Arabic" w:eastAsia="Times New Roman" w:hAnsi="Simplified Arabic" w:cs="Simplified Arabic"/>
                <w:color w:val="000000" w:themeColor="text1"/>
                <w:kern w:val="0"/>
                <w:sz w:val="28"/>
                <w:szCs w:val="28"/>
                <w14:ligatures w14:val="none"/>
              </w:rPr>
            </w:pPr>
            <w:r w:rsidRPr="009252BB">
              <w:rPr>
                <w:rFonts w:ascii="Simplified Arabic" w:eastAsia="Times New Roman" w:hAnsi="Simplified Arabic" w:cs="Simplified Arabic"/>
                <w:color w:val="000000" w:themeColor="text1"/>
                <w:kern w:val="0"/>
                <w:sz w:val="28"/>
                <w:szCs w:val="28"/>
                <w:rtl/>
                <w14:ligatures w14:val="none"/>
              </w:rPr>
              <w:t xml:space="preserve">وجه </w:t>
            </w:r>
            <w:r>
              <w:rPr>
                <w:rFonts w:ascii="Simplified Arabic" w:eastAsia="Times New Roman" w:hAnsi="Simplified Arabic" w:cs="Simplified Arabic" w:hint="cs"/>
                <w:b w:val="0"/>
                <w:bCs w:val="0"/>
                <w:color w:val="000000" w:themeColor="text1"/>
                <w:kern w:val="0"/>
                <w:sz w:val="28"/>
                <w:szCs w:val="28"/>
                <w:rtl/>
                <w14:ligatures w14:val="none"/>
              </w:rPr>
              <w:t xml:space="preserve"> </w:t>
            </w:r>
            <w:r w:rsidRPr="009252BB">
              <w:rPr>
                <w:rFonts w:ascii="Simplified Arabic" w:eastAsia="Times New Roman" w:hAnsi="Simplified Arabic" w:cs="Simplified Arabic"/>
                <w:color w:val="000000" w:themeColor="text1"/>
                <w:kern w:val="0"/>
                <w:sz w:val="28"/>
                <w:szCs w:val="28"/>
                <w:rtl/>
                <w14:ligatures w14:val="none"/>
              </w:rPr>
              <w:t>المقارنة</w:t>
            </w:r>
          </w:p>
        </w:tc>
        <w:tc>
          <w:tcPr>
            <w:tcW w:w="3972" w:type="dxa"/>
            <w:hideMark/>
          </w:tcPr>
          <w:p w14:paraId="7A43DB35" w14:textId="77777777" w:rsidR="009252BB" w:rsidRPr="009252BB" w:rsidRDefault="009252BB" w:rsidP="009252BB">
            <w:pPr>
              <w:spacing w:before="100" w:beforeAutospacing="1" w:after="100" w:afterAutospacing="1" w:line="276" w:lineRule="auto"/>
              <w:ind w:left="64"/>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الدراسة الحالية</w:t>
            </w:r>
          </w:p>
        </w:tc>
        <w:tc>
          <w:tcPr>
            <w:tcW w:w="3267" w:type="dxa"/>
            <w:hideMark/>
          </w:tcPr>
          <w:p w14:paraId="183D761E" w14:textId="77777777" w:rsidR="009252BB" w:rsidRPr="009252BB" w:rsidRDefault="009252BB" w:rsidP="009252BB">
            <w:pPr>
              <w:spacing w:before="100" w:beforeAutospacing="1" w:after="100" w:afterAutospacing="1" w:line="276" w:lineRule="auto"/>
              <w:ind w:left="64"/>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الدراسات السابقة</w:t>
            </w:r>
          </w:p>
        </w:tc>
      </w:tr>
      <w:tr w:rsidR="009252BB" w:rsidRPr="009252BB" w14:paraId="7CAB7378" w14:textId="77777777" w:rsidTr="00925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hideMark/>
          </w:tcPr>
          <w:p w14:paraId="744D94B2" w14:textId="77777777" w:rsidR="009252BB" w:rsidRPr="009252BB" w:rsidRDefault="009252BB" w:rsidP="009252BB">
            <w:pPr>
              <w:spacing w:before="100" w:beforeAutospacing="1" w:after="100" w:afterAutospacing="1" w:line="276" w:lineRule="auto"/>
              <w:ind w:left="64"/>
              <w:jc w:val="both"/>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المتغير المستقل</w:t>
            </w:r>
          </w:p>
        </w:tc>
        <w:tc>
          <w:tcPr>
            <w:tcW w:w="3972" w:type="dxa"/>
            <w:hideMark/>
          </w:tcPr>
          <w:p w14:paraId="5F4E53CB" w14:textId="77777777" w:rsidR="009252BB" w:rsidRPr="009252BB" w:rsidRDefault="009252BB" w:rsidP="009252BB">
            <w:pPr>
              <w:spacing w:before="100" w:beforeAutospacing="1" w:after="100" w:afterAutospacing="1" w:line="276" w:lineRule="auto"/>
              <w:ind w:left="64"/>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استراتيجيات الابتكار بأبعادها الخمسة</w:t>
            </w:r>
          </w:p>
        </w:tc>
        <w:tc>
          <w:tcPr>
            <w:tcW w:w="3267" w:type="dxa"/>
            <w:hideMark/>
          </w:tcPr>
          <w:p w14:paraId="5AF17893" w14:textId="77777777" w:rsidR="009252BB" w:rsidRPr="009252BB" w:rsidRDefault="009252BB" w:rsidP="009252BB">
            <w:pPr>
              <w:spacing w:before="100" w:beforeAutospacing="1" w:after="100" w:afterAutospacing="1" w:line="276" w:lineRule="auto"/>
              <w:ind w:left="64"/>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الابتكار، أو القدرات الديناميكية، أو الابتكار الاستراتيجي</w:t>
            </w:r>
          </w:p>
        </w:tc>
      </w:tr>
      <w:tr w:rsidR="009252BB" w:rsidRPr="009252BB" w14:paraId="6CBFDECA" w14:textId="77777777" w:rsidTr="009252BB">
        <w:tc>
          <w:tcPr>
            <w:cnfStyle w:val="001000000000" w:firstRow="0" w:lastRow="0" w:firstColumn="1" w:lastColumn="0" w:oddVBand="0" w:evenVBand="0" w:oddHBand="0" w:evenHBand="0" w:firstRowFirstColumn="0" w:firstRowLastColumn="0" w:lastRowFirstColumn="0" w:lastRowLastColumn="0"/>
            <w:tcW w:w="1697" w:type="dxa"/>
            <w:hideMark/>
          </w:tcPr>
          <w:p w14:paraId="5879BB27" w14:textId="77777777" w:rsidR="009252BB" w:rsidRPr="009252BB" w:rsidRDefault="009252BB" w:rsidP="009252BB">
            <w:pPr>
              <w:spacing w:before="100" w:beforeAutospacing="1" w:after="100" w:afterAutospacing="1" w:line="276" w:lineRule="auto"/>
              <w:ind w:left="64"/>
              <w:jc w:val="both"/>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المتغير التابع</w:t>
            </w:r>
          </w:p>
        </w:tc>
        <w:tc>
          <w:tcPr>
            <w:tcW w:w="3972" w:type="dxa"/>
            <w:hideMark/>
          </w:tcPr>
          <w:p w14:paraId="510DAB0C" w14:textId="77777777" w:rsidR="009252BB" w:rsidRPr="009252BB" w:rsidRDefault="009252BB" w:rsidP="009252BB">
            <w:pPr>
              <w:spacing w:before="100" w:beforeAutospacing="1" w:after="100" w:afterAutospacing="1" w:line="276" w:lineRule="auto"/>
              <w:ind w:left="64"/>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استمرارية الأعمال بأبعادها الخمسة</w:t>
            </w:r>
          </w:p>
        </w:tc>
        <w:tc>
          <w:tcPr>
            <w:tcW w:w="3267" w:type="dxa"/>
            <w:hideMark/>
          </w:tcPr>
          <w:p w14:paraId="1467CA12" w14:textId="77777777" w:rsidR="009252BB" w:rsidRPr="009252BB" w:rsidRDefault="009252BB" w:rsidP="009252BB">
            <w:pPr>
              <w:spacing w:before="100" w:beforeAutospacing="1" w:after="100" w:afterAutospacing="1" w:line="276" w:lineRule="auto"/>
              <w:ind w:left="64"/>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الأداء، الاستدامة، المرونة التنظيمية، استمرارية الأعمال</w:t>
            </w:r>
          </w:p>
        </w:tc>
      </w:tr>
      <w:tr w:rsidR="009252BB" w:rsidRPr="009252BB" w14:paraId="306CC9EC" w14:textId="77777777" w:rsidTr="00925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hideMark/>
          </w:tcPr>
          <w:p w14:paraId="17D2EBD0" w14:textId="77777777" w:rsidR="009252BB" w:rsidRPr="009252BB" w:rsidRDefault="009252BB" w:rsidP="009252BB">
            <w:pPr>
              <w:spacing w:before="100" w:beforeAutospacing="1" w:after="100" w:afterAutospacing="1" w:line="276" w:lineRule="auto"/>
              <w:ind w:left="64"/>
              <w:jc w:val="both"/>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مجتمع الدراسة</w:t>
            </w:r>
          </w:p>
        </w:tc>
        <w:tc>
          <w:tcPr>
            <w:tcW w:w="3972" w:type="dxa"/>
            <w:hideMark/>
          </w:tcPr>
          <w:p w14:paraId="11AD4AEE" w14:textId="77777777" w:rsidR="009252BB" w:rsidRPr="009252BB" w:rsidRDefault="009252BB" w:rsidP="009252BB">
            <w:pPr>
              <w:spacing w:before="100" w:beforeAutospacing="1" w:after="100" w:afterAutospacing="1" w:line="276" w:lineRule="auto"/>
              <w:ind w:left="64"/>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شركات عاملة في المملكة العربية السعودية بمختلف القطاعات</w:t>
            </w:r>
          </w:p>
        </w:tc>
        <w:tc>
          <w:tcPr>
            <w:tcW w:w="3267" w:type="dxa"/>
            <w:hideMark/>
          </w:tcPr>
          <w:p w14:paraId="40204110" w14:textId="77777777" w:rsidR="009252BB" w:rsidRPr="009252BB" w:rsidRDefault="009252BB" w:rsidP="009252BB">
            <w:pPr>
              <w:spacing w:before="100" w:beforeAutospacing="1" w:after="100" w:afterAutospacing="1" w:line="276" w:lineRule="auto"/>
              <w:ind w:left="64"/>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شركات صغيرة، جهات حكومية، قطاعات محددة</w:t>
            </w:r>
          </w:p>
        </w:tc>
      </w:tr>
      <w:tr w:rsidR="009252BB" w:rsidRPr="009252BB" w14:paraId="0D4951F1" w14:textId="77777777" w:rsidTr="009252BB">
        <w:tc>
          <w:tcPr>
            <w:cnfStyle w:val="001000000000" w:firstRow="0" w:lastRow="0" w:firstColumn="1" w:lastColumn="0" w:oddVBand="0" w:evenVBand="0" w:oddHBand="0" w:evenHBand="0" w:firstRowFirstColumn="0" w:firstRowLastColumn="0" w:lastRowFirstColumn="0" w:lastRowLastColumn="0"/>
            <w:tcW w:w="1697" w:type="dxa"/>
            <w:hideMark/>
          </w:tcPr>
          <w:p w14:paraId="588B24AC" w14:textId="77777777" w:rsidR="009252BB" w:rsidRPr="009252BB" w:rsidRDefault="009252BB" w:rsidP="009252BB">
            <w:pPr>
              <w:spacing w:before="100" w:beforeAutospacing="1" w:after="100" w:afterAutospacing="1" w:line="276" w:lineRule="auto"/>
              <w:ind w:left="64"/>
              <w:jc w:val="both"/>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البيئة التطبيقية</w:t>
            </w:r>
          </w:p>
        </w:tc>
        <w:tc>
          <w:tcPr>
            <w:tcW w:w="3972" w:type="dxa"/>
            <w:hideMark/>
          </w:tcPr>
          <w:p w14:paraId="6D0AAE54" w14:textId="77777777" w:rsidR="009252BB" w:rsidRPr="009252BB" w:rsidRDefault="009252BB" w:rsidP="009252BB">
            <w:pPr>
              <w:spacing w:before="100" w:beforeAutospacing="1" w:after="100" w:afterAutospacing="1" w:line="276" w:lineRule="auto"/>
              <w:ind w:left="64"/>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الشركات العربية السعودية</w:t>
            </w:r>
          </w:p>
        </w:tc>
        <w:tc>
          <w:tcPr>
            <w:tcW w:w="3267" w:type="dxa"/>
            <w:hideMark/>
          </w:tcPr>
          <w:p w14:paraId="4DCEB02B" w14:textId="77777777" w:rsidR="009252BB" w:rsidRPr="009252BB" w:rsidRDefault="009252BB" w:rsidP="009252BB">
            <w:pPr>
              <w:spacing w:before="100" w:beforeAutospacing="1" w:after="100" w:afterAutospacing="1" w:line="276" w:lineRule="auto"/>
              <w:ind w:left="64"/>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دول متعددة أو قطاعات محددة</w:t>
            </w:r>
          </w:p>
        </w:tc>
      </w:tr>
      <w:tr w:rsidR="009252BB" w:rsidRPr="009252BB" w14:paraId="6E46B6BB" w14:textId="77777777" w:rsidTr="009252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7" w:type="dxa"/>
            <w:hideMark/>
          </w:tcPr>
          <w:p w14:paraId="50D948BE" w14:textId="77777777" w:rsidR="009252BB" w:rsidRPr="009252BB" w:rsidRDefault="009252BB" w:rsidP="009252BB">
            <w:pPr>
              <w:spacing w:before="100" w:beforeAutospacing="1" w:after="100" w:afterAutospacing="1" w:line="276" w:lineRule="auto"/>
              <w:ind w:left="64"/>
              <w:jc w:val="both"/>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القيمة المضافة</w:t>
            </w:r>
          </w:p>
        </w:tc>
        <w:tc>
          <w:tcPr>
            <w:tcW w:w="3972" w:type="dxa"/>
            <w:hideMark/>
          </w:tcPr>
          <w:p w14:paraId="3AC871B9" w14:textId="77777777" w:rsidR="009252BB" w:rsidRPr="009252BB" w:rsidRDefault="009252BB" w:rsidP="009252BB">
            <w:pPr>
              <w:spacing w:before="100" w:beforeAutospacing="1" w:after="100" w:afterAutospacing="1" w:line="276" w:lineRule="auto"/>
              <w:ind w:left="64"/>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العلاقة المباشرة بين استراتيجيات الابتكار واستمرارية الأعمال في نموذج واحد</w:t>
            </w:r>
          </w:p>
        </w:tc>
        <w:tc>
          <w:tcPr>
            <w:tcW w:w="3267" w:type="dxa"/>
            <w:hideMark/>
          </w:tcPr>
          <w:p w14:paraId="36BF91BC" w14:textId="77777777" w:rsidR="009252BB" w:rsidRPr="009252BB" w:rsidRDefault="009252BB" w:rsidP="009252BB">
            <w:pPr>
              <w:spacing w:before="100" w:beforeAutospacing="1" w:after="100" w:afterAutospacing="1" w:line="276" w:lineRule="auto"/>
              <w:ind w:left="64"/>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rtl/>
                <w14:ligatures w14:val="none"/>
              </w:rPr>
            </w:pPr>
            <w:r w:rsidRPr="009252BB">
              <w:rPr>
                <w:rFonts w:ascii="Simplified Arabic" w:eastAsia="Times New Roman" w:hAnsi="Simplified Arabic" w:cs="Simplified Arabic"/>
                <w:color w:val="000000" w:themeColor="text1"/>
                <w:kern w:val="0"/>
                <w:sz w:val="28"/>
                <w:szCs w:val="28"/>
                <w:rtl/>
                <w14:ligatures w14:val="none"/>
              </w:rPr>
              <w:t>دراسة متغيرات منفصلة</w:t>
            </w:r>
          </w:p>
        </w:tc>
      </w:tr>
    </w:tbl>
    <w:p w14:paraId="48C09F45" w14:textId="77777777" w:rsidR="00A66F82" w:rsidRPr="00A66F82" w:rsidRDefault="00A66F82" w:rsidP="00A66F82">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A66F82">
        <w:rPr>
          <w:rFonts w:ascii="Simplified Arabic" w:eastAsia="Times New Roman" w:hAnsi="Simplified Arabic" w:cs="Simplified Arabic"/>
          <w:b/>
          <w:bCs/>
          <w:color w:val="000000" w:themeColor="text1"/>
          <w:kern w:val="0"/>
          <w:sz w:val="32"/>
          <w:szCs w:val="32"/>
          <w:rtl/>
          <w14:ligatures w14:val="none"/>
        </w:rPr>
        <w:t>الفجوة البحثية</w:t>
      </w:r>
    </w:p>
    <w:p w14:paraId="7EFBED3B" w14:textId="5AE2CB5D" w:rsidR="00A66F82" w:rsidRPr="00A66F82" w:rsidRDefault="00A66F82"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66F82">
        <w:rPr>
          <w:rFonts w:ascii="Simplified Arabic" w:eastAsia="Times New Roman" w:hAnsi="Simplified Arabic" w:cs="Simplified Arabic"/>
          <w:color w:val="000000" w:themeColor="text1"/>
          <w:kern w:val="0"/>
          <w:sz w:val="28"/>
          <w:szCs w:val="28"/>
          <w:rtl/>
          <w14:ligatures w14:val="none"/>
        </w:rPr>
        <w:t>من خلال تحليل الدراسات العربية والأجنبية، يتضح أن معظمها ركز على العلاقة بين الابتكار والأداء التنظيمي، أو الابتكار والاستدامة التنظيمية، أو استمرارية الأعمال والمرونة التنظيمية، في حين لم تحظ العلاقة المباشرة بين استراتيجيات الابتكار واستمرارية الأعمال في الشركات العاملة في المملكة العربية السعودية بالاهتمام الكافي. كما أن غالبية الدراسات ركزت على قطاعات محددة أو على المنشآت الصغيرة والمتوسطة، بينما تتناول الدراسة الحالية مختلف قطاعات الشركات في المملكة، مع الاعتماد على نموذج يجمع بين خمسة أبعاد لاستراتيجيات الابتكار وخمسة أبعاد لاستمرارية الأعمال، بما يسهم في سد فجوة معرفية في الأدبيات العربية وتقديم نتائج يمكن الاستفادة منها عمليًا وأكاديميًا.</w:t>
      </w:r>
    </w:p>
    <w:p w14:paraId="3CC58B76" w14:textId="5273F7A5" w:rsidR="00C91FF7" w:rsidRPr="00C91FF7" w:rsidRDefault="00C91FF7" w:rsidP="00C91FF7">
      <w:pPr>
        <w:jc w:val="center"/>
        <w:outlineLvl w:val="0"/>
        <w:rPr>
          <w:rFonts w:ascii="Simplified Arabic" w:eastAsia="Times New Roman" w:hAnsi="Simplified Arabic" w:cs="Simplified Arabic"/>
          <w:b/>
          <w:bCs/>
          <w:color w:val="000000" w:themeColor="text1"/>
          <w:kern w:val="0"/>
          <w:sz w:val="40"/>
          <w:szCs w:val="40"/>
          <w:rtl/>
          <w14:ligatures w14:val="none"/>
        </w:rPr>
      </w:pPr>
      <w:r w:rsidRPr="00C91FF7">
        <w:rPr>
          <w:rFonts w:ascii="Simplified Arabic" w:eastAsia="Times New Roman" w:hAnsi="Simplified Arabic" w:cs="Simplified Arabic"/>
          <w:b/>
          <w:bCs/>
          <w:color w:val="000000" w:themeColor="text1"/>
          <w:kern w:val="0"/>
          <w:sz w:val="40"/>
          <w:szCs w:val="40"/>
          <w:rtl/>
          <w14:ligatures w14:val="none"/>
        </w:rPr>
        <w:br w:type="page"/>
      </w:r>
      <w:bookmarkStart w:id="12" w:name="_Toc235213663"/>
      <w:r w:rsidRPr="00C91FF7">
        <w:rPr>
          <w:rFonts w:ascii="Simplified Arabic" w:eastAsia="Times New Roman" w:hAnsi="Simplified Arabic" w:cs="Simplified Arabic"/>
          <w:b/>
          <w:bCs/>
          <w:color w:val="000000" w:themeColor="text1"/>
          <w:kern w:val="0"/>
          <w:sz w:val="40"/>
          <w:szCs w:val="40"/>
          <w:rtl/>
          <w14:ligatures w14:val="none"/>
        </w:rPr>
        <w:lastRenderedPageBreak/>
        <w:t>الفصل الثاني</w:t>
      </w:r>
      <w:r w:rsidRPr="00C91FF7">
        <w:rPr>
          <w:rFonts w:ascii="Simplified Arabic" w:eastAsia="Times New Roman" w:hAnsi="Simplified Arabic" w:cs="Simplified Arabic" w:hint="cs"/>
          <w:b/>
          <w:bCs/>
          <w:color w:val="000000" w:themeColor="text1"/>
          <w:kern w:val="0"/>
          <w:sz w:val="40"/>
          <w:szCs w:val="40"/>
          <w:rtl/>
          <w14:ligatures w14:val="none"/>
        </w:rPr>
        <w:t xml:space="preserve">: </w:t>
      </w:r>
      <w:r w:rsidRPr="00C91FF7">
        <w:rPr>
          <w:rFonts w:ascii="Simplified Arabic" w:eastAsia="Times New Roman" w:hAnsi="Simplified Arabic" w:cs="Simplified Arabic"/>
          <w:b/>
          <w:bCs/>
          <w:color w:val="000000" w:themeColor="text1"/>
          <w:kern w:val="0"/>
          <w:sz w:val="40"/>
          <w:szCs w:val="40"/>
          <w:rtl/>
          <w14:ligatures w14:val="none"/>
        </w:rPr>
        <w:t>الإطار النظري</w:t>
      </w:r>
      <w:bookmarkEnd w:id="12"/>
      <w:r w:rsidRPr="00C91FF7">
        <w:rPr>
          <w:rFonts w:ascii="Simplified Arabic" w:eastAsia="Times New Roman" w:hAnsi="Simplified Arabic" w:cs="Simplified Arabic"/>
          <w:b/>
          <w:bCs/>
          <w:color w:val="000000" w:themeColor="text1"/>
          <w:kern w:val="0"/>
          <w:sz w:val="40"/>
          <w:szCs w:val="40"/>
          <w:rtl/>
          <w14:ligatures w14:val="none"/>
        </w:rPr>
        <w:t xml:space="preserve"> </w:t>
      </w:r>
    </w:p>
    <w:p w14:paraId="424DAF3C" w14:textId="2AB0CF61" w:rsidR="00C91FF7" w:rsidRPr="00C91FF7" w:rsidRDefault="00C91FF7" w:rsidP="00C91FF7">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rtl/>
          <w14:ligatures w14:val="none"/>
        </w:rPr>
      </w:pPr>
      <w:bookmarkStart w:id="13" w:name="_Toc235213664"/>
      <w:r w:rsidRPr="00C91FF7">
        <w:rPr>
          <w:rFonts w:ascii="Simplified Arabic" w:eastAsia="Times New Roman" w:hAnsi="Simplified Arabic" w:cs="Simplified Arabic" w:hint="cs"/>
          <w:b/>
          <w:bCs/>
          <w:color w:val="000000" w:themeColor="text1"/>
          <w:kern w:val="0"/>
          <w:sz w:val="36"/>
          <w:szCs w:val="36"/>
          <w:rtl/>
          <w14:ligatures w14:val="none"/>
        </w:rPr>
        <w:t>المبحث الأول: استراتيجيات الابتكار</w:t>
      </w:r>
      <w:bookmarkEnd w:id="13"/>
    </w:p>
    <w:p w14:paraId="57E457C6" w14:textId="24B75FDA" w:rsidR="00C91FF7" w:rsidRPr="00C91FF7" w:rsidRDefault="00C91FF7" w:rsidP="00C91FF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14" w:name="_Toc235213665"/>
      <w:r w:rsidRPr="00C91FF7">
        <w:rPr>
          <w:rFonts w:ascii="Simplified Arabic" w:eastAsia="Times New Roman" w:hAnsi="Simplified Arabic" w:cs="Simplified Arabic" w:hint="cs"/>
          <w:b/>
          <w:bCs/>
          <w:color w:val="000000" w:themeColor="text1"/>
          <w:kern w:val="0"/>
          <w:sz w:val="32"/>
          <w:szCs w:val="32"/>
          <w:rtl/>
          <w14:ligatures w14:val="none"/>
        </w:rPr>
        <w:t>1.1.2</w:t>
      </w:r>
      <w:r w:rsidRPr="00C91FF7">
        <w:rPr>
          <w:rFonts w:ascii="Simplified Arabic" w:eastAsia="Times New Roman" w:hAnsi="Simplified Arabic" w:cs="Simplified Arabic"/>
          <w:b/>
          <w:bCs/>
          <w:color w:val="000000" w:themeColor="text1"/>
          <w:kern w:val="0"/>
          <w:sz w:val="32"/>
          <w:szCs w:val="32"/>
          <w:rtl/>
          <w14:ligatures w14:val="none"/>
        </w:rPr>
        <w:t xml:space="preserve">  مقدمة الفصل</w:t>
      </w:r>
      <w:bookmarkEnd w:id="14"/>
      <w:r w:rsidRPr="00C91FF7">
        <w:rPr>
          <w:rFonts w:ascii="Simplified Arabic" w:eastAsia="Times New Roman" w:hAnsi="Simplified Arabic" w:cs="Simplified Arabic"/>
          <w:b/>
          <w:bCs/>
          <w:color w:val="000000" w:themeColor="text1"/>
          <w:kern w:val="0"/>
          <w:sz w:val="32"/>
          <w:szCs w:val="32"/>
          <w:rtl/>
          <w14:ligatures w14:val="none"/>
        </w:rPr>
        <w:t xml:space="preserve"> </w:t>
      </w:r>
    </w:p>
    <w:p w14:paraId="4E4B95E2" w14:textId="5083A92F"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Pr>
          <w:rFonts w:ascii="Simplified Arabic" w:eastAsia="Times New Roman" w:hAnsi="Simplified Arabic" w:cs="Simplified Arabic"/>
          <w:color w:val="000000" w:themeColor="text1"/>
          <w:kern w:val="0"/>
          <w:sz w:val="28"/>
          <w:szCs w:val="28"/>
          <w:rtl/>
          <w14:ligatures w14:val="none"/>
        </w:rPr>
        <w:t xml:space="preserve"> </w:t>
      </w:r>
      <w:r w:rsidRPr="00C91FF7">
        <w:rPr>
          <w:rFonts w:ascii="Simplified Arabic" w:eastAsia="Times New Roman" w:hAnsi="Simplified Arabic" w:cs="Simplified Arabic"/>
          <w:color w:val="000000" w:themeColor="text1"/>
          <w:kern w:val="0"/>
          <w:sz w:val="28"/>
          <w:szCs w:val="28"/>
          <w:rtl/>
          <w14:ligatures w14:val="none"/>
        </w:rPr>
        <w:t xml:space="preserve">يُعد الإطار النظري أحد المرتكزات الأساسية في البحوث العلمية؛ إذ يسهم في تفسير المفاهيم الرئيسة للدراسة، وتوضيح العلاقات المتوقعة بين متغيراتها، كما يساعد في بناء الأساس العلمي الذي تستند إليه الدراسة في تفسير النتائج ومناقشتها. وتزداد أهمية الإطار النظري في الدراسات الإدارية المعاصرة نتيجة للتطور المتسارع في بيئة الأعمال، وما يرافقه من تغيرات تقنية واقتصادية وتنظيمية تتطلب من الشركات تطوير قدراتها بصورة مستمرة للحفاظ على قدرتها التنافسية وضمان استمرارية أعمالها. </w:t>
      </w:r>
    </w:p>
    <w:p w14:paraId="44C1F138"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وتتناول هذه الدراسة متغيرين رئيسين يتمثلان في استراتيجيات الابتكار بوصفها المتغير المستقل، واستمرارية الأعمال بوصفها المتغير التابع، انطلاقًا من افتراض أن تبني الشركات لاستراتيجيات ابتكار فعالة يسهم في تعزيز جاهزيتها للتعامل مع المتغيرات الداخلية والخارجية، ويزيد من قدرتها على الاستمرار في تقديم منتجاتها وخدماتها بكفاءة حتى في ظل الأزمات والاضطرابات. </w:t>
      </w:r>
    </w:p>
    <w:p w14:paraId="530FF601"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كما يستعرض هذا الفصل أبرز الأدبيات العلمية المتعلقة بمفاهيم الابتكار واستراتيجياته، وأبعاد استمرارية الأعمال، إضافة إلى النظريات التي تفسر العلاقة بين المتغيرين، والدراسات السابقة العربية والأجنبية ذات الصلة، وصولًا إلى تحديد الفجوة البحثية التي تسعى الدراسة الحالية إلى معالجتها. </w:t>
      </w:r>
    </w:p>
    <w:p w14:paraId="33E5E7FF" w14:textId="6C81F1C4" w:rsidR="00C91FF7" w:rsidRPr="00C91FF7" w:rsidRDefault="00C91FF7" w:rsidP="00C91FF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15" w:name="_Toc235213666"/>
      <w:r w:rsidRPr="00C91FF7">
        <w:rPr>
          <w:rFonts w:ascii="Simplified Arabic" w:eastAsia="Times New Roman" w:hAnsi="Simplified Arabic" w:cs="Simplified Arabic" w:hint="cs"/>
          <w:b/>
          <w:bCs/>
          <w:color w:val="000000" w:themeColor="text1"/>
          <w:kern w:val="0"/>
          <w:sz w:val="32"/>
          <w:szCs w:val="32"/>
          <w:rtl/>
          <w14:ligatures w14:val="none"/>
        </w:rPr>
        <w:t xml:space="preserve">2.1.2 </w:t>
      </w:r>
      <w:r w:rsidRPr="00C91FF7">
        <w:rPr>
          <w:rFonts w:ascii="Simplified Arabic" w:eastAsia="Times New Roman" w:hAnsi="Simplified Arabic" w:cs="Simplified Arabic"/>
          <w:b/>
          <w:bCs/>
          <w:color w:val="000000" w:themeColor="text1"/>
          <w:kern w:val="0"/>
          <w:sz w:val="32"/>
          <w:szCs w:val="32"/>
          <w:rtl/>
          <w14:ligatures w14:val="none"/>
        </w:rPr>
        <w:t>مفهوم الابتكار</w:t>
      </w:r>
      <w:bookmarkEnd w:id="15"/>
      <w:r w:rsidRPr="00C91FF7">
        <w:rPr>
          <w:rFonts w:ascii="Simplified Arabic" w:eastAsia="Times New Roman" w:hAnsi="Simplified Arabic" w:cs="Simplified Arabic"/>
          <w:b/>
          <w:bCs/>
          <w:color w:val="000000" w:themeColor="text1"/>
          <w:kern w:val="0"/>
          <w:sz w:val="32"/>
          <w:szCs w:val="32"/>
          <w:rtl/>
          <w14:ligatures w14:val="none"/>
        </w:rPr>
        <w:t xml:space="preserve"> </w:t>
      </w:r>
    </w:p>
    <w:p w14:paraId="7767188E" w14:textId="6EB4AD68"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شهد مفهوم الابتكار اهتمامًا متزايدًا خلال العقود الأخيرة، نظرًا لما يمثله من عنصر محوري في تحقيق النمو الاقتصادي وتعزيز القدرة التنافسية للمؤسسات. ولم يعد الابتكار يقتصر على تطوير منتجات جديدة، بل أصبح يشمل تطوير العمليات التشغيلية، والهياكل التنظيمية، والنظم الإدارية، وأساليب تقديم الخدمات، بما يسهم في رفع كفاءة الأداء وتحقيق قيمة مضاف</w:t>
      </w:r>
      <w:r>
        <w:rPr>
          <w:rFonts w:ascii="Simplified Arabic" w:eastAsia="Times New Roman" w:hAnsi="Simplified Arabic" w:cs="Simplified Arabic"/>
          <w:color w:val="000000" w:themeColor="text1"/>
          <w:kern w:val="0"/>
          <w:sz w:val="28"/>
          <w:szCs w:val="28"/>
          <w:rtl/>
          <w14:ligatures w14:val="none"/>
        </w:rPr>
        <w:t>ة للمؤسسة والعملاء على حد سواء.</w:t>
      </w:r>
    </w:p>
    <w:p w14:paraId="4925FF57"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 xml:space="preserve">ويُنظر إلى الابتكار في الفكر الإداري الحديث بوصفه عملية منظمة تهدف إلى تحويل الأفكار الجديدة إلى تطبيقات عملية تحقق منافع اقتصادية أو تنظيمية أو اجتماعية، ويتميز بارتباطه المباشر بقدرة المؤسسة على التعلم والتكيف مع المتغيرات واستثمار الفرص المتاحة في بيئة الأعمال. </w:t>
      </w:r>
    </w:p>
    <w:p w14:paraId="4C0BAC9A"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وتشير الأدبيات إلى أن الابتكار يمثل أحد الموارد الاستراتيجية التي تمكن المؤسسات من المحافظة على ميزتها التنافسية، خاصة في البيئات التي تتسم بسرعة التغير وارتفاع مستوى المنافسة، إذ يسهم في تحسين جودة المنتجات والخدمات، وخفض التكاليف، وزيادة رضا العملاء، ورفع كفاءة العمليات التشغيلية. </w:t>
      </w:r>
    </w:p>
    <w:p w14:paraId="1ADF5CAD"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كما أن الابتكار لم يعد خيارًا تنظيميًا، بل أصبح ضرورة استراتيجية لضمان استدامة الشركات واستمرارها في الأسواق، حيث تعتمد المؤسسات الناجحة على بناء ثقافة تنظيمية تشجع الإبداع، وتحفز العاملين على طرح الأفكار الجديدة، وتوفر الموارد اللازمة لتحويل تلك الأفكار إلى ممارسات عملية تسهم في تحقيق أهداف المؤسسة. </w:t>
      </w:r>
    </w:p>
    <w:p w14:paraId="597262C3" w14:textId="664EC2E5" w:rsidR="00C91FF7" w:rsidRPr="00C91FF7" w:rsidRDefault="00C91FF7" w:rsidP="00C91FF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16" w:name="_Toc235213667"/>
      <w:r w:rsidRPr="00C91FF7">
        <w:rPr>
          <w:rFonts w:ascii="Simplified Arabic" w:eastAsia="Times New Roman" w:hAnsi="Simplified Arabic" w:cs="Simplified Arabic" w:hint="cs"/>
          <w:b/>
          <w:bCs/>
          <w:color w:val="000000" w:themeColor="text1"/>
          <w:kern w:val="0"/>
          <w:sz w:val="32"/>
          <w:szCs w:val="32"/>
          <w:rtl/>
          <w14:ligatures w14:val="none"/>
        </w:rPr>
        <w:t xml:space="preserve">3.1.2 </w:t>
      </w:r>
      <w:r w:rsidRPr="00C91FF7">
        <w:rPr>
          <w:rFonts w:ascii="Simplified Arabic" w:eastAsia="Times New Roman" w:hAnsi="Simplified Arabic" w:cs="Simplified Arabic"/>
          <w:b/>
          <w:bCs/>
          <w:color w:val="000000" w:themeColor="text1"/>
          <w:kern w:val="0"/>
          <w:sz w:val="32"/>
          <w:szCs w:val="32"/>
          <w:rtl/>
          <w14:ligatures w14:val="none"/>
        </w:rPr>
        <w:t>الفرق بين الإبداع والابتكار</w:t>
      </w:r>
      <w:bookmarkEnd w:id="16"/>
      <w:r w:rsidRPr="00C91FF7">
        <w:rPr>
          <w:rFonts w:ascii="Simplified Arabic" w:eastAsia="Times New Roman" w:hAnsi="Simplified Arabic" w:cs="Simplified Arabic"/>
          <w:b/>
          <w:bCs/>
          <w:color w:val="000000" w:themeColor="text1"/>
          <w:kern w:val="0"/>
          <w:sz w:val="32"/>
          <w:szCs w:val="32"/>
          <w:rtl/>
          <w14:ligatures w14:val="none"/>
        </w:rPr>
        <w:t xml:space="preserve"> </w:t>
      </w:r>
    </w:p>
    <w:p w14:paraId="6AF1785D"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على الرغم من استخدام مصطلحي الإبداع والابتكار بصورة متبادلة في بعض الأدبيات، فإن هناك اختلافًا جوهريًا بينهما. فالإبداع يُشير إلى القدرة على إنتاج أفكار جديدة وأصيلة، بينما يُمثل الابتكار مرحلة تحويل تلك الأفكار إلى تطبيقات أو منتجات أو خدمات أو عمليات تحقق قيمة فعلية للمؤسسة أو للمستفيدين منها. </w:t>
      </w:r>
    </w:p>
    <w:p w14:paraId="2DC5D9D2"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وبذلك يمكن اعتبار الإبداع نقطة البداية التي تولد الأفكار، في حين يمثل الابتكار المرحلة التنفيذية التي يتم خلالها توظيف تلك الأفكار وتحويلها إلى واقع عملي قابل للتطبيق. ومن هذا المنطلق، فإن نجاح المؤسسات لا يعتمد على امتلاك الأفكار الإبداعية فحسب، وإنما يعتمد بصورة أكبر على قدرتها على إدارة الابتكار وتطبيقه بكفاءة داخل بيئة العمل. </w:t>
      </w:r>
    </w:p>
    <w:p w14:paraId="47749A8C" w14:textId="1BDED4AD" w:rsidR="00C91FF7" w:rsidRPr="00C91FF7" w:rsidRDefault="00C91FF7" w:rsidP="00C91FF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17" w:name="_Toc235213668"/>
      <w:r w:rsidRPr="00C91FF7">
        <w:rPr>
          <w:rFonts w:ascii="Simplified Arabic" w:eastAsia="Times New Roman" w:hAnsi="Simplified Arabic" w:cs="Simplified Arabic" w:hint="cs"/>
          <w:b/>
          <w:bCs/>
          <w:color w:val="000000" w:themeColor="text1"/>
          <w:kern w:val="0"/>
          <w:sz w:val="32"/>
          <w:szCs w:val="32"/>
          <w:rtl/>
          <w14:ligatures w14:val="none"/>
        </w:rPr>
        <w:t xml:space="preserve">4.1.2 </w:t>
      </w:r>
      <w:r w:rsidRPr="00C91FF7">
        <w:rPr>
          <w:rFonts w:ascii="Simplified Arabic" w:eastAsia="Times New Roman" w:hAnsi="Simplified Arabic" w:cs="Simplified Arabic"/>
          <w:b/>
          <w:bCs/>
          <w:color w:val="000000" w:themeColor="text1"/>
          <w:kern w:val="0"/>
          <w:sz w:val="32"/>
          <w:szCs w:val="32"/>
          <w:rtl/>
          <w14:ligatures w14:val="none"/>
        </w:rPr>
        <w:t>أهمية الابتكار في الشركات</w:t>
      </w:r>
      <w:bookmarkEnd w:id="17"/>
      <w:r w:rsidRPr="00C91FF7">
        <w:rPr>
          <w:rFonts w:ascii="Simplified Arabic" w:eastAsia="Times New Roman" w:hAnsi="Simplified Arabic" w:cs="Simplified Arabic"/>
          <w:b/>
          <w:bCs/>
          <w:color w:val="000000" w:themeColor="text1"/>
          <w:kern w:val="0"/>
          <w:sz w:val="32"/>
          <w:szCs w:val="32"/>
          <w:rtl/>
          <w14:ligatures w14:val="none"/>
        </w:rPr>
        <w:t xml:space="preserve"> </w:t>
      </w:r>
    </w:p>
    <w:p w14:paraId="5F59BB02"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تنبع أهمية الابتكار من دوره في تعزيز قدرة الشركات على التكيف مع التغيرات المتسارعة في الأسواق، وتحقيق النمو المستدام، وتحسين جودة المنتجات والخدمات، إضافة إلى رفع كفاءة العمليات الداخلية وتقليل الهدر في الموارد. كما يسهم الابتكار في تعزيز قدرة الشركات على مواجهة المنافسة، واستثمار التقنيات </w:t>
      </w:r>
      <w:r w:rsidRPr="00C91FF7">
        <w:rPr>
          <w:rFonts w:ascii="Simplified Arabic" w:eastAsia="Times New Roman" w:hAnsi="Simplified Arabic" w:cs="Simplified Arabic"/>
          <w:color w:val="000000" w:themeColor="text1"/>
          <w:kern w:val="0"/>
          <w:sz w:val="28"/>
          <w:szCs w:val="28"/>
          <w:rtl/>
          <w14:ligatures w14:val="none"/>
        </w:rPr>
        <w:lastRenderedPageBreak/>
        <w:t xml:space="preserve">الحديثة، والاستجابة السريعة لاحتياجات العملاء، مما ينعكس إيجابًا على الأداء المؤسسي واستمرارية الأعمال. </w:t>
      </w:r>
    </w:p>
    <w:p w14:paraId="73BD9763" w14:textId="4E91AFF0"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وفي ظل التحول الرقمي والتطور التكنولوجي، أصبح الابتكار أحد المحركات الرئيسة لتحقيق مستهدفات التنمية الاقتصادية، حيث تسعى المؤسسات إلى بناء بيئات عمل تشجع التعلم المستمر، وتدعم تبادل المعرفة، وتعزز ثقافة التطوير والتحسين المستمر، بما يضمن قدرتها على مواجهة الأزمات والتغيرات المستقبلية </w:t>
      </w:r>
    </w:p>
    <w:p w14:paraId="7F1CB310" w14:textId="461761C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تُعد استراتيجيات الابتكار من الركائز الأساسية التي تعتمد عليها المؤسسات المعاصرة لتحقيق النمو المستدام وتعزيز قدرتها على المنافسة في بيئة الأعمال المتغيرة. ولا يقتصر مفهوم استراتيجيات الابتكار على تبني أفكار جديدة، بل يشمل وضع توجهات وسياسات طويلة المدى تهدف إلى تطوير المنتجات والخدمات والعمليات الإدارية والتقنية بما يحقق أهداف المؤسسة ويرفع قدرتها على التكيف مع المتغيرات. </w:t>
      </w:r>
    </w:p>
    <w:p w14:paraId="0B0E599D"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وتشير الأدبيات الإدارية إلى أن نجاح المؤسسات في تطبيق استراتيجيات الابتكار يعتمد على وجود رؤية واضحة، ودعم من الإدارة العليا، وثقافة تنظيمية تشجع الإبداع، إضافة إلى توافر الموارد البشرية والمالية والتقنية اللازمة لتحويل الأفكار إلى ممارسات عملية. كما ترتبط استراتيجيات الابتكار بقدرة المؤسسة على استشراف الفرص المستقبلية والاستجابة للتغيرات البيئية بصورة استباقية، الأمر الذي يجعلها أداة استراتيجية لتعزيز القدرة التنافسية وتحقيق استمرارية الأعمال. </w:t>
      </w:r>
    </w:p>
    <w:p w14:paraId="33B01080" w14:textId="0122CC15"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وفي ظل التحولات الاقتصادية والتقنية التي تشهدها المملكة العربية السعودية، أصبحت استراتيجيات الابتكار عنصرًا رئيسًا في دعم تنافسية الشركات وتحقيق مستهدفات رؤية المملكة 2030، التي تؤكد على تنمية الاقتصاد القائم على المعرفة، وتشجيع الابتكار وريادة الأعمال، وتحسين كفاءة الأداء المؤسسي. </w:t>
      </w:r>
    </w:p>
    <w:p w14:paraId="1EE52C68" w14:textId="2793FBE7" w:rsidR="00C91FF7" w:rsidRPr="00C91FF7" w:rsidRDefault="00C91FF7" w:rsidP="00C91FF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18" w:name="_Toc235213669"/>
      <w:r w:rsidRPr="00C91FF7">
        <w:rPr>
          <w:rFonts w:ascii="Simplified Arabic" w:eastAsia="Times New Roman" w:hAnsi="Simplified Arabic" w:cs="Simplified Arabic" w:hint="cs"/>
          <w:b/>
          <w:bCs/>
          <w:color w:val="000000" w:themeColor="text1"/>
          <w:kern w:val="0"/>
          <w:sz w:val="32"/>
          <w:szCs w:val="32"/>
          <w:rtl/>
          <w14:ligatures w14:val="none"/>
        </w:rPr>
        <w:t xml:space="preserve">5.1.2 </w:t>
      </w:r>
      <w:r w:rsidRPr="00C91FF7">
        <w:rPr>
          <w:rFonts w:ascii="Simplified Arabic" w:eastAsia="Times New Roman" w:hAnsi="Simplified Arabic" w:cs="Simplified Arabic"/>
          <w:b/>
          <w:bCs/>
          <w:color w:val="000000" w:themeColor="text1"/>
          <w:kern w:val="0"/>
          <w:sz w:val="32"/>
          <w:szCs w:val="32"/>
          <w:rtl/>
          <w14:ligatures w14:val="none"/>
        </w:rPr>
        <w:t>أبعاد استراتيجيات الابتكار</w:t>
      </w:r>
      <w:bookmarkEnd w:id="18"/>
      <w:r w:rsidRPr="00C91FF7">
        <w:rPr>
          <w:rFonts w:ascii="Simplified Arabic" w:eastAsia="Times New Roman" w:hAnsi="Simplified Arabic" w:cs="Simplified Arabic"/>
          <w:b/>
          <w:bCs/>
          <w:color w:val="000000" w:themeColor="text1"/>
          <w:kern w:val="0"/>
          <w:sz w:val="32"/>
          <w:szCs w:val="32"/>
          <w:rtl/>
          <w14:ligatures w14:val="none"/>
        </w:rPr>
        <w:t xml:space="preserve"> </w:t>
      </w:r>
    </w:p>
    <w:p w14:paraId="17EFE879"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اعتمدت الدراسة الحالية خمسة أبعاد رئيسة لاستراتيجيات الابتكار، تمثل أكثر الأبعاد شيوعًا في الأدبيات الإدارية، وهي: ابتكار المنتجات والخدمات، وابتكار العمليات، والابتكار الإداري والتنظيمي، والابتكار التقني، والابتكار التسويقي. </w:t>
      </w:r>
    </w:p>
    <w:p w14:paraId="4AD49FF7" w14:textId="77777777" w:rsidR="00C91FF7" w:rsidRPr="00C91FF7" w:rsidRDefault="00C91FF7" w:rsidP="00C91FF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C91FF7">
        <w:rPr>
          <w:rFonts w:ascii="Simplified Arabic" w:eastAsia="Times New Roman" w:hAnsi="Simplified Arabic" w:cs="Simplified Arabic"/>
          <w:b/>
          <w:bCs/>
          <w:color w:val="000000" w:themeColor="text1"/>
          <w:kern w:val="0"/>
          <w:sz w:val="28"/>
          <w:szCs w:val="28"/>
          <w:rtl/>
          <w14:ligatures w14:val="none"/>
        </w:rPr>
        <w:t xml:space="preserve">أولاً: استراتيجية ابتكار المنتجات والخدمات </w:t>
      </w:r>
    </w:p>
    <w:p w14:paraId="13DD01F5"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 xml:space="preserve">يقصد بها قدرة المؤسسة على تطوير منتجات أو خدمات جديدة، أو تحسين المنتجات والخدمات الحالية بما يتوافق مع احتياجات العملاء ومتطلبات السوق. ويعد هذا النوع من الابتكار من أكثر أنواع الابتكار تأثيرًا في تحقيق الميزة التنافسية، حيث يسهم في زيادة رضا العملاء، وتعزيز الحصة السوقية، وتحقيق النمو المستدام. </w:t>
      </w:r>
    </w:p>
    <w:p w14:paraId="59D4F9D9"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كما يسهم ابتكار المنتجات والخدمات في رفع قدرة المؤسسة على الاستجابة للتغيرات في أذواق المستهلكين، ومواكبة التطورات التقنية، واستثمار الفرص الجديدة في الأسواق، مما يدعم استمرارية الأعمال على المدى الطويل. </w:t>
      </w:r>
    </w:p>
    <w:p w14:paraId="12CA0E87" w14:textId="77777777" w:rsidR="00C91FF7" w:rsidRPr="00C91FF7" w:rsidRDefault="00C91FF7" w:rsidP="00C91FF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C91FF7">
        <w:rPr>
          <w:rFonts w:ascii="Simplified Arabic" w:eastAsia="Times New Roman" w:hAnsi="Simplified Arabic" w:cs="Simplified Arabic"/>
          <w:b/>
          <w:bCs/>
          <w:color w:val="000000" w:themeColor="text1"/>
          <w:kern w:val="0"/>
          <w:sz w:val="28"/>
          <w:szCs w:val="28"/>
          <w:rtl/>
          <w14:ligatures w14:val="none"/>
        </w:rPr>
        <w:t xml:space="preserve">ثانياً: استراتيجية ابتكار العمليات </w:t>
      </w:r>
    </w:p>
    <w:p w14:paraId="48DCD0F2"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يركز هذا البعد على تطوير وتحسين العمليات التشغيلية داخل المؤسسة بما يؤدي إلى رفع الكفاءة الإنتاجية، وتقليل التكاليف، وتحسين جودة المخرجات، وتقليص الزمن اللازم لتنفيذ العمليات. </w:t>
      </w:r>
    </w:p>
    <w:p w14:paraId="2229F88E"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وتلجأ المؤسسات إلى ابتكار العمليات من خلال إعادة تصميم إجراءات العمل، واستخدام التقنيات الحديثة، والأتمتة، والتحول الرقمي، بما يحقق الاستخدام الأمثل للموارد ويعزز القدرة على مواجهة التحديات التشغيلية. </w:t>
      </w:r>
    </w:p>
    <w:p w14:paraId="1A3E4D3D"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كما يساعد ابتكار العمليات في تعزيز مرونة المؤسسة وسرعة استجابتها للتغيرات، وهو ما ينعكس إيجابًا على قدرتها على الاستمرار في تقديم منتجاتها وخدماتها حتى في الظروف الاستثنائية. </w:t>
      </w:r>
    </w:p>
    <w:p w14:paraId="4D4741D5" w14:textId="162F6A47" w:rsidR="00C91FF7" w:rsidRPr="00A66F82" w:rsidRDefault="00C91FF7" w:rsidP="00A66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66F82">
        <w:rPr>
          <w:rFonts w:ascii="Simplified Arabic" w:eastAsia="Times New Roman" w:hAnsi="Simplified Arabic" w:cs="Simplified Arabic"/>
          <w:b/>
          <w:bCs/>
          <w:color w:val="000000" w:themeColor="text1"/>
          <w:kern w:val="0"/>
          <w:sz w:val="28"/>
          <w:szCs w:val="28"/>
          <w:rtl/>
          <w14:ligatures w14:val="none"/>
        </w:rPr>
        <w:t>ثالثاً: استراتي</w:t>
      </w:r>
      <w:r w:rsidR="00A66F82">
        <w:rPr>
          <w:rFonts w:ascii="Simplified Arabic" w:eastAsia="Times New Roman" w:hAnsi="Simplified Arabic" w:cs="Simplified Arabic"/>
          <w:b/>
          <w:bCs/>
          <w:color w:val="000000" w:themeColor="text1"/>
          <w:kern w:val="0"/>
          <w:sz w:val="28"/>
          <w:szCs w:val="28"/>
          <w:rtl/>
          <w14:ligatures w14:val="none"/>
        </w:rPr>
        <w:t xml:space="preserve">جية الابتكار الإداري والتنظيمي </w:t>
      </w:r>
    </w:p>
    <w:p w14:paraId="41B578EC"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يشير الابتكار الإداري والتنظيمي إلى تطوير الأساليب الإدارية والهياكل التنظيمية، وتحسين السياسات والإجراءات، بما يسهم في رفع كفاءة الإدارة وتعزيز بيئة العمل. </w:t>
      </w:r>
    </w:p>
    <w:p w14:paraId="3B4CEF39"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ويتضمن هذا النوع من الابتكار تحديث أنظمة اتخاذ القرار، وتطوير آليات الاتصال الداخلي، وإعادة تصميم الهيكل التنظيمي، وتبني ممارسات قيادية حديثة، إضافة إلى تعزيز ثقافة المشاركة والتمكين والتعلم التنظيمي. </w:t>
      </w:r>
    </w:p>
    <w:p w14:paraId="0F68C663"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 xml:space="preserve">ويمثل الابتكار الإداري عنصرًا مهمًا في تحقيق التوافق بين الاستراتيجية والعمليات الداخلية، كما يساعد المؤسسات على إدارة التغيير بصورة أكثر فاعلية. </w:t>
      </w:r>
    </w:p>
    <w:p w14:paraId="5E8ED773" w14:textId="09DD5D27" w:rsidR="00C91FF7" w:rsidRPr="00A66F82" w:rsidRDefault="00C91FF7" w:rsidP="00A66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66F82">
        <w:rPr>
          <w:rFonts w:ascii="Simplified Arabic" w:eastAsia="Times New Roman" w:hAnsi="Simplified Arabic" w:cs="Simplified Arabic"/>
          <w:b/>
          <w:bCs/>
          <w:color w:val="000000" w:themeColor="text1"/>
          <w:kern w:val="0"/>
          <w:sz w:val="28"/>
          <w:szCs w:val="28"/>
          <w:rtl/>
          <w14:ligatures w14:val="none"/>
        </w:rPr>
        <w:t xml:space="preserve">رابعاً: استراتيجية الابتكار التقني </w:t>
      </w:r>
    </w:p>
    <w:p w14:paraId="4E2977E7"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يقصد بالابتكار التقني توظيف التقنيات الحديثة في دعم العمليات التشغيلية والإدارية داخل المؤسسة، بما يشمل أنظمة المعلومات، والذكاء الاصطناعي، والحوسبة السحابية، وتحليل البيانات، والأتمتة، وغيرها من التقنيات الرقمية. </w:t>
      </w:r>
    </w:p>
    <w:p w14:paraId="38422288"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وقد أصبح الابتكار التقني في السنوات الأخيرة أحد أهم محركات التطور المؤسسي، نظرًا لدوره في رفع الإنتاجية، وتحسين جودة الخدمات، وتسريع اتخاذ القرار، وتقليل الأخطاء البشرية، وتعزيز أمن المعلومات. </w:t>
      </w:r>
    </w:p>
    <w:p w14:paraId="0CDD77CA"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كما يسهم في زيادة قدرة المؤسسات على مواجهة الأزمات من خلال توفير حلول رقمية تدعم استمرارية العمليات والخدمات. </w:t>
      </w:r>
    </w:p>
    <w:p w14:paraId="3C45CB11" w14:textId="77777777" w:rsidR="00C91FF7" w:rsidRPr="00A66F82" w:rsidRDefault="00C91FF7" w:rsidP="00A66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66F82">
        <w:rPr>
          <w:rFonts w:ascii="Simplified Arabic" w:eastAsia="Times New Roman" w:hAnsi="Simplified Arabic" w:cs="Simplified Arabic"/>
          <w:b/>
          <w:bCs/>
          <w:color w:val="000000" w:themeColor="text1"/>
          <w:kern w:val="0"/>
          <w:sz w:val="28"/>
          <w:szCs w:val="28"/>
          <w:rtl/>
          <w14:ligatures w14:val="none"/>
        </w:rPr>
        <w:t xml:space="preserve">خامساً: استراتيجية الابتكار التسويقي </w:t>
      </w:r>
    </w:p>
    <w:p w14:paraId="7BB4D71C"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يقصد بالابتكار التسويقي تطوير الأساليب التي تستخدمها المؤسسة في تسويق منتجاتها أو خدماتها، بما يشمل تطوير قنوات التوزيع، واستراتيجيات التسعير، ووسائل الاتصال التسويقي، وتجربة العميل. </w:t>
      </w:r>
    </w:p>
    <w:p w14:paraId="4E6FB475" w14:textId="43B8700F" w:rsidR="00C91FF7" w:rsidRPr="00C91FF7" w:rsidRDefault="00C91FF7"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ويساعد هذا النوع من الابتكار المؤسسات على الوصول إلى شرائح جديدة من العملاء، وتعزيز ولاء العملاء الحاليين، ورفع القيمة المدركة للمنتجات والخدمات، بما ينعكس إيجابًا على ال</w:t>
      </w:r>
      <w:r w:rsidR="00A66F82">
        <w:rPr>
          <w:rFonts w:ascii="Simplified Arabic" w:eastAsia="Times New Roman" w:hAnsi="Simplified Arabic" w:cs="Simplified Arabic"/>
          <w:color w:val="000000" w:themeColor="text1"/>
          <w:kern w:val="0"/>
          <w:sz w:val="28"/>
          <w:szCs w:val="28"/>
          <w:rtl/>
          <w14:ligatures w14:val="none"/>
        </w:rPr>
        <w:t xml:space="preserve">أداء المالي والتنافسي للمؤسسة. </w:t>
      </w:r>
    </w:p>
    <w:p w14:paraId="2E6AC8E4"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كما يعد الابتكار التسويقي وسيلة مهمة للتكيف مع التحولات السريعة في الأسواق، خاصة في ظل الانتشار الواسع للتجارة الإلكترونية والتسويق الرقمي. </w:t>
      </w:r>
    </w:p>
    <w:p w14:paraId="1CBBF5A2" w14:textId="59C11EBC" w:rsidR="00C91FF7" w:rsidRPr="00A66F82" w:rsidRDefault="00A66F82" w:rsidP="00A66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19" w:name="_Toc235213670"/>
      <w:r w:rsidRPr="00A66F82">
        <w:rPr>
          <w:rFonts w:ascii="Simplified Arabic" w:eastAsia="Times New Roman" w:hAnsi="Simplified Arabic" w:cs="Simplified Arabic" w:hint="cs"/>
          <w:b/>
          <w:bCs/>
          <w:color w:val="000000" w:themeColor="text1"/>
          <w:kern w:val="0"/>
          <w:sz w:val="32"/>
          <w:szCs w:val="32"/>
          <w:rtl/>
          <w14:ligatures w14:val="none"/>
        </w:rPr>
        <w:t xml:space="preserve">6.1.2 </w:t>
      </w:r>
      <w:r w:rsidR="00C91FF7" w:rsidRPr="00A66F82">
        <w:rPr>
          <w:rFonts w:ascii="Simplified Arabic" w:eastAsia="Times New Roman" w:hAnsi="Simplified Arabic" w:cs="Simplified Arabic"/>
          <w:b/>
          <w:bCs/>
          <w:color w:val="000000" w:themeColor="text1"/>
          <w:kern w:val="0"/>
          <w:sz w:val="32"/>
          <w:szCs w:val="32"/>
          <w:rtl/>
          <w14:ligatures w14:val="none"/>
        </w:rPr>
        <w:t>العلاقة بين استراتيجيات الابتكار والأداء المؤسسي</w:t>
      </w:r>
      <w:bookmarkEnd w:id="19"/>
      <w:r w:rsidR="00C91FF7" w:rsidRPr="00A66F82">
        <w:rPr>
          <w:rFonts w:ascii="Simplified Arabic" w:eastAsia="Times New Roman" w:hAnsi="Simplified Arabic" w:cs="Simplified Arabic"/>
          <w:b/>
          <w:bCs/>
          <w:color w:val="000000" w:themeColor="text1"/>
          <w:kern w:val="0"/>
          <w:sz w:val="32"/>
          <w:szCs w:val="32"/>
          <w:rtl/>
          <w14:ligatures w14:val="none"/>
        </w:rPr>
        <w:t xml:space="preserve"> </w:t>
      </w:r>
    </w:p>
    <w:p w14:paraId="4E715745" w14:textId="321F238E" w:rsidR="00C91FF7" w:rsidRPr="00C91FF7" w:rsidRDefault="00C91FF7"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أشارت العديد من الدراسات إلى وجود علاقة إيجابية بين تبني استراتيجيات الابتكار وتحسين الأداء المؤسسي، حيث يسهم الابتكار في رفع الإنتاجية، وتحسين جودة الخدمات، وتعزيز رضا العملاء، وزيادة الكفاءة التشغيلية، ودعم الميزة التنافسية. كما ينعكس تبني استراتيجيات الابتكار على قدرة المؤسسة على </w:t>
      </w:r>
      <w:r w:rsidRPr="00C91FF7">
        <w:rPr>
          <w:rFonts w:ascii="Simplified Arabic" w:eastAsia="Times New Roman" w:hAnsi="Simplified Arabic" w:cs="Simplified Arabic"/>
          <w:color w:val="000000" w:themeColor="text1"/>
          <w:kern w:val="0"/>
          <w:sz w:val="28"/>
          <w:szCs w:val="28"/>
          <w:rtl/>
          <w14:ligatures w14:val="none"/>
        </w:rPr>
        <w:lastRenderedPageBreak/>
        <w:t>استغلال الفرص الجديدة، والاستجابة للتغيرات البيئية، وتقليل آثار المخاطر، الأمر الذي يجعل الابتكار أحد العوامل المؤثرة في تحقيق الاستدا</w:t>
      </w:r>
      <w:r w:rsidR="00A66F82">
        <w:rPr>
          <w:rFonts w:ascii="Simplified Arabic" w:eastAsia="Times New Roman" w:hAnsi="Simplified Arabic" w:cs="Simplified Arabic"/>
          <w:color w:val="000000" w:themeColor="text1"/>
          <w:kern w:val="0"/>
          <w:sz w:val="28"/>
          <w:szCs w:val="28"/>
          <w:rtl/>
          <w14:ligatures w14:val="none"/>
        </w:rPr>
        <w:t xml:space="preserve">مة المؤسسية واستمرارية الأعمال </w:t>
      </w:r>
    </w:p>
    <w:p w14:paraId="6D2DDA84"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تُعد استمرارية الأعمال من المفاهيم الإدارية الحديثة التي اكتسبت أهمية متزايدة في ظل التغيرات الاقتصادية والتقنية وتسارع الأزمات العالمية، إذ تهدف إلى ضمان قدرة المؤسسات على مواصلة أعمالها الأساسية وتقليل آثار الاضطرابات التي قد تؤثر في عملياتها التشغيلية. ولم يعد مفهوم استمرارية الأعمال يقتصر على التعافي بعد وقوع الأزمة، بل أصبح يشمل الاستعداد المسبق، وإدارة المخاطر، والتخطيط الاستباقي، وبناء القدرات التنظيمية التي تمكن المؤسسة من الاستمرار في تقديم منتجاتها وخدماتها بأعلى مستوى ممكن من الكفاءة. </w:t>
      </w:r>
    </w:p>
    <w:p w14:paraId="5B8C95F3"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ويُنظر إلى استمرارية الأعمال بوصفها عملية إدارية متكاملة تتضمن تحديد المخاطر المحتملة، وتحليل تأثيرها، ووضع الخطط والإجراءات المناسبة للحد من آثارها، مع ضمان سرعة استعادة الأنشطة الحيوية عند حدوث أي انقطاع. كما تسهم في حماية الأصول البشرية والمادية والمعلوماتية للمؤسسة، وتعزيز ثقة العملاء وأصحاب المصلحة، والمحافظة على السمعة المؤسسية. </w:t>
      </w:r>
    </w:p>
    <w:p w14:paraId="41638C10"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وتزداد أهمية استمرارية الأعمال في الشركات التي تعمل في بيئات تتسم بالتغير المستمر والمنافسة العالية، حيث تتطلب تلك البيئات جاهزية تنظيمية عالية تمكن المؤسسة من مواجهة التحديات غير المتوقعة، مثل الأزمات الاقتصادية، والكوارث الطبيعية، والهجمات السيبرانية، والانقطاعات التقنية، وغيرها من المخاطر التي قد تؤثر في استمرار العمليات. </w:t>
      </w:r>
    </w:p>
    <w:p w14:paraId="30D151D6"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وقد ساعدت المعايير الدولية، وفي مقدمتها </w:t>
      </w:r>
      <w:r w:rsidRPr="00C91FF7">
        <w:rPr>
          <w:rFonts w:ascii="Simplified Arabic" w:eastAsia="Times New Roman" w:hAnsi="Simplified Arabic" w:cs="Simplified Arabic"/>
          <w:color w:val="000000" w:themeColor="text1"/>
          <w:kern w:val="0"/>
          <w:sz w:val="28"/>
          <w:szCs w:val="28"/>
          <w14:ligatures w14:val="none"/>
        </w:rPr>
        <w:t>ISO 22301</w:t>
      </w:r>
      <w:r w:rsidRPr="00C91FF7">
        <w:rPr>
          <w:rFonts w:ascii="Simplified Arabic" w:eastAsia="Times New Roman" w:hAnsi="Simplified Arabic" w:cs="Simplified Arabic"/>
          <w:color w:val="000000" w:themeColor="text1"/>
          <w:kern w:val="0"/>
          <w:sz w:val="28"/>
          <w:szCs w:val="28"/>
          <w:rtl/>
          <w14:ligatures w14:val="none"/>
        </w:rPr>
        <w:t xml:space="preserve">، على ترسيخ مفهوم استمرارية الأعمال من خلال تقديم إطار متكامل يساعد المؤسسات على تصميم وتنفيذ ومراجعة أنظمة إدارة استمرارية الأعمال بصورة مستمرة، بما يحقق المرونة المؤسسية ويعزز القدرة على التعافي السريع. </w:t>
      </w:r>
    </w:p>
    <w:p w14:paraId="693D5595"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p>
    <w:p w14:paraId="5DFC3F13" w14:textId="184E2E0D" w:rsidR="00C91FF7" w:rsidRPr="00A66F82" w:rsidRDefault="00A66F82" w:rsidP="00A66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20" w:name="_Toc235213671"/>
      <w:r w:rsidRPr="00A66F82">
        <w:rPr>
          <w:rFonts w:ascii="Simplified Arabic" w:eastAsia="Times New Roman" w:hAnsi="Simplified Arabic" w:cs="Simplified Arabic" w:hint="cs"/>
          <w:b/>
          <w:bCs/>
          <w:color w:val="000000" w:themeColor="text1"/>
          <w:kern w:val="0"/>
          <w:sz w:val="32"/>
          <w:szCs w:val="32"/>
          <w:rtl/>
          <w14:ligatures w14:val="none"/>
        </w:rPr>
        <w:t xml:space="preserve">7.1.2 </w:t>
      </w:r>
      <w:r w:rsidR="00C91FF7" w:rsidRPr="00A66F82">
        <w:rPr>
          <w:rFonts w:ascii="Simplified Arabic" w:eastAsia="Times New Roman" w:hAnsi="Simplified Arabic" w:cs="Simplified Arabic"/>
          <w:b/>
          <w:bCs/>
          <w:color w:val="000000" w:themeColor="text1"/>
          <w:kern w:val="0"/>
          <w:sz w:val="32"/>
          <w:szCs w:val="32"/>
          <w:rtl/>
          <w14:ligatures w14:val="none"/>
        </w:rPr>
        <w:t>أهمية استمرارية الأعمال</w:t>
      </w:r>
      <w:bookmarkEnd w:id="20"/>
      <w:r w:rsidR="00C91FF7" w:rsidRPr="00A66F82">
        <w:rPr>
          <w:rFonts w:ascii="Simplified Arabic" w:eastAsia="Times New Roman" w:hAnsi="Simplified Arabic" w:cs="Simplified Arabic"/>
          <w:b/>
          <w:bCs/>
          <w:color w:val="000000" w:themeColor="text1"/>
          <w:kern w:val="0"/>
          <w:sz w:val="32"/>
          <w:szCs w:val="32"/>
          <w:rtl/>
          <w14:ligatures w14:val="none"/>
        </w:rPr>
        <w:t xml:space="preserve"> </w:t>
      </w:r>
    </w:p>
    <w:p w14:paraId="71568003"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تمثل استمرارية الأعمال أحد العوامل الرئيسة التي تسهم في استدامة المؤسسات وتحقيق أهدافها الاستراتيجية، إذ تساعد على الحد من الخسائر المالية والتشغيلية الناتجة عن الأزمات، وتحافظ على </w:t>
      </w:r>
      <w:r w:rsidRPr="00C91FF7">
        <w:rPr>
          <w:rFonts w:ascii="Simplified Arabic" w:eastAsia="Times New Roman" w:hAnsi="Simplified Arabic" w:cs="Simplified Arabic"/>
          <w:color w:val="000000" w:themeColor="text1"/>
          <w:kern w:val="0"/>
          <w:sz w:val="28"/>
          <w:szCs w:val="28"/>
          <w:rtl/>
          <w14:ligatures w14:val="none"/>
        </w:rPr>
        <w:lastRenderedPageBreak/>
        <w:t xml:space="preserve">استمرارية تقديم الخدمات والمنتجات للعملاء، كما تدعم الالتزام بالمتطلبات النظامية والتنظيمية، وتعزز ثقة المستثمرين والعملاء في قدرة المؤسسة على إدارة المخاطر بكفاءة. </w:t>
      </w:r>
    </w:p>
    <w:p w14:paraId="2860CD5E"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كما تؤدي استمرارية الأعمال دورًا مهمًا في رفع جاهزية المؤسسة للتعامل مع الظروف الطارئة، من خلال تطوير خطط الطوارئ، وتحديد أولويات العمليات الحيوية، وتوفير الموارد اللازمة لاستعادة الأنشطة الأساسية خلال أقصر فترة ممكنة، الأمر الذي يسهم في تقليل فترات التوقف وتحسين الأداء المؤسسي. </w:t>
      </w:r>
    </w:p>
    <w:p w14:paraId="68415DDE"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وفي ضوء التحول الرقمي والاعتماد المتزايد على التقنيات الحديثة، أصبحت استمرارية الأعمال ترتبط ارتباطًا وثيقًا بالأمن السيبراني، وإدارة البيانات، واستمرارية الأنظمة التقنية، وهو ما يجعلها عنصرًا أساسيًا في تحقيق الاستدامة المؤسسية. </w:t>
      </w:r>
    </w:p>
    <w:p w14:paraId="1A3A664D" w14:textId="1DE6A035" w:rsidR="00C91FF7" w:rsidRPr="00A66F82" w:rsidRDefault="00A66F82" w:rsidP="00A66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21" w:name="_Toc235213672"/>
      <w:r w:rsidRPr="00A66F82">
        <w:rPr>
          <w:rFonts w:ascii="Simplified Arabic" w:eastAsia="Times New Roman" w:hAnsi="Simplified Arabic" w:cs="Simplified Arabic" w:hint="cs"/>
          <w:b/>
          <w:bCs/>
          <w:color w:val="000000" w:themeColor="text1"/>
          <w:kern w:val="0"/>
          <w:sz w:val="32"/>
          <w:szCs w:val="32"/>
          <w:rtl/>
          <w14:ligatures w14:val="none"/>
        </w:rPr>
        <w:t xml:space="preserve">8.1.2 </w:t>
      </w:r>
      <w:r w:rsidR="00C91FF7" w:rsidRPr="00A66F82">
        <w:rPr>
          <w:rFonts w:ascii="Simplified Arabic" w:eastAsia="Times New Roman" w:hAnsi="Simplified Arabic" w:cs="Simplified Arabic"/>
          <w:b/>
          <w:bCs/>
          <w:color w:val="000000" w:themeColor="text1"/>
          <w:kern w:val="0"/>
          <w:sz w:val="32"/>
          <w:szCs w:val="32"/>
          <w:rtl/>
          <w14:ligatures w14:val="none"/>
        </w:rPr>
        <w:t>أبعاد استمرارية الأعمال</w:t>
      </w:r>
      <w:bookmarkEnd w:id="21"/>
      <w:r w:rsidR="00C91FF7" w:rsidRPr="00A66F82">
        <w:rPr>
          <w:rFonts w:ascii="Simplified Arabic" w:eastAsia="Times New Roman" w:hAnsi="Simplified Arabic" w:cs="Simplified Arabic"/>
          <w:b/>
          <w:bCs/>
          <w:color w:val="000000" w:themeColor="text1"/>
          <w:kern w:val="0"/>
          <w:sz w:val="32"/>
          <w:szCs w:val="32"/>
          <w:rtl/>
          <w14:ligatures w14:val="none"/>
        </w:rPr>
        <w:t xml:space="preserve"> </w:t>
      </w:r>
    </w:p>
    <w:p w14:paraId="4D735AF5"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اعتمدت الدراسة الحالية خمسة أبعاد رئيسة لقياس مستوى استمرارية الأعمال داخل الشركات، وهي: </w:t>
      </w:r>
    </w:p>
    <w:p w14:paraId="2226FE20" w14:textId="4C6A7A9D" w:rsidR="00C91FF7" w:rsidRPr="00A66F82" w:rsidRDefault="00A66F82" w:rsidP="00A66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Pr>
          <w:rFonts w:ascii="Simplified Arabic" w:eastAsia="Times New Roman" w:hAnsi="Simplified Arabic" w:cs="Simplified Arabic"/>
          <w:b/>
          <w:bCs/>
          <w:color w:val="000000" w:themeColor="text1"/>
          <w:kern w:val="0"/>
          <w:sz w:val="28"/>
          <w:szCs w:val="28"/>
          <w:rtl/>
          <w14:ligatures w14:val="none"/>
        </w:rPr>
        <w:t xml:space="preserve">أولاً: الجاهزية والاستعداد </w:t>
      </w:r>
    </w:p>
    <w:p w14:paraId="4CEFE744"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ويقصد بها مدى استعداد المؤسسة للتعامل مع الأزمات قبل وقوعها من خلال إعداد الخطط، وتدريب العاملين، وتوفير الموارد اللازمة، وإجراء الاختبارات الدورية للتأكد من جاهزية خطط الطوارئ. </w:t>
      </w:r>
    </w:p>
    <w:p w14:paraId="403076C8" w14:textId="64F9D021" w:rsidR="00C91FF7" w:rsidRPr="00A66F82" w:rsidRDefault="00A66F82" w:rsidP="00A66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Pr>
          <w:rFonts w:ascii="Simplified Arabic" w:eastAsia="Times New Roman" w:hAnsi="Simplified Arabic" w:cs="Simplified Arabic"/>
          <w:b/>
          <w:bCs/>
          <w:color w:val="000000" w:themeColor="text1"/>
          <w:kern w:val="0"/>
          <w:sz w:val="28"/>
          <w:szCs w:val="28"/>
          <w:rtl/>
          <w14:ligatures w14:val="none"/>
        </w:rPr>
        <w:t xml:space="preserve">ثانياً: إدارة المخاطر </w:t>
      </w:r>
      <w:r w:rsidR="00C91FF7" w:rsidRPr="00C91FF7">
        <w:rPr>
          <w:rFonts w:ascii="Simplified Arabic" w:eastAsia="Times New Roman" w:hAnsi="Simplified Arabic" w:cs="Simplified Arabic"/>
          <w:color w:val="000000" w:themeColor="text1"/>
          <w:kern w:val="0"/>
          <w:sz w:val="28"/>
          <w:szCs w:val="28"/>
          <w:rtl/>
          <w14:ligatures w14:val="none"/>
        </w:rPr>
        <w:t xml:space="preserve">  </w:t>
      </w:r>
    </w:p>
    <w:p w14:paraId="1E49C062"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يقصد بها قدرة المؤسسة على تحديد المخاطر المحتملة، وتحليلها، وتقييم آثارها، ووضع الإجراءات المناسبة للحد من احتمالية وقوعها أو تقليل آثارها عند حدوثها. </w:t>
      </w:r>
    </w:p>
    <w:p w14:paraId="4BA55086" w14:textId="77777777" w:rsidR="00C91FF7" w:rsidRPr="00A66F82" w:rsidRDefault="00C91FF7" w:rsidP="00A66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66F82">
        <w:rPr>
          <w:rFonts w:ascii="Simplified Arabic" w:eastAsia="Times New Roman" w:hAnsi="Simplified Arabic" w:cs="Simplified Arabic"/>
          <w:b/>
          <w:bCs/>
          <w:color w:val="000000" w:themeColor="text1"/>
          <w:kern w:val="0"/>
          <w:sz w:val="28"/>
          <w:szCs w:val="28"/>
          <w:rtl/>
          <w14:ligatures w14:val="none"/>
        </w:rPr>
        <w:t xml:space="preserve">ثالثاً: استمرارية العمليات </w:t>
      </w:r>
    </w:p>
    <w:p w14:paraId="2E6E3CA4"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ويعبر هذا البعد عن قدرة المؤسسة على المحافظة على استمرار العمليات الحيوية وعدم توقف الخدمات الأساسية حتى أثناء الأزمات والظروف الاستثنائية. </w:t>
      </w:r>
    </w:p>
    <w:p w14:paraId="467383E1" w14:textId="77777777" w:rsidR="00C91FF7" w:rsidRPr="00A66F82" w:rsidRDefault="00C91FF7" w:rsidP="00A66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66F82">
        <w:rPr>
          <w:rFonts w:ascii="Simplified Arabic" w:eastAsia="Times New Roman" w:hAnsi="Simplified Arabic" w:cs="Simplified Arabic"/>
          <w:b/>
          <w:bCs/>
          <w:color w:val="000000" w:themeColor="text1"/>
          <w:kern w:val="0"/>
          <w:sz w:val="28"/>
          <w:szCs w:val="28"/>
          <w:rtl/>
          <w14:ligatures w14:val="none"/>
        </w:rPr>
        <w:t xml:space="preserve">رابعاً: سرعة التعافي </w:t>
      </w:r>
    </w:p>
    <w:p w14:paraId="52EA8BB5"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 xml:space="preserve">ويقصد بها قدرة المؤسسة على استعادة عملياتها الطبيعية خلال أقصر فترة ممكنة بعد انتهاء الأزمة، بما يقلل من حجم الخسائر التشغيلية والمالية. </w:t>
      </w:r>
    </w:p>
    <w:p w14:paraId="3716A6CC" w14:textId="77777777" w:rsidR="00C91FF7" w:rsidRPr="00A66F82" w:rsidRDefault="00C91FF7" w:rsidP="00A66F8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66F82">
        <w:rPr>
          <w:rFonts w:ascii="Simplified Arabic" w:eastAsia="Times New Roman" w:hAnsi="Simplified Arabic" w:cs="Simplified Arabic"/>
          <w:b/>
          <w:bCs/>
          <w:color w:val="000000" w:themeColor="text1"/>
          <w:kern w:val="0"/>
          <w:sz w:val="28"/>
          <w:szCs w:val="28"/>
          <w:rtl/>
          <w14:ligatures w14:val="none"/>
        </w:rPr>
        <w:t xml:space="preserve">خامساً: التحسين والتطوير المستمر </w:t>
      </w:r>
    </w:p>
    <w:p w14:paraId="583C7A82"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يشير هذا البعد إلى قيام المؤسسة بمراجعة خطط استمرارية الأعمال بصورة دورية، والاستفادة من الدروس المستفادة، وتحديث الإجراءات بما يتناسب مع التغيرات الداخلية والخارجية. </w:t>
      </w:r>
    </w:p>
    <w:p w14:paraId="0FB7BF2E" w14:textId="735528C9" w:rsidR="00C91FF7" w:rsidRPr="00A66F82" w:rsidRDefault="00A66F82" w:rsidP="00A66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22" w:name="_Toc235213673"/>
      <w:r w:rsidRPr="00A66F82">
        <w:rPr>
          <w:rFonts w:ascii="Simplified Arabic" w:eastAsia="Times New Roman" w:hAnsi="Simplified Arabic" w:cs="Simplified Arabic" w:hint="cs"/>
          <w:b/>
          <w:bCs/>
          <w:color w:val="000000" w:themeColor="text1"/>
          <w:kern w:val="0"/>
          <w:sz w:val="32"/>
          <w:szCs w:val="32"/>
          <w:rtl/>
          <w14:ligatures w14:val="none"/>
        </w:rPr>
        <w:t xml:space="preserve">9.1.2 </w:t>
      </w:r>
      <w:r w:rsidR="00C91FF7" w:rsidRPr="00A66F82">
        <w:rPr>
          <w:rFonts w:ascii="Simplified Arabic" w:eastAsia="Times New Roman" w:hAnsi="Simplified Arabic" w:cs="Simplified Arabic"/>
          <w:b/>
          <w:bCs/>
          <w:color w:val="000000" w:themeColor="text1"/>
          <w:kern w:val="0"/>
          <w:sz w:val="32"/>
          <w:szCs w:val="32"/>
          <w:rtl/>
          <w14:ligatures w14:val="none"/>
        </w:rPr>
        <w:t>نظرية القدرات الديناميكية (</w:t>
      </w:r>
      <w:r w:rsidR="00C91FF7" w:rsidRPr="00A66F82">
        <w:rPr>
          <w:rFonts w:ascii="Simplified Arabic" w:eastAsia="Times New Roman" w:hAnsi="Simplified Arabic" w:cs="Simplified Arabic"/>
          <w:b/>
          <w:bCs/>
          <w:color w:val="000000" w:themeColor="text1"/>
          <w:kern w:val="0"/>
          <w:sz w:val="32"/>
          <w:szCs w:val="32"/>
          <w14:ligatures w14:val="none"/>
        </w:rPr>
        <w:t>Dynamic Capabilities Theory</w:t>
      </w:r>
      <w:r w:rsidR="00C91FF7" w:rsidRPr="00A66F82">
        <w:rPr>
          <w:rFonts w:ascii="Simplified Arabic" w:eastAsia="Times New Roman" w:hAnsi="Simplified Arabic" w:cs="Simplified Arabic"/>
          <w:b/>
          <w:bCs/>
          <w:color w:val="000000" w:themeColor="text1"/>
          <w:kern w:val="0"/>
          <w:sz w:val="32"/>
          <w:szCs w:val="32"/>
          <w:rtl/>
          <w14:ligatures w14:val="none"/>
        </w:rPr>
        <w:t>)</w:t>
      </w:r>
      <w:bookmarkEnd w:id="22"/>
      <w:r w:rsidR="00C91FF7" w:rsidRPr="00A66F82">
        <w:rPr>
          <w:rFonts w:ascii="Simplified Arabic" w:eastAsia="Times New Roman" w:hAnsi="Simplified Arabic" w:cs="Simplified Arabic"/>
          <w:b/>
          <w:bCs/>
          <w:color w:val="000000" w:themeColor="text1"/>
          <w:kern w:val="0"/>
          <w:sz w:val="32"/>
          <w:szCs w:val="32"/>
          <w:rtl/>
          <w14:ligatures w14:val="none"/>
        </w:rPr>
        <w:t xml:space="preserve"> </w:t>
      </w:r>
    </w:p>
    <w:p w14:paraId="58D69FF2" w14:textId="234B3837" w:rsidR="00C91FF7" w:rsidRPr="00C91FF7" w:rsidRDefault="00C91FF7"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تُعد نظرية القدرات الديناميكية من أبرز النظريات الحديثة في الإدارة الإستراتيجية، وقد برزت استجابةً للتغيرات المتسارعة التي تشهدها بيئة الأعمال، حيث تؤكد أن نجاح المؤسسات لا يعتمد فقط على امتلاك الموارد، وإنما على قدرتها على تطوير تلك الموارد وإعادة توظيفها بصورة مستمرة بما يتناسب م</w:t>
      </w:r>
      <w:r w:rsidR="00A66F82">
        <w:rPr>
          <w:rFonts w:ascii="Simplified Arabic" w:eastAsia="Times New Roman" w:hAnsi="Simplified Arabic" w:cs="Simplified Arabic"/>
          <w:color w:val="000000" w:themeColor="text1"/>
          <w:kern w:val="0"/>
          <w:sz w:val="28"/>
          <w:szCs w:val="28"/>
          <w:rtl/>
          <w14:ligatures w14:val="none"/>
        </w:rPr>
        <w:t xml:space="preserve">ع التغيرات الداخلية والخارجية. </w:t>
      </w:r>
    </w:p>
    <w:p w14:paraId="1DFB1DD8" w14:textId="3A6CBB60" w:rsidR="00C91FF7" w:rsidRPr="00C91FF7" w:rsidRDefault="00C91FF7"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وترى هذه النظرية أن المؤسسات القادرة على التعلم المستمر، واستشعار الفرص والتحديات، وإعادة تشكيل مواردها وقدراتها، تكون أكثر قدرة على المحافظة على ميزتها التنافسية وتحقيق الاستدامة على المدى الطويل. كما تؤكد أن الابتكار يمثل إحدى أهم القدرات الديناميكية التي تساعد المؤسسات على التكيف مع المتغيرات، وتحويل التحديات إل</w:t>
      </w:r>
      <w:r w:rsidR="00A66F82">
        <w:rPr>
          <w:rFonts w:ascii="Simplified Arabic" w:eastAsia="Times New Roman" w:hAnsi="Simplified Arabic" w:cs="Simplified Arabic"/>
          <w:color w:val="000000" w:themeColor="text1"/>
          <w:kern w:val="0"/>
          <w:sz w:val="28"/>
          <w:szCs w:val="28"/>
          <w:rtl/>
          <w14:ligatures w14:val="none"/>
        </w:rPr>
        <w:t xml:space="preserve">ى فرص للنمو والتطوير. </w:t>
      </w:r>
    </w:p>
    <w:p w14:paraId="3F46C974" w14:textId="27E1C57D" w:rsidR="00C91FF7" w:rsidRPr="00C91FF7" w:rsidRDefault="00C91FF7"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وتتفق هذه النظرية مع أهداف الدراسة الحالية، حيث إن تبني استراتيجيات الابتكار يسهم في تطوير القدرات التنظيمية للشركات، ويعزز جاهزيتها لمواجهة الأزمات، ويزيد من قدرتها على المحافظة على استمرارية أعمالها في بيئة تتسم بعدم الاستقرار وسر</w:t>
      </w:r>
      <w:r w:rsidR="00A66F82">
        <w:rPr>
          <w:rFonts w:ascii="Simplified Arabic" w:eastAsia="Times New Roman" w:hAnsi="Simplified Arabic" w:cs="Simplified Arabic"/>
          <w:color w:val="000000" w:themeColor="text1"/>
          <w:kern w:val="0"/>
          <w:sz w:val="28"/>
          <w:szCs w:val="28"/>
          <w:rtl/>
          <w14:ligatures w14:val="none"/>
        </w:rPr>
        <w:t xml:space="preserve">عة التغير. </w:t>
      </w:r>
    </w:p>
    <w:p w14:paraId="2EE8043F" w14:textId="5D249ECF" w:rsidR="00C91FF7" w:rsidRPr="00A66F82" w:rsidRDefault="00A66F82" w:rsidP="00A66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23" w:name="_Toc235213674"/>
      <w:r w:rsidRPr="00A66F82">
        <w:rPr>
          <w:rFonts w:ascii="Simplified Arabic" w:eastAsia="Times New Roman" w:hAnsi="Simplified Arabic" w:cs="Simplified Arabic" w:hint="cs"/>
          <w:b/>
          <w:bCs/>
          <w:color w:val="000000" w:themeColor="text1"/>
          <w:kern w:val="0"/>
          <w:sz w:val="32"/>
          <w:szCs w:val="32"/>
          <w:rtl/>
          <w14:ligatures w14:val="none"/>
        </w:rPr>
        <w:t xml:space="preserve">10.1.2 </w:t>
      </w:r>
      <w:r w:rsidR="00C91FF7" w:rsidRPr="00A66F82">
        <w:rPr>
          <w:rFonts w:ascii="Simplified Arabic" w:eastAsia="Times New Roman" w:hAnsi="Simplified Arabic" w:cs="Simplified Arabic"/>
          <w:b/>
          <w:bCs/>
          <w:color w:val="000000" w:themeColor="text1"/>
          <w:kern w:val="0"/>
          <w:sz w:val="32"/>
          <w:szCs w:val="32"/>
          <w:rtl/>
          <w14:ligatures w14:val="none"/>
        </w:rPr>
        <w:t>نظرية الموارد (</w:t>
      </w:r>
      <w:r w:rsidR="00C91FF7" w:rsidRPr="00A66F82">
        <w:rPr>
          <w:rFonts w:ascii="Simplified Arabic" w:eastAsia="Times New Roman" w:hAnsi="Simplified Arabic" w:cs="Simplified Arabic"/>
          <w:b/>
          <w:bCs/>
          <w:color w:val="000000" w:themeColor="text1"/>
          <w:kern w:val="0"/>
          <w:sz w:val="32"/>
          <w:szCs w:val="32"/>
          <w14:ligatures w14:val="none"/>
        </w:rPr>
        <w:t>Resource-Based View</w:t>
      </w:r>
      <w:r w:rsidR="00C91FF7" w:rsidRPr="00A66F82">
        <w:rPr>
          <w:rFonts w:ascii="Simplified Arabic" w:eastAsia="Times New Roman" w:hAnsi="Simplified Arabic" w:cs="Simplified Arabic"/>
          <w:b/>
          <w:bCs/>
          <w:color w:val="000000" w:themeColor="text1"/>
          <w:kern w:val="0"/>
          <w:sz w:val="32"/>
          <w:szCs w:val="32"/>
          <w:rtl/>
          <w14:ligatures w14:val="none"/>
        </w:rPr>
        <w:t>)</w:t>
      </w:r>
      <w:bookmarkEnd w:id="23"/>
      <w:r w:rsidR="00C91FF7" w:rsidRPr="00A66F82">
        <w:rPr>
          <w:rFonts w:ascii="Simplified Arabic" w:eastAsia="Times New Roman" w:hAnsi="Simplified Arabic" w:cs="Simplified Arabic"/>
          <w:b/>
          <w:bCs/>
          <w:color w:val="000000" w:themeColor="text1"/>
          <w:kern w:val="0"/>
          <w:sz w:val="32"/>
          <w:szCs w:val="32"/>
          <w:rtl/>
          <w14:ligatures w14:val="none"/>
        </w:rPr>
        <w:t xml:space="preserve"> </w:t>
      </w:r>
    </w:p>
    <w:p w14:paraId="59D5F457" w14:textId="0944E4E5" w:rsidR="00C91FF7" w:rsidRPr="00C91FF7" w:rsidRDefault="00C91FF7"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تُعد نظرية الموارد من النظريات الأساسية في الإدارة الإستراتيجية، وتفترض أن الموارد التي تمتلكها المؤسسة تمثل المصدر الرئيس لتحقيق الميزة التنافسية، شريطة أن تكون تلك الموارد ذات قيمة، ونادرة، ويصعب تقليد</w:t>
      </w:r>
      <w:r w:rsidR="00A66F82">
        <w:rPr>
          <w:rFonts w:ascii="Simplified Arabic" w:eastAsia="Times New Roman" w:hAnsi="Simplified Arabic" w:cs="Simplified Arabic"/>
          <w:color w:val="000000" w:themeColor="text1"/>
          <w:kern w:val="0"/>
          <w:sz w:val="28"/>
          <w:szCs w:val="28"/>
          <w:rtl/>
          <w14:ligatures w14:val="none"/>
        </w:rPr>
        <w:t xml:space="preserve">ها، ولا يمكن استبدالها بسهولة. </w:t>
      </w:r>
    </w:p>
    <w:p w14:paraId="5640C79C" w14:textId="360720BE" w:rsidR="00C91FF7" w:rsidRPr="00C91FF7" w:rsidRDefault="00C91FF7"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 xml:space="preserve">وتشمل الموارد جميع الأصول المادية والبشرية والتنظيمية والمعرفية التي تمتلكها المؤسسة، ويعد الابتكار أحد أهم الموارد غير الملموسة التي تمنح المؤسسة قدرة أكبر على التميز في الأسواق. فكلما نجحت المؤسسة في استثمار مواردها بكفاءة، زادت قدرتها على تطوير منتجاتها وخدماتها، وتحسين عملياتها، </w:t>
      </w:r>
      <w:r w:rsidR="00A66F82">
        <w:rPr>
          <w:rFonts w:ascii="Simplified Arabic" w:eastAsia="Times New Roman" w:hAnsi="Simplified Arabic" w:cs="Simplified Arabic"/>
          <w:color w:val="000000" w:themeColor="text1"/>
          <w:kern w:val="0"/>
          <w:sz w:val="28"/>
          <w:szCs w:val="28"/>
          <w:rtl/>
          <w14:ligatures w14:val="none"/>
        </w:rPr>
        <w:t xml:space="preserve">وتحقيق مستويات أعلى من الأداء. </w:t>
      </w:r>
    </w:p>
    <w:p w14:paraId="0E369088"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وترتبط هذه النظرية بالدراسة الحالية من خلال اعتبار استراتيجيات الابتكار موردًا استراتيجيًا يسهم في رفع قدرة الشركات على مواجهة المخاطر، وتعزيز استمرارية الأعمال، والمحافظة على تنافسيتها في الأسواق. </w:t>
      </w:r>
    </w:p>
    <w:p w14:paraId="5AFD4BAF" w14:textId="1FB88F96" w:rsidR="00C91FF7" w:rsidRPr="00A66F82" w:rsidRDefault="00A66F82" w:rsidP="00A66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24" w:name="_Toc235213675"/>
      <w:r w:rsidRPr="00A66F82">
        <w:rPr>
          <w:rFonts w:ascii="Simplified Arabic" w:eastAsia="Times New Roman" w:hAnsi="Simplified Arabic" w:cs="Simplified Arabic" w:hint="cs"/>
          <w:b/>
          <w:bCs/>
          <w:color w:val="000000" w:themeColor="text1"/>
          <w:kern w:val="0"/>
          <w:sz w:val="32"/>
          <w:szCs w:val="32"/>
          <w:rtl/>
          <w14:ligatures w14:val="none"/>
        </w:rPr>
        <w:t xml:space="preserve">11.1.2 </w:t>
      </w:r>
      <w:r w:rsidR="00C91FF7" w:rsidRPr="00A66F82">
        <w:rPr>
          <w:rFonts w:ascii="Simplified Arabic" w:eastAsia="Times New Roman" w:hAnsi="Simplified Arabic" w:cs="Simplified Arabic"/>
          <w:b/>
          <w:bCs/>
          <w:color w:val="000000" w:themeColor="text1"/>
          <w:kern w:val="0"/>
          <w:sz w:val="32"/>
          <w:szCs w:val="32"/>
          <w:rtl/>
          <w14:ligatures w14:val="none"/>
        </w:rPr>
        <w:t>نظرية المرونة التنظيمية (</w:t>
      </w:r>
      <w:r w:rsidR="00C91FF7" w:rsidRPr="00A66F82">
        <w:rPr>
          <w:rFonts w:ascii="Simplified Arabic" w:eastAsia="Times New Roman" w:hAnsi="Simplified Arabic" w:cs="Simplified Arabic"/>
          <w:b/>
          <w:bCs/>
          <w:color w:val="000000" w:themeColor="text1"/>
          <w:kern w:val="0"/>
          <w:sz w:val="32"/>
          <w:szCs w:val="32"/>
          <w14:ligatures w14:val="none"/>
        </w:rPr>
        <w:t>Organizational Resilience Theory</w:t>
      </w:r>
      <w:r w:rsidR="00C91FF7" w:rsidRPr="00A66F82">
        <w:rPr>
          <w:rFonts w:ascii="Simplified Arabic" w:eastAsia="Times New Roman" w:hAnsi="Simplified Arabic" w:cs="Simplified Arabic"/>
          <w:b/>
          <w:bCs/>
          <w:color w:val="000000" w:themeColor="text1"/>
          <w:kern w:val="0"/>
          <w:sz w:val="32"/>
          <w:szCs w:val="32"/>
          <w:rtl/>
          <w14:ligatures w14:val="none"/>
        </w:rPr>
        <w:t>)</w:t>
      </w:r>
      <w:bookmarkEnd w:id="24"/>
      <w:r w:rsidR="00C91FF7" w:rsidRPr="00A66F82">
        <w:rPr>
          <w:rFonts w:ascii="Simplified Arabic" w:eastAsia="Times New Roman" w:hAnsi="Simplified Arabic" w:cs="Simplified Arabic"/>
          <w:b/>
          <w:bCs/>
          <w:color w:val="000000" w:themeColor="text1"/>
          <w:kern w:val="0"/>
          <w:sz w:val="32"/>
          <w:szCs w:val="32"/>
          <w:rtl/>
          <w14:ligatures w14:val="none"/>
        </w:rPr>
        <w:t xml:space="preserve"> </w:t>
      </w:r>
    </w:p>
    <w:p w14:paraId="2EDD75F6" w14:textId="0ECB8619" w:rsidR="00C91FF7" w:rsidRPr="00C91FF7" w:rsidRDefault="00C91FF7"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تُركز نظرية المرونة التنظيمية على قدرة المؤسسات على التكيف مع الأزمات والتغيرات غير المتوقعة، والاستجابة لها بكفاءة، ثم استعادة أنشطتها بصورة سريعة مع الاستفادة من الخبرات السا</w:t>
      </w:r>
      <w:r w:rsidR="00A66F82">
        <w:rPr>
          <w:rFonts w:ascii="Simplified Arabic" w:eastAsia="Times New Roman" w:hAnsi="Simplified Arabic" w:cs="Simplified Arabic"/>
          <w:color w:val="000000" w:themeColor="text1"/>
          <w:kern w:val="0"/>
          <w:sz w:val="28"/>
          <w:szCs w:val="28"/>
          <w:rtl/>
          <w14:ligatures w14:val="none"/>
        </w:rPr>
        <w:t xml:space="preserve">بقة في تحسين الأداء المستقبلي. </w:t>
      </w:r>
    </w:p>
    <w:p w14:paraId="712616BA" w14:textId="3D1AA498" w:rsidR="00C91FF7" w:rsidRPr="00C91FF7" w:rsidRDefault="00C91FF7"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وتشير النظرية إلى أن المؤسسات المرنة لا تكتفي بالتعامل مع الأزمات عند وقوعها، بل تعمل على بناء ثقافة تنظيمية تشجع التعلم المستمر، وتطوير القدرات، وتعزيز التعاون بين العاملين، بما يرفع جاهزيت</w:t>
      </w:r>
      <w:r w:rsidR="00A66F82">
        <w:rPr>
          <w:rFonts w:ascii="Simplified Arabic" w:eastAsia="Times New Roman" w:hAnsi="Simplified Arabic" w:cs="Simplified Arabic"/>
          <w:color w:val="000000" w:themeColor="text1"/>
          <w:kern w:val="0"/>
          <w:sz w:val="28"/>
          <w:szCs w:val="28"/>
          <w:rtl/>
          <w14:ligatures w14:val="none"/>
        </w:rPr>
        <w:t xml:space="preserve">ها لمواجهة المخاطر المستقبلية. </w:t>
      </w:r>
    </w:p>
    <w:p w14:paraId="69BE6C94" w14:textId="3F3C10C6" w:rsidR="00C91FF7" w:rsidRPr="00C91FF7" w:rsidRDefault="00C91FF7"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كما تؤكد النظرية أن الابتكار يمثل أحد أهم العوامل التي تدعم المرونة التنظيمية، لأنه يساعد المؤسسات على تطوير حلول جديدة، وإعادة تصميم العمليات، وتبني التقنيات الحديثة، الأمر الذي ينعكس بصورة مباشرة على قدرتها على الاستم</w:t>
      </w:r>
      <w:r w:rsidR="00A66F82">
        <w:rPr>
          <w:rFonts w:ascii="Simplified Arabic" w:eastAsia="Times New Roman" w:hAnsi="Simplified Arabic" w:cs="Simplified Arabic"/>
          <w:color w:val="000000" w:themeColor="text1"/>
          <w:kern w:val="0"/>
          <w:sz w:val="28"/>
          <w:szCs w:val="28"/>
          <w:rtl/>
          <w14:ligatures w14:val="none"/>
        </w:rPr>
        <w:t xml:space="preserve">رار وتحقيق الاستدامة. </w:t>
      </w:r>
    </w:p>
    <w:p w14:paraId="495850B8"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وتنسجم هذه النظرية مع الدراسة الحالية في تفسير العلاقة بين استراتيجيات الابتكار واستمرارية الأعمال، حيث تسهم ممارسات الابتكار في رفع مستوى المرونة التنظيمية، ومن ثم تعزيز قدرة الشركات على مواجهة الأزمات والمحافظة على استمرارية عملياتها. </w:t>
      </w:r>
    </w:p>
    <w:p w14:paraId="61FCFC12" w14:textId="2AEAF27E" w:rsidR="00C91FF7" w:rsidRPr="00A66F82" w:rsidRDefault="00A66F82" w:rsidP="00A66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25" w:name="_Toc235213676"/>
      <w:r w:rsidRPr="00A66F82">
        <w:rPr>
          <w:rFonts w:ascii="Simplified Arabic" w:eastAsia="Times New Roman" w:hAnsi="Simplified Arabic" w:cs="Simplified Arabic" w:hint="cs"/>
          <w:b/>
          <w:bCs/>
          <w:color w:val="000000" w:themeColor="text1"/>
          <w:kern w:val="0"/>
          <w:sz w:val="32"/>
          <w:szCs w:val="32"/>
          <w:rtl/>
          <w14:ligatures w14:val="none"/>
        </w:rPr>
        <w:t xml:space="preserve">12.1.2 </w:t>
      </w:r>
      <w:r w:rsidR="00C91FF7" w:rsidRPr="00A66F82">
        <w:rPr>
          <w:rFonts w:ascii="Simplified Arabic" w:eastAsia="Times New Roman" w:hAnsi="Simplified Arabic" w:cs="Simplified Arabic"/>
          <w:b/>
          <w:bCs/>
          <w:color w:val="000000" w:themeColor="text1"/>
          <w:kern w:val="0"/>
          <w:sz w:val="32"/>
          <w:szCs w:val="32"/>
          <w:rtl/>
          <w14:ligatures w14:val="none"/>
        </w:rPr>
        <w:t>الإطار المفاهيمي للدراسة</w:t>
      </w:r>
      <w:bookmarkEnd w:id="25"/>
      <w:r w:rsidR="00C91FF7" w:rsidRPr="00A66F82">
        <w:rPr>
          <w:rFonts w:ascii="Simplified Arabic" w:eastAsia="Times New Roman" w:hAnsi="Simplified Arabic" w:cs="Simplified Arabic"/>
          <w:b/>
          <w:bCs/>
          <w:color w:val="000000" w:themeColor="text1"/>
          <w:kern w:val="0"/>
          <w:sz w:val="32"/>
          <w:szCs w:val="32"/>
          <w:rtl/>
          <w14:ligatures w14:val="none"/>
        </w:rPr>
        <w:t xml:space="preserve"> </w:t>
      </w:r>
    </w:p>
    <w:p w14:paraId="7CD47DC1" w14:textId="5D816CE2" w:rsidR="00C91FF7" w:rsidRPr="00C91FF7" w:rsidRDefault="00C91FF7"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lastRenderedPageBreak/>
        <w:t>استنادًا إلى الأدبيات العلمية والنظريات الإدارية التي تناولت الابتكار واستمرارية الأعمال، تفترض الدراسة الحالية وجود علاقة إيجابية بين استراتيجيات الابتكار وتعزيز استمرارية الأعمال داخل الشركات العاملة في المملكة العربية السعودية. ويتمثل المتغير المستقل في استراتيجيات الابتكار بأبعاده الخمسة، وهي: ابتكار المنتجات والخدمات، وابتكار العمليات، والابتكار الإداري والتنظيمي، والابتكار التقني، والابتكار التسويقي، في حين يتمثل المتغير التابع في استمرارية الأعمال بأبعادها الخمسة، وهي: الجاهزية والاستعداد، وإدارة المخاطر، واستمرارية العمليات، وسرعة التعا</w:t>
      </w:r>
      <w:r w:rsidR="00A66F82">
        <w:rPr>
          <w:rFonts w:ascii="Simplified Arabic" w:eastAsia="Times New Roman" w:hAnsi="Simplified Arabic" w:cs="Simplified Arabic"/>
          <w:color w:val="000000" w:themeColor="text1"/>
          <w:kern w:val="0"/>
          <w:sz w:val="28"/>
          <w:szCs w:val="28"/>
          <w:rtl/>
          <w14:ligatures w14:val="none"/>
        </w:rPr>
        <w:t xml:space="preserve">في، والتحسين والتطوير المستمر. </w:t>
      </w:r>
    </w:p>
    <w:p w14:paraId="7EE94F18"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ومن المتوقع أن يسهم ارتفاع مستوى تطبيق استراتيجيات الابتكار في تحسين قدرة الشركات على التنبؤ بالمخاطر، وتعزيز مرونتها التنظيمية، ورفع جاهزيتها للتعامل مع الأزمات، بما يؤدي إلى تعزيز استمرارية الأعمال وتحقيق الاستدامة المؤسسية </w:t>
      </w:r>
    </w:p>
    <w:p w14:paraId="58395E57" w14:textId="3DEF3C85" w:rsidR="00C91FF7" w:rsidRPr="00A66F82" w:rsidRDefault="00A66F82" w:rsidP="00A66F8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26" w:name="_Toc235213677"/>
      <w:r w:rsidRPr="00A66F82">
        <w:rPr>
          <w:rFonts w:ascii="Simplified Arabic" w:eastAsia="Times New Roman" w:hAnsi="Simplified Arabic" w:cs="Simplified Arabic" w:hint="cs"/>
          <w:b/>
          <w:bCs/>
          <w:color w:val="000000" w:themeColor="text1"/>
          <w:kern w:val="0"/>
          <w:sz w:val="32"/>
          <w:szCs w:val="32"/>
          <w:rtl/>
          <w14:ligatures w14:val="none"/>
        </w:rPr>
        <w:t xml:space="preserve">13.1.2 </w:t>
      </w:r>
      <w:r w:rsidR="00C91FF7" w:rsidRPr="00A66F82">
        <w:rPr>
          <w:rFonts w:ascii="Simplified Arabic" w:eastAsia="Times New Roman" w:hAnsi="Simplified Arabic" w:cs="Simplified Arabic"/>
          <w:b/>
          <w:bCs/>
          <w:color w:val="000000" w:themeColor="text1"/>
          <w:kern w:val="0"/>
          <w:sz w:val="32"/>
          <w:szCs w:val="32"/>
          <w:rtl/>
          <w14:ligatures w14:val="none"/>
        </w:rPr>
        <w:t>خلاصة الفصل</w:t>
      </w:r>
      <w:bookmarkEnd w:id="26"/>
      <w:r w:rsidR="00C91FF7" w:rsidRPr="00A66F82">
        <w:rPr>
          <w:rFonts w:ascii="Simplified Arabic" w:eastAsia="Times New Roman" w:hAnsi="Simplified Arabic" w:cs="Simplified Arabic"/>
          <w:b/>
          <w:bCs/>
          <w:color w:val="000000" w:themeColor="text1"/>
          <w:kern w:val="0"/>
          <w:sz w:val="32"/>
          <w:szCs w:val="32"/>
          <w:rtl/>
          <w14:ligatures w14:val="none"/>
        </w:rPr>
        <w:t xml:space="preserve"> </w:t>
      </w:r>
    </w:p>
    <w:p w14:paraId="0BBC76B2" w14:textId="54B437E5" w:rsidR="00C91FF7" w:rsidRPr="00C91FF7" w:rsidRDefault="00C91FF7" w:rsidP="00A66F8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تناول هذا الفصل الإطار النظري للدراسة من خلال استعراض المفاهيم الأساسية المرتبطة باستراتيجيات الابتكار واستمرارية الأعمال، مع توضيح العلاقة بينهما في ضوء الأدبيات الإدارية الحديثة. كما استعرض الفصل أهم أبعاد استراتيجيات الابتكار التي اعتمدتها الدراسة، والمتمثلة في ابتكار المنتجات والخدمات، وابتكار العمليات، والابتكار الإداري والتنظيمي، والابتكار التقني، والابتكار التسويقي، إضافة إلى أبعاد استمرارية الأعمال التي تشمل الجاهزية والاستعداد، وإدارة المخاطر، واستمرارية العمليات، وسرعة التعا</w:t>
      </w:r>
      <w:r w:rsidR="00A66F82">
        <w:rPr>
          <w:rFonts w:ascii="Simplified Arabic" w:eastAsia="Times New Roman" w:hAnsi="Simplified Arabic" w:cs="Simplified Arabic"/>
          <w:color w:val="000000" w:themeColor="text1"/>
          <w:kern w:val="0"/>
          <w:sz w:val="28"/>
          <w:szCs w:val="28"/>
          <w:rtl/>
          <w14:ligatures w14:val="none"/>
        </w:rPr>
        <w:t xml:space="preserve">في، والتحسين والتطوير المستمر. </w:t>
      </w:r>
    </w:p>
    <w:p w14:paraId="58223659"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91FF7">
        <w:rPr>
          <w:rFonts w:ascii="Simplified Arabic" w:eastAsia="Times New Roman" w:hAnsi="Simplified Arabic" w:cs="Simplified Arabic"/>
          <w:color w:val="000000" w:themeColor="text1"/>
          <w:kern w:val="0"/>
          <w:sz w:val="28"/>
          <w:szCs w:val="28"/>
          <w:rtl/>
          <w14:ligatures w14:val="none"/>
        </w:rPr>
        <w:t xml:space="preserve">كما ناقش الفصل أبرز النظريات التي تفسر العلاقة بين متغيرات الدراسة، وهي نظرية القدرات الديناميكية، ونظرية الموارد، ونظرية المرونة التنظيمية، والتي توضح أن المؤسسات القادرة على تطوير مواردها وتعزيز الابتكار داخلها تكون أكثر قدرة على التكيف مع المتغيرات وتحقيق الاستدامة المؤسسية. </w:t>
      </w:r>
    </w:p>
    <w:p w14:paraId="338BCA33" w14:textId="77777777" w:rsidR="00C91FF7" w:rsidRPr="00C91FF7" w:rsidRDefault="00C91FF7" w:rsidP="00C91FF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p>
    <w:p w14:paraId="17BA1EBD" w14:textId="14D8E683" w:rsidR="00FA4843" w:rsidRPr="00B25A97" w:rsidRDefault="00C91FF7" w:rsidP="00C91FF7">
      <w:pPr>
        <w:spacing w:before="100" w:beforeAutospacing="1" w:after="100" w:afterAutospacing="1" w:line="276" w:lineRule="auto"/>
        <w:ind w:firstLine="424"/>
        <w:jc w:val="both"/>
        <w:rPr>
          <w:rFonts w:ascii="Simplified Arabic" w:eastAsia="Calibri" w:hAnsi="Simplified Arabic" w:cs="Simplified Arabic"/>
          <w:color w:val="000000" w:themeColor="text1"/>
          <w:kern w:val="0"/>
          <w:sz w:val="28"/>
          <w:szCs w:val="28"/>
          <w:rtl/>
          <w:lang w:bidi="ar-EG"/>
          <w14:ligatures w14:val="none"/>
        </w:rPr>
      </w:pPr>
      <w:r w:rsidRPr="00C91FF7">
        <w:rPr>
          <w:rFonts w:ascii="Simplified Arabic" w:eastAsia="Times New Roman" w:hAnsi="Simplified Arabic" w:cs="Simplified Arabic"/>
          <w:color w:val="000000" w:themeColor="text1"/>
          <w:kern w:val="0"/>
          <w:sz w:val="28"/>
          <w:szCs w:val="28"/>
          <w:rtl/>
          <w14:ligatures w14:val="none"/>
        </w:rPr>
        <w:t>ويُعد هذا الإطار النظري أساسًا علميًا تبنى عليه الدراسة الحالية، حيث يساعد في تفسير العلاقة المتوقعة بين استراتيجيات الابتكار وتعزيز استمرارية الأعمال، كما يمثل مرجعًا لتفسير النتائج التي سيتم التوصل إليها في الفصول اللاحقة</w:t>
      </w:r>
    </w:p>
    <w:p w14:paraId="52CC1D42" w14:textId="1A5FFDA5" w:rsidR="00B25A97" w:rsidRPr="00B25A97" w:rsidRDefault="00B25A97" w:rsidP="00543815">
      <w:pPr>
        <w:spacing w:before="100" w:beforeAutospacing="1" w:after="100" w:afterAutospacing="1" w:line="276" w:lineRule="auto"/>
        <w:ind w:left="720"/>
        <w:jc w:val="center"/>
        <w:rPr>
          <w:rFonts w:ascii="Simplified Arabic" w:hAnsi="Simplified Arabic" w:cs="Simplified Arabic"/>
          <w:b/>
          <w:bCs/>
          <w:color w:val="000000" w:themeColor="text1"/>
          <w:szCs w:val="28"/>
          <w:lang w:bidi="ar-EG"/>
        </w:rPr>
        <w:sectPr w:rsidR="00B25A97" w:rsidRPr="00B25A97" w:rsidSect="00606507">
          <w:footerReference w:type="default" r:id="rId10"/>
          <w:pgSz w:w="11906" w:h="16838" w:code="9"/>
          <w:pgMar w:top="1134" w:right="1701" w:bottom="1134" w:left="1134" w:header="720" w:footer="720" w:gutter="0"/>
          <w:pgNumType w:start="1"/>
          <w:cols w:space="708"/>
          <w:bidi/>
          <w:rtlGutter/>
          <w:docGrid w:linePitch="360"/>
        </w:sectPr>
      </w:pPr>
    </w:p>
    <w:p w14:paraId="3A1F879D" w14:textId="1A752CDC" w:rsidR="0081623B" w:rsidRPr="00B25A97" w:rsidRDefault="00E27D3B" w:rsidP="006964D7">
      <w:pPr>
        <w:pStyle w:val="a6"/>
        <w:bidi w:val="0"/>
        <w:spacing w:before="100" w:beforeAutospacing="1" w:after="100" w:afterAutospacing="1" w:line="276" w:lineRule="auto"/>
        <w:ind w:left="0"/>
        <w:contextualSpacing w:val="0"/>
        <w:jc w:val="both"/>
        <w:rPr>
          <w:rFonts w:asciiTheme="majorBidi" w:eastAsia="Calibri" w:hAnsiTheme="majorBidi" w:cstheme="majorBidi"/>
          <w:b/>
          <w:bCs/>
          <w:color w:val="000000" w:themeColor="text1"/>
          <w:kern w:val="0"/>
          <w:sz w:val="32"/>
          <w:szCs w:val="32"/>
          <w:lang w:bidi="ar-EG"/>
          <w14:ligatures w14:val="none"/>
        </w:rPr>
      </w:pPr>
      <w:r w:rsidRPr="00B25A97">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4FC7EE94">
            <wp:simplePos x="0" y="0"/>
            <wp:positionH relativeFrom="column">
              <wp:posOffset>4126230</wp:posOffset>
            </wp:positionH>
            <wp:positionV relativeFrom="paragraph">
              <wp:posOffset>0</wp:posOffset>
            </wp:positionV>
            <wp:extent cx="1514475" cy="1402715"/>
            <wp:effectExtent l="0" t="0" r="9525" b="6985"/>
            <wp:wrapTight wrapText="bothSides">
              <wp:wrapPolygon edited="0">
                <wp:start x="0" y="0"/>
                <wp:lineTo x="0" y="21414"/>
                <wp:lineTo x="21464" y="21414"/>
                <wp:lineTo x="2146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14475" cy="14027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B25A97">
        <w:rPr>
          <w:rFonts w:asciiTheme="majorBidi" w:eastAsia="Calibri" w:hAnsiTheme="majorBidi" w:cstheme="majorBidi"/>
          <w:b/>
          <w:bCs/>
          <w:color w:val="000000" w:themeColor="text1"/>
          <w:kern w:val="0"/>
          <w:sz w:val="32"/>
          <w:szCs w:val="32"/>
          <w:lang w:bidi="ar-EG"/>
          <w14:ligatures w14:val="none"/>
        </w:rPr>
        <w:t>Mid</w:t>
      </w:r>
      <w:r w:rsidR="000D353F" w:rsidRPr="00B25A97">
        <w:rPr>
          <w:rFonts w:asciiTheme="majorBidi" w:eastAsia="Calibri" w:hAnsiTheme="majorBidi" w:cstheme="majorBidi"/>
          <w:b/>
          <w:bCs/>
          <w:color w:val="000000" w:themeColor="text1"/>
          <w:kern w:val="0"/>
          <w:sz w:val="32"/>
          <w:szCs w:val="32"/>
          <w:lang w:bidi="ar-EG"/>
          <w14:ligatures w14:val="none"/>
        </w:rPr>
        <w:t xml:space="preserve"> </w:t>
      </w:r>
      <w:r w:rsidR="0081623B" w:rsidRPr="00B25A97">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B25A97" w:rsidRDefault="0081623B" w:rsidP="006964D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B25A97">
        <w:rPr>
          <w:rFonts w:asciiTheme="majorBidi" w:eastAsia="Calibri" w:hAnsiTheme="majorBidi" w:cstheme="majorBidi"/>
          <w:b/>
          <w:bCs/>
          <w:color w:val="000000" w:themeColor="text1"/>
          <w:kern w:val="0"/>
          <w:sz w:val="32"/>
          <w:szCs w:val="32"/>
          <w:lang w:bidi="ar-EG"/>
          <w14:ligatures w14:val="none"/>
        </w:rPr>
        <w:t>College of Management</w:t>
      </w:r>
    </w:p>
    <w:p w14:paraId="3330B31B" w14:textId="77777777" w:rsidR="00927467" w:rsidRPr="00B25A97" w:rsidRDefault="00927467" w:rsidP="006964D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B25A97">
        <w:rPr>
          <w:rFonts w:asciiTheme="majorBidi" w:eastAsia="Calibri" w:hAnsiTheme="majorBidi" w:cstheme="majorBidi"/>
          <w:b/>
          <w:bCs/>
          <w:color w:val="000000" w:themeColor="text1"/>
          <w:kern w:val="0"/>
          <w:sz w:val="32"/>
          <w:szCs w:val="32"/>
          <w:lang w:bidi="ar-EG"/>
          <w14:ligatures w14:val="none"/>
        </w:rPr>
        <w:t>Department of Business Administration</w:t>
      </w:r>
    </w:p>
    <w:p w14:paraId="7F1106F3" w14:textId="77777777" w:rsidR="00E27D3B" w:rsidRPr="00B25A97" w:rsidRDefault="00E27D3B" w:rsidP="006964D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00DA56F1" w14:textId="6A509AB3" w:rsidR="00B25A97" w:rsidRDefault="00B5140A" w:rsidP="00B25A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B5140A">
        <w:rPr>
          <w:rFonts w:asciiTheme="majorBidi" w:eastAsia="Calibri" w:hAnsiTheme="majorBidi" w:cstheme="majorBidi"/>
          <w:b/>
          <w:bCs/>
          <w:color w:val="000000" w:themeColor="text1"/>
          <w:kern w:val="0"/>
          <w:sz w:val="40"/>
          <w:szCs w:val="40"/>
          <w:lang w:bidi="ar-EG"/>
          <w14:ligatures w14:val="none"/>
        </w:rPr>
        <w:t>Innovation Strategies and Their Role in Business Continuity: An Applied Study on Companies in the Kingdom of Saudi Arabia</w:t>
      </w:r>
    </w:p>
    <w:p w14:paraId="314BA8FC" w14:textId="77777777" w:rsidR="00B5140A" w:rsidRPr="00B25A97" w:rsidRDefault="00B5140A" w:rsidP="00B5140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57076D83" w:rsidR="000D353F" w:rsidRPr="00B25A97" w:rsidRDefault="000D353F" w:rsidP="00B25A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B25A97">
        <w:rPr>
          <w:rFonts w:asciiTheme="majorBidi" w:eastAsia="Calibri" w:hAnsiTheme="majorBidi" w:cstheme="majorBidi"/>
          <w:b/>
          <w:bCs/>
          <w:color w:val="000000" w:themeColor="text1"/>
          <w:kern w:val="0"/>
          <w:sz w:val="36"/>
          <w:szCs w:val="36"/>
          <w:lang w:bidi="ar-EG"/>
          <w14:ligatures w14:val="none"/>
        </w:rPr>
        <w:t>Prepared by:</w:t>
      </w:r>
    </w:p>
    <w:p w14:paraId="5389C753" w14:textId="44E34754" w:rsidR="00B25A97" w:rsidRPr="00B25A97" w:rsidRDefault="008277C6" w:rsidP="00B25A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hint="cs"/>
          <w:b/>
          <w:bCs/>
          <w:color w:val="000000" w:themeColor="text1"/>
          <w:kern w:val="0"/>
          <w:sz w:val="36"/>
          <w:szCs w:val="36"/>
          <w:lang w:bidi="ar-YE"/>
          <w14:ligatures w14:val="none"/>
        </w:rPr>
        <w:t>Amani Alsubaie</w:t>
      </w:r>
    </w:p>
    <w:p w14:paraId="67B08D1F" w14:textId="5E3448D7" w:rsidR="00B25A97" w:rsidRPr="00B25A97" w:rsidRDefault="008277C6" w:rsidP="00B25A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hint="cs"/>
          <w:b/>
          <w:bCs/>
          <w:color w:val="000000" w:themeColor="text1"/>
          <w:kern w:val="0"/>
          <w:sz w:val="36"/>
          <w:szCs w:val="36"/>
          <w:lang w:bidi="ar-YE"/>
          <w14:ligatures w14:val="none"/>
        </w:rPr>
        <w:t>253001488</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25A97" w:rsidRPr="00B25A97" w14:paraId="0A37CE54" w14:textId="77777777" w:rsidTr="00C91FF7">
        <w:tc>
          <w:tcPr>
            <w:tcW w:w="4530" w:type="dxa"/>
          </w:tcPr>
          <w:p w14:paraId="02199FCA" w14:textId="77777777" w:rsidR="00B25A97" w:rsidRPr="00B25A97" w:rsidRDefault="00B25A97" w:rsidP="00C91FF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25A97">
              <w:rPr>
                <w:rFonts w:asciiTheme="majorBidi" w:eastAsia="Calibri" w:hAnsiTheme="majorBidi" w:cstheme="majorBidi"/>
                <w:b/>
                <w:bCs/>
                <w:color w:val="000000" w:themeColor="text1"/>
                <w:kern w:val="0"/>
                <w:sz w:val="36"/>
                <w:szCs w:val="36"/>
                <w:lang w:bidi="ar-EG"/>
                <w14:ligatures w14:val="none"/>
              </w:rPr>
              <w:t>Main supervisor</w:t>
            </w:r>
            <w:r w:rsidRPr="00B25A97">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C13AF46" w14:textId="77777777" w:rsidR="00B25A97" w:rsidRPr="00B25A97" w:rsidRDefault="00B25A97" w:rsidP="00C91FF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25A97">
              <w:rPr>
                <w:rFonts w:asciiTheme="majorBidi" w:eastAsia="Calibri" w:hAnsiTheme="majorBidi" w:cstheme="majorBidi"/>
                <w:b/>
                <w:bCs/>
                <w:color w:val="000000" w:themeColor="text1"/>
                <w:kern w:val="0"/>
                <w:sz w:val="36"/>
                <w:szCs w:val="36"/>
                <w:lang w:bidi="ar-EG"/>
                <w14:ligatures w14:val="none"/>
              </w:rPr>
              <w:t>Second supervisor</w:t>
            </w:r>
            <w:r w:rsidRPr="00B25A97">
              <w:rPr>
                <w:rFonts w:asciiTheme="majorBidi" w:eastAsia="Calibri" w:hAnsiTheme="majorBidi" w:cstheme="majorBidi"/>
                <w:b/>
                <w:bCs/>
                <w:color w:val="000000" w:themeColor="text1"/>
                <w:kern w:val="0"/>
                <w:sz w:val="36"/>
                <w:szCs w:val="36"/>
                <w:rtl/>
                <w:lang w:bidi="ar-EG"/>
                <w14:ligatures w14:val="none"/>
              </w:rPr>
              <w:t>/</w:t>
            </w:r>
          </w:p>
        </w:tc>
      </w:tr>
      <w:tr w:rsidR="00B25A97" w:rsidRPr="00B25A97" w14:paraId="7B69D7BF" w14:textId="77777777" w:rsidTr="00C91FF7">
        <w:tc>
          <w:tcPr>
            <w:tcW w:w="4530" w:type="dxa"/>
          </w:tcPr>
          <w:p w14:paraId="19F311FC" w14:textId="77777777" w:rsidR="00B25A97" w:rsidRPr="00B25A97" w:rsidRDefault="00B25A97" w:rsidP="00C91FF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25A97">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D059D22" w14:textId="77777777" w:rsidR="00B25A97" w:rsidRPr="00B25A97" w:rsidRDefault="00B25A97" w:rsidP="00C91FF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B25A97">
              <w:rPr>
                <w:rFonts w:asciiTheme="majorBidi" w:eastAsia="Calibri" w:hAnsiTheme="majorBidi" w:cstheme="majorBidi"/>
                <w:color w:val="000000" w:themeColor="text1"/>
                <w:kern w:val="0"/>
                <w:sz w:val="36"/>
                <w:szCs w:val="36"/>
                <w:lang w:bidi="ar-EG"/>
                <w14:ligatures w14:val="none"/>
              </w:rPr>
              <w:t>Dr. Fayez Jarad</w:t>
            </w:r>
          </w:p>
        </w:tc>
      </w:tr>
    </w:tbl>
    <w:p w14:paraId="2686B5A5" w14:textId="77777777" w:rsidR="00B25A97" w:rsidRPr="00B25A97" w:rsidRDefault="00B25A97" w:rsidP="00B25A97">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B25A97">
        <w:rPr>
          <w:rFonts w:asciiTheme="majorBidi" w:eastAsia="Calibri" w:hAnsiTheme="majorBidi" w:cstheme="majorBidi"/>
          <w:color w:val="000000" w:themeColor="text1"/>
          <w:kern w:val="0"/>
          <w:sz w:val="36"/>
          <w:szCs w:val="36"/>
          <w:rtl/>
          <w:lang w:bidi="ar-EG"/>
          <w14:ligatures w14:val="none"/>
        </w:rPr>
        <w:t>1448 – 2026</w:t>
      </w:r>
    </w:p>
    <w:p w14:paraId="7B22D385" w14:textId="77777777" w:rsidR="00B25A97" w:rsidRPr="00B25A97" w:rsidRDefault="00B25A97" w:rsidP="00B25A9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758C511A" w14:textId="344380EE" w:rsidR="00F7243B" w:rsidRPr="00B25A97" w:rsidRDefault="00F7243B" w:rsidP="006964D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9A27FC2" w14:textId="77777777" w:rsidR="00927467" w:rsidRPr="00B25A97" w:rsidRDefault="00927467" w:rsidP="006964D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3ECD4D0" w14:textId="77777777" w:rsidR="008A7BB4" w:rsidRPr="00B25A97" w:rsidRDefault="008A7BB4" w:rsidP="006964D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34607C2" w:rsidR="009125CE" w:rsidRPr="00B25A97" w:rsidRDefault="009125CE" w:rsidP="006964D7">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B25A97" w:rsidSect="00606507">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65D9D" w14:textId="77777777" w:rsidR="00D455DA" w:rsidRDefault="00D455DA" w:rsidP="009125CE">
      <w:pPr>
        <w:spacing w:after="0" w:line="240" w:lineRule="auto"/>
      </w:pPr>
      <w:r>
        <w:separator/>
      </w:r>
    </w:p>
  </w:endnote>
  <w:endnote w:type="continuationSeparator" w:id="0">
    <w:p w14:paraId="1F9DBA07" w14:textId="77777777" w:rsidR="00D455DA" w:rsidRDefault="00D455D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47140906"/>
      <w:docPartObj>
        <w:docPartGallery w:val="Page Numbers (Bottom of Page)"/>
        <w:docPartUnique/>
      </w:docPartObj>
    </w:sdtPr>
    <w:sdtEndPr/>
    <w:sdtContent>
      <w:p w14:paraId="13047AE1" w14:textId="586DEDA4" w:rsidR="00A54655" w:rsidRDefault="0053157E">
        <w:pPr>
          <w:pStyle w:val="a4"/>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01625944"/>
      <w:docPartObj>
        <w:docPartGallery w:val="Page Numbers (Bottom of Page)"/>
        <w:docPartUnique/>
      </w:docPartObj>
    </w:sdtPr>
    <w:sdtEndPr/>
    <w:sdtContent>
      <w:p w14:paraId="19EA8A1A" w14:textId="77777777" w:rsidR="00A54655" w:rsidRDefault="00A54655">
        <w:pPr>
          <w:pStyle w:val="a4"/>
        </w:pPr>
        <w:r>
          <w:rPr>
            <w:noProof/>
          </w:rPr>
          <mc:AlternateContent>
            <mc:Choice Requires="wps">
              <w:drawing>
                <wp:anchor distT="0" distB="0" distL="114300" distR="114300" simplePos="0" relativeHeight="251666432" behindDoc="0" locked="0" layoutInCell="1" allowOverlap="1" wp14:anchorId="55C0C9E8" wp14:editId="600EA78A">
                  <wp:simplePos x="0" y="0"/>
                  <wp:positionH relativeFrom="margin">
                    <wp:posOffset>2606040</wp:posOffset>
                  </wp:positionH>
                  <wp:positionV relativeFrom="bottomMargin">
                    <wp:posOffset>246380</wp:posOffset>
                  </wp:positionV>
                  <wp:extent cx="551815" cy="320040"/>
                  <wp:effectExtent l="19050" t="19050" r="14605" b="22860"/>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20040"/>
                          </a:xfrm>
                          <a:prstGeom prst="bracketPair">
                            <a:avLst>
                              <a:gd name="adj" fmla="val 16667"/>
                            </a:avLst>
                          </a:prstGeom>
                          <a:solidFill>
                            <a:srgbClr val="FFFFFF"/>
                          </a:solidFill>
                          <a:ln w="28575">
                            <a:solidFill>
                              <a:srgbClr val="808080"/>
                            </a:solidFill>
                            <a:round/>
                            <a:headEnd/>
                            <a:tailEnd/>
                          </a:ln>
                        </wps:spPr>
                        <wps:txbx>
                          <w:txbxContent>
                            <w:p w14:paraId="0CF4799F" w14:textId="77777777" w:rsidR="00A54655" w:rsidRPr="00606507" w:rsidRDefault="00A54655">
                              <w:pPr>
                                <w:jc w:val="center"/>
                                <w:rPr>
                                  <w:rFonts w:ascii="Simplified Arabic" w:hAnsi="Simplified Arabic" w:cs="Simplified Arabic"/>
                                  <w:b/>
                                  <w:bCs/>
                                  <w:sz w:val="24"/>
                                  <w:szCs w:val="24"/>
                                </w:rPr>
                              </w:pPr>
                              <w:r w:rsidRPr="00606507">
                                <w:rPr>
                                  <w:rFonts w:ascii="Simplified Arabic" w:hAnsi="Simplified Arabic" w:cs="Simplified Arabic"/>
                                  <w:b/>
                                  <w:bCs/>
                                  <w:sz w:val="24"/>
                                  <w:szCs w:val="24"/>
                                </w:rPr>
                                <w:fldChar w:fldCharType="begin"/>
                              </w:r>
                              <w:r w:rsidRPr="00606507">
                                <w:rPr>
                                  <w:rFonts w:ascii="Simplified Arabic" w:hAnsi="Simplified Arabic" w:cs="Simplified Arabic"/>
                                  <w:b/>
                                  <w:bCs/>
                                  <w:sz w:val="24"/>
                                  <w:szCs w:val="24"/>
                                </w:rPr>
                                <w:instrText xml:space="preserve"> PAGE    \* MERGEFORMAT </w:instrText>
                              </w:r>
                              <w:r w:rsidRPr="00606507">
                                <w:rPr>
                                  <w:rFonts w:ascii="Simplified Arabic" w:hAnsi="Simplified Arabic" w:cs="Simplified Arabic"/>
                                  <w:b/>
                                  <w:bCs/>
                                  <w:sz w:val="24"/>
                                  <w:szCs w:val="24"/>
                                </w:rPr>
                                <w:fldChar w:fldCharType="separate"/>
                              </w:r>
                              <w:r w:rsidR="00B5140A">
                                <w:rPr>
                                  <w:rFonts w:ascii="Simplified Arabic" w:hAnsi="Simplified Arabic" w:cs="Simplified Arabic"/>
                                  <w:b/>
                                  <w:bCs/>
                                  <w:noProof/>
                                  <w:sz w:val="24"/>
                                  <w:szCs w:val="24"/>
                                  <w:rtl/>
                                </w:rPr>
                                <w:t>36</w:t>
                              </w:r>
                              <w:r w:rsidRPr="00606507">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5C0C9E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205.2pt;margin-top:19.4pt;width:43.45pt;height:25.2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" filled="t" strokecolor="gray" strokeweight="2.25pt">
                  <v:textbox inset=",0,,0">
                    <w:txbxContent>
                      <w:p w14:paraId="0CF4799F" w14:textId="77777777" w:rsidR="00A54655" w:rsidRPr="00606507" w:rsidRDefault="00A54655">
                        <w:pPr>
                          <w:jc w:val="center"/>
                          <w:rPr>
                            <w:rFonts w:ascii="Simplified Arabic" w:hAnsi="Simplified Arabic" w:cs="Simplified Arabic"/>
                            <w:b/>
                            <w:bCs/>
                            <w:sz w:val="24"/>
                            <w:szCs w:val="24"/>
                          </w:rPr>
                        </w:pPr>
                        <w:r w:rsidRPr="00606507">
                          <w:rPr>
                            <w:rFonts w:ascii="Simplified Arabic" w:hAnsi="Simplified Arabic" w:cs="Simplified Arabic"/>
                            <w:b/>
                            <w:bCs/>
                            <w:sz w:val="24"/>
                            <w:szCs w:val="24"/>
                          </w:rPr>
                          <w:fldChar w:fldCharType="begin"/>
                        </w:r>
                        <w:r w:rsidRPr="00606507">
                          <w:rPr>
                            <w:rFonts w:ascii="Simplified Arabic" w:hAnsi="Simplified Arabic" w:cs="Simplified Arabic"/>
                            <w:b/>
                            <w:bCs/>
                            <w:sz w:val="24"/>
                            <w:szCs w:val="24"/>
                          </w:rPr>
                          <w:instrText xml:space="preserve"> PAGE    \* MERGEFORMAT </w:instrText>
                        </w:r>
                        <w:r w:rsidRPr="00606507">
                          <w:rPr>
                            <w:rFonts w:ascii="Simplified Arabic" w:hAnsi="Simplified Arabic" w:cs="Simplified Arabic"/>
                            <w:b/>
                            <w:bCs/>
                            <w:sz w:val="24"/>
                            <w:szCs w:val="24"/>
                          </w:rPr>
                          <w:fldChar w:fldCharType="separate"/>
                        </w:r>
                        <w:r w:rsidR="00B5140A">
                          <w:rPr>
                            <w:rFonts w:ascii="Simplified Arabic" w:hAnsi="Simplified Arabic" w:cs="Simplified Arabic"/>
                            <w:b/>
                            <w:bCs/>
                            <w:noProof/>
                            <w:sz w:val="24"/>
                            <w:szCs w:val="24"/>
                            <w:rtl/>
                          </w:rPr>
                          <w:t>36</w:t>
                        </w:r>
                        <w:r w:rsidRPr="00606507">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D3E464E" wp14:editId="491BEAC3">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03374E2"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F0185" w14:textId="196D8ADE" w:rsidR="00A54655" w:rsidRDefault="00A546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23115" w14:textId="77777777" w:rsidR="00D455DA" w:rsidRDefault="00D455DA" w:rsidP="009125CE">
      <w:pPr>
        <w:spacing w:after="0" w:line="240" w:lineRule="auto"/>
      </w:pPr>
      <w:r>
        <w:separator/>
      </w:r>
    </w:p>
  </w:footnote>
  <w:footnote w:type="continuationSeparator" w:id="0">
    <w:p w14:paraId="3544BCB9" w14:textId="77777777" w:rsidR="00D455DA" w:rsidRDefault="00D455D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1298B"/>
    <w:multiLevelType w:val="hybridMultilevel"/>
    <w:tmpl w:val="04827098"/>
    <w:lvl w:ilvl="0" w:tplc="0FE07F34">
      <w:numFmt w:val="bullet"/>
      <w:lvlText w:val=""/>
      <w:lvlJc w:val="left"/>
      <w:pPr>
        <w:ind w:left="784" w:hanging="360"/>
      </w:pPr>
      <w:rPr>
        <w:rFonts w:ascii="Symbol" w:eastAsia="Times New Roman"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E85DE7"/>
    <w:multiLevelType w:val="hybridMultilevel"/>
    <w:tmpl w:val="70444BFC"/>
    <w:lvl w:ilvl="0" w:tplc="0FE07F34">
      <w:numFmt w:val="bullet"/>
      <w:lvlText w:val=""/>
      <w:lvlJc w:val="left"/>
      <w:pPr>
        <w:ind w:left="1208" w:hanging="360"/>
      </w:pPr>
      <w:rPr>
        <w:rFonts w:ascii="Symbol" w:eastAsia="Times New Roman" w:hAnsi="Symbol" w:cs="Simplified Arabic"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B72562"/>
    <w:multiLevelType w:val="hybridMultilevel"/>
    <w:tmpl w:val="98660E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0540B5"/>
    <w:multiLevelType w:val="hybridMultilevel"/>
    <w:tmpl w:val="2AAC8D90"/>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5" w15:restartNumberingAfterBreak="0">
    <w:nsid w:val="31C224FC"/>
    <w:multiLevelType w:val="hybridMultilevel"/>
    <w:tmpl w:val="FE0E053A"/>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6" w15:restartNumberingAfterBreak="0">
    <w:nsid w:val="393035FF"/>
    <w:multiLevelType w:val="hybridMultilevel"/>
    <w:tmpl w:val="13CCBE86"/>
    <w:lvl w:ilvl="0" w:tplc="0FE07F34">
      <w:numFmt w:val="bullet"/>
      <w:lvlText w:val=""/>
      <w:lvlJc w:val="left"/>
      <w:pPr>
        <w:ind w:left="1208" w:hanging="360"/>
      </w:pPr>
      <w:rPr>
        <w:rFonts w:ascii="Symbol" w:eastAsia="Times New Roman" w:hAnsi="Symbol" w:cs="Simplified Arabic"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7" w15:restartNumberingAfterBreak="0">
    <w:nsid w:val="3CC46102"/>
    <w:multiLevelType w:val="hybridMultilevel"/>
    <w:tmpl w:val="ACD4B3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894CA0"/>
    <w:multiLevelType w:val="hybridMultilevel"/>
    <w:tmpl w:val="A5484BF2"/>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9" w15:restartNumberingAfterBreak="0">
    <w:nsid w:val="5530616D"/>
    <w:multiLevelType w:val="hybridMultilevel"/>
    <w:tmpl w:val="9098AA72"/>
    <w:lvl w:ilvl="0" w:tplc="0FE07F34">
      <w:numFmt w:val="bullet"/>
      <w:lvlText w:val=""/>
      <w:lvlJc w:val="left"/>
      <w:pPr>
        <w:ind w:left="784" w:hanging="360"/>
      </w:pPr>
      <w:rPr>
        <w:rFonts w:ascii="Symbol" w:eastAsia="Times New Roman" w:hAnsi="Symbol" w:cs="Simplified Arabic"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0" w15:restartNumberingAfterBreak="0">
    <w:nsid w:val="726E3A54"/>
    <w:multiLevelType w:val="hybridMultilevel"/>
    <w:tmpl w:val="CDC480FC"/>
    <w:lvl w:ilvl="0" w:tplc="0409000F">
      <w:start w:val="1"/>
      <w:numFmt w:val="decimal"/>
      <w:lvlText w:val="%1."/>
      <w:lvlJc w:val="left"/>
      <w:pPr>
        <w:ind w:left="135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E14590"/>
    <w:multiLevelType w:val="hybridMultilevel"/>
    <w:tmpl w:val="DC880C00"/>
    <w:lvl w:ilvl="0" w:tplc="0FE07F34">
      <w:numFmt w:val="bullet"/>
      <w:lvlText w:val=""/>
      <w:lvlJc w:val="left"/>
      <w:pPr>
        <w:ind w:left="1208" w:hanging="360"/>
      </w:pPr>
      <w:rPr>
        <w:rFonts w:ascii="Symbol" w:eastAsia="Times New Roman" w:hAnsi="Symbol" w:cs="Simplified Arabic"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num w:numId="1" w16cid:durableId="1792016955">
    <w:abstractNumId w:val="10"/>
  </w:num>
  <w:num w:numId="2" w16cid:durableId="2027711503">
    <w:abstractNumId w:val="2"/>
  </w:num>
  <w:num w:numId="3" w16cid:durableId="665205993">
    <w:abstractNumId w:val="9"/>
  </w:num>
  <w:num w:numId="4" w16cid:durableId="39550191">
    <w:abstractNumId w:val="6"/>
  </w:num>
  <w:num w:numId="5" w16cid:durableId="759452006">
    <w:abstractNumId w:val="1"/>
  </w:num>
  <w:num w:numId="6" w16cid:durableId="399980626">
    <w:abstractNumId w:val="11"/>
  </w:num>
  <w:num w:numId="7" w16cid:durableId="1951082218">
    <w:abstractNumId w:val="4"/>
  </w:num>
  <w:num w:numId="8" w16cid:durableId="1094787184">
    <w:abstractNumId w:val="5"/>
  </w:num>
  <w:num w:numId="9" w16cid:durableId="201749771">
    <w:abstractNumId w:val="8"/>
  </w:num>
  <w:num w:numId="10" w16cid:durableId="808783284">
    <w:abstractNumId w:val="0"/>
  </w:num>
  <w:num w:numId="11" w16cid:durableId="621112640">
    <w:abstractNumId w:val="7"/>
  </w:num>
  <w:num w:numId="12" w16cid:durableId="165899450">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6561"/>
    <w:rsid w:val="00067938"/>
    <w:rsid w:val="0007370A"/>
    <w:rsid w:val="000769E1"/>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0CB3"/>
    <w:rsid w:val="000F44B4"/>
    <w:rsid w:val="00110487"/>
    <w:rsid w:val="0012342D"/>
    <w:rsid w:val="001306F3"/>
    <w:rsid w:val="00131E44"/>
    <w:rsid w:val="00143989"/>
    <w:rsid w:val="00146CE4"/>
    <w:rsid w:val="00150B32"/>
    <w:rsid w:val="001510C1"/>
    <w:rsid w:val="00152611"/>
    <w:rsid w:val="00153B41"/>
    <w:rsid w:val="0016789F"/>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0CE9"/>
    <w:rsid w:val="001E639F"/>
    <w:rsid w:val="001E7B16"/>
    <w:rsid w:val="001F0034"/>
    <w:rsid w:val="001F159D"/>
    <w:rsid w:val="001F46A5"/>
    <w:rsid w:val="002042FA"/>
    <w:rsid w:val="0021718D"/>
    <w:rsid w:val="00217ADA"/>
    <w:rsid w:val="00220A83"/>
    <w:rsid w:val="00223AE0"/>
    <w:rsid w:val="002304C2"/>
    <w:rsid w:val="00234450"/>
    <w:rsid w:val="00250D99"/>
    <w:rsid w:val="00251BCA"/>
    <w:rsid w:val="00255248"/>
    <w:rsid w:val="00256363"/>
    <w:rsid w:val="00260558"/>
    <w:rsid w:val="0026283D"/>
    <w:rsid w:val="00270FB5"/>
    <w:rsid w:val="0027124C"/>
    <w:rsid w:val="00274BDE"/>
    <w:rsid w:val="002766BC"/>
    <w:rsid w:val="00280068"/>
    <w:rsid w:val="002828EF"/>
    <w:rsid w:val="00286958"/>
    <w:rsid w:val="0029099D"/>
    <w:rsid w:val="0029680E"/>
    <w:rsid w:val="002A32D6"/>
    <w:rsid w:val="002A365A"/>
    <w:rsid w:val="002A76B5"/>
    <w:rsid w:val="002B1274"/>
    <w:rsid w:val="002B4975"/>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57DD"/>
    <w:rsid w:val="0033775D"/>
    <w:rsid w:val="003412E2"/>
    <w:rsid w:val="003414CD"/>
    <w:rsid w:val="00341565"/>
    <w:rsid w:val="0034173E"/>
    <w:rsid w:val="00341900"/>
    <w:rsid w:val="00342AE5"/>
    <w:rsid w:val="00343EE8"/>
    <w:rsid w:val="00351D87"/>
    <w:rsid w:val="00357BB1"/>
    <w:rsid w:val="00357CD0"/>
    <w:rsid w:val="003620C0"/>
    <w:rsid w:val="0036476A"/>
    <w:rsid w:val="00370FDA"/>
    <w:rsid w:val="0037141D"/>
    <w:rsid w:val="00375565"/>
    <w:rsid w:val="003773DF"/>
    <w:rsid w:val="00377D51"/>
    <w:rsid w:val="00377DD2"/>
    <w:rsid w:val="0038272F"/>
    <w:rsid w:val="0038357B"/>
    <w:rsid w:val="00384D34"/>
    <w:rsid w:val="00386FB7"/>
    <w:rsid w:val="003873E8"/>
    <w:rsid w:val="003953DA"/>
    <w:rsid w:val="00396510"/>
    <w:rsid w:val="003A5312"/>
    <w:rsid w:val="003A757C"/>
    <w:rsid w:val="003B30A9"/>
    <w:rsid w:val="003B45FF"/>
    <w:rsid w:val="003B48BD"/>
    <w:rsid w:val="003B51C3"/>
    <w:rsid w:val="003C2495"/>
    <w:rsid w:val="003D5D45"/>
    <w:rsid w:val="003D6376"/>
    <w:rsid w:val="003E29FB"/>
    <w:rsid w:val="003E3EBB"/>
    <w:rsid w:val="003E7CB6"/>
    <w:rsid w:val="003F614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441"/>
    <w:rsid w:val="00464637"/>
    <w:rsid w:val="00464AF1"/>
    <w:rsid w:val="00466730"/>
    <w:rsid w:val="004708AB"/>
    <w:rsid w:val="00470A2D"/>
    <w:rsid w:val="00473631"/>
    <w:rsid w:val="00474A1C"/>
    <w:rsid w:val="00475C10"/>
    <w:rsid w:val="00476ADB"/>
    <w:rsid w:val="0047707D"/>
    <w:rsid w:val="00482056"/>
    <w:rsid w:val="00482616"/>
    <w:rsid w:val="00491EAB"/>
    <w:rsid w:val="00493C98"/>
    <w:rsid w:val="004A035D"/>
    <w:rsid w:val="004A09C4"/>
    <w:rsid w:val="004A1755"/>
    <w:rsid w:val="004B118D"/>
    <w:rsid w:val="004B1EF3"/>
    <w:rsid w:val="004B352F"/>
    <w:rsid w:val="004C0303"/>
    <w:rsid w:val="004C3BAD"/>
    <w:rsid w:val="004C4331"/>
    <w:rsid w:val="004D23E7"/>
    <w:rsid w:val="004D24C7"/>
    <w:rsid w:val="004D6581"/>
    <w:rsid w:val="004D6B08"/>
    <w:rsid w:val="004E439C"/>
    <w:rsid w:val="004E4F78"/>
    <w:rsid w:val="004F1444"/>
    <w:rsid w:val="004F2475"/>
    <w:rsid w:val="004F3AF6"/>
    <w:rsid w:val="00505B9A"/>
    <w:rsid w:val="00513B3A"/>
    <w:rsid w:val="0051426B"/>
    <w:rsid w:val="005146DA"/>
    <w:rsid w:val="0051585E"/>
    <w:rsid w:val="00522010"/>
    <w:rsid w:val="0052581D"/>
    <w:rsid w:val="005423FA"/>
    <w:rsid w:val="00543815"/>
    <w:rsid w:val="00544E3F"/>
    <w:rsid w:val="00545455"/>
    <w:rsid w:val="005459E0"/>
    <w:rsid w:val="00545E45"/>
    <w:rsid w:val="00547782"/>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E7EAB"/>
    <w:rsid w:val="005F2722"/>
    <w:rsid w:val="006020A6"/>
    <w:rsid w:val="006044AD"/>
    <w:rsid w:val="00606507"/>
    <w:rsid w:val="006110B6"/>
    <w:rsid w:val="006112DD"/>
    <w:rsid w:val="0061146E"/>
    <w:rsid w:val="00617C5B"/>
    <w:rsid w:val="00625CAD"/>
    <w:rsid w:val="0062761F"/>
    <w:rsid w:val="00633F50"/>
    <w:rsid w:val="006344B4"/>
    <w:rsid w:val="006352B0"/>
    <w:rsid w:val="00636F27"/>
    <w:rsid w:val="00642229"/>
    <w:rsid w:val="006450DB"/>
    <w:rsid w:val="00647482"/>
    <w:rsid w:val="00653D7E"/>
    <w:rsid w:val="0066191A"/>
    <w:rsid w:val="00663FD3"/>
    <w:rsid w:val="00666183"/>
    <w:rsid w:val="00667140"/>
    <w:rsid w:val="006716C2"/>
    <w:rsid w:val="00677D98"/>
    <w:rsid w:val="0068067A"/>
    <w:rsid w:val="00680F37"/>
    <w:rsid w:val="00681671"/>
    <w:rsid w:val="00681BE6"/>
    <w:rsid w:val="00681F47"/>
    <w:rsid w:val="00686D49"/>
    <w:rsid w:val="006904F6"/>
    <w:rsid w:val="006910C9"/>
    <w:rsid w:val="006948DE"/>
    <w:rsid w:val="006964D7"/>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4D8B"/>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044B"/>
    <w:rsid w:val="00791E1F"/>
    <w:rsid w:val="007929D7"/>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277C6"/>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043"/>
    <w:rsid w:val="0089704E"/>
    <w:rsid w:val="008A0A06"/>
    <w:rsid w:val="008A2196"/>
    <w:rsid w:val="008A248D"/>
    <w:rsid w:val="008A425D"/>
    <w:rsid w:val="008A7BB4"/>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0760C"/>
    <w:rsid w:val="009125CE"/>
    <w:rsid w:val="00914D5B"/>
    <w:rsid w:val="0092088B"/>
    <w:rsid w:val="009216A4"/>
    <w:rsid w:val="009252BB"/>
    <w:rsid w:val="00927467"/>
    <w:rsid w:val="00927901"/>
    <w:rsid w:val="009307B0"/>
    <w:rsid w:val="00930A79"/>
    <w:rsid w:val="00932A89"/>
    <w:rsid w:val="009330A0"/>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03A2"/>
    <w:rsid w:val="009E1436"/>
    <w:rsid w:val="009E2C47"/>
    <w:rsid w:val="009E31A0"/>
    <w:rsid w:val="009E5668"/>
    <w:rsid w:val="009F47B9"/>
    <w:rsid w:val="009F7996"/>
    <w:rsid w:val="009F7D3C"/>
    <w:rsid w:val="00A02DBC"/>
    <w:rsid w:val="00A057D1"/>
    <w:rsid w:val="00A10072"/>
    <w:rsid w:val="00A10B45"/>
    <w:rsid w:val="00A1279C"/>
    <w:rsid w:val="00A130CC"/>
    <w:rsid w:val="00A13C6F"/>
    <w:rsid w:val="00A15135"/>
    <w:rsid w:val="00A15287"/>
    <w:rsid w:val="00A15584"/>
    <w:rsid w:val="00A16431"/>
    <w:rsid w:val="00A22A33"/>
    <w:rsid w:val="00A23992"/>
    <w:rsid w:val="00A23F5C"/>
    <w:rsid w:val="00A2564F"/>
    <w:rsid w:val="00A30D10"/>
    <w:rsid w:val="00A31A25"/>
    <w:rsid w:val="00A348C1"/>
    <w:rsid w:val="00A3547E"/>
    <w:rsid w:val="00A35B21"/>
    <w:rsid w:val="00A40ADE"/>
    <w:rsid w:val="00A44EBE"/>
    <w:rsid w:val="00A4659A"/>
    <w:rsid w:val="00A50745"/>
    <w:rsid w:val="00A54655"/>
    <w:rsid w:val="00A55EF3"/>
    <w:rsid w:val="00A57461"/>
    <w:rsid w:val="00A60B36"/>
    <w:rsid w:val="00A62091"/>
    <w:rsid w:val="00A65828"/>
    <w:rsid w:val="00A66F82"/>
    <w:rsid w:val="00A71BCE"/>
    <w:rsid w:val="00A74F76"/>
    <w:rsid w:val="00A823EC"/>
    <w:rsid w:val="00A840CF"/>
    <w:rsid w:val="00A86E11"/>
    <w:rsid w:val="00A97576"/>
    <w:rsid w:val="00AA005F"/>
    <w:rsid w:val="00AA79E9"/>
    <w:rsid w:val="00AB0A70"/>
    <w:rsid w:val="00AB3E18"/>
    <w:rsid w:val="00AB41F1"/>
    <w:rsid w:val="00AB5A3B"/>
    <w:rsid w:val="00AB6A7C"/>
    <w:rsid w:val="00AC1CA7"/>
    <w:rsid w:val="00AD0E94"/>
    <w:rsid w:val="00AD722B"/>
    <w:rsid w:val="00AE3C7A"/>
    <w:rsid w:val="00AF24F6"/>
    <w:rsid w:val="00AF31BE"/>
    <w:rsid w:val="00AF46DF"/>
    <w:rsid w:val="00B04BD9"/>
    <w:rsid w:val="00B05F9C"/>
    <w:rsid w:val="00B134E7"/>
    <w:rsid w:val="00B15A9E"/>
    <w:rsid w:val="00B16D15"/>
    <w:rsid w:val="00B25A97"/>
    <w:rsid w:val="00B346DF"/>
    <w:rsid w:val="00B36FBC"/>
    <w:rsid w:val="00B4018A"/>
    <w:rsid w:val="00B4269F"/>
    <w:rsid w:val="00B44182"/>
    <w:rsid w:val="00B467CC"/>
    <w:rsid w:val="00B5140A"/>
    <w:rsid w:val="00B51A2E"/>
    <w:rsid w:val="00B5443B"/>
    <w:rsid w:val="00B5614E"/>
    <w:rsid w:val="00B570EB"/>
    <w:rsid w:val="00B57582"/>
    <w:rsid w:val="00B63B0F"/>
    <w:rsid w:val="00B653F7"/>
    <w:rsid w:val="00B72A08"/>
    <w:rsid w:val="00B74A10"/>
    <w:rsid w:val="00B74FF2"/>
    <w:rsid w:val="00B75E84"/>
    <w:rsid w:val="00B7678A"/>
    <w:rsid w:val="00B801FA"/>
    <w:rsid w:val="00B9286F"/>
    <w:rsid w:val="00B973EE"/>
    <w:rsid w:val="00BA0E1B"/>
    <w:rsid w:val="00BA1572"/>
    <w:rsid w:val="00BA3D6A"/>
    <w:rsid w:val="00BA5817"/>
    <w:rsid w:val="00BB1144"/>
    <w:rsid w:val="00BB3514"/>
    <w:rsid w:val="00BC24EE"/>
    <w:rsid w:val="00BC454D"/>
    <w:rsid w:val="00BC61BD"/>
    <w:rsid w:val="00BD03D1"/>
    <w:rsid w:val="00BD590D"/>
    <w:rsid w:val="00BE2024"/>
    <w:rsid w:val="00BE3936"/>
    <w:rsid w:val="00BF35D5"/>
    <w:rsid w:val="00C01C2B"/>
    <w:rsid w:val="00C05E07"/>
    <w:rsid w:val="00C1175F"/>
    <w:rsid w:val="00C14286"/>
    <w:rsid w:val="00C16713"/>
    <w:rsid w:val="00C16D65"/>
    <w:rsid w:val="00C20A1C"/>
    <w:rsid w:val="00C223BF"/>
    <w:rsid w:val="00C23616"/>
    <w:rsid w:val="00C23A70"/>
    <w:rsid w:val="00C32E49"/>
    <w:rsid w:val="00C35B07"/>
    <w:rsid w:val="00C35BBA"/>
    <w:rsid w:val="00C425A3"/>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0FBC"/>
    <w:rsid w:val="00C91FF7"/>
    <w:rsid w:val="00C9427A"/>
    <w:rsid w:val="00C9690C"/>
    <w:rsid w:val="00C96BB5"/>
    <w:rsid w:val="00CA0736"/>
    <w:rsid w:val="00CA24A2"/>
    <w:rsid w:val="00CA49E9"/>
    <w:rsid w:val="00CA6DC7"/>
    <w:rsid w:val="00CB2A94"/>
    <w:rsid w:val="00CB4A76"/>
    <w:rsid w:val="00CC4484"/>
    <w:rsid w:val="00CC6705"/>
    <w:rsid w:val="00CC7877"/>
    <w:rsid w:val="00CD105C"/>
    <w:rsid w:val="00CD2C6E"/>
    <w:rsid w:val="00CF1F0B"/>
    <w:rsid w:val="00CF4901"/>
    <w:rsid w:val="00CF552E"/>
    <w:rsid w:val="00CF6CEC"/>
    <w:rsid w:val="00D043D4"/>
    <w:rsid w:val="00D1053F"/>
    <w:rsid w:val="00D10F38"/>
    <w:rsid w:val="00D12910"/>
    <w:rsid w:val="00D1454F"/>
    <w:rsid w:val="00D16AF6"/>
    <w:rsid w:val="00D216C5"/>
    <w:rsid w:val="00D22171"/>
    <w:rsid w:val="00D274B5"/>
    <w:rsid w:val="00D27AED"/>
    <w:rsid w:val="00D30845"/>
    <w:rsid w:val="00D3210F"/>
    <w:rsid w:val="00D32470"/>
    <w:rsid w:val="00D32C83"/>
    <w:rsid w:val="00D417B5"/>
    <w:rsid w:val="00D455DA"/>
    <w:rsid w:val="00D5653F"/>
    <w:rsid w:val="00D575F3"/>
    <w:rsid w:val="00D60743"/>
    <w:rsid w:val="00D92BC0"/>
    <w:rsid w:val="00D92F77"/>
    <w:rsid w:val="00D965B5"/>
    <w:rsid w:val="00DA0EBA"/>
    <w:rsid w:val="00DA1C1B"/>
    <w:rsid w:val="00DA3C05"/>
    <w:rsid w:val="00DA4696"/>
    <w:rsid w:val="00DA4EAA"/>
    <w:rsid w:val="00DA61E2"/>
    <w:rsid w:val="00DB1F25"/>
    <w:rsid w:val="00DB43B3"/>
    <w:rsid w:val="00DC10F4"/>
    <w:rsid w:val="00DC34A3"/>
    <w:rsid w:val="00DC40DA"/>
    <w:rsid w:val="00DC4534"/>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627C"/>
    <w:rsid w:val="00E373EB"/>
    <w:rsid w:val="00E43E1B"/>
    <w:rsid w:val="00E43E62"/>
    <w:rsid w:val="00E452A2"/>
    <w:rsid w:val="00E50B03"/>
    <w:rsid w:val="00E53564"/>
    <w:rsid w:val="00E552BA"/>
    <w:rsid w:val="00E60D19"/>
    <w:rsid w:val="00E640C5"/>
    <w:rsid w:val="00E64188"/>
    <w:rsid w:val="00E6570B"/>
    <w:rsid w:val="00E663FA"/>
    <w:rsid w:val="00E67CA1"/>
    <w:rsid w:val="00E67D1B"/>
    <w:rsid w:val="00E71C79"/>
    <w:rsid w:val="00E7565E"/>
    <w:rsid w:val="00E76742"/>
    <w:rsid w:val="00E76A3D"/>
    <w:rsid w:val="00E76DB1"/>
    <w:rsid w:val="00E802F2"/>
    <w:rsid w:val="00E82DAD"/>
    <w:rsid w:val="00E83F46"/>
    <w:rsid w:val="00E86613"/>
    <w:rsid w:val="00E940E4"/>
    <w:rsid w:val="00E97126"/>
    <w:rsid w:val="00EA15E2"/>
    <w:rsid w:val="00EA6B5D"/>
    <w:rsid w:val="00EB46EF"/>
    <w:rsid w:val="00EB60A5"/>
    <w:rsid w:val="00EC0CB7"/>
    <w:rsid w:val="00EC10F6"/>
    <w:rsid w:val="00EC5DCF"/>
    <w:rsid w:val="00ED1910"/>
    <w:rsid w:val="00ED1918"/>
    <w:rsid w:val="00ED24E8"/>
    <w:rsid w:val="00ED2B59"/>
    <w:rsid w:val="00ED2F10"/>
    <w:rsid w:val="00ED5DB0"/>
    <w:rsid w:val="00EE0BB8"/>
    <w:rsid w:val="00EE0BD0"/>
    <w:rsid w:val="00EE7B86"/>
    <w:rsid w:val="00EF118F"/>
    <w:rsid w:val="00EF2B26"/>
    <w:rsid w:val="00EF5F43"/>
    <w:rsid w:val="00F00FB8"/>
    <w:rsid w:val="00F10C89"/>
    <w:rsid w:val="00F11345"/>
    <w:rsid w:val="00F12EEC"/>
    <w:rsid w:val="00F1646F"/>
    <w:rsid w:val="00F30BD7"/>
    <w:rsid w:val="00F310F2"/>
    <w:rsid w:val="00F33937"/>
    <w:rsid w:val="00F3442D"/>
    <w:rsid w:val="00F4304F"/>
    <w:rsid w:val="00F450D5"/>
    <w:rsid w:val="00F540A1"/>
    <w:rsid w:val="00F546CE"/>
    <w:rsid w:val="00F563E2"/>
    <w:rsid w:val="00F66109"/>
    <w:rsid w:val="00F7243B"/>
    <w:rsid w:val="00F72CBB"/>
    <w:rsid w:val="00F733B2"/>
    <w:rsid w:val="00F74589"/>
    <w:rsid w:val="00F90AC2"/>
    <w:rsid w:val="00F91846"/>
    <w:rsid w:val="00F95872"/>
    <w:rsid w:val="00FA0A03"/>
    <w:rsid w:val="00FA24AF"/>
    <w:rsid w:val="00FA36B7"/>
    <w:rsid w:val="00FA4282"/>
    <w:rsid w:val="00FA44AF"/>
    <w:rsid w:val="00FA4843"/>
    <w:rsid w:val="00FB11CC"/>
    <w:rsid w:val="00FB22B3"/>
    <w:rsid w:val="00FB4F4E"/>
    <w:rsid w:val="00FB520B"/>
    <w:rsid w:val="00FB7A83"/>
    <w:rsid w:val="00FC20BB"/>
    <w:rsid w:val="00FC31E7"/>
    <w:rsid w:val="00FC4E54"/>
    <w:rsid w:val="00FC65CC"/>
    <w:rsid w:val="00FD1591"/>
    <w:rsid w:val="00FD1CCA"/>
    <w:rsid w:val="00FD4AA8"/>
    <w:rsid w:val="00FD4AC0"/>
    <w:rsid w:val="00FD5F5A"/>
    <w:rsid w:val="00FD7B84"/>
    <w:rsid w:val="00FE0443"/>
    <w:rsid w:val="00FE1C50"/>
    <w:rsid w:val="00FE1E71"/>
    <w:rsid w:val="00FE22A8"/>
    <w:rsid w:val="00FE761F"/>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687D75B0-533C-48BB-A1F8-26A28F195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037B0D"/>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BE3936"/>
    <w:pPr>
      <w:tabs>
        <w:tab w:val="right" w:leader="dot" w:pos="9061"/>
      </w:tabs>
      <w:spacing w:after="100" w:line="276" w:lineRule="auto"/>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b">
    <w:name w:val="Emphasis"/>
    <w:basedOn w:val="a0"/>
    <w:uiPriority w:val="20"/>
    <w:qFormat/>
    <w:rsid w:val="00A65828"/>
    <w:rPr>
      <w:i/>
      <w:iCs/>
    </w:rPr>
  </w:style>
  <w:style w:type="paragraph" w:styleId="30">
    <w:name w:val="toc 3"/>
    <w:basedOn w:val="a"/>
    <w:next w:val="a"/>
    <w:autoRedefine/>
    <w:uiPriority w:val="39"/>
    <w:unhideWhenUsed/>
    <w:rsid w:val="00714D8B"/>
    <w:pPr>
      <w:spacing w:after="100"/>
      <w:ind w:left="440"/>
    </w:pPr>
  </w:style>
  <w:style w:type="paragraph" w:customStyle="1" w:styleId="msonormal0">
    <w:name w:val="msonormal"/>
    <w:basedOn w:val="a"/>
    <w:rsid w:val="00F7458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1">
    <w:name w:val="Grid Table 1 Light Accent 1"/>
    <w:basedOn w:val="a1"/>
    <w:uiPriority w:val="46"/>
    <w:rsid w:val="0060650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E940E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2">
    <w:name w:val="Plain Table 1"/>
    <w:basedOn w:val="a1"/>
    <w:uiPriority w:val="41"/>
    <w:rsid w:val="004644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3719805">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4780918">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3204125">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516711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7143785">
      <w:bodyDiv w:val="1"/>
      <w:marLeft w:val="0"/>
      <w:marRight w:val="0"/>
      <w:marTop w:val="0"/>
      <w:marBottom w:val="0"/>
      <w:divBdr>
        <w:top w:val="none" w:sz="0" w:space="0" w:color="auto"/>
        <w:left w:val="none" w:sz="0" w:space="0" w:color="auto"/>
        <w:bottom w:val="none" w:sz="0" w:space="0" w:color="auto"/>
        <w:right w:val="none" w:sz="0" w:space="0" w:color="auto"/>
      </w:divBdr>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7641309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6440340">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7429623">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437380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0872912">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6635175">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4618030">
      <w:bodyDiv w:val="1"/>
      <w:marLeft w:val="0"/>
      <w:marRight w:val="0"/>
      <w:marTop w:val="0"/>
      <w:marBottom w:val="0"/>
      <w:divBdr>
        <w:top w:val="none" w:sz="0" w:space="0" w:color="auto"/>
        <w:left w:val="none" w:sz="0" w:space="0" w:color="auto"/>
        <w:bottom w:val="none" w:sz="0" w:space="0" w:color="auto"/>
        <w:right w:val="none" w:sz="0" w:space="0" w:color="auto"/>
      </w:divBdr>
    </w:div>
    <w:div w:id="139959160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551415">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5895879">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7761648">
      <w:bodyDiv w:val="1"/>
      <w:marLeft w:val="0"/>
      <w:marRight w:val="0"/>
      <w:marTop w:val="0"/>
      <w:marBottom w:val="0"/>
      <w:divBdr>
        <w:top w:val="none" w:sz="0" w:space="0" w:color="auto"/>
        <w:left w:val="none" w:sz="0" w:space="0" w:color="auto"/>
        <w:bottom w:val="none" w:sz="0" w:space="0" w:color="auto"/>
        <w:right w:val="none" w:sz="0" w:space="0" w:color="auto"/>
      </w:divBdr>
    </w:div>
    <w:div w:id="1638559968">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830828047">
          <w:marLeft w:val="0"/>
          <w:marRight w:val="0"/>
          <w:marTop w:val="0"/>
          <w:marBottom w:val="0"/>
          <w:divBdr>
            <w:top w:val="none" w:sz="0" w:space="0" w:color="auto"/>
            <w:left w:val="none" w:sz="0" w:space="0" w:color="auto"/>
            <w:bottom w:val="none" w:sz="0" w:space="0" w:color="auto"/>
            <w:right w:val="none" w:sz="0" w:space="0" w:color="auto"/>
          </w:divBdr>
        </w:div>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3185187">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1274790">
      <w:bodyDiv w:val="1"/>
      <w:marLeft w:val="0"/>
      <w:marRight w:val="0"/>
      <w:marTop w:val="0"/>
      <w:marBottom w:val="0"/>
      <w:divBdr>
        <w:top w:val="none" w:sz="0" w:space="0" w:color="auto"/>
        <w:left w:val="none" w:sz="0" w:space="0" w:color="auto"/>
        <w:bottom w:val="none" w:sz="0" w:space="0" w:color="auto"/>
        <w:right w:val="none" w:sz="0" w:space="0" w:color="auto"/>
      </w:divBdr>
      <w:divsChild>
        <w:div w:id="12500429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2674455">
      <w:bodyDiv w:val="1"/>
      <w:marLeft w:val="0"/>
      <w:marRight w:val="0"/>
      <w:marTop w:val="0"/>
      <w:marBottom w:val="0"/>
      <w:divBdr>
        <w:top w:val="none" w:sz="0" w:space="0" w:color="auto"/>
        <w:left w:val="none" w:sz="0" w:space="0" w:color="auto"/>
        <w:bottom w:val="none" w:sz="0" w:space="0" w:color="auto"/>
        <w:right w:val="none" w:sz="0" w:space="0" w:color="auto"/>
      </w:divBdr>
      <w:divsChild>
        <w:div w:id="16860516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4727518-F256-4947-9D05-7CC63E6D3DB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5580</Words>
  <Characters>33138</Characters>
  <Application>Microsoft Office Word</Application>
  <DocSecurity>0</DocSecurity>
  <Lines>276</Lines>
  <Paragraphs>77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Najm Alqusari</cp:lastModifiedBy>
  <cp:revision>2</cp:revision>
  <cp:lastPrinted>2026-07-17T12:45:00Z</cp:lastPrinted>
  <dcterms:created xsi:type="dcterms:W3CDTF">2026-07-17T19:49:00Z</dcterms:created>
  <dcterms:modified xsi:type="dcterms:W3CDTF">2026-07-17T19:49:00Z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