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2E9B7" w14:textId="77777777" w:rsidR="000F7512" w:rsidRDefault="000F7512" w:rsidP="000F7512">
      <w:pPr>
        <w:spacing w:after="440" w:line="240" w:lineRule="auto"/>
        <w:jc w:val="center"/>
        <w:rPr>
          <w:rFonts w:hint="cs"/>
          <w:rtl/>
        </w:rPr>
      </w:pPr>
      <w:proofErr w:type="spellStart"/>
      <w:r>
        <w:rPr>
          <w:b/>
          <w:sz w:val="32"/>
        </w:rPr>
        <w:t>خطة</w:t>
      </w:r>
      <w:proofErr w:type="spellEnd"/>
      <w:r>
        <w:rPr>
          <w:b/>
          <w:sz w:val="32"/>
        </w:rPr>
        <w:t xml:space="preserve"> </w:t>
      </w:r>
      <w:proofErr w:type="spellStart"/>
      <w:r>
        <w:rPr>
          <w:b/>
          <w:sz w:val="32"/>
        </w:rPr>
        <w:t>تسجيل</w:t>
      </w:r>
      <w:proofErr w:type="spellEnd"/>
      <w:r>
        <w:rPr>
          <w:b/>
          <w:sz w:val="32"/>
        </w:rPr>
        <w:t xml:space="preserve"> </w:t>
      </w:r>
      <w:proofErr w:type="spellStart"/>
      <w:r>
        <w:rPr>
          <w:b/>
          <w:sz w:val="32"/>
        </w:rPr>
        <w:t>أطروحة</w:t>
      </w:r>
      <w:proofErr w:type="spellEnd"/>
      <w:r>
        <w:rPr>
          <w:b/>
          <w:sz w:val="32"/>
        </w:rPr>
        <w:t xml:space="preserve"> </w:t>
      </w:r>
      <w:proofErr w:type="spellStart"/>
      <w:r>
        <w:rPr>
          <w:b/>
          <w:sz w:val="32"/>
        </w:rPr>
        <w:t>الدكتوراه</w:t>
      </w:r>
      <w:proofErr w:type="spellEnd"/>
    </w:p>
    <w:p w14:paraId="15CCD3B8" w14:textId="77777777" w:rsidR="000F7512" w:rsidRDefault="000F7512" w:rsidP="000F7512">
      <w:pPr>
        <w:spacing w:after="80" w:line="240" w:lineRule="auto"/>
        <w:jc w:val="center"/>
        <w:rPr>
          <w:rtl/>
        </w:rPr>
      </w:pPr>
      <w:proofErr w:type="spellStart"/>
      <w:r>
        <w:rPr>
          <w:b/>
          <w:sz w:val="28"/>
        </w:rPr>
        <w:t>العنوان</w:t>
      </w:r>
      <w:proofErr w:type="spellEnd"/>
      <w:r>
        <w:rPr>
          <w:b/>
          <w:sz w:val="28"/>
        </w:rPr>
        <w:t xml:space="preserve"> </w:t>
      </w:r>
      <w:proofErr w:type="spellStart"/>
      <w:r>
        <w:rPr>
          <w:b/>
          <w:sz w:val="28"/>
        </w:rPr>
        <w:t>باللغة</w:t>
      </w:r>
      <w:proofErr w:type="spellEnd"/>
      <w:r>
        <w:rPr>
          <w:b/>
          <w:sz w:val="28"/>
        </w:rPr>
        <w:t xml:space="preserve"> </w:t>
      </w:r>
      <w:proofErr w:type="spellStart"/>
      <w:r>
        <w:rPr>
          <w:b/>
          <w:sz w:val="28"/>
        </w:rPr>
        <w:t>العربية</w:t>
      </w:r>
      <w:proofErr w:type="spellEnd"/>
    </w:p>
    <w:p w14:paraId="6DE30332" w14:textId="77777777" w:rsidR="000F7512" w:rsidRDefault="000F7512" w:rsidP="000F7512">
      <w:pPr>
        <w:spacing w:after="360" w:line="288" w:lineRule="auto"/>
        <w:jc w:val="center"/>
      </w:pPr>
      <w:proofErr w:type="spellStart"/>
      <w:r>
        <w:rPr>
          <w:b/>
          <w:sz w:val="28"/>
        </w:rPr>
        <w:t>أثر</w:t>
      </w:r>
      <w:proofErr w:type="spellEnd"/>
      <w:r>
        <w:rPr>
          <w:b/>
          <w:sz w:val="28"/>
        </w:rPr>
        <w:t xml:space="preserve"> </w:t>
      </w:r>
      <w:proofErr w:type="spellStart"/>
      <w:r>
        <w:rPr>
          <w:b/>
          <w:sz w:val="28"/>
        </w:rPr>
        <w:t>ممارسات</w:t>
      </w:r>
      <w:proofErr w:type="spellEnd"/>
      <w:r>
        <w:rPr>
          <w:b/>
          <w:sz w:val="28"/>
        </w:rPr>
        <w:t xml:space="preserve"> </w:t>
      </w:r>
      <w:proofErr w:type="spellStart"/>
      <w:r>
        <w:rPr>
          <w:b/>
          <w:sz w:val="28"/>
        </w:rPr>
        <w:t>حوكمة</w:t>
      </w:r>
      <w:proofErr w:type="spellEnd"/>
      <w:r>
        <w:rPr>
          <w:b/>
          <w:sz w:val="28"/>
        </w:rPr>
        <w:t xml:space="preserve"> </w:t>
      </w:r>
      <w:proofErr w:type="spellStart"/>
      <w:r>
        <w:rPr>
          <w:b/>
          <w:sz w:val="28"/>
        </w:rPr>
        <w:t>المشتريات</w:t>
      </w:r>
      <w:proofErr w:type="spellEnd"/>
      <w:r>
        <w:rPr>
          <w:b/>
          <w:sz w:val="28"/>
        </w:rPr>
        <w:t xml:space="preserve"> الحكومية </w:t>
      </w:r>
      <w:proofErr w:type="spellStart"/>
      <w:r>
        <w:rPr>
          <w:b/>
          <w:sz w:val="28"/>
        </w:rPr>
        <w:t>في</w:t>
      </w:r>
      <w:proofErr w:type="spellEnd"/>
      <w:r>
        <w:rPr>
          <w:b/>
          <w:sz w:val="28"/>
        </w:rPr>
        <w:t xml:space="preserve"> </w:t>
      </w:r>
      <w:proofErr w:type="spellStart"/>
      <w:r>
        <w:rPr>
          <w:b/>
          <w:sz w:val="28"/>
        </w:rPr>
        <w:t>كفاءة</w:t>
      </w:r>
      <w:proofErr w:type="spellEnd"/>
      <w:r>
        <w:rPr>
          <w:b/>
          <w:sz w:val="28"/>
        </w:rPr>
        <w:t xml:space="preserve"> </w:t>
      </w:r>
      <w:proofErr w:type="spellStart"/>
      <w:r>
        <w:rPr>
          <w:b/>
          <w:sz w:val="28"/>
        </w:rPr>
        <w:t>الإنفاق</w:t>
      </w:r>
      <w:proofErr w:type="spellEnd"/>
      <w:r>
        <w:rPr>
          <w:b/>
          <w:sz w:val="28"/>
        </w:rPr>
        <w:t xml:space="preserve">: </w:t>
      </w:r>
      <w:proofErr w:type="spellStart"/>
      <w:r>
        <w:rPr>
          <w:b/>
          <w:sz w:val="28"/>
        </w:rPr>
        <w:t>الدور</w:t>
      </w:r>
      <w:proofErr w:type="spellEnd"/>
      <w:r>
        <w:rPr>
          <w:b/>
          <w:sz w:val="28"/>
        </w:rPr>
        <w:t xml:space="preserve"> </w:t>
      </w:r>
      <w:proofErr w:type="spellStart"/>
      <w:r>
        <w:rPr>
          <w:b/>
          <w:sz w:val="28"/>
        </w:rPr>
        <w:t>الوسيط</w:t>
      </w:r>
      <w:proofErr w:type="spellEnd"/>
      <w:r>
        <w:rPr>
          <w:b/>
          <w:sz w:val="28"/>
        </w:rPr>
        <w:t xml:space="preserve"> </w:t>
      </w:r>
      <w:proofErr w:type="spellStart"/>
      <w:r>
        <w:rPr>
          <w:b/>
          <w:sz w:val="28"/>
        </w:rPr>
        <w:t>لإدارة</w:t>
      </w:r>
      <w:proofErr w:type="spellEnd"/>
      <w:r>
        <w:rPr>
          <w:b/>
          <w:sz w:val="28"/>
        </w:rPr>
        <w:t xml:space="preserve"> </w:t>
      </w:r>
      <w:proofErr w:type="spellStart"/>
      <w:r>
        <w:rPr>
          <w:b/>
          <w:sz w:val="28"/>
        </w:rPr>
        <w:t>مخاطر</w:t>
      </w:r>
      <w:proofErr w:type="spellEnd"/>
      <w:r>
        <w:rPr>
          <w:b/>
          <w:sz w:val="28"/>
        </w:rPr>
        <w:t xml:space="preserve"> </w:t>
      </w:r>
      <w:proofErr w:type="spellStart"/>
      <w:r>
        <w:rPr>
          <w:b/>
          <w:sz w:val="28"/>
        </w:rPr>
        <w:t>تعارض</w:t>
      </w:r>
      <w:proofErr w:type="spellEnd"/>
      <w:r>
        <w:rPr>
          <w:b/>
          <w:sz w:val="28"/>
        </w:rPr>
        <w:t xml:space="preserve"> </w:t>
      </w:r>
      <w:proofErr w:type="spellStart"/>
      <w:r>
        <w:rPr>
          <w:b/>
          <w:sz w:val="28"/>
        </w:rPr>
        <w:t>المصالح</w:t>
      </w:r>
      <w:proofErr w:type="spellEnd"/>
      <w:r>
        <w:rPr>
          <w:b/>
          <w:sz w:val="28"/>
        </w:rPr>
        <w:t xml:space="preserve"> </w:t>
      </w:r>
      <w:proofErr w:type="spellStart"/>
      <w:r>
        <w:rPr>
          <w:b/>
          <w:sz w:val="28"/>
        </w:rPr>
        <w:t>في</w:t>
      </w:r>
      <w:proofErr w:type="spellEnd"/>
      <w:r>
        <w:rPr>
          <w:b/>
          <w:sz w:val="28"/>
        </w:rPr>
        <w:t xml:space="preserve"> </w:t>
      </w:r>
      <w:proofErr w:type="spellStart"/>
      <w:r>
        <w:rPr>
          <w:b/>
          <w:sz w:val="28"/>
        </w:rPr>
        <w:t>الجهات</w:t>
      </w:r>
      <w:proofErr w:type="spellEnd"/>
      <w:r>
        <w:rPr>
          <w:b/>
          <w:sz w:val="28"/>
        </w:rPr>
        <w:t xml:space="preserve"> الحكومية </w:t>
      </w:r>
      <w:proofErr w:type="spellStart"/>
      <w:r>
        <w:rPr>
          <w:b/>
          <w:sz w:val="28"/>
        </w:rPr>
        <w:t>السعودية</w:t>
      </w:r>
      <w:proofErr w:type="spellEnd"/>
    </w:p>
    <w:p w14:paraId="38FE8EB3" w14:textId="77777777" w:rsidR="000F7512" w:rsidRDefault="000F7512" w:rsidP="000F7512">
      <w:pPr>
        <w:spacing w:after="80" w:line="240" w:lineRule="auto"/>
        <w:jc w:val="center"/>
      </w:pPr>
      <w:proofErr w:type="spellStart"/>
      <w:r>
        <w:rPr>
          <w:b/>
          <w:sz w:val="28"/>
        </w:rPr>
        <w:t>العنوان</w:t>
      </w:r>
      <w:proofErr w:type="spellEnd"/>
      <w:r>
        <w:rPr>
          <w:b/>
          <w:sz w:val="28"/>
        </w:rPr>
        <w:t xml:space="preserve"> </w:t>
      </w:r>
      <w:proofErr w:type="spellStart"/>
      <w:r>
        <w:rPr>
          <w:b/>
          <w:sz w:val="28"/>
        </w:rPr>
        <w:t>باللغة</w:t>
      </w:r>
      <w:proofErr w:type="spellEnd"/>
      <w:r>
        <w:rPr>
          <w:b/>
          <w:sz w:val="28"/>
        </w:rPr>
        <w:t xml:space="preserve"> </w:t>
      </w:r>
      <w:proofErr w:type="spellStart"/>
      <w:r>
        <w:rPr>
          <w:b/>
          <w:sz w:val="28"/>
        </w:rPr>
        <w:t>الإنجليزية</w:t>
      </w:r>
      <w:proofErr w:type="spellEnd"/>
    </w:p>
    <w:p w14:paraId="18B5347C" w14:textId="77777777" w:rsidR="000F7512" w:rsidRDefault="000F7512" w:rsidP="000F7512">
      <w:pPr>
        <w:spacing w:after="440" w:line="288" w:lineRule="auto"/>
        <w:jc w:val="center"/>
      </w:pPr>
      <w:r>
        <w:rPr>
          <w:rFonts w:ascii="Times New Roman" w:hAnsi="Times New Roman" w:cs="Times New Roman"/>
          <w:b/>
        </w:rPr>
        <w:t>The Impact of Government Procurement Governance Practices on Expenditure Efficiency: The Mediating Role of Conflict-of-Interest Risk Management in Saudi Government Entities</w:t>
      </w:r>
    </w:p>
    <w:p w14:paraId="7AAB2926" w14:textId="77777777" w:rsidR="000F7512" w:rsidRPr="0031365B" w:rsidRDefault="000F7512" w:rsidP="000F7512">
      <w:pPr>
        <w:spacing w:after="60" w:line="240" w:lineRule="auto"/>
        <w:jc w:val="center"/>
        <w:rPr>
          <w:bCs/>
          <w:sz w:val="36"/>
          <w:szCs w:val="28"/>
          <w:rtl/>
        </w:rPr>
      </w:pPr>
      <w:r w:rsidRPr="0031365B">
        <w:rPr>
          <w:rFonts w:hint="cs"/>
          <w:bCs/>
          <w:sz w:val="36"/>
          <w:szCs w:val="28"/>
          <w:rtl/>
        </w:rPr>
        <w:t>اسم الباحث:</w:t>
      </w:r>
    </w:p>
    <w:p w14:paraId="1356882D" w14:textId="77777777" w:rsidR="000F7512" w:rsidRDefault="000F7512" w:rsidP="000F7512">
      <w:pPr>
        <w:spacing w:after="240" w:line="240" w:lineRule="auto"/>
        <w:jc w:val="center"/>
      </w:pPr>
      <w:proofErr w:type="spellStart"/>
      <w:r>
        <w:rPr>
          <w:b/>
          <w:sz w:val="28"/>
        </w:rPr>
        <w:t>فادي</w:t>
      </w:r>
      <w:proofErr w:type="spellEnd"/>
      <w:r>
        <w:rPr>
          <w:b/>
          <w:sz w:val="28"/>
        </w:rPr>
        <w:t xml:space="preserve"> </w:t>
      </w:r>
      <w:proofErr w:type="spellStart"/>
      <w:r>
        <w:rPr>
          <w:b/>
          <w:sz w:val="28"/>
        </w:rPr>
        <w:t>بن</w:t>
      </w:r>
      <w:proofErr w:type="spellEnd"/>
      <w:r>
        <w:rPr>
          <w:b/>
          <w:sz w:val="28"/>
        </w:rPr>
        <w:t xml:space="preserve"> </w:t>
      </w:r>
      <w:proofErr w:type="spellStart"/>
      <w:r>
        <w:rPr>
          <w:b/>
          <w:sz w:val="28"/>
        </w:rPr>
        <w:t>عبدالصمد</w:t>
      </w:r>
      <w:proofErr w:type="spellEnd"/>
      <w:r>
        <w:rPr>
          <w:b/>
          <w:sz w:val="28"/>
        </w:rPr>
        <w:t xml:space="preserve"> </w:t>
      </w:r>
      <w:proofErr w:type="spellStart"/>
      <w:r>
        <w:rPr>
          <w:b/>
          <w:sz w:val="28"/>
        </w:rPr>
        <w:t>مليباري</w:t>
      </w:r>
      <w:proofErr w:type="spellEnd"/>
    </w:p>
    <w:p w14:paraId="79B2D314" w14:textId="77777777" w:rsidR="000F7512" w:rsidRDefault="000F7512" w:rsidP="000F7512">
      <w:pPr>
        <w:spacing w:after="60" w:line="240" w:lineRule="auto"/>
        <w:jc w:val="center"/>
      </w:pPr>
      <w:proofErr w:type="spellStart"/>
      <w:r>
        <w:rPr>
          <w:b/>
          <w:sz w:val="28"/>
        </w:rPr>
        <w:t>الرقم</w:t>
      </w:r>
      <w:proofErr w:type="spellEnd"/>
      <w:r>
        <w:rPr>
          <w:b/>
          <w:sz w:val="28"/>
        </w:rPr>
        <w:t xml:space="preserve"> </w:t>
      </w:r>
      <w:proofErr w:type="spellStart"/>
      <w:r>
        <w:rPr>
          <w:b/>
          <w:sz w:val="28"/>
        </w:rPr>
        <w:t>الأكاديمي</w:t>
      </w:r>
      <w:proofErr w:type="spellEnd"/>
    </w:p>
    <w:p w14:paraId="5C5890F6" w14:textId="77777777" w:rsidR="000F7512" w:rsidRPr="0031365B" w:rsidRDefault="000F7512" w:rsidP="000F7512">
      <w:pPr>
        <w:spacing w:after="240" w:line="240" w:lineRule="auto"/>
        <w:jc w:val="center"/>
        <w:rPr>
          <w:b/>
          <w:bCs/>
          <w:sz w:val="32"/>
          <w:szCs w:val="28"/>
        </w:rPr>
      </w:pPr>
      <w:r w:rsidRPr="00D36149">
        <w:rPr>
          <w:rFonts w:hint="cs"/>
          <w:b/>
          <w:bCs/>
          <w:sz w:val="32"/>
          <w:szCs w:val="28"/>
          <w:rtl/>
        </w:rPr>
        <w:t>252001348</w:t>
      </w:r>
    </w:p>
    <w:p w14:paraId="4CBE2062" w14:textId="77777777" w:rsidR="000F7512" w:rsidRPr="00ED0629" w:rsidRDefault="000F7512" w:rsidP="000F7512">
      <w:pPr>
        <w:spacing w:after="440" w:line="240" w:lineRule="auto"/>
        <w:jc w:val="center"/>
        <w:rPr>
          <w:bCs/>
          <w:sz w:val="36"/>
          <w:szCs w:val="28"/>
        </w:rPr>
      </w:pPr>
      <w:r w:rsidRPr="00ED0629">
        <w:rPr>
          <w:rFonts w:hint="cs"/>
          <w:bCs/>
          <w:sz w:val="36"/>
          <w:szCs w:val="28"/>
          <w:rtl/>
        </w:rPr>
        <w:t xml:space="preserve">جامعة </w:t>
      </w:r>
      <w:proofErr w:type="spellStart"/>
      <w:r w:rsidRPr="00ED0629">
        <w:rPr>
          <w:rFonts w:hint="cs"/>
          <w:bCs/>
          <w:sz w:val="36"/>
          <w:szCs w:val="28"/>
          <w:rtl/>
        </w:rPr>
        <w:t>ميدأوشن</w:t>
      </w:r>
      <w:proofErr w:type="spellEnd"/>
    </w:p>
    <w:p w14:paraId="34ED2279" w14:textId="77777777" w:rsidR="000F7512" w:rsidRDefault="000F7512" w:rsidP="000F7512">
      <w:pPr>
        <w:spacing w:after="440" w:line="240" w:lineRule="auto"/>
        <w:jc w:val="center"/>
      </w:pPr>
      <w:proofErr w:type="spellStart"/>
      <w:r>
        <w:rPr>
          <w:b/>
          <w:sz w:val="28"/>
        </w:rPr>
        <w:t>كلية</w:t>
      </w:r>
      <w:proofErr w:type="spellEnd"/>
      <w:r>
        <w:rPr>
          <w:b/>
          <w:sz w:val="28"/>
        </w:rPr>
        <w:t xml:space="preserve"> الإدارة</w:t>
      </w:r>
    </w:p>
    <w:p w14:paraId="085051C1" w14:textId="336898BE" w:rsidR="000F7512" w:rsidRDefault="000F7512" w:rsidP="000F7512">
      <w:pPr>
        <w:spacing w:after="0" w:line="360" w:lineRule="auto"/>
        <w:jc w:val="center"/>
        <w:rPr>
          <w:bCs/>
          <w:sz w:val="36"/>
          <w:szCs w:val="28"/>
        </w:rPr>
      </w:pPr>
      <w:r w:rsidRPr="000B751F">
        <w:rPr>
          <w:rFonts w:hint="cs"/>
          <w:bCs/>
          <w:sz w:val="36"/>
          <w:szCs w:val="28"/>
          <w:rtl/>
        </w:rPr>
        <w:t>1448هـ - 2026م</w:t>
      </w:r>
    </w:p>
    <w:p w14:paraId="4EB892E1" w14:textId="77777777" w:rsidR="000F7512" w:rsidRDefault="000F7512">
      <w:pPr>
        <w:bidi w:val="0"/>
        <w:rPr>
          <w:bCs/>
          <w:sz w:val="36"/>
          <w:szCs w:val="28"/>
        </w:rPr>
      </w:pPr>
      <w:r>
        <w:rPr>
          <w:bCs/>
          <w:sz w:val="36"/>
          <w:szCs w:val="28"/>
        </w:rPr>
        <w:br w:type="page"/>
      </w:r>
    </w:p>
    <w:p w14:paraId="5D0567B6" w14:textId="77777777" w:rsidR="000F7512" w:rsidRPr="000F7512" w:rsidRDefault="000F7512" w:rsidP="000F7512">
      <w:pPr>
        <w:spacing w:after="0" w:line="360" w:lineRule="auto"/>
        <w:jc w:val="center"/>
        <w:rPr>
          <w:bCs/>
          <w:sz w:val="36"/>
          <w:szCs w:val="28"/>
        </w:rPr>
      </w:pPr>
    </w:p>
    <w:p w14:paraId="19E04EE9" w14:textId="77777777" w:rsidR="005C7750" w:rsidRDefault="00000000" w:rsidP="00F22C8D">
      <w:pPr>
        <w:pStyle w:val="1"/>
        <w:spacing w:before="0" w:after="160" w:line="360" w:lineRule="auto"/>
      </w:pPr>
      <w:r>
        <w:rPr>
          <w:rFonts w:ascii="Traditional Arabic" w:eastAsia="Traditional Arabic" w:hAnsi="Traditional Arabic" w:cs="Traditional Arabic"/>
          <w:highlight w:val="yellow"/>
          <w:rtl/>
        </w:rPr>
        <w:t>جدول الاستجابة لملاحظات اللجنة العلمية والمشرف</w:t>
      </w:r>
    </w:p>
    <w:tbl>
      <w:tblPr>
        <w:tblStyle w:val="afa"/>
        <w:bidiVisual/>
        <w:tblW w:w="0" w:type="auto"/>
        <w:jc w:val="center"/>
        <w:tblLook w:val="04A0" w:firstRow="1" w:lastRow="0" w:firstColumn="1" w:lastColumn="0" w:noHBand="0" w:noVBand="1"/>
      </w:tblPr>
      <w:tblGrid>
        <w:gridCol w:w="1654"/>
        <w:gridCol w:w="3820"/>
        <w:gridCol w:w="3814"/>
      </w:tblGrid>
      <w:tr w:rsidR="005C7750" w14:paraId="1C2E39DE" w14:textId="77777777">
        <w:trPr>
          <w:jc w:val="center"/>
        </w:trPr>
        <w:tc>
          <w:tcPr>
            <w:tcW w:w="1701" w:type="dxa"/>
            <w:shd w:val="clear" w:color="auto" w:fill="D9EAF7"/>
            <w:vAlign w:val="center"/>
          </w:tcPr>
          <w:p w14:paraId="4D40008F" w14:textId="77777777" w:rsidR="005C7750" w:rsidRDefault="00000000" w:rsidP="00F22C8D">
            <w:pPr>
              <w:spacing w:after="120" w:line="360" w:lineRule="auto"/>
            </w:pPr>
            <w:r>
              <w:rPr>
                <w:b/>
                <w:rtl/>
              </w:rPr>
              <w:t>البند</w:t>
            </w:r>
          </w:p>
        </w:tc>
        <w:tc>
          <w:tcPr>
            <w:tcW w:w="3969" w:type="dxa"/>
            <w:shd w:val="clear" w:color="auto" w:fill="D9EAF7"/>
            <w:vAlign w:val="center"/>
          </w:tcPr>
          <w:p w14:paraId="2B624578" w14:textId="77777777" w:rsidR="005C7750" w:rsidRDefault="00000000" w:rsidP="00F22C8D">
            <w:pPr>
              <w:spacing w:after="120" w:line="360" w:lineRule="auto"/>
            </w:pPr>
            <w:r>
              <w:rPr>
                <w:b/>
                <w:rtl/>
              </w:rPr>
              <w:t>الملاحظة الرئيسة</w:t>
            </w:r>
          </w:p>
        </w:tc>
        <w:tc>
          <w:tcPr>
            <w:tcW w:w="3969" w:type="dxa"/>
            <w:shd w:val="clear" w:color="auto" w:fill="D9EAF7"/>
            <w:vAlign w:val="center"/>
          </w:tcPr>
          <w:p w14:paraId="740FC610" w14:textId="77777777" w:rsidR="005C7750" w:rsidRDefault="00000000" w:rsidP="00F22C8D">
            <w:pPr>
              <w:spacing w:after="120" w:line="360" w:lineRule="auto"/>
            </w:pPr>
            <w:r>
              <w:rPr>
                <w:b/>
                <w:rtl/>
              </w:rPr>
              <w:t>الإجراء التصحيحي المنفذ</w:t>
            </w:r>
          </w:p>
        </w:tc>
      </w:tr>
      <w:tr w:rsidR="005C7750" w14:paraId="25C78697" w14:textId="77777777">
        <w:trPr>
          <w:jc w:val="center"/>
        </w:trPr>
        <w:tc>
          <w:tcPr>
            <w:tcW w:w="1701" w:type="dxa"/>
            <w:shd w:val="clear" w:color="auto" w:fill="FFF2CC"/>
          </w:tcPr>
          <w:p w14:paraId="346EBC69" w14:textId="77777777" w:rsidR="005C7750" w:rsidRDefault="00000000" w:rsidP="00F22C8D">
            <w:pPr>
              <w:spacing w:after="120" w:line="360" w:lineRule="auto"/>
            </w:pPr>
            <w:r>
              <w:rPr>
                <w:sz w:val="22"/>
                <w:rtl/>
              </w:rPr>
              <w:t>المقدمة</w:t>
            </w:r>
          </w:p>
        </w:tc>
        <w:tc>
          <w:tcPr>
            <w:tcW w:w="3969" w:type="dxa"/>
            <w:shd w:val="clear" w:color="auto" w:fill="FFF2CC"/>
          </w:tcPr>
          <w:p w14:paraId="173EDBEB" w14:textId="77777777" w:rsidR="005C7750" w:rsidRDefault="00000000" w:rsidP="00F22C8D">
            <w:pPr>
              <w:spacing w:after="120" w:line="360" w:lineRule="auto"/>
            </w:pPr>
            <w:r>
              <w:rPr>
                <w:sz w:val="22"/>
                <w:rtl/>
              </w:rPr>
              <w:t>إضافة إحصائيات الإنفاق، تقارير هيئة كفاءة الإنفاق، خصوصية المشتريات الحكومية، التدفق المنطقي، ونظرية الوكالة.</w:t>
            </w:r>
          </w:p>
        </w:tc>
        <w:tc>
          <w:tcPr>
            <w:tcW w:w="3969" w:type="dxa"/>
            <w:shd w:val="clear" w:color="auto" w:fill="FFF2CC"/>
          </w:tcPr>
          <w:p w14:paraId="61877CB1" w14:textId="77777777" w:rsidR="005C7750" w:rsidRDefault="00000000" w:rsidP="00F22C8D">
            <w:pPr>
              <w:spacing w:after="120" w:line="360" w:lineRule="auto"/>
            </w:pPr>
            <w:r>
              <w:rPr>
                <w:sz w:val="22"/>
                <w:rtl/>
              </w:rPr>
              <w:t>تم تعزيز المقدمة بإحصائيات وزارة المالية لعامي 2025 و2026، ومؤشرات هيئة كفاءة الإنفاق لعام 2024، مع إعادة ترتيب الفقرات وإضافة الإطار النظري.</w:t>
            </w:r>
          </w:p>
        </w:tc>
      </w:tr>
      <w:tr w:rsidR="005C7750" w14:paraId="4EF4CD16" w14:textId="77777777">
        <w:trPr>
          <w:jc w:val="center"/>
        </w:trPr>
        <w:tc>
          <w:tcPr>
            <w:tcW w:w="1701" w:type="dxa"/>
            <w:shd w:val="clear" w:color="auto" w:fill="FFF2CC"/>
          </w:tcPr>
          <w:p w14:paraId="72832518" w14:textId="77777777" w:rsidR="005C7750" w:rsidRDefault="00000000" w:rsidP="00F22C8D">
            <w:pPr>
              <w:spacing w:after="120" w:line="360" w:lineRule="auto"/>
            </w:pPr>
            <w:r>
              <w:rPr>
                <w:sz w:val="22"/>
                <w:rtl/>
              </w:rPr>
              <w:t>مشكلة الدراسة</w:t>
            </w:r>
          </w:p>
        </w:tc>
        <w:tc>
          <w:tcPr>
            <w:tcW w:w="3969" w:type="dxa"/>
            <w:shd w:val="clear" w:color="auto" w:fill="FFF2CC"/>
          </w:tcPr>
          <w:p w14:paraId="2C330C8C" w14:textId="77777777" w:rsidR="005C7750" w:rsidRDefault="00000000" w:rsidP="00F22C8D">
            <w:pPr>
              <w:spacing w:after="120" w:line="360" w:lineRule="auto"/>
            </w:pPr>
            <w:r>
              <w:rPr>
                <w:sz w:val="22"/>
                <w:rtl/>
              </w:rPr>
              <w:t>توثيق الإحصائيات، ربط المشكلة برؤية 2030 وبرنامج الاستدامة المالية، وتوضيح الفجوة بين الأنظمة والممارسة.</w:t>
            </w:r>
          </w:p>
        </w:tc>
        <w:tc>
          <w:tcPr>
            <w:tcW w:w="3969" w:type="dxa"/>
            <w:shd w:val="clear" w:color="auto" w:fill="FFF2CC"/>
          </w:tcPr>
          <w:p w14:paraId="3D751008" w14:textId="77777777" w:rsidR="005C7750" w:rsidRDefault="00000000" w:rsidP="00F22C8D">
            <w:pPr>
              <w:spacing w:after="120" w:line="360" w:lineRule="auto"/>
            </w:pPr>
            <w:r>
              <w:rPr>
                <w:sz w:val="22"/>
                <w:rtl/>
              </w:rPr>
              <w:t>تمت إعادة صياغة المشكلة وإضافة مؤشرات محلية وسؤال رئيس موسع يشمل أبعاد المتغيرات الثلاثة.</w:t>
            </w:r>
          </w:p>
        </w:tc>
      </w:tr>
      <w:tr w:rsidR="005C7750" w14:paraId="111D8B84" w14:textId="77777777">
        <w:trPr>
          <w:jc w:val="center"/>
        </w:trPr>
        <w:tc>
          <w:tcPr>
            <w:tcW w:w="1701" w:type="dxa"/>
            <w:shd w:val="clear" w:color="auto" w:fill="FFF2CC"/>
          </w:tcPr>
          <w:p w14:paraId="206C9817" w14:textId="77777777" w:rsidR="005C7750" w:rsidRDefault="00000000" w:rsidP="00F22C8D">
            <w:pPr>
              <w:spacing w:after="120" w:line="360" w:lineRule="auto"/>
            </w:pPr>
            <w:r>
              <w:rPr>
                <w:sz w:val="22"/>
                <w:rtl/>
              </w:rPr>
              <w:t>تساؤلات الدراسة</w:t>
            </w:r>
          </w:p>
        </w:tc>
        <w:tc>
          <w:tcPr>
            <w:tcW w:w="3969" w:type="dxa"/>
            <w:shd w:val="clear" w:color="auto" w:fill="FFF2CC"/>
          </w:tcPr>
          <w:p w14:paraId="01136EB2" w14:textId="77777777" w:rsidR="005C7750" w:rsidRDefault="00000000" w:rsidP="00F22C8D">
            <w:pPr>
              <w:spacing w:after="120" w:line="360" w:lineRule="auto"/>
            </w:pPr>
            <w:r>
              <w:rPr>
                <w:sz w:val="22"/>
                <w:rtl/>
              </w:rPr>
              <w:t>إعادة صياغة الأسئلة وإضافة سؤال الفروق الديموغرافية وسؤال التفاعل بين أبعاد المتغير الوسيط.</w:t>
            </w:r>
          </w:p>
        </w:tc>
        <w:tc>
          <w:tcPr>
            <w:tcW w:w="3969" w:type="dxa"/>
            <w:shd w:val="clear" w:color="auto" w:fill="FFF2CC"/>
          </w:tcPr>
          <w:p w14:paraId="618A48F3" w14:textId="77777777" w:rsidR="005C7750" w:rsidRDefault="00000000" w:rsidP="00F22C8D">
            <w:pPr>
              <w:spacing w:after="120" w:line="360" w:lineRule="auto"/>
            </w:pPr>
            <w:r>
              <w:rPr>
                <w:sz w:val="22"/>
                <w:rtl/>
              </w:rPr>
              <w:t>تمت إعادة صياغة الأسئلة وإضافة السؤالين الثامن والتاسع.</w:t>
            </w:r>
          </w:p>
        </w:tc>
      </w:tr>
      <w:tr w:rsidR="005C7750" w14:paraId="247613D3" w14:textId="77777777">
        <w:trPr>
          <w:jc w:val="center"/>
        </w:trPr>
        <w:tc>
          <w:tcPr>
            <w:tcW w:w="1701" w:type="dxa"/>
            <w:shd w:val="clear" w:color="auto" w:fill="FFF2CC"/>
          </w:tcPr>
          <w:p w14:paraId="357E01D9" w14:textId="77777777" w:rsidR="005C7750" w:rsidRDefault="00000000" w:rsidP="00F22C8D">
            <w:pPr>
              <w:spacing w:after="120" w:line="360" w:lineRule="auto"/>
            </w:pPr>
            <w:r>
              <w:rPr>
                <w:sz w:val="22"/>
                <w:rtl/>
              </w:rPr>
              <w:t>أهمية الدراسة</w:t>
            </w:r>
          </w:p>
        </w:tc>
        <w:tc>
          <w:tcPr>
            <w:tcW w:w="3969" w:type="dxa"/>
            <w:shd w:val="clear" w:color="auto" w:fill="FFF2CC"/>
          </w:tcPr>
          <w:p w14:paraId="3E19B2D4" w14:textId="77777777" w:rsidR="005C7750" w:rsidRDefault="00000000" w:rsidP="00F22C8D">
            <w:pPr>
              <w:spacing w:after="120" w:line="360" w:lineRule="auto"/>
            </w:pPr>
            <w:r>
              <w:rPr>
                <w:sz w:val="22"/>
                <w:rtl/>
              </w:rPr>
              <w:t>إضافة الأهمية العربية والخليجية، إسهام نظرية الوكالة، ودعم هيئة كفاءة الإنفاق ووزارة المالية.</w:t>
            </w:r>
          </w:p>
        </w:tc>
        <w:tc>
          <w:tcPr>
            <w:tcW w:w="3969" w:type="dxa"/>
            <w:shd w:val="clear" w:color="auto" w:fill="FFF2CC"/>
          </w:tcPr>
          <w:p w14:paraId="7AEE566A" w14:textId="77777777" w:rsidR="005C7750" w:rsidRDefault="00000000" w:rsidP="00F22C8D">
            <w:pPr>
              <w:spacing w:after="120" w:line="360" w:lineRule="auto"/>
            </w:pPr>
            <w:r>
              <w:rPr>
                <w:sz w:val="22"/>
                <w:rtl/>
              </w:rPr>
              <w:t>تم توسيع الأهمية النظرية والتطبيقية وإضافة البعد العربي والخليجي وأداة القياس المقترحة.</w:t>
            </w:r>
          </w:p>
        </w:tc>
      </w:tr>
      <w:tr w:rsidR="005C7750" w14:paraId="7CE9DA04" w14:textId="77777777">
        <w:trPr>
          <w:jc w:val="center"/>
        </w:trPr>
        <w:tc>
          <w:tcPr>
            <w:tcW w:w="1701" w:type="dxa"/>
            <w:shd w:val="clear" w:color="auto" w:fill="FFF2CC"/>
          </w:tcPr>
          <w:p w14:paraId="60E34E1B" w14:textId="77777777" w:rsidR="005C7750" w:rsidRDefault="00000000" w:rsidP="00F22C8D">
            <w:pPr>
              <w:spacing w:after="120" w:line="360" w:lineRule="auto"/>
            </w:pPr>
            <w:r>
              <w:rPr>
                <w:sz w:val="22"/>
                <w:rtl/>
              </w:rPr>
              <w:t>أهداف الدراسة</w:t>
            </w:r>
          </w:p>
        </w:tc>
        <w:tc>
          <w:tcPr>
            <w:tcW w:w="3969" w:type="dxa"/>
            <w:shd w:val="clear" w:color="auto" w:fill="FFF2CC"/>
          </w:tcPr>
          <w:p w14:paraId="0B385474" w14:textId="77777777" w:rsidR="005C7750" w:rsidRDefault="00000000" w:rsidP="00F22C8D">
            <w:pPr>
              <w:spacing w:after="120" w:line="360" w:lineRule="auto"/>
            </w:pPr>
            <w:r>
              <w:rPr>
                <w:sz w:val="22"/>
                <w:rtl/>
              </w:rPr>
              <w:t>صياغة إجرائية وإضافة أهداف الفروق، النموذج التنبؤي، والأثر التفاضلي لأبعاد الحوكمة.</w:t>
            </w:r>
          </w:p>
        </w:tc>
        <w:tc>
          <w:tcPr>
            <w:tcW w:w="3969" w:type="dxa"/>
            <w:shd w:val="clear" w:color="auto" w:fill="FFF2CC"/>
          </w:tcPr>
          <w:p w14:paraId="0B0C962C" w14:textId="77777777" w:rsidR="005C7750" w:rsidRDefault="00000000" w:rsidP="00F22C8D">
            <w:pPr>
              <w:spacing w:after="120" w:line="360" w:lineRule="auto"/>
            </w:pPr>
            <w:r>
              <w:rPr>
                <w:sz w:val="22"/>
                <w:rtl/>
              </w:rPr>
              <w:t>تمت إعادة صياغة الأهداف بأفعال قابلة للقياس وإضافة الأهداف المطلوبة.</w:t>
            </w:r>
          </w:p>
        </w:tc>
      </w:tr>
      <w:tr w:rsidR="005C7750" w14:paraId="4C209879" w14:textId="77777777">
        <w:trPr>
          <w:jc w:val="center"/>
        </w:trPr>
        <w:tc>
          <w:tcPr>
            <w:tcW w:w="1701" w:type="dxa"/>
            <w:shd w:val="clear" w:color="auto" w:fill="FFF2CC"/>
          </w:tcPr>
          <w:p w14:paraId="325DC8F6" w14:textId="77777777" w:rsidR="005C7750" w:rsidRDefault="00000000" w:rsidP="00F22C8D">
            <w:pPr>
              <w:spacing w:after="120" w:line="360" w:lineRule="auto"/>
            </w:pPr>
            <w:r>
              <w:rPr>
                <w:sz w:val="22"/>
                <w:rtl/>
              </w:rPr>
              <w:t>الدراسات السابقة</w:t>
            </w:r>
          </w:p>
        </w:tc>
        <w:tc>
          <w:tcPr>
            <w:tcW w:w="3969" w:type="dxa"/>
            <w:shd w:val="clear" w:color="auto" w:fill="FFF2CC"/>
          </w:tcPr>
          <w:p w14:paraId="52F3426F" w14:textId="77777777" w:rsidR="005C7750" w:rsidRDefault="00000000" w:rsidP="00F22C8D">
            <w:pPr>
              <w:spacing w:after="120" w:line="360" w:lineRule="auto"/>
            </w:pPr>
            <w:r>
              <w:rPr>
                <w:sz w:val="22"/>
                <w:rtl/>
              </w:rPr>
              <w:t>إضافة دراسات حديثة وعربية وترتيبها حسب المتغيرات وتحديد الفجوات.</w:t>
            </w:r>
          </w:p>
        </w:tc>
        <w:tc>
          <w:tcPr>
            <w:tcW w:w="3969" w:type="dxa"/>
            <w:shd w:val="clear" w:color="auto" w:fill="FFF2CC"/>
          </w:tcPr>
          <w:p w14:paraId="59487796" w14:textId="77777777" w:rsidR="005C7750" w:rsidRDefault="00000000" w:rsidP="00F22C8D">
            <w:pPr>
              <w:spacing w:after="120" w:line="360" w:lineRule="auto"/>
            </w:pPr>
            <w:r>
              <w:rPr>
                <w:sz w:val="22"/>
                <w:rtl/>
              </w:rPr>
              <w:t>تم توسيع الدراسات المرجعية وإضافة فجوات بحثية صريحة.</w:t>
            </w:r>
          </w:p>
        </w:tc>
      </w:tr>
      <w:tr w:rsidR="005C7750" w14:paraId="165B291D" w14:textId="77777777">
        <w:trPr>
          <w:jc w:val="center"/>
        </w:trPr>
        <w:tc>
          <w:tcPr>
            <w:tcW w:w="1701" w:type="dxa"/>
            <w:shd w:val="clear" w:color="auto" w:fill="FFF2CC"/>
          </w:tcPr>
          <w:p w14:paraId="198631C7" w14:textId="77777777" w:rsidR="005C7750" w:rsidRDefault="00000000" w:rsidP="00F22C8D">
            <w:pPr>
              <w:spacing w:after="120" w:line="360" w:lineRule="auto"/>
            </w:pPr>
            <w:r>
              <w:rPr>
                <w:sz w:val="22"/>
                <w:rtl/>
              </w:rPr>
              <w:t>النظريات الداعمة</w:t>
            </w:r>
          </w:p>
        </w:tc>
        <w:tc>
          <w:tcPr>
            <w:tcW w:w="3969" w:type="dxa"/>
            <w:shd w:val="clear" w:color="auto" w:fill="FFF2CC"/>
          </w:tcPr>
          <w:p w14:paraId="4C304E46" w14:textId="77777777" w:rsidR="005C7750" w:rsidRDefault="00000000" w:rsidP="00F22C8D">
            <w:pPr>
              <w:spacing w:after="120" w:line="360" w:lineRule="auto"/>
            </w:pPr>
            <w:r>
              <w:rPr>
                <w:sz w:val="22"/>
                <w:rtl/>
              </w:rPr>
              <w:t>إضافة نظرية الوكالة ونظرية أصحاب المصلحة والتكامل النظري.</w:t>
            </w:r>
          </w:p>
        </w:tc>
        <w:tc>
          <w:tcPr>
            <w:tcW w:w="3969" w:type="dxa"/>
            <w:shd w:val="clear" w:color="auto" w:fill="FFF2CC"/>
          </w:tcPr>
          <w:p w14:paraId="7437A8FF" w14:textId="77777777" w:rsidR="005C7750" w:rsidRDefault="00000000" w:rsidP="00F22C8D">
            <w:pPr>
              <w:spacing w:after="120" w:line="360" w:lineRule="auto"/>
            </w:pPr>
            <w:r>
              <w:rPr>
                <w:sz w:val="22"/>
                <w:rtl/>
              </w:rPr>
              <w:t>تم إنشاء قسم مستقل للنظريات الداعمة وتفسير العلاقات في النموذج.</w:t>
            </w:r>
          </w:p>
        </w:tc>
      </w:tr>
      <w:tr w:rsidR="005C7750" w14:paraId="0693746C" w14:textId="77777777">
        <w:trPr>
          <w:jc w:val="center"/>
        </w:trPr>
        <w:tc>
          <w:tcPr>
            <w:tcW w:w="1701" w:type="dxa"/>
            <w:shd w:val="clear" w:color="auto" w:fill="FFF2CC"/>
          </w:tcPr>
          <w:p w14:paraId="4244F55B" w14:textId="77777777" w:rsidR="005C7750" w:rsidRDefault="00000000" w:rsidP="00F22C8D">
            <w:pPr>
              <w:spacing w:after="120" w:line="360" w:lineRule="auto"/>
            </w:pPr>
            <w:r>
              <w:rPr>
                <w:sz w:val="22"/>
                <w:rtl/>
              </w:rPr>
              <w:t>منهجية الدراسة</w:t>
            </w:r>
          </w:p>
        </w:tc>
        <w:tc>
          <w:tcPr>
            <w:tcW w:w="3969" w:type="dxa"/>
            <w:shd w:val="clear" w:color="auto" w:fill="FFF2CC"/>
          </w:tcPr>
          <w:p w14:paraId="6A858A42" w14:textId="77777777" w:rsidR="005C7750" w:rsidRDefault="00000000" w:rsidP="00F22C8D">
            <w:pPr>
              <w:spacing w:after="120" w:line="360" w:lineRule="auto"/>
            </w:pPr>
            <w:r>
              <w:rPr>
                <w:sz w:val="22"/>
                <w:rtl/>
              </w:rPr>
              <w:t>تفصيل العينة، الاستبانات غير المكتملة، تحيز الطريقة الواحدة، تسلسل التحليل، المقابلات، الموافقات.</w:t>
            </w:r>
          </w:p>
        </w:tc>
        <w:tc>
          <w:tcPr>
            <w:tcW w:w="3969" w:type="dxa"/>
            <w:shd w:val="clear" w:color="auto" w:fill="FFF2CC"/>
          </w:tcPr>
          <w:p w14:paraId="2015FCE4" w14:textId="77777777" w:rsidR="005C7750" w:rsidRDefault="00000000" w:rsidP="00F22C8D">
            <w:pPr>
              <w:spacing w:after="120" w:line="360" w:lineRule="auto"/>
            </w:pPr>
            <w:r>
              <w:rPr>
                <w:sz w:val="22"/>
                <w:rtl/>
              </w:rPr>
              <w:t>تم توسيع المنهجية ومعايير الشمول والاستبعاد وخطة التحليل.</w:t>
            </w:r>
          </w:p>
        </w:tc>
      </w:tr>
      <w:tr w:rsidR="005C7750" w14:paraId="0E050D32" w14:textId="77777777">
        <w:trPr>
          <w:jc w:val="center"/>
        </w:trPr>
        <w:tc>
          <w:tcPr>
            <w:tcW w:w="1701" w:type="dxa"/>
            <w:shd w:val="clear" w:color="auto" w:fill="FFF2CC"/>
          </w:tcPr>
          <w:p w14:paraId="61E6128C" w14:textId="77777777" w:rsidR="005C7750" w:rsidRDefault="00000000" w:rsidP="00F22C8D">
            <w:pPr>
              <w:spacing w:after="120" w:line="360" w:lineRule="auto"/>
            </w:pPr>
            <w:r>
              <w:rPr>
                <w:sz w:val="22"/>
                <w:rtl/>
              </w:rPr>
              <w:t>الجوانب الشكلية</w:t>
            </w:r>
          </w:p>
        </w:tc>
        <w:tc>
          <w:tcPr>
            <w:tcW w:w="3969" w:type="dxa"/>
            <w:shd w:val="clear" w:color="auto" w:fill="FFF2CC"/>
          </w:tcPr>
          <w:p w14:paraId="5262715B" w14:textId="77777777" w:rsidR="005C7750" w:rsidRDefault="00000000" w:rsidP="00F22C8D">
            <w:pPr>
              <w:spacing w:after="120" w:line="360" w:lineRule="auto"/>
            </w:pPr>
            <w:r>
              <w:rPr>
                <w:sz w:val="22"/>
                <w:rtl/>
              </w:rPr>
              <w:t>إضافة قوائم المحتويات والجداول والأشكال.</w:t>
            </w:r>
          </w:p>
        </w:tc>
        <w:tc>
          <w:tcPr>
            <w:tcW w:w="3969" w:type="dxa"/>
            <w:shd w:val="clear" w:color="auto" w:fill="FFF2CC"/>
          </w:tcPr>
          <w:p w14:paraId="25A38A80" w14:textId="77777777" w:rsidR="005C7750" w:rsidRDefault="00000000" w:rsidP="00F22C8D">
            <w:pPr>
              <w:spacing w:after="120" w:line="360" w:lineRule="auto"/>
            </w:pPr>
            <w:r>
              <w:rPr>
                <w:sz w:val="22"/>
                <w:rtl/>
              </w:rPr>
              <w:t>تمت إضافة القوائم المطلوبة في بداية الخطة.</w:t>
            </w:r>
          </w:p>
        </w:tc>
      </w:tr>
    </w:tbl>
    <w:p w14:paraId="72D7EF95" w14:textId="77777777" w:rsidR="005C7750" w:rsidRDefault="00000000" w:rsidP="00F22C8D">
      <w:r>
        <w:br w:type="page"/>
      </w:r>
    </w:p>
    <w:p w14:paraId="610F1EB6" w14:textId="77777777" w:rsidR="005C7750" w:rsidRDefault="00000000" w:rsidP="00F22C8D">
      <w:pPr>
        <w:pStyle w:val="1"/>
        <w:spacing w:before="0" w:after="160" w:line="360" w:lineRule="auto"/>
      </w:pPr>
      <w:r>
        <w:rPr>
          <w:rFonts w:ascii="Traditional Arabic" w:eastAsia="Traditional Arabic" w:hAnsi="Traditional Arabic" w:cs="Traditional Arabic"/>
          <w:highlight w:val="yellow"/>
          <w:rtl/>
        </w:rPr>
        <w:lastRenderedPageBreak/>
        <w:t>قائمة المحتويات</w:t>
      </w:r>
    </w:p>
    <w:tbl>
      <w:tblPr>
        <w:tblStyle w:val="afa"/>
        <w:bidiVisual/>
        <w:tblW w:w="0" w:type="auto"/>
        <w:jc w:val="center"/>
        <w:tblLook w:val="04A0" w:firstRow="1" w:lastRow="0" w:firstColumn="1" w:lastColumn="0" w:noHBand="0" w:noVBand="1"/>
      </w:tblPr>
      <w:tblGrid>
        <w:gridCol w:w="1701"/>
        <w:gridCol w:w="5669"/>
        <w:gridCol w:w="1134"/>
      </w:tblGrid>
      <w:tr w:rsidR="005C7750" w14:paraId="0965DEA9" w14:textId="77777777">
        <w:trPr>
          <w:jc w:val="center"/>
        </w:trPr>
        <w:tc>
          <w:tcPr>
            <w:tcW w:w="1701" w:type="dxa"/>
            <w:shd w:val="clear" w:color="auto" w:fill="D9EAF7"/>
            <w:vAlign w:val="center"/>
          </w:tcPr>
          <w:p w14:paraId="1C1A286D" w14:textId="77777777" w:rsidR="005C7750" w:rsidRDefault="00000000" w:rsidP="00F22C8D">
            <w:pPr>
              <w:spacing w:after="120" w:line="360" w:lineRule="auto"/>
            </w:pPr>
            <w:r>
              <w:rPr>
                <w:b/>
                <w:rtl/>
              </w:rPr>
              <w:t>رقم الصفحة</w:t>
            </w:r>
          </w:p>
        </w:tc>
        <w:tc>
          <w:tcPr>
            <w:tcW w:w="5669" w:type="dxa"/>
            <w:shd w:val="clear" w:color="auto" w:fill="D9EAF7"/>
            <w:vAlign w:val="center"/>
          </w:tcPr>
          <w:p w14:paraId="328D9E30" w14:textId="77777777" w:rsidR="005C7750" w:rsidRDefault="00000000" w:rsidP="00F22C8D">
            <w:pPr>
              <w:spacing w:after="120" w:line="360" w:lineRule="auto"/>
            </w:pPr>
            <w:r>
              <w:rPr>
                <w:b/>
                <w:rtl/>
              </w:rPr>
              <w:t>العنوان</w:t>
            </w:r>
          </w:p>
        </w:tc>
        <w:tc>
          <w:tcPr>
            <w:tcW w:w="1134" w:type="dxa"/>
            <w:shd w:val="clear" w:color="auto" w:fill="D9EAF7"/>
            <w:vAlign w:val="center"/>
          </w:tcPr>
          <w:p w14:paraId="7DFA60F0" w14:textId="77777777" w:rsidR="005C7750" w:rsidRDefault="00000000" w:rsidP="00F22C8D">
            <w:pPr>
              <w:spacing w:after="120" w:line="360" w:lineRule="auto"/>
            </w:pPr>
            <w:r>
              <w:rPr>
                <w:b/>
                <w:rtl/>
              </w:rPr>
              <w:t>م</w:t>
            </w:r>
          </w:p>
        </w:tc>
      </w:tr>
      <w:tr w:rsidR="005C7750" w14:paraId="4793FE22" w14:textId="77777777">
        <w:trPr>
          <w:jc w:val="center"/>
        </w:trPr>
        <w:tc>
          <w:tcPr>
            <w:tcW w:w="1701" w:type="dxa"/>
            <w:vAlign w:val="center"/>
          </w:tcPr>
          <w:p w14:paraId="241BBC75" w14:textId="77777777" w:rsidR="005C7750" w:rsidRDefault="00000000" w:rsidP="00F22C8D">
            <w:r>
              <w:t>6</w:t>
            </w:r>
          </w:p>
        </w:tc>
        <w:tc>
          <w:tcPr>
            <w:tcW w:w="5669" w:type="dxa"/>
          </w:tcPr>
          <w:p w14:paraId="57199DC8" w14:textId="05FEA7D6" w:rsidR="005C7750" w:rsidRDefault="00000000" w:rsidP="00F22C8D">
            <w:pPr>
              <w:spacing w:after="120" w:line="360" w:lineRule="auto"/>
            </w:pPr>
            <w:r>
              <w:rPr>
                <w:sz w:val="22"/>
                <w:rtl/>
              </w:rPr>
              <w:t xml:space="preserve"> عنوان الدراسة باللغة العربية</w:t>
            </w:r>
          </w:p>
        </w:tc>
        <w:tc>
          <w:tcPr>
            <w:tcW w:w="1134" w:type="dxa"/>
          </w:tcPr>
          <w:p w14:paraId="0CC6F43A" w14:textId="77777777" w:rsidR="005C7750" w:rsidRDefault="00000000" w:rsidP="00F22C8D">
            <w:pPr>
              <w:spacing w:after="120" w:line="360" w:lineRule="auto"/>
            </w:pPr>
            <w:r>
              <w:rPr>
                <w:sz w:val="22"/>
                <w:rtl/>
              </w:rPr>
              <w:t>1</w:t>
            </w:r>
          </w:p>
        </w:tc>
      </w:tr>
      <w:tr w:rsidR="005C7750" w14:paraId="7DCAACB3" w14:textId="77777777">
        <w:trPr>
          <w:jc w:val="center"/>
        </w:trPr>
        <w:tc>
          <w:tcPr>
            <w:tcW w:w="1701" w:type="dxa"/>
            <w:vAlign w:val="center"/>
          </w:tcPr>
          <w:p w14:paraId="13892683" w14:textId="77777777" w:rsidR="005C7750" w:rsidRDefault="00000000" w:rsidP="00F22C8D">
            <w:r>
              <w:t>6</w:t>
            </w:r>
          </w:p>
        </w:tc>
        <w:tc>
          <w:tcPr>
            <w:tcW w:w="5669" w:type="dxa"/>
          </w:tcPr>
          <w:p w14:paraId="0F971FFF" w14:textId="70903B00" w:rsidR="005C7750" w:rsidRDefault="00000000" w:rsidP="00F22C8D">
            <w:pPr>
              <w:spacing w:after="120" w:line="360" w:lineRule="auto"/>
            </w:pPr>
            <w:r>
              <w:rPr>
                <w:sz w:val="22"/>
                <w:rtl/>
              </w:rPr>
              <w:t>عنوان الدراسة باللغة الإنجليزية</w:t>
            </w:r>
          </w:p>
        </w:tc>
        <w:tc>
          <w:tcPr>
            <w:tcW w:w="1134" w:type="dxa"/>
          </w:tcPr>
          <w:p w14:paraId="33B33A27" w14:textId="77777777" w:rsidR="005C7750" w:rsidRDefault="00000000" w:rsidP="00F22C8D">
            <w:pPr>
              <w:spacing w:after="120" w:line="360" w:lineRule="auto"/>
            </w:pPr>
            <w:r>
              <w:rPr>
                <w:sz w:val="22"/>
                <w:rtl/>
              </w:rPr>
              <w:t>2</w:t>
            </w:r>
          </w:p>
        </w:tc>
      </w:tr>
      <w:tr w:rsidR="005C7750" w14:paraId="79DBE876" w14:textId="77777777">
        <w:trPr>
          <w:jc w:val="center"/>
        </w:trPr>
        <w:tc>
          <w:tcPr>
            <w:tcW w:w="1701" w:type="dxa"/>
            <w:vAlign w:val="center"/>
          </w:tcPr>
          <w:p w14:paraId="63505A9E" w14:textId="77777777" w:rsidR="005C7750" w:rsidRDefault="00000000" w:rsidP="00F22C8D">
            <w:r>
              <w:t>6</w:t>
            </w:r>
          </w:p>
        </w:tc>
        <w:tc>
          <w:tcPr>
            <w:tcW w:w="5669" w:type="dxa"/>
          </w:tcPr>
          <w:p w14:paraId="1CB14886" w14:textId="4D7EC830" w:rsidR="005C7750" w:rsidRDefault="00000000" w:rsidP="00F22C8D">
            <w:pPr>
              <w:spacing w:after="120" w:line="360" w:lineRule="auto"/>
            </w:pPr>
            <w:r>
              <w:rPr>
                <w:sz w:val="22"/>
                <w:rtl/>
              </w:rPr>
              <w:t>مقدمة الدراسة</w:t>
            </w:r>
          </w:p>
        </w:tc>
        <w:tc>
          <w:tcPr>
            <w:tcW w:w="1134" w:type="dxa"/>
          </w:tcPr>
          <w:p w14:paraId="58381073" w14:textId="77777777" w:rsidR="005C7750" w:rsidRDefault="00000000" w:rsidP="00F22C8D">
            <w:pPr>
              <w:spacing w:after="120" w:line="360" w:lineRule="auto"/>
            </w:pPr>
            <w:r>
              <w:rPr>
                <w:sz w:val="22"/>
                <w:rtl/>
              </w:rPr>
              <w:t>3</w:t>
            </w:r>
          </w:p>
        </w:tc>
      </w:tr>
      <w:tr w:rsidR="005C7750" w14:paraId="64DD4EB6" w14:textId="77777777">
        <w:trPr>
          <w:jc w:val="center"/>
        </w:trPr>
        <w:tc>
          <w:tcPr>
            <w:tcW w:w="1701" w:type="dxa"/>
            <w:vAlign w:val="center"/>
          </w:tcPr>
          <w:p w14:paraId="0471EB29" w14:textId="77777777" w:rsidR="005C7750" w:rsidRDefault="00000000" w:rsidP="00F22C8D">
            <w:r>
              <w:t>7</w:t>
            </w:r>
          </w:p>
        </w:tc>
        <w:tc>
          <w:tcPr>
            <w:tcW w:w="5669" w:type="dxa"/>
          </w:tcPr>
          <w:p w14:paraId="215733C7" w14:textId="11417BBA" w:rsidR="005C7750" w:rsidRDefault="00000000" w:rsidP="00F22C8D">
            <w:pPr>
              <w:spacing w:after="120" w:line="360" w:lineRule="auto"/>
            </w:pPr>
            <w:r>
              <w:rPr>
                <w:sz w:val="22"/>
                <w:rtl/>
              </w:rPr>
              <w:t>مشكلة الدراسة وتساؤلاتها</w:t>
            </w:r>
          </w:p>
        </w:tc>
        <w:tc>
          <w:tcPr>
            <w:tcW w:w="1134" w:type="dxa"/>
          </w:tcPr>
          <w:p w14:paraId="296A0F65" w14:textId="77777777" w:rsidR="005C7750" w:rsidRDefault="00000000" w:rsidP="00F22C8D">
            <w:pPr>
              <w:spacing w:after="120" w:line="360" w:lineRule="auto"/>
            </w:pPr>
            <w:r>
              <w:rPr>
                <w:sz w:val="22"/>
                <w:rtl/>
              </w:rPr>
              <w:t>4</w:t>
            </w:r>
          </w:p>
        </w:tc>
      </w:tr>
      <w:tr w:rsidR="005C7750" w14:paraId="2ECB991C" w14:textId="77777777">
        <w:trPr>
          <w:jc w:val="center"/>
        </w:trPr>
        <w:tc>
          <w:tcPr>
            <w:tcW w:w="1701" w:type="dxa"/>
            <w:vAlign w:val="center"/>
          </w:tcPr>
          <w:p w14:paraId="19217EBA" w14:textId="77777777" w:rsidR="005C7750" w:rsidRDefault="00000000" w:rsidP="00F22C8D">
            <w:r>
              <w:t>9</w:t>
            </w:r>
          </w:p>
        </w:tc>
        <w:tc>
          <w:tcPr>
            <w:tcW w:w="5669" w:type="dxa"/>
          </w:tcPr>
          <w:p w14:paraId="35075A8C" w14:textId="669A5CB8" w:rsidR="005C7750" w:rsidRDefault="00000000" w:rsidP="00F22C8D">
            <w:pPr>
              <w:spacing w:after="120" w:line="360" w:lineRule="auto"/>
            </w:pPr>
            <w:r>
              <w:rPr>
                <w:sz w:val="22"/>
                <w:rtl/>
              </w:rPr>
              <w:t>أهمية الدراسة</w:t>
            </w:r>
          </w:p>
        </w:tc>
        <w:tc>
          <w:tcPr>
            <w:tcW w:w="1134" w:type="dxa"/>
          </w:tcPr>
          <w:p w14:paraId="76297071" w14:textId="77777777" w:rsidR="005C7750" w:rsidRDefault="00000000" w:rsidP="00F22C8D">
            <w:pPr>
              <w:spacing w:after="120" w:line="360" w:lineRule="auto"/>
            </w:pPr>
            <w:r>
              <w:rPr>
                <w:sz w:val="22"/>
                <w:rtl/>
              </w:rPr>
              <w:t>5</w:t>
            </w:r>
          </w:p>
        </w:tc>
      </w:tr>
      <w:tr w:rsidR="005C7750" w14:paraId="460BCDB6" w14:textId="77777777">
        <w:trPr>
          <w:jc w:val="center"/>
        </w:trPr>
        <w:tc>
          <w:tcPr>
            <w:tcW w:w="1701" w:type="dxa"/>
            <w:vAlign w:val="center"/>
          </w:tcPr>
          <w:p w14:paraId="53BD9CF7" w14:textId="77777777" w:rsidR="005C7750" w:rsidRDefault="00000000" w:rsidP="00F22C8D">
            <w:r>
              <w:t>10</w:t>
            </w:r>
          </w:p>
        </w:tc>
        <w:tc>
          <w:tcPr>
            <w:tcW w:w="5669" w:type="dxa"/>
          </w:tcPr>
          <w:p w14:paraId="2C3B88BF" w14:textId="02C53E59" w:rsidR="005C7750" w:rsidRDefault="00000000" w:rsidP="00F22C8D">
            <w:pPr>
              <w:spacing w:after="120" w:line="360" w:lineRule="auto"/>
            </w:pPr>
            <w:r>
              <w:rPr>
                <w:sz w:val="22"/>
                <w:rtl/>
              </w:rPr>
              <w:t>أهداف الدراسة</w:t>
            </w:r>
          </w:p>
        </w:tc>
        <w:tc>
          <w:tcPr>
            <w:tcW w:w="1134" w:type="dxa"/>
          </w:tcPr>
          <w:p w14:paraId="02F9D923" w14:textId="77777777" w:rsidR="005C7750" w:rsidRDefault="00000000" w:rsidP="00F22C8D">
            <w:pPr>
              <w:spacing w:after="120" w:line="360" w:lineRule="auto"/>
            </w:pPr>
            <w:r>
              <w:rPr>
                <w:sz w:val="22"/>
                <w:rtl/>
              </w:rPr>
              <w:t>6</w:t>
            </w:r>
          </w:p>
        </w:tc>
      </w:tr>
      <w:tr w:rsidR="005C7750" w14:paraId="22D0D23D" w14:textId="77777777">
        <w:trPr>
          <w:jc w:val="center"/>
        </w:trPr>
        <w:tc>
          <w:tcPr>
            <w:tcW w:w="1701" w:type="dxa"/>
            <w:vAlign w:val="center"/>
          </w:tcPr>
          <w:p w14:paraId="4DDF8939" w14:textId="77777777" w:rsidR="005C7750" w:rsidRDefault="00000000" w:rsidP="00F22C8D">
            <w:r>
              <w:t>11</w:t>
            </w:r>
          </w:p>
        </w:tc>
        <w:tc>
          <w:tcPr>
            <w:tcW w:w="5669" w:type="dxa"/>
          </w:tcPr>
          <w:p w14:paraId="13A032D7" w14:textId="03504CAB" w:rsidR="005C7750" w:rsidRDefault="00000000" w:rsidP="00F22C8D">
            <w:pPr>
              <w:spacing w:after="120" w:line="360" w:lineRule="auto"/>
            </w:pPr>
            <w:r>
              <w:rPr>
                <w:sz w:val="22"/>
                <w:rtl/>
              </w:rPr>
              <w:t>فرضيات الدراسة</w:t>
            </w:r>
          </w:p>
        </w:tc>
        <w:tc>
          <w:tcPr>
            <w:tcW w:w="1134" w:type="dxa"/>
          </w:tcPr>
          <w:p w14:paraId="03CB2180" w14:textId="77777777" w:rsidR="005C7750" w:rsidRDefault="00000000" w:rsidP="00F22C8D">
            <w:pPr>
              <w:spacing w:after="120" w:line="360" w:lineRule="auto"/>
            </w:pPr>
            <w:r>
              <w:rPr>
                <w:sz w:val="22"/>
                <w:rtl/>
              </w:rPr>
              <w:t>7</w:t>
            </w:r>
          </w:p>
        </w:tc>
      </w:tr>
      <w:tr w:rsidR="005C7750" w14:paraId="7C01EA11" w14:textId="77777777">
        <w:trPr>
          <w:jc w:val="center"/>
        </w:trPr>
        <w:tc>
          <w:tcPr>
            <w:tcW w:w="1701" w:type="dxa"/>
            <w:vAlign w:val="center"/>
          </w:tcPr>
          <w:p w14:paraId="401E447A" w14:textId="77777777" w:rsidR="005C7750" w:rsidRDefault="00000000" w:rsidP="00F22C8D">
            <w:r>
              <w:t>12</w:t>
            </w:r>
          </w:p>
        </w:tc>
        <w:tc>
          <w:tcPr>
            <w:tcW w:w="5669" w:type="dxa"/>
          </w:tcPr>
          <w:p w14:paraId="6435DFC0" w14:textId="44CEBB85" w:rsidR="005C7750" w:rsidRDefault="00000000" w:rsidP="00F22C8D">
            <w:pPr>
              <w:spacing w:after="120" w:line="360" w:lineRule="auto"/>
            </w:pPr>
            <w:r>
              <w:rPr>
                <w:sz w:val="22"/>
                <w:rtl/>
              </w:rPr>
              <w:t>النظريات الداعمة للدراسة</w:t>
            </w:r>
          </w:p>
        </w:tc>
        <w:tc>
          <w:tcPr>
            <w:tcW w:w="1134" w:type="dxa"/>
          </w:tcPr>
          <w:p w14:paraId="01D5A404" w14:textId="77777777" w:rsidR="005C7750" w:rsidRDefault="00000000" w:rsidP="00F22C8D">
            <w:pPr>
              <w:spacing w:after="120" w:line="360" w:lineRule="auto"/>
            </w:pPr>
            <w:r>
              <w:rPr>
                <w:sz w:val="22"/>
                <w:rtl/>
              </w:rPr>
              <w:t>8</w:t>
            </w:r>
          </w:p>
        </w:tc>
      </w:tr>
      <w:tr w:rsidR="005C7750" w14:paraId="597D9C37" w14:textId="77777777">
        <w:trPr>
          <w:jc w:val="center"/>
        </w:trPr>
        <w:tc>
          <w:tcPr>
            <w:tcW w:w="1701" w:type="dxa"/>
            <w:vAlign w:val="center"/>
          </w:tcPr>
          <w:p w14:paraId="707D8C5B" w14:textId="77777777" w:rsidR="005C7750" w:rsidRDefault="00000000" w:rsidP="00F22C8D">
            <w:r>
              <w:t>13</w:t>
            </w:r>
          </w:p>
        </w:tc>
        <w:tc>
          <w:tcPr>
            <w:tcW w:w="5669" w:type="dxa"/>
          </w:tcPr>
          <w:p w14:paraId="1B7E6B7B" w14:textId="3694930A" w:rsidR="005C7750" w:rsidRDefault="00000000" w:rsidP="00F22C8D">
            <w:pPr>
              <w:spacing w:after="120" w:line="360" w:lineRule="auto"/>
            </w:pPr>
            <w:r>
              <w:rPr>
                <w:sz w:val="22"/>
                <w:rtl/>
              </w:rPr>
              <w:t>نموذج الدراسة</w:t>
            </w:r>
          </w:p>
        </w:tc>
        <w:tc>
          <w:tcPr>
            <w:tcW w:w="1134" w:type="dxa"/>
          </w:tcPr>
          <w:p w14:paraId="5BEE213A" w14:textId="77777777" w:rsidR="005C7750" w:rsidRDefault="00000000" w:rsidP="00F22C8D">
            <w:pPr>
              <w:spacing w:after="120" w:line="360" w:lineRule="auto"/>
            </w:pPr>
            <w:r>
              <w:rPr>
                <w:sz w:val="22"/>
                <w:rtl/>
              </w:rPr>
              <w:t>9</w:t>
            </w:r>
          </w:p>
        </w:tc>
      </w:tr>
      <w:tr w:rsidR="005C7750" w14:paraId="7F62FFFD" w14:textId="77777777">
        <w:trPr>
          <w:jc w:val="center"/>
        </w:trPr>
        <w:tc>
          <w:tcPr>
            <w:tcW w:w="1701" w:type="dxa"/>
            <w:vAlign w:val="center"/>
          </w:tcPr>
          <w:p w14:paraId="42DEC445" w14:textId="77777777" w:rsidR="005C7750" w:rsidRDefault="00000000" w:rsidP="00F22C8D">
            <w:r>
              <w:t>13</w:t>
            </w:r>
          </w:p>
        </w:tc>
        <w:tc>
          <w:tcPr>
            <w:tcW w:w="5669" w:type="dxa"/>
          </w:tcPr>
          <w:p w14:paraId="771C602F" w14:textId="1B966C90" w:rsidR="005C7750" w:rsidRDefault="00000000" w:rsidP="00F22C8D">
            <w:pPr>
              <w:spacing w:after="120" w:line="360" w:lineRule="auto"/>
            </w:pPr>
            <w:r>
              <w:rPr>
                <w:sz w:val="22"/>
                <w:rtl/>
              </w:rPr>
              <w:t>مصطلحات الدراسة وتعريفاتها الإجرائية</w:t>
            </w:r>
          </w:p>
        </w:tc>
        <w:tc>
          <w:tcPr>
            <w:tcW w:w="1134" w:type="dxa"/>
          </w:tcPr>
          <w:p w14:paraId="16A2D21A" w14:textId="77777777" w:rsidR="005C7750" w:rsidRDefault="00000000" w:rsidP="00F22C8D">
            <w:pPr>
              <w:spacing w:after="120" w:line="360" w:lineRule="auto"/>
            </w:pPr>
            <w:r>
              <w:rPr>
                <w:sz w:val="22"/>
                <w:rtl/>
              </w:rPr>
              <w:t>10</w:t>
            </w:r>
          </w:p>
        </w:tc>
      </w:tr>
      <w:tr w:rsidR="005C7750" w14:paraId="452FC452" w14:textId="77777777">
        <w:trPr>
          <w:jc w:val="center"/>
        </w:trPr>
        <w:tc>
          <w:tcPr>
            <w:tcW w:w="1701" w:type="dxa"/>
            <w:vAlign w:val="center"/>
          </w:tcPr>
          <w:p w14:paraId="1403973B" w14:textId="77777777" w:rsidR="005C7750" w:rsidRDefault="00000000" w:rsidP="00F22C8D">
            <w:r>
              <w:t>14</w:t>
            </w:r>
          </w:p>
        </w:tc>
        <w:tc>
          <w:tcPr>
            <w:tcW w:w="5669" w:type="dxa"/>
          </w:tcPr>
          <w:p w14:paraId="68CD71E5" w14:textId="1CE711AF" w:rsidR="005C7750" w:rsidRDefault="00000000" w:rsidP="00F22C8D">
            <w:pPr>
              <w:spacing w:after="120" w:line="360" w:lineRule="auto"/>
            </w:pPr>
            <w:r>
              <w:rPr>
                <w:sz w:val="22"/>
                <w:rtl/>
              </w:rPr>
              <w:t>إجراءات الدراسة</w:t>
            </w:r>
          </w:p>
        </w:tc>
        <w:tc>
          <w:tcPr>
            <w:tcW w:w="1134" w:type="dxa"/>
          </w:tcPr>
          <w:p w14:paraId="2C9758A0" w14:textId="77777777" w:rsidR="005C7750" w:rsidRDefault="00000000" w:rsidP="00F22C8D">
            <w:pPr>
              <w:spacing w:after="120" w:line="360" w:lineRule="auto"/>
            </w:pPr>
            <w:r>
              <w:rPr>
                <w:sz w:val="22"/>
                <w:rtl/>
              </w:rPr>
              <w:t>11</w:t>
            </w:r>
          </w:p>
        </w:tc>
      </w:tr>
      <w:tr w:rsidR="005C7750" w14:paraId="55B464B7" w14:textId="77777777">
        <w:trPr>
          <w:jc w:val="center"/>
        </w:trPr>
        <w:tc>
          <w:tcPr>
            <w:tcW w:w="1701" w:type="dxa"/>
            <w:vAlign w:val="center"/>
          </w:tcPr>
          <w:p w14:paraId="548B6198" w14:textId="77777777" w:rsidR="005C7750" w:rsidRDefault="00000000" w:rsidP="00F22C8D">
            <w:r>
              <w:t>15</w:t>
            </w:r>
          </w:p>
        </w:tc>
        <w:tc>
          <w:tcPr>
            <w:tcW w:w="5669" w:type="dxa"/>
          </w:tcPr>
          <w:p w14:paraId="022BDBF7" w14:textId="6EBC4572" w:rsidR="005C7750" w:rsidRDefault="00000000" w:rsidP="00F22C8D">
            <w:pPr>
              <w:spacing w:after="120" w:line="360" w:lineRule="auto"/>
            </w:pPr>
            <w:r>
              <w:rPr>
                <w:sz w:val="22"/>
                <w:rtl/>
              </w:rPr>
              <w:t>منهج الدراسة</w:t>
            </w:r>
          </w:p>
        </w:tc>
        <w:tc>
          <w:tcPr>
            <w:tcW w:w="1134" w:type="dxa"/>
          </w:tcPr>
          <w:p w14:paraId="67A23ABD" w14:textId="77777777" w:rsidR="005C7750" w:rsidRDefault="00000000" w:rsidP="00F22C8D">
            <w:pPr>
              <w:spacing w:after="120" w:line="360" w:lineRule="auto"/>
            </w:pPr>
            <w:r>
              <w:rPr>
                <w:sz w:val="22"/>
                <w:rtl/>
              </w:rPr>
              <w:t>12</w:t>
            </w:r>
          </w:p>
        </w:tc>
      </w:tr>
      <w:tr w:rsidR="005C7750" w14:paraId="569211A2" w14:textId="77777777">
        <w:trPr>
          <w:jc w:val="center"/>
        </w:trPr>
        <w:tc>
          <w:tcPr>
            <w:tcW w:w="1701" w:type="dxa"/>
            <w:vAlign w:val="center"/>
          </w:tcPr>
          <w:p w14:paraId="04889B39" w14:textId="77777777" w:rsidR="005C7750" w:rsidRDefault="00000000" w:rsidP="00F22C8D">
            <w:r>
              <w:t>15</w:t>
            </w:r>
          </w:p>
        </w:tc>
        <w:tc>
          <w:tcPr>
            <w:tcW w:w="5669" w:type="dxa"/>
          </w:tcPr>
          <w:p w14:paraId="07B78BEA" w14:textId="17996385" w:rsidR="005C7750" w:rsidRDefault="00000000" w:rsidP="00F22C8D">
            <w:pPr>
              <w:spacing w:after="120" w:line="360" w:lineRule="auto"/>
            </w:pPr>
            <w:r>
              <w:rPr>
                <w:sz w:val="22"/>
                <w:rtl/>
              </w:rPr>
              <w:t>مجتمع وعينة الدراسة</w:t>
            </w:r>
          </w:p>
        </w:tc>
        <w:tc>
          <w:tcPr>
            <w:tcW w:w="1134" w:type="dxa"/>
          </w:tcPr>
          <w:p w14:paraId="277F37F2" w14:textId="77777777" w:rsidR="005C7750" w:rsidRDefault="00000000" w:rsidP="00F22C8D">
            <w:pPr>
              <w:spacing w:after="120" w:line="360" w:lineRule="auto"/>
            </w:pPr>
            <w:r>
              <w:rPr>
                <w:sz w:val="22"/>
                <w:rtl/>
              </w:rPr>
              <w:t>13</w:t>
            </w:r>
          </w:p>
        </w:tc>
      </w:tr>
      <w:tr w:rsidR="005C7750" w14:paraId="30803F49" w14:textId="77777777">
        <w:trPr>
          <w:jc w:val="center"/>
        </w:trPr>
        <w:tc>
          <w:tcPr>
            <w:tcW w:w="1701" w:type="dxa"/>
            <w:vAlign w:val="center"/>
          </w:tcPr>
          <w:p w14:paraId="3CBB6212" w14:textId="77777777" w:rsidR="005C7750" w:rsidRDefault="00000000" w:rsidP="00F22C8D">
            <w:r>
              <w:t>17</w:t>
            </w:r>
          </w:p>
        </w:tc>
        <w:tc>
          <w:tcPr>
            <w:tcW w:w="5669" w:type="dxa"/>
          </w:tcPr>
          <w:p w14:paraId="7BAE2DCB" w14:textId="60093BB2" w:rsidR="005C7750" w:rsidRDefault="00000000" w:rsidP="00F22C8D">
            <w:pPr>
              <w:spacing w:after="120" w:line="360" w:lineRule="auto"/>
            </w:pPr>
            <w:r>
              <w:rPr>
                <w:sz w:val="22"/>
                <w:rtl/>
              </w:rPr>
              <w:t>الدراسات المرجعية والفجوات البحثية</w:t>
            </w:r>
          </w:p>
        </w:tc>
        <w:tc>
          <w:tcPr>
            <w:tcW w:w="1134" w:type="dxa"/>
          </w:tcPr>
          <w:p w14:paraId="641FBC1B" w14:textId="77777777" w:rsidR="005C7750" w:rsidRDefault="00000000" w:rsidP="00F22C8D">
            <w:pPr>
              <w:spacing w:after="120" w:line="360" w:lineRule="auto"/>
            </w:pPr>
            <w:r>
              <w:rPr>
                <w:sz w:val="22"/>
                <w:rtl/>
              </w:rPr>
              <w:t>14</w:t>
            </w:r>
          </w:p>
        </w:tc>
      </w:tr>
      <w:tr w:rsidR="005C7750" w14:paraId="1B0FBE62" w14:textId="77777777">
        <w:trPr>
          <w:jc w:val="center"/>
        </w:trPr>
        <w:tc>
          <w:tcPr>
            <w:tcW w:w="1701" w:type="dxa"/>
            <w:vAlign w:val="center"/>
          </w:tcPr>
          <w:p w14:paraId="4308A770" w14:textId="77777777" w:rsidR="005C7750" w:rsidRDefault="00000000" w:rsidP="00F22C8D">
            <w:r>
              <w:t>20</w:t>
            </w:r>
          </w:p>
        </w:tc>
        <w:tc>
          <w:tcPr>
            <w:tcW w:w="5669" w:type="dxa"/>
          </w:tcPr>
          <w:p w14:paraId="3E0C5E50" w14:textId="4C9459A5" w:rsidR="005C7750" w:rsidRDefault="00000000" w:rsidP="00F22C8D">
            <w:pPr>
              <w:spacing w:after="120" w:line="360" w:lineRule="auto"/>
            </w:pPr>
            <w:r>
              <w:rPr>
                <w:sz w:val="22"/>
                <w:rtl/>
              </w:rPr>
              <w:t>حدود الدراسة</w:t>
            </w:r>
          </w:p>
        </w:tc>
        <w:tc>
          <w:tcPr>
            <w:tcW w:w="1134" w:type="dxa"/>
          </w:tcPr>
          <w:p w14:paraId="7B8AE8BE" w14:textId="77777777" w:rsidR="005C7750" w:rsidRDefault="00000000" w:rsidP="00F22C8D">
            <w:pPr>
              <w:spacing w:after="120" w:line="360" w:lineRule="auto"/>
            </w:pPr>
            <w:r>
              <w:rPr>
                <w:sz w:val="22"/>
                <w:rtl/>
              </w:rPr>
              <w:t>15</w:t>
            </w:r>
          </w:p>
        </w:tc>
      </w:tr>
      <w:tr w:rsidR="005C7750" w14:paraId="4A9BBD3B" w14:textId="77777777">
        <w:trPr>
          <w:jc w:val="center"/>
        </w:trPr>
        <w:tc>
          <w:tcPr>
            <w:tcW w:w="1701" w:type="dxa"/>
            <w:vAlign w:val="center"/>
          </w:tcPr>
          <w:p w14:paraId="460764BB" w14:textId="77777777" w:rsidR="005C7750" w:rsidRDefault="00000000" w:rsidP="00F22C8D">
            <w:r>
              <w:t>21</w:t>
            </w:r>
          </w:p>
        </w:tc>
        <w:tc>
          <w:tcPr>
            <w:tcW w:w="5669" w:type="dxa"/>
          </w:tcPr>
          <w:p w14:paraId="24B03D71" w14:textId="7821C2EF" w:rsidR="005C7750" w:rsidRDefault="00000000" w:rsidP="00F22C8D">
            <w:pPr>
              <w:spacing w:after="120" w:line="360" w:lineRule="auto"/>
            </w:pPr>
            <w:r>
              <w:rPr>
                <w:sz w:val="22"/>
                <w:rtl/>
              </w:rPr>
              <w:t>وسائل جمع بيانات الدراسة</w:t>
            </w:r>
          </w:p>
        </w:tc>
        <w:tc>
          <w:tcPr>
            <w:tcW w:w="1134" w:type="dxa"/>
          </w:tcPr>
          <w:p w14:paraId="1831D3EC" w14:textId="77777777" w:rsidR="005C7750" w:rsidRDefault="00000000" w:rsidP="00F22C8D">
            <w:pPr>
              <w:spacing w:after="120" w:line="360" w:lineRule="auto"/>
            </w:pPr>
            <w:r>
              <w:rPr>
                <w:sz w:val="22"/>
                <w:rtl/>
              </w:rPr>
              <w:t>16</w:t>
            </w:r>
          </w:p>
        </w:tc>
      </w:tr>
      <w:tr w:rsidR="005C7750" w14:paraId="1E6BCA82" w14:textId="77777777">
        <w:trPr>
          <w:jc w:val="center"/>
        </w:trPr>
        <w:tc>
          <w:tcPr>
            <w:tcW w:w="1701" w:type="dxa"/>
            <w:vAlign w:val="center"/>
          </w:tcPr>
          <w:p w14:paraId="53B758A0" w14:textId="77777777" w:rsidR="005C7750" w:rsidRDefault="00000000" w:rsidP="00F22C8D">
            <w:r>
              <w:t>21</w:t>
            </w:r>
          </w:p>
        </w:tc>
        <w:tc>
          <w:tcPr>
            <w:tcW w:w="5669" w:type="dxa"/>
          </w:tcPr>
          <w:p w14:paraId="3BCFC3F3" w14:textId="4B2E2B3A" w:rsidR="005C7750" w:rsidRDefault="00000000" w:rsidP="00F22C8D">
            <w:pPr>
              <w:spacing w:after="120" w:line="360" w:lineRule="auto"/>
            </w:pPr>
            <w:r>
              <w:rPr>
                <w:sz w:val="22"/>
                <w:rtl/>
              </w:rPr>
              <w:t>المعالجات الإحصائية المقترحة</w:t>
            </w:r>
          </w:p>
        </w:tc>
        <w:tc>
          <w:tcPr>
            <w:tcW w:w="1134" w:type="dxa"/>
          </w:tcPr>
          <w:p w14:paraId="2C9D023E" w14:textId="77777777" w:rsidR="005C7750" w:rsidRDefault="00000000" w:rsidP="00F22C8D">
            <w:pPr>
              <w:spacing w:after="120" w:line="360" w:lineRule="auto"/>
            </w:pPr>
            <w:r>
              <w:rPr>
                <w:sz w:val="22"/>
                <w:rtl/>
              </w:rPr>
              <w:t>17</w:t>
            </w:r>
          </w:p>
        </w:tc>
      </w:tr>
      <w:tr w:rsidR="005C7750" w14:paraId="327D52EA" w14:textId="77777777">
        <w:trPr>
          <w:jc w:val="center"/>
        </w:trPr>
        <w:tc>
          <w:tcPr>
            <w:tcW w:w="1701" w:type="dxa"/>
            <w:vAlign w:val="center"/>
          </w:tcPr>
          <w:p w14:paraId="2844A9BB" w14:textId="77777777" w:rsidR="005C7750" w:rsidRDefault="00000000" w:rsidP="00F22C8D">
            <w:r>
              <w:t>22</w:t>
            </w:r>
          </w:p>
        </w:tc>
        <w:tc>
          <w:tcPr>
            <w:tcW w:w="5669" w:type="dxa"/>
          </w:tcPr>
          <w:p w14:paraId="6D302FDD" w14:textId="1D14082D" w:rsidR="005C7750" w:rsidRDefault="00000000" w:rsidP="00F22C8D">
            <w:pPr>
              <w:spacing w:after="120" w:line="360" w:lineRule="auto"/>
            </w:pPr>
            <w:r>
              <w:rPr>
                <w:sz w:val="22"/>
                <w:rtl/>
              </w:rPr>
              <w:t>خطوات تنفيذ خطة الدراسة</w:t>
            </w:r>
          </w:p>
        </w:tc>
        <w:tc>
          <w:tcPr>
            <w:tcW w:w="1134" w:type="dxa"/>
          </w:tcPr>
          <w:p w14:paraId="6CA935AE" w14:textId="77777777" w:rsidR="005C7750" w:rsidRDefault="00000000" w:rsidP="00F22C8D">
            <w:pPr>
              <w:spacing w:after="120" w:line="360" w:lineRule="auto"/>
            </w:pPr>
            <w:r>
              <w:rPr>
                <w:sz w:val="22"/>
                <w:rtl/>
              </w:rPr>
              <w:t>18</w:t>
            </w:r>
          </w:p>
        </w:tc>
      </w:tr>
      <w:tr w:rsidR="005C7750" w14:paraId="76985C22" w14:textId="77777777">
        <w:trPr>
          <w:jc w:val="center"/>
        </w:trPr>
        <w:tc>
          <w:tcPr>
            <w:tcW w:w="1701" w:type="dxa"/>
            <w:vAlign w:val="center"/>
          </w:tcPr>
          <w:p w14:paraId="0CE2BAD8" w14:textId="77777777" w:rsidR="005C7750" w:rsidRDefault="00000000" w:rsidP="00F22C8D">
            <w:r>
              <w:t>23</w:t>
            </w:r>
          </w:p>
        </w:tc>
        <w:tc>
          <w:tcPr>
            <w:tcW w:w="5669" w:type="dxa"/>
          </w:tcPr>
          <w:p w14:paraId="7126B028" w14:textId="69784983" w:rsidR="005C7750" w:rsidRDefault="00000000" w:rsidP="00F22C8D">
            <w:pPr>
              <w:spacing w:after="120" w:line="360" w:lineRule="auto"/>
            </w:pPr>
            <w:r>
              <w:rPr>
                <w:sz w:val="22"/>
                <w:rtl/>
              </w:rPr>
              <w:t>المراجع</w:t>
            </w:r>
          </w:p>
        </w:tc>
        <w:tc>
          <w:tcPr>
            <w:tcW w:w="1134" w:type="dxa"/>
          </w:tcPr>
          <w:p w14:paraId="7440D781" w14:textId="77777777" w:rsidR="005C7750" w:rsidRDefault="00000000" w:rsidP="00F22C8D">
            <w:pPr>
              <w:spacing w:after="120" w:line="360" w:lineRule="auto"/>
            </w:pPr>
            <w:r>
              <w:rPr>
                <w:sz w:val="22"/>
                <w:rtl/>
              </w:rPr>
              <w:t>19</w:t>
            </w:r>
          </w:p>
        </w:tc>
      </w:tr>
      <w:tr w:rsidR="005C7750" w14:paraId="78F19584" w14:textId="77777777">
        <w:trPr>
          <w:jc w:val="center"/>
        </w:trPr>
        <w:tc>
          <w:tcPr>
            <w:tcW w:w="1701" w:type="dxa"/>
            <w:vAlign w:val="center"/>
          </w:tcPr>
          <w:p w14:paraId="4E137053" w14:textId="77777777" w:rsidR="005C7750" w:rsidRDefault="00000000" w:rsidP="00F22C8D">
            <w:r>
              <w:t>25</w:t>
            </w:r>
          </w:p>
        </w:tc>
        <w:tc>
          <w:tcPr>
            <w:tcW w:w="5669" w:type="dxa"/>
          </w:tcPr>
          <w:p w14:paraId="5AC8F040" w14:textId="020E2018" w:rsidR="005C7750" w:rsidRDefault="00000000" w:rsidP="00F22C8D">
            <w:pPr>
              <w:spacing w:after="120" w:line="360" w:lineRule="auto"/>
            </w:pPr>
            <w:r>
              <w:rPr>
                <w:sz w:val="22"/>
                <w:rtl/>
              </w:rPr>
              <w:t>جدول المراجعة الذاتية</w:t>
            </w:r>
          </w:p>
        </w:tc>
        <w:tc>
          <w:tcPr>
            <w:tcW w:w="1134" w:type="dxa"/>
          </w:tcPr>
          <w:p w14:paraId="69B5A7C1" w14:textId="77777777" w:rsidR="005C7750" w:rsidRDefault="00000000" w:rsidP="00F22C8D">
            <w:pPr>
              <w:spacing w:after="120" w:line="360" w:lineRule="auto"/>
            </w:pPr>
            <w:r>
              <w:rPr>
                <w:sz w:val="22"/>
                <w:rtl/>
              </w:rPr>
              <w:t>20</w:t>
            </w:r>
          </w:p>
        </w:tc>
      </w:tr>
    </w:tbl>
    <w:p w14:paraId="6701D333" w14:textId="77777777" w:rsidR="005C7750" w:rsidRDefault="00000000" w:rsidP="00F22C8D">
      <w:pPr>
        <w:pStyle w:val="1"/>
        <w:spacing w:before="0" w:after="160" w:line="360" w:lineRule="auto"/>
      </w:pPr>
      <w:r>
        <w:rPr>
          <w:rFonts w:ascii="Traditional Arabic" w:eastAsia="Traditional Arabic" w:hAnsi="Traditional Arabic" w:cs="Traditional Arabic"/>
          <w:highlight w:val="yellow"/>
          <w:rtl/>
        </w:rPr>
        <w:lastRenderedPageBreak/>
        <w:t>قائمة الجداول</w:t>
      </w:r>
    </w:p>
    <w:tbl>
      <w:tblPr>
        <w:tblStyle w:val="afa"/>
        <w:bidiVisual/>
        <w:tblW w:w="0" w:type="auto"/>
        <w:jc w:val="center"/>
        <w:tblLook w:val="04A0" w:firstRow="1" w:lastRow="0" w:firstColumn="1" w:lastColumn="0" w:noHBand="0" w:noVBand="1"/>
      </w:tblPr>
      <w:tblGrid>
        <w:gridCol w:w="1701"/>
        <w:gridCol w:w="5669"/>
        <w:gridCol w:w="1701"/>
      </w:tblGrid>
      <w:tr w:rsidR="005C7750" w14:paraId="6734E1A4" w14:textId="77777777">
        <w:trPr>
          <w:jc w:val="center"/>
        </w:trPr>
        <w:tc>
          <w:tcPr>
            <w:tcW w:w="1701" w:type="dxa"/>
            <w:shd w:val="clear" w:color="auto" w:fill="D9EAF7"/>
            <w:vAlign w:val="center"/>
          </w:tcPr>
          <w:p w14:paraId="4C103B3F" w14:textId="77777777" w:rsidR="005C7750" w:rsidRDefault="00000000" w:rsidP="00F22C8D">
            <w:pPr>
              <w:spacing w:after="120" w:line="360" w:lineRule="auto"/>
            </w:pPr>
            <w:r>
              <w:rPr>
                <w:b/>
                <w:rtl/>
              </w:rPr>
              <w:t>رقم الصفحة</w:t>
            </w:r>
          </w:p>
        </w:tc>
        <w:tc>
          <w:tcPr>
            <w:tcW w:w="5669" w:type="dxa"/>
            <w:shd w:val="clear" w:color="auto" w:fill="D9EAF7"/>
            <w:vAlign w:val="center"/>
          </w:tcPr>
          <w:p w14:paraId="25BDB30F" w14:textId="77777777" w:rsidR="005C7750" w:rsidRDefault="00000000" w:rsidP="00F22C8D">
            <w:pPr>
              <w:spacing w:after="120" w:line="360" w:lineRule="auto"/>
            </w:pPr>
            <w:r>
              <w:rPr>
                <w:b/>
                <w:rtl/>
              </w:rPr>
              <w:t>عنوان الجدول</w:t>
            </w:r>
          </w:p>
        </w:tc>
        <w:tc>
          <w:tcPr>
            <w:tcW w:w="1701" w:type="dxa"/>
            <w:shd w:val="clear" w:color="auto" w:fill="D9EAF7"/>
            <w:vAlign w:val="center"/>
          </w:tcPr>
          <w:p w14:paraId="798B11C0" w14:textId="77777777" w:rsidR="005C7750" w:rsidRDefault="00000000" w:rsidP="00F22C8D">
            <w:pPr>
              <w:spacing w:after="120" w:line="360" w:lineRule="auto"/>
            </w:pPr>
            <w:r>
              <w:rPr>
                <w:b/>
                <w:rtl/>
              </w:rPr>
              <w:t>رقم الجدول</w:t>
            </w:r>
          </w:p>
        </w:tc>
      </w:tr>
      <w:tr w:rsidR="005C7750" w14:paraId="6DB23D7A" w14:textId="77777777">
        <w:trPr>
          <w:jc w:val="center"/>
        </w:trPr>
        <w:tc>
          <w:tcPr>
            <w:tcW w:w="1701" w:type="dxa"/>
            <w:vAlign w:val="center"/>
          </w:tcPr>
          <w:p w14:paraId="72C14A2F" w14:textId="77777777" w:rsidR="005C7750" w:rsidRDefault="00000000" w:rsidP="00F22C8D">
            <w:r>
              <w:t>2</w:t>
            </w:r>
          </w:p>
        </w:tc>
        <w:tc>
          <w:tcPr>
            <w:tcW w:w="5669" w:type="dxa"/>
          </w:tcPr>
          <w:p w14:paraId="7C47E5B5" w14:textId="77777777" w:rsidR="005C7750" w:rsidRDefault="00000000" w:rsidP="00F22C8D">
            <w:pPr>
              <w:spacing w:after="120" w:line="360" w:lineRule="auto"/>
            </w:pPr>
            <w:r>
              <w:rPr>
                <w:sz w:val="22"/>
                <w:rtl/>
              </w:rPr>
              <w:t>جدول الاستجابة لملاحظات اللجنة العلمية والمشرف</w:t>
            </w:r>
          </w:p>
        </w:tc>
        <w:tc>
          <w:tcPr>
            <w:tcW w:w="1701" w:type="dxa"/>
          </w:tcPr>
          <w:p w14:paraId="6D443BAD" w14:textId="77777777" w:rsidR="005C7750" w:rsidRDefault="00000000" w:rsidP="00F22C8D">
            <w:pPr>
              <w:spacing w:after="120" w:line="360" w:lineRule="auto"/>
            </w:pPr>
            <w:r>
              <w:rPr>
                <w:sz w:val="22"/>
                <w:rtl/>
              </w:rPr>
              <w:t>جدول (1)</w:t>
            </w:r>
          </w:p>
        </w:tc>
      </w:tr>
      <w:tr w:rsidR="005C7750" w14:paraId="13562BDB" w14:textId="77777777">
        <w:trPr>
          <w:jc w:val="center"/>
        </w:trPr>
        <w:tc>
          <w:tcPr>
            <w:tcW w:w="1701" w:type="dxa"/>
            <w:vAlign w:val="center"/>
          </w:tcPr>
          <w:p w14:paraId="69ED653B" w14:textId="77777777" w:rsidR="005C7750" w:rsidRDefault="00000000" w:rsidP="00F22C8D">
            <w:r>
              <w:t>13</w:t>
            </w:r>
          </w:p>
        </w:tc>
        <w:tc>
          <w:tcPr>
            <w:tcW w:w="5669" w:type="dxa"/>
          </w:tcPr>
          <w:p w14:paraId="535188A3" w14:textId="77777777" w:rsidR="005C7750" w:rsidRDefault="00000000" w:rsidP="00F22C8D">
            <w:pPr>
              <w:spacing w:after="120" w:line="360" w:lineRule="auto"/>
            </w:pPr>
            <w:r>
              <w:rPr>
                <w:sz w:val="22"/>
                <w:rtl/>
              </w:rPr>
              <w:t>ملخص متغيرات الدراسة وأبعادها</w:t>
            </w:r>
          </w:p>
        </w:tc>
        <w:tc>
          <w:tcPr>
            <w:tcW w:w="1701" w:type="dxa"/>
          </w:tcPr>
          <w:p w14:paraId="79F3A6E2" w14:textId="77777777" w:rsidR="005C7750" w:rsidRDefault="00000000" w:rsidP="00F22C8D">
            <w:pPr>
              <w:spacing w:after="120" w:line="360" w:lineRule="auto"/>
            </w:pPr>
            <w:r>
              <w:rPr>
                <w:sz w:val="22"/>
                <w:rtl/>
              </w:rPr>
              <w:t>جدول (2)</w:t>
            </w:r>
          </w:p>
        </w:tc>
      </w:tr>
      <w:tr w:rsidR="005C7750" w14:paraId="71C9205D" w14:textId="77777777">
        <w:trPr>
          <w:jc w:val="center"/>
        </w:trPr>
        <w:tc>
          <w:tcPr>
            <w:tcW w:w="1701" w:type="dxa"/>
            <w:vAlign w:val="center"/>
          </w:tcPr>
          <w:p w14:paraId="6BDD3EDB" w14:textId="77777777" w:rsidR="005C7750" w:rsidRDefault="00000000" w:rsidP="00F22C8D">
            <w:r>
              <w:t>17</w:t>
            </w:r>
          </w:p>
        </w:tc>
        <w:tc>
          <w:tcPr>
            <w:tcW w:w="5669" w:type="dxa"/>
          </w:tcPr>
          <w:p w14:paraId="21C150A5" w14:textId="77777777" w:rsidR="005C7750" w:rsidRDefault="00000000" w:rsidP="00F22C8D">
            <w:pPr>
              <w:spacing w:after="120" w:line="360" w:lineRule="auto"/>
            </w:pPr>
            <w:r>
              <w:rPr>
                <w:sz w:val="22"/>
                <w:rtl/>
              </w:rPr>
              <w:t>مواءمة أسئلة الدراسة وأهدافها وفرضياتها</w:t>
            </w:r>
          </w:p>
        </w:tc>
        <w:tc>
          <w:tcPr>
            <w:tcW w:w="1701" w:type="dxa"/>
          </w:tcPr>
          <w:p w14:paraId="103F91CD" w14:textId="77777777" w:rsidR="005C7750" w:rsidRDefault="00000000" w:rsidP="00F22C8D">
            <w:pPr>
              <w:spacing w:after="120" w:line="360" w:lineRule="auto"/>
            </w:pPr>
            <w:r>
              <w:rPr>
                <w:sz w:val="22"/>
                <w:rtl/>
              </w:rPr>
              <w:t>جدول (3)</w:t>
            </w:r>
          </w:p>
        </w:tc>
      </w:tr>
      <w:tr w:rsidR="005C7750" w14:paraId="4CE52581" w14:textId="77777777">
        <w:trPr>
          <w:jc w:val="center"/>
        </w:trPr>
        <w:tc>
          <w:tcPr>
            <w:tcW w:w="1701" w:type="dxa"/>
            <w:vAlign w:val="center"/>
          </w:tcPr>
          <w:p w14:paraId="4BEB8725" w14:textId="77777777" w:rsidR="005C7750" w:rsidRDefault="00000000" w:rsidP="00F22C8D">
            <w:r>
              <w:t>16</w:t>
            </w:r>
          </w:p>
        </w:tc>
        <w:tc>
          <w:tcPr>
            <w:tcW w:w="5669" w:type="dxa"/>
          </w:tcPr>
          <w:p w14:paraId="25AC7DEB" w14:textId="77777777" w:rsidR="005C7750" w:rsidRDefault="00000000" w:rsidP="00F22C8D">
            <w:pPr>
              <w:spacing w:after="120" w:line="360" w:lineRule="auto"/>
            </w:pPr>
            <w:r>
              <w:rPr>
                <w:sz w:val="22"/>
                <w:rtl/>
              </w:rPr>
              <w:t>أساس التقسيم الطبقي للعينة ومعايير الشمول والاستبعاد</w:t>
            </w:r>
          </w:p>
        </w:tc>
        <w:tc>
          <w:tcPr>
            <w:tcW w:w="1701" w:type="dxa"/>
          </w:tcPr>
          <w:p w14:paraId="6567744A" w14:textId="77777777" w:rsidR="005C7750" w:rsidRDefault="00000000" w:rsidP="00F22C8D">
            <w:pPr>
              <w:spacing w:after="120" w:line="360" w:lineRule="auto"/>
            </w:pPr>
            <w:r>
              <w:rPr>
                <w:sz w:val="22"/>
                <w:rtl/>
              </w:rPr>
              <w:t>جدول (4)</w:t>
            </w:r>
          </w:p>
        </w:tc>
      </w:tr>
      <w:tr w:rsidR="005C7750" w14:paraId="2B0D1B64" w14:textId="77777777">
        <w:trPr>
          <w:jc w:val="center"/>
        </w:trPr>
        <w:tc>
          <w:tcPr>
            <w:tcW w:w="1701" w:type="dxa"/>
            <w:vAlign w:val="center"/>
          </w:tcPr>
          <w:p w14:paraId="0DDCB1EA" w14:textId="77777777" w:rsidR="005C7750" w:rsidRDefault="00000000" w:rsidP="00F22C8D">
            <w:r>
              <w:t>22</w:t>
            </w:r>
          </w:p>
        </w:tc>
        <w:tc>
          <w:tcPr>
            <w:tcW w:w="5669" w:type="dxa"/>
          </w:tcPr>
          <w:p w14:paraId="66A20EA2" w14:textId="77777777" w:rsidR="005C7750" w:rsidRDefault="00000000" w:rsidP="00F22C8D">
            <w:pPr>
              <w:spacing w:after="120" w:line="360" w:lineRule="auto"/>
            </w:pPr>
            <w:r>
              <w:rPr>
                <w:sz w:val="22"/>
                <w:rtl/>
              </w:rPr>
              <w:t>تسلسل خطوات تحليل البيانات والمعالجات الإحصائية</w:t>
            </w:r>
          </w:p>
        </w:tc>
        <w:tc>
          <w:tcPr>
            <w:tcW w:w="1701" w:type="dxa"/>
          </w:tcPr>
          <w:p w14:paraId="721858A1" w14:textId="77777777" w:rsidR="005C7750" w:rsidRDefault="00000000" w:rsidP="00F22C8D">
            <w:pPr>
              <w:spacing w:after="120" w:line="360" w:lineRule="auto"/>
            </w:pPr>
            <w:r>
              <w:rPr>
                <w:sz w:val="22"/>
                <w:rtl/>
              </w:rPr>
              <w:t>جدول (5)</w:t>
            </w:r>
          </w:p>
        </w:tc>
      </w:tr>
      <w:tr w:rsidR="005C7750" w14:paraId="037F47B1" w14:textId="77777777">
        <w:trPr>
          <w:jc w:val="center"/>
        </w:trPr>
        <w:tc>
          <w:tcPr>
            <w:tcW w:w="1701" w:type="dxa"/>
            <w:vAlign w:val="center"/>
          </w:tcPr>
          <w:p w14:paraId="30E08B65" w14:textId="77777777" w:rsidR="005C7750" w:rsidRDefault="00000000" w:rsidP="00F22C8D">
            <w:r>
              <w:t>20</w:t>
            </w:r>
          </w:p>
        </w:tc>
        <w:tc>
          <w:tcPr>
            <w:tcW w:w="5669" w:type="dxa"/>
          </w:tcPr>
          <w:p w14:paraId="315060C8" w14:textId="77777777" w:rsidR="005C7750" w:rsidRDefault="00000000" w:rsidP="00F22C8D">
            <w:pPr>
              <w:spacing w:after="120" w:line="360" w:lineRule="auto"/>
            </w:pPr>
            <w:r>
              <w:rPr>
                <w:sz w:val="22"/>
                <w:rtl/>
              </w:rPr>
              <w:t>الدراسات المرجعية موزعة حسب متغيرات الدراسة</w:t>
            </w:r>
          </w:p>
        </w:tc>
        <w:tc>
          <w:tcPr>
            <w:tcW w:w="1701" w:type="dxa"/>
          </w:tcPr>
          <w:p w14:paraId="739DB03F" w14:textId="77777777" w:rsidR="005C7750" w:rsidRDefault="00000000" w:rsidP="00F22C8D">
            <w:pPr>
              <w:spacing w:after="120" w:line="360" w:lineRule="auto"/>
            </w:pPr>
            <w:r>
              <w:rPr>
                <w:sz w:val="22"/>
                <w:rtl/>
              </w:rPr>
              <w:t>جدول (6)</w:t>
            </w:r>
          </w:p>
        </w:tc>
      </w:tr>
      <w:tr w:rsidR="005C7750" w14:paraId="4AC5A176" w14:textId="77777777">
        <w:trPr>
          <w:jc w:val="center"/>
        </w:trPr>
        <w:tc>
          <w:tcPr>
            <w:tcW w:w="1701" w:type="dxa"/>
            <w:vAlign w:val="center"/>
          </w:tcPr>
          <w:p w14:paraId="44EE0CDE" w14:textId="77777777" w:rsidR="005C7750" w:rsidRDefault="00000000" w:rsidP="00F22C8D">
            <w:r>
              <w:t>25</w:t>
            </w:r>
          </w:p>
        </w:tc>
        <w:tc>
          <w:tcPr>
            <w:tcW w:w="5669" w:type="dxa"/>
          </w:tcPr>
          <w:p w14:paraId="7B7089FF" w14:textId="77777777" w:rsidR="005C7750" w:rsidRDefault="00000000" w:rsidP="00F22C8D">
            <w:pPr>
              <w:spacing w:after="120" w:line="360" w:lineRule="auto"/>
            </w:pPr>
            <w:r>
              <w:rPr>
                <w:sz w:val="22"/>
                <w:rtl/>
              </w:rPr>
              <w:t>جدول المراجعة الذاتية للخطة بعد التعديل</w:t>
            </w:r>
          </w:p>
        </w:tc>
        <w:tc>
          <w:tcPr>
            <w:tcW w:w="1701" w:type="dxa"/>
          </w:tcPr>
          <w:p w14:paraId="276AE450" w14:textId="77777777" w:rsidR="005C7750" w:rsidRDefault="00000000" w:rsidP="00F22C8D">
            <w:pPr>
              <w:spacing w:after="120" w:line="360" w:lineRule="auto"/>
            </w:pPr>
            <w:r>
              <w:rPr>
                <w:sz w:val="22"/>
                <w:rtl/>
              </w:rPr>
              <w:t>جدول (7)</w:t>
            </w:r>
          </w:p>
        </w:tc>
      </w:tr>
    </w:tbl>
    <w:p w14:paraId="1AD001E3" w14:textId="77777777" w:rsidR="005C7750" w:rsidRDefault="00000000" w:rsidP="00F22C8D">
      <w:pPr>
        <w:pStyle w:val="1"/>
        <w:spacing w:before="0" w:after="160" w:line="360" w:lineRule="auto"/>
      </w:pPr>
      <w:r>
        <w:rPr>
          <w:rFonts w:ascii="Traditional Arabic" w:eastAsia="Traditional Arabic" w:hAnsi="Traditional Arabic" w:cs="Traditional Arabic"/>
          <w:highlight w:val="yellow"/>
          <w:rtl/>
        </w:rPr>
        <w:t>قائمة الأشكال</w:t>
      </w:r>
    </w:p>
    <w:tbl>
      <w:tblPr>
        <w:tblStyle w:val="afa"/>
        <w:bidiVisual/>
        <w:tblW w:w="0" w:type="auto"/>
        <w:jc w:val="center"/>
        <w:tblLook w:val="04A0" w:firstRow="1" w:lastRow="0" w:firstColumn="1" w:lastColumn="0" w:noHBand="0" w:noVBand="1"/>
      </w:tblPr>
      <w:tblGrid>
        <w:gridCol w:w="1701"/>
        <w:gridCol w:w="5669"/>
        <w:gridCol w:w="1701"/>
      </w:tblGrid>
      <w:tr w:rsidR="005C7750" w14:paraId="6D89E2A5" w14:textId="77777777">
        <w:trPr>
          <w:jc w:val="center"/>
        </w:trPr>
        <w:tc>
          <w:tcPr>
            <w:tcW w:w="1701" w:type="dxa"/>
            <w:shd w:val="clear" w:color="auto" w:fill="D9EAF7"/>
            <w:vAlign w:val="center"/>
          </w:tcPr>
          <w:p w14:paraId="38E52906" w14:textId="77777777" w:rsidR="005C7750" w:rsidRDefault="00000000" w:rsidP="00F22C8D">
            <w:pPr>
              <w:spacing w:after="120" w:line="360" w:lineRule="auto"/>
            </w:pPr>
            <w:r>
              <w:rPr>
                <w:b/>
                <w:rtl/>
              </w:rPr>
              <w:t>رقم الصفحة</w:t>
            </w:r>
          </w:p>
        </w:tc>
        <w:tc>
          <w:tcPr>
            <w:tcW w:w="5669" w:type="dxa"/>
            <w:shd w:val="clear" w:color="auto" w:fill="D9EAF7"/>
            <w:vAlign w:val="center"/>
          </w:tcPr>
          <w:p w14:paraId="4A639090" w14:textId="77777777" w:rsidR="005C7750" w:rsidRDefault="00000000" w:rsidP="00F22C8D">
            <w:pPr>
              <w:spacing w:after="120" w:line="360" w:lineRule="auto"/>
            </w:pPr>
            <w:r>
              <w:rPr>
                <w:b/>
                <w:rtl/>
              </w:rPr>
              <w:t>عنوان الشكل</w:t>
            </w:r>
          </w:p>
        </w:tc>
        <w:tc>
          <w:tcPr>
            <w:tcW w:w="1701" w:type="dxa"/>
            <w:shd w:val="clear" w:color="auto" w:fill="D9EAF7"/>
            <w:vAlign w:val="center"/>
          </w:tcPr>
          <w:p w14:paraId="68ADC5CB" w14:textId="77777777" w:rsidR="005C7750" w:rsidRDefault="00000000" w:rsidP="00F22C8D">
            <w:pPr>
              <w:spacing w:after="120" w:line="360" w:lineRule="auto"/>
            </w:pPr>
            <w:r>
              <w:rPr>
                <w:b/>
                <w:rtl/>
              </w:rPr>
              <w:t>رقم الشكل</w:t>
            </w:r>
          </w:p>
        </w:tc>
      </w:tr>
      <w:tr w:rsidR="005C7750" w14:paraId="4A60B59B" w14:textId="77777777">
        <w:trPr>
          <w:jc w:val="center"/>
        </w:trPr>
        <w:tc>
          <w:tcPr>
            <w:tcW w:w="1701" w:type="dxa"/>
            <w:vAlign w:val="center"/>
          </w:tcPr>
          <w:p w14:paraId="5DC8D557" w14:textId="77777777" w:rsidR="005C7750" w:rsidRDefault="00000000" w:rsidP="00F22C8D">
            <w:r>
              <w:t>13</w:t>
            </w:r>
          </w:p>
        </w:tc>
        <w:tc>
          <w:tcPr>
            <w:tcW w:w="5669" w:type="dxa"/>
          </w:tcPr>
          <w:p w14:paraId="7CAD5F1E" w14:textId="77777777" w:rsidR="005C7750" w:rsidRDefault="00000000" w:rsidP="00F22C8D">
            <w:pPr>
              <w:spacing w:after="120" w:line="360" w:lineRule="auto"/>
            </w:pPr>
            <w:r>
              <w:rPr>
                <w:sz w:val="22"/>
                <w:rtl/>
              </w:rPr>
              <w:t>نموذج الدراسة المقترح</w:t>
            </w:r>
          </w:p>
        </w:tc>
        <w:tc>
          <w:tcPr>
            <w:tcW w:w="1701" w:type="dxa"/>
          </w:tcPr>
          <w:p w14:paraId="2226ED0C" w14:textId="77777777" w:rsidR="005C7750" w:rsidRDefault="00000000" w:rsidP="00F22C8D">
            <w:pPr>
              <w:spacing w:after="120" w:line="360" w:lineRule="auto"/>
            </w:pPr>
            <w:r>
              <w:rPr>
                <w:sz w:val="22"/>
                <w:rtl/>
              </w:rPr>
              <w:t>شكل (1)</w:t>
            </w:r>
          </w:p>
        </w:tc>
      </w:tr>
    </w:tbl>
    <w:p w14:paraId="7B23E9C0" w14:textId="77777777" w:rsidR="005C7750" w:rsidRDefault="00000000" w:rsidP="00F22C8D">
      <w:r>
        <w:br w:type="page"/>
      </w:r>
    </w:p>
    <w:p w14:paraId="2BCB60EA" w14:textId="77777777" w:rsidR="005C7750" w:rsidRDefault="00000000" w:rsidP="00F22C8D">
      <w:pPr>
        <w:pStyle w:val="1"/>
        <w:spacing w:before="0" w:after="160" w:line="360" w:lineRule="auto"/>
        <w:rPr>
          <w:rFonts w:hint="cs"/>
          <w:rtl/>
        </w:rPr>
      </w:pPr>
      <w:r>
        <w:rPr>
          <w:rFonts w:ascii="Traditional Arabic" w:eastAsia="Traditional Arabic" w:hAnsi="Traditional Arabic" w:cs="Traditional Arabic"/>
          <w:rtl/>
        </w:rPr>
        <w:lastRenderedPageBreak/>
        <w:t>1. عنوان الدراسة باللغة العربية</w:t>
      </w:r>
    </w:p>
    <w:p w14:paraId="3451B5B8" w14:textId="77777777" w:rsidR="005C7750" w:rsidRDefault="00000000" w:rsidP="00F22C8D">
      <w:pPr>
        <w:spacing w:after="120" w:line="360" w:lineRule="auto"/>
      </w:pPr>
      <w:r>
        <w:rPr>
          <w:b/>
          <w:sz w:val="28"/>
          <w:rtl/>
        </w:rPr>
        <w:t>أثر ممارسات حوكمة المشتريات الحكومية في كفاءة الإنفاق: الدور الوسيط لإدارة مخاطر تعارض المصالح في الجهات الحكومية السعودية</w:t>
      </w:r>
    </w:p>
    <w:p w14:paraId="3DB51CF9" w14:textId="77777777" w:rsidR="005C7750" w:rsidRDefault="00000000" w:rsidP="00F22C8D">
      <w:pPr>
        <w:pStyle w:val="1"/>
        <w:spacing w:before="0" w:after="160" w:line="360" w:lineRule="auto"/>
      </w:pPr>
      <w:r>
        <w:rPr>
          <w:rFonts w:ascii="Traditional Arabic" w:eastAsia="Traditional Arabic" w:hAnsi="Traditional Arabic" w:cs="Traditional Arabic"/>
          <w:rtl/>
        </w:rPr>
        <w:t>2. عنوان الدراسة باللغة الإنجليزية</w:t>
      </w:r>
    </w:p>
    <w:p w14:paraId="68256115" w14:textId="77777777" w:rsidR="005C7750" w:rsidRDefault="00000000" w:rsidP="00F22C8D">
      <w:pPr>
        <w:spacing w:after="120" w:line="360" w:lineRule="auto"/>
      </w:pPr>
      <w:r>
        <w:rPr>
          <w:b/>
        </w:rPr>
        <w:t>The Impact of Government Procurement Governance Practices on Expenditure Efficiency: The Mediating Role of Conflict-of-Interest Risk Management in Saudi Government Entities</w:t>
      </w:r>
    </w:p>
    <w:p w14:paraId="7D0A60A8" w14:textId="77777777" w:rsidR="005C7750" w:rsidRDefault="00000000" w:rsidP="00F22C8D">
      <w:pPr>
        <w:pStyle w:val="1"/>
        <w:spacing w:before="0" w:after="160" w:line="360" w:lineRule="auto"/>
      </w:pPr>
      <w:r>
        <w:rPr>
          <w:rFonts w:ascii="Traditional Arabic" w:eastAsia="Traditional Arabic" w:hAnsi="Traditional Arabic" w:cs="Traditional Arabic"/>
          <w:highlight w:val="yellow"/>
          <w:rtl/>
        </w:rPr>
        <w:t>3. مقدمة الدراسة</w:t>
      </w:r>
    </w:p>
    <w:p w14:paraId="122AFACE" w14:textId="77777777" w:rsidR="005C7750" w:rsidRDefault="00000000" w:rsidP="00F22C8D">
      <w:pPr>
        <w:spacing w:after="120" w:line="360" w:lineRule="auto"/>
      </w:pPr>
      <w:r>
        <w:rPr>
          <w:highlight w:val="yellow"/>
          <w:rtl/>
        </w:rPr>
        <w:t>تمثل المشتريات الحكومية إحدى الوظائف الإدارية ذات الأثر المباشر في جودة الأداء الحكومي وكفاءة استخدام الموارد العامة؛ فهي ليست مجرد إجراءات لشراء السلع أو تنفيذ الأعمال أو الحصول على الخدمات، بل تعد مدخلًا إداريًا مؤثرًا في تحقيق القيمة من المال العام، ورفع جودة المشروعات والخدمات الحكومية، وتعزيز الثقة في عدالة وموضوعية القرارات الحكومية. وتزداد أهمية هذه الوظيفة في المملكة العربية السعودية بالنظر إلى حجم الإنفاق الحكومي المعتمد؛ فقد قدرت وزارة المالية إجمالي النفقات في ميزانية عام 2025م بنحو 1,285 مليار ريال، كما قدر البيان التمهيدي لميزانية عام 2026م إجمالي النفقات بنحو 1,313 مليار ريال، وهو ما يعكس اتساع نطاق الموارد العامة التي تمر عبر قرارات الإنفاق والتعاقد والشراء الحكومي (وزارة المالية، 2025أ؛ وزارة المالية، 2025ب).</w:t>
      </w:r>
    </w:p>
    <w:p w14:paraId="15E4685C" w14:textId="77777777" w:rsidR="005C7750" w:rsidRDefault="00000000" w:rsidP="00F22C8D">
      <w:pPr>
        <w:spacing w:after="120" w:line="360" w:lineRule="auto"/>
      </w:pPr>
      <w:r>
        <w:rPr>
          <w:highlight w:val="yellow"/>
          <w:rtl/>
        </w:rPr>
        <w:t>وتختلف المشتريات الحكومية عن المشتريات في القطاع الخاص من حيث طبيعتها التنظيمية، ومصدر تمويلها، وأهدافها، والقيود النظامية التي تحكمها. فالقطاع الخاص يركز غالبًا على تعظيم الربحية ومرونة التفاوض وسرعة القرار، بينما تخضع المشتريات الحكومية لمتطلبات حماية المال العام، وتحقيق الشفافية، وضمان المنافسة العادلة، وتكافؤ الفرص، والامتثال للنظام واللوائح، والرقابة السابقة واللاحقة، إضافة إلى حساسية تعارض المصالح عند مشاركة الموظفين واللجان والموردين في قرارات ذات أثر مالي ومؤسسي واسع.</w:t>
      </w:r>
    </w:p>
    <w:p w14:paraId="76845BBF" w14:textId="77777777" w:rsidR="005C7750" w:rsidRDefault="00000000" w:rsidP="00F22C8D">
      <w:pPr>
        <w:spacing w:after="120" w:line="360" w:lineRule="auto"/>
      </w:pPr>
      <w:r>
        <w:rPr>
          <w:highlight w:val="yellow"/>
          <w:rtl/>
        </w:rPr>
        <w:t>وتبرز حوكمة المشتريات الحكومية بوصفها مدخلًا إداريًا لضبط هذه التعقيدات؛ إذ تسهم في تحديد الأدوار والصلاحيات، وتعزيز المساءلة، وضمان شفافية المعلومات، وتحسين جودة التخطيط، ورفع كفاءة الرقابة الداخلية، وتفعيل المشتريات الرقمية. وقد أطلقت هيئة كفاءة الإنفاق والمشروعات الحكومية سبعة أدلة للمشتريات الحكومية بهدف تحسين عمليات الطرح والمشتريات، ودعم رحلة المشتريات، وتطبيق أفضل الممارسات الموحدة، وتعزيز إعداد ونشر خطة المشتريات السنوية بما يحقق الكفاءة ويرفع جودة العمليات المخططة (هيئة كفاءة الإنفاق والمشروعات الحكومية، 2024).</w:t>
      </w:r>
    </w:p>
    <w:p w14:paraId="4EC0B5C8" w14:textId="77777777" w:rsidR="005C7750" w:rsidRDefault="00000000" w:rsidP="00F22C8D">
      <w:pPr>
        <w:spacing w:after="120" w:line="360" w:lineRule="auto"/>
      </w:pPr>
      <w:r>
        <w:rPr>
          <w:rtl/>
        </w:rPr>
        <w:t>وتكتسب كفاءة الإنفاق أهمية خاصة في السياق السعودي؛ إذ لا يقتصر المفهوم على خفض الإنفاق أو تقليل الأسعار، بل يرتبط بتعظيم الأثر مقابل الصرف، وتحقيق الاستخدام الأمثل للموارد، ومعالجة أوجه الهدر دون التأثير على جودة الخدمة المقدمة. وتؤكد الورقة البحثية الصادرة عن هيئة كفاءة الإنفاق والمشروعات الحكومية أن كفاءة الإنفاق تتضمن بعدين رئيسين هما الكفاءة الفنية، وكفاءة تخصيص الموارد، بما يجعل قياسها مرتبطًا بجودة التخطيط، وسلامة التخصيص، وفاعلية التنفيذ، لا بمجرد انخفاض سعر الترسية (هيئة كفاءة الإنفاق والمشروعات الحكومية، 2025أ).</w:t>
      </w:r>
    </w:p>
    <w:p w14:paraId="520A9C30" w14:textId="77777777" w:rsidR="005C7750" w:rsidRDefault="00000000" w:rsidP="00F22C8D">
      <w:pPr>
        <w:spacing w:after="120" w:line="360" w:lineRule="auto"/>
      </w:pPr>
      <w:r>
        <w:rPr>
          <w:highlight w:val="yellow"/>
          <w:rtl/>
        </w:rPr>
        <w:lastRenderedPageBreak/>
        <w:t>وتشير مؤشرات الهيئة إلى حجم الجهد المؤسسي المبذول في هذا المجال؛ فقد أعلنت الهيئة ضمن إنجازات عام 2024م أنه تم توجيه أكثر من 105 مليارات ريال لإنفاق أكثر استدامة، وانخفاض تعثر المشاريع بنسبة 11%، وتوقيع اتفاقيات إطارية بقيمة 21 مليار ريال، وإدراج 57 ألف منتج وخدمة في سوق اعتماد الإلكتروني، ووجود 191 فريقًا لكفاءة الإنفاق بالجهات الحكومية، إضافة إلى أكثر من 1500 فرصة لتحسين استغلال الموارد الحكومية (هيئة كفاءة الإنفاق والمشروعات الحكومية، 2024أ). كما أشارت الهيئة إلى أن فرق كفاءة الإنفاق وثقت أكثر من 4,000 مبادرة منذ عام 2019م وحتى عام 2024م، بما يؤكد أن كفاءة الإنفاق أصبحت ممارسة مؤسسية ممتدة عبر الجهات الحكومية (هيئة كفاءة الإنفاق والمشروعات الحكومية، 2025ب).</w:t>
      </w:r>
    </w:p>
    <w:p w14:paraId="7C16B1CE" w14:textId="77777777" w:rsidR="005C7750" w:rsidRDefault="00000000" w:rsidP="00F22C8D">
      <w:pPr>
        <w:spacing w:after="120" w:line="360" w:lineRule="auto"/>
      </w:pPr>
      <w:r>
        <w:rPr>
          <w:rtl/>
        </w:rPr>
        <w:t>وفي المقابل، فإن دورة المشتريات الحكومية لا تخلو من مخاطر تنظيمية وسلوكية قد تؤثر في كفاءة الإنفاق، ومن أبرزها مخاطر تعارض المصالح. فالتعارض قد يظهر في مرحلة دراسة الاحتياج، أو إعداد المواصفات، أو فحص العروض، أو الترسية، أو إدارة العقد، وقد يؤدي إلى إضعاف المنافسة، أو التأثير في موضوعية التقييم، أو توجيه الموارد نحو خيارات أقل كفاءة. ولهذا نص نظام المنافسات والمشتريات الحكومية ولائحته على منع تعارض المصالح وتعزيز النزاهة والمنافسة والشفافية، كما صدرت لائحة تنظيم تعارض المصالح بوصفها أداة تنظيمية لضمان الحياد والعدالة في إجراءات المشتريات الحكومية (وزارة المالية، 2021؛ وزارة المالية، 2024).</w:t>
      </w:r>
    </w:p>
    <w:p w14:paraId="0DB019E9" w14:textId="77777777" w:rsidR="005C7750" w:rsidRDefault="00000000" w:rsidP="00F22C8D">
      <w:pPr>
        <w:spacing w:after="120" w:line="360" w:lineRule="auto"/>
      </w:pPr>
      <w:r>
        <w:rPr>
          <w:highlight w:val="yellow"/>
          <w:rtl/>
        </w:rPr>
        <w:t>وتستند الدراسة نظريًا إلى نظرية الوكالة (Agency Theory) التي تفسر العلاقة بين الأصيل والوكيل في بيئات تتضمن تفويضًا للمسؤولية واحتمالًا لاختلاف المصالح وعدم تماثل المعلومات. وفي سياق المشتريات الحكومية يمكن النظر إلى الدولة والمجتمع بوصفهما الأصيل، وإلى موظفي المشتريات واللجان والجهات المنفذة بوصفهم وكلاء يتولون إدارة الموارد العامة. ومن ثم، تمثل حوكمة المشتريات آلية رقابية لتقليل مشكلات الوكالة، بينما تمثل إدارة مخاطر تعارض المصالح آلية وسيطة تحد من الانحراف السلوكي وتدعم كفاءة الإنفاق (Jensen &amp; Meckling, 1976; Eisenhardt, 1989).</w:t>
      </w:r>
    </w:p>
    <w:p w14:paraId="37DEACAD" w14:textId="77777777" w:rsidR="005C7750" w:rsidRDefault="00000000" w:rsidP="00F22C8D">
      <w:pPr>
        <w:spacing w:after="120" w:line="360" w:lineRule="auto"/>
      </w:pPr>
      <w:r>
        <w:rPr>
          <w:rtl/>
        </w:rPr>
        <w:t>ومن هذا المنطلق، تأتي هذه الدراسة لبحث أثر ممارسات حوكمة المشتريات الحكومية في كفاءة الإنفاق، مع اختبار الدور الوسيط لإدارة مخاطر تعارض المصالح في الجهات الحكومية السعودية، وبما ينسجم مع التوجهات الوطنية الهادفة إلى رفع كفاءة الإنفاق وتحقيق الاستدامة المالية وتطوير منظومة المشتريات الحكومية.</w:t>
      </w:r>
    </w:p>
    <w:p w14:paraId="7493490D" w14:textId="77777777" w:rsidR="005C7750" w:rsidRDefault="00000000" w:rsidP="00F22C8D">
      <w:pPr>
        <w:pStyle w:val="1"/>
        <w:spacing w:before="0" w:after="160" w:line="360" w:lineRule="auto"/>
      </w:pPr>
      <w:r>
        <w:rPr>
          <w:rFonts w:ascii="Traditional Arabic" w:eastAsia="Traditional Arabic" w:hAnsi="Traditional Arabic" w:cs="Traditional Arabic"/>
          <w:highlight w:val="yellow"/>
          <w:rtl/>
        </w:rPr>
        <w:t>4. مشكلة الدراسة وتساؤلاتها</w:t>
      </w:r>
    </w:p>
    <w:p w14:paraId="5166809E" w14:textId="77777777" w:rsidR="005C7750" w:rsidRDefault="00000000" w:rsidP="00F22C8D">
      <w:pPr>
        <w:spacing w:after="120" w:line="360" w:lineRule="auto"/>
      </w:pPr>
      <w:r>
        <w:rPr>
          <w:highlight w:val="yellow"/>
          <w:rtl/>
        </w:rPr>
        <w:t>شهدت المملكة العربية السعودية تطورًا واضحًا في منظومة المشتريات الحكومية، سواء من خلال نظام المنافسات والمشتريات الحكومية ولائحته التنفيذية، أو من خلال تفعيل المنصات الرقمية، أو تعزيز أدوار وزارة المالية وهيئة كفاءة الإنفاق والمشروعات الحكومية والجهات الرقابية. ومع ذلك، فإن وجود الأطر النظامية لا يضمن بذاته تحقيق كفاءة الإنفاق ما لم تتحول تلك الأطر إلى ممارسات حوكمة مؤسسية قابلة للقياس والتطبيق داخل الجهات الحكومية.</w:t>
      </w:r>
    </w:p>
    <w:p w14:paraId="646101D7" w14:textId="77777777" w:rsidR="005C7750" w:rsidRDefault="00000000" w:rsidP="00F22C8D">
      <w:pPr>
        <w:spacing w:after="120" w:line="360" w:lineRule="auto"/>
      </w:pPr>
      <w:r>
        <w:rPr>
          <w:highlight w:val="yellow"/>
          <w:rtl/>
        </w:rPr>
        <w:t>تؤكد المؤشرات المحلية أن كفاءة الإنفاق أصبحت قضية تطبيقية ذات أثر واسع؛ إذ أطلقت الهيئة مبادرات وأدوات ومنصات لرفع كفاءة المشتريات والمشروعات، ومنها منصة فرق كفاءة الإنفاق التي تمكّن الجهات الحكومية من تقديم التقارير الربعية ومراجعة المبادرات والوفورات، ومنصة الشراء الحكومي الموحد التي تستهدف الارتقاء بكفاءة وفاعلية المشتريات الحكومية والتوسع في إجراءات الشراء الاستراتيجي، إضافة إلى أداة التسعير الاسترشادية للمشتريات الحكومية التي تدعم صناعة القرار بالبيانات والتحليلات (هيئة كفاءة الإنفاق والمشروعات الحكومية، 2026).</w:t>
      </w:r>
    </w:p>
    <w:p w14:paraId="78908A24" w14:textId="77777777" w:rsidR="005C7750" w:rsidRDefault="00000000" w:rsidP="00F22C8D">
      <w:pPr>
        <w:spacing w:after="120" w:line="360" w:lineRule="auto"/>
      </w:pPr>
      <w:r>
        <w:rPr>
          <w:rtl/>
        </w:rPr>
        <w:t xml:space="preserve">وتشير ورقة هيئة كفاءة الإنفاق إلى أن فجوات الكفاءة لا ترجع فقط إلى حجم الموارد المتاحة، بل قد ترتبط بضعف الحوكمة وإدارة الإنفاق، وأن إدارة الإنفاق تمر بثلاث مراحل مترابطة هي التخطيط، وتخصيص الموارد، والتنفيذ. وفي سياق المشتريات الحكومية يمكن ترجمة هذه المراحل إلى التخطيط للاحتياج، وإعداد الكراسة، </w:t>
      </w:r>
      <w:r>
        <w:rPr>
          <w:rtl/>
        </w:rPr>
        <w:lastRenderedPageBreak/>
        <w:t>وطرح المنافسة، وفحص العروض، والترسية، وإدارة العقد. وبذلك فإن أي ضعف في الحوكمة أو إدارة مخاطر تعارض المصالح قد ينعكس على جودة تخصيص الموارد والقيمة المتحققة من الإنفاق العام (هيئة كفاءة الإنفاق والمشروعات الحكومية، 2025أ).</w:t>
      </w:r>
    </w:p>
    <w:p w14:paraId="5C107CA4" w14:textId="77777777" w:rsidR="005C7750" w:rsidRDefault="00000000" w:rsidP="00F22C8D">
      <w:pPr>
        <w:spacing w:after="120" w:line="360" w:lineRule="auto"/>
      </w:pPr>
      <w:r>
        <w:rPr>
          <w:highlight w:val="yellow"/>
          <w:rtl/>
        </w:rPr>
        <w:t>وتنبع مبررات اختيار الجهات الحكومية السعودية مجالًا للتطبيق من أربعة اعتبارات رئيسة: أولها التوجه الاستراتيجي نحو رفع كفاءة الإنفاق ضمن رؤية السعودية 2030 وبرنامج الاستدامة المالية، وثانيها تطوير نظام المنافسات والمشتريات الحكومية واللوائح المرتبطة به، وثالثها الجهود المؤسسية المتنامية لهيئة كفاءة الإنفاق والمشروعات الحكومية في تمكين الجهات العامة، ورابعها الاهتمام المتزايد بمكافحة الفساد وتعزيز النزاهة والشفافية في إدارة المال العام.</w:t>
      </w:r>
    </w:p>
    <w:p w14:paraId="7F8A7944" w14:textId="77777777" w:rsidR="005C7750" w:rsidRDefault="00000000" w:rsidP="00F22C8D">
      <w:pPr>
        <w:spacing w:after="120" w:line="360" w:lineRule="auto"/>
      </w:pPr>
      <w:r>
        <w:rPr>
          <w:highlight w:val="yellow"/>
          <w:rtl/>
        </w:rPr>
        <w:t>وعلى الرغم من وجود نصوص تنظيمية واضحة تتعلق بمنع تعارض المصالح والإفصاح عنه، إلا أن التحدي الرئيس يتمثل في الفجوة بين الأنظمة والممارسات؛ فقد تتوافر اللوائح والسياسات، بينما تختلف مستويات التطبيق الفعلي بين الجهات تبعًا لنضج الحوكمة، وخبرة العاملين، ووضوح الصلاحيات، وفاعلية الرقابة، ونضج المشتريات الرقمية. وتمثل هذه الفجوة مجالًا مهمًا للدراسة الإدارية؛ لأنها تنقل موضوع تعارض المصالح من كونه مسألة قانونية أو أخلاقية فقط إلى كونه متغيرًا تنظيميًا قد يفسر مستوى كفاءة الإنفاق.</w:t>
      </w:r>
    </w:p>
    <w:p w14:paraId="7E5B0FCC" w14:textId="77777777" w:rsidR="005C7750" w:rsidRDefault="00000000" w:rsidP="00F22C8D">
      <w:pPr>
        <w:spacing w:after="120" w:line="360" w:lineRule="auto"/>
      </w:pPr>
      <w:r>
        <w:rPr>
          <w:rtl/>
        </w:rPr>
        <w:t>وبناءً على ذلك، تتمثل مشكلة الدراسة في الحاجة إلى اختبار أثر ممارسات حوكمة المشتريات الحكومية في كفاءة الإنفاق داخل الجهات الحكومية السعودية، وبيان ما إذا كانت إدارة مخاطر تعارض المصالح تؤدي دورًا وسيطًا في هذه العلاقة، بما يساعد على فهم الآليات التنظيمية التي تحول مبادئ الحوكمة إلى نتائج مالية وإدارية قابلة للقياس.</w:t>
      </w:r>
    </w:p>
    <w:p w14:paraId="067A0D1C" w14:textId="77777777" w:rsidR="005C7750" w:rsidRDefault="00000000" w:rsidP="00F22C8D">
      <w:pPr>
        <w:spacing w:after="120" w:line="360" w:lineRule="auto"/>
      </w:pPr>
      <w:r>
        <w:rPr>
          <w:b/>
          <w:sz w:val="28"/>
          <w:highlight w:val="yellow"/>
          <w:rtl/>
        </w:rPr>
        <w:t>السؤال الرئيس للدراسة:</w:t>
      </w:r>
    </w:p>
    <w:p w14:paraId="1355925D" w14:textId="77777777" w:rsidR="005C7750" w:rsidRDefault="00000000" w:rsidP="00F22C8D">
      <w:pPr>
        <w:spacing w:after="120" w:line="360" w:lineRule="auto"/>
      </w:pPr>
      <w:r>
        <w:rPr>
          <w:b/>
          <w:highlight w:val="yellow"/>
          <w:rtl/>
        </w:rPr>
        <w:t>ما أثر ممارسات حوكمة المشتريات الحكومية بأبعادها (الشفافية، المساءلة، الامتثال، فصل المهام، الرقابة الداخلية، التخطيط، المشتريات الرقمية) في كفاءة الإنفاق بأبعادها (الكفاءة الفنية، كفاءة تخصيص الموارد، خفض الهدر، القيمة مقابل المال، المواءمة الاستراتيجية) في الجهات الحكومية السعودية، وما الدور الوسيط الذي تؤديه إدارة مخاطر تعارض المصالح بأبعادها (الإفصاح، الوقاية، الاكتشاف، المعالجة، التوثيق والمساءلة) في هذه العلاقة؟</w:t>
      </w:r>
    </w:p>
    <w:p w14:paraId="54DCAD2F" w14:textId="77777777" w:rsidR="005C7750" w:rsidRDefault="00000000" w:rsidP="00F22C8D">
      <w:pPr>
        <w:spacing w:after="120" w:line="360" w:lineRule="auto"/>
      </w:pPr>
      <w:r>
        <w:rPr>
          <w:b/>
          <w:highlight w:val="yellow"/>
          <w:rtl/>
        </w:rPr>
        <w:t>وتتفرع عن السؤال الرئيس التساؤلات الآتية:</w:t>
      </w:r>
    </w:p>
    <w:p w14:paraId="30ECD524" w14:textId="77777777" w:rsidR="005C7750" w:rsidRDefault="00000000" w:rsidP="00F22C8D">
      <w:pPr>
        <w:spacing w:after="120" w:line="360" w:lineRule="auto"/>
        <w:ind w:left="170"/>
      </w:pPr>
      <w:r>
        <w:rPr>
          <w:highlight w:val="yellow"/>
          <w:rtl/>
        </w:rPr>
        <w:t>1. ما مستوى تطبيق ممارسات حوكمة المشتريات الحكومية بأبعادها السبعة في الجهات الحكومية السعودية من وجهة نظر المبحوثين؟</w:t>
      </w:r>
    </w:p>
    <w:p w14:paraId="08B9A398" w14:textId="77777777" w:rsidR="005C7750" w:rsidRDefault="00000000" w:rsidP="00F22C8D">
      <w:pPr>
        <w:spacing w:after="120" w:line="360" w:lineRule="auto"/>
        <w:ind w:left="170"/>
      </w:pPr>
      <w:r>
        <w:rPr>
          <w:highlight w:val="yellow"/>
          <w:rtl/>
        </w:rPr>
        <w:t>2. ما مستوى إدارة مخاطر تعارض المصالح بأبعادها الخمسة في إجراءات المشتريات الحكومية في الجهات الحكومية السعودية من وجهة نظر المبحوثين؟</w:t>
      </w:r>
    </w:p>
    <w:p w14:paraId="54C5A5B4" w14:textId="77777777" w:rsidR="005C7750" w:rsidRDefault="00000000" w:rsidP="00F22C8D">
      <w:pPr>
        <w:spacing w:after="120" w:line="360" w:lineRule="auto"/>
        <w:ind w:left="170"/>
      </w:pPr>
      <w:r>
        <w:rPr>
          <w:highlight w:val="yellow"/>
          <w:rtl/>
        </w:rPr>
        <w:t>3. ما مستوى كفاءة الإنفاق المرتبط بالمشتريات الحكومية بأبعادها الخمسة في الجهات الحكومية السعودية من وجهة نظر المبحوثين؟</w:t>
      </w:r>
    </w:p>
    <w:p w14:paraId="3D72E007" w14:textId="77777777" w:rsidR="005C7750" w:rsidRDefault="00000000" w:rsidP="00F22C8D">
      <w:pPr>
        <w:spacing w:after="120" w:line="360" w:lineRule="auto"/>
        <w:ind w:left="170"/>
      </w:pPr>
      <w:r>
        <w:rPr>
          <w:highlight w:val="yellow"/>
          <w:rtl/>
        </w:rPr>
        <w:t>4. ما أثر كل بُعد من أبعاد ممارسات حوكمة المشتريات الحكومية في كفاءة الإنفاق في الجهات الحكومية السعودية؟</w:t>
      </w:r>
    </w:p>
    <w:p w14:paraId="7B094D1F" w14:textId="77777777" w:rsidR="005C7750" w:rsidRDefault="00000000" w:rsidP="00F22C8D">
      <w:pPr>
        <w:spacing w:after="120" w:line="360" w:lineRule="auto"/>
        <w:ind w:left="170"/>
      </w:pPr>
      <w:r>
        <w:rPr>
          <w:rtl/>
        </w:rPr>
        <w:t>5. ما أثر ممارسات حوكمة المشتريات الحكومية في إدارة مخاطر تعارض المصالح؟</w:t>
      </w:r>
    </w:p>
    <w:p w14:paraId="2EE0A3A3" w14:textId="77777777" w:rsidR="005C7750" w:rsidRDefault="00000000" w:rsidP="00F22C8D">
      <w:pPr>
        <w:spacing w:after="120" w:line="360" w:lineRule="auto"/>
        <w:ind w:left="170"/>
      </w:pPr>
      <w:r>
        <w:rPr>
          <w:rtl/>
        </w:rPr>
        <w:t>6. ما أثر إدارة مخاطر تعارض المصالح في كفاءة الإنفاق؟</w:t>
      </w:r>
    </w:p>
    <w:p w14:paraId="7AF263FA" w14:textId="77777777" w:rsidR="005C7750" w:rsidRDefault="00000000" w:rsidP="00F22C8D">
      <w:pPr>
        <w:spacing w:after="120" w:line="360" w:lineRule="auto"/>
        <w:ind w:left="170"/>
      </w:pPr>
      <w:r>
        <w:rPr>
          <w:rtl/>
        </w:rPr>
        <w:t>7. هل تؤدي إدارة مخاطر تعارض المصالح دورًا وسيطًا ذا دلالة إحصائية في العلاقة بين ممارسات حوكمة المشتريات الحكومية وكفاءة الإنفاق؟</w:t>
      </w:r>
    </w:p>
    <w:p w14:paraId="3FF25DC3" w14:textId="77777777" w:rsidR="005C7750" w:rsidRDefault="00000000" w:rsidP="00F22C8D">
      <w:pPr>
        <w:spacing w:after="120" w:line="360" w:lineRule="auto"/>
        <w:ind w:left="170"/>
      </w:pPr>
      <w:r>
        <w:rPr>
          <w:highlight w:val="yellow"/>
          <w:rtl/>
        </w:rPr>
        <w:lastRenderedPageBreak/>
        <w:t>8. هل توجد فروق ذات دلالة إحصائية في استجابات المبحوثين حول أثر ممارسات حوكمة المشتريات الحكومية في كفاءة الإنفاق تعزى للمتغيرات الديموغرافية (الجهة الحكومية، المستوى الوظيفي، سنوات الخبرة، الدور في دورة المشتريات)؟</w:t>
      </w:r>
    </w:p>
    <w:p w14:paraId="5003EA10" w14:textId="77777777" w:rsidR="005C7750" w:rsidRDefault="00000000" w:rsidP="00F22C8D">
      <w:pPr>
        <w:spacing w:after="120" w:line="360" w:lineRule="auto"/>
        <w:ind w:left="170"/>
      </w:pPr>
      <w:r>
        <w:rPr>
          <w:highlight w:val="yellow"/>
          <w:rtl/>
        </w:rPr>
        <w:t>9. ما طبيعة التفاعل بين أبعاد إدارة مخاطر تعارض المصالح في دورها الوسيط على العلاقة بين ممارسات حوكمة المشتريات الحكومية وكفاءة الإنفاق؟</w:t>
      </w:r>
    </w:p>
    <w:p w14:paraId="41375B0D" w14:textId="77777777" w:rsidR="005C7750" w:rsidRDefault="00000000" w:rsidP="00F22C8D">
      <w:pPr>
        <w:pStyle w:val="1"/>
        <w:spacing w:before="0" w:after="160" w:line="360" w:lineRule="auto"/>
      </w:pPr>
      <w:r>
        <w:rPr>
          <w:rFonts w:ascii="Traditional Arabic" w:eastAsia="Traditional Arabic" w:hAnsi="Traditional Arabic" w:cs="Traditional Arabic"/>
          <w:highlight w:val="yellow"/>
          <w:rtl/>
        </w:rPr>
        <w:t>5. أهمية الدراسة</w:t>
      </w:r>
    </w:p>
    <w:p w14:paraId="03ACE981" w14:textId="77777777" w:rsidR="005C7750" w:rsidRDefault="00000000" w:rsidP="00F22C8D">
      <w:pPr>
        <w:pStyle w:val="21"/>
        <w:spacing w:before="0" w:after="160" w:line="360" w:lineRule="auto"/>
      </w:pPr>
      <w:r>
        <w:rPr>
          <w:rFonts w:ascii="Traditional Arabic" w:eastAsia="Traditional Arabic" w:hAnsi="Traditional Arabic" w:cs="Traditional Arabic"/>
          <w:highlight w:val="yellow"/>
          <w:rtl/>
        </w:rPr>
        <w:t>5.1 الأهمية النظرية</w:t>
      </w:r>
    </w:p>
    <w:p w14:paraId="1B869CEF" w14:textId="77777777" w:rsidR="005C7750" w:rsidRDefault="00000000" w:rsidP="00F22C8D">
      <w:pPr>
        <w:spacing w:after="120" w:line="360" w:lineRule="auto"/>
        <w:ind w:left="170"/>
      </w:pPr>
      <w:r>
        <w:rPr>
          <w:highlight w:val="yellow"/>
          <w:rtl/>
        </w:rPr>
        <w:t>• تسهم الدراسة في إثراء الأدبيات العربية والخليجية في مجال حوكمة المشتريات الحكومية وكفاءة الإنفاق، إذ تمثل إضافة نوعية للمكتبة العربية التي لا تزال محدودة في الدراسات الميدانية التي تربط بين الحوكمة وكفاءة الإنفاق في سياق المشتريات الحكومية السعودية.</w:t>
      </w:r>
    </w:p>
    <w:p w14:paraId="163F309A" w14:textId="77777777" w:rsidR="005C7750" w:rsidRDefault="00000000" w:rsidP="00F22C8D">
      <w:pPr>
        <w:spacing w:after="120" w:line="360" w:lineRule="auto"/>
        <w:ind w:left="170"/>
      </w:pPr>
      <w:r>
        <w:rPr>
          <w:rtl/>
        </w:rPr>
        <w:t>• تقدم الدراسة نموذجًا تفسيريًا يربط بين حوكمة المشتريات الحكومية وإدارة مخاطر تعارض المصالح وكفاءة الإنفاق، بما يضيف بعدًا إداريًا لموضوع تعارض المصالح بدلًا من حصره في المعالجة القانونية أو الأخلاقية.</w:t>
      </w:r>
    </w:p>
    <w:p w14:paraId="11384B21" w14:textId="77777777" w:rsidR="005C7750" w:rsidRDefault="00000000" w:rsidP="00F22C8D">
      <w:pPr>
        <w:spacing w:after="120" w:line="360" w:lineRule="auto"/>
        <w:ind w:left="170"/>
      </w:pPr>
      <w:r>
        <w:rPr>
          <w:highlight w:val="yellow"/>
          <w:rtl/>
        </w:rPr>
        <w:t>• تسهم الدراسة في اختبار نظرية الوكالة في سياق جديد يتمثل في المشتريات الحكومية، وتوفر أدلة تجريبية حول كيفية تحويل ممارسات الحوكمة إلى كفاءة إنفاق عبر آليات إدارة المخاطر وتقليل تضارب المصالح بين الأصيل والوكيل.</w:t>
      </w:r>
    </w:p>
    <w:p w14:paraId="37A6F9E5" w14:textId="77777777" w:rsidR="005C7750" w:rsidRDefault="00000000" w:rsidP="00F22C8D">
      <w:pPr>
        <w:spacing w:after="120" w:line="360" w:lineRule="auto"/>
        <w:ind w:left="170"/>
      </w:pPr>
      <w:r>
        <w:rPr>
          <w:highlight w:val="yellow"/>
          <w:rtl/>
        </w:rPr>
        <w:t>• تسهم الدراسة في توظيف نظرية أصحاب المصلحة لفهم أثر المشتريات الحكومية على المواطنين، الموردين، الجهات الرقابية، وصناع القرار، وبما يوسع مفهوم كفاءة الإنفاق من مجرد وفر مالي إلى قيمة عامة ومؤسسية.</w:t>
      </w:r>
    </w:p>
    <w:p w14:paraId="1BCD95EB" w14:textId="77777777" w:rsidR="005C7750" w:rsidRDefault="00000000" w:rsidP="00F22C8D">
      <w:pPr>
        <w:spacing w:after="120" w:line="360" w:lineRule="auto"/>
        <w:ind w:left="170"/>
      </w:pPr>
      <w:r>
        <w:rPr>
          <w:rtl/>
        </w:rPr>
        <w:t>• تستند الدراسة إلى التصور السعودي الرسمي لكفاءة الإنفاق الذي يميز بين الكفاءة الفنية وكفاءة تخصيص الموارد، بما يدعم تطوير أطر قياس أكثر ملاءمة للبيئة الحكومية السعودية.</w:t>
      </w:r>
    </w:p>
    <w:p w14:paraId="38FD160A" w14:textId="77777777" w:rsidR="005C7750" w:rsidRDefault="00000000" w:rsidP="00F22C8D">
      <w:pPr>
        <w:pStyle w:val="21"/>
        <w:spacing w:before="0" w:after="160" w:line="360" w:lineRule="auto"/>
      </w:pPr>
      <w:r>
        <w:rPr>
          <w:rFonts w:ascii="Traditional Arabic" w:eastAsia="Traditional Arabic" w:hAnsi="Traditional Arabic" w:cs="Traditional Arabic"/>
          <w:highlight w:val="yellow"/>
          <w:rtl/>
        </w:rPr>
        <w:t>5.2 الأهمية التطبيقية</w:t>
      </w:r>
    </w:p>
    <w:p w14:paraId="604343EA" w14:textId="77777777" w:rsidR="005C7750" w:rsidRDefault="00000000" w:rsidP="00F22C8D">
      <w:pPr>
        <w:spacing w:after="120" w:line="360" w:lineRule="auto"/>
        <w:ind w:left="170"/>
      </w:pPr>
      <w:r>
        <w:rPr>
          <w:highlight w:val="yellow"/>
          <w:rtl/>
        </w:rPr>
        <w:t>• تدعم الدراسة جهود هيئة كفاءة الإنفاق والمشروعات الحكومية ووزارة المالية في تطوير أطر حوكمة المشتريات الحكومية، من خلال تقديم مؤشرات أداء قابلة للقياس حول أثر ممارسات الحوكمة في كفاءة الإنفاق.</w:t>
      </w:r>
    </w:p>
    <w:p w14:paraId="0F915063" w14:textId="77777777" w:rsidR="005C7750" w:rsidRDefault="00000000" w:rsidP="00F22C8D">
      <w:pPr>
        <w:spacing w:after="120" w:line="360" w:lineRule="auto"/>
        <w:ind w:left="170"/>
      </w:pPr>
      <w:r>
        <w:rPr>
          <w:rtl/>
        </w:rPr>
        <w:t>• تساعد نتائج الدراسة صناع القرار في الجهات الحكومية على تحديد أولويات تحسين ممارسات الحوكمة وفقًا لقوة تأثير كل بُعد في كفاءة الإنفاق، بما يوجه التدخلات التطويرية نحو الجوانب الأعلى أثرًا.</w:t>
      </w:r>
    </w:p>
    <w:p w14:paraId="54C59A6A" w14:textId="77777777" w:rsidR="005C7750" w:rsidRDefault="00000000" w:rsidP="00F22C8D">
      <w:pPr>
        <w:spacing w:after="120" w:line="360" w:lineRule="auto"/>
        <w:ind w:left="170"/>
      </w:pPr>
      <w:r>
        <w:rPr>
          <w:highlight w:val="yellow"/>
          <w:rtl/>
        </w:rPr>
        <w:t>• تسهم الدراسة في تطوير أداة قياس (استبانة) يمكن توظيفها في دراسات لاحقة في المملكة ودول الخليج، أو استخدامها داخليًا لتشخيص مستوى نضج حوكمة المشتريات وإدارة مخاطر تعارض المصالح.</w:t>
      </w:r>
    </w:p>
    <w:p w14:paraId="3BC1B40B" w14:textId="77777777" w:rsidR="005C7750" w:rsidRDefault="00000000" w:rsidP="00F22C8D">
      <w:pPr>
        <w:spacing w:after="120" w:line="360" w:lineRule="auto"/>
        <w:ind w:left="170"/>
      </w:pPr>
      <w:r>
        <w:rPr>
          <w:rtl/>
        </w:rPr>
        <w:t>• قد تساعد الدراسة إدارات المشتريات والعقود والحوكمة والمراجعة الداخلية في تصميم إجراءات عملية للإفصاح عن المصالح، وفصل المهام، وتوثيق القرارات، وتعزيز المساءلة خلال دورة المشتريات.</w:t>
      </w:r>
    </w:p>
    <w:p w14:paraId="1124D42E" w14:textId="77777777" w:rsidR="005C7750" w:rsidRDefault="00000000" w:rsidP="00F22C8D">
      <w:pPr>
        <w:spacing w:after="120" w:line="360" w:lineRule="auto"/>
        <w:ind w:left="170"/>
      </w:pPr>
      <w:r>
        <w:rPr>
          <w:highlight w:val="yellow"/>
          <w:rtl/>
        </w:rPr>
        <w:lastRenderedPageBreak/>
        <w:t>• تسهم الدراسة في الانتقال من قياس كفاءة المشتريات بناءً على الوفورات السعرية فقط إلى قياس أكثر شمولًا يشمل الكفاءة الفنية، وكفاءة تخصيص الموارد، وخفض الهدر، والقيمة مقابل المال، والمواءمة الاستراتيجية.</w:t>
      </w:r>
    </w:p>
    <w:p w14:paraId="4CEC9571" w14:textId="77777777" w:rsidR="005C7750" w:rsidRDefault="00000000" w:rsidP="00F22C8D">
      <w:pPr>
        <w:pStyle w:val="1"/>
        <w:spacing w:before="0" w:after="160" w:line="360" w:lineRule="auto"/>
      </w:pPr>
      <w:r>
        <w:rPr>
          <w:rFonts w:ascii="Traditional Arabic" w:eastAsia="Traditional Arabic" w:hAnsi="Traditional Arabic" w:cs="Traditional Arabic"/>
          <w:highlight w:val="yellow"/>
          <w:rtl/>
        </w:rPr>
        <w:t>6. أهداف الدراسة</w:t>
      </w:r>
    </w:p>
    <w:p w14:paraId="2B2DFAC0" w14:textId="77777777" w:rsidR="005C7750" w:rsidRDefault="00000000" w:rsidP="00F22C8D">
      <w:pPr>
        <w:spacing w:after="120" w:line="360" w:lineRule="auto"/>
        <w:ind w:left="170"/>
      </w:pPr>
      <w:r>
        <w:rPr>
          <w:rtl/>
        </w:rPr>
        <w:t>1. قياس مستوى تطبيق ممارسات حوكمة المشتريات الحكومية بأبعادها السبعة في الجهات الحكومية السعودية خلال فترة الدراسة.</w:t>
      </w:r>
    </w:p>
    <w:p w14:paraId="1DF96467" w14:textId="77777777" w:rsidR="005C7750" w:rsidRDefault="00000000" w:rsidP="00F22C8D">
      <w:pPr>
        <w:spacing w:after="120" w:line="360" w:lineRule="auto"/>
        <w:ind w:left="170"/>
      </w:pPr>
      <w:r>
        <w:rPr>
          <w:rtl/>
        </w:rPr>
        <w:t>2. قياس مستوى إدارة مخاطر تعارض المصالح بأبعادها الخمسة في إجراءات المشتريات الحكومية.</w:t>
      </w:r>
    </w:p>
    <w:p w14:paraId="038D964B" w14:textId="77777777" w:rsidR="005C7750" w:rsidRDefault="00000000" w:rsidP="00F22C8D">
      <w:pPr>
        <w:spacing w:after="120" w:line="360" w:lineRule="auto"/>
        <w:ind w:left="170"/>
      </w:pPr>
      <w:r>
        <w:rPr>
          <w:rtl/>
        </w:rPr>
        <w:t>3. قياس مستوى كفاءة الإنفاق المرتبط بالمشتريات الحكومية وفق أبعاد الكفاءة الفنية، وكفاءة تخصيص الموارد، وخفض الهدر، والقيمة مقابل المال، والمواءمة الاستراتيجية.</w:t>
      </w:r>
    </w:p>
    <w:p w14:paraId="69CB6AAC" w14:textId="77777777" w:rsidR="005C7750" w:rsidRDefault="00000000" w:rsidP="00F22C8D">
      <w:pPr>
        <w:spacing w:after="120" w:line="360" w:lineRule="auto"/>
        <w:ind w:left="170"/>
      </w:pPr>
      <w:r>
        <w:rPr>
          <w:highlight w:val="yellow"/>
          <w:rtl/>
        </w:rPr>
        <w:t>4. تحليل الأثر التفاضلي لكل بُعد من أبعاد ممارسات حوكمة المشتريات الحكومية في كفاءة الإنفاق.</w:t>
      </w:r>
    </w:p>
    <w:p w14:paraId="3BC847DD" w14:textId="77777777" w:rsidR="005C7750" w:rsidRDefault="00000000" w:rsidP="00F22C8D">
      <w:pPr>
        <w:spacing w:after="120" w:line="360" w:lineRule="auto"/>
        <w:ind w:left="170"/>
      </w:pPr>
      <w:r>
        <w:rPr>
          <w:rtl/>
        </w:rPr>
        <w:t>5. اختبار أثر ممارسات حوكمة المشتريات الحكومية في إدارة مخاطر تعارض المصالح.</w:t>
      </w:r>
    </w:p>
    <w:p w14:paraId="0D79BB09" w14:textId="77777777" w:rsidR="005C7750" w:rsidRDefault="00000000" w:rsidP="00F22C8D">
      <w:pPr>
        <w:spacing w:after="120" w:line="360" w:lineRule="auto"/>
        <w:ind w:left="170"/>
      </w:pPr>
      <w:r>
        <w:rPr>
          <w:rtl/>
        </w:rPr>
        <w:t>6. اختبار أثر إدارة مخاطر تعارض المصالح في كفاءة الإنفاق.</w:t>
      </w:r>
    </w:p>
    <w:p w14:paraId="12090244" w14:textId="77777777" w:rsidR="005C7750" w:rsidRDefault="00000000" w:rsidP="00F22C8D">
      <w:pPr>
        <w:spacing w:after="120" w:line="360" w:lineRule="auto"/>
        <w:ind w:left="170"/>
      </w:pPr>
      <w:r>
        <w:rPr>
          <w:rtl/>
        </w:rPr>
        <w:t>7. اختبار الدور الوسيط لإدارة مخاطر تعارض المصالح في العلاقة بين ممارسات حوكمة المشتريات الحكومية وكفاءة الإنفاق.</w:t>
      </w:r>
    </w:p>
    <w:p w14:paraId="7EA8B4CE" w14:textId="77777777" w:rsidR="005C7750" w:rsidRDefault="00000000" w:rsidP="00F22C8D">
      <w:pPr>
        <w:spacing w:after="120" w:line="360" w:lineRule="auto"/>
        <w:ind w:left="170"/>
      </w:pPr>
      <w:r>
        <w:rPr>
          <w:highlight w:val="yellow"/>
          <w:rtl/>
        </w:rPr>
        <w:t>8. اختبار الفروق ذات الدلالة الإحصائية في استجابات المبحوثين حول أثر ممارسات حوكمة المشتريات الحكومية في كفاءة الإنفاق بين الجهات الحكومية المختلفة وفقًا للجهة، والمستوى الوظيفي، وسنوات الخبرة، والدور في دورة المشتريات.</w:t>
      </w:r>
    </w:p>
    <w:p w14:paraId="292D3554" w14:textId="77777777" w:rsidR="005C7750" w:rsidRDefault="00000000" w:rsidP="00F22C8D">
      <w:pPr>
        <w:spacing w:after="120" w:line="360" w:lineRule="auto"/>
        <w:ind w:left="170"/>
      </w:pPr>
      <w:r>
        <w:rPr>
          <w:highlight w:val="yellow"/>
          <w:rtl/>
        </w:rPr>
        <w:t>9. بناء نموذج رياضي/انحداري يمكن من التنبؤ بمستوى كفاءة الإنفاق في الجهات الحكومية في ضوء مستوى ممارسات حوكمة المشتريات الحكومية وإدارة مخاطر تعارض المصالح.</w:t>
      </w:r>
    </w:p>
    <w:p w14:paraId="46639FF9" w14:textId="77777777" w:rsidR="005C7750" w:rsidRDefault="00000000" w:rsidP="00F22C8D">
      <w:pPr>
        <w:spacing w:after="120" w:line="360" w:lineRule="auto"/>
        <w:ind w:left="170"/>
      </w:pPr>
      <w:r>
        <w:rPr>
          <w:rtl/>
        </w:rPr>
        <w:t>10. استخلاص توصيات عملية قابلة للتطبيق لتعزيز حوكمة المشتريات الحكومية وتحسين كفاءة الإنفاق والحد من مخاطر تعارض المصالح في الجهات الحكومية السعودية.</w:t>
      </w:r>
    </w:p>
    <w:p w14:paraId="76FCDFBB" w14:textId="77777777" w:rsidR="005C7750" w:rsidRDefault="00000000" w:rsidP="00F22C8D">
      <w:pPr>
        <w:pStyle w:val="1"/>
        <w:spacing w:before="0" w:after="160" w:line="360" w:lineRule="auto"/>
      </w:pPr>
      <w:r>
        <w:rPr>
          <w:rFonts w:ascii="Traditional Arabic" w:eastAsia="Traditional Arabic" w:hAnsi="Traditional Arabic" w:cs="Traditional Arabic"/>
          <w:highlight w:val="yellow"/>
          <w:rtl/>
        </w:rPr>
        <w:t>7. فرضيات الدراسة</w:t>
      </w:r>
    </w:p>
    <w:p w14:paraId="5E2005B0" w14:textId="77777777" w:rsidR="005C7750" w:rsidRDefault="00000000" w:rsidP="00F22C8D">
      <w:pPr>
        <w:spacing w:after="120" w:line="360" w:lineRule="auto"/>
        <w:ind w:left="170"/>
      </w:pPr>
      <w:r>
        <w:rPr>
          <w:rtl/>
        </w:rPr>
        <w:t>• H1: يوجد أثر ذو دلالة إحصائية لممارسات حوكمة المشتريات الحكومية في كفاءة الإنفاق في الجهات الحكومية السعودية.</w:t>
      </w:r>
    </w:p>
    <w:p w14:paraId="0D871B6A" w14:textId="77777777" w:rsidR="005C7750" w:rsidRDefault="00000000" w:rsidP="00F22C8D">
      <w:pPr>
        <w:spacing w:after="120" w:line="360" w:lineRule="auto"/>
        <w:ind w:left="170"/>
      </w:pPr>
      <w:r>
        <w:rPr>
          <w:rtl/>
        </w:rPr>
        <w:t>• H1a: يوجد أثر ذو دلالة إحصائية للشفافية في كفاءة الإنفاق.</w:t>
      </w:r>
    </w:p>
    <w:p w14:paraId="13336942" w14:textId="77777777" w:rsidR="005C7750" w:rsidRDefault="00000000" w:rsidP="00F22C8D">
      <w:pPr>
        <w:spacing w:after="120" w:line="360" w:lineRule="auto"/>
        <w:ind w:left="170"/>
      </w:pPr>
      <w:r>
        <w:rPr>
          <w:rtl/>
        </w:rPr>
        <w:t>• H1b: يوجد أثر ذو دلالة إحصائية للمساءلة في كفاءة الإنفاق.</w:t>
      </w:r>
    </w:p>
    <w:p w14:paraId="3659C1D9" w14:textId="77777777" w:rsidR="005C7750" w:rsidRDefault="00000000" w:rsidP="00F22C8D">
      <w:pPr>
        <w:spacing w:after="120" w:line="360" w:lineRule="auto"/>
        <w:ind w:left="170"/>
      </w:pPr>
      <w:r>
        <w:rPr>
          <w:rtl/>
        </w:rPr>
        <w:t>• H1c: يوجد أثر ذو دلالة إحصائية للامتثال النظامي في كفاءة الإنفاق.</w:t>
      </w:r>
    </w:p>
    <w:p w14:paraId="2C6E7681" w14:textId="77777777" w:rsidR="005C7750" w:rsidRDefault="00000000" w:rsidP="00F22C8D">
      <w:pPr>
        <w:spacing w:after="120" w:line="360" w:lineRule="auto"/>
        <w:ind w:left="170"/>
      </w:pPr>
      <w:r>
        <w:rPr>
          <w:rtl/>
        </w:rPr>
        <w:t>• H1d: يوجد أثر ذو دلالة إحصائية لفصل المهام وتحديد الصلاحيات في كفاءة الإنفاق.</w:t>
      </w:r>
    </w:p>
    <w:p w14:paraId="24C4F015" w14:textId="77777777" w:rsidR="005C7750" w:rsidRDefault="00000000" w:rsidP="00F22C8D">
      <w:pPr>
        <w:spacing w:after="120" w:line="360" w:lineRule="auto"/>
        <w:ind w:left="170"/>
      </w:pPr>
      <w:r>
        <w:rPr>
          <w:rtl/>
        </w:rPr>
        <w:lastRenderedPageBreak/>
        <w:t>• H1e: يوجد أثر ذو دلالة إحصائية للرقابة الداخلية في كفاءة الإنفاق.</w:t>
      </w:r>
    </w:p>
    <w:p w14:paraId="323B1877" w14:textId="77777777" w:rsidR="005C7750" w:rsidRDefault="00000000" w:rsidP="00F22C8D">
      <w:pPr>
        <w:spacing w:after="120" w:line="360" w:lineRule="auto"/>
        <w:ind w:left="170"/>
      </w:pPr>
      <w:r>
        <w:rPr>
          <w:rtl/>
        </w:rPr>
        <w:t>• H1f: يوجد أثر ذو دلالة إحصائية للتخطيط والإعداد للمشتريات في كفاءة الإنفاق.</w:t>
      </w:r>
    </w:p>
    <w:p w14:paraId="202667F9" w14:textId="77777777" w:rsidR="005C7750" w:rsidRDefault="00000000" w:rsidP="00F22C8D">
      <w:pPr>
        <w:spacing w:after="120" w:line="360" w:lineRule="auto"/>
        <w:ind w:left="170"/>
      </w:pPr>
      <w:r>
        <w:rPr>
          <w:rtl/>
        </w:rPr>
        <w:t>• H1g: يوجد أثر ذو دلالة إحصائية لنضج المشتريات الرقمية في كفاءة الإنفاق.</w:t>
      </w:r>
    </w:p>
    <w:p w14:paraId="7C6F6DA8" w14:textId="77777777" w:rsidR="005C7750" w:rsidRDefault="00000000" w:rsidP="00F22C8D">
      <w:pPr>
        <w:spacing w:after="120" w:line="360" w:lineRule="auto"/>
        <w:ind w:left="170"/>
      </w:pPr>
      <w:r>
        <w:rPr>
          <w:rtl/>
        </w:rPr>
        <w:t>• H2: يوجد أثر ذو دلالة إحصائية لممارسات حوكمة المشتريات الحكومية في إدارة مخاطر تعارض المصالح.</w:t>
      </w:r>
    </w:p>
    <w:p w14:paraId="59CEBAB1" w14:textId="77777777" w:rsidR="005C7750" w:rsidRDefault="00000000" w:rsidP="00F22C8D">
      <w:pPr>
        <w:spacing w:after="120" w:line="360" w:lineRule="auto"/>
        <w:ind w:left="170"/>
      </w:pPr>
      <w:r>
        <w:rPr>
          <w:rtl/>
        </w:rPr>
        <w:t>• H3: يوجد أثر ذو دلالة إحصائية لإدارة مخاطر تعارض المصالح في كفاءة الإنفاق.</w:t>
      </w:r>
    </w:p>
    <w:p w14:paraId="6ADD1175" w14:textId="77777777" w:rsidR="005C7750" w:rsidRDefault="00000000" w:rsidP="00F22C8D">
      <w:pPr>
        <w:spacing w:after="120" w:line="360" w:lineRule="auto"/>
        <w:ind w:left="170"/>
      </w:pPr>
      <w:r>
        <w:rPr>
          <w:rtl/>
        </w:rPr>
        <w:t>• H4: تؤدي إدارة مخاطر تعارض المصالح دورًا وسيطًا ذا دلالة إحصائية في العلاقة بين ممارسات حوكمة المشتريات الحكومية وكفاءة الإنفاق.</w:t>
      </w:r>
    </w:p>
    <w:p w14:paraId="3DF3AAB1" w14:textId="77777777" w:rsidR="005C7750" w:rsidRDefault="00000000" w:rsidP="00F22C8D">
      <w:pPr>
        <w:spacing w:after="120" w:line="360" w:lineRule="auto"/>
        <w:ind w:left="170"/>
      </w:pPr>
      <w:r>
        <w:rPr>
          <w:highlight w:val="yellow"/>
          <w:rtl/>
        </w:rPr>
        <w:t>• H5: توجد فروق ذات دلالة إحصائية في استجابات المبحوثين حول متغيرات الدراسة تعزى إلى الجهة الحكومية، والمستوى الوظيفي، وسنوات الخبرة، والدور في دورة المشتريات.</w:t>
      </w:r>
    </w:p>
    <w:p w14:paraId="47E82570" w14:textId="77777777" w:rsidR="005C7750" w:rsidRDefault="00000000" w:rsidP="00F22C8D">
      <w:pPr>
        <w:pStyle w:val="1"/>
        <w:spacing w:before="0" w:after="160" w:line="360" w:lineRule="auto"/>
      </w:pPr>
      <w:r>
        <w:rPr>
          <w:rFonts w:ascii="Traditional Arabic" w:eastAsia="Traditional Arabic" w:hAnsi="Traditional Arabic" w:cs="Traditional Arabic"/>
          <w:highlight w:val="yellow"/>
          <w:rtl/>
        </w:rPr>
        <w:t>8. النظريات الداعمة للدراسة</w:t>
      </w:r>
    </w:p>
    <w:p w14:paraId="2FF10B10" w14:textId="77777777" w:rsidR="005C7750" w:rsidRDefault="00000000" w:rsidP="00F22C8D">
      <w:pPr>
        <w:pStyle w:val="21"/>
        <w:spacing w:before="0" w:after="160" w:line="360" w:lineRule="auto"/>
      </w:pPr>
      <w:r>
        <w:rPr>
          <w:rFonts w:ascii="Traditional Arabic" w:eastAsia="Traditional Arabic" w:hAnsi="Traditional Arabic" w:cs="Traditional Arabic"/>
          <w:highlight w:val="yellow"/>
          <w:rtl/>
        </w:rPr>
        <w:t>8.1 نظرية الوكالة (Agency Theory)</w:t>
      </w:r>
    </w:p>
    <w:p w14:paraId="4D422254" w14:textId="77777777" w:rsidR="005C7750" w:rsidRDefault="00000000" w:rsidP="00F22C8D">
      <w:pPr>
        <w:spacing w:after="120" w:line="360" w:lineRule="auto"/>
      </w:pPr>
      <w:r>
        <w:rPr>
          <w:highlight w:val="yellow"/>
          <w:rtl/>
        </w:rPr>
        <w:t>تعد نظرية الوكالة من أكثر النظريات ملاءمة لتفسير مشكلات الحوكمة في المشتريات الحكومية؛ إذ تقوم على وجود علاقة بين الأصيل الذي يملك المصلحة أو المورد، والوكيل الذي يتخذ القرار أو يدير المورد نيابة عنه. وتنشأ مشكلة الوكالة عندما تختلف مصالح الوكيل عن مصالح الأصيل، أو عندما لا تتوافر معلومات كافية لدى الأصيل لمراقبة سلوك الوكيل بشكل كامل (Jensen &amp; Meckling, 1976; Eisenhardt, 1989).</w:t>
      </w:r>
    </w:p>
    <w:p w14:paraId="7D2BCF39" w14:textId="77777777" w:rsidR="005C7750" w:rsidRDefault="00000000" w:rsidP="00F22C8D">
      <w:pPr>
        <w:spacing w:after="120" w:line="360" w:lineRule="auto"/>
      </w:pPr>
      <w:r>
        <w:rPr>
          <w:highlight w:val="yellow"/>
          <w:rtl/>
        </w:rPr>
        <w:t>في سياق الدراسة الحالية، تمثل الدولة والمجتمع والمستفيدون النهائيون الأصيل، بينما يمثل موظفو المشتريات وأعضاء اللجان ومنفذو إجراءات الشراء وكلاء يتخذون قرارات بشأن المال العام. وتفسر هذه النظرية كيف يمكن أن تؤدي ممارسات الحوكمة - مثل الشفافية، وفصل المهام، والرقابة، والمساءلة - إلى تقليل تكاليف الوكالة والحد من السلوك الانتهازي أو القرارات المتأثرة بالمصالح الخاصة.</w:t>
      </w:r>
    </w:p>
    <w:p w14:paraId="14B9AE54" w14:textId="77777777" w:rsidR="005C7750" w:rsidRDefault="00000000" w:rsidP="00F22C8D">
      <w:pPr>
        <w:spacing w:after="120" w:line="360" w:lineRule="auto"/>
      </w:pPr>
      <w:r>
        <w:rPr>
          <w:highlight w:val="yellow"/>
          <w:rtl/>
        </w:rPr>
        <w:t>تساعد نظرية الوكالة كذلك في تفسير الدور الوسيط لإدارة مخاطر تعارض المصالح؛ لأن الإفصاح والوقاية والمعالجة والتوثيق تمثل آليات للحد من عدم تماثل المعلومات وتقييد احتمالات انحراف الوكيل عن مصلحة الأصيل. ومن ثم، فإن إدارة مخاطر تعارض المصالح لا تعمل كإجراء امتثال فقط، بل كآلية تفسيرية تربط الحوكمة بكفاءة الإنفاق.</w:t>
      </w:r>
    </w:p>
    <w:p w14:paraId="3261804B" w14:textId="77777777" w:rsidR="005C7750" w:rsidRDefault="00000000" w:rsidP="00F22C8D">
      <w:pPr>
        <w:pStyle w:val="21"/>
        <w:spacing w:before="0" w:after="160" w:line="360" w:lineRule="auto"/>
      </w:pPr>
      <w:r>
        <w:rPr>
          <w:rFonts w:ascii="Traditional Arabic" w:eastAsia="Traditional Arabic" w:hAnsi="Traditional Arabic" w:cs="Traditional Arabic"/>
          <w:highlight w:val="yellow"/>
          <w:rtl/>
        </w:rPr>
        <w:t>8.2 نظرية أصحاب المصلحة (Stakeholder Theory)</w:t>
      </w:r>
    </w:p>
    <w:p w14:paraId="6183846D" w14:textId="77777777" w:rsidR="005C7750" w:rsidRDefault="00000000" w:rsidP="00F22C8D">
      <w:pPr>
        <w:spacing w:after="120" w:line="360" w:lineRule="auto"/>
      </w:pPr>
      <w:r>
        <w:rPr>
          <w:highlight w:val="yellow"/>
          <w:rtl/>
        </w:rPr>
        <w:t>تستند نظرية أصحاب المصلحة إلى أن المنظمة لا تعمل لخدمة طرف واحد فقط، بل تتأثر بمجموعة من الأطراف ولها مسؤولية تجاههم، ومن أبرز روادها Freeman (1984). وفي المشتريات الحكومية، يشمل أصحاب المصلحة المواطنين، والجهات الحكومية، والموردين، والجهات الرقابية، وصناع القرار، والمستفيدين من الخدمات العامة.</w:t>
      </w:r>
    </w:p>
    <w:p w14:paraId="0D7C38DF" w14:textId="77777777" w:rsidR="005C7750" w:rsidRDefault="00000000" w:rsidP="00F22C8D">
      <w:pPr>
        <w:spacing w:after="120" w:line="360" w:lineRule="auto"/>
      </w:pPr>
      <w:r>
        <w:rPr>
          <w:highlight w:val="yellow"/>
          <w:rtl/>
        </w:rPr>
        <w:lastRenderedPageBreak/>
        <w:t>تفسر هذه النظرية خصوصية كفاءة الإنفاق الحكومي؛ إذ لا تكفي كفاءة السعر أو خفض التكلفة إذا لم تتحقق العدالة، وجودة المخرجات، ورضا المستفيدين، واستدامة الموردين، وثقة المجتمع في إدارة المال العام. وبذلك تساعد النظرية في توسيع مفهوم كفاءة الإنفاق من نتيجة مالية إلى نتيجة ذات بعد مؤسسي ومجتمعي.</w:t>
      </w:r>
    </w:p>
    <w:p w14:paraId="719E6C5F" w14:textId="77777777" w:rsidR="005C7750" w:rsidRDefault="00000000" w:rsidP="00F22C8D">
      <w:pPr>
        <w:pStyle w:val="21"/>
        <w:spacing w:before="0" w:after="160" w:line="360" w:lineRule="auto"/>
      </w:pPr>
      <w:r>
        <w:rPr>
          <w:rFonts w:ascii="Traditional Arabic" w:eastAsia="Traditional Arabic" w:hAnsi="Traditional Arabic" w:cs="Traditional Arabic"/>
          <w:highlight w:val="yellow"/>
          <w:rtl/>
        </w:rPr>
        <w:t>8.3 التكامل النظري</w:t>
      </w:r>
    </w:p>
    <w:p w14:paraId="65B05C8A" w14:textId="77777777" w:rsidR="005C7750" w:rsidRDefault="00000000" w:rsidP="00F22C8D">
      <w:pPr>
        <w:spacing w:after="120" w:line="360" w:lineRule="auto"/>
      </w:pPr>
      <w:r>
        <w:rPr>
          <w:highlight w:val="yellow"/>
          <w:rtl/>
        </w:rPr>
        <w:t>يتكامل الإطاران النظريان في تفسير نموذج الدراسة؛ فنظرية الوكالة تفسر الحاجة إلى الحوكمة والرقابة للحد من تضارب المصالح بين الأصيل والوكيل، بينما تفسر نظرية أصحاب المصلحة ضرورة أن تنتج تلك الحوكمة قيمة عامة تتجاوز خفض التكلفة إلى تعزيز الثقة والعدالة وجودة الخدمات. ومن ثم، يمكن تصور العلاقة النظرية على النحو الآتي: حوكمة المشتريات كآلية رقابية ← إدارة مخاطر تعارض المصالح كآلية وسيطة ← كفاءة الإنفاق كنتيجة مالية ومؤسسية ومجتمعية.</w:t>
      </w:r>
    </w:p>
    <w:p w14:paraId="39DB06DB" w14:textId="77777777" w:rsidR="005C7750" w:rsidRDefault="00000000" w:rsidP="00F22C8D">
      <w:pPr>
        <w:pStyle w:val="1"/>
        <w:spacing w:before="0" w:after="160" w:line="360" w:lineRule="auto"/>
      </w:pPr>
      <w:r>
        <w:rPr>
          <w:rFonts w:ascii="Traditional Arabic" w:eastAsia="Traditional Arabic" w:hAnsi="Traditional Arabic" w:cs="Traditional Arabic"/>
          <w:highlight w:val="yellow"/>
          <w:rtl/>
        </w:rPr>
        <w:t>9. نموذج الدراسة</w:t>
      </w:r>
    </w:p>
    <w:p w14:paraId="22A2C88A" w14:textId="77777777" w:rsidR="005C7750" w:rsidRDefault="00000000" w:rsidP="00F22C8D">
      <w:pPr>
        <w:spacing w:after="120" w:line="360" w:lineRule="auto"/>
      </w:pPr>
      <w:r>
        <w:rPr>
          <w:rtl/>
        </w:rPr>
        <w:t>يقوم نموذج الدراسة على ثلاثة متغيرات رئيسة: ممارسات حوكمة المشتريات الحكومية كمتغير مستقل، وإدارة مخاطر تعارض المصالح كمتغير وسيط، وكفاءة الإنفاق كمتغير تابع. ويبين الجدول الآتي أبعاد كل متغير:</w:t>
      </w:r>
    </w:p>
    <w:tbl>
      <w:tblPr>
        <w:tblStyle w:val="afa"/>
        <w:bidiVisual/>
        <w:tblW w:w="0" w:type="auto"/>
        <w:jc w:val="center"/>
        <w:tblLook w:val="04A0" w:firstRow="1" w:lastRow="0" w:firstColumn="1" w:lastColumn="0" w:noHBand="0" w:noVBand="1"/>
      </w:tblPr>
      <w:tblGrid>
        <w:gridCol w:w="2735"/>
        <w:gridCol w:w="1649"/>
        <w:gridCol w:w="4904"/>
      </w:tblGrid>
      <w:tr w:rsidR="005C7750" w14:paraId="09228AF3" w14:textId="77777777">
        <w:trPr>
          <w:jc w:val="center"/>
        </w:trPr>
        <w:tc>
          <w:tcPr>
            <w:tcW w:w="2835" w:type="dxa"/>
            <w:shd w:val="clear" w:color="auto" w:fill="D9EAF7"/>
            <w:vAlign w:val="center"/>
          </w:tcPr>
          <w:p w14:paraId="59F42CD3" w14:textId="77777777" w:rsidR="005C7750" w:rsidRDefault="00000000" w:rsidP="00F22C8D">
            <w:pPr>
              <w:spacing w:after="120" w:line="360" w:lineRule="auto"/>
            </w:pPr>
            <w:r>
              <w:rPr>
                <w:b/>
                <w:rtl/>
              </w:rPr>
              <w:t>المتغير</w:t>
            </w:r>
          </w:p>
        </w:tc>
        <w:tc>
          <w:tcPr>
            <w:tcW w:w="1701" w:type="dxa"/>
            <w:shd w:val="clear" w:color="auto" w:fill="D9EAF7"/>
            <w:vAlign w:val="center"/>
          </w:tcPr>
          <w:p w14:paraId="07687A90" w14:textId="77777777" w:rsidR="005C7750" w:rsidRDefault="00000000" w:rsidP="00F22C8D">
            <w:pPr>
              <w:spacing w:after="120" w:line="360" w:lineRule="auto"/>
            </w:pPr>
            <w:r>
              <w:rPr>
                <w:b/>
                <w:rtl/>
              </w:rPr>
              <w:t>نوع المتغير</w:t>
            </w:r>
          </w:p>
        </w:tc>
        <w:tc>
          <w:tcPr>
            <w:tcW w:w="5102" w:type="dxa"/>
            <w:shd w:val="clear" w:color="auto" w:fill="D9EAF7"/>
            <w:vAlign w:val="center"/>
          </w:tcPr>
          <w:p w14:paraId="4E32ACF8" w14:textId="77777777" w:rsidR="005C7750" w:rsidRDefault="00000000" w:rsidP="00F22C8D">
            <w:pPr>
              <w:spacing w:after="120" w:line="360" w:lineRule="auto"/>
            </w:pPr>
            <w:r>
              <w:rPr>
                <w:b/>
                <w:rtl/>
              </w:rPr>
              <w:t>الأبعاد</w:t>
            </w:r>
          </w:p>
        </w:tc>
      </w:tr>
      <w:tr w:rsidR="005C7750" w14:paraId="22B39523" w14:textId="77777777">
        <w:trPr>
          <w:jc w:val="center"/>
        </w:trPr>
        <w:tc>
          <w:tcPr>
            <w:tcW w:w="2835" w:type="dxa"/>
            <w:shd w:val="clear" w:color="auto" w:fill="FFF2CC"/>
          </w:tcPr>
          <w:p w14:paraId="0D39527D" w14:textId="77777777" w:rsidR="005C7750" w:rsidRDefault="00000000" w:rsidP="00F22C8D">
            <w:pPr>
              <w:spacing w:after="120" w:line="360" w:lineRule="auto"/>
            </w:pPr>
            <w:r>
              <w:rPr>
                <w:sz w:val="22"/>
                <w:rtl/>
              </w:rPr>
              <w:t>ممارسات حوكمة المشتريات الحكومية</w:t>
            </w:r>
          </w:p>
        </w:tc>
        <w:tc>
          <w:tcPr>
            <w:tcW w:w="1701" w:type="dxa"/>
            <w:shd w:val="clear" w:color="auto" w:fill="FFF2CC"/>
          </w:tcPr>
          <w:p w14:paraId="6B1E4074" w14:textId="77777777" w:rsidR="005C7750" w:rsidRDefault="00000000" w:rsidP="00F22C8D">
            <w:pPr>
              <w:spacing w:after="120" w:line="360" w:lineRule="auto"/>
            </w:pPr>
            <w:r>
              <w:rPr>
                <w:sz w:val="22"/>
                <w:rtl/>
              </w:rPr>
              <w:t>مستقل</w:t>
            </w:r>
          </w:p>
        </w:tc>
        <w:tc>
          <w:tcPr>
            <w:tcW w:w="5102" w:type="dxa"/>
            <w:shd w:val="clear" w:color="auto" w:fill="FFF2CC"/>
          </w:tcPr>
          <w:p w14:paraId="029B8114" w14:textId="77777777" w:rsidR="005C7750" w:rsidRDefault="00000000" w:rsidP="00F22C8D">
            <w:pPr>
              <w:spacing w:after="120" w:line="360" w:lineRule="auto"/>
            </w:pPr>
            <w:r>
              <w:rPr>
                <w:sz w:val="22"/>
                <w:rtl/>
              </w:rPr>
              <w:t>الشفافية، المساءلة، الامتثال النظامي، فصل المهام وتحديد الصلاحيات، الرقابة الداخلية، التخطيط والإعداد للمشتريات، نضج المشتريات الرقمية</w:t>
            </w:r>
          </w:p>
        </w:tc>
      </w:tr>
      <w:tr w:rsidR="005C7750" w14:paraId="762FA9D0" w14:textId="77777777">
        <w:trPr>
          <w:jc w:val="center"/>
        </w:trPr>
        <w:tc>
          <w:tcPr>
            <w:tcW w:w="2835" w:type="dxa"/>
            <w:shd w:val="clear" w:color="auto" w:fill="FFF2CC"/>
          </w:tcPr>
          <w:p w14:paraId="5E6D3462" w14:textId="77777777" w:rsidR="005C7750" w:rsidRDefault="00000000" w:rsidP="00F22C8D">
            <w:pPr>
              <w:spacing w:after="120" w:line="360" w:lineRule="auto"/>
            </w:pPr>
            <w:r>
              <w:rPr>
                <w:sz w:val="22"/>
                <w:rtl/>
              </w:rPr>
              <w:t>إدارة مخاطر تعارض المصالح</w:t>
            </w:r>
          </w:p>
        </w:tc>
        <w:tc>
          <w:tcPr>
            <w:tcW w:w="1701" w:type="dxa"/>
            <w:shd w:val="clear" w:color="auto" w:fill="FFF2CC"/>
          </w:tcPr>
          <w:p w14:paraId="1E7F8E30" w14:textId="77777777" w:rsidR="005C7750" w:rsidRDefault="00000000" w:rsidP="00F22C8D">
            <w:pPr>
              <w:spacing w:after="120" w:line="360" w:lineRule="auto"/>
            </w:pPr>
            <w:r>
              <w:rPr>
                <w:sz w:val="22"/>
                <w:rtl/>
              </w:rPr>
              <w:t>وسيط</w:t>
            </w:r>
          </w:p>
        </w:tc>
        <w:tc>
          <w:tcPr>
            <w:tcW w:w="5102" w:type="dxa"/>
            <w:shd w:val="clear" w:color="auto" w:fill="FFF2CC"/>
          </w:tcPr>
          <w:p w14:paraId="1E7E8136" w14:textId="77777777" w:rsidR="005C7750" w:rsidRDefault="00000000" w:rsidP="00F22C8D">
            <w:pPr>
              <w:spacing w:after="120" w:line="360" w:lineRule="auto"/>
            </w:pPr>
            <w:r>
              <w:rPr>
                <w:sz w:val="22"/>
                <w:rtl/>
              </w:rPr>
              <w:t>الإفصاح، الوقاية، الاكتشاف، المعالجة، التوثيق والمساءلة</w:t>
            </w:r>
          </w:p>
        </w:tc>
      </w:tr>
      <w:tr w:rsidR="005C7750" w14:paraId="1F97F5AC" w14:textId="77777777">
        <w:trPr>
          <w:jc w:val="center"/>
        </w:trPr>
        <w:tc>
          <w:tcPr>
            <w:tcW w:w="2835" w:type="dxa"/>
            <w:shd w:val="clear" w:color="auto" w:fill="FFF2CC"/>
          </w:tcPr>
          <w:p w14:paraId="1D928F6B" w14:textId="77777777" w:rsidR="005C7750" w:rsidRDefault="00000000" w:rsidP="00F22C8D">
            <w:pPr>
              <w:spacing w:after="120" w:line="360" w:lineRule="auto"/>
            </w:pPr>
            <w:r>
              <w:rPr>
                <w:sz w:val="22"/>
                <w:rtl/>
              </w:rPr>
              <w:t>كفاءة الإنفاق</w:t>
            </w:r>
          </w:p>
        </w:tc>
        <w:tc>
          <w:tcPr>
            <w:tcW w:w="1701" w:type="dxa"/>
            <w:shd w:val="clear" w:color="auto" w:fill="FFF2CC"/>
          </w:tcPr>
          <w:p w14:paraId="1A94C348" w14:textId="77777777" w:rsidR="005C7750" w:rsidRDefault="00000000" w:rsidP="00F22C8D">
            <w:pPr>
              <w:spacing w:after="120" w:line="360" w:lineRule="auto"/>
            </w:pPr>
            <w:r>
              <w:rPr>
                <w:sz w:val="22"/>
                <w:rtl/>
              </w:rPr>
              <w:t>تابع</w:t>
            </w:r>
          </w:p>
        </w:tc>
        <w:tc>
          <w:tcPr>
            <w:tcW w:w="5102" w:type="dxa"/>
            <w:shd w:val="clear" w:color="auto" w:fill="FFF2CC"/>
          </w:tcPr>
          <w:p w14:paraId="5814589A" w14:textId="77777777" w:rsidR="005C7750" w:rsidRDefault="00000000" w:rsidP="00F22C8D">
            <w:pPr>
              <w:spacing w:after="120" w:line="360" w:lineRule="auto"/>
            </w:pPr>
            <w:r>
              <w:rPr>
                <w:sz w:val="22"/>
                <w:rtl/>
              </w:rPr>
              <w:t>الكفاءة الفنية، كفاءة تخصيص الموارد، خفض الهدر، القيمة مقابل المال، المواءمة الاستراتيجية</w:t>
            </w:r>
          </w:p>
        </w:tc>
      </w:tr>
    </w:tbl>
    <w:p w14:paraId="23B88647" w14:textId="77777777" w:rsidR="005C7750" w:rsidRDefault="00000000" w:rsidP="00F22C8D">
      <w:pPr>
        <w:spacing w:after="240" w:line="360" w:lineRule="auto"/>
      </w:pPr>
      <w:r>
        <w:rPr>
          <w:b/>
          <w:sz w:val="22"/>
          <w:highlight w:val="yellow"/>
          <w:rtl/>
        </w:rPr>
        <w:t>جدول (2): ملخص متغيرات الدراسة وأبعادها</w:t>
      </w:r>
    </w:p>
    <w:tbl>
      <w:tblPr>
        <w:tblStyle w:val="afa"/>
        <w:bidiVisual/>
        <w:tblW w:w="0" w:type="auto"/>
        <w:jc w:val="center"/>
        <w:tblLook w:val="04A0" w:firstRow="1" w:lastRow="0" w:firstColumn="1" w:lastColumn="0" w:noHBand="0" w:noVBand="1"/>
      </w:tblPr>
      <w:tblGrid>
        <w:gridCol w:w="1814"/>
        <w:gridCol w:w="1814"/>
        <w:gridCol w:w="1814"/>
        <w:gridCol w:w="1814"/>
        <w:gridCol w:w="1814"/>
      </w:tblGrid>
      <w:tr w:rsidR="005C7750" w14:paraId="0FD00156" w14:textId="77777777">
        <w:trPr>
          <w:jc w:val="center"/>
        </w:trPr>
        <w:tc>
          <w:tcPr>
            <w:tcW w:w="1814" w:type="dxa"/>
            <w:shd w:val="clear" w:color="auto" w:fill="EAF4E2"/>
          </w:tcPr>
          <w:p w14:paraId="79040D82" w14:textId="77777777" w:rsidR="005C7750" w:rsidRDefault="00000000" w:rsidP="00F22C8D">
            <w:pPr>
              <w:spacing w:after="120" w:line="360" w:lineRule="auto"/>
            </w:pPr>
            <w:r>
              <w:rPr>
                <w:b/>
                <w:rtl/>
              </w:rPr>
              <w:t>كفاءة الإنفاق</w:t>
            </w:r>
            <w:r>
              <w:rPr>
                <w:b/>
                <w:rtl/>
              </w:rPr>
              <w:br/>
              <w:t>(متغير تابع)</w:t>
            </w:r>
          </w:p>
        </w:tc>
        <w:tc>
          <w:tcPr>
            <w:tcW w:w="1814" w:type="dxa"/>
            <w:shd w:val="clear" w:color="auto" w:fill="FFFFFF"/>
          </w:tcPr>
          <w:p w14:paraId="2B872B84" w14:textId="77777777" w:rsidR="005C7750" w:rsidRDefault="00000000" w:rsidP="00F22C8D">
            <w:pPr>
              <w:spacing w:after="120" w:line="360" w:lineRule="auto"/>
            </w:pPr>
            <w:r>
              <w:rPr>
                <w:b/>
                <w:rtl/>
              </w:rPr>
              <w:t>←</w:t>
            </w:r>
          </w:p>
        </w:tc>
        <w:tc>
          <w:tcPr>
            <w:tcW w:w="1814" w:type="dxa"/>
            <w:shd w:val="clear" w:color="auto" w:fill="EAF4E2"/>
          </w:tcPr>
          <w:p w14:paraId="7B9D2105" w14:textId="77777777" w:rsidR="005C7750" w:rsidRDefault="00000000" w:rsidP="00F22C8D">
            <w:pPr>
              <w:spacing w:after="120" w:line="360" w:lineRule="auto"/>
            </w:pPr>
            <w:r>
              <w:rPr>
                <w:b/>
                <w:rtl/>
              </w:rPr>
              <w:t>إدارة مخاطر تعارض المصالح</w:t>
            </w:r>
            <w:r>
              <w:rPr>
                <w:b/>
                <w:rtl/>
              </w:rPr>
              <w:br/>
              <w:t>(متغير وسيط)</w:t>
            </w:r>
          </w:p>
        </w:tc>
        <w:tc>
          <w:tcPr>
            <w:tcW w:w="1814" w:type="dxa"/>
            <w:shd w:val="clear" w:color="auto" w:fill="FFFFFF"/>
          </w:tcPr>
          <w:p w14:paraId="5608B440" w14:textId="77777777" w:rsidR="005C7750" w:rsidRDefault="00000000" w:rsidP="00F22C8D">
            <w:pPr>
              <w:spacing w:after="120" w:line="360" w:lineRule="auto"/>
            </w:pPr>
            <w:r>
              <w:rPr>
                <w:b/>
                <w:rtl/>
              </w:rPr>
              <w:t>←</w:t>
            </w:r>
          </w:p>
        </w:tc>
        <w:tc>
          <w:tcPr>
            <w:tcW w:w="1814" w:type="dxa"/>
            <w:shd w:val="clear" w:color="auto" w:fill="EAF4E2"/>
          </w:tcPr>
          <w:p w14:paraId="26F7E9C5" w14:textId="77777777" w:rsidR="005C7750" w:rsidRDefault="00000000" w:rsidP="00F22C8D">
            <w:pPr>
              <w:spacing w:after="120" w:line="360" w:lineRule="auto"/>
            </w:pPr>
            <w:r>
              <w:rPr>
                <w:b/>
                <w:rtl/>
              </w:rPr>
              <w:t>ممارسات حوكمة المشتريات الحكومية</w:t>
            </w:r>
            <w:r>
              <w:rPr>
                <w:b/>
                <w:rtl/>
              </w:rPr>
              <w:br/>
              <w:t>(متغير مستقل)</w:t>
            </w:r>
          </w:p>
        </w:tc>
      </w:tr>
    </w:tbl>
    <w:p w14:paraId="39D000C2" w14:textId="77777777" w:rsidR="005C7750" w:rsidRDefault="00000000" w:rsidP="00F22C8D">
      <w:pPr>
        <w:spacing w:after="240" w:line="360" w:lineRule="auto"/>
      </w:pPr>
      <w:r>
        <w:rPr>
          <w:b/>
          <w:sz w:val="22"/>
          <w:highlight w:val="yellow"/>
          <w:rtl/>
        </w:rPr>
        <w:t>شكل (1): نموذج الدراسة المقترح</w:t>
      </w:r>
    </w:p>
    <w:p w14:paraId="7BB9D502" w14:textId="77777777" w:rsidR="005C7750" w:rsidRDefault="00000000" w:rsidP="00F22C8D">
      <w:pPr>
        <w:spacing w:after="120" w:line="360" w:lineRule="auto"/>
      </w:pPr>
      <w:r>
        <w:rPr>
          <w:highlight w:val="yellow"/>
          <w:rtl/>
        </w:rPr>
        <w:t>يفترض النموذج أن حوكمة المشتريات تؤثر مباشرة في كفاءة الإنفاق، وتؤثر كذلك في إدارة مخاطر تعارض المصالح. كما يفترض أن إدارة مخاطر تعارض المصالح تؤثر في كفاءة الإنفاق وتتوسط العلاقة بين الحوكمة والكفاءة. وبذلك يختبر النموذج الأثر المباشر وغير المباشر، إضافة إلى الأثر التفاضلي لأبعاد الحوكمة.</w:t>
      </w:r>
    </w:p>
    <w:p w14:paraId="232DB952" w14:textId="77777777" w:rsidR="005C7750" w:rsidRDefault="00000000" w:rsidP="00F22C8D">
      <w:pPr>
        <w:pStyle w:val="1"/>
        <w:spacing w:before="0" w:after="160" w:line="360" w:lineRule="auto"/>
      </w:pPr>
      <w:r>
        <w:rPr>
          <w:rFonts w:ascii="Traditional Arabic" w:eastAsia="Traditional Arabic" w:hAnsi="Traditional Arabic" w:cs="Traditional Arabic"/>
          <w:rtl/>
        </w:rPr>
        <w:lastRenderedPageBreak/>
        <w:t>10. مصطلحات الدراسة وتعريفاتها الإجرائية</w:t>
      </w:r>
    </w:p>
    <w:tbl>
      <w:tblPr>
        <w:tblStyle w:val="afa"/>
        <w:bidiVisual/>
        <w:tblW w:w="0" w:type="auto"/>
        <w:jc w:val="center"/>
        <w:tblLook w:val="04A0" w:firstRow="1" w:lastRow="0" w:firstColumn="1" w:lastColumn="0" w:noHBand="0" w:noVBand="1"/>
      </w:tblPr>
      <w:tblGrid>
        <w:gridCol w:w="2192"/>
        <w:gridCol w:w="3277"/>
        <w:gridCol w:w="3819"/>
      </w:tblGrid>
      <w:tr w:rsidR="005C7750" w14:paraId="3126404B" w14:textId="77777777">
        <w:trPr>
          <w:jc w:val="center"/>
        </w:trPr>
        <w:tc>
          <w:tcPr>
            <w:tcW w:w="2268" w:type="dxa"/>
            <w:shd w:val="clear" w:color="auto" w:fill="D9EAF7"/>
            <w:vAlign w:val="center"/>
          </w:tcPr>
          <w:p w14:paraId="2C2B418D" w14:textId="77777777" w:rsidR="005C7750" w:rsidRDefault="00000000" w:rsidP="00F22C8D">
            <w:pPr>
              <w:spacing w:after="120" w:line="360" w:lineRule="auto"/>
            </w:pPr>
            <w:r>
              <w:rPr>
                <w:b/>
                <w:rtl/>
              </w:rPr>
              <w:t>المصطلح</w:t>
            </w:r>
          </w:p>
        </w:tc>
        <w:tc>
          <w:tcPr>
            <w:tcW w:w="3402" w:type="dxa"/>
            <w:shd w:val="clear" w:color="auto" w:fill="D9EAF7"/>
            <w:vAlign w:val="center"/>
          </w:tcPr>
          <w:p w14:paraId="127E91FF" w14:textId="77777777" w:rsidR="005C7750" w:rsidRDefault="00000000" w:rsidP="00F22C8D">
            <w:pPr>
              <w:spacing w:after="120" w:line="360" w:lineRule="auto"/>
            </w:pPr>
            <w:r>
              <w:rPr>
                <w:b/>
                <w:rtl/>
              </w:rPr>
              <w:t>التعريف المفاهيمي</w:t>
            </w:r>
          </w:p>
        </w:tc>
        <w:tc>
          <w:tcPr>
            <w:tcW w:w="3969" w:type="dxa"/>
            <w:shd w:val="clear" w:color="auto" w:fill="D9EAF7"/>
            <w:vAlign w:val="center"/>
          </w:tcPr>
          <w:p w14:paraId="1CB399F6" w14:textId="77777777" w:rsidR="005C7750" w:rsidRDefault="00000000" w:rsidP="00F22C8D">
            <w:pPr>
              <w:spacing w:after="120" w:line="360" w:lineRule="auto"/>
            </w:pPr>
            <w:r>
              <w:rPr>
                <w:b/>
                <w:rtl/>
              </w:rPr>
              <w:t>التعريف الإجرائي</w:t>
            </w:r>
          </w:p>
        </w:tc>
      </w:tr>
      <w:tr w:rsidR="005C7750" w14:paraId="247C154D" w14:textId="77777777">
        <w:trPr>
          <w:jc w:val="center"/>
        </w:trPr>
        <w:tc>
          <w:tcPr>
            <w:tcW w:w="2268" w:type="dxa"/>
          </w:tcPr>
          <w:p w14:paraId="237D537E" w14:textId="77777777" w:rsidR="005C7750" w:rsidRDefault="00000000" w:rsidP="00F22C8D">
            <w:pPr>
              <w:spacing w:after="120" w:line="360" w:lineRule="auto"/>
            </w:pPr>
            <w:r>
              <w:rPr>
                <w:sz w:val="22"/>
                <w:rtl/>
              </w:rPr>
              <w:t>حوكمة المشتريات الحكومية</w:t>
            </w:r>
          </w:p>
        </w:tc>
        <w:tc>
          <w:tcPr>
            <w:tcW w:w="3402" w:type="dxa"/>
          </w:tcPr>
          <w:p w14:paraId="19F8BEE0" w14:textId="77777777" w:rsidR="005C7750" w:rsidRDefault="00000000" w:rsidP="00F22C8D">
            <w:pPr>
              <w:spacing w:after="120" w:line="360" w:lineRule="auto"/>
            </w:pPr>
            <w:r>
              <w:rPr>
                <w:sz w:val="22"/>
                <w:rtl/>
              </w:rPr>
              <w:t>مجموعة السياسات والإجراءات والممارسات التي تضبط دورة المشتريات الحكومية بما يضمن الشفافية والمساءلة والامتثال وفصل الصلاحيات وعدالة المنافسة وموضوعية قرارات الترسية.</w:t>
            </w:r>
          </w:p>
        </w:tc>
        <w:tc>
          <w:tcPr>
            <w:tcW w:w="3969" w:type="dxa"/>
          </w:tcPr>
          <w:p w14:paraId="76BF5064" w14:textId="77777777" w:rsidR="005C7750" w:rsidRDefault="00000000" w:rsidP="00F22C8D">
            <w:pPr>
              <w:spacing w:after="120" w:line="360" w:lineRule="auto"/>
            </w:pPr>
            <w:r>
              <w:rPr>
                <w:sz w:val="22"/>
                <w:rtl/>
              </w:rPr>
              <w:t>درجة تطبيق الجهة الحكومية لأبعاد الشفافية، المساءلة، الامتثال، فصل المهام، الرقابة الداخلية، التخطيط، والمشتريات الرقمية كما تقاس باستبانة الدراسة.</w:t>
            </w:r>
          </w:p>
        </w:tc>
      </w:tr>
      <w:tr w:rsidR="005C7750" w14:paraId="6F27AFF9" w14:textId="77777777">
        <w:trPr>
          <w:jc w:val="center"/>
        </w:trPr>
        <w:tc>
          <w:tcPr>
            <w:tcW w:w="2268" w:type="dxa"/>
          </w:tcPr>
          <w:p w14:paraId="4749DFF2" w14:textId="77777777" w:rsidR="005C7750" w:rsidRDefault="00000000" w:rsidP="00F22C8D">
            <w:pPr>
              <w:spacing w:after="120" w:line="360" w:lineRule="auto"/>
            </w:pPr>
            <w:r>
              <w:rPr>
                <w:sz w:val="22"/>
                <w:rtl/>
              </w:rPr>
              <w:t>إدارة مخاطر تعارض المصالح</w:t>
            </w:r>
          </w:p>
        </w:tc>
        <w:tc>
          <w:tcPr>
            <w:tcW w:w="3402" w:type="dxa"/>
          </w:tcPr>
          <w:p w14:paraId="782130DC" w14:textId="77777777" w:rsidR="005C7750" w:rsidRDefault="00000000" w:rsidP="00F22C8D">
            <w:pPr>
              <w:spacing w:after="120" w:line="360" w:lineRule="auto"/>
            </w:pPr>
            <w:r>
              <w:rPr>
                <w:sz w:val="22"/>
                <w:rtl/>
              </w:rPr>
              <w:t>الإجراءات التي تتخذها الجهة الحكومية لتحديد حالات التعارض الفعلية أو المحتملة أو المتصورة والإفصاح عنها والحد من آثارها.</w:t>
            </w:r>
          </w:p>
        </w:tc>
        <w:tc>
          <w:tcPr>
            <w:tcW w:w="3969" w:type="dxa"/>
          </w:tcPr>
          <w:p w14:paraId="2C5C61FB" w14:textId="77777777" w:rsidR="005C7750" w:rsidRDefault="00000000" w:rsidP="00F22C8D">
            <w:pPr>
              <w:spacing w:after="120" w:line="360" w:lineRule="auto"/>
            </w:pPr>
            <w:r>
              <w:rPr>
                <w:sz w:val="22"/>
                <w:rtl/>
              </w:rPr>
              <w:t>درجة فاعلية الجهة في تطبيق الإفصاح والوقاية والاكتشاف والمعالجة والتوثيق والمساءلة بشأن تعارض المصالح.</w:t>
            </w:r>
          </w:p>
        </w:tc>
      </w:tr>
      <w:tr w:rsidR="005C7750" w14:paraId="06FF43AD" w14:textId="77777777">
        <w:trPr>
          <w:jc w:val="center"/>
        </w:trPr>
        <w:tc>
          <w:tcPr>
            <w:tcW w:w="2268" w:type="dxa"/>
          </w:tcPr>
          <w:p w14:paraId="6096E2D5" w14:textId="77777777" w:rsidR="005C7750" w:rsidRDefault="00000000" w:rsidP="00F22C8D">
            <w:pPr>
              <w:spacing w:after="120" w:line="360" w:lineRule="auto"/>
            </w:pPr>
            <w:r>
              <w:rPr>
                <w:sz w:val="22"/>
                <w:rtl/>
              </w:rPr>
              <w:t>كفاءة الإنفاق</w:t>
            </w:r>
          </w:p>
        </w:tc>
        <w:tc>
          <w:tcPr>
            <w:tcW w:w="3402" w:type="dxa"/>
          </w:tcPr>
          <w:p w14:paraId="1788FD7E" w14:textId="77777777" w:rsidR="005C7750" w:rsidRDefault="00000000" w:rsidP="00F22C8D">
            <w:pPr>
              <w:spacing w:after="120" w:line="360" w:lineRule="auto"/>
            </w:pPr>
            <w:r>
              <w:rPr>
                <w:sz w:val="22"/>
                <w:rtl/>
              </w:rPr>
              <w:t>تعظيم الأثر مقابل الصرف من خلال الاستخدام الأمثل للموارد ومعالجة الهدر دون التأثير على جودة الخدمة المقدمة.</w:t>
            </w:r>
          </w:p>
        </w:tc>
        <w:tc>
          <w:tcPr>
            <w:tcW w:w="3969" w:type="dxa"/>
          </w:tcPr>
          <w:p w14:paraId="7D7184C4" w14:textId="77777777" w:rsidR="005C7750" w:rsidRDefault="00000000" w:rsidP="00F22C8D">
            <w:pPr>
              <w:spacing w:after="120" w:line="360" w:lineRule="auto"/>
            </w:pPr>
            <w:r>
              <w:rPr>
                <w:sz w:val="22"/>
                <w:rtl/>
              </w:rPr>
              <w:t>قدرة الجهة على تحقيق أفضل أثر من الإنفاق على المشتريات والعقود من خلال الكفاءة الفنية، وكفاءة تخصيص الموارد، وخفض الهدر، والقيمة مقابل المال، والمواءمة الاستراتيجية.</w:t>
            </w:r>
          </w:p>
        </w:tc>
      </w:tr>
      <w:tr w:rsidR="005C7750" w14:paraId="05B1E352" w14:textId="77777777">
        <w:trPr>
          <w:jc w:val="center"/>
        </w:trPr>
        <w:tc>
          <w:tcPr>
            <w:tcW w:w="2268" w:type="dxa"/>
          </w:tcPr>
          <w:p w14:paraId="09D3E9B1" w14:textId="77777777" w:rsidR="005C7750" w:rsidRDefault="00000000" w:rsidP="00F22C8D">
            <w:pPr>
              <w:spacing w:after="120" w:line="360" w:lineRule="auto"/>
            </w:pPr>
            <w:r>
              <w:rPr>
                <w:sz w:val="22"/>
                <w:rtl/>
              </w:rPr>
              <w:t>تعارض المصالح</w:t>
            </w:r>
          </w:p>
        </w:tc>
        <w:tc>
          <w:tcPr>
            <w:tcW w:w="3402" w:type="dxa"/>
          </w:tcPr>
          <w:p w14:paraId="21B8D45D" w14:textId="77777777" w:rsidR="005C7750" w:rsidRDefault="00000000" w:rsidP="00F22C8D">
            <w:pPr>
              <w:spacing w:after="120" w:line="360" w:lineRule="auto"/>
            </w:pPr>
            <w:r>
              <w:rPr>
                <w:sz w:val="22"/>
                <w:rtl/>
              </w:rPr>
              <w:t>وجود مصلحة شخصية مباشرة أو غير مباشرة قد تؤثر أو يُتصور أنها تؤثر في حياد وموضوعية من يشارك في دورة المشتريات.</w:t>
            </w:r>
          </w:p>
        </w:tc>
        <w:tc>
          <w:tcPr>
            <w:tcW w:w="3969" w:type="dxa"/>
          </w:tcPr>
          <w:p w14:paraId="4AB7BBF1" w14:textId="77777777" w:rsidR="005C7750" w:rsidRDefault="00000000" w:rsidP="00F22C8D">
            <w:pPr>
              <w:spacing w:after="120" w:line="360" w:lineRule="auto"/>
            </w:pPr>
            <w:r>
              <w:rPr>
                <w:sz w:val="22"/>
                <w:rtl/>
              </w:rPr>
              <w:t>مدى وجود أو احتمال وجود مصالح تؤثر في حياد المشاركين في المشتريات كما تظهر في مؤشرات الإفصاح والوقاية والاكتشاف والمعالجة والتوثيق.</w:t>
            </w:r>
          </w:p>
        </w:tc>
      </w:tr>
    </w:tbl>
    <w:p w14:paraId="146A814E" w14:textId="77777777" w:rsidR="005C7750" w:rsidRDefault="00000000" w:rsidP="00F22C8D">
      <w:pPr>
        <w:pStyle w:val="1"/>
        <w:spacing w:before="0" w:after="160" w:line="360" w:lineRule="auto"/>
      </w:pPr>
      <w:r>
        <w:rPr>
          <w:rFonts w:ascii="Traditional Arabic" w:eastAsia="Traditional Arabic" w:hAnsi="Traditional Arabic" w:cs="Traditional Arabic"/>
          <w:highlight w:val="yellow"/>
          <w:rtl/>
        </w:rPr>
        <w:t>11. إجراءات الدراسة</w:t>
      </w:r>
    </w:p>
    <w:p w14:paraId="54EF4FDF" w14:textId="77777777" w:rsidR="005C7750" w:rsidRDefault="00000000" w:rsidP="00F22C8D">
      <w:pPr>
        <w:spacing w:after="120" w:line="360" w:lineRule="auto"/>
        <w:ind w:left="170"/>
      </w:pPr>
      <w:r>
        <w:rPr>
          <w:highlight w:val="yellow"/>
          <w:rtl/>
        </w:rPr>
        <w:t>1. مراجعة الأدبيات العربية والأجنبية ذات العلاقة بحوكمة المشتريات الحكومية، كفاءة الإنفاق، تعارض المصالح، نظرية الوكالة، ونظرية أصحاب المصلحة.</w:t>
      </w:r>
    </w:p>
    <w:p w14:paraId="7BD8033D" w14:textId="77777777" w:rsidR="005C7750" w:rsidRDefault="00000000" w:rsidP="00F22C8D">
      <w:pPr>
        <w:spacing w:after="120" w:line="360" w:lineRule="auto"/>
        <w:ind w:left="170"/>
      </w:pPr>
      <w:r>
        <w:rPr>
          <w:rtl/>
        </w:rPr>
        <w:t>2. تحليل الوثائق الرسمية ذات العلاقة، ومنها نظام المنافسات والمشتريات الحكومية، لائحة تنظيم تعارض المصالح، وثائق هيئة كفاءة الإنفاق والمشروعات الحكومية، وبيانات وزارة المالية.</w:t>
      </w:r>
    </w:p>
    <w:p w14:paraId="29012436" w14:textId="77777777" w:rsidR="005C7750" w:rsidRDefault="00000000" w:rsidP="00F22C8D">
      <w:pPr>
        <w:spacing w:after="120" w:line="360" w:lineRule="auto"/>
        <w:ind w:left="170"/>
      </w:pPr>
      <w:r>
        <w:rPr>
          <w:rtl/>
        </w:rPr>
        <w:t>3. بناء النموذج المفاهيمي وتحديد أبعاد المتغيرات وفق الأدبيات والمصادر النظامية والتطبيقية.</w:t>
      </w:r>
    </w:p>
    <w:p w14:paraId="2BD6F892" w14:textId="77777777" w:rsidR="005C7750" w:rsidRDefault="00000000" w:rsidP="00F22C8D">
      <w:pPr>
        <w:spacing w:after="120" w:line="360" w:lineRule="auto"/>
        <w:ind w:left="170"/>
      </w:pPr>
      <w:r>
        <w:rPr>
          <w:rtl/>
        </w:rPr>
        <w:t>4. تصميم أداة الدراسة في صورة استبانة وفق مقياس ليكرت الخماسي، مع ربط كل محور بأبعاد المتغيرات.</w:t>
      </w:r>
    </w:p>
    <w:p w14:paraId="710AC16B" w14:textId="77777777" w:rsidR="005C7750" w:rsidRDefault="00000000" w:rsidP="00F22C8D">
      <w:pPr>
        <w:spacing w:after="120" w:line="360" w:lineRule="auto"/>
        <w:ind w:left="170"/>
      </w:pPr>
      <w:r>
        <w:rPr>
          <w:rtl/>
        </w:rPr>
        <w:t>5. عرض الاستبانة على محكمين أكاديميين ومهنيين متخصصين في الإدارة والمشتريات الحكومية والحوكمة للتحقق من الصدق الظاهري والمحتوائي.</w:t>
      </w:r>
    </w:p>
    <w:p w14:paraId="44AB118B" w14:textId="77777777" w:rsidR="005C7750" w:rsidRDefault="00000000" w:rsidP="00F22C8D">
      <w:pPr>
        <w:spacing w:after="120" w:line="360" w:lineRule="auto"/>
        <w:ind w:left="170"/>
      </w:pPr>
      <w:r>
        <w:rPr>
          <w:rtl/>
        </w:rPr>
        <w:t>6. تنفيذ دراسة استطلاعية على عينة محدودة لاختبار وضوح الفقرات وثبات الأداة.</w:t>
      </w:r>
    </w:p>
    <w:p w14:paraId="71CCDC15" w14:textId="77777777" w:rsidR="005C7750" w:rsidRDefault="00000000" w:rsidP="00F22C8D">
      <w:pPr>
        <w:spacing w:after="120" w:line="360" w:lineRule="auto"/>
        <w:ind w:left="170"/>
      </w:pPr>
      <w:r>
        <w:rPr>
          <w:rtl/>
        </w:rPr>
        <w:t>7. جمع البيانات من العينة الأساسية، وتنظيفها، ومعالجتها، ثم إجراء التحليلات الإحصائية لاختبار الفرضيات.</w:t>
      </w:r>
    </w:p>
    <w:p w14:paraId="5B24029F" w14:textId="77777777" w:rsidR="005C7750" w:rsidRDefault="00000000" w:rsidP="00F22C8D">
      <w:pPr>
        <w:spacing w:after="120" w:line="360" w:lineRule="auto"/>
        <w:ind w:left="170"/>
      </w:pPr>
      <w:r>
        <w:rPr>
          <w:highlight w:val="yellow"/>
          <w:rtl/>
        </w:rPr>
        <w:lastRenderedPageBreak/>
        <w:t>8. إجراء مقابلات معمقة محدودة مع عدد من القيادات أو الخبراء في المشتريات الحكومية لدعم تفسير النتائج الكمية، دون أن تتحول الدراسة إلى منهج نوعي كامل.</w:t>
      </w:r>
    </w:p>
    <w:p w14:paraId="0F85644F" w14:textId="77777777" w:rsidR="005C7750" w:rsidRDefault="00000000" w:rsidP="00F22C8D">
      <w:pPr>
        <w:spacing w:after="120" w:line="360" w:lineRule="auto"/>
        <w:ind w:left="170"/>
      </w:pPr>
      <w:r>
        <w:rPr>
          <w:rtl/>
        </w:rPr>
        <w:t>9. تفسير النتائج في ضوء الإطار النظري والدراسات السابقة والواقع التنظيمي السعودي.</w:t>
      </w:r>
    </w:p>
    <w:p w14:paraId="0B65D650" w14:textId="77777777" w:rsidR="005C7750" w:rsidRDefault="00000000" w:rsidP="00F22C8D">
      <w:pPr>
        <w:pStyle w:val="1"/>
        <w:spacing w:before="0" w:after="160" w:line="360" w:lineRule="auto"/>
      </w:pPr>
      <w:r>
        <w:rPr>
          <w:rFonts w:ascii="Traditional Arabic" w:eastAsia="Traditional Arabic" w:hAnsi="Traditional Arabic" w:cs="Traditional Arabic"/>
          <w:highlight w:val="yellow"/>
          <w:rtl/>
        </w:rPr>
        <w:t>12. منهج الدراسة</w:t>
      </w:r>
    </w:p>
    <w:p w14:paraId="5CDB6399" w14:textId="77777777" w:rsidR="005C7750" w:rsidRDefault="00000000" w:rsidP="00F22C8D">
      <w:pPr>
        <w:spacing w:after="120" w:line="360" w:lineRule="auto"/>
      </w:pPr>
      <w:r>
        <w:rPr>
          <w:highlight w:val="yellow"/>
          <w:rtl/>
        </w:rPr>
        <w:t>تعتمد الدراسة على المنهج الوصفي التحليلي بأسلوب كمي، لأنه الأنسب لقياس مستويات تطبيق ممارسات الحوكمة وإدارة مخاطر تعارض المصالح وكفاءة الإنفاق، واختبار العلاقات المباشرة وغير المباشرة بين المتغيرات. كما ستدعم الدراسة الكمية بمراجعة وثائقية ومقابلات معمقة محدودة لتفسير النتائج وتدعيم الجانب التطبيقي.</w:t>
      </w:r>
    </w:p>
    <w:p w14:paraId="6788C8AF" w14:textId="77777777" w:rsidR="005C7750" w:rsidRDefault="00000000" w:rsidP="00F22C8D">
      <w:pPr>
        <w:spacing w:after="120" w:line="360" w:lineRule="auto"/>
      </w:pPr>
      <w:r>
        <w:rPr>
          <w:highlight w:val="yellow"/>
          <w:rtl/>
        </w:rPr>
        <w:t>سيتم توظيف نمذجة المعادلات الهيكلية أو تحليل المسار لاختبار النموذج البنائي، وبخاصة دور إدارة مخاطر تعارض المصالح كمتغير وسيط. ويعد هذا الأسلوب مناسبًا بالنظر إلى تعدد أبعاد المتغيرات والحاجة إلى اختبار العلاقات المركبة بينها.</w:t>
      </w:r>
    </w:p>
    <w:p w14:paraId="0587D531" w14:textId="77777777" w:rsidR="005C7750" w:rsidRDefault="00000000" w:rsidP="00F22C8D">
      <w:pPr>
        <w:pStyle w:val="1"/>
        <w:spacing w:before="0" w:after="160" w:line="360" w:lineRule="auto"/>
      </w:pPr>
      <w:r>
        <w:rPr>
          <w:rFonts w:ascii="Traditional Arabic" w:eastAsia="Traditional Arabic" w:hAnsi="Traditional Arabic" w:cs="Traditional Arabic"/>
          <w:highlight w:val="yellow"/>
          <w:rtl/>
        </w:rPr>
        <w:t>13. مجتمع وعينة الدراسة</w:t>
      </w:r>
    </w:p>
    <w:p w14:paraId="470A76B1" w14:textId="77777777" w:rsidR="005C7750" w:rsidRDefault="00000000" w:rsidP="00F22C8D">
      <w:pPr>
        <w:pStyle w:val="21"/>
        <w:spacing w:before="0" w:after="160" w:line="360" w:lineRule="auto"/>
      </w:pPr>
      <w:r>
        <w:rPr>
          <w:rFonts w:ascii="Traditional Arabic" w:eastAsia="Traditional Arabic" w:hAnsi="Traditional Arabic" w:cs="Traditional Arabic"/>
          <w:highlight w:val="yellow"/>
          <w:rtl/>
        </w:rPr>
        <w:t>13.1 مجتمع الدراسة</w:t>
      </w:r>
    </w:p>
    <w:p w14:paraId="77783F7C" w14:textId="77777777" w:rsidR="005C7750" w:rsidRDefault="00000000" w:rsidP="00F22C8D">
      <w:pPr>
        <w:spacing w:after="120" w:line="360" w:lineRule="auto"/>
      </w:pPr>
      <w:r>
        <w:rPr>
          <w:highlight w:val="yellow"/>
          <w:rtl/>
        </w:rPr>
        <w:t>يتكون مجتمع الدراسة من العاملين والمختصين في مجال المشتريات والعقود الحكومية في المملكة العربية السعودية، ممن لهم علاقة مباشرة أو غير مباشرة بدورة المشتريات الحكومية، ويشمل ذلك موظفي إدارات المشتريات والعقود، أعضاء لجان فتح وفحص العروض، المختصين بإعداد كراسات الشروط والمواصفات، مديري العقود والمشاريع الحكومية، ومختصي الحوكمة والامتثال والمراجعة الداخلية وكفاءة الإنفاق.</w:t>
      </w:r>
    </w:p>
    <w:p w14:paraId="5B287A6C" w14:textId="77777777" w:rsidR="005C7750" w:rsidRDefault="00000000" w:rsidP="00F22C8D">
      <w:pPr>
        <w:pStyle w:val="21"/>
        <w:spacing w:before="0" w:after="160" w:line="360" w:lineRule="auto"/>
      </w:pPr>
      <w:r>
        <w:rPr>
          <w:rFonts w:ascii="Traditional Arabic" w:eastAsia="Traditional Arabic" w:hAnsi="Traditional Arabic" w:cs="Traditional Arabic"/>
          <w:highlight w:val="yellow"/>
          <w:rtl/>
        </w:rPr>
        <w:t>13.2 عينة الدراسة وأساس التقسيم الطبقي</w:t>
      </w:r>
    </w:p>
    <w:p w14:paraId="3AED5D2C" w14:textId="77777777" w:rsidR="005C7750" w:rsidRDefault="00000000" w:rsidP="00F22C8D">
      <w:pPr>
        <w:spacing w:after="120" w:line="360" w:lineRule="auto"/>
      </w:pPr>
      <w:r>
        <w:rPr>
          <w:highlight w:val="yellow"/>
          <w:rtl/>
        </w:rPr>
        <w:t>تقترح الدراسة استخدام عينة قصدية طبقية، بحيث يتم تقسيم العينة وفقًا لأنواع الجهات الحكومية (وزارات، هيئات، مؤسسات عامة)، وحجم الجهة (كبيرة، متوسطة، صغيرة)، مع مراعاة توزيع المستويات الوظيفية داخل كل جهة (إدارة عليا، إدارة وسطى، مستوى تنفيذي)، وتنوع أدوار المشاركين في دورة المشتريات.</w:t>
      </w:r>
    </w:p>
    <w:tbl>
      <w:tblPr>
        <w:tblStyle w:val="afa"/>
        <w:bidiVisual/>
        <w:tblW w:w="0" w:type="auto"/>
        <w:jc w:val="center"/>
        <w:tblLook w:val="04A0" w:firstRow="1" w:lastRow="0" w:firstColumn="1" w:lastColumn="0" w:noHBand="0" w:noVBand="1"/>
      </w:tblPr>
      <w:tblGrid>
        <w:gridCol w:w="2745"/>
        <w:gridCol w:w="6543"/>
      </w:tblGrid>
      <w:tr w:rsidR="005C7750" w14:paraId="3CF8A0A6" w14:textId="77777777">
        <w:trPr>
          <w:jc w:val="center"/>
        </w:trPr>
        <w:tc>
          <w:tcPr>
            <w:tcW w:w="2835" w:type="dxa"/>
            <w:shd w:val="clear" w:color="auto" w:fill="D9EAF7"/>
            <w:vAlign w:val="center"/>
          </w:tcPr>
          <w:p w14:paraId="3F1C35F4" w14:textId="77777777" w:rsidR="005C7750" w:rsidRDefault="00000000" w:rsidP="00F22C8D">
            <w:pPr>
              <w:spacing w:after="120" w:line="360" w:lineRule="auto"/>
            </w:pPr>
            <w:r>
              <w:rPr>
                <w:b/>
                <w:rtl/>
              </w:rPr>
              <w:t>البند</w:t>
            </w:r>
          </w:p>
        </w:tc>
        <w:tc>
          <w:tcPr>
            <w:tcW w:w="6803" w:type="dxa"/>
            <w:shd w:val="clear" w:color="auto" w:fill="D9EAF7"/>
            <w:vAlign w:val="center"/>
          </w:tcPr>
          <w:p w14:paraId="384EAABB" w14:textId="77777777" w:rsidR="005C7750" w:rsidRDefault="00000000" w:rsidP="00F22C8D">
            <w:pPr>
              <w:spacing w:after="120" w:line="360" w:lineRule="auto"/>
            </w:pPr>
            <w:r>
              <w:rPr>
                <w:b/>
                <w:rtl/>
              </w:rPr>
              <w:t>التفصيل</w:t>
            </w:r>
          </w:p>
        </w:tc>
      </w:tr>
      <w:tr w:rsidR="005C7750" w14:paraId="3224616D" w14:textId="77777777">
        <w:trPr>
          <w:jc w:val="center"/>
        </w:trPr>
        <w:tc>
          <w:tcPr>
            <w:tcW w:w="2835" w:type="dxa"/>
            <w:shd w:val="clear" w:color="auto" w:fill="FFF2CC"/>
          </w:tcPr>
          <w:p w14:paraId="2937DC8B" w14:textId="77777777" w:rsidR="005C7750" w:rsidRDefault="00000000" w:rsidP="00F22C8D">
            <w:pPr>
              <w:spacing w:after="120" w:line="360" w:lineRule="auto"/>
            </w:pPr>
            <w:r>
              <w:rPr>
                <w:sz w:val="22"/>
                <w:rtl/>
              </w:rPr>
              <w:t>أساس التقسيم الطبقي</w:t>
            </w:r>
          </w:p>
        </w:tc>
        <w:tc>
          <w:tcPr>
            <w:tcW w:w="6803" w:type="dxa"/>
            <w:shd w:val="clear" w:color="auto" w:fill="FFF2CC"/>
          </w:tcPr>
          <w:p w14:paraId="5F148AF9" w14:textId="77777777" w:rsidR="005C7750" w:rsidRDefault="00000000" w:rsidP="00F22C8D">
            <w:pPr>
              <w:spacing w:after="120" w:line="360" w:lineRule="auto"/>
            </w:pPr>
            <w:r>
              <w:rPr>
                <w:sz w:val="22"/>
                <w:rtl/>
              </w:rPr>
              <w:t>وزارات، هيئات، مؤسسات عامة، مع مراعاة حجم الجهة وطبيعة نشاطها.</w:t>
            </w:r>
          </w:p>
        </w:tc>
      </w:tr>
      <w:tr w:rsidR="005C7750" w14:paraId="41327244" w14:textId="77777777">
        <w:trPr>
          <w:jc w:val="center"/>
        </w:trPr>
        <w:tc>
          <w:tcPr>
            <w:tcW w:w="2835" w:type="dxa"/>
            <w:shd w:val="clear" w:color="auto" w:fill="FFF2CC"/>
          </w:tcPr>
          <w:p w14:paraId="38BA6CD0" w14:textId="77777777" w:rsidR="005C7750" w:rsidRDefault="00000000" w:rsidP="00F22C8D">
            <w:pPr>
              <w:spacing w:after="120" w:line="360" w:lineRule="auto"/>
            </w:pPr>
            <w:r>
              <w:rPr>
                <w:sz w:val="22"/>
                <w:rtl/>
              </w:rPr>
              <w:t>المستويات الوظيفية</w:t>
            </w:r>
          </w:p>
        </w:tc>
        <w:tc>
          <w:tcPr>
            <w:tcW w:w="6803" w:type="dxa"/>
            <w:shd w:val="clear" w:color="auto" w:fill="FFF2CC"/>
          </w:tcPr>
          <w:p w14:paraId="62ED35B6" w14:textId="77777777" w:rsidR="005C7750" w:rsidRDefault="00000000" w:rsidP="00F22C8D">
            <w:pPr>
              <w:spacing w:after="120" w:line="360" w:lineRule="auto"/>
            </w:pPr>
            <w:r>
              <w:rPr>
                <w:sz w:val="22"/>
                <w:rtl/>
              </w:rPr>
              <w:t>إدارة عليا، إدارة وسطى، موظفون تنفيذيون، أعضاء لجان.</w:t>
            </w:r>
          </w:p>
        </w:tc>
      </w:tr>
      <w:tr w:rsidR="005C7750" w14:paraId="57B3E739" w14:textId="77777777">
        <w:trPr>
          <w:jc w:val="center"/>
        </w:trPr>
        <w:tc>
          <w:tcPr>
            <w:tcW w:w="2835" w:type="dxa"/>
            <w:shd w:val="clear" w:color="auto" w:fill="FFF2CC"/>
          </w:tcPr>
          <w:p w14:paraId="47566ACD" w14:textId="77777777" w:rsidR="005C7750" w:rsidRDefault="00000000" w:rsidP="00F22C8D">
            <w:pPr>
              <w:spacing w:after="120" w:line="360" w:lineRule="auto"/>
            </w:pPr>
            <w:r>
              <w:rPr>
                <w:sz w:val="22"/>
                <w:rtl/>
              </w:rPr>
              <w:t>معايير الشمول</w:t>
            </w:r>
          </w:p>
        </w:tc>
        <w:tc>
          <w:tcPr>
            <w:tcW w:w="6803" w:type="dxa"/>
            <w:shd w:val="clear" w:color="auto" w:fill="FFF2CC"/>
          </w:tcPr>
          <w:p w14:paraId="594C1AFB" w14:textId="77777777" w:rsidR="005C7750" w:rsidRDefault="00000000" w:rsidP="00F22C8D">
            <w:pPr>
              <w:spacing w:after="120" w:line="360" w:lineRule="auto"/>
            </w:pPr>
            <w:r>
              <w:rPr>
                <w:sz w:val="22"/>
                <w:rtl/>
              </w:rPr>
              <w:t>خبرة أو مشاركة مباشرة في أعمال المشتريات أو العقود أو اللجان أو الحوكمة أو كفاءة الإنفاق، وخبرة لا تقل عن سنة واحدة في المجال.</w:t>
            </w:r>
          </w:p>
        </w:tc>
      </w:tr>
      <w:tr w:rsidR="005C7750" w14:paraId="2387F3DA" w14:textId="77777777">
        <w:trPr>
          <w:jc w:val="center"/>
        </w:trPr>
        <w:tc>
          <w:tcPr>
            <w:tcW w:w="2835" w:type="dxa"/>
            <w:shd w:val="clear" w:color="auto" w:fill="FFF2CC"/>
          </w:tcPr>
          <w:p w14:paraId="2BBA5FF5" w14:textId="77777777" w:rsidR="005C7750" w:rsidRDefault="00000000" w:rsidP="00F22C8D">
            <w:pPr>
              <w:spacing w:after="120" w:line="360" w:lineRule="auto"/>
            </w:pPr>
            <w:r>
              <w:rPr>
                <w:sz w:val="22"/>
                <w:rtl/>
              </w:rPr>
              <w:t>معايير الاستبعاد</w:t>
            </w:r>
          </w:p>
        </w:tc>
        <w:tc>
          <w:tcPr>
            <w:tcW w:w="6803" w:type="dxa"/>
            <w:shd w:val="clear" w:color="auto" w:fill="FFF2CC"/>
          </w:tcPr>
          <w:p w14:paraId="28000336" w14:textId="77777777" w:rsidR="005C7750" w:rsidRDefault="00000000" w:rsidP="00F22C8D">
            <w:pPr>
              <w:spacing w:after="120" w:line="360" w:lineRule="auto"/>
            </w:pPr>
            <w:r>
              <w:rPr>
                <w:sz w:val="22"/>
                <w:rtl/>
              </w:rPr>
              <w:t>استبعاد من لا علاقة لهم بدورة المشتريات، أو من لا يستكملون الحد الأدنى من الإجابة، أو من يقدمون إجابات نمطية غير صالحة للتحليل.</w:t>
            </w:r>
          </w:p>
        </w:tc>
      </w:tr>
      <w:tr w:rsidR="005C7750" w14:paraId="37E5A620" w14:textId="77777777">
        <w:trPr>
          <w:jc w:val="center"/>
        </w:trPr>
        <w:tc>
          <w:tcPr>
            <w:tcW w:w="2835" w:type="dxa"/>
            <w:shd w:val="clear" w:color="auto" w:fill="FFF2CC"/>
          </w:tcPr>
          <w:p w14:paraId="31A2C5BE" w14:textId="77777777" w:rsidR="005C7750" w:rsidRDefault="00000000" w:rsidP="00F22C8D">
            <w:pPr>
              <w:spacing w:after="120" w:line="360" w:lineRule="auto"/>
            </w:pPr>
            <w:r>
              <w:rPr>
                <w:sz w:val="22"/>
                <w:rtl/>
              </w:rPr>
              <w:lastRenderedPageBreak/>
              <w:t>حجم العينة المقترح</w:t>
            </w:r>
          </w:p>
        </w:tc>
        <w:tc>
          <w:tcPr>
            <w:tcW w:w="6803" w:type="dxa"/>
            <w:shd w:val="clear" w:color="auto" w:fill="FFF2CC"/>
          </w:tcPr>
          <w:p w14:paraId="4C88D1CE" w14:textId="77777777" w:rsidR="005C7750" w:rsidRDefault="00000000" w:rsidP="00F22C8D">
            <w:pPr>
              <w:spacing w:after="120" w:line="360" w:lineRule="auto"/>
            </w:pPr>
            <w:r>
              <w:rPr>
                <w:sz w:val="22"/>
                <w:rtl/>
              </w:rPr>
              <w:t>من 300 إلى 400 مشارك كحد مناسب للتحليل المتقدم واختبار النموذج البنائي.</w:t>
            </w:r>
          </w:p>
        </w:tc>
      </w:tr>
      <w:tr w:rsidR="005C7750" w14:paraId="14798133" w14:textId="77777777">
        <w:trPr>
          <w:jc w:val="center"/>
        </w:trPr>
        <w:tc>
          <w:tcPr>
            <w:tcW w:w="2835" w:type="dxa"/>
            <w:shd w:val="clear" w:color="auto" w:fill="FFF2CC"/>
          </w:tcPr>
          <w:p w14:paraId="0022EEBF" w14:textId="77777777" w:rsidR="005C7750" w:rsidRDefault="00000000" w:rsidP="00F22C8D">
            <w:pPr>
              <w:spacing w:after="120" w:line="360" w:lineRule="auto"/>
            </w:pPr>
            <w:r>
              <w:rPr>
                <w:sz w:val="22"/>
                <w:rtl/>
              </w:rPr>
              <w:t>الحصول على الموافقات</w:t>
            </w:r>
          </w:p>
        </w:tc>
        <w:tc>
          <w:tcPr>
            <w:tcW w:w="6803" w:type="dxa"/>
            <w:shd w:val="clear" w:color="auto" w:fill="FFF2CC"/>
          </w:tcPr>
          <w:p w14:paraId="572DD60C" w14:textId="77777777" w:rsidR="005C7750" w:rsidRDefault="00000000" w:rsidP="00F22C8D">
            <w:pPr>
              <w:spacing w:after="120" w:line="360" w:lineRule="auto"/>
            </w:pPr>
            <w:r>
              <w:rPr>
                <w:sz w:val="22"/>
                <w:rtl/>
              </w:rPr>
              <w:t>مخاطبة الجهات الحكومية أو الإدارات المختصة رسميًا، مع توضيح هدف الدراسة وسرية البيانات وأن المشاركة لأغراض بحثية فقط.</w:t>
            </w:r>
          </w:p>
        </w:tc>
      </w:tr>
    </w:tbl>
    <w:p w14:paraId="145E468A" w14:textId="77777777" w:rsidR="005C7750" w:rsidRDefault="00000000" w:rsidP="00F22C8D">
      <w:pPr>
        <w:spacing w:after="240" w:line="360" w:lineRule="auto"/>
      </w:pPr>
      <w:r>
        <w:rPr>
          <w:b/>
          <w:sz w:val="22"/>
          <w:highlight w:val="yellow"/>
          <w:rtl/>
        </w:rPr>
        <w:t>جدول (4): أساس التقسيم الطبقي للعينة ومعايير الشمول والاستبعاد</w:t>
      </w:r>
    </w:p>
    <w:p w14:paraId="7FC4DAC5" w14:textId="77777777" w:rsidR="005C7750" w:rsidRDefault="00000000" w:rsidP="00F22C8D">
      <w:pPr>
        <w:pStyle w:val="21"/>
        <w:spacing w:before="0" w:after="160" w:line="360" w:lineRule="auto"/>
      </w:pPr>
      <w:r>
        <w:rPr>
          <w:rFonts w:ascii="Traditional Arabic" w:eastAsia="Traditional Arabic" w:hAnsi="Traditional Arabic" w:cs="Traditional Arabic"/>
          <w:highlight w:val="yellow"/>
          <w:rtl/>
        </w:rPr>
        <w:t>13.3 جودة البيانات والتحيزات المحتملة</w:t>
      </w:r>
    </w:p>
    <w:p w14:paraId="3E09B213" w14:textId="77777777" w:rsidR="005C7750" w:rsidRDefault="00000000" w:rsidP="00F22C8D">
      <w:pPr>
        <w:spacing w:after="120" w:line="360" w:lineRule="auto"/>
        <w:ind w:left="170"/>
      </w:pPr>
      <w:r>
        <w:rPr>
          <w:highlight w:val="yellow"/>
          <w:rtl/>
        </w:rPr>
        <w:t>• سيتم استبعاد الاستبانات التي تقل نسبة الإجابة فيها عن 80% من الفقرات، واستخدام طريقة التعويض بالمتوسط (Mean Substitution) للفقرات المفقودة بنسبة لا تتجاوز 5%، متى كان ذلك مناسبًا إحصائيًا.</w:t>
      </w:r>
    </w:p>
    <w:p w14:paraId="15015C25" w14:textId="77777777" w:rsidR="005C7750" w:rsidRDefault="00000000" w:rsidP="00F22C8D">
      <w:pPr>
        <w:spacing w:after="120" w:line="360" w:lineRule="auto"/>
        <w:ind w:left="170"/>
      </w:pPr>
      <w:r>
        <w:rPr>
          <w:highlight w:val="yellow"/>
          <w:rtl/>
        </w:rPr>
        <w:t>• سيتم الحد من تحيز الطريقة الواحدة من خلال تأكيد سرية البيانات في مقدمة الاستبانة، وتشجيع الإجابة الصادقة، وفصل محاور الاستبانة بصياغة تقلل من استنتاج العلاقة بين المتغيرات من قبل المبحوثين.</w:t>
      </w:r>
    </w:p>
    <w:p w14:paraId="7038B7BA" w14:textId="77777777" w:rsidR="005C7750" w:rsidRDefault="00000000" w:rsidP="00F22C8D">
      <w:pPr>
        <w:spacing w:after="120" w:line="360" w:lineRule="auto"/>
        <w:ind w:left="170"/>
      </w:pPr>
      <w:r>
        <w:rPr>
          <w:highlight w:val="yellow"/>
          <w:rtl/>
        </w:rPr>
        <w:t>• سيتم تطبيق اختبار Harman’s Single Factor Test ضمن تحليل العوامل الاستكشافية للتحقق من عدم سيطرة عامل واحد على معظم التباين، مع إمكانية استخدام اختبارات إضافية للتحقق من تحيز الطريقة الواحدة حسب متطلبات التحليل.</w:t>
      </w:r>
    </w:p>
    <w:p w14:paraId="4AED54EE" w14:textId="77777777" w:rsidR="005C7750" w:rsidRDefault="00000000" w:rsidP="00F22C8D">
      <w:pPr>
        <w:spacing w:after="120" w:line="360" w:lineRule="auto"/>
        <w:ind w:left="170"/>
      </w:pPr>
      <w:r>
        <w:rPr>
          <w:rtl/>
        </w:rPr>
        <w:t>• سيتم فحص القيم الشاذة، والبيانات الناقصة، والتوزيع الطبيعي، ومؤشرات الاتساق الداخلي قبل البدء في اختبار الفرضيات.</w:t>
      </w:r>
    </w:p>
    <w:p w14:paraId="0DDFF9C4" w14:textId="77777777" w:rsidR="005C7750" w:rsidRDefault="00000000" w:rsidP="00F22C8D">
      <w:pPr>
        <w:pStyle w:val="21"/>
        <w:spacing w:before="0" w:after="160" w:line="360" w:lineRule="auto"/>
      </w:pPr>
      <w:r>
        <w:rPr>
          <w:rFonts w:ascii="Traditional Arabic" w:eastAsia="Traditional Arabic" w:hAnsi="Traditional Arabic" w:cs="Traditional Arabic"/>
          <w:highlight w:val="yellow"/>
          <w:rtl/>
        </w:rPr>
        <w:t>13.4 مواءمة أسئلة الدراسة وأهدافها وفرضياتها</w:t>
      </w:r>
    </w:p>
    <w:tbl>
      <w:tblPr>
        <w:tblStyle w:val="afa"/>
        <w:bidiVisual/>
        <w:tblW w:w="0" w:type="auto"/>
        <w:jc w:val="center"/>
        <w:tblLook w:val="04A0" w:firstRow="1" w:lastRow="0" w:firstColumn="1" w:lastColumn="0" w:noHBand="0" w:noVBand="1"/>
      </w:tblPr>
      <w:tblGrid>
        <w:gridCol w:w="2728"/>
        <w:gridCol w:w="3815"/>
        <w:gridCol w:w="2745"/>
      </w:tblGrid>
      <w:tr w:rsidR="005C7750" w14:paraId="79CEDAF9" w14:textId="77777777">
        <w:trPr>
          <w:jc w:val="center"/>
        </w:trPr>
        <w:tc>
          <w:tcPr>
            <w:tcW w:w="2835" w:type="dxa"/>
            <w:shd w:val="clear" w:color="auto" w:fill="D9EAF7"/>
            <w:vAlign w:val="center"/>
          </w:tcPr>
          <w:p w14:paraId="647D9CBB" w14:textId="77777777" w:rsidR="005C7750" w:rsidRDefault="00000000" w:rsidP="00F22C8D">
            <w:pPr>
              <w:spacing w:after="120" w:line="360" w:lineRule="auto"/>
            </w:pPr>
            <w:r>
              <w:rPr>
                <w:b/>
                <w:rtl/>
              </w:rPr>
              <w:t>محور السؤال</w:t>
            </w:r>
          </w:p>
        </w:tc>
        <w:tc>
          <w:tcPr>
            <w:tcW w:w="3969" w:type="dxa"/>
            <w:shd w:val="clear" w:color="auto" w:fill="D9EAF7"/>
            <w:vAlign w:val="center"/>
          </w:tcPr>
          <w:p w14:paraId="41F2AB8B" w14:textId="77777777" w:rsidR="005C7750" w:rsidRDefault="00000000" w:rsidP="00F22C8D">
            <w:pPr>
              <w:spacing w:after="120" w:line="360" w:lineRule="auto"/>
            </w:pPr>
            <w:r>
              <w:rPr>
                <w:b/>
                <w:rtl/>
              </w:rPr>
              <w:t>الهدف المقابل</w:t>
            </w:r>
          </w:p>
        </w:tc>
        <w:tc>
          <w:tcPr>
            <w:tcW w:w="2835" w:type="dxa"/>
            <w:shd w:val="clear" w:color="auto" w:fill="D9EAF7"/>
            <w:vAlign w:val="center"/>
          </w:tcPr>
          <w:p w14:paraId="15ABC5C5" w14:textId="77777777" w:rsidR="005C7750" w:rsidRDefault="00000000" w:rsidP="00F22C8D">
            <w:pPr>
              <w:spacing w:after="120" w:line="360" w:lineRule="auto"/>
            </w:pPr>
            <w:r>
              <w:rPr>
                <w:b/>
                <w:rtl/>
              </w:rPr>
              <w:t>الفرضية/الاختبار</w:t>
            </w:r>
          </w:p>
        </w:tc>
      </w:tr>
      <w:tr w:rsidR="005C7750" w14:paraId="6E4FD038" w14:textId="77777777">
        <w:trPr>
          <w:jc w:val="center"/>
        </w:trPr>
        <w:tc>
          <w:tcPr>
            <w:tcW w:w="2835" w:type="dxa"/>
            <w:shd w:val="clear" w:color="auto" w:fill="FFF2CC"/>
          </w:tcPr>
          <w:p w14:paraId="0FB37C72" w14:textId="77777777" w:rsidR="005C7750" w:rsidRDefault="00000000" w:rsidP="00F22C8D">
            <w:pPr>
              <w:spacing w:after="120" w:line="360" w:lineRule="auto"/>
            </w:pPr>
            <w:r>
              <w:rPr>
                <w:sz w:val="22"/>
                <w:rtl/>
              </w:rPr>
              <w:t>مستوى حوكمة المشتريات</w:t>
            </w:r>
          </w:p>
        </w:tc>
        <w:tc>
          <w:tcPr>
            <w:tcW w:w="3969" w:type="dxa"/>
            <w:shd w:val="clear" w:color="auto" w:fill="FFF2CC"/>
          </w:tcPr>
          <w:p w14:paraId="73B9C9CC" w14:textId="77777777" w:rsidR="005C7750" w:rsidRDefault="00000000" w:rsidP="00F22C8D">
            <w:pPr>
              <w:spacing w:after="120" w:line="360" w:lineRule="auto"/>
            </w:pPr>
            <w:r>
              <w:rPr>
                <w:sz w:val="22"/>
                <w:rtl/>
              </w:rPr>
              <w:t>قياس مستوى تطبيق أبعاد الحوكمة</w:t>
            </w:r>
          </w:p>
        </w:tc>
        <w:tc>
          <w:tcPr>
            <w:tcW w:w="2835" w:type="dxa"/>
            <w:shd w:val="clear" w:color="auto" w:fill="FFF2CC"/>
          </w:tcPr>
          <w:p w14:paraId="397F93A4" w14:textId="77777777" w:rsidR="005C7750" w:rsidRDefault="00000000" w:rsidP="00F22C8D">
            <w:pPr>
              <w:spacing w:after="120" w:line="360" w:lineRule="auto"/>
            </w:pPr>
            <w:r>
              <w:rPr>
                <w:sz w:val="22"/>
                <w:rtl/>
              </w:rPr>
              <w:t>إحصاء وصفي</w:t>
            </w:r>
          </w:p>
        </w:tc>
      </w:tr>
      <w:tr w:rsidR="005C7750" w14:paraId="02357E2D" w14:textId="77777777">
        <w:trPr>
          <w:jc w:val="center"/>
        </w:trPr>
        <w:tc>
          <w:tcPr>
            <w:tcW w:w="2835" w:type="dxa"/>
            <w:shd w:val="clear" w:color="auto" w:fill="FFF2CC"/>
          </w:tcPr>
          <w:p w14:paraId="06F3E5CA" w14:textId="77777777" w:rsidR="005C7750" w:rsidRDefault="00000000" w:rsidP="00F22C8D">
            <w:pPr>
              <w:spacing w:after="120" w:line="360" w:lineRule="auto"/>
            </w:pPr>
            <w:r>
              <w:rPr>
                <w:sz w:val="22"/>
                <w:rtl/>
              </w:rPr>
              <w:t>مستوى إدارة مخاطر تعارض المصالح</w:t>
            </w:r>
          </w:p>
        </w:tc>
        <w:tc>
          <w:tcPr>
            <w:tcW w:w="3969" w:type="dxa"/>
            <w:shd w:val="clear" w:color="auto" w:fill="FFF2CC"/>
          </w:tcPr>
          <w:p w14:paraId="55C32A28" w14:textId="77777777" w:rsidR="005C7750" w:rsidRDefault="00000000" w:rsidP="00F22C8D">
            <w:pPr>
              <w:spacing w:after="120" w:line="360" w:lineRule="auto"/>
            </w:pPr>
            <w:r>
              <w:rPr>
                <w:sz w:val="22"/>
                <w:rtl/>
              </w:rPr>
              <w:t>قياس مستوى تطبيق أبعاد إدارة المخاطر</w:t>
            </w:r>
          </w:p>
        </w:tc>
        <w:tc>
          <w:tcPr>
            <w:tcW w:w="2835" w:type="dxa"/>
            <w:shd w:val="clear" w:color="auto" w:fill="FFF2CC"/>
          </w:tcPr>
          <w:p w14:paraId="3B352E14" w14:textId="77777777" w:rsidR="005C7750" w:rsidRDefault="00000000" w:rsidP="00F22C8D">
            <w:pPr>
              <w:spacing w:after="120" w:line="360" w:lineRule="auto"/>
            </w:pPr>
            <w:r>
              <w:rPr>
                <w:sz w:val="22"/>
                <w:rtl/>
              </w:rPr>
              <w:t>إحصاء وصفي</w:t>
            </w:r>
          </w:p>
        </w:tc>
      </w:tr>
      <w:tr w:rsidR="005C7750" w14:paraId="1CF657A6" w14:textId="77777777">
        <w:trPr>
          <w:jc w:val="center"/>
        </w:trPr>
        <w:tc>
          <w:tcPr>
            <w:tcW w:w="2835" w:type="dxa"/>
            <w:shd w:val="clear" w:color="auto" w:fill="FFF2CC"/>
          </w:tcPr>
          <w:p w14:paraId="59362DB5" w14:textId="77777777" w:rsidR="005C7750" w:rsidRDefault="00000000" w:rsidP="00F22C8D">
            <w:pPr>
              <w:spacing w:after="120" w:line="360" w:lineRule="auto"/>
            </w:pPr>
            <w:r>
              <w:rPr>
                <w:sz w:val="22"/>
                <w:rtl/>
              </w:rPr>
              <w:t>مستوى كفاءة الإنفاق</w:t>
            </w:r>
          </w:p>
        </w:tc>
        <w:tc>
          <w:tcPr>
            <w:tcW w:w="3969" w:type="dxa"/>
            <w:shd w:val="clear" w:color="auto" w:fill="FFF2CC"/>
          </w:tcPr>
          <w:p w14:paraId="0E845CCA" w14:textId="77777777" w:rsidR="005C7750" w:rsidRDefault="00000000" w:rsidP="00F22C8D">
            <w:pPr>
              <w:spacing w:after="120" w:line="360" w:lineRule="auto"/>
            </w:pPr>
            <w:r>
              <w:rPr>
                <w:sz w:val="22"/>
                <w:rtl/>
              </w:rPr>
              <w:t>قياس كفاءة الإنفاق بأبعادها</w:t>
            </w:r>
          </w:p>
        </w:tc>
        <w:tc>
          <w:tcPr>
            <w:tcW w:w="2835" w:type="dxa"/>
            <w:shd w:val="clear" w:color="auto" w:fill="FFF2CC"/>
          </w:tcPr>
          <w:p w14:paraId="06E8684F" w14:textId="77777777" w:rsidR="005C7750" w:rsidRDefault="00000000" w:rsidP="00F22C8D">
            <w:pPr>
              <w:spacing w:after="120" w:line="360" w:lineRule="auto"/>
            </w:pPr>
            <w:r>
              <w:rPr>
                <w:sz w:val="22"/>
                <w:rtl/>
              </w:rPr>
              <w:t>إحصاء وصفي</w:t>
            </w:r>
          </w:p>
        </w:tc>
      </w:tr>
      <w:tr w:rsidR="005C7750" w14:paraId="587AEA5F" w14:textId="77777777">
        <w:trPr>
          <w:jc w:val="center"/>
        </w:trPr>
        <w:tc>
          <w:tcPr>
            <w:tcW w:w="2835" w:type="dxa"/>
            <w:shd w:val="clear" w:color="auto" w:fill="FFF2CC"/>
          </w:tcPr>
          <w:p w14:paraId="318D3094" w14:textId="77777777" w:rsidR="005C7750" w:rsidRDefault="00000000" w:rsidP="00F22C8D">
            <w:pPr>
              <w:spacing w:after="120" w:line="360" w:lineRule="auto"/>
            </w:pPr>
            <w:r>
              <w:rPr>
                <w:sz w:val="22"/>
                <w:rtl/>
              </w:rPr>
              <w:t>أثر أبعاد الحوكمة في كفاءة الإنفاق</w:t>
            </w:r>
          </w:p>
        </w:tc>
        <w:tc>
          <w:tcPr>
            <w:tcW w:w="3969" w:type="dxa"/>
            <w:shd w:val="clear" w:color="auto" w:fill="FFF2CC"/>
          </w:tcPr>
          <w:p w14:paraId="108D7D3A" w14:textId="77777777" w:rsidR="005C7750" w:rsidRDefault="00000000" w:rsidP="00F22C8D">
            <w:pPr>
              <w:spacing w:after="120" w:line="360" w:lineRule="auto"/>
            </w:pPr>
            <w:r>
              <w:rPr>
                <w:sz w:val="22"/>
                <w:rtl/>
              </w:rPr>
              <w:t>تحليل الأثر التفاضلي للأبعاد</w:t>
            </w:r>
          </w:p>
        </w:tc>
        <w:tc>
          <w:tcPr>
            <w:tcW w:w="2835" w:type="dxa"/>
            <w:shd w:val="clear" w:color="auto" w:fill="FFF2CC"/>
          </w:tcPr>
          <w:p w14:paraId="1F09DD49" w14:textId="77777777" w:rsidR="005C7750" w:rsidRDefault="00000000" w:rsidP="00F22C8D">
            <w:pPr>
              <w:spacing w:after="120" w:line="360" w:lineRule="auto"/>
            </w:pPr>
            <w:r>
              <w:rPr>
                <w:sz w:val="22"/>
                <w:rtl/>
              </w:rPr>
              <w:t>H1 وفروعها</w:t>
            </w:r>
          </w:p>
        </w:tc>
      </w:tr>
      <w:tr w:rsidR="005C7750" w14:paraId="7172B1B5" w14:textId="77777777">
        <w:trPr>
          <w:jc w:val="center"/>
        </w:trPr>
        <w:tc>
          <w:tcPr>
            <w:tcW w:w="2835" w:type="dxa"/>
            <w:shd w:val="clear" w:color="auto" w:fill="FFF2CC"/>
          </w:tcPr>
          <w:p w14:paraId="7E7E28D5" w14:textId="77777777" w:rsidR="005C7750" w:rsidRDefault="00000000" w:rsidP="00F22C8D">
            <w:pPr>
              <w:spacing w:after="120" w:line="360" w:lineRule="auto"/>
            </w:pPr>
            <w:r>
              <w:rPr>
                <w:sz w:val="22"/>
                <w:rtl/>
              </w:rPr>
              <w:t>أثر الحوكمة في إدارة مخاطر التعارض</w:t>
            </w:r>
          </w:p>
        </w:tc>
        <w:tc>
          <w:tcPr>
            <w:tcW w:w="3969" w:type="dxa"/>
            <w:shd w:val="clear" w:color="auto" w:fill="FFF2CC"/>
          </w:tcPr>
          <w:p w14:paraId="48F169EA" w14:textId="77777777" w:rsidR="005C7750" w:rsidRDefault="00000000" w:rsidP="00F22C8D">
            <w:pPr>
              <w:spacing w:after="120" w:line="360" w:lineRule="auto"/>
            </w:pPr>
            <w:r>
              <w:rPr>
                <w:sz w:val="22"/>
                <w:rtl/>
              </w:rPr>
              <w:t>اختبار علاقة الحوكمة بالمتغير الوسيط</w:t>
            </w:r>
          </w:p>
        </w:tc>
        <w:tc>
          <w:tcPr>
            <w:tcW w:w="2835" w:type="dxa"/>
            <w:shd w:val="clear" w:color="auto" w:fill="FFF2CC"/>
          </w:tcPr>
          <w:p w14:paraId="70791DA2" w14:textId="77777777" w:rsidR="005C7750" w:rsidRDefault="00000000" w:rsidP="00F22C8D">
            <w:pPr>
              <w:spacing w:after="120" w:line="360" w:lineRule="auto"/>
            </w:pPr>
            <w:r>
              <w:rPr>
                <w:sz w:val="22"/>
                <w:rtl/>
              </w:rPr>
              <w:t>H2</w:t>
            </w:r>
          </w:p>
        </w:tc>
      </w:tr>
      <w:tr w:rsidR="005C7750" w14:paraId="41F01DFB" w14:textId="77777777">
        <w:trPr>
          <w:jc w:val="center"/>
        </w:trPr>
        <w:tc>
          <w:tcPr>
            <w:tcW w:w="2835" w:type="dxa"/>
            <w:shd w:val="clear" w:color="auto" w:fill="FFF2CC"/>
          </w:tcPr>
          <w:p w14:paraId="58184F49" w14:textId="77777777" w:rsidR="005C7750" w:rsidRDefault="00000000" w:rsidP="00F22C8D">
            <w:pPr>
              <w:spacing w:after="120" w:line="360" w:lineRule="auto"/>
            </w:pPr>
            <w:r>
              <w:rPr>
                <w:sz w:val="22"/>
                <w:rtl/>
              </w:rPr>
              <w:t>أثر إدارة مخاطر التعارض في كفاءة الإنفاق</w:t>
            </w:r>
          </w:p>
        </w:tc>
        <w:tc>
          <w:tcPr>
            <w:tcW w:w="3969" w:type="dxa"/>
            <w:shd w:val="clear" w:color="auto" w:fill="FFF2CC"/>
          </w:tcPr>
          <w:p w14:paraId="37A677F7" w14:textId="77777777" w:rsidR="005C7750" w:rsidRDefault="00000000" w:rsidP="00F22C8D">
            <w:pPr>
              <w:spacing w:after="120" w:line="360" w:lineRule="auto"/>
            </w:pPr>
            <w:r>
              <w:rPr>
                <w:sz w:val="22"/>
                <w:rtl/>
              </w:rPr>
              <w:t>اختبار أثر المتغير الوسيط في التابع</w:t>
            </w:r>
          </w:p>
        </w:tc>
        <w:tc>
          <w:tcPr>
            <w:tcW w:w="2835" w:type="dxa"/>
            <w:shd w:val="clear" w:color="auto" w:fill="FFF2CC"/>
          </w:tcPr>
          <w:p w14:paraId="08550D69" w14:textId="77777777" w:rsidR="005C7750" w:rsidRDefault="00000000" w:rsidP="00F22C8D">
            <w:pPr>
              <w:spacing w:after="120" w:line="360" w:lineRule="auto"/>
            </w:pPr>
            <w:r>
              <w:rPr>
                <w:sz w:val="22"/>
                <w:rtl/>
              </w:rPr>
              <w:t>H3</w:t>
            </w:r>
          </w:p>
        </w:tc>
      </w:tr>
      <w:tr w:rsidR="005C7750" w14:paraId="33E5FB1C" w14:textId="77777777">
        <w:trPr>
          <w:jc w:val="center"/>
        </w:trPr>
        <w:tc>
          <w:tcPr>
            <w:tcW w:w="2835" w:type="dxa"/>
            <w:shd w:val="clear" w:color="auto" w:fill="FFF2CC"/>
          </w:tcPr>
          <w:p w14:paraId="33BAFFCD" w14:textId="77777777" w:rsidR="005C7750" w:rsidRDefault="00000000" w:rsidP="00F22C8D">
            <w:pPr>
              <w:spacing w:after="120" w:line="360" w:lineRule="auto"/>
            </w:pPr>
            <w:r>
              <w:rPr>
                <w:sz w:val="22"/>
                <w:rtl/>
              </w:rPr>
              <w:t>الدور الوسيط</w:t>
            </w:r>
          </w:p>
        </w:tc>
        <w:tc>
          <w:tcPr>
            <w:tcW w:w="3969" w:type="dxa"/>
            <w:shd w:val="clear" w:color="auto" w:fill="FFF2CC"/>
          </w:tcPr>
          <w:p w14:paraId="27F4183E" w14:textId="77777777" w:rsidR="005C7750" w:rsidRDefault="00000000" w:rsidP="00F22C8D">
            <w:pPr>
              <w:spacing w:after="120" w:line="360" w:lineRule="auto"/>
            </w:pPr>
            <w:r>
              <w:rPr>
                <w:sz w:val="22"/>
                <w:rtl/>
              </w:rPr>
              <w:t>اختبار الوساطة باستخدام Bootstrap</w:t>
            </w:r>
          </w:p>
        </w:tc>
        <w:tc>
          <w:tcPr>
            <w:tcW w:w="2835" w:type="dxa"/>
            <w:shd w:val="clear" w:color="auto" w:fill="FFF2CC"/>
          </w:tcPr>
          <w:p w14:paraId="5A52C1E9" w14:textId="77777777" w:rsidR="005C7750" w:rsidRDefault="00000000" w:rsidP="00F22C8D">
            <w:pPr>
              <w:spacing w:after="120" w:line="360" w:lineRule="auto"/>
            </w:pPr>
            <w:r>
              <w:rPr>
                <w:sz w:val="22"/>
                <w:rtl/>
              </w:rPr>
              <w:t>H4</w:t>
            </w:r>
          </w:p>
        </w:tc>
      </w:tr>
      <w:tr w:rsidR="005C7750" w14:paraId="651A0120" w14:textId="77777777">
        <w:trPr>
          <w:jc w:val="center"/>
        </w:trPr>
        <w:tc>
          <w:tcPr>
            <w:tcW w:w="2835" w:type="dxa"/>
            <w:shd w:val="clear" w:color="auto" w:fill="FFF2CC"/>
          </w:tcPr>
          <w:p w14:paraId="18DF377E" w14:textId="77777777" w:rsidR="005C7750" w:rsidRDefault="00000000" w:rsidP="00F22C8D">
            <w:pPr>
              <w:spacing w:after="120" w:line="360" w:lineRule="auto"/>
            </w:pPr>
            <w:r>
              <w:rPr>
                <w:sz w:val="22"/>
                <w:rtl/>
              </w:rPr>
              <w:t>الفروق الديموغرافية</w:t>
            </w:r>
          </w:p>
        </w:tc>
        <w:tc>
          <w:tcPr>
            <w:tcW w:w="3969" w:type="dxa"/>
            <w:shd w:val="clear" w:color="auto" w:fill="FFF2CC"/>
          </w:tcPr>
          <w:p w14:paraId="466099D7" w14:textId="77777777" w:rsidR="005C7750" w:rsidRDefault="00000000" w:rsidP="00F22C8D">
            <w:pPr>
              <w:spacing w:after="120" w:line="360" w:lineRule="auto"/>
            </w:pPr>
            <w:r>
              <w:rPr>
                <w:sz w:val="22"/>
                <w:rtl/>
              </w:rPr>
              <w:t>اختبار الفروق وفق خصائص العينة</w:t>
            </w:r>
          </w:p>
        </w:tc>
        <w:tc>
          <w:tcPr>
            <w:tcW w:w="2835" w:type="dxa"/>
            <w:shd w:val="clear" w:color="auto" w:fill="FFF2CC"/>
          </w:tcPr>
          <w:p w14:paraId="02FAA85F" w14:textId="77777777" w:rsidR="005C7750" w:rsidRDefault="00000000" w:rsidP="00F22C8D">
            <w:pPr>
              <w:spacing w:after="120" w:line="360" w:lineRule="auto"/>
            </w:pPr>
            <w:r>
              <w:rPr>
                <w:sz w:val="22"/>
                <w:rtl/>
              </w:rPr>
              <w:t>H5</w:t>
            </w:r>
          </w:p>
        </w:tc>
      </w:tr>
    </w:tbl>
    <w:p w14:paraId="31AA26CF" w14:textId="77777777" w:rsidR="005C7750" w:rsidRDefault="00000000" w:rsidP="00F22C8D">
      <w:pPr>
        <w:spacing w:after="240" w:line="360" w:lineRule="auto"/>
      </w:pPr>
      <w:r>
        <w:rPr>
          <w:b/>
          <w:sz w:val="22"/>
          <w:highlight w:val="yellow"/>
          <w:rtl/>
        </w:rPr>
        <w:t>جدول (3): مواءمة أسئلة الدراسة وأهدافها وفرضياتها</w:t>
      </w:r>
    </w:p>
    <w:p w14:paraId="679F992E" w14:textId="77777777" w:rsidR="005C7750" w:rsidRDefault="00000000" w:rsidP="00F22C8D">
      <w:pPr>
        <w:pStyle w:val="1"/>
        <w:spacing w:before="0" w:after="160" w:line="360" w:lineRule="auto"/>
      </w:pPr>
      <w:r>
        <w:rPr>
          <w:rFonts w:ascii="Traditional Arabic" w:eastAsia="Traditional Arabic" w:hAnsi="Traditional Arabic" w:cs="Traditional Arabic"/>
          <w:highlight w:val="yellow"/>
          <w:rtl/>
        </w:rPr>
        <w:lastRenderedPageBreak/>
        <w:t>14. الدراسات المرجعية والفجوات البحثية</w:t>
      </w:r>
    </w:p>
    <w:p w14:paraId="70C46C93" w14:textId="77777777" w:rsidR="005C7750" w:rsidRDefault="00000000" w:rsidP="00F22C8D">
      <w:pPr>
        <w:spacing w:after="120" w:line="360" w:lineRule="auto"/>
      </w:pPr>
      <w:r>
        <w:rPr>
          <w:highlight w:val="yellow"/>
          <w:rtl/>
        </w:rPr>
        <w:t>تم ترتيب الدراسات المرجعية وفق متغيرات الدراسة؛ بدءًا بالمتغير المستقل (حوكمة المشتريات الحكومية)، ثم المتغير الوسيط (إدارة مخاطر تعارض المصالح)، ثم المتغير التابع (كفاءة الإنفاق)، مع مراعاة الترتيب الزمني قدر الإمكان.</w:t>
      </w:r>
    </w:p>
    <w:p w14:paraId="3A862EB3" w14:textId="77777777" w:rsidR="005C7750" w:rsidRDefault="00000000" w:rsidP="00F22C8D">
      <w:pPr>
        <w:pStyle w:val="21"/>
        <w:spacing w:before="0" w:after="160" w:line="360" w:lineRule="auto"/>
      </w:pPr>
      <w:r>
        <w:rPr>
          <w:rFonts w:ascii="Traditional Arabic" w:eastAsia="Traditional Arabic" w:hAnsi="Traditional Arabic" w:cs="Traditional Arabic"/>
          <w:highlight w:val="yellow"/>
          <w:rtl/>
        </w:rPr>
        <w:t>14.1 دراسات مرتبطة بـ حوكمة المشتريات الحكومية</w:t>
      </w:r>
    </w:p>
    <w:p w14:paraId="48BA6710" w14:textId="77777777" w:rsidR="005C7750" w:rsidRDefault="00000000" w:rsidP="00F22C8D">
      <w:pPr>
        <w:spacing w:after="120" w:line="360" w:lineRule="auto"/>
      </w:pPr>
      <w:r>
        <w:rPr>
          <w:b/>
          <w:highlight w:val="yellow"/>
          <w:rtl/>
        </w:rPr>
        <w:t>دراسة Alanzi (2021) بعنوان: Saudi Procurement System and Regulations: Overview of Local and International Administrative Contracts.</w:t>
      </w:r>
    </w:p>
    <w:p w14:paraId="3210A914" w14:textId="77777777" w:rsidR="005C7750" w:rsidRDefault="00000000" w:rsidP="00F22C8D">
      <w:pPr>
        <w:spacing w:after="120" w:line="360" w:lineRule="auto"/>
      </w:pPr>
      <w:r>
        <w:rPr>
          <w:highlight w:val="yellow"/>
          <w:rtl/>
        </w:rPr>
        <w:t>هدفت الدراسة إلى: تحليل نظام المشتريات السعودي في سياق العقود الإدارية المحلية والدولية، وبيان أثر التنظيمات الحديثة في رفع كفاءة إجراءات التعاقد.</w:t>
      </w:r>
    </w:p>
    <w:p w14:paraId="44333D0E" w14:textId="77777777" w:rsidR="005C7750" w:rsidRDefault="00000000" w:rsidP="00F22C8D">
      <w:pPr>
        <w:spacing w:after="120" w:line="360" w:lineRule="auto"/>
      </w:pPr>
      <w:r>
        <w:rPr>
          <w:highlight w:val="yellow"/>
          <w:rtl/>
        </w:rPr>
        <w:t>أهم النتائج وأوجه الاستفادة: بيّنت الدراسة أن النظام السعودي عزز الشفافية والمنافسة، كما أوضحت الحاجة إلى مواءمة التطبيق العملي مع المتطلبات التنظيمية. تستفيد الدراسة الحالية منها في تأصيل البيئة النظامية، وتختلف عنها بأنها دراسة ميدانية إدارية لا تحليل قانوني فقط.</w:t>
      </w:r>
    </w:p>
    <w:p w14:paraId="7CBA254A" w14:textId="77777777" w:rsidR="005C7750" w:rsidRDefault="00000000" w:rsidP="00F22C8D">
      <w:pPr>
        <w:spacing w:after="120" w:line="360" w:lineRule="auto"/>
      </w:pPr>
      <w:r>
        <w:rPr>
          <w:b/>
          <w:highlight w:val="yellow"/>
          <w:rtl/>
        </w:rPr>
        <w:t>دراسة OECD (2025) بعنوان: Digital Transformation of Public Procurement.</w:t>
      </w:r>
    </w:p>
    <w:p w14:paraId="0C35749B" w14:textId="77777777" w:rsidR="005C7750" w:rsidRDefault="00000000" w:rsidP="00F22C8D">
      <w:pPr>
        <w:spacing w:after="120" w:line="360" w:lineRule="auto"/>
      </w:pPr>
      <w:r>
        <w:rPr>
          <w:highlight w:val="yellow"/>
          <w:rtl/>
        </w:rPr>
        <w:t>هدفت الدراسة إلى: دراسة متطلبات التحول الرقمي في المشتريات العامة، وتحليل دور الحوكمة المؤسسية والبيانات في دعم الشفافية والقيمة مقابل المال.</w:t>
      </w:r>
    </w:p>
    <w:p w14:paraId="79C7275C" w14:textId="77777777" w:rsidR="005C7750" w:rsidRDefault="00000000" w:rsidP="00F22C8D">
      <w:pPr>
        <w:spacing w:after="120" w:line="360" w:lineRule="auto"/>
      </w:pPr>
      <w:r>
        <w:rPr>
          <w:highlight w:val="yellow"/>
          <w:rtl/>
        </w:rPr>
        <w:t>أهم النتائج وأوجه الاستفادة: أوضحت أن التحول الرقمي الناجح يتطلب ترتيبات حوكمة قوية وقيادة مؤسسية وأدوارًا واضحة. وتستفيد الدراسة الحالية منها في دعم بعد نضج المشتريات الرقمية.</w:t>
      </w:r>
    </w:p>
    <w:p w14:paraId="683DF872" w14:textId="77777777" w:rsidR="005C7750" w:rsidRDefault="00000000" w:rsidP="00F22C8D">
      <w:pPr>
        <w:spacing w:after="120" w:line="360" w:lineRule="auto"/>
      </w:pPr>
      <w:r>
        <w:rPr>
          <w:b/>
          <w:highlight w:val="yellow"/>
          <w:rtl/>
        </w:rPr>
        <w:t>دراسة Matas (2025) بعنوان: Can We Have Both? The Challenges of Efficiency Outcomes in a Public Procurement System and Reaching the Strategic Goals of Procurement.</w:t>
      </w:r>
    </w:p>
    <w:p w14:paraId="2C71095A" w14:textId="77777777" w:rsidR="005C7750" w:rsidRDefault="00000000" w:rsidP="00F22C8D">
      <w:pPr>
        <w:spacing w:after="120" w:line="360" w:lineRule="auto"/>
      </w:pPr>
      <w:r>
        <w:rPr>
          <w:highlight w:val="yellow"/>
          <w:rtl/>
        </w:rPr>
        <w:t>هدفت الدراسة إلى: استكشاف كفاءة التكلفة في إجراءات المشتريات العامة وتحليل العلاقة بين الشفافية والاستراتيجيات الثانوية وكفاءة الإنفاق.</w:t>
      </w:r>
    </w:p>
    <w:p w14:paraId="078096AB" w14:textId="77777777" w:rsidR="005C7750" w:rsidRDefault="00000000" w:rsidP="00F22C8D">
      <w:pPr>
        <w:spacing w:after="120" w:line="360" w:lineRule="auto"/>
      </w:pPr>
      <w:r>
        <w:rPr>
          <w:highlight w:val="yellow"/>
          <w:rtl/>
        </w:rPr>
        <w:t>أهم النتائج وأوجه الاستفادة: توصلت الدراسة إلى أهمية الشفافية والأسواق المفتوحة في تحقيق نتائج أفضل، كما أبرزت تحدي التوازن بين الكفاءة والأهداف الاستراتيجية.</w:t>
      </w:r>
    </w:p>
    <w:p w14:paraId="6B20D0D8" w14:textId="77777777" w:rsidR="005C7750" w:rsidRDefault="00000000" w:rsidP="00F22C8D">
      <w:pPr>
        <w:spacing w:after="120" w:line="360" w:lineRule="auto"/>
      </w:pPr>
      <w:r>
        <w:rPr>
          <w:b/>
          <w:highlight w:val="yellow"/>
          <w:rtl/>
        </w:rPr>
        <w:t>دراسة Gaeta &amp; Malandrino (2026) بعنوان: Transparency or Access? E-Procurement’s Two Paths to Integrity: Evidence from Italy.</w:t>
      </w:r>
    </w:p>
    <w:p w14:paraId="64F8ED8C" w14:textId="77777777" w:rsidR="005C7750" w:rsidRDefault="00000000" w:rsidP="00F22C8D">
      <w:pPr>
        <w:spacing w:after="120" w:line="360" w:lineRule="auto"/>
      </w:pPr>
      <w:r>
        <w:rPr>
          <w:highlight w:val="yellow"/>
          <w:rtl/>
        </w:rPr>
        <w:t>هدفت الدراسة إلى: اختبار ارتباط تبني المشتريات الإلكترونية بالشفافية والمنافسة الإجرائية، ودراسة أثر الرقمنة على الحد من مخاطر الفساد.</w:t>
      </w:r>
    </w:p>
    <w:p w14:paraId="3CBDF019" w14:textId="77777777" w:rsidR="005C7750" w:rsidRDefault="00000000" w:rsidP="00F22C8D">
      <w:pPr>
        <w:spacing w:after="120" w:line="360" w:lineRule="auto"/>
      </w:pPr>
      <w:r>
        <w:rPr>
          <w:highlight w:val="yellow"/>
          <w:rtl/>
        </w:rPr>
        <w:t>أهم النتائج وأوجه الاستفادة: أظهرت النتائج أن الرقمنة قد تعزز المنافسة والتتبع والإفصاح، مع اختلاف الأثر بحسب نوع الإجراء. وتفيد الدراسة الحالية في دعم بعد المشتريات الرقمية.</w:t>
      </w:r>
    </w:p>
    <w:p w14:paraId="5DB0B98F" w14:textId="77777777" w:rsidR="005C7750" w:rsidRDefault="00000000" w:rsidP="00F22C8D">
      <w:pPr>
        <w:pStyle w:val="21"/>
        <w:spacing w:before="0" w:after="160" w:line="360" w:lineRule="auto"/>
      </w:pPr>
      <w:r>
        <w:rPr>
          <w:rFonts w:ascii="Traditional Arabic" w:eastAsia="Traditional Arabic" w:hAnsi="Traditional Arabic" w:cs="Traditional Arabic"/>
          <w:highlight w:val="yellow"/>
          <w:rtl/>
        </w:rPr>
        <w:lastRenderedPageBreak/>
        <w:t>14.2 دراسات مرتبطة بـ إدارة مخاطر تعارض المصالح</w:t>
      </w:r>
    </w:p>
    <w:p w14:paraId="5FCB91EB" w14:textId="77777777" w:rsidR="005C7750" w:rsidRDefault="00000000" w:rsidP="00F22C8D">
      <w:pPr>
        <w:spacing w:after="120" w:line="360" w:lineRule="auto"/>
      </w:pPr>
      <w:r>
        <w:rPr>
          <w:b/>
          <w:highlight w:val="yellow"/>
          <w:rtl/>
        </w:rPr>
        <w:t>دراسة World Bank (2020) بعنوان: Procurement Guidance: Conflict of Interest.</w:t>
      </w:r>
    </w:p>
    <w:p w14:paraId="1FA9BE96" w14:textId="77777777" w:rsidR="005C7750" w:rsidRDefault="00000000" w:rsidP="00F22C8D">
      <w:pPr>
        <w:spacing w:after="120" w:line="360" w:lineRule="auto"/>
      </w:pPr>
      <w:r>
        <w:rPr>
          <w:highlight w:val="yellow"/>
          <w:rtl/>
        </w:rPr>
        <w:t>هدفت الدراسة إلى: تقديم إرشادات لتحديد وإدارة تعارض المصالح في لجان التقييم والمشتريات، وتوضيح آليات الإفصاح والوقاية والمعالجة.</w:t>
      </w:r>
    </w:p>
    <w:p w14:paraId="4E014EA4" w14:textId="77777777" w:rsidR="005C7750" w:rsidRDefault="00000000" w:rsidP="00F22C8D">
      <w:pPr>
        <w:spacing w:after="120" w:line="360" w:lineRule="auto"/>
      </w:pPr>
      <w:r>
        <w:rPr>
          <w:highlight w:val="yellow"/>
          <w:rtl/>
        </w:rPr>
        <w:t>أهم النتائج وأوجه الاستفادة: أكد الدليل أهمية الإفصاح والحياد وموضوعية التقييم، ويستفاد منه في بناء أبعاد المتغير الوسيط في الدراسة الحالية.</w:t>
      </w:r>
    </w:p>
    <w:p w14:paraId="2332D4BA" w14:textId="77777777" w:rsidR="005C7750" w:rsidRDefault="00000000" w:rsidP="00F22C8D">
      <w:pPr>
        <w:spacing w:after="120" w:line="360" w:lineRule="auto"/>
      </w:pPr>
      <w:r>
        <w:rPr>
          <w:b/>
          <w:highlight w:val="yellow"/>
          <w:rtl/>
        </w:rPr>
        <w:t>دراسة الفراج (2023) بعنوان: تعارض المصالح في نظام المنافسات والمشتريات الحكومية السعودي وجزاء الإخلال به.</w:t>
      </w:r>
    </w:p>
    <w:p w14:paraId="7017B3AB" w14:textId="77777777" w:rsidR="005C7750" w:rsidRDefault="00000000" w:rsidP="00F22C8D">
      <w:pPr>
        <w:spacing w:after="120" w:line="360" w:lineRule="auto"/>
      </w:pPr>
      <w:r>
        <w:rPr>
          <w:highlight w:val="yellow"/>
          <w:rtl/>
        </w:rPr>
        <w:t>هدفت الدراسة إلى: تحليل أحكام تعارض المصالح في نظام المنافسات والمشتريات السعودي وبيان الجزاءات النظامية المترتبة على الإخلال.</w:t>
      </w:r>
    </w:p>
    <w:p w14:paraId="585487A1" w14:textId="77777777" w:rsidR="005C7750" w:rsidRDefault="00000000" w:rsidP="00F22C8D">
      <w:pPr>
        <w:spacing w:after="120" w:line="360" w:lineRule="auto"/>
      </w:pPr>
      <w:r>
        <w:rPr>
          <w:highlight w:val="yellow"/>
          <w:rtl/>
        </w:rPr>
        <w:t>أهم النتائج وأوجه الاستفادة: توصلت الدراسة إلى أن المنظم السعودي حرص على قطع طرق الفساد وشبهة الفساد وحماية المال العام. وتختلف الدراسة الحالية عنها في دراسة تعارض المصالح كمتغير إداري وسيط قابل للقياس.</w:t>
      </w:r>
    </w:p>
    <w:p w14:paraId="3DE40388" w14:textId="77777777" w:rsidR="005C7750" w:rsidRDefault="00000000" w:rsidP="00F22C8D">
      <w:pPr>
        <w:spacing w:after="120" w:line="360" w:lineRule="auto"/>
      </w:pPr>
      <w:r>
        <w:rPr>
          <w:b/>
          <w:highlight w:val="yellow"/>
          <w:rtl/>
        </w:rPr>
        <w:t>دراسة OECD (2026) بعنوان: Anti-Corruption and Integrity Outlook 2026 - Integrity in Public Procurement.</w:t>
      </w:r>
    </w:p>
    <w:p w14:paraId="6F683C4A" w14:textId="77777777" w:rsidR="005C7750" w:rsidRDefault="00000000" w:rsidP="00F22C8D">
      <w:pPr>
        <w:spacing w:after="120" w:line="360" w:lineRule="auto"/>
      </w:pPr>
      <w:r>
        <w:rPr>
          <w:highlight w:val="yellow"/>
          <w:rtl/>
        </w:rPr>
        <w:t>هدفت الدراسة إلى: تحليل ضمانات النزاهة وتعارض المصالح في المشتريات العامة، وبيان الحاجة إلى نهج قائم على المخاطر في التحقق من الإقرارات والعقوبات.</w:t>
      </w:r>
    </w:p>
    <w:p w14:paraId="0CDDD274" w14:textId="77777777" w:rsidR="005C7750" w:rsidRDefault="00000000" w:rsidP="00F22C8D">
      <w:pPr>
        <w:spacing w:after="120" w:line="360" w:lineRule="auto"/>
      </w:pPr>
      <w:r>
        <w:rPr>
          <w:highlight w:val="yellow"/>
          <w:rtl/>
        </w:rPr>
        <w:t>أهم النتائج وأوجه الاستفادة: أوصى التقرير بتعزيز فاعلية ضمانات تعارض المصالح من خلال التحقق القائم على المخاطر. وتفيد الدراسة الحالية في بناء منطق إدارة مخاطر التعارض كآلية وسيطة.</w:t>
      </w:r>
    </w:p>
    <w:p w14:paraId="34DF7173" w14:textId="77777777" w:rsidR="005C7750" w:rsidRDefault="00000000" w:rsidP="00F22C8D">
      <w:pPr>
        <w:spacing w:after="120" w:line="360" w:lineRule="auto"/>
      </w:pPr>
      <w:r>
        <w:rPr>
          <w:b/>
          <w:highlight w:val="yellow"/>
          <w:rtl/>
        </w:rPr>
        <w:t>دراسة OECD (2026) بعنوان: Competition and Corruption in Public Procurement.</w:t>
      </w:r>
    </w:p>
    <w:p w14:paraId="7B10234A" w14:textId="77777777" w:rsidR="005C7750" w:rsidRDefault="00000000" w:rsidP="00F22C8D">
      <w:pPr>
        <w:spacing w:after="120" w:line="360" w:lineRule="auto"/>
      </w:pPr>
      <w:r>
        <w:rPr>
          <w:highlight w:val="yellow"/>
          <w:rtl/>
        </w:rPr>
        <w:t>هدفت الدراسة إلى: تحليل العلاقة بين الفساد والمنافسة في المشتريات العامة وبيان صور الفساد التي تشمل الرشوة والنفوذ غير المشروع وتعارض المصالح والاحتيال.</w:t>
      </w:r>
    </w:p>
    <w:p w14:paraId="3526B7E8" w14:textId="77777777" w:rsidR="005C7750" w:rsidRDefault="00000000" w:rsidP="00F22C8D">
      <w:pPr>
        <w:spacing w:after="120" w:line="360" w:lineRule="auto"/>
      </w:pPr>
      <w:r>
        <w:rPr>
          <w:highlight w:val="yellow"/>
          <w:rtl/>
        </w:rPr>
        <w:t>أهم النتائج وأوجه الاستفادة: أوضح التقرير أن الفساد في المشتريات يضعف المنافسة ويهدر الأموال العامة ويضر بالكفاءة الاقتصادية. وتستفيد الدراسة الحالية منه في ربط تعارض المصالح بكفاءة الإنفاق.</w:t>
      </w:r>
    </w:p>
    <w:p w14:paraId="296A1A05" w14:textId="77777777" w:rsidR="005C7750" w:rsidRDefault="00000000" w:rsidP="00F22C8D">
      <w:pPr>
        <w:pStyle w:val="21"/>
        <w:spacing w:before="0" w:after="160" w:line="360" w:lineRule="auto"/>
      </w:pPr>
      <w:r>
        <w:rPr>
          <w:rFonts w:ascii="Traditional Arabic" w:eastAsia="Traditional Arabic" w:hAnsi="Traditional Arabic" w:cs="Traditional Arabic"/>
          <w:highlight w:val="yellow"/>
          <w:rtl/>
        </w:rPr>
        <w:t>14.3 دراسات مرتبطة بـ كفاءة الإنفاق</w:t>
      </w:r>
    </w:p>
    <w:p w14:paraId="66750A61" w14:textId="77777777" w:rsidR="005C7750" w:rsidRDefault="00000000" w:rsidP="00F22C8D">
      <w:pPr>
        <w:spacing w:after="120" w:line="360" w:lineRule="auto"/>
      </w:pPr>
      <w:r>
        <w:rPr>
          <w:b/>
          <w:highlight w:val="yellow"/>
          <w:rtl/>
        </w:rPr>
        <w:t>دراسة الخريجي (2021) بعنوان: قياس كفاءة الإنفاق الحكومي في المملكة العربية السعودية: دراسة مقارنة بمجموعة الدول العشرين.</w:t>
      </w:r>
    </w:p>
    <w:p w14:paraId="331C1FE7" w14:textId="77777777" w:rsidR="005C7750" w:rsidRDefault="00000000" w:rsidP="00F22C8D">
      <w:pPr>
        <w:spacing w:after="120" w:line="360" w:lineRule="auto"/>
      </w:pPr>
      <w:r>
        <w:rPr>
          <w:highlight w:val="yellow"/>
          <w:rtl/>
        </w:rPr>
        <w:t>هدفت الدراسة إلى: قياس الكفاءة النسبية للإنفاق الحكومي في المملكة مقارنة بمجموعة العشرين باستخدام تحليل مغلف البيانات، وبناء مؤشرات أداء وكفاءة للقطاع الحكومي.</w:t>
      </w:r>
    </w:p>
    <w:p w14:paraId="5900B3A3" w14:textId="77777777" w:rsidR="005C7750" w:rsidRDefault="00000000" w:rsidP="00F22C8D">
      <w:pPr>
        <w:spacing w:after="120" w:line="360" w:lineRule="auto"/>
      </w:pPr>
      <w:r>
        <w:rPr>
          <w:highlight w:val="yellow"/>
          <w:rtl/>
        </w:rPr>
        <w:t>أهم النتائج وأوجه الاستفادة: توصلت الدراسة إلى تفاوت كفاءة الإنفاق بين القطاعات، وإلى وجود هدر في بعض المجالات. وتفيد الدراسة الحالية في تأصيل قياس كفاءة الإنفاق في السعودية، مع اختلافها في تركيزها على المشتريات الحكومية.</w:t>
      </w:r>
    </w:p>
    <w:p w14:paraId="0AF86270" w14:textId="77777777" w:rsidR="005C7750" w:rsidRDefault="00000000" w:rsidP="00F22C8D">
      <w:pPr>
        <w:spacing w:after="120" w:line="360" w:lineRule="auto"/>
      </w:pPr>
      <w:r>
        <w:rPr>
          <w:b/>
          <w:highlight w:val="yellow"/>
          <w:rtl/>
        </w:rPr>
        <w:t>دراسة الغامدي (2023) بعنوان: ضمانات تحقيق كفاءة الإنفاق في العقود الحكومية والرقابة عليها في النظام السعودي.</w:t>
      </w:r>
    </w:p>
    <w:p w14:paraId="75E51D94" w14:textId="77777777" w:rsidR="005C7750" w:rsidRDefault="00000000" w:rsidP="00F22C8D">
      <w:pPr>
        <w:spacing w:after="120" w:line="360" w:lineRule="auto"/>
      </w:pPr>
      <w:r>
        <w:rPr>
          <w:highlight w:val="yellow"/>
          <w:rtl/>
        </w:rPr>
        <w:lastRenderedPageBreak/>
        <w:t>هدفت الدراسة إلى: بيان آليات تحقيق كفاءة الإنفاق في مراحل العقود الحكومية ودور الجهات الرقابية، وتحليل النصوص النظامية ذات الصلة.</w:t>
      </w:r>
    </w:p>
    <w:p w14:paraId="71ACAE20" w14:textId="77777777" w:rsidR="005C7750" w:rsidRDefault="00000000" w:rsidP="00F22C8D">
      <w:pPr>
        <w:spacing w:after="120" w:line="360" w:lineRule="auto"/>
      </w:pPr>
      <w:r>
        <w:rPr>
          <w:highlight w:val="yellow"/>
          <w:rtl/>
        </w:rPr>
        <w:t>أهم النتائج وأوجه الاستفادة: أوصت الدراسة بضبط إجراءات العقد الحكومي وتدريب الكوادر المتخصصة. وتختلف الدراسة الحالية عنها في اعتمادها على اختبار ميداني لأثر الحوكمة وإدارة مخاطر التعارض.</w:t>
      </w:r>
    </w:p>
    <w:p w14:paraId="08A0E91B" w14:textId="77777777" w:rsidR="005C7750" w:rsidRDefault="00000000" w:rsidP="00F22C8D">
      <w:pPr>
        <w:spacing w:after="120" w:line="360" w:lineRule="auto"/>
      </w:pPr>
      <w:r>
        <w:rPr>
          <w:b/>
          <w:highlight w:val="yellow"/>
          <w:rtl/>
        </w:rPr>
        <w:t>دراسة هيئة كفاءة الإنفاق والمشروعات الحكومية (2025) بعنوان: مفهوم كفاءة الإنفاق في المملكة العربية السعودية: مفاهيم ودروس رئيسية.</w:t>
      </w:r>
    </w:p>
    <w:p w14:paraId="201B5E71" w14:textId="77777777" w:rsidR="005C7750" w:rsidRDefault="00000000" w:rsidP="00F22C8D">
      <w:pPr>
        <w:spacing w:after="120" w:line="360" w:lineRule="auto"/>
      </w:pPr>
      <w:r>
        <w:rPr>
          <w:highlight w:val="yellow"/>
          <w:rtl/>
        </w:rPr>
        <w:t>هدفت الدراسة إلى: توضيح مفهوم كفاءة الإنفاق ومنهجيات قياسه وأسباب فجوات الكفاءة ودور الهيئة والجهات الحكومية في رفع كفاءة الإنفاق.</w:t>
      </w:r>
    </w:p>
    <w:p w14:paraId="5502E047" w14:textId="77777777" w:rsidR="005C7750" w:rsidRDefault="00000000" w:rsidP="00F22C8D">
      <w:pPr>
        <w:spacing w:after="120" w:line="360" w:lineRule="auto"/>
      </w:pPr>
      <w:r>
        <w:rPr>
          <w:highlight w:val="yellow"/>
          <w:rtl/>
        </w:rPr>
        <w:t>أهم النتائج وأوجه الاستفادة: ميزت الورقة بين الكفاءة الفنية وكفاءة تخصيص الموارد، وربطت فجوات الكفاءة بضعف الحوكمة وإدارة الإنفاق. وتعد مرجعًا رئيسًا لتعريف المتغير التابع.</w:t>
      </w:r>
    </w:p>
    <w:p w14:paraId="6A62EBB7" w14:textId="77777777" w:rsidR="005C7750" w:rsidRDefault="00000000" w:rsidP="00F22C8D">
      <w:pPr>
        <w:spacing w:after="120" w:line="360" w:lineRule="auto"/>
      </w:pPr>
      <w:r>
        <w:rPr>
          <w:b/>
          <w:highlight w:val="yellow"/>
          <w:rtl/>
        </w:rPr>
        <w:t>دراسة Kundu, James, &amp; Rigby (2025) بعنوان: Impacts of Policy-Driven Public Procurement: A Methodological Review.</w:t>
      </w:r>
    </w:p>
    <w:p w14:paraId="6FF9C935" w14:textId="77777777" w:rsidR="005C7750" w:rsidRDefault="00000000" w:rsidP="00F22C8D">
      <w:pPr>
        <w:spacing w:after="120" w:line="360" w:lineRule="auto"/>
      </w:pPr>
      <w:r>
        <w:rPr>
          <w:highlight w:val="yellow"/>
          <w:rtl/>
        </w:rPr>
        <w:t>هدفت الدراسة إلى: مراجعة منهجية لطرق قياس أثر المشتريات العامة والبيانات المستخدمة في تقييم آثارها الاقتصادية والاجتماعية.</w:t>
      </w:r>
    </w:p>
    <w:p w14:paraId="5CA8EE83" w14:textId="77777777" w:rsidR="005C7750" w:rsidRDefault="00000000" w:rsidP="00F22C8D">
      <w:pPr>
        <w:spacing w:after="120" w:line="360" w:lineRule="auto"/>
      </w:pPr>
      <w:r>
        <w:rPr>
          <w:highlight w:val="yellow"/>
          <w:rtl/>
        </w:rPr>
        <w:t>أهم النتائج وأوجه الاستفادة: أوضحت الدراسة وجود فجوات في قياس أثر المشتريات العامة، والحاجة إلى بيانات ومنهجيات أكثر دقة. وتفيد الدراسة الحالية في تبرير استخدام نموذج ميداني يقيس الأثر غير المباشر.</w:t>
      </w:r>
    </w:p>
    <w:p w14:paraId="57D305F5" w14:textId="77777777" w:rsidR="005C7750" w:rsidRDefault="00000000" w:rsidP="00F22C8D">
      <w:pPr>
        <w:spacing w:after="120" w:line="360" w:lineRule="auto"/>
      </w:pPr>
      <w:r>
        <w:rPr>
          <w:b/>
          <w:highlight w:val="yellow"/>
          <w:rtl/>
        </w:rPr>
        <w:t>دراسة الحسين الجواني (2026) بعنوان: تعزيز كفاءة الإنفاق وحماية المال العام في نظام المنافسات والمشتريات الحكومية وفق رؤية المملكة 2030.</w:t>
      </w:r>
    </w:p>
    <w:p w14:paraId="55987732" w14:textId="77777777" w:rsidR="005C7750" w:rsidRDefault="00000000" w:rsidP="00F22C8D">
      <w:pPr>
        <w:spacing w:after="120" w:line="360" w:lineRule="auto"/>
      </w:pPr>
      <w:r>
        <w:rPr>
          <w:highlight w:val="yellow"/>
          <w:rtl/>
        </w:rPr>
        <w:t>هدفت الدراسة إلى: تحليل دور نظام المنافسات والمشتريات في حماية المال العام ورفع كفاءة الإنفاق في ضوء رؤية المملكة 2030.</w:t>
      </w:r>
    </w:p>
    <w:p w14:paraId="5521A848" w14:textId="77777777" w:rsidR="005C7750" w:rsidRDefault="00000000" w:rsidP="00F22C8D">
      <w:pPr>
        <w:spacing w:after="120" w:line="360" w:lineRule="auto"/>
      </w:pPr>
      <w:r>
        <w:rPr>
          <w:highlight w:val="yellow"/>
          <w:rtl/>
        </w:rPr>
        <w:t>أهم النتائج وأوجه الاستفادة: أبرزت الدراسة أهمية الشفافية والمساءلة والرقابة في تعزيز كفاءة الإنفاق. وتختلف الدراسة الحالية عنها في اختبار العلاقات إحصائيًا وإدخال متغير وسيط.</w:t>
      </w:r>
    </w:p>
    <w:p w14:paraId="0741BA4F" w14:textId="77777777" w:rsidR="005C7750" w:rsidRDefault="00000000" w:rsidP="00F22C8D">
      <w:pPr>
        <w:spacing w:after="240" w:line="360" w:lineRule="auto"/>
      </w:pPr>
      <w:r>
        <w:rPr>
          <w:b/>
          <w:sz w:val="22"/>
          <w:highlight w:val="yellow"/>
          <w:rtl/>
        </w:rPr>
        <w:t>جدول (6): الدراسات المرجعية موزعة حسب متغيرات الدراسة</w:t>
      </w:r>
    </w:p>
    <w:p w14:paraId="7F952E9B" w14:textId="77777777" w:rsidR="005C7750" w:rsidRDefault="00000000" w:rsidP="00F22C8D">
      <w:pPr>
        <w:pStyle w:val="21"/>
        <w:spacing w:before="0" w:after="160" w:line="360" w:lineRule="auto"/>
      </w:pPr>
      <w:r>
        <w:rPr>
          <w:rFonts w:ascii="Traditional Arabic" w:eastAsia="Traditional Arabic" w:hAnsi="Traditional Arabic" w:cs="Traditional Arabic"/>
          <w:highlight w:val="yellow"/>
          <w:rtl/>
        </w:rPr>
        <w:t>14.4 الفجوات البحثية</w:t>
      </w:r>
    </w:p>
    <w:p w14:paraId="1929DC35" w14:textId="77777777" w:rsidR="005C7750" w:rsidRDefault="00000000" w:rsidP="00F22C8D">
      <w:pPr>
        <w:spacing w:after="120" w:line="360" w:lineRule="auto"/>
        <w:ind w:left="170"/>
      </w:pPr>
      <w:r>
        <w:rPr>
          <w:highlight w:val="yellow"/>
          <w:rtl/>
        </w:rPr>
        <w:t>• الفجوة الأولى: محدودية الدراسات التي تناولت حوكمة المشتريات الحكومية وكفاءة الإنفاق في البيئة السعودية بشكل ميداني من منظور إداري كمي.</w:t>
      </w:r>
    </w:p>
    <w:p w14:paraId="75F1A64E" w14:textId="77777777" w:rsidR="005C7750" w:rsidRDefault="00000000" w:rsidP="00F22C8D">
      <w:pPr>
        <w:spacing w:after="120" w:line="360" w:lineRule="auto"/>
        <w:ind w:left="170"/>
      </w:pPr>
      <w:r>
        <w:rPr>
          <w:highlight w:val="yellow"/>
          <w:rtl/>
        </w:rPr>
        <w:t>• الفجوة الثانية: ندرة الدراسات التي اختبرت الآليات التنظيمية الوسيطة، وبخاصة إدارة مخاطر تعارض المصالح، في العلاقة بين الحوكمة وكفاءة الإنفاق.</w:t>
      </w:r>
    </w:p>
    <w:p w14:paraId="5286025C" w14:textId="77777777" w:rsidR="005C7750" w:rsidRDefault="00000000" w:rsidP="00F22C8D">
      <w:pPr>
        <w:spacing w:after="120" w:line="360" w:lineRule="auto"/>
        <w:ind w:left="170"/>
      </w:pPr>
      <w:r>
        <w:rPr>
          <w:highlight w:val="yellow"/>
          <w:rtl/>
        </w:rPr>
        <w:t>• الفجوة الثالثة: قلة الدراسات التي تناولت تعارض المصالح بوصفه متغيرًا إداريًا مؤثرًا في جودة القرار الشرائي وكفاءة تخصيص الموارد، وليس مجرد مسألة قانونية أو أخلاقية.</w:t>
      </w:r>
    </w:p>
    <w:p w14:paraId="7A155F5B" w14:textId="77777777" w:rsidR="005C7750" w:rsidRDefault="00000000" w:rsidP="00F22C8D">
      <w:pPr>
        <w:spacing w:after="120" w:line="360" w:lineRule="auto"/>
        <w:ind w:left="170"/>
      </w:pPr>
      <w:r>
        <w:rPr>
          <w:highlight w:val="yellow"/>
          <w:rtl/>
        </w:rPr>
        <w:t>• الفجوة الرابعة: غياب الدراسات التي تدرس كفاءة الإنفاق في المشتريات الحكومية وفق التصور السعودي الرسمي الذي يميز بين الكفاءة الفنية وكفاءة تخصيص الموارد، ويربطهما بخفض الهدر والقيمة مقابل المال والمواءمة الاستراتيجية.</w:t>
      </w:r>
    </w:p>
    <w:p w14:paraId="20F82165" w14:textId="77777777" w:rsidR="005C7750" w:rsidRDefault="00000000" w:rsidP="00F22C8D">
      <w:pPr>
        <w:pStyle w:val="1"/>
        <w:spacing w:before="0" w:after="160" w:line="360" w:lineRule="auto"/>
      </w:pPr>
      <w:r>
        <w:rPr>
          <w:rFonts w:ascii="Traditional Arabic" w:eastAsia="Traditional Arabic" w:hAnsi="Traditional Arabic" w:cs="Traditional Arabic"/>
          <w:rtl/>
        </w:rPr>
        <w:lastRenderedPageBreak/>
        <w:t>15. حدود الدراسة</w:t>
      </w:r>
    </w:p>
    <w:p w14:paraId="6A25D291" w14:textId="77777777" w:rsidR="005C7750" w:rsidRDefault="00000000" w:rsidP="00F22C8D">
      <w:pPr>
        <w:spacing w:after="120" w:line="360" w:lineRule="auto"/>
        <w:ind w:left="170"/>
      </w:pPr>
      <w:r>
        <w:rPr>
          <w:rtl/>
        </w:rPr>
        <w:t>• الحدود الموضوعية: تقتصر الدراسة على أثر ممارسات حوكمة المشتريات الحكومية في كفاءة الإنفاق، مع اختبار الدور الوسيط لإدارة مخاطر تعارض المصالح.</w:t>
      </w:r>
    </w:p>
    <w:p w14:paraId="480BEB54" w14:textId="77777777" w:rsidR="005C7750" w:rsidRDefault="00000000" w:rsidP="00F22C8D">
      <w:pPr>
        <w:spacing w:after="120" w:line="360" w:lineRule="auto"/>
        <w:ind w:left="170"/>
      </w:pPr>
      <w:r>
        <w:rPr>
          <w:rtl/>
        </w:rPr>
        <w:t>• الحدود المكانية: تطبق الدراسة على الجهات الحكومية في المملكة العربية السعودية.</w:t>
      </w:r>
    </w:p>
    <w:p w14:paraId="0C4FC984" w14:textId="77777777" w:rsidR="005C7750" w:rsidRDefault="00000000" w:rsidP="00F22C8D">
      <w:pPr>
        <w:spacing w:after="120" w:line="360" w:lineRule="auto"/>
        <w:ind w:left="170"/>
      </w:pPr>
      <w:r>
        <w:rPr>
          <w:rtl/>
        </w:rPr>
        <w:t>• الحدود الزمانية: تطبق الدراسة خلال العام الأكاديمي الذي يتم فيه اعتماد الخطة وجمع البيانات.</w:t>
      </w:r>
    </w:p>
    <w:p w14:paraId="6BF271D1" w14:textId="77777777" w:rsidR="005C7750" w:rsidRDefault="00000000" w:rsidP="00F22C8D">
      <w:pPr>
        <w:spacing w:after="120" w:line="360" w:lineRule="auto"/>
        <w:ind w:left="170"/>
      </w:pPr>
      <w:r>
        <w:rPr>
          <w:rtl/>
        </w:rPr>
        <w:t>• الحدود البشرية: تقتصر الدراسة على المختصين والعاملين في المشتريات والعقود الحكومية واللجان ذات العلاقة ومختصي الحوكمة والامتثال وكفاءة الإنفاق.</w:t>
      </w:r>
    </w:p>
    <w:p w14:paraId="4F0546DA" w14:textId="77777777" w:rsidR="005C7750" w:rsidRDefault="00000000" w:rsidP="00F22C8D">
      <w:pPr>
        <w:pStyle w:val="1"/>
        <w:spacing w:before="0" w:after="160" w:line="360" w:lineRule="auto"/>
      </w:pPr>
      <w:r>
        <w:rPr>
          <w:rFonts w:ascii="Traditional Arabic" w:eastAsia="Traditional Arabic" w:hAnsi="Traditional Arabic" w:cs="Traditional Arabic"/>
          <w:highlight w:val="yellow"/>
          <w:rtl/>
        </w:rPr>
        <w:t>16. وسائل جمع بيانات الدراسة</w:t>
      </w:r>
    </w:p>
    <w:p w14:paraId="187BF0A4" w14:textId="77777777" w:rsidR="005C7750" w:rsidRDefault="00000000" w:rsidP="00F22C8D">
      <w:pPr>
        <w:spacing w:after="120" w:line="360" w:lineRule="auto"/>
        <w:ind w:left="170"/>
      </w:pPr>
      <w:r>
        <w:rPr>
          <w:rtl/>
        </w:rPr>
        <w:t>• الاستبانة: تمثل الأداة الرئيسة لجمع البيانات، وستصمم وفق مقياس ليكرت الخماسي لقياس أبعاد المتغيرات الثلاثة.</w:t>
      </w:r>
    </w:p>
    <w:p w14:paraId="65CB7614" w14:textId="77777777" w:rsidR="005C7750" w:rsidRDefault="00000000" w:rsidP="00F22C8D">
      <w:pPr>
        <w:spacing w:after="120" w:line="360" w:lineRule="auto"/>
        <w:ind w:left="170"/>
      </w:pPr>
      <w:r>
        <w:rPr>
          <w:rtl/>
        </w:rPr>
        <w:t>• المراجعة الوثائقية: تشمل الأنظمة واللوائح والتقارير الرسمية الصادرة عن وزارة المالية وهيئة كفاءة الإنفاق والمشروعات الحكومية والجهات ذات العلاقة.</w:t>
      </w:r>
    </w:p>
    <w:p w14:paraId="497DC770" w14:textId="77777777" w:rsidR="005C7750" w:rsidRDefault="00000000" w:rsidP="00F22C8D">
      <w:pPr>
        <w:spacing w:after="120" w:line="360" w:lineRule="auto"/>
        <w:ind w:left="170"/>
      </w:pPr>
      <w:r>
        <w:rPr>
          <w:highlight w:val="yellow"/>
          <w:rtl/>
        </w:rPr>
        <w:t>• المقابلات المعمقة المحدودة: تقترح الدراسة إجراء مقابلات مع عدد محدود من القيادات أو الخبراء في المشتريات الحكومية لدعم تفسير النتائج الكمية والتحقق من ملاءمة الأبعاد للواقع العملي.</w:t>
      </w:r>
    </w:p>
    <w:p w14:paraId="7958FC49" w14:textId="77777777" w:rsidR="005C7750" w:rsidRDefault="00000000" w:rsidP="00F22C8D">
      <w:pPr>
        <w:spacing w:after="120" w:line="360" w:lineRule="auto"/>
        <w:ind w:left="170"/>
      </w:pPr>
      <w:r>
        <w:rPr>
          <w:highlight w:val="yellow"/>
          <w:rtl/>
        </w:rPr>
        <w:t>• التحكيم العلمي والمهني: عرض الاستبانة على محكمين أكاديميين ومهنيين للتأكد من صدق المحتوى وملاءمة الصياغة.</w:t>
      </w:r>
    </w:p>
    <w:p w14:paraId="65D36C3C" w14:textId="77777777" w:rsidR="005C7750" w:rsidRDefault="00000000" w:rsidP="00F22C8D">
      <w:pPr>
        <w:pStyle w:val="1"/>
        <w:spacing w:before="0" w:after="160" w:line="360" w:lineRule="auto"/>
      </w:pPr>
      <w:r>
        <w:rPr>
          <w:rFonts w:ascii="Traditional Arabic" w:eastAsia="Traditional Arabic" w:hAnsi="Traditional Arabic" w:cs="Traditional Arabic"/>
          <w:highlight w:val="yellow"/>
          <w:rtl/>
        </w:rPr>
        <w:t>17. المعالجات الإحصائية المقترحة</w:t>
      </w:r>
    </w:p>
    <w:tbl>
      <w:tblPr>
        <w:tblStyle w:val="afa"/>
        <w:bidiVisual/>
        <w:tblW w:w="0" w:type="auto"/>
        <w:jc w:val="center"/>
        <w:tblLook w:val="04A0" w:firstRow="1" w:lastRow="0" w:firstColumn="1" w:lastColumn="0" w:noHBand="0" w:noVBand="1"/>
      </w:tblPr>
      <w:tblGrid>
        <w:gridCol w:w="1096"/>
        <w:gridCol w:w="2736"/>
        <w:gridCol w:w="5456"/>
      </w:tblGrid>
      <w:tr w:rsidR="005C7750" w14:paraId="75E48B7F" w14:textId="77777777">
        <w:trPr>
          <w:jc w:val="center"/>
        </w:trPr>
        <w:tc>
          <w:tcPr>
            <w:tcW w:w="1134" w:type="dxa"/>
            <w:shd w:val="clear" w:color="auto" w:fill="D9EAF7"/>
            <w:vAlign w:val="center"/>
          </w:tcPr>
          <w:p w14:paraId="7AEC3367" w14:textId="77777777" w:rsidR="005C7750" w:rsidRDefault="00000000" w:rsidP="00F22C8D">
            <w:pPr>
              <w:spacing w:after="120" w:line="360" w:lineRule="auto"/>
            </w:pPr>
            <w:r>
              <w:rPr>
                <w:b/>
                <w:rtl/>
              </w:rPr>
              <w:t>م</w:t>
            </w:r>
          </w:p>
        </w:tc>
        <w:tc>
          <w:tcPr>
            <w:tcW w:w="2835" w:type="dxa"/>
            <w:shd w:val="clear" w:color="auto" w:fill="D9EAF7"/>
            <w:vAlign w:val="center"/>
          </w:tcPr>
          <w:p w14:paraId="527CEF0D" w14:textId="77777777" w:rsidR="005C7750" w:rsidRDefault="00000000" w:rsidP="00F22C8D">
            <w:pPr>
              <w:spacing w:after="120" w:line="360" w:lineRule="auto"/>
            </w:pPr>
            <w:r>
              <w:rPr>
                <w:b/>
                <w:rtl/>
              </w:rPr>
              <w:t>المرحلة</w:t>
            </w:r>
          </w:p>
        </w:tc>
        <w:tc>
          <w:tcPr>
            <w:tcW w:w="5669" w:type="dxa"/>
            <w:shd w:val="clear" w:color="auto" w:fill="D9EAF7"/>
            <w:vAlign w:val="center"/>
          </w:tcPr>
          <w:p w14:paraId="1DEBB0A6" w14:textId="77777777" w:rsidR="005C7750" w:rsidRDefault="00000000" w:rsidP="00F22C8D">
            <w:pPr>
              <w:spacing w:after="120" w:line="360" w:lineRule="auto"/>
            </w:pPr>
            <w:r>
              <w:rPr>
                <w:b/>
                <w:rtl/>
              </w:rPr>
              <w:t>الإجراء/الاختبار</w:t>
            </w:r>
          </w:p>
        </w:tc>
      </w:tr>
      <w:tr w:rsidR="005C7750" w14:paraId="06E66DE1" w14:textId="77777777">
        <w:trPr>
          <w:jc w:val="center"/>
        </w:trPr>
        <w:tc>
          <w:tcPr>
            <w:tcW w:w="1134" w:type="dxa"/>
            <w:shd w:val="clear" w:color="auto" w:fill="FFF2CC"/>
          </w:tcPr>
          <w:p w14:paraId="5BC87402" w14:textId="77777777" w:rsidR="005C7750" w:rsidRDefault="00000000" w:rsidP="00F22C8D">
            <w:pPr>
              <w:spacing w:after="120" w:line="360" w:lineRule="auto"/>
            </w:pPr>
            <w:r>
              <w:rPr>
                <w:sz w:val="22"/>
                <w:rtl/>
              </w:rPr>
              <w:t>1</w:t>
            </w:r>
          </w:p>
        </w:tc>
        <w:tc>
          <w:tcPr>
            <w:tcW w:w="2835" w:type="dxa"/>
            <w:shd w:val="clear" w:color="auto" w:fill="FFF2CC"/>
          </w:tcPr>
          <w:p w14:paraId="341747B8" w14:textId="77777777" w:rsidR="005C7750" w:rsidRDefault="00000000" w:rsidP="00F22C8D">
            <w:pPr>
              <w:spacing w:after="120" w:line="360" w:lineRule="auto"/>
            </w:pPr>
            <w:r>
              <w:rPr>
                <w:sz w:val="22"/>
                <w:rtl/>
              </w:rPr>
              <w:t>تنظيف البيانات</w:t>
            </w:r>
          </w:p>
        </w:tc>
        <w:tc>
          <w:tcPr>
            <w:tcW w:w="5669" w:type="dxa"/>
            <w:shd w:val="clear" w:color="auto" w:fill="FFF2CC"/>
          </w:tcPr>
          <w:p w14:paraId="7C273342" w14:textId="77777777" w:rsidR="005C7750" w:rsidRDefault="00000000" w:rsidP="00F22C8D">
            <w:pPr>
              <w:spacing w:after="120" w:line="360" w:lineRule="auto"/>
            </w:pPr>
            <w:r>
              <w:rPr>
                <w:sz w:val="22"/>
                <w:rtl/>
              </w:rPr>
              <w:t>فحص القيم الناقصة، الاستجابات غير المكتملة، القيم الشاذة، والاستجابات النمطية.</w:t>
            </w:r>
          </w:p>
        </w:tc>
      </w:tr>
      <w:tr w:rsidR="005C7750" w14:paraId="363BEABD" w14:textId="77777777">
        <w:trPr>
          <w:jc w:val="center"/>
        </w:trPr>
        <w:tc>
          <w:tcPr>
            <w:tcW w:w="1134" w:type="dxa"/>
            <w:shd w:val="clear" w:color="auto" w:fill="FFF2CC"/>
          </w:tcPr>
          <w:p w14:paraId="511210CD" w14:textId="77777777" w:rsidR="005C7750" w:rsidRDefault="00000000" w:rsidP="00F22C8D">
            <w:pPr>
              <w:spacing w:after="120" w:line="360" w:lineRule="auto"/>
            </w:pPr>
            <w:r>
              <w:rPr>
                <w:sz w:val="22"/>
                <w:rtl/>
              </w:rPr>
              <w:t>2</w:t>
            </w:r>
          </w:p>
        </w:tc>
        <w:tc>
          <w:tcPr>
            <w:tcW w:w="2835" w:type="dxa"/>
            <w:shd w:val="clear" w:color="auto" w:fill="FFF2CC"/>
          </w:tcPr>
          <w:p w14:paraId="3D1B6DED" w14:textId="77777777" w:rsidR="005C7750" w:rsidRDefault="00000000" w:rsidP="00F22C8D">
            <w:pPr>
              <w:spacing w:after="120" w:line="360" w:lineRule="auto"/>
            </w:pPr>
            <w:r>
              <w:rPr>
                <w:sz w:val="22"/>
                <w:rtl/>
              </w:rPr>
              <w:t>اختبار الصدق والثبات</w:t>
            </w:r>
          </w:p>
        </w:tc>
        <w:tc>
          <w:tcPr>
            <w:tcW w:w="5669" w:type="dxa"/>
            <w:shd w:val="clear" w:color="auto" w:fill="FFF2CC"/>
          </w:tcPr>
          <w:p w14:paraId="6054F4B0" w14:textId="77777777" w:rsidR="005C7750" w:rsidRDefault="00000000" w:rsidP="00F22C8D">
            <w:pPr>
              <w:spacing w:after="120" w:line="360" w:lineRule="auto"/>
            </w:pPr>
            <w:r>
              <w:rPr>
                <w:sz w:val="22"/>
                <w:rtl/>
              </w:rPr>
              <w:t>معامل كرونباخ ألفا، الصدق الظاهري والمحتوائي، الصدق البنائي والتقاربي والتمييزي.</w:t>
            </w:r>
          </w:p>
        </w:tc>
      </w:tr>
      <w:tr w:rsidR="005C7750" w14:paraId="3C80FA13" w14:textId="77777777">
        <w:trPr>
          <w:jc w:val="center"/>
        </w:trPr>
        <w:tc>
          <w:tcPr>
            <w:tcW w:w="1134" w:type="dxa"/>
            <w:shd w:val="clear" w:color="auto" w:fill="FFF2CC"/>
          </w:tcPr>
          <w:p w14:paraId="33A93698" w14:textId="77777777" w:rsidR="005C7750" w:rsidRDefault="00000000" w:rsidP="00F22C8D">
            <w:pPr>
              <w:spacing w:after="120" w:line="360" w:lineRule="auto"/>
            </w:pPr>
            <w:r>
              <w:rPr>
                <w:sz w:val="22"/>
                <w:rtl/>
              </w:rPr>
              <w:t>3</w:t>
            </w:r>
          </w:p>
        </w:tc>
        <w:tc>
          <w:tcPr>
            <w:tcW w:w="2835" w:type="dxa"/>
            <w:shd w:val="clear" w:color="auto" w:fill="FFF2CC"/>
          </w:tcPr>
          <w:p w14:paraId="7DA02834" w14:textId="77777777" w:rsidR="005C7750" w:rsidRDefault="00000000" w:rsidP="00F22C8D">
            <w:pPr>
              <w:spacing w:after="120" w:line="360" w:lineRule="auto"/>
            </w:pPr>
            <w:r>
              <w:rPr>
                <w:sz w:val="22"/>
                <w:rtl/>
              </w:rPr>
              <w:t>الإحصاء الوصفي</w:t>
            </w:r>
          </w:p>
        </w:tc>
        <w:tc>
          <w:tcPr>
            <w:tcW w:w="5669" w:type="dxa"/>
            <w:shd w:val="clear" w:color="auto" w:fill="FFF2CC"/>
          </w:tcPr>
          <w:p w14:paraId="04333B92" w14:textId="77777777" w:rsidR="005C7750" w:rsidRDefault="00000000" w:rsidP="00F22C8D">
            <w:pPr>
              <w:spacing w:after="120" w:line="360" w:lineRule="auto"/>
            </w:pPr>
            <w:r>
              <w:rPr>
                <w:sz w:val="22"/>
                <w:rtl/>
              </w:rPr>
              <w:t>المتوسطات، الانحرافات المعيارية، التكرارات، النسب المئوية.</w:t>
            </w:r>
          </w:p>
        </w:tc>
      </w:tr>
      <w:tr w:rsidR="005C7750" w14:paraId="3D6848F8" w14:textId="77777777">
        <w:trPr>
          <w:jc w:val="center"/>
        </w:trPr>
        <w:tc>
          <w:tcPr>
            <w:tcW w:w="1134" w:type="dxa"/>
            <w:shd w:val="clear" w:color="auto" w:fill="FFF2CC"/>
          </w:tcPr>
          <w:p w14:paraId="3B0680EC" w14:textId="77777777" w:rsidR="005C7750" w:rsidRDefault="00000000" w:rsidP="00F22C8D">
            <w:pPr>
              <w:spacing w:after="120" w:line="360" w:lineRule="auto"/>
            </w:pPr>
            <w:r>
              <w:rPr>
                <w:sz w:val="22"/>
                <w:rtl/>
              </w:rPr>
              <w:t>4</w:t>
            </w:r>
          </w:p>
        </w:tc>
        <w:tc>
          <w:tcPr>
            <w:tcW w:w="2835" w:type="dxa"/>
            <w:shd w:val="clear" w:color="auto" w:fill="FFF2CC"/>
          </w:tcPr>
          <w:p w14:paraId="038CA54B" w14:textId="77777777" w:rsidR="005C7750" w:rsidRDefault="00000000" w:rsidP="00F22C8D">
            <w:pPr>
              <w:spacing w:after="120" w:line="360" w:lineRule="auto"/>
            </w:pPr>
            <w:r>
              <w:rPr>
                <w:sz w:val="22"/>
                <w:rtl/>
              </w:rPr>
              <w:t>اختبار تحيز الطريقة الواحدة</w:t>
            </w:r>
          </w:p>
        </w:tc>
        <w:tc>
          <w:tcPr>
            <w:tcW w:w="5669" w:type="dxa"/>
            <w:shd w:val="clear" w:color="auto" w:fill="FFF2CC"/>
          </w:tcPr>
          <w:p w14:paraId="45ADF3A1" w14:textId="77777777" w:rsidR="005C7750" w:rsidRDefault="00000000" w:rsidP="00F22C8D">
            <w:pPr>
              <w:spacing w:after="120" w:line="360" w:lineRule="auto"/>
            </w:pPr>
            <w:r>
              <w:rPr>
                <w:sz w:val="22"/>
                <w:rtl/>
              </w:rPr>
              <w:t>Harman’s Single Factor Test ضمن تحليل العوامل الاستكشافية.</w:t>
            </w:r>
          </w:p>
        </w:tc>
      </w:tr>
      <w:tr w:rsidR="005C7750" w14:paraId="0D503FEB" w14:textId="77777777">
        <w:trPr>
          <w:jc w:val="center"/>
        </w:trPr>
        <w:tc>
          <w:tcPr>
            <w:tcW w:w="1134" w:type="dxa"/>
            <w:shd w:val="clear" w:color="auto" w:fill="FFF2CC"/>
          </w:tcPr>
          <w:p w14:paraId="64C437FF" w14:textId="77777777" w:rsidR="005C7750" w:rsidRDefault="00000000" w:rsidP="00F22C8D">
            <w:pPr>
              <w:spacing w:after="120" w:line="360" w:lineRule="auto"/>
            </w:pPr>
            <w:r>
              <w:rPr>
                <w:sz w:val="22"/>
                <w:rtl/>
              </w:rPr>
              <w:t>5</w:t>
            </w:r>
          </w:p>
        </w:tc>
        <w:tc>
          <w:tcPr>
            <w:tcW w:w="2835" w:type="dxa"/>
            <w:shd w:val="clear" w:color="auto" w:fill="FFF2CC"/>
          </w:tcPr>
          <w:p w14:paraId="56A50CAC" w14:textId="77777777" w:rsidR="005C7750" w:rsidRDefault="00000000" w:rsidP="00F22C8D">
            <w:pPr>
              <w:spacing w:after="120" w:line="360" w:lineRule="auto"/>
            </w:pPr>
            <w:r>
              <w:rPr>
                <w:sz w:val="22"/>
                <w:rtl/>
              </w:rPr>
              <w:t>اختبار الفروق</w:t>
            </w:r>
          </w:p>
        </w:tc>
        <w:tc>
          <w:tcPr>
            <w:tcW w:w="5669" w:type="dxa"/>
            <w:shd w:val="clear" w:color="auto" w:fill="FFF2CC"/>
          </w:tcPr>
          <w:p w14:paraId="14E416ED" w14:textId="77777777" w:rsidR="005C7750" w:rsidRDefault="00000000" w:rsidP="00F22C8D">
            <w:pPr>
              <w:spacing w:after="120" w:line="360" w:lineRule="auto"/>
            </w:pPr>
            <w:r>
              <w:rPr>
                <w:sz w:val="22"/>
                <w:rtl/>
              </w:rPr>
              <w:t>T-test وANOVA وفق المتغيرات الديموغرافية.</w:t>
            </w:r>
          </w:p>
        </w:tc>
      </w:tr>
      <w:tr w:rsidR="005C7750" w14:paraId="1AF249A2" w14:textId="77777777">
        <w:trPr>
          <w:jc w:val="center"/>
        </w:trPr>
        <w:tc>
          <w:tcPr>
            <w:tcW w:w="1134" w:type="dxa"/>
            <w:shd w:val="clear" w:color="auto" w:fill="FFF2CC"/>
          </w:tcPr>
          <w:p w14:paraId="5AB0C83A" w14:textId="77777777" w:rsidR="005C7750" w:rsidRDefault="00000000" w:rsidP="00F22C8D">
            <w:pPr>
              <w:spacing w:after="120" w:line="360" w:lineRule="auto"/>
            </w:pPr>
            <w:r>
              <w:rPr>
                <w:sz w:val="22"/>
                <w:rtl/>
              </w:rPr>
              <w:t>6</w:t>
            </w:r>
          </w:p>
        </w:tc>
        <w:tc>
          <w:tcPr>
            <w:tcW w:w="2835" w:type="dxa"/>
            <w:shd w:val="clear" w:color="auto" w:fill="FFF2CC"/>
          </w:tcPr>
          <w:p w14:paraId="4AFE3934" w14:textId="77777777" w:rsidR="005C7750" w:rsidRDefault="00000000" w:rsidP="00F22C8D">
            <w:pPr>
              <w:spacing w:after="120" w:line="360" w:lineRule="auto"/>
            </w:pPr>
            <w:r>
              <w:rPr>
                <w:sz w:val="22"/>
                <w:rtl/>
              </w:rPr>
              <w:t>تحليل الارتباط</w:t>
            </w:r>
          </w:p>
        </w:tc>
        <w:tc>
          <w:tcPr>
            <w:tcW w:w="5669" w:type="dxa"/>
            <w:shd w:val="clear" w:color="auto" w:fill="FFF2CC"/>
          </w:tcPr>
          <w:p w14:paraId="15E55B75" w14:textId="77777777" w:rsidR="005C7750" w:rsidRDefault="00000000" w:rsidP="00F22C8D">
            <w:pPr>
              <w:spacing w:after="120" w:line="360" w:lineRule="auto"/>
            </w:pPr>
            <w:r>
              <w:rPr>
                <w:sz w:val="22"/>
                <w:rtl/>
              </w:rPr>
              <w:t>معامل ارتباط بيرسون بين المتغيرات وأبعادها.</w:t>
            </w:r>
          </w:p>
        </w:tc>
      </w:tr>
      <w:tr w:rsidR="005C7750" w14:paraId="09DF5E21" w14:textId="77777777">
        <w:trPr>
          <w:jc w:val="center"/>
        </w:trPr>
        <w:tc>
          <w:tcPr>
            <w:tcW w:w="1134" w:type="dxa"/>
            <w:shd w:val="clear" w:color="auto" w:fill="FFF2CC"/>
          </w:tcPr>
          <w:p w14:paraId="5BFF932F" w14:textId="77777777" w:rsidR="005C7750" w:rsidRDefault="00000000" w:rsidP="00F22C8D">
            <w:pPr>
              <w:spacing w:after="120" w:line="360" w:lineRule="auto"/>
            </w:pPr>
            <w:r>
              <w:rPr>
                <w:sz w:val="22"/>
                <w:rtl/>
              </w:rPr>
              <w:t>7</w:t>
            </w:r>
          </w:p>
        </w:tc>
        <w:tc>
          <w:tcPr>
            <w:tcW w:w="2835" w:type="dxa"/>
            <w:shd w:val="clear" w:color="auto" w:fill="FFF2CC"/>
          </w:tcPr>
          <w:p w14:paraId="76BE48EA" w14:textId="77777777" w:rsidR="005C7750" w:rsidRDefault="00000000" w:rsidP="00F22C8D">
            <w:pPr>
              <w:spacing w:after="120" w:line="360" w:lineRule="auto"/>
            </w:pPr>
            <w:r>
              <w:rPr>
                <w:sz w:val="22"/>
                <w:rtl/>
              </w:rPr>
              <w:t>تحليل الانحدار المتعدد</w:t>
            </w:r>
          </w:p>
        </w:tc>
        <w:tc>
          <w:tcPr>
            <w:tcW w:w="5669" w:type="dxa"/>
            <w:shd w:val="clear" w:color="auto" w:fill="FFF2CC"/>
          </w:tcPr>
          <w:p w14:paraId="7D0026D9" w14:textId="77777777" w:rsidR="005C7750" w:rsidRDefault="00000000" w:rsidP="00F22C8D">
            <w:pPr>
              <w:spacing w:after="120" w:line="360" w:lineRule="auto"/>
            </w:pPr>
            <w:r>
              <w:rPr>
                <w:sz w:val="22"/>
                <w:rtl/>
              </w:rPr>
              <w:t>اختبار الأثر التفاضلي لأبعاد الحوكمة في كفاءة الإنفاق وبناء نموذج تنبؤي.</w:t>
            </w:r>
          </w:p>
        </w:tc>
      </w:tr>
      <w:tr w:rsidR="005C7750" w14:paraId="1FF88ADD" w14:textId="77777777">
        <w:trPr>
          <w:jc w:val="center"/>
        </w:trPr>
        <w:tc>
          <w:tcPr>
            <w:tcW w:w="1134" w:type="dxa"/>
            <w:shd w:val="clear" w:color="auto" w:fill="FFF2CC"/>
          </w:tcPr>
          <w:p w14:paraId="592ABEE0" w14:textId="77777777" w:rsidR="005C7750" w:rsidRDefault="00000000" w:rsidP="00F22C8D">
            <w:pPr>
              <w:spacing w:after="120" w:line="360" w:lineRule="auto"/>
            </w:pPr>
            <w:r>
              <w:rPr>
                <w:sz w:val="22"/>
                <w:rtl/>
              </w:rPr>
              <w:t>8</w:t>
            </w:r>
          </w:p>
        </w:tc>
        <w:tc>
          <w:tcPr>
            <w:tcW w:w="2835" w:type="dxa"/>
            <w:shd w:val="clear" w:color="auto" w:fill="FFF2CC"/>
          </w:tcPr>
          <w:p w14:paraId="57E97BA1" w14:textId="77777777" w:rsidR="005C7750" w:rsidRDefault="00000000" w:rsidP="00F22C8D">
            <w:pPr>
              <w:spacing w:after="120" w:line="360" w:lineRule="auto"/>
            </w:pPr>
            <w:r>
              <w:rPr>
                <w:sz w:val="22"/>
                <w:rtl/>
              </w:rPr>
              <w:t>النموذج البنائي SEM</w:t>
            </w:r>
          </w:p>
        </w:tc>
        <w:tc>
          <w:tcPr>
            <w:tcW w:w="5669" w:type="dxa"/>
            <w:shd w:val="clear" w:color="auto" w:fill="FFF2CC"/>
          </w:tcPr>
          <w:p w14:paraId="3338AAAD" w14:textId="77777777" w:rsidR="005C7750" w:rsidRDefault="00000000" w:rsidP="00F22C8D">
            <w:pPr>
              <w:spacing w:after="120" w:line="360" w:lineRule="auto"/>
            </w:pPr>
            <w:r>
              <w:rPr>
                <w:sz w:val="22"/>
                <w:rtl/>
              </w:rPr>
              <w:t>اختبار العلاقات المباشرة وغير المباشرة بين المتغيرات.</w:t>
            </w:r>
          </w:p>
        </w:tc>
      </w:tr>
      <w:tr w:rsidR="005C7750" w14:paraId="67731C16" w14:textId="77777777">
        <w:trPr>
          <w:jc w:val="center"/>
        </w:trPr>
        <w:tc>
          <w:tcPr>
            <w:tcW w:w="1134" w:type="dxa"/>
            <w:shd w:val="clear" w:color="auto" w:fill="FFF2CC"/>
          </w:tcPr>
          <w:p w14:paraId="1CF3F5DD" w14:textId="77777777" w:rsidR="005C7750" w:rsidRDefault="00000000" w:rsidP="00F22C8D">
            <w:pPr>
              <w:spacing w:after="120" w:line="360" w:lineRule="auto"/>
            </w:pPr>
            <w:r>
              <w:rPr>
                <w:sz w:val="22"/>
                <w:rtl/>
              </w:rPr>
              <w:lastRenderedPageBreak/>
              <w:t>9</w:t>
            </w:r>
          </w:p>
        </w:tc>
        <w:tc>
          <w:tcPr>
            <w:tcW w:w="2835" w:type="dxa"/>
            <w:shd w:val="clear" w:color="auto" w:fill="FFF2CC"/>
          </w:tcPr>
          <w:p w14:paraId="562BCDE4" w14:textId="77777777" w:rsidR="005C7750" w:rsidRDefault="00000000" w:rsidP="00F22C8D">
            <w:pPr>
              <w:spacing w:after="120" w:line="360" w:lineRule="auto"/>
            </w:pPr>
            <w:r>
              <w:rPr>
                <w:sz w:val="22"/>
                <w:rtl/>
              </w:rPr>
              <w:t>اختبار الوساطة</w:t>
            </w:r>
          </w:p>
        </w:tc>
        <w:tc>
          <w:tcPr>
            <w:tcW w:w="5669" w:type="dxa"/>
            <w:shd w:val="clear" w:color="auto" w:fill="FFF2CC"/>
          </w:tcPr>
          <w:p w14:paraId="69867CEA" w14:textId="77777777" w:rsidR="005C7750" w:rsidRDefault="00000000" w:rsidP="00F22C8D">
            <w:pPr>
              <w:spacing w:after="120" w:line="360" w:lineRule="auto"/>
            </w:pPr>
            <w:r>
              <w:rPr>
                <w:sz w:val="22"/>
                <w:rtl/>
              </w:rPr>
              <w:t>استخدام Bootstrap لاختبار الأثر الوسيط لإدارة مخاطر تعارض المصالح.</w:t>
            </w:r>
          </w:p>
        </w:tc>
      </w:tr>
    </w:tbl>
    <w:p w14:paraId="4609543B" w14:textId="77777777" w:rsidR="005C7750" w:rsidRDefault="00000000" w:rsidP="00F22C8D">
      <w:pPr>
        <w:spacing w:after="240" w:line="360" w:lineRule="auto"/>
      </w:pPr>
      <w:r>
        <w:rPr>
          <w:b/>
          <w:sz w:val="22"/>
          <w:highlight w:val="yellow"/>
          <w:rtl/>
        </w:rPr>
        <w:t>جدول (5): تسلسل خطوات تحليل البيانات والمعالجات الإحصائية</w:t>
      </w:r>
    </w:p>
    <w:p w14:paraId="6EF125E9" w14:textId="77777777" w:rsidR="005C7750" w:rsidRDefault="00000000" w:rsidP="00F22C8D">
      <w:pPr>
        <w:pStyle w:val="1"/>
        <w:spacing w:before="0" w:after="160" w:line="360" w:lineRule="auto"/>
      </w:pPr>
      <w:r>
        <w:rPr>
          <w:rFonts w:ascii="Traditional Arabic" w:eastAsia="Traditional Arabic" w:hAnsi="Traditional Arabic" w:cs="Traditional Arabic"/>
          <w:highlight w:val="yellow"/>
          <w:rtl/>
        </w:rPr>
        <w:t>18. خطوات تنفيذ خطة الدراسة</w:t>
      </w:r>
    </w:p>
    <w:p w14:paraId="34484A9D" w14:textId="77777777" w:rsidR="005C7750" w:rsidRDefault="00000000" w:rsidP="00F22C8D">
      <w:pPr>
        <w:spacing w:after="120" w:line="360" w:lineRule="auto"/>
        <w:ind w:left="170"/>
      </w:pPr>
      <w:r>
        <w:rPr>
          <w:highlight w:val="yellow"/>
          <w:rtl/>
        </w:rPr>
        <w:t>1. اعتماد العنوان النهائي والخطة بعد معالجة ملاحظات اللجنة العلمية والمشرف.</w:t>
      </w:r>
    </w:p>
    <w:p w14:paraId="54634353" w14:textId="77777777" w:rsidR="005C7750" w:rsidRDefault="00000000" w:rsidP="00F22C8D">
      <w:pPr>
        <w:spacing w:after="120" w:line="360" w:lineRule="auto"/>
        <w:ind w:left="170"/>
      </w:pPr>
      <w:r>
        <w:rPr>
          <w:highlight w:val="yellow"/>
          <w:rtl/>
        </w:rPr>
        <w:t>2. استكمال مراجعة الأدبيات والدراسات السابقة العربية والأجنبية الحديثة.</w:t>
      </w:r>
    </w:p>
    <w:p w14:paraId="7F1A9C44" w14:textId="77777777" w:rsidR="005C7750" w:rsidRDefault="00000000" w:rsidP="00F22C8D">
      <w:pPr>
        <w:spacing w:after="120" w:line="360" w:lineRule="auto"/>
        <w:ind w:left="170"/>
      </w:pPr>
      <w:r>
        <w:rPr>
          <w:highlight w:val="yellow"/>
          <w:rtl/>
        </w:rPr>
        <w:t>3. تحليل الوثائق الرسمية والأنظمة واللوائح ذات العلاقة بالمشتريات الحكومية وتعارض المصالح وكفاءة الإنفاق.</w:t>
      </w:r>
    </w:p>
    <w:p w14:paraId="3AE9EA18" w14:textId="77777777" w:rsidR="005C7750" w:rsidRDefault="00000000" w:rsidP="00F22C8D">
      <w:pPr>
        <w:spacing w:after="120" w:line="360" w:lineRule="auto"/>
        <w:ind w:left="170"/>
      </w:pPr>
      <w:r>
        <w:rPr>
          <w:rtl/>
        </w:rPr>
        <w:t>4. تطوير النموذج المفاهيمي النهائي وتحديد أبعاد المتغيرات.</w:t>
      </w:r>
    </w:p>
    <w:p w14:paraId="3AC66B44" w14:textId="77777777" w:rsidR="005C7750" w:rsidRDefault="00000000" w:rsidP="00F22C8D">
      <w:pPr>
        <w:spacing w:after="120" w:line="360" w:lineRule="auto"/>
        <w:ind w:left="170"/>
      </w:pPr>
      <w:r>
        <w:rPr>
          <w:rtl/>
        </w:rPr>
        <w:t>5. تصميم أداة الدراسة وتحكيمها أكاديميًا ومهنيًا.</w:t>
      </w:r>
    </w:p>
    <w:p w14:paraId="690DF3A8" w14:textId="77777777" w:rsidR="005C7750" w:rsidRDefault="00000000" w:rsidP="00F22C8D">
      <w:pPr>
        <w:spacing w:after="120" w:line="360" w:lineRule="auto"/>
        <w:ind w:left="170"/>
      </w:pPr>
      <w:r>
        <w:rPr>
          <w:highlight w:val="yellow"/>
          <w:rtl/>
        </w:rPr>
        <w:t>6. الحصول على الموافقات اللازمة من الجهات الحكومية أو الإدارات المختصة للمشاركة في الدراسة.</w:t>
      </w:r>
    </w:p>
    <w:p w14:paraId="574959B5" w14:textId="77777777" w:rsidR="005C7750" w:rsidRDefault="00000000" w:rsidP="00F22C8D">
      <w:pPr>
        <w:spacing w:after="120" w:line="360" w:lineRule="auto"/>
        <w:ind w:left="170"/>
      </w:pPr>
      <w:r>
        <w:rPr>
          <w:rtl/>
        </w:rPr>
        <w:t>7. تنفيذ الدراسة الاستطلاعية وإجراء التعديلات اللازمة على الأداة.</w:t>
      </w:r>
    </w:p>
    <w:p w14:paraId="34036140" w14:textId="77777777" w:rsidR="005C7750" w:rsidRDefault="00000000" w:rsidP="00F22C8D">
      <w:pPr>
        <w:spacing w:after="120" w:line="360" w:lineRule="auto"/>
        <w:ind w:left="170"/>
      </w:pPr>
      <w:r>
        <w:rPr>
          <w:rtl/>
        </w:rPr>
        <w:t>8. جمع البيانات من العينة الأساسية وفق خطة العينة الطبقية.</w:t>
      </w:r>
    </w:p>
    <w:p w14:paraId="00B6AEB1" w14:textId="77777777" w:rsidR="005C7750" w:rsidRDefault="00000000" w:rsidP="00F22C8D">
      <w:pPr>
        <w:spacing w:after="120" w:line="360" w:lineRule="auto"/>
        <w:ind w:left="170"/>
      </w:pPr>
      <w:r>
        <w:rPr>
          <w:highlight w:val="yellow"/>
          <w:rtl/>
        </w:rPr>
        <w:t>9. تنظيف البيانات ومعالجة القيم الناقصة والتحقق من صلاحية الاستجابات.</w:t>
      </w:r>
    </w:p>
    <w:p w14:paraId="7B5878FD" w14:textId="77777777" w:rsidR="005C7750" w:rsidRDefault="00000000" w:rsidP="00F22C8D">
      <w:pPr>
        <w:spacing w:after="120" w:line="360" w:lineRule="auto"/>
        <w:ind w:left="170"/>
      </w:pPr>
      <w:r>
        <w:rPr>
          <w:rtl/>
        </w:rPr>
        <w:t>10. تنفيذ التحليلات الإحصائية وفق التسلسل المحدد.</w:t>
      </w:r>
    </w:p>
    <w:p w14:paraId="0C268710" w14:textId="77777777" w:rsidR="005C7750" w:rsidRDefault="00000000" w:rsidP="00F22C8D">
      <w:pPr>
        <w:spacing w:after="120" w:line="360" w:lineRule="auto"/>
        <w:ind w:left="170"/>
      </w:pPr>
      <w:r>
        <w:rPr>
          <w:rtl/>
        </w:rPr>
        <w:t>11. تفسير النتائج في ضوء النظريات الداعمة والدراسات السابقة والسياق السعودي.</w:t>
      </w:r>
    </w:p>
    <w:p w14:paraId="3D182749" w14:textId="77777777" w:rsidR="005C7750" w:rsidRDefault="00000000" w:rsidP="00F22C8D">
      <w:pPr>
        <w:spacing w:after="120" w:line="360" w:lineRule="auto"/>
        <w:ind w:left="170"/>
      </w:pPr>
      <w:r>
        <w:rPr>
          <w:rtl/>
        </w:rPr>
        <w:t>12. صياغة التوصيات التطبيقية لصناع القرار والجهات ذات العلاقة.</w:t>
      </w:r>
    </w:p>
    <w:p w14:paraId="62A7F761" w14:textId="77777777" w:rsidR="005C7750" w:rsidRDefault="00000000" w:rsidP="00F22C8D">
      <w:pPr>
        <w:spacing w:after="120" w:line="360" w:lineRule="auto"/>
        <w:ind w:left="170"/>
      </w:pPr>
      <w:r>
        <w:rPr>
          <w:rtl/>
        </w:rPr>
        <w:t>13. إعداد الرسالة النهائية وفق متطلبات جامعة ميدأوشن والتوثيق بنظام APA الإصدار السابع.</w:t>
      </w:r>
    </w:p>
    <w:p w14:paraId="60CA389A" w14:textId="77777777" w:rsidR="005C7750" w:rsidRDefault="00000000" w:rsidP="00F22C8D">
      <w:pPr>
        <w:pStyle w:val="1"/>
        <w:spacing w:before="0" w:after="160" w:line="360" w:lineRule="auto"/>
      </w:pPr>
      <w:r>
        <w:rPr>
          <w:rFonts w:ascii="Traditional Arabic" w:eastAsia="Traditional Arabic" w:hAnsi="Traditional Arabic" w:cs="Traditional Arabic"/>
          <w:highlight w:val="yellow"/>
          <w:rtl/>
        </w:rPr>
        <w:t>19. المراجع وفق APA الإصدار السابع</w:t>
      </w:r>
    </w:p>
    <w:p w14:paraId="48EA4928" w14:textId="77777777" w:rsidR="005C7750" w:rsidRDefault="00000000" w:rsidP="00F22C8D">
      <w:pPr>
        <w:spacing w:after="120" w:line="360" w:lineRule="auto"/>
      </w:pPr>
      <w:r>
        <w:rPr>
          <w:highlight w:val="yellow"/>
          <w:rtl/>
        </w:rPr>
        <w:t>الحسين الجواني، وحيدة. (2026). تعزيز كفاءة الإنفاق وحماية المال العام في نظام المنافسات والمشتريات الحكومية وفق رؤية المملكة 2030. روح القوانين.</w:t>
      </w:r>
    </w:p>
    <w:p w14:paraId="5F055BDF" w14:textId="77777777" w:rsidR="005C7750" w:rsidRDefault="00000000" w:rsidP="00F22C8D">
      <w:pPr>
        <w:spacing w:after="120" w:line="360" w:lineRule="auto"/>
      </w:pPr>
      <w:r>
        <w:rPr>
          <w:rtl/>
        </w:rPr>
        <w:t>الخريجي، مشاعل بنت فهد. (2021). قياس كفاءة الإنفاق الحكومي في المملكة العربية السعودية: دراسة مقارنة بمجموعة الدول العشرين (G20). مجلة العلوم الإنسانية والاجتماعية، جامعة الإمام محمد بن سعود الإسلامية.</w:t>
      </w:r>
    </w:p>
    <w:p w14:paraId="6BA259C5" w14:textId="77777777" w:rsidR="005C7750" w:rsidRDefault="00000000" w:rsidP="00F22C8D">
      <w:pPr>
        <w:spacing w:after="120" w:line="360" w:lineRule="auto"/>
      </w:pPr>
      <w:r>
        <w:rPr>
          <w:rtl/>
        </w:rPr>
        <w:t>الفراج، أحمد بن سليمان بن أحمد. (2023). تعارض المصالح في نظام المنافسات والمشتريات الحكومية السعودي وجزاء الإخلال به. مجلة البحوث الفقهية والقانونية، ع40، ج1، 971-1017.</w:t>
      </w:r>
    </w:p>
    <w:p w14:paraId="4E5AB9A6" w14:textId="77777777" w:rsidR="005C7750" w:rsidRDefault="00000000" w:rsidP="00F22C8D">
      <w:pPr>
        <w:spacing w:after="120" w:line="360" w:lineRule="auto"/>
      </w:pPr>
      <w:r>
        <w:rPr>
          <w:highlight w:val="yellow"/>
          <w:rtl/>
        </w:rPr>
        <w:lastRenderedPageBreak/>
        <w:t>الغامدي، نايف بن سعد بن محمد. (2023). ضمانات تحقيق كفاءة الإنفاق في العقود الحكومية والرقابة عليها في النظام السعودي. مجلة كلية الشريعة والقانون بطنطا، 2023(38)، ج4، 1-67.</w:t>
      </w:r>
    </w:p>
    <w:p w14:paraId="0991027B" w14:textId="77777777" w:rsidR="005C7750" w:rsidRDefault="00000000" w:rsidP="00F22C8D">
      <w:pPr>
        <w:spacing w:after="120" w:line="360" w:lineRule="auto"/>
      </w:pPr>
      <w:r>
        <w:rPr>
          <w:highlight w:val="yellow"/>
          <w:rtl/>
        </w:rPr>
        <w:t>هيئة كفاءة الإنفاق والمشروعات الحكومية. (2024أ). إنجازات الهيئة خلال عام 2024م. هيئة كفاءة الإنفاق والمشروعات الحكومية.</w:t>
      </w:r>
    </w:p>
    <w:p w14:paraId="1B18CEC0" w14:textId="77777777" w:rsidR="005C7750" w:rsidRDefault="00000000" w:rsidP="00F22C8D">
      <w:pPr>
        <w:spacing w:after="120" w:line="360" w:lineRule="auto"/>
      </w:pPr>
      <w:r>
        <w:rPr>
          <w:highlight w:val="yellow"/>
          <w:rtl/>
        </w:rPr>
        <w:t>هيئة كفاءة الإنفاق والمشروعات الحكومية. (2024ب). إطلاق سبعة أدلة إرشادية للمشتريات الحكومية. هيئة كفاءة الإنفاق والمشروعات الحكومية.</w:t>
      </w:r>
    </w:p>
    <w:p w14:paraId="21C059B8" w14:textId="77777777" w:rsidR="005C7750" w:rsidRDefault="00000000" w:rsidP="00F22C8D">
      <w:pPr>
        <w:spacing w:after="120" w:line="360" w:lineRule="auto"/>
      </w:pPr>
      <w:r>
        <w:rPr>
          <w:rtl/>
        </w:rPr>
        <w:t>هيئة كفاءة الإنفاق والمشروعات الحكومية. (2025أ). مفهوم كفاءة الإنفاق في المملكة العربية السعودية: مفاهيم ودروس رئيسية. هيئة كفاءة الإنفاق والمشروعات الحكومية.</w:t>
      </w:r>
    </w:p>
    <w:p w14:paraId="6B3EA3A2" w14:textId="77777777" w:rsidR="005C7750" w:rsidRDefault="00000000" w:rsidP="00F22C8D">
      <w:pPr>
        <w:spacing w:after="120" w:line="360" w:lineRule="auto"/>
      </w:pPr>
      <w:r>
        <w:rPr>
          <w:highlight w:val="yellow"/>
          <w:rtl/>
        </w:rPr>
        <w:t>هيئة كفاءة الإنفاق والمشروعات الحكومية. (2025ب). أكثر من 4 آلاف مبادرة لكفاءة الإنفاق في الجهات الحكومية. هيئة كفاءة الإنفاق والمشروعات الحكومية.</w:t>
      </w:r>
    </w:p>
    <w:p w14:paraId="5D187C1B" w14:textId="77777777" w:rsidR="005C7750" w:rsidRDefault="00000000" w:rsidP="00F22C8D">
      <w:pPr>
        <w:spacing w:after="120" w:line="360" w:lineRule="auto"/>
      </w:pPr>
      <w:r>
        <w:rPr>
          <w:rtl/>
        </w:rPr>
        <w:t>هيئة كفاءة الإنفاق والمشروعات الحكومية. (2026). الخدمات الإلكترونية. هيئة كفاءة الإنفاق والمشروعات الحكومية.</w:t>
      </w:r>
    </w:p>
    <w:p w14:paraId="0F5DF433" w14:textId="77777777" w:rsidR="005C7750" w:rsidRDefault="00000000" w:rsidP="00F22C8D">
      <w:pPr>
        <w:spacing w:after="120" w:line="360" w:lineRule="auto"/>
      </w:pPr>
      <w:r>
        <w:rPr>
          <w:rtl/>
        </w:rPr>
        <w:t>وزارة المالية. (2021). لائحة تنظيم تعارض المصالح في تطبيق نظام المنافسات والمشتريات الحكومية ولائحته التنفيذية. وزارة المالية، المملكة العربية السعودية.</w:t>
      </w:r>
    </w:p>
    <w:p w14:paraId="226DFA95" w14:textId="77777777" w:rsidR="005C7750" w:rsidRDefault="00000000" w:rsidP="00F22C8D">
      <w:pPr>
        <w:spacing w:after="120" w:line="360" w:lineRule="auto"/>
      </w:pPr>
      <w:r>
        <w:rPr>
          <w:rtl/>
        </w:rPr>
        <w:t>وزارة المالية. (2024). نظام المنافسات والمشتريات الحكومية ولائحته التنفيذية. وزارة المالية، المملكة العربية السعودية.</w:t>
      </w:r>
    </w:p>
    <w:p w14:paraId="7032E67D" w14:textId="77777777" w:rsidR="005C7750" w:rsidRDefault="00000000" w:rsidP="00F22C8D">
      <w:pPr>
        <w:spacing w:after="120" w:line="360" w:lineRule="auto"/>
      </w:pPr>
      <w:r>
        <w:rPr>
          <w:highlight w:val="yellow"/>
          <w:rtl/>
        </w:rPr>
        <w:t>وزارة المالية. (2025أ). الميزانية العامة للدولة للعام المالي 2025م. وزارة المالية، المملكة العربية السعودية.</w:t>
      </w:r>
    </w:p>
    <w:p w14:paraId="6BC14ABC" w14:textId="77777777" w:rsidR="005C7750" w:rsidRDefault="00000000" w:rsidP="00F22C8D">
      <w:pPr>
        <w:spacing w:after="120" w:line="360" w:lineRule="auto"/>
      </w:pPr>
      <w:r>
        <w:rPr>
          <w:highlight w:val="yellow"/>
          <w:rtl/>
        </w:rPr>
        <w:t>وزارة المالية. (2025ب). البيان التمهيدي لميزانية العام المالي 2026م. وزارة المالية، المملكة العربية السعودية.</w:t>
      </w:r>
    </w:p>
    <w:p w14:paraId="715CFBEA" w14:textId="77777777" w:rsidR="005C7750" w:rsidRDefault="00000000" w:rsidP="00F22C8D">
      <w:pPr>
        <w:spacing w:after="120" w:line="360" w:lineRule="auto"/>
      </w:pPr>
      <w:r>
        <w:t>Alanzi, A. A. (2021). Saudi procurement system and regulations: Overview of local and international administrative contracts. Laws, 10(2), 37.</w:t>
      </w:r>
    </w:p>
    <w:p w14:paraId="17393653" w14:textId="77777777" w:rsidR="005C7750" w:rsidRDefault="00000000" w:rsidP="00F22C8D">
      <w:pPr>
        <w:spacing w:after="120" w:line="360" w:lineRule="auto"/>
      </w:pPr>
      <w:r>
        <w:t>Curristine, T., Lonti, Z., &amp; Joumard, I. (2007). Improving public sector efficiency: Challenges and opportunities. OECD Journal on Budgeting, 7(1), 1-41.</w:t>
      </w:r>
    </w:p>
    <w:p w14:paraId="08E5BA70" w14:textId="77777777" w:rsidR="005C7750" w:rsidRDefault="00000000" w:rsidP="00F22C8D">
      <w:pPr>
        <w:spacing w:after="120" w:line="360" w:lineRule="auto"/>
      </w:pPr>
      <w:r>
        <w:rPr>
          <w:highlight w:val="yellow"/>
        </w:rPr>
        <w:t>Eisenhardt, K. M. (1989). Agency theory: An assessment and review. Academy of Management Review, 14(1), 57-74.</w:t>
      </w:r>
    </w:p>
    <w:p w14:paraId="702E1B93" w14:textId="77777777" w:rsidR="005C7750" w:rsidRDefault="00000000" w:rsidP="00F22C8D">
      <w:pPr>
        <w:spacing w:after="120" w:line="360" w:lineRule="auto"/>
      </w:pPr>
      <w:r>
        <w:rPr>
          <w:highlight w:val="yellow"/>
        </w:rPr>
        <w:t>Freeman, R. E. (1984). Strategic management: A stakeholder approach. Pitman.</w:t>
      </w:r>
    </w:p>
    <w:p w14:paraId="33E4BBC8" w14:textId="77777777" w:rsidR="005C7750" w:rsidRDefault="00000000" w:rsidP="00F22C8D">
      <w:pPr>
        <w:spacing w:after="120" w:line="360" w:lineRule="auto"/>
      </w:pPr>
      <w:r>
        <w:rPr>
          <w:highlight w:val="yellow"/>
        </w:rPr>
        <w:t>Gaeta, G. L., &amp; Malandrino, A. (2026). Transparency or access? E-procurement’s two paths to integrity: Evidence from Italy. Regulation &amp; Governance.</w:t>
      </w:r>
    </w:p>
    <w:p w14:paraId="6904B85A" w14:textId="77777777" w:rsidR="005C7750" w:rsidRDefault="00000000" w:rsidP="00F22C8D">
      <w:pPr>
        <w:spacing w:after="120" w:line="360" w:lineRule="auto"/>
      </w:pPr>
      <w:r>
        <w:t>Herrera, S., &amp; Pang, G. (2005). Efficiency of public spending in developing countries: An efficiency frontier approach. World Bank Policy Research Working Paper No. 3645.</w:t>
      </w:r>
    </w:p>
    <w:p w14:paraId="75214695" w14:textId="77777777" w:rsidR="005C7750" w:rsidRDefault="00000000" w:rsidP="00F22C8D">
      <w:pPr>
        <w:spacing w:after="120" w:line="360" w:lineRule="auto"/>
      </w:pPr>
      <w:r>
        <w:lastRenderedPageBreak/>
        <w:t>Jensen, M. C., &amp; Meckling, W. H. (1976). Theory of the firm: Managerial behavior, agency costs and ownership structure. Journal of Financial Economics, 3(4), 305-360.</w:t>
      </w:r>
    </w:p>
    <w:p w14:paraId="189DC5EE" w14:textId="77777777" w:rsidR="005C7750" w:rsidRDefault="00000000" w:rsidP="00F22C8D">
      <w:pPr>
        <w:spacing w:after="120" w:line="360" w:lineRule="auto"/>
      </w:pPr>
      <w:r>
        <w:rPr>
          <w:highlight w:val="yellow"/>
        </w:rPr>
        <w:t>Kundu, O., James, A. D., &amp; Rigby, J. (2025). Impacts of policy-driven public procurement: A methodological review. Science and Public Policy, 52(1), 50-65.</w:t>
      </w:r>
    </w:p>
    <w:p w14:paraId="77BF026A" w14:textId="77777777" w:rsidR="005C7750" w:rsidRDefault="00000000" w:rsidP="00F22C8D">
      <w:pPr>
        <w:spacing w:after="120" w:line="360" w:lineRule="auto"/>
      </w:pPr>
      <w:r>
        <w:rPr>
          <w:highlight w:val="yellow"/>
        </w:rPr>
        <w:t>Matas, S. (2025). Can we have both? The challenges of efficiency outcomes in a public procurement system and reaching the strategic goals of procurement. Sustainability, 17(6), 2475.</w:t>
      </w:r>
    </w:p>
    <w:p w14:paraId="75CC9D3B" w14:textId="77777777" w:rsidR="005C7750" w:rsidRDefault="00000000" w:rsidP="00F22C8D">
      <w:pPr>
        <w:spacing w:after="120" w:line="360" w:lineRule="auto"/>
      </w:pPr>
      <w:r>
        <w:rPr>
          <w:highlight w:val="yellow"/>
        </w:rPr>
        <w:t>Organisation for Economic Co-operation and Development. (2025a). Government at a glance 2025. OECD Publishing.</w:t>
      </w:r>
    </w:p>
    <w:p w14:paraId="45B8E309" w14:textId="77777777" w:rsidR="005C7750" w:rsidRDefault="00000000" w:rsidP="00F22C8D">
      <w:pPr>
        <w:spacing w:after="120" w:line="360" w:lineRule="auto"/>
      </w:pPr>
      <w:r>
        <w:rPr>
          <w:highlight w:val="yellow"/>
        </w:rPr>
        <w:t>Organisation for Economic Co-operation and Development. (2025b). Digital transformation of public procurement. OECD Publishing.</w:t>
      </w:r>
    </w:p>
    <w:p w14:paraId="60EA9AD2" w14:textId="77777777" w:rsidR="005C7750" w:rsidRDefault="00000000" w:rsidP="00F22C8D">
      <w:pPr>
        <w:spacing w:after="120" w:line="360" w:lineRule="auto"/>
      </w:pPr>
      <w:r>
        <w:rPr>
          <w:highlight w:val="yellow"/>
        </w:rPr>
        <w:t>Organisation for Economic Co-operation and Development. (2026a). Anti-corruption and integrity outlook 2026. OECD Publishing.</w:t>
      </w:r>
    </w:p>
    <w:p w14:paraId="2342603A" w14:textId="77777777" w:rsidR="005C7750" w:rsidRDefault="00000000" w:rsidP="00F22C8D">
      <w:pPr>
        <w:spacing w:after="120" w:line="360" w:lineRule="auto"/>
      </w:pPr>
      <w:r>
        <w:rPr>
          <w:highlight w:val="yellow"/>
        </w:rPr>
        <w:t>Organisation for Economic Co-operation and Development. (2026b). Competition and corruption in public procurement. OECD.</w:t>
      </w:r>
    </w:p>
    <w:p w14:paraId="4472672A" w14:textId="77777777" w:rsidR="005C7750" w:rsidRDefault="00000000" w:rsidP="00F22C8D">
      <w:pPr>
        <w:spacing w:after="120" w:line="360" w:lineRule="auto"/>
      </w:pPr>
      <w:r>
        <w:rPr>
          <w:highlight w:val="yellow"/>
        </w:rPr>
        <w:t>World Bank. (2020). Procurement guidance: Conflict of interest. World Bank.</w:t>
      </w:r>
    </w:p>
    <w:p w14:paraId="73EC84C8" w14:textId="77777777" w:rsidR="005C7750" w:rsidRDefault="00000000" w:rsidP="00F22C8D">
      <w:pPr>
        <w:pStyle w:val="1"/>
        <w:spacing w:before="0" w:after="160" w:line="360" w:lineRule="auto"/>
      </w:pPr>
      <w:r>
        <w:rPr>
          <w:rFonts w:ascii="Traditional Arabic" w:eastAsia="Traditional Arabic" w:hAnsi="Traditional Arabic" w:cs="Traditional Arabic"/>
          <w:rtl/>
        </w:rPr>
        <w:t>20. جدول المراجعة الذاتية للخطة بعد التعديل</w:t>
      </w:r>
    </w:p>
    <w:tbl>
      <w:tblPr>
        <w:tblStyle w:val="afa"/>
        <w:bidiVisual/>
        <w:tblW w:w="0" w:type="auto"/>
        <w:jc w:val="center"/>
        <w:tblLook w:val="04A0" w:firstRow="1" w:lastRow="0" w:firstColumn="1" w:lastColumn="0" w:noHBand="0" w:noVBand="1"/>
      </w:tblPr>
      <w:tblGrid>
        <w:gridCol w:w="2745"/>
        <w:gridCol w:w="6543"/>
      </w:tblGrid>
      <w:tr w:rsidR="005C7750" w14:paraId="68FA2557" w14:textId="77777777">
        <w:trPr>
          <w:jc w:val="center"/>
        </w:trPr>
        <w:tc>
          <w:tcPr>
            <w:tcW w:w="2835" w:type="dxa"/>
            <w:shd w:val="clear" w:color="auto" w:fill="D9EAF7"/>
            <w:vAlign w:val="center"/>
          </w:tcPr>
          <w:p w14:paraId="53AED448" w14:textId="77777777" w:rsidR="005C7750" w:rsidRDefault="00000000" w:rsidP="00F22C8D">
            <w:pPr>
              <w:spacing w:after="120" w:line="360" w:lineRule="auto"/>
            </w:pPr>
            <w:r>
              <w:rPr>
                <w:b/>
                <w:rtl/>
              </w:rPr>
              <w:t>عنصر المراجعة</w:t>
            </w:r>
          </w:p>
        </w:tc>
        <w:tc>
          <w:tcPr>
            <w:tcW w:w="6803" w:type="dxa"/>
            <w:shd w:val="clear" w:color="auto" w:fill="D9EAF7"/>
            <w:vAlign w:val="center"/>
          </w:tcPr>
          <w:p w14:paraId="7512B016" w14:textId="77777777" w:rsidR="005C7750" w:rsidRDefault="00000000" w:rsidP="00F22C8D">
            <w:pPr>
              <w:spacing w:after="120" w:line="360" w:lineRule="auto"/>
            </w:pPr>
            <w:r>
              <w:rPr>
                <w:b/>
                <w:rtl/>
              </w:rPr>
              <w:t>التقييم بعد التعديل</w:t>
            </w:r>
          </w:p>
        </w:tc>
      </w:tr>
      <w:tr w:rsidR="005C7750" w14:paraId="45EEBE84" w14:textId="77777777">
        <w:trPr>
          <w:jc w:val="center"/>
        </w:trPr>
        <w:tc>
          <w:tcPr>
            <w:tcW w:w="2835" w:type="dxa"/>
            <w:shd w:val="clear" w:color="auto" w:fill="FFF2CC"/>
          </w:tcPr>
          <w:p w14:paraId="5F77636E" w14:textId="77777777" w:rsidR="005C7750" w:rsidRDefault="00000000" w:rsidP="00F22C8D">
            <w:pPr>
              <w:spacing w:after="120" w:line="360" w:lineRule="auto"/>
            </w:pPr>
            <w:r>
              <w:rPr>
                <w:sz w:val="22"/>
                <w:rtl/>
              </w:rPr>
              <w:t>اتساق العنوان مع المشكلة</w:t>
            </w:r>
          </w:p>
        </w:tc>
        <w:tc>
          <w:tcPr>
            <w:tcW w:w="6803" w:type="dxa"/>
            <w:shd w:val="clear" w:color="auto" w:fill="FFF2CC"/>
          </w:tcPr>
          <w:p w14:paraId="022E513A" w14:textId="77777777" w:rsidR="005C7750" w:rsidRDefault="00000000" w:rsidP="00F22C8D">
            <w:pPr>
              <w:spacing w:after="120" w:line="360" w:lineRule="auto"/>
            </w:pPr>
            <w:r>
              <w:rPr>
                <w:sz w:val="22"/>
                <w:rtl/>
              </w:rPr>
              <w:t>متسق؛ لأن العنوان يعالج العلاقة بين الحوكمة وكفاءة الإنفاق مع اختبار الدور الوسيط لإدارة مخاطر تعارض المصالح.</w:t>
            </w:r>
          </w:p>
        </w:tc>
      </w:tr>
      <w:tr w:rsidR="005C7750" w14:paraId="4BAB9847" w14:textId="77777777">
        <w:trPr>
          <w:jc w:val="center"/>
        </w:trPr>
        <w:tc>
          <w:tcPr>
            <w:tcW w:w="2835" w:type="dxa"/>
            <w:shd w:val="clear" w:color="auto" w:fill="FFF2CC"/>
          </w:tcPr>
          <w:p w14:paraId="730F9A61" w14:textId="77777777" w:rsidR="005C7750" w:rsidRDefault="00000000" w:rsidP="00F22C8D">
            <w:pPr>
              <w:spacing w:after="120" w:line="360" w:lineRule="auto"/>
            </w:pPr>
            <w:r>
              <w:rPr>
                <w:sz w:val="22"/>
                <w:rtl/>
              </w:rPr>
              <w:t>اتساق الأسئلة مع الأهداف</w:t>
            </w:r>
          </w:p>
        </w:tc>
        <w:tc>
          <w:tcPr>
            <w:tcW w:w="6803" w:type="dxa"/>
            <w:shd w:val="clear" w:color="auto" w:fill="FFF2CC"/>
          </w:tcPr>
          <w:p w14:paraId="38A27692" w14:textId="77777777" w:rsidR="005C7750" w:rsidRDefault="00000000" w:rsidP="00F22C8D">
            <w:pPr>
              <w:spacing w:after="120" w:line="360" w:lineRule="auto"/>
            </w:pPr>
            <w:r>
              <w:rPr>
                <w:sz w:val="22"/>
                <w:rtl/>
              </w:rPr>
              <w:t>تمت مواءمة كل سؤال مع هدف قابل للقياس وتحليل إحصائي مناسب.</w:t>
            </w:r>
          </w:p>
        </w:tc>
      </w:tr>
      <w:tr w:rsidR="005C7750" w14:paraId="53077E5F" w14:textId="77777777">
        <w:trPr>
          <w:jc w:val="center"/>
        </w:trPr>
        <w:tc>
          <w:tcPr>
            <w:tcW w:w="2835" w:type="dxa"/>
            <w:shd w:val="clear" w:color="auto" w:fill="FFF2CC"/>
          </w:tcPr>
          <w:p w14:paraId="10FDC273" w14:textId="77777777" w:rsidR="005C7750" w:rsidRDefault="00000000" w:rsidP="00F22C8D">
            <w:pPr>
              <w:spacing w:after="120" w:line="360" w:lineRule="auto"/>
            </w:pPr>
            <w:r>
              <w:rPr>
                <w:sz w:val="22"/>
                <w:rtl/>
              </w:rPr>
              <w:t>اتساق الفرضيات مع النموذج</w:t>
            </w:r>
          </w:p>
        </w:tc>
        <w:tc>
          <w:tcPr>
            <w:tcW w:w="6803" w:type="dxa"/>
            <w:shd w:val="clear" w:color="auto" w:fill="FFF2CC"/>
          </w:tcPr>
          <w:p w14:paraId="72196368" w14:textId="77777777" w:rsidR="005C7750" w:rsidRDefault="00000000" w:rsidP="00F22C8D">
            <w:pPr>
              <w:spacing w:after="120" w:line="360" w:lineRule="auto"/>
            </w:pPr>
            <w:r>
              <w:rPr>
                <w:sz w:val="22"/>
                <w:rtl/>
              </w:rPr>
              <w:t>الفرضيات تغطي العلاقات المباشرة والوسيطة والفروق الديموغرافية.</w:t>
            </w:r>
          </w:p>
        </w:tc>
      </w:tr>
      <w:tr w:rsidR="005C7750" w14:paraId="5C0AC4FB" w14:textId="77777777">
        <w:trPr>
          <w:jc w:val="center"/>
        </w:trPr>
        <w:tc>
          <w:tcPr>
            <w:tcW w:w="2835" w:type="dxa"/>
            <w:shd w:val="clear" w:color="auto" w:fill="FFF2CC"/>
          </w:tcPr>
          <w:p w14:paraId="6187EA6F" w14:textId="77777777" w:rsidR="005C7750" w:rsidRDefault="00000000" w:rsidP="00F22C8D">
            <w:pPr>
              <w:spacing w:after="120" w:line="360" w:lineRule="auto"/>
            </w:pPr>
            <w:r>
              <w:rPr>
                <w:sz w:val="22"/>
                <w:rtl/>
              </w:rPr>
              <w:t>قوة الإطار النظري</w:t>
            </w:r>
          </w:p>
        </w:tc>
        <w:tc>
          <w:tcPr>
            <w:tcW w:w="6803" w:type="dxa"/>
            <w:shd w:val="clear" w:color="auto" w:fill="FFF2CC"/>
          </w:tcPr>
          <w:p w14:paraId="3639A20E" w14:textId="77777777" w:rsidR="005C7750" w:rsidRDefault="00000000" w:rsidP="00F22C8D">
            <w:pPr>
              <w:spacing w:after="120" w:line="360" w:lineRule="auto"/>
            </w:pPr>
            <w:r>
              <w:rPr>
                <w:sz w:val="22"/>
                <w:rtl/>
              </w:rPr>
              <w:t>تم دعم الخطة بنظرية الوكالة ونظرية أصحاب المصلحة وتوضيح التكامل بينهما.</w:t>
            </w:r>
          </w:p>
        </w:tc>
      </w:tr>
      <w:tr w:rsidR="005C7750" w14:paraId="383A2EBD" w14:textId="77777777">
        <w:trPr>
          <w:jc w:val="center"/>
        </w:trPr>
        <w:tc>
          <w:tcPr>
            <w:tcW w:w="2835" w:type="dxa"/>
            <w:shd w:val="clear" w:color="auto" w:fill="FFF2CC"/>
          </w:tcPr>
          <w:p w14:paraId="2433BF7B" w14:textId="77777777" w:rsidR="005C7750" w:rsidRDefault="00000000" w:rsidP="00F22C8D">
            <w:pPr>
              <w:spacing w:after="120" w:line="360" w:lineRule="auto"/>
            </w:pPr>
            <w:r>
              <w:rPr>
                <w:sz w:val="22"/>
                <w:rtl/>
              </w:rPr>
              <w:lastRenderedPageBreak/>
              <w:t>مناسبة المنهج</w:t>
            </w:r>
          </w:p>
        </w:tc>
        <w:tc>
          <w:tcPr>
            <w:tcW w:w="6803" w:type="dxa"/>
            <w:shd w:val="clear" w:color="auto" w:fill="FFF2CC"/>
          </w:tcPr>
          <w:p w14:paraId="7045938B" w14:textId="77777777" w:rsidR="005C7750" w:rsidRDefault="00000000" w:rsidP="00F22C8D">
            <w:pPr>
              <w:spacing w:after="120" w:line="360" w:lineRule="auto"/>
            </w:pPr>
            <w:r>
              <w:rPr>
                <w:sz w:val="22"/>
                <w:rtl/>
              </w:rPr>
              <w:t>المنهج الكمي الوصفي التحليلي مناسب لاختبار العلاقات والنموذج الوسيط، مع دعم تفسيري بمقابلات محدودة.</w:t>
            </w:r>
          </w:p>
        </w:tc>
      </w:tr>
      <w:tr w:rsidR="005C7750" w14:paraId="2877DECD" w14:textId="77777777">
        <w:trPr>
          <w:jc w:val="center"/>
        </w:trPr>
        <w:tc>
          <w:tcPr>
            <w:tcW w:w="2835" w:type="dxa"/>
            <w:shd w:val="clear" w:color="auto" w:fill="FFF2CC"/>
          </w:tcPr>
          <w:p w14:paraId="2B1FCA39" w14:textId="77777777" w:rsidR="005C7750" w:rsidRDefault="00000000" w:rsidP="00F22C8D">
            <w:pPr>
              <w:spacing w:after="120" w:line="360" w:lineRule="auto"/>
            </w:pPr>
            <w:r>
              <w:rPr>
                <w:sz w:val="22"/>
                <w:rtl/>
              </w:rPr>
              <w:t>وضوح المجتمع والعينة</w:t>
            </w:r>
          </w:p>
        </w:tc>
        <w:tc>
          <w:tcPr>
            <w:tcW w:w="6803" w:type="dxa"/>
            <w:shd w:val="clear" w:color="auto" w:fill="FFF2CC"/>
          </w:tcPr>
          <w:p w14:paraId="7D9DC412" w14:textId="77777777" w:rsidR="005C7750" w:rsidRDefault="00000000" w:rsidP="00F22C8D">
            <w:pPr>
              <w:spacing w:after="120" w:line="360" w:lineRule="auto"/>
            </w:pPr>
            <w:r>
              <w:rPr>
                <w:sz w:val="22"/>
                <w:rtl/>
              </w:rPr>
              <w:t>تم تحديد المجتمع، العينة الطبقية، معايير الشمول والاستبعاد، وآلية الحصول على الموافقات.</w:t>
            </w:r>
          </w:p>
        </w:tc>
      </w:tr>
      <w:tr w:rsidR="005C7750" w14:paraId="741061B5" w14:textId="77777777">
        <w:trPr>
          <w:jc w:val="center"/>
        </w:trPr>
        <w:tc>
          <w:tcPr>
            <w:tcW w:w="2835" w:type="dxa"/>
            <w:shd w:val="clear" w:color="auto" w:fill="FFF2CC"/>
          </w:tcPr>
          <w:p w14:paraId="19AB267B" w14:textId="77777777" w:rsidR="005C7750" w:rsidRDefault="00000000" w:rsidP="00F22C8D">
            <w:pPr>
              <w:spacing w:after="120" w:line="360" w:lineRule="auto"/>
            </w:pPr>
            <w:r>
              <w:rPr>
                <w:sz w:val="22"/>
                <w:rtl/>
              </w:rPr>
              <w:t>كفاية الدراسات المرجعية</w:t>
            </w:r>
          </w:p>
        </w:tc>
        <w:tc>
          <w:tcPr>
            <w:tcW w:w="6803" w:type="dxa"/>
            <w:shd w:val="clear" w:color="auto" w:fill="FFF2CC"/>
          </w:tcPr>
          <w:p w14:paraId="55F00583" w14:textId="77777777" w:rsidR="005C7750" w:rsidRDefault="00000000" w:rsidP="00F22C8D">
            <w:pPr>
              <w:spacing w:after="120" w:line="360" w:lineRule="auto"/>
            </w:pPr>
            <w:r>
              <w:rPr>
                <w:sz w:val="22"/>
                <w:rtl/>
              </w:rPr>
              <w:t>تمت إضافة مراجع رسمية سعودية ودراسات عربية ودولية حديثة، مع ترتيبها وفق متغيرات الدراسة.</w:t>
            </w:r>
          </w:p>
        </w:tc>
      </w:tr>
      <w:tr w:rsidR="005C7750" w14:paraId="258D6314" w14:textId="77777777">
        <w:trPr>
          <w:jc w:val="center"/>
        </w:trPr>
        <w:tc>
          <w:tcPr>
            <w:tcW w:w="2835" w:type="dxa"/>
            <w:shd w:val="clear" w:color="auto" w:fill="FFF2CC"/>
          </w:tcPr>
          <w:p w14:paraId="338144E8" w14:textId="77777777" w:rsidR="005C7750" w:rsidRDefault="00000000" w:rsidP="00F22C8D">
            <w:pPr>
              <w:spacing w:after="120" w:line="360" w:lineRule="auto"/>
            </w:pPr>
            <w:r>
              <w:rPr>
                <w:sz w:val="22"/>
                <w:rtl/>
              </w:rPr>
              <w:t>نقاط ستستكمل عند التنفيذ</w:t>
            </w:r>
          </w:p>
        </w:tc>
        <w:tc>
          <w:tcPr>
            <w:tcW w:w="6803" w:type="dxa"/>
            <w:shd w:val="clear" w:color="auto" w:fill="FFF2CC"/>
          </w:tcPr>
          <w:p w14:paraId="013D3E58" w14:textId="77777777" w:rsidR="005C7750" w:rsidRDefault="00000000" w:rsidP="00F22C8D">
            <w:pPr>
              <w:spacing w:after="120" w:line="360" w:lineRule="auto"/>
            </w:pPr>
            <w:r>
              <w:rPr>
                <w:sz w:val="22"/>
                <w:rtl/>
              </w:rPr>
              <w:t>بناء الاستبانة التفصيلية، الحصول على الموافقات، تحديد الجهات المشاركة، ثم تطبيق الدراسة الاستطلاعية.</w:t>
            </w:r>
          </w:p>
        </w:tc>
      </w:tr>
    </w:tbl>
    <w:p w14:paraId="3C1EB715" w14:textId="77777777" w:rsidR="005C7750" w:rsidRDefault="00000000" w:rsidP="00F22C8D">
      <w:pPr>
        <w:spacing w:after="240" w:line="360" w:lineRule="auto"/>
      </w:pPr>
      <w:r>
        <w:rPr>
          <w:b/>
          <w:sz w:val="22"/>
          <w:rtl/>
        </w:rPr>
        <w:t>جدول (7): جدول المراجعة الذاتية للخطة بعد التعديل</w:t>
      </w:r>
    </w:p>
    <w:sectPr w:rsidR="005C7750" w:rsidSect="00034616">
      <w:headerReference w:type="default" r:id="rId8"/>
      <w:footerReference w:type="default" r:id="rId9"/>
      <w:pgSz w:w="11906" w:h="16838"/>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1A324" w14:textId="77777777" w:rsidR="005957C0" w:rsidRDefault="005957C0">
      <w:pPr>
        <w:spacing w:after="0" w:line="240" w:lineRule="auto"/>
      </w:pPr>
      <w:r>
        <w:separator/>
      </w:r>
    </w:p>
  </w:endnote>
  <w:endnote w:type="continuationSeparator" w:id="0">
    <w:p w14:paraId="4B633C2B" w14:textId="77777777" w:rsidR="005957C0" w:rsidRDefault="005957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82F82" w14:textId="24E05332" w:rsidR="005C7750" w:rsidRDefault="00000000">
    <w:pPr>
      <w:pStyle w:val="a6"/>
      <w:spacing w:after="120" w:line="360" w:lineRule="auto"/>
      <w:jc w:val="center"/>
    </w:pPr>
    <w:r>
      <w:rPr>
        <w:sz w:val="20"/>
        <w:rtl/>
      </w:rPr>
      <w:t xml:space="preserve">صفحة </w:t>
    </w:r>
    <w:r>
      <w:rPr>
        <w:sz w:val="20"/>
        <w:rtl/>
      </w:rPr>
      <w:fldChar w:fldCharType="begin"/>
    </w:r>
    <w:r>
      <w:rPr>
        <w:sz w:val="20"/>
        <w:rtl/>
      </w:rPr>
      <w:instrText>PAGE</w:instrText>
    </w:r>
    <w:r w:rsidR="00F22C8D">
      <w:rPr>
        <w:sz w:val="20"/>
        <w:rtl/>
      </w:rPr>
      <w:fldChar w:fldCharType="separate"/>
    </w:r>
    <w:r w:rsidR="00F22C8D">
      <w:rPr>
        <w:noProof/>
        <w:sz w:val="20"/>
        <w:rtl/>
      </w:rPr>
      <w:t>1</w:t>
    </w:r>
    <w:r>
      <w:rPr>
        <w:sz w:val="20"/>
        <w:rt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40045" w14:textId="77777777" w:rsidR="005957C0" w:rsidRDefault="005957C0">
      <w:pPr>
        <w:spacing w:after="0" w:line="240" w:lineRule="auto"/>
      </w:pPr>
      <w:r>
        <w:separator/>
      </w:r>
    </w:p>
  </w:footnote>
  <w:footnote w:type="continuationSeparator" w:id="0">
    <w:p w14:paraId="46F4F872" w14:textId="77777777" w:rsidR="005957C0" w:rsidRDefault="005957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CF06E" w14:textId="7A4784D4" w:rsidR="00025AEA" w:rsidRDefault="00025AEA" w:rsidP="00025AEA">
    <w:pPr>
      <w:pStyle w:val="a5"/>
    </w:pPr>
    <w:r w:rsidRPr="00025AEA">
      <w:drawing>
        <wp:anchor distT="0" distB="0" distL="114300" distR="114300" simplePos="0" relativeHeight="251658240" behindDoc="1" locked="0" layoutInCell="1" allowOverlap="1" wp14:anchorId="24BFAD15" wp14:editId="27E3F284">
          <wp:simplePos x="0" y="0"/>
          <wp:positionH relativeFrom="column">
            <wp:posOffset>-568763</wp:posOffset>
          </wp:positionH>
          <wp:positionV relativeFrom="paragraph">
            <wp:posOffset>-173990</wp:posOffset>
          </wp:positionV>
          <wp:extent cx="1332230" cy="621665"/>
          <wp:effectExtent l="0" t="0" r="0" b="0"/>
          <wp:wrapNone/>
          <wp:docPr id="4"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21"/>
                  <pic:cNvPicPr>
                    <a:picLocks noChangeAspect="1"/>
                  </pic:cNvPicPr>
                </pic:nvPicPr>
                <pic:blipFill rotWithShape="1">
                  <a:blip r:embed="rId1"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1332230" cy="6216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1797335152">
    <w:abstractNumId w:val="8"/>
  </w:num>
  <w:num w:numId="2" w16cid:durableId="1275283930">
    <w:abstractNumId w:val="6"/>
  </w:num>
  <w:num w:numId="3" w16cid:durableId="181601474">
    <w:abstractNumId w:val="5"/>
  </w:num>
  <w:num w:numId="4" w16cid:durableId="1249575786">
    <w:abstractNumId w:val="4"/>
  </w:num>
  <w:num w:numId="5" w16cid:durableId="1202590044">
    <w:abstractNumId w:val="7"/>
  </w:num>
  <w:num w:numId="6" w16cid:durableId="1197308697">
    <w:abstractNumId w:val="3"/>
  </w:num>
  <w:num w:numId="7" w16cid:durableId="607272564">
    <w:abstractNumId w:val="2"/>
  </w:num>
  <w:num w:numId="8" w16cid:durableId="1375690001">
    <w:abstractNumId w:val="1"/>
  </w:num>
  <w:num w:numId="9" w16cid:durableId="13656426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5AEA"/>
    <w:rsid w:val="00034616"/>
    <w:rsid w:val="0006063C"/>
    <w:rsid w:val="000834AE"/>
    <w:rsid w:val="000F7512"/>
    <w:rsid w:val="0015074B"/>
    <w:rsid w:val="0029639D"/>
    <w:rsid w:val="00326F90"/>
    <w:rsid w:val="005957C0"/>
    <w:rsid w:val="005C7750"/>
    <w:rsid w:val="005D4D4C"/>
    <w:rsid w:val="00AA1D8D"/>
    <w:rsid w:val="00B47730"/>
    <w:rsid w:val="00CB0664"/>
    <w:rsid w:val="00F22C8D"/>
    <w:rsid w:val="00F81BE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1CD60B45-32AD-496A-995A-F69A2E07B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bidi/>
    </w:pPr>
    <w:rPr>
      <w:rFonts w:ascii="Traditional Arabic" w:eastAsia="Traditional Arabic" w:hAnsi="Traditional Arabic" w:cs="Traditional Arabic"/>
      <w:sz w:val="24"/>
    </w:rPr>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8"/>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8"/>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22</Pages>
  <Words>5998</Words>
  <Characters>34192</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40110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Fadi Abdulsamad Melebari</cp:lastModifiedBy>
  <cp:revision>6</cp:revision>
  <dcterms:created xsi:type="dcterms:W3CDTF">2013-12-23T23:15:00Z</dcterms:created>
  <dcterms:modified xsi:type="dcterms:W3CDTF">2026-07-06T22:35:00Z</dcterms:modified>
  <cp:category/>
</cp:coreProperties>
</file>