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49C5B1" w14:textId="77777777" w:rsidR="005B1DF7" w:rsidRPr="00E30AB8" w:rsidRDefault="005B1DF7" w:rsidP="005B1DF7">
      <w:pPr>
        <w:bidi/>
        <w:spacing w:line="360" w:lineRule="auto"/>
        <w:jc w:val="center"/>
        <w:rPr>
          <w:rFonts w:ascii="Traditional Arabic" w:hAnsi="Traditional Arabic" w:cs="Traditional Arabic"/>
          <w:b/>
          <w:bCs/>
          <w:sz w:val="40"/>
          <w:szCs w:val="40"/>
          <w:lang w:val="en-US"/>
        </w:rPr>
      </w:pPr>
      <w:r w:rsidRPr="00E30AB8">
        <w:rPr>
          <w:rFonts w:ascii="Traditional Arabic" w:hAnsi="Traditional Arabic" w:cs="Traditional Arabic"/>
          <w:b/>
          <w:bCs/>
          <w:sz w:val="40"/>
          <w:szCs w:val="40"/>
          <w:rtl/>
        </w:rPr>
        <w:t>الفصل الثالث</w:t>
      </w:r>
    </w:p>
    <w:p w14:paraId="36320A77" w14:textId="77777777" w:rsidR="005B1DF7" w:rsidRPr="00E30AB8" w:rsidRDefault="005B1DF7" w:rsidP="005B1DF7">
      <w:pPr>
        <w:bidi/>
        <w:spacing w:line="360" w:lineRule="auto"/>
        <w:jc w:val="center"/>
        <w:rPr>
          <w:rFonts w:ascii="Traditional Arabic" w:hAnsi="Traditional Arabic" w:cs="Traditional Arabic"/>
          <w:b/>
          <w:bCs/>
          <w:sz w:val="40"/>
          <w:szCs w:val="40"/>
          <w:lang w:val="en-US"/>
        </w:rPr>
      </w:pPr>
      <w:r w:rsidRPr="00E30AB8">
        <w:rPr>
          <w:rFonts w:ascii="Traditional Arabic" w:hAnsi="Traditional Arabic" w:cs="Traditional Arabic"/>
          <w:b/>
          <w:bCs/>
          <w:sz w:val="40"/>
          <w:szCs w:val="40"/>
          <w:rtl/>
        </w:rPr>
        <w:t>منهجية الدراسة وإجراءاتها</w:t>
      </w:r>
    </w:p>
    <w:p w14:paraId="38C8581D"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3.1 مقدمة</w:t>
      </w:r>
    </w:p>
    <w:p w14:paraId="78E9250D"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rPr>
        <w:t>يتناول هذا الفصل المنهجية التي اتبعها الباحث لتحقيق أهداف الدراسة والإجابة عن أسئلتها واختبار فرضياتها، حيث يتضمن وصفًا لمنهج الدراسة وتصميمها، ومجتمع الدراسة وعينتها، ومتغيراتها، وأداة الدراسة المستخدمة في جمع البيانات، إلى جانب الإجراءات المتبعة للتحقق من صدق الأداة وثباتها، والخطوات التي اتبعها الباحث في تنفيذ الدراسة، والأساليب الإحصائية المستخدمة في تحليل البيانات واستخلاص النتائج</w:t>
      </w:r>
      <w:r w:rsidRPr="005B1DF7">
        <w:rPr>
          <w:rFonts w:ascii="Traditional Arabic" w:hAnsi="Traditional Arabic" w:cs="Traditional Arabic"/>
          <w:sz w:val="32"/>
          <w:szCs w:val="32"/>
          <w:lang w:val="en-US"/>
        </w:rPr>
        <w:t>.</w:t>
      </w:r>
    </w:p>
    <w:p w14:paraId="233F5FBB" w14:textId="77777777" w:rsidR="005B1DF7" w:rsidRDefault="005B1DF7" w:rsidP="005B1DF7">
      <w:pPr>
        <w:bidi/>
        <w:spacing w:line="360" w:lineRule="auto"/>
        <w:jc w:val="both"/>
        <w:rPr>
          <w:rFonts w:ascii="Traditional Arabic" w:hAnsi="Traditional Arabic" w:cs="Traditional Arabic"/>
          <w:sz w:val="32"/>
          <w:szCs w:val="32"/>
          <w:rtl/>
          <w:lang w:val="en-US"/>
        </w:rPr>
      </w:pPr>
      <w:r w:rsidRPr="005B1DF7">
        <w:rPr>
          <w:rFonts w:ascii="Traditional Arabic" w:hAnsi="Traditional Arabic" w:cs="Traditional Arabic"/>
          <w:sz w:val="32"/>
          <w:szCs w:val="32"/>
          <w:rtl/>
        </w:rPr>
        <w:t>وقد اعتمدت الدراسة المنهج الوصفي التحليلي لملاءمته لطبيعة الدراسة، إذ يهدف إلى التعرف على أثر التحول الرقمي بأبعاده المتمثلة في البنية التحتية الرقمية والتقنيات الرقمية، والكفاءة الرقمية للموظفين، وتكامل الأنظمة الرقمية وعمليات الرقمنة، والأمن وحماية البيانات الرقمية في الاستقرار الوظيفي لدى العاملين في المستشفيات الحكومية بمدينة جدة، وذلك من خلال جمع البيانات باستخدام استبانة أُعدت لهذا الغرض، ثم تحليلها إحصائيًا للوصول إلى النتائج التي تحقق أهداف الدراسة. وقد روعي في جميع مراحل الدراسة اتباع الإجراءات العلمية والمنهجية التي تسهم في تعزيز دقة النتائج وموضوعيتها وقابليتها للتعميم في حدود مجتمع الدراسة</w:t>
      </w:r>
      <w:r w:rsidRPr="005B1DF7">
        <w:rPr>
          <w:rFonts w:ascii="Traditional Arabic" w:hAnsi="Traditional Arabic" w:cs="Traditional Arabic"/>
          <w:sz w:val="32"/>
          <w:szCs w:val="32"/>
          <w:lang w:val="en-US"/>
        </w:rPr>
        <w:t xml:space="preserve">. </w:t>
      </w:r>
    </w:p>
    <w:p w14:paraId="51485416" w14:textId="77777777" w:rsidR="005B1DF7" w:rsidRDefault="005B1DF7" w:rsidP="005B1DF7">
      <w:pPr>
        <w:bidi/>
        <w:spacing w:line="360" w:lineRule="auto"/>
        <w:jc w:val="both"/>
        <w:rPr>
          <w:rFonts w:ascii="Traditional Arabic" w:hAnsi="Traditional Arabic" w:cs="Traditional Arabic"/>
          <w:sz w:val="32"/>
          <w:szCs w:val="32"/>
          <w:rtl/>
          <w:lang w:val="en-US"/>
        </w:rPr>
      </w:pPr>
    </w:p>
    <w:p w14:paraId="5ECEB0F3" w14:textId="77777777" w:rsidR="005B1DF7" w:rsidRPr="005B1DF7" w:rsidRDefault="005B1DF7" w:rsidP="005B1DF7">
      <w:pPr>
        <w:bidi/>
        <w:spacing w:line="360" w:lineRule="auto"/>
        <w:jc w:val="both"/>
        <w:rPr>
          <w:rFonts w:ascii="Traditional Arabic" w:hAnsi="Traditional Arabic" w:cs="Traditional Arabic"/>
          <w:sz w:val="32"/>
          <w:szCs w:val="32"/>
          <w:lang w:val="en-US"/>
        </w:rPr>
      </w:pPr>
    </w:p>
    <w:p w14:paraId="3A6735C4"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3.2 منهج الدراسة</w:t>
      </w:r>
    </w:p>
    <w:p w14:paraId="248671BA"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اعتمدت الدراسة المنهج الوصفي التحليلي، لكونه المنهج الأنسب لتحقيق أهدافها والإجابة عن أسئلتها واختبار فرضياتها. ويُعد هذا المنهج من أكثر المناهج استخدامًا في الدراسات الإدارية والإنسانية التي تهدف إلى وصف الظاهرة محل الدراسة وتحليلها، والكشف عن العلاقات والتأثيرات بين المتغيرات اعتمادًا على البيانات الميدانية التي يتم جمعها من أفراد مجتمع الدراسة (</w:t>
      </w:r>
      <w:r w:rsidRPr="005B1DF7">
        <w:rPr>
          <w:rFonts w:ascii="Traditional Arabic" w:hAnsi="Traditional Arabic" w:cs="Traditional Arabic"/>
          <w:sz w:val="32"/>
          <w:szCs w:val="32"/>
          <w:lang w:val="en-US"/>
        </w:rPr>
        <w:t>Creswell &amp; Creswell, 2023</w:t>
      </w:r>
      <w:r w:rsidRPr="005B1DF7">
        <w:rPr>
          <w:rFonts w:ascii="Traditional Arabic" w:hAnsi="Traditional Arabic" w:cs="Traditional Arabic"/>
          <w:sz w:val="32"/>
          <w:szCs w:val="32"/>
          <w:rtl/>
          <w:lang w:val="en-US"/>
        </w:rPr>
        <w:t xml:space="preserve">؛ </w:t>
      </w:r>
      <w:r w:rsidRPr="005B1DF7">
        <w:rPr>
          <w:rFonts w:ascii="Traditional Arabic" w:hAnsi="Traditional Arabic" w:cs="Traditional Arabic"/>
          <w:sz w:val="32"/>
          <w:szCs w:val="32"/>
          <w:lang w:val="en-US"/>
        </w:rPr>
        <w:t>Saunders et al., 2023</w:t>
      </w:r>
      <w:r w:rsidRPr="005B1DF7">
        <w:rPr>
          <w:rFonts w:ascii="Traditional Arabic" w:hAnsi="Traditional Arabic" w:cs="Traditional Arabic"/>
          <w:sz w:val="32"/>
          <w:szCs w:val="32"/>
          <w:rtl/>
          <w:lang w:val="en-US"/>
        </w:rPr>
        <w:t>).</w:t>
      </w:r>
    </w:p>
    <w:p w14:paraId="54C5B806"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وقد استُخدم هذا المنهج لدراسة أثر التحول الرقمي في الاستقرار الوظيفي لدى العاملين في المستشفيات الحكومية بمدينة جدة، من خلال جمع البيانات باستخدام استبانة أُعدت لهذا الغرض، تضمنت فقرات تقيس أبعاد التحول الرقمي، والمتمثلة في البنية التحتية الرقمية والتقنيات الرقمية، والكفاءة الرقمية للموظفين، وتكامل الأنظمة الرقمية وعمليات الرقمنة، والأمن وحماية البيانات الرقمية، بالإضافة إلى فقرات تقيس الاستقرار الوظيفي بأبعاده المختلفة. وبعد جمع البيانات، خضعت للتحليل الإحصائي باستخدام الأساليب الإحصائية المناسبة لاختبار فرضيات الدراسة وقياس أثر المتغير المستقل في المتغير التابع</w:t>
      </w:r>
      <w:r w:rsidRPr="005B1DF7">
        <w:rPr>
          <w:rFonts w:ascii="Traditional Arabic" w:hAnsi="Traditional Arabic" w:cs="Traditional Arabic"/>
          <w:sz w:val="32"/>
          <w:szCs w:val="32"/>
          <w:lang w:val="en-US"/>
        </w:rPr>
        <w:t>.</w:t>
      </w:r>
    </w:p>
    <w:p w14:paraId="403194A6"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ويتميز المنهج الوصفي التحليلي بقدرته على تقديم وصف دقيق للظاهرة المدروسة، وتحليل العلاقات بين المتغيرات، واستخلاص النتائج في ضوء البيانات الميدانية، مما يجعله ملائمًا لطبيعة الدراسة الحالية التي تسعى إلى تفسير أثر التحول الرقمي في تعزيز الاستقرار الوظيفي لدى العاملين في المستشفيات الحكومية بمدينة جدة، وتقديم نتائج يمكن الاستفادة منها في تطوير الممارسات الإدارية واتخاذ القرارات المتعلقة بالتحول الرقمي في القطاع الصحي. (</w:t>
      </w:r>
      <w:r w:rsidRPr="005B1DF7">
        <w:rPr>
          <w:rFonts w:ascii="Traditional Arabic" w:hAnsi="Traditional Arabic" w:cs="Traditional Arabic"/>
          <w:sz w:val="32"/>
          <w:szCs w:val="32"/>
          <w:lang w:val="en-US"/>
        </w:rPr>
        <w:t>Creswell &amp; Creswell, 2023</w:t>
      </w:r>
      <w:r w:rsidRPr="005B1DF7">
        <w:rPr>
          <w:rFonts w:ascii="Traditional Arabic" w:hAnsi="Traditional Arabic" w:cs="Traditional Arabic"/>
          <w:sz w:val="32"/>
          <w:szCs w:val="32"/>
          <w:rtl/>
          <w:lang w:val="en-US"/>
        </w:rPr>
        <w:t xml:space="preserve">؛ </w:t>
      </w:r>
      <w:r w:rsidRPr="005B1DF7">
        <w:rPr>
          <w:rFonts w:ascii="Traditional Arabic" w:hAnsi="Traditional Arabic" w:cs="Traditional Arabic"/>
          <w:sz w:val="32"/>
          <w:szCs w:val="32"/>
          <w:lang w:val="en-US"/>
        </w:rPr>
        <w:t>Sekaran &amp; Bougie, 2020</w:t>
      </w:r>
      <w:r w:rsidRPr="005B1DF7">
        <w:rPr>
          <w:rFonts w:ascii="Traditional Arabic" w:hAnsi="Traditional Arabic" w:cs="Traditional Arabic"/>
          <w:sz w:val="32"/>
          <w:szCs w:val="32"/>
          <w:rtl/>
          <w:lang w:val="en-US"/>
        </w:rPr>
        <w:t>).</w:t>
      </w:r>
    </w:p>
    <w:p w14:paraId="49206F4F" w14:textId="77777777" w:rsidR="005B1DF7" w:rsidRDefault="005B1DF7" w:rsidP="005B1DF7">
      <w:pPr>
        <w:bidi/>
        <w:spacing w:line="360" w:lineRule="auto"/>
        <w:jc w:val="both"/>
        <w:rPr>
          <w:rFonts w:ascii="Traditional Arabic" w:hAnsi="Traditional Arabic" w:cs="Traditional Arabic"/>
          <w:b/>
          <w:bCs/>
          <w:sz w:val="32"/>
          <w:szCs w:val="32"/>
          <w:rtl/>
          <w:lang w:val="en-US"/>
        </w:rPr>
      </w:pPr>
      <w:r w:rsidRPr="005B1DF7">
        <w:rPr>
          <w:rFonts w:ascii="Traditional Arabic" w:hAnsi="Traditional Arabic" w:cs="Traditional Arabic"/>
          <w:b/>
          <w:bCs/>
          <w:sz w:val="32"/>
          <w:szCs w:val="32"/>
          <w:rtl/>
          <w:lang w:val="en-US"/>
        </w:rPr>
        <w:t>3.3 تصميم الدراسة</w:t>
      </w:r>
    </w:p>
    <w:p w14:paraId="7C5AFCB7" w14:textId="77777777" w:rsidR="005B1DF7" w:rsidRPr="005B1DF7" w:rsidRDefault="005B1DF7" w:rsidP="005B1DF7">
      <w:pPr>
        <w:bidi/>
        <w:spacing w:line="360" w:lineRule="auto"/>
        <w:jc w:val="both"/>
        <w:rPr>
          <w:rFonts w:ascii="Traditional Arabic" w:hAnsi="Traditional Arabic" w:cs="Traditional Arabic"/>
          <w:sz w:val="32"/>
          <w:szCs w:val="32"/>
          <w:lang w:val="en-US"/>
        </w:rPr>
      </w:pPr>
      <w:r w:rsidRPr="005B1DF7">
        <w:rPr>
          <w:rFonts w:ascii="Traditional Arabic" w:hAnsi="Traditional Arabic" w:cs="Traditional Arabic"/>
          <w:sz w:val="32"/>
          <w:szCs w:val="32"/>
          <w:rtl/>
          <w:lang w:val="en-US"/>
        </w:rPr>
        <w:t>استندت الدراسة الحالية إلى التصميم الوصفي التحليلي ذي الطابع الارتباطي التفسيري، والذي يهدف إلى دراسة أثر المتغير المستقل في المتغير التابع من خلال جمع البيانات ميدانيًا وتحليلها باستخدام الأساليب الإحصائية المناسبة. ويُعد هذا التصميم من أكثر التصاميم استخدامًا في الدراسات الإدارية؛ لملاءمته لدراسة العلاقات بين المتغيرات واختبار الفرضيات في بيئات العمل المختلفة (</w:t>
      </w:r>
      <w:r w:rsidRPr="005B1DF7">
        <w:rPr>
          <w:rFonts w:ascii="Traditional Arabic" w:hAnsi="Traditional Arabic" w:cs="Traditional Arabic"/>
          <w:sz w:val="32"/>
          <w:szCs w:val="32"/>
          <w:lang w:val="en-US"/>
        </w:rPr>
        <w:t>Creswell &amp; Creswell, 2023</w:t>
      </w:r>
      <w:r w:rsidRPr="005B1DF7">
        <w:rPr>
          <w:rFonts w:ascii="Traditional Arabic" w:hAnsi="Traditional Arabic" w:cs="Traditional Arabic"/>
          <w:sz w:val="32"/>
          <w:szCs w:val="32"/>
          <w:rtl/>
          <w:lang w:val="en-US"/>
        </w:rPr>
        <w:t>).</w:t>
      </w:r>
    </w:p>
    <w:p w14:paraId="499E0293" w14:textId="77777777" w:rsidR="005B1DF7" w:rsidRDefault="005B1DF7" w:rsidP="005B1DF7">
      <w:pPr>
        <w:bidi/>
        <w:spacing w:line="360" w:lineRule="auto"/>
        <w:jc w:val="both"/>
        <w:rPr>
          <w:rFonts w:ascii="Traditional Arabic" w:hAnsi="Traditional Arabic" w:cs="Traditional Arabic"/>
          <w:sz w:val="32"/>
          <w:szCs w:val="32"/>
          <w:rtl/>
          <w:lang w:val="en-US"/>
        </w:rPr>
      </w:pPr>
      <w:r w:rsidRPr="005B1DF7">
        <w:rPr>
          <w:rFonts w:ascii="Traditional Arabic" w:hAnsi="Traditional Arabic" w:cs="Traditional Arabic"/>
          <w:sz w:val="32"/>
          <w:szCs w:val="32"/>
          <w:rtl/>
          <w:lang w:val="en-US"/>
        </w:rPr>
        <w:t>وقد بُني تصميم الدراسة على متغير مستقل هو التحول الرقمي، ويتكون من أربعة أبعاد هي</w:t>
      </w:r>
      <w:r w:rsidRPr="005B1DF7">
        <w:rPr>
          <w:rFonts w:ascii="Traditional Arabic" w:hAnsi="Traditional Arabic" w:cs="Traditional Arabic"/>
          <w:sz w:val="32"/>
          <w:szCs w:val="32"/>
          <w:lang w:val="en-US"/>
        </w:rPr>
        <w:t xml:space="preserve">: </w:t>
      </w:r>
      <w:r w:rsidRPr="005B1DF7">
        <w:rPr>
          <w:rFonts w:ascii="Traditional Arabic" w:hAnsi="Traditional Arabic" w:cs="Traditional Arabic"/>
          <w:sz w:val="32"/>
          <w:szCs w:val="32"/>
          <w:rtl/>
          <w:lang w:val="en-US"/>
        </w:rPr>
        <w:t>البنية التحتية الرقمية والتقنيات الرقمية، والكفاءة الرقمية للموظفين، وتكامل الأنظمة الرقمية وعمليات الرقمنة، والأمن وحماية البيانات الرقمية، ومتغير تابع هو الاستقرار الوظيفي، ويقاس من خلال أبعاده المتمثلة في الأمان الوظيفي، والرضا الوظيفي، والالتزام التنظيمي</w:t>
      </w:r>
      <w:r w:rsidRPr="005B1DF7">
        <w:rPr>
          <w:rFonts w:ascii="Traditional Arabic" w:hAnsi="Traditional Arabic" w:cs="Traditional Arabic"/>
          <w:sz w:val="32"/>
          <w:szCs w:val="32"/>
          <w:lang w:val="en-US"/>
        </w:rPr>
        <w:t xml:space="preserve">. </w:t>
      </w:r>
      <w:r w:rsidRPr="005B1DF7">
        <w:rPr>
          <w:rFonts w:ascii="Traditional Arabic" w:hAnsi="Traditional Arabic" w:cs="Traditional Arabic"/>
          <w:sz w:val="32"/>
          <w:szCs w:val="32"/>
          <w:rtl/>
          <w:lang w:val="en-US"/>
        </w:rPr>
        <w:t>وتم قياس هذه المتغيرات باستخدام استبانة طُورت في ضوء الأدبيات والدراسات السابقة، ثم جُمعت البيانات من أفراد عينة الدراسة، وأُخضعت للتحليل الإحصائي لاختبار أثر أبعاد التحول الرقمي في الاستقرار الوظيفي لدى العاملين في المستشفيات الحكومية بمدينة جدة</w:t>
      </w:r>
      <w:r w:rsidRPr="005B1DF7">
        <w:rPr>
          <w:rFonts w:ascii="Traditional Arabic" w:hAnsi="Traditional Arabic" w:cs="Traditional Arabic"/>
          <w:sz w:val="32"/>
          <w:szCs w:val="32"/>
          <w:lang w:val="en-US"/>
        </w:rPr>
        <w:t>.</w:t>
      </w:r>
    </w:p>
    <w:p w14:paraId="4DD59240" w14:textId="77777777" w:rsidR="00692479" w:rsidRDefault="00692479" w:rsidP="00692479">
      <w:pPr>
        <w:bidi/>
        <w:spacing w:line="360" w:lineRule="auto"/>
        <w:jc w:val="both"/>
        <w:rPr>
          <w:rFonts w:ascii="Traditional Arabic" w:hAnsi="Traditional Arabic" w:cs="Traditional Arabic"/>
          <w:sz w:val="32"/>
          <w:szCs w:val="32"/>
          <w:rtl/>
          <w:lang w:val="en-US"/>
        </w:rPr>
      </w:pPr>
    </w:p>
    <w:p w14:paraId="15587AB8" w14:textId="77777777" w:rsidR="005B1DF7" w:rsidRPr="00692479" w:rsidRDefault="005B1DF7"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3.4 مجتمع الدراسة</w:t>
      </w:r>
    </w:p>
    <w:p w14:paraId="7E6893AC" w14:textId="77777777" w:rsidR="005B1DF7" w:rsidRPr="00692479" w:rsidRDefault="005B1DF7"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تكون مجتمع الدراسة من جميع العاملين في المستشفيات الحكومية الكبرى بمدينة جدة في المملكة العربية السعودية، ويشمل ذلك الأطباء، وهيئة التمريض، والفنيين، والإداريين، باعتبارهم الفئات الأكثر ارتباطًا باستخدام الأنظمة والتقنيات الرقمية في بيئة العمل، والأكثر تأثرًا بعمليات التحول الرقمي التي يشهدها القطاع الصحي</w:t>
      </w:r>
      <w:r w:rsidRPr="00692479">
        <w:rPr>
          <w:rFonts w:ascii="Traditional Arabic" w:hAnsi="Traditional Arabic" w:cs="Traditional Arabic"/>
          <w:sz w:val="32"/>
          <w:szCs w:val="32"/>
          <w:lang w:val="en-US"/>
        </w:rPr>
        <w:t>.</w:t>
      </w:r>
    </w:p>
    <w:p w14:paraId="0CF61B7C" w14:textId="77777777" w:rsidR="005B1DF7" w:rsidRPr="00692479" w:rsidRDefault="005B1DF7"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ولتحقيق أهداف الدراسة، حدد الباحث ميدان الدراسة في مجموعة من المستشفيات الحكومية الكبرى بمدينة جدة، وذلك بعد مراجعة التقارير والإحصاءات الرسمية الصادرة عن وزارة الصحة السعودية، والاطلاع على المواقع الإلكترونية الرسمية للمستشفيات، إلى جانب الاستفادة من الأدبيات والدراسات السابقة ذات العلاقة بالتحول الرقمي في القطاع </w:t>
      </w:r>
      <w:r w:rsidR="00692479" w:rsidRPr="00692479">
        <w:rPr>
          <w:rFonts w:ascii="Traditional Arabic" w:hAnsi="Traditional Arabic" w:cs="Traditional Arabic"/>
          <w:sz w:val="32"/>
          <w:szCs w:val="32"/>
          <w:rtl/>
          <w:lang w:val="en-US"/>
        </w:rPr>
        <w:t xml:space="preserve">الصحي السعودي (وزارة الصحة السعودية، 2023؛ </w:t>
      </w:r>
      <w:r w:rsidR="00692479" w:rsidRPr="00692479">
        <w:rPr>
          <w:rFonts w:ascii="Traditional Arabic" w:hAnsi="Traditional Arabic" w:cs="Traditional Arabic"/>
          <w:sz w:val="32"/>
          <w:szCs w:val="32"/>
          <w:lang w:val="en-US"/>
        </w:rPr>
        <w:t>Alshammari, 2021</w:t>
      </w:r>
      <w:r w:rsidR="00692479" w:rsidRPr="00692479">
        <w:rPr>
          <w:rFonts w:ascii="Traditional Arabic" w:hAnsi="Traditional Arabic" w:cs="Traditional Arabic"/>
          <w:sz w:val="32"/>
          <w:szCs w:val="32"/>
          <w:rtl/>
          <w:lang w:val="en-US"/>
        </w:rPr>
        <w:t xml:space="preserve">). وأسفرت هذه المراجعة عن اختيار المستشفيات </w:t>
      </w:r>
      <w:r w:rsidRPr="00692479">
        <w:rPr>
          <w:rFonts w:ascii="Traditional Arabic" w:hAnsi="Traditional Arabic" w:cs="Traditional Arabic"/>
          <w:sz w:val="32"/>
          <w:szCs w:val="32"/>
          <w:rtl/>
          <w:lang w:val="en-US"/>
        </w:rPr>
        <w:t>الآتية بوصفها ميدانًا لتطبيق الدراسة</w:t>
      </w:r>
      <w:r w:rsidRPr="00692479">
        <w:rPr>
          <w:rFonts w:ascii="Traditional Arabic" w:hAnsi="Traditional Arabic" w:cs="Traditional Arabic"/>
          <w:sz w:val="32"/>
          <w:szCs w:val="32"/>
          <w:lang w:val="en-US"/>
        </w:rPr>
        <w:t>:</w:t>
      </w:r>
    </w:p>
    <w:p w14:paraId="58890A09" w14:textId="77777777" w:rsidR="005B1DF7" w:rsidRPr="00692479" w:rsidRDefault="005B1DF7" w:rsidP="00692479">
      <w:pPr>
        <w:numPr>
          <w:ilvl w:val="0"/>
          <w:numId w:val="1"/>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مستشفى الملك عبدالعزيز الجامعي</w:t>
      </w:r>
      <w:r w:rsidRPr="00692479">
        <w:rPr>
          <w:rFonts w:ascii="Traditional Arabic" w:hAnsi="Traditional Arabic" w:cs="Traditional Arabic"/>
          <w:sz w:val="32"/>
          <w:szCs w:val="32"/>
          <w:lang w:val="en-US"/>
        </w:rPr>
        <w:t>.</w:t>
      </w:r>
    </w:p>
    <w:p w14:paraId="1C52D8A2" w14:textId="77777777" w:rsidR="005B1DF7" w:rsidRPr="00692479" w:rsidRDefault="005B1DF7" w:rsidP="00692479">
      <w:pPr>
        <w:numPr>
          <w:ilvl w:val="0"/>
          <w:numId w:val="1"/>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مستشفى الملك فهد للقوات المسلحة</w:t>
      </w:r>
      <w:r w:rsidRPr="00692479">
        <w:rPr>
          <w:rFonts w:ascii="Traditional Arabic" w:hAnsi="Traditional Arabic" w:cs="Traditional Arabic"/>
          <w:sz w:val="32"/>
          <w:szCs w:val="32"/>
          <w:lang w:val="en-US"/>
        </w:rPr>
        <w:t>.</w:t>
      </w:r>
    </w:p>
    <w:p w14:paraId="314D7EC4" w14:textId="77777777" w:rsidR="005B1DF7" w:rsidRPr="00692479" w:rsidRDefault="005B1DF7" w:rsidP="00692479">
      <w:pPr>
        <w:numPr>
          <w:ilvl w:val="0"/>
          <w:numId w:val="1"/>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مستشفى الولادة </w:t>
      </w:r>
      <w:r w:rsidR="00692479" w:rsidRPr="00692479">
        <w:rPr>
          <w:rFonts w:ascii="Traditional Arabic" w:hAnsi="Traditional Arabic" w:cs="Traditional Arabic"/>
          <w:sz w:val="32"/>
          <w:szCs w:val="32"/>
          <w:rtl/>
          <w:lang w:val="en-US"/>
        </w:rPr>
        <w:t>والأطفال (العزيزية).</w:t>
      </w:r>
    </w:p>
    <w:p w14:paraId="0504FCB9" w14:textId="77777777" w:rsidR="005B1DF7" w:rsidRPr="00692479" w:rsidRDefault="005B1DF7" w:rsidP="00692479">
      <w:pPr>
        <w:numPr>
          <w:ilvl w:val="0"/>
          <w:numId w:val="1"/>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مستشفى الثغر العام</w:t>
      </w:r>
      <w:r w:rsidRPr="00692479">
        <w:rPr>
          <w:rFonts w:ascii="Traditional Arabic" w:hAnsi="Traditional Arabic" w:cs="Traditional Arabic"/>
          <w:sz w:val="32"/>
          <w:szCs w:val="32"/>
          <w:lang w:val="en-US"/>
        </w:rPr>
        <w:t>.</w:t>
      </w:r>
    </w:p>
    <w:p w14:paraId="2B5FFEAE" w14:textId="77777777" w:rsidR="005B1DF7" w:rsidRPr="00692479" w:rsidRDefault="005B1DF7" w:rsidP="00692479">
      <w:pPr>
        <w:numPr>
          <w:ilvl w:val="0"/>
          <w:numId w:val="1"/>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مستشفى الملك فيصل التخصصي بجدة</w:t>
      </w:r>
      <w:r w:rsidRPr="00692479">
        <w:rPr>
          <w:rFonts w:ascii="Traditional Arabic" w:hAnsi="Traditional Arabic" w:cs="Traditional Arabic"/>
          <w:sz w:val="32"/>
          <w:szCs w:val="32"/>
          <w:lang w:val="en-US"/>
        </w:rPr>
        <w:t>.</w:t>
      </w:r>
    </w:p>
    <w:p w14:paraId="1CBA18E7" w14:textId="77777777" w:rsidR="005B1DF7" w:rsidRPr="00692479" w:rsidRDefault="005B1DF7" w:rsidP="00692479">
      <w:pPr>
        <w:numPr>
          <w:ilvl w:val="0"/>
          <w:numId w:val="1"/>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مستشفى الحرس الوطني</w:t>
      </w:r>
      <w:r w:rsidRPr="00692479">
        <w:rPr>
          <w:rFonts w:ascii="Traditional Arabic" w:hAnsi="Traditional Arabic" w:cs="Traditional Arabic"/>
          <w:sz w:val="32"/>
          <w:szCs w:val="32"/>
          <w:lang w:val="en-US"/>
        </w:rPr>
        <w:t>.</w:t>
      </w:r>
    </w:p>
    <w:p w14:paraId="2A5A1888" w14:textId="77777777" w:rsidR="005B1DF7" w:rsidRPr="00692479" w:rsidRDefault="005B1DF7"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وقد استند اختيار هذه المستشفيات إلى مجموعة من المعايير، تمثلت في أنها تعد من المستشفيات الحكومية الكبرى التي تقدم خدمات صحية متخصصة ومتنوعة، وتضم أعدادًا كبيرة من العاملين في مختلف التخصصات الصحية والإدارية، كما تتميز بتبنيها تطبيقات متقدمة في مجال التحول الرقمي، مثل السجلات الطبية الإلكترونية، والأنظمة الصحية الذكية، والخدمات الرقمية، الأمر الذي يجعلها بيئة مناسبة لدراسة أثر التحول الرقمي في الاستقرار الوظيفي. إضافة إلى ذلك، تمثل هذه المستشفيات جزءًا مهمًا من منظومة الرعاية الصحية الحكومية بمدينة جدة، مما يسهم في توفير نتائج يمكن الاستفادة منها عند تطوير سياسات التحول الرقمي في القطاع الصحي</w:t>
      </w:r>
      <w:r w:rsidRPr="00692479">
        <w:rPr>
          <w:rFonts w:ascii="Traditional Arabic" w:hAnsi="Traditional Arabic" w:cs="Traditional Arabic"/>
          <w:sz w:val="32"/>
          <w:szCs w:val="32"/>
          <w:lang w:val="en-US"/>
        </w:rPr>
        <w:t>.</w:t>
      </w:r>
    </w:p>
    <w:p w14:paraId="5D6BDF3D" w14:textId="77777777" w:rsidR="005B1DF7" w:rsidRDefault="005B1DF7" w:rsidP="00692479">
      <w:pPr>
        <w:bidi/>
        <w:spacing w:line="360" w:lineRule="auto"/>
        <w:jc w:val="both"/>
        <w:rPr>
          <w:rFonts w:ascii="Traditional Arabic" w:hAnsi="Traditional Arabic" w:cs="Traditional Arabic"/>
          <w:sz w:val="32"/>
          <w:szCs w:val="32"/>
          <w:rtl/>
          <w:lang w:val="en-US"/>
        </w:rPr>
      </w:pPr>
      <w:r w:rsidRPr="00692479">
        <w:rPr>
          <w:rFonts w:ascii="Traditional Arabic" w:hAnsi="Traditional Arabic" w:cs="Traditional Arabic"/>
          <w:sz w:val="32"/>
          <w:szCs w:val="32"/>
          <w:rtl/>
          <w:lang w:val="en-US"/>
        </w:rPr>
        <w:t xml:space="preserve">واستنادًا </w:t>
      </w:r>
      <w:r w:rsidR="00692479" w:rsidRPr="00692479">
        <w:rPr>
          <w:rFonts w:ascii="Traditional Arabic" w:hAnsi="Traditional Arabic" w:cs="Traditional Arabic"/>
          <w:sz w:val="32"/>
          <w:szCs w:val="32"/>
          <w:rtl/>
          <w:lang w:val="en-US"/>
        </w:rPr>
        <w:t>إلى البيانات والإحصاءات الرسمية لوزارة الصحة السعودية، بلغ إجمالي عدد العاملين في المستشفيات الحكومية بمدينة جدة نحو (29,000) موظف وموظفة، وهو المجتمع الإحصائي الذي استُمدت منه عينة الدراسة، ويتوزع هؤلاء العاملون على الفئات الوظيفية المستهدفة، والمتمثلة في الأطباء، وهيئة التمريض، والفنيين، والإداريين.</w:t>
      </w:r>
    </w:p>
    <w:p w14:paraId="0E600C18" w14:textId="77777777" w:rsidR="00692479" w:rsidRDefault="00692479" w:rsidP="00692479">
      <w:pPr>
        <w:bidi/>
        <w:spacing w:line="360" w:lineRule="auto"/>
        <w:jc w:val="both"/>
        <w:rPr>
          <w:rFonts w:ascii="Traditional Arabic" w:hAnsi="Traditional Arabic" w:cs="Traditional Arabic"/>
          <w:b/>
          <w:bCs/>
          <w:sz w:val="32"/>
          <w:szCs w:val="32"/>
          <w:rtl/>
          <w:lang w:val="en-US"/>
        </w:rPr>
      </w:pPr>
      <w:r w:rsidRPr="00692479">
        <w:rPr>
          <w:rFonts w:ascii="Traditional Arabic" w:hAnsi="Traditional Arabic" w:cs="Traditional Arabic"/>
          <w:b/>
          <w:bCs/>
          <w:sz w:val="32"/>
          <w:szCs w:val="32"/>
          <w:rtl/>
          <w:lang w:val="en-US"/>
        </w:rPr>
        <w:t>3.5 عينة الدراسة</w:t>
      </w:r>
    </w:p>
    <w:p w14:paraId="15BC9B89" w14:textId="77777777" w:rsidR="00BB7B09" w:rsidRPr="00BB7B09" w:rsidRDefault="00BB7B09" w:rsidP="00BB7B09">
      <w:pPr>
        <w:bidi/>
        <w:spacing w:line="360" w:lineRule="auto"/>
        <w:jc w:val="both"/>
        <w:rPr>
          <w:rFonts w:ascii="Traditional Arabic" w:hAnsi="Traditional Arabic" w:cs="Traditional Arabic"/>
          <w:sz w:val="32"/>
          <w:szCs w:val="32"/>
          <w:lang w:val="en-US"/>
        </w:rPr>
      </w:pPr>
      <w:r w:rsidRPr="00BB7B09">
        <w:rPr>
          <w:rFonts w:ascii="Traditional Arabic" w:hAnsi="Traditional Arabic" w:cs="Traditional Arabic"/>
          <w:sz w:val="32"/>
          <w:szCs w:val="32"/>
          <w:rtl/>
          <w:lang w:val="en-US"/>
        </w:rPr>
        <w:t>اعتمدت الدراسة أسلوب العينة الطبقية العشوائية (</w:t>
      </w:r>
      <w:r w:rsidRPr="00BB7B09">
        <w:rPr>
          <w:rFonts w:ascii="Traditional Arabic" w:hAnsi="Traditional Arabic" w:cs="Traditional Arabic"/>
          <w:sz w:val="32"/>
          <w:szCs w:val="32"/>
          <w:lang w:val="en-US"/>
        </w:rPr>
        <w:t>Stratified Random Sampling</w:t>
      </w:r>
      <w:r w:rsidRPr="00BB7B09">
        <w:rPr>
          <w:rFonts w:ascii="Traditional Arabic" w:hAnsi="Traditional Arabic" w:cs="Traditional Arabic"/>
          <w:sz w:val="32"/>
          <w:szCs w:val="32"/>
          <w:rtl/>
          <w:lang w:val="en-US"/>
        </w:rPr>
        <w:t>) لاختيار أفراد الدراسة من العاملين في المستشفيات الحكومية الكبرى بمدينة جدة، وذلك نظرًا لتنوع مجتمع الدراسة واختلاف فئاته الوظيفية، حيث يشمل الأطباء، وهيئة التمريض، والفنيين، والإداريين. ويُعد هذا الأسلوب من أنسب أساليب المعاينة في الدراسات التي يتكون مجتمعها من طبقات أو فئات فرعية واضحة، إذ يضمن تمثيل كل فئة من فئات المجتمع في العينة، ويحد من تحيز النتائج لصالح فئة وظيفية دون أخرى (</w:t>
      </w:r>
      <w:r w:rsidRPr="00BB7B09">
        <w:rPr>
          <w:rFonts w:ascii="Traditional Arabic" w:hAnsi="Traditional Arabic" w:cs="Traditional Arabic"/>
          <w:sz w:val="32"/>
          <w:szCs w:val="32"/>
          <w:lang w:val="en-US"/>
        </w:rPr>
        <w:t>Sekaran &amp; Bougie, 2020</w:t>
      </w:r>
      <w:r w:rsidRPr="00BB7B09">
        <w:rPr>
          <w:rFonts w:ascii="Traditional Arabic" w:hAnsi="Traditional Arabic" w:cs="Traditional Arabic"/>
          <w:sz w:val="32"/>
          <w:szCs w:val="32"/>
          <w:rtl/>
          <w:lang w:val="en-US"/>
        </w:rPr>
        <w:t>).</w:t>
      </w:r>
    </w:p>
    <w:p w14:paraId="7FA78DB0" w14:textId="77777777" w:rsidR="00BB7B09" w:rsidRPr="00BB7B09" w:rsidRDefault="00BB7B09" w:rsidP="00BB7B09">
      <w:pPr>
        <w:bidi/>
        <w:spacing w:line="360" w:lineRule="auto"/>
        <w:jc w:val="both"/>
        <w:rPr>
          <w:rFonts w:ascii="Traditional Arabic" w:hAnsi="Traditional Arabic" w:cs="Traditional Arabic"/>
          <w:sz w:val="32"/>
          <w:szCs w:val="32"/>
          <w:lang w:val="en-US"/>
        </w:rPr>
      </w:pPr>
      <w:r w:rsidRPr="00BB7B09">
        <w:rPr>
          <w:rFonts w:ascii="Traditional Arabic" w:hAnsi="Traditional Arabic" w:cs="Traditional Arabic"/>
          <w:sz w:val="32"/>
          <w:szCs w:val="32"/>
          <w:rtl/>
          <w:lang w:val="en-US"/>
        </w:rPr>
        <w:t>وقد استهدفت الدراسة العاملين في المستشفيات الحكومية الكبرى بمدينة جدة من الأطباء، وهيئة التمريض، والفنيين، والإداريين، باعتبارهم الفئات الأكثر ارتباطًا بتطبيقات التحول الرقمي في بيئة العمل. فهذه الفئات تتعامل بصورة مباشرة أو غير مباشرة مع السجلات الطبية الإلكترونية، وأنظمة المعلومات الصحية، والمنصات الإدارية الرقمية، وأنظمة المتابعة والتقييم، وغيرها من التطبيقات التقنية التي تبنتها المستشفيات الحكومية في إطار برامج التحول الرقمي. كما أن طبيعة أعمالهم اليومية تجعلهم أكثر قدرة على تقييم أثر التحول الرقمي في مستوى الاستقرار الوظيفي داخل بيئة العمل</w:t>
      </w:r>
      <w:r w:rsidRPr="00BB7B09">
        <w:rPr>
          <w:rFonts w:ascii="Traditional Arabic" w:hAnsi="Traditional Arabic" w:cs="Traditional Arabic"/>
          <w:sz w:val="32"/>
          <w:szCs w:val="32"/>
          <w:lang w:val="en-US"/>
        </w:rPr>
        <w:t>.</w:t>
      </w:r>
    </w:p>
    <w:p w14:paraId="59F39E9C" w14:textId="77777777" w:rsidR="00BB7B09" w:rsidRPr="00BB7B09" w:rsidRDefault="00BB7B09" w:rsidP="00BB7B09">
      <w:pPr>
        <w:bidi/>
        <w:spacing w:line="360" w:lineRule="auto"/>
        <w:jc w:val="both"/>
        <w:rPr>
          <w:rFonts w:ascii="Traditional Arabic" w:hAnsi="Traditional Arabic" w:cs="Traditional Arabic"/>
          <w:sz w:val="32"/>
          <w:szCs w:val="32"/>
          <w:lang w:val="en-US"/>
        </w:rPr>
      </w:pPr>
      <w:r w:rsidRPr="00BB7B09">
        <w:rPr>
          <w:rFonts w:ascii="Traditional Arabic" w:hAnsi="Traditional Arabic" w:cs="Traditional Arabic"/>
          <w:sz w:val="32"/>
          <w:szCs w:val="32"/>
          <w:rtl/>
          <w:lang w:val="en-US"/>
        </w:rPr>
        <w:t>وجاء اختيار العينة الطبقية العشوائية لضمان تمثيل مختلف الفئات الوظيفية المشمولة بالدراسة، إذ قد تختلف طبيعة تعامل الأطباء مع الأنظمة الرقمية عن تعامل هيئة التمريض أو الفنيين أو الإداريين، كما قد تختلف درجة تأثر كل فئة بمتطلبات التحول الرقمي وتغيرات بيئة العمل. لذلك فإن تمثيل هذه الفئات داخل العينة يسهم في تقديم نتائج أكثر دقة وشمولًا، ويعزز من قدرة الدراسة على تفسير أثر التحول الرقمي في الاستقرار الوظيفي لدى العاملين في المستشفيات الحكومية بمدينة جدة</w:t>
      </w:r>
      <w:r w:rsidRPr="00BB7B09">
        <w:rPr>
          <w:rFonts w:ascii="Traditional Arabic" w:hAnsi="Traditional Arabic" w:cs="Traditional Arabic"/>
          <w:sz w:val="32"/>
          <w:szCs w:val="32"/>
          <w:lang w:val="en-US"/>
        </w:rPr>
        <w:t>.</w:t>
      </w:r>
    </w:p>
    <w:p w14:paraId="7218A24E" w14:textId="77777777" w:rsidR="00BB7B09" w:rsidRPr="00BB7B09" w:rsidRDefault="00BB7B09" w:rsidP="00BB7B09">
      <w:pPr>
        <w:bidi/>
        <w:spacing w:line="360" w:lineRule="auto"/>
        <w:jc w:val="both"/>
        <w:rPr>
          <w:rFonts w:ascii="Traditional Arabic" w:hAnsi="Traditional Arabic" w:cs="Traditional Arabic"/>
          <w:sz w:val="32"/>
          <w:szCs w:val="32"/>
          <w:rtl/>
          <w:lang w:val="en-US"/>
        </w:rPr>
      </w:pPr>
      <w:r w:rsidRPr="00BB7B09">
        <w:rPr>
          <w:rFonts w:ascii="Traditional Arabic" w:hAnsi="Traditional Arabic" w:cs="Traditional Arabic"/>
          <w:sz w:val="32"/>
          <w:szCs w:val="32"/>
          <w:rtl/>
          <w:lang w:val="en-US"/>
        </w:rPr>
        <w:t>واستنادًا إلى الإحصاءات الرسمية لوزارة الصحة السعودية، بلغ مجتمع الدراسة نحو (29,000) موظف وموظفة. وبالرجوع إلى جدول كريجسي ومورغان</w:t>
      </w:r>
      <w:r w:rsidRPr="00BB7B09">
        <w:rPr>
          <w:rFonts w:ascii="Traditional Arabic" w:hAnsi="Traditional Arabic" w:cs="Traditional Arabic"/>
          <w:sz w:val="32"/>
          <w:szCs w:val="32"/>
          <w:lang w:val="en-US"/>
        </w:rPr>
        <w:t xml:space="preserve"> (Krejcie &amp; Morgan, 1970)</w:t>
      </w:r>
      <w:r w:rsidRPr="00BB7B09">
        <w:rPr>
          <w:rFonts w:ascii="Traditional Arabic" w:hAnsi="Traditional Arabic" w:cs="Traditional Arabic"/>
          <w:sz w:val="32"/>
          <w:szCs w:val="32"/>
          <w:rtl/>
          <w:lang w:val="en-US"/>
        </w:rPr>
        <w:t>، فإن الحجم المناسب للعينة لمجتمع بهذا الحجم يبلغ (379) مفردة. ولزيادة معدل الاستجابة وتقليل أثر الاستبانات غير الصالحة للتحليل، استهدف الباحث توزيع ما يقارب (400) استبانة على العاملين في المستشفيات الحكومية المشمولة بالدراسة</w:t>
      </w:r>
      <w:r w:rsidRPr="00BB7B09">
        <w:rPr>
          <w:rFonts w:ascii="Traditional Arabic" w:hAnsi="Traditional Arabic" w:cs="Traditional Arabic"/>
          <w:sz w:val="32"/>
          <w:szCs w:val="32"/>
          <w:lang w:val="en-US"/>
        </w:rPr>
        <w:t>.</w:t>
      </w:r>
    </w:p>
    <w:p w14:paraId="36179029" w14:textId="77777777" w:rsidR="00692479" w:rsidRPr="00BB7B09" w:rsidRDefault="00BB7B09" w:rsidP="00BB7B09">
      <w:pPr>
        <w:bidi/>
        <w:spacing w:line="360" w:lineRule="auto"/>
        <w:jc w:val="both"/>
        <w:rPr>
          <w:rFonts w:ascii="Traditional Arabic" w:hAnsi="Traditional Arabic" w:cs="Traditional Arabic"/>
          <w:sz w:val="32"/>
          <w:szCs w:val="32"/>
          <w:lang w:val="en-US"/>
        </w:rPr>
      </w:pPr>
      <w:r w:rsidRPr="00BB7B09">
        <w:rPr>
          <w:rFonts w:ascii="Traditional Arabic" w:hAnsi="Traditional Arabic" w:cs="Traditional Arabic"/>
          <w:sz w:val="32"/>
          <w:szCs w:val="32"/>
          <w:rtl/>
          <w:lang w:val="en-US"/>
        </w:rPr>
        <w:t>وقد روعي عند توزيع الاستبانات أن تشمل جميع المستشفيات الحكومية الكبرى المشمولة بالدراسة، وأن تمثل الفئات الوظيفية الرئيسة الأربع، بما يحقق تمثيلًا مناسبًا لمجتمع الدراسة، ويزيد من موثوقية النتائج وقابليتها للتعميم في حدود مجتمع الدراسة.</w:t>
      </w:r>
    </w:p>
    <w:p w14:paraId="4102381B" w14:textId="77777777" w:rsidR="00692479" w:rsidRPr="00692479" w:rsidRDefault="00692479" w:rsidP="00692479">
      <w:pPr>
        <w:bidi/>
        <w:spacing w:line="360" w:lineRule="auto"/>
        <w:jc w:val="both"/>
        <w:rPr>
          <w:rFonts w:ascii="Traditional Arabic" w:hAnsi="Traditional Arabic" w:cs="Traditional Arabic"/>
          <w:b/>
          <w:bCs/>
          <w:sz w:val="32"/>
          <w:szCs w:val="32"/>
          <w:rtl/>
          <w:lang w:val="en-US"/>
        </w:rPr>
      </w:pPr>
      <w:r w:rsidRPr="00692479">
        <w:rPr>
          <w:rFonts w:ascii="Traditional Arabic" w:hAnsi="Traditional Arabic" w:cs="Traditional Arabic"/>
          <w:b/>
          <w:bCs/>
          <w:sz w:val="32"/>
          <w:szCs w:val="32"/>
          <w:rtl/>
          <w:lang w:val="en-US"/>
        </w:rPr>
        <w:t>3.6 متغيرات الدراسة</w:t>
      </w:r>
    </w:p>
    <w:p w14:paraId="0D2F3B0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استنادًا إلى مشكلة الدراسة، وأهدافها، وفرضياتها، والإطار النظري، والدراسات السابقة ذات الصلة، اشتملت الدراسة الحالية على متغير مستقل ومتغير تابع، حيث هدفت إلى التعرف على أثر التحول الرقمي في الاستقرار الوظيفي لدى العاملين في المستشفيات الحكومية بمدينة جدة. وقد تم تحديد متغيرات الدراسة وأبعادها في ضوء الأدبيات العلمية الحديثة، والدراسات السابقة التي تناولت التحول الرقمي في القطاع الصحي والاستقرار الوظيفي، بما يحقق أهداف الدراسة ويتيح اختبار فرضياتها بصورة علمية (</w:t>
      </w:r>
      <w:r w:rsidRPr="00692479">
        <w:rPr>
          <w:rFonts w:ascii="Traditional Arabic" w:hAnsi="Traditional Arabic" w:cs="Traditional Arabic"/>
          <w:sz w:val="32"/>
          <w:szCs w:val="32"/>
          <w:lang w:val="en-US"/>
        </w:rPr>
        <w:t>Creswell &amp; Creswell, 2023</w:t>
      </w:r>
      <w:r w:rsidRPr="00692479">
        <w:rPr>
          <w:rFonts w:ascii="Traditional Arabic" w:hAnsi="Traditional Arabic" w:cs="Traditional Arabic"/>
          <w:sz w:val="32"/>
          <w:szCs w:val="32"/>
          <w:rtl/>
          <w:lang w:val="en-US"/>
        </w:rPr>
        <w:t xml:space="preserve">؛ </w:t>
      </w:r>
      <w:r w:rsidRPr="00692479">
        <w:rPr>
          <w:rFonts w:ascii="Traditional Arabic" w:hAnsi="Traditional Arabic" w:cs="Traditional Arabic"/>
          <w:sz w:val="32"/>
          <w:szCs w:val="32"/>
          <w:lang w:val="en-US"/>
        </w:rPr>
        <w:t>Saunders et al., 2023</w:t>
      </w:r>
      <w:r w:rsidRPr="00692479">
        <w:rPr>
          <w:rFonts w:ascii="Traditional Arabic" w:hAnsi="Traditional Arabic" w:cs="Traditional Arabic"/>
          <w:sz w:val="32"/>
          <w:szCs w:val="32"/>
          <w:rtl/>
          <w:lang w:val="en-US"/>
        </w:rPr>
        <w:t>).</w:t>
      </w:r>
    </w:p>
    <w:p w14:paraId="67F83F8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ويتمثل المتغير المستقل في التحول الرقمي، وقد تم قياسه من خلال أربعة أبعاد رئيسة، هي</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البنية التحتية الرقمية والتقنيات الرقمية، والكفاءة الرقمية للموظفين، وتكامل الأنظمة الرقمية وعمليات الرقمنة، والأمن وحماية البيانات الرقمية</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وقد تم اختيار هذه الأبعاد استنادًا إلى الأدبيات الحديثة والدراسات السابقة التي تناولت تطبيقات التحول الرقمي في القطاع الصحي، بوصفها من أكثر الأبعاد استخدامًا في قياس مستوى التحول الرقمي في المؤسسات الصحية</w:t>
      </w:r>
      <w:r w:rsidRPr="00692479">
        <w:rPr>
          <w:rFonts w:ascii="Traditional Arabic" w:hAnsi="Traditional Arabic" w:cs="Traditional Arabic"/>
          <w:sz w:val="32"/>
          <w:szCs w:val="32"/>
          <w:lang w:val="en-US"/>
        </w:rPr>
        <w:t>.</w:t>
      </w:r>
    </w:p>
    <w:p w14:paraId="39A9080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أما المتغير التابع فهو الاستقرار الوظيفي، وتم قياسه من خلال ثلاثة أبعاد رئيسة، هي</w:t>
      </w:r>
      <w:r w:rsidRPr="00692479">
        <w:rPr>
          <w:rFonts w:ascii="Traditional Arabic" w:hAnsi="Traditional Arabic" w:cs="Traditional Arabic"/>
          <w:sz w:val="32"/>
          <w:szCs w:val="32"/>
          <w:lang w:val="en-US"/>
        </w:rPr>
        <w:t xml:space="preserve">: </w:t>
      </w:r>
      <w:r w:rsidRPr="00692479">
        <w:rPr>
          <w:rFonts w:ascii="Traditional Arabic" w:hAnsi="Traditional Arabic" w:cs="Traditional Arabic"/>
          <w:sz w:val="32"/>
          <w:szCs w:val="32"/>
          <w:rtl/>
          <w:lang w:val="en-US"/>
        </w:rPr>
        <w:t>الأمان الوظيفي، والرضا الوظيفي، والالتزام التنظيمي، وذلك بالاعتماد على الأدبيات والدراسات السابقة التي تناولت مفهوم الاستقرار الوظيفي والعوامل المكونة له، حيث تعكس هذه الأبعاد الجوانب الرئيسة التي تحدد مستوى استقرار العاملين واستمرارهم في أداء أعمالهم داخل المؤسسات الصحية</w:t>
      </w:r>
      <w:r w:rsidRPr="00692479">
        <w:rPr>
          <w:rFonts w:ascii="Traditional Arabic" w:hAnsi="Traditional Arabic" w:cs="Traditional Arabic"/>
          <w:sz w:val="32"/>
          <w:szCs w:val="32"/>
          <w:lang w:val="en-US"/>
        </w:rPr>
        <w:t>.</w:t>
      </w:r>
    </w:p>
    <w:p w14:paraId="24A628B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ويبين الجدول (3-2) متغيرات الدراسة وأبعادها وعدد الفقرات المخصصة لقياس كل بعد</w:t>
      </w:r>
      <w:r w:rsidRPr="00692479">
        <w:rPr>
          <w:rFonts w:ascii="Traditional Arabic" w:hAnsi="Traditional Arabic" w:cs="Traditional Arabic"/>
          <w:sz w:val="32"/>
          <w:szCs w:val="32"/>
          <w:lang w:val="en-US"/>
        </w:rPr>
        <w:t>.</w:t>
      </w:r>
    </w:p>
    <w:p w14:paraId="1575FB4F" w14:textId="77777777" w:rsidR="00692479" w:rsidRPr="00692479" w:rsidRDefault="00692479" w:rsidP="00692479">
      <w:pPr>
        <w:bidi/>
        <w:spacing w:after="0" w:line="360" w:lineRule="auto"/>
        <w:jc w:val="center"/>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جدول (3-2) متغيرات الدراسة وأبعادها وعدد الفقرات</w:t>
      </w:r>
    </w:p>
    <w:tbl>
      <w:tblPr>
        <w:tblStyle w:val="TableGrid"/>
        <w:bidiVisual/>
        <w:tblW w:w="5000" w:type="pct"/>
        <w:tblLook w:val="04A0" w:firstRow="1" w:lastRow="0" w:firstColumn="1" w:lastColumn="0" w:noHBand="0" w:noVBand="1"/>
      </w:tblPr>
      <w:tblGrid>
        <w:gridCol w:w="3556"/>
        <w:gridCol w:w="4151"/>
        <w:gridCol w:w="1630"/>
      </w:tblGrid>
      <w:tr w:rsidR="00692479" w:rsidRPr="00692479" w14:paraId="48C72EE6" w14:textId="77777777" w:rsidTr="00692479">
        <w:tc>
          <w:tcPr>
            <w:tcW w:w="1904" w:type="pct"/>
            <w:hideMark/>
          </w:tcPr>
          <w:p w14:paraId="6A36C9F5"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المتغير</w:t>
            </w:r>
          </w:p>
        </w:tc>
        <w:tc>
          <w:tcPr>
            <w:tcW w:w="2223" w:type="pct"/>
            <w:hideMark/>
          </w:tcPr>
          <w:p w14:paraId="52EEA80D"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البعد</w:t>
            </w:r>
          </w:p>
        </w:tc>
        <w:tc>
          <w:tcPr>
            <w:tcW w:w="873" w:type="pct"/>
            <w:hideMark/>
          </w:tcPr>
          <w:p w14:paraId="28B1D1B7"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عدد الفقرات</w:t>
            </w:r>
          </w:p>
        </w:tc>
      </w:tr>
      <w:tr w:rsidR="00692479" w:rsidRPr="00692479" w14:paraId="6CC98FDF" w14:textId="77777777" w:rsidTr="00692479">
        <w:tc>
          <w:tcPr>
            <w:tcW w:w="1904" w:type="pct"/>
            <w:hideMark/>
          </w:tcPr>
          <w:p w14:paraId="1C5F0A1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المتغير المستقل: التحول الرقمي</w:t>
            </w:r>
          </w:p>
        </w:tc>
        <w:tc>
          <w:tcPr>
            <w:tcW w:w="2223" w:type="pct"/>
            <w:hideMark/>
          </w:tcPr>
          <w:p w14:paraId="0512FAB6"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w:t>
            </w:r>
          </w:p>
        </w:tc>
        <w:tc>
          <w:tcPr>
            <w:tcW w:w="873" w:type="pct"/>
            <w:hideMark/>
          </w:tcPr>
          <w:p w14:paraId="4428D03D"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5CFEAED0" w14:textId="77777777" w:rsidTr="00692479">
        <w:tc>
          <w:tcPr>
            <w:tcW w:w="1904" w:type="pct"/>
            <w:hideMark/>
          </w:tcPr>
          <w:p w14:paraId="0BA14471"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44CB623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w:t>
            </w:r>
          </w:p>
        </w:tc>
        <w:tc>
          <w:tcPr>
            <w:tcW w:w="873" w:type="pct"/>
            <w:hideMark/>
          </w:tcPr>
          <w:p w14:paraId="4983B68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22C44387" w14:textId="77777777" w:rsidTr="00692479">
        <w:tc>
          <w:tcPr>
            <w:tcW w:w="1904" w:type="pct"/>
            <w:hideMark/>
          </w:tcPr>
          <w:p w14:paraId="318543D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60898179"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w:t>
            </w:r>
          </w:p>
        </w:tc>
        <w:tc>
          <w:tcPr>
            <w:tcW w:w="873" w:type="pct"/>
            <w:hideMark/>
          </w:tcPr>
          <w:p w14:paraId="1638F96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5B9E2A2A" w14:textId="77777777" w:rsidTr="00692479">
        <w:tc>
          <w:tcPr>
            <w:tcW w:w="1904" w:type="pct"/>
            <w:hideMark/>
          </w:tcPr>
          <w:p w14:paraId="5E5F4F7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09791FCB"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w:t>
            </w:r>
          </w:p>
        </w:tc>
        <w:tc>
          <w:tcPr>
            <w:tcW w:w="873" w:type="pct"/>
            <w:hideMark/>
          </w:tcPr>
          <w:p w14:paraId="06C556C3"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0CD9C318" w14:textId="77777777" w:rsidTr="00692479">
        <w:tc>
          <w:tcPr>
            <w:tcW w:w="1904" w:type="pct"/>
            <w:hideMark/>
          </w:tcPr>
          <w:p w14:paraId="5DC4775B"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5523BFB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المتغير المستقل</w:t>
            </w:r>
          </w:p>
        </w:tc>
        <w:tc>
          <w:tcPr>
            <w:tcW w:w="873" w:type="pct"/>
            <w:hideMark/>
          </w:tcPr>
          <w:p w14:paraId="577DB6C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20</w:t>
            </w:r>
          </w:p>
        </w:tc>
      </w:tr>
      <w:tr w:rsidR="00692479" w:rsidRPr="00692479" w14:paraId="54A6EDC5" w14:textId="77777777" w:rsidTr="00692479">
        <w:tc>
          <w:tcPr>
            <w:tcW w:w="1904" w:type="pct"/>
            <w:hideMark/>
          </w:tcPr>
          <w:p w14:paraId="191E182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المتغير التابع: الاستقرار الوظيفي</w:t>
            </w:r>
          </w:p>
        </w:tc>
        <w:tc>
          <w:tcPr>
            <w:tcW w:w="2223" w:type="pct"/>
            <w:hideMark/>
          </w:tcPr>
          <w:p w14:paraId="329279D9"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w:t>
            </w:r>
          </w:p>
        </w:tc>
        <w:tc>
          <w:tcPr>
            <w:tcW w:w="873" w:type="pct"/>
            <w:hideMark/>
          </w:tcPr>
          <w:p w14:paraId="38594B3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374532D0" w14:textId="77777777" w:rsidTr="00692479">
        <w:tc>
          <w:tcPr>
            <w:tcW w:w="1904" w:type="pct"/>
            <w:hideMark/>
          </w:tcPr>
          <w:p w14:paraId="22FC7D4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4B5ED70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w:t>
            </w:r>
          </w:p>
        </w:tc>
        <w:tc>
          <w:tcPr>
            <w:tcW w:w="873" w:type="pct"/>
            <w:hideMark/>
          </w:tcPr>
          <w:p w14:paraId="106CC16D"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0CCBEDD0" w14:textId="77777777" w:rsidTr="00692479">
        <w:tc>
          <w:tcPr>
            <w:tcW w:w="1904" w:type="pct"/>
            <w:hideMark/>
          </w:tcPr>
          <w:p w14:paraId="74BB2296"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4A2ACA3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w:t>
            </w:r>
          </w:p>
        </w:tc>
        <w:tc>
          <w:tcPr>
            <w:tcW w:w="873" w:type="pct"/>
            <w:hideMark/>
          </w:tcPr>
          <w:p w14:paraId="669C1484"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08599AFD" w14:textId="77777777" w:rsidTr="00692479">
        <w:tc>
          <w:tcPr>
            <w:tcW w:w="1904" w:type="pct"/>
            <w:hideMark/>
          </w:tcPr>
          <w:p w14:paraId="066F0095"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2223" w:type="pct"/>
            <w:hideMark/>
          </w:tcPr>
          <w:p w14:paraId="6B761A8F"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المتغير التابع</w:t>
            </w:r>
          </w:p>
        </w:tc>
        <w:tc>
          <w:tcPr>
            <w:tcW w:w="873" w:type="pct"/>
            <w:hideMark/>
          </w:tcPr>
          <w:p w14:paraId="2CE5D643"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15</w:t>
            </w:r>
          </w:p>
        </w:tc>
      </w:tr>
      <w:tr w:rsidR="00692479" w:rsidRPr="00692479" w14:paraId="323454B3" w14:textId="77777777" w:rsidTr="00692479">
        <w:tc>
          <w:tcPr>
            <w:tcW w:w="1904" w:type="pct"/>
            <w:hideMark/>
          </w:tcPr>
          <w:p w14:paraId="709B9CC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إجمالي فقرات أداة الدراسة</w:t>
            </w:r>
          </w:p>
        </w:tc>
        <w:tc>
          <w:tcPr>
            <w:tcW w:w="2223" w:type="pct"/>
            <w:hideMark/>
          </w:tcPr>
          <w:p w14:paraId="1CDB237D"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tc>
        <w:tc>
          <w:tcPr>
            <w:tcW w:w="873" w:type="pct"/>
            <w:hideMark/>
          </w:tcPr>
          <w:p w14:paraId="1DED431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35</w:t>
            </w:r>
          </w:p>
        </w:tc>
      </w:tr>
    </w:tbl>
    <w:p w14:paraId="1CA2347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يتضح من جدول (3-2) أن أداة الدراسة اشتملت على (35) فقرة، منها (20) فقرة لقياس المتغير المستقل، و (15) فقرة لقياس المتغير التابع، وقد روعي عند إعدادها شمول جميع الأبعاد الرئيسة لمتغيرات الدراسة بما يضمن قياسها بصورة دقيقة، ويحقق أهداف الدراسة واختبار فرضياتها.</w:t>
      </w:r>
    </w:p>
    <w:p w14:paraId="15C3801E" w14:textId="77777777" w:rsidR="00692479" w:rsidRPr="00692479" w:rsidRDefault="00692479" w:rsidP="00692479">
      <w:pPr>
        <w:bidi/>
        <w:spacing w:line="360" w:lineRule="auto"/>
        <w:jc w:val="both"/>
        <w:rPr>
          <w:rFonts w:ascii="Traditional Arabic" w:hAnsi="Traditional Arabic" w:cs="Traditional Arabic"/>
          <w:sz w:val="32"/>
          <w:szCs w:val="32"/>
          <w:lang w:val="en-US"/>
        </w:rPr>
      </w:pPr>
    </w:p>
    <w:p w14:paraId="0816ABEF"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3.7 أداة الدراسة</w:t>
      </w:r>
    </w:p>
    <w:p w14:paraId="68CEA9AB" w14:textId="77777777" w:rsidR="00692479" w:rsidRPr="00692479" w:rsidRDefault="00692479" w:rsidP="0058077E">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اعتمدت الدراسة الحالية على </w:t>
      </w:r>
      <w:r w:rsidRPr="00692479">
        <w:rPr>
          <w:rFonts w:ascii="Traditional Arabic" w:hAnsi="Traditional Arabic" w:cs="Traditional Arabic"/>
          <w:b/>
          <w:bCs/>
          <w:sz w:val="32"/>
          <w:szCs w:val="32"/>
          <w:rtl/>
          <w:lang w:val="en-US"/>
        </w:rPr>
        <w:t>الاستبانة</w:t>
      </w:r>
      <w:r w:rsidRPr="00692479">
        <w:rPr>
          <w:rFonts w:ascii="Traditional Arabic" w:hAnsi="Traditional Arabic" w:cs="Traditional Arabic"/>
          <w:sz w:val="32"/>
          <w:szCs w:val="32"/>
          <w:rtl/>
          <w:lang w:val="en-US"/>
        </w:rPr>
        <w:t xml:space="preserve"> بوصفها أداة رئيسة لجمع البيانات من أفراد عينة الدراسة، وذلك لملاءمتها لطبيعة الدراسة وأهدافها، ولقدرتها </w:t>
      </w:r>
      <w:r w:rsidR="0058077E" w:rsidRPr="0058077E">
        <w:rPr>
          <w:rFonts w:ascii="Traditional Arabic" w:hAnsi="Traditional Arabic" w:cs="Traditional Arabic"/>
          <w:sz w:val="32"/>
          <w:szCs w:val="32"/>
          <w:rtl/>
          <w:lang w:val="en-US"/>
        </w:rPr>
        <w:t>على جمع البيانات من عدد كبير من أفراد المجتمع خلال فترة زمنية مناسبة، فضلًا عن سهولة معالجتها وتحليلها إحصائيًا (</w:t>
      </w:r>
      <w:r w:rsidR="0058077E" w:rsidRPr="0058077E">
        <w:rPr>
          <w:rFonts w:ascii="Traditional Arabic" w:hAnsi="Traditional Arabic" w:cs="Traditional Arabic"/>
          <w:sz w:val="32"/>
          <w:szCs w:val="32"/>
          <w:lang w:val="en-US"/>
        </w:rPr>
        <w:t>Sekaran &amp; Bougie, 2020</w:t>
      </w:r>
      <w:r w:rsidR="0058077E" w:rsidRPr="0058077E">
        <w:rPr>
          <w:rFonts w:ascii="Traditional Arabic" w:hAnsi="Traditional Arabic" w:cs="Traditional Arabic"/>
          <w:sz w:val="32"/>
          <w:szCs w:val="32"/>
          <w:rtl/>
          <w:lang w:val="en-US"/>
        </w:rPr>
        <w:t>).</w:t>
      </w:r>
    </w:p>
    <w:p w14:paraId="5B4FE7A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وقد قام الباحث بتطوير الاستبانة بالاستناد إلى الأدبيات النظرية والدراسات السابقة ذات العلاقة بمتغيرات الدراسة، مع الاستفادة من المقاييس التي تناولت التحول الرقمي والاستقرار الوظيفي، بما يضمن شمول الأداة لجميع الأبعاد التي تسعى الدراسة إلى قياسها، وملاءمتها لطبيعة العاملين في المستشفيات الحكومية بمدينة جدة</w:t>
      </w:r>
      <w:r w:rsidRPr="00692479">
        <w:rPr>
          <w:rFonts w:ascii="Traditional Arabic" w:hAnsi="Traditional Arabic" w:cs="Traditional Arabic"/>
          <w:sz w:val="32"/>
          <w:szCs w:val="32"/>
          <w:lang w:val="en-US"/>
        </w:rPr>
        <w:t>.</w:t>
      </w:r>
    </w:p>
    <w:p w14:paraId="2376C60A"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وتكونت الاستبانة </w:t>
      </w:r>
      <w:r w:rsidRPr="0058077E">
        <w:rPr>
          <w:rFonts w:ascii="Traditional Arabic" w:hAnsi="Traditional Arabic" w:cs="Traditional Arabic"/>
          <w:sz w:val="32"/>
          <w:szCs w:val="32"/>
          <w:rtl/>
          <w:lang w:val="en-US"/>
        </w:rPr>
        <w:t>في صورتها النهائية من جزأين رئيسين، وذلك على النحو الآتي</w:t>
      </w:r>
      <w:r w:rsidRPr="0058077E">
        <w:rPr>
          <w:rFonts w:ascii="Traditional Arabic" w:hAnsi="Traditional Arabic" w:cs="Traditional Arabic"/>
          <w:sz w:val="32"/>
          <w:szCs w:val="32"/>
          <w:lang w:val="en-US"/>
        </w:rPr>
        <w:t>:</w:t>
      </w:r>
    </w:p>
    <w:p w14:paraId="1E983557"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الجزء الأول: البيانات الشخصية والوظيفية</w:t>
      </w:r>
    </w:p>
    <w:p w14:paraId="50431DED"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يتضمن هذا الجزء مجموعة من المتغيرات الشخصية والوظيفية الخاصة بأفراد عينة الدراسة، وهي</w:t>
      </w:r>
      <w:r w:rsidRPr="00692479">
        <w:rPr>
          <w:rFonts w:ascii="Traditional Arabic" w:hAnsi="Traditional Arabic" w:cs="Traditional Arabic"/>
          <w:sz w:val="32"/>
          <w:szCs w:val="32"/>
          <w:lang w:val="en-US"/>
        </w:rPr>
        <w:t>:</w:t>
      </w:r>
    </w:p>
    <w:p w14:paraId="39DFE657"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الجنس</w:t>
      </w:r>
      <w:r w:rsidRPr="00692479">
        <w:rPr>
          <w:rFonts w:ascii="Traditional Arabic" w:hAnsi="Traditional Arabic" w:cs="Traditional Arabic"/>
          <w:sz w:val="32"/>
          <w:szCs w:val="32"/>
          <w:lang w:val="en-US"/>
        </w:rPr>
        <w:t>.</w:t>
      </w:r>
    </w:p>
    <w:p w14:paraId="5D9457E4"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العمر</w:t>
      </w:r>
      <w:r w:rsidRPr="00692479">
        <w:rPr>
          <w:rFonts w:ascii="Traditional Arabic" w:hAnsi="Traditional Arabic" w:cs="Traditional Arabic"/>
          <w:sz w:val="32"/>
          <w:szCs w:val="32"/>
          <w:lang w:val="en-US"/>
        </w:rPr>
        <w:t>.</w:t>
      </w:r>
    </w:p>
    <w:p w14:paraId="1EFCC030"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المؤهل العلمي</w:t>
      </w:r>
      <w:r w:rsidRPr="00692479">
        <w:rPr>
          <w:rFonts w:ascii="Traditional Arabic" w:hAnsi="Traditional Arabic" w:cs="Traditional Arabic"/>
          <w:sz w:val="32"/>
          <w:szCs w:val="32"/>
          <w:lang w:val="en-US"/>
        </w:rPr>
        <w:t>.</w:t>
      </w:r>
    </w:p>
    <w:p w14:paraId="6165BCAA"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المسمى الوظيفي</w:t>
      </w:r>
      <w:r w:rsidRPr="00692479">
        <w:rPr>
          <w:rFonts w:ascii="Traditional Arabic" w:hAnsi="Traditional Arabic" w:cs="Traditional Arabic"/>
          <w:sz w:val="32"/>
          <w:szCs w:val="32"/>
          <w:lang w:val="en-US"/>
        </w:rPr>
        <w:t>.</w:t>
      </w:r>
    </w:p>
    <w:p w14:paraId="1703ADB0"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سنوات الخبرة</w:t>
      </w:r>
      <w:r w:rsidRPr="00692479">
        <w:rPr>
          <w:rFonts w:ascii="Traditional Arabic" w:hAnsi="Traditional Arabic" w:cs="Traditional Arabic"/>
          <w:sz w:val="32"/>
          <w:szCs w:val="32"/>
          <w:lang w:val="en-US"/>
        </w:rPr>
        <w:t>.</w:t>
      </w:r>
    </w:p>
    <w:p w14:paraId="032AE9F2" w14:textId="77777777" w:rsidR="00692479" w:rsidRPr="00692479" w:rsidRDefault="00692479" w:rsidP="00692479">
      <w:pPr>
        <w:numPr>
          <w:ilvl w:val="0"/>
          <w:numId w:val="2"/>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المستشفى</w:t>
      </w:r>
      <w:r w:rsidRPr="00692479">
        <w:rPr>
          <w:rFonts w:ascii="Traditional Arabic" w:hAnsi="Traditional Arabic" w:cs="Traditional Arabic"/>
          <w:sz w:val="32"/>
          <w:szCs w:val="32"/>
          <w:lang w:val="en-US"/>
        </w:rPr>
        <w:t>.</w:t>
      </w:r>
    </w:p>
    <w:p w14:paraId="205D9473"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وقد أدرجت هذه المتغيرات بهدف وصف خصائص أفراد عينة الدراسة، والاستفادة منها في تقديم وصف إحصائي للعينة</w:t>
      </w:r>
      <w:r w:rsidRPr="00692479">
        <w:rPr>
          <w:rFonts w:ascii="Traditional Arabic" w:hAnsi="Traditional Arabic" w:cs="Traditional Arabic"/>
          <w:sz w:val="32"/>
          <w:szCs w:val="32"/>
          <w:lang w:val="en-US"/>
        </w:rPr>
        <w:t>.</w:t>
      </w:r>
    </w:p>
    <w:p w14:paraId="4114C7B6"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الجزء الثاني: متغيرات الدراسة</w:t>
      </w:r>
    </w:p>
    <w:p w14:paraId="553E69FB" w14:textId="77777777" w:rsidR="00692479" w:rsidRPr="00692479" w:rsidRDefault="00692479" w:rsidP="0058077E">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 xml:space="preserve">يتضمن هذا الجزء فقرات قياس متغيرات الدراسة، حيث </w:t>
      </w:r>
      <w:r w:rsidR="0058077E" w:rsidRPr="0058077E">
        <w:rPr>
          <w:rFonts w:ascii="Traditional Arabic" w:hAnsi="Traditional Arabic" w:cs="Traditional Arabic"/>
          <w:sz w:val="32"/>
          <w:szCs w:val="32"/>
          <w:rtl/>
          <w:lang w:val="en-US"/>
        </w:rPr>
        <w:t>اشتمل على (35) فقرة موزعة على متغيرين رئيسين، هما:</w:t>
      </w:r>
    </w:p>
    <w:p w14:paraId="5674AC5B"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أولًا: المتغير المستقل (التحول الرقمي)</w:t>
      </w:r>
    </w:p>
    <w:p w14:paraId="550507A8"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تم قياس التحول الرقمي من خلال أربعة أبعاد رئيسة، هي</w:t>
      </w:r>
      <w:r w:rsidRPr="00692479">
        <w:rPr>
          <w:rFonts w:ascii="Traditional Arabic" w:hAnsi="Traditional Arabic" w:cs="Traditional Arabic"/>
          <w:sz w:val="32"/>
          <w:szCs w:val="32"/>
          <w:lang w:val="en-US"/>
        </w:rPr>
        <w:t>:</w:t>
      </w:r>
    </w:p>
    <w:p w14:paraId="3D03A7C0"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 (5 فقرات).</w:t>
      </w:r>
    </w:p>
    <w:p w14:paraId="504743EB"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 (5 فقرات).</w:t>
      </w:r>
    </w:p>
    <w:p w14:paraId="59058009"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 (5 فقرات).</w:t>
      </w:r>
    </w:p>
    <w:p w14:paraId="430DC82A" w14:textId="77777777" w:rsidR="00692479" w:rsidRPr="00692479" w:rsidRDefault="00692479" w:rsidP="00692479">
      <w:pPr>
        <w:numPr>
          <w:ilvl w:val="0"/>
          <w:numId w:val="3"/>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 (5 فقرات).</w:t>
      </w:r>
    </w:p>
    <w:p w14:paraId="02C4C682"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وبذلك بلغ إجمالي فقرات المتغير المستقل (20) فقرة.</w:t>
      </w:r>
    </w:p>
    <w:p w14:paraId="52001522" w14:textId="77777777" w:rsidR="00692479" w:rsidRPr="00692479" w:rsidRDefault="00692479" w:rsidP="00692479">
      <w:pPr>
        <w:bidi/>
        <w:spacing w:line="360" w:lineRule="auto"/>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ثانيًا: المتغير التابع (الاستقرار الوظيفي)</w:t>
      </w:r>
    </w:p>
    <w:p w14:paraId="6837A420"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تم قياس الاستقرار الوظيفي من خلال ثلاثة أبعاد رئيسة، هي</w:t>
      </w:r>
      <w:r w:rsidRPr="00692479">
        <w:rPr>
          <w:rFonts w:ascii="Traditional Arabic" w:hAnsi="Traditional Arabic" w:cs="Traditional Arabic"/>
          <w:sz w:val="32"/>
          <w:szCs w:val="32"/>
          <w:lang w:val="en-US"/>
        </w:rPr>
        <w:t>:</w:t>
      </w:r>
    </w:p>
    <w:p w14:paraId="39A04A40"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 (5 فقرات).</w:t>
      </w:r>
    </w:p>
    <w:p w14:paraId="554D3EEF"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 (5 فقرات).</w:t>
      </w:r>
    </w:p>
    <w:p w14:paraId="0F742DD2" w14:textId="77777777" w:rsidR="00692479" w:rsidRPr="00692479" w:rsidRDefault="00692479" w:rsidP="00692479">
      <w:pPr>
        <w:numPr>
          <w:ilvl w:val="0"/>
          <w:numId w:val="4"/>
        </w:num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 (5 فقرات).</w:t>
      </w:r>
    </w:p>
    <w:p w14:paraId="770E8057"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وبذلك بلغ إجمالي فقرات المتغير التابع (15) فقرة.</w:t>
      </w:r>
    </w:p>
    <w:p w14:paraId="025E8C82"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ويبين الجدول (3-3) توزيع فقرات الاستبانة على متغيرات الدراسة وأبعادها</w:t>
      </w:r>
      <w:r w:rsidRPr="00692479">
        <w:rPr>
          <w:rFonts w:ascii="Traditional Arabic" w:hAnsi="Traditional Arabic" w:cs="Traditional Arabic"/>
          <w:sz w:val="32"/>
          <w:szCs w:val="32"/>
          <w:lang w:val="en-US"/>
        </w:rPr>
        <w:t>.</w:t>
      </w:r>
    </w:p>
    <w:p w14:paraId="0041174B" w14:textId="77777777" w:rsidR="00692479" w:rsidRPr="00692479" w:rsidRDefault="00692479" w:rsidP="0058077E">
      <w:pPr>
        <w:bidi/>
        <w:spacing w:line="240" w:lineRule="auto"/>
        <w:jc w:val="center"/>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جدول (3-3) توزيع فقرات الاستبانة على متغيرات الدراسة</w:t>
      </w:r>
    </w:p>
    <w:tbl>
      <w:tblPr>
        <w:tblStyle w:val="TableGrid"/>
        <w:bidiVisual/>
        <w:tblW w:w="5000" w:type="pct"/>
        <w:tblLook w:val="04A0" w:firstRow="1" w:lastRow="0" w:firstColumn="1" w:lastColumn="0" w:noHBand="0" w:noVBand="1"/>
      </w:tblPr>
      <w:tblGrid>
        <w:gridCol w:w="2073"/>
        <w:gridCol w:w="4052"/>
        <w:gridCol w:w="1621"/>
        <w:gridCol w:w="1591"/>
      </w:tblGrid>
      <w:tr w:rsidR="00692479" w:rsidRPr="00692479" w14:paraId="48E399E2" w14:textId="77777777" w:rsidTr="00692479">
        <w:tc>
          <w:tcPr>
            <w:tcW w:w="1110" w:type="pct"/>
            <w:hideMark/>
          </w:tcPr>
          <w:p w14:paraId="5C275756"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المتغير</w:t>
            </w:r>
          </w:p>
        </w:tc>
        <w:tc>
          <w:tcPr>
            <w:tcW w:w="2170" w:type="pct"/>
            <w:hideMark/>
          </w:tcPr>
          <w:p w14:paraId="6C4E6CD4"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البعد</w:t>
            </w:r>
          </w:p>
        </w:tc>
        <w:tc>
          <w:tcPr>
            <w:tcW w:w="868" w:type="pct"/>
            <w:hideMark/>
          </w:tcPr>
          <w:p w14:paraId="17B1F4DC"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أرقام الفقرات</w:t>
            </w:r>
          </w:p>
        </w:tc>
        <w:tc>
          <w:tcPr>
            <w:tcW w:w="852" w:type="pct"/>
            <w:hideMark/>
          </w:tcPr>
          <w:p w14:paraId="210B485B" w14:textId="77777777" w:rsidR="00692479" w:rsidRPr="00692479" w:rsidRDefault="00692479" w:rsidP="0058077E">
            <w:pPr>
              <w:bidi/>
              <w:spacing w:after="200"/>
              <w:jc w:val="both"/>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عدد الفقرات</w:t>
            </w:r>
          </w:p>
        </w:tc>
      </w:tr>
      <w:tr w:rsidR="00692479" w:rsidRPr="00692479" w14:paraId="6CD01AAF" w14:textId="77777777" w:rsidTr="00692479">
        <w:tc>
          <w:tcPr>
            <w:tcW w:w="1110" w:type="pct"/>
            <w:hideMark/>
          </w:tcPr>
          <w:p w14:paraId="5E93503C"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التحول الرقمي</w:t>
            </w:r>
          </w:p>
        </w:tc>
        <w:tc>
          <w:tcPr>
            <w:tcW w:w="2170" w:type="pct"/>
            <w:hideMark/>
          </w:tcPr>
          <w:p w14:paraId="547A0588"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البنية التحتية الرقمية والتقنيات الرقمية</w:t>
            </w:r>
          </w:p>
        </w:tc>
        <w:tc>
          <w:tcPr>
            <w:tcW w:w="868" w:type="pct"/>
            <w:hideMark/>
          </w:tcPr>
          <w:p w14:paraId="68331649"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1–5</w:t>
            </w:r>
          </w:p>
        </w:tc>
        <w:tc>
          <w:tcPr>
            <w:tcW w:w="852" w:type="pct"/>
            <w:hideMark/>
          </w:tcPr>
          <w:p w14:paraId="0AEACD3C"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279C2345" w14:textId="77777777" w:rsidTr="00692479">
        <w:tc>
          <w:tcPr>
            <w:tcW w:w="1110" w:type="pct"/>
            <w:hideMark/>
          </w:tcPr>
          <w:p w14:paraId="069CAC01"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437F6294"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الكفاءة الرقمية للموظفين</w:t>
            </w:r>
          </w:p>
        </w:tc>
        <w:tc>
          <w:tcPr>
            <w:tcW w:w="868" w:type="pct"/>
            <w:hideMark/>
          </w:tcPr>
          <w:p w14:paraId="08F594CC"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6–10</w:t>
            </w:r>
          </w:p>
        </w:tc>
        <w:tc>
          <w:tcPr>
            <w:tcW w:w="852" w:type="pct"/>
            <w:hideMark/>
          </w:tcPr>
          <w:p w14:paraId="5059FF18"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5FFCC245" w14:textId="77777777" w:rsidTr="00692479">
        <w:tc>
          <w:tcPr>
            <w:tcW w:w="1110" w:type="pct"/>
            <w:hideMark/>
          </w:tcPr>
          <w:p w14:paraId="2C01E8F5"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6052BF24"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تكامل الأنظمة الرقمية وعمليات الرقمنة</w:t>
            </w:r>
          </w:p>
        </w:tc>
        <w:tc>
          <w:tcPr>
            <w:tcW w:w="868" w:type="pct"/>
            <w:hideMark/>
          </w:tcPr>
          <w:p w14:paraId="617BB47F"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11–15</w:t>
            </w:r>
          </w:p>
        </w:tc>
        <w:tc>
          <w:tcPr>
            <w:tcW w:w="852" w:type="pct"/>
            <w:hideMark/>
          </w:tcPr>
          <w:p w14:paraId="61C865F8"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3E01E981" w14:textId="77777777" w:rsidTr="00692479">
        <w:tc>
          <w:tcPr>
            <w:tcW w:w="1110" w:type="pct"/>
            <w:hideMark/>
          </w:tcPr>
          <w:p w14:paraId="7EB5AF79"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1B19B011"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الأمن وحماية البيانات الرقمية</w:t>
            </w:r>
          </w:p>
        </w:tc>
        <w:tc>
          <w:tcPr>
            <w:tcW w:w="868" w:type="pct"/>
            <w:hideMark/>
          </w:tcPr>
          <w:p w14:paraId="43844070"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16–20</w:t>
            </w:r>
          </w:p>
        </w:tc>
        <w:tc>
          <w:tcPr>
            <w:tcW w:w="852" w:type="pct"/>
            <w:hideMark/>
          </w:tcPr>
          <w:p w14:paraId="43A8CE5F"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6EB3EDE1" w14:textId="77777777" w:rsidTr="00692479">
        <w:tc>
          <w:tcPr>
            <w:tcW w:w="1110" w:type="pct"/>
            <w:hideMark/>
          </w:tcPr>
          <w:p w14:paraId="6A67CF47"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الاستقرار الوظيفي</w:t>
            </w:r>
          </w:p>
        </w:tc>
        <w:tc>
          <w:tcPr>
            <w:tcW w:w="2170" w:type="pct"/>
            <w:hideMark/>
          </w:tcPr>
          <w:p w14:paraId="2B87D9B2"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الأمان الوظيفي</w:t>
            </w:r>
          </w:p>
        </w:tc>
        <w:tc>
          <w:tcPr>
            <w:tcW w:w="868" w:type="pct"/>
            <w:hideMark/>
          </w:tcPr>
          <w:p w14:paraId="15B741A8"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21–25</w:t>
            </w:r>
          </w:p>
        </w:tc>
        <w:tc>
          <w:tcPr>
            <w:tcW w:w="852" w:type="pct"/>
            <w:hideMark/>
          </w:tcPr>
          <w:p w14:paraId="325E8227"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7BE3C3B8" w14:textId="77777777" w:rsidTr="00692479">
        <w:tc>
          <w:tcPr>
            <w:tcW w:w="1110" w:type="pct"/>
            <w:hideMark/>
          </w:tcPr>
          <w:p w14:paraId="07B9B72B"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7AB4ABC8"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الرضا الوظيفي</w:t>
            </w:r>
          </w:p>
        </w:tc>
        <w:tc>
          <w:tcPr>
            <w:tcW w:w="868" w:type="pct"/>
            <w:hideMark/>
          </w:tcPr>
          <w:p w14:paraId="002F1C95"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26–30</w:t>
            </w:r>
          </w:p>
        </w:tc>
        <w:tc>
          <w:tcPr>
            <w:tcW w:w="852" w:type="pct"/>
            <w:hideMark/>
          </w:tcPr>
          <w:p w14:paraId="2A683C73"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7339D58C" w14:textId="77777777" w:rsidTr="00692479">
        <w:tc>
          <w:tcPr>
            <w:tcW w:w="1110" w:type="pct"/>
            <w:hideMark/>
          </w:tcPr>
          <w:p w14:paraId="6BD85E0E"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2170" w:type="pct"/>
            <w:hideMark/>
          </w:tcPr>
          <w:p w14:paraId="669D34CC"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الالتزام التنظيمي</w:t>
            </w:r>
          </w:p>
        </w:tc>
        <w:tc>
          <w:tcPr>
            <w:tcW w:w="868" w:type="pct"/>
            <w:hideMark/>
          </w:tcPr>
          <w:p w14:paraId="37FF5DBC"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31–35</w:t>
            </w:r>
          </w:p>
        </w:tc>
        <w:tc>
          <w:tcPr>
            <w:tcW w:w="852" w:type="pct"/>
            <w:hideMark/>
          </w:tcPr>
          <w:p w14:paraId="5ABBD727"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r>
      <w:tr w:rsidR="00692479" w:rsidRPr="00692479" w14:paraId="13520332" w14:textId="77777777" w:rsidTr="00692479">
        <w:tc>
          <w:tcPr>
            <w:tcW w:w="1110" w:type="pct"/>
            <w:hideMark/>
          </w:tcPr>
          <w:p w14:paraId="0CC248A9"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rtl/>
                <w:lang w:val="en-US"/>
              </w:rPr>
              <w:t>الإجمالي</w:t>
            </w:r>
          </w:p>
        </w:tc>
        <w:tc>
          <w:tcPr>
            <w:tcW w:w="2170" w:type="pct"/>
            <w:hideMark/>
          </w:tcPr>
          <w:p w14:paraId="146A24FC"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868" w:type="pct"/>
            <w:hideMark/>
          </w:tcPr>
          <w:p w14:paraId="471983C1" w14:textId="77777777" w:rsidR="00692479" w:rsidRPr="00692479" w:rsidRDefault="00692479" w:rsidP="0058077E">
            <w:pPr>
              <w:bidi/>
              <w:spacing w:after="200"/>
              <w:jc w:val="both"/>
              <w:rPr>
                <w:rFonts w:ascii="Traditional Arabic" w:hAnsi="Traditional Arabic" w:cs="Traditional Arabic"/>
                <w:sz w:val="32"/>
                <w:szCs w:val="32"/>
                <w:lang w:val="en-US"/>
              </w:rPr>
            </w:pPr>
          </w:p>
        </w:tc>
        <w:tc>
          <w:tcPr>
            <w:tcW w:w="852" w:type="pct"/>
            <w:hideMark/>
          </w:tcPr>
          <w:p w14:paraId="38E06366" w14:textId="77777777" w:rsidR="00692479" w:rsidRPr="00692479" w:rsidRDefault="00692479" w:rsidP="0058077E">
            <w:pPr>
              <w:bidi/>
              <w:spacing w:after="200"/>
              <w:jc w:val="both"/>
              <w:rPr>
                <w:rFonts w:ascii="Traditional Arabic" w:hAnsi="Traditional Arabic" w:cs="Traditional Arabic"/>
                <w:sz w:val="32"/>
                <w:szCs w:val="32"/>
                <w:lang w:val="en-US"/>
              </w:rPr>
            </w:pPr>
            <w:r w:rsidRPr="00692479">
              <w:rPr>
                <w:rFonts w:ascii="Traditional Arabic" w:hAnsi="Traditional Arabic" w:cs="Traditional Arabic"/>
                <w:b/>
                <w:bCs/>
                <w:sz w:val="32"/>
                <w:szCs w:val="32"/>
                <w:lang w:val="en-US"/>
              </w:rPr>
              <w:t>35</w:t>
            </w:r>
          </w:p>
        </w:tc>
      </w:tr>
    </w:tbl>
    <w:p w14:paraId="4C513F0C" w14:textId="77777777" w:rsidR="00692479" w:rsidRPr="00692479" w:rsidRDefault="00692479" w:rsidP="00692479">
      <w:pPr>
        <w:bidi/>
        <w:spacing w:line="360" w:lineRule="auto"/>
        <w:jc w:val="both"/>
        <w:rPr>
          <w:rFonts w:ascii="Traditional Arabic" w:hAnsi="Traditional Arabic" w:cs="Traditional Arabic"/>
          <w:sz w:val="32"/>
          <w:szCs w:val="32"/>
          <w:lang w:val="en-US"/>
        </w:rPr>
      </w:pPr>
      <w:r w:rsidRPr="00692479">
        <w:rPr>
          <w:rFonts w:ascii="Traditional Arabic" w:hAnsi="Traditional Arabic" w:cs="Traditional Arabic"/>
          <w:sz w:val="32"/>
          <w:szCs w:val="32"/>
          <w:rtl/>
          <w:lang w:val="en-US"/>
        </w:rPr>
        <w:t>واعتمدت الدراسة مقياس ليكرت الخماسي لقياس استجابات أفراد العينة على فقرات الاستبانة، حيث خُصصت خمس درجات للاستجابة، تبدأ من (موافق بشدة) وتنتهي بـ (غير موافق بشدة)، وذلك وفق التدرج الآتي:</w:t>
      </w:r>
    </w:p>
    <w:tbl>
      <w:tblPr>
        <w:tblStyle w:val="TableGrid"/>
        <w:bidiVisual/>
        <w:tblW w:w="5000" w:type="pct"/>
        <w:tblLook w:val="04A0" w:firstRow="1" w:lastRow="0" w:firstColumn="1" w:lastColumn="0" w:noHBand="0" w:noVBand="1"/>
      </w:tblPr>
      <w:tblGrid>
        <w:gridCol w:w="2207"/>
        <w:gridCol w:w="1253"/>
        <w:gridCol w:w="1115"/>
        <w:gridCol w:w="1903"/>
        <w:gridCol w:w="2859"/>
      </w:tblGrid>
      <w:tr w:rsidR="00692479" w:rsidRPr="00692479" w14:paraId="0D9C4C7E" w14:textId="77777777" w:rsidTr="00692479">
        <w:tc>
          <w:tcPr>
            <w:tcW w:w="1182" w:type="pct"/>
            <w:hideMark/>
          </w:tcPr>
          <w:p w14:paraId="63EC9DCD"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موافق بشدة</w:t>
            </w:r>
          </w:p>
        </w:tc>
        <w:tc>
          <w:tcPr>
            <w:tcW w:w="671" w:type="pct"/>
            <w:hideMark/>
          </w:tcPr>
          <w:p w14:paraId="076EB7A3"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موافق</w:t>
            </w:r>
          </w:p>
        </w:tc>
        <w:tc>
          <w:tcPr>
            <w:tcW w:w="597" w:type="pct"/>
            <w:hideMark/>
          </w:tcPr>
          <w:p w14:paraId="3D87ACDA"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محايد</w:t>
            </w:r>
          </w:p>
        </w:tc>
        <w:tc>
          <w:tcPr>
            <w:tcW w:w="1019" w:type="pct"/>
            <w:hideMark/>
          </w:tcPr>
          <w:p w14:paraId="18FEE95C"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غير موافق</w:t>
            </w:r>
          </w:p>
        </w:tc>
        <w:tc>
          <w:tcPr>
            <w:tcW w:w="1531" w:type="pct"/>
            <w:hideMark/>
          </w:tcPr>
          <w:p w14:paraId="064B30D0" w14:textId="77777777" w:rsidR="00692479" w:rsidRPr="00692479" w:rsidRDefault="00692479" w:rsidP="0058077E">
            <w:pPr>
              <w:bidi/>
              <w:spacing w:after="200"/>
              <w:jc w:val="center"/>
              <w:rPr>
                <w:rFonts w:ascii="Traditional Arabic" w:hAnsi="Traditional Arabic" w:cs="Traditional Arabic"/>
                <w:b/>
                <w:bCs/>
                <w:sz w:val="32"/>
                <w:szCs w:val="32"/>
                <w:lang w:val="en-US"/>
              </w:rPr>
            </w:pPr>
            <w:r w:rsidRPr="00692479">
              <w:rPr>
                <w:rFonts w:ascii="Traditional Arabic" w:hAnsi="Traditional Arabic" w:cs="Traditional Arabic"/>
                <w:b/>
                <w:bCs/>
                <w:sz w:val="32"/>
                <w:szCs w:val="32"/>
                <w:rtl/>
                <w:lang w:val="en-US"/>
              </w:rPr>
              <w:t>غير موافق بشدة</w:t>
            </w:r>
          </w:p>
        </w:tc>
      </w:tr>
      <w:tr w:rsidR="00692479" w:rsidRPr="00692479" w14:paraId="2FBF5AF9" w14:textId="77777777" w:rsidTr="00692479">
        <w:tc>
          <w:tcPr>
            <w:tcW w:w="1182" w:type="pct"/>
            <w:hideMark/>
          </w:tcPr>
          <w:p w14:paraId="402F48B4"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5</w:t>
            </w:r>
          </w:p>
        </w:tc>
        <w:tc>
          <w:tcPr>
            <w:tcW w:w="671" w:type="pct"/>
            <w:hideMark/>
          </w:tcPr>
          <w:p w14:paraId="7104ED71"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4</w:t>
            </w:r>
          </w:p>
        </w:tc>
        <w:tc>
          <w:tcPr>
            <w:tcW w:w="597" w:type="pct"/>
            <w:hideMark/>
          </w:tcPr>
          <w:p w14:paraId="6515EFE6"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3</w:t>
            </w:r>
          </w:p>
        </w:tc>
        <w:tc>
          <w:tcPr>
            <w:tcW w:w="1019" w:type="pct"/>
            <w:hideMark/>
          </w:tcPr>
          <w:p w14:paraId="15A14152"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2</w:t>
            </w:r>
          </w:p>
        </w:tc>
        <w:tc>
          <w:tcPr>
            <w:tcW w:w="1531" w:type="pct"/>
            <w:hideMark/>
          </w:tcPr>
          <w:p w14:paraId="66539671" w14:textId="77777777" w:rsidR="00692479" w:rsidRPr="00692479" w:rsidRDefault="00692479" w:rsidP="0058077E">
            <w:pPr>
              <w:bidi/>
              <w:spacing w:after="200"/>
              <w:jc w:val="center"/>
              <w:rPr>
                <w:rFonts w:ascii="Traditional Arabic" w:hAnsi="Traditional Arabic" w:cs="Traditional Arabic"/>
                <w:sz w:val="32"/>
                <w:szCs w:val="32"/>
                <w:lang w:val="en-US"/>
              </w:rPr>
            </w:pPr>
            <w:r w:rsidRPr="00692479">
              <w:rPr>
                <w:rFonts w:ascii="Traditional Arabic" w:hAnsi="Traditional Arabic" w:cs="Traditional Arabic"/>
                <w:sz w:val="32"/>
                <w:szCs w:val="32"/>
                <w:lang w:val="en-US"/>
              </w:rPr>
              <w:t>1</w:t>
            </w:r>
          </w:p>
        </w:tc>
      </w:tr>
    </w:tbl>
    <w:p w14:paraId="5B11C7D7" w14:textId="77777777" w:rsidR="00692479" w:rsidRDefault="00692479" w:rsidP="00692479">
      <w:pPr>
        <w:bidi/>
        <w:spacing w:line="360" w:lineRule="auto"/>
        <w:jc w:val="both"/>
        <w:rPr>
          <w:rFonts w:ascii="Traditional Arabic" w:hAnsi="Traditional Arabic" w:cs="Traditional Arabic"/>
          <w:sz w:val="32"/>
          <w:szCs w:val="32"/>
          <w:rtl/>
          <w:lang w:val="en-US"/>
        </w:rPr>
      </w:pPr>
      <w:r w:rsidRPr="00692479">
        <w:rPr>
          <w:rFonts w:ascii="Traditional Arabic" w:hAnsi="Traditional Arabic" w:cs="Traditional Arabic"/>
          <w:sz w:val="32"/>
          <w:szCs w:val="32"/>
          <w:rtl/>
          <w:lang w:val="en-US"/>
        </w:rPr>
        <w:t>ويُعد مقياس ليكرت الخماسي من أكثر المقاييس استخدامًا في الدراسات الإدارية والسلوكية، لما يتمتع به من سهولة التطبيق، وقدرته على قياس اتجاهات وآراء أفراد الدراسة بدرجة عالية من الدقة والموضوعية</w:t>
      </w:r>
      <w:r w:rsidRPr="00692479">
        <w:rPr>
          <w:rFonts w:ascii="Traditional Arabic" w:hAnsi="Traditional Arabic" w:cs="Traditional Arabic"/>
          <w:sz w:val="32"/>
          <w:szCs w:val="32"/>
          <w:lang w:val="en-US"/>
        </w:rPr>
        <w:t>.</w:t>
      </w:r>
    </w:p>
    <w:p w14:paraId="542C6496" w14:textId="77777777" w:rsidR="0058077E" w:rsidRPr="00692479" w:rsidRDefault="0058077E" w:rsidP="0058077E">
      <w:pPr>
        <w:bidi/>
        <w:spacing w:line="360" w:lineRule="auto"/>
        <w:jc w:val="both"/>
        <w:rPr>
          <w:rFonts w:ascii="Traditional Arabic" w:hAnsi="Traditional Arabic" w:cs="Traditional Arabic"/>
          <w:sz w:val="32"/>
          <w:szCs w:val="32"/>
          <w:lang w:val="en-US"/>
        </w:rPr>
      </w:pPr>
    </w:p>
    <w:p w14:paraId="461BB465"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3.8 صدق أداة الدراسة</w:t>
      </w:r>
    </w:p>
    <w:p w14:paraId="2FE461BB" w14:textId="77777777" w:rsidR="0058077E" w:rsidRP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يُعد الصدق</w:t>
      </w:r>
      <w:r w:rsidRPr="0058077E">
        <w:rPr>
          <w:rFonts w:ascii="Traditional Arabic" w:hAnsi="Traditional Arabic" w:cs="Traditional Arabic"/>
          <w:sz w:val="32"/>
          <w:szCs w:val="32"/>
          <w:lang w:val="en-US"/>
        </w:rPr>
        <w:t xml:space="preserve"> (Validity) </w:t>
      </w:r>
      <w:r w:rsidRPr="0058077E">
        <w:rPr>
          <w:rFonts w:ascii="Traditional Arabic" w:hAnsi="Traditional Arabic" w:cs="Traditional Arabic"/>
          <w:sz w:val="32"/>
          <w:szCs w:val="32"/>
          <w:rtl/>
          <w:lang w:val="en-US"/>
        </w:rPr>
        <w:t>من أهم الخصائص السيكومترية التي ينبغي توافرها في أدوات القياس، إذ يعبر عن مدى قدرة الأداة على قياس المتغيرات التي أُعدت لقياسها بدقة وموضوعية، بما يضمن سلامة البيانات التي يتم جمعها وإمكانية الاعتماد عليها في اختبار فرضيات الدراسة وتحقيق أهدافها. ويؤكد كل من</w:t>
      </w:r>
      <w:r w:rsidRPr="0058077E">
        <w:rPr>
          <w:rFonts w:ascii="Traditional Arabic" w:hAnsi="Traditional Arabic" w:cs="Traditional Arabic"/>
          <w:sz w:val="32"/>
          <w:szCs w:val="32"/>
          <w:lang w:val="en-US"/>
        </w:rPr>
        <w:t xml:space="preserve"> Creswell and Creswell (2023) </w:t>
      </w:r>
      <w:r w:rsidRPr="0058077E">
        <w:rPr>
          <w:rFonts w:ascii="Traditional Arabic" w:hAnsi="Traditional Arabic" w:cs="Traditional Arabic"/>
          <w:sz w:val="32"/>
          <w:szCs w:val="32"/>
          <w:rtl/>
          <w:lang w:val="en-US"/>
        </w:rPr>
        <w:t>و</w:t>
      </w:r>
      <w:r w:rsidRPr="0058077E">
        <w:rPr>
          <w:rFonts w:ascii="Traditional Arabic" w:hAnsi="Traditional Arabic" w:cs="Traditional Arabic"/>
          <w:sz w:val="32"/>
          <w:szCs w:val="32"/>
          <w:lang w:val="en-US"/>
        </w:rPr>
        <w:t xml:space="preserve">Hair et al. (2022) </w:t>
      </w:r>
      <w:r w:rsidRPr="0058077E">
        <w:rPr>
          <w:rFonts w:ascii="Traditional Arabic" w:hAnsi="Traditional Arabic" w:cs="Traditional Arabic"/>
          <w:sz w:val="32"/>
          <w:szCs w:val="32"/>
          <w:rtl/>
          <w:lang w:val="en-US"/>
        </w:rPr>
        <w:t>أن التحقق من صدق أدوات القياس يمثل خطوة أساسية قبل تطبيقها ميدانيًا، لما لذلك من أثر في تعزيز موثوقية النتائج ودقتها</w:t>
      </w:r>
      <w:r w:rsidRPr="0058077E">
        <w:rPr>
          <w:rFonts w:ascii="Traditional Arabic" w:hAnsi="Traditional Arabic" w:cs="Traditional Arabic"/>
          <w:sz w:val="32"/>
          <w:szCs w:val="32"/>
          <w:lang w:val="en-US"/>
        </w:rPr>
        <w:t>.</w:t>
      </w:r>
    </w:p>
    <w:p w14:paraId="67861102"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وللتحقق من صدق أداة الدراسة، اعتمد الباحث على الصدق الظاهري وصدق البناء، وذلك على النحو الآتي</w:t>
      </w:r>
      <w:r w:rsidRPr="0058077E">
        <w:rPr>
          <w:rFonts w:ascii="Traditional Arabic" w:hAnsi="Traditional Arabic" w:cs="Traditional Arabic"/>
          <w:sz w:val="32"/>
          <w:szCs w:val="32"/>
          <w:lang w:val="en-US"/>
        </w:rPr>
        <w:t>:</w:t>
      </w:r>
    </w:p>
    <w:p w14:paraId="1D475DE8"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أولاً: الصدق الظاهري (</w:t>
      </w:r>
      <w:r w:rsidRPr="0058077E">
        <w:rPr>
          <w:rFonts w:ascii="Traditional Arabic" w:hAnsi="Traditional Arabic" w:cs="Traditional Arabic"/>
          <w:b/>
          <w:bCs/>
          <w:sz w:val="32"/>
          <w:szCs w:val="32"/>
          <w:lang w:val="en-US"/>
        </w:rPr>
        <w:t>Face Validity</w:t>
      </w:r>
      <w:r w:rsidRPr="0058077E">
        <w:rPr>
          <w:rFonts w:ascii="Traditional Arabic" w:hAnsi="Traditional Arabic" w:cs="Traditional Arabic"/>
          <w:b/>
          <w:bCs/>
          <w:sz w:val="32"/>
          <w:szCs w:val="32"/>
          <w:rtl/>
          <w:lang w:val="en-US"/>
        </w:rPr>
        <w:t>)</w:t>
      </w:r>
    </w:p>
    <w:p w14:paraId="55EA6180"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 xml:space="preserve">للتحقق من الصدق الظاهري، عرض الباحث الاستبانة في صورتها الأولية على مجموعة من </w:t>
      </w:r>
      <w:r w:rsidRPr="0058077E">
        <w:rPr>
          <w:rFonts w:ascii="Traditional Arabic" w:hAnsi="Traditional Arabic" w:cs="Traditional Arabic"/>
          <w:sz w:val="32"/>
          <w:szCs w:val="32"/>
          <w:lang w:val="en-US"/>
        </w:rPr>
        <w:t xml:space="preserve"> </w:t>
      </w:r>
      <w:r w:rsidRPr="0058077E">
        <w:rPr>
          <w:rFonts w:ascii="Traditional Arabic" w:hAnsi="Traditional Arabic" w:cs="Traditional Arabic"/>
          <w:sz w:val="32"/>
          <w:szCs w:val="32"/>
          <w:rtl/>
          <w:lang w:val="en-US"/>
        </w:rPr>
        <w:t>محكمين من أعضاء هيئة التدريس والمتخصصين في الإدارة، وإدارة الخدمات الصحية، ونظم المعلومات، والقياس والتقويم، وذلك بهدف إبداء آرائهم حول مدى مناسبة الفقرات لأبعاد الدراسة، ووضوح صياغتها اللغوية، وسلامتها العلمية، وقدرتها على قياس المتغيرات المستهدفة</w:t>
      </w:r>
      <w:r w:rsidRPr="0058077E">
        <w:rPr>
          <w:rFonts w:ascii="Traditional Arabic" w:hAnsi="Traditional Arabic" w:cs="Traditional Arabic"/>
          <w:sz w:val="32"/>
          <w:szCs w:val="32"/>
          <w:lang w:val="en-US"/>
        </w:rPr>
        <w:t>.</w:t>
      </w:r>
    </w:p>
    <w:p w14:paraId="1BAB4BA3"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وقد تناول التحكيم عددًا من الجوانب، تمثلت في مدى انتماء الفقرات للأبعاد التي تقيسها، ووضوح الصياغة اللغوية، وترابط الفقرات، وتسلسلها المنطقي، وشمولها لمختلف جوانب متغيرات الدراسة، إضافة إلى ملاءمتها لطبيعة العاملين في المستشفيات الحكومية بمدينة جدة</w:t>
      </w:r>
      <w:r w:rsidRPr="0058077E">
        <w:rPr>
          <w:rFonts w:ascii="Traditional Arabic" w:hAnsi="Traditional Arabic" w:cs="Traditional Arabic"/>
          <w:sz w:val="32"/>
          <w:szCs w:val="32"/>
          <w:lang w:val="en-US"/>
        </w:rPr>
        <w:t>.</w:t>
      </w:r>
    </w:p>
    <w:p w14:paraId="1581616B"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وفي ضوء ملاحظات المحكمين، أجرى الباحث عددًا من التعديلات، شملت إعادة صياغة بعض الفقرات، وتحسين الصياغة اللغوية، وتعديل عدد محدود من العبارات بما يزيد من وضوحها ودقتها، مع الإبقاء على جميع الأبعاد الرئيسة للدراسة. وقد بلغت نسبة اتفاق المحكمين على صلاحية الاستبانة (91%)، وهي نسبة مرتفعة تؤكد تمتع الأداة بدرجة مناسبة من الصدق الظاهري، وصلاحيتها للتطبيق الميداني.</w:t>
      </w:r>
    </w:p>
    <w:p w14:paraId="1F82F800" w14:textId="77777777" w:rsidR="0058077E" w:rsidRDefault="0058077E" w:rsidP="0058077E">
      <w:pPr>
        <w:bidi/>
        <w:spacing w:line="360" w:lineRule="auto"/>
        <w:jc w:val="both"/>
        <w:rPr>
          <w:rFonts w:ascii="Traditional Arabic" w:hAnsi="Traditional Arabic" w:cs="Traditional Arabic"/>
          <w:b/>
          <w:bCs/>
          <w:sz w:val="32"/>
          <w:szCs w:val="32"/>
          <w:rtl/>
          <w:lang w:val="en-US"/>
        </w:rPr>
      </w:pPr>
      <w:r w:rsidRPr="0058077E">
        <w:rPr>
          <w:rFonts w:ascii="Traditional Arabic" w:hAnsi="Traditional Arabic" w:cs="Traditional Arabic"/>
          <w:b/>
          <w:bCs/>
          <w:sz w:val="32"/>
          <w:szCs w:val="32"/>
          <w:rtl/>
          <w:lang w:val="en-US"/>
        </w:rPr>
        <w:t>ثانياً: صدق البناء (</w:t>
      </w:r>
      <w:r w:rsidRPr="0058077E">
        <w:rPr>
          <w:rFonts w:ascii="Traditional Arabic" w:hAnsi="Traditional Arabic" w:cs="Traditional Arabic"/>
          <w:b/>
          <w:bCs/>
          <w:sz w:val="32"/>
          <w:szCs w:val="32"/>
          <w:lang w:val="en-US"/>
        </w:rPr>
        <w:t>Construct Validity</w:t>
      </w:r>
      <w:r w:rsidRPr="0058077E">
        <w:rPr>
          <w:rFonts w:ascii="Traditional Arabic" w:hAnsi="Traditional Arabic" w:cs="Traditional Arabic"/>
          <w:b/>
          <w:bCs/>
          <w:sz w:val="32"/>
          <w:szCs w:val="32"/>
          <w:rtl/>
          <w:lang w:val="en-US"/>
        </w:rPr>
        <w:t>)</w:t>
      </w:r>
    </w:p>
    <w:p w14:paraId="7E70DF54"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للتحقق من صدق البناء، طُبقت الاستبانة على عينة استطلاعية مكونة من (30) موظفًا من خارج عينة الدراسة الأساسية، ثم حُسبت معاملات ارتباط بيرسون بين درجة كل فقرة والدرجة الكلية للبعد الذي تنتمي إليه، وذلك للتحقق من مدى اتساق الفقرات في قياس البعد نفسه.</w:t>
      </w:r>
    </w:p>
    <w:p w14:paraId="4B3496B8"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وقد أظهرت نتائج التحليل الإحصائي أن جميع معاملات الارتباط جاءت موجبة ودالة إحصائيًا عند مستوى الدلالة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حيث تراوحت قيم معاملات الارتباط بين (0.714) و (0.891) ، وهي قيم مرتفعة تعكس اتساقًا داخليًا جيدًا بين الفقرات والأبعاد التي تنتمي إليها، مما يؤكد صلاحية جميع الفقرات للإبقاء عليها ضمن أداة الدراسة.</w:t>
      </w:r>
    </w:p>
    <w:p w14:paraId="3B86FEC4"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ويبين الجدول (3-4) معاملات ارتباط بيرسون بين فقرات كل بعد والدرجة الكلية للبعد الذي تنتمي إليه</w:t>
      </w:r>
      <w:r w:rsidRPr="0058077E">
        <w:rPr>
          <w:rFonts w:ascii="Traditional Arabic" w:hAnsi="Traditional Arabic" w:cs="Traditional Arabic"/>
          <w:sz w:val="32"/>
          <w:szCs w:val="32"/>
          <w:lang w:val="en-US"/>
        </w:rPr>
        <w:t>.</w:t>
      </w:r>
    </w:p>
    <w:p w14:paraId="44E86A96" w14:textId="77777777" w:rsidR="0058077E" w:rsidRPr="0058077E" w:rsidRDefault="0058077E" w:rsidP="0058077E">
      <w:pPr>
        <w:bidi/>
        <w:spacing w:line="240" w:lineRule="auto"/>
        <w:jc w:val="center"/>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جدول (3-4) معاملات ارتباط بيرسون بين فقرات كل بعد والدرجة الكلية للبعد</w:t>
      </w:r>
    </w:p>
    <w:tbl>
      <w:tblPr>
        <w:tblStyle w:val="TableGrid"/>
        <w:bidiVisual/>
        <w:tblW w:w="5000" w:type="pct"/>
        <w:tblLook w:val="04A0" w:firstRow="1" w:lastRow="0" w:firstColumn="1" w:lastColumn="0" w:noHBand="0" w:noVBand="1"/>
      </w:tblPr>
      <w:tblGrid>
        <w:gridCol w:w="2223"/>
        <w:gridCol w:w="4348"/>
        <w:gridCol w:w="891"/>
        <w:gridCol w:w="1875"/>
      </w:tblGrid>
      <w:tr w:rsidR="0058077E" w:rsidRPr="0058077E" w14:paraId="55552C99" w14:textId="77777777" w:rsidTr="0058077E">
        <w:tc>
          <w:tcPr>
            <w:tcW w:w="1190" w:type="pct"/>
            <w:hideMark/>
          </w:tcPr>
          <w:p w14:paraId="234DDDFA"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المتغير</w:t>
            </w:r>
          </w:p>
        </w:tc>
        <w:tc>
          <w:tcPr>
            <w:tcW w:w="2328" w:type="pct"/>
            <w:hideMark/>
          </w:tcPr>
          <w:p w14:paraId="7D497F5B"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البعد</w:t>
            </w:r>
          </w:p>
        </w:tc>
        <w:tc>
          <w:tcPr>
            <w:tcW w:w="477" w:type="pct"/>
            <w:hideMark/>
          </w:tcPr>
          <w:p w14:paraId="07A7C777"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الفقرة</w:t>
            </w:r>
          </w:p>
        </w:tc>
        <w:tc>
          <w:tcPr>
            <w:tcW w:w="1004" w:type="pct"/>
            <w:hideMark/>
          </w:tcPr>
          <w:p w14:paraId="4A9BC804"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معامل الارتباط</w:t>
            </w:r>
          </w:p>
        </w:tc>
      </w:tr>
      <w:tr w:rsidR="0058077E" w:rsidRPr="0058077E" w14:paraId="4971BB36" w14:textId="77777777" w:rsidTr="0058077E">
        <w:tc>
          <w:tcPr>
            <w:tcW w:w="1190" w:type="pct"/>
            <w:hideMark/>
          </w:tcPr>
          <w:p w14:paraId="3F9CE00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التحول الرقمي</w:t>
            </w:r>
          </w:p>
        </w:tc>
        <w:tc>
          <w:tcPr>
            <w:tcW w:w="2328" w:type="pct"/>
            <w:hideMark/>
          </w:tcPr>
          <w:p w14:paraId="004BE68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البنية التحتية الرقمية والتقنيات الرقمية</w:t>
            </w:r>
          </w:p>
        </w:tc>
        <w:tc>
          <w:tcPr>
            <w:tcW w:w="477" w:type="pct"/>
            <w:hideMark/>
          </w:tcPr>
          <w:p w14:paraId="7AD6BAE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w:t>
            </w:r>
          </w:p>
        </w:tc>
        <w:tc>
          <w:tcPr>
            <w:tcW w:w="1004" w:type="pct"/>
            <w:hideMark/>
          </w:tcPr>
          <w:p w14:paraId="1ACD1A2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0.781**</w:t>
            </w:r>
          </w:p>
        </w:tc>
      </w:tr>
      <w:tr w:rsidR="0058077E" w:rsidRPr="0058077E" w14:paraId="23032C21" w14:textId="77777777" w:rsidTr="0058077E">
        <w:tc>
          <w:tcPr>
            <w:tcW w:w="1190" w:type="pct"/>
            <w:hideMark/>
          </w:tcPr>
          <w:p w14:paraId="2B27ED6C"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5CC03CE"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EBAB8D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w:t>
            </w:r>
          </w:p>
        </w:tc>
        <w:tc>
          <w:tcPr>
            <w:tcW w:w="1004" w:type="pct"/>
            <w:hideMark/>
          </w:tcPr>
          <w:p w14:paraId="0C5138F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0.824**</w:t>
            </w:r>
          </w:p>
        </w:tc>
      </w:tr>
      <w:tr w:rsidR="0058077E" w:rsidRPr="0058077E" w14:paraId="7B92D6F4" w14:textId="77777777" w:rsidTr="0058077E">
        <w:tc>
          <w:tcPr>
            <w:tcW w:w="1190" w:type="pct"/>
            <w:hideMark/>
          </w:tcPr>
          <w:p w14:paraId="4BC0C401"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D2C4849"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6DDDDE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w:t>
            </w:r>
          </w:p>
        </w:tc>
        <w:tc>
          <w:tcPr>
            <w:tcW w:w="1004" w:type="pct"/>
            <w:hideMark/>
          </w:tcPr>
          <w:p w14:paraId="6896C86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0.846**</w:t>
            </w:r>
          </w:p>
        </w:tc>
      </w:tr>
      <w:tr w:rsidR="0058077E" w:rsidRPr="0058077E" w14:paraId="29845B3A" w14:textId="77777777" w:rsidTr="0058077E">
        <w:tc>
          <w:tcPr>
            <w:tcW w:w="1190" w:type="pct"/>
            <w:hideMark/>
          </w:tcPr>
          <w:p w14:paraId="4B4D500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7004842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784E6A9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4</w:t>
            </w:r>
          </w:p>
        </w:tc>
        <w:tc>
          <w:tcPr>
            <w:tcW w:w="1004" w:type="pct"/>
            <w:hideMark/>
          </w:tcPr>
          <w:p w14:paraId="735BF2F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0.792**</w:t>
            </w:r>
          </w:p>
        </w:tc>
      </w:tr>
      <w:tr w:rsidR="0058077E" w:rsidRPr="0058077E" w14:paraId="1C16DBD4" w14:textId="77777777" w:rsidTr="0058077E">
        <w:tc>
          <w:tcPr>
            <w:tcW w:w="1190" w:type="pct"/>
            <w:hideMark/>
          </w:tcPr>
          <w:p w14:paraId="55AC78CA"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54A2CA7A"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043E9625"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5</w:t>
            </w:r>
          </w:p>
        </w:tc>
        <w:tc>
          <w:tcPr>
            <w:tcW w:w="1004" w:type="pct"/>
            <w:hideMark/>
          </w:tcPr>
          <w:p w14:paraId="7012CB8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0.815**</w:t>
            </w:r>
          </w:p>
        </w:tc>
      </w:tr>
      <w:tr w:rsidR="0058077E" w:rsidRPr="0058077E" w14:paraId="08ACA0B0" w14:textId="77777777" w:rsidTr="0058077E">
        <w:tc>
          <w:tcPr>
            <w:tcW w:w="1190" w:type="pct"/>
            <w:hideMark/>
          </w:tcPr>
          <w:p w14:paraId="33FC0924"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6F77B9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الكفاءة الرقمية للموظفين</w:t>
            </w:r>
          </w:p>
        </w:tc>
        <w:tc>
          <w:tcPr>
            <w:tcW w:w="477" w:type="pct"/>
            <w:hideMark/>
          </w:tcPr>
          <w:p w14:paraId="3F4D8E6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6</w:t>
            </w:r>
          </w:p>
        </w:tc>
        <w:tc>
          <w:tcPr>
            <w:tcW w:w="1004" w:type="pct"/>
            <w:hideMark/>
          </w:tcPr>
          <w:p w14:paraId="1D5CB58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0.739**</w:t>
            </w:r>
          </w:p>
        </w:tc>
      </w:tr>
      <w:tr w:rsidR="0058077E" w:rsidRPr="0058077E" w14:paraId="486E5FA8" w14:textId="77777777" w:rsidTr="0058077E">
        <w:tc>
          <w:tcPr>
            <w:tcW w:w="1190" w:type="pct"/>
            <w:hideMark/>
          </w:tcPr>
          <w:p w14:paraId="619D2C98"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5C4A6F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4445890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7</w:t>
            </w:r>
          </w:p>
        </w:tc>
        <w:tc>
          <w:tcPr>
            <w:tcW w:w="1004" w:type="pct"/>
            <w:hideMark/>
          </w:tcPr>
          <w:p w14:paraId="3AA78A3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0.817**</w:t>
            </w:r>
          </w:p>
        </w:tc>
      </w:tr>
      <w:tr w:rsidR="0058077E" w:rsidRPr="0058077E" w14:paraId="4E53B02C" w14:textId="77777777" w:rsidTr="0058077E">
        <w:tc>
          <w:tcPr>
            <w:tcW w:w="1190" w:type="pct"/>
            <w:hideMark/>
          </w:tcPr>
          <w:p w14:paraId="4D589DA7"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5BA4DF8A"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5F20A31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8</w:t>
            </w:r>
          </w:p>
        </w:tc>
        <w:tc>
          <w:tcPr>
            <w:tcW w:w="1004" w:type="pct"/>
            <w:hideMark/>
          </w:tcPr>
          <w:p w14:paraId="021DDA7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0.856**</w:t>
            </w:r>
          </w:p>
        </w:tc>
      </w:tr>
      <w:tr w:rsidR="0058077E" w:rsidRPr="0058077E" w14:paraId="6E3CFA30" w14:textId="77777777" w:rsidTr="0058077E">
        <w:tc>
          <w:tcPr>
            <w:tcW w:w="1190" w:type="pct"/>
            <w:hideMark/>
          </w:tcPr>
          <w:p w14:paraId="7B9A5BC1"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BBEEEC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16DC19B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9</w:t>
            </w:r>
          </w:p>
        </w:tc>
        <w:tc>
          <w:tcPr>
            <w:tcW w:w="1004" w:type="pct"/>
            <w:hideMark/>
          </w:tcPr>
          <w:p w14:paraId="14D298C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0.803**</w:t>
            </w:r>
          </w:p>
        </w:tc>
      </w:tr>
      <w:tr w:rsidR="0058077E" w:rsidRPr="0058077E" w14:paraId="1D23527D" w14:textId="77777777" w:rsidTr="0058077E">
        <w:tc>
          <w:tcPr>
            <w:tcW w:w="1190" w:type="pct"/>
            <w:hideMark/>
          </w:tcPr>
          <w:p w14:paraId="3456FE19"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85EC5E6"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36DAC09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10</w:t>
            </w:r>
          </w:p>
        </w:tc>
        <w:tc>
          <w:tcPr>
            <w:tcW w:w="1004" w:type="pct"/>
            <w:hideMark/>
          </w:tcPr>
          <w:p w14:paraId="011BA8B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0.829**</w:t>
            </w:r>
          </w:p>
        </w:tc>
      </w:tr>
      <w:tr w:rsidR="0058077E" w:rsidRPr="0058077E" w14:paraId="7A099270" w14:textId="77777777" w:rsidTr="0058077E">
        <w:tc>
          <w:tcPr>
            <w:tcW w:w="1190" w:type="pct"/>
            <w:hideMark/>
          </w:tcPr>
          <w:p w14:paraId="6F20442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43E2663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تكامل الأنظمة الرقمية وعمليات الرقمنة</w:t>
            </w:r>
          </w:p>
        </w:tc>
        <w:tc>
          <w:tcPr>
            <w:tcW w:w="477" w:type="pct"/>
            <w:hideMark/>
          </w:tcPr>
          <w:p w14:paraId="5F7915E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11</w:t>
            </w:r>
          </w:p>
        </w:tc>
        <w:tc>
          <w:tcPr>
            <w:tcW w:w="1004" w:type="pct"/>
            <w:hideMark/>
          </w:tcPr>
          <w:p w14:paraId="43499C9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0.764**</w:t>
            </w:r>
          </w:p>
        </w:tc>
      </w:tr>
      <w:tr w:rsidR="0058077E" w:rsidRPr="0058077E" w14:paraId="3DA75342" w14:textId="77777777" w:rsidTr="0058077E">
        <w:tc>
          <w:tcPr>
            <w:tcW w:w="1190" w:type="pct"/>
            <w:hideMark/>
          </w:tcPr>
          <w:p w14:paraId="5C43D25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0EA2768"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21F690A8"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12</w:t>
            </w:r>
          </w:p>
        </w:tc>
        <w:tc>
          <w:tcPr>
            <w:tcW w:w="1004" w:type="pct"/>
            <w:hideMark/>
          </w:tcPr>
          <w:p w14:paraId="0B1848A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0.843**</w:t>
            </w:r>
          </w:p>
        </w:tc>
      </w:tr>
      <w:tr w:rsidR="0058077E" w:rsidRPr="0058077E" w14:paraId="043D16AE" w14:textId="77777777" w:rsidTr="0058077E">
        <w:tc>
          <w:tcPr>
            <w:tcW w:w="1190" w:type="pct"/>
            <w:hideMark/>
          </w:tcPr>
          <w:p w14:paraId="5731CDB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2CAE9F6E"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42271BA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13</w:t>
            </w:r>
          </w:p>
        </w:tc>
        <w:tc>
          <w:tcPr>
            <w:tcW w:w="1004" w:type="pct"/>
            <w:hideMark/>
          </w:tcPr>
          <w:p w14:paraId="715C7D3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0.871**</w:t>
            </w:r>
          </w:p>
        </w:tc>
      </w:tr>
      <w:tr w:rsidR="0058077E" w:rsidRPr="0058077E" w14:paraId="3E40FBAB" w14:textId="77777777" w:rsidTr="0058077E">
        <w:tc>
          <w:tcPr>
            <w:tcW w:w="1190" w:type="pct"/>
            <w:hideMark/>
          </w:tcPr>
          <w:p w14:paraId="369BC763"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113CE0F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78ECF2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14</w:t>
            </w:r>
          </w:p>
        </w:tc>
        <w:tc>
          <w:tcPr>
            <w:tcW w:w="1004" w:type="pct"/>
            <w:hideMark/>
          </w:tcPr>
          <w:p w14:paraId="6CACDA5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0.822**</w:t>
            </w:r>
          </w:p>
        </w:tc>
      </w:tr>
      <w:tr w:rsidR="0058077E" w:rsidRPr="0058077E" w14:paraId="0E0F771A" w14:textId="77777777" w:rsidTr="0058077E">
        <w:tc>
          <w:tcPr>
            <w:tcW w:w="1190" w:type="pct"/>
            <w:hideMark/>
          </w:tcPr>
          <w:p w14:paraId="5E03B4A6"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4F3622D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AE45AF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15</w:t>
            </w:r>
          </w:p>
        </w:tc>
        <w:tc>
          <w:tcPr>
            <w:tcW w:w="1004" w:type="pct"/>
            <w:hideMark/>
          </w:tcPr>
          <w:p w14:paraId="5582980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0.847**</w:t>
            </w:r>
          </w:p>
        </w:tc>
      </w:tr>
      <w:tr w:rsidR="0058077E" w:rsidRPr="0058077E" w14:paraId="60AEF741" w14:textId="77777777" w:rsidTr="0058077E">
        <w:tc>
          <w:tcPr>
            <w:tcW w:w="1190" w:type="pct"/>
            <w:hideMark/>
          </w:tcPr>
          <w:p w14:paraId="0258CE28"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23E9805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الأمن وحماية البيانات الرقمية</w:t>
            </w:r>
          </w:p>
        </w:tc>
        <w:tc>
          <w:tcPr>
            <w:tcW w:w="477" w:type="pct"/>
            <w:hideMark/>
          </w:tcPr>
          <w:p w14:paraId="4FEE539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16</w:t>
            </w:r>
          </w:p>
        </w:tc>
        <w:tc>
          <w:tcPr>
            <w:tcW w:w="1004" w:type="pct"/>
            <w:hideMark/>
          </w:tcPr>
          <w:p w14:paraId="0509B69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0.714**</w:t>
            </w:r>
          </w:p>
        </w:tc>
      </w:tr>
      <w:tr w:rsidR="0058077E" w:rsidRPr="0058077E" w14:paraId="7A3BDDB8" w14:textId="77777777" w:rsidTr="0058077E">
        <w:tc>
          <w:tcPr>
            <w:tcW w:w="1190" w:type="pct"/>
            <w:hideMark/>
          </w:tcPr>
          <w:p w14:paraId="33505321"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2B91DCA6"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15CAA6F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17</w:t>
            </w:r>
          </w:p>
        </w:tc>
        <w:tc>
          <w:tcPr>
            <w:tcW w:w="1004" w:type="pct"/>
            <w:hideMark/>
          </w:tcPr>
          <w:p w14:paraId="1A7449B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0.826**</w:t>
            </w:r>
          </w:p>
        </w:tc>
      </w:tr>
      <w:tr w:rsidR="0058077E" w:rsidRPr="0058077E" w14:paraId="694DF7CC" w14:textId="77777777" w:rsidTr="0058077E">
        <w:tc>
          <w:tcPr>
            <w:tcW w:w="1190" w:type="pct"/>
            <w:hideMark/>
          </w:tcPr>
          <w:p w14:paraId="65B5D48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BA8170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4A88B11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18</w:t>
            </w:r>
          </w:p>
        </w:tc>
        <w:tc>
          <w:tcPr>
            <w:tcW w:w="1004" w:type="pct"/>
            <w:hideMark/>
          </w:tcPr>
          <w:p w14:paraId="78FEFD7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0.891**</w:t>
            </w:r>
          </w:p>
        </w:tc>
      </w:tr>
      <w:tr w:rsidR="0058077E" w:rsidRPr="0058077E" w14:paraId="1299CCBE" w14:textId="77777777" w:rsidTr="0058077E">
        <w:tc>
          <w:tcPr>
            <w:tcW w:w="1190" w:type="pct"/>
            <w:hideMark/>
          </w:tcPr>
          <w:p w14:paraId="6F2830D6"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73E678E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BB8223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19</w:t>
            </w:r>
          </w:p>
        </w:tc>
        <w:tc>
          <w:tcPr>
            <w:tcW w:w="1004" w:type="pct"/>
            <w:hideMark/>
          </w:tcPr>
          <w:p w14:paraId="1206313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0.853**</w:t>
            </w:r>
          </w:p>
        </w:tc>
      </w:tr>
      <w:tr w:rsidR="0058077E" w:rsidRPr="0058077E" w14:paraId="0A5B1339" w14:textId="77777777" w:rsidTr="0058077E">
        <w:tc>
          <w:tcPr>
            <w:tcW w:w="1190" w:type="pct"/>
            <w:hideMark/>
          </w:tcPr>
          <w:p w14:paraId="3150416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EE9147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7EC2ADC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20</w:t>
            </w:r>
          </w:p>
        </w:tc>
        <w:tc>
          <w:tcPr>
            <w:tcW w:w="1004" w:type="pct"/>
            <w:hideMark/>
          </w:tcPr>
          <w:p w14:paraId="0D90E2D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0.838**</w:t>
            </w:r>
          </w:p>
        </w:tc>
      </w:tr>
      <w:tr w:rsidR="0058077E" w:rsidRPr="0058077E" w14:paraId="64B31CEB" w14:textId="77777777" w:rsidTr="0058077E">
        <w:tc>
          <w:tcPr>
            <w:tcW w:w="1190" w:type="pct"/>
            <w:hideMark/>
          </w:tcPr>
          <w:p w14:paraId="62FD1F4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الاستقرار الوظيفي</w:t>
            </w:r>
          </w:p>
        </w:tc>
        <w:tc>
          <w:tcPr>
            <w:tcW w:w="2328" w:type="pct"/>
            <w:hideMark/>
          </w:tcPr>
          <w:p w14:paraId="23A537F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الأمان الوظيفي</w:t>
            </w:r>
          </w:p>
        </w:tc>
        <w:tc>
          <w:tcPr>
            <w:tcW w:w="477" w:type="pct"/>
            <w:hideMark/>
          </w:tcPr>
          <w:p w14:paraId="1460C46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21</w:t>
            </w:r>
          </w:p>
        </w:tc>
        <w:tc>
          <w:tcPr>
            <w:tcW w:w="1004" w:type="pct"/>
            <w:hideMark/>
          </w:tcPr>
          <w:p w14:paraId="5F5BED7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0.748**</w:t>
            </w:r>
          </w:p>
        </w:tc>
      </w:tr>
      <w:tr w:rsidR="0058077E" w:rsidRPr="0058077E" w14:paraId="343E4B12" w14:textId="77777777" w:rsidTr="0058077E">
        <w:tc>
          <w:tcPr>
            <w:tcW w:w="1190" w:type="pct"/>
            <w:hideMark/>
          </w:tcPr>
          <w:p w14:paraId="46693FE8"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4EC58DA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0BD75E5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22</w:t>
            </w:r>
          </w:p>
        </w:tc>
        <w:tc>
          <w:tcPr>
            <w:tcW w:w="1004" w:type="pct"/>
            <w:hideMark/>
          </w:tcPr>
          <w:p w14:paraId="604AE4F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0.836**</w:t>
            </w:r>
          </w:p>
        </w:tc>
      </w:tr>
      <w:tr w:rsidR="0058077E" w:rsidRPr="0058077E" w14:paraId="26940929" w14:textId="77777777" w:rsidTr="0058077E">
        <w:tc>
          <w:tcPr>
            <w:tcW w:w="1190" w:type="pct"/>
            <w:hideMark/>
          </w:tcPr>
          <w:p w14:paraId="54D2B0A1"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1CEE81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9AA2E1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23</w:t>
            </w:r>
          </w:p>
        </w:tc>
        <w:tc>
          <w:tcPr>
            <w:tcW w:w="1004" w:type="pct"/>
            <w:hideMark/>
          </w:tcPr>
          <w:p w14:paraId="40B6241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0.871**</w:t>
            </w:r>
          </w:p>
        </w:tc>
      </w:tr>
      <w:tr w:rsidR="0058077E" w:rsidRPr="0058077E" w14:paraId="1F341552" w14:textId="77777777" w:rsidTr="0058077E">
        <w:tc>
          <w:tcPr>
            <w:tcW w:w="1190" w:type="pct"/>
            <w:hideMark/>
          </w:tcPr>
          <w:p w14:paraId="18302C3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B1CBD9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8A1A5D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24</w:t>
            </w:r>
          </w:p>
        </w:tc>
        <w:tc>
          <w:tcPr>
            <w:tcW w:w="1004" w:type="pct"/>
            <w:hideMark/>
          </w:tcPr>
          <w:p w14:paraId="1C630E9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0.814**</w:t>
            </w:r>
          </w:p>
        </w:tc>
      </w:tr>
      <w:tr w:rsidR="0058077E" w:rsidRPr="0058077E" w14:paraId="3C623A32" w14:textId="77777777" w:rsidTr="0058077E">
        <w:tc>
          <w:tcPr>
            <w:tcW w:w="1190" w:type="pct"/>
            <w:hideMark/>
          </w:tcPr>
          <w:p w14:paraId="2C22A96E"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48CAB51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2392A5F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25</w:t>
            </w:r>
          </w:p>
        </w:tc>
        <w:tc>
          <w:tcPr>
            <w:tcW w:w="1004" w:type="pct"/>
            <w:hideMark/>
          </w:tcPr>
          <w:p w14:paraId="4BF6212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0.842**</w:t>
            </w:r>
          </w:p>
        </w:tc>
      </w:tr>
      <w:tr w:rsidR="0058077E" w:rsidRPr="0058077E" w14:paraId="4BD7FEB7" w14:textId="77777777" w:rsidTr="0058077E">
        <w:tc>
          <w:tcPr>
            <w:tcW w:w="1190" w:type="pct"/>
            <w:hideMark/>
          </w:tcPr>
          <w:p w14:paraId="1F5F5B0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283393E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الرضا الوظيفي</w:t>
            </w:r>
          </w:p>
        </w:tc>
        <w:tc>
          <w:tcPr>
            <w:tcW w:w="477" w:type="pct"/>
            <w:hideMark/>
          </w:tcPr>
          <w:p w14:paraId="5DBDCA8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26</w:t>
            </w:r>
          </w:p>
        </w:tc>
        <w:tc>
          <w:tcPr>
            <w:tcW w:w="1004" w:type="pct"/>
            <w:hideMark/>
          </w:tcPr>
          <w:p w14:paraId="550F6D1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0.761**</w:t>
            </w:r>
          </w:p>
        </w:tc>
      </w:tr>
      <w:tr w:rsidR="0058077E" w:rsidRPr="0058077E" w14:paraId="6AB8F014" w14:textId="77777777" w:rsidTr="0058077E">
        <w:tc>
          <w:tcPr>
            <w:tcW w:w="1190" w:type="pct"/>
            <w:hideMark/>
          </w:tcPr>
          <w:p w14:paraId="38538EA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78941373"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63BB15D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27</w:t>
            </w:r>
          </w:p>
        </w:tc>
        <w:tc>
          <w:tcPr>
            <w:tcW w:w="1004" w:type="pct"/>
            <w:hideMark/>
          </w:tcPr>
          <w:p w14:paraId="1B42BF7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0.847**</w:t>
            </w:r>
          </w:p>
        </w:tc>
      </w:tr>
      <w:tr w:rsidR="0058077E" w:rsidRPr="0058077E" w14:paraId="28DE4B74" w14:textId="77777777" w:rsidTr="0058077E">
        <w:tc>
          <w:tcPr>
            <w:tcW w:w="1190" w:type="pct"/>
            <w:hideMark/>
          </w:tcPr>
          <w:p w14:paraId="53DF2F04"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41BA10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22FDEEC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28</w:t>
            </w:r>
          </w:p>
        </w:tc>
        <w:tc>
          <w:tcPr>
            <w:tcW w:w="1004" w:type="pct"/>
            <w:hideMark/>
          </w:tcPr>
          <w:p w14:paraId="02BD07BB"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0.876**</w:t>
            </w:r>
          </w:p>
        </w:tc>
      </w:tr>
      <w:tr w:rsidR="0058077E" w:rsidRPr="0058077E" w14:paraId="1FCD25AB" w14:textId="77777777" w:rsidTr="0058077E">
        <w:tc>
          <w:tcPr>
            <w:tcW w:w="1190" w:type="pct"/>
            <w:hideMark/>
          </w:tcPr>
          <w:p w14:paraId="730175A9"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1A0BC10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4FF9850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29</w:t>
            </w:r>
          </w:p>
        </w:tc>
        <w:tc>
          <w:tcPr>
            <w:tcW w:w="1004" w:type="pct"/>
            <w:hideMark/>
          </w:tcPr>
          <w:p w14:paraId="3270788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0.829**</w:t>
            </w:r>
          </w:p>
        </w:tc>
      </w:tr>
      <w:tr w:rsidR="0058077E" w:rsidRPr="0058077E" w14:paraId="64574769" w14:textId="77777777" w:rsidTr="0058077E">
        <w:tc>
          <w:tcPr>
            <w:tcW w:w="1190" w:type="pct"/>
            <w:hideMark/>
          </w:tcPr>
          <w:p w14:paraId="1C2ADB4D"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32BEC12"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370C32E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30</w:t>
            </w:r>
          </w:p>
        </w:tc>
        <w:tc>
          <w:tcPr>
            <w:tcW w:w="1004" w:type="pct"/>
            <w:hideMark/>
          </w:tcPr>
          <w:p w14:paraId="6A08880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0.853**</w:t>
            </w:r>
          </w:p>
        </w:tc>
      </w:tr>
      <w:tr w:rsidR="0058077E" w:rsidRPr="0058077E" w14:paraId="3B352F6F" w14:textId="77777777" w:rsidTr="0058077E">
        <w:tc>
          <w:tcPr>
            <w:tcW w:w="1190" w:type="pct"/>
            <w:hideMark/>
          </w:tcPr>
          <w:p w14:paraId="035B834E"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68C8F9F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الالتزام التنظيمي</w:t>
            </w:r>
          </w:p>
        </w:tc>
        <w:tc>
          <w:tcPr>
            <w:tcW w:w="477" w:type="pct"/>
            <w:hideMark/>
          </w:tcPr>
          <w:p w14:paraId="012B30A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31</w:t>
            </w:r>
          </w:p>
        </w:tc>
        <w:tc>
          <w:tcPr>
            <w:tcW w:w="1004" w:type="pct"/>
            <w:hideMark/>
          </w:tcPr>
          <w:p w14:paraId="70F67D6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0.773**</w:t>
            </w:r>
          </w:p>
        </w:tc>
      </w:tr>
      <w:tr w:rsidR="0058077E" w:rsidRPr="0058077E" w14:paraId="37F55137" w14:textId="77777777" w:rsidTr="0058077E">
        <w:tc>
          <w:tcPr>
            <w:tcW w:w="1190" w:type="pct"/>
            <w:hideMark/>
          </w:tcPr>
          <w:p w14:paraId="02698CEB"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264FD3D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5F7D8E2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32</w:t>
            </w:r>
          </w:p>
        </w:tc>
        <w:tc>
          <w:tcPr>
            <w:tcW w:w="1004" w:type="pct"/>
            <w:hideMark/>
          </w:tcPr>
          <w:p w14:paraId="6EC2885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0.839**</w:t>
            </w:r>
          </w:p>
        </w:tc>
      </w:tr>
      <w:tr w:rsidR="0058077E" w:rsidRPr="0058077E" w14:paraId="4F18A557" w14:textId="77777777" w:rsidTr="0058077E">
        <w:tc>
          <w:tcPr>
            <w:tcW w:w="1190" w:type="pct"/>
            <w:hideMark/>
          </w:tcPr>
          <w:p w14:paraId="59397C20"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D5BCCF7"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15D2E47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33</w:t>
            </w:r>
          </w:p>
        </w:tc>
        <w:tc>
          <w:tcPr>
            <w:tcW w:w="1004" w:type="pct"/>
            <w:hideMark/>
          </w:tcPr>
          <w:p w14:paraId="56928C2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0.882**</w:t>
            </w:r>
          </w:p>
        </w:tc>
      </w:tr>
      <w:tr w:rsidR="0058077E" w:rsidRPr="0058077E" w14:paraId="2944A1F6" w14:textId="77777777" w:rsidTr="0058077E">
        <w:tc>
          <w:tcPr>
            <w:tcW w:w="1190" w:type="pct"/>
            <w:hideMark/>
          </w:tcPr>
          <w:p w14:paraId="7F8BD245"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320E8ED6"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738A85A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34</w:t>
            </w:r>
          </w:p>
        </w:tc>
        <w:tc>
          <w:tcPr>
            <w:tcW w:w="1004" w:type="pct"/>
            <w:hideMark/>
          </w:tcPr>
          <w:p w14:paraId="24353BD2"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0.846**</w:t>
            </w:r>
          </w:p>
        </w:tc>
      </w:tr>
      <w:tr w:rsidR="0058077E" w:rsidRPr="0058077E" w14:paraId="0F18437B" w14:textId="77777777" w:rsidTr="0058077E">
        <w:tc>
          <w:tcPr>
            <w:tcW w:w="1190" w:type="pct"/>
            <w:hideMark/>
          </w:tcPr>
          <w:p w14:paraId="49061676"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328" w:type="pct"/>
            <w:hideMark/>
          </w:tcPr>
          <w:p w14:paraId="09987A46"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477" w:type="pct"/>
            <w:hideMark/>
          </w:tcPr>
          <w:p w14:paraId="399774E5"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35</w:t>
            </w:r>
          </w:p>
        </w:tc>
        <w:tc>
          <w:tcPr>
            <w:tcW w:w="1004" w:type="pct"/>
            <w:hideMark/>
          </w:tcPr>
          <w:p w14:paraId="026C482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0.861**</w:t>
            </w:r>
          </w:p>
        </w:tc>
      </w:tr>
    </w:tbl>
    <w:p w14:paraId="30E17438" w14:textId="77777777" w:rsidR="0058077E" w:rsidRPr="0058077E" w:rsidRDefault="0058077E" w:rsidP="0058077E">
      <w:pPr>
        <w:bidi/>
        <w:spacing w:line="24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دلالة إحصائية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w:t>
      </w:r>
    </w:p>
    <w:p w14:paraId="54344B1B"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يتضح من نتائج جدول (3-4) أن معاملات ارتباط بيرسون بين فقرات الاستبانة والدرجة الكلية للأبعاد التي تنتمي إليها تراوحت بين (0.714–0.891)، وجميعها معاملات ارتباط موجبة ودالة إحصائيًا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وهو ما يدل على وجود درجة مرتفعة من الاتساق الداخلي بين الفقرات وأبعادها، ويؤكد صلاحية جميع فقرات الاستبانة لقياس الأبعاد التي أُعدت لقياسها، ومن ثم الإبقاء عليها في الصورة النهائية لأداة الدراسة.</w:t>
      </w:r>
    </w:p>
    <w:p w14:paraId="75321E93" w14:textId="77777777" w:rsidR="0058077E" w:rsidRPr="0058077E" w:rsidRDefault="0058077E" w:rsidP="0058077E">
      <w:pPr>
        <w:bidi/>
        <w:spacing w:line="360" w:lineRule="auto"/>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ثالثاً: معاملات ارتباط أبعاد الدراسة بالدرجة الكلية للاستبانة</w:t>
      </w:r>
    </w:p>
    <w:p w14:paraId="1ECBF074"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ولتعزيز التحقق من صدق البناء، حُسبت معاملات ارتباط بيرسون بين الدرجة الكلية لكل بعد والدرجة الكلية للاستبانة، وذلك للتحقق من مدى إسهام كل بعد في قياس المتغير الذي ينتمي إليه، ومدى اتساق أبعاد الدراسة مع البناء النظري الذي استندت إليه الدراسة</w:t>
      </w:r>
      <w:r w:rsidRPr="0058077E">
        <w:rPr>
          <w:rFonts w:ascii="Traditional Arabic" w:hAnsi="Traditional Arabic" w:cs="Traditional Arabic"/>
          <w:sz w:val="32"/>
          <w:szCs w:val="32"/>
          <w:lang w:val="en-US"/>
        </w:rPr>
        <w:t>.</w:t>
      </w:r>
    </w:p>
    <w:p w14:paraId="10D46025"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ويشير</w:t>
      </w:r>
      <w:r w:rsidRPr="0058077E">
        <w:rPr>
          <w:rFonts w:ascii="Traditional Arabic" w:hAnsi="Traditional Arabic" w:cs="Traditional Arabic"/>
          <w:sz w:val="32"/>
          <w:szCs w:val="32"/>
          <w:lang w:val="en-US"/>
        </w:rPr>
        <w:t xml:space="preserve"> Hair et al. (2022) </w:t>
      </w:r>
      <w:r w:rsidRPr="0058077E">
        <w:rPr>
          <w:rFonts w:ascii="Traditional Arabic" w:hAnsi="Traditional Arabic" w:cs="Traditional Arabic"/>
          <w:sz w:val="32"/>
          <w:szCs w:val="32"/>
          <w:rtl/>
          <w:lang w:val="en-US"/>
        </w:rPr>
        <w:t>إلى أن معاملات الارتباط المرتفعة والدالة إحصائيًا بين الأبعاد والدرجة الكلية للأداة تعد مؤشرًا على تمتع الأداة بدرجة مرتفعة من صدق البناء، كما تعكس اتساق الأبعاد في قياس المتغيرات المستهدفة</w:t>
      </w:r>
      <w:r w:rsidRPr="0058077E">
        <w:rPr>
          <w:rFonts w:ascii="Traditional Arabic" w:hAnsi="Traditional Arabic" w:cs="Traditional Arabic"/>
          <w:sz w:val="32"/>
          <w:szCs w:val="32"/>
          <w:lang w:val="en-US"/>
        </w:rPr>
        <w:t>.</w:t>
      </w:r>
    </w:p>
    <w:p w14:paraId="3E79224A"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وقد أظهرت نتائج التحليل الإحصائي أن جميع معاملات الارتباط جاءت موجبة ومرتفعة ودالة إحصائيًا عند مستوى الدلالة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 مما يؤكد أن جميع أبعاد الدراسة ترتبط ارتباطًا قويًا بالدرجة الكلية للاستبانة</w:t>
      </w:r>
      <w:r w:rsidRPr="0058077E">
        <w:rPr>
          <w:rFonts w:ascii="Traditional Arabic" w:hAnsi="Traditional Arabic" w:cs="Traditional Arabic"/>
          <w:sz w:val="32"/>
          <w:szCs w:val="32"/>
          <w:lang w:val="en-US"/>
        </w:rPr>
        <w:t>.</w:t>
      </w:r>
    </w:p>
    <w:p w14:paraId="48254939" w14:textId="77777777" w:rsidR="0058077E" w:rsidRPr="0058077E" w:rsidRDefault="0058077E" w:rsidP="00E30AB8">
      <w:pPr>
        <w:bidi/>
        <w:spacing w:line="240" w:lineRule="auto"/>
        <w:jc w:val="center"/>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جدول (3-5) معاملات ارتباط بيرسون بين أبعاد الدراسة والدرجة الكلية للاستبانة</w:t>
      </w:r>
    </w:p>
    <w:tbl>
      <w:tblPr>
        <w:tblStyle w:val="TableGrid"/>
        <w:bidiVisual/>
        <w:tblW w:w="5000" w:type="pct"/>
        <w:tblLook w:val="04A0" w:firstRow="1" w:lastRow="0" w:firstColumn="1" w:lastColumn="0" w:noHBand="0" w:noVBand="1"/>
      </w:tblPr>
      <w:tblGrid>
        <w:gridCol w:w="2009"/>
        <w:gridCol w:w="3929"/>
        <w:gridCol w:w="1696"/>
        <w:gridCol w:w="1703"/>
      </w:tblGrid>
      <w:tr w:rsidR="0058077E" w:rsidRPr="0058077E" w14:paraId="2582C426" w14:textId="77777777" w:rsidTr="0058077E">
        <w:tc>
          <w:tcPr>
            <w:tcW w:w="1076" w:type="pct"/>
            <w:hideMark/>
          </w:tcPr>
          <w:p w14:paraId="5976EF77"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المتغير</w:t>
            </w:r>
          </w:p>
        </w:tc>
        <w:tc>
          <w:tcPr>
            <w:tcW w:w="2104" w:type="pct"/>
            <w:hideMark/>
          </w:tcPr>
          <w:p w14:paraId="42CD8751"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البعد</w:t>
            </w:r>
          </w:p>
        </w:tc>
        <w:tc>
          <w:tcPr>
            <w:tcW w:w="908" w:type="pct"/>
            <w:hideMark/>
          </w:tcPr>
          <w:p w14:paraId="61CCF528"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معامل الارتباط</w:t>
            </w:r>
          </w:p>
        </w:tc>
        <w:tc>
          <w:tcPr>
            <w:tcW w:w="912" w:type="pct"/>
            <w:hideMark/>
          </w:tcPr>
          <w:p w14:paraId="0EE5EB5B" w14:textId="77777777" w:rsidR="0058077E" w:rsidRPr="0058077E" w:rsidRDefault="0058077E" w:rsidP="0058077E">
            <w:pPr>
              <w:bidi/>
              <w:spacing w:after="200"/>
              <w:jc w:val="both"/>
              <w:rPr>
                <w:rFonts w:ascii="Traditional Arabic" w:hAnsi="Traditional Arabic" w:cs="Traditional Arabic"/>
                <w:b/>
                <w:bCs/>
                <w:sz w:val="32"/>
                <w:szCs w:val="32"/>
                <w:lang w:val="en-US"/>
              </w:rPr>
            </w:pPr>
            <w:r w:rsidRPr="0058077E">
              <w:rPr>
                <w:rFonts w:ascii="Traditional Arabic" w:hAnsi="Traditional Arabic" w:cs="Traditional Arabic"/>
                <w:b/>
                <w:bCs/>
                <w:sz w:val="32"/>
                <w:szCs w:val="32"/>
                <w:rtl/>
                <w:lang w:val="en-US"/>
              </w:rPr>
              <w:t>مستوى الدلالة</w:t>
            </w:r>
          </w:p>
        </w:tc>
      </w:tr>
      <w:tr w:rsidR="0058077E" w:rsidRPr="0058077E" w14:paraId="66B19797" w14:textId="77777777" w:rsidTr="0058077E">
        <w:tc>
          <w:tcPr>
            <w:tcW w:w="1076" w:type="pct"/>
            <w:hideMark/>
          </w:tcPr>
          <w:p w14:paraId="24ABA13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التحول الرقمي</w:t>
            </w:r>
          </w:p>
        </w:tc>
        <w:tc>
          <w:tcPr>
            <w:tcW w:w="2104" w:type="pct"/>
            <w:hideMark/>
          </w:tcPr>
          <w:p w14:paraId="6754E31E"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البنية التحتية الرقمية والتقنيات الرقمية</w:t>
            </w:r>
          </w:p>
        </w:tc>
        <w:tc>
          <w:tcPr>
            <w:tcW w:w="908" w:type="pct"/>
            <w:hideMark/>
          </w:tcPr>
          <w:p w14:paraId="3E99E6D1"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0.913**</w:t>
            </w:r>
          </w:p>
        </w:tc>
        <w:tc>
          <w:tcPr>
            <w:tcW w:w="912" w:type="pct"/>
            <w:hideMark/>
          </w:tcPr>
          <w:p w14:paraId="3138AF8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66059739" w14:textId="77777777" w:rsidTr="0058077E">
        <w:tc>
          <w:tcPr>
            <w:tcW w:w="1076" w:type="pct"/>
            <w:hideMark/>
          </w:tcPr>
          <w:p w14:paraId="461170BE"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261F10A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الكفاءة الرقمية للموظفين</w:t>
            </w:r>
          </w:p>
        </w:tc>
        <w:tc>
          <w:tcPr>
            <w:tcW w:w="908" w:type="pct"/>
            <w:hideMark/>
          </w:tcPr>
          <w:p w14:paraId="10CE922A"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0.926**</w:t>
            </w:r>
          </w:p>
        </w:tc>
        <w:tc>
          <w:tcPr>
            <w:tcW w:w="912" w:type="pct"/>
            <w:hideMark/>
          </w:tcPr>
          <w:p w14:paraId="5FCA114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56903436" w14:textId="77777777" w:rsidTr="0058077E">
        <w:tc>
          <w:tcPr>
            <w:tcW w:w="1076" w:type="pct"/>
            <w:hideMark/>
          </w:tcPr>
          <w:p w14:paraId="7F875C04"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06E1FE6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تكامل الأنظمة الرقمية وعمليات الرقمنة</w:t>
            </w:r>
          </w:p>
        </w:tc>
        <w:tc>
          <w:tcPr>
            <w:tcW w:w="908" w:type="pct"/>
            <w:hideMark/>
          </w:tcPr>
          <w:p w14:paraId="26E8FC4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0.941**</w:t>
            </w:r>
          </w:p>
        </w:tc>
        <w:tc>
          <w:tcPr>
            <w:tcW w:w="912" w:type="pct"/>
            <w:hideMark/>
          </w:tcPr>
          <w:p w14:paraId="5321E663"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79716A94" w14:textId="77777777" w:rsidTr="0058077E">
        <w:tc>
          <w:tcPr>
            <w:tcW w:w="1076" w:type="pct"/>
            <w:hideMark/>
          </w:tcPr>
          <w:p w14:paraId="752FEA0F"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4A33379C"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الأمن وحماية البيانات الرقمية</w:t>
            </w:r>
          </w:p>
        </w:tc>
        <w:tc>
          <w:tcPr>
            <w:tcW w:w="908" w:type="pct"/>
            <w:hideMark/>
          </w:tcPr>
          <w:p w14:paraId="29E946B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0.918**</w:t>
            </w:r>
          </w:p>
        </w:tc>
        <w:tc>
          <w:tcPr>
            <w:tcW w:w="912" w:type="pct"/>
            <w:hideMark/>
          </w:tcPr>
          <w:p w14:paraId="754BD684"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78178209" w14:textId="77777777" w:rsidTr="0058077E">
        <w:tc>
          <w:tcPr>
            <w:tcW w:w="1076" w:type="pct"/>
            <w:hideMark/>
          </w:tcPr>
          <w:p w14:paraId="0F12ADE0"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b/>
                <w:bCs/>
                <w:sz w:val="32"/>
                <w:szCs w:val="32"/>
                <w:rtl/>
                <w:lang w:val="en-US"/>
              </w:rPr>
              <w:t>الاستقرار الوظيفي</w:t>
            </w:r>
          </w:p>
        </w:tc>
        <w:tc>
          <w:tcPr>
            <w:tcW w:w="2104" w:type="pct"/>
            <w:hideMark/>
          </w:tcPr>
          <w:p w14:paraId="5AA51276"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الأمان الوظيفي</w:t>
            </w:r>
          </w:p>
        </w:tc>
        <w:tc>
          <w:tcPr>
            <w:tcW w:w="908" w:type="pct"/>
            <w:hideMark/>
          </w:tcPr>
          <w:p w14:paraId="09C2198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0.904**</w:t>
            </w:r>
          </w:p>
        </w:tc>
        <w:tc>
          <w:tcPr>
            <w:tcW w:w="912" w:type="pct"/>
            <w:hideMark/>
          </w:tcPr>
          <w:p w14:paraId="765A0FA7"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14005976" w14:textId="77777777" w:rsidTr="0058077E">
        <w:tc>
          <w:tcPr>
            <w:tcW w:w="1076" w:type="pct"/>
            <w:hideMark/>
          </w:tcPr>
          <w:p w14:paraId="38E48396"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3198F61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الرضا الوظيفي</w:t>
            </w:r>
          </w:p>
        </w:tc>
        <w:tc>
          <w:tcPr>
            <w:tcW w:w="908" w:type="pct"/>
            <w:hideMark/>
          </w:tcPr>
          <w:p w14:paraId="5426DAE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0.932**</w:t>
            </w:r>
          </w:p>
        </w:tc>
        <w:tc>
          <w:tcPr>
            <w:tcW w:w="912" w:type="pct"/>
            <w:hideMark/>
          </w:tcPr>
          <w:p w14:paraId="71A9A3DD"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r w:rsidR="0058077E" w:rsidRPr="0058077E" w14:paraId="7594BFC4" w14:textId="77777777" w:rsidTr="0058077E">
        <w:tc>
          <w:tcPr>
            <w:tcW w:w="1076" w:type="pct"/>
            <w:hideMark/>
          </w:tcPr>
          <w:p w14:paraId="6C74C73A" w14:textId="77777777" w:rsidR="0058077E" w:rsidRPr="0058077E" w:rsidRDefault="0058077E" w:rsidP="0058077E">
            <w:pPr>
              <w:bidi/>
              <w:spacing w:after="200"/>
              <w:jc w:val="both"/>
              <w:rPr>
                <w:rFonts w:ascii="Traditional Arabic" w:hAnsi="Traditional Arabic" w:cs="Traditional Arabic"/>
                <w:sz w:val="32"/>
                <w:szCs w:val="32"/>
                <w:lang w:val="en-US"/>
              </w:rPr>
            </w:pPr>
          </w:p>
        </w:tc>
        <w:tc>
          <w:tcPr>
            <w:tcW w:w="2104" w:type="pct"/>
            <w:hideMark/>
          </w:tcPr>
          <w:p w14:paraId="570BE13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الالتزام التنظيمي</w:t>
            </w:r>
          </w:p>
        </w:tc>
        <w:tc>
          <w:tcPr>
            <w:tcW w:w="908" w:type="pct"/>
            <w:hideMark/>
          </w:tcPr>
          <w:p w14:paraId="7DCC29C9"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0.915**</w:t>
            </w:r>
          </w:p>
        </w:tc>
        <w:tc>
          <w:tcPr>
            <w:tcW w:w="912" w:type="pct"/>
            <w:hideMark/>
          </w:tcPr>
          <w:p w14:paraId="1C6BFB4F" w14:textId="77777777" w:rsidR="0058077E" w:rsidRPr="0058077E" w:rsidRDefault="0058077E" w:rsidP="0058077E">
            <w:pPr>
              <w:bidi/>
              <w:spacing w:after="200"/>
              <w:jc w:val="both"/>
              <w:rPr>
                <w:rFonts w:ascii="Traditional Arabic" w:hAnsi="Traditional Arabic" w:cs="Traditional Arabic"/>
                <w:sz w:val="32"/>
                <w:szCs w:val="32"/>
                <w:lang w:val="en-US"/>
              </w:rPr>
            </w:pPr>
            <w:r w:rsidRPr="0058077E">
              <w:rPr>
                <w:rFonts w:ascii="Traditional Arabic" w:hAnsi="Traditional Arabic" w:cs="Traditional Arabic"/>
                <w:sz w:val="32"/>
                <w:szCs w:val="32"/>
                <w:lang w:val="en-US"/>
              </w:rPr>
              <w:t>0.000</w:t>
            </w:r>
          </w:p>
        </w:tc>
      </w:tr>
    </w:tbl>
    <w:p w14:paraId="668DB9A3" w14:textId="77777777" w:rsid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دلالة إحصائية عند مستوى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r w:rsidRPr="0058077E">
        <w:rPr>
          <w:rFonts w:ascii="Traditional Arabic" w:hAnsi="Traditional Arabic" w:cs="Traditional Arabic"/>
          <w:sz w:val="32"/>
          <w:szCs w:val="32"/>
          <w:rtl/>
          <w:lang w:val="en-US"/>
        </w:rPr>
        <w:t>).**</w:t>
      </w:r>
    </w:p>
    <w:p w14:paraId="66179095" w14:textId="77777777" w:rsidR="0058077E" w:rsidRP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يتضح من جدول (3-5) أن معاملات ارتباط أبعاد التحول الرقمي بالدرجة الكلية للاستبانة تراوحت بين (0.913–0.941)، في حين تراوحت معاملات ارتباط أبعاد الاستقرار الوظيفي بالدرجة الكلية للاستبانة بين (0.904–0.932)، وجميعها معاملات ارتباط موجبة ومرتفعة ودالة إحصائيًا عند مستوى</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α</w:t>
      </w:r>
      <w:r w:rsidRPr="0058077E">
        <w:rPr>
          <w:rFonts w:ascii="Traditional Arabic" w:hAnsi="Traditional Arabic" w:cs="Traditional Arabic"/>
          <w:sz w:val="32"/>
          <w:szCs w:val="32"/>
          <w:lang w:val="en-US"/>
        </w:rPr>
        <w:t xml:space="preserve"> </w:t>
      </w:r>
      <w:r w:rsidRPr="0058077E">
        <w:rPr>
          <w:rFonts w:ascii="Times New Roman" w:hAnsi="Times New Roman" w:cs="Times New Roman"/>
          <w:sz w:val="32"/>
          <w:szCs w:val="32"/>
          <w:lang w:val="en-US"/>
        </w:rPr>
        <w:t>≤</w:t>
      </w:r>
      <w:r w:rsidRPr="0058077E">
        <w:rPr>
          <w:rFonts w:ascii="Traditional Arabic" w:hAnsi="Traditional Arabic" w:cs="Traditional Arabic"/>
          <w:sz w:val="32"/>
          <w:szCs w:val="32"/>
          <w:lang w:val="en-US"/>
        </w:rPr>
        <w:t xml:space="preserve"> 0.01).</w:t>
      </w:r>
    </w:p>
    <w:p w14:paraId="31129353" w14:textId="77777777" w:rsidR="0058077E" w:rsidRDefault="0058077E" w:rsidP="0058077E">
      <w:pPr>
        <w:bidi/>
        <w:spacing w:line="360" w:lineRule="auto"/>
        <w:jc w:val="both"/>
        <w:rPr>
          <w:rFonts w:ascii="Traditional Arabic" w:hAnsi="Traditional Arabic" w:cs="Traditional Arabic"/>
          <w:sz w:val="32"/>
          <w:szCs w:val="32"/>
          <w:rtl/>
          <w:lang w:val="en-US"/>
        </w:rPr>
      </w:pPr>
      <w:r w:rsidRPr="0058077E">
        <w:rPr>
          <w:rFonts w:ascii="Traditional Arabic" w:hAnsi="Traditional Arabic" w:cs="Traditional Arabic"/>
          <w:sz w:val="32"/>
          <w:szCs w:val="32"/>
          <w:rtl/>
          <w:lang w:val="en-US"/>
        </w:rPr>
        <w:t>وتشير هذه النتائج إلى أن جميع الأبعاد تسهم بصورة فاعلة في قياس المتغيرات التي تنتمي إليها، كما تعكس وجود اتساق بنائي مرتفع بين الأبعاد والدرجة الكلية للاستبانة، الأمر الذي يؤكد تمتع الأداة بدرجة عالية من صدق البناء وصلاحيتها للتطبيق على عينة الدراسة.</w:t>
      </w:r>
    </w:p>
    <w:p w14:paraId="30AA9FE9" w14:textId="77777777" w:rsidR="0058077E" w:rsidRPr="0058077E" w:rsidRDefault="0058077E" w:rsidP="0058077E">
      <w:pPr>
        <w:bidi/>
        <w:spacing w:line="360" w:lineRule="auto"/>
        <w:jc w:val="both"/>
        <w:rPr>
          <w:rFonts w:ascii="Traditional Arabic" w:hAnsi="Traditional Arabic" w:cs="Traditional Arabic"/>
          <w:sz w:val="32"/>
          <w:szCs w:val="32"/>
          <w:lang w:val="en-US"/>
        </w:rPr>
      </w:pPr>
      <w:r w:rsidRPr="0058077E">
        <w:rPr>
          <w:rFonts w:ascii="Traditional Arabic" w:hAnsi="Traditional Arabic" w:cs="Traditional Arabic"/>
          <w:sz w:val="32"/>
          <w:szCs w:val="32"/>
          <w:rtl/>
          <w:lang w:val="en-US"/>
        </w:rPr>
        <w:t>وبناءً على نتائج الصدق الظاهري وصدق البناء، يتبين أن الاستبانة تتمتع بدرجة مرتفعة من الصدق، سواء من حيث مناسبة فقراتها لقياس متغيرات الدراسة، أو من حيث الاتساق الداخلي بين الفقرات والأبعاد والدرجة الكلية للأداة، مما يؤكد صلاحيتها للاستخدام في الدراسة الحالية، ويعزز الثقة في النتائج التي سيتم التوصل إليها عند تطبيقها على عينة الدراسة</w:t>
      </w:r>
      <w:r w:rsidRPr="0058077E">
        <w:rPr>
          <w:rFonts w:ascii="Traditional Arabic" w:hAnsi="Traditional Arabic" w:cs="Traditional Arabic"/>
          <w:sz w:val="32"/>
          <w:szCs w:val="32"/>
          <w:lang w:val="en-US"/>
        </w:rPr>
        <w:t>.</w:t>
      </w:r>
    </w:p>
    <w:p w14:paraId="1CC56F6F"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3.9 ثبات أداة الدراسة</w:t>
      </w:r>
    </w:p>
    <w:p w14:paraId="5D50BB3B"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يشير الثبات</w:t>
      </w:r>
      <w:r w:rsidRPr="00E30AB8">
        <w:rPr>
          <w:rFonts w:ascii="Traditional Arabic" w:hAnsi="Traditional Arabic" w:cs="Traditional Arabic"/>
          <w:sz w:val="32"/>
          <w:szCs w:val="32"/>
          <w:lang w:val="en-US"/>
        </w:rPr>
        <w:t xml:space="preserve"> (Reliability) </w:t>
      </w:r>
      <w:r w:rsidRPr="00E30AB8">
        <w:rPr>
          <w:rFonts w:ascii="Traditional Arabic" w:hAnsi="Traditional Arabic" w:cs="Traditional Arabic"/>
          <w:sz w:val="32"/>
          <w:szCs w:val="32"/>
          <w:rtl/>
          <w:lang w:val="en-US"/>
        </w:rPr>
        <w:t xml:space="preserve">إلى مدى اتساق أداة القياس في قياس الظاهرة محل الدراسة، وقدرتها على إعطاء نتائج متقاربة عند إعادة تطبيقها في ظروف متشابهة. ويُعد الثبات من الخصائص الأساسية التي ينبغي توافرها في أدوات القياس، إذ يسهم في تعزيز دقة النتائج وإمكانية الاعتماد عليها في تفسير الظاهرة المدروسة. ويؤكد </w:t>
      </w:r>
      <w:r w:rsidRPr="00E30AB8">
        <w:rPr>
          <w:rFonts w:ascii="Traditional Arabic" w:hAnsi="Traditional Arabic" w:cs="Traditional Arabic"/>
          <w:sz w:val="32"/>
          <w:szCs w:val="32"/>
          <w:lang w:val="en-US"/>
        </w:rPr>
        <w:t>Hair et al. (2022</w:t>
      </w:r>
      <w:r w:rsidRPr="00E30AB8">
        <w:rPr>
          <w:rFonts w:ascii="Traditional Arabic" w:hAnsi="Traditional Arabic" w:cs="Traditional Arabic"/>
          <w:sz w:val="32"/>
          <w:szCs w:val="32"/>
          <w:rtl/>
          <w:lang w:val="en-US"/>
        </w:rPr>
        <w:t xml:space="preserve">) أن ارتفاع معاملات الثبات يعكس اتساقًا داخليًا مرتفعًا بين فقرات الأداة، في حين يشير </w:t>
      </w:r>
      <w:r w:rsidRPr="00E30AB8">
        <w:rPr>
          <w:rFonts w:ascii="Traditional Arabic" w:hAnsi="Traditional Arabic" w:cs="Traditional Arabic"/>
          <w:sz w:val="32"/>
          <w:szCs w:val="32"/>
          <w:lang w:val="en-US"/>
        </w:rPr>
        <w:t>Creswell and Creswell (2023</w:t>
      </w:r>
      <w:r w:rsidRPr="00E30AB8">
        <w:rPr>
          <w:rFonts w:ascii="Traditional Arabic" w:hAnsi="Traditional Arabic" w:cs="Traditional Arabic"/>
          <w:sz w:val="32"/>
          <w:szCs w:val="32"/>
          <w:rtl/>
          <w:lang w:val="en-US"/>
        </w:rPr>
        <w:t>) إلى أن التحقق من ثبات أدوات القياس يمثل خطوة أساسية قبل تطبيقها على العينة الأساسية.</w:t>
      </w:r>
    </w:p>
    <w:p w14:paraId="7D2BB254"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وللتحقق من ثبات أداة الدراسة، استخدم الباحث معامل كرونباخ ألفا (</w:t>
      </w:r>
      <w:r w:rsidRPr="00E30AB8">
        <w:rPr>
          <w:rFonts w:ascii="Traditional Arabic" w:hAnsi="Traditional Arabic" w:cs="Traditional Arabic"/>
          <w:sz w:val="32"/>
          <w:szCs w:val="32"/>
          <w:lang w:val="en-US"/>
        </w:rPr>
        <w:t>Cronbach's Alpha</w:t>
      </w:r>
      <w:r w:rsidRPr="00E30AB8">
        <w:rPr>
          <w:rFonts w:ascii="Traditional Arabic" w:hAnsi="Traditional Arabic" w:cs="Traditional Arabic"/>
          <w:sz w:val="32"/>
          <w:szCs w:val="32"/>
          <w:rtl/>
          <w:lang w:val="en-US"/>
        </w:rPr>
        <w:t>) لقياس درجة الاتساق الداخلي بين فقرات كل بعد من أبعاد الدراسة، إضافة إلى حساب معامل الثبات الكلي لكل متغير، وللاستبانة ككل، وذلك بالاعتماد على بيانات العينة الاستطلاعية البالغ عددها (30) مفردة من خارج عينة الدراسة الأساسية.</w:t>
      </w:r>
    </w:p>
    <w:p w14:paraId="10652FF0" w14:textId="77777777" w:rsidR="00E30AB8" w:rsidRDefault="00E30AB8" w:rsidP="00E30AB8">
      <w:pPr>
        <w:bidi/>
        <w:spacing w:line="360" w:lineRule="auto"/>
        <w:jc w:val="both"/>
        <w:rPr>
          <w:rFonts w:ascii="Traditional Arabic" w:hAnsi="Traditional Arabic" w:cs="Traditional Arabic"/>
          <w:sz w:val="32"/>
          <w:szCs w:val="32"/>
          <w:rtl/>
          <w:lang w:val="en-US"/>
        </w:rPr>
      </w:pPr>
      <w:r w:rsidRPr="00E30AB8">
        <w:rPr>
          <w:rFonts w:ascii="Traditional Arabic" w:hAnsi="Traditional Arabic" w:cs="Traditional Arabic"/>
          <w:sz w:val="32"/>
          <w:szCs w:val="32"/>
          <w:rtl/>
          <w:lang w:val="en-US"/>
        </w:rPr>
        <w:t xml:space="preserve">ويشير </w:t>
      </w:r>
      <w:r>
        <w:rPr>
          <w:rFonts w:ascii="Traditional Arabic" w:hAnsi="Traditional Arabic" w:cs="Traditional Arabic" w:hint="cs"/>
          <w:sz w:val="32"/>
          <w:szCs w:val="32"/>
          <w:rtl/>
          <w:lang w:val="en-US"/>
        </w:rPr>
        <w:t>(</w:t>
      </w:r>
      <w:r w:rsidRPr="00E30AB8">
        <w:rPr>
          <w:rFonts w:ascii="Traditional Arabic" w:hAnsi="Traditional Arabic" w:cs="Traditional Arabic"/>
          <w:sz w:val="32"/>
          <w:szCs w:val="32"/>
          <w:lang w:val="en-US"/>
        </w:rPr>
        <w:t>Sekaran and Bougie 2020</w:t>
      </w:r>
      <w:r w:rsidRPr="00E30AB8">
        <w:rPr>
          <w:rFonts w:ascii="Traditional Arabic" w:hAnsi="Traditional Arabic" w:cs="Traditional Arabic"/>
          <w:sz w:val="32"/>
          <w:szCs w:val="32"/>
          <w:rtl/>
          <w:lang w:val="en-US"/>
        </w:rPr>
        <w:t>) إلى أن قيمة معامل كرونباخ ألفا التي تزيد على (0.70) تعد مقبولة، بينما تشير القيم التي تتجاوز (0.80) إلى مستوى مرتفع من الثبات، في حين تعكس القيم التي تزيد على (0.90) درجة ممتازة من الاتساق الداخلي.</w:t>
      </w:r>
    </w:p>
    <w:p w14:paraId="14ECC190"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وقد أظهرت نتائج التحليل الإحصائي ارتفاع معاملات الثبات لجميع أبعاد الدراسة، كما هو موضح في الجدول (3-6).</w:t>
      </w:r>
    </w:p>
    <w:p w14:paraId="59CA6DB4" w14:textId="77777777" w:rsidR="00E30AB8" w:rsidRPr="00E30AB8" w:rsidRDefault="00E30AB8" w:rsidP="00E30AB8">
      <w:pPr>
        <w:bidi/>
        <w:spacing w:line="240" w:lineRule="auto"/>
        <w:jc w:val="center"/>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جدول (3-6) معاملات كرونباخ ألفا لأبعاد الدراسة</w:t>
      </w:r>
    </w:p>
    <w:tbl>
      <w:tblPr>
        <w:tblStyle w:val="TableGrid"/>
        <w:bidiVisual/>
        <w:tblW w:w="5000" w:type="pct"/>
        <w:tblLook w:val="04A0" w:firstRow="1" w:lastRow="0" w:firstColumn="1" w:lastColumn="0" w:noHBand="0" w:noVBand="1"/>
      </w:tblPr>
      <w:tblGrid>
        <w:gridCol w:w="2477"/>
        <w:gridCol w:w="3899"/>
        <w:gridCol w:w="1531"/>
        <w:gridCol w:w="1430"/>
      </w:tblGrid>
      <w:tr w:rsidR="00E30AB8" w:rsidRPr="00E30AB8" w14:paraId="1294B5E2" w14:textId="77777777" w:rsidTr="00E30AB8">
        <w:tc>
          <w:tcPr>
            <w:tcW w:w="1326" w:type="pct"/>
            <w:hideMark/>
          </w:tcPr>
          <w:p w14:paraId="45DF7BAA"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المتغير</w:t>
            </w:r>
          </w:p>
        </w:tc>
        <w:tc>
          <w:tcPr>
            <w:tcW w:w="2088" w:type="pct"/>
            <w:hideMark/>
          </w:tcPr>
          <w:p w14:paraId="29980A77"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البعد</w:t>
            </w:r>
          </w:p>
        </w:tc>
        <w:tc>
          <w:tcPr>
            <w:tcW w:w="820" w:type="pct"/>
            <w:hideMark/>
          </w:tcPr>
          <w:p w14:paraId="48D64BAD"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عدد الفقرات</w:t>
            </w:r>
          </w:p>
        </w:tc>
        <w:tc>
          <w:tcPr>
            <w:tcW w:w="766" w:type="pct"/>
            <w:hideMark/>
          </w:tcPr>
          <w:p w14:paraId="6021FA85" w14:textId="77777777" w:rsidR="00E30AB8" w:rsidRPr="00E30AB8" w:rsidRDefault="00E30AB8" w:rsidP="00E30AB8">
            <w:pPr>
              <w:bidi/>
              <w:spacing w:after="200"/>
              <w:jc w:val="both"/>
              <w:rPr>
                <w:rFonts w:ascii="Traditional Arabic" w:hAnsi="Traditional Arabic" w:cs="Traditional Arabic"/>
                <w:b/>
                <w:bCs/>
                <w:sz w:val="32"/>
                <w:szCs w:val="32"/>
                <w:lang w:val="en-US"/>
              </w:rPr>
            </w:pPr>
            <w:r w:rsidRPr="00E30AB8">
              <w:rPr>
                <w:rFonts w:ascii="Traditional Arabic" w:hAnsi="Traditional Arabic" w:cs="Traditional Arabic"/>
                <w:b/>
                <w:bCs/>
                <w:sz w:val="32"/>
                <w:szCs w:val="32"/>
                <w:rtl/>
                <w:lang w:val="en-US"/>
              </w:rPr>
              <w:t>كرونباخ ألفا</w:t>
            </w:r>
          </w:p>
        </w:tc>
      </w:tr>
      <w:tr w:rsidR="00E30AB8" w:rsidRPr="00E30AB8" w14:paraId="33672950" w14:textId="77777777" w:rsidTr="00E30AB8">
        <w:tc>
          <w:tcPr>
            <w:tcW w:w="1326" w:type="pct"/>
            <w:hideMark/>
          </w:tcPr>
          <w:p w14:paraId="6E12525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التحول الرقمي</w:t>
            </w:r>
          </w:p>
        </w:tc>
        <w:tc>
          <w:tcPr>
            <w:tcW w:w="2088" w:type="pct"/>
            <w:hideMark/>
          </w:tcPr>
          <w:p w14:paraId="4FEE29D3"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البنية التحتية الرقمية والتقنيات الرقمية</w:t>
            </w:r>
          </w:p>
        </w:tc>
        <w:tc>
          <w:tcPr>
            <w:tcW w:w="820" w:type="pct"/>
            <w:hideMark/>
          </w:tcPr>
          <w:p w14:paraId="7EC7697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432667C1"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0.891</w:t>
            </w:r>
          </w:p>
        </w:tc>
      </w:tr>
      <w:tr w:rsidR="00E30AB8" w:rsidRPr="00E30AB8" w14:paraId="1CF0CE84" w14:textId="77777777" w:rsidTr="00E30AB8">
        <w:tc>
          <w:tcPr>
            <w:tcW w:w="1326" w:type="pct"/>
            <w:hideMark/>
          </w:tcPr>
          <w:p w14:paraId="17A89F82"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3AFBEF9B"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الكفاءة الرقمية للموظفين</w:t>
            </w:r>
          </w:p>
        </w:tc>
        <w:tc>
          <w:tcPr>
            <w:tcW w:w="820" w:type="pct"/>
            <w:hideMark/>
          </w:tcPr>
          <w:p w14:paraId="6E23DBAE"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70AFA243"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0.904</w:t>
            </w:r>
          </w:p>
        </w:tc>
      </w:tr>
      <w:tr w:rsidR="00E30AB8" w:rsidRPr="00E30AB8" w14:paraId="12E27E70" w14:textId="77777777" w:rsidTr="00E30AB8">
        <w:tc>
          <w:tcPr>
            <w:tcW w:w="1326" w:type="pct"/>
            <w:hideMark/>
          </w:tcPr>
          <w:p w14:paraId="5D2F6043"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7D8CE106"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تكامل الأنظمة الرقمية وعمليات الرقمنة</w:t>
            </w:r>
          </w:p>
        </w:tc>
        <w:tc>
          <w:tcPr>
            <w:tcW w:w="820" w:type="pct"/>
            <w:hideMark/>
          </w:tcPr>
          <w:p w14:paraId="20A19898"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7267CAF8"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0.918</w:t>
            </w:r>
          </w:p>
        </w:tc>
      </w:tr>
      <w:tr w:rsidR="00E30AB8" w:rsidRPr="00E30AB8" w14:paraId="0DE14DAE" w14:textId="77777777" w:rsidTr="00E30AB8">
        <w:tc>
          <w:tcPr>
            <w:tcW w:w="1326" w:type="pct"/>
            <w:hideMark/>
          </w:tcPr>
          <w:p w14:paraId="16194936"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631A4AC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الأمن وحماية البيانات الرقمية</w:t>
            </w:r>
          </w:p>
        </w:tc>
        <w:tc>
          <w:tcPr>
            <w:tcW w:w="820" w:type="pct"/>
            <w:hideMark/>
          </w:tcPr>
          <w:p w14:paraId="02B36394"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36FFC97B"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0.896</w:t>
            </w:r>
          </w:p>
        </w:tc>
      </w:tr>
      <w:tr w:rsidR="00E30AB8" w:rsidRPr="00E30AB8" w14:paraId="66A1EE27" w14:textId="77777777" w:rsidTr="00E30AB8">
        <w:tc>
          <w:tcPr>
            <w:tcW w:w="1326" w:type="pct"/>
            <w:hideMark/>
          </w:tcPr>
          <w:p w14:paraId="176DB619"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66EFA529"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للمتغير المستقل</w:t>
            </w:r>
          </w:p>
        </w:tc>
        <w:tc>
          <w:tcPr>
            <w:tcW w:w="820" w:type="pct"/>
            <w:hideMark/>
          </w:tcPr>
          <w:p w14:paraId="12A00C0F"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20</w:t>
            </w:r>
          </w:p>
        </w:tc>
        <w:tc>
          <w:tcPr>
            <w:tcW w:w="766" w:type="pct"/>
            <w:hideMark/>
          </w:tcPr>
          <w:p w14:paraId="20FB6016"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0.944</w:t>
            </w:r>
          </w:p>
        </w:tc>
      </w:tr>
      <w:tr w:rsidR="00E30AB8" w:rsidRPr="00E30AB8" w14:paraId="79787A85" w14:textId="77777777" w:rsidTr="00E30AB8">
        <w:tc>
          <w:tcPr>
            <w:tcW w:w="1326" w:type="pct"/>
            <w:hideMark/>
          </w:tcPr>
          <w:p w14:paraId="6D3A36E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الاستقرار الوظيفي</w:t>
            </w:r>
          </w:p>
        </w:tc>
        <w:tc>
          <w:tcPr>
            <w:tcW w:w="2088" w:type="pct"/>
            <w:hideMark/>
          </w:tcPr>
          <w:p w14:paraId="6D59ACA9"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الأمان الوظيفي</w:t>
            </w:r>
          </w:p>
        </w:tc>
        <w:tc>
          <w:tcPr>
            <w:tcW w:w="820" w:type="pct"/>
            <w:hideMark/>
          </w:tcPr>
          <w:p w14:paraId="2441C0C3"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098CCBF0"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0.884</w:t>
            </w:r>
          </w:p>
        </w:tc>
      </w:tr>
      <w:tr w:rsidR="00E30AB8" w:rsidRPr="00E30AB8" w14:paraId="6027BD8A" w14:textId="77777777" w:rsidTr="00E30AB8">
        <w:tc>
          <w:tcPr>
            <w:tcW w:w="1326" w:type="pct"/>
            <w:hideMark/>
          </w:tcPr>
          <w:p w14:paraId="1E013355"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2F1B16D3"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الرضا الوظيفي</w:t>
            </w:r>
          </w:p>
        </w:tc>
        <w:tc>
          <w:tcPr>
            <w:tcW w:w="820" w:type="pct"/>
            <w:hideMark/>
          </w:tcPr>
          <w:p w14:paraId="3D47796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7A09AC66"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0.912</w:t>
            </w:r>
          </w:p>
        </w:tc>
      </w:tr>
      <w:tr w:rsidR="00E30AB8" w:rsidRPr="00E30AB8" w14:paraId="4AC11FBE" w14:textId="77777777" w:rsidTr="00E30AB8">
        <w:tc>
          <w:tcPr>
            <w:tcW w:w="1326" w:type="pct"/>
            <w:hideMark/>
          </w:tcPr>
          <w:p w14:paraId="6F9F33F7"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49998CF5"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الالتزام التنظيمي</w:t>
            </w:r>
          </w:p>
        </w:tc>
        <w:tc>
          <w:tcPr>
            <w:tcW w:w="820" w:type="pct"/>
            <w:hideMark/>
          </w:tcPr>
          <w:p w14:paraId="22C1610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5</w:t>
            </w:r>
          </w:p>
        </w:tc>
        <w:tc>
          <w:tcPr>
            <w:tcW w:w="766" w:type="pct"/>
            <w:hideMark/>
          </w:tcPr>
          <w:p w14:paraId="6FB3409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sz w:val="32"/>
                <w:szCs w:val="32"/>
                <w:lang w:val="en-US"/>
              </w:rPr>
              <w:t>0.901</w:t>
            </w:r>
          </w:p>
        </w:tc>
      </w:tr>
      <w:tr w:rsidR="00E30AB8" w:rsidRPr="00E30AB8" w14:paraId="1B58F7A6" w14:textId="77777777" w:rsidTr="00E30AB8">
        <w:tc>
          <w:tcPr>
            <w:tcW w:w="1326" w:type="pct"/>
            <w:hideMark/>
          </w:tcPr>
          <w:p w14:paraId="6DEB9BDB"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2088" w:type="pct"/>
            <w:hideMark/>
          </w:tcPr>
          <w:p w14:paraId="02C7069D"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للمتغير التابع</w:t>
            </w:r>
          </w:p>
        </w:tc>
        <w:tc>
          <w:tcPr>
            <w:tcW w:w="820" w:type="pct"/>
            <w:hideMark/>
          </w:tcPr>
          <w:p w14:paraId="285577A6"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15</w:t>
            </w:r>
          </w:p>
        </w:tc>
        <w:tc>
          <w:tcPr>
            <w:tcW w:w="766" w:type="pct"/>
            <w:hideMark/>
          </w:tcPr>
          <w:p w14:paraId="71DBE123"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0.931</w:t>
            </w:r>
          </w:p>
        </w:tc>
      </w:tr>
      <w:tr w:rsidR="00E30AB8" w:rsidRPr="00E30AB8" w14:paraId="4DB5BBC4" w14:textId="77777777" w:rsidTr="00E30AB8">
        <w:tc>
          <w:tcPr>
            <w:tcW w:w="1326" w:type="pct"/>
            <w:hideMark/>
          </w:tcPr>
          <w:p w14:paraId="3F215F6A"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rtl/>
                <w:lang w:val="en-US"/>
              </w:rPr>
              <w:t>الثبات الكلي للاستبانة</w:t>
            </w:r>
          </w:p>
        </w:tc>
        <w:tc>
          <w:tcPr>
            <w:tcW w:w="2088" w:type="pct"/>
            <w:hideMark/>
          </w:tcPr>
          <w:p w14:paraId="7E56439D" w14:textId="77777777" w:rsidR="00E30AB8" w:rsidRPr="00E30AB8" w:rsidRDefault="00E30AB8" w:rsidP="00E30AB8">
            <w:pPr>
              <w:bidi/>
              <w:spacing w:after="200"/>
              <w:jc w:val="both"/>
              <w:rPr>
                <w:rFonts w:ascii="Traditional Arabic" w:hAnsi="Traditional Arabic" w:cs="Traditional Arabic"/>
                <w:sz w:val="32"/>
                <w:szCs w:val="32"/>
                <w:lang w:val="en-US"/>
              </w:rPr>
            </w:pPr>
          </w:p>
        </w:tc>
        <w:tc>
          <w:tcPr>
            <w:tcW w:w="820" w:type="pct"/>
            <w:hideMark/>
          </w:tcPr>
          <w:p w14:paraId="4E6CE3A2" w14:textId="77777777" w:rsidR="00E30AB8" w:rsidRPr="00E30AB8" w:rsidRDefault="00E30AB8" w:rsidP="00E30AB8">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35</w:t>
            </w:r>
          </w:p>
        </w:tc>
        <w:tc>
          <w:tcPr>
            <w:tcW w:w="766" w:type="pct"/>
            <w:hideMark/>
          </w:tcPr>
          <w:p w14:paraId="42659298" w14:textId="77777777" w:rsidR="00E30AB8" w:rsidRPr="00E30AB8" w:rsidRDefault="00E30AB8" w:rsidP="00BB7B09">
            <w:pPr>
              <w:bidi/>
              <w:spacing w:after="200"/>
              <w:jc w:val="both"/>
              <w:rPr>
                <w:rFonts w:ascii="Traditional Arabic" w:hAnsi="Traditional Arabic" w:cs="Traditional Arabic"/>
                <w:sz w:val="32"/>
                <w:szCs w:val="32"/>
                <w:lang w:val="en-US"/>
              </w:rPr>
            </w:pPr>
            <w:r w:rsidRPr="00E30AB8">
              <w:rPr>
                <w:rFonts w:ascii="Traditional Arabic" w:hAnsi="Traditional Arabic" w:cs="Traditional Arabic"/>
                <w:b/>
                <w:bCs/>
                <w:sz w:val="32"/>
                <w:szCs w:val="32"/>
                <w:lang w:val="en-US"/>
              </w:rPr>
              <w:t>0.9</w:t>
            </w:r>
            <w:r w:rsidR="00BB7B09">
              <w:rPr>
                <w:rFonts w:ascii="Traditional Arabic" w:hAnsi="Traditional Arabic" w:cs="Traditional Arabic"/>
                <w:b/>
                <w:bCs/>
                <w:sz w:val="32"/>
                <w:szCs w:val="32"/>
                <w:lang w:val="en-US"/>
              </w:rPr>
              <w:t>33</w:t>
            </w:r>
          </w:p>
        </w:tc>
      </w:tr>
    </w:tbl>
    <w:p w14:paraId="4FF13348" w14:textId="77777777" w:rsidR="00E30AB8" w:rsidRPr="00E30AB8" w:rsidRDefault="00E30AB8" w:rsidP="00BB7B09">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يتضح من نتائج جدول (3-6) أن معاملات كرونباخ ألفا لأبعاد التحول الرقمي تراوحت بين (0.891–0.918)، بينما تراوحت معاملات الثبات لأبعاد الاستقرار الوظيفي بين (0.884–0.912)، كما بلغ معامل الثبات الكلي للمتغير المستقل (0.944)، وللمتغير التابع (0.931)، في حين بلغ معامل الثبات الكلي للاستبانة (0.9</w:t>
      </w:r>
      <w:r w:rsidR="00BB7B09">
        <w:rPr>
          <w:rFonts w:ascii="Traditional Arabic" w:hAnsi="Traditional Arabic" w:cs="Traditional Arabic" w:hint="cs"/>
          <w:sz w:val="32"/>
          <w:szCs w:val="32"/>
          <w:rtl/>
          <w:lang w:val="en-US"/>
        </w:rPr>
        <w:t>33</w:t>
      </w:r>
      <w:r w:rsidRPr="00E30AB8">
        <w:rPr>
          <w:rFonts w:ascii="Traditional Arabic" w:hAnsi="Traditional Arabic" w:cs="Traditional Arabic"/>
          <w:sz w:val="32"/>
          <w:szCs w:val="32"/>
          <w:rtl/>
          <w:lang w:val="en-US"/>
        </w:rPr>
        <w:t>).</w:t>
      </w:r>
    </w:p>
    <w:p w14:paraId="73492C44"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وتعد هذه القيم مرتفعة وفق المعايير الإحصائية المعتمدة، مما يدل على تمتع أداة الدراسة بدرجة عالية من الاتساق الداخلي، ويؤكد صلاحيتها للتطبيق على أفراد عينة الدراسة، وإمكانية الاعتماد على البيانات الناتجة عنها في اختبار فرضيات الدراسة وتحقيق أهدافها</w:t>
      </w:r>
      <w:r w:rsidRPr="00E30AB8">
        <w:rPr>
          <w:rFonts w:ascii="Traditional Arabic" w:hAnsi="Traditional Arabic" w:cs="Traditional Arabic"/>
          <w:sz w:val="32"/>
          <w:szCs w:val="32"/>
          <w:lang w:val="en-US"/>
        </w:rPr>
        <w:t>.</w:t>
      </w:r>
    </w:p>
    <w:p w14:paraId="5934281C"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وبناءً على نتائج الصدق والثبات، يتبين أن الاستبانة تتمتع بخصائص سيكومترية مرتفعة من حيث الصدق والثبات، الأمر الذي يعزز الثقة في نتائج الدراسة، ويؤكد ملاءمة الأداة لجمع البيانات من أفراد عينة الدراسة</w:t>
      </w:r>
      <w:r w:rsidRPr="00E30AB8">
        <w:rPr>
          <w:rFonts w:ascii="Traditional Arabic" w:hAnsi="Traditional Arabic" w:cs="Traditional Arabic"/>
          <w:sz w:val="32"/>
          <w:szCs w:val="32"/>
          <w:lang w:val="en-US"/>
        </w:rPr>
        <w:t>.</w:t>
      </w:r>
    </w:p>
    <w:p w14:paraId="40F39A4E"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3.10 إجراءات الدراسة</w:t>
      </w:r>
    </w:p>
    <w:p w14:paraId="5C737DE6"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اتبع الباحث مجموعة من الإجراءات العلمية والمنهجية لتنفيذ الدراسة وتحقيق أهدافها، وذلك وفق تسلسل منطقي يضمن سلامة تطبيق الدراسة ودقة نتائجها، وتمثلت هذه الإجراءات فيما يأتي</w:t>
      </w:r>
      <w:r w:rsidRPr="00E30AB8">
        <w:rPr>
          <w:rFonts w:ascii="Traditional Arabic" w:hAnsi="Traditional Arabic" w:cs="Traditional Arabic"/>
          <w:sz w:val="32"/>
          <w:szCs w:val="32"/>
          <w:lang w:val="en-US"/>
        </w:rPr>
        <w:t>:</w:t>
      </w:r>
    </w:p>
    <w:p w14:paraId="55B1B90B" w14:textId="77777777" w:rsidR="00E30AB8" w:rsidRPr="00E30AB8" w:rsidRDefault="00E30AB8" w:rsidP="00E30AB8">
      <w:pPr>
        <w:numPr>
          <w:ilvl w:val="0"/>
          <w:numId w:val="5"/>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مراجعة الأدبيات النظرية والدراسات السابقة العربية والأجنبية المتعلقة بالتحول الرقمي والاستقرار الوظيفي، والاستفادة منها في بناء الإطار النظري وصياغة مشكلة الدراسة وأهدافها وفرضياتها</w:t>
      </w:r>
      <w:r w:rsidRPr="00E30AB8">
        <w:rPr>
          <w:rFonts w:ascii="Traditional Arabic" w:hAnsi="Traditional Arabic" w:cs="Traditional Arabic"/>
          <w:sz w:val="32"/>
          <w:szCs w:val="32"/>
          <w:lang w:val="en-US"/>
        </w:rPr>
        <w:t>.</w:t>
      </w:r>
    </w:p>
    <w:p w14:paraId="1E14C8B2" w14:textId="77777777" w:rsidR="00E30AB8" w:rsidRPr="00E30AB8" w:rsidRDefault="00E30AB8" w:rsidP="00BB7B09">
      <w:pPr>
        <w:numPr>
          <w:ilvl w:val="0"/>
          <w:numId w:val="5"/>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 xml:space="preserve">تحديد متغيرات الدراسة وأبعادها في ضوء </w:t>
      </w:r>
      <w:r w:rsidR="00BB7B09" w:rsidRPr="00BB7B09">
        <w:rPr>
          <w:rFonts w:ascii="Traditional Arabic" w:hAnsi="Traditional Arabic" w:cs="Traditional Arabic"/>
          <w:sz w:val="32"/>
          <w:szCs w:val="32"/>
          <w:rtl/>
          <w:lang w:val="en-US"/>
        </w:rPr>
        <w:t>الأدبيات والدراسات السابقة، وإعداد نموذج الدراسة الذي يوضح العلاقة بين المتغير المستقل (التحول الرقمي) والمتغير التابع (الاستقرار الوظيفي).</w:t>
      </w:r>
    </w:p>
    <w:p w14:paraId="1E640525" w14:textId="77777777" w:rsidR="00E30AB8" w:rsidRPr="00E30AB8" w:rsidRDefault="00E30AB8" w:rsidP="00E30AB8">
      <w:pPr>
        <w:numPr>
          <w:ilvl w:val="0"/>
          <w:numId w:val="5"/>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تطوير أداة الدراسة (الاستبانة) بالاستناد إلى الأدبيات العلمية والدراسات السابقة ذات العلاقة، بما يضمن شمولها لجميع أبعاد الدراسة وتحقيقها لأهدافها</w:t>
      </w:r>
      <w:r w:rsidRPr="00E30AB8">
        <w:rPr>
          <w:rFonts w:ascii="Traditional Arabic" w:hAnsi="Traditional Arabic" w:cs="Traditional Arabic"/>
          <w:sz w:val="32"/>
          <w:szCs w:val="32"/>
          <w:lang w:val="en-US"/>
        </w:rPr>
        <w:t>.</w:t>
      </w:r>
    </w:p>
    <w:p w14:paraId="7E2623EB" w14:textId="77777777" w:rsidR="00E30AB8" w:rsidRPr="00E30AB8" w:rsidRDefault="00E30AB8" w:rsidP="00E30AB8">
      <w:pPr>
        <w:numPr>
          <w:ilvl w:val="0"/>
          <w:numId w:val="5"/>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عرض الاستبانة على مجموعة من المحكمين من ذوي الاختصاص للتحقق من صدقها الظاهري، وإجراء التعديلات اللازمة في ضوء ملاحظاتهم، ثم تطبيقها على عينة استطلاعية للتحقق من صدق البناء وثبات الأداة</w:t>
      </w:r>
      <w:r w:rsidRPr="00E30AB8">
        <w:rPr>
          <w:rFonts w:ascii="Traditional Arabic" w:hAnsi="Traditional Arabic" w:cs="Traditional Arabic"/>
          <w:sz w:val="32"/>
          <w:szCs w:val="32"/>
          <w:lang w:val="en-US"/>
        </w:rPr>
        <w:t>.</w:t>
      </w:r>
    </w:p>
    <w:p w14:paraId="183CF984" w14:textId="77777777" w:rsidR="00E30AB8" w:rsidRPr="00E30AB8" w:rsidRDefault="00E30AB8" w:rsidP="00E30AB8">
      <w:pPr>
        <w:numPr>
          <w:ilvl w:val="0"/>
          <w:numId w:val="5"/>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الحصول على الموافقات اللازمة من الجهات ذات العلاقة، والتنسيق مع إدارات المستشفيات الحكومية المشمولة بالدراسة لتسهيل عملية توزيع الاستبانات على أفراد العينة</w:t>
      </w:r>
      <w:r w:rsidRPr="00E30AB8">
        <w:rPr>
          <w:rFonts w:ascii="Traditional Arabic" w:hAnsi="Traditional Arabic" w:cs="Traditional Arabic"/>
          <w:sz w:val="32"/>
          <w:szCs w:val="32"/>
          <w:lang w:val="en-US"/>
        </w:rPr>
        <w:t>.</w:t>
      </w:r>
    </w:p>
    <w:p w14:paraId="763CFC44" w14:textId="77777777" w:rsidR="00E30AB8" w:rsidRPr="00E30AB8" w:rsidRDefault="00E30AB8" w:rsidP="00E30AB8">
      <w:pPr>
        <w:numPr>
          <w:ilvl w:val="0"/>
          <w:numId w:val="5"/>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اختيار أفراد عينة الدراسة من العاملين في المستشفيات الحكومية بمدينة جدة وفق أسلوب العينة العشوائية البسيطة، ثم توزيع الاستبانات عليهم وجمعها بعد استكمال الإجابة عنها</w:t>
      </w:r>
      <w:r w:rsidRPr="00E30AB8">
        <w:rPr>
          <w:rFonts w:ascii="Traditional Arabic" w:hAnsi="Traditional Arabic" w:cs="Traditional Arabic"/>
          <w:sz w:val="32"/>
          <w:szCs w:val="32"/>
          <w:lang w:val="en-US"/>
        </w:rPr>
        <w:t>.</w:t>
      </w:r>
    </w:p>
    <w:p w14:paraId="1CA6A934" w14:textId="77777777" w:rsidR="00E30AB8" w:rsidRPr="00E30AB8" w:rsidRDefault="00E30AB8" w:rsidP="00E30AB8">
      <w:pPr>
        <w:numPr>
          <w:ilvl w:val="0"/>
          <w:numId w:val="5"/>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مراجعة الاستبانات المستردة، واستبعاد الاستبانات غير المكتملة أو غير الصالحة للتحليل الإحصائي، واعتماد الاستبانات المستوفية لشروط التحليل بوصفها العينة النهائية للدراسة</w:t>
      </w:r>
      <w:r w:rsidRPr="00E30AB8">
        <w:rPr>
          <w:rFonts w:ascii="Traditional Arabic" w:hAnsi="Traditional Arabic" w:cs="Traditional Arabic"/>
          <w:sz w:val="32"/>
          <w:szCs w:val="32"/>
          <w:lang w:val="en-US"/>
        </w:rPr>
        <w:t>.</w:t>
      </w:r>
    </w:p>
    <w:p w14:paraId="40B5E3F7" w14:textId="77777777" w:rsidR="00E30AB8" w:rsidRPr="00E30AB8" w:rsidRDefault="00E30AB8" w:rsidP="00E30AB8">
      <w:pPr>
        <w:numPr>
          <w:ilvl w:val="0"/>
          <w:numId w:val="5"/>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 xml:space="preserve">إدخال البيانات إلى البرنامج الإحصائي </w:t>
      </w:r>
      <w:r w:rsidRPr="00E30AB8">
        <w:rPr>
          <w:rFonts w:ascii="Traditional Arabic" w:hAnsi="Traditional Arabic" w:cs="Traditional Arabic"/>
          <w:sz w:val="32"/>
          <w:szCs w:val="32"/>
          <w:lang w:val="en-US"/>
        </w:rPr>
        <w:t>SPSS</w:t>
      </w:r>
      <w:r w:rsidRPr="00E30AB8">
        <w:rPr>
          <w:rFonts w:ascii="Traditional Arabic" w:hAnsi="Traditional Arabic" w:cs="Traditional Arabic"/>
          <w:sz w:val="32"/>
          <w:szCs w:val="32"/>
          <w:rtl/>
          <w:lang w:val="en-US"/>
        </w:rPr>
        <w:t>، وإجراء التحليلات الإحصائية المناسبة للإجابة عن أسئلة الدراسة واختبار فرضياتها، ثم تفسير النتائج ومناقشتها في ضوء الأدبيات والدراسات السابقة، وصولًا إلى استخلاص الاستنتاجات وتقديم التوصيات والمقترحات</w:t>
      </w:r>
      <w:r w:rsidRPr="00E30AB8">
        <w:rPr>
          <w:rFonts w:ascii="Traditional Arabic" w:hAnsi="Traditional Arabic" w:cs="Traditional Arabic"/>
          <w:sz w:val="32"/>
          <w:szCs w:val="32"/>
          <w:lang w:val="en-US"/>
        </w:rPr>
        <w:t>.</w:t>
      </w:r>
    </w:p>
    <w:p w14:paraId="1CF75DCA" w14:textId="77777777" w:rsidR="007419CC" w:rsidRDefault="007419CC" w:rsidP="00692479">
      <w:pPr>
        <w:bidi/>
        <w:spacing w:line="360" w:lineRule="auto"/>
        <w:jc w:val="both"/>
        <w:rPr>
          <w:rFonts w:ascii="Traditional Arabic" w:hAnsi="Traditional Arabic" w:cs="Traditional Arabic"/>
          <w:sz w:val="32"/>
          <w:szCs w:val="32"/>
          <w:rtl/>
          <w:lang w:val="en-US"/>
        </w:rPr>
      </w:pPr>
    </w:p>
    <w:p w14:paraId="58D5C6CD" w14:textId="77777777" w:rsidR="00E30AB8" w:rsidRDefault="00E30AB8" w:rsidP="00E30AB8">
      <w:pPr>
        <w:bidi/>
        <w:spacing w:line="360" w:lineRule="auto"/>
        <w:jc w:val="both"/>
        <w:rPr>
          <w:rFonts w:ascii="Traditional Arabic" w:hAnsi="Traditional Arabic" w:cs="Traditional Arabic"/>
          <w:b/>
          <w:bCs/>
          <w:sz w:val="32"/>
          <w:szCs w:val="32"/>
          <w:rtl/>
          <w:lang w:val="en-US"/>
        </w:rPr>
      </w:pPr>
      <w:r w:rsidRPr="00E30AB8">
        <w:rPr>
          <w:rFonts w:ascii="Traditional Arabic" w:hAnsi="Traditional Arabic" w:cs="Traditional Arabic"/>
          <w:b/>
          <w:bCs/>
          <w:sz w:val="32"/>
          <w:szCs w:val="32"/>
          <w:rtl/>
          <w:lang w:val="en-US"/>
        </w:rPr>
        <w:t>3.11 الأساليب الإحصائية المستخدمة</w:t>
      </w:r>
    </w:p>
    <w:p w14:paraId="1C389E10"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بعد الانتهاء من جمع البيانات ومراجعة الاستبانات والتأكد من صلاحيتها للتحليل الإحصائي، أُدخلت البيانات إلى الحاسب الآلي، وتم تحليلها باستخدام برنامج الحزمة الإحصائية للعلوم الاجتماعية (</w:t>
      </w:r>
      <w:r w:rsidRPr="00E30AB8">
        <w:rPr>
          <w:rFonts w:ascii="Traditional Arabic" w:hAnsi="Traditional Arabic" w:cs="Traditional Arabic"/>
          <w:sz w:val="32"/>
          <w:szCs w:val="32"/>
          <w:lang w:val="en-US"/>
        </w:rPr>
        <w:t>Statistical Package for the Social Sciences - SPSS</w:t>
      </w:r>
      <w:r w:rsidRPr="00E30AB8">
        <w:rPr>
          <w:rFonts w:ascii="Traditional Arabic" w:hAnsi="Traditional Arabic" w:cs="Traditional Arabic"/>
          <w:sz w:val="32"/>
          <w:szCs w:val="32"/>
          <w:rtl/>
          <w:lang w:val="en-US"/>
        </w:rPr>
        <w:t>)، وذلك للإجابة عن أسئلة الدراسة واختبار فرضياتها. وقد استخدم الباحث مجموعة من الأساليب الإحصائية التي تتناسب مع طبيعة الدراسة وأهدافها، وذلك على النحو الآتي</w:t>
      </w:r>
      <w:r w:rsidRPr="00E30AB8">
        <w:rPr>
          <w:rFonts w:ascii="Traditional Arabic" w:hAnsi="Traditional Arabic" w:cs="Traditional Arabic"/>
          <w:sz w:val="32"/>
          <w:szCs w:val="32"/>
          <w:lang w:val="en-US"/>
        </w:rPr>
        <w:t>:</w:t>
      </w:r>
    </w:p>
    <w:p w14:paraId="43147B64"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التكرارات والنسب المئوية؛ لوصف الخصائص الشخصية والوظيفية لأفراد عينة الدراسة</w:t>
      </w:r>
      <w:r w:rsidRPr="00E30AB8">
        <w:rPr>
          <w:rFonts w:ascii="Traditional Arabic" w:hAnsi="Traditional Arabic" w:cs="Traditional Arabic"/>
          <w:sz w:val="32"/>
          <w:szCs w:val="32"/>
          <w:lang w:val="en-US"/>
        </w:rPr>
        <w:t>.</w:t>
      </w:r>
    </w:p>
    <w:p w14:paraId="03CE9249"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المتوسطات الحسابية والانحرافات المعيارية؛ للتعرف إلى مستوى استجابات أفراد عينة الدراسة على فقرات وأبعاد متغيرات الدراسة</w:t>
      </w:r>
      <w:r w:rsidRPr="00E30AB8">
        <w:rPr>
          <w:rFonts w:ascii="Traditional Arabic" w:hAnsi="Traditional Arabic" w:cs="Traditional Arabic"/>
          <w:sz w:val="32"/>
          <w:szCs w:val="32"/>
          <w:lang w:val="en-US"/>
        </w:rPr>
        <w:t>.</w:t>
      </w:r>
    </w:p>
    <w:p w14:paraId="26CE9DAA"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ارتباط بيرسون (</w:t>
      </w:r>
      <w:r w:rsidRPr="00E30AB8">
        <w:rPr>
          <w:rFonts w:ascii="Traditional Arabic" w:hAnsi="Traditional Arabic" w:cs="Traditional Arabic"/>
          <w:sz w:val="32"/>
          <w:szCs w:val="32"/>
          <w:lang w:val="en-US"/>
        </w:rPr>
        <w:t>Pearson Correlation Coefficient</w:t>
      </w:r>
      <w:r w:rsidRPr="00E30AB8">
        <w:rPr>
          <w:rFonts w:ascii="Traditional Arabic" w:hAnsi="Traditional Arabic" w:cs="Traditional Arabic"/>
          <w:sz w:val="32"/>
          <w:szCs w:val="32"/>
          <w:rtl/>
          <w:lang w:val="en-US"/>
        </w:rPr>
        <w:t>)؛ للتحقق من صدق البناء، وقياس قوة واتجاه العلاقة بين فقرات الاستبانة وأبعادها، وكذلك بين الأبعاد والدرجة الكلية للأداة</w:t>
      </w:r>
      <w:r w:rsidRPr="00E30AB8">
        <w:rPr>
          <w:rFonts w:ascii="Traditional Arabic" w:hAnsi="Traditional Arabic" w:cs="Traditional Arabic"/>
          <w:sz w:val="32"/>
          <w:szCs w:val="32"/>
          <w:lang w:val="en-US"/>
        </w:rPr>
        <w:t>.</w:t>
      </w:r>
    </w:p>
    <w:p w14:paraId="5F833D80"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كرونباخ ألفا (</w:t>
      </w:r>
      <w:r w:rsidRPr="00E30AB8">
        <w:rPr>
          <w:rFonts w:ascii="Traditional Arabic" w:hAnsi="Traditional Arabic" w:cs="Traditional Arabic"/>
          <w:sz w:val="32"/>
          <w:szCs w:val="32"/>
          <w:lang w:val="en-US"/>
        </w:rPr>
        <w:t>Cronbach's Alpha</w:t>
      </w:r>
      <w:r w:rsidRPr="00E30AB8">
        <w:rPr>
          <w:rFonts w:ascii="Traditional Arabic" w:hAnsi="Traditional Arabic" w:cs="Traditional Arabic"/>
          <w:sz w:val="32"/>
          <w:szCs w:val="32"/>
          <w:rtl/>
          <w:lang w:val="en-US"/>
        </w:rPr>
        <w:t>)؛ للتحقق من الاتساق الداخلي وقياس ثبات أداة الدراسة</w:t>
      </w:r>
      <w:r w:rsidRPr="00E30AB8">
        <w:rPr>
          <w:rFonts w:ascii="Traditional Arabic" w:hAnsi="Traditional Arabic" w:cs="Traditional Arabic"/>
          <w:sz w:val="32"/>
          <w:szCs w:val="32"/>
          <w:lang w:val="en-US"/>
        </w:rPr>
        <w:t>.</w:t>
      </w:r>
    </w:p>
    <w:p w14:paraId="48DB40ED"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اختبار كولموغوروف–سميرنوف (</w:t>
      </w:r>
      <w:r w:rsidRPr="00E30AB8">
        <w:rPr>
          <w:rFonts w:ascii="Traditional Arabic" w:hAnsi="Traditional Arabic" w:cs="Traditional Arabic"/>
          <w:sz w:val="32"/>
          <w:szCs w:val="32"/>
          <w:lang w:val="en-US"/>
        </w:rPr>
        <w:t>Kolmogorov–Smirnov Test</w:t>
      </w:r>
      <w:r w:rsidRPr="00E30AB8">
        <w:rPr>
          <w:rFonts w:ascii="Traditional Arabic" w:hAnsi="Traditional Arabic" w:cs="Traditional Arabic"/>
          <w:sz w:val="32"/>
          <w:szCs w:val="32"/>
          <w:rtl/>
          <w:lang w:val="en-US"/>
        </w:rPr>
        <w:t>)؛ للتحقق من مدى اتباع البيانات للتوزيع الطبيعي قبل إجراء اختبارات الانحدار.</w:t>
      </w:r>
    </w:p>
    <w:p w14:paraId="1E568D61"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معاملات تضخم التباين (</w:t>
      </w:r>
      <w:r w:rsidRPr="00E30AB8">
        <w:rPr>
          <w:rFonts w:ascii="Traditional Arabic" w:hAnsi="Traditional Arabic" w:cs="Traditional Arabic"/>
          <w:sz w:val="32"/>
          <w:szCs w:val="32"/>
          <w:lang w:val="en-US"/>
        </w:rPr>
        <w:t>Variance Inflation Factor - VIF</w:t>
      </w:r>
      <w:r w:rsidRPr="00E30AB8">
        <w:rPr>
          <w:rFonts w:ascii="Traditional Arabic" w:hAnsi="Traditional Arabic" w:cs="Traditional Arabic"/>
          <w:sz w:val="32"/>
          <w:szCs w:val="32"/>
          <w:rtl/>
          <w:lang w:val="en-US"/>
        </w:rPr>
        <w:t>) وقيم التباين المسموح (</w:t>
      </w:r>
      <w:r w:rsidRPr="00E30AB8">
        <w:rPr>
          <w:rFonts w:ascii="Traditional Arabic" w:hAnsi="Traditional Arabic" w:cs="Traditional Arabic"/>
          <w:sz w:val="32"/>
          <w:szCs w:val="32"/>
          <w:lang w:val="en-US"/>
        </w:rPr>
        <w:t>Tolerance</w:t>
      </w:r>
      <w:r w:rsidRPr="00E30AB8">
        <w:rPr>
          <w:rFonts w:ascii="Traditional Arabic" w:hAnsi="Traditional Arabic" w:cs="Traditional Arabic"/>
          <w:sz w:val="32"/>
          <w:szCs w:val="32"/>
          <w:rtl/>
          <w:lang w:val="en-US"/>
        </w:rPr>
        <w:t>)؛ للتحقق من عدم وجود مشكلة التداخل الخطي (</w:t>
      </w:r>
      <w:r w:rsidRPr="00E30AB8">
        <w:rPr>
          <w:rFonts w:ascii="Traditional Arabic" w:hAnsi="Traditional Arabic" w:cs="Traditional Arabic"/>
          <w:sz w:val="32"/>
          <w:szCs w:val="32"/>
          <w:lang w:val="en-US"/>
        </w:rPr>
        <w:t>Multicollinearity</w:t>
      </w:r>
      <w:r w:rsidRPr="00E30AB8">
        <w:rPr>
          <w:rFonts w:ascii="Traditional Arabic" w:hAnsi="Traditional Arabic" w:cs="Traditional Arabic"/>
          <w:sz w:val="32"/>
          <w:szCs w:val="32"/>
          <w:rtl/>
          <w:lang w:val="en-US"/>
        </w:rPr>
        <w:t>) بين أبعاد المتغير المستقل.</w:t>
      </w:r>
    </w:p>
    <w:p w14:paraId="797A8E70"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تحليل الانحدار الخطي المتعدد (</w:t>
      </w:r>
      <w:r w:rsidRPr="00E30AB8">
        <w:rPr>
          <w:rFonts w:ascii="Traditional Arabic" w:hAnsi="Traditional Arabic" w:cs="Traditional Arabic"/>
          <w:sz w:val="32"/>
          <w:szCs w:val="32"/>
          <w:lang w:val="en-US"/>
        </w:rPr>
        <w:t>Multiple Linear Regression</w:t>
      </w:r>
      <w:r w:rsidRPr="00E30AB8">
        <w:rPr>
          <w:rFonts w:ascii="Traditional Arabic" w:hAnsi="Traditional Arabic" w:cs="Traditional Arabic"/>
          <w:sz w:val="32"/>
          <w:szCs w:val="32"/>
          <w:rtl/>
          <w:lang w:val="en-US"/>
        </w:rPr>
        <w:t>)؛ لاختبار أثر أبعاد التحول الرقمي مجتمعة ومنفردة في الاستقرار الوظيفي لدى العاملين في المستشفيات الحكومية بمدينة جدة، واختبار الفرضية الرئيسة والفرضيات الفرعية للدراسة</w:t>
      </w:r>
      <w:r w:rsidRPr="00E30AB8">
        <w:rPr>
          <w:rFonts w:ascii="Traditional Arabic" w:hAnsi="Traditional Arabic" w:cs="Traditional Arabic"/>
          <w:sz w:val="32"/>
          <w:szCs w:val="32"/>
          <w:lang w:val="en-US"/>
        </w:rPr>
        <w:t>.</w:t>
      </w:r>
    </w:p>
    <w:p w14:paraId="6DB75479"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معامل التحديد (</w:t>
      </w:r>
      <w:r w:rsidRPr="00E30AB8">
        <w:rPr>
          <w:rFonts w:ascii="Traditional Arabic" w:hAnsi="Traditional Arabic" w:cs="Traditional Arabic"/>
          <w:sz w:val="32"/>
          <w:szCs w:val="32"/>
          <w:lang w:val="en-US"/>
        </w:rPr>
        <w:t>R²</w:t>
      </w:r>
      <w:r w:rsidRPr="00E30AB8">
        <w:rPr>
          <w:rFonts w:ascii="Traditional Arabic" w:hAnsi="Traditional Arabic" w:cs="Traditional Arabic"/>
          <w:sz w:val="32"/>
          <w:szCs w:val="32"/>
          <w:rtl/>
          <w:lang w:val="en-US"/>
        </w:rPr>
        <w:t>)؛ لتحديد نسبة التباين في المتغير التابع التي يمكن تفسيرها من خلال أبعاد المتغير المستقل</w:t>
      </w:r>
      <w:r w:rsidRPr="00E30AB8">
        <w:rPr>
          <w:rFonts w:ascii="Traditional Arabic" w:hAnsi="Traditional Arabic" w:cs="Traditional Arabic"/>
          <w:sz w:val="32"/>
          <w:szCs w:val="32"/>
          <w:lang w:val="en-US"/>
        </w:rPr>
        <w:t>.</w:t>
      </w:r>
    </w:p>
    <w:p w14:paraId="2D30947A" w14:textId="77777777" w:rsidR="00E30AB8" w:rsidRPr="00E30AB8" w:rsidRDefault="00E30AB8" w:rsidP="00E30AB8">
      <w:pPr>
        <w:numPr>
          <w:ilvl w:val="0"/>
          <w:numId w:val="6"/>
        </w:num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اختبار</w:t>
      </w:r>
      <w:r w:rsidRPr="00E30AB8">
        <w:rPr>
          <w:rFonts w:ascii="Traditional Arabic" w:hAnsi="Traditional Arabic" w:cs="Traditional Arabic"/>
          <w:sz w:val="32"/>
          <w:szCs w:val="32"/>
          <w:lang w:val="en-US"/>
        </w:rPr>
        <w:t xml:space="preserve"> (F)</w:t>
      </w:r>
      <w:r w:rsidRPr="00E30AB8">
        <w:rPr>
          <w:rFonts w:ascii="Traditional Arabic" w:hAnsi="Traditional Arabic" w:cs="Traditional Arabic"/>
          <w:sz w:val="32"/>
          <w:szCs w:val="32"/>
          <w:rtl/>
          <w:lang w:val="en-US"/>
        </w:rPr>
        <w:t>؛ للتحقق من معنوية نموذج الانحدار ككل، واختبار</w:t>
      </w:r>
      <w:r w:rsidRPr="00E30AB8">
        <w:rPr>
          <w:rFonts w:ascii="Traditional Arabic" w:hAnsi="Traditional Arabic" w:cs="Traditional Arabic"/>
          <w:sz w:val="32"/>
          <w:szCs w:val="32"/>
          <w:lang w:val="en-US"/>
        </w:rPr>
        <w:t xml:space="preserve"> (t)</w:t>
      </w:r>
      <w:r w:rsidRPr="00E30AB8">
        <w:rPr>
          <w:rFonts w:ascii="Traditional Arabic" w:hAnsi="Traditional Arabic" w:cs="Traditional Arabic"/>
          <w:sz w:val="32"/>
          <w:szCs w:val="32"/>
          <w:rtl/>
          <w:lang w:val="en-US"/>
        </w:rPr>
        <w:t>؛ للتحقق من معنوية معاملات الانحدار لكل بعد من أبعاد المتغير المستقل</w:t>
      </w:r>
      <w:r w:rsidRPr="00E30AB8">
        <w:rPr>
          <w:rFonts w:ascii="Traditional Arabic" w:hAnsi="Traditional Arabic" w:cs="Traditional Arabic"/>
          <w:sz w:val="32"/>
          <w:szCs w:val="32"/>
          <w:lang w:val="en-US"/>
        </w:rPr>
        <w:t>.</w:t>
      </w:r>
    </w:p>
    <w:p w14:paraId="3BBCE32A" w14:textId="77777777" w:rsidR="00E30AB8" w:rsidRPr="00E30AB8" w:rsidRDefault="00E30AB8" w:rsidP="00E30AB8">
      <w:pPr>
        <w:bidi/>
        <w:spacing w:line="360" w:lineRule="auto"/>
        <w:jc w:val="both"/>
        <w:rPr>
          <w:rFonts w:ascii="Traditional Arabic" w:hAnsi="Traditional Arabic" w:cs="Traditional Arabic"/>
          <w:sz w:val="32"/>
          <w:szCs w:val="32"/>
          <w:lang w:val="en-US"/>
        </w:rPr>
      </w:pPr>
      <w:r w:rsidRPr="00E30AB8">
        <w:rPr>
          <w:rFonts w:ascii="Traditional Arabic" w:hAnsi="Traditional Arabic" w:cs="Traditional Arabic"/>
          <w:sz w:val="32"/>
          <w:szCs w:val="32"/>
          <w:rtl/>
          <w:lang w:val="en-US"/>
        </w:rPr>
        <w:t>واعتمدت الدراسة مستوى الدلالة الإحصائية (</w:t>
      </w:r>
      <w:r w:rsidRPr="00E30AB8">
        <w:rPr>
          <w:rFonts w:ascii="Times New Roman" w:hAnsi="Times New Roman" w:cs="Times New Roman"/>
          <w:sz w:val="32"/>
          <w:szCs w:val="32"/>
          <w:lang w:val="en-US"/>
        </w:rPr>
        <w:t>α</w:t>
      </w:r>
      <w:r w:rsidRPr="00E30AB8">
        <w:rPr>
          <w:rFonts w:ascii="Traditional Arabic" w:hAnsi="Traditional Arabic" w:cs="Traditional Arabic"/>
          <w:sz w:val="32"/>
          <w:szCs w:val="32"/>
          <w:lang w:val="en-US"/>
        </w:rPr>
        <w:t xml:space="preserve"> </w:t>
      </w:r>
      <w:r w:rsidRPr="00E30AB8">
        <w:rPr>
          <w:rFonts w:ascii="Times New Roman" w:hAnsi="Times New Roman" w:cs="Times New Roman"/>
          <w:sz w:val="32"/>
          <w:szCs w:val="32"/>
          <w:lang w:val="en-US"/>
        </w:rPr>
        <w:t>≤</w:t>
      </w:r>
      <w:r w:rsidRPr="00E30AB8">
        <w:rPr>
          <w:rFonts w:ascii="Traditional Arabic" w:hAnsi="Traditional Arabic" w:cs="Traditional Arabic"/>
          <w:sz w:val="32"/>
          <w:szCs w:val="32"/>
          <w:lang w:val="en-US"/>
        </w:rPr>
        <w:t xml:space="preserve"> 0.05</w:t>
      </w:r>
      <w:r w:rsidRPr="00E30AB8">
        <w:rPr>
          <w:rFonts w:ascii="Traditional Arabic" w:hAnsi="Traditional Arabic" w:cs="Traditional Arabic"/>
          <w:sz w:val="32"/>
          <w:szCs w:val="32"/>
          <w:rtl/>
          <w:lang w:val="en-US"/>
        </w:rPr>
        <w:t>) معيارًا للحكم على دلالة النتائج الإحصائية، حيث عُدت النتائج ذات دلالة إحصائية إذا كانت قيمة مستوى الدلالة أقل من أو تساوي (0.05).</w:t>
      </w:r>
    </w:p>
    <w:sectPr w:rsidR="00E30AB8" w:rsidRPr="00E30AB8" w:rsidSect="001E4DDA">
      <w:pgSz w:w="12240" w:h="15840"/>
      <w:pgMar w:top="1701" w:right="1701" w:bottom="1440" w:left="1418"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711D"/>
    <w:multiLevelType w:val="multilevel"/>
    <w:tmpl w:val="4D2C0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C21594"/>
    <w:multiLevelType w:val="multilevel"/>
    <w:tmpl w:val="E0BC2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A047AA8"/>
    <w:multiLevelType w:val="multilevel"/>
    <w:tmpl w:val="86E0C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BCF689A"/>
    <w:multiLevelType w:val="multilevel"/>
    <w:tmpl w:val="671AE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42110CB"/>
    <w:multiLevelType w:val="multilevel"/>
    <w:tmpl w:val="EEA60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EA7203A"/>
    <w:multiLevelType w:val="multilevel"/>
    <w:tmpl w:val="211C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2781389">
    <w:abstractNumId w:val="3"/>
  </w:num>
  <w:num w:numId="2" w16cid:durableId="928076655">
    <w:abstractNumId w:val="4"/>
  </w:num>
  <w:num w:numId="3" w16cid:durableId="1915621745">
    <w:abstractNumId w:val="1"/>
  </w:num>
  <w:num w:numId="4" w16cid:durableId="1967814368">
    <w:abstractNumId w:val="5"/>
  </w:num>
  <w:num w:numId="5" w16cid:durableId="2068255792">
    <w:abstractNumId w:val="2"/>
  </w:num>
  <w:num w:numId="6" w16cid:durableId="15055167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77"/>
  <w:revisionView w:inkAnnotations="0"/>
  <w:defaultTabStop w:val="720"/>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51A95"/>
    <w:rsid w:val="001E4DDA"/>
    <w:rsid w:val="0058077E"/>
    <w:rsid w:val="005B1DF7"/>
    <w:rsid w:val="00651A95"/>
    <w:rsid w:val="00692479"/>
    <w:rsid w:val="007419CC"/>
    <w:rsid w:val="008D2109"/>
    <w:rsid w:val="00B97EBD"/>
    <w:rsid w:val="00BB7B09"/>
    <w:rsid w:val="00E30AB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82B0EB"/>
  <w15:docId w15:val="{EFCA08F9-3916-1C4C-9831-7941E829E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924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924515">
      <w:bodyDiv w:val="1"/>
      <w:marLeft w:val="0"/>
      <w:marRight w:val="0"/>
      <w:marTop w:val="0"/>
      <w:marBottom w:val="0"/>
      <w:divBdr>
        <w:top w:val="none" w:sz="0" w:space="0" w:color="auto"/>
        <w:left w:val="none" w:sz="0" w:space="0" w:color="auto"/>
        <w:bottom w:val="none" w:sz="0" w:space="0" w:color="auto"/>
        <w:right w:val="none" w:sz="0" w:space="0" w:color="auto"/>
      </w:divBdr>
    </w:div>
    <w:div w:id="85421963">
      <w:bodyDiv w:val="1"/>
      <w:marLeft w:val="0"/>
      <w:marRight w:val="0"/>
      <w:marTop w:val="0"/>
      <w:marBottom w:val="0"/>
      <w:divBdr>
        <w:top w:val="none" w:sz="0" w:space="0" w:color="auto"/>
        <w:left w:val="none" w:sz="0" w:space="0" w:color="auto"/>
        <w:bottom w:val="none" w:sz="0" w:space="0" w:color="auto"/>
        <w:right w:val="none" w:sz="0" w:space="0" w:color="auto"/>
      </w:divBdr>
    </w:div>
    <w:div w:id="96606542">
      <w:bodyDiv w:val="1"/>
      <w:marLeft w:val="0"/>
      <w:marRight w:val="0"/>
      <w:marTop w:val="0"/>
      <w:marBottom w:val="0"/>
      <w:divBdr>
        <w:top w:val="none" w:sz="0" w:space="0" w:color="auto"/>
        <w:left w:val="none" w:sz="0" w:space="0" w:color="auto"/>
        <w:bottom w:val="none" w:sz="0" w:space="0" w:color="auto"/>
        <w:right w:val="none" w:sz="0" w:space="0" w:color="auto"/>
      </w:divBdr>
    </w:div>
    <w:div w:id="385106273">
      <w:bodyDiv w:val="1"/>
      <w:marLeft w:val="0"/>
      <w:marRight w:val="0"/>
      <w:marTop w:val="0"/>
      <w:marBottom w:val="0"/>
      <w:divBdr>
        <w:top w:val="none" w:sz="0" w:space="0" w:color="auto"/>
        <w:left w:val="none" w:sz="0" w:space="0" w:color="auto"/>
        <w:bottom w:val="none" w:sz="0" w:space="0" w:color="auto"/>
        <w:right w:val="none" w:sz="0" w:space="0" w:color="auto"/>
      </w:divBdr>
    </w:div>
    <w:div w:id="405227420">
      <w:bodyDiv w:val="1"/>
      <w:marLeft w:val="0"/>
      <w:marRight w:val="0"/>
      <w:marTop w:val="0"/>
      <w:marBottom w:val="0"/>
      <w:divBdr>
        <w:top w:val="none" w:sz="0" w:space="0" w:color="auto"/>
        <w:left w:val="none" w:sz="0" w:space="0" w:color="auto"/>
        <w:bottom w:val="none" w:sz="0" w:space="0" w:color="auto"/>
        <w:right w:val="none" w:sz="0" w:space="0" w:color="auto"/>
      </w:divBdr>
    </w:div>
    <w:div w:id="416025882">
      <w:bodyDiv w:val="1"/>
      <w:marLeft w:val="0"/>
      <w:marRight w:val="0"/>
      <w:marTop w:val="0"/>
      <w:marBottom w:val="0"/>
      <w:divBdr>
        <w:top w:val="none" w:sz="0" w:space="0" w:color="auto"/>
        <w:left w:val="none" w:sz="0" w:space="0" w:color="auto"/>
        <w:bottom w:val="none" w:sz="0" w:space="0" w:color="auto"/>
        <w:right w:val="none" w:sz="0" w:space="0" w:color="auto"/>
      </w:divBdr>
    </w:div>
    <w:div w:id="490872222">
      <w:bodyDiv w:val="1"/>
      <w:marLeft w:val="0"/>
      <w:marRight w:val="0"/>
      <w:marTop w:val="0"/>
      <w:marBottom w:val="0"/>
      <w:divBdr>
        <w:top w:val="none" w:sz="0" w:space="0" w:color="auto"/>
        <w:left w:val="none" w:sz="0" w:space="0" w:color="auto"/>
        <w:bottom w:val="none" w:sz="0" w:space="0" w:color="auto"/>
        <w:right w:val="none" w:sz="0" w:space="0" w:color="auto"/>
      </w:divBdr>
    </w:div>
    <w:div w:id="646982477">
      <w:bodyDiv w:val="1"/>
      <w:marLeft w:val="0"/>
      <w:marRight w:val="0"/>
      <w:marTop w:val="0"/>
      <w:marBottom w:val="0"/>
      <w:divBdr>
        <w:top w:val="none" w:sz="0" w:space="0" w:color="auto"/>
        <w:left w:val="none" w:sz="0" w:space="0" w:color="auto"/>
        <w:bottom w:val="none" w:sz="0" w:space="0" w:color="auto"/>
        <w:right w:val="none" w:sz="0" w:space="0" w:color="auto"/>
      </w:divBdr>
    </w:div>
    <w:div w:id="650523768">
      <w:bodyDiv w:val="1"/>
      <w:marLeft w:val="0"/>
      <w:marRight w:val="0"/>
      <w:marTop w:val="0"/>
      <w:marBottom w:val="0"/>
      <w:divBdr>
        <w:top w:val="none" w:sz="0" w:space="0" w:color="auto"/>
        <w:left w:val="none" w:sz="0" w:space="0" w:color="auto"/>
        <w:bottom w:val="none" w:sz="0" w:space="0" w:color="auto"/>
        <w:right w:val="none" w:sz="0" w:space="0" w:color="auto"/>
      </w:divBdr>
    </w:div>
    <w:div w:id="803356422">
      <w:bodyDiv w:val="1"/>
      <w:marLeft w:val="0"/>
      <w:marRight w:val="0"/>
      <w:marTop w:val="0"/>
      <w:marBottom w:val="0"/>
      <w:divBdr>
        <w:top w:val="none" w:sz="0" w:space="0" w:color="auto"/>
        <w:left w:val="none" w:sz="0" w:space="0" w:color="auto"/>
        <w:bottom w:val="none" w:sz="0" w:space="0" w:color="auto"/>
        <w:right w:val="none" w:sz="0" w:space="0" w:color="auto"/>
      </w:divBdr>
    </w:div>
    <w:div w:id="1145388413">
      <w:bodyDiv w:val="1"/>
      <w:marLeft w:val="0"/>
      <w:marRight w:val="0"/>
      <w:marTop w:val="0"/>
      <w:marBottom w:val="0"/>
      <w:divBdr>
        <w:top w:val="none" w:sz="0" w:space="0" w:color="auto"/>
        <w:left w:val="none" w:sz="0" w:space="0" w:color="auto"/>
        <w:bottom w:val="none" w:sz="0" w:space="0" w:color="auto"/>
        <w:right w:val="none" w:sz="0" w:space="0" w:color="auto"/>
      </w:divBdr>
    </w:div>
    <w:div w:id="1483278561">
      <w:bodyDiv w:val="1"/>
      <w:marLeft w:val="0"/>
      <w:marRight w:val="0"/>
      <w:marTop w:val="0"/>
      <w:marBottom w:val="0"/>
      <w:divBdr>
        <w:top w:val="none" w:sz="0" w:space="0" w:color="auto"/>
        <w:left w:val="none" w:sz="0" w:space="0" w:color="auto"/>
        <w:bottom w:val="none" w:sz="0" w:space="0" w:color="auto"/>
        <w:right w:val="none" w:sz="0" w:space="0" w:color="auto"/>
      </w:divBdr>
    </w:div>
    <w:div w:id="1966039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3520</Words>
  <Characters>20068</Characters>
  <Application>Microsoft Office Word</Application>
  <DocSecurity>0</DocSecurity>
  <Lines>167</Lines>
  <Paragraphs>47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Atif Bokhari</cp:lastModifiedBy>
  <cp:revision>2</cp:revision>
  <dcterms:created xsi:type="dcterms:W3CDTF">2026-06-27T20:04:00Z</dcterms:created>
  <dcterms:modified xsi:type="dcterms:W3CDTF">2026-06-27T20:04:00Z</dcterms:modified>
</cp:coreProperties>
</file>