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43EDD" w14:textId="77777777" w:rsidR="0039107F" w:rsidRPr="00BF65CE" w:rsidRDefault="0039107F" w:rsidP="00BD5864">
      <w:pPr>
        <w:spacing w:after="120"/>
        <w:jc w:val="both"/>
        <w:rPr>
          <w:rFonts w:ascii="Simplified Arabic" w:hAnsi="Simplified Arabic" w:cs="Simplified Arabic"/>
          <w:rtl/>
        </w:rPr>
      </w:pPr>
      <w:r w:rsidRPr="00BF65CE">
        <w:rPr>
          <w:rFonts w:ascii="Simplified Arabic" w:hAnsi="Simplified Arabic" w:cs="Simplified Arabic"/>
          <w:b/>
          <w:noProof/>
          <w:sz w:val="28"/>
          <w:szCs w:val="28"/>
        </w:rPr>
        <w:drawing>
          <wp:anchor distT="0" distB="0" distL="114300" distR="114300" simplePos="0" relativeHeight="251659264" behindDoc="0" locked="0" layoutInCell="1" allowOverlap="1" wp14:anchorId="2F3F90E4" wp14:editId="34A65006">
            <wp:simplePos x="0" y="0"/>
            <wp:positionH relativeFrom="margin">
              <wp:posOffset>1791970</wp:posOffset>
            </wp:positionH>
            <wp:positionV relativeFrom="margin">
              <wp:posOffset>453390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181C89D1" w14:textId="77777777" w:rsidR="0039107F" w:rsidRPr="00BF65CE" w:rsidRDefault="0039107F" w:rsidP="00BD5864">
      <w:pPr>
        <w:spacing w:after="120"/>
        <w:jc w:val="both"/>
        <w:rPr>
          <w:rFonts w:ascii="Simplified Arabic" w:hAnsi="Simplified Arabic" w:cs="Simplified Arabic"/>
          <w:rtl/>
        </w:rPr>
      </w:pPr>
    </w:p>
    <w:p w14:paraId="19DFCF20" w14:textId="77777777" w:rsidR="0039107F" w:rsidRPr="00BF65CE" w:rsidRDefault="0039107F" w:rsidP="00BD5864">
      <w:pPr>
        <w:spacing w:after="120"/>
        <w:jc w:val="both"/>
        <w:rPr>
          <w:rFonts w:ascii="Simplified Arabic" w:hAnsi="Simplified Arabic" w:cs="Simplified Arabic"/>
          <w:rtl/>
        </w:rPr>
      </w:pPr>
    </w:p>
    <w:p w14:paraId="3A19BAF1" w14:textId="77777777" w:rsidR="0039107F" w:rsidRPr="00BF65CE" w:rsidRDefault="0039107F" w:rsidP="00BD5864">
      <w:pPr>
        <w:spacing w:after="120"/>
        <w:jc w:val="both"/>
        <w:rPr>
          <w:rFonts w:ascii="Simplified Arabic" w:hAnsi="Simplified Arabic" w:cs="Simplified Arabic"/>
        </w:rPr>
      </w:pPr>
    </w:p>
    <w:p w14:paraId="082591DC" w14:textId="77777777" w:rsidR="0039107F" w:rsidRPr="00BF65CE" w:rsidRDefault="0039107F" w:rsidP="00BD5864">
      <w:pPr>
        <w:spacing w:after="6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جامعة ميدأوشن</w:t>
      </w:r>
    </w:p>
    <w:p w14:paraId="24596463" w14:textId="77777777" w:rsidR="0039107F" w:rsidRPr="00BF65CE" w:rsidRDefault="0039107F" w:rsidP="00BD5864">
      <w:pPr>
        <w:spacing w:after="360" w:line="320" w:lineRule="auto"/>
        <w:jc w:val="center"/>
        <w:rPr>
          <w:rFonts w:ascii="Simplified Arabic" w:hAnsi="Simplified Arabic" w:cs="Simplified Arabic"/>
        </w:rPr>
      </w:pPr>
      <w:r w:rsidRPr="00BF65CE">
        <w:rPr>
          <w:rFonts w:ascii="Simplified Arabic" w:hAnsi="Simplified Arabic" w:cs="Simplified Arabic"/>
          <w:b/>
          <w:bCs/>
          <w:rtl/>
        </w:rPr>
        <w:t>كلية الإدارة</w:t>
      </w:r>
    </w:p>
    <w:p w14:paraId="146CFE0A" w14:textId="77777777" w:rsidR="0039107F" w:rsidRPr="00BF65CE" w:rsidRDefault="00364DF1" w:rsidP="00BD5864">
      <w:pPr>
        <w:spacing w:after="420" w:line="320" w:lineRule="auto"/>
        <w:jc w:val="center"/>
        <w:rPr>
          <w:rFonts w:ascii="Simplified Arabic" w:hAnsi="Simplified Arabic" w:cs="Simplified Arabic"/>
          <w:szCs w:val="36"/>
        </w:rPr>
      </w:pPr>
      <w:r>
        <w:rPr>
          <w:rFonts w:ascii="Simplified Arabic" w:hAnsi="Simplified Arabic" w:cs="Simplified Arabic" w:hint="cs"/>
          <w:b/>
          <w:bCs/>
          <w:sz w:val="36"/>
          <w:szCs w:val="36"/>
          <w:rtl/>
        </w:rPr>
        <w:t>أثر التحول الصحي في المملكة العربية السعودية على بيئة العمل النفسية المستدامة  ودور رفاهية الموظفين في تقليل الاحتراق الوظيفي: دراسة ميدانية في القطاع الصحي الحكومي في مدينة الرياض.</w:t>
      </w:r>
    </w:p>
    <w:p w14:paraId="345A7178" w14:textId="77777777" w:rsidR="0039107F" w:rsidRPr="00BF65CE" w:rsidRDefault="0039107F" w:rsidP="00BD5864">
      <w:pPr>
        <w:spacing w:after="8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إعداد</w:t>
      </w:r>
    </w:p>
    <w:p w14:paraId="0CBFC60A" w14:textId="77777777" w:rsidR="0039107F" w:rsidRPr="00E03D52" w:rsidRDefault="0039107F" w:rsidP="00B23659">
      <w:pPr>
        <w:jc w:val="center"/>
        <w:rPr>
          <w:rFonts w:ascii="Simplified Arabic" w:hAnsi="Simplified Arabic" w:cs="Simplified Arabic"/>
          <w:b/>
          <w:bCs/>
          <w:sz w:val="28"/>
          <w:szCs w:val="28"/>
        </w:rPr>
      </w:pPr>
      <w:r w:rsidRPr="00E03D52">
        <w:rPr>
          <w:rFonts w:ascii="Simplified Arabic" w:hAnsi="Simplified Arabic" w:cs="Simplified Arabic"/>
          <w:b/>
          <w:bCs/>
          <w:sz w:val="28"/>
          <w:szCs w:val="28"/>
          <w:rtl/>
        </w:rPr>
        <w:t>رنا السعود</w:t>
      </w:r>
    </w:p>
    <w:p w14:paraId="341D1F03" w14:textId="7A8DB798" w:rsidR="0039107F" w:rsidRPr="003D7D69" w:rsidRDefault="003D7D69" w:rsidP="00BD5864">
      <w:pPr>
        <w:spacing w:after="360" w:line="320" w:lineRule="auto"/>
        <w:jc w:val="center"/>
        <w:rPr>
          <w:rFonts w:ascii="Simplified Arabic" w:hAnsi="Simplified Arabic" w:cs="Simplified Arabic"/>
          <w:b/>
          <w:bCs/>
        </w:rPr>
      </w:pPr>
      <w:r w:rsidRPr="003D7D69">
        <w:rPr>
          <w:rFonts w:ascii="Simplified Arabic" w:hAnsi="Simplified Arabic" w:cs="Simplified Arabic"/>
          <w:b/>
          <w:bCs/>
          <w:rtl/>
        </w:rPr>
        <w:t xml:space="preserve">المملكة العربية السعودية </w:t>
      </w:r>
    </w:p>
    <w:p w14:paraId="5C3B8477" w14:textId="77777777" w:rsidR="0039107F" w:rsidRPr="00BF65CE" w:rsidRDefault="0039107F" w:rsidP="00BD5864">
      <w:pPr>
        <w:spacing w:after="80" w:line="320" w:lineRule="auto"/>
        <w:jc w:val="center"/>
        <w:rPr>
          <w:rFonts w:ascii="Simplified Arabic" w:hAnsi="Simplified Arabic" w:cs="Simplified Arabic"/>
        </w:rPr>
      </w:pPr>
      <w:r w:rsidRPr="00BF65CE">
        <w:rPr>
          <w:rFonts w:ascii="Simplified Arabic" w:hAnsi="Simplified Arabic" w:cs="Simplified Arabic"/>
          <w:b/>
          <w:bCs/>
          <w:rtl/>
        </w:rPr>
        <w:t xml:space="preserve">رسالة مقدمة لجامعة ميدأوشن استكمالاً لمتطلبات نيل درجة الدكتوراه </w:t>
      </w:r>
    </w:p>
    <w:p w14:paraId="7255A2EB" w14:textId="77777777" w:rsidR="0039107F" w:rsidRPr="00BF65CE" w:rsidRDefault="0039107F" w:rsidP="00BD5864">
      <w:pPr>
        <w:spacing w:after="40" w:line="320" w:lineRule="auto"/>
        <w:jc w:val="center"/>
        <w:rPr>
          <w:rFonts w:ascii="Simplified Arabic" w:hAnsi="Simplified Arabic" w:cs="Simplified Arabic"/>
        </w:rPr>
      </w:pPr>
      <w:r w:rsidRPr="00BF65CE">
        <w:rPr>
          <w:rFonts w:ascii="Simplified Arabic" w:hAnsi="Simplified Arabic" w:cs="Simplified Arabic"/>
          <w:b/>
          <w:bCs/>
          <w:rtl/>
        </w:rPr>
        <w:t>في</w:t>
      </w:r>
    </w:p>
    <w:p w14:paraId="5A57FB78" w14:textId="77777777" w:rsidR="0039107F" w:rsidRPr="00BF65CE" w:rsidRDefault="0039107F" w:rsidP="00BD5864">
      <w:pPr>
        <w:spacing w:after="420" w:line="320" w:lineRule="auto"/>
        <w:jc w:val="center"/>
        <w:rPr>
          <w:rFonts w:ascii="Simplified Arabic" w:hAnsi="Simplified Arabic" w:cs="Simplified Arabic"/>
        </w:rPr>
      </w:pPr>
      <w:r w:rsidRPr="00BF65CE">
        <w:rPr>
          <w:rFonts w:ascii="Simplified Arabic" w:hAnsi="Simplified Arabic" w:cs="Simplified Arabic"/>
          <w:b/>
          <w:bCs/>
          <w:rtl/>
        </w:rPr>
        <w:t>تخصص الإدارة والموارد البشرية</w:t>
      </w:r>
    </w:p>
    <w:p w14:paraId="7C570C39" w14:textId="77777777" w:rsidR="0039107F" w:rsidRPr="00BF65CE" w:rsidRDefault="0039107F" w:rsidP="00BD5864">
      <w:pPr>
        <w:spacing w:after="120" w:line="320" w:lineRule="auto"/>
        <w:jc w:val="center"/>
        <w:rPr>
          <w:rFonts w:ascii="Simplified Arabic" w:hAnsi="Simplified Arabic" w:cs="Simplified Arabic"/>
        </w:rPr>
      </w:pPr>
      <w:r w:rsidRPr="00BF65CE">
        <w:rPr>
          <w:rFonts w:ascii="Simplified Arabic" w:hAnsi="Simplified Arabic" w:cs="Simplified Arabic"/>
          <w:b/>
          <w:bCs/>
          <w:rtl/>
        </w:rPr>
        <w:t>1446 هـ - 2025 م</w:t>
      </w:r>
    </w:p>
    <w:p w14:paraId="327CDA8C" w14:textId="77777777" w:rsidR="0073679F" w:rsidRDefault="0073679F" w:rsidP="0039107F">
      <w:pPr>
        <w:rPr>
          <w:rFonts w:ascii="Simplified Arabic" w:hAnsi="Simplified Arabic" w:cs="Simplified Arabic"/>
          <w:rtl/>
        </w:rPr>
      </w:pPr>
    </w:p>
    <w:p w14:paraId="7AD8FFA7" w14:textId="77777777" w:rsidR="0073679F" w:rsidRDefault="0073679F">
      <w:pPr>
        <w:bidi w:val="0"/>
        <w:rPr>
          <w:rFonts w:ascii="Simplified Arabic" w:hAnsi="Simplified Arabic" w:cs="Simplified Arabic"/>
          <w:rtl/>
        </w:rPr>
      </w:pPr>
      <w:r>
        <w:rPr>
          <w:rFonts w:ascii="Simplified Arabic" w:hAnsi="Simplified Arabic" w:cs="Simplified Arabic"/>
          <w:rtl/>
        </w:rPr>
        <w:br w:type="page"/>
      </w:r>
    </w:p>
    <w:p w14:paraId="71D49EDA" w14:textId="77777777" w:rsidR="0073679F" w:rsidRPr="00BF65CE" w:rsidRDefault="0073679F" w:rsidP="00BD5864">
      <w:pPr>
        <w:spacing w:after="120"/>
        <w:jc w:val="center"/>
        <w:rPr>
          <w:rFonts w:ascii="Simplified Arabic" w:hAnsi="Simplified Arabic" w:cs="Simplified Arabic"/>
          <w:rtl/>
        </w:rPr>
      </w:pPr>
      <w:r>
        <w:rPr>
          <w:noProof/>
        </w:rPr>
        <w:lastRenderedPageBreak/>
        <w:drawing>
          <wp:inline distT="0" distB="0" distL="0" distR="0" wp14:anchorId="7D29E090" wp14:editId="4A98FA82">
            <wp:extent cx="2057400" cy="90308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2057400" cy="903083"/>
                    </a:xfrm>
                    <a:prstGeom prst="rect">
                      <a:avLst/>
                    </a:prstGeom>
                  </pic:spPr>
                </pic:pic>
              </a:graphicData>
            </a:graphic>
          </wp:inline>
        </w:drawing>
      </w:r>
    </w:p>
    <w:p w14:paraId="04DF14B3" w14:textId="77777777" w:rsidR="0073679F" w:rsidRPr="00BF65CE" w:rsidRDefault="0073679F" w:rsidP="00BD5864">
      <w:pPr>
        <w:spacing w:after="120"/>
        <w:jc w:val="center"/>
        <w:rPr>
          <w:rFonts w:ascii="Simplified Arabic" w:hAnsi="Simplified Arabic" w:cs="Simplified Arabic"/>
          <w:rtl/>
        </w:rPr>
      </w:pPr>
    </w:p>
    <w:p w14:paraId="7D29C21C" w14:textId="77777777" w:rsidR="0073679F" w:rsidRPr="00BF65CE" w:rsidRDefault="0073679F" w:rsidP="00BD5864">
      <w:pPr>
        <w:spacing w:after="120"/>
        <w:jc w:val="center"/>
        <w:rPr>
          <w:rFonts w:ascii="Simplified Arabic" w:hAnsi="Simplified Arabic" w:cs="Simplified Arabic"/>
          <w:rtl/>
        </w:rPr>
      </w:pPr>
    </w:p>
    <w:p w14:paraId="46089705" w14:textId="77777777" w:rsidR="0073679F" w:rsidRPr="00BF65CE" w:rsidRDefault="0073679F" w:rsidP="00BD5864">
      <w:pPr>
        <w:spacing w:after="120"/>
        <w:jc w:val="center"/>
        <w:rPr>
          <w:rFonts w:ascii="Simplified Arabic" w:hAnsi="Simplified Arabic" w:cs="Simplified Arabic"/>
        </w:rPr>
      </w:pPr>
    </w:p>
    <w:p w14:paraId="52967567" w14:textId="77777777" w:rsidR="006A45C0" w:rsidRPr="0058381B" w:rsidRDefault="006A45C0" w:rsidP="00BD5864">
      <w:pPr>
        <w:bidi w:val="0"/>
        <w:spacing w:after="60" w:line="320" w:lineRule="auto"/>
        <w:jc w:val="center"/>
        <w:rPr>
          <w:rFonts w:asciiTheme="majorBidi" w:hAnsiTheme="majorBidi" w:cstheme="majorBidi"/>
          <w:b/>
          <w:bCs/>
          <w:szCs w:val="28"/>
          <w:rtl/>
        </w:rPr>
      </w:pPr>
    </w:p>
    <w:p w14:paraId="7122E168" w14:textId="77777777" w:rsidR="0073679F" w:rsidRPr="00E46B27" w:rsidRDefault="0073679F" w:rsidP="006A45C0">
      <w:pPr>
        <w:bidi w:val="0"/>
        <w:spacing w:after="60" w:line="320" w:lineRule="auto"/>
        <w:jc w:val="center"/>
        <w:rPr>
          <w:rFonts w:asciiTheme="majorBidi" w:hAnsiTheme="majorBidi" w:cstheme="majorBidi"/>
          <w:sz w:val="28"/>
          <w:szCs w:val="28"/>
        </w:rPr>
      </w:pPr>
      <w:r w:rsidRPr="00E46B27">
        <w:rPr>
          <w:rFonts w:asciiTheme="majorBidi" w:hAnsiTheme="majorBidi" w:cstheme="majorBidi"/>
          <w:b/>
          <w:bCs/>
          <w:sz w:val="28"/>
          <w:szCs w:val="28"/>
        </w:rPr>
        <w:t>MIDOCEAN UNIVERSITY</w:t>
      </w:r>
    </w:p>
    <w:p w14:paraId="622E4FAF" w14:textId="77777777" w:rsidR="0073679F" w:rsidRPr="0058381B" w:rsidRDefault="0073679F" w:rsidP="00BD5864">
      <w:pPr>
        <w:bidi w:val="0"/>
        <w:spacing w:after="360" w:line="320" w:lineRule="auto"/>
        <w:jc w:val="center"/>
        <w:rPr>
          <w:rFonts w:asciiTheme="majorBidi" w:hAnsiTheme="majorBidi" w:cstheme="majorBidi"/>
        </w:rPr>
      </w:pPr>
      <w:r w:rsidRPr="0058381B">
        <w:rPr>
          <w:rFonts w:asciiTheme="majorBidi" w:hAnsiTheme="majorBidi" w:cstheme="majorBidi"/>
          <w:b/>
          <w:bCs/>
        </w:rPr>
        <w:t>College of Administration</w:t>
      </w:r>
    </w:p>
    <w:p w14:paraId="25B3E4FC" w14:textId="77777777" w:rsidR="0073679F" w:rsidRPr="0058381B" w:rsidRDefault="00A3793F" w:rsidP="00BD5864">
      <w:pPr>
        <w:bidi w:val="0"/>
        <w:spacing w:after="420" w:line="320" w:lineRule="auto"/>
        <w:jc w:val="center"/>
        <w:rPr>
          <w:rFonts w:asciiTheme="majorBidi" w:hAnsiTheme="majorBidi" w:cstheme="majorBidi"/>
          <w:sz w:val="36"/>
          <w:szCs w:val="36"/>
        </w:rPr>
      </w:pPr>
      <w:r w:rsidRPr="0058381B">
        <w:rPr>
          <w:rFonts w:asciiTheme="majorBidi" w:eastAsia="Times New Roman" w:hAnsiTheme="majorBidi" w:cstheme="majorBidi"/>
          <w:b/>
          <w:bCs/>
          <w:szCs w:val="36"/>
        </w:rPr>
        <w:t>​</w:t>
      </w:r>
      <w:r w:rsidRPr="0058381B">
        <w:rPr>
          <w:rFonts w:asciiTheme="majorBidi" w:eastAsia="Times New Roman" w:hAnsiTheme="majorBidi" w:cstheme="majorBidi"/>
          <w:b/>
          <w:bCs/>
          <w:sz w:val="36"/>
          <w:szCs w:val="36"/>
        </w:rPr>
        <w:t>The Impact of Healthcare Transformation in the Kingdom of Saudi Arabia on the Sustainable Psychological Work Environment and the Role of Employee Well-being in Reducing Job Burnout: A Field Study in the Public Health Sector in Riyadh City.</w:t>
      </w:r>
    </w:p>
    <w:p w14:paraId="01646D6B" w14:textId="77777777" w:rsidR="0073679F" w:rsidRPr="00F81DBD" w:rsidRDefault="0073679F" w:rsidP="00BD5864">
      <w:pPr>
        <w:bidi w:val="0"/>
        <w:spacing w:after="80" w:line="320" w:lineRule="auto"/>
        <w:jc w:val="center"/>
        <w:rPr>
          <w:rFonts w:asciiTheme="majorBidi" w:hAnsiTheme="majorBidi" w:cstheme="majorBidi"/>
          <w:sz w:val="28"/>
          <w:szCs w:val="28"/>
        </w:rPr>
      </w:pPr>
      <w:r w:rsidRPr="00F81DBD">
        <w:rPr>
          <w:rFonts w:asciiTheme="majorBidi" w:hAnsiTheme="majorBidi" w:cstheme="majorBidi"/>
          <w:b/>
          <w:bCs/>
          <w:sz w:val="28"/>
          <w:szCs w:val="28"/>
        </w:rPr>
        <w:t>by</w:t>
      </w:r>
    </w:p>
    <w:p w14:paraId="04C65B7F" w14:textId="71AD8C43" w:rsidR="0073679F" w:rsidRPr="000404DF" w:rsidRDefault="00E03D52" w:rsidP="00BD5864">
      <w:pPr>
        <w:bidi w:val="0"/>
        <w:spacing w:after="40" w:line="320" w:lineRule="auto"/>
        <w:jc w:val="center"/>
        <w:rPr>
          <w:rFonts w:asciiTheme="majorBidi" w:hAnsiTheme="majorBidi" w:cstheme="majorBidi"/>
          <w:b/>
          <w:bCs/>
          <w:sz w:val="28"/>
          <w:szCs w:val="28"/>
        </w:rPr>
      </w:pPr>
      <w:r w:rsidRPr="000404DF">
        <w:rPr>
          <w:rFonts w:asciiTheme="majorBidi" w:hAnsiTheme="majorBidi" w:cstheme="majorBidi"/>
          <w:b/>
          <w:bCs/>
          <w:sz w:val="28"/>
          <w:szCs w:val="28"/>
        </w:rPr>
        <w:t>RANA AL-SAUD</w:t>
      </w:r>
    </w:p>
    <w:p w14:paraId="48B0BE66" w14:textId="2F019D77" w:rsidR="0073679F" w:rsidRPr="00DF5AFB" w:rsidRDefault="00DF5AFB" w:rsidP="00BD5864">
      <w:pPr>
        <w:bidi w:val="0"/>
        <w:spacing w:after="360" w:line="320" w:lineRule="auto"/>
        <w:jc w:val="center"/>
        <w:rPr>
          <w:rFonts w:asciiTheme="majorBidi" w:hAnsiTheme="majorBidi" w:cstheme="majorBidi"/>
          <w:b/>
          <w:bCs/>
        </w:rPr>
      </w:pPr>
      <w:r w:rsidRPr="00DF5AFB">
        <w:rPr>
          <w:rFonts w:asciiTheme="majorBidi" w:eastAsia="Times New Roman" w:hAnsiTheme="majorBidi" w:cstheme="majorBidi"/>
          <w:b/>
          <w:bCs/>
        </w:rPr>
        <w:t>Kingdom of Saudi Arabia</w:t>
      </w:r>
    </w:p>
    <w:p w14:paraId="3F853B4A" w14:textId="77777777" w:rsidR="0073679F" w:rsidRPr="00CC410A" w:rsidRDefault="0073679F" w:rsidP="00BD5864">
      <w:pPr>
        <w:bidi w:val="0"/>
        <w:spacing w:after="80" w:line="320" w:lineRule="auto"/>
        <w:jc w:val="center"/>
        <w:rPr>
          <w:rFonts w:asciiTheme="majorBidi" w:hAnsiTheme="majorBidi" w:cstheme="majorBidi"/>
        </w:rPr>
      </w:pPr>
      <w:r w:rsidRPr="00CC410A">
        <w:rPr>
          <w:rFonts w:asciiTheme="majorBidi" w:eastAsia="Times New Roman" w:hAnsiTheme="majorBidi" w:cstheme="majorBidi"/>
          <w:b/>
          <w:bCs/>
        </w:rPr>
        <w:t>Submitted to Midocean University in partial fulfillment of the requirements for the degree of Doctor of Philosophy</w:t>
      </w:r>
    </w:p>
    <w:p w14:paraId="75405B26" w14:textId="77777777" w:rsidR="0073679F" w:rsidRPr="00CC410A" w:rsidRDefault="0073679F" w:rsidP="00BD5864">
      <w:pPr>
        <w:bidi w:val="0"/>
        <w:spacing w:after="420" w:line="320" w:lineRule="auto"/>
        <w:jc w:val="center"/>
        <w:rPr>
          <w:rFonts w:asciiTheme="majorBidi" w:eastAsia="Times New Roman" w:hAnsiTheme="majorBidi" w:cstheme="majorBidi"/>
          <w:b/>
          <w:bCs/>
        </w:rPr>
      </w:pPr>
      <w:r w:rsidRPr="00CC410A">
        <w:rPr>
          <w:rFonts w:asciiTheme="majorBidi" w:eastAsia="Times New Roman" w:hAnsiTheme="majorBidi" w:cstheme="majorBidi"/>
          <w:b/>
          <w:bCs/>
        </w:rPr>
        <w:t xml:space="preserve">in </w:t>
      </w:r>
    </w:p>
    <w:p w14:paraId="40F5B5C5" w14:textId="77777777" w:rsidR="0073679F" w:rsidRPr="00CC410A" w:rsidRDefault="0073679F" w:rsidP="00BD5864">
      <w:pPr>
        <w:bidi w:val="0"/>
        <w:spacing w:after="420" w:line="320" w:lineRule="auto"/>
        <w:jc w:val="center"/>
        <w:rPr>
          <w:rFonts w:asciiTheme="majorBidi" w:hAnsiTheme="majorBidi" w:cstheme="majorBidi"/>
        </w:rPr>
      </w:pPr>
      <w:r w:rsidRPr="00CC410A">
        <w:rPr>
          <w:rFonts w:asciiTheme="majorBidi" w:eastAsia="Times New Roman" w:hAnsiTheme="majorBidi" w:cstheme="majorBidi"/>
          <w:b/>
          <w:bCs/>
        </w:rPr>
        <w:t>ADMINISTRATION AND HUMAN RESOURCES</w:t>
      </w:r>
    </w:p>
    <w:p w14:paraId="2D4B0EE0" w14:textId="77777777" w:rsidR="009A7209" w:rsidRPr="00CC410A" w:rsidRDefault="0073679F" w:rsidP="00EF6E6A">
      <w:pPr>
        <w:bidi w:val="0"/>
        <w:spacing w:after="120" w:line="320" w:lineRule="auto"/>
        <w:jc w:val="center"/>
        <w:rPr>
          <w:rFonts w:asciiTheme="majorBidi" w:hAnsiTheme="majorBidi" w:cstheme="majorBidi"/>
          <w:rtl/>
        </w:rPr>
      </w:pPr>
      <w:r w:rsidRPr="00CC410A">
        <w:rPr>
          <w:rFonts w:asciiTheme="majorBidi" w:eastAsia="Times New Roman" w:hAnsiTheme="majorBidi" w:cstheme="majorBidi"/>
          <w:b/>
          <w:bCs/>
        </w:rPr>
        <w:t>2025</w:t>
      </w:r>
    </w:p>
    <w:p w14:paraId="338665B7" w14:textId="77777777" w:rsidR="009A7209" w:rsidRDefault="009A7209">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45F8FC1D" w14:textId="77777777" w:rsidR="00B01EA5" w:rsidRDefault="00B01EA5" w:rsidP="00891197">
      <w:pPr>
        <w:pStyle w:val="2"/>
        <w:rPr>
          <w:b w:val="0"/>
          <w:bCs/>
          <w:rtl/>
        </w:rPr>
        <w:sectPr w:rsidR="00B01EA5" w:rsidSect="00AF3C0E">
          <w:pgSz w:w="11906" w:h="16838"/>
          <w:pgMar w:top="1440" w:right="1440" w:bottom="1440" w:left="1440" w:header="708" w:footer="708" w:gutter="0"/>
          <w:cols w:space="708"/>
          <w:bidi/>
          <w:rtlGutter/>
          <w:docGrid w:linePitch="360"/>
        </w:sectPr>
      </w:pPr>
    </w:p>
    <w:p w14:paraId="7BECCE2E" w14:textId="77777777" w:rsidR="00060738" w:rsidRPr="00891197" w:rsidRDefault="00BA0C8A" w:rsidP="00891197">
      <w:pPr>
        <w:pStyle w:val="2"/>
        <w:rPr>
          <w:b w:val="0"/>
          <w:bCs/>
          <w:rtl/>
        </w:rPr>
      </w:pPr>
      <w:bookmarkStart w:id="0" w:name="_Toc235119010"/>
      <w:r w:rsidRPr="00891197">
        <w:rPr>
          <w:rFonts w:hint="cs"/>
          <w:b w:val="0"/>
          <w:bCs/>
          <w:rtl/>
        </w:rPr>
        <w:lastRenderedPageBreak/>
        <w:t>الآية القرآنية</w:t>
      </w:r>
      <w:bookmarkEnd w:id="0"/>
      <w:r w:rsidRPr="00891197">
        <w:rPr>
          <w:rFonts w:hint="cs"/>
          <w:b w:val="0"/>
          <w:bCs/>
          <w:rtl/>
        </w:rPr>
        <w:t xml:space="preserve"> </w:t>
      </w:r>
    </w:p>
    <w:p w14:paraId="46AEBF42" w14:textId="77777777" w:rsidR="00BA0C8A" w:rsidRPr="00EE2A45" w:rsidRDefault="00BA0C8A" w:rsidP="00EE2A45">
      <w:pPr>
        <w:spacing w:line="240" w:lineRule="auto"/>
        <w:jc w:val="center"/>
        <w:rPr>
          <w:rFonts w:ascii="Simplified Arabic" w:hAnsi="Simplified Arabic" w:cs="Simplified Arabic"/>
          <w:sz w:val="52"/>
          <w:szCs w:val="52"/>
          <w:rtl/>
        </w:rPr>
      </w:pPr>
    </w:p>
    <w:p w14:paraId="38EC2D41" w14:textId="77777777" w:rsidR="000A07DC" w:rsidRPr="00EE2A45" w:rsidRDefault="00756BB8" w:rsidP="00EE2A45">
      <w:pPr>
        <w:spacing w:line="240" w:lineRule="auto"/>
        <w:jc w:val="center"/>
        <w:rPr>
          <w:rFonts w:ascii="Simplified Arabic" w:hAnsi="Simplified Arabic" w:cs="Simplified Arabic"/>
          <w:sz w:val="52"/>
          <w:szCs w:val="52"/>
          <w:rtl/>
        </w:rPr>
      </w:pPr>
      <w:r w:rsidRPr="00EE2A45">
        <w:rPr>
          <w:rFonts w:ascii="Arial" w:eastAsia="Times New Roman" w:hAnsi="Arial" w:cs="Arial"/>
          <w:color w:val="545454"/>
          <w:sz w:val="52"/>
          <w:szCs w:val="52"/>
          <w:shd w:val="clear" w:color="auto" w:fill="FFFFFF"/>
          <w:rtl/>
        </w:rPr>
        <w:t>﷽</w:t>
      </w:r>
    </w:p>
    <w:p w14:paraId="5790EE21" w14:textId="77777777" w:rsidR="000A07DC" w:rsidRPr="009C14D7" w:rsidRDefault="000A07DC" w:rsidP="00EE2A45">
      <w:pPr>
        <w:jc w:val="center"/>
        <w:rPr>
          <w:b/>
          <w:bCs/>
          <w:sz w:val="44"/>
          <w:szCs w:val="44"/>
        </w:rPr>
      </w:pPr>
    </w:p>
    <w:p w14:paraId="6E0C47D2" w14:textId="77777777" w:rsidR="004B464B" w:rsidRPr="009C14D7" w:rsidRDefault="00905E51" w:rsidP="009631F6">
      <w:pPr>
        <w:spacing w:line="240" w:lineRule="auto"/>
        <w:jc w:val="both"/>
        <w:rPr>
          <w:rFonts w:ascii="Arial" w:eastAsia="Times New Roman" w:hAnsi="Arial" w:cs="Arial"/>
          <w:color w:val="545454"/>
          <w:sz w:val="44"/>
          <w:szCs w:val="44"/>
          <w:shd w:val="clear" w:color="auto" w:fill="FFFFFF"/>
          <w:rtl/>
        </w:rPr>
      </w:pPr>
      <w:r w:rsidRPr="009C14D7">
        <w:rPr>
          <w:rFonts w:ascii="Arial" w:eastAsia="Times New Roman" w:hAnsi="Arial" w:cs="Arial"/>
          <w:color w:val="545454"/>
          <w:sz w:val="44"/>
          <w:szCs w:val="44"/>
          <w:shd w:val="clear" w:color="auto" w:fill="FFFFFF"/>
        </w:rPr>
        <w:t>﴿</w:t>
      </w:r>
      <w:r w:rsidR="004B464B" w:rsidRPr="009C14D7">
        <w:rPr>
          <w:rFonts w:ascii="Arial" w:eastAsia="Times New Roman" w:hAnsi="Arial" w:cs="Arial"/>
          <w:color w:val="545454"/>
          <w:sz w:val="44"/>
          <w:szCs w:val="44"/>
          <w:shd w:val="clear" w:color="auto" w:fill="FFFFFF"/>
          <w:rtl/>
        </w:rPr>
        <w:t>وَهُوَ الَّذِي أَنزَلَ مِنَ السَّمَاءِ مَاءً فَأَخْرَجْنَا بِهِ نَبَاتَ كُلِّ شَيْءٍ فَأَخْرَجْنَا مِنْهُ خَضِرًا نُّخْرِجُ مِنْهُ حَبًّا مُّتَرَاكِبًا وَمِنَ النَّخْلِ مِن طَلْعِهَا قِنْوَانٌ دَانِيَةٌ وَجَنَّاتٍ مِّنْ أَعْنَابٍ وَالزَّيْتُونَ وَالرُّمَّانَ مُشْتَبِهًا وَغَيْرَ مُتَشَابِهٍ انظُرُوا إِلَى ثَمَرِهِ إِذَا أَثْمَرَ وَيَنْعِهِ إِنَّ فِي ذَلِكُمْ لَآيَاتٍ لِّقَوْمٍ يُؤْمِنُونَ (٩٩)</w:t>
      </w:r>
      <w:r w:rsidR="009C14D7" w:rsidRPr="009C14D7">
        <w:rPr>
          <w:rFonts w:ascii="Arial" w:eastAsia="Times New Roman" w:hAnsi="Arial" w:cs="Arial"/>
          <w:color w:val="545454"/>
          <w:sz w:val="44"/>
          <w:szCs w:val="44"/>
          <w:shd w:val="clear" w:color="auto" w:fill="FFFFFF"/>
        </w:rPr>
        <w:t xml:space="preserve"> ﴾</w:t>
      </w:r>
    </w:p>
    <w:p w14:paraId="682C2957" w14:textId="77777777" w:rsidR="004B464B" w:rsidRPr="004B464B" w:rsidRDefault="004B464B" w:rsidP="004B464B">
      <w:pPr>
        <w:rPr>
          <w:rFonts w:cs="Arial"/>
          <w:b/>
          <w:bCs/>
          <w:sz w:val="36"/>
          <w:szCs w:val="36"/>
          <w:rtl/>
        </w:rPr>
      </w:pPr>
    </w:p>
    <w:p w14:paraId="013AD796" w14:textId="77777777" w:rsidR="000A07DC" w:rsidRPr="003A673B" w:rsidRDefault="004B464B" w:rsidP="00263B4E">
      <w:pPr>
        <w:jc w:val="right"/>
        <w:rPr>
          <w:b/>
          <w:bCs/>
          <w:sz w:val="36"/>
          <w:szCs w:val="36"/>
        </w:rPr>
      </w:pPr>
      <w:r w:rsidRPr="004B464B">
        <w:rPr>
          <w:rFonts w:cs="Arial"/>
          <w:b/>
          <w:bCs/>
          <w:sz w:val="36"/>
          <w:szCs w:val="36"/>
          <w:rtl/>
        </w:rPr>
        <w:t xml:space="preserve"> سورة  الأنعام</w:t>
      </w:r>
    </w:p>
    <w:p w14:paraId="496D34F6" w14:textId="77777777" w:rsidR="000A07DC" w:rsidRPr="00BA0C8A" w:rsidRDefault="000A07DC" w:rsidP="00E17564">
      <w:pPr>
        <w:spacing w:line="240" w:lineRule="auto"/>
        <w:jc w:val="both"/>
        <w:rPr>
          <w:rFonts w:ascii="Simplified Arabic" w:hAnsi="Simplified Arabic" w:cs="Simplified Arabic"/>
          <w:sz w:val="28"/>
          <w:szCs w:val="28"/>
          <w:rtl/>
        </w:rPr>
      </w:pPr>
    </w:p>
    <w:p w14:paraId="7D95A64B" w14:textId="77777777" w:rsidR="00060738" w:rsidRDefault="00060738">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71198A3F" w14:textId="77777777" w:rsidR="00BA0C8A" w:rsidRPr="00891197" w:rsidRDefault="00BA0C8A" w:rsidP="00891197">
      <w:pPr>
        <w:pStyle w:val="2"/>
        <w:rPr>
          <w:b w:val="0"/>
          <w:bCs/>
          <w:rtl/>
        </w:rPr>
      </w:pPr>
      <w:bookmarkStart w:id="1" w:name="_Toc235119011"/>
      <w:r w:rsidRPr="00891197">
        <w:rPr>
          <w:rFonts w:hint="cs"/>
          <w:b w:val="0"/>
          <w:bCs/>
          <w:rtl/>
        </w:rPr>
        <w:lastRenderedPageBreak/>
        <w:t>الإهداء</w:t>
      </w:r>
      <w:bookmarkEnd w:id="1"/>
      <w:r w:rsidRPr="00891197">
        <w:rPr>
          <w:rFonts w:hint="cs"/>
          <w:b w:val="0"/>
          <w:bCs/>
          <w:rtl/>
        </w:rPr>
        <w:t xml:space="preserve"> </w:t>
      </w:r>
    </w:p>
    <w:p w14:paraId="7BD98E97" w14:textId="77777777" w:rsidR="00862E10" w:rsidRDefault="007E7D59"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w:t>
      </w:r>
    </w:p>
    <w:p w14:paraId="644032DC"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من أحمل اسمهم بكل فخر، إلى من غرسوا في نفسي حب العلم والتميز... والدي العزيزين، حفظهما الله وأطال في عمرهما.</w:t>
      </w:r>
    </w:p>
    <w:p w14:paraId="0DEC1371"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الذين شاركوني لحظات التعب والفرح، وسندوا خطوتي كلما تعثرت... إخوتي وأخواتي.</w:t>
      </w:r>
    </w:p>
    <w:p w14:paraId="34B290A5"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رفقاء الدرب والخطوات الصعبة، من كانوا لي عوناً وملجأً... أصدقائي الأوفياء.</w:t>
      </w:r>
    </w:p>
    <w:p w14:paraId="4163E56E"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كل من أضاء بعلمه عقلي، أو ترك أثراً طيباً في مسيرتي الجامعية.</w:t>
      </w:r>
    </w:p>
    <w:p w14:paraId="30657E7C"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​أهديكم هذا الجهد المتواضع، ثمرة لسنوات من السعي والأمل.</w:t>
      </w:r>
    </w:p>
    <w:p w14:paraId="40B22680" w14:textId="77777777" w:rsidR="00890898" w:rsidRPr="00BA0C8A" w:rsidRDefault="00890898" w:rsidP="00E17564">
      <w:pPr>
        <w:spacing w:line="240" w:lineRule="auto"/>
        <w:jc w:val="both"/>
        <w:rPr>
          <w:rFonts w:ascii="Simplified Arabic" w:hAnsi="Simplified Arabic" w:cs="Simplified Arabic"/>
          <w:sz w:val="32"/>
          <w:szCs w:val="32"/>
          <w:rtl/>
        </w:rPr>
      </w:pPr>
    </w:p>
    <w:p w14:paraId="0D7BD2F8" w14:textId="77777777" w:rsidR="00BA0C8A" w:rsidRDefault="00BA0C8A">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62593F18" w14:textId="77777777" w:rsidR="00E41967" w:rsidRPr="00891197" w:rsidRDefault="00BA0C8A" w:rsidP="00891197">
      <w:pPr>
        <w:pStyle w:val="2"/>
        <w:rPr>
          <w:b w:val="0"/>
          <w:bCs/>
          <w:rtl/>
        </w:rPr>
      </w:pPr>
      <w:bookmarkStart w:id="2" w:name="_Toc235119012"/>
      <w:r w:rsidRPr="00891197">
        <w:rPr>
          <w:rFonts w:hint="cs"/>
          <w:b w:val="0"/>
          <w:bCs/>
          <w:rtl/>
        </w:rPr>
        <w:lastRenderedPageBreak/>
        <w:t>الشكر والتقدير</w:t>
      </w:r>
      <w:bookmarkEnd w:id="2"/>
      <w:r w:rsidRPr="00891197">
        <w:rPr>
          <w:rFonts w:hint="cs"/>
          <w:b w:val="0"/>
          <w:bCs/>
          <w:rtl/>
        </w:rPr>
        <w:t xml:space="preserve"> </w:t>
      </w:r>
    </w:p>
    <w:p w14:paraId="14D6751B"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الحمد لله رب العالمين الذي بنعمته تتم الصالحات، وبتوفيقه تُذلل العقبات، والصلاة والسلام على معلم البشرية الخير، محمد وعلى آله وصحبه أجمعين.</w:t>
      </w:r>
    </w:p>
    <w:p w14:paraId="02574A2E"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​أما بعد،،</w:t>
      </w:r>
    </w:p>
    <w:p w14:paraId="69C5711E"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يطيب لي وأنا أختم </w:t>
      </w:r>
      <w:r w:rsidR="00675EE4">
        <w:rPr>
          <w:rFonts w:ascii="Simplified Arabic" w:hAnsi="Simplified Arabic" w:cs="Simplified Arabic" w:hint="cs"/>
          <w:sz w:val="32"/>
          <w:szCs w:val="32"/>
          <w:rtl/>
        </w:rPr>
        <w:t>هذه الدراسة</w:t>
      </w:r>
      <w:r>
        <w:rPr>
          <w:rFonts w:ascii="Simplified Arabic" w:hAnsi="Simplified Arabic" w:cs="Simplified Arabic" w:hint="cs"/>
          <w:sz w:val="32"/>
          <w:szCs w:val="32"/>
          <w:rtl/>
        </w:rPr>
        <w:t xml:space="preserve">، أن أتقدم ببالغ الشكر وعظيم الامتنان إلى </w:t>
      </w:r>
      <w:r w:rsidR="005370DB">
        <w:rPr>
          <w:rFonts w:ascii="Simplified Arabic" w:hAnsi="Simplified Arabic" w:cs="Simplified Arabic" w:hint="cs"/>
          <w:sz w:val="32"/>
          <w:szCs w:val="32"/>
          <w:rtl/>
        </w:rPr>
        <w:t xml:space="preserve">جامعة ميدأوشن </w:t>
      </w:r>
      <w:r>
        <w:rPr>
          <w:rFonts w:ascii="Simplified Arabic" w:hAnsi="Simplified Arabic" w:cs="Simplified Arabic" w:hint="cs"/>
          <w:sz w:val="32"/>
          <w:szCs w:val="32"/>
          <w:rtl/>
        </w:rPr>
        <w:t xml:space="preserve">وإلى كلية </w:t>
      </w:r>
      <w:r w:rsidR="005370DB">
        <w:rPr>
          <w:rFonts w:ascii="Simplified Arabic" w:hAnsi="Simplified Arabic" w:cs="Simplified Arabic" w:hint="cs"/>
          <w:sz w:val="32"/>
          <w:szCs w:val="32"/>
          <w:rtl/>
        </w:rPr>
        <w:t>الإدارة</w:t>
      </w:r>
      <w:r>
        <w:rPr>
          <w:rFonts w:ascii="Simplified Arabic" w:hAnsi="Simplified Arabic" w:cs="Simplified Arabic" w:hint="cs"/>
          <w:sz w:val="32"/>
          <w:szCs w:val="32"/>
          <w:rtl/>
        </w:rPr>
        <w:t>، لِما وفرته لنا من بيئة علمية محفزة.</w:t>
      </w:r>
    </w:p>
    <w:p w14:paraId="569184C2"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​كما أخص بالشكر والتقدير الأستاذ الفاضل / الدكتور [</w:t>
      </w:r>
      <w:r w:rsidR="003F2CD3">
        <w:rPr>
          <w:rFonts w:ascii="Simplified Arabic" w:hAnsi="Simplified Arabic" w:cs="Simplified Arabic" w:hint="cs"/>
          <w:sz w:val="32"/>
          <w:szCs w:val="32"/>
          <w:rtl/>
        </w:rPr>
        <w:t>...</w:t>
      </w:r>
      <w:r>
        <w:rPr>
          <w:rFonts w:ascii="Simplified Arabic" w:hAnsi="Simplified Arabic" w:cs="Simplified Arabic" w:hint="cs"/>
          <w:sz w:val="32"/>
          <w:szCs w:val="32"/>
          <w:rtl/>
        </w:rPr>
        <w:t>]، الذي تفضل بالإشراف على هذا البحث، ولم يبخل عليّ بنصائحه السديدة وتوجيهاته القيمة التي كانت بمثابة المنارة التي أضاءت لي طريق إنجاز هذا العمل.</w:t>
      </w:r>
    </w:p>
    <w:p w14:paraId="279EF6CC"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​والـشكر موصول إلى أعضاء لجنة المناقشة والحكم الأفاضل لتفضلهم بقراءة هذا البحث وتقويمه.</w:t>
      </w:r>
    </w:p>
    <w:p w14:paraId="186EAE4D"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​وأخيراً، أتوجه بالشكر لكل من مد لي يد العون، ولو بكلمة تشجيع صادقة، طوال مسيرتي الدراسية.</w:t>
      </w:r>
    </w:p>
    <w:p w14:paraId="692190AB" w14:textId="77777777" w:rsidR="00D473E0" w:rsidRPr="00BA0C8A"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​سائلًا المولى عز وجل أن يوفقنا جميعاً لما يحبه ويرضاه.</w:t>
      </w:r>
    </w:p>
    <w:p w14:paraId="47B7E203" w14:textId="77777777" w:rsidR="00E41967" w:rsidRDefault="00E41967">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74666A86" w14:textId="77777777" w:rsidR="00E41967" w:rsidRPr="00891197" w:rsidRDefault="00E41967" w:rsidP="00891197">
      <w:pPr>
        <w:pStyle w:val="2"/>
        <w:rPr>
          <w:b w:val="0"/>
          <w:bCs/>
          <w:rtl/>
        </w:rPr>
      </w:pPr>
      <w:bookmarkStart w:id="3" w:name="_Toc235119013"/>
      <w:r w:rsidRPr="00891197">
        <w:rPr>
          <w:rFonts w:hint="cs"/>
          <w:b w:val="0"/>
          <w:bCs/>
          <w:rtl/>
        </w:rPr>
        <w:lastRenderedPageBreak/>
        <w:t>المستخلص</w:t>
      </w:r>
      <w:bookmarkEnd w:id="3"/>
    </w:p>
    <w:p w14:paraId="181183EE" w14:textId="77777777" w:rsidR="00167869" w:rsidRDefault="00167869" w:rsidP="00E17564">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هدفت هذه الدراسة إلى التعرف على أثر التحول الصحي في المملكة العربية السعودية على بيئة العمل النفسية المستدامة، وبيان دور رفاهية الموظفين في تقليل الاحتراق الوظيفي لدى العاملين في القطاع الصحي الحكومي بمدينة الرياض. وتنبع مشكلة الدراسة من تزايد الضغوط المهنية المصاحبة للتحولات التنظيمية والتقنية في القطاع الصحي، وما قد يترتب عليها من آثار نفسية ومهنية على العاملين.</w:t>
      </w:r>
    </w:p>
    <w:p w14:paraId="72FEEE7D" w14:textId="77777777" w:rsidR="00167869" w:rsidRDefault="00167869" w:rsidP="00E17564">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اعتمدت الدراسة على المنهج الوصفي التحليلي، بوصفها دراسة ميدانية في مجال الإدارة والموارد البشرية. وتكوّن مجتمع الدراسة من العاملين في المستشفيات والمراكز الصحية الحكومية بمدينة الرياض، وشملت العينة 384 مفردة من الأطباء والممرضين والفنيين والإداريين. واستخدمت الاستبانة أداة رئيسة لجمع البيانات، وتم تحليلها باستخدام الأساليب الإحصائية المناسبة.</w:t>
      </w:r>
    </w:p>
    <w:p w14:paraId="391037FB" w14:textId="77777777" w:rsidR="00167869" w:rsidRDefault="00167869" w:rsidP="00E17564">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أظهرت النتائج أن مستوى إدراك التحول الصحي جاء مرتفعًا، وأن رفاهية الموظفين جاءت بمستوى مرتفع نسبيًا، بينما جاءت بيئة العمل النفسية المستدامة في مستوى متوسط مائل للارتفاع. كما بينت النتائج وجود علاقة إيجابية دالة بين التحول الصحي وبيئة العمل النفسية المستدامة، ووجود أثر عكسي دال للتحول الصحي في الاحتراق الوظيفي، إضافة إلى أن رفاهية الموظفين تؤدي دورًا وسيطًا جزئيًا في هذه العلاقة.</w:t>
      </w:r>
    </w:p>
    <w:p w14:paraId="3E407AB7" w14:textId="77777777" w:rsidR="00167869" w:rsidRPr="00E41967" w:rsidRDefault="00167869" w:rsidP="00E17564">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وتدل النتائج على أن نجاح التحول الصحي لا يعتمد فقط على تطوير الخدمات والأنظمة، بل يتطلب أيضًا تعزيز رفاهية العاملين وبناء بيئة عمل نفسية داعمة. ويمكن تطبيق النتائج عمليًا من خلال برامج للرفاهية المهنية، وتحسين الدعم الإداري، وتعزيز الأمان النفسي داخل المنشآت الصحية الحكومية.</w:t>
      </w:r>
    </w:p>
    <w:p w14:paraId="4AB092D9" w14:textId="77777777" w:rsidR="00E41967" w:rsidRPr="00E41967" w:rsidRDefault="00E41967" w:rsidP="00E17564">
      <w:pPr>
        <w:spacing w:line="240" w:lineRule="auto"/>
        <w:jc w:val="both"/>
        <w:rPr>
          <w:rFonts w:ascii="Simplified Arabic" w:hAnsi="Simplified Arabic" w:cs="Simplified Arabic"/>
          <w:sz w:val="28"/>
          <w:szCs w:val="28"/>
          <w:rtl/>
        </w:rPr>
      </w:pPr>
      <w:r w:rsidRPr="00167869">
        <w:rPr>
          <w:rFonts w:ascii="Simplified Arabic" w:hAnsi="Simplified Arabic" w:cs="Simplified Arabic" w:hint="cs"/>
          <w:b/>
          <w:bCs/>
          <w:sz w:val="28"/>
          <w:szCs w:val="28"/>
          <w:rtl/>
        </w:rPr>
        <w:t>الكلمات المفتاحية:</w:t>
      </w:r>
      <w:r w:rsidRPr="00E41967">
        <w:rPr>
          <w:rFonts w:ascii="Simplified Arabic" w:hAnsi="Simplified Arabic" w:cs="Simplified Arabic" w:hint="cs"/>
          <w:sz w:val="28"/>
          <w:szCs w:val="28"/>
          <w:rtl/>
        </w:rPr>
        <w:t xml:space="preserve"> التحول الصحي، بيئة العمل النفسية المستدامة، رفاهية الموظفين، الاحتراق الوظيفي، القطاع الصحي الحكومي، مدينة الرياض.</w:t>
      </w:r>
    </w:p>
    <w:p w14:paraId="72FE7CE6" w14:textId="77777777" w:rsidR="00E41967" w:rsidRDefault="00E41967">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80A7D3D" w14:textId="77777777" w:rsidR="00575DDB" w:rsidRPr="00891197" w:rsidRDefault="00575DDB" w:rsidP="00891197">
      <w:pPr>
        <w:pStyle w:val="2"/>
        <w:bidi w:val="0"/>
      </w:pPr>
      <w:bookmarkStart w:id="4" w:name="_Toc235119014"/>
      <w:r w:rsidRPr="00891197">
        <w:lastRenderedPageBreak/>
        <w:t>Abstract</w:t>
      </w:r>
      <w:bookmarkEnd w:id="4"/>
    </w:p>
    <w:p w14:paraId="35736667" w14:textId="77777777" w:rsidR="00575DDB" w:rsidRPr="0023644F" w:rsidRDefault="00575DDB" w:rsidP="00624E58">
      <w:pPr>
        <w:bidi w:val="0"/>
        <w:spacing w:line="360" w:lineRule="auto"/>
        <w:jc w:val="both"/>
        <w:rPr>
          <w:rFonts w:asciiTheme="majorBidi" w:hAnsiTheme="majorBidi" w:cstheme="majorBidi"/>
        </w:rPr>
      </w:pPr>
      <w:r w:rsidRPr="0023644F">
        <w:rPr>
          <w:rFonts w:asciiTheme="majorBidi" w:hAnsiTheme="majorBidi" w:cstheme="majorBidi"/>
        </w:rPr>
        <w:t>This study aimed to examine the impact of health transformation in the Kingdom of Saudi Arabia on the sustainable psychological work environment, and to identify the role of employee well-being in reducing job burnout among employees in the governmental health sector in Riyadh City. The research problem stems from the increasing work pressures associated with organizational and technological changes in the health sector and their possible psychological and professional effects on employees.</w:t>
      </w:r>
    </w:p>
    <w:p w14:paraId="272C3DB5" w14:textId="77777777" w:rsidR="00575DDB" w:rsidRPr="0023644F" w:rsidRDefault="00575DDB" w:rsidP="00624E58">
      <w:pPr>
        <w:bidi w:val="0"/>
        <w:spacing w:line="360" w:lineRule="auto"/>
        <w:jc w:val="both"/>
        <w:rPr>
          <w:rFonts w:asciiTheme="majorBidi" w:hAnsiTheme="majorBidi" w:cstheme="majorBidi"/>
        </w:rPr>
      </w:pPr>
      <w:r w:rsidRPr="0023644F">
        <w:rPr>
          <w:rFonts w:asciiTheme="majorBidi" w:hAnsiTheme="majorBidi" w:cstheme="majorBidi"/>
        </w:rPr>
        <w:t>The study adopted the descriptive-analytical approach as a field study in management and human resources. The study population consisted of employees working in governmental hospitals and healthcare centers in Riyadh City. The sample included 384 participants, including physicians, nurses, technicians, and administrative employees. A questionnaire was used as the main data collection tool, and the data were analyzed using appropriate statistical methods.</w:t>
      </w:r>
    </w:p>
    <w:p w14:paraId="67481CBF" w14:textId="77777777" w:rsidR="00575DDB" w:rsidRPr="0023644F" w:rsidRDefault="00575DDB" w:rsidP="00624E58">
      <w:pPr>
        <w:bidi w:val="0"/>
        <w:spacing w:line="360" w:lineRule="auto"/>
        <w:jc w:val="both"/>
        <w:rPr>
          <w:rFonts w:asciiTheme="majorBidi" w:hAnsiTheme="majorBidi" w:cstheme="majorBidi"/>
        </w:rPr>
      </w:pPr>
      <w:r w:rsidRPr="0023644F">
        <w:rPr>
          <w:rFonts w:asciiTheme="majorBidi" w:hAnsiTheme="majorBidi" w:cstheme="majorBidi"/>
        </w:rPr>
        <w:t>The results showed that the perceived level of health transformation was high, and employee well-being was relatively high, while the sustainable psychological work environment was at a moderate level leaning toward high. The findings also revealed a statistically significant positive relationship between health transformation and the sustainable psychological work environment, and a significant negative effect of health transformation on job burnout. In addition, employee well-being partially mediated the relationship between health transformation and job burnout.</w:t>
      </w:r>
    </w:p>
    <w:p w14:paraId="5483BCFA" w14:textId="77777777" w:rsidR="00575DDB" w:rsidRPr="0023644F" w:rsidRDefault="00575DDB" w:rsidP="00624E58">
      <w:pPr>
        <w:bidi w:val="0"/>
        <w:spacing w:line="360" w:lineRule="auto"/>
        <w:jc w:val="both"/>
        <w:rPr>
          <w:rFonts w:asciiTheme="majorBidi" w:hAnsiTheme="majorBidi" w:cstheme="majorBidi"/>
          <w:rtl/>
        </w:rPr>
      </w:pPr>
      <w:r w:rsidRPr="0023644F">
        <w:rPr>
          <w:rFonts w:asciiTheme="majorBidi" w:hAnsiTheme="majorBidi" w:cstheme="majorBidi"/>
        </w:rPr>
        <w:t>The findings indicate that successful health transformation does not depend only on improving services and systems, but also on enhancing employee well-being and creating a supportive psychological work environment. Practically, the results can be applied through professional well-being programs, stronger administrative support, and improved psychological safety within governmental healthcare institutions.</w:t>
      </w:r>
    </w:p>
    <w:p w14:paraId="5CF5AABF" w14:textId="77777777" w:rsidR="00624E58" w:rsidRPr="0023644F" w:rsidRDefault="00624E58" w:rsidP="00624E58">
      <w:pPr>
        <w:bidi w:val="0"/>
        <w:spacing w:line="360" w:lineRule="auto"/>
        <w:jc w:val="both"/>
        <w:rPr>
          <w:rFonts w:asciiTheme="majorBidi" w:hAnsiTheme="majorBidi" w:cstheme="majorBidi"/>
        </w:rPr>
      </w:pPr>
      <w:r w:rsidRPr="0023644F">
        <w:rPr>
          <w:rFonts w:asciiTheme="majorBidi" w:hAnsiTheme="majorBidi" w:cstheme="majorBidi"/>
          <w:b/>
          <w:bCs/>
        </w:rPr>
        <w:t>Keywords:</w:t>
      </w:r>
      <w:r w:rsidRPr="0023644F">
        <w:rPr>
          <w:rFonts w:asciiTheme="majorBidi" w:hAnsiTheme="majorBidi" w:cstheme="majorBidi"/>
        </w:rPr>
        <w:t xml:space="preserve"> health transformation, sustainable psychological work environment, employee well-being, job burnout, governmental health sector, Riyadh City.</w:t>
      </w:r>
    </w:p>
    <w:p w14:paraId="57A438C1" w14:textId="77777777" w:rsidR="00624E58" w:rsidRPr="0023644F" w:rsidRDefault="00624E58" w:rsidP="00624E58">
      <w:pPr>
        <w:bidi w:val="0"/>
        <w:spacing w:line="240" w:lineRule="auto"/>
        <w:jc w:val="both"/>
        <w:rPr>
          <w:rFonts w:ascii="Simplified Arabic" w:hAnsi="Simplified Arabic" w:cs="Simplified Arabic"/>
          <w:b/>
          <w:bCs/>
          <w:rtl/>
        </w:rPr>
      </w:pPr>
    </w:p>
    <w:p w14:paraId="52221602" w14:textId="77777777" w:rsidR="00E41967" w:rsidRDefault="00E41967">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00B33906" w14:textId="77777777" w:rsidR="00BA0C8A" w:rsidRPr="00891197" w:rsidRDefault="00CE231C" w:rsidP="00B01EA5">
      <w:pPr>
        <w:pStyle w:val="2"/>
        <w:tabs>
          <w:tab w:val="left" w:pos="5323"/>
        </w:tabs>
        <w:rPr>
          <w:b w:val="0"/>
          <w:bCs/>
          <w:rtl/>
        </w:rPr>
      </w:pPr>
      <w:bookmarkStart w:id="5" w:name="_Toc235119015"/>
      <w:r w:rsidRPr="00891197">
        <w:rPr>
          <w:rFonts w:hint="cs"/>
          <w:b w:val="0"/>
          <w:bCs/>
          <w:rtl/>
        </w:rPr>
        <w:lastRenderedPageBreak/>
        <w:t>قائمة المحتويات</w:t>
      </w:r>
      <w:bookmarkEnd w:id="5"/>
      <w:r w:rsidR="00B01EA5">
        <w:rPr>
          <w:b w:val="0"/>
          <w:bCs/>
          <w:rtl/>
        </w:rPr>
        <w:tab/>
      </w:r>
    </w:p>
    <w:p w14:paraId="61DE9745" w14:textId="321A2E11" w:rsidR="00B67283" w:rsidRDefault="00B01EA5">
      <w:pPr>
        <w:pStyle w:val="20"/>
        <w:tabs>
          <w:tab w:val="right" w:leader="dot" w:pos="9016"/>
        </w:tabs>
        <w:rPr>
          <w:rFonts w:cstheme="minorBidi"/>
          <w:smallCaps w:val="0"/>
          <w:noProof/>
          <w:sz w:val="24"/>
          <w:rtl/>
        </w:rPr>
      </w:pPr>
      <w:r>
        <w:rPr>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TOC</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o "1-3" \h \z \u</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tl/>
        </w:rPr>
        <w:fldChar w:fldCharType="separate"/>
      </w:r>
      <w:hyperlink w:anchor="_Toc235119010" w:history="1">
        <w:r w:rsidR="00B67283" w:rsidRPr="00394FFF">
          <w:rPr>
            <w:rStyle w:val="Hyperlink"/>
            <w:bCs/>
            <w:noProof/>
            <w:rtl/>
          </w:rPr>
          <w:t>الآية القرآنية</w:t>
        </w:r>
        <w:r w:rsidR="00B67283">
          <w:rPr>
            <w:noProof/>
            <w:webHidden/>
            <w:rtl/>
          </w:rPr>
          <w:tab/>
        </w:r>
        <w:r w:rsidR="00B67283">
          <w:rPr>
            <w:rStyle w:val="Hyperlink"/>
            <w:noProof/>
            <w:rtl/>
          </w:rPr>
          <w:fldChar w:fldCharType="begin"/>
        </w:r>
        <w:r w:rsidR="00B67283">
          <w:rPr>
            <w:noProof/>
            <w:webHidden/>
            <w:rtl/>
          </w:rPr>
          <w:instrText xml:space="preserve"> </w:instrText>
        </w:r>
        <w:r w:rsidR="00B67283">
          <w:rPr>
            <w:noProof/>
            <w:webHidden/>
          </w:rPr>
          <w:instrText>PAGEREF</w:instrText>
        </w:r>
        <w:r w:rsidR="00B67283">
          <w:rPr>
            <w:noProof/>
            <w:webHidden/>
            <w:rtl/>
          </w:rPr>
          <w:instrText xml:space="preserve"> _</w:instrText>
        </w:r>
        <w:r w:rsidR="00B67283">
          <w:rPr>
            <w:noProof/>
            <w:webHidden/>
          </w:rPr>
          <w:instrText>Toc235119010 \h</w:instrText>
        </w:r>
        <w:r w:rsidR="00B67283">
          <w:rPr>
            <w:noProof/>
            <w:webHidden/>
            <w:rtl/>
          </w:rPr>
          <w:instrText xml:space="preserve"> </w:instrText>
        </w:r>
        <w:r w:rsidR="00B67283">
          <w:rPr>
            <w:rStyle w:val="Hyperlink"/>
            <w:noProof/>
            <w:rtl/>
          </w:rPr>
        </w:r>
        <w:r w:rsidR="00B67283">
          <w:rPr>
            <w:rStyle w:val="Hyperlink"/>
            <w:noProof/>
            <w:rtl/>
          </w:rPr>
          <w:fldChar w:fldCharType="separate"/>
        </w:r>
        <w:r w:rsidR="00B67283">
          <w:rPr>
            <w:rFonts w:hint="eastAsia"/>
            <w:noProof/>
            <w:webHidden/>
            <w:rtl/>
          </w:rPr>
          <w:t>‌أ</w:t>
        </w:r>
        <w:r w:rsidR="00B67283">
          <w:rPr>
            <w:rStyle w:val="Hyperlink"/>
            <w:noProof/>
            <w:rtl/>
          </w:rPr>
          <w:fldChar w:fldCharType="end"/>
        </w:r>
      </w:hyperlink>
    </w:p>
    <w:p w14:paraId="335E1503" w14:textId="32DAF352" w:rsidR="00B67283" w:rsidRDefault="00B67283">
      <w:pPr>
        <w:pStyle w:val="20"/>
        <w:tabs>
          <w:tab w:val="right" w:leader="dot" w:pos="9016"/>
        </w:tabs>
        <w:rPr>
          <w:rFonts w:cstheme="minorBidi"/>
          <w:smallCaps w:val="0"/>
          <w:noProof/>
          <w:sz w:val="24"/>
          <w:rtl/>
        </w:rPr>
      </w:pPr>
      <w:hyperlink w:anchor="_Toc235119011" w:history="1">
        <w:r w:rsidRPr="00394FFF">
          <w:rPr>
            <w:rStyle w:val="Hyperlink"/>
            <w:bCs/>
            <w:noProof/>
            <w:rtl/>
          </w:rPr>
          <w:t>الإهداء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Toc235119011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‌ب</w:t>
        </w:r>
        <w:r>
          <w:rPr>
            <w:rStyle w:val="Hyperlink"/>
            <w:noProof/>
            <w:rtl/>
          </w:rPr>
          <w:fldChar w:fldCharType="end"/>
        </w:r>
      </w:hyperlink>
    </w:p>
    <w:p w14:paraId="3B58D547" w14:textId="0B5E9B7B" w:rsidR="00B67283" w:rsidRDefault="00B67283">
      <w:pPr>
        <w:pStyle w:val="20"/>
        <w:tabs>
          <w:tab w:val="right" w:leader="dot" w:pos="9016"/>
        </w:tabs>
        <w:rPr>
          <w:rFonts w:cstheme="minorBidi"/>
          <w:smallCaps w:val="0"/>
          <w:noProof/>
          <w:sz w:val="24"/>
          <w:rtl/>
        </w:rPr>
      </w:pPr>
      <w:hyperlink w:anchor="_Toc235119012" w:history="1">
        <w:r w:rsidRPr="00394FFF">
          <w:rPr>
            <w:rStyle w:val="Hyperlink"/>
            <w:bCs/>
            <w:noProof/>
            <w:rtl/>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Toc235119012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‌ج</w:t>
        </w:r>
        <w:r>
          <w:rPr>
            <w:rStyle w:val="Hyperlink"/>
            <w:noProof/>
            <w:rtl/>
          </w:rPr>
          <w:fldChar w:fldCharType="end"/>
        </w:r>
      </w:hyperlink>
    </w:p>
    <w:p w14:paraId="59FADFAE" w14:textId="7D19DB1A" w:rsidR="00B67283" w:rsidRDefault="00B67283">
      <w:pPr>
        <w:pStyle w:val="20"/>
        <w:tabs>
          <w:tab w:val="right" w:leader="dot" w:pos="9016"/>
        </w:tabs>
        <w:rPr>
          <w:rFonts w:cstheme="minorBidi"/>
          <w:smallCaps w:val="0"/>
          <w:noProof/>
          <w:sz w:val="24"/>
          <w:rtl/>
        </w:rPr>
      </w:pPr>
      <w:hyperlink w:anchor="_Toc235119013" w:history="1">
        <w:r w:rsidRPr="00394FFF">
          <w:rPr>
            <w:rStyle w:val="Hyperlink"/>
            <w:bCs/>
            <w:noProof/>
            <w:rtl/>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Toc235119013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‌د</w:t>
        </w:r>
        <w:r>
          <w:rPr>
            <w:rStyle w:val="Hyperlink"/>
            <w:noProof/>
            <w:rtl/>
          </w:rPr>
          <w:fldChar w:fldCharType="end"/>
        </w:r>
      </w:hyperlink>
    </w:p>
    <w:p w14:paraId="0863FCB7" w14:textId="249C7493" w:rsidR="00B67283" w:rsidRDefault="00B67283">
      <w:pPr>
        <w:pStyle w:val="20"/>
        <w:tabs>
          <w:tab w:val="right" w:leader="dot" w:pos="9016"/>
        </w:tabs>
        <w:rPr>
          <w:rFonts w:cstheme="minorBidi"/>
          <w:smallCaps w:val="0"/>
          <w:noProof/>
          <w:sz w:val="24"/>
          <w:rtl/>
        </w:rPr>
      </w:pPr>
      <w:hyperlink w:anchor="_Toc235119014" w:history="1">
        <w:r w:rsidRPr="00394FFF">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Toc235119014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‌ه</w:t>
        </w:r>
        <w:r>
          <w:rPr>
            <w:rStyle w:val="Hyperlink"/>
            <w:noProof/>
            <w:rtl/>
          </w:rPr>
          <w:fldChar w:fldCharType="end"/>
        </w:r>
      </w:hyperlink>
    </w:p>
    <w:p w14:paraId="7EE2BE89" w14:textId="6DE2ACE1" w:rsidR="00B67283" w:rsidRDefault="00B67283">
      <w:pPr>
        <w:pStyle w:val="20"/>
        <w:tabs>
          <w:tab w:val="right" w:leader="dot" w:pos="9016"/>
        </w:tabs>
        <w:rPr>
          <w:rFonts w:cstheme="minorBidi"/>
          <w:smallCaps w:val="0"/>
          <w:noProof/>
          <w:sz w:val="24"/>
          <w:rtl/>
        </w:rPr>
      </w:pPr>
      <w:hyperlink w:anchor="_Toc235119015" w:history="1">
        <w:r w:rsidRPr="00394FFF">
          <w:rPr>
            <w:rStyle w:val="Hyperlink"/>
            <w:bCs/>
            <w:noProof/>
            <w:rtl/>
          </w:rPr>
          <w:t>قائمة 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Toc235119015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‌و</w:t>
        </w:r>
        <w:r>
          <w:rPr>
            <w:rStyle w:val="Hyperlink"/>
            <w:noProof/>
            <w:rtl/>
          </w:rPr>
          <w:fldChar w:fldCharType="end"/>
        </w:r>
      </w:hyperlink>
    </w:p>
    <w:p w14:paraId="5BB4879A" w14:textId="5A4C0422" w:rsidR="00B67283" w:rsidRDefault="00B67283">
      <w:pPr>
        <w:pStyle w:val="20"/>
        <w:tabs>
          <w:tab w:val="right" w:leader="dot" w:pos="9016"/>
        </w:tabs>
        <w:rPr>
          <w:rFonts w:cstheme="minorBidi"/>
          <w:smallCaps w:val="0"/>
          <w:noProof/>
          <w:sz w:val="24"/>
          <w:rtl/>
        </w:rPr>
      </w:pPr>
      <w:hyperlink w:anchor="_Toc235119016" w:history="1">
        <w:r w:rsidRPr="00394FFF">
          <w:rPr>
            <w:rStyle w:val="Hyperlink"/>
            <w:bCs/>
            <w:noProof/>
            <w:rtl/>
          </w:rPr>
          <w:t>قائمة 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Toc235119016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‌ح</w:t>
        </w:r>
        <w:r>
          <w:rPr>
            <w:rStyle w:val="Hyperlink"/>
            <w:noProof/>
            <w:rtl/>
          </w:rPr>
          <w:fldChar w:fldCharType="end"/>
        </w:r>
      </w:hyperlink>
    </w:p>
    <w:p w14:paraId="37C3061F" w14:textId="1BDD4F54" w:rsidR="00B67283" w:rsidRDefault="00B67283">
      <w:pPr>
        <w:pStyle w:val="20"/>
        <w:tabs>
          <w:tab w:val="right" w:leader="dot" w:pos="9016"/>
        </w:tabs>
        <w:rPr>
          <w:rFonts w:cstheme="minorBidi"/>
          <w:smallCaps w:val="0"/>
          <w:noProof/>
          <w:sz w:val="24"/>
          <w:rtl/>
        </w:rPr>
      </w:pPr>
      <w:hyperlink w:anchor="_Toc235119017" w:history="1">
        <w:r w:rsidRPr="00394FFF">
          <w:rPr>
            <w:rStyle w:val="Hyperlink"/>
            <w:bCs/>
            <w:noProof/>
            <w:rtl/>
          </w:rPr>
          <w:t>قائمة 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Toc235119017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‌ح</w:t>
        </w:r>
        <w:r>
          <w:rPr>
            <w:rStyle w:val="Hyperlink"/>
            <w:noProof/>
            <w:rtl/>
          </w:rPr>
          <w:fldChar w:fldCharType="end"/>
        </w:r>
      </w:hyperlink>
    </w:p>
    <w:p w14:paraId="4FCEB1AC" w14:textId="6A933F54" w:rsidR="00B67283" w:rsidRDefault="00B67283">
      <w:pPr>
        <w:pStyle w:val="11"/>
        <w:tabs>
          <w:tab w:val="right" w:leader="dot" w:pos="9016"/>
        </w:tabs>
        <w:rPr>
          <w:rFonts w:cstheme="minorBidi"/>
          <w:b w:val="0"/>
          <w:bCs w:val="0"/>
          <w:caps w:val="0"/>
          <w:noProof/>
          <w:sz w:val="24"/>
          <w:rtl/>
        </w:rPr>
      </w:pPr>
      <w:hyperlink w:anchor="_Toc235119018" w:history="1">
        <w:r w:rsidRPr="00394FFF">
          <w:rPr>
            <w:rStyle w:val="Hyperlink"/>
            <w:noProof/>
            <w:rtl/>
          </w:rPr>
          <w:t>الفصل الأول: الإطار المنهجي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Toc235119018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4782E83A" w14:textId="22FA037A" w:rsidR="00B67283" w:rsidRDefault="00B67283">
      <w:pPr>
        <w:pStyle w:val="20"/>
        <w:tabs>
          <w:tab w:val="right" w:leader="dot" w:pos="9016"/>
        </w:tabs>
        <w:rPr>
          <w:rFonts w:cstheme="minorBidi"/>
          <w:smallCaps w:val="0"/>
          <w:noProof/>
          <w:sz w:val="24"/>
          <w:rtl/>
        </w:rPr>
      </w:pPr>
      <w:hyperlink w:anchor="_Toc235119019" w:history="1">
        <w:r w:rsidRPr="00394FFF">
          <w:rPr>
            <w:rStyle w:val="Hyperlink"/>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Toc235119019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0413E39F" w14:textId="57B03C94" w:rsidR="00B67283" w:rsidRDefault="00B67283">
      <w:pPr>
        <w:pStyle w:val="20"/>
        <w:tabs>
          <w:tab w:val="right" w:leader="dot" w:pos="9016"/>
        </w:tabs>
        <w:rPr>
          <w:rFonts w:cstheme="minorBidi"/>
          <w:smallCaps w:val="0"/>
          <w:noProof/>
          <w:sz w:val="24"/>
          <w:rtl/>
        </w:rPr>
      </w:pPr>
      <w:hyperlink w:anchor="_Toc235119020" w:history="1">
        <w:r w:rsidRPr="00394FFF">
          <w:rPr>
            <w:rStyle w:val="Hyperlink"/>
            <w:bCs/>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Toc235119020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0A10097B" w14:textId="679D846C" w:rsidR="00B67283" w:rsidRDefault="00B67283">
      <w:pPr>
        <w:pStyle w:val="20"/>
        <w:tabs>
          <w:tab w:val="right" w:leader="dot" w:pos="9016"/>
        </w:tabs>
        <w:rPr>
          <w:rFonts w:cstheme="minorBidi"/>
          <w:smallCaps w:val="0"/>
          <w:noProof/>
          <w:sz w:val="24"/>
          <w:rtl/>
        </w:rPr>
      </w:pPr>
      <w:hyperlink w:anchor="_Toc235119021" w:history="1">
        <w:r w:rsidRPr="00394FFF">
          <w:rPr>
            <w:rStyle w:val="Hyperlink"/>
            <w:bCs/>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Toc235119021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2448686F" w14:textId="66E43E9F" w:rsidR="00B67283" w:rsidRDefault="00B67283">
      <w:pPr>
        <w:pStyle w:val="20"/>
        <w:tabs>
          <w:tab w:val="right" w:leader="dot" w:pos="9016"/>
        </w:tabs>
        <w:rPr>
          <w:rFonts w:cstheme="minorBidi"/>
          <w:smallCaps w:val="0"/>
          <w:noProof/>
          <w:sz w:val="24"/>
          <w:rtl/>
        </w:rPr>
      </w:pPr>
      <w:hyperlink w:anchor="_Toc235119022" w:history="1">
        <w:r w:rsidRPr="00394FFF">
          <w:rPr>
            <w:rStyle w:val="Hyperlink"/>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Toc235119022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08DB3F5F" w14:textId="797DC5D1" w:rsidR="00B67283" w:rsidRDefault="00B67283">
      <w:pPr>
        <w:pStyle w:val="30"/>
        <w:tabs>
          <w:tab w:val="right" w:leader="dot" w:pos="9016"/>
        </w:tabs>
        <w:rPr>
          <w:rFonts w:cstheme="minorBidi"/>
          <w:i w:val="0"/>
          <w:iCs w:val="0"/>
          <w:noProof/>
          <w:sz w:val="24"/>
          <w:rtl/>
        </w:rPr>
      </w:pPr>
      <w:hyperlink w:anchor="_Toc235119023" w:history="1">
        <w:r w:rsidRPr="00394FFF">
          <w:rPr>
            <w:rStyle w:val="Hyperlink"/>
            <w:bCs/>
            <w:noProof/>
            <w:rtl/>
          </w:rPr>
          <w:t>أولاً: 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Toc235119023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5E1AD934" w14:textId="46298A83" w:rsidR="00B67283" w:rsidRDefault="00B67283">
      <w:pPr>
        <w:pStyle w:val="30"/>
        <w:tabs>
          <w:tab w:val="right" w:leader="dot" w:pos="9016"/>
        </w:tabs>
        <w:rPr>
          <w:rFonts w:cstheme="minorBidi"/>
          <w:i w:val="0"/>
          <w:iCs w:val="0"/>
          <w:noProof/>
          <w:sz w:val="24"/>
          <w:rtl/>
        </w:rPr>
      </w:pPr>
      <w:hyperlink w:anchor="_Toc235119024" w:history="1">
        <w:r w:rsidRPr="00394FFF">
          <w:rPr>
            <w:rStyle w:val="Hyperlink"/>
            <w:bCs/>
            <w:noProof/>
            <w:rtl/>
          </w:rPr>
          <w:t>ثانياً: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Toc235119024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70B9AD9" w14:textId="0140A467" w:rsidR="00B67283" w:rsidRDefault="00B67283">
      <w:pPr>
        <w:pStyle w:val="20"/>
        <w:tabs>
          <w:tab w:val="right" w:leader="dot" w:pos="9016"/>
        </w:tabs>
        <w:rPr>
          <w:rFonts w:cstheme="minorBidi"/>
          <w:smallCaps w:val="0"/>
          <w:noProof/>
          <w:sz w:val="24"/>
          <w:rtl/>
        </w:rPr>
      </w:pPr>
      <w:hyperlink w:anchor="_Toc235119025" w:history="1">
        <w:r w:rsidRPr="00394FFF">
          <w:rPr>
            <w:rStyle w:val="Hyperlink"/>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Toc235119025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23405372" w14:textId="315F6B57" w:rsidR="00B67283" w:rsidRDefault="00B67283">
      <w:pPr>
        <w:pStyle w:val="20"/>
        <w:tabs>
          <w:tab w:val="right" w:leader="dot" w:pos="9016"/>
        </w:tabs>
        <w:rPr>
          <w:rFonts w:cstheme="minorBidi"/>
          <w:smallCaps w:val="0"/>
          <w:noProof/>
          <w:sz w:val="24"/>
          <w:rtl/>
        </w:rPr>
      </w:pPr>
      <w:hyperlink w:anchor="_Toc235119026" w:history="1">
        <w:r w:rsidRPr="00394FFF">
          <w:rPr>
            <w:rStyle w:val="Hyperlink"/>
            <w:bCs/>
            <w:noProof/>
            <w:rtl/>
          </w:rPr>
          <w:t>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Toc235119026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75CE035E" w14:textId="561191CC" w:rsidR="00B67283" w:rsidRDefault="00B67283">
      <w:pPr>
        <w:pStyle w:val="20"/>
        <w:tabs>
          <w:tab w:val="right" w:leader="dot" w:pos="9016"/>
        </w:tabs>
        <w:rPr>
          <w:rFonts w:cstheme="minorBidi"/>
          <w:smallCaps w:val="0"/>
          <w:noProof/>
          <w:sz w:val="24"/>
          <w:rtl/>
        </w:rPr>
      </w:pPr>
      <w:hyperlink w:anchor="_Toc235119027" w:history="1">
        <w:r w:rsidRPr="00394FFF">
          <w:rPr>
            <w:rStyle w:val="Hyperlink"/>
            <w:bCs/>
            <w:noProof/>
            <w:rtl/>
          </w:rPr>
          <w:t>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Toc235119027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7B642DDF" w14:textId="27255EC0" w:rsidR="00B67283" w:rsidRDefault="00B67283">
      <w:pPr>
        <w:pStyle w:val="20"/>
        <w:tabs>
          <w:tab w:val="right" w:leader="dot" w:pos="9016"/>
        </w:tabs>
        <w:rPr>
          <w:rFonts w:cstheme="minorBidi"/>
          <w:smallCaps w:val="0"/>
          <w:noProof/>
          <w:sz w:val="24"/>
          <w:rtl/>
        </w:rPr>
      </w:pPr>
      <w:hyperlink w:anchor="_Toc235119028" w:history="1">
        <w:r w:rsidRPr="00394FFF">
          <w:rPr>
            <w:rStyle w:val="Hyperlink"/>
            <w:bCs/>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Toc235119028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4D40C676" w14:textId="1A0C5560" w:rsidR="00B67283" w:rsidRDefault="00B67283">
      <w:pPr>
        <w:pStyle w:val="20"/>
        <w:tabs>
          <w:tab w:val="right" w:leader="dot" w:pos="9016"/>
        </w:tabs>
        <w:rPr>
          <w:rFonts w:cstheme="minorBidi"/>
          <w:smallCaps w:val="0"/>
          <w:noProof/>
          <w:sz w:val="24"/>
          <w:rtl/>
        </w:rPr>
      </w:pPr>
      <w:hyperlink w:anchor="_Toc235119029" w:history="1">
        <w:r w:rsidRPr="00394FFF">
          <w:rPr>
            <w:rStyle w:val="Hyperlink"/>
            <w:bCs/>
            <w:noProof/>
            <w:rtl/>
          </w:rPr>
          <w:t>مفاهيم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Toc235119029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490A7FD9" w14:textId="7750D391" w:rsidR="00B67283" w:rsidRDefault="00B67283">
      <w:pPr>
        <w:pStyle w:val="30"/>
        <w:tabs>
          <w:tab w:val="right" w:leader="dot" w:pos="9016"/>
        </w:tabs>
        <w:rPr>
          <w:rFonts w:cstheme="minorBidi"/>
          <w:i w:val="0"/>
          <w:iCs w:val="0"/>
          <w:noProof/>
          <w:sz w:val="24"/>
          <w:rtl/>
        </w:rPr>
      </w:pPr>
      <w:hyperlink w:anchor="_Toc235119030" w:history="1">
        <w:r w:rsidRPr="00394FFF">
          <w:rPr>
            <w:rStyle w:val="Hyperlink"/>
            <w:bCs/>
            <w:noProof/>
            <w:rtl/>
          </w:rPr>
          <w:t>مفهوم التحول الصحي في 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Toc235119030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32D77FA6" w14:textId="619FB4C8" w:rsidR="00B67283" w:rsidRDefault="00B67283">
      <w:pPr>
        <w:pStyle w:val="30"/>
        <w:tabs>
          <w:tab w:val="right" w:leader="dot" w:pos="9016"/>
        </w:tabs>
        <w:rPr>
          <w:rFonts w:cstheme="minorBidi"/>
          <w:i w:val="0"/>
          <w:iCs w:val="0"/>
          <w:noProof/>
          <w:sz w:val="24"/>
          <w:rtl/>
        </w:rPr>
      </w:pPr>
      <w:hyperlink w:anchor="_Toc235119031" w:history="1">
        <w:r w:rsidRPr="00394FFF">
          <w:rPr>
            <w:rStyle w:val="Hyperlink"/>
            <w:bCs/>
            <w:noProof/>
            <w:rtl/>
          </w:rPr>
          <w:t>مفهوم بيئة العمل النفسية المستدامة: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Toc235119031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1048D8A7" w14:textId="32C00E2B" w:rsidR="00B67283" w:rsidRDefault="00B67283">
      <w:pPr>
        <w:pStyle w:val="30"/>
        <w:tabs>
          <w:tab w:val="right" w:leader="dot" w:pos="9016"/>
        </w:tabs>
        <w:rPr>
          <w:rFonts w:cstheme="minorBidi"/>
          <w:i w:val="0"/>
          <w:iCs w:val="0"/>
          <w:noProof/>
          <w:sz w:val="24"/>
          <w:rtl/>
        </w:rPr>
      </w:pPr>
      <w:hyperlink w:anchor="_Toc235119032" w:history="1">
        <w:r w:rsidRPr="00394FFF">
          <w:rPr>
            <w:rStyle w:val="Hyperlink"/>
            <w:bCs/>
            <w:noProof/>
            <w:rtl/>
          </w:rPr>
          <w:t>مفهوم رفاهية الموظفين: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Toc235119032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5AC2DDF" w14:textId="5FEE655F" w:rsidR="00B67283" w:rsidRDefault="00B67283">
      <w:pPr>
        <w:pStyle w:val="30"/>
        <w:tabs>
          <w:tab w:val="right" w:leader="dot" w:pos="9016"/>
        </w:tabs>
        <w:rPr>
          <w:rFonts w:cstheme="minorBidi"/>
          <w:i w:val="0"/>
          <w:iCs w:val="0"/>
          <w:noProof/>
          <w:sz w:val="24"/>
          <w:rtl/>
        </w:rPr>
      </w:pPr>
      <w:hyperlink w:anchor="_Toc235119033" w:history="1">
        <w:r w:rsidRPr="00394FFF">
          <w:rPr>
            <w:rStyle w:val="Hyperlink"/>
            <w:bCs/>
            <w:noProof/>
            <w:rtl/>
          </w:rPr>
          <w:t>مفهوم الاحتراق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Toc235119033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4968AE7C" w14:textId="2760D474" w:rsidR="00B67283" w:rsidRDefault="00B67283">
      <w:pPr>
        <w:pStyle w:val="11"/>
        <w:tabs>
          <w:tab w:val="right" w:leader="dot" w:pos="9016"/>
        </w:tabs>
        <w:rPr>
          <w:rFonts w:cstheme="minorBidi"/>
          <w:b w:val="0"/>
          <w:bCs w:val="0"/>
          <w:caps w:val="0"/>
          <w:noProof/>
          <w:sz w:val="24"/>
          <w:rtl/>
        </w:rPr>
      </w:pPr>
      <w:hyperlink w:anchor="_Toc235119034" w:history="1">
        <w:r w:rsidRPr="00394FFF">
          <w:rPr>
            <w:rStyle w:val="Hyperlink"/>
            <w:noProof/>
            <w:rtl/>
          </w:rPr>
          <w:t>الفصل الثاني: الاطار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Toc235119034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4FFAA928" w14:textId="04F05811" w:rsidR="00B67283" w:rsidRDefault="00B67283">
      <w:pPr>
        <w:pStyle w:val="20"/>
        <w:tabs>
          <w:tab w:val="right" w:leader="dot" w:pos="9016"/>
        </w:tabs>
        <w:rPr>
          <w:rFonts w:cstheme="minorBidi"/>
          <w:smallCaps w:val="0"/>
          <w:noProof/>
          <w:sz w:val="24"/>
          <w:rtl/>
        </w:rPr>
      </w:pPr>
      <w:hyperlink w:anchor="_Toc235119035" w:history="1">
        <w:r w:rsidRPr="00394FFF">
          <w:rPr>
            <w:rStyle w:val="Hyperlink"/>
            <w:bCs/>
            <w:noProof/>
            <w:rtl/>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Toc235119035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5E3842C3" w14:textId="2D8B89C5" w:rsidR="00B67283" w:rsidRDefault="00B67283">
      <w:pPr>
        <w:pStyle w:val="20"/>
        <w:tabs>
          <w:tab w:val="right" w:leader="dot" w:pos="9016"/>
        </w:tabs>
        <w:rPr>
          <w:rFonts w:cstheme="minorBidi"/>
          <w:smallCaps w:val="0"/>
          <w:noProof/>
          <w:sz w:val="24"/>
          <w:rtl/>
        </w:rPr>
      </w:pPr>
      <w:hyperlink w:anchor="_Toc235119036" w:history="1">
        <w:r w:rsidRPr="00394FFF">
          <w:rPr>
            <w:rStyle w:val="Hyperlink"/>
            <w:bCs/>
            <w:noProof/>
            <w:rtl/>
          </w:rPr>
          <w:t>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Toc235119036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F662DE0" w14:textId="4187F8DE" w:rsidR="00B67283" w:rsidRDefault="00B67283">
      <w:pPr>
        <w:pStyle w:val="30"/>
        <w:tabs>
          <w:tab w:val="right" w:leader="dot" w:pos="9016"/>
        </w:tabs>
        <w:rPr>
          <w:rFonts w:cstheme="minorBidi"/>
          <w:i w:val="0"/>
          <w:iCs w:val="0"/>
          <w:noProof/>
          <w:sz w:val="24"/>
          <w:rtl/>
        </w:rPr>
      </w:pPr>
      <w:hyperlink w:anchor="_Toc235119037" w:history="1">
        <w:r w:rsidRPr="00394FFF">
          <w:rPr>
            <w:rStyle w:val="Hyperlink"/>
            <w:bCs/>
            <w:noProof/>
            <w:rtl/>
          </w:rPr>
          <w:t>المتغير 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Toc235119037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7DFAA797" w14:textId="304275B0" w:rsidR="00B67283" w:rsidRDefault="00B67283">
      <w:pPr>
        <w:pStyle w:val="30"/>
        <w:tabs>
          <w:tab w:val="right" w:leader="dot" w:pos="9016"/>
        </w:tabs>
        <w:rPr>
          <w:rFonts w:cstheme="minorBidi"/>
          <w:i w:val="0"/>
          <w:iCs w:val="0"/>
          <w:noProof/>
          <w:sz w:val="24"/>
          <w:rtl/>
        </w:rPr>
      </w:pPr>
      <w:hyperlink w:anchor="_Toc235119038" w:history="1">
        <w:r w:rsidRPr="00394FFF">
          <w:rPr>
            <w:rStyle w:val="Hyperlink"/>
            <w:bCs/>
            <w:noProof/>
            <w:rtl/>
          </w:rPr>
          <w:t>المتغير الوسيط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Toc235119038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3FC350F" w14:textId="0944436B" w:rsidR="00B67283" w:rsidRDefault="00B67283">
      <w:pPr>
        <w:pStyle w:val="30"/>
        <w:tabs>
          <w:tab w:val="right" w:leader="dot" w:pos="9016"/>
        </w:tabs>
        <w:rPr>
          <w:rFonts w:cstheme="minorBidi"/>
          <w:i w:val="0"/>
          <w:iCs w:val="0"/>
          <w:noProof/>
          <w:sz w:val="24"/>
          <w:rtl/>
        </w:rPr>
      </w:pPr>
      <w:hyperlink w:anchor="_Toc235119039" w:history="1">
        <w:r w:rsidRPr="00394FFF">
          <w:rPr>
            <w:rStyle w:val="Hyperlink"/>
            <w:bCs/>
            <w:noProof/>
            <w:rtl/>
          </w:rPr>
          <w:t>المتغيرات التابعة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Toc235119039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4D8C34D3" w14:textId="626DCFE6" w:rsidR="00B67283" w:rsidRDefault="00B67283">
      <w:pPr>
        <w:pStyle w:val="20"/>
        <w:tabs>
          <w:tab w:val="right" w:leader="dot" w:pos="9016"/>
        </w:tabs>
        <w:rPr>
          <w:rFonts w:cstheme="minorBidi"/>
          <w:smallCaps w:val="0"/>
          <w:noProof/>
          <w:sz w:val="24"/>
          <w:rtl/>
        </w:rPr>
      </w:pPr>
      <w:hyperlink w:anchor="_Toc235119040" w:history="1">
        <w:r w:rsidRPr="00394FFF">
          <w:rPr>
            <w:rStyle w:val="Hyperlink"/>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Toc235119040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6D35B38" w14:textId="4F975338" w:rsidR="00B67283" w:rsidRDefault="00B67283">
      <w:pPr>
        <w:pStyle w:val="30"/>
        <w:tabs>
          <w:tab w:val="right" w:leader="dot" w:pos="9016"/>
        </w:tabs>
        <w:rPr>
          <w:rFonts w:cstheme="minorBidi"/>
          <w:i w:val="0"/>
          <w:iCs w:val="0"/>
          <w:noProof/>
          <w:sz w:val="24"/>
          <w:rtl/>
        </w:rPr>
      </w:pPr>
      <w:hyperlink w:anchor="_Toc235119041" w:history="1">
        <w:r w:rsidRPr="00394FFF">
          <w:rPr>
            <w:rStyle w:val="Hyperlink"/>
            <w:bCs/>
            <w:noProof/>
            <w:rtl/>
          </w:rPr>
          <w:t>أولا: الدراسات التي تناولت المتغير المستقل التحول الصحي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Toc235119041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455F41A5" w14:textId="3D3600D0" w:rsidR="00B67283" w:rsidRDefault="00B67283">
      <w:pPr>
        <w:pStyle w:val="30"/>
        <w:tabs>
          <w:tab w:val="right" w:leader="dot" w:pos="9016"/>
        </w:tabs>
        <w:rPr>
          <w:rFonts w:cstheme="minorBidi"/>
          <w:i w:val="0"/>
          <w:iCs w:val="0"/>
          <w:noProof/>
          <w:sz w:val="24"/>
          <w:rtl/>
        </w:rPr>
      </w:pPr>
      <w:hyperlink w:anchor="_Toc235119042" w:history="1">
        <w:r w:rsidRPr="00394FFF">
          <w:rPr>
            <w:rStyle w:val="Hyperlink"/>
            <w:bCs/>
            <w:noProof/>
            <w:rtl/>
          </w:rPr>
          <w:t>ثانيا : الدراسات التي تناولت العلاقة بين أكثر من متغير(شاملة رفاهية الموظف)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Toc235119042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26629A9" w14:textId="71A841CB" w:rsidR="00B67283" w:rsidRDefault="00B67283">
      <w:pPr>
        <w:pStyle w:val="30"/>
        <w:tabs>
          <w:tab w:val="right" w:leader="dot" w:pos="9016"/>
        </w:tabs>
        <w:rPr>
          <w:rFonts w:cstheme="minorBidi"/>
          <w:i w:val="0"/>
          <w:iCs w:val="0"/>
          <w:noProof/>
          <w:sz w:val="24"/>
          <w:rtl/>
        </w:rPr>
      </w:pPr>
      <w:hyperlink w:anchor="_Toc235119043" w:history="1">
        <w:r w:rsidRPr="00394FFF">
          <w:rPr>
            <w:rStyle w:val="Hyperlink"/>
            <w:bCs/>
            <w:noProof/>
            <w:rtl/>
          </w:rPr>
          <w:t>ثالثا: الدراسات التي تناولت بيئة العمل النفسية المستدامة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Toc235119043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5459269D" w14:textId="5CCC483C" w:rsidR="00B67283" w:rsidRDefault="00B67283">
      <w:pPr>
        <w:pStyle w:val="30"/>
        <w:tabs>
          <w:tab w:val="right" w:leader="dot" w:pos="9016"/>
        </w:tabs>
        <w:rPr>
          <w:rFonts w:cstheme="minorBidi"/>
          <w:i w:val="0"/>
          <w:iCs w:val="0"/>
          <w:noProof/>
          <w:sz w:val="24"/>
          <w:rtl/>
        </w:rPr>
      </w:pPr>
      <w:hyperlink w:anchor="_Toc235119044" w:history="1">
        <w:r w:rsidRPr="00394FFF">
          <w:rPr>
            <w:rStyle w:val="Hyperlink"/>
            <w:bCs/>
            <w:noProof/>
            <w:rtl/>
          </w:rPr>
          <w:t>رابعا: الدراسات التي تناولت الاحتراق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Toc235119044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7B2B365D" w14:textId="16F7F177" w:rsidR="00B67283" w:rsidRDefault="00B67283">
      <w:pPr>
        <w:pStyle w:val="30"/>
        <w:tabs>
          <w:tab w:val="right" w:leader="dot" w:pos="9016"/>
        </w:tabs>
        <w:rPr>
          <w:rFonts w:cstheme="minorBidi"/>
          <w:i w:val="0"/>
          <w:iCs w:val="0"/>
          <w:noProof/>
          <w:sz w:val="24"/>
          <w:rtl/>
        </w:rPr>
      </w:pPr>
      <w:hyperlink w:anchor="_Toc235119045" w:history="1">
        <w:r w:rsidRPr="00394FFF">
          <w:rPr>
            <w:rStyle w:val="Hyperlink"/>
            <w:bCs/>
            <w:noProof/>
            <w:rtl/>
          </w:rPr>
          <w:t>أوجه الاتفاق بين الدراسات السابقة والدراسة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Toc235119045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3D18C1D" w14:textId="64055B88" w:rsidR="00B67283" w:rsidRDefault="00B67283">
      <w:pPr>
        <w:pStyle w:val="30"/>
        <w:tabs>
          <w:tab w:val="right" w:leader="dot" w:pos="9016"/>
        </w:tabs>
        <w:rPr>
          <w:rFonts w:cstheme="minorBidi"/>
          <w:i w:val="0"/>
          <w:iCs w:val="0"/>
          <w:noProof/>
          <w:sz w:val="24"/>
          <w:rtl/>
        </w:rPr>
      </w:pPr>
      <w:hyperlink w:anchor="_Toc235119046" w:history="1">
        <w:r w:rsidRPr="00394FFF">
          <w:rPr>
            <w:rStyle w:val="Hyperlink"/>
            <w:bCs/>
            <w:noProof/>
            <w:rtl/>
          </w:rPr>
          <w:t>أوجه الاختلاف بين الدراسات السابقة والدراسة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Toc235119046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8F917D0" w14:textId="4BE88406" w:rsidR="00B67283" w:rsidRDefault="00B67283">
      <w:pPr>
        <w:pStyle w:val="30"/>
        <w:tabs>
          <w:tab w:val="right" w:leader="dot" w:pos="9016"/>
        </w:tabs>
        <w:rPr>
          <w:rFonts w:cstheme="minorBidi"/>
          <w:i w:val="0"/>
          <w:iCs w:val="0"/>
          <w:noProof/>
          <w:sz w:val="24"/>
          <w:rtl/>
        </w:rPr>
      </w:pPr>
      <w:hyperlink w:anchor="_Toc235119047" w:history="1">
        <w:r w:rsidRPr="00394FFF">
          <w:rPr>
            <w:rStyle w:val="Hyperlink"/>
            <w:bCs/>
            <w:noProof/>
            <w:rtl/>
          </w:rPr>
          <w:t>ما يميز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Toc235119047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7137A40" w14:textId="3AC63C03" w:rsidR="00B67283" w:rsidRDefault="00B67283">
      <w:pPr>
        <w:pStyle w:val="11"/>
        <w:tabs>
          <w:tab w:val="right" w:leader="dot" w:pos="9016"/>
        </w:tabs>
        <w:rPr>
          <w:rFonts w:cstheme="minorBidi"/>
          <w:b w:val="0"/>
          <w:bCs w:val="0"/>
          <w:caps w:val="0"/>
          <w:noProof/>
          <w:sz w:val="24"/>
          <w:rtl/>
        </w:rPr>
      </w:pPr>
      <w:hyperlink w:anchor="_Toc235119048" w:history="1">
        <w:r w:rsidRPr="00394FFF">
          <w:rPr>
            <w:rStyle w:val="Hyperlink"/>
            <w:noProof/>
            <w:rtl/>
          </w:rPr>
          <w:t>الفصل الثالث: الطريقة والإجراءات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Toc235119048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7145D478" w14:textId="2B3E5FA5" w:rsidR="00B67283" w:rsidRDefault="00B67283">
      <w:pPr>
        <w:pStyle w:val="20"/>
        <w:tabs>
          <w:tab w:val="right" w:leader="dot" w:pos="9016"/>
        </w:tabs>
        <w:rPr>
          <w:rFonts w:cstheme="minorBidi"/>
          <w:smallCaps w:val="0"/>
          <w:noProof/>
          <w:sz w:val="24"/>
          <w:rtl/>
        </w:rPr>
      </w:pPr>
      <w:hyperlink w:anchor="_Toc235119049" w:history="1">
        <w:r w:rsidRPr="00394FFF">
          <w:rPr>
            <w:rStyle w:val="Hyperlink"/>
            <w:bCs/>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Toc235119049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1EF4FD07" w14:textId="6A26C633" w:rsidR="00B67283" w:rsidRDefault="00B67283">
      <w:pPr>
        <w:pStyle w:val="20"/>
        <w:tabs>
          <w:tab w:val="right" w:leader="dot" w:pos="9016"/>
        </w:tabs>
        <w:rPr>
          <w:rFonts w:cstheme="minorBidi"/>
          <w:smallCaps w:val="0"/>
          <w:noProof/>
          <w:sz w:val="24"/>
          <w:rtl/>
        </w:rPr>
      </w:pPr>
      <w:hyperlink w:anchor="_Toc235119050" w:history="1">
        <w:r w:rsidRPr="00394FFF">
          <w:rPr>
            <w:rStyle w:val="Hyperlink"/>
            <w:bCs/>
            <w:noProof/>
            <w:rtl/>
          </w:rPr>
          <w:t>مجتمع الدراسة وعينتها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Toc235119050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379BAB91" w14:textId="337D8EAB" w:rsidR="00B67283" w:rsidRDefault="00B67283">
      <w:pPr>
        <w:pStyle w:val="20"/>
        <w:tabs>
          <w:tab w:val="right" w:leader="dot" w:pos="9016"/>
        </w:tabs>
        <w:rPr>
          <w:rFonts w:cstheme="minorBidi"/>
          <w:smallCaps w:val="0"/>
          <w:noProof/>
          <w:sz w:val="24"/>
          <w:rtl/>
        </w:rPr>
      </w:pPr>
      <w:hyperlink w:anchor="_Toc235119051" w:history="1">
        <w:r w:rsidRPr="00394FFF">
          <w:rPr>
            <w:rStyle w:val="Hyperlink"/>
            <w:bCs/>
            <w:noProof/>
            <w:rtl/>
          </w:rPr>
          <w:t>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Toc235119051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6A11B217" w14:textId="3EA06CA5" w:rsidR="00B67283" w:rsidRDefault="00B67283">
      <w:pPr>
        <w:pStyle w:val="20"/>
        <w:tabs>
          <w:tab w:val="right" w:leader="dot" w:pos="9016"/>
        </w:tabs>
        <w:rPr>
          <w:rFonts w:cstheme="minorBidi"/>
          <w:smallCaps w:val="0"/>
          <w:noProof/>
          <w:sz w:val="24"/>
          <w:rtl/>
        </w:rPr>
      </w:pPr>
      <w:hyperlink w:anchor="_Toc235119052" w:history="1">
        <w:r w:rsidRPr="00394FFF">
          <w:rPr>
            <w:rStyle w:val="Hyperlink"/>
            <w:bCs/>
            <w:noProof/>
            <w:rtl/>
          </w:rPr>
          <w:t>صدق وثبات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Toc235119052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43EA0315" w14:textId="3A290AC7" w:rsidR="00B67283" w:rsidRDefault="00B67283">
      <w:pPr>
        <w:pStyle w:val="20"/>
        <w:tabs>
          <w:tab w:val="right" w:leader="dot" w:pos="9016"/>
        </w:tabs>
        <w:rPr>
          <w:rFonts w:cstheme="minorBidi"/>
          <w:smallCaps w:val="0"/>
          <w:noProof/>
          <w:sz w:val="24"/>
          <w:rtl/>
        </w:rPr>
      </w:pPr>
      <w:hyperlink w:anchor="_Toc235119053" w:history="1">
        <w:r w:rsidRPr="00394FFF">
          <w:rPr>
            <w:rStyle w:val="Hyperlink"/>
            <w:bCs/>
            <w:noProof/>
            <w:rtl/>
          </w:rPr>
          <w:t>متغيرات الدراسة وكيفية قياسها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Toc235119053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03851799" w14:textId="3CA0F56B" w:rsidR="00B67283" w:rsidRDefault="00B67283">
      <w:pPr>
        <w:pStyle w:val="20"/>
        <w:tabs>
          <w:tab w:val="right" w:leader="dot" w:pos="9016"/>
        </w:tabs>
        <w:rPr>
          <w:rFonts w:cstheme="minorBidi"/>
          <w:smallCaps w:val="0"/>
          <w:noProof/>
          <w:sz w:val="24"/>
          <w:rtl/>
        </w:rPr>
      </w:pPr>
      <w:hyperlink w:anchor="_Toc235119054" w:history="1">
        <w:r w:rsidRPr="00394FFF">
          <w:rPr>
            <w:rStyle w:val="Hyperlink"/>
            <w:bCs/>
            <w:noProof/>
            <w:rtl/>
          </w:rPr>
          <w:t>أسلوب 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Toc235119054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23E6E954" w14:textId="797C02E3" w:rsidR="00B67283" w:rsidRDefault="00B67283">
      <w:pPr>
        <w:pStyle w:val="11"/>
        <w:tabs>
          <w:tab w:val="right" w:leader="dot" w:pos="9016"/>
        </w:tabs>
        <w:rPr>
          <w:rFonts w:cstheme="minorBidi"/>
          <w:b w:val="0"/>
          <w:bCs w:val="0"/>
          <w:caps w:val="0"/>
          <w:noProof/>
          <w:sz w:val="24"/>
          <w:rtl/>
        </w:rPr>
      </w:pPr>
      <w:hyperlink w:anchor="_Toc235119055" w:history="1">
        <w:r w:rsidRPr="00394FFF">
          <w:rPr>
            <w:rStyle w:val="Hyperlink"/>
            <w:noProof/>
            <w:rtl/>
            <w:lang w:bidi="ar-YE"/>
          </w:rPr>
          <w:t>الفصل الرابع: نتائج الدراسة واختبار الفروض</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Toc235119055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6C91FD73" w14:textId="6445B0E2" w:rsidR="00B67283" w:rsidRDefault="00B67283">
      <w:pPr>
        <w:pStyle w:val="20"/>
        <w:tabs>
          <w:tab w:val="right" w:leader="dot" w:pos="9016"/>
        </w:tabs>
        <w:rPr>
          <w:rFonts w:cstheme="minorBidi"/>
          <w:smallCaps w:val="0"/>
          <w:noProof/>
          <w:sz w:val="24"/>
          <w:rtl/>
        </w:rPr>
      </w:pPr>
      <w:hyperlink w:anchor="_Toc235119056" w:history="1">
        <w:r w:rsidRPr="00394FFF">
          <w:rPr>
            <w:rStyle w:val="Hyperlink"/>
            <w:bCs/>
            <w:noProof/>
            <w:rtl/>
            <w:lang w:bidi="ar-YE"/>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Toc235119056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7B51EFC" w14:textId="6A19E1C7" w:rsidR="00B67283" w:rsidRDefault="00B67283">
      <w:pPr>
        <w:pStyle w:val="20"/>
        <w:tabs>
          <w:tab w:val="right" w:leader="dot" w:pos="9016"/>
        </w:tabs>
        <w:rPr>
          <w:rFonts w:cstheme="minorBidi"/>
          <w:smallCaps w:val="0"/>
          <w:noProof/>
          <w:sz w:val="24"/>
          <w:rtl/>
        </w:rPr>
      </w:pPr>
      <w:hyperlink w:anchor="_Toc235119057" w:history="1">
        <w:r w:rsidRPr="00394FFF">
          <w:rPr>
            <w:rStyle w:val="Hyperlink"/>
            <w:bCs/>
            <w:noProof/>
            <w:rtl/>
            <w:lang w:bidi="ar-YE"/>
          </w:rPr>
          <w:t>أولاً: التحليل الوصفي للبيانات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Toc235119057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A728D47" w14:textId="1B7A01A2" w:rsidR="00B67283" w:rsidRDefault="00B67283">
      <w:pPr>
        <w:pStyle w:val="20"/>
        <w:tabs>
          <w:tab w:val="right" w:leader="dot" w:pos="9016"/>
        </w:tabs>
        <w:rPr>
          <w:rFonts w:cstheme="minorBidi"/>
          <w:smallCaps w:val="0"/>
          <w:noProof/>
          <w:sz w:val="24"/>
          <w:rtl/>
        </w:rPr>
      </w:pPr>
      <w:hyperlink w:anchor="_Toc235119058" w:history="1">
        <w:r w:rsidRPr="00394FFF">
          <w:rPr>
            <w:rStyle w:val="Hyperlink"/>
            <w:bCs/>
            <w:noProof/>
            <w:rtl/>
            <w:lang w:bidi="ar-YE"/>
          </w:rPr>
          <w:t>ثانياً: اختبار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Toc235119058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57A2AD91" w14:textId="5ACFB04E" w:rsidR="00B67283" w:rsidRDefault="00B67283">
      <w:pPr>
        <w:pStyle w:val="20"/>
        <w:tabs>
          <w:tab w:val="right" w:leader="dot" w:pos="9016"/>
        </w:tabs>
        <w:rPr>
          <w:rFonts w:cstheme="minorBidi"/>
          <w:smallCaps w:val="0"/>
          <w:noProof/>
          <w:sz w:val="24"/>
          <w:rtl/>
        </w:rPr>
      </w:pPr>
      <w:hyperlink w:anchor="_Toc235119059" w:history="1">
        <w:r w:rsidRPr="00394FFF">
          <w:rPr>
            <w:rStyle w:val="Hyperlink"/>
            <w:bCs/>
            <w:noProof/>
            <w:rtl/>
            <w:lang w:bidi="ar-YE"/>
          </w:rPr>
          <w:t>ثالثاً: تحليل الفروق للإجابة على التساؤل الخامس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Toc235119059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16E9662D" w14:textId="0B3B4DD9" w:rsidR="00B67283" w:rsidRDefault="00B67283">
      <w:pPr>
        <w:pStyle w:val="20"/>
        <w:tabs>
          <w:tab w:val="right" w:leader="dot" w:pos="9016"/>
        </w:tabs>
        <w:rPr>
          <w:rFonts w:cstheme="minorBidi"/>
          <w:smallCaps w:val="0"/>
          <w:noProof/>
          <w:sz w:val="24"/>
          <w:rtl/>
        </w:rPr>
      </w:pPr>
      <w:hyperlink w:anchor="_Toc235119060" w:history="1">
        <w:r w:rsidRPr="00394FFF">
          <w:rPr>
            <w:rStyle w:val="Hyperlink"/>
            <w:bCs/>
            <w:noProof/>
            <w:rtl/>
            <w:lang w:bidi="ar-YE"/>
          </w:rPr>
          <w:t>رابعاً: ملخص نتائج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Toc235119060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13017F4D" w14:textId="3E91A61C" w:rsidR="00B67283" w:rsidRDefault="00B67283">
      <w:pPr>
        <w:pStyle w:val="11"/>
        <w:tabs>
          <w:tab w:val="right" w:leader="dot" w:pos="9016"/>
        </w:tabs>
        <w:rPr>
          <w:rFonts w:cstheme="minorBidi"/>
          <w:b w:val="0"/>
          <w:bCs w:val="0"/>
          <w:caps w:val="0"/>
          <w:noProof/>
          <w:sz w:val="24"/>
          <w:rtl/>
        </w:rPr>
      </w:pPr>
      <w:hyperlink w:anchor="_Toc235119061" w:history="1">
        <w:r w:rsidRPr="00394FFF">
          <w:rPr>
            <w:rStyle w:val="Hyperlink"/>
            <w:noProof/>
            <w:rtl/>
          </w:rPr>
          <w:t>الفصل الخامس: الخاتمة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Toc235119061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3B7D743B" w14:textId="7BBBE211" w:rsidR="00B67283" w:rsidRDefault="00B67283">
      <w:pPr>
        <w:pStyle w:val="20"/>
        <w:tabs>
          <w:tab w:val="right" w:leader="dot" w:pos="9016"/>
        </w:tabs>
        <w:rPr>
          <w:rFonts w:cstheme="minorBidi"/>
          <w:smallCaps w:val="0"/>
          <w:noProof/>
          <w:sz w:val="24"/>
          <w:rtl/>
        </w:rPr>
      </w:pPr>
      <w:hyperlink w:anchor="_Toc235119062" w:history="1">
        <w:r w:rsidRPr="00394FFF">
          <w:rPr>
            <w:rStyle w:val="Hyperlink"/>
            <w:bCs/>
            <w:noProof/>
            <w:rtl/>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Toc235119062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56E0CB4E" w14:textId="37C2762D" w:rsidR="00B67283" w:rsidRDefault="00B67283">
      <w:pPr>
        <w:pStyle w:val="20"/>
        <w:tabs>
          <w:tab w:val="right" w:leader="dot" w:pos="9016"/>
        </w:tabs>
        <w:rPr>
          <w:rFonts w:cstheme="minorBidi"/>
          <w:smallCaps w:val="0"/>
          <w:noProof/>
          <w:sz w:val="24"/>
          <w:rtl/>
        </w:rPr>
      </w:pPr>
      <w:hyperlink w:anchor="_Toc235119063" w:history="1">
        <w:r w:rsidRPr="00394FFF">
          <w:rPr>
            <w:rStyle w:val="Hyperlink"/>
            <w:bCs/>
            <w:noProof/>
            <w:rtl/>
          </w:rPr>
          <w:t>مناقشة النتائج في ضوء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Toc235119063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08E4614E" w14:textId="3D4C9893" w:rsidR="00B67283" w:rsidRDefault="00B67283">
      <w:pPr>
        <w:pStyle w:val="20"/>
        <w:tabs>
          <w:tab w:val="right" w:leader="dot" w:pos="9016"/>
        </w:tabs>
        <w:rPr>
          <w:rFonts w:cstheme="minorBidi"/>
          <w:smallCaps w:val="0"/>
          <w:noProof/>
          <w:sz w:val="24"/>
          <w:rtl/>
        </w:rPr>
      </w:pPr>
      <w:hyperlink w:anchor="_Toc235119064" w:history="1">
        <w:r w:rsidRPr="00394FFF">
          <w:rPr>
            <w:rStyle w:val="Hyperlink"/>
            <w:bCs/>
            <w:noProof/>
            <w:rtl/>
          </w:rPr>
          <w:t>التوصيات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Toc235119064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3C75AB61" w14:textId="38EDB7EC" w:rsidR="00B67283" w:rsidRDefault="00B67283">
      <w:pPr>
        <w:pStyle w:val="20"/>
        <w:tabs>
          <w:tab w:val="right" w:leader="dot" w:pos="9016"/>
        </w:tabs>
        <w:rPr>
          <w:rFonts w:cstheme="minorBidi"/>
          <w:smallCaps w:val="0"/>
          <w:noProof/>
          <w:sz w:val="24"/>
          <w:rtl/>
        </w:rPr>
      </w:pPr>
      <w:hyperlink w:anchor="_Toc235119065" w:history="1">
        <w:r w:rsidRPr="00394FFF">
          <w:rPr>
            <w:rStyle w:val="Hyperlink"/>
            <w:bCs/>
            <w:noProof/>
            <w:rtl/>
          </w:rPr>
          <w:t>مقترحات الدراسات المستقبلية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Toc235119065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093C6B01" w14:textId="5D1DDF44" w:rsidR="00B67283" w:rsidRDefault="00B67283">
      <w:pPr>
        <w:pStyle w:val="20"/>
        <w:tabs>
          <w:tab w:val="right" w:leader="dot" w:pos="9016"/>
        </w:tabs>
        <w:rPr>
          <w:rFonts w:cstheme="minorBidi"/>
          <w:smallCaps w:val="0"/>
          <w:noProof/>
          <w:sz w:val="24"/>
          <w:rtl/>
        </w:rPr>
      </w:pPr>
      <w:hyperlink w:anchor="_Toc235119066" w:history="1">
        <w:r w:rsidRPr="00394FFF">
          <w:rPr>
            <w:rStyle w:val="Hyperlink"/>
            <w:bCs/>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Toc235119066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6DE1B2C4" w14:textId="6B694444" w:rsidR="00B67283" w:rsidRDefault="00B67283">
      <w:pPr>
        <w:pStyle w:val="11"/>
        <w:tabs>
          <w:tab w:val="right" w:leader="dot" w:pos="9016"/>
        </w:tabs>
        <w:rPr>
          <w:rFonts w:cstheme="minorBidi"/>
          <w:b w:val="0"/>
          <w:bCs w:val="0"/>
          <w:caps w:val="0"/>
          <w:noProof/>
          <w:sz w:val="24"/>
          <w:rtl/>
        </w:rPr>
      </w:pPr>
      <w:hyperlink w:anchor="_Toc235119067" w:history="1">
        <w:r w:rsidRPr="00394FFF">
          <w:rPr>
            <w:rStyle w:val="Hyperlink"/>
            <w:noProof/>
            <w:rtl/>
          </w:rPr>
          <w:t>قائمة 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Toc235119067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06940C42" w14:textId="2A8B4191" w:rsidR="00B67283" w:rsidRDefault="00B67283">
      <w:pPr>
        <w:pStyle w:val="20"/>
        <w:tabs>
          <w:tab w:val="right" w:leader="dot" w:pos="9016"/>
        </w:tabs>
        <w:rPr>
          <w:rFonts w:cstheme="minorBidi"/>
          <w:smallCaps w:val="0"/>
          <w:noProof/>
          <w:sz w:val="24"/>
          <w:rtl/>
        </w:rPr>
      </w:pPr>
      <w:hyperlink w:anchor="_Toc235119068" w:history="1">
        <w:r w:rsidRPr="00394FFF">
          <w:rPr>
            <w:rStyle w:val="Hyperlink"/>
            <w:bCs/>
            <w:noProof/>
            <w:rtl/>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Toc235119068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78A6E79C" w14:textId="4C60591E" w:rsidR="00B67283" w:rsidRDefault="00B67283">
      <w:pPr>
        <w:pStyle w:val="20"/>
        <w:tabs>
          <w:tab w:val="right" w:leader="dot" w:pos="9016"/>
        </w:tabs>
        <w:rPr>
          <w:rFonts w:cstheme="minorBidi"/>
          <w:smallCaps w:val="0"/>
          <w:noProof/>
          <w:sz w:val="24"/>
          <w:rtl/>
        </w:rPr>
      </w:pPr>
      <w:hyperlink w:anchor="_Toc235119069" w:history="1">
        <w:r w:rsidRPr="00394FFF">
          <w:rPr>
            <w:rStyle w:val="Hyperlink"/>
            <w:bCs/>
            <w:noProof/>
            <w:rtl/>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Toc235119069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36104F3F" w14:textId="05E38630" w:rsidR="00B67283" w:rsidRDefault="00B67283">
      <w:pPr>
        <w:pStyle w:val="11"/>
        <w:tabs>
          <w:tab w:val="right" w:leader="dot" w:pos="9016"/>
        </w:tabs>
        <w:rPr>
          <w:rFonts w:cstheme="minorBidi"/>
          <w:b w:val="0"/>
          <w:bCs w:val="0"/>
          <w:caps w:val="0"/>
          <w:noProof/>
          <w:sz w:val="24"/>
          <w:rtl/>
        </w:rPr>
      </w:pPr>
      <w:hyperlink w:anchor="_Toc235119070" w:history="1">
        <w:r w:rsidRPr="00394FFF">
          <w:rPr>
            <w:rStyle w:val="Hyperlink"/>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Toc235119070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2ABCFC3B" w14:textId="77725C95" w:rsidR="00B67283" w:rsidRDefault="00B67283">
      <w:pPr>
        <w:pStyle w:val="20"/>
        <w:tabs>
          <w:tab w:val="right" w:leader="dot" w:pos="9016"/>
        </w:tabs>
        <w:rPr>
          <w:rFonts w:cstheme="minorBidi"/>
          <w:smallCaps w:val="0"/>
          <w:noProof/>
          <w:sz w:val="24"/>
          <w:rtl/>
        </w:rPr>
      </w:pPr>
      <w:hyperlink w:anchor="_Toc235119071" w:history="1">
        <w:r w:rsidRPr="00394FFF">
          <w:rPr>
            <w:rStyle w:val="Hyperlink"/>
            <w:bCs/>
            <w:noProof/>
            <w:rtl/>
          </w:rPr>
          <w:t>ملحق (١): استبيان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Toc235119071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5F71B82D" w14:textId="2F251CD4" w:rsidR="00CE231C" w:rsidRDefault="00B01EA5" w:rsidP="00E17564">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fldChar w:fldCharType="end"/>
      </w:r>
    </w:p>
    <w:p w14:paraId="28B372A9" w14:textId="77777777" w:rsidR="00CE231C" w:rsidRDefault="00CE231C">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7428ED8" w14:textId="77777777" w:rsidR="00CE231C" w:rsidRPr="00891197" w:rsidRDefault="00CE231C" w:rsidP="00891197">
      <w:pPr>
        <w:pStyle w:val="2"/>
        <w:rPr>
          <w:b w:val="0"/>
          <w:bCs/>
          <w:rtl/>
        </w:rPr>
      </w:pPr>
      <w:bookmarkStart w:id="6" w:name="_Toc235119016"/>
      <w:r w:rsidRPr="00891197">
        <w:rPr>
          <w:rFonts w:hint="cs"/>
          <w:b w:val="0"/>
          <w:bCs/>
          <w:rtl/>
        </w:rPr>
        <w:lastRenderedPageBreak/>
        <w:t>قائمة الجداول</w:t>
      </w:r>
      <w:bookmarkEnd w:id="6"/>
      <w:r w:rsidRPr="00891197">
        <w:rPr>
          <w:rFonts w:hint="cs"/>
          <w:b w:val="0"/>
          <w:bCs/>
          <w:rtl/>
        </w:rPr>
        <w:t xml:space="preserve"> </w:t>
      </w:r>
    </w:p>
    <w:tbl>
      <w:tblPr>
        <w:tblStyle w:val="10"/>
        <w:bidiVisual/>
        <w:tblW w:w="5000" w:type="pct"/>
        <w:tblLook w:val="0720" w:firstRow="1" w:lastRow="0" w:firstColumn="0" w:lastColumn="1" w:noHBand="1" w:noVBand="1"/>
      </w:tblPr>
      <w:tblGrid>
        <w:gridCol w:w="7873"/>
        <w:gridCol w:w="1143"/>
      </w:tblGrid>
      <w:tr w:rsidR="009C0B5D" w:rsidRPr="008832D5" w14:paraId="05B1F911" w14:textId="77777777" w:rsidTr="00097C7F">
        <w:trPr>
          <w:cnfStyle w:val="100000000000" w:firstRow="1" w:lastRow="0" w:firstColumn="0" w:lastColumn="0" w:oddVBand="0" w:evenVBand="0" w:oddHBand="0" w:evenHBand="0" w:firstRowFirstColumn="0" w:firstRowLastColumn="0" w:lastRowFirstColumn="0" w:lastRowLastColumn="0"/>
          <w:trHeight w:val="270"/>
        </w:trPr>
        <w:tc>
          <w:tcPr>
            <w:tcW w:w="4409" w:type="pct"/>
            <w:vAlign w:val="center"/>
          </w:tcPr>
          <w:p w14:paraId="1F6EB8F5" w14:textId="77777777" w:rsidR="009C0B5D" w:rsidRPr="008832D5" w:rsidRDefault="009C0B5D" w:rsidP="00097C7F">
            <w:pPr>
              <w:jc w:val="center"/>
              <w:rPr>
                <w:rFonts w:asciiTheme="minorBidi" w:eastAsia="Times New Roman" w:hAnsiTheme="minorBidi"/>
                <w:color w:val="000000"/>
                <w:rtl/>
              </w:rPr>
            </w:pPr>
            <w:r w:rsidRPr="008832D5">
              <w:rPr>
                <w:rFonts w:asciiTheme="minorBidi" w:eastAsia="Times New Roman" w:hAnsiTheme="minorBidi"/>
                <w:color w:val="000000"/>
                <w:rtl/>
              </w:rPr>
              <w:t>الجدول</w:t>
            </w:r>
          </w:p>
        </w:tc>
        <w:tc>
          <w:tcPr>
            <w:cnfStyle w:val="000100000000" w:firstRow="0" w:lastRow="0" w:firstColumn="0" w:lastColumn="1" w:oddVBand="0" w:evenVBand="0" w:oddHBand="0" w:evenHBand="0" w:firstRowFirstColumn="0" w:firstRowLastColumn="0" w:lastRowFirstColumn="0" w:lastRowLastColumn="0"/>
            <w:tcW w:w="591" w:type="pct"/>
            <w:noWrap/>
            <w:vAlign w:val="center"/>
          </w:tcPr>
          <w:p w14:paraId="75BA433A" w14:textId="77777777" w:rsidR="009C0B5D" w:rsidRPr="008832D5" w:rsidRDefault="009C0B5D" w:rsidP="00097C7F">
            <w:pPr>
              <w:jc w:val="center"/>
              <w:rPr>
                <w:rFonts w:asciiTheme="minorBidi" w:eastAsia="Times New Roman" w:hAnsiTheme="minorBidi"/>
                <w:color w:val="000000"/>
                <w:rtl/>
              </w:rPr>
            </w:pPr>
            <w:r w:rsidRPr="008832D5">
              <w:rPr>
                <w:rFonts w:asciiTheme="minorBidi" w:eastAsia="Times New Roman" w:hAnsiTheme="minorBidi"/>
                <w:color w:val="000000"/>
                <w:rtl/>
              </w:rPr>
              <w:t>رقم الصفحة</w:t>
            </w:r>
          </w:p>
        </w:tc>
      </w:tr>
      <w:tr w:rsidR="009C0B5D" w:rsidRPr="008832D5" w14:paraId="054C7BCF" w14:textId="77777777" w:rsidTr="00097C7F">
        <w:trPr>
          <w:trHeight w:val="270"/>
        </w:trPr>
        <w:tc>
          <w:tcPr>
            <w:tcW w:w="4409" w:type="pct"/>
            <w:vAlign w:val="center"/>
            <w:hideMark/>
          </w:tcPr>
          <w:p w14:paraId="17ACB15C" w14:textId="77777777" w:rsidR="009C0B5D" w:rsidRPr="008832D5" w:rsidRDefault="009C0B5D" w:rsidP="00097C7F">
            <w:pPr>
              <w:rPr>
                <w:rFonts w:asciiTheme="minorBidi" w:eastAsia="Times New Roman" w:hAnsiTheme="minorBidi"/>
                <w:color w:val="000000"/>
                <w:kern w:val="0"/>
                <w14:ligatures w14:val="none"/>
              </w:rPr>
            </w:pPr>
            <w:r w:rsidRPr="008832D5">
              <w:rPr>
                <w:rFonts w:asciiTheme="minorBidi" w:eastAsia="Times New Roman" w:hAnsiTheme="minorBidi"/>
                <w:color w:val="000000"/>
                <w:rtl/>
              </w:rPr>
              <w:t>جدول (٣-١): معاملات الثبات لمحاور أداة الدراسة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571CC207" w14:textId="77777777" w:rsidR="009C0B5D" w:rsidRPr="008832D5" w:rsidRDefault="008C757A" w:rsidP="00097C7F">
            <w:pPr>
              <w:jc w:val="center"/>
              <w:rPr>
                <w:rFonts w:asciiTheme="minorBidi" w:eastAsia="Times New Roman" w:hAnsiTheme="minorBidi"/>
                <w:color w:val="000000"/>
                <w:rtl/>
              </w:rPr>
            </w:pPr>
            <w:r>
              <w:rPr>
                <w:rFonts w:asciiTheme="minorBidi" w:eastAsia="Times New Roman" w:hAnsiTheme="minorBidi" w:hint="cs"/>
                <w:color w:val="000000"/>
                <w:rtl/>
              </w:rPr>
              <w:t>30</w:t>
            </w:r>
          </w:p>
        </w:tc>
      </w:tr>
      <w:tr w:rsidR="009C0B5D" w:rsidRPr="008832D5" w14:paraId="5BD857BA" w14:textId="77777777" w:rsidTr="00097C7F">
        <w:trPr>
          <w:trHeight w:val="525"/>
        </w:trPr>
        <w:tc>
          <w:tcPr>
            <w:tcW w:w="4409" w:type="pct"/>
            <w:vAlign w:val="center"/>
            <w:hideMark/>
          </w:tcPr>
          <w:p w14:paraId="623671F0"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 التوزيع النسبي والتكراري لخصائص عينة الدراسة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5DBDF7CD" w14:textId="77777777" w:rsidR="009C0B5D" w:rsidRPr="008832D5" w:rsidRDefault="008C757A" w:rsidP="00097C7F">
            <w:pPr>
              <w:jc w:val="center"/>
              <w:rPr>
                <w:rFonts w:asciiTheme="minorBidi" w:eastAsia="Times New Roman" w:hAnsiTheme="minorBidi"/>
                <w:color w:val="000000"/>
                <w:rtl/>
              </w:rPr>
            </w:pPr>
            <w:r>
              <w:rPr>
                <w:rFonts w:asciiTheme="minorBidi" w:eastAsia="Times New Roman" w:hAnsiTheme="minorBidi" w:hint="cs"/>
                <w:color w:val="000000"/>
                <w:rtl/>
              </w:rPr>
              <w:t>36</w:t>
            </w:r>
          </w:p>
        </w:tc>
      </w:tr>
      <w:tr w:rsidR="009C0B5D" w:rsidRPr="008832D5" w14:paraId="612CCA58" w14:textId="77777777" w:rsidTr="00097C7F">
        <w:trPr>
          <w:trHeight w:val="525"/>
        </w:trPr>
        <w:tc>
          <w:tcPr>
            <w:tcW w:w="4409" w:type="pct"/>
            <w:vAlign w:val="center"/>
            <w:hideMark/>
          </w:tcPr>
          <w:p w14:paraId="15AA55C3"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(٤-٢): المتوسطات الحسابية والانحرافات المعيارية لمتغيرات الدراسة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42A8CF7D" w14:textId="77777777" w:rsidR="009C0B5D" w:rsidRPr="008832D5" w:rsidRDefault="00714541" w:rsidP="00097C7F">
            <w:pPr>
              <w:jc w:val="center"/>
              <w:rPr>
                <w:rFonts w:asciiTheme="minorBidi" w:eastAsia="Times New Roman" w:hAnsiTheme="minorBidi"/>
                <w:color w:val="000000"/>
                <w:rtl/>
              </w:rPr>
            </w:pPr>
            <w:r>
              <w:rPr>
                <w:rFonts w:asciiTheme="minorBidi" w:eastAsia="Times New Roman" w:hAnsiTheme="minorBidi" w:hint="cs"/>
                <w:color w:val="000000"/>
                <w:rtl/>
              </w:rPr>
              <w:t>38</w:t>
            </w:r>
          </w:p>
        </w:tc>
      </w:tr>
      <w:tr w:rsidR="009C0B5D" w:rsidRPr="008832D5" w14:paraId="2197EA88" w14:textId="77777777" w:rsidTr="00097C7F">
        <w:trPr>
          <w:trHeight w:val="525"/>
        </w:trPr>
        <w:tc>
          <w:tcPr>
            <w:tcW w:w="4409" w:type="pct"/>
            <w:vAlign w:val="center"/>
            <w:hideMark/>
          </w:tcPr>
          <w:p w14:paraId="0E5B8D4E"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(٤-٣): مصفوفة ارتباط بيرسون لمتغيرات الدراسة الرئيسية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69489C0F" w14:textId="77777777" w:rsidR="009C0B5D" w:rsidRPr="008832D5" w:rsidRDefault="00714541" w:rsidP="00097C7F">
            <w:pPr>
              <w:jc w:val="center"/>
              <w:rPr>
                <w:rFonts w:asciiTheme="minorBidi" w:eastAsia="Times New Roman" w:hAnsiTheme="minorBidi"/>
                <w:color w:val="000000"/>
                <w:rtl/>
              </w:rPr>
            </w:pPr>
            <w:r>
              <w:rPr>
                <w:rFonts w:asciiTheme="minorBidi" w:eastAsia="Times New Roman" w:hAnsiTheme="minorBidi" w:hint="cs"/>
                <w:color w:val="000000"/>
                <w:rtl/>
              </w:rPr>
              <w:t>39</w:t>
            </w:r>
          </w:p>
        </w:tc>
      </w:tr>
      <w:tr w:rsidR="009C0B5D" w:rsidRPr="008832D5" w14:paraId="0B6B9AD3" w14:textId="77777777" w:rsidTr="00097C7F">
        <w:trPr>
          <w:trHeight w:val="525"/>
        </w:trPr>
        <w:tc>
          <w:tcPr>
            <w:tcW w:w="4409" w:type="pct"/>
            <w:vAlign w:val="center"/>
            <w:hideMark/>
          </w:tcPr>
          <w:p w14:paraId="5C0D1947"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(٤-٤): نتائج تحليل الانحدار لأثر التحول الصحي على بيئة العمل النفسية المستدامة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7D8FA9A2" w14:textId="77777777" w:rsidR="009C0B5D" w:rsidRPr="008832D5" w:rsidRDefault="009C4018" w:rsidP="00097C7F">
            <w:pPr>
              <w:jc w:val="center"/>
              <w:rPr>
                <w:rFonts w:asciiTheme="minorBidi" w:eastAsia="Times New Roman" w:hAnsiTheme="minorBidi"/>
                <w:color w:val="000000"/>
                <w:rtl/>
              </w:rPr>
            </w:pPr>
            <w:r>
              <w:rPr>
                <w:rFonts w:asciiTheme="minorBidi" w:eastAsia="Times New Roman" w:hAnsiTheme="minorBidi" w:hint="cs"/>
                <w:color w:val="000000"/>
                <w:rtl/>
              </w:rPr>
              <w:t>40</w:t>
            </w:r>
          </w:p>
        </w:tc>
      </w:tr>
      <w:tr w:rsidR="009C0B5D" w:rsidRPr="008832D5" w14:paraId="1CF2E321" w14:textId="77777777" w:rsidTr="00097C7F">
        <w:trPr>
          <w:trHeight w:val="525"/>
        </w:trPr>
        <w:tc>
          <w:tcPr>
            <w:tcW w:w="4409" w:type="pct"/>
            <w:vAlign w:val="center"/>
            <w:hideMark/>
          </w:tcPr>
          <w:p w14:paraId="3A1F4494"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(٤-٥): نتائج تحليل الانحدار لأثر التحول الصحي على الاحتراق الوظيفي</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5C96B6E2" w14:textId="77777777" w:rsidR="009C0B5D" w:rsidRPr="008832D5" w:rsidRDefault="009C4018" w:rsidP="00097C7F">
            <w:pPr>
              <w:jc w:val="center"/>
              <w:rPr>
                <w:rFonts w:asciiTheme="minorBidi" w:eastAsia="Times New Roman" w:hAnsiTheme="minorBidi"/>
                <w:color w:val="000000"/>
                <w:rtl/>
              </w:rPr>
            </w:pPr>
            <w:r>
              <w:rPr>
                <w:rFonts w:asciiTheme="minorBidi" w:eastAsia="Times New Roman" w:hAnsiTheme="minorBidi" w:hint="cs"/>
                <w:color w:val="000000"/>
                <w:rtl/>
              </w:rPr>
              <w:t>41</w:t>
            </w:r>
          </w:p>
        </w:tc>
      </w:tr>
      <w:tr w:rsidR="009C0B5D" w:rsidRPr="008832D5" w14:paraId="0429D4FF" w14:textId="77777777" w:rsidTr="00097C7F">
        <w:trPr>
          <w:trHeight w:val="525"/>
        </w:trPr>
        <w:tc>
          <w:tcPr>
            <w:tcW w:w="4409" w:type="pct"/>
            <w:vAlign w:val="center"/>
            <w:hideMark/>
          </w:tcPr>
          <w:p w14:paraId="2D003976"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(٤-٦): نتائج تحليل الانحدار المتعدد لأثر التحول الصحي ورفاهية الموظفين في تقليل الاحتراق الوظيفي</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7CA940DA" w14:textId="77777777" w:rsidR="009C0B5D" w:rsidRPr="008832D5" w:rsidRDefault="009C4018" w:rsidP="00097C7F">
            <w:pPr>
              <w:jc w:val="center"/>
              <w:rPr>
                <w:rFonts w:asciiTheme="minorBidi" w:eastAsia="Times New Roman" w:hAnsiTheme="minorBidi"/>
                <w:color w:val="000000"/>
                <w:rtl/>
              </w:rPr>
            </w:pPr>
            <w:r>
              <w:rPr>
                <w:rFonts w:asciiTheme="minorBidi" w:eastAsia="Times New Roman" w:hAnsiTheme="minorBidi" w:hint="cs"/>
                <w:color w:val="000000"/>
                <w:rtl/>
              </w:rPr>
              <w:t>42</w:t>
            </w:r>
          </w:p>
        </w:tc>
      </w:tr>
      <w:tr w:rsidR="009C0B5D" w:rsidRPr="008832D5" w14:paraId="1DD6D7F8" w14:textId="77777777" w:rsidTr="00097C7F">
        <w:trPr>
          <w:trHeight w:val="525"/>
        </w:trPr>
        <w:tc>
          <w:tcPr>
            <w:tcW w:w="4409" w:type="pct"/>
            <w:vAlign w:val="center"/>
            <w:hideMark/>
          </w:tcPr>
          <w:p w14:paraId="53DD0065"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(٤-٧): ملخص نتائج المسارات الإحصائية لاختبار الدور الوسيط لرفاهية الموظفين</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606500A6" w14:textId="77777777" w:rsidR="009C0B5D" w:rsidRPr="008832D5" w:rsidRDefault="009C4018" w:rsidP="00097C7F">
            <w:pPr>
              <w:jc w:val="center"/>
              <w:rPr>
                <w:rFonts w:asciiTheme="minorBidi" w:eastAsia="Times New Roman" w:hAnsiTheme="minorBidi"/>
                <w:color w:val="000000"/>
                <w:rtl/>
              </w:rPr>
            </w:pPr>
            <w:r>
              <w:rPr>
                <w:rFonts w:asciiTheme="minorBidi" w:eastAsia="Times New Roman" w:hAnsiTheme="minorBidi" w:hint="cs"/>
                <w:color w:val="000000"/>
                <w:rtl/>
              </w:rPr>
              <w:t>43</w:t>
            </w:r>
          </w:p>
        </w:tc>
      </w:tr>
      <w:tr w:rsidR="009C0B5D" w:rsidRPr="008832D5" w14:paraId="75EF7705" w14:textId="77777777" w:rsidTr="00097C7F">
        <w:trPr>
          <w:trHeight w:val="525"/>
        </w:trPr>
        <w:tc>
          <w:tcPr>
            <w:tcW w:w="4409" w:type="pct"/>
            <w:vAlign w:val="center"/>
            <w:hideMark/>
          </w:tcPr>
          <w:p w14:paraId="5627FBA4"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(٤-٨): نتائج اختبار (</w:t>
            </w:r>
            <w:r w:rsidRPr="008832D5">
              <w:rPr>
                <w:rFonts w:asciiTheme="minorBidi" w:eastAsia="Times New Roman" w:hAnsiTheme="minorBidi"/>
                <w:color w:val="000000"/>
              </w:rPr>
              <w:t>t</w:t>
            </w:r>
            <w:r w:rsidRPr="008832D5">
              <w:rPr>
                <w:rFonts w:asciiTheme="minorBidi" w:eastAsia="Times New Roman" w:hAnsiTheme="minorBidi"/>
                <w:color w:val="000000"/>
                <w:rtl/>
              </w:rPr>
              <w:t>) للفروق بين متوسطات استجابات المبحوثين وفقاً لمتغير الجنس</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56EDA568" w14:textId="77777777" w:rsidR="009C0B5D" w:rsidRPr="008832D5" w:rsidRDefault="009C4018" w:rsidP="00097C7F">
            <w:pPr>
              <w:jc w:val="center"/>
              <w:rPr>
                <w:rFonts w:asciiTheme="minorBidi" w:eastAsia="Times New Roman" w:hAnsiTheme="minorBidi"/>
                <w:color w:val="000000"/>
                <w:rtl/>
              </w:rPr>
            </w:pPr>
            <w:r>
              <w:rPr>
                <w:rFonts w:asciiTheme="minorBidi" w:eastAsia="Times New Roman" w:hAnsiTheme="minorBidi" w:hint="cs"/>
                <w:color w:val="000000"/>
                <w:rtl/>
              </w:rPr>
              <w:t>45</w:t>
            </w:r>
          </w:p>
        </w:tc>
      </w:tr>
      <w:tr w:rsidR="009C0B5D" w:rsidRPr="008832D5" w14:paraId="1887E348" w14:textId="77777777" w:rsidTr="00097C7F">
        <w:trPr>
          <w:trHeight w:val="525"/>
        </w:trPr>
        <w:tc>
          <w:tcPr>
            <w:tcW w:w="4409" w:type="pct"/>
            <w:vAlign w:val="center"/>
            <w:hideMark/>
          </w:tcPr>
          <w:p w14:paraId="7EB5FEC3"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(٤-٩): نتائج تحليل التباين الأحادي للفروق في استجابات المبحوثين وفقاً لمتغير العمر</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26FB7A19" w14:textId="77777777" w:rsidR="009C0B5D" w:rsidRPr="008832D5" w:rsidRDefault="00E21018" w:rsidP="00097C7F">
            <w:pPr>
              <w:jc w:val="center"/>
              <w:rPr>
                <w:rFonts w:asciiTheme="minorBidi" w:eastAsia="Times New Roman" w:hAnsiTheme="minorBidi"/>
                <w:color w:val="000000"/>
                <w:rtl/>
              </w:rPr>
            </w:pPr>
            <w:r>
              <w:rPr>
                <w:rFonts w:asciiTheme="minorBidi" w:eastAsia="Times New Roman" w:hAnsiTheme="minorBidi" w:hint="cs"/>
                <w:color w:val="000000"/>
                <w:rtl/>
              </w:rPr>
              <w:t>46</w:t>
            </w:r>
          </w:p>
        </w:tc>
      </w:tr>
      <w:tr w:rsidR="009C0B5D" w:rsidRPr="008832D5" w14:paraId="60793D87" w14:textId="77777777" w:rsidTr="00097C7F">
        <w:trPr>
          <w:trHeight w:val="525"/>
        </w:trPr>
        <w:tc>
          <w:tcPr>
            <w:tcW w:w="4409" w:type="pct"/>
            <w:vAlign w:val="center"/>
            <w:hideMark/>
          </w:tcPr>
          <w:p w14:paraId="3026FE99"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(٤-١٠): نتائج تحليل التباين الأحادي للفروق وفقاً لسنوات الخبرة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63020B52" w14:textId="77777777" w:rsidR="009C0B5D" w:rsidRPr="008832D5" w:rsidRDefault="00E21018" w:rsidP="00097C7F">
            <w:pPr>
              <w:jc w:val="center"/>
              <w:rPr>
                <w:rFonts w:asciiTheme="minorBidi" w:eastAsia="Times New Roman" w:hAnsiTheme="minorBidi"/>
                <w:color w:val="000000"/>
                <w:rtl/>
              </w:rPr>
            </w:pPr>
            <w:r>
              <w:rPr>
                <w:rFonts w:asciiTheme="minorBidi" w:eastAsia="Times New Roman" w:hAnsiTheme="minorBidi" w:hint="cs"/>
                <w:color w:val="000000"/>
                <w:rtl/>
              </w:rPr>
              <w:t>47</w:t>
            </w:r>
          </w:p>
        </w:tc>
      </w:tr>
      <w:tr w:rsidR="009C0B5D" w:rsidRPr="008832D5" w14:paraId="1250298A" w14:textId="77777777" w:rsidTr="00097C7F">
        <w:trPr>
          <w:trHeight w:val="525"/>
        </w:trPr>
        <w:tc>
          <w:tcPr>
            <w:tcW w:w="4409" w:type="pct"/>
            <w:vAlign w:val="center"/>
            <w:hideMark/>
          </w:tcPr>
          <w:p w14:paraId="263A3DBC"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(٤-١١): نتائج تحليل التباين الأحادي للفروق وفقاً للمسمى الوظيفي</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235F1909" w14:textId="77777777" w:rsidR="009C0B5D" w:rsidRPr="008832D5" w:rsidRDefault="00E21018" w:rsidP="00097C7F">
            <w:pPr>
              <w:jc w:val="center"/>
              <w:rPr>
                <w:rFonts w:asciiTheme="minorBidi" w:eastAsia="Times New Roman" w:hAnsiTheme="minorBidi"/>
                <w:color w:val="000000"/>
                <w:rtl/>
              </w:rPr>
            </w:pPr>
            <w:r>
              <w:rPr>
                <w:rFonts w:asciiTheme="minorBidi" w:eastAsia="Times New Roman" w:hAnsiTheme="minorBidi" w:hint="cs"/>
                <w:color w:val="000000"/>
                <w:rtl/>
              </w:rPr>
              <w:t>48</w:t>
            </w:r>
          </w:p>
        </w:tc>
      </w:tr>
      <w:tr w:rsidR="009C0B5D" w:rsidRPr="008832D5" w14:paraId="6788B16B" w14:textId="77777777" w:rsidTr="00097C7F">
        <w:trPr>
          <w:trHeight w:val="525"/>
        </w:trPr>
        <w:tc>
          <w:tcPr>
            <w:tcW w:w="4409" w:type="pct"/>
            <w:vAlign w:val="center"/>
            <w:hideMark/>
          </w:tcPr>
          <w:p w14:paraId="2856609C"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(٤-١٢): نتائج تحليل التباين الأحادي للفروق وفقاً للدخل الشهري</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14C51378" w14:textId="77777777" w:rsidR="009C0B5D" w:rsidRPr="008832D5" w:rsidRDefault="00E21018" w:rsidP="00097C7F">
            <w:pPr>
              <w:jc w:val="center"/>
              <w:rPr>
                <w:rFonts w:asciiTheme="minorBidi" w:eastAsia="Times New Roman" w:hAnsiTheme="minorBidi"/>
                <w:color w:val="000000"/>
                <w:rtl/>
              </w:rPr>
            </w:pPr>
            <w:r>
              <w:rPr>
                <w:rFonts w:asciiTheme="minorBidi" w:eastAsia="Times New Roman" w:hAnsiTheme="minorBidi" w:hint="cs"/>
                <w:color w:val="000000"/>
                <w:rtl/>
              </w:rPr>
              <w:t>49</w:t>
            </w:r>
          </w:p>
        </w:tc>
      </w:tr>
      <w:tr w:rsidR="009C0B5D" w:rsidRPr="008832D5" w14:paraId="4DBA93F7" w14:textId="77777777" w:rsidTr="00097C7F">
        <w:trPr>
          <w:trHeight w:val="525"/>
        </w:trPr>
        <w:tc>
          <w:tcPr>
            <w:tcW w:w="4409" w:type="pct"/>
            <w:vAlign w:val="center"/>
            <w:hideMark/>
          </w:tcPr>
          <w:p w14:paraId="020B3303"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(٤-١٣): نتائج تحليل التباين الأحادي للفروق وفقاً للحالة الاجتماعية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02B0A51A" w14:textId="77777777" w:rsidR="009C0B5D" w:rsidRPr="008832D5" w:rsidRDefault="00E21018" w:rsidP="00097C7F">
            <w:pPr>
              <w:jc w:val="center"/>
              <w:rPr>
                <w:rFonts w:asciiTheme="minorBidi" w:eastAsia="Times New Roman" w:hAnsiTheme="minorBidi"/>
                <w:color w:val="000000"/>
                <w:rtl/>
              </w:rPr>
            </w:pPr>
            <w:r>
              <w:rPr>
                <w:rFonts w:asciiTheme="minorBidi" w:eastAsia="Times New Roman" w:hAnsiTheme="minorBidi" w:hint="cs"/>
                <w:color w:val="000000"/>
                <w:rtl/>
              </w:rPr>
              <w:t>50</w:t>
            </w:r>
          </w:p>
        </w:tc>
      </w:tr>
      <w:tr w:rsidR="009C0B5D" w:rsidRPr="008832D5" w14:paraId="45945438" w14:textId="77777777" w:rsidTr="00097C7F">
        <w:trPr>
          <w:trHeight w:val="270"/>
        </w:trPr>
        <w:tc>
          <w:tcPr>
            <w:tcW w:w="4409" w:type="pct"/>
            <w:vAlign w:val="center"/>
            <w:hideMark/>
          </w:tcPr>
          <w:p w14:paraId="09CB3A14"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(٤-١٤): ملخص نتائج اختبار فروض الدراسة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547FCACF" w14:textId="77777777" w:rsidR="009C0B5D" w:rsidRPr="008832D5" w:rsidRDefault="00E04133" w:rsidP="00097C7F">
            <w:pPr>
              <w:jc w:val="center"/>
              <w:rPr>
                <w:rFonts w:asciiTheme="minorBidi" w:eastAsia="Times New Roman" w:hAnsiTheme="minorBidi"/>
                <w:color w:val="000000"/>
                <w:rtl/>
              </w:rPr>
            </w:pPr>
            <w:r>
              <w:rPr>
                <w:rFonts w:asciiTheme="minorBidi" w:eastAsia="Times New Roman" w:hAnsiTheme="minorBidi" w:hint="cs"/>
                <w:color w:val="000000"/>
                <w:rtl/>
              </w:rPr>
              <w:t>51</w:t>
            </w:r>
          </w:p>
        </w:tc>
      </w:tr>
      <w:tr w:rsidR="00A61A27" w14:paraId="647084B4" w14:textId="77777777" w:rsidTr="00A61A27">
        <w:tc>
          <w:tcPr>
            <w:tcW w:w="7873" w:type="dxa"/>
            <w:tcMar>
              <w:top w:w="90" w:type="dxa"/>
              <w:left w:w="90" w:type="dxa"/>
              <w:bottom w:w="90" w:type="dxa"/>
              <w:right w:w="90" w:type="dxa"/>
            </w:tcMar>
            <w:vAlign w:val="center"/>
          </w:tcPr>
          <w:p w14:paraId="666FCD32" w14:textId="77777777" w:rsidR="00A61A27" w:rsidRDefault="0089331B">
            <w:pPr>
              <w:jc w:val="center"/>
            </w:pPr>
            <w:r>
              <w:rPr>
                <w:rFonts w:ascii="Traditional Arabic" w:hAnsi="Traditional Arabic" w:cs="Traditional Arabic"/>
                <w:sz w:val="22"/>
                <w:rtl/>
              </w:rPr>
              <w:t>جدول (5-1): ملخص مناقشة نتائج اختبارات فروض الدراسة وطبيعة العلاقات</w:t>
            </w:r>
          </w:p>
        </w:tc>
        <w:tc>
          <w:tcPr>
            <w:cnfStyle w:val="000100000000" w:firstRow="0" w:lastRow="0" w:firstColumn="0" w:lastColumn="1" w:oddVBand="0" w:evenVBand="0" w:oddHBand="0" w:evenHBand="0" w:firstRowFirstColumn="0" w:firstRowLastColumn="0" w:lastRowFirstColumn="0" w:lastRowLastColumn="0"/>
            <w:tcW w:w="1143" w:type="dxa"/>
            <w:tcMar>
              <w:top w:w="90" w:type="dxa"/>
              <w:left w:w="90" w:type="dxa"/>
              <w:bottom w:w="90" w:type="dxa"/>
              <w:right w:w="90" w:type="dxa"/>
            </w:tcMar>
            <w:vAlign w:val="center"/>
          </w:tcPr>
          <w:p w14:paraId="6A1FE3BC" w14:textId="77777777" w:rsidR="00A61A27" w:rsidRDefault="0089331B">
            <w:pPr>
              <w:jc w:val="center"/>
            </w:pPr>
            <w:r>
              <w:rPr>
                <w:rFonts w:ascii="Traditional Arabic" w:hAnsi="Traditional Arabic" w:cs="Traditional Arabic"/>
                <w:b w:val="0"/>
                <w:sz w:val="22"/>
                <w:rtl/>
              </w:rPr>
              <w:t>52</w:t>
            </w:r>
          </w:p>
        </w:tc>
      </w:tr>
      <w:tr w:rsidR="009C0B5D" w:rsidRPr="008832D5" w14:paraId="4317A9C3" w14:textId="77777777" w:rsidTr="00097C7F">
        <w:trPr>
          <w:trHeight w:val="525"/>
        </w:trPr>
        <w:tc>
          <w:tcPr>
            <w:tcW w:w="4409" w:type="pct"/>
            <w:vAlign w:val="center"/>
            <w:hideMark/>
          </w:tcPr>
          <w:p w14:paraId="4B9FCC53"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(5-2): خطة العمل التنفيذية للتوصيات الإجرائية في ضوء نتائج الدراسة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4C6E6B50" w14:textId="77777777" w:rsidR="009C0B5D" w:rsidRPr="008832D5" w:rsidRDefault="003167A9" w:rsidP="00097C7F">
            <w:pPr>
              <w:jc w:val="center"/>
              <w:rPr>
                <w:rFonts w:asciiTheme="minorBidi" w:eastAsia="Times New Roman" w:hAnsiTheme="minorBidi"/>
                <w:color w:val="000000"/>
                <w:rtl/>
              </w:rPr>
            </w:pPr>
            <w:r>
              <w:rPr>
                <w:rFonts w:asciiTheme="minorBidi" w:eastAsia="Times New Roman" w:hAnsiTheme="minorBidi" w:hint="cs"/>
                <w:color w:val="000000"/>
                <w:rtl/>
              </w:rPr>
              <w:t>54</w:t>
            </w:r>
          </w:p>
        </w:tc>
      </w:tr>
      <w:tr w:rsidR="009C0B5D" w:rsidRPr="008832D5" w14:paraId="56DA8056" w14:textId="77777777" w:rsidTr="00097C7F">
        <w:trPr>
          <w:trHeight w:val="270"/>
        </w:trPr>
        <w:tc>
          <w:tcPr>
            <w:tcW w:w="4409" w:type="pct"/>
            <w:vAlign w:val="center"/>
            <w:hideMark/>
          </w:tcPr>
          <w:p w14:paraId="7DD8858A" w14:textId="77777777" w:rsidR="009C0B5D" w:rsidRPr="008832D5" w:rsidRDefault="009C0B5D" w:rsidP="00097C7F">
            <w:pPr>
              <w:rPr>
                <w:rFonts w:asciiTheme="minorBidi" w:eastAsia="Times New Roman" w:hAnsiTheme="minorBidi"/>
                <w:color w:val="000000"/>
              </w:rPr>
            </w:pPr>
            <w:r w:rsidRPr="008832D5">
              <w:rPr>
                <w:rFonts w:asciiTheme="minorBidi" w:eastAsia="Times New Roman" w:hAnsiTheme="minorBidi"/>
                <w:color w:val="000000"/>
                <w:rtl/>
              </w:rPr>
              <w:t>جدول (5-3): مقترحات الدراسات المستقبلية</w:t>
            </w:r>
          </w:p>
        </w:tc>
        <w:tc>
          <w:tcPr>
            <w:cnfStyle w:val="000100000000" w:firstRow="0" w:lastRow="0" w:firstColumn="0" w:lastColumn="1" w:oddVBand="0" w:evenVBand="0" w:oddHBand="0" w:evenHBand="0" w:firstRowFirstColumn="0" w:firstRowLastColumn="0" w:lastRowFirstColumn="0" w:lastRowLastColumn="0"/>
            <w:tcW w:w="591" w:type="pct"/>
            <w:noWrap/>
            <w:vAlign w:val="center"/>
            <w:hideMark/>
          </w:tcPr>
          <w:p w14:paraId="7687E7F4" w14:textId="77777777" w:rsidR="009C0B5D" w:rsidRPr="008832D5" w:rsidRDefault="003167A9" w:rsidP="00097C7F">
            <w:pPr>
              <w:jc w:val="center"/>
              <w:rPr>
                <w:rFonts w:asciiTheme="minorBidi" w:eastAsia="Times New Roman" w:hAnsiTheme="minorBidi"/>
                <w:color w:val="000000"/>
                <w:rtl/>
              </w:rPr>
            </w:pPr>
            <w:r>
              <w:rPr>
                <w:rFonts w:asciiTheme="minorBidi" w:eastAsia="Times New Roman" w:hAnsiTheme="minorBidi" w:hint="cs"/>
                <w:color w:val="000000"/>
                <w:rtl/>
              </w:rPr>
              <w:t>59</w:t>
            </w:r>
          </w:p>
        </w:tc>
      </w:tr>
    </w:tbl>
    <w:p w14:paraId="177A5775" w14:textId="77777777" w:rsidR="00CE231C" w:rsidRDefault="00CE231C" w:rsidP="00891197">
      <w:pPr>
        <w:pStyle w:val="2"/>
        <w:rPr>
          <w:b w:val="0"/>
          <w:bCs/>
          <w:rtl/>
        </w:rPr>
      </w:pPr>
      <w:bookmarkStart w:id="7" w:name="_Toc235119017"/>
      <w:r w:rsidRPr="00891197">
        <w:rPr>
          <w:rFonts w:hint="cs"/>
          <w:b w:val="0"/>
          <w:bCs/>
          <w:rtl/>
        </w:rPr>
        <w:t>قائمة الأشكال</w:t>
      </w:r>
      <w:bookmarkEnd w:id="7"/>
      <w:r w:rsidRPr="00891197">
        <w:rPr>
          <w:rFonts w:hint="cs"/>
          <w:b w:val="0"/>
          <w:bCs/>
          <w:rtl/>
        </w:rPr>
        <w:t xml:space="preserve"> </w:t>
      </w:r>
    </w:p>
    <w:tbl>
      <w:tblPr>
        <w:tblStyle w:val="10"/>
        <w:bidiVisual/>
        <w:tblW w:w="5000" w:type="pct"/>
        <w:tblLook w:val="0720" w:firstRow="1" w:lastRow="0" w:firstColumn="0" w:lastColumn="1" w:noHBand="1" w:noVBand="1"/>
      </w:tblPr>
      <w:tblGrid>
        <w:gridCol w:w="6901"/>
        <w:gridCol w:w="2115"/>
      </w:tblGrid>
      <w:tr w:rsidR="0077608F" w14:paraId="28861C63" w14:textId="77777777" w:rsidTr="003B2427">
        <w:trPr>
          <w:cnfStyle w:val="100000000000" w:firstRow="1" w:lastRow="0" w:firstColumn="0" w:lastColumn="0" w:oddVBand="0" w:evenVBand="0" w:oddHBand="0" w:evenHBand="0" w:firstRowFirstColumn="0" w:firstRowLastColumn="0" w:lastRowFirstColumn="0" w:lastRowLastColumn="0"/>
        </w:trPr>
        <w:tc>
          <w:tcPr>
            <w:tcW w:w="3827" w:type="pct"/>
            <w:vAlign w:val="center"/>
          </w:tcPr>
          <w:p w14:paraId="4B79F2C7" w14:textId="77777777" w:rsidR="0077608F" w:rsidRDefault="0077608F" w:rsidP="00F96DA5">
            <w:pPr>
              <w:jc w:val="center"/>
              <w:rPr>
                <w:rtl/>
              </w:rPr>
            </w:pPr>
            <w:r>
              <w:rPr>
                <w:rFonts w:hint="cs"/>
                <w:rtl/>
              </w:rPr>
              <w:t>الشكل</w:t>
            </w:r>
          </w:p>
        </w:tc>
        <w:tc>
          <w:tcPr>
            <w:cnfStyle w:val="000100000000" w:firstRow="0" w:lastRow="0" w:firstColumn="0" w:lastColumn="1" w:oddVBand="0" w:evenVBand="0" w:oddHBand="0" w:evenHBand="0" w:firstRowFirstColumn="0" w:firstRowLastColumn="0" w:lastRowFirstColumn="0" w:lastRowLastColumn="0"/>
            <w:tcW w:w="1173" w:type="pct"/>
            <w:vAlign w:val="center"/>
          </w:tcPr>
          <w:p w14:paraId="20639CE1" w14:textId="77777777" w:rsidR="0077608F" w:rsidRDefault="0077608F" w:rsidP="00F96DA5">
            <w:pPr>
              <w:jc w:val="center"/>
              <w:rPr>
                <w:rtl/>
              </w:rPr>
            </w:pPr>
            <w:r>
              <w:rPr>
                <w:rFonts w:hint="cs"/>
                <w:rtl/>
              </w:rPr>
              <w:t>رقم الصفحة</w:t>
            </w:r>
          </w:p>
        </w:tc>
      </w:tr>
      <w:tr w:rsidR="0077608F" w14:paraId="7CD545A9" w14:textId="77777777" w:rsidTr="003B2427">
        <w:tc>
          <w:tcPr>
            <w:tcW w:w="3827" w:type="pct"/>
            <w:vAlign w:val="center"/>
          </w:tcPr>
          <w:p w14:paraId="3BFBC1BB" w14:textId="77777777" w:rsidR="0077608F" w:rsidRDefault="00F96DA5" w:rsidP="00F96DA5">
            <w:pPr>
              <w:jc w:val="center"/>
              <w:rPr>
                <w:rtl/>
              </w:rPr>
            </w:pPr>
            <w:r>
              <w:rPr>
                <w:rFonts w:hint="cs"/>
                <w:rtl/>
              </w:rPr>
              <w:t>شكل (1): نموذج العلاقة بين متغيرات الدراسة</w:t>
            </w:r>
          </w:p>
        </w:tc>
        <w:tc>
          <w:tcPr>
            <w:cnfStyle w:val="000100000000" w:firstRow="0" w:lastRow="0" w:firstColumn="0" w:lastColumn="1" w:oddVBand="0" w:evenVBand="0" w:oddHBand="0" w:evenHBand="0" w:firstRowFirstColumn="0" w:firstRowLastColumn="0" w:lastRowFirstColumn="0" w:lastRowLastColumn="0"/>
            <w:tcW w:w="1173" w:type="pct"/>
            <w:vAlign w:val="center"/>
          </w:tcPr>
          <w:p w14:paraId="4443EC83" w14:textId="032F7B42" w:rsidR="0077608F" w:rsidRDefault="003276A8" w:rsidP="00F96DA5">
            <w:pPr>
              <w:jc w:val="center"/>
              <w:rPr>
                <w:rtl/>
              </w:rPr>
            </w:pPr>
            <w:r>
              <w:rPr>
                <w:rtl/>
              </w:rPr>
              <w:t>7</w:t>
            </w:r>
          </w:p>
        </w:tc>
      </w:tr>
    </w:tbl>
    <w:p w14:paraId="1CDE7010" w14:textId="77777777" w:rsidR="008832D5" w:rsidRPr="008832D5" w:rsidRDefault="008832D5" w:rsidP="008832D5">
      <w:pPr>
        <w:rPr>
          <w:rtl/>
        </w:rPr>
      </w:pPr>
    </w:p>
    <w:p w14:paraId="1C7DDF78" w14:textId="77777777" w:rsidR="00BA0C8A" w:rsidRDefault="00BA0C8A">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3F2C747" w14:textId="77777777" w:rsidR="00B01EA5" w:rsidRDefault="00B01EA5" w:rsidP="00E55F14">
      <w:pPr>
        <w:pStyle w:val="1"/>
        <w:rPr>
          <w:b/>
          <w:bCs/>
          <w:rtl/>
        </w:rPr>
        <w:sectPr w:rsidR="00B01EA5" w:rsidSect="00B01EA5">
          <w:headerReference w:type="default" r:id="rId9"/>
          <w:footerReference w:type="default" r:id="rId10"/>
          <w:pgSz w:w="11906" w:h="16838"/>
          <w:pgMar w:top="1440" w:right="1440" w:bottom="1440" w:left="1440" w:header="708" w:footer="708" w:gutter="0"/>
          <w:pgNumType w:fmt="arabicAbjad" w:start="1"/>
          <w:cols w:space="708"/>
          <w:bidi/>
          <w:rtlGutter/>
          <w:docGrid w:linePitch="360"/>
        </w:sectPr>
      </w:pPr>
    </w:p>
    <w:p w14:paraId="33D3A99D" w14:textId="77777777" w:rsidR="00E17564" w:rsidRPr="00E55F14" w:rsidRDefault="00E17564" w:rsidP="00E55F14">
      <w:pPr>
        <w:pStyle w:val="1"/>
        <w:rPr>
          <w:b/>
          <w:bCs/>
          <w:rtl/>
        </w:rPr>
      </w:pPr>
      <w:bookmarkStart w:id="8" w:name="_Toc235119018"/>
      <w:r w:rsidRPr="00E55F14">
        <w:rPr>
          <w:rFonts w:hint="cs"/>
          <w:b/>
          <w:bCs/>
          <w:rtl/>
        </w:rPr>
        <w:lastRenderedPageBreak/>
        <w:t>الفصل الأول: الإطار المنهجي للدراسة</w:t>
      </w:r>
      <w:bookmarkEnd w:id="8"/>
    </w:p>
    <w:p w14:paraId="5A1EB610" w14:textId="77777777" w:rsidR="00AF3C0E" w:rsidRPr="00E55F14" w:rsidRDefault="00AF3C0E" w:rsidP="00E55F14">
      <w:pPr>
        <w:pStyle w:val="2"/>
        <w:rPr>
          <w:b w:val="0"/>
          <w:bCs/>
          <w:sz w:val="28"/>
          <w:szCs w:val="28"/>
          <w:rtl/>
        </w:rPr>
      </w:pPr>
      <w:bookmarkStart w:id="9" w:name="_Toc235119019"/>
      <w:r w:rsidRPr="00E55F14">
        <w:rPr>
          <w:rFonts w:hint="cs"/>
          <w:b w:val="0"/>
          <w:bCs/>
          <w:rtl/>
        </w:rPr>
        <w:t>مقدمة</w:t>
      </w:r>
      <w:bookmarkEnd w:id="9"/>
    </w:p>
    <w:p w14:paraId="673B6F55"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تشهد المملكة العربية السعودية تحولاً صحياً كبيراً يهدف إلى تحسين جودة الخدمات الصحية وتوفير رعاية صحية شاملة ومستدامة، ويتضمن هذا التحول تغييرات جذرية في الهياكل التنظيمية والعمليات التشغيلية، مما يؤثر بشكل كبير على بيئة العمل النفسية للموظفين في القطاع الصحي، ويعتبر القطاع الصحي من أكثر القطاعات حساسية وتأثراً بالتحولات، حيث يتعرض العاملون فيه لضغوط عمل متزايدة وتحديات مستمرة، مما يزيد من احتمالية تعرضهم للاحتراق الوظيفي.</w:t>
      </w:r>
    </w:p>
    <w:p w14:paraId="6E2B02D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فالاحتراق الوظيفي هو مشكلة صحية كبيرة تؤثر على الأفراد والاقتصاد العالمي، ما يتطلب اتخاذ إجراءات فورية لتطوير استراتيجيات فعالة للوقاية والاستعادة. تسلط هذه الدراسة الضوء على أثر التحول الصحي في المملكة العربية السعودية على بيئة العمل النفسية المستدامة ومعرفة دور القيادة ورفاهية الموظفين كمتغيرات وسيطة في استراتيجيات تجنب الاحتراق الوظيفي، دراسة ميدانيه في القطاع الصحي الحكومي في مدينة الرياض.</w:t>
      </w:r>
    </w:p>
    <w:p w14:paraId="0317FE32"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فالاحتراق الوظيفي، الذي عرّفته منظمة الصحة العالمية كظاهرة مهنية، يظهر في شكل إجهاد عاطفي، واستبعاد اجتماعي، وإحساس بانخفاض الإنجاز الشخصي، ويؤثر على قطاعات متنوعة مثل الرعاية الصحية والتعليم والحكومة ويُعتبر أزمة صحية عامة (</w:t>
      </w:r>
      <w:r w:rsidRPr="00D201D3">
        <w:rPr>
          <w:rFonts w:ascii="Simplified Arabic" w:hAnsi="Simplified Arabic" w:cs="Simplified Arabic" w:hint="cs"/>
          <w:sz w:val="28"/>
          <w:szCs w:val="28"/>
        </w:rPr>
        <w:t>World Health O, 2024</w:t>
      </w:r>
      <w:r w:rsidRPr="00D201D3">
        <w:rPr>
          <w:rFonts w:ascii="Simplified Arabic" w:hAnsi="Simplified Arabic" w:cs="Simplified Arabic" w:hint="cs"/>
          <w:sz w:val="28"/>
          <w:szCs w:val="28"/>
          <w:rtl/>
        </w:rPr>
        <w:t>).</w:t>
      </w:r>
    </w:p>
    <w:p w14:paraId="4A7F77CA"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وللتعامل مع الاحتراق بشكل فعال، من المهم رؤيته من خلال نموذج تدخلات تعزيز الصحة (</w:t>
      </w:r>
      <w:r w:rsidRPr="00D201D3">
        <w:rPr>
          <w:rFonts w:ascii="Simplified Arabic" w:hAnsi="Simplified Arabic" w:cs="Simplified Arabic" w:hint="cs"/>
          <w:sz w:val="28"/>
          <w:szCs w:val="28"/>
        </w:rPr>
        <w:t>HPI</w:t>
      </w:r>
      <w:r w:rsidRPr="00D201D3">
        <w:rPr>
          <w:rFonts w:ascii="Simplified Arabic" w:hAnsi="Simplified Arabic" w:cs="Simplified Arabic" w:hint="cs"/>
          <w:sz w:val="28"/>
          <w:szCs w:val="28"/>
          <w:rtl/>
        </w:rPr>
        <w:t>) الذي يأخذ في الاعتبار التعقيدات الهيكلية والاجتماعية والمعرفية، يشارك مختلف جوانبه في مراحل متعددة من عملية الاحتراق، مما يؤدي إلى تحديات في الوقاية والاستعادة، يمكن أن تؤدي التفاعلات بين الأفراد والمنظمات والسياقات الاجتماعية إلى تعقيد نتائج تعزيز الصحة (</w:t>
      </w:r>
      <w:r w:rsidRPr="00D201D3">
        <w:rPr>
          <w:rFonts w:ascii="Simplified Arabic" w:hAnsi="Simplified Arabic" w:cs="Simplified Arabic" w:hint="cs"/>
          <w:sz w:val="28"/>
          <w:szCs w:val="28"/>
        </w:rPr>
        <w:t>Zimmerman et al, 2011</w:t>
      </w:r>
      <w:r w:rsidRPr="00D201D3">
        <w:rPr>
          <w:rFonts w:ascii="Simplified Arabic" w:hAnsi="Simplified Arabic" w:cs="Simplified Arabic" w:hint="cs"/>
          <w:sz w:val="28"/>
          <w:szCs w:val="28"/>
          <w:rtl/>
        </w:rPr>
        <w:t>)</w:t>
      </w:r>
    </w:p>
    <w:p w14:paraId="17235FFF"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مع إدراك أن الاحتراق يمكن أن يحدث أيضاً خارج سياقات العمل (مثل احتراق الأهل)، وتناقش الدراسة بأن الاحتراق يجب أن يُنظر إليه كـ "متلازمة متعددة المجالات"، ومع ذلك، لا تزال العديد من المنظمات تميل إلى معالجة الاحتراق كمشكلة معزولة تركز فقط على الحلول الفردية، مما يغفل العوامل النظامية الأوسع التي تساهم فيه (</w:t>
      </w:r>
      <w:r w:rsidRPr="00D201D3">
        <w:rPr>
          <w:rFonts w:ascii="Simplified Arabic" w:hAnsi="Simplified Arabic" w:cs="Simplified Arabic" w:hint="cs"/>
          <w:sz w:val="28"/>
          <w:szCs w:val="28"/>
        </w:rPr>
        <w:t>Schaufeli, De Witte, Desart, 2019</w:t>
      </w:r>
      <w:r w:rsidRPr="00D201D3">
        <w:rPr>
          <w:rFonts w:ascii="Simplified Arabic" w:hAnsi="Simplified Arabic" w:cs="Simplified Arabic" w:hint="cs"/>
          <w:sz w:val="28"/>
          <w:szCs w:val="28"/>
          <w:rtl/>
        </w:rPr>
        <w:t>).</w:t>
      </w:r>
    </w:p>
    <w:p w14:paraId="43267B6D"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ومن هنا جاء دور التحول الصحي في المملكة العربية السعودية، الذي يبرز التعاون بين مختلف القطاعات والتخصصات على جميع المستويات، وهو أسلوباً أكثر شمولية لتعزيز النتائج الصحية من خلال الإقرار </w:t>
      </w:r>
      <w:r w:rsidRPr="00D201D3">
        <w:rPr>
          <w:rFonts w:ascii="Simplified Arabic" w:hAnsi="Simplified Arabic" w:cs="Simplified Arabic" w:hint="cs"/>
          <w:sz w:val="28"/>
          <w:szCs w:val="28"/>
          <w:rtl/>
        </w:rPr>
        <w:lastRenderedPageBreak/>
        <w:t>بالعلاقات بين الناس والحيوانات والنباتات والبيئة، يأخذ هذا التحول في الاعتبار العلاقة المعقدة بين الصحة العقلية والجسدية والعاطفية ضمن سياقات اجتماعية وبيئية أوسع.</w:t>
      </w:r>
    </w:p>
    <w:p w14:paraId="3659CA82"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وحيث يهتم برنامج تحول القطاع الصحي بالصحة العامة بكافة مكوناتها، ويعمل لتسهيل الوصول للخدمات الصحية والرفع من جودتها، عبر تطوير وتحسين المستشفيات ومراكز الرعاية الصحية والخدمات الإسعافية وتعزيز التحول الرقمي الصحي، مع التركيز على الوقاية قبل العلاج، والحفاظ على صحة الإنسان داخل وخارج أسوار المستشفى، وتعزيز مستوى السلامة على الطرق (</w:t>
      </w:r>
      <w:r w:rsidR="00690C5F">
        <w:rPr>
          <w:rFonts w:ascii="Simplified Arabic" w:hAnsi="Simplified Arabic" w:cs="Simplified Arabic" w:hint="cs"/>
          <w:sz w:val="28"/>
          <w:szCs w:val="28"/>
          <w:rtl/>
        </w:rPr>
        <w:t xml:space="preserve">رؤية المملكة العربية السعودية 2030 </w:t>
      </w:r>
      <w:r w:rsidRPr="00D201D3">
        <w:rPr>
          <w:rFonts w:ascii="Simplified Arabic" w:hAnsi="Simplified Arabic" w:cs="Simplified Arabic" w:hint="cs"/>
          <w:sz w:val="28"/>
          <w:szCs w:val="28"/>
          <w:rtl/>
        </w:rPr>
        <w:t>، 2024).</w:t>
      </w:r>
    </w:p>
    <w:p w14:paraId="2DBAA2C3"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الوقاية والصحة العامة والابتكار والاستدامة، أربع أولويات يضعها برنامج تحول القطاع الصحي في مقدمة أهدافه، إذ يعمل على توسيع تقديم خدمات الصحة الإلكترونية والحلول الرقمية، فضلاً عن تحسين جودة الخدمات الصحية، ويعمل على تحويل نظام الرعاية الصحية في المملكة ليكون أكثر شمولية وتكاملاً، ويلتزم بأعلى المعايير الدولية في تقديم الخدمات (</w:t>
      </w:r>
      <w:r w:rsidR="00690C5F">
        <w:rPr>
          <w:rFonts w:ascii="Simplified Arabic" w:hAnsi="Simplified Arabic" w:cs="Simplified Arabic" w:hint="cs"/>
          <w:sz w:val="28"/>
          <w:szCs w:val="28"/>
          <w:rtl/>
        </w:rPr>
        <w:t xml:space="preserve">رؤية المملكة العربية السعودية 2030 </w:t>
      </w:r>
      <w:r w:rsidRPr="00D201D3">
        <w:rPr>
          <w:rFonts w:ascii="Simplified Arabic" w:hAnsi="Simplified Arabic" w:cs="Simplified Arabic" w:hint="cs"/>
          <w:sz w:val="28"/>
          <w:szCs w:val="28"/>
          <w:rtl/>
        </w:rPr>
        <w:t>، 2024).</w:t>
      </w:r>
    </w:p>
    <w:p w14:paraId="6C02DBE4"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ولا شك أن نظام الرعاية الصحية في المملكة العربية السعودية يمر بتحول جوهري نتيجة للتقدم السريع في التكنولوجيا والبحث والتطوير المستمر، فضلًا عن ارتفاع الطلب على الخدمات الصحية الناجم عن النمو السكاني وارتفاع نسبة كبار السن، وهو ما تم على عدة مراحل</w:t>
      </w:r>
      <w:r>
        <w:rPr>
          <w:rFonts w:ascii="Simplified Arabic" w:hAnsi="Simplified Arabic" w:cs="Simplified Arabic" w:hint="cs"/>
          <w:sz w:val="28"/>
          <w:szCs w:val="28"/>
          <w:rtl/>
        </w:rPr>
        <w:t xml:space="preserve"> (</w:t>
      </w:r>
      <w:r w:rsidRPr="00D201D3">
        <w:rPr>
          <w:rFonts w:ascii="Simplified Arabic" w:hAnsi="Simplified Arabic" w:cs="Simplified Arabic" w:hint="cs"/>
          <w:sz w:val="28"/>
          <w:szCs w:val="28"/>
          <w:rtl/>
        </w:rPr>
        <w:t>برعي، 2021، 319-320).</w:t>
      </w:r>
    </w:p>
    <w:p w14:paraId="44BABDDA"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ومفهوم رفاهية الموظف أحد مفاهيم الإدارة الحديثة التي يزداد الاهتمام بها من قبل منظمات الأعمال والحكومات على حد سواء (عبد الشكور، 2023)، مما أدى إلى وضع استراتيجيات وأدلة إرشادية جديدة لتعزيزها، فعلى سبيل المثال، وضعت دولة الإمارات العربية المتحدة مبادئ توجيهية ملزمة لرفاهية الموظفين من خلال الهيئة الاتحادية للموارد البشرية الحكومية أكدت هذه المبادئ على أهمية تحقيق رفاهية الموظفين ودورها في زيادة تأثير رفاهية الموظفين على الولاء الوظيفي.</w:t>
      </w:r>
    </w:p>
    <w:p w14:paraId="4B122FFB"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وعلى الرغم من أهمية موضوع رفاهية الموظفين، فإنه يعد من أحد مفاهيم علم السلوك التنظيمي، والذي تعتبر دراسته محفوفة ببعض الصعوبات لأن رفاهية الموظفين كمفهوم يعبر عن حالة نفسية وعاطفية معقدة تتكون من ثلاثة (</w:t>
      </w:r>
      <w:r w:rsidRPr="00D201D3">
        <w:rPr>
          <w:rFonts w:ascii="Simplified Arabic" w:hAnsi="Simplified Arabic" w:cs="Simplified Arabic" w:hint="cs"/>
          <w:sz w:val="28"/>
          <w:szCs w:val="28"/>
        </w:rPr>
        <w:t>Bastida et a1., 2022</w:t>
      </w:r>
      <w:r w:rsidRPr="00D201D3">
        <w:rPr>
          <w:rFonts w:ascii="Simplified Arabic" w:hAnsi="Simplified Arabic" w:cs="Simplified Arabic" w:hint="cs"/>
          <w:sz w:val="28"/>
          <w:szCs w:val="28"/>
          <w:rtl/>
        </w:rPr>
        <w:t>)، أبعاد رئيسة تتضمن بعداً نفسياً داخلياً يُسمى بالرفاهية النفس (</w:t>
      </w:r>
      <w:r w:rsidRPr="00D201D3">
        <w:rPr>
          <w:rFonts w:ascii="Simplified Arabic" w:hAnsi="Simplified Arabic" w:cs="Simplified Arabic" w:hint="cs"/>
          <w:sz w:val="28"/>
          <w:szCs w:val="28"/>
        </w:rPr>
        <w:t>Psychological Well-being</w:t>
      </w:r>
      <w:r w:rsidRPr="00D201D3">
        <w:rPr>
          <w:rFonts w:ascii="Simplified Arabic" w:hAnsi="Simplified Arabic" w:cs="Simplified Arabic" w:hint="cs"/>
          <w:sz w:val="28"/>
          <w:szCs w:val="28"/>
          <w:rtl/>
        </w:rPr>
        <w:t>)، وتتضمن بعداً آخر يسمى بالرفاهية الاجتماعية (</w:t>
      </w:r>
      <w:r w:rsidRPr="00D201D3">
        <w:rPr>
          <w:rFonts w:ascii="Simplified Arabic" w:hAnsi="Simplified Arabic" w:cs="Simplified Arabic" w:hint="cs"/>
          <w:sz w:val="28"/>
          <w:szCs w:val="28"/>
        </w:rPr>
        <w:t>Social Well-being</w:t>
      </w:r>
      <w:r w:rsidRPr="00D201D3">
        <w:rPr>
          <w:rFonts w:ascii="Simplified Arabic" w:hAnsi="Simplified Arabic" w:cs="Simplified Arabic" w:hint="cs"/>
          <w:sz w:val="28"/>
          <w:szCs w:val="28"/>
          <w:rtl/>
        </w:rPr>
        <w:t xml:space="preserve"> الذي يتم التعبير عنها أيضاً في جودة علاقة الفرد بالآخرين والناس أو حتى المجتمعات الأخرى، ورفاهية مكان العمل(</w:t>
      </w:r>
      <w:r w:rsidRPr="00D201D3">
        <w:rPr>
          <w:rFonts w:ascii="Simplified Arabic" w:hAnsi="Simplified Arabic" w:cs="Simplified Arabic" w:hint="cs"/>
          <w:sz w:val="28"/>
          <w:szCs w:val="28"/>
        </w:rPr>
        <w:t>Physical Well-being</w:t>
      </w:r>
      <w:r w:rsidRPr="00D201D3">
        <w:rPr>
          <w:rFonts w:ascii="Simplified Arabic" w:hAnsi="Simplified Arabic" w:cs="Simplified Arabic" w:hint="cs"/>
          <w:sz w:val="28"/>
          <w:szCs w:val="28"/>
          <w:rtl/>
        </w:rPr>
        <w:t>)، ويتم التعبير عنها في شكل إحساس بالرفاهية ينتج من توفر بيئة عمل مناسبة ومحفزة ومناخ خال من الإجهاد يلبي متطلبات الصحة والسلامة البدنية) تشير كثير من الدراسات أيضاً  (</w:t>
      </w:r>
      <w:r w:rsidRPr="00D201D3">
        <w:rPr>
          <w:rFonts w:ascii="Simplified Arabic" w:hAnsi="Simplified Arabic" w:cs="Simplified Arabic" w:hint="cs"/>
          <w:sz w:val="28"/>
          <w:szCs w:val="28"/>
        </w:rPr>
        <w:t>Bastida et al, 2022</w:t>
      </w:r>
      <w:r w:rsidRPr="00D201D3">
        <w:rPr>
          <w:rFonts w:ascii="Simplified Arabic" w:hAnsi="Simplified Arabic" w:cs="Simplified Arabic" w:hint="cs"/>
          <w:sz w:val="28"/>
          <w:szCs w:val="28"/>
          <w:rtl/>
        </w:rPr>
        <w:t>) إلى الحاجة إلى دراسة نتائج ممارسات رفاهية الموظفين المختلفة على سلوك الموظف في المنظمات.</w:t>
      </w:r>
    </w:p>
    <w:p w14:paraId="13C79D95" w14:textId="77777777" w:rsidR="00AF3C0E" w:rsidRPr="00D201D3" w:rsidRDefault="00AF3C0E" w:rsidP="00BD5864">
      <w:pPr>
        <w:spacing w:line="240" w:lineRule="auto"/>
        <w:jc w:val="both"/>
        <w:rPr>
          <w:rFonts w:ascii="Simplified Arabic" w:hAnsi="Simplified Arabic" w:cs="Simplified Arabic"/>
          <w:sz w:val="28"/>
          <w:szCs w:val="28"/>
          <w:rtl/>
        </w:rPr>
      </w:pPr>
    </w:p>
    <w:p w14:paraId="6BF51818"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وتمثل بيئة العمل النفسية المكان الذي يعمل فيه الموظف أو الفريق في ظروف نفسية معينة، مثل: الضغط والتوتر وكما تشمل جميع العناصر التي تؤثر على الصحة النفسية للموظف أو الفريق، مثل: العلاقات مع الزملاء والإدارة والعمل تحت الضغط النفسي (علي، 2018).</w:t>
      </w:r>
    </w:p>
    <w:p w14:paraId="34AA4F0D"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وتشير بيئة العمل النفسية إلى مجموعة العوامل الاجتماعية والنفسية والتنظيمية التي تؤثر على رفاهية الموظفين وإنتاجيتهم. إنها تشمل كل شيء من العلاقات بين الزملاء إلى ثقافة الشركة وسياساتها. بيئة العمل النفسية الصحية تعزز الشعور بالأمان والتقدير والرضا الوظيفي، بينما بيئة العمل السامة قد تؤدي إلى الإجهاد والقلق وتراجع الأداء، وإن الاهتمام ببيئة العمل النفسية ليس مجرد مسؤولية أخلاقية، بل هو استثمار ذكي يؤدي إلى تحسين الأداء وزيادة الإنتاجية وتقليل معدل دوران الموظفين (شناف، 2022، 246).</w:t>
      </w:r>
    </w:p>
    <w:p w14:paraId="04A762A5"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وبيئة العمل النفسية المستدامة هي مفهوم يتجاوز مجرد توفير بيئة عمل مريحة وخالية من الضغوط، بل يركز على خلق بيئة تدعم رفاهية الموظفين على المدى الطويل، مع مراعاة تأثير العمل على صحتهم النفسية والجسدية، وعلى المجتمع والبيئة بشكل عام، وهي بيئة عمل تضع رفاهية الموظفين والمجتمع والبيئة في صميم استراتيجيتها، وتسعى إلى تحقيق النجاح على المدى الطويل بطريقة مسؤولة ومستدامة (توتي، 2020، 18).</w:t>
      </w:r>
    </w:p>
    <w:p w14:paraId="247FFAE8"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وكما تهدف الدراسة إلى فهم كيف تؤثر التغييرات الناتجة عن التحول الصحي على الصحة النفسية للعاملين، وكيف يمكن لبرامج رفاهية الموظفين أن تساهم في تخفيف الضغوط وتقليل الاحتراق الوظيفي، ومن هنا جاءت الحاجة لدراسة أثر التحول الصحي في المملكة العربية السعودية على بيئة العمل النفسية المستدامة وتقليل الاحتراق الوظيفي ومعرفة دور رفاهية الموظفين كمتغير وسيط بينهم، دراسة ميدانيه في القطاع الصحي الحكومي في مدينة الرياض.</w:t>
      </w:r>
    </w:p>
    <w:p w14:paraId="5CC95B24" w14:textId="77777777" w:rsidR="00AF3C0E" w:rsidRPr="00E55F14" w:rsidRDefault="00AF3C0E" w:rsidP="00E55F14">
      <w:pPr>
        <w:pStyle w:val="2"/>
        <w:rPr>
          <w:b w:val="0"/>
          <w:bCs/>
          <w:rtl/>
        </w:rPr>
      </w:pPr>
      <w:bookmarkStart w:id="10" w:name="_Toc235119020"/>
      <w:r w:rsidRPr="00E55F14">
        <w:rPr>
          <w:rFonts w:hint="cs"/>
          <w:b w:val="0"/>
          <w:bCs/>
          <w:rtl/>
        </w:rPr>
        <w:t>مشكلة الدراسة:</w:t>
      </w:r>
      <w:bookmarkEnd w:id="10"/>
    </w:p>
    <w:p w14:paraId="33BA4B25"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تعاني العديد من المؤسسات، بما في ذلك المنشآت الصحية، من الضغوط الكبيرة التي يتعرض لها الموظفون والعاملون في مختلف مواقعهم الوظيفية، سواء كانت تلك الضغوط ناتجة عن بيئة العمل الداخلية أو الخارجية، وتُعد المنشآت الصحية من بين المؤسسات الخدمية التي تحمل مسؤولية كبيرة تجاه الجمهور، حيث تتلقى أعداداً كبيرة من المراجعين والمرضى بصورة مستمرة، ويتطلب العمل في هذه المنشآت من الموظفين تقديم الخدمات بسرعة وكفاءة عالية، مما يولد ضغوطاً نفسية كبيرة، لا سيما أن طبيعة عملهم ترتبط بصحة وحياة البشر، الأمر الذي يعزز تعرضهم لمزيد من الضغوط نتيجة مواجهة معاناة المرضى، </w:t>
      </w:r>
      <w:r w:rsidRPr="00D201D3">
        <w:rPr>
          <w:rFonts w:ascii="Simplified Arabic" w:hAnsi="Simplified Arabic" w:cs="Simplified Arabic" w:hint="cs"/>
          <w:sz w:val="28"/>
          <w:szCs w:val="28"/>
          <w:rtl/>
        </w:rPr>
        <w:lastRenderedPageBreak/>
        <w:t>وتراكم هذه الضغوط المستمرة يؤدي إلى ظهور ما يُعرف بـ "الاحتراق الوظيفي"، الذي يتسبب في العديد من المشكلات النفسية مثل الإحباط، واللامبالاة، والخوف من اتخاذ القرارات، والإرهاق، وانخفاض الولاء الوظيفي، وهذه المشكلات تؤثر سلباً على مستوى الأداء الوظيفي، خاصة في المؤسسات الصحية التي تتطلب من العاملين فيها تقديم خدمات بروح معنوية عالية.</w:t>
      </w:r>
    </w:p>
    <w:p w14:paraId="0CE1A6D5"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والعنصر البشري في أي منظمة يُعد من أهم المكونات التي تمتلكها، فهو المسؤول عن الإنتاج والإبداع والابتكار والتنظيم والتنفيذ، وإذا لم تهتم المؤسسات بصحة ورفاهية هذا العنصر الفعّال، فإنها ستواجه انخفاضاً في الكفاءة والأداء، مما يؤثر على قدرتها على المنافسة والاستمرارية (حسين، 2020).</w:t>
      </w:r>
    </w:p>
    <w:p w14:paraId="47C9EB6E"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كما صرّح معالي الأستاذ فهد بن عبدالرحمن الجلاجل، وزير الصحة ورئيس لجنة برنامج التحول الصحي، بأن صحة وسلامة المواطن السعودي تأتي في مقدمة أولويات برنامج التحول الصحي، الذي يسعى إلى إعادة هيكلة منظومة الصحة العامة والرعاية الصحية وتسخير التقنية لتحسين القطاع الصحي (</w:t>
      </w:r>
      <w:r w:rsidR="00690C5F">
        <w:rPr>
          <w:rFonts w:ascii="Simplified Arabic" w:hAnsi="Simplified Arabic" w:cs="Simplified Arabic" w:hint="cs"/>
          <w:sz w:val="28"/>
          <w:szCs w:val="28"/>
          <w:rtl/>
        </w:rPr>
        <w:t xml:space="preserve">رؤية المملكة العربية السعودية 2030 </w:t>
      </w:r>
      <w:r w:rsidRPr="00D201D3">
        <w:rPr>
          <w:rFonts w:ascii="Simplified Arabic" w:hAnsi="Simplified Arabic" w:cs="Simplified Arabic" w:hint="cs"/>
          <w:sz w:val="28"/>
          <w:szCs w:val="28"/>
          <w:rtl/>
        </w:rPr>
        <w:t>، 2024، 10).</w:t>
      </w:r>
    </w:p>
    <w:p w14:paraId="2859C1B0"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ولقد خضع قطاع الرعاية الصحية في المملكة العربية السعودية لتحولات كبيرة في السنوات الأخيرة كجزء من مبادرة رؤية (2030) في البلاد، ومع ذلك، في حين تم إيلاء الكثير من الاهتمام للجوانب التشغيلية والبنيوية لهذا التحول، فإن التأثير النفسي على العاملين في مجال الرعاية الصحية، وخاصة في المؤسسات الصحية الحكومية، لا يزال غير مستكشف، على وجه التحديد، لم تتم دراسة تأثير تحول الرعاية الصحية على تجنب الاحتراق الوظيفي للموظفين في مكان العمل، وخاصة من حيث الوقاية من الإرهاق، بشكل كافٍ.</w:t>
      </w:r>
    </w:p>
    <w:p w14:paraId="166857E7"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ومن خلال الاطلاع على الدراسات السابقة وجد أن هناك قلة في الدراسات التي تربط بين التحول الصحي في المملكة ومستوى رفاهية الموظفين النفسي وتأثيره على ظاهرة الاحتراق النفسي، بينما ركزت معظم الأبحاث على جوانب التحول الصحي من ناحية تحسين الكفاءة وجودة الخدمة (الشهري، 2024)، نادراً ما تم تناول تأثير هذه التحولات على الموظفين العاملين في القطاع الصحي، وكما أن القليل من الدراسات اهتمت بدور الرفاهية النفسية في تقليل مستويات الاحتراق النفسي بين الموظفين في المؤسسات الصحية الحكومية (شلبي، القصبي، أمحديش، 2020)، ولذلك تعتبر هذه الدراسة ذات أهمية في سد الفجوة المعرفية من خلال فهم العلاقة بين التحولات الصحية في المملكة ورفاهية الموظفين النفسي، وبالتالي التأثير على أدائهم وجودة خدماتهم الصحية، وتهدف هذه الدراسة إلى سد هذه الفجوة من خلال فحص العلاقة بين تحول الرعاية الصحية والاستدامة النفسية في مكان العمل.</w:t>
      </w:r>
    </w:p>
    <w:p w14:paraId="3C010007" w14:textId="77777777"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وتتمثل مشكلة الدراسة في تحديد أثر التحول الصحي في المملكة العربية السعودية على بيئة العمل النفسية المستدامة، وتقييم دور ورفاهية الموظفين الموظفين كمتغيرات وسيطة في استراتيجيات تقليل الاحتراق الوظيفي في القطاع الصحي الحكومي بمدينة الرياض.</w:t>
      </w:r>
    </w:p>
    <w:p w14:paraId="0D6ACE7C" w14:textId="77777777" w:rsidR="00AF3C0E" w:rsidRPr="00E55F14" w:rsidRDefault="00AF3C0E" w:rsidP="00E55F14">
      <w:pPr>
        <w:pStyle w:val="2"/>
        <w:rPr>
          <w:b w:val="0"/>
          <w:bCs/>
          <w:rtl/>
        </w:rPr>
      </w:pPr>
      <w:bookmarkStart w:id="11" w:name="_Toc235119021"/>
      <w:r w:rsidRPr="00E55F14">
        <w:rPr>
          <w:rFonts w:hint="cs"/>
          <w:b w:val="0"/>
          <w:bCs/>
          <w:rtl/>
        </w:rPr>
        <w:t>تساؤلات الدراسة:</w:t>
      </w:r>
      <w:bookmarkEnd w:id="11"/>
    </w:p>
    <w:p w14:paraId="55801887" w14:textId="77777777" w:rsidR="00AF3C0E" w:rsidRPr="00E55F14" w:rsidRDefault="00AF3C0E" w:rsidP="00E55F14">
      <w:pPr>
        <w:pStyle w:val="a6"/>
        <w:numPr>
          <w:ilvl w:val="0"/>
          <w:numId w:val="31"/>
        </w:numPr>
        <w:spacing w:line="24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ما أثر التحول الصحي في المملكة العربية السعودية على بيئة العمل النفسية المستدامة في القطاع الصحي الحكومي بمدينة الرياض؟</w:t>
      </w:r>
    </w:p>
    <w:p w14:paraId="2E39D6B3" w14:textId="77777777" w:rsidR="00AF3C0E" w:rsidRPr="00E55F14" w:rsidRDefault="00AF3C0E" w:rsidP="00E55F14">
      <w:pPr>
        <w:pStyle w:val="a6"/>
        <w:numPr>
          <w:ilvl w:val="0"/>
          <w:numId w:val="31"/>
        </w:numPr>
        <w:spacing w:line="24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ما أثر التحول الصحي في المملكة العربية السعودية على تقليل الاحتراق الوظيفي في القطاع الصحي الحكومي بمدينة الرياض؟</w:t>
      </w:r>
    </w:p>
    <w:p w14:paraId="7BEE5AD4" w14:textId="77777777" w:rsidR="00AF3C0E" w:rsidRPr="00E55F14" w:rsidRDefault="00AF3C0E" w:rsidP="00E55F14">
      <w:pPr>
        <w:pStyle w:val="a6"/>
        <w:numPr>
          <w:ilvl w:val="0"/>
          <w:numId w:val="31"/>
        </w:numPr>
        <w:spacing w:line="24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هل يوجد علاقة بين التحول الصحي وبيئة العمل النفسية المستدامة في القطاع الصحي الحكومي بمدينة الرياض؟</w:t>
      </w:r>
    </w:p>
    <w:p w14:paraId="021F7400" w14:textId="77777777" w:rsidR="00AF3C0E" w:rsidRPr="00E55F14" w:rsidRDefault="00AF3C0E" w:rsidP="00E55F14">
      <w:pPr>
        <w:pStyle w:val="a6"/>
        <w:numPr>
          <w:ilvl w:val="0"/>
          <w:numId w:val="31"/>
        </w:numPr>
        <w:spacing w:line="24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هل يوجد علاقة بين التحول الصحي ورفاهية الموظفين في تقليل الاحتراق الوظيفي في القطاع الصحي الحكومي بمدينة الرياض؟</w:t>
      </w:r>
    </w:p>
    <w:p w14:paraId="0BB1D695" w14:textId="77777777" w:rsidR="00AF3C0E" w:rsidRPr="00E55F14" w:rsidRDefault="00AF3C0E" w:rsidP="00E55F14">
      <w:pPr>
        <w:pStyle w:val="a6"/>
        <w:numPr>
          <w:ilvl w:val="0"/>
          <w:numId w:val="31"/>
        </w:numPr>
        <w:spacing w:line="24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هل تختلف طبيعة الدور الوسيط لرفاهية الموظفين في العلاقة بين التحول الصحي وبيئة العمل النفسية المستدامة وتقليل الاحتراق الوظيفي باختلاف الخصائص الديموغرافية (الجنس، الحالة الاجتماعية، المؤهل الوظيفي، المسمى الوظيفي، العمر، سنوات الخبرة، الدخل)؟</w:t>
      </w:r>
    </w:p>
    <w:p w14:paraId="4081B68C" w14:textId="77777777" w:rsidR="00AF3C0E" w:rsidRPr="002C5E33" w:rsidRDefault="00AF3C0E" w:rsidP="002C5E33">
      <w:pPr>
        <w:pStyle w:val="2"/>
        <w:rPr>
          <w:b w:val="0"/>
          <w:bCs/>
          <w:rtl/>
        </w:rPr>
      </w:pPr>
      <w:bookmarkStart w:id="12" w:name="_Toc235119022"/>
      <w:r w:rsidRPr="002C5E33">
        <w:rPr>
          <w:rFonts w:hint="cs"/>
          <w:b w:val="0"/>
          <w:bCs/>
          <w:rtl/>
        </w:rPr>
        <w:t>أهمية الدراسة:</w:t>
      </w:r>
      <w:bookmarkEnd w:id="12"/>
    </w:p>
    <w:p w14:paraId="4B44EDF8" w14:textId="77777777" w:rsidR="00AF3C0E" w:rsidRPr="002C5E33" w:rsidRDefault="00AF3C0E" w:rsidP="002C5E33">
      <w:pPr>
        <w:pStyle w:val="3"/>
        <w:rPr>
          <w:b w:val="0"/>
          <w:bCs/>
          <w:rtl/>
        </w:rPr>
      </w:pPr>
      <w:bookmarkStart w:id="13" w:name="_Toc235119023"/>
      <w:r w:rsidRPr="002C5E33">
        <w:rPr>
          <w:rFonts w:hint="cs"/>
          <w:b w:val="0"/>
          <w:bCs/>
          <w:rtl/>
        </w:rPr>
        <w:t>أولاً: الأهمية النظرية</w:t>
      </w:r>
      <w:bookmarkEnd w:id="13"/>
    </w:p>
    <w:p w14:paraId="2E6A1AD6"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تسهم هذه الدراسة في إثراء الأدبيات المتعلقة بالتحول الصحي في المملكة العربية السعودية وتأثيراته على بيئة العمل النفسية ورفاهية الموظفين والاحتراق الوظيفي، وهو موضوع غير مدروس بشكل كافٍ في السياق السعودي.</w:t>
      </w:r>
    </w:p>
    <w:p w14:paraId="3794521E"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تساهم في فهم تأثير التحولات الصحية على الصحة النفسية للعاملين، ودور الرفاهية النفسية كعنصر مؤثر في التقليل من الاحتراق الوظيفي في القطاع الصحي الحكومي.</w:t>
      </w:r>
    </w:p>
    <w:p w14:paraId="501F2296"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تقدم هذه الدراسة نموذجاً نظرياً يربط بين التحول الصحي وبيئة العمل النفسية المستدامة ورفاهية الموظفين وكيفية تأثير ذلك على مستويات الاحتراق الوظيفي، مما يفتح المجال لدراسات مستقبلية في هذا المجال.</w:t>
      </w:r>
    </w:p>
    <w:p w14:paraId="557EBE97"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تساهم في تطوير نماذج وأدوات لتقييم بيئة العمل النفسية المستدامة ورفاهية الموظفين.</w:t>
      </w:r>
    </w:p>
    <w:p w14:paraId="7A62887C" w14:textId="77777777" w:rsidR="00AF3C0E" w:rsidRPr="002C5E33" w:rsidRDefault="00AF3C0E" w:rsidP="002C5E33">
      <w:pPr>
        <w:pStyle w:val="3"/>
        <w:rPr>
          <w:b w:val="0"/>
          <w:bCs/>
          <w:rtl/>
        </w:rPr>
      </w:pPr>
      <w:bookmarkStart w:id="14" w:name="_Toc235119024"/>
      <w:r w:rsidRPr="002C5E33">
        <w:rPr>
          <w:rFonts w:hint="cs"/>
          <w:b w:val="0"/>
          <w:bCs/>
          <w:rtl/>
        </w:rPr>
        <w:lastRenderedPageBreak/>
        <w:t>ثانياً: الأهمية التطبيقية</w:t>
      </w:r>
      <w:bookmarkEnd w:id="14"/>
    </w:p>
    <w:p w14:paraId="311AF0E3"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تدعم هذه الدراسة قدرة قطاع  الصحة الحكومي في المملكة، وبالأخص  مدينة الرياض، على تحسين بيئة العمل النفسية المستدامة من خلال تقديم توصيات وآليات عملية مبنية على نتائج البحث للحد من ظاهرة الاحتراق الوظيفي وتعزيز رفاهية الموظفين، مما يسهم في رفع جودة الأداء والرعاية الصحية. تقدم الدراسة إطارًا تطبيقيًا مدعومًا ببيانات كمية مستخلصة من استبانة ميدانية، يمكن للمؤسسات الصحية الاستفادة منه لتطوير استراتيجيات فعالة تستجيب لتحديات التحول الصحي، وتوازن بين متطلبات النظام الصحي واحتياجات العاملين النفسية، بما يتوافق مع أهداف برنامج تحول القطاع الصحي ورؤية المملكة 2030.</w:t>
      </w:r>
    </w:p>
    <w:p w14:paraId="71980742"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أخيرا تقدم الدراسة تحليلاً إحصائيًا دقيقًا يوضح العلاقة بين متغيرات التحول الصحي ورفاهية الموظفين وتأثيرها على تقليل الاحتراق الوظيفي، مما يزود صناع القرار ومديري الرعاية الصحية بأدوات ومؤشرات عملية لدعم الصحة النفسية للعاملين، خصوصًا في ظل التغيرات السريعة التي يشهدها القطاع الصحي.</w:t>
      </w:r>
    </w:p>
    <w:p w14:paraId="705B6429" w14:textId="77777777" w:rsidR="00AF3C0E" w:rsidRPr="002C5E33" w:rsidRDefault="00AF3C0E" w:rsidP="002C5E33">
      <w:pPr>
        <w:pStyle w:val="2"/>
        <w:rPr>
          <w:b w:val="0"/>
          <w:bCs/>
          <w:rtl/>
        </w:rPr>
      </w:pPr>
      <w:bookmarkStart w:id="15" w:name="_Toc235119025"/>
      <w:r w:rsidRPr="002C5E33">
        <w:rPr>
          <w:rFonts w:hint="cs"/>
          <w:b w:val="0"/>
          <w:bCs/>
          <w:rtl/>
        </w:rPr>
        <w:t>أهداف الدراسة:</w:t>
      </w:r>
      <w:bookmarkEnd w:id="15"/>
    </w:p>
    <w:p w14:paraId="7D1E7C64" w14:textId="77777777" w:rsidR="00AF3C0E" w:rsidRPr="002C5E33" w:rsidRDefault="00AF3C0E" w:rsidP="002C5E33">
      <w:pPr>
        <w:pStyle w:val="a6"/>
        <w:numPr>
          <w:ilvl w:val="0"/>
          <w:numId w:val="32"/>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التعرف على أثر التحول الصحي في المملكة العربية السعودية على بيئة العمل النفسية المستدامة في القطاع الصحي الحكومي بمدينة الرياض.</w:t>
      </w:r>
    </w:p>
    <w:p w14:paraId="15970024" w14:textId="77777777" w:rsidR="00AF3C0E" w:rsidRPr="002C5E33" w:rsidRDefault="00AF3C0E" w:rsidP="002C5E33">
      <w:pPr>
        <w:pStyle w:val="a6"/>
        <w:numPr>
          <w:ilvl w:val="0"/>
          <w:numId w:val="32"/>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دراسة تأثير التحول الصحي على تقليل الاحتراق الوظيفي لدى العاملين في القطاع الصحي الحكومي بمدينة الرياض.</w:t>
      </w:r>
    </w:p>
    <w:p w14:paraId="5CED29A3" w14:textId="77777777" w:rsidR="00AF3C0E" w:rsidRPr="002C5E33" w:rsidRDefault="00AF3C0E" w:rsidP="002C5E33">
      <w:pPr>
        <w:pStyle w:val="a6"/>
        <w:numPr>
          <w:ilvl w:val="0"/>
          <w:numId w:val="32"/>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تفسير</w:t>
      </w:r>
      <w:r w:rsidR="002C5E33" w:rsidRPr="002C5E33">
        <w:rPr>
          <w:rFonts w:ascii="Simplified Arabic" w:hAnsi="Simplified Arabic" w:cs="Simplified Arabic" w:hint="cs"/>
          <w:sz w:val="28"/>
          <w:szCs w:val="28"/>
          <w:rtl/>
        </w:rPr>
        <w:t xml:space="preserve"> </w:t>
      </w:r>
      <w:r w:rsidRPr="002C5E33">
        <w:rPr>
          <w:rFonts w:ascii="Simplified Arabic" w:hAnsi="Simplified Arabic" w:cs="Simplified Arabic" w:hint="cs"/>
          <w:sz w:val="28"/>
          <w:szCs w:val="28"/>
          <w:rtl/>
        </w:rPr>
        <w:t>العلاقة بين التحول الصحي وبيئة العمل النفسية المستدامة في القطاع الصحي الحكومي بمدينة الرياض.</w:t>
      </w:r>
    </w:p>
    <w:p w14:paraId="116333C6" w14:textId="77777777" w:rsidR="00AF3C0E" w:rsidRPr="002C5E33" w:rsidRDefault="00AF3C0E" w:rsidP="002C5E33">
      <w:pPr>
        <w:pStyle w:val="a6"/>
        <w:numPr>
          <w:ilvl w:val="0"/>
          <w:numId w:val="32"/>
        </w:num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استكشاف العلاقة بين التحول الصحي ورفاهية الموظفين ودورها في تقليل الاحتراق الوظيفي في القطاع الصحي الحكومي بمدينة الرياض.</w:t>
      </w:r>
    </w:p>
    <w:p w14:paraId="25C5F970" w14:textId="77777777" w:rsidR="00AF3C0E" w:rsidRPr="002C5E33" w:rsidRDefault="00AF3C0E" w:rsidP="002C5E33">
      <w:pPr>
        <w:pStyle w:val="2"/>
        <w:rPr>
          <w:b w:val="0"/>
          <w:bCs/>
          <w:rtl/>
        </w:rPr>
      </w:pPr>
      <w:bookmarkStart w:id="16" w:name="_Toc235119026"/>
      <w:r w:rsidRPr="002C5E33">
        <w:rPr>
          <w:rFonts w:hint="cs"/>
          <w:b w:val="0"/>
          <w:bCs/>
          <w:rtl/>
        </w:rPr>
        <w:t>فرضيات الدراسة:</w:t>
      </w:r>
      <w:bookmarkEnd w:id="16"/>
    </w:p>
    <w:p w14:paraId="36FF149B" w14:textId="77777777" w:rsidR="00AF3C0E" w:rsidRPr="0002332F" w:rsidRDefault="00AF3C0E" w:rsidP="00047B87">
      <w:pPr>
        <w:spacing w:line="24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t>استناداً لتساؤلات الدراسة وأهدافها تم صياغة الفرضيات الآتية:</w:t>
      </w:r>
    </w:p>
    <w:p w14:paraId="72C64CC1" w14:textId="77777777" w:rsidR="00AF3C0E" w:rsidRPr="0002332F" w:rsidRDefault="00AF3C0E" w:rsidP="00047B87">
      <w:pPr>
        <w:pStyle w:val="a6"/>
        <w:numPr>
          <w:ilvl w:val="0"/>
          <w:numId w:val="33"/>
        </w:numPr>
        <w:spacing w:line="24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t>الفرضية الأولى (ف1): يوجد أثر ذو دلالة إحصائية للتحول الصحي في بيئة العمل النفسية المستدامة في القطاع الصحي الحكومي بمدينة الرياض.</w:t>
      </w:r>
    </w:p>
    <w:p w14:paraId="3C7B8F22" w14:textId="77777777" w:rsidR="00AF3C0E" w:rsidRPr="0002332F" w:rsidRDefault="00AF3C0E" w:rsidP="00047B87">
      <w:pPr>
        <w:pStyle w:val="a6"/>
        <w:numPr>
          <w:ilvl w:val="0"/>
          <w:numId w:val="33"/>
        </w:numPr>
        <w:spacing w:line="24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t>الفرضية الثانية (ف2): يوجد أثر ذو دلالة إحصائية للتحول الصحي في تقليل الاحتراق الوظيفي في القطاع الصحي الحكومي بمدينة الرياض.</w:t>
      </w:r>
    </w:p>
    <w:p w14:paraId="6B2EF154" w14:textId="77777777" w:rsidR="00AF3C0E" w:rsidRPr="0002332F" w:rsidRDefault="00AF3C0E" w:rsidP="00047B87">
      <w:pPr>
        <w:pStyle w:val="a6"/>
        <w:numPr>
          <w:ilvl w:val="0"/>
          <w:numId w:val="33"/>
        </w:numPr>
        <w:spacing w:line="24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lastRenderedPageBreak/>
        <w:t>الفرضية الثالثة (ف3): توجد علاقة ذات دلالة إحصائية بين التحول الصحي ورفاهية الموظفين تسهم في تقليل الاحتراق الوظيفي في القطاع الصحي الحكومي بمدينة الرياض.</w:t>
      </w:r>
    </w:p>
    <w:p w14:paraId="02ED0587" w14:textId="77777777" w:rsidR="00AF3C0E" w:rsidRPr="0002332F" w:rsidRDefault="00AF3C0E" w:rsidP="00047B87">
      <w:pPr>
        <w:pStyle w:val="a6"/>
        <w:numPr>
          <w:ilvl w:val="0"/>
          <w:numId w:val="33"/>
        </w:numPr>
        <w:spacing w:line="24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t>الفرضية الرابعة (ف4): تؤدي رفاهية الموظفين دوراً وسيطاً ذا دلالة إحصائية في العلاقة بين التحول الصحي وتقليل الاحتراق الوظيفي في القطاع الصحي الحكومي بمدينة الرياض.</w:t>
      </w:r>
    </w:p>
    <w:p w14:paraId="59F9AFA2" w14:textId="77777777" w:rsidR="00AF3C0E" w:rsidRPr="002C5E33" w:rsidRDefault="00AF3C0E" w:rsidP="002C5E33">
      <w:pPr>
        <w:pStyle w:val="2"/>
        <w:rPr>
          <w:b w:val="0"/>
          <w:bCs/>
          <w:rtl/>
        </w:rPr>
      </w:pPr>
      <w:bookmarkStart w:id="17" w:name="_Toc235119027"/>
      <w:r w:rsidRPr="002C5E33">
        <w:rPr>
          <w:rFonts w:hint="cs"/>
          <w:b w:val="0"/>
          <w:bCs/>
          <w:rtl/>
        </w:rPr>
        <w:t>نموذج الدراسة</w:t>
      </w:r>
      <w:bookmarkEnd w:id="17"/>
      <w:r w:rsidRPr="002C5E33">
        <w:rPr>
          <w:rFonts w:hint="cs"/>
          <w:b w:val="0"/>
          <w:bCs/>
          <w:rtl/>
        </w:rPr>
        <w:t xml:space="preserve"> </w:t>
      </w:r>
    </w:p>
    <w:p w14:paraId="5AD3BE68" w14:textId="77777777" w:rsidR="00AF3C0E" w:rsidRPr="00103463" w:rsidRDefault="00AF3C0E" w:rsidP="00103463">
      <w:pPr>
        <w:spacing w:line="240" w:lineRule="auto"/>
        <w:jc w:val="both"/>
        <w:rPr>
          <w:rFonts w:ascii="Simplified Arabic" w:hAnsi="Simplified Arabic" w:cs="Simplified Arabic"/>
          <w:sz w:val="28"/>
          <w:szCs w:val="28"/>
          <w:rtl/>
        </w:rPr>
      </w:pPr>
      <w:r w:rsidRPr="00103463">
        <w:rPr>
          <w:rFonts w:ascii="Simplified Arabic" w:hAnsi="Simplified Arabic" w:cs="Simplified Arabic"/>
          <w:sz w:val="28"/>
          <w:szCs w:val="28"/>
          <w:rtl/>
        </w:rPr>
        <w:t>يمكن تمثيل العلاقة بين المتغيرات في نموذج بحثي يوضح تأثير المتغير المستقل (التحول الصحي) على المتغيرات التابعة (بيئة العمل النفسية المستدامة والاحتراق الوظيفي)، من خلال المتغير الوسيط (رفاهية الموظفين) الذي يسهم في تفسير أثر التحول الصحي وتحسين بيئة العمل والحد من الاحتراق الوظيفي.</w:t>
      </w:r>
    </w:p>
    <w:p w14:paraId="083C837C" w14:textId="77777777" w:rsidR="00912101" w:rsidRDefault="00912101" w:rsidP="00103463">
      <w:pPr>
        <w:spacing w:line="240" w:lineRule="auto"/>
        <w:jc w:val="both"/>
        <w:rPr>
          <w:rFonts w:ascii="Simplified Arabic" w:hAnsi="Simplified Arabic" w:cs="Simplified Arabic"/>
          <w:sz w:val="28"/>
          <w:szCs w:val="28"/>
          <w:rtl/>
        </w:rPr>
      </w:pPr>
      <w:r w:rsidRPr="00103463">
        <w:rPr>
          <w:rFonts w:ascii="Simplified Arabic" w:hAnsi="Simplified Arabic" w:cs="Simplified Arabic"/>
          <w:sz w:val="28"/>
          <w:szCs w:val="28"/>
          <w:rtl/>
        </w:rPr>
        <w:t xml:space="preserve"> </w:t>
      </w:r>
      <w:r>
        <w:rPr>
          <w:noProof/>
        </w:rPr>
        <w:drawing>
          <wp:inline distT="0" distB="0" distL="0" distR="0" wp14:anchorId="07FC4644" wp14:editId="0D0BDAC1">
            <wp:extent cx="5731510" cy="26377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37790"/>
                    </a:xfrm>
                    <a:prstGeom prst="rect">
                      <a:avLst/>
                    </a:prstGeom>
                    <a:noFill/>
                    <a:ln>
                      <a:noFill/>
                    </a:ln>
                  </pic:spPr>
                </pic:pic>
              </a:graphicData>
            </a:graphic>
          </wp:inline>
        </w:drawing>
      </w:r>
    </w:p>
    <w:p w14:paraId="148CEE83" w14:textId="77777777" w:rsidR="00AF3C0E" w:rsidRPr="00D201D3" w:rsidRDefault="00AF3C0E" w:rsidP="00E13F6A">
      <w:pPr>
        <w:spacing w:line="240" w:lineRule="auto"/>
        <w:jc w:val="center"/>
        <w:rPr>
          <w:rFonts w:ascii="Simplified Arabic" w:hAnsi="Simplified Arabic" w:cs="Simplified Arabic"/>
          <w:sz w:val="28"/>
          <w:szCs w:val="28"/>
          <w:rtl/>
        </w:rPr>
      </w:pPr>
      <w:r w:rsidRPr="00D201D3">
        <w:rPr>
          <w:rFonts w:ascii="Simplified Arabic" w:hAnsi="Simplified Arabic" w:cs="Simplified Arabic" w:hint="cs"/>
          <w:sz w:val="28"/>
          <w:szCs w:val="28"/>
          <w:rtl/>
        </w:rPr>
        <w:t>شكل (1): نموذج العلاقة بين متغيرات الدراسة</w:t>
      </w:r>
    </w:p>
    <w:p w14:paraId="7DA6CF7C" w14:textId="77777777" w:rsidR="00AF3C0E" w:rsidRPr="002C5E33" w:rsidRDefault="00AF3C0E" w:rsidP="002C5E33">
      <w:pPr>
        <w:pStyle w:val="2"/>
        <w:rPr>
          <w:b w:val="0"/>
          <w:bCs/>
          <w:rtl/>
        </w:rPr>
      </w:pPr>
      <w:bookmarkStart w:id="18" w:name="_Toc235119028"/>
      <w:r w:rsidRPr="002C5E33">
        <w:rPr>
          <w:rFonts w:hint="cs"/>
          <w:b w:val="0"/>
          <w:bCs/>
          <w:rtl/>
        </w:rPr>
        <w:t>حدود الدراسة:</w:t>
      </w:r>
      <w:bookmarkEnd w:id="18"/>
    </w:p>
    <w:p w14:paraId="0372B539" w14:textId="77777777" w:rsidR="00AF3C0E" w:rsidRPr="00891197" w:rsidRDefault="00AF3C0E" w:rsidP="00891197">
      <w:pPr>
        <w:pStyle w:val="a6"/>
        <w:numPr>
          <w:ilvl w:val="0"/>
          <w:numId w:val="39"/>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الحدود الموضوعية: اقتصرت الدراسة على معرفة أثر التحول الصحي في المملكة العربية السعودية على بيئة العمل النفسية المستدامة ودور رفاهية الموظفين في تقليل الاحتراق الوظيفي في القطاع الصحي الحكومي.</w:t>
      </w:r>
    </w:p>
    <w:p w14:paraId="629EF1D8" w14:textId="77777777" w:rsidR="00AF3C0E" w:rsidRPr="0089331B" w:rsidRDefault="00AF3C0E" w:rsidP="0089331B">
      <w:pPr>
        <w:pStyle w:val="a6"/>
        <w:numPr>
          <w:ilvl w:val="0"/>
          <w:numId w:val="39"/>
        </w:numPr>
        <w:spacing w:line="240" w:lineRule="auto"/>
        <w:jc w:val="both"/>
        <w:rPr>
          <w:rFonts w:ascii="Simplified Arabic" w:hAnsi="Simplified Arabic" w:cs="Simplified Arabic"/>
          <w:sz w:val="28"/>
          <w:szCs w:val="28"/>
          <w:rtl/>
        </w:rPr>
      </w:pPr>
      <w:r w:rsidRPr="0089331B">
        <w:rPr>
          <w:rFonts w:ascii="Simplified Arabic" w:hAnsi="Simplified Arabic" w:cs="Simplified Arabic"/>
          <w:sz w:val="28"/>
          <w:szCs w:val="28"/>
          <w:rtl/>
        </w:rPr>
        <w:t>الحدود البشرية: طُبقت الدراسة على عينة مقدارها (384) مفردة من العاملين في القطاع الصحي الحكومي بمدينة الرياض، وشملت الأطباء والممرضين والفنيين والإداريين في المستشفيات والمراكز الصحية الحكومية.</w:t>
      </w:r>
    </w:p>
    <w:p w14:paraId="06B0D6C5" w14:textId="77777777" w:rsidR="00AF3C0E" w:rsidRPr="00891197" w:rsidRDefault="00AF3C0E" w:rsidP="0089331B">
      <w:pPr>
        <w:pStyle w:val="a6"/>
        <w:numPr>
          <w:ilvl w:val="0"/>
          <w:numId w:val="39"/>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lastRenderedPageBreak/>
        <w:t>الحدود الزمانية: سيتم التطبيق في الفترة الزمنية من سنة 2025 الى 2026 هذه الفترة جمع البيانات، تحليل النتائج، وتقديم التوصيات. كما سيتم خلالها إجراء المقابلات وعملية تحليل البيات واعداد التقرير النهائي.</w:t>
      </w:r>
    </w:p>
    <w:p w14:paraId="492BFB3D" w14:textId="77777777" w:rsidR="00AF3C0E" w:rsidRPr="00891197" w:rsidRDefault="00AF3C0E" w:rsidP="00891197">
      <w:pPr>
        <w:pStyle w:val="a6"/>
        <w:numPr>
          <w:ilvl w:val="0"/>
          <w:numId w:val="39"/>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الحدود المكانية: المستشفيات والمراكز الصحية الحكومية في مدينة الرياض.</w:t>
      </w:r>
    </w:p>
    <w:p w14:paraId="37522B6D" w14:textId="77777777" w:rsidR="00AF3C0E" w:rsidRPr="002C5E33" w:rsidRDefault="00AF3C0E" w:rsidP="002C5E33">
      <w:pPr>
        <w:pStyle w:val="2"/>
        <w:rPr>
          <w:b w:val="0"/>
          <w:bCs/>
          <w:rtl/>
        </w:rPr>
      </w:pPr>
      <w:bookmarkStart w:id="19" w:name="_Toc235119029"/>
      <w:r w:rsidRPr="002C5E33">
        <w:rPr>
          <w:rFonts w:hint="cs"/>
          <w:b w:val="0"/>
          <w:bCs/>
          <w:rtl/>
        </w:rPr>
        <w:t>مفاهيم الدراسة:</w:t>
      </w:r>
      <w:bookmarkEnd w:id="19"/>
    </w:p>
    <w:p w14:paraId="6658CD63"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ورد في هذه الدراسة عدد من المصطلحات يمكن تعريفها كالآتي:</w:t>
      </w:r>
    </w:p>
    <w:p w14:paraId="77CC322B" w14:textId="77777777" w:rsidR="00AF3C0E" w:rsidRPr="002C5E33" w:rsidRDefault="00AF3C0E" w:rsidP="002C5E33">
      <w:pPr>
        <w:pStyle w:val="3"/>
        <w:rPr>
          <w:b w:val="0"/>
          <w:bCs/>
          <w:rtl/>
        </w:rPr>
      </w:pPr>
      <w:bookmarkStart w:id="20" w:name="_Toc235119030"/>
      <w:r w:rsidRPr="002C5E33">
        <w:rPr>
          <w:rFonts w:hint="cs"/>
          <w:b w:val="0"/>
          <w:bCs/>
          <w:rtl/>
        </w:rPr>
        <w:t>مفهوم التحول الصحي في المملكة العربية السعودية:</w:t>
      </w:r>
      <w:bookmarkEnd w:id="20"/>
    </w:p>
    <w:p w14:paraId="6FAD8857" w14:textId="77777777" w:rsidR="00AF3C0E" w:rsidRPr="00891197" w:rsidRDefault="00AF3C0E" w:rsidP="00891197">
      <w:pPr>
        <w:pStyle w:val="a6"/>
        <w:numPr>
          <w:ilvl w:val="0"/>
          <w:numId w:val="38"/>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التحول الصحي في المملكة العربية السعودية هو: جزء أساسي من رؤية المملكة لعام (2030م)، والتي تهدف إلى تحسين جودة الحياة وتعزيز الصحة العامة، وتم إطلاق برنامج التحول الصحي في عام (2017م)، ويهدف إلى إعادة هيكلة النظام الصحي ليكون أكثر شمولية وفعالية، مع التركيز على تحسين الوصول إلى الخدمات الصحية وتحديث المرافق والتجهيزات (</w:t>
      </w:r>
      <w:r w:rsidR="00690C5F" w:rsidRPr="00891197">
        <w:rPr>
          <w:rFonts w:ascii="Simplified Arabic" w:hAnsi="Simplified Arabic" w:cs="Simplified Arabic" w:hint="cs"/>
          <w:sz w:val="28"/>
          <w:szCs w:val="28"/>
          <w:rtl/>
        </w:rPr>
        <w:t xml:space="preserve">رؤية المملكة العربية السعودية 2030 </w:t>
      </w:r>
      <w:r w:rsidRPr="00891197">
        <w:rPr>
          <w:rFonts w:ascii="Simplified Arabic" w:hAnsi="Simplified Arabic" w:cs="Simplified Arabic" w:hint="cs"/>
          <w:sz w:val="28"/>
          <w:szCs w:val="28"/>
          <w:rtl/>
        </w:rPr>
        <w:t>، 2024، 10).</w:t>
      </w:r>
    </w:p>
    <w:p w14:paraId="6F546105" w14:textId="77777777" w:rsidR="00AF3C0E" w:rsidRPr="00891197" w:rsidRDefault="00AF3C0E" w:rsidP="00891197">
      <w:pPr>
        <w:pStyle w:val="a6"/>
        <w:numPr>
          <w:ilvl w:val="0"/>
          <w:numId w:val="38"/>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ويعرف التحول الصحي بالمملكة العربية السعودية إجرائياً بأنه: سلسلة من الإصلاحات والتغييرات المنهجية التي تهدف إلى تحسين قطاع الرعاية الصحية في المملكة العربية السعودية، وذلك ضمن إطار رؤية المملكة (2030م)، ويشمل التحول الصحي إعادة هيكلة نظام الرعاية الصحية، تطبيق التقنيات الحديثة، تحسين جودة الخدمات الصحية المقدمة، وتعزيز الوصول إلى الرعاية الصحية لجميع أفراد المجتمع، ويتم قياس التحول الصحي من خلال مؤشرات محددة مثل: تحسين البنية التحتية الصحية، وزيادة استخدام التكنولوجيا الصحية، ورفع مستوى رضا العاملين والمستفيدين من الخدمات الصحية.</w:t>
      </w:r>
    </w:p>
    <w:p w14:paraId="131B00EB" w14:textId="77777777" w:rsidR="00AF3C0E" w:rsidRPr="002C5E33" w:rsidRDefault="00AF3C0E" w:rsidP="002C5E33">
      <w:pPr>
        <w:pStyle w:val="3"/>
        <w:rPr>
          <w:b w:val="0"/>
          <w:bCs/>
          <w:rtl/>
        </w:rPr>
      </w:pPr>
      <w:bookmarkStart w:id="21" w:name="_Toc235119031"/>
      <w:r w:rsidRPr="002C5E33">
        <w:rPr>
          <w:rFonts w:hint="cs"/>
          <w:b w:val="0"/>
          <w:bCs/>
          <w:rtl/>
        </w:rPr>
        <w:t>مفهوم بيئة العمل النفسية المستدامة:</w:t>
      </w:r>
      <w:bookmarkEnd w:id="21"/>
    </w:p>
    <w:p w14:paraId="0DFEF3D7" w14:textId="77777777" w:rsidR="00AF3C0E" w:rsidRPr="00891197" w:rsidRDefault="00AF3C0E" w:rsidP="00891197">
      <w:pPr>
        <w:pStyle w:val="a6"/>
        <w:numPr>
          <w:ilvl w:val="0"/>
          <w:numId w:val="37"/>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بيئة العمل النفسية المستدامة: هي تلك الحالة النفسية التي تتسم بالثبات النسبي والتي يكون فيها الفرد متمتعاً بالتوافق الشخصي والاجتماعي والاتزان الانفعالي (توتي، 2020، 8).</w:t>
      </w:r>
    </w:p>
    <w:p w14:paraId="08DD48FD" w14:textId="77777777" w:rsidR="00AF3C0E" w:rsidRPr="00891197" w:rsidRDefault="00AF3C0E" w:rsidP="00891197">
      <w:pPr>
        <w:pStyle w:val="a6"/>
        <w:numPr>
          <w:ilvl w:val="0"/>
          <w:numId w:val="37"/>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ويعرف بيئة العمل النفسية إجرائياً بأنها: جملة من المؤشرات التي تساعد العامل على حسن التوافق مع نفسه ومع بيئة العمل وتقاس بالدرجة الكلية التي يحصل عليها في مقياس بيئة العمل النفسية المستخدم في هذه الدراسة.</w:t>
      </w:r>
    </w:p>
    <w:p w14:paraId="2C45C922" w14:textId="77777777" w:rsidR="00AF3C0E" w:rsidRPr="002C5E33" w:rsidRDefault="00AF3C0E" w:rsidP="002C5E33">
      <w:pPr>
        <w:pStyle w:val="3"/>
        <w:rPr>
          <w:b w:val="0"/>
          <w:bCs/>
          <w:rtl/>
        </w:rPr>
      </w:pPr>
      <w:bookmarkStart w:id="22" w:name="_Toc235119032"/>
      <w:r w:rsidRPr="002C5E33">
        <w:rPr>
          <w:rFonts w:hint="cs"/>
          <w:b w:val="0"/>
          <w:bCs/>
          <w:rtl/>
        </w:rPr>
        <w:lastRenderedPageBreak/>
        <w:t>مفهوم رفاهية الموظفين:</w:t>
      </w:r>
      <w:bookmarkEnd w:id="22"/>
    </w:p>
    <w:p w14:paraId="0C41F22D" w14:textId="77777777" w:rsidR="00AF3C0E" w:rsidRPr="002C4978" w:rsidRDefault="00AF3C0E" w:rsidP="00891197">
      <w:pPr>
        <w:pStyle w:val="a6"/>
        <w:numPr>
          <w:ilvl w:val="0"/>
          <w:numId w:val="36"/>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تعرف رفاهية الموظفين على أنها: مجموعة من الممارسات والأنشطة والبرامج والمبادرات والخدمات المصممة لتعزيز وتحسين الصحة العقلية والنفسية والجسدية للموظفين والهادفة لتطوير سلوكهم وأدائهم الوظيفي؛ شريطة زيادة دافعيتهم للعمل من خلال الميزات التي توفرها لهم المنظمات (الهيئة الاتحادية للموارد البشرية الحكومية، 2018، جوده ومحمد، 2022) وتشمل رفاهية الموظفين عدداً من المبادرات والفعاليات التي تعزز إنتاجية الموظفين ورفاههم العقلي والجسدي والروحي، وكل هذا ينعكس في تطوير أدائهم وكفاءتهم ونشاطهم في أثناء العمل، وزيادة دافعهم للعمل بنشاط وزيادة سعادتهم وولائهم للعمل من خلال خلق بيئة عمل محفزة وإيجابية (الجنابي وخضير، 2021)، ويتضمن مفهوم الرفاه الوظيفي ثلاثة أبعاد رئيسية هي:</w:t>
      </w:r>
    </w:p>
    <w:p w14:paraId="58F44D23" w14:textId="77777777" w:rsidR="00AF3C0E" w:rsidRPr="002C4978" w:rsidRDefault="00AF3C0E" w:rsidP="00891197">
      <w:pPr>
        <w:pStyle w:val="a6"/>
        <w:numPr>
          <w:ilvl w:val="0"/>
          <w:numId w:val="36"/>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الرفاهية النفسي: ويقصد بها المؤشرات والعلامات الانفعالية والسلوكية التي تكون لدى الموظفين في حياتهم التي تشير إلى الرضا العام للموظف عن حياته (</w:t>
      </w:r>
      <w:r w:rsidRPr="00D201D3">
        <w:rPr>
          <w:rFonts w:ascii="Simplified Arabic" w:hAnsi="Simplified Arabic" w:cs="Simplified Arabic" w:hint="cs"/>
          <w:sz w:val="28"/>
          <w:szCs w:val="28"/>
        </w:rPr>
        <w:t>Rahi,2016</w:t>
      </w:r>
      <w:r w:rsidRPr="00D201D3">
        <w:rPr>
          <w:rFonts w:ascii="Simplified Arabic" w:hAnsi="Simplified Arabic" w:cs="Simplified Arabic" w:hint="cs"/>
          <w:sz w:val="28"/>
          <w:szCs w:val="28"/>
          <w:rtl/>
        </w:rPr>
        <w:t>)، وتتعلق الرفاهية النفسية بحالة الفرد الإيجابية وصحته النفسية مثل: قدرته على التطوير وتكوين علاقات جيدة مع زملائه في العمل، وأن يكون لدى الفرد اتجاه وشعور إيجابي (</w:t>
      </w:r>
      <w:r w:rsidRPr="00D201D3">
        <w:rPr>
          <w:rFonts w:ascii="Simplified Arabic" w:hAnsi="Simplified Arabic" w:cs="Simplified Arabic" w:hint="cs"/>
          <w:sz w:val="28"/>
          <w:szCs w:val="28"/>
        </w:rPr>
        <w:t>Putra,et al.,2024</w:t>
      </w:r>
      <w:r w:rsidRPr="00D201D3">
        <w:rPr>
          <w:rFonts w:ascii="Simplified Arabic" w:hAnsi="Simplified Arabic" w:cs="Simplified Arabic" w:hint="cs"/>
          <w:sz w:val="28"/>
          <w:szCs w:val="28"/>
          <w:rtl/>
        </w:rPr>
        <w:t>)، مثل: الطمأنينة والسعادة وأن يخلو من الأداء والشعور السلبي كالقلق والإحباط.</w:t>
      </w:r>
    </w:p>
    <w:p w14:paraId="2F4018AC" w14:textId="77777777" w:rsidR="00AF3C0E" w:rsidRPr="002C4978" w:rsidRDefault="00AF3C0E" w:rsidP="00891197">
      <w:pPr>
        <w:pStyle w:val="a6"/>
        <w:numPr>
          <w:ilvl w:val="0"/>
          <w:numId w:val="36"/>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الرفاهية الاجتماعية: ويقصد بها جودة علاقات الموظف مع الأشخاص وحتى المجتمعات الأخرى، وتمثل المكون المعرفي والوجداني للسعادة عند الأفراد (</w:t>
      </w:r>
      <w:r w:rsidRPr="00D201D3">
        <w:rPr>
          <w:rFonts w:ascii="Simplified Arabic" w:hAnsi="Simplified Arabic" w:cs="Simplified Arabic" w:hint="cs"/>
          <w:sz w:val="28"/>
          <w:szCs w:val="28"/>
        </w:rPr>
        <w:t>Van De Voorde et al.,2012</w:t>
      </w:r>
      <w:r w:rsidRPr="00D201D3">
        <w:rPr>
          <w:rFonts w:ascii="Simplified Arabic" w:hAnsi="Simplified Arabic" w:cs="Simplified Arabic" w:hint="cs"/>
          <w:sz w:val="28"/>
          <w:szCs w:val="28"/>
          <w:rtl/>
        </w:rPr>
        <w:t>) فدائماً ما يحتاج الموظف إلى إنشاء علاقات إيجابية دائمة وآمنة خارج وداخل حدود العمل مع زملائه، حتى يتمكن من الشعور بالانتماء إلى المنظمة التي يعمل بها ولتلبية حاجته بتكوين علاقات اجتماعية، بالمقابل سينتظر الموظف أن يتلقى المعاملة نفسها من زملائه بالعمل (سناني؛ بوعطيط، 2021).</w:t>
      </w:r>
    </w:p>
    <w:p w14:paraId="48FF59F9" w14:textId="77777777" w:rsidR="00AF3C0E" w:rsidRPr="002C4978" w:rsidRDefault="00AF3C0E" w:rsidP="00891197">
      <w:pPr>
        <w:pStyle w:val="a6"/>
        <w:numPr>
          <w:ilvl w:val="0"/>
          <w:numId w:val="36"/>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الرفاهية في مكان العمل: تعني امتلاك الموظفين الصحة البدنية والعقلية، ويكون ذلك من خلال خلق بيئة تنظيمية تخلو من الضغوط النفسية والجسدية، وتتناسب مع العاملين، وتوفير بيئة تنظيمية مثيرة ومحفزة تزيد شعور الموظف بالسعادة والرضا عن الأداء من خلال توفير صور الرفاهية بمكان العمل </w:t>
      </w:r>
      <w:r w:rsidRPr="00D201D3">
        <w:rPr>
          <w:rFonts w:ascii="Simplified Arabic" w:hAnsi="Simplified Arabic" w:cs="Simplified Arabic" w:hint="cs"/>
          <w:sz w:val="28"/>
          <w:szCs w:val="28"/>
        </w:rPr>
        <w:t>Putra et al., 2024</w:t>
      </w:r>
      <w:r w:rsidRPr="00D201D3">
        <w:rPr>
          <w:rFonts w:ascii="Simplified Arabic" w:hAnsi="Simplified Arabic" w:cs="Simplified Arabic" w:hint="cs"/>
          <w:sz w:val="28"/>
          <w:szCs w:val="28"/>
          <w:rtl/>
        </w:rPr>
        <w:t>)) عندما توفر المنظمة بيئة عمل مرفهة وسليمة ومحفزة للعمل سيشعر الموظف براحة وسعادة أكثر خلال عمله، وسينعكس ذلك على نحو إيجابي على أدائه، ويكون ذلك من خلال حماية المنظمة لموظفيها من إصابات العمل من خلال توفير متطلبات الأمن والسلامة المهنية، وتوفير بيئة عمل مريحة تخلو من الإجهاد عن طريق توفير علاقات عمل مريحة بين الموظفين والمديرين وتسهيل وصول الموظف لما يحتاجه من أدوات ليتمكن من أداء عمله بشكل أسرع (قرني، 2023).</w:t>
      </w:r>
    </w:p>
    <w:p w14:paraId="072B76FC" w14:textId="77777777" w:rsidR="00AF3C0E" w:rsidRPr="00891197" w:rsidRDefault="00AF3C0E" w:rsidP="00891197">
      <w:pPr>
        <w:pStyle w:val="a6"/>
        <w:numPr>
          <w:ilvl w:val="0"/>
          <w:numId w:val="36"/>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 xml:space="preserve">وتعرف رفاهية الموظفين إجرائياً بأنها: الحالة العامة للراحة النفسية والجسدية والاجتماعية التي يشعر بها الموظف أثناء عمله في القطاع الصحي الحكومي في مدينة الرياض، ويتم قياس رفاهية الموظفين </w:t>
      </w:r>
      <w:r w:rsidRPr="00891197">
        <w:rPr>
          <w:rFonts w:ascii="Simplified Arabic" w:hAnsi="Simplified Arabic" w:cs="Simplified Arabic" w:hint="cs"/>
          <w:sz w:val="28"/>
          <w:szCs w:val="28"/>
          <w:rtl/>
        </w:rPr>
        <w:lastRenderedPageBreak/>
        <w:t>من خلال مجموعة من المؤشرات التي تشمل رضا الموظف عن العمل، والتوازن بين العمل والحياة الشخصية، والدعم النفسي والاجتماعي من قبل الإدارة والزملاء، الشعور بالاستقرار الوظيفي، وتوفر بيئة عمل صحية وآمنة.</w:t>
      </w:r>
    </w:p>
    <w:p w14:paraId="298046A3" w14:textId="77777777" w:rsidR="00AF3C0E" w:rsidRPr="002C5E33" w:rsidRDefault="00AF3C0E" w:rsidP="002C5E33">
      <w:pPr>
        <w:pStyle w:val="3"/>
        <w:rPr>
          <w:b w:val="0"/>
          <w:bCs/>
          <w:rtl/>
        </w:rPr>
      </w:pPr>
      <w:bookmarkStart w:id="23" w:name="_Toc235119033"/>
      <w:r w:rsidRPr="002C5E33">
        <w:rPr>
          <w:rFonts w:hint="cs"/>
          <w:b w:val="0"/>
          <w:bCs/>
          <w:rtl/>
        </w:rPr>
        <w:t>مفهوم الاحتراق الوظيفي:</w:t>
      </w:r>
      <w:bookmarkEnd w:id="23"/>
    </w:p>
    <w:p w14:paraId="3922B1AF" w14:textId="77777777" w:rsidR="00AF3C0E" w:rsidRPr="00891197" w:rsidRDefault="00AF3C0E" w:rsidP="00891197">
      <w:pPr>
        <w:pStyle w:val="a6"/>
        <w:numPr>
          <w:ilvl w:val="0"/>
          <w:numId w:val="35"/>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مفهوم الاحتراق الوظيفي: يعتبر من المفاهيم الحديثة نسبياً، والتي ظهرت في مجال علم النفس التنظيمي على يد العالم (</w:t>
      </w:r>
      <w:r w:rsidRPr="00891197">
        <w:rPr>
          <w:rFonts w:ascii="Simplified Arabic" w:hAnsi="Simplified Arabic" w:cs="Simplified Arabic" w:hint="cs"/>
          <w:sz w:val="28"/>
          <w:szCs w:val="28"/>
        </w:rPr>
        <w:t>Beadelly,1969</w:t>
      </w:r>
      <w:r w:rsidRPr="00891197">
        <w:rPr>
          <w:rFonts w:ascii="Simplified Arabic" w:hAnsi="Simplified Arabic" w:cs="Simplified Arabic" w:hint="cs"/>
          <w:sz w:val="28"/>
          <w:szCs w:val="28"/>
          <w:rtl/>
        </w:rPr>
        <w:t>)، الذي أشار إلى الحالة النفسية التي تحدث للعاملين في المجال الخدمي الذي يتميز بالتعامل والاحتكاك المباشر مع المستفيدين من الخدمات المقدمة، وقد استخدم المحلل النفسي (</w:t>
      </w:r>
      <w:r w:rsidRPr="00891197">
        <w:rPr>
          <w:rFonts w:ascii="Simplified Arabic" w:hAnsi="Simplified Arabic" w:cs="Simplified Arabic" w:hint="cs"/>
          <w:sz w:val="28"/>
          <w:szCs w:val="28"/>
        </w:rPr>
        <w:t>Freudenberger,1974</w:t>
      </w:r>
      <w:r w:rsidRPr="00891197">
        <w:rPr>
          <w:rFonts w:ascii="Simplified Arabic" w:hAnsi="Simplified Arabic" w:cs="Simplified Arabic" w:hint="cs"/>
          <w:sz w:val="28"/>
          <w:szCs w:val="28"/>
          <w:rtl/>
        </w:rPr>
        <w:t>)  مصطلح الاحتراق النفسي للإشارة إلى الاستجابات الجسمية والانفعالية لضغوط العمل لدى العاملين في المهن الإنسانية الذين يرهقون أنفسهم في السعي لتحقيق أهداف صعبة، وذلك من خلال دراساته التي ناقش فيها التجارب النفسية، ونتائج خبرته في التعامل ومعالجة العاملين المترددين على عيادته النفسية (الفرجاني، 2021).</w:t>
      </w:r>
    </w:p>
    <w:p w14:paraId="03075195" w14:textId="77777777" w:rsidR="00AF3C0E" w:rsidRPr="00891197" w:rsidRDefault="00AF3C0E" w:rsidP="00891197">
      <w:pPr>
        <w:pStyle w:val="a6"/>
        <w:numPr>
          <w:ilvl w:val="0"/>
          <w:numId w:val="35"/>
        </w:numPr>
        <w:spacing w:line="240" w:lineRule="auto"/>
        <w:jc w:val="both"/>
        <w:rPr>
          <w:rFonts w:ascii="Simplified Arabic" w:hAnsi="Simplified Arabic" w:cs="Simplified Arabic"/>
          <w:sz w:val="28"/>
          <w:szCs w:val="28"/>
          <w:rtl/>
        </w:rPr>
      </w:pPr>
      <w:r w:rsidRPr="00891197">
        <w:rPr>
          <w:rFonts w:ascii="Simplified Arabic" w:hAnsi="Simplified Arabic" w:cs="Simplified Arabic" w:hint="cs"/>
          <w:sz w:val="28"/>
          <w:szCs w:val="28"/>
          <w:rtl/>
        </w:rPr>
        <w:t>ويعرف الاحتراق الوظيفي إجرائياً بأنه: حالة من الإجهاد البدني والنفسي والعاطفي التي يمر بها الموظف نتيجة التعرض المستمر للضغوط المهنية، سواء كانت تلك الضغوط ناتجة عن بيئة العمل أو المهام الوظيفية أو التعامل مع المستفيدين من الخدمة، يتمثل الاحتراق الوظيفي في أعراض مثل: الإرهاق العاطفي، انخفاض الدافعية، الإحباط، اللامبالاة، والشعور بفقدان الفعالية والكفاءة، ويُقاس الاحتراق الوظيفي من خلال استبيان مخصص يحتوي على مجموعة من المؤشرات التي تُظهر مدى تأثير هذه الضغوط على الأداء الوظيفي والرفاهية النفسية للموظف.</w:t>
      </w:r>
    </w:p>
    <w:p w14:paraId="4AD16DC9" w14:textId="77777777" w:rsidR="00AF3C0E" w:rsidRDefault="00AF3C0E" w:rsidP="00BD5864">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br w:type="page"/>
      </w:r>
    </w:p>
    <w:p w14:paraId="5F6D9BC0" w14:textId="77777777" w:rsidR="00AF3C0E" w:rsidRPr="002C5E33" w:rsidRDefault="00AF3C0E" w:rsidP="002C5E33">
      <w:pPr>
        <w:pStyle w:val="1"/>
        <w:rPr>
          <w:b/>
          <w:bCs/>
          <w:rtl/>
        </w:rPr>
      </w:pPr>
      <w:bookmarkStart w:id="24" w:name="_Toc235119034"/>
      <w:r w:rsidRPr="002C5E33">
        <w:rPr>
          <w:rFonts w:hint="cs"/>
          <w:b/>
          <w:bCs/>
          <w:rtl/>
        </w:rPr>
        <w:lastRenderedPageBreak/>
        <w:t>الفصل الثاني: الاطار النظري للدراسة</w:t>
      </w:r>
      <w:bookmarkEnd w:id="24"/>
    </w:p>
    <w:p w14:paraId="0AFCFC87" w14:textId="77777777" w:rsidR="00AF3C0E" w:rsidRPr="002C5E33" w:rsidRDefault="00AF3C0E" w:rsidP="002C5E33">
      <w:pPr>
        <w:pStyle w:val="2"/>
        <w:rPr>
          <w:b w:val="0"/>
          <w:bCs/>
          <w:rtl/>
        </w:rPr>
      </w:pPr>
      <w:bookmarkStart w:id="25" w:name="_Toc235119035"/>
      <w:r w:rsidRPr="002C5E33">
        <w:rPr>
          <w:rFonts w:hint="cs"/>
          <w:b w:val="0"/>
          <w:bCs/>
          <w:rtl/>
        </w:rPr>
        <w:t>تمهيد</w:t>
      </w:r>
      <w:bookmarkEnd w:id="25"/>
    </w:p>
    <w:p w14:paraId="26709079"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يعتبر التحول الصحي أحد أبرز مكونات رؤية المملكة العربية السعودية 2030، وهو تحول يهدف إلى إعادة هيكلة المنظومة الصحية وتطويرها بما يتوافق مع المعايير العالمية، الأمر الذي ينعكس بصورة مباشرة على طبيعة بيئة العمل وظروف الموظفين في هذا القطاع،</w:t>
      </w:r>
    </w:p>
    <w:p w14:paraId="47634C18"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وخاصة أن مثل هذه التغيرات التنظيمية الواسعة تحمل في طياتها فرصًا لتطوير الأداء وتحسين جودة الخدمات، لكنها في الوقت ذاته تفرض تحديات جديدة تتعلق بمدى قدرة الموظفين على التكيف مع المتغيرات المستجدة والحفاظ على مستويات مقبولة من الرفاهية النفسية والجسدية. ومن ثم تبرز أهمية مفهوم رفاهية الموظفين باعتباره أحد المحددات الرئيسة لجودة بيئة العمل النفسية المستدامة، حيث تشير الأدبيات إلى أن توافر الدعم الإداري، والتوازن بين العمل والحياة، وتهيئة بيئة عمل آمنة يسهم في تعزيز الدافعية وتقليل الضغوط المهنية، وهو ما ينعكس بدوره على انخفاض مستويات الاحتراق الوظيفي.</w:t>
      </w:r>
    </w:p>
    <w:p w14:paraId="476B2244"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كما تؤكد الدراسات أن الاحتراق الوظيفي يمثل إحدى أخطر الظواهر السلبية التي تواجه المنظمات الحديثة، لما يسببه من تداعيات على الإنتاجية والرضا الوظيفي والاستقرار المهني حيث يهدف هذا الفصل إلى استعراض وتحليل المفاهيم النظرية المرتبطة بمتغيرات الدراسة، وهي التحول الصحي ورفاهية الموظفين وبيئة العمل النفسية المستدامة، والاحتراق الوظيفي و إلى جانب استعراض الدراسات السابقة</w:t>
      </w:r>
      <w:r>
        <w:rPr>
          <w:rFonts w:ascii="Simplified Arabic" w:hAnsi="Simplified Arabic" w:cs="Simplified Arabic" w:hint="cs"/>
          <w:sz w:val="28"/>
          <w:szCs w:val="28"/>
          <w:rtl/>
        </w:rPr>
        <w:t>.</w:t>
      </w:r>
    </w:p>
    <w:p w14:paraId="740E539B" w14:textId="77777777" w:rsidR="00AF3C0E" w:rsidRPr="002C5E33" w:rsidRDefault="00AF3C0E" w:rsidP="002C5E33">
      <w:pPr>
        <w:pStyle w:val="2"/>
        <w:rPr>
          <w:b w:val="0"/>
          <w:bCs/>
          <w:rtl/>
        </w:rPr>
      </w:pPr>
      <w:bookmarkStart w:id="26" w:name="_Toc235119036"/>
      <w:r w:rsidRPr="002C5E33">
        <w:rPr>
          <w:rFonts w:hint="cs"/>
          <w:b w:val="0"/>
          <w:bCs/>
          <w:rtl/>
        </w:rPr>
        <w:t>متغيرات الدراسة</w:t>
      </w:r>
      <w:bookmarkEnd w:id="26"/>
    </w:p>
    <w:p w14:paraId="64AA5765" w14:textId="77777777" w:rsidR="00AF3C0E" w:rsidRPr="002C5E33" w:rsidRDefault="00AF3C0E" w:rsidP="002C5E33">
      <w:pPr>
        <w:pStyle w:val="3"/>
        <w:rPr>
          <w:b w:val="0"/>
          <w:bCs/>
          <w:rtl/>
        </w:rPr>
      </w:pPr>
      <w:bookmarkStart w:id="27" w:name="_Toc235119037"/>
      <w:r w:rsidRPr="002C5E33">
        <w:rPr>
          <w:rFonts w:hint="cs"/>
          <w:b w:val="0"/>
          <w:bCs/>
          <w:rtl/>
        </w:rPr>
        <w:t>المتغير المستقل</w:t>
      </w:r>
      <w:bookmarkEnd w:id="27"/>
    </w:p>
    <w:p w14:paraId="75E7A1B8" w14:textId="77777777" w:rsidR="00AF3C0E" w:rsidRPr="00D201D3" w:rsidRDefault="00AF3C0E" w:rsidP="00BD5864">
      <w:p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b/>
          <w:bCs/>
          <w:sz w:val="28"/>
          <w:szCs w:val="28"/>
          <w:rtl/>
        </w:rPr>
        <w:t>التحول الصحي:</w:t>
      </w:r>
      <w:r w:rsidRPr="00D201D3">
        <w:rPr>
          <w:rFonts w:ascii="Simplified Arabic" w:hAnsi="Simplified Arabic" w:cs="Simplified Arabic" w:hint="cs"/>
          <w:sz w:val="28"/>
          <w:szCs w:val="28"/>
          <w:rtl/>
        </w:rPr>
        <w:t xml:space="preserve"> يشير مفهوم التحول الصحي إلى سلسلة الإصلاحات الجذرية التي يشهدها القطاع الصحي في المملكة العربية السعودية ضمن رؤية 2030، والتي تهدف إلى رفع كفاءة النظام الصحي وتحسين جودة الخدمات وتعزيز الاستدامة المالية والتقنية. يشمل هذا التحول إعادة هيكلة المؤسسات الصحية، ودمج الأنظمة الرقمية، وتبني نماذج تشغيل جديدة قائمة على الشراكة بين القطاعين العام والخاص (عبدالرحمن، 2024).</w:t>
      </w:r>
    </w:p>
    <w:p w14:paraId="5233FC7D"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وتبرز أهمية التحول الصحي في تأثيره المباشر على بيئة العمل؛ حيث يؤدي إدخال التقنيات الحديثة وتغيير الهياكل الإدارية إلى زيادة متطلبات العمل وإعادة توزيع الأدوار الوظيفية، وهو ما قد يسهم في تعزيز فاعلية الأداء لكنه في الوقت نفسه يفرض تحديات نفسية وسلوكية على العاملين (الإدارة العامة للتعليم – الرياض، </w:t>
      </w:r>
      <w:r w:rsidRPr="00D201D3">
        <w:rPr>
          <w:rFonts w:ascii="Simplified Arabic" w:hAnsi="Simplified Arabic" w:cs="Simplified Arabic" w:hint="cs"/>
          <w:sz w:val="28"/>
          <w:szCs w:val="28"/>
          <w:rtl/>
        </w:rPr>
        <w:lastRenderedPageBreak/>
        <w:t>2020) حيث تشير الأدبيات إلى أن التغيرات التنظيمية الكبرى يمكن أن تحدث ضغوطًا على الموظفين إذا لم تُصاحبها سياسات واضحة لدعم رفاهيتهم (فرج والقبي، 2023)</w:t>
      </w:r>
    </w:p>
    <w:p w14:paraId="2F6A2FC9"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أبعاده الرئيسية:</w:t>
      </w:r>
    </w:p>
    <w:p w14:paraId="17B80CD6"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Pr>
      </w:pPr>
      <w:r w:rsidRPr="00DE6580">
        <w:rPr>
          <w:rFonts w:ascii="Simplified Arabic" w:hAnsi="Simplified Arabic" w:cs="Simplified Arabic" w:hint="cs"/>
          <w:sz w:val="28"/>
          <w:szCs w:val="28"/>
          <w:rtl/>
        </w:rPr>
        <w:t>جودة الرعاية الصحية بتحسين مستوى الخدمات العلاجية والوقائية والتشخيصية.</w:t>
      </w:r>
    </w:p>
    <w:p w14:paraId="0AD126EB"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Pr>
      </w:pPr>
      <w:r w:rsidRPr="00DE6580">
        <w:rPr>
          <w:rFonts w:ascii="Simplified Arabic" w:hAnsi="Simplified Arabic" w:cs="Simplified Arabic" w:hint="cs"/>
          <w:sz w:val="28"/>
          <w:szCs w:val="28"/>
          <w:rtl/>
        </w:rPr>
        <w:t>استدامة الخدمات الصحية عن طريق ضمان استمرارية تقديم الرعاية لجميع الفئات مع الحد من الانقطاعات.</w:t>
      </w:r>
    </w:p>
    <w:p w14:paraId="14CEA931"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Pr>
      </w:pPr>
      <w:r w:rsidRPr="00DE6580">
        <w:rPr>
          <w:rFonts w:ascii="Simplified Arabic" w:hAnsi="Simplified Arabic" w:cs="Simplified Arabic" w:hint="cs"/>
          <w:sz w:val="28"/>
          <w:szCs w:val="28"/>
          <w:rtl/>
        </w:rPr>
        <w:t>رفاهية الموظفين الصحيين و ذلك بتوفير بيئة عمل محفزة وداعمة تقلل الضغوط المهنية وتعزز الرضا الوظيفي.</w:t>
      </w:r>
    </w:p>
    <w:p w14:paraId="573D6988"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Pr>
      </w:pPr>
      <w:r w:rsidRPr="00DE6580">
        <w:rPr>
          <w:rFonts w:ascii="Simplified Arabic" w:hAnsi="Simplified Arabic" w:cs="Simplified Arabic" w:hint="cs"/>
          <w:sz w:val="28"/>
          <w:szCs w:val="28"/>
          <w:rtl/>
        </w:rPr>
        <w:t>استدامة التمويل الصحي بتعزيز مصادر التمويل وضمان كفاءة استخدام الموارد المالية.</w:t>
      </w:r>
    </w:p>
    <w:p w14:paraId="6A06711A"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Pr>
      </w:pPr>
      <w:r w:rsidRPr="00DE6580">
        <w:rPr>
          <w:rFonts w:ascii="Simplified Arabic" w:hAnsi="Simplified Arabic" w:cs="Simplified Arabic" w:hint="cs"/>
          <w:sz w:val="28"/>
          <w:szCs w:val="28"/>
          <w:rtl/>
        </w:rPr>
        <w:t>الكفاءة التشغيلية وهي  رفع كفاءة استغلال الموارد المادية والبشرية وتحسين الأداء الإداري.</w:t>
      </w:r>
    </w:p>
    <w:p w14:paraId="142DE577" w14:textId="77777777" w:rsidR="00AF3C0E" w:rsidRPr="00DE6580" w:rsidRDefault="00AF3C0E" w:rsidP="006C4CDD">
      <w:pPr>
        <w:pStyle w:val="a6"/>
        <w:numPr>
          <w:ilvl w:val="0"/>
          <w:numId w:val="27"/>
        </w:numPr>
        <w:spacing w:line="240" w:lineRule="auto"/>
        <w:jc w:val="both"/>
        <w:rPr>
          <w:rFonts w:ascii="Simplified Arabic" w:hAnsi="Simplified Arabic" w:cs="Simplified Arabic"/>
          <w:sz w:val="28"/>
          <w:szCs w:val="28"/>
          <w:rtl/>
        </w:rPr>
      </w:pPr>
      <w:r w:rsidRPr="00DE6580">
        <w:rPr>
          <w:rFonts w:ascii="Simplified Arabic" w:hAnsi="Simplified Arabic" w:cs="Simplified Arabic" w:hint="cs"/>
          <w:sz w:val="28"/>
          <w:szCs w:val="28"/>
          <w:rtl/>
        </w:rPr>
        <w:t>تقليل المخاطر المالية على المرضى اي الحد من الأعباء المالية وضمان الوصول العادل للخدمات.</w:t>
      </w:r>
    </w:p>
    <w:p w14:paraId="3FC8B2BD" w14:textId="77777777" w:rsidR="00AF3C0E" w:rsidRPr="002C5E33" w:rsidRDefault="00AF3C0E" w:rsidP="002C5E33">
      <w:pPr>
        <w:pStyle w:val="3"/>
        <w:rPr>
          <w:b w:val="0"/>
          <w:bCs/>
          <w:rtl/>
        </w:rPr>
      </w:pPr>
      <w:bookmarkStart w:id="28" w:name="_Toc235119038"/>
      <w:r w:rsidRPr="002C5E33">
        <w:rPr>
          <w:rFonts w:hint="cs"/>
          <w:b w:val="0"/>
          <w:bCs/>
          <w:rtl/>
        </w:rPr>
        <w:t>المتغير الوسيط</w:t>
      </w:r>
      <w:bookmarkEnd w:id="28"/>
    </w:p>
    <w:p w14:paraId="117DD275" w14:textId="77777777" w:rsidR="00AF3C0E" w:rsidRPr="002C5E33" w:rsidRDefault="00AF3C0E" w:rsidP="002C5E33">
      <w:pPr>
        <w:spacing w:line="240" w:lineRule="auto"/>
        <w:jc w:val="both"/>
        <w:rPr>
          <w:rFonts w:ascii="Simplified Arabic" w:hAnsi="Simplified Arabic" w:cs="Simplified Arabic"/>
          <w:sz w:val="28"/>
          <w:szCs w:val="28"/>
          <w:rtl/>
        </w:rPr>
      </w:pPr>
      <w:r w:rsidRPr="002C5E33">
        <w:rPr>
          <w:rFonts w:ascii="Simplified Arabic" w:hAnsi="Simplified Arabic" w:cs="Simplified Arabic" w:hint="cs"/>
          <w:b/>
          <w:bCs/>
          <w:sz w:val="28"/>
          <w:szCs w:val="28"/>
          <w:rtl/>
        </w:rPr>
        <w:t>رفاهية الموظف:</w:t>
      </w:r>
      <w:r w:rsidRPr="002C5E33">
        <w:rPr>
          <w:rFonts w:ascii="Simplified Arabic" w:hAnsi="Simplified Arabic" w:cs="Simplified Arabic" w:hint="cs"/>
          <w:sz w:val="28"/>
          <w:szCs w:val="28"/>
          <w:rtl/>
        </w:rPr>
        <w:t xml:space="preserve"> تعرف رفاهية الموظفين بأنها "المستوى الذي يتمتع فيه العاملون بصحة نفسية وجسدية واجتماعية مستقرة داخل بيئة العمل بما يعزز من إنتاجيتهم ورضاهم الوظيفي" (عبدالرحمن، 2024). ويتضمن هذا المفهوم جوانب متعددة مثل: التوازن بين الحياة والعمل، الدعم الإداري، الأمان الوظيفي، وتوفير بيئة عمل داعمة.</w:t>
      </w:r>
    </w:p>
    <w:p w14:paraId="22FF8528" w14:textId="77777777"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وقد تناولت نظرية جودة الحياة الوظيفية مفهوم رفاهية الموظف باعتباره عنصرًا جوهريًا لتحفيز الأداء المؤسسي، مؤكدة أن تحسين ظروف العمل ينعكس إيجابًا على الولاء الوظيفي ويقلل من التوتر والضغوط (الإدارة العامة للتعليم – الرياض، 2020). وأظهرت دراسة عسيري (2021) وجود علاقة عكسية بين مستويات رفاهية الموظفين ودرجات الاحتراق الوظيفي، إذ تبين أن انخفاض مؤشرات الرفاهية يزيد من احتمالية تعرض العاملين للإجهاد النفسي وفقدان الدافعية.</w:t>
      </w:r>
    </w:p>
    <w:p w14:paraId="3FA42147" w14:textId="77777777"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كما أظهرت دراسة فرج والقبي (2023) في جامعة سرت أن رفاهية الموظفين تمثل أحد العوامل الحاسمة في تفسير الفروق في الأداء الوظيفي، حيث إن الموظفين الذين يحظون بدعم إداري وبيئة عمل إيجابية يتمتعون بمستويات أقل من الإرهاق النفسي ومن ثم تمثل رفاهية الموظفين المتغير الوسيط في هذه الدراسة، حيث تتوسط العلاقة بين التحول الصحي (المستقل) من جهة، وبيئة العمل النفسية المستدامة والاحتراق الوظيفي (التابعين) من جهة أخرى</w:t>
      </w:r>
      <w:r>
        <w:rPr>
          <w:rFonts w:ascii="Simplified Arabic" w:hAnsi="Simplified Arabic" w:cs="Simplified Arabic" w:hint="cs"/>
          <w:sz w:val="28"/>
          <w:szCs w:val="28"/>
          <w:rtl/>
        </w:rPr>
        <w:t>.</w:t>
      </w:r>
    </w:p>
    <w:p w14:paraId="169D8127"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أبعاده الرئيسية:</w:t>
      </w:r>
    </w:p>
    <w:p w14:paraId="33707F46" w14:textId="77777777" w:rsidR="00AF3C0E" w:rsidRPr="00F720BF" w:rsidRDefault="00AF3C0E" w:rsidP="006C4CDD">
      <w:pPr>
        <w:pStyle w:val="a6"/>
        <w:numPr>
          <w:ilvl w:val="0"/>
          <w:numId w:val="26"/>
        </w:numPr>
        <w:spacing w:line="240" w:lineRule="auto"/>
        <w:jc w:val="both"/>
        <w:rPr>
          <w:rFonts w:ascii="Simplified Arabic" w:hAnsi="Simplified Arabic" w:cs="Simplified Arabic"/>
          <w:sz w:val="28"/>
          <w:szCs w:val="28"/>
          <w:rtl/>
        </w:rPr>
      </w:pPr>
      <w:r w:rsidRPr="00F720BF">
        <w:rPr>
          <w:rFonts w:ascii="Simplified Arabic" w:hAnsi="Simplified Arabic" w:cs="Simplified Arabic" w:hint="cs"/>
          <w:sz w:val="28"/>
          <w:szCs w:val="28"/>
          <w:rtl/>
        </w:rPr>
        <w:t>البعد النفسي ويتعلق بمستوى الاستقرار العاطفي والرضا الوظيفي، وانخفاض معدلات التوتر والاحتراق المهني.</w:t>
      </w:r>
    </w:p>
    <w:p w14:paraId="7DCF6C8E" w14:textId="77777777" w:rsidR="00AF3C0E" w:rsidRPr="00F720BF" w:rsidRDefault="00AF3C0E" w:rsidP="006C4CDD">
      <w:pPr>
        <w:pStyle w:val="a6"/>
        <w:numPr>
          <w:ilvl w:val="0"/>
          <w:numId w:val="26"/>
        </w:numPr>
        <w:spacing w:line="240" w:lineRule="auto"/>
        <w:jc w:val="both"/>
        <w:rPr>
          <w:rFonts w:ascii="Simplified Arabic" w:hAnsi="Simplified Arabic" w:cs="Simplified Arabic"/>
          <w:sz w:val="28"/>
          <w:szCs w:val="28"/>
          <w:rtl/>
        </w:rPr>
      </w:pPr>
      <w:r w:rsidRPr="00F720BF">
        <w:rPr>
          <w:rFonts w:ascii="Simplified Arabic" w:hAnsi="Simplified Arabic" w:cs="Simplified Arabic" w:hint="cs"/>
          <w:sz w:val="28"/>
          <w:szCs w:val="28"/>
          <w:rtl/>
        </w:rPr>
        <w:t>البعد الجسدي ويشمل تمتع الموظف بالصحة البدنية وظروف العمل الآمنة التي تقلل من المخاطر المهنية والإجهاد البدني.</w:t>
      </w:r>
    </w:p>
    <w:p w14:paraId="19847268" w14:textId="77777777" w:rsidR="00AF3C0E" w:rsidRPr="00F720BF" w:rsidRDefault="00AF3C0E" w:rsidP="006C4CDD">
      <w:pPr>
        <w:pStyle w:val="a6"/>
        <w:numPr>
          <w:ilvl w:val="0"/>
          <w:numId w:val="26"/>
        </w:numPr>
        <w:spacing w:line="240" w:lineRule="auto"/>
        <w:jc w:val="both"/>
        <w:rPr>
          <w:rFonts w:ascii="Simplified Arabic" w:hAnsi="Simplified Arabic" w:cs="Simplified Arabic"/>
          <w:sz w:val="28"/>
          <w:szCs w:val="28"/>
          <w:rtl/>
        </w:rPr>
      </w:pPr>
      <w:r w:rsidRPr="00F720BF">
        <w:rPr>
          <w:rFonts w:ascii="Simplified Arabic" w:hAnsi="Simplified Arabic" w:cs="Simplified Arabic" w:hint="cs"/>
          <w:sz w:val="28"/>
          <w:szCs w:val="28"/>
          <w:rtl/>
        </w:rPr>
        <w:t>البعد الاجتماعي حيث يتصل بجودة العلاقات المهنية، والدعم المتبادل بين الزملاء، وتعزيز روح التعاون والعمل الجماعي.</w:t>
      </w:r>
    </w:p>
    <w:p w14:paraId="0925CC23" w14:textId="77777777" w:rsidR="00AF3C0E" w:rsidRPr="00F720BF" w:rsidRDefault="00AF3C0E" w:rsidP="006C4CDD">
      <w:pPr>
        <w:pStyle w:val="a6"/>
        <w:numPr>
          <w:ilvl w:val="0"/>
          <w:numId w:val="26"/>
        </w:numPr>
        <w:spacing w:line="240" w:lineRule="auto"/>
        <w:jc w:val="both"/>
        <w:rPr>
          <w:rFonts w:ascii="Simplified Arabic" w:hAnsi="Simplified Arabic" w:cs="Simplified Arabic"/>
          <w:sz w:val="28"/>
          <w:szCs w:val="28"/>
          <w:rtl/>
        </w:rPr>
      </w:pPr>
      <w:r w:rsidRPr="00F720BF">
        <w:rPr>
          <w:rFonts w:ascii="Simplified Arabic" w:hAnsi="Simplified Arabic" w:cs="Simplified Arabic" w:hint="cs"/>
          <w:sz w:val="28"/>
          <w:szCs w:val="28"/>
          <w:rtl/>
        </w:rPr>
        <w:t>البعد المهني/التنموي الذي يتعلق بفرص التطوير المهني المستمر، والمشاركة في صنع القرار، ووضوح المسار الوظيفي.</w:t>
      </w:r>
    </w:p>
    <w:p w14:paraId="0A1511B7" w14:textId="77777777" w:rsidR="00AF3C0E" w:rsidRPr="00F720BF" w:rsidRDefault="00AF3C0E" w:rsidP="006C4CDD">
      <w:pPr>
        <w:pStyle w:val="a6"/>
        <w:numPr>
          <w:ilvl w:val="0"/>
          <w:numId w:val="26"/>
        </w:numPr>
        <w:spacing w:line="240" w:lineRule="auto"/>
        <w:jc w:val="both"/>
        <w:rPr>
          <w:rFonts w:ascii="Simplified Arabic" w:hAnsi="Simplified Arabic" w:cs="Simplified Arabic"/>
          <w:sz w:val="28"/>
          <w:szCs w:val="28"/>
          <w:rtl/>
        </w:rPr>
      </w:pPr>
      <w:r w:rsidRPr="00F720BF">
        <w:rPr>
          <w:rFonts w:ascii="Simplified Arabic" w:hAnsi="Simplified Arabic" w:cs="Simplified Arabic" w:hint="cs"/>
          <w:sz w:val="28"/>
          <w:szCs w:val="28"/>
          <w:rtl/>
        </w:rPr>
        <w:t>البعد الاقتصادي و يرتبط بمستوى الأمان المالي والاستقرار الوظيفي، إضافة إلى العدالة في الأجور والحوافز.</w:t>
      </w:r>
    </w:p>
    <w:p w14:paraId="65555964" w14:textId="77777777" w:rsidR="00AF3C0E" w:rsidRPr="002C5E33" w:rsidRDefault="00AF3C0E" w:rsidP="002C5E33">
      <w:pPr>
        <w:pStyle w:val="3"/>
        <w:rPr>
          <w:b w:val="0"/>
          <w:bCs/>
          <w:rtl/>
        </w:rPr>
      </w:pPr>
      <w:bookmarkStart w:id="29" w:name="_Toc235119039"/>
      <w:r w:rsidRPr="002C5E33">
        <w:rPr>
          <w:rFonts w:hint="cs"/>
          <w:b w:val="0"/>
          <w:bCs/>
          <w:rtl/>
        </w:rPr>
        <w:t>المتغيرات التابعة</w:t>
      </w:r>
      <w:bookmarkEnd w:id="29"/>
    </w:p>
    <w:p w14:paraId="16534F36" w14:textId="77777777" w:rsidR="00AF3C0E" w:rsidRPr="00BF139C" w:rsidRDefault="00AF3C0E" w:rsidP="006C4CDD">
      <w:pPr>
        <w:pStyle w:val="a6"/>
        <w:numPr>
          <w:ilvl w:val="0"/>
          <w:numId w:val="22"/>
        </w:numPr>
        <w:spacing w:line="240" w:lineRule="auto"/>
        <w:jc w:val="both"/>
        <w:rPr>
          <w:rFonts w:ascii="Simplified Arabic" w:hAnsi="Simplified Arabic" w:cs="Simplified Arabic"/>
          <w:sz w:val="28"/>
          <w:szCs w:val="28"/>
          <w:rtl/>
        </w:rPr>
      </w:pPr>
      <w:r w:rsidRPr="00BF139C">
        <w:rPr>
          <w:rFonts w:ascii="Simplified Arabic" w:hAnsi="Simplified Arabic" w:cs="Simplified Arabic" w:hint="cs"/>
          <w:b/>
          <w:bCs/>
          <w:sz w:val="28"/>
          <w:szCs w:val="28"/>
          <w:rtl/>
        </w:rPr>
        <w:t>تحسين بيئة العمل النفسية المستدامة</w:t>
      </w:r>
      <w:r w:rsidRPr="00BF139C">
        <w:rPr>
          <w:rFonts w:ascii="Simplified Arabic" w:hAnsi="Simplified Arabic" w:cs="Simplified Arabic" w:hint="cs"/>
          <w:sz w:val="28"/>
          <w:szCs w:val="28"/>
          <w:rtl/>
        </w:rPr>
        <w:t>: تعرف بيئة العمل النفسية المستدامة بأنها "</w:t>
      </w:r>
      <w:r w:rsidRPr="00BF139C">
        <w:rPr>
          <w:rFonts w:ascii="Simplified Arabic" w:hAnsi="Simplified Arabic" w:cs="Simplified Arabic" w:hint="cs"/>
          <w:i/>
          <w:iCs/>
          <w:sz w:val="28"/>
          <w:szCs w:val="28"/>
          <w:rtl/>
        </w:rPr>
        <w:t>مجموعة الممارسات والسياسات التي تهدف إلى خلق بيئة داعمة تدعم الأمان النفسي والشعور بالانتماء والتحفيز لدى الموظفين</w:t>
      </w:r>
      <w:r w:rsidRPr="00BF139C">
        <w:rPr>
          <w:rFonts w:ascii="Simplified Arabic" w:hAnsi="Simplified Arabic" w:cs="Simplified Arabic" w:hint="cs"/>
          <w:sz w:val="28"/>
          <w:szCs w:val="28"/>
          <w:rtl/>
        </w:rPr>
        <w:t>" (عبدالرحمن، 2024، ص. 6). ويشمل ذلك تطوير أنظمة دعم نفسي، وتوفير قنوات اتصال فعّالة، وتهيئة بيئة مرنة تراعي احتياجات العاملين، وقد بينت الأدبيات أن وجود بيئة عمل صحية يسهم في تحسين الأداء ويقلل من مستويات القلق والإجهاد (الإدارة العامة للتعليم – الرياض، 2020). كما أكدت دراسة عسيري (2021) أن تهيئة بيئة عمل محفزة ترتبط إيجابي برضا الموظفين وانخراطهم الوظيفي، وهو ما ينعكس على الاستقرار النفسي وتقليل معدلات الغياب.</w:t>
      </w:r>
    </w:p>
    <w:p w14:paraId="15128417" w14:textId="77777777" w:rsidR="00AF3C0E"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أبعاده الرئيسية:</w:t>
      </w:r>
    </w:p>
    <w:p w14:paraId="0262260C" w14:textId="77777777" w:rsidR="00AF3C0E" w:rsidRPr="003E112A" w:rsidRDefault="00AF3C0E" w:rsidP="006C4CDD">
      <w:pPr>
        <w:pStyle w:val="a6"/>
        <w:numPr>
          <w:ilvl w:val="0"/>
          <w:numId w:val="25"/>
        </w:numPr>
        <w:spacing w:line="240" w:lineRule="auto"/>
        <w:jc w:val="both"/>
        <w:rPr>
          <w:rFonts w:ascii="Simplified Arabic" w:hAnsi="Simplified Arabic" w:cs="Simplified Arabic"/>
          <w:sz w:val="28"/>
          <w:szCs w:val="28"/>
          <w:rtl/>
        </w:rPr>
      </w:pPr>
      <w:r w:rsidRPr="003E112A">
        <w:rPr>
          <w:rFonts w:ascii="Simplified Arabic" w:hAnsi="Simplified Arabic" w:cs="Simplified Arabic" w:hint="cs"/>
          <w:sz w:val="28"/>
          <w:szCs w:val="28"/>
          <w:rtl/>
        </w:rPr>
        <w:t>الأمان النفسي اي شعور الموظف بحرية التعبير عن الرأي دون خوف من العقاب أو الإقصاء.</w:t>
      </w:r>
    </w:p>
    <w:p w14:paraId="0A5A5CF9" w14:textId="77777777" w:rsidR="00AF3C0E" w:rsidRPr="003E112A" w:rsidRDefault="00AF3C0E" w:rsidP="006C4CDD">
      <w:pPr>
        <w:pStyle w:val="a6"/>
        <w:numPr>
          <w:ilvl w:val="0"/>
          <w:numId w:val="25"/>
        </w:numPr>
        <w:spacing w:line="240" w:lineRule="auto"/>
        <w:jc w:val="both"/>
        <w:rPr>
          <w:rFonts w:ascii="Simplified Arabic" w:hAnsi="Simplified Arabic" w:cs="Simplified Arabic"/>
          <w:sz w:val="28"/>
          <w:szCs w:val="28"/>
          <w:rtl/>
        </w:rPr>
      </w:pPr>
      <w:r w:rsidRPr="003E112A">
        <w:rPr>
          <w:rFonts w:ascii="Simplified Arabic" w:hAnsi="Simplified Arabic" w:cs="Simplified Arabic" w:hint="cs"/>
          <w:sz w:val="28"/>
          <w:szCs w:val="28"/>
          <w:rtl/>
        </w:rPr>
        <w:t>الدعم الإداري وهو مدى توافر التشجيع والمساندة من قبل القيادات العليا والمشرفين.</w:t>
      </w:r>
    </w:p>
    <w:p w14:paraId="47AD824B" w14:textId="77777777" w:rsidR="00AF3C0E" w:rsidRPr="003E112A" w:rsidRDefault="00AF3C0E" w:rsidP="006C4CDD">
      <w:pPr>
        <w:pStyle w:val="a6"/>
        <w:numPr>
          <w:ilvl w:val="0"/>
          <w:numId w:val="25"/>
        </w:numPr>
        <w:spacing w:line="240" w:lineRule="auto"/>
        <w:jc w:val="both"/>
        <w:rPr>
          <w:rFonts w:ascii="Simplified Arabic" w:hAnsi="Simplified Arabic" w:cs="Simplified Arabic"/>
          <w:sz w:val="28"/>
          <w:szCs w:val="28"/>
          <w:rtl/>
        </w:rPr>
      </w:pPr>
      <w:r w:rsidRPr="003E112A">
        <w:rPr>
          <w:rFonts w:ascii="Simplified Arabic" w:hAnsi="Simplified Arabic" w:cs="Simplified Arabic" w:hint="cs"/>
          <w:sz w:val="28"/>
          <w:szCs w:val="28"/>
          <w:rtl/>
        </w:rPr>
        <w:t>التحفيز المعنوي والمادي يشمل اوضوح آليات المكافآت والتقدير، وتقدير الجهود المبذولة.</w:t>
      </w:r>
    </w:p>
    <w:p w14:paraId="666C4CCE" w14:textId="77777777" w:rsidR="00AF3C0E" w:rsidRPr="003E112A" w:rsidRDefault="00AF3C0E" w:rsidP="006C4CDD">
      <w:pPr>
        <w:pStyle w:val="a6"/>
        <w:numPr>
          <w:ilvl w:val="0"/>
          <w:numId w:val="25"/>
        </w:numPr>
        <w:spacing w:line="240" w:lineRule="auto"/>
        <w:jc w:val="both"/>
        <w:rPr>
          <w:rFonts w:ascii="Simplified Arabic" w:hAnsi="Simplified Arabic" w:cs="Simplified Arabic"/>
          <w:sz w:val="28"/>
          <w:szCs w:val="28"/>
          <w:rtl/>
        </w:rPr>
      </w:pPr>
      <w:r w:rsidRPr="003E112A">
        <w:rPr>
          <w:rFonts w:ascii="Simplified Arabic" w:hAnsi="Simplified Arabic" w:cs="Simplified Arabic" w:hint="cs"/>
          <w:sz w:val="28"/>
          <w:szCs w:val="28"/>
          <w:rtl/>
        </w:rPr>
        <w:t>التوازن بين العمل والحياة: قدرة الموظف على التوفيق بين المتطلبات المهنية والالتزامات الشخصية.</w:t>
      </w:r>
    </w:p>
    <w:p w14:paraId="63CB5606" w14:textId="77777777" w:rsidR="00AF3C0E" w:rsidRPr="003E112A" w:rsidRDefault="00AF3C0E" w:rsidP="006C4CDD">
      <w:pPr>
        <w:pStyle w:val="a6"/>
        <w:numPr>
          <w:ilvl w:val="0"/>
          <w:numId w:val="25"/>
        </w:numPr>
        <w:spacing w:line="240" w:lineRule="auto"/>
        <w:jc w:val="both"/>
        <w:rPr>
          <w:rFonts w:ascii="Simplified Arabic" w:hAnsi="Simplified Arabic" w:cs="Simplified Arabic"/>
          <w:sz w:val="28"/>
          <w:szCs w:val="28"/>
          <w:rtl/>
        </w:rPr>
      </w:pPr>
      <w:r w:rsidRPr="003E112A">
        <w:rPr>
          <w:rFonts w:ascii="Simplified Arabic" w:hAnsi="Simplified Arabic" w:cs="Simplified Arabic" w:hint="cs"/>
          <w:sz w:val="28"/>
          <w:szCs w:val="28"/>
          <w:rtl/>
        </w:rPr>
        <w:t>الاستقرار الوظيفي و يقصد به الإحساس بالثقة في استمرارية العمل والأمان المهني</w:t>
      </w:r>
    </w:p>
    <w:p w14:paraId="0AB00032" w14:textId="77777777" w:rsidR="00AF3C0E" w:rsidRDefault="00AF3C0E" w:rsidP="00BD5864">
      <w:pPr>
        <w:spacing w:line="240" w:lineRule="auto"/>
        <w:jc w:val="both"/>
        <w:rPr>
          <w:rFonts w:ascii="Simplified Arabic" w:hAnsi="Simplified Arabic" w:cs="Simplified Arabic"/>
          <w:sz w:val="28"/>
          <w:szCs w:val="28"/>
          <w:rtl/>
        </w:rPr>
        <w:sectPr w:rsidR="00AF3C0E" w:rsidSect="00B01EA5">
          <w:headerReference w:type="default" r:id="rId12"/>
          <w:footerReference w:type="default" r:id="rId13"/>
          <w:pgSz w:w="11906" w:h="16838"/>
          <w:pgMar w:top="1440" w:right="1440" w:bottom="1440" w:left="1440" w:header="708" w:footer="708" w:gutter="0"/>
          <w:pgNumType w:start="1"/>
          <w:cols w:space="708"/>
          <w:bidi/>
          <w:rtlGutter/>
          <w:docGrid w:linePitch="360"/>
        </w:sectPr>
      </w:pPr>
    </w:p>
    <w:p w14:paraId="1D0433BE" w14:textId="77777777" w:rsidR="00AF3C0E" w:rsidRPr="003E112A" w:rsidRDefault="00AF3C0E" w:rsidP="006C4CDD">
      <w:pPr>
        <w:pStyle w:val="a6"/>
        <w:numPr>
          <w:ilvl w:val="0"/>
          <w:numId w:val="24"/>
        </w:numPr>
        <w:spacing w:before="240" w:line="240" w:lineRule="auto"/>
        <w:jc w:val="both"/>
        <w:rPr>
          <w:rFonts w:ascii="Simplified Arabic" w:hAnsi="Simplified Arabic" w:cs="Simplified Arabic"/>
          <w:sz w:val="28"/>
          <w:szCs w:val="28"/>
          <w:rtl/>
        </w:rPr>
      </w:pPr>
      <w:r w:rsidRPr="003E112A">
        <w:rPr>
          <w:rFonts w:ascii="Simplified Arabic" w:hAnsi="Simplified Arabic" w:cs="Simplified Arabic" w:hint="cs"/>
          <w:b/>
          <w:bCs/>
          <w:sz w:val="28"/>
          <w:szCs w:val="28"/>
          <w:rtl/>
        </w:rPr>
        <w:lastRenderedPageBreak/>
        <w:t>خفض مستوى الاحتراق الوظيفي:</w:t>
      </w:r>
      <w:r w:rsidRPr="003E112A">
        <w:rPr>
          <w:rFonts w:ascii="Simplified Arabic" w:hAnsi="Simplified Arabic" w:cs="Simplified Arabic" w:hint="cs"/>
          <w:sz w:val="28"/>
          <w:szCs w:val="28"/>
          <w:rtl/>
        </w:rPr>
        <w:t xml:space="preserve"> الاحتراق الوظيفي هو "حالة من الإرهاق العاطفي والجسدي والعقلي الناجمة عن الضغوط المستمرة في بيئة العمل، والتي تؤدي إلى تراجع الأداء وفقدان الحافز الوظيفي" (الظفيري ومحمد، 2021، ص. 5). وقد أوضحت دراسات عربية عدة أن الاحتراق يرتبط سلبًا بمستويات الرضا الوظيفي، ويؤثر في النية لترك العمل، ويقلل من مستويات الالتزام التنظيمي (فرج والقبي، 2023؛ الظفيري ومحمد، 2021)</w:t>
      </w:r>
    </w:p>
    <w:p w14:paraId="4541AEA1" w14:textId="77777777" w:rsidR="00AF3C0E" w:rsidRPr="00D201D3" w:rsidRDefault="00AF3C0E" w:rsidP="00BD5864">
      <w:pPr>
        <w:spacing w:line="240" w:lineRule="auto"/>
        <w:ind w:left="360"/>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وفي المجتمع السعودي، أظهرت دراسة عسيري (2021) أن ارتفاع الضغوط التنظيمية مع غياب الدعم الإداري يؤدي إلى زيادة مستويات الاحتراق لدى موظفي القطاع التعليمي في مدينة تبوك حيث يمثل الاحتراق الوظيفي المتغير التابع النهائي في هذه الدراسة، ويتأثر مباشرة بالتحول الصحي ورفاهية الموظفين وبيئة العمل النفسية المستدامة</w:t>
      </w:r>
    </w:p>
    <w:p w14:paraId="03D52F95"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أبعاده الرئيسيه:</w:t>
      </w:r>
    </w:p>
    <w:p w14:paraId="248F197C" w14:textId="77777777" w:rsidR="00AF3C0E" w:rsidRPr="00A40705" w:rsidRDefault="00AF3C0E" w:rsidP="006C4CDD">
      <w:pPr>
        <w:pStyle w:val="a6"/>
        <w:numPr>
          <w:ilvl w:val="0"/>
          <w:numId w:val="21"/>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الإرهاق العاطفي وهو شعور الموظف بالإجهاد النفسي وفقدان الطاقة نتيجة الضغوط المستمرة.</w:t>
      </w:r>
    </w:p>
    <w:p w14:paraId="20D15FEC" w14:textId="77777777" w:rsidR="00AF3C0E" w:rsidRPr="00A40705" w:rsidRDefault="00AF3C0E" w:rsidP="006C4CDD">
      <w:pPr>
        <w:pStyle w:val="a6"/>
        <w:numPr>
          <w:ilvl w:val="0"/>
          <w:numId w:val="21"/>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التجرد أو التبلّد حيث يتبنى الموظف مواقف سلبية أو لامبالية تجاه المستفيدين أو الزملاء.</w:t>
      </w:r>
    </w:p>
    <w:p w14:paraId="1B59AB37" w14:textId="77777777" w:rsidR="00AF3C0E" w:rsidRPr="00A40705" w:rsidRDefault="00AF3C0E" w:rsidP="006C4CDD">
      <w:pPr>
        <w:pStyle w:val="a6"/>
        <w:numPr>
          <w:ilvl w:val="0"/>
          <w:numId w:val="21"/>
        </w:num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ضعف الإنجاز الشخصي و انخفاض شعور الموظف بالكفاءة والقدرة على تحقيق نتائج إيجابية في عمله.</w:t>
      </w:r>
    </w:p>
    <w:p w14:paraId="5A0A2596" w14:textId="77777777" w:rsidR="00AF3C0E"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وبهذا النموذج، يتضح كيف يمكن أن يؤثر التحول الصحي في القطاع الحكومي الصحي على استراتيجيات تجنب الاحتراق الوظيفي من خلال تحسين وتوفير الرفاهية للموظفين.</w:t>
      </w:r>
    </w:p>
    <w:p w14:paraId="5250C5B4" w14:textId="77777777" w:rsidR="00912101" w:rsidRPr="00D201D3" w:rsidRDefault="00912101" w:rsidP="00BD5864">
      <w:pPr>
        <w:spacing w:line="240" w:lineRule="auto"/>
        <w:jc w:val="both"/>
        <w:rPr>
          <w:rFonts w:ascii="Simplified Arabic" w:hAnsi="Simplified Arabic" w:cs="Simplified Arabic"/>
          <w:sz w:val="28"/>
          <w:szCs w:val="28"/>
          <w:rtl/>
        </w:rPr>
      </w:pPr>
    </w:p>
    <w:p w14:paraId="7FBD7EE7" w14:textId="77777777" w:rsidR="00AF3C0E" w:rsidRPr="00912101" w:rsidRDefault="00AF3C0E" w:rsidP="00912101">
      <w:pPr>
        <w:pStyle w:val="2"/>
        <w:rPr>
          <w:rFonts w:cs="Simplified Arabic"/>
          <w:b w:val="0"/>
          <w:bCs/>
          <w:sz w:val="28"/>
          <w:szCs w:val="28"/>
          <w:rtl/>
        </w:rPr>
      </w:pPr>
      <w:bookmarkStart w:id="30" w:name="_Toc235119040"/>
      <w:r w:rsidRPr="00912101">
        <w:rPr>
          <w:rFonts w:hint="cs"/>
          <w:b w:val="0"/>
          <w:bCs/>
          <w:rtl/>
        </w:rPr>
        <w:t>الدراسات السابقة</w:t>
      </w:r>
      <w:bookmarkEnd w:id="30"/>
    </w:p>
    <w:p w14:paraId="23BA4F1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انطلاق من أهداف الدراسة الحالية التي تتناول أثر التحول الصحي في المملكة العربية السعودية على بيئة العمل النفسية المستدامة ودور رفاهية الموظفين في تقليل الاحتراق الوظيفي، فقد تم تقسيم الدراسات السابقة وفقًا للمتغيرات الرئيسة التي تضمنها نموذج الدراسة (المستقل، التابع، الوسيط، والعلاقات المتبادلة بينها). ويُسهم هذا التقسيم في توضيح الأسس العلمية التي بُنيت عليها الدراسة الحالية وتبرير الأبعاد التي تم اختيارها بما يتوافق مع طبيعة البحث وأهدافه.</w:t>
      </w:r>
    </w:p>
    <w:p w14:paraId="3D780F46" w14:textId="77777777" w:rsidR="00AF3C0E" w:rsidRPr="002C5E33" w:rsidRDefault="00AF3C0E" w:rsidP="002C5E33">
      <w:pPr>
        <w:pStyle w:val="3"/>
        <w:rPr>
          <w:b w:val="0"/>
          <w:bCs/>
          <w:rtl/>
        </w:rPr>
      </w:pPr>
      <w:bookmarkStart w:id="31" w:name="_Toc235119041"/>
      <w:r w:rsidRPr="002C5E33">
        <w:rPr>
          <w:rFonts w:hint="cs"/>
          <w:b w:val="0"/>
          <w:bCs/>
          <w:rtl/>
        </w:rPr>
        <w:lastRenderedPageBreak/>
        <w:t>أولا: الدراسات التي تناولت المتغير المستقل التحول الصحي</w:t>
      </w:r>
      <w:bookmarkEnd w:id="31"/>
    </w:p>
    <w:p w14:paraId="41EED0F0"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 العازمي (2025) هدفت هذه الدراسة إلى تقييم فعالية برامج التحول الصحي في المؤسسات الصحية بمدينة حائل بالمملكة العربية السعودية، ودورها في استدامة الخدمات الاجتماعية والصحية للمستفيدين. انطلقت الدراسة من مفهوم الصحة المعيارية كنموذج يعزز رفاهية المجتمع والأسرة، ويرتكز على مبادئ الإدارة الشاملة والجودة المستدامة في القطاع الصحي. اعتمد الباحث على المنهج الاستقصائي التقييمي من خلال أسلوب المسح الاجتماعي بالعينة، حيث شملت العينة (295) مستجيبًا من ست مؤسسات صحية مشاركة في برامج التحول الصحي، أظهرت النتائج وجود مستوى مرتفع من الفعالية في البرامج والخدمات المقدمة، بما يسهم في تحسين جودة الرعاية الصحية وضمان استدامتها، كما كشفت الدراسة عن مجموعة من المعوقات التي تحد من القدرة على تلبية احتياجات المرضى بشكل كامل، أبرزها محدودية بعض الموارد وضعف البنية التحتية في بعض المرافق.</w:t>
      </w:r>
    </w:p>
    <w:p w14:paraId="01D25F3B"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 الشهري وآخرون 2024 هدفت هذه الدراسة إلى بيان مدى تأثير تطبيق استراتيجية التحول الصحي في تقديم الخدمات من وجهة نظر الموظفين في المملكة، ولتحقيق أهدافها استخدم الباحث المنهج الوصفي التحليلي ووزع استبانة على العاملين الإداريين في المستشفيات ومراكز الرعاية الصحية في المملكة، حيث بلغ عدد الاستبانات الموزعة 136 بعد التأكد من صحتها للإحصاء. توصَّلت الدراسة إلى أن هناك مستوى مرتفع من التحول الصحي بأبعاده الثلاثة زيادة كفاءة استخدام الموارد، استبعاد المخاطر المالية للمرضى، وتمويل النظام الصحي في المؤسسات الصحية السعودية، كما لوحِظ مستوى مرتفع في تقديم الخدمات الصحية. ووجدت تأثيرًا طرديًا دالًا إحصائيًا بين أبعاد التحول الصحي ومستوى تقديم الخدمات الصحية أوصت الدراسة بضرورة رفع مستوى العاملين في المراكز الصحية، وتوفير بيئة محفزة وداعمة للعمل الجاد، وتعزيز التواصل الفعّال مع المستفيدين من الخدمات الصحية، فضلاً عن الحفاظ على الأداء المتميز بوفْر الإمكانيات اللازمة لتحقيق أهداف رؤية المملكة 2030</w:t>
      </w:r>
    </w:p>
    <w:p w14:paraId="7E9C1E51" w14:textId="77777777" w:rsidR="00AF3C0E" w:rsidRPr="00D201D3" w:rsidRDefault="00AF3C0E" w:rsidP="00BD5864">
      <w:pPr>
        <w:spacing w:line="240" w:lineRule="auto"/>
        <w:jc w:val="both"/>
        <w:rPr>
          <w:rFonts w:ascii="Simplified Arabic" w:hAnsi="Simplified Arabic" w:cs="Simplified Arabic"/>
          <w:sz w:val="28"/>
          <w:szCs w:val="28"/>
          <w:rtl/>
        </w:rPr>
      </w:pPr>
    </w:p>
    <w:p w14:paraId="4643F8FF"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Ongaro ‎</w:t>
      </w:r>
      <w:r w:rsidRPr="00D201D3">
        <w:rPr>
          <w:rFonts w:ascii="Simplified Arabic" w:hAnsi="Simplified Arabic" w:cs="Simplified Arabic" w:hint="cs"/>
          <w:sz w:val="28"/>
          <w:szCs w:val="28"/>
          <w:rtl/>
        </w:rPr>
        <w:t>وآخرون 2024 وهدفت هذه الدراسة إلى إجراء مراجعة منهجية للأدبيات بغرض ‏استكشاف الممارسات التحويلية في خدمات الرعاية الصحية، وفهم نتائجها على صعيد رفاهية المرضى ‏والموظفين ضمن إطار بحوث الخدمة التحويلية</w:t>
      </w:r>
      <w:r w:rsidRPr="00D201D3">
        <w:rPr>
          <w:rFonts w:ascii="Simplified Arabic" w:hAnsi="Simplified Arabic" w:cs="Simplified Arabic" w:hint="cs"/>
          <w:sz w:val="28"/>
          <w:szCs w:val="28"/>
        </w:rPr>
        <w:t>‎ TSR. ‎</w:t>
      </w:r>
      <w:r w:rsidRPr="00D201D3">
        <w:rPr>
          <w:rFonts w:ascii="Simplified Arabic" w:hAnsi="Simplified Arabic" w:cs="Simplified Arabic" w:hint="cs"/>
          <w:sz w:val="28"/>
          <w:szCs w:val="28"/>
          <w:rtl/>
        </w:rPr>
        <w:t>استخدمت الدراسة نموذج</w:t>
      </w:r>
      <w:r w:rsidRPr="00D201D3">
        <w:rPr>
          <w:rFonts w:ascii="Simplified Arabic" w:hAnsi="Simplified Arabic" w:cs="Simplified Arabic" w:hint="cs"/>
          <w:sz w:val="28"/>
          <w:szCs w:val="28"/>
        </w:rPr>
        <w:t>‎ SLR ‎</w:t>
      </w:r>
      <w:r w:rsidRPr="00D201D3">
        <w:rPr>
          <w:rFonts w:ascii="Simplified Arabic" w:hAnsi="Simplified Arabic" w:cs="Simplified Arabic" w:hint="cs"/>
          <w:sz w:val="28"/>
          <w:szCs w:val="28"/>
          <w:rtl/>
        </w:rPr>
        <w:t>المنظم بناءً على ‏بروتوكول</w:t>
      </w:r>
      <w:r w:rsidRPr="00D201D3">
        <w:rPr>
          <w:rFonts w:ascii="Simplified Arabic" w:hAnsi="Simplified Arabic" w:cs="Simplified Arabic" w:hint="cs"/>
          <w:sz w:val="28"/>
          <w:szCs w:val="28"/>
        </w:rPr>
        <w:t>‎ PRISMA</w:t>
      </w:r>
      <w:r w:rsidRPr="00D201D3">
        <w:rPr>
          <w:rFonts w:ascii="Simplified Arabic" w:hAnsi="Simplified Arabic" w:cs="Simplified Arabic" w:hint="cs"/>
          <w:sz w:val="28"/>
          <w:szCs w:val="28"/>
          <w:rtl/>
        </w:rPr>
        <w:t>، واعتمدت على قواعد بيانات</w:t>
      </w:r>
      <w:r w:rsidRPr="00D201D3">
        <w:rPr>
          <w:rFonts w:ascii="Simplified Arabic" w:hAnsi="Simplified Arabic" w:cs="Simplified Arabic" w:hint="cs"/>
          <w:sz w:val="28"/>
          <w:szCs w:val="28"/>
        </w:rPr>
        <w:t>‎ Scopus ‎</w:t>
      </w:r>
      <w:r w:rsidRPr="00D201D3">
        <w:rPr>
          <w:rFonts w:ascii="Simplified Arabic" w:hAnsi="Simplified Arabic" w:cs="Simplified Arabic" w:hint="cs"/>
          <w:sz w:val="28"/>
          <w:szCs w:val="28"/>
          <w:rtl/>
        </w:rPr>
        <w:t>و</w:t>
      </w:r>
      <w:r w:rsidRPr="00D201D3">
        <w:rPr>
          <w:rFonts w:ascii="Simplified Arabic" w:hAnsi="Simplified Arabic" w:cs="Simplified Arabic" w:hint="cs"/>
          <w:sz w:val="28"/>
          <w:szCs w:val="28"/>
        </w:rPr>
        <w:t>WoS ‎</w:t>
      </w:r>
      <w:r w:rsidRPr="00D201D3">
        <w:rPr>
          <w:rFonts w:ascii="Simplified Arabic" w:hAnsi="Simplified Arabic" w:cs="Simplified Arabic" w:hint="cs"/>
          <w:sz w:val="28"/>
          <w:szCs w:val="28"/>
          <w:rtl/>
        </w:rPr>
        <w:t xml:space="preserve">لتحليل 49 دراسة منشورة خلال ‏الفترة من 2021 إلى 2022، من خلال تحليل محتوى تفصيلي كما أظهرت النتائج وجود أربع ممارسات ‏تحويلية رئيسية تؤثر على رفاهية متلقي الخدمة والعاملين، كما قدمت الدراسة إطار متكامل لتوجيه التحول ‏في قطاع الرعاية الصحية، وحددت فجوات بحثية رئيسية يمكن أن تبنى عليها دراسات مستقبلية. وأوصت </w:t>
      </w:r>
      <w:r w:rsidRPr="00D201D3">
        <w:rPr>
          <w:rFonts w:ascii="Simplified Arabic" w:hAnsi="Simplified Arabic" w:cs="Simplified Arabic" w:hint="cs"/>
          <w:sz w:val="28"/>
          <w:szCs w:val="28"/>
          <w:rtl/>
        </w:rPr>
        <w:lastRenderedPageBreak/>
        <w:t>‏الدراسة بضرورة توجيه صانعي القرار نحو تبني ممارسات تحويلية شاملة تُراعي الرفاهية كعنصر ‏جوهري في تطوير الرعاية الصحية، مع اقتراح خارطة طريق للممارسين الصحيين لدعم التحولات ‏الإيجابية ضمن الرؤية الشاملة للتطوير الصحي</w:t>
      </w:r>
    </w:p>
    <w:p w14:paraId="38B42AE0" w14:textId="77777777"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 فرطاقي (2018) هدفت هذه الدراسة إلى تحليل إشكالية تمويل المنظومة الصحية في الجزائر في ظل التحديات الاقتصادية والديموغرافية، مع التركيز على تأثير التحولات الصحية والاجتماعية على استدامة نظام التأمين الصحي، اعتمدت الباحثة على منهج وصفي تحليلي لدراسة واقع الصحة في الجزائر، خاصة في ظل انتشار الأمراض المزمنة وارتفاع نسب الشيخوخة السكانية، وانعكاس ذلك على قدرة صناديق التأمين الصحي على تمويل الخدمات الطبية. أوضحت النتائج أن محدودية الموارد المالية، وارتفاع نسب البطالة، والاعتماد الكبير على الهيكل الديموغرافي والنشاط المهني كمصادر للتمويل، تشكل عوائق رئيسية أمام تحقيق تحول صحي ومستدام، كما بينت الدراسة أن السياسات الإصلاحية المعتمدة حتى الآن تسعى لتحقيق توازن مالي لصناديق الضمان الاجتماعي، لكنها لا تزال بحاجة إلى آليات مبتكرة تعزز مبادئ التضامن والمساواة في الحصول على العلاج، وتضمن تطوير الخدمات الصحية بما يتماشى مع متطلبات التحول الصحي الشامل.</w:t>
      </w:r>
    </w:p>
    <w:p w14:paraId="72DD9DDA" w14:textId="77777777" w:rsidR="00AF3C0E" w:rsidRPr="002C5E33" w:rsidRDefault="00AF3C0E" w:rsidP="002C5E33">
      <w:pPr>
        <w:pStyle w:val="3"/>
        <w:rPr>
          <w:b w:val="0"/>
          <w:bCs/>
          <w:rtl/>
        </w:rPr>
      </w:pPr>
      <w:bookmarkStart w:id="32" w:name="_Toc235119042"/>
      <w:r w:rsidRPr="002C5E33">
        <w:rPr>
          <w:rFonts w:hint="cs"/>
          <w:b w:val="0"/>
          <w:bCs/>
          <w:rtl/>
        </w:rPr>
        <w:t>ثانيا : الدراسات التي تناولت العلاقة بين أكثر من متغير(شاملة رفاهية الموظف)</w:t>
      </w:r>
      <w:bookmarkEnd w:id="32"/>
    </w:p>
    <w:p w14:paraId="3AFDA32A"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Ongaro ‎</w:t>
      </w:r>
      <w:r w:rsidRPr="00D201D3">
        <w:rPr>
          <w:rFonts w:ascii="Simplified Arabic" w:hAnsi="Simplified Arabic" w:cs="Simplified Arabic" w:hint="cs"/>
          <w:sz w:val="28"/>
          <w:szCs w:val="28"/>
          <w:rtl/>
        </w:rPr>
        <w:t>وآخرون 2024 وهدفت هذه الدراسة إلى إجراء مراجعة منهجية للأدبيات بغرض استكشاف الممارسات التحويلية في خدمات الرعاية الصحية التحول الصحي كمتغير مستقل، وفهم نتائجها على صعيد رفاهية المرضى والموظفين المتغير الوسيط ضمن إطار بحوث الخدمة التحويلية</w:t>
      </w:r>
      <w:r w:rsidRPr="00D201D3">
        <w:rPr>
          <w:rFonts w:ascii="Simplified Arabic" w:hAnsi="Simplified Arabic" w:cs="Simplified Arabic" w:hint="cs"/>
          <w:sz w:val="28"/>
          <w:szCs w:val="28"/>
        </w:rPr>
        <w:t>‎ TSR. ‎</w:t>
      </w:r>
      <w:r w:rsidRPr="00D201D3">
        <w:rPr>
          <w:rFonts w:ascii="Simplified Arabic" w:hAnsi="Simplified Arabic" w:cs="Simplified Arabic" w:hint="cs"/>
          <w:sz w:val="28"/>
          <w:szCs w:val="28"/>
          <w:rtl/>
        </w:rPr>
        <w:t>استخدمت الدراسة نموذج</w:t>
      </w:r>
      <w:r w:rsidRPr="00D201D3">
        <w:rPr>
          <w:rFonts w:ascii="Simplified Arabic" w:hAnsi="Simplified Arabic" w:cs="Simplified Arabic" w:hint="cs"/>
          <w:sz w:val="28"/>
          <w:szCs w:val="28"/>
        </w:rPr>
        <w:t>‎ SLR ‎</w:t>
      </w:r>
      <w:r w:rsidRPr="00D201D3">
        <w:rPr>
          <w:rFonts w:ascii="Simplified Arabic" w:hAnsi="Simplified Arabic" w:cs="Simplified Arabic" w:hint="cs"/>
          <w:sz w:val="28"/>
          <w:szCs w:val="28"/>
          <w:rtl/>
        </w:rPr>
        <w:t>المنظم بناءً على بروتوكول</w:t>
      </w:r>
      <w:r w:rsidRPr="00D201D3">
        <w:rPr>
          <w:rFonts w:ascii="Simplified Arabic" w:hAnsi="Simplified Arabic" w:cs="Simplified Arabic" w:hint="cs"/>
          <w:sz w:val="28"/>
          <w:szCs w:val="28"/>
        </w:rPr>
        <w:t>‎ PRISMA</w:t>
      </w:r>
      <w:r w:rsidRPr="00D201D3">
        <w:rPr>
          <w:rFonts w:ascii="Simplified Arabic" w:hAnsi="Simplified Arabic" w:cs="Simplified Arabic" w:hint="cs"/>
          <w:sz w:val="28"/>
          <w:szCs w:val="28"/>
          <w:rtl/>
        </w:rPr>
        <w:t>، واعتمدت على قواعد بيانات</w:t>
      </w:r>
      <w:r w:rsidRPr="00D201D3">
        <w:rPr>
          <w:rFonts w:ascii="Simplified Arabic" w:hAnsi="Simplified Arabic" w:cs="Simplified Arabic" w:hint="cs"/>
          <w:sz w:val="28"/>
          <w:szCs w:val="28"/>
        </w:rPr>
        <w:t>‎ Scopus ‎</w:t>
      </w:r>
      <w:r w:rsidRPr="00D201D3">
        <w:rPr>
          <w:rFonts w:ascii="Simplified Arabic" w:hAnsi="Simplified Arabic" w:cs="Simplified Arabic" w:hint="cs"/>
          <w:sz w:val="28"/>
          <w:szCs w:val="28"/>
          <w:rtl/>
        </w:rPr>
        <w:t>و</w:t>
      </w:r>
      <w:r w:rsidRPr="00D201D3">
        <w:rPr>
          <w:rFonts w:ascii="Simplified Arabic" w:hAnsi="Simplified Arabic" w:cs="Simplified Arabic" w:hint="cs"/>
          <w:sz w:val="28"/>
          <w:szCs w:val="28"/>
        </w:rPr>
        <w:t>WoS ‎</w:t>
      </w:r>
      <w:r w:rsidRPr="00D201D3">
        <w:rPr>
          <w:rFonts w:ascii="Simplified Arabic" w:hAnsi="Simplified Arabic" w:cs="Simplified Arabic" w:hint="cs"/>
          <w:sz w:val="28"/>
          <w:szCs w:val="28"/>
          <w:rtl/>
        </w:rPr>
        <w:t>لتحليل 49 دراسة منشورة خلال الفترة من 2021 إلى 2022، من خلال تحليل محتوى تفصيلي، كما أظهرت النتائج وجود أربع ممارسات تحويلية رئيسية تؤثر على رفاهية متلقي الخدمة والعاملين، كما قدمت الدراسة إطارًا متكاملًا لتوجيه التحول في قطاع الرعاية الصحية، وحددت فجوات بحثية رئيسية يمكن أن تبنى عليها دراسات مستقبلية. وأوصت الدراسة بضرورة توجيه صانعي القرار نحو تبني ممارسات تحويلية شاملة تُراعي الرفاهية كعنصر جوهري في تطوير الرعاية الصحية، مع اقتراح خارطة طريق للممارسين الصحيين لدعم التحولات الإيجابية ضمن الرؤية الشاملة للتطوير الصحي.</w:t>
      </w:r>
    </w:p>
    <w:p w14:paraId="2F695C8C"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Ahsan &amp; Khawaja 2024</w:t>
      </w:r>
      <w:r w:rsidRPr="00D201D3">
        <w:rPr>
          <w:rFonts w:ascii="Simplified Arabic" w:hAnsi="Simplified Arabic" w:cs="Simplified Arabic" w:hint="cs"/>
          <w:sz w:val="28"/>
          <w:szCs w:val="28"/>
          <w:rtl/>
        </w:rPr>
        <w:t xml:space="preserve"> هدفت هذه الدراسة إلى تحليل العلاقة بين القيادة المستدامة متغير مستقل ورفاهية الموظفين متغير وسيط والأداء البيئي متغير تابع في قطاع تكنولوجيا المعلومات في الدنمارك، من خلال دمج نظريتي القيادة المستدامة والتبادل الاجتماعي. استخدمت الدراسة المنهج الكمي التحليلي عبر نموذج المعادلات الهيكلية الجزئية</w:t>
      </w:r>
      <w:r w:rsidRPr="00D201D3">
        <w:rPr>
          <w:rFonts w:ascii="Simplified Arabic" w:hAnsi="Simplified Arabic" w:cs="Simplified Arabic" w:hint="cs"/>
          <w:sz w:val="28"/>
          <w:szCs w:val="28"/>
        </w:rPr>
        <w:t>‎ PLS-SEM ‎</w:t>
      </w:r>
      <w:r w:rsidRPr="00D201D3">
        <w:rPr>
          <w:rFonts w:ascii="Simplified Arabic" w:hAnsi="Simplified Arabic" w:cs="Simplified Arabic" w:hint="cs"/>
          <w:sz w:val="28"/>
          <w:szCs w:val="28"/>
          <w:rtl/>
        </w:rPr>
        <w:t xml:space="preserve">على عينة من العاملين في القطاع، للتحقق </w:t>
      </w:r>
      <w:r w:rsidRPr="00D201D3">
        <w:rPr>
          <w:rFonts w:ascii="Simplified Arabic" w:hAnsi="Simplified Arabic" w:cs="Simplified Arabic" w:hint="cs"/>
          <w:sz w:val="28"/>
          <w:szCs w:val="28"/>
          <w:rtl/>
        </w:rPr>
        <w:lastRenderedPageBreak/>
        <w:t>من العلاقات المباشرة وغير المباشرة بين المتغيرات. وأظهرت النتائج وجود علاقة إيجابية قوية بين القيادة المستدامة ورفاهية الموظفين، كما تبين أن رفاهية الموظفين تلعب دور وسيط في دعم العلاقة بين القيادة والأداء المؤسسي، كما دعمت النتائج دور المرونة التنظيمية في تحسين هذه العلاقة. وأوصت الدراسة بضرورة تبني نماذج قيادية تركز على الاستدامة، وتعزز رفاهية العاملين باعتبارها عنصراً استراتيجياً لرفع الأداء التنظيمي، مشيرة إلى أهمية إدماج مفاهيم الرفاهية النفسية ضمن التوجهات القيادية الحديثة لتحقيق بيئة عمل داعمة ومستدامة</w:t>
      </w:r>
    </w:p>
    <w:p w14:paraId="78103BFA" w14:textId="77777777"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Speicher &amp; Francis 2023</w:t>
      </w:r>
      <w:r w:rsidRPr="00D201D3">
        <w:rPr>
          <w:rFonts w:ascii="Simplified Arabic" w:hAnsi="Simplified Arabic" w:cs="Simplified Arabic" w:hint="cs"/>
          <w:sz w:val="28"/>
          <w:szCs w:val="28"/>
          <w:rtl/>
        </w:rPr>
        <w:t xml:space="preserve"> ركزت هذه الدراسة على تحليل ظاهرة الاحتراق الوظيفي المتغير التابع في القطاع الصحي بعد جائحة كوفيد-19، وما تبعها من معدلات مرتفعة للاستقالات وانخفاض الرضا الوظيفي رفاهية الموظفين كمتغير وسيط، اعتمدت الدراسة على تحليل بيانات استطلاعات واسعة النطاق أجرتها مؤسسة غالوب والجمعية الطبية الأمريكية، والتي شملت أكثر من 12 ألف موظف، وأظهرت أن العاملين في القطاع الصحي من بين أكثر الفئات عرضة للإرهاق المهني. وتوصلت الدراسة إلى أن الإرهاق يؤدي إلى انخفاض رضا العمل وزيادة النية لترك الوظيفة، ويؤثر على النتائج السريرية. كما ناقشت الدراسة عددًا من التدخلات المؤسسية والفردية للحد من الاحتراق، منها العمل الجماعي، ودعم اتخاذ القرار، وتخفيف أعباء التوثيق. وأوصت الدراسة بضرورة تبني نهج تكاملي يعزز بيئة العمل النفسية المتغير التابع ويدعم رفاهية الموظفين من خلال التدخلات التي تقودها المؤسسات، وتوفير الدعم النفسي، والتقدير المعنوي، إلى جانب أهمية إشراك العاملين في تصميم الحلول، وشددت على ضرورة سن سياسات وطنية داعمة وتخصيص تمويل لتعزيز الصحة النفسية للعاملين الصحيين.</w:t>
      </w:r>
    </w:p>
    <w:p w14:paraId="21D9CCD9" w14:textId="77777777" w:rsidR="00AF3C0E" w:rsidRPr="002C5E33" w:rsidRDefault="00AF3C0E" w:rsidP="002C5E33">
      <w:pPr>
        <w:pStyle w:val="3"/>
        <w:rPr>
          <w:b w:val="0"/>
          <w:bCs/>
          <w:rtl/>
        </w:rPr>
      </w:pPr>
      <w:bookmarkStart w:id="33" w:name="_Toc235119043"/>
      <w:r w:rsidRPr="002C5E33">
        <w:rPr>
          <w:rFonts w:hint="cs"/>
          <w:b w:val="0"/>
          <w:bCs/>
          <w:rtl/>
        </w:rPr>
        <w:t>ثالثا: الدراسات التي تناولت بيئة العمل النفسية المستدامة</w:t>
      </w:r>
      <w:bookmarkEnd w:id="33"/>
    </w:p>
    <w:p w14:paraId="3B94716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Braim 2025</w:t>
      </w:r>
      <w:r w:rsidRPr="00D201D3">
        <w:rPr>
          <w:rFonts w:ascii="Simplified Arabic" w:hAnsi="Simplified Arabic" w:cs="Simplified Arabic" w:hint="cs"/>
          <w:sz w:val="28"/>
          <w:szCs w:val="28"/>
          <w:rtl/>
        </w:rPr>
        <w:t xml:space="preserve"> هدفت هذه الدراسة إلى استكشاف التزام الإدارة ودورها في تهيئة بيئة عمل ‏مستدامة ومحفزة في قطاع الخدمات الصحية. اعتمدت الدراسة على منهج نوعي، حيث تم جمع البيانات ‏من خلال مقابلات شبه منظمة مع 30 موظفًا من العاملين في القطاع الصحي ممن شاركوا طوعا ، وقد ‏تم تحليل البيانات باستخدام برنامج</w:t>
      </w:r>
      <w:r w:rsidRPr="00D201D3">
        <w:rPr>
          <w:rFonts w:ascii="Simplified Arabic" w:hAnsi="Simplified Arabic" w:cs="Simplified Arabic" w:hint="cs"/>
          <w:sz w:val="28"/>
          <w:szCs w:val="28"/>
        </w:rPr>
        <w:t>‎ Nvivo ‎</w:t>
      </w:r>
      <w:r w:rsidRPr="00D201D3">
        <w:rPr>
          <w:rFonts w:ascii="Simplified Arabic" w:hAnsi="Simplified Arabic" w:cs="Simplified Arabic" w:hint="cs"/>
          <w:sz w:val="28"/>
          <w:szCs w:val="28"/>
          <w:rtl/>
        </w:rPr>
        <w:t>لتحليل المحتوى النوعي ومنها أظهرت النتائج أن التزام ‏الإدارة، وفعالية التنفيذ ومهارات القيادة والالتزام بالمهام والتحسين المستمر، والعمل الجماعي حيث تعد ‏من أبرز العوامل التي تساهم في بناء بيئة عمل نفسية مستدامة. وبينت الدراسة أهمية المشاركة الإدارية ، ‏والتعاون بين الفرق وتعزيز استمرارية التحسينات التشغيلية كمرتكزات لخلق بيئة داعمة ومنها أوصت ‏الدراسة بضرورة توسيع نطاق البحث مستقبل ليشمل عينات من مناطق جغرافية مختلفة، ما يساعد في ‏زيادة مصداقية النتائج وعموميتها، كما أكدت على دور الإدارة في تحقيق بيئة عمل محفزة ومستقرة نفسيا ‏داخل مرافق الرعاية الصحية</w:t>
      </w:r>
      <w:r w:rsidRPr="00D201D3">
        <w:rPr>
          <w:rFonts w:ascii="Simplified Arabic" w:hAnsi="Simplified Arabic" w:cs="Simplified Arabic" w:hint="cs"/>
          <w:sz w:val="28"/>
          <w:szCs w:val="28"/>
        </w:rPr>
        <w:t>‎.‎</w:t>
      </w:r>
    </w:p>
    <w:p w14:paraId="48CE7A31"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دراسة غالب  2024 وسعت إلى كشف أثر بيئة العمل الداخلية على الإبداع ‏الإداري، وقد استخدام المنهج الوصفي التحليلي، كما استخدم الباحث الاستبانة كأداة ‏لجم البيانات، وتكونت العينة من 107 موظفاً، وأظهرت نتائج الدراسة إن واقع بيئة ‏العمل الداخلية في المستشفى العسكري كان عالياً بشكل عام، ووجود أثر لبيئة العمل ‏على مستوى الإبداع الإداري لدى أفراد العينة، وكما توصلت الدراسة إقامة دورات ‏تدريبية لتنمية المهارات الذهنية لدى الموظفين وكيفية حل المشاكل التي يواجهونها ‏بالعمل كدورة كيفية العمل في فريق، اتخاذ القرارات لحل المشكلات وغيرها. ‏وكما أن بيئة العمل تشمل العوامل المادية والاجتماعية ذات العلاقة بالمؤسسة والتي ‏تقع ضمن نشاطاتها والتي لعا علاقة مباشرة بسلوك الموظفين في اتخاذ القرارات في ‏المؤسسة على أساس الأنشطة والوظائف التي تمارس في إطار المؤسسة غالب، ‏‏2024، 132.‏</w:t>
      </w:r>
    </w:p>
    <w:p w14:paraId="34328F7B" w14:textId="77777777"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ركزت دراسة بو حالة؛ بوطة 2023 على مدى تأثير بيئة العمل في الإبداع ‏التنظيمي في مؤسسة الاقتصادية، حيث تم استخدام المنهج الوصفي، وتكونت العينة ‏من 31 عامل، ولتحقيق أهداف الدراسة تم الاعتماد على الاستبانة كأداة لجمع ‏البيانات، وأظهرت نتائج الدراسة تؤثر بعض أبعاد بيئة العمل ممثلة في تكنولوجيا ‏المعلومات، وظروف العمل في الإبداع التنظيمي في مؤسسة. وتعد بيئة العمل النفسية ‏على أنها تتكون من متغيرات عوامل القوة والضعف داخل المنظمة نفسها وتخضع ‏لرقابة الإدارة العليا في الأجل القصير وتشمل الهيكل التنظيمي والثقافة والموارد، ‏والعوامل الموجودة داخل أسوار المنظمة مثل: هيكل المديرين، وهيكل القيم والثقافة ‏الداخلية والأنظمة الداخلية والتسويق والإنتاج والتمويل والموارد البشرية ونظم ‏المعلومات والبحوث والتطوير</w:t>
      </w:r>
    </w:p>
    <w:p w14:paraId="12B727D2"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دراسة </w:t>
      </w:r>
      <w:r w:rsidRPr="00D201D3">
        <w:rPr>
          <w:rFonts w:ascii="Simplified Arabic" w:hAnsi="Simplified Arabic" w:cs="Simplified Arabic" w:hint="cs"/>
          <w:sz w:val="28"/>
          <w:szCs w:val="28"/>
        </w:rPr>
        <w:t>Kobal, &amp; Babnik (2022)</w:t>
      </w:r>
      <w:r w:rsidRPr="00D201D3">
        <w:rPr>
          <w:rFonts w:ascii="Simplified Arabic" w:hAnsi="Simplified Arabic" w:cs="Simplified Arabic" w:hint="cs"/>
          <w:sz w:val="28"/>
          <w:szCs w:val="28"/>
          <w:rtl/>
        </w:rPr>
        <w:t xml:space="preserve"> هدفت هذه الدراسة إلى إجراء مراجعة منهجية نقدية للأبحاث الحديثة حول مفهوم الاستدامة الاجتماعية في بيئة العمل، باعتباره مفهومًا ناشئًا لم تتبلور له بعد تعريفات أو أطر تفسيرية واضحة، بخلاف الاستدامة البيئية التي حظيت بانتشار واسع ركزت الدراسة على الأبحاث المنشورة بين عامي 2016 و2022، بثلاثة من أهداف التنمية المستدامة، وهي: الصحة والرفاهية (الهدف الثالث)، المساواة بين الجنسين (الهدف الخامس)، والعمل اللائق (الهدف الثامن). وبالنظر إلى الأحداث العالمية خلال العامين الأخيرين، مثل جائحة كوفيد-19 وتأثيرات الحرب في أوكرانيا، توسعت الدراسة لاستكشاف مدى تضمين فئات أخرى كالأمن (الهدف الحادي عشر) والسلام (الهدف السادس عشر) في مفهوم الاستدامة الاجتماعية في العمل ، واعتمد الباحثون على قواعد بيانات </w:t>
      </w:r>
      <w:r w:rsidRPr="00D201D3">
        <w:rPr>
          <w:rFonts w:ascii="Simplified Arabic" w:hAnsi="Simplified Arabic" w:cs="Simplified Arabic" w:hint="cs"/>
          <w:sz w:val="28"/>
          <w:szCs w:val="28"/>
        </w:rPr>
        <w:t>EBSCOhost</w:t>
      </w:r>
      <w:r w:rsidRPr="00D201D3">
        <w:rPr>
          <w:rFonts w:ascii="Simplified Arabic" w:hAnsi="Simplified Arabic" w:cs="Simplified Arabic" w:hint="cs"/>
          <w:sz w:val="28"/>
          <w:szCs w:val="28"/>
          <w:rtl/>
        </w:rPr>
        <w:t xml:space="preserve">، بما في ذلك </w:t>
      </w:r>
      <w:r w:rsidRPr="00D201D3">
        <w:rPr>
          <w:rFonts w:ascii="Simplified Arabic" w:hAnsi="Simplified Arabic" w:cs="Simplified Arabic" w:hint="cs"/>
          <w:sz w:val="28"/>
          <w:szCs w:val="28"/>
        </w:rPr>
        <w:t>Academic Search Complete، Business Source Premier، APA PsycInfo، SocINDEX with Full Text</w:t>
      </w:r>
      <w:r w:rsidRPr="00D201D3">
        <w:rPr>
          <w:rFonts w:ascii="Simplified Arabic" w:hAnsi="Simplified Arabic" w:cs="Simplified Arabic" w:hint="cs"/>
          <w:sz w:val="28"/>
          <w:szCs w:val="28"/>
          <w:rtl/>
        </w:rPr>
        <w:t>، و</w:t>
      </w:r>
      <w:r w:rsidRPr="00D201D3">
        <w:rPr>
          <w:rFonts w:ascii="Simplified Arabic" w:hAnsi="Simplified Arabic" w:cs="Simplified Arabic" w:hint="cs"/>
          <w:sz w:val="28"/>
          <w:szCs w:val="28"/>
        </w:rPr>
        <w:t>GreenFILE</w:t>
      </w:r>
      <w:r w:rsidRPr="00D201D3">
        <w:rPr>
          <w:rFonts w:ascii="Simplified Arabic" w:hAnsi="Simplified Arabic" w:cs="Simplified Arabic" w:hint="cs"/>
          <w:sz w:val="28"/>
          <w:szCs w:val="28"/>
          <w:rtl/>
        </w:rPr>
        <w:t>، وأسفرت عملية البحث عن اختيار 67 دراسة خلصت الدراسة إلى تطوير نموذج نظري يصف البنية النفسية لمفهوم الاستدامة الاجتماعية في بيئة العمل، من منظور أهداف التنمية المستدامة، مما يسهم في توسيع الفهم الأكاديمي والتطبيقي لهذا المجال الناشئ</w:t>
      </w:r>
    </w:p>
    <w:p w14:paraId="177F575E"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دراسة</w:t>
      </w:r>
      <w:r w:rsidRPr="00D201D3">
        <w:rPr>
          <w:rFonts w:ascii="Simplified Arabic" w:hAnsi="Simplified Arabic" w:cs="Simplified Arabic" w:hint="cs"/>
          <w:sz w:val="28"/>
          <w:szCs w:val="28"/>
        </w:rPr>
        <w:t>‎ Gabriel &amp; Aguinis 2022</w:t>
      </w:r>
      <w:r w:rsidRPr="00D201D3">
        <w:rPr>
          <w:rFonts w:ascii="Simplified Arabic" w:hAnsi="Simplified Arabic" w:cs="Simplified Arabic" w:hint="cs"/>
          <w:sz w:val="28"/>
          <w:szCs w:val="28"/>
          <w:rtl/>
        </w:rPr>
        <w:t xml:space="preserve"> واستعرضت أبرز التوصيات المستندة إلى الأدلة العلمية لمواجهة ‏ظاهرة الاحتراق الوظيفي لدى الموظفين، وذلك من خلال وجود بيئات عمل صحية ومستدامة، وخاصة ‏خلال فترات الأزمات مثل جائحة كوفيد-19، وقد اعتمدت الدراسة على مراجعة منهجية للأدبيات المتعلقة ‏بالإرهاق المهني، مع تسليط الضوء على آثاره السلبية على الأداء، والابتكار، والصحة النفسية والجسدية، ‏ومعدلات التغيب، والتكلفة المؤسسية والمجتمعية، ومنها اقترحت الدراسة خمس توصيات رئيسية للحد من ‏الاحتراق المهني: 1 توفير تدخلات فعالة لإدارة الإجهاد، 2 تمكين الموظفين من أن يكونوا منتجين ‏وفاعلين، 3 تعزيز الدعم الاجتماعي داخل بيئة العمل، 4 إشراك العاملين في عمليات اتخاذ القرار، ‏و5 تطبيق أنظمة إدارة أداء عالية الكفاءة، وأوصت الدراسة القادة في المؤسسات بتطبيق هذه التوصيات ‏كإستراتيجية لتقوية البيئة النفسية للعمل، وضمان استدامة بيئة العمل الصحية في الأزمات وما بعدها، مما ‏يضمن استقرار الموظفين ورفع مستوى الأداء الوظيفي العام</w:t>
      </w:r>
    </w:p>
    <w:p w14:paraId="0B476DD8"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w:t>
      </w:r>
      <w:r>
        <w:rPr>
          <w:rFonts w:ascii="Simplified Arabic" w:hAnsi="Simplified Arabic" w:cs="Simplified Arabic" w:hint="cs"/>
          <w:sz w:val="28"/>
          <w:szCs w:val="28"/>
          <w:rtl/>
        </w:rPr>
        <w:t xml:space="preserve">ة </w:t>
      </w:r>
      <w:r>
        <w:rPr>
          <w:rFonts w:ascii="Simplified Arabic" w:hAnsi="Simplified Arabic" w:cs="Simplified Arabic" w:hint="cs"/>
          <w:sz w:val="28"/>
          <w:szCs w:val="28"/>
        </w:rPr>
        <w:t>Hunecke, 2021</w:t>
      </w:r>
      <w:r>
        <w:rPr>
          <w:rFonts w:ascii="Simplified Arabic" w:hAnsi="Simplified Arabic" w:cs="Simplified Arabic" w:hint="cs"/>
          <w:sz w:val="28"/>
          <w:szCs w:val="28"/>
          <w:rtl/>
        </w:rPr>
        <w:t xml:space="preserve"> </w:t>
      </w:r>
      <w:r w:rsidRPr="00D201D3">
        <w:rPr>
          <w:rFonts w:ascii="Simplified Arabic" w:hAnsi="Simplified Arabic" w:cs="Simplified Arabic" w:hint="cs"/>
          <w:sz w:val="28"/>
          <w:szCs w:val="28"/>
          <w:rtl/>
        </w:rPr>
        <w:t>تناولت هذه الدراسة حدود تأثير الثروة المادية على الرفاهية الذاتية في الدول الصناعية المتقدمة، مشيرة إلى أن الزيادات في الثراء المادي لم تعد ترفع مستويات الرفاهية بشكل ملموس. وفي إطار التحول الثقافي نحو مجتمع ما بعد النمو، أكدت الدراسة ضرورة دعم الأفراد لتطوير مواردهم النفسية الداخلية بما يضمن الحفاظ على رفاهيتهم الذاتية بعيدًا عن الاعتماد على الثروة المادية وخلصت الدراسة إلى تحديد ستة موارد نفسية أساسية يمكن أن تدعم التحول الثقافي نحو أنماط حياة مستدامة، وهي: القدرة على التمتع، تقبل الذات، الكفاءة الذاتية، اليقظة الذهنية، بناء المعنى، والتضامن. وأوضحت أن هذه الموارد يمكن تعزيزها من خلال برامج موجهة مثل برامج تعزيز الصحة، أو في سياقات الإرشاد والتدريب، إضافة إلى إمكانية دعمها في بيئات تنظيمية ومؤسسية متنوعة مثل المدارس، والجامعات، والشركات، والمنظمات غير الربحية، والمجتمعات المحلية في الأحياء الحضرية. وأكدت الدراسة أن نقطة الانطلاق نحو هذا التحول الثقافي تبدأ من مستوى الفرد، باعتباره محور التغيير نحو أنماط الحياة المستدامة.</w:t>
      </w:r>
    </w:p>
    <w:p w14:paraId="4E4DAFE4" w14:textId="77777777"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هدفت دراسة توتي 2020 إلى التعرف على مستوى بيئة العمل النفسية لعمال ‏شرك الكهريف مدينة تقرت والكشف على طبيعة العلاقة بين بيئة العمل النفسية ‏والأداء الوظيفي لديهم، ومعرفة ما إذا كانت هناك فروق في بيئة العمل النفسية لعمال ‏شركة الكهريف بمدينة تقرت تعزى إلى نوعية منصب العمل الإداري والتقني وإلى ‏نوعية عقد العمل دائم ومؤقت، وتكونت عينة الدراسة من 60 عاملاً، ولتحقيق ‏أهداف الدراسة تم الاعتماد المنهج الوصفي في جمع البيانات والمعلومات، وذلك ‏باستخدام الاستبانة بيئة العمل والأداء الوظيفي ولقد تم التأكد من خصائصها ‏السيكومترية، ولمعالجة البيانات تم استخدام الأساليب الإحصائية، وقد أظهرت نتائج ‏الدراسة أنه يوجد علاقة بين بيئة العمل النفسية والأداء الوظيفي لدى عمال شركة ‏الكهريف بمدينة تقرت مرتفع، ولا يوجد فروق فردية ذات دلالة إحصائية بين بيئة ‏العمل النفسية لدى عمال شركة الكهريف بمدينة تقرت وتعزى لمتغير منصب العمل ‏‏إداري، تقني</w:t>
      </w:r>
      <w:r>
        <w:rPr>
          <w:rFonts w:ascii="Simplified Arabic" w:hAnsi="Simplified Arabic" w:cs="Simplified Arabic" w:hint="cs"/>
          <w:sz w:val="28"/>
          <w:szCs w:val="28"/>
          <w:rtl/>
        </w:rPr>
        <w:t>.</w:t>
      </w:r>
    </w:p>
    <w:p w14:paraId="15618F0E" w14:textId="77777777" w:rsidR="00AF3C0E" w:rsidRPr="002C5E33" w:rsidRDefault="00AF3C0E" w:rsidP="002C5E33">
      <w:pPr>
        <w:pStyle w:val="3"/>
        <w:rPr>
          <w:b w:val="0"/>
          <w:bCs/>
          <w:rtl/>
        </w:rPr>
      </w:pPr>
      <w:bookmarkStart w:id="34" w:name="_Toc235119044"/>
      <w:r w:rsidRPr="002C5E33">
        <w:rPr>
          <w:rFonts w:hint="cs"/>
          <w:b w:val="0"/>
          <w:bCs/>
          <w:rtl/>
        </w:rPr>
        <w:lastRenderedPageBreak/>
        <w:t>رابعا: الدراسات التي تناولت الاحتراق الوظيفي</w:t>
      </w:r>
      <w:bookmarkEnd w:id="34"/>
    </w:p>
    <w:p w14:paraId="5AB9BBAA"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سعت دراسة اليماني 2023 إلى التعرف على حجم تأثير الاحتراق الوظيفي ‏على جودة الخدمات الصحية في المستشفيات الحكومية بمحافظة إب، وتكونت عينة ‏الدراسة من الموظفين الأطباء، الممرضين، الإداريين لقياس مستوى الاحتراق ‏الوظيفي وبلغ عددهم 297 طبيباً وممرضاً وإدارياً، وتكونت العينة الثانية لقياس ‏جودة الخدمات الصحية من المرضى المرقدين وبلغ عددهم 260 مريضاً، وقد ‏خلصت الدراسة إلى عدة نتائج أهمها: أن أفراد عينة الدراسة الموظفين يعانون من ‏مستوى احتراق وظيفي بدرجة متوسطة على المستوى الكلي، ويرى أفراد العينة ‏‏المرضى أن مستوى جودة الخدمات الصحية التي تقدمها المستشفيات ذات جودة ‏متوسطة، ويوجد تأثير لبعد الإجهاد الوظيفي ولبعد تدني الإنجاز الشخصي على جودة ‏الخدمات الصحية، لا يوجد تأثير لبعد فقدان الشعور بالعنصر الإنساني على جودة ‏الخدمات الصحية، الكلمات المفتاحية: الاحتراق الوظيفي، جودة الخدمات الصحية</w:t>
      </w:r>
      <w:r w:rsidRPr="00D201D3">
        <w:rPr>
          <w:rFonts w:ascii="Simplified Arabic" w:hAnsi="Simplified Arabic" w:cs="Simplified Arabic" w:hint="cs"/>
          <w:sz w:val="28"/>
          <w:szCs w:val="28"/>
        </w:rPr>
        <w:t>‎.‎</w:t>
      </w:r>
    </w:p>
    <w:p w14:paraId="22614FB6"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هدفت دراسة الصبحي 2022 إلى معرفة مستوى الاحتراق الوظيفي وأثره على ‏الأداء الوظيفي لدى الموظفين الإداريين العاملين في وزارة الشؤون البلدية والقروية ‏أمانة محافظة جدة، وتكونت عينة الدراسة من 149 إداري أمانة محافظة جدة تم ‏اختيارها بالطريقة العشوائية، واستخدمت الباحثة المنهج الوصفي التحليلي، وبعد ‏تحليل البيانات توصلت الدراسة إلى اهم النتائج التالية: أن العاملين في الوظائف ‏الإدارية في وزارة الشؤون البلدية والقروية – أمانة محافظة جدة يعانون بصفة عامة ‏درجات مرتفعة من الاحتراق الوظيفي على بعدي الإجهاد الانفعالي والإنجاز ‏الشخصي، أما على البعد الثالث عدم الإنسانية فقد أظهرت النتائج انخفاض مستوى ‏الاحتراق الوظيفي لعينة الدراسة وهناك علاقة طردية ذات دلالة إحصائية بين ‏صلاحيات العمل ودرجة الاحتراق الوظيفي بأبعاده الثلاثة كما توجد علاقة ذات دلالة ‏إحصائية بين ضغط العمل ودرجة الاحتراق الوظيفي حيث كانت العلاقة بين الضغوط ‏والاحتراق من أقوى العلاقات في هذه الدراسة وأوصت الدراسة بضرورة الاهتمام من ‏قبل الجهات المختصة في وزارة الشؤون البلدية والقروية أمانة محافظة جدة بهذه ‏الظاهرة وتبني استراتيجيات تكسر الصرامة وضغط الأعمال وأهمية الاهتمام ‏بالدورات الإدارية المركزة لجميع الموظفين خاصة في المستويات الإدارية العليا في ‏فن الإدارة العلمية وفن التعامل مع موظفيهم وتفويض الصلاحيات ورفع معنويات ‏موظفيهم من خلال تبني صنوف مختلفة من الحوافز المعنوية كشهادات الشكر ‏والتقدير أو بالتعزيز القولي مما سيؤثر في نفسيات مرؤوسيهم وأهمية تطوير برامج ‏للموظفين تعمل على تقديم خدمات طبية وعلاجية ومساعدة الموظفين في عملية ‏الاندماج الوظيفي.‏</w:t>
      </w:r>
    </w:p>
    <w:p w14:paraId="0A3BC2A0"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هدفت دراسة الأسمري 2022 إلى تحديد دور الرشاقة التنظيمية للتخفيف من ‏الاحتراق الوظيفي للأخصائيين الاجتماعيين بالمجال الصحي، وتكونت عينة الدراسة ‏الأساسية من 80 أخصائي اجتماعي من العاملين بتجمع مكة المكرمة الصحي، ‏واستخدمت الدراسة استمارة استبيان خاصة بالأخصائيين الاجتماعيين، وأظهرت نتائج ‏الدراسة وجود مستوى متوسط لمتغيرات الرشاقة التنظيمية للإجهاد الوظيفي، والرشاقة </w:t>
      </w:r>
      <w:r w:rsidRPr="00D201D3">
        <w:rPr>
          <w:rFonts w:ascii="Simplified Arabic" w:hAnsi="Simplified Arabic" w:cs="Simplified Arabic" w:hint="cs"/>
          <w:sz w:val="28"/>
          <w:szCs w:val="28"/>
          <w:rtl/>
        </w:rPr>
        <w:lastRenderedPageBreak/>
        <w:t>‏التنظيمية في تحسين بيئة العمل، والرشاقة التنظيمية وضعف الروح المعنوية، وقد ‏أوصت الدراسة بضرورة توفير دورات تدريبية لرفع كفاءة الأخصائيين الاجتماعيين ‏وفريق العمل للتعامل مع التغييرات التي أحدثها الاحتراق الوظيفي، ولابد من اهتمام ‏المسئولين بتطبيق أبعاد الرشاقة التنظيمية، التي تعزز القدرات التنافسية للقطاع ‏الصحي السعودي.‏</w:t>
      </w:r>
    </w:p>
    <w:p w14:paraId="31A62EDF"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هدفت دراسة اليامي 2022 إلى التعرف على أثر الاحتراق بأبعاده الإجهاد ‏النفسي تبلد المشاعر، انخفاض الشعور بالإنجاز على أداء العاملين بالمنشآت الصحية ‏بمنطقة نجران في المملكة العربية السعودية، وقد اعتمدت الدراسة على المنهج ‏الوصفي التحليلي من خلال استخدام الاستبانة كأداة لجمع البيانات والمعلومات، وقد تم ‏تطبيق الدراسة على عينة تكونت من 361 من العاملين في المنشآت الصحية في ‏منطقة نجران، وتوصلت الدراسة إلى نتائج من أهمها وجود مستوى متوسط من ‏الاحتراق الوظيفي، ودرجة تقدير مرتفعة من أداء العاملين في المنشآت الصحية في ‏منطقة نجران، كما أشارت النتائج إلى وجود أثر للاحتراق الوظيفي بأبعاده الإجهاد ‏النفسي، وتبلد المشاعر، وانخفاض الشعور بالإنجاز على أداء العاملين في المنشآت ‏الصحية في منطقة نجران، وعلى ضوء النتائج، وأوصت الدراسة بضرورة العمل ‏على إيجاد الطرق والأنظمة التي تحسن من مستوى أداء العاملين في المنشآت ‏الصحية، وزيادة الاهتمام بإيلاء تحسين جودة حياة العمل داخل المنشآت الصحية ‏للحفاظ على المستوي المنخفض من الاحتراق الوظيفي، وزيادة الإثناء المستمر على ‏أداء العاملين الأمر الذي يشجعهم على بذل المزيد من الجهود وزيادة إنتاجيتهم.</w:t>
      </w:r>
    </w:p>
    <w:p w14:paraId="4F60E412"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دراسة</w:t>
      </w:r>
      <w:r w:rsidRPr="00D201D3">
        <w:rPr>
          <w:rFonts w:ascii="Simplified Arabic" w:hAnsi="Simplified Arabic" w:cs="Simplified Arabic" w:hint="cs"/>
          <w:sz w:val="28"/>
          <w:szCs w:val="28"/>
        </w:rPr>
        <w:t>‎ Alqarni ‎</w:t>
      </w:r>
      <w:r w:rsidRPr="00D201D3">
        <w:rPr>
          <w:rFonts w:ascii="Simplified Arabic" w:hAnsi="Simplified Arabic" w:cs="Simplified Arabic" w:hint="cs"/>
          <w:sz w:val="28"/>
          <w:szCs w:val="28"/>
          <w:rtl/>
        </w:rPr>
        <w:t>وآخرون 2022 هدفت هذه الدراسة إلى تقييم معدلات التوتر، والإرهاق، والرضا ‏الوظيفي لدى المتخصصين في الرعاية الصحية النفسية بمدينة جدة في المملكة العربية السعودية. اعتمدت ‏الدراسة على منهج وصفي مقطعي، وطبّقت على عينة مكونة من 107 مشاركين من الأخصائيين في ‏الصحة النفسية خلال الفترة من يناير 2017 إلى أكتوبر 2018، باستخدام ثلاثة مقاييس معيارية وهي: ‏مقياس التوتر المدرك</w:t>
      </w:r>
      <w:r w:rsidRPr="00D201D3">
        <w:rPr>
          <w:rFonts w:ascii="Simplified Arabic" w:hAnsi="Simplified Arabic" w:cs="Simplified Arabic" w:hint="cs"/>
          <w:sz w:val="28"/>
          <w:szCs w:val="28"/>
        </w:rPr>
        <w:t>‎ PSS-14‎</w:t>
      </w:r>
      <w:r w:rsidRPr="00D201D3">
        <w:rPr>
          <w:rFonts w:ascii="Simplified Arabic" w:hAnsi="Simplified Arabic" w:cs="Simplified Arabic" w:hint="cs"/>
          <w:sz w:val="28"/>
          <w:szCs w:val="28"/>
          <w:rtl/>
        </w:rPr>
        <w:t>، ومقياس ماسلاش للإرهاق</w:t>
      </w:r>
      <w:r w:rsidRPr="00D201D3">
        <w:rPr>
          <w:rFonts w:ascii="Simplified Arabic" w:hAnsi="Simplified Arabic" w:cs="Simplified Arabic" w:hint="cs"/>
          <w:sz w:val="28"/>
          <w:szCs w:val="28"/>
        </w:rPr>
        <w:t>‎ MBI‎</w:t>
      </w:r>
      <w:r w:rsidRPr="00D201D3">
        <w:rPr>
          <w:rFonts w:ascii="Simplified Arabic" w:hAnsi="Simplified Arabic" w:cs="Simplified Arabic" w:hint="cs"/>
          <w:sz w:val="28"/>
          <w:szCs w:val="28"/>
          <w:rtl/>
        </w:rPr>
        <w:t>، ومقياس الرضا الوظيفي</w:t>
      </w:r>
      <w:r w:rsidRPr="00D201D3">
        <w:rPr>
          <w:rFonts w:ascii="Simplified Arabic" w:hAnsi="Simplified Arabic" w:cs="Simplified Arabic" w:hint="cs"/>
          <w:sz w:val="28"/>
          <w:szCs w:val="28"/>
        </w:rPr>
        <w:t>‎ JSS.‎</w:t>
      </w:r>
      <w:r w:rsidRPr="00D201D3">
        <w:rPr>
          <w:rFonts w:ascii="Simplified Arabic" w:hAnsi="Simplified Arabic" w:cs="Simplified Arabic" w:hint="cs"/>
          <w:sz w:val="28"/>
          <w:szCs w:val="28"/>
          <w:rtl/>
        </w:rPr>
        <w:t>‏ ‏أظهرت النتائج أن أكثر من نصف المشاركين 56.1% يعانون من مستويات مرتفعة من التوتر، في ‏حين بلغ معدل الإرهاق العاطفي وتجريد الشخصية 38.3% و24.3% على التوالي، وظهر انخفاض في ‏الإنجاز المهني لدى 57% من العينة. كما أشارت النتائج إلى أن نسبة الرضا الوظيفي كانت منخفضة، ‏حيث أبدى أقل من ربع المشاركين 23.4% رضاهم عن وظائفهم، وبينت الدراسة وجود فروق دالة ‏إحصائيًا في درجة الإرهاق العاطفي لصالح الذكور وكذلك علاقة بين ارتفاع الدخل والرضا الوظيفي ‏وأوصت الدراسة بضرورة تبني تدخلات عملية من الجهات المعنية للحد من التوتر والإرهاق المتزايدين ‏بين العاملين في الرعاية النفسية، بالإضافة إلى أهمية توسيع نطاق البحوث لفهم العوامل المؤثرة بشكل ‏أعمق، مما يسهم في تحسين رفاهية العاملين في هذا القطاع الحساس</w:t>
      </w:r>
      <w:r w:rsidRPr="00D201D3">
        <w:rPr>
          <w:rFonts w:ascii="Simplified Arabic" w:hAnsi="Simplified Arabic" w:cs="Simplified Arabic" w:hint="cs"/>
          <w:sz w:val="28"/>
          <w:szCs w:val="28"/>
        </w:rPr>
        <w:t>‎.‎</w:t>
      </w:r>
    </w:p>
    <w:p w14:paraId="531A762E" w14:textId="77777777" w:rsidR="00AF3C0E"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دراسة</w:t>
      </w:r>
      <w:r w:rsidRPr="00D201D3">
        <w:rPr>
          <w:rFonts w:ascii="Simplified Arabic" w:hAnsi="Simplified Arabic" w:cs="Simplified Arabic" w:hint="cs"/>
          <w:sz w:val="28"/>
          <w:szCs w:val="28"/>
        </w:rPr>
        <w:t>‎ Han ‎</w:t>
      </w:r>
      <w:r w:rsidRPr="00D201D3">
        <w:rPr>
          <w:rFonts w:ascii="Simplified Arabic" w:hAnsi="Simplified Arabic" w:cs="Simplified Arabic" w:hint="cs"/>
          <w:sz w:val="28"/>
          <w:szCs w:val="28"/>
          <w:rtl/>
        </w:rPr>
        <w:t>وآخرون 2022 حيث سعت هذه الدراسة إلى استكشاف الدور الوسيط الذي تلعبه الذكاء ‏العاطفي في العلاقة بين ضغوط العمل والاحتراق الوظيفي لدى الموظفين الإداريين في المستشفيات العامة. ‏استخدمت الدراسة المنهج الوصفي المقطعي، واعتمدت على استبيان مهيكل تم توزيعه على عينة مكونة ‏من 191 موظفًا إداريًا في أربعة مستشفيات عامة بكوريا الجنوبية خلال سبتمبر 2021. تم تحليل ‏البيانات باستخدام تحليل الانحدار المتعدد الهرمي وكشفت النتائج عن وجود علاقة طردية دالة بين ضغوط ‏العمل والاحتراق الوظيفي</w:t>
      </w:r>
      <w:r w:rsidRPr="00D201D3">
        <w:rPr>
          <w:rFonts w:ascii="Simplified Arabic" w:hAnsi="Simplified Arabic" w:cs="Simplified Arabic" w:hint="cs"/>
          <w:sz w:val="28"/>
          <w:szCs w:val="28"/>
        </w:rPr>
        <w:t>‎ r = 0.57, p &lt; 0.001‎</w:t>
      </w:r>
      <w:r w:rsidRPr="00D201D3">
        <w:rPr>
          <w:rFonts w:ascii="Simplified Arabic" w:hAnsi="Simplified Arabic" w:cs="Simplified Arabic" w:hint="cs"/>
          <w:sz w:val="28"/>
          <w:szCs w:val="28"/>
          <w:rtl/>
        </w:rPr>
        <w:t>، بينما وُجدت علاقة عكسية بين الذكاء العاطفي ‏والاحتراق</w:t>
      </w:r>
      <w:r w:rsidRPr="00D201D3">
        <w:rPr>
          <w:rFonts w:ascii="Simplified Arabic" w:hAnsi="Simplified Arabic" w:cs="Simplified Arabic" w:hint="cs"/>
          <w:sz w:val="28"/>
          <w:szCs w:val="28"/>
        </w:rPr>
        <w:t>‎ r = -0.26, p &lt; 0.001‎</w:t>
      </w:r>
      <w:r w:rsidRPr="00D201D3">
        <w:rPr>
          <w:rFonts w:ascii="Simplified Arabic" w:hAnsi="Simplified Arabic" w:cs="Simplified Arabic" w:hint="cs"/>
          <w:sz w:val="28"/>
          <w:szCs w:val="28"/>
          <w:rtl/>
        </w:rPr>
        <w:t>، وأشارت النتائج إلى أن العوامل الأكثر تأثيرًا في الاحتراق الوظيفي ‏هي: ضغوط العمل، والذكاء العاطفي، والعمر</w:t>
      </w:r>
      <w:r>
        <w:rPr>
          <w:rFonts w:ascii="Simplified Arabic" w:hAnsi="Simplified Arabic" w:cs="Simplified Arabic" w:hint="cs"/>
          <w:sz w:val="28"/>
          <w:szCs w:val="28"/>
          <w:rtl/>
        </w:rPr>
        <w:t xml:space="preserve"> </w:t>
      </w:r>
      <w:r w:rsidRPr="00D201D3">
        <w:rPr>
          <w:rFonts w:ascii="Simplified Arabic" w:hAnsi="Simplified Arabic" w:cs="Simplified Arabic" w:hint="cs"/>
          <w:sz w:val="28"/>
          <w:szCs w:val="28"/>
          <w:rtl/>
        </w:rPr>
        <w:t>خاصةً</w:t>
      </w:r>
      <w:r>
        <w:rPr>
          <w:rFonts w:ascii="Simplified Arabic" w:hAnsi="Simplified Arabic" w:cs="Simplified Arabic" w:hint="cs"/>
          <w:sz w:val="28"/>
          <w:szCs w:val="28"/>
          <w:rtl/>
        </w:rPr>
        <w:t xml:space="preserve"> 45 عاما أو أكبر</w:t>
      </w:r>
      <w:r w:rsidRPr="00D201D3">
        <w:rPr>
          <w:rFonts w:ascii="Simplified Arabic" w:hAnsi="Simplified Arabic" w:cs="Simplified Arabic" w:hint="cs"/>
          <w:sz w:val="28"/>
          <w:szCs w:val="28"/>
          <w:rtl/>
        </w:rPr>
        <w:t>. كما أثبتت الدراسة أن الذكاء العاطفي ‏له تأثير مباشر ومستقل على خفض مستويات الاحتراق وأوصت الدراسة بأهمية تعزيز الذكاء العاطفي ‏لدى العاملين في الإدارات الإدارية بالمستشفيات كاستراتيجية فعالة للحد من الاحتراق المهني، خاصةً في ‏ظل تعدد المسؤوليات والصراعات الإدارية التي يتعاملون معها، مما يبرز الذكاء العاطفي كأداة فاعلة ‏لإدارة الضغوط وتحقيق بيئة عمل أكثر دعم واستدامة</w:t>
      </w:r>
      <w:r w:rsidRPr="00D201D3">
        <w:rPr>
          <w:rFonts w:ascii="Simplified Arabic" w:hAnsi="Simplified Arabic" w:cs="Simplified Arabic" w:hint="cs"/>
          <w:sz w:val="28"/>
          <w:szCs w:val="28"/>
        </w:rPr>
        <w:t>‎</w:t>
      </w:r>
      <w:r w:rsidRPr="00D201D3">
        <w:rPr>
          <w:rFonts w:ascii="Simplified Arabic" w:hAnsi="Simplified Arabic" w:cs="Simplified Arabic" w:hint="cs"/>
          <w:sz w:val="28"/>
          <w:szCs w:val="28"/>
          <w:rtl/>
        </w:rPr>
        <w:t xml:space="preserve">. </w:t>
      </w:r>
    </w:p>
    <w:p w14:paraId="3934B547" w14:textId="77777777" w:rsidR="00AF3C0E" w:rsidRPr="00D201D3" w:rsidRDefault="00AF3C0E" w:rsidP="002C5E33">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سعت دراسة زيادة 2021 إلى التعرف على مستوى الاحتراق والرضا الوظيفي ‏من وجهة نظر الاداريين في مستشفى عسير المركزي بأبها، واستخدمت الباحثة ‏المنهج الوصفي التحليلي، ولجمع البيانات استخدمت استبانة، واستخدام عينة من ‏‏453 موظف من الإداريين، وقد أظهرت نتائج الدراسة الميدانية أن مستوى ‏الاحتراق الوظيفي كان مرتفعاً لبعد الاجهاد الوظيفي وتبلد المشاعر وقلة الشعور ‏بالإنجاز مع وجود اختلافات ذات دلالة إحصائية في أبعاد الاحتراق الوظيفي والرضا ‏الوظيفي لدي الاداريين في مستشفى عسير وفقاً لاختلاف النوع والدرجة العلمية وعدد ‏سنوات الخبرة علاوة على وجود ارتباط طردي قوي ذو دلالة إحصائية بين أبعاد ‏الاحتراق الوظيفي وأبعاد الرضا الوظيفي وقدمت الدراسة توصيات عدة لكل من ‏المسئولين والعاملين بالمستشفى.‏</w:t>
      </w:r>
    </w:p>
    <w:p w14:paraId="361B3438" w14:textId="77777777" w:rsidR="00AF3C0E" w:rsidRPr="002C5E33" w:rsidRDefault="00AF3C0E" w:rsidP="002C5E33">
      <w:pPr>
        <w:pStyle w:val="3"/>
        <w:rPr>
          <w:b w:val="0"/>
          <w:bCs/>
          <w:rtl/>
        </w:rPr>
      </w:pPr>
      <w:bookmarkStart w:id="35" w:name="_Toc235119045"/>
      <w:r w:rsidRPr="002C5E33">
        <w:rPr>
          <w:rFonts w:hint="cs"/>
          <w:b w:val="0"/>
          <w:bCs/>
          <w:rtl/>
        </w:rPr>
        <w:t>أوجه الاتفاق بين الدراسات السابقة والدراسة الحالية</w:t>
      </w:r>
      <w:bookmarkEnd w:id="35"/>
    </w:p>
    <w:p w14:paraId="4CAF1080" w14:textId="77777777" w:rsidR="00AF3C0E" w:rsidRPr="009A566B" w:rsidRDefault="00AF3C0E" w:rsidP="006C4CDD">
      <w:pPr>
        <w:pStyle w:val="a6"/>
        <w:numPr>
          <w:ilvl w:val="0"/>
          <w:numId w:val="29"/>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t>موضوع الاحتراق النفسي: جميع الدراسات المذكورة تركز على الاحتراق النفسي وتأثيره على الأداء الوظيفي وجودة الخدمات الصحية، هذا يشير إلى أهمية الموضوع في مجالات العمل المختلفة، خاصة في القطاع الصحي.</w:t>
      </w:r>
    </w:p>
    <w:p w14:paraId="7318D544" w14:textId="77777777" w:rsidR="00AF3C0E" w:rsidRPr="009A566B" w:rsidRDefault="00AF3C0E" w:rsidP="006C4CDD">
      <w:pPr>
        <w:pStyle w:val="a6"/>
        <w:numPr>
          <w:ilvl w:val="0"/>
          <w:numId w:val="29"/>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t>التأثير على الأداء: تتفق الدراسات على أن الاحتراق النفسي يؤثر سلباً على أداء العاملين، سواء كان ذلك في المستشفيات أو الإدارات الحكومية، على سبيل المثال، دراسة اليماني (2023) ودراسة اليامي (2022) ودراسة توتي (2020) تؤكدان على تأثير الاحتراق النفسي على جودة الخدمات الصحية</w:t>
      </w:r>
      <w:r>
        <w:rPr>
          <w:rFonts w:ascii="Simplified Arabic" w:hAnsi="Simplified Arabic" w:cs="Simplified Arabic" w:hint="cs"/>
          <w:sz w:val="28"/>
          <w:szCs w:val="28"/>
          <w:rtl/>
        </w:rPr>
        <w:t xml:space="preserve">. </w:t>
      </w:r>
    </w:p>
    <w:p w14:paraId="1ABA7895" w14:textId="77777777" w:rsidR="00AF3C0E" w:rsidRPr="002C5E33" w:rsidRDefault="00AF3C0E" w:rsidP="002C5E33">
      <w:pPr>
        <w:pStyle w:val="a6"/>
        <w:numPr>
          <w:ilvl w:val="0"/>
          <w:numId w:val="29"/>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lastRenderedPageBreak/>
        <w:t>البيئة النفسية: جميع الدراسات تشير إلى أهمية البيئة النفسية المستدامة في تقليل مستويات الاحتراق النفسي، حيث تعتبر بيئة العمل الإيجابية عاملاً مساعدًاً في تعزيز الرضا الوظيفي وتحسين الأداء</w:t>
      </w:r>
      <w:r>
        <w:rPr>
          <w:rFonts w:ascii="Simplified Arabic" w:hAnsi="Simplified Arabic" w:cs="Simplified Arabic" w:hint="cs"/>
          <w:sz w:val="28"/>
          <w:szCs w:val="28"/>
          <w:rtl/>
        </w:rPr>
        <w:t xml:space="preserve">. </w:t>
      </w:r>
    </w:p>
    <w:p w14:paraId="7EB0AEBD" w14:textId="77777777" w:rsidR="00AF3C0E" w:rsidRPr="002C5E33" w:rsidRDefault="00AF3C0E" w:rsidP="002C5E33">
      <w:pPr>
        <w:pStyle w:val="3"/>
        <w:rPr>
          <w:b w:val="0"/>
          <w:bCs/>
          <w:rtl/>
        </w:rPr>
      </w:pPr>
      <w:bookmarkStart w:id="36" w:name="_Toc235119046"/>
      <w:r w:rsidRPr="002C5E33">
        <w:rPr>
          <w:rFonts w:hint="cs"/>
          <w:b w:val="0"/>
          <w:bCs/>
          <w:rtl/>
        </w:rPr>
        <w:t>أوجه الاختلاف بين الدراسات السابقة والدراسة الحالية</w:t>
      </w:r>
      <w:bookmarkEnd w:id="36"/>
    </w:p>
    <w:p w14:paraId="5B2C74DB" w14:textId="77777777" w:rsidR="00AF3C0E" w:rsidRPr="009A566B" w:rsidRDefault="00AF3C0E" w:rsidP="006C4CDD">
      <w:pPr>
        <w:pStyle w:val="a6"/>
        <w:numPr>
          <w:ilvl w:val="0"/>
          <w:numId w:val="28"/>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t>تختلف الدراسات في السياق الذي تم إجراء البحث فيه فدراسة غالب (2024)، واليماني (2023) تركز على المستشفيات، بينما دراسة الصبحي (2022) تتناول وزارة الشؤون البلدية والقروية، مما يعكس تأثير الاحتراق النفسي في بيئات عمل متنوعة.</w:t>
      </w:r>
    </w:p>
    <w:p w14:paraId="538BDA7C" w14:textId="77777777" w:rsidR="00AF3C0E" w:rsidRPr="009A566B" w:rsidRDefault="00AF3C0E" w:rsidP="006C4CDD">
      <w:pPr>
        <w:pStyle w:val="a6"/>
        <w:numPr>
          <w:ilvl w:val="0"/>
          <w:numId w:val="28"/>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t>تتناول بعض الدراسات عوامل محددة تؤدي إلى الاحتراق النفسي، مثلاً، دراسة الأسمري (2022) تركز على الرشاقة التنظيمية كوسيلة للتخفيف من الاحتراق النفسي، بينما دراسة زيادة (2021)، دراسة توتي (2020) تدرس العلاقة بين الاحتراق النفسي والرضا الوظيفي بشكل مباشر.</w:t>
      </w:r>
    </w:p>
    <w:p w14:paraId="3749BA96" w14:textId="77777777" w:rsidR="00AF3C0E" w:rsidRPr="00852847" w:rsidRDefault="00AF3C0E" w:rsidP="006C4CDD">
      <w:pPr>
        <w:pStyle w:val="a6"/>
        <w:numPr>
          <w:ilvl w:val="0"/>
          <w:numId w:val="28"/>
        </w:numPr>
        <w:spacing w:line="240" w:lineRule="auto"/>
        <w:jc w:val="both"/>
        <w:rPr>
          <w:rFonts w:ascii="Simplified Arabic" w:hAnsi="Simplified Arabic" w:cs="Simplified Arabic"/>
          <w:sz w:val="28"/>
          <w:szCs w:val="28"/>
          <w:rtl/>
        </w:rPr>
      </w:pPr>
      <w:r w:rsidRPr="009A566B">
        <w:rPr>
          <w:rFonts w:ascii="Simplified Arabic" w:hAnsi="Simplified Arabic" w:cs="Simplified Arabic" w:hint="cs"/>
          <w:sz w:val="28"/>
          <w:szCs w:val="28"/>
          <w:rtl/>
        </w:rPr>
        <w:t>تختلف النتائج والتوصيات بين الدراسات؛ فبعضها يقترح استراتيجيات لإدارة الضغوط النفسية، بينما يركز آخرون على أهمية تحسين بيئة العمل وتوفير الدعم النفسي للعاملين.</w:t>
      </w:r>
    </w:p>
    <w:p w14:paraId="2287E9C8" w14:textId="77777777" w:rsidR="00AF3C0E" w:rsidRPr="002C5E33" w:rsidRDefault="00AF3C0E" w:rsidP="002C5E33">
      <w:pPr>
        <w:pStyle w:val="3"/>
        <w:rPr>
          <w:b w:val="0"/>
          <w:bCs/>
          <w:rtl/>
        </w:rPr>
      </w:pPr>
      <w:bookmarkStart w:id="37" w:name="_Toc235119047"/>
      <w:r w:rsidRPr="002C5E33">
        <w:rPr>
          <w:rFonts w:hint="cs"/>
          <w:b w:val="0"/>
          <w:bCs/>
          <w:rtl/>
        </w:rPr>
        <w:t>ما يميز الدراسة الحالية:</w:t>
      </w:r>
      <w:bookmarkEnd w:id="37"/>
    </w:p>
    <w:p w14:paraId="5320569A" w14:textId="77777777" w:rsidR="00AF3C0E" w:rsidRPr="00D201D3" w:rsidRDefault="00AF3C0E" w:rsidP="00BD5864">
      <w:pPr>
        <w:spacing w:line="24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تناول الدراسة تأثير التحولات الصحية التي تتماشى مع أهداف رؤية المملكة (2030م)، مما يجعلها ذات صلة مباشرة بالتغيرات الهيكلية في النظام الصحي السعودي، تركز الدراسة على أهمية التحول الصحي والرفاهية النفسية من الاحتراق الوظيفي، وهو ما قد لا يكون محور اهتمام الدراسات السابقة بشكل واضح، وهذا يساهم في تقديم حلول عملية لتحسين الصحة النفسية للعاملين في القطاع الصحي.</w:t>
      </w:r>
    </w:p>
    <w:p w14:paraId="1AA72D96" w14:textId="77777777" w:rsidR="00AF3C0E" w:rsidRDefault="00AF3C0E" w:rsidP="00CB5D51">
      <w:pPr>
        <w:spacing w:line="240" w:lineRule="auto"/>
        <w:jc w:val="both"/>
        <w:rPr>
          <w:rFonts w:ascii="Simplified Arabic" w:hAnsi="Simplified Arabic" w:cs="Simplified Arabic"/>
          <w:b/>
          <w:bCs/>
          <w:sz w:val="40"/>
          <w:szCs w:val="40"/>
          <w:rtl/>
        </w:rPr>
      </w:pPr>
    </w:p>
    <w:p w14:paraId="1A8C8C97" w14:textId="77777777" w:rsidR="00AF3C0E" w:rsidRDefault="00AF3C0E">
      <w:pPr>
        <w:bidi w:val="0"/>
        <w:rPr>
          <w:rFonts w:ascii="Simplified Arabic" w:hAnsi="Simplified Arabic" w:cs="Simplified Arabic"/>
          <w:b/>
          <w:bCs/>
          <w:sz w:val="40"/>
          <w:szCs w:val="40"/>
          <w:rtl/>
        </w:rPr>
      </w:pPr>
      <w:r>
        <w:rPr>
          <w:rFonts w:ascii="Simplified Arabic" w:hAnsi="Simplified Arabic" w:cs="Simplified Arabic"/>
          <w:b/>
          <w:bCs/>
          <w:sz w:val="40"/>
          <w:szCs w:val="40"/>
          <w:rtl/>
        </w:rPr>
        <w:br w:type="page"/>
      </w:r>
    </w:p>
    <w:p w14:paraId="1CFA4012" w14:textId="77777777" w:rsidR="007946E6" w:rsidRPr="002C5E33" w:rsidRDefault="007946E6" w:rsidP="002C5E33">
      <w:pPr>
        <w:pStyle w:val="1"/>
        <w:rPr>
          <w:b/>
          <w:bCs/>
          <w:rtl/>
        </w:rPr>
      </w:pPr>
      <w:bookmarkStart w:id="38" w:name="_Toc235119048"/>
      <w:r w:rsidRPr="002C5E33">
        <w:rPr>
          <w:rFonts w:hint="cs"/>
          <w:b/>
          <w:bCs/>
          <w:rtl/>
        </w:rPr>
        <w:lastRenderedPageBreak/>
        <w:t xml:space="preserve">الفصل الثالث: </w:t>
      </w:r>
      <w:r w:rsidR="000B1407" w:rsidRPr="002C5E33">
        <w:rPr>
          <w:rFonts w:hint="cs"/>
          <w:b/>
          <w:bCs/>
          <w:rtl/>
        </w:rPr>
        <w:t>الطريقة والإجراءات</w:t>
      </w:r>
      <w:bookmarkEnd w:id="38"/>
      <w:r w:rsidR="000B1407" w:rsidRPr="002C5E33">
        <w:rPr>
          <w:rFonts w:hint="cs"/>
          <w:b/>
          <w:bCs/>
          <w:rtl/>
        </w:rPr>
        <w:t xml:space="preserve"> </w:t>
      </w:r>
    </w:p>
    <w:p w14:paraId="4778A364" w14:textId="77777777" w:rsidR="007946E6" w:rsidRPr="002C5E33" w:rsidRDefault="007946E6" w:rsidP="002C5E33">
      <w:pPr>
        <w:pStyle w:val="2"/>
        <w:rPr>
          <w:b w:val="0"/>
          <w:bCs/>
          <w:rtl/>
        </w:rPr>
      </w:pPr>
      <w:bookmarkStart w:id="39" w:name="_Toc235119049"/>
      <w:r w:rsidRPr="002C5E33">
        <w:rPr>
          <w:rFonts w:hint="cs"/>
          <w:b w:val="0"/>
          <w:bCs/>
          <w:rtl/>
        </w:rPr>
        <w:t>منهج الدراسة</w:t>
      </w:r>
      <w:bookmarkEnd w:id="39"/>
    </w:p>
    <w:p w14:paraId="7A211DA6" w14:textId="77777777" w:rsidR="00C25FBA" w:rsidRPr="001A06F7" w:rsidRDefault="00C25FBA"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يتكون مجتمع الدراسة من جميع العاملين في القطاع الصحي الحكومي بمدينة الرياض في المملكة العربية السعودية، والذين تشملهم برامج ومبادرات التحول الصحي ضمن رؤية المملكة 2030. ويضم هذا المجتمع مختلف الفئات الوظيفية العاملة في المستشفيات والمراكز الصحية الحكومية، مثل الأطباء والممرضين والفنيين والإداريين، إذ يُمثل هؤلاء الفاعلون الرئيسيون الذين يتأثرون بشكل مباشر بالتحولات التنظيمية والإجرائية المصاحبة لتطبيق خطط التحول الصحي.</w:t>
      </w:r>
    </w:p>
    <w:p w14:paraId="637B5FD7" w14:textId="77777777" w:rsidR="00C25FBA" w:rsidRPr="001A06F7" w:rsidRDefault="00C25FBA"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ويُعد هذا المجتمع من أكثر البيئات ملاءمة لإجراء الدراسة، نظرًا لأن برامج التحول الصحي في مدينة الرياض تُنفّذ على نطاق واسع وتشمل منشآت متنوعة من حيث الحجم والتخصص، مما يتيح للبحث فهمًا شاملًا لأثر التحول الصحي على بيئة العمل النفسية المستدامة ورفاهية الموظفين، وكيفية انعكاس ذلك على ظاهرة الاحتراق الوظيفي.</w:t>
      </w:r>
    </w:p>
    <w:p w14:paraId="0F18A296" w14:textId="740AC7CC" w:rsidR="00C25FBA" w:rsidRPr="009412DA" w:rsidRDefault="00C25FBA" w:rsidP="00A917AA">
      <w:pPr>
        <w:spacing w:line="240" w:lineRule="auto"/>
        <w:jc w:val="both"/>
        <w:rPr>
          <w:rFonts w:ascii="Simplified Arabic" w:hAnsi="Simplified Arabic" w:cs="Simplified Arabic"/>
          <w:sz w:val="28"/>
          <w:szCs w:val="28"/>
          <w:rtl/>
        </w:rPr>
      </w:pPr>
      <w:r w:rsidRPr="009412DA">
        <w:rPr>
          <w:rFonts w:ascii="Simplified Arabic" w:hAnsi="Simplified Arabic" w:cs="Simplified Arabic"/>
          <w:sz w:val="28"/>
          <w:szCs w:val="28"/>
          <w:rtl/>
        </w:rPr>
        <w:t>كما أن اختيار هذا المجتمع يرتكز على اعتبارات علمية وإدارية؛ فمدينة الرياض تضم أكبر عدد من المنشآت الصحية الحكومية، وتُعد المركز الرئيسي لإدارة وتنفيذ مبادرات التحول الصحي على المستوى الوطني، إضافةً إلى توافر تنوع في المستويات الإدارية والمهنية للعاملين، مما يُعزّز من إمكانية تعميم نتائج الدراسة على بقية مناطق المملكة (وزارة الصحة، 2024</w:t>
      </w:r>
      <w:r w:rsidR="00A917AA">
        <w:rPr>
          <w:rFonts w:ascii="Simplified Arabic" w:hAnsi="Simplified Arabic" w:cs="Simplified Arabic"/>
          <w:sz w:val="28"/>
          <w:szCs w:val="28"/>
          <w:rtl/>
        </w:rPr>
        <w:t>)</w:t>
      </w:r>
      <w:r w:rsidRPr="009412DA">
        <w:rPr>
          <w:rFonts w:ascii="Simplified Arabic" w:hAnsi="Simplified Arabic" w:cs="Simplified Arabic"/>
          <w:sz w:val="28"/>
          <w:szCs w:val="28"/>
          <w:rtl/>
        </w:rPr>
        <w:t>.</w:t>
      </w:r>
      <w:r w:rsidR="00A917AA">
        <w:rPr>
          <w:rFonts w:ascii="Simplified Arabic" w:hAnsi="Simplified Arabic" w:cs="Simplified Arabic"/>
          <w:sz w:val="28"/>
          <w:szCs w:val="28"/>
          <w:rtl/>
        </w:rPr>
        <w:t xml:space="preserve"> </w:t>
      </w:r>
    </w:p>
    <w:p w14:paraId="3F22020D" w14:textId="77777777" w:rsidR="007946E6" w:rsidRPr="001A06F7" w:rsidRDefault="00C25FBA" w:rsidP="00C93792">
      <w:p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بذلك، فإن مجتمع الدراسة يُمثّل جميع العاملين في المستشفيات والمراكز الصحية الحكومية بمدينة الرياض الخاضعين لمبادرات التحول الصحي خلال الفترة الزمنية المحددة لإجراء الدراسة.</w:t>
      </w:r>
    </w:p>
    <w:p w14:paraId="16B570FC" w14:textId="77777777" w:rsidR="007946E6" w:rsidRPr="002C5E33" w:rsidRDefault="007946E6" w:rsidP="002C5E33">
      <w:pPr>
        <w:pStyle w:val="2"/>
        <w:rPr>
          <w:b w:val="0"/>
          <w:bCs/>
          <w:rtl/>
        </w:rPr>
      </w:pPr>
      <w:bookmarkStart w:id="40" w:name="_Toc235119050"/>
      <w:r w:rsidRPr="002C5E33">
        <w:rPr>
          <w:rFonts w:hint="cs"/>
          <w:b w:val="0"/>
          <w:bCs/>
          <w:rtl/>
        </w:rPr>
        <w:t>مجتمع الدراسة وعينتها</w:t>
      </w:r>
      <w:bookmarkEnd w:id="40"/>
    </w:p>
    <w:p w14:paraId="49BC393B" w14:textId="235B407B" w:rsidR="00245300" w:rsidRPr="00A917AA" w:rsidRDefault="00245300" w:rsidP="00697B85">
      <w:pPr>
        <w:spacing w:line="240" w:lineRule="auto"/>
        <w:jc w:val="both"/>
        <w:rPr>
          <w:rFonts w:ascii="Simplified Arabic" w:hAnsi="Simplified Arabic" w:cs="Simplified Arabic"/>
          <w:sz w:val="28"/>
          <w:szCs w:val="28"/>
          <w:rtl/>
        </w:rPr>
      </w:pPr>
      <w:r w:rsidRPr="00A917AA">
        <w:rPr>
          <w:rFonts w:ascii="Simplified Arabic" w:hAnsi="Simplified Arabic" w:cs="Simplified Arabic"/>
          <w:sz w:val="28"/>
          <w:szCs w:val="28"/>
          <w:rtl/>
        </w:rPr>
        <w:t>يُعَدّ تحديد مجتمع الدراسة وعينتها من الخطوات الأساسية في أي بحث ميداني، لما له من أثر مباشر في مدى دقة النتائج وصلاحية تعميمها. وقد تم تحديد مجتمع الدراسة في هذا البحث ليشمل جميع العاملين في القطاع الصحي الحكومي بمدينة الرياض، نظرًا لكونه أحد القطاعات الحيوية التي تشهد تحولات هيكلية وتنظيمية عميقة ضمن إطار برنامج التحول الصحي في المملكة العربية السعودية، المنبثق عن رؤية المملكة 2030. ويضم هذا المجتمع فئات مهنية متعددة تشمل الأطباء والممرضين والفنيين والإداريين العاملين في المستشفيات والمراكز الصحية الحكومية، إذ يُمثّل هؤلاء الفاعلون الرئيسيون الذين يتأثرون بصورة مباشرة بتطبيقات التحول الصحي وتبعاته التنظيمية والنفسية (وزارة الصحة، 2024).</w:t>
      </w:r>
    </w:p>
    <w:p w14:paraId="54EC636D" w14:textId="77777777" w:rsidR="00245300" w:rsidRPr="001A06F7" w:rsidRDefault="00245300" w:rsidP="00A917AA">
      <w:pPr>
        <w:spacing w:line="240" w:lineRule="auto"/>
        <w:jc w:val="both"/>
        <w:rPr>
          <w:rFonts w:ascii="Simplified Arabic" w:hAnsi="Simplified Arabic" w:cs="Simplified Arabic"/>
          <w:sz w:val="28"/>
          <w:szCs w:val="28"/>
          <w:rtl/>
        </w:rPr>
      </w:pPr>
      <w:r w:rsidRPr="00A917AA">
        <w:rPr>
          <w:rFonts w:ascii="Simplified Arabic" w:hAnsi="Simplified Arabic" w:cs="Simplified Arabic"/>
          <w:sz w:val="28"/>
          <w:szCs w:val="28"/>
          <w:rtl/>
        </w:rPr>
        <w:lastRenderedPageBreak/>
        <w:t>تكتسب دراسة هذا الم</w:t>
      </w:r>
      <w:r w:rsidRPr="001A06F7">
        <w:rPr>
          <w:rFonts w:ascii="Simplified Arabic" w:hAnsi="Simplified Arabic" w:cs="Simplified Arabic"/>
          <w:sz w:val="28"/>
          <w:szCs w:val="28"/>
          <w:rtl/>
        </w:rPr>
        <w:t>جتمع أهميتها من كونه البيئة الأكثر تفاعلًا مع التحول المؤسسي في المملكة، حيث تشهد مؤسسات الرعاية الصحية الحكومية عمليات تطوير متسارعة على المستويات التقنية والإدارية والبشرية، مما يجعل من دراسة انعكاس هذه التحولات على بيئة العمل النفسية المستدامة ورفاهية الموظفين أمرًا ذا بعد استراتيجي. ويُسهم ذلك في دعم توجهات وزارة الصحة نحو تعزيز الرفاه النفسي للعاملين وتقليل معدلات الاحتراق الوظيفي، الذي يُعد من أبرز التحديات المعاصرة في بيئات العمل الخدمية</w:t>
      </w:r>
      <w:r w:rsidR="00D81B6A" w:rsidRPr="001A06F7">
        <w:rPr>
          <w:rFonts w:ascii="Simplified Arabic" w:hAnsi="Simplified Arabic" w:cs="Simplified Arabic"/>
          <w:sz w:val="28"/>
          <w:szCs w:val="28"/>
          <w:rtl/>
        </w:rPr>
        <w:t xml:space="preserve">. </w:t>
      </w:r>
    </w:p>
    <w:p w14:paraId="0BAF2205" w14:textId="77777777" w:rsidR="00245300" w:rsidRPr="001A06F7" w:rsidRDefault="00245300" w:rsidP="00AC48ED">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ونظرًا إلى حجم المجتمع الكبير وتوزّعه على عدد كبير من المؤسسات والمرافق الصحية، فقد تعذّر تطبيق الدراسة على جميع أفراده، مما استدعى اختيار عينة ممثلة قادرة على عكس خصائص المجتمع الأصلي بدرجة مقبولة من الدقة الإحصائية. ولتقدير حجم العينة، تم استخدام معادلة كوكران (</w:t>
      </w:r>
      <w:r w:rsidRPr="001A06F7">
        <w:rPr>
          <w:rFonts w:ascii="Simplified Arabic" w:hAnsi="Simplified Arabic" w:cs="Simplified Arabic"/>
          <w:sz w:val="28"/>
          <w:szCs w:val="28"/>
        </w:rPr>
        <w:t>Cochran, 1977</w:t>
      </w:r>
      <w:r w:rsidRPr="001A06F7">
        <w:rPr>
          <w:rFonts w:ascii="Simplified Arabic" w:hAnsi="Simplified Arabic" w:cs="Simplified Arabic"/>
          <w:sz w:val="28"/>
          <w:szCs w:val="28"/>
          <w:rtl/>
        </w:rPr>
        <w:t>)، وهي إحدى أكثر المعادلات شيوعًا في الدراسات الوصفية لتقدير حجم العينة عندما يكون حجم المجتمع غير محدد بدقة، وصيغتها على النحو الآتي:</w:t>
      </w:r>
    </w:p>
    <w:p w14:paraId="58B8CFFD" w14:textId="77777777" w:rsidR="009277D0" w:rsidRPr="001A06F7" w:rsidRDefault="001A06F7" w:rsidP="00CB5D51">
      <w:pPr>
        <w:spacing w:line="240" w:lineRule="auto"/>
        <w:jc w:val="both"/>
        <w:rPr>
          <w:rFonts w:ascii="Simplified Arabic" w:hAnsi="Simplified Arabic" w:cs="Simplified Arabic"/>
          <w:sz w:val="28"/>
          <w:szCs w:val="28"/>
          <w:rtl/>
        </w:rPr>
      </w:pPr>
      <m:oMathPara>
        <m:oMath>
          <m:r>
            <m:rPr>
              <m:sty m:val="p"/>
            </m:rPr>
            <w:rPr>
              <w:rFonts w:ascii="Cambria Math" w:hAnsi="Cambria Math" w:cs="Simplified Arabic" w:hint="cs"/>
              <w:sz w:val="28"/>
              <w:szCs w:val="28"/>
            </w:rPr>
            <m:t>n=</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m:rPr>
                      <m:sty m:val="p"/>
                    </m:rPr>
                    <w:rPr>
                      <w:rFonts w:ascii="Cambria Math" w:hAnsi="Cambria Math" w:cs="Simplified Arabic" w:hint="cs"/>
                      <w:sz w:val="28"/>
                      <w:szCs w:val="28"/>
                    </w:rPr>
                    <m:t>t</m:t>
                  </m:r>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r>
                <m:rPr>
                  <m:sty m:val="p"/>
                </m:rPr>
                <w:rPr>
                  <w:rFonts w:ascii="Cambria Math" w:hAnsi="Cambria Math" w:cs="Simplified Arabic" w:hint="cs"/>
                  <w:sz w:val="28"/>
                  <w:szCs w:val="28"/>
                </w:rPr>
                <m:t>×p(1-p)</m:t>
              </m:r>
              <m:ctrlPr>
                <w:rPr>
                  <w:rFonts w:ascii="Cambria Math" w:hAnsi="Cambria Math" w:cs="Simplified Arabic"/>
                  <w:sz w:val="28"/>
                  <w:szCs w:val="28"/>
                  <w:rtl/>
                </w:rPr>
              </m:ctrlPr>
            </m:num>
            <m:den>
              <m:sSup>
                <m:sSupPr>
                  <m:ctrlPr>
                    <w:rPr>
                      <w:rFonts w:ascii="Cambria Math" w:hAnsi="Cambria Math" w:cs="Simplified Arabic"/>
                      <w:sz w:val="28"/>
                      <w:szCs w:val="28"/>
                    </w:rPr>
                  </m:ctrlPr>
                </m:sSupPr>
                <m:e>
                  <m:r>
                    <m:rPr>
                      <m:sty m:val="p"/>
                    </m:rPr>
                    <w:rPr>
                      <w:rFonts w:ascii="Cambria Math" w:hAnsi="Cambria Math" w:cs="Simplified Arabic" w:hint="cs"/>
                      <w:sz w:val="28"/>
                      <w:szCs w:val="28"/>
                    </w:rPr>
                    <m:t>d</m:t>
                  </m:r>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den>
          </m:f>
        </m:oMath>
      </m:oMathPara>
    </w:p>
    <w:p w14:paraId="45100343" w14:textId="77777777" w:rsidR="007946E6" w:rsidRPr="001A06F7" w:rsidRDefault="007946E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sz w:val="28"/>
          <w:szCs w:val="28"/>
          <w:rtl/>
        </w:rPr>
        <w:t>حيث:</w:t>
      </w:r>
    </w:p>
    <w:p w14:paraId="1259FFD4" w14:textId="77777777" w:rsidR="007946E6" w:rsidRPr="001A06F7" w:rsidRDefault="002E3FC2"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n</w:t>
      </w:r>
      <w:r w:rsidR="007946E6" w:rsidRPr="001A06F7">
        <w:rPr>
          <w:rFonts w:ascii="Simplified Arabic" w:hAnsi="Simplified Arabic" w:cs="Simplified Arabic" w:hint="cs"/>
          <w:sz w:val="28"/>
          <w:szCs w:val="28"/>
          <w:rtl/>
        </w:rPr>
        <w:t>: حجم العينة المطلوب تقديره.</w:t>
      </w:r>
    </w:p>
    <w:p w14:paraId="21B81D5E" w14:textId="77777777" w:rsidR="007946E6" w:rsidRPr="001A06F7" w:rsidRDefault="00F24E31"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t</w:t>
      </w:r>
      <w:r w:rsidR="007946E6" w:rsidRPr="001A06F7">
        <w:rPr>
          <w:rFonts w:ascii="Simplified Arabic" w:hAnsi="Simplified Arabic" w:cs="Simplified Arabic" w:hint="cs"/>
          <w:sz w:val="28"/>
          <w:szCs w:val="28"/>
          <w:rtl/>
        </w:rPr>
        <w:t>: القيمة الجدولية عند مستوى ثقة (95%)، وتبلغ (1.96).</w:t>
      </w:r>
    </w:p>
    <w:p w14:paraId="2F4B5F37" w14:textId="77777777" w:rsidR="007946E6" w:rsidRPr="001A06F7" w:rsidRDefault="00C03D0B"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p</w:t>
      </w:r>
      <w:r w:rsidR="007946E6" w:rsidRPr="001A06F7">
        <w:rPr>
          <w:rFonts w:ascii="Simplified Arabic" w:hAnsi="Simplified Arabic" w:cs="Simplified Arabic" w:hint="cs"/>
          <w:sz w:val="28"/>
          <w:szCs w:val="28"/>
          <w:rtl/>
        </w:rPr>
        <w:t>: النسبة التقديرية للأفراد الذين يتصفون بخصائص الظاهرة قيد الدراسة، وغالبًا ما تُؤخذ (0.5) لتمثل أقصى درجة من التباين.</w:t>
      </w:r>
    </w:p>
    <w:p w14:paraId="79908011" w14:textId="77777777" w:rsidR="007946E6" w:rsidRPr="001A06F7" w:rsidRDefault="000C1D39"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d</w:t>
      </w:r>
      <w:r w:rsidR="007946E6" w:rsidRPr="001A06F7">
        <w:rPr>
          <w:rFonts w:ascii="Simplified Arabic" w:hAnsi="Simplified Arabic" w:cs="Simplified Arabic" w:hint="cs"/>
          <w:sz w:val="28"/>
          <w:szCs w:val="28"/>
          <w:rtl/>
        </w:rPr>
        <w:t>: هامش الخطأ المسموح به في التقدير، وقد تم تحديده عند (0.05).</w:t>
      </w:r>
    </w:p>
    <w:p w14:paraId="378E0A22" w14:textId="77777777" w:rsidR="007946E6" w:rsidRPr="001A06F7" w:rsidRDefault="007946E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sz w:val="28"/>
          <w:szCs w:val="28"/>
          <w:rtl/>
        </w:rPr>
        <w:t>وبالتعويض في المعادلة:</w:t>
      </w:r>
    </w:p>
    <w:p w14:paraId="5F277ADD" w14:textId="77777777" w:rsidR="007946E6" w:rsidRPr="001A06F7" w:rsidRDefault="00AD748B" w:rsidP="000C1D39">
      <w:pPr>
        <w:spacing w:line="240" w:lineRule="auto"/>
        <w:jc w:val="both"/>
        <w:rPr>
          <w:rFonts w:ascii="Simplified Arabic" w:hAnsi="Simplified Arabic" w:cs="Simplified Arabic"/>
          <w:sz w:val="28"/>
          <w:szCs w:val="28"/>
          <w:rtl/>
        </w:rPr>
      </w:pPr>
      <w:r w:rsidRPr="001A06F7">
        <w:rPr>
          <w:rFonts w:ascii="Cambria Math" w:hAnsi="Cambria Math" w:cs="Simplified Arabic" w:hint="cs"/>
          <w:sz w:val="28"/>
          <w:szCs w:val="28"/>
        </w:rPr>
        <w:br/>
      </w:r>
      <m:oMathPara>
        <m:oMath>
          <m:r>
            <m:rPr>
              <m:sty m:val="p"/>
            </m:rPr>
            <w:rPr>
              <w:rFonts w:ascii="Cambria Math" w:hAnsi="Cambria Math" w:cs="Simplified Arabic" w:hint="cs"/>
              <w:sz w:val="28"/>
              <w:szCs w:val="28"/>
            </w:rPr>
            <m:t>n=</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d>
                    <m:dPr>
                      <m:ctrlPr>
                        <w:rPr>
                          <w:rFonts w:ascii="Cambria Math" w:hAnsi="Cambria Math" w:cs="Simplified Arabic"/>
                          <w:sz w:val="28"/>
                          <w:szCs w:val="28"/>
                        </w:rPr>
                      </m:ctrlPr>
                    </m:dPr>
                    <m:e>
                      <m:r>
                        <m:rPr>
                          <m:sty m:val="p"/>
                        </m:rPr>
                        <w:rPr>
                          <w:rFonts w:ascii="Cambria Math" w:hAnsi="Cambria Math" w:cs="Simplified Arabic" w:hint="cs"/>
                          <w:sz w:val="28"/>
                          <w:szCs w:val="28"/>
                        </w:rPr>
                        <m:t>1.96</m:t>
                      </m:r>
                    </m:e>
                  </m:d>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r>
                <m:rPr>
                  <m:sty m:val="p"/>
                </m:rPr>
                <w:rPr>
                  <w:rFonts w:ascii="Cambria Math" w:hAnsi="Cambria Math" w:cs="Simplified Arabic" w:hint="cs"/>
                  <w:sz w:val="28"/>
                  <w:szCs w:val="28"/>
                </w:rPr>
                <m:t>×0.5(1-0.5)</m:t>
              </m:r>
              <m:ctrlPr>
                <w:rPr>
                  <w:rFonts w:ascii="Cambria Math" w:hAnsi="Cambria Math" w:cs="Simplified Arabic"/>
                  <w:sz w:val="28"/>
                  <w:szCs w:val="28"/>
                  <w:rtl/>
                </w:rPr>
              </m:ctrlPr>
            </m:num>
            <m:den>
              <m:sSup>
                <m:sSupPr>
                  <m:ctrlPr>
                    <w:rPr>
                      <w:rFonts w:ascii="Cambria Math" w:hAnsi="Cambria Math" w:cs="Simplified Arabic"/>
                      <w:sz w:val="28"/>
                      <w:szCs w:val="28"/>
                    </w:rPr>
                  </m:ctrlPr>
                </m:sSupPr>
                <m:e>
                  <m:r>
                    <m:rPr>
                      <m:sty m:val="p"/>
                    </m:rPr>
                    <w:rPr>
                      <w:rFonts w:ascii="Cambria Math" w:hAnsi="Cambria Math" w:cs="Simplified Arabic" w:hint="cs"/>
                      <w:sz w:val="28"/>
                      <w:szCs w:val="28"/>
                    </w:rPr>
                    <m:t>(0.05)</m:t>
                  </m:r>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den>
          </m:f>
        </m:oMath>
      </m:oMathPara>
    </w:p>
    <w:p w14:paraId="08A15930" w14:textId="77777777" w:rsidR="007946E6" w:rsidRPr="001A06F7" w:rsidRDefault="007946E6" w:rsidP="008435A7">
      <w:pPr>
        <w:spacing w:line="240" w:lineRule="auto"/>
        <w:jc w:val="both"/>
        <w:rPr>
          <w:rFonts w:ascii="Simplified Arabic" w:hAnsi="Simplified Arabic" w:cs="Simplified Arabic"/>
          <w:sz w:val="28"/>
          <w:szCs w:val="28"/>
          <w:rtl/>
        </w:rPr>
      </w:pPr>
      <w:r w:rsidRPr="001A06F7">
        <w:rPr>
          <w:rFonts w:ascii="Simplified Arabic" w:hAnsi="Simplified Arabic" w:cs="Simplified Arabic" w:hint="cs"/>
          <w:sz w:val="28"/>
          <w:szCs w:val="28"/>
          <w:rtl/>
        </w:rPr>
        <w:t> </w:t>
      </w:r>
      <w:r w:rsidR="00917720" w:rsidRPr="001A06F7">
        <w:rPr>
          <w:rFonts w:ascii="Cambria Math" w:hAnsi="Cambria Math" w:cs="Simplified Arabic" w:hint="cs"/>
          <w:sz w:val="28"/>
          <w:szCs w:val="28"/>
        </w:rPr>
        <w:br/>
      </w:r>
      <m:oMathPara>
        <m:oMath>
          <m:r>
            <m:rPr>
              <m:sty m:val="p"/>
            </m:rPr>
            <w:rPr>
              <w:rFonts w:ascii="Cambria Math" w:hAnsi="Cambria Math" w:cs="Simplified Arabic" w:hint="cs"/>
              <w:sz w:val="28"/>
              <w:szCs w:val="28"/>
            </w:rPr>
            <m:t>n=</m:t>
          </m:r>
          <m:f>
            <m:fPr>
              <m:ctrlPr>
                <w:rPr>
                  <w:rFonts w:ascii="Cambria Math" w:hAnsi="Cambria Math" w:cs="Simplified Arabic"/>
                  <w:sz w:val="28"/>
                  <w:szCs w:val="28"/>
                </w:rPr>
              </m:ctrlPr>
            </m:fPr>
            <m:num>
              <m:r>
                <m:rPr>
                  <m:sty m:val="p"/>
                </m:rPr>
                <w:rPr>
                  <w:rFonts w:ascii="Cambria Math" w:hAnsi="Cambria Math" w:cs="Simplified Arabic" w:hint="cs"/>
                  <w:sz w:val="28"/>
                  <w:szCs w:val="28"/>
                </w:rPr>
                <m:t>3.8416×0.25</m:t>
              </m:r>
              <m:ctrlPr>
                <w:rPr>
                  <w:rFonts w:ascii="Cambria Math" w:hAnsi="Cambria Math" w:cs="Simplified Arabic"/>
                  <w:sz w:val="28"/>
                  <w:szCs w:val="28"/>
                  <w:rtl/>
                </w:rPr>
              </m:ctrlPr>
            </m:num>
            <m:den>
              <m:r>
                <m:rPr>
                  <m:sty m:val="p"/>
                </m:rPr>
                <w:rPr>
                  <w:rFonts w:ascii="Cambria Math" w:hAnsi="Cambria Math" w:cs="Simplified Arabic" w:hint="cs"/>
                  <w:sz w:val="28"/>
                  <w:szCs w:val="28"/>
                </w:rPr>
                <m:t>0.0025</m:t>
              </m:r>
            </m:den>
          </m:f>
          <m:r>
            <m:rPr>
              <m:sty m:val="p"/>
            </m:rPr>
            <w:rPr>
              <w:rFonts w:ascii="Cambria Math" w:hAnsi="Cambria Math" w:cs="Simplified Arabic" w:hint="cs"/>
              <w:sz w:val="28"/>
              <w:szCs w:val="28"/>
            </w:rPr>
            <m:t>=384</m:t>
          </m:r>
        </m:oMath>
      </m:oMathPara>
    </w:p>
    <w:p w14:paraId="30E7454E" w14:textId="77777777" w:rsidR="00485C9D" w:rsidRPr="001A06F7" w:rsidRDefault="00485C9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وعليه، فإن الحد الأدنى لحجم العينة الإحصائي المقبول هو (384) مفردة من مجتمع الدراسة. وقد تم اعتماد هذا الرقم بوصفه الحجم المستهدف للعينة، مع إمكانية زيادته قليلًا لتعويض أي استبانات غير مكتملة أو غير صالحة للتحليل.</w:t>
      </w:r>
    </w:p>
    <w:p w14:paraId="335A8406" w14:textId="77777777" w:rsidR="00485C9D" w:rsidRPr="001A06F7" w:rsidRDefault="00485C9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lastRenderedPageBreak/>
        <w:t>ولضمان تمثيل جميع الفئات الوظيفية في القطاع الصحي، تم استخدام الأسلوب العشوائي الطبقي (</w:t>
      </w:r>
      <w:r w:rsidRPr="001A06F7">
        <w:rPr>
          <w:rFonts w:ascii="Simplified Arabic" w:hAnsi="Simplified Arabic" w:cs="Simplified Arabic"/>
          <w:sz w:val="28"/>
          <w:szCs w:val="28"/>
        </w:rPr>
        <w:t>Stratified Random Sampling</w:t>
      </w:r>
      <w:r w:rsidRPr="001A06F7">
        <w:rPr>
          <w:rFonts w:ascii="Simplified Arabic" w:hAnsi="Simplified Arabic" w:cs="Simplified Arabic"/>
          <w:sz w:val="28"/>
          <w:szCs w:val="28"/>
          <w:rtl/>
        </w:rPr>
        <w:t>)، حيث قُسّم المجتمع إلى أربع طبقات رئيسة وفق المسمى الوظيفي (أطباء، ممرضون، فنيون، إداريون)، ثم جرى اختيار عدد من الأفراد من كل فئة بما يتناسب مع حجمها النسبي داخل مؤسسات القطاع الصحي الحكومي بمدينة الرياض. ويُعد هذا الأسلوب أكثر دقة من السحب العشوائي البسيط، لأنه يُتيح تمثيلًا عادلًا لجميع الفئات المؤثرة في الظاهرة المدروسة ويُقلل من احتمال التحيّز في البيانات (</w:t>
      </w:r>
      <w:r w:rsidRPr="001A06F7">
        <w:rPr>
          <w:rFonts w:ascii="Simplified Arabic" w:hAnsi="Simplified Arabic" w:cs="Simplified Arabic"/>
          <w:sz w:val="28"/>
          <w:szCs w:val="28"/>
        </w:rPr>
        <w:t>Sekaran &amp; Bougie, 2016</w:t>
      </w:r>
      <w:r w:rsidRPr="001A06F7">
        <w:rPr>
          <w:rFonts w:ascii="Simplified Arabic" w:hAnsi="Simplified Arabic" w:cs="Simplified Arabic"/>
          <w:sz w:val="28"/>
          <w:szCs w:val="28"/>
          <w:rtl/>
        </w:rPr>
        <w:t>).</w:t>
      </w:r>
    </w:p>
    <w:p w14:paraId="3287A6FB" w14:textId="77777777" w:rsidR="00485C9D" w:rsidRPr="001A06F7" w:rsidRDefault="00485C9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كما روعي في اختيار العينة تحقيق التنوع الديموغرافي من حيث الجنس، والعمر، وسنوات الخبرة، والمستوى التعليمي، والحالة الاجتماعية، لضمان فحص مدى تأثير هذه المتغيرات على إدراك العاملين للتحول الصحي وانعكاسه على رفاهيتهم النفسية ومستويات الاحتراق الوظيفي لديهم. وتم التأكيد للمشاركين على سرية المعلومات واستخدامها لأغراض البحث العلمي فقط، بما يُعزز من مصداقية الاستجابات ودقتها.</w:t>
      </w:r>
    </w:p>
    <w:p w14:paraId="191DCBFE" w14:textId="77777777" w:rsidR="00D67689" w:rsidRPr="001A06F7" w:rsidRDefault="00485C9D" w:rsidP="002C5E33">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إن تحديد حجم العينة واختيارها وفق منهجية علمية مدروسة يُعكس النهج الإحصائي المنضبط الذي اعتمدته الباحثة لتحقيق التوازن بين الدقة المنهجية والملاءمة الميدانية، بما يضمن أن النتائج المستخلصة تعبّر عن الاتجاهات الواقعية للعاملين في القطاع الصحي الحكومي بمدينة الرياض، وقابلة للتعميم بدرجة عالية من الثقة على المجتمع الأصلي.</w:t>
      </w:r>
    </w:p>
    <w:p w14:paraId="27279CD3" w14:textId="77777777" w:rsidR="007946E6" w:rsidRPr="002C5E33" w:rsidRDefault="007946E6" w:rsidP="002C5E33">
      <w:pPr>
        <w:pStyle w:val="2"/>
        <w:rPr>
          <w:b w:val="0"/>
          <w:bCs/>
          <w:rtl/>
        </w:rPr>
      </w:pPr>
      <w:bookmarkStart w:id="41" w:name="_Toc235119051"/>
      <w:r w:rsidRPr="002C5E33">
        <w:rPr>
          <w:rFonts w:hint="cs"/>
          <w:b w:val="0"/>
          <w:bCs/>
          <w:rtl/>
        </w:rPr>
        <w:t>أداة الدراسة</w:t>
      </w:r>
      <w:bookmarkEnd w:id="41"/>
    </w:p>
    <w:p w14:paraId="35B8246B" w14:textId="77777777" w:rsidR="009051BB" w:rsidRPr="001A06F7" w:rsidRDefault="009051BB" w:rsidP="00D67689">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تُعد أداة الدراسة من العناصر المنهجية الأساسية في البحوث الميدانية، إذ تُسهم في جمع البيانات اللازمة لتحقيق أهداف البحث واختبار فروضه. وقد اعتمدت هذه الدراسة على الاستبانة (</w:t>
      </w:r>
      <w:r w:rsidRPr="001A06F7">
        <w:rPr>
          <w:rFonts w:ascii="Simplified Arabic" w:hAnsi="Simplified Arabic" w:cs="Simplified Arabic"/>
          <w:sz w:val="28"/>
          <w:szCs w:val="28"/>
        </w:rPr>
        <w:t>Questionnaire</w:t>
      </w:r>
      <w:r w:rsidRPr="001A06F7">
        <w:rPr>
          <w:rFonts w:ascii="Simplified Arabic" w:hAnsi="Simplified Arabic" w:cs="Simplified Arabic"/>
          <w:sz w:val="28"/>
          <w:szCs w:val="28"/>
          <w:rtl/>
        </w:rPr>
        <w:t>) كأداة رئيسة لجمع البيانات الكمية من أفراد العينة، نظرًا لما تتميز به من المرونة في التطبيق، وسهولة التوزيع، وإمكانية جمع معلومات دقيقة من عدد كبير من المشاركين في وقت قصير (</w:t>
      </w:r>
      <w:r w:rsidRPr="001A06F7">
        <w:rPr>
          <w:rFonts w:ascii="Simplified Arabic" w:hAnsi="Simplified Arabic" w:cs="Simplified Arabic"/>
          <w:sz w:val="28"/>
          <w:szCs w:val="28"/>
        </w:rPr>
        <w:t>Oppenheim, 2000</w:t>
      </w:r>
      <w:r w:rsidRPr="001A06F7">
        <w:rPr>
          <w:rFonts w:ascii="Simplified Arabic" w:hAnsi="Simplified Arabic" w:cs="Simplified Arabic"/>
          <w:sz w:val="28"/>
          <w:szCs w:val="28"/>
          <w:rtl/>
        </w:rPr>
        <w:t>). وتُعدّ الاستبانة أداة ملائمة لطبيعة هذه الدراسة التي تتناول متغيرات نفسية وتنظيمية تعتمد على قياس الاتجاهات والإدراكات الذاتية للعاملين داخل بيئاتهم المهنية (</w:t>
      </w:r>
      <w:r w:rsidRPr="001A06F7">
        <w:rPr>
          <w:rFonts w:ascii="Simplified Arabic" w:hAnsi="Simplified Arabic" w:cs="Simplified Arabic"/>
          <w:sz w:val="28"/>
          <w:szCs w:val="28"/>
        </w:rPr>
        <w:t>Bryman, 2016</w:t>
      </w:r>
      <w:r w:rsidRPr="001A06F7">
        <w:rPr>
          <w:rFonts w:ascii="Simplified Arabic" w:hAnsi="Simplified Arabic" w:cs="Simplified Arabic"/>
          <w:sz w:val="28"/>
          <w:szCs w:val="28"/>
          <w:rtl/>
        </w:rPr>
        <w:t>).</w:t>
      </w:r>
    </w:p>
    <w:p w14:paraId="7459E792" w14:textId="77777777" w:rsidR="009051BB" w:rsidRPr="001A06F7" w:rsidRDefault="009051BB" w:rsidP="00D67689">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صُممت الاستبانة خصيصًا لخدمة أهداف البحث الحالي، واستُمدّت فقراتها من الإطار النظري والدراسات السابقة ذات الصلة بموضوعات التحول الصحي، وبيئة العمل النفسية المستدامة، ورفاهية الموظفين، والاحتراق الوظيفي. وقد روعي في بنائها التسلسل المنطقي في عرض الأسئلة، بحيث تنتقل من البيانات العامة إلى المحاور المتخصصة، تحقيقًا للترابط بين هيكل الأداة ومتغيرات نموذج الدراسة. كما تمت مراجعة الاستبانة من قبل مجموعة من المحكمين الأكاديميين المختصين لضمان صدقها الظاهري ومناسبتها لأهداف الدراسة.</w:t>
      </w:r>
    </w:p>
    <w:p w14:paraId="3815CFEA" w14:textId="77777777" w:rsidR="007946E6" w:rsidRPr="001A06F7" w:rsidRDefault="007946E6" w:rsidP="006C4CDD">
      <w:pPr>
        <w:pStyle w:val="a6"/>
        <w:numPr>
          <w:ilvl w:val="0"/>
          <w:numId w:val="3"/>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hint="cs"/>
          <w:b/>
          <w:bCs/>
          <w:sz w:val="28"/>
          <w:szCs w:val="28"/>
          <w:rtl/>
        </w:rPr>
        <w:lastRenderedPageBreak/>
        <w:t>البنية العامة للاستبانة</w:t>
      </w:r>
    </w:p>
    <w:p w14:paraId="37D611DC" w14:textId="77777777" w:rsidR="00B723D2" w:rsidRPr="001A06F7" w:rsidRDefault="00B723D2"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تكوّنت الاستبانة في صورتها النهائية من خمسة أقسام رئيسة، على النحو الآتي:</w:t>
      </w:r>
    </w:p>
    <w:p w14:paraId="2A77F433" w14:textId="77777777" w:rsidR="00B723D2" w:rsidRPr="001A06F7" w:rsidRDefault="00B723D2"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القسم الأول: البيانات الديموغرافية</w:t>
      </w:r>
    </w:p>
    <w:p w14:paraId="56E002BF" w14:textId="77777777" w:rsidR="00B723D2" w:rsidRPr="001A06F7" w:rsidRDefault="00B723D2" w:rsidP="009F4738">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يهدف هذا القسم إلى التعرف على الخصائص الشخصية والمهنية للمشاركين، وتشمل: الجنس، العمر، المؤهل العلمي، المسمى الوظيفي، سنوات الخبرة، الحالة الاجتماعية، ومتوسط الدخل الشهري. وتُستخدم هذه المتغيرات في تحليل الفروق بين استجابات المشاركين وتفسير الاختلافات في إدراكهم لمتغيرات الدراسة، مما يساعد في تحليل العلاقات الثانوية وربطها بالمتغيرات الرئيسة.</w:t>
      </w:r>
    </w:p>
    <w:p w14:paraId="6AD63865" w14:textId="77777777" w:rsidR="00B723D2" w:rsidRPr="001A06F7" w:rsidRDefault="00B723D2"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القسم الثاني: محور التحول الصحي</w:t>
      </w:r>
    </w:p>
    <w:p w14:paraId="373E60D2" w14:textId="77777777" w:rsidR="00B723D2" w:rsidRPr="001A06F7" w:rsidRDefault="00B723D2" w:rsidP="00C6070D">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يتضمن هذا المحور ثماني عبارات تهدف إلى قياس إدراك العاملين لمستوى تطبيق مبادرات التحول الصحي في مؤسساتهم. وتشمل موضوعاته جودة الخدمات الصحية، الكفاءة التشغيلية، التحول الرقمي، الحوكمة والشفافية، ثقافة الابتكار، ودعم الإدارة العليا لمبادرات التحول. ويُعد هذا المحور ممثلًا للـ متغير المستقل في نموذج الدراسة.</w:t>
      </w:r>
    </w:p>
    <w:p w14:paraId="6F1521F1" w14:textId="77777777" w:rsidR="00B723D2" w:rsidRPr="001A06F7" w:rsidRDefault="00B723D2"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القسم الثالث: محور بيئة العمل النفسية المستدامة</w:t>
      </w:r>
    </w:p>
    <w:p w14:paraId="18C40999" w14:textId="77777777" w:rsidR="00B723D2" w:rsidRPr="001A06F7" w:rsidRDefault="00B723D2" w:rsidP="00C6070D">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يحتوي هذا المحور على ثماني عبارات تُقيس مدى توافر المناخ النفسي الإيجابي في بيئة العمل، من خلال مؤشرات مثل الأمان النفسي، العدالة التنظيمية، العلاقات الإنسانية، الدعم الإداري، والمشاركة في اتخاذ القرار. ويُعبّر هذا المحور عن أحد المتغيرات التابعة في النموذج التحليلي للدراسة.</w:t>
      </w:r>
    </w:p>
    <w:p w14:paraId="33B0ED67" w14:textId="77777777" w:rsidR="00B723D2" w:rsidRPr="001A06F7" w:rsidRDefault="00B723D2"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القسم الرابع: محور رفاهية الموظفين</w:t>
      </w:r>
    </w:p>
    <w:p w14:paraId="25905273" w14:textId="77777777" w:rsidR="00B723D2" w:rsidRPr="001A06F7" w:rsidRDefault="00B723D2"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يتكوّن هذا المحور من ثماني عبارات تهدف إلى قياس مستوى الرفاهية النفسية والاجتماعية والجسدية للعاملين، من خلال عناصر تشمل الرضا المهني، التوازن بين العمل والحياة، فرص التطوير المهني، الدعم الاجتماعي، والمكافآت التحفيزية. ويُعدّ هذا المحور هو المتغير الوسيط في الدراسة، إذ يُتوقع أن يتوسط العلاقة بين التحول الصحي ومستوى الاحتراق الوظيفي.</w:t>
      </w:r>
    </w:p>
    <w:p w14:paraId="2CB7CAF0" w14:textId="77777777" w:rsidR="00B723D2" w:rsidRPr="001A06F7" w:rsidRDefault="00B723D2"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القسم الخامس: محور الاحتراق الوظيفي</w:t>
      </w:r>
    </w:p>
    <w:p w14:paraId="21F125C4" w14:textId="77777777" w:rsidR="007946E6" w:rsidRPr="001A06F7" w:rsidRDefault="00B723D2" w:rsidP="005272CB">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يضم هذا المحور ثماني عبارات تقيس مستوى الاحتراق الوظيفي من خلال ثلاثة أبعاد رئيسة وفق تصنيف منظمة الصحة العالمية، وهي: الإرهاق العاطفي، التبلّد المهني، وانخفاض الشعور بالإنجاز الشخصي (</w:t>
      </w:r>
      <w:r w:rsidRPr="001A06F7">
        <w:rPr>
          <w:rFonts w:ascii="Simplified Arabic" w:hAnsi="Simplified Arabic" w:cs="Simplified Arabic"/>
          <w:sz w:val="28"/>
          <w:szCs w:val="28"/>
        </w:rPr>
        <w:t>World Health Organization, 2019</w:t>
      </w:r>
      <w:r w:rsidRPr="001A06F7">
        <w:rPr>
          <w:rFonts w:ascii="Simplified Arabic" w:hAnsi="Simplified Arabic" w:cs="Simplified Arabic"/>
          <w:sz w:val="28"/>
          <w:szCs w:val="28"/>
          <w:rtl/>
        </w:rPr>
        <w:t xml:space="preserve">). ويُعدّ هذا المحور هو المتغير التابع النهائي في نموذج </w:t>
      </w:r>
      <w:r w:rsidRPr="001A06F7">
        <w:rPr>
          <w:rFonts w:ascii="Simplified Arabic" w:hAnsi="Simplified Arabic" w:cs="Simplified Arabic"/>
          <w:sz w:val="28"/>
          <w:szCs w:val="28"/>
          <w:rtl/>
        </w:rPr>
        <w:lastRenderedPageBreak/>
        <w:t>الدراسة، حيث يعكس التأثيرات السلبية المحتملة لبيئة العمل والتحولات التنظيمية على الصحة النفسية للعاملين.</w:t>
      </w:r>
    </w:p>
    <w:p w14:paraId="3B429C1B" w14:textId="77777777" w:rsidR="007946E6" w:rsidRPr="001A06F7" w:rsidRDefault="007946E6" w:rsidP="006C4CDD">
      <w:pPr>
        <w:pStyle w:val="a6"/>
        <w:numPr>
          <w:ilvl w:val="0"/>
          <w:numId w:val="3"/>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hint="cs"/>
          <w:b/>
          <w:bCs/>
          <w:sz w:val="28"/>
          <w:szCs w:val="28"/>
          <w:rtl/>
        </w:rPr>
        <w:t>أسلوب القياس</w:t>
      </w:r>
    </w:p>
    <w:p w14:paraId="056B91BA" w14:textId="77777777" w:rsidR="00167656" w:rsidRPr="001A06F7" w:rsidRDefault="0016765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اعتمدت الدراسة على مقياس ليكرت الخماسي (</w:t>
      </w:r>
      <w:r w:rsidRPr="001A06F7">
        <w:rPr>
          <w:rFonts w:ascii="Simplified Arabic" w:hAnsi="Simplified Arabic" w:cs="Simplified Arabic"/>
          <w:sz w:val="28"/>
          <w:szCs w:val="28"/>
        </w:rPr>
        <w:t>Likert Scale</w:t>
      </w:r>
      <w:r w:rsidRPr="001A06F7">
        <w:rPr>
          <w:rFonts w:ascii="Simplified Arabic" w:hAnsi="Simplified Arabic" w:cs="Simplified Arabic"/>
          <w:sz w:val="28"/>
          <w:szCs w:val="28"/>
          <w:rtl/>
        </w:rPr>
        <w:t>) في قياس استجابات المشاركين تجاه عبارات الاستبانة، إذ يُعد هذا المقياس من أكثر أدوات القياس استخدامًا في البحوث السلوكية والاجتماعية والإدارية، نظرًا لقدرته على تحويل الاتجاهات والمواقف الذاتية إلى بيانات كمية قابلة للقياس والتحليل الإحصائي (</w:t>
      </w:r>
      <w:r w:rsidRPr="001A06F7">
        <w:rPr>
          <w:rFonts w:ascii="Simplified Arabic" w:hAnsi="Simplified Arabic" w:cs="Simplified Arabic"/>
          <w:sz w:val="28"/>
          <w:szCs w:val="28"/>
        </w:rPr>
        <w:t>Joshi, Kale, Chandel, &amp; Pal, 2015</w:t>
      </w:r>
      <w:r w:rsidRPr="001A06F7">
        <w:rPr>
          <w:rFonts w:ascii="Simplified Arabic" w:hAnsi="Simplified Arabic" w:cs="Simplified Arabic"/>
          <w:sz w:val="28"/>
          <w:szCs w:val="28"/>
          <w:rtl/>
        </w:rPr>
        <w:t>). يتميّز مقياس ليكرت بسهولة استخدامه ودقته في تمثيل درجات الاتفاق أو الرفض، وهو ما يجعله ملائمًا لقياس المتغيرات النفسية والتنظيمية التي تعتمد على الإدراك والتقدير الشخصي للمشارك (</w:t>
      </w:r>
      <w:r w:rsidRPr="001A06F7">
        <w:rPr>
          <w:rFonts w:ascii="Simplified Arabic" w:hAnsi="Simplified Arabic" w:cs="Simplified Arabic"/>
          <w:sz w:val="28"/>
          <w:szCs w:val="28"/>
        </w:rPr>
        <w:t>Allen &amp; Seaman, 2007</w:t>
      </w:r>
      <w:r w:rsidRPr="001A06F7">
        <w:rPr>
          <w:rFonts w:ascii="Simplified Arabic" w:hAnsi="Simplified Arabic" w:cs="Simplified Arabic"/>
          <w:sz w:val="28"/>
          <w:szCs w:val="28"/>
          <w:rtl/>
        </w:rPr>
        <w:t>).</w:t>
      </w:r>
    </w:p>
    <w:p w14:paraId="0AC23EDA" w14:textId="77777777" w:rsidR="00167656" w:rsidRPr="001A06F7" w:rsidRDefault="0016765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وقد وُزّعت استجابات المشاركين في هذا المقياس على خمس درجات متدرجة وفقًا لشدة الموافقة على العبارات، على النحو الآتي:</w:t>
      </w:r>
    </w:p>
    <w:p w14:paraId="58F1E019" w14:textId="77777777" w:rsidR="00167656" w:rsidRPr="001A06F7" w:rsidRDefault="00167656" w:rsidP="006C4CDD">
      <w:pPr>
        <w:pStyle w:val="a6"/>
        <w:numPr>
          <w:ilvl w:val="0"/>
          <w:numId w:val="1"/>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لا أوافق بشدة – (2) لا أوافق – (3) محايد – (4) أوافق – (5) أوافق بشدة.</w:t>
      </w:r>
    </w:p>
    <w:p w14:paraId="522F140B" w14:textId="77777777" w:rsidR="00167656" w:rsidRPr="001A06F7" w:rsidRDefault="0016765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يُحسب المتوسط الحسابي والانحراف المعياري لكل محور من محاور الاستبانة استنادًا إلى هذه الدرجات، بما يُتيح تحديد مستوى كل متغير كما يُدركه أفراد العينة. كما جرى ترميز البيانات رقميًا وإدخالها في برنامج الحزم الإحصائية للعلوم الاجتماعية (</w:t>
      </w:r>
      <w:r w:rsidRPr="001A06F7">
        <w:rPr>
          <w:rFonts w:ascii="Simplified Arabic" w:hAnsi="Simplified Arabic" w:cs="Simplified Arabic"/>
          <w:sz w:val="28"/>
          <w:szCs w:val="28"/>
        </w:rPr>
        <w:t>SPSS</w:t>
      </w:r>
      <w:r w:rsidRPr="001A06F7">
        <w:rPr>
          <w:rFonts w:ascii="Simplified Arabic" w:hAnsi="Simplified Arabic" w:cs="Simplified Arabic"/>
          <w:sz w:val="28"/>
          <w:szCs w:val="28"/>
          <w:rtl/>
        </w:rPr>
        <w:t>) لإجراء التحليلات اللازمة واختبار الفرضيات الإحصائية بدقة.</w:t>
      </w:r>
    </w:p>
    <w:p w14:paraId="7320D896" w14:textId="77777777" w:rsidR="00167656" w:rsidRPr="001A06F7" w:rsidRDefault="00167656" w:rsidP="006C4CDD">
      <w:pPr>
        <w:pStyle w:val="a6"/>
        <w:numPr>
          <w:ilvl w:val="0"/>
          <w:numId w:val="3"/>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الأسس العلمية لبناء الأداة</w:t>
      </w:r>
    </w:p>
    <w:p w14:paraId="4E21F697" w14:textId="77777777" w:rsidR="00167656" w:rsidRPr="001A06F7" w:rsidRDefault="0016765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حرصت الباحثة عند تصميم أداة الدراسة على الالتزام بالأسس العلمية والمنهجية التي تُكفل صدق الأداة وثباتها، وذلك من خلال مجموعة من الإجراءات المنهجية التي تضمن سلامة التصميم وموثوقية النتائج، وتمثلت فيما يأتي:</w:t>
      </w:r>
    </w:p>
    <w:p w14:paraId="07FDE1B1" w14:textId="77777777" w:rsidR="00167656" w:rsidRPr="001A06F7" w:rsidRDefault="00167656" w:rsidP="006C4CDD">
      <w:pPr>
        <w:pStyle w:val="a6"/>
        <w:numPr>
          <w:ilvl w:val="0"/>
          <w:numId w:val="10"/>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مراجعة الأدبيات السابقة والدراسات ذات الصلة لضمان شمول جميع أبعاد المتغيرات الرئيسة (التحول الصحي، بيئة العمل النفسية المستدامة، رفاهية الموظفين، الاحتراق الوظيفي).</w:t>
      </w:r>
    </w:p>
    <w:p w14:paraId="31C7E6D1" w14:textId="77777777" w:rsidR="00167656" w:rsidRPr="001A06F7" w:rsidRDefault="00167656" w:rsidP="006C4CDD">
      <w:pPr>
        <w:pStyle w:val="a6"/>
        <w:numPr>
          <w:ilvl w:val="0"/>
          <w:numId w:val="10"/>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صياغة العبارات بأسلوب علمي واضح ودقيق يخلو من الغموض أو التحيّز اللفظي، وبما يعكس المفهوم المقاس بصورة مباشرة.</w:t>
      </w:r>
    </w:p>
    <w:p w14:paraId="5CEEBD83" w14:textId="77777777" w:rsidR="00167656" w:rsidRPr="001A06F7" w:rsidRDefault="00167656" w:rsidP="006C4CDD">
      <w:pPr>
        <w:pStyle w:val="a6"/>
        <w:numPr>
          <w:ilvl w:val="0"/>
          <w:numId w:val="10"/>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تجنّب التناقض في الصياغة من خلال استخدام عبارات إيجابية موحدة الاتجاه لتقليل احتمالية الاستجابات العشوائية.</w:t>
      </w:r>
    </w:p>
    <w:p w14:paraId="4DE91F68" w14:textId="77777777" w:rsidR="00167656" w:rsidRPr="001A06F7" w:rsidRDefault="00167656" w:rsidP="006C4CDD">
      <w:pPr>
        <w:pStyle w:val="a6"/>
        <w:numPr>
          <w:ilvl w:val="0"/>
          <w:numId w:val="10"/>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lastRenderedPageBreak/>
        <w:t>توزيع العبارات داخل كل محور بصورة متوازنة تغطي جميع أبعاده الفرعية، بما يضمن التمثيل الشامل للمتغير المقاس.</w:t>
      </w:r>
    </w:p>
    <w:p w14:paraId="0366CA4D" w14:textId="77777777" w:rsidR="00167656" w:rsidRPr="001A06F7" w:rsidRDefault="00167656" w:rsidP="006C4CDD">
      <w:pPr>
        <w:pStyle w:val="a6"/>
        <w:numPr>
          <w:ilvl w:val="0"/>
          <w:numId w:val="10"/>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اعتماد اللغة العربية الفصحى في صياغة البنود لتسهيل فهمها على مختلف المستويات التعليمية والمهنية.</w:t>
      </w:r>
    </w:p>
    <w:p w14:paraId="196BA692" w14:textId="77777777" w:rsidR="00167656" w:rsidRPr="001A06F7" w:rsidRDefault="00167656" w:rsidP="006C4CDD">
      <w:pPr>
        <w:pStyle w:val="a6"/>
        <w:numPr>
          <w:ilvl w:val="0"/>
          <w:numId w:val="3"/>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مبررات اختيار الأداة</w:t>
      </w:r>
    </w:p>
    <w:p w14:paraId="51E1E42A" w14:textId="77777777" w:rsidR="00167656" w:rsidRPr="001A06F7" w:rsidRDefault="0016765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يستند اختيار الاستبانة كأداة رئيسة لجمع البيانات في هذه الدراسة إلى عدد من المبررات المنهجية والعلمية، أبرزها ما يأتي:</w:t>
      </w:r>
    </w:p>
    <w:p w14:paraId="61FAF0C7" w14:textId="77777777" w:rsidR="00167656" w:rsidRPr="001A06F7" w:rsidRDefault="00167656" w:rsidP="006C4CDD">
      <w:pPr>
        <w:pStyle w:val="a6"/>
        <w:numPr>
          <w:ilvl w:val="0"/>
          <w:numId w:val="4"/>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اتساقها مع طبيعة المنهج الوصفي التحليلي الذي يعتمد على قياس الاتجاهات والإدراكات الذاتية للمشاركين بصورة كمية ومنظمة.</w:t>
      </w:r>
    </w:p>
    <w:p w14:paraId="72F3F41B" w14:textId="77777777" w:rsidR="00167656" w:rsidRPr="001A06F7" w:rsidRDefault="00167656" w:rsidP="006C4CDD">
      <w:pPr>
        <w:pStyle w:val="a6"/>
        <w:numPr>
          <w:ilvl w:val="0"/>
          <w:numId w:val="4"/>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قدرتها على تغطية نطاق واسع من المتغيرات وجمع بيانات كمية دقيقة من عدد كبير من الأفراد ضمن فترة زمنية محدودة.</w:t>
      </w:r>
    </w:p>
    <w:p w14:paraId="13E8ACA4" w14:textId="77777777" w:rsidR="00167656" w:rsidRPr="001A06F7" w:rsidRDefault="00167656" w:rsidP="006C4CDD">
      <w:pPr>
        <w:pStyle w:val="a6"/>
        <w:numPr>
          <w:ilvl w:val="0"/>
          <w:numId w:val="4"/>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ملاءمتها للبيئة الميدانية للدراسة التي تتطلب جمع آراء العاملين بسرية ودون تدخل مباشر من الباحثة، مما يعزز موضوعية الإجابات.</w:t>
      </w:r>
    </w:p>
    <w:p w14:paraId="6033DA94" w14:textId="77777777" w:rsidR="00167656" w:rsidRPr="001A06F7" w:rsidRDefault="00167656" w:rsidP="006C4CDD">
      <w:pPr>
        <w:pStyle w:val="a6"/>
        <w:numPr>
          <w:ilvl w:val="0"/>
          <w:numId w:val="4"/>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سهولة تطبيقها وتحليلها باستخدام البرامج الإحصائية، بما يتيح اختبار العلاقات السببية والارتباطية بين المتغيرات.</w:t>
      </w:r>
    </w:p>
    <w:p w14:paraId="40555926" w14:textId="77777777" w:rsidR="00167656" w:rsidRPr="001A06F7" w:rsidRDefault="00167656" w:rsidP="006C4CDD">
      <w:pPr>
        <w:pStyle w:val="a6"/>
        <w:numPr>
          <w:ilvl w:val="0"/>
          <w:numId w:val="4"/>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إمكانية تعميم نتائجها نظرًا لتصميمها بطريقة منهجية تعتمد على عينات ممثلة وعبارات قياس معيارية.</w:t>
      </w:r>
    </w:p>
    <w:p w14:paraId="2549EA89" w14:textId="77777777" w:rsidR="00DF70FE" w:rsidRPr="001A06F7" w:rsidRDefault="00167656" w:rsidP="0086543C">
      <w:p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تُشكّل هذه الأداة الركيزة الأساسية التي استندت إليها الدراسة في جمع البيانات الميدانية وتحليلها إحصائيًا، بما يُسهم في اختبار فروض البحث، واستخلاص العلاقات السببية بين متغيراته الرئيسة، تمهيدًا لتحليلها في الفصل الرابع من الدراسة باستخدام برنامج (</w:t>
      </w:r>
      <w:r w:rsidRPr="001A06F7">
        <w:rPr>
          <w:rFonts w:ascii="Simplified Arabic" w:hAnsi="Simplified Arabic" w:cs="Simplified Arabic"/>
          <w:sz w:val="28"/>
          <w:szCs w:val="28"/>
        </w:rPr>
        <w:t>SPSS</w:t>
      </w:r>
      <w:r w:rsidRPr="001A06F7">
        <w:rPr>
          <w:rFonts w:ascii="Simplified Arabic" w:hAnsi="Simplified Arabic" w:cs="Simplified Arabic"/>
          <w:sz w:val="28"/>
          <w:szCs w:val="28"/>
          <w:rtl/>
        </w:rPr>
        <w:t>).</w:t>
      </w:r>
    </w:p>
    <w:p w14:paraId="1FB75A8B" w14:textId="77777777" w:rsidR="00597427" w:rsidRPr="002C5E33" w:rsidRDefault="00597427" w:rsidP="002C5E33">
      <w:pPr>
        <w:pStyle w:val="2"/>
        <w:rPr>
          <w:b w:val="0"/>
          <w:bCs/>
          <w:rtl/>
        </w:rPr>
      </w:pPr>
      <w:bookmarkStart w:id="42" w:name="_Toc235119052"/>
      <w:r w:rsidRPr="002C5E33">
        <w:rPr>
          <w:b w:val="0"/>
          <w:bCs/>
          <w:rtl/>
        </w:rPr>
        <w:t>صدق وثبات أداة الدراسة</w:t>
      </w:r>
      <w:bookmarkEnd w:id="42"/>
    </w:p>
    <w:p w14:paraId="581958FE" w14:textId="77777777" w:rsidR="00597427" w:rsidRPr="001A06F7" w:rsidRDefault="00597427"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يُعدّ التحقق من الصدق والثبات خطوة أساسية في ضمان جودة أدوات القياس في البحوث الميدانية، لما له من أهمية في التأكد من أن الأداة تُقيس فعليًا ما صُممت لقياسه، وأن نتائجها متسقة ومستقرة عند التطبيق في مواقف وأزمنة مختلفة (</w:t>
      </w:r>
      <w:r w:rsidRPr="001A06F7">
        <w:rPr>
          <w:rFonts w:ascii="Simplified Arabic" w:hAnsi="Simplified Arabic" w:cs="Simplified Arabic"/>
          <w:sz w:val="28"/>
          <w:szCs w:val="28"/>
        </w:rPr>
        <w:t xml:space="preserve">Field, </w:t>
      </w:r>
      <w:r w:rsidR="0089744B" w:rsidRPr="001A06F7">
        <w:rPr>
          <w:rFonts w:ascii="Simplified Arabic" w:hAnsi="Simplified Arabic" w:cs="Simplified Arabic"/>
          <w:sz w:val="28"/>
          <w:szCs w:val="28"/>
        </w:rPr>
        <w:t>2024</w:t>
      </w:r>
      <w:r w:rsidRPr="001A06F7">
        <w:rPr>
          <w:rFonts w:ascii="Simplified Arabic" w:hAnsi="Simplified Arabic" w:cs="Simplified Arabic"/>
          <w:sz w:val="28"/>
          <w:szCs w:val="28"/>
          <w:rtl/>
        </w:rPr>
        <w:t>).</w:t>
      </w:r>
    </w:p>
    <w:p w14:paraId="5F77E196" w14:textId="77777777" w:rsidR="00891197" w:rsidRDefault="00891197" w:rsidP="00E1091B">
      <w:pPr>
        <w:spacing w:line="240" w:lineRule="auto"/>
        <w:jc w:val="both"/>
        <w:rPr>
          <w:rFonts w:ascii="Simplified Arabic" w:hAnsi="Simplified Arabic" w:cs="Simplified Arabic"/>
          <w:b/>
          <w:bCs/>
          <w:sz w:val="28"/>
          <w:szCs w:val="28"/>
          <w:rtl/>
        </w:rPr>
      </w:pPr>
    </w:p>
    <w:p w14:paraId="1516251D" w14:textId="77777777" w:rsidR="00891197" w:rsidRDefault="00891197" w:rsidP="00E1091B">
      <w:pPr>
        <w:spacing w:line="240" w:lineRule="auto"/>
        <w:jc w:val="both"/>
        <w:rPr>
          <w:rFonts w:ascii="Simplified Arabic" w:hAnsi="Simplified Arabic" w:cs="Simplified Arabic"/>
          <w:b/>
          <w:bCs/>
          <w:sz w:val="28"/>
          <w:szCs w:val="28"/>
          <w:rtl/>
        </w:rPr>
      </w:pPr>
    </w:p>
    <w:p w14:paraId="0D9A996A" w14:textId="77777777" w:rsidR="00C767C5" w:rsidRPr="00E1091B" w:rsidRDefault="00597427" w:rsidP="00E1091B">
      <w:pPr>
        <w:spacing w:line="240" w:lineRule="auto"/>
        <w:jc w:val="both"/>
        <w:rPr>
          <w:rFonts w:ascii="Simplified Arabic" w:hAnsi="Simplified Arabic" w:cs="Simplified Arabic"/>
          <w:b/>
          <w:bCs/>
          <w:sz w:val="28"/>
          <w:szCs w:val="28"/>
        </w:rPr>
      </w:pPr>
      <w:r w:rsidRPr="00521B8D">
        <w:rPr>
          <w:rFonts w:ascii="Simplified Arabic" w:hAnsi="Simplified Arabic" w:cs="Simplified Arabic"/>
          <w:b/>
          <w:bCs/>
          <w:sz w:val="28"/>
          <w:szCs w:val="28"/>
          <w:rtl/>
        </w:rPr>
        <w:lastRenderedPageBreak/>
        <w:t xml:space="preserve">أولًا: صدق الأداة </w:t>
      </w:r>
    </w:p>
    <w:p w14:paraId="7EFC1CBE" w14:textId="77777777" w:rsidR="00C767C5" w:rsidRPr="0039717E" w:rsidRDefault="00C767C5" w:rsidP="0039717E">
      <w:pPr>
        <w:jc w:val="both"/>
        <w:rPr>
          <w:rFonts w:ascii="Simplified Arabic" w:hAnsi="Simplified Arabic" w:cs="Simplified Arabic"/>
          <w:sz w:val="28"/>
          <w:szCs w:val="28"/>
        </w:rPr>
      </w:pPr>
      <w:r w:rsidRPr="0039717E">
        <w:rPr>
          <w:rFonts w:ascii="Simplified Arabic" w:hAnsi="Simplified Arabic" w:cs="Simplified Arabic"/>
          <w:sz w:val="28"/>
          <w:szCs w:val="28"/>
          <w:rtl/>
        </w:rPr>
        <w:t>تم التحقق من صدق أداة الدراسة من خلال صدق المحتوى، وذلك بعرض الاستبانة في صورتها الأولية على مجموعة من المحكمين من ذوي الخبرة والاختصاص في مجال الإدارة والبحث العلمي، بهدف التأكد من مناسبة العبارات لمحاور الدراسة، ووضوح صياغتها، ومدى ارتباطها بالأبعاد التي تنتمي إليها. وفي ضوء ملاحظات المحكمين، أُجريت التعديلات اللازمة على بعض العبارات من حيث الصياغة والوضوح، بما أسهم في تحسين جودة الأداة وجعلها أكثر ملاءمة لقياس متغيرات الدراسة.</w:t>
      </w:r>
    </w:p>
    <w:p w14:paraId="28E7AFCB" w14:textId="77777777" w:rsidR="00597427" w:rsidRPr="001A06F7" w:rsidRDefault="00C767C5" w:rsidP="00792ACF">
      <w:pPr>
        <w:jc w:val="both"/>
        <w:rPr>
          <w:rFonts w:ascii="Simplified Arabic" w:hAnsi="Simplified Arabic" w:cs="Simplified Arabic"/>
          <w:sz w:val="28"/>
          <w:szCs w:val="28"/>
          <w:rtl/>
        </w:rPr>
      </w:pPr>
      <w:r w:rsidRPr="0039717E">
        <w:rPr>
          <w:rFonts w:ascii="Simplified Arabic" w:hAnsi="Simplified Arabic" w:cs="Simplified Arabic"/>
          <w:sz w:val="28"/>
          <w:szCs w:val="28"/>
          <w:rtl/>
        </w:rPr>
        <w:t>كما تم التحقق من الصدق البنائي للأداة من خلال مؤشرات الاتساق الداخلي، بالاعتماد على معاملات ارتباط الفقرة بالدرجة الكلية للمحور الذي تنتمي إليه. وقد أظهرت النتائج أن معاملات الارتباط المصححة بين الفقرات والدرجة الكلية كانت مرتفعة ومقبولة إحصائيًا؛ إذ تراوحت في محور أثر التحول الصحي بين (0.754–0.897)، وفي محور بيئة العمل النفسية المستدامة بين (0.662–0.865)، وفي محور رفاهية الموظفين بين (0.619–0.842)، وفي محور الاحتراق الوظيفي بين (0.686–0.895). وتشير هذه القيم إلى أن فقرات كل محور ترتبط بدرجة جيدة بالبُعد الذي تقيسه، مما يدعم صدق البناء الداخلي للأداة.</w:t>
      </w:r>
    </w:p>
    <w:p w14:paraId="5B4FC182" w14:textId="77777777" w:rsidR="00597427" w:rsidRPr="001A06F7" w:rsidRDefault="00597427" w:rsidP="00CB5D51">
      <w:pPr>
        <w:spacing w:line="240" w:lineRule="auto"/>
        <w:jc w:val="both"/>
        <w:rPr>
          <w:rFonts w:ascii="Simplified Arabic" w:hAnsi="Simplified Arabic" w:cs="Simplified Arabic"/>
          <w:b/>
          <w:bCs/>
          <w:sz w:val="28"/>
          <w:szCs w:val="28"/>
          <w:rtl/>
        </w:rPr>
      </w:pPr>
      <w:r w:rsidRPr="00521B8D">
        <w:rPr>
          <w:rFonts w:ascii="Simplified Arabic" w:hAnsi="Simplified Arabic" w:cs="Simplified Arabic"/>
          <w:b/>
          <w:bCs/>
          <w:sz w:val="28"/>
          <w:szCs w:val="28"/>
          <w:rtl/>
        </w:rPr>
        <w:t>ثانيًا: ثبات الأداة</w:t>
      </w:r>
    </w:p>
    <w:p w14:paraId="1DBF6C00" w14:textId="77777777" w:rsidR="00252D6C" w:rsidRDefault="00252D6C" w:rsidP="00252D6C">
      <w:pPr>
        <w:spacing w:line="240" w:lineRule="auto"/>
        <w:jc w:val="both"/>
        <w:rPr>
          <w:rFonts w:ascii="Simplified Arabic" w:hAnsi="Simplified Arabic" w:cs="Simplified Arabic"/>
          <w:sz w:val="28"/>
          <w:szCs w:val="28"/>
        </w:rPr>
      </w:pPr>
      <w:r>
        <w:rPr>
          <w:rFonts w:ascii="Simplified Arabic" w:hAnsi="Simplified Arabic" w:cs="Simplified Arabic"/>
          <w:sz w:val="28"/>
          <w:szCs w:val="28"/>
          <w:rtl/>
        </w:rPr>
        <w:t>تم قياس ثبات أداة الدراسة باستخدام معامل كرونباخ ألفا (</w:t>
      </w:r>
      <w:r>
        <w:rPr>
          <w:rFonts w:ascii="Simplified Arabic" w:hAnsi="Simplified Arabic" w:cs="Simplified Arabic"/>
          <w:sz w:val="28"/>
          <w:szCs w:val="28"/>
        </w:rPr>
        <w:t>Cronbach’s Alpha</w:t>
      </w:r>
      <w:r>
        <w:rPr>
          <w:rFonts w:ascii="Simplified Arabic" w:hAnsi="Simplified Arabic" w:cs="Simplified Arabic"/>
          <w:sz w:val="28"/>
          <w:szCs w:val="28"/>
          <w:rtl/>
        </w:rPr>
        <w:t>)، وذلك لقياس درجة الاتساق الداخلي بين فقرات كل محور من محاور الاستبانة. وقد تم تطبيق التحليل على عينة الدراسة البالغ عددها (384) مفردة، دون وجود حالات مستبعدة في تحليل الثبات. وأظهرت النتائج أن جميع معاملات الثبات جاءت مرتفعة، مما يدل على أن الأداة تتمتع بدرجة عالية من الاعتمادية والاتساق الداخلي. فقد بلغ معامل كرونباخ ألفا لمحور أثر التحول الصحي (0.958)، ولمحور بيئة العمل النفسية المستدامة (0.946)، ولمحور رفاهية الموظفين (0.932)، ولمحور الاحتراق الوظيفي (0.959)، بينما بلغ معامل الثبات الكلي للأداة (0.896)، وهي جميعها قيم تتجاوز الحد المقبول إحصائيًا والبالغ عادة (0.70). وتؤكد هذه النتائج أن أداة الدراسة مناسبة للاستخدام في جمع البيانات وتحليلها، وأن نتائجها يمكن الاعتماد عليها في اختبار فرضيات الدراسة والإجابة عن تساؤلاتها.</w:t>
      </w:r>
    </w:p>
    <w:p w14:paraId="539EF252" w14:textId="77777777" w:rsidR="00252D6C" w:rsidRDefault="00252D6C" w:rsidP="00CB5D51">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جدول</w:t>
      </w:r>
      <w:r w:rsidR="00E20A0A">
        <w:rPr>
          <w:rFonts w:ascii="Simplified Arabic" w:hAnsi="Simplified Arabic" w:cs="Simplified Arabic" w:hint="cs"/>
          <w:sz w:val="28"/>
          <w:szCs w:val="28"/>
          <w:rtl/>
        </w:rPr>
        <w:t xml:space="preserve"> (</w:t>
      </w:r>
      <w:r w:rsidR="0047067B">
        <w:rPr>
          <w:rFonts w:ascii="Simplified Arabic" w:hAnsi="Simplified Arabic" w:cs="Simplified Arabic" w:hint="cs"/>
          <w:sz w:val="28"/>
          <w:szCs w:val="28"/>
          <w:rtl/>
        </w:rPr>
        <w:t>3-1</w:t>
      </w:r>
      <w:r w:rsidR="00E20A0A">
        <w:rPr>
          <w:rFonts w:ascii="Simplified Arabic" w:hAnsi="Simplified Arabic" w:cs="Simplified Arabic" w:hint="cs"/>
          <w:sz w:val="28"/>
          <w:szCs w:val="28"/>
          <w:rtl/>
        </w:rPr>
        <w:t>)</w:t>
      </w:r>
      <w:r>
        <w:rPr>
          <w:rFonts w:ascii="Simplified Arabic" w:hAnsi="Simplified Arabic" w:cs="Simplified Arabic"/>
          <w:sz w:val="28"/>
          <w:szCs w:val="28"/>
          <w:rtl/>
        </w:rPr>
        <w:t>: معاملات الثبات لمحاور أداة الدراسة</w:t>
      </w:r>
    </w:p>
    <w:tbl>
      <w:tblPr>
        <w:tblStyle w:val="10"/>
        <w:bidiVisual/>
        <w:tblW w:w="5000" w:type="pct"/>
        <w:tblLook w:val="0660" w:firstRow="1" w:lastRow="1" w:firstColumn="0" w:lastColumn="0" w:noHBand="1" w:noVBand="1"/>
      </w:tblPr>
      <w:tblGrid>
        <w:gridCol w:w="4124"/>
        <w:gridCol w:w="1947"/>
        <w:gridCol w:w="2945"/>
      </w:tblGrid>
      <w:tr w:rsidR="00632919" w14:paraId="6F8FDF52" w14:textId="77777777" w:rsidTr="00A05E2A">
        <w:trPr>
          <w:cnfStyle w:val="100000000000" w:firstRow="1" w:lastRow="0" w:firstColumn="0" w:lastColumn="0" w:oddVBand="0" w:evenVBand="0" w:oddHBand="0" w:evenHBand="0" w:firstRowFirstColumn="0" w:firstRowLastColumn="0" w:lastRowFirstColumn="0" w:lastRowLastColumn="0"/>
          <w:trHeight w:val="480"/>
        </w:trPr>
        <w:tc>
          <w:tcPr>
            <w:tcW w:w="2287" w:type="pct"/>
            <w:vAlign w:val="center"/>
            <w:hideMark/>
          </w:tcPr>
          <w:p w14:paraId="13C32815" w14:textId="77777777" w:rsidR="00632919" w:rsidRDefault="00632919" w:rsidP="009231B5">
            <w:pPr>
              <w:jc w:val="center"/>
              <w:rPr>
                <w:rFonts w:ascii="Simplified Arabic" w:eastAsia="Times New Roman" w:hAnsi="Simplified Arabic" w:cs="Simplified Arabic"/>
                <w:color w:val="000000"/>
                <w:kern w:val="0"/>
                <w:sz w:val="28"/>
                <w:szCs w:val="28"/>
                <w14:ligatures w14:val="none"/>
              </w:rPr>
            </w:pPr>
            <w:r>
              <w:rPr>
                <w:rFonts w:ascii="Simplified Arabic" w:eastAsia="Times New Roman" w:hAnsi="Simplified Arabic" w:cs="Simplified Arabic" w:hint="cs"/>
                <w:color w:val="000000"/>
                <w:sz w:val="28"/>
                <w:szCs w:val="28"/>
                <w:rtl/>
              </w:rPr>
              <w:t>المحور</w:t>
            </w:r>
          </w:p>
        </w:tc>
        <w:tc>
          <w:tcPr>
            <w:tcW w:w="1080" w:type="pct"/>
            <w:vAlign w:val="center"/>
            <w:hideMark/>
          </w:tcPr>
          <w:p w14:paraId="40E55D82"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عدد الفقرات</w:t>
            </w:r>
          </w:p>
        </w:tc>
        <w:tc>
          <w:tcPr>
            <w:tcW w:w="1633" w:type="pct"/>
            <w:vAlign w:val="center"/>
            <w:hideMark/>
          </w:tcPr>
          <w:p w14:paraId="3A4120B0"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معامل كرونباخ ألفا</w:t>
            </w:r>
          </w:p>
        </w:tc>
      </w:tr>
      <w:tr w:rsidR="00632919" w14:paraId="44454C57" w14:textId="77777777" w:rsidTr="00A05E2A">
        <w:trPr>
          <w:trHeight w:val="480"/>
        </w:trPr>
        <w:tc>
          <w:tcPr>
            <w:tcW w:w="2287" w:type="pct"/>
            <w:vAlign w:val="center"/>
            <w:hideMark/>
          </w:tcPr>
          <w:p w14:paraId="7D772F64" w14:textId="77777777" w:rsidR="00632919" w:rsidRDefault="00632919" w:rsidP="009231B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أثر التحول الصحي</w:t>
            </w:r>
          </w:p>
        </w:tc>
        <w:tc>
          <w:tcPr>
            <w:tcW w:w="1080" w:type="pct"/>
            <w:vAlign w:val="center"/>
            <w:hideMark/>
          </w:tcPr>
          <w:p w14:paraId="60621107"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1633" w:type="pct"/>
            <w:vAlign w:val="center"/>
            <w:hideMark/>
          </w:tcPr>
          <w:p w14:paraId="2D342391"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0.958</w:t>
            </w:r>
          </w:p>
        </w:tc>
      </w:tr>
      <w:tr w:rsidR="00632919" w14:paraId="19B25286" w14:textId="77777777" w:rsidTr="00A05E2A">
        <w:trPr>
          <w:trHeight w:val="480"/>
        </w:trPr>
        <w:tc>
          <w:tcPr>
            <w:tcW w:w="2287" w:type="pct"/>
            <w:vAlign w:val="center"/>
            <w:hideMark/>
          </w:tcPr>
          <w:p w14:paraId="318E7734" w14:textId="77777777" w:rsidR="00632919" w:rsidRDefault="00632919" w:rsidP="009231B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بيئة العمل النفسية المستدامة</w:t>
            </w:r>
          </w:p>
        </w:tc>
        <w:tc>
          <w:tcPr>
            <w:tcW w:w="1080" w:type="pct"/>
            <w:vAlign w:val="center"/>
            <w:hideMark/>
          </w:tcPr>
          <w:p w14:paraId="417FD850"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1633" w:type="pct"/>
            <w:vAlign w:val="center"/>
            <w:hideMark/>
          </w:tcPr>
          <w:p w14:paraId="609A4768"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0.946</w:t>
            </w:r>
          </w:p>
        </w:tc>
      </w:tr>
      <w:tr w:rsidR="00632919" w14:paraId="1E388238" w14:textId="77777777" w:rsidTr="00A05E2A">
        <w:trPr>
          <w:trHeight w:val="480"/>
        </w:trPr>
        <w:tc>
          <w:tcPr>
            <w:tcW w:w="2287" w:type="pct"/>
            <w:vAlign w:val="center"/>
            <w:hideMark/>
          </w:tcPr>
          <w:p w14:paraId="6914AE2D" w14:textId="77777777" w:rsidR="00632919" w:rsidRDefault="00632919" w:rsidP="009231B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lastRenderedPageBreak/>
              <w:t>رفاهية الموظفين</w:t>
            </w:r>
          </w:p>
        </w:tc>
        <w:tc>
          <w:tcPr>
            <w:tcW w:w="1080" w:type="pct"/>
            <w:vAlign w:val="center"/>
            <w:hideMark/>
          </w:tcPr>
          <w:p w14:paraId="596AE9D6"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1633" w:type="pct"/>
            <w:vAlign w:val="center"/>
            <w:hideMark/>
          </w:tcPr>
          <w:p w14:paraId="75998963"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0.932</w:t>
            </w:r>
          </w:p>
        </w:tc>
      </w:tr>
      <w:tr w:rsidR="00632919" w14:paraId="76A123ED" w14:textId="77777777" w:rsidTr="00A05E2A">
        <w:trPr>
          <w:trHeight w:val="480"/>
        </w:trPr>
        <w:tc>
          <w:tcPr>
            <w:tcW w:w="2287" w:type="pct"/>
            <w:vAlign w:val="center"/>
            <w:hideMark/>
          </w:tcPr>
          <w:p w14:paraId="78E85D5B" w14:textId="77777777" w:rsidR="00632919" w:rsidRDefault="00632919" w:rsidP="009231B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الاحتراق الوظيفي</w:t>
            </w:r>
          </w:p>
        </w:tc>
        <w:tc>
          <w:tcPr>
            <w:tcW w:w="1080" w:type="pct"/>
            <w:vAlign w:val="center"/>
            <w:hideMark/>
          </w:tcPr>
          <w:p w14:paraId="0552630C"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1633" w:type="pct"/>
            <w:vAlign w:val="center"/>
            <w:hideMark/>
          </w:tcPr>
          <w:p w14:paraId="44AE87EB"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0.959</w:t>
            </w:r>
          </w:p>
        </w:tc>
      </w:tr>
      <w:tr w:rsidR="00632919" w14:paraId="16F321AF" w14:textId="77777777" w:rsidTr="00A05E2A">
        <w:trPr>
          <w:cnfStyle w:val="010000000000" w:firstRow="0" w:lastRow="1" w:firstColumn="0" w:lastColumn="0" w:oddVBand="0" w:evenVBand="0" w:oddHBand="0" w:evenHBand="0" w:firstRowFirstColumn="0" w:firstRowLastColumn="0" w:lastRowFirstColumn="0" w:lastRowLastColumn="0"/>
          <w:trHeight w:val="480"/>
        </w:trPr>
        <w:tc>
          <w:tcPr>
            <w:tcW w:w="2287" w:type="pct"/>
            <w:vAlign w:val="center"/>
            <w:hideMark/>
          </w:tcPr>
          <w:p w14:paraId="1EEC27F9" w14:textId="77777777" w:rsidR="00632919" w:rsidRDefault="00632919" w:rsidP="009231B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الأداة ككل</w:t>
            </w:r>
          </w:p>
        </w:tc>
        <w:tc>
          <w:tcPr>
            <w:tcW w:w="1080" w:type="pct"/>
            <w:vAlign w:val="center"/>
            <w:hideMark/>
          </w:tcPr>
          <w:p w14:paraId="64C62C15"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w:t>
            </w:r>
          </w:p>
        </w:tc>
        <w:tc>
          <w:tcPr>
            <w:tcW w:w="1633" w:type="pct"/>
            <w:vAlign w:val="center"/>
            <w:hideMark/>
          </w:tcPr>
          <w:p w14:paraId="21961D6A" w14:textId="77777777" w:rsidR="00632919" w:rsidRDefault="00632919" w:rsidP="009231B5">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0.896</w:t>
            </w:r>
          </w:p>
        </w:tc>
      </w:tr>
    </w:tbl>
    <w:p w14:paraId="085FF691" w14:textId="77777777" w:rsidR="00A61A27" w:rsidRPr="00CC3F30" w:rsidRDefault="0089331B" w:rsidP="000663CD">
      <w:pPr>
        <w:spacing w:before="40" w:after="120"/>
        <w:rPr>
          <w:rFonts w:ascii="Simplified Arabic" w:hAnsi="Simplified Arabic" w:cs="Simplified Arabic"/>
          <w:sz w:val="22"/>
          <w:szCs w:val="22"/>
        </w:rPr>
      </w:pPr>
      <w:r w:rsidRPr="00CC3F30">
        <w:rPr>
          <w:rFonts w:ascii="Simplified Arabic" w:hAnsi="Simplified Arabic" w:cs="Simplified Arabic"/>
          <w:i/>
          <w:sz w:val="22"/>
          <w:szCs w:val="22"/>
          <w:rtl/>
        </w:rPr>
        <w:t>المصدر: إعداد الباحثة استناداً إلى مخرجات التحليل الإحصائي لبيانات الدراسة الميدانية باستخدام برنامج SPSS.</w:t>
      </w:r>
    </w:p>
    <w:p w14:paraId="6482D0CC" w14:textId="77777777" w:rsidR="00252D6C" w:rsidRPr="001A06F7" w:rsidRDefault="00A05E2A" w:rsidP="000C5D98">
      <w:pPr>
        <w:spacing w:before="240" w:line="240" w:lineRule="auto"/>
        <w:jc w:val="both"/>
        <w:rPr>
          <w:rFonts w:ascii="Simplified Arabic" w:hAnsi="Simplified Arabic" w:cs="Simplified Arabic"/>
          <w:sz w:val="28"/>
          <w:szCs w:val="28"/>
        </w:rPr>
      </w:pPr>
      <w:r>
        <w:rPr>
          <w:rFonts w:ascii="Simplified Arabic" w:hAnsi="Simplified Arabic" w:cs="Simplified Arabic"/>
          <w:sz w:val="28"/>
          <w:szCs w:val="28"/>
          <w:rtl/>
        </w:rPr>
        <w:t>بناءً على ما سبق، يمكن القول إن أداة الدراسة تتمتع بمؤشرات جيدة من الصدق والثبات، حيث أظهرت فقراتها اتساقًا داخليًا واضحًا، كما جاءت معاملات كرونباخ ألفا مرتفعة في جميع المحاور، الأمر الذي يعزز صلاحية الأداة للتطبيق على عينة الدراسة وتحقيق أهداف البحث.</w:t>
      </w:r>
    </w:p>
    <w:p w14:paraId="0990FDD3" w14:textId="77777777" w:rsidR="000517F6" w:rsidRPr="000C5D98" w:rsidRDefault="000517F6" w:rsidP="000C5D98">
      <w:pPr>
        <w:pStyle w:val="2"/>
        <w:rPr>
          <w:b w:val="0"/>
          <w:bCs/>
          <w:rtl/>
        </w:rPr>
      </w:pPr>
      <w:bookmarkStart w:id="43" w:name="_Toc235119053"/>
      <w:r w:rsidRPr="000C5D98">
        <w:rPr>
          <w:b w:val="0"/>
          <w:bCs/>
          <w:rtl/>
        </w:rPr>
        <w:t>متغيرات الدراسة وكيفية قياسها</w:t>
      </w:r>
      <w:bookmarkEnd w:id="43"/>
    </w:p>
    <w:p w14:paraId="1A6647B8" w14:textId="77777777" w:rsidR="000517F6" w:rsidRPr="001A06F7" w:rsidRDefault="000517F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تتناول الدراسة الحالية أربعة متغيرات رئيسة مترابطة، وهي: التحول الصحي (المتغير المستقل)، بيئة العمل النفسية المستدامة (متغير تابع جزئي)، رفاهية الموظفين (المتغير الوسيط)، والاحتراق الوظيفي (المتغير التابع النهائي). تم تحديد هذه المتغيرات استنادًا إلى الإطار النظري والدراسات السابقة، وتم تطوير أدوات قياسها بما يتناسب مع طبيعة البيئة السعودية في القطاع الصحي الحكومي.</w:t>
      </w:r>
    </w:p>
    <w:p w14:paraId="60DA1CEF" w14:textId="77777777" w:rsidR="000517F6" w:rsidRPr="001A06F7" w:rsidRDefault="000517F6"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أولًا: المتغير المستقل – التحول الصحي</w:t>
      </w:r>
    </w:p>
    <w:p w14:paraId="2A94D46B"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التعريف المفاهيمي:</w:t>
      </w:r>
    </w:p>
    <w:p w14:paraId="2AA5CD50" w14:textId="77777777" w:rsidR="000517F6" w:rsidRPr="001A06F7" w:rsidRDefault="000517F6" w:rsidP="00FF0861">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يُ</w:t>
      </w:r>
      <w:r w:rsidR="0023756D" w:rsidRPr="001A06F7">
        <w:rPr>
          <w:rFonts w:ascii="Simplified Arabic" w:hAnsi="Simplified Arabic" w:cs="Simplified Arabic"/>
          <w:sz w:val="28"/>
          <w:szCs w:val="28"/>
          <w:rtl/>
        </w:rPr>
        <w:t>يُشير مفهوم التحول الصحي إلى عملية تطوير شاملة للنظام الصحي تهدف إلى رفع كفاءة الأداء، وتحسين جودة الخدمات المقدمة، وتعزيز الاستدامة والحوكمة من خلال التحول الرقمي وتبني الابتكار، بما يتماشى مع أهداف رؤية المملكة العربية السعودية 2030 .</w:t>
      </w:r>
    </w:p>
    <w:p w14:paraId="35C231A2"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القياس الإجرائي:</w:t>
      </w:r>
    </w:p>
    <w:p w14:paraId="75F6D6D6" w14:textId="77777777" w:rsidR="007E3FAC" w:rsidRPr="001A06F7" w:rsidRDefault="00D47240" w:rsidP="007E3FAC">
      <w:pPr>
        <w:spacing w:line="240" w:lineRule="auto"/>
        <w:ind w:left="360"/>
        <w:jc w:val="both"/>
        <w:rPr>
          <w:rFonts w:ascii="Simplified Arabic" w:hAnsi="Simplified Arabic" w:cs="Simplified Arabic"/>
          <w:sz w:val="28"/>
          <w:szCs w:val="28"/>
        </w:rPr>
      </w:pPr>
      <w:r w:rsidRPr="001A06F7">
        <w:rPr>
          <w:rFonts w:ascii="Simplified Arabic" w:hAnsi="Simplified Arabic" w:cs="Simplified Arabic"/>
          <w:sz w:val="28"/>
          <w:szCs w:val="28"/>
          <w:rtl/>
        </w:rPr>
        <w:t>تم قياس التحول الصحي من خلال ثماني عبارات أُعدّت لقياس إدراك العاملين لمستوى تطبيق مبادرات التحول الصحي في مؤسساتهم الحكومية. وقد صُممت الفقرات بالاعتماد على أدبيات التحول التنظيمي والرعاية الصحية الحديثة (</w:t>
      </w:r>
      <w:r w:rsidRPr="001A06F7">
        <w:rPr>
          <w:rFonts w:ascii="Simplified Arabic" w:hAnsi="Simplified Arabic" w:cs="Simplified Arabic"/>
          <w:sz w:val="28"/>
          <w:szCs w:val="28"/>
        </w:rPr>
        <w:t>Alasiri &amp; Mohammed, 2022</w:t>
      </w:r>
      <w:r w:rsidRPr="001A06F7">
        <w:rPr>
          <w:rFonts w:ascii="Simplified Arabic" w:hAnsi="Simplified Arabic" w:cs="Simplified Arabic"/>
          <w:sz w:val="28"/>
          <w:szCs w:val="28"/>
          <w:rtl/>
        </w:rPr>
        <w:t xml:space="preserve"> ؛ </w:t>
      </w:r>
      <w:r w:rsidRPr="001A06F7">
        <w:rPr>
          <w:rFonts w:ascii="Simplified Arabic" w:hAnsi="Simplified Arabic" w:cs="Simplified Arabic"/>
          <w:sz w:val="28"/>
          <w:szCs w:val="28"/>
        </w:rPr>
        <w:t>Alharbi, 2017</w:t>
      </w:r>
      <w:r w:rsidRPr="001A06F7">
        <w:rPr>
          <w:rFonts w:ascii="Simplified Arabic" w:hAnsi="Simplified Arabic" w:cs="Simplified Arabic"/>
          <w:sz w:val="28"/>
          <w:szCs w:val="28"/>
          <w:rtl/>
        </w:rPr>
        <w:t>)، وتشمل أبعادًا مثل:</w:t>
      </w:r>
    </w:p>
    <w:p w14:paraId="199CB86B" w14:textId="77777777" w:rsidR="007E3FAC" w:rsidRPr="001A06F7" w:rsidRDefault="000517F6" w:rsidP="006C4CDD">
      <w:pPr>
        <w:pStyle w:val="a6"/>
        <w:numPr>
          <w:ilvl w:val="0"/>
          <w:numId w:val="5"/>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جودة الخدمات الصحية.</w:t>
      </w:r>
    </w:p>
    <w:p w14:paraId="2C5BB145" w14:textId="77777777" w:rsidR="007E3FAC" w:rsidRPr="001A06F7" w:rsidRDefault="000517F6" w:rsidP="006C4CDD">
      <w:pPr>
        <w:pStyle w:val="a6"/>
        <w:numPr>
          <w:ilvl w:val="0"/>
          <w:numId w:val="5"/>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الكفاءة التشغيلية.</w:t>
      </w:r>
    </w:p>
    <w:p w14:paraId="54AC7A15" w14:textId="77777777" w:rsidR="007E3FAC" w:rsidRPr="001A06F7" w:rsidRDefault="000517F6" w:rsidP="006C4CDD">
      <w:pPr>
        <w:pStyle w:val="a6"/>
        <w:numPr>
          <w:ilvl w:val="0"/>
          <w:numId w:val="5"/>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التحول الرقمي.</w:t>
      </w:r>
    </w:p>
    <w:p w14:paraId="77D4658C" w14:textId="77777777" w:rsidR="007E3FAC" w:rsidRPr="001A06F7" w:rsidRDefault="000517F6" w:rsidP="006C4CDD">
      <w:pPr>
        <w:pStyle w:val="a6"/>
        <w:numPr>
          <w:ilvl w:val="0"/>
          <w:numId w:val="5"/>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lastRenderedPageBreak/>
        <w:t>الحوكمة والشفافية.</w:t>
      </w:r>
    </w:p>
    <w:p w14:paraId="2A48979C" w14:textId="77777777" w:rsidR="007E3FAC" w:rsidRPr="001A06F7" w:rsidRDefault="000517F6" w:rsidP="006C4CDD">
      <w:pPr>
        <w:pStyle w:val="a6"/>
        <w:numPr>
          <w:ilvl w:val="0"/>
          <w:numId w:val="5"/>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ثقافة الابتكار.</w:t>
      </w:r>
    </w:p>
    <w:p w14:paraId="3DECF6CA" w14:textId="77777777" w:rsidR="000517F6" w:rsidRPr="001A06F7" w:rsidRDefault="000517F6" w:rsidP="006C4CDD">
      <w:pPr>
        <w:pStyle w:val="a6"/>
        <w:numPr>
          <w:ilvl w:val="0"/>
          <w:numId w:val="5"/>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دعم الإدارة العليا لمبادرات التغيير.</w:t>
      </w:r>
    </w:p>
    <w:p w14:paraId="46C48949" w14:textId="77777777" w:rsidR="000517F6" w:rsidRPr="001A06F7" w:rsidRDefault="000517F6" w:rsidP="00FE21DC">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جميع العبارات قُيِّمت وفق مقياس ليكرت الخماسي بدرجات تتراوح من (1 = لا أوافق بشدة) إلى (5 = أوافق بشدة).</w:t>
      </w:r>
    </w:p>
    <w:p w14:paraId="7CD3908E" w14:textId="77777777" w:rsidR="000517F6" w:rsidRPr="001A06F7" w:rsidRDefault="000517F6"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ثانيًا: المتغير التابع الأول – بيئة العمل النفسية المستدامة</w:t>
      </w:r>
    </w:p>
    <w:p w14:paraId="5B5D8C06"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التعريف المفاهيمي:</w:t>
      </w:r>
    </w:p>
    <w:p w14:paraId="2ED1A65C" w14:textId="77777777" w:rsidR="000517F6" w:rsidRPr="001A06F7" w:rsidRDefault="0029528F" w:rsidP="00F173DD">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تُعرّف بيئة العمل النفسية المستدامة بأنها المناخ التنظيمي الذي يوفّر للعاملين الأمان النفسي، والدعم الاجتماعي، والعدالة التنظيمية، وفرص المشاركة في اتخاذ القرار، بما يُسهم في تعزيز رفاههم واستقرارهم المهني.</w:t>
      </w:r>
    </w:p>
    <w:p w14:paraId="3BE7EBA4"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القياس الإجرائي:</w:t>
      </w:r>
    </w:p>
    <w:p w14:paraId="4B47D2B6" w14:textId="77777777" w:rsidR="000517F6" w:rsidRPr="001A06F7" w:rsidRDefault="000517F6" w:rsidP="00F173DD">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تم قياس هذا المتغير من خلال ثماني عبارات في الاستبانة تُغطي الجوانب التالية:</w:t>
      </w:r>
    </w:p>
    <w:p w14:paraId="1D6B6BAF" w14:textId="77777777" w:rsidR="00A0778C" w:rsidRPr="001A06F7" w:rsidRDefault="00A0778C" w:rsidP="006C4CDD">
      <w:pPr>
        <w:pStyle w:val="a6"/>
        <w:numPr>
          <w:ilvl w:val="0"/>
          <w:numId w:val="6"/>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الأمان النفسي في العمل.</w:t>
      </w:r>
    </w:p>
    <w:p w14:paraId="3D0ECAB4" w14:textId="77777777" w:rsidR="00A0778C" w:rsidRPr="001A06F7" w:rsidRDefault="00A0778C" w:rsidP="006C4CDD">
      <w:pPr>
        <w:pStyle w:val="a6"/>
        <w:numPr>
          <w:ilvl w:val="0"/>
          <w:numId w:val="6"/>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العدالة في السياسات التنظيمية.</w:t>
      </w:r>
    </w:p>
    <w:p w14:paraId="7B8322B8" w14:textId="77777777" w:rsidR="00A0778C" w:rsidRPr="001A06F7" w:rsidRDefault="00A0778C" w:rsidP="006C4CDD">
      <w:pPr>
        <w:pStyle w:val="a6"/>
        <w:numPr>
          <w:ilvl w:val="0"/>
          <w:numId w:val="6"/>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العلاقات الإيجابية بين الزملاء.</w:t>
      </w:r>
    </w:p>
    <w:p w14:paraId="70D7EA0C" w14:textId="77777777" w:rsidR="00A0778C" w:rsidRPr="001A06F7" w:rsidRDefault="00A0778C" w:rsidP="006C4CDD">
      <w:pPr>
        <w:pStyle w:val="a6"/>
        <w:numPr>
          <w:ilvl w:val="0"/>
          <w:numId w:val="6"/>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الدعم من المشرفين والإدارة.</w:t>
      </w:r>
    </w:p>
    <w:p w14:paraId="263ABC48" w14:textId="77777777" w:rsidR="00A0778C" w:rsidRPr="001A06F7" w:rsidRDefault="00A0778C" w:rsidP="006C4CDD">
      <w:pPr>
        <w:pStyle w:val="a6"/>
        <w:numPr>
          <w:ilvl w:val="0"/>
          <w:numId w:val="6"/>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التعاون والمشاركة في اتخاذ القرار.</w:t>
      </w:r>
    </w:p>
    <w:p w14:paraId="3655DB9E" w14:textId="77777777" w:rsidR="000517F6" w:rsidRPr="001A06F7" w:rsidRDefault="000517F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قُيِّمت جميع البنود باستخدام مقياس ليكرت الخماسي، وتُمثل متوسطاتها مؤشرات كمية لمدى توافر البيئة النفسية المستدامة كما يُدركها المشاركون.</w:t>
      </w:r>
    </w:p>
    <w:p w14:paraId="16D6FE7D" w14:textId="77777777" w:rsidR="000517F6" w:rsidRPr="001A06F7" w:rsidRDefault="000517F6"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ثالثًا: المتغير الوسيط – رفاهية الموظفين</w:t>
      </w:r>
    </w:p>
    <w:p w14:paraId="50EDBCD4"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التعريف المفاهيمي:</w:t>
      </w:r>
    </w:p>
    <w:p w14:paraId="4B71EC6E" w14:textId="77777777" w:rsidR="000517F6" w:rsidRPr="001A06F7" w:rsidRDefault="000517F6" w:rsidP="005705DC">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تُعرّف رفاهية الموظفين (</w:t>
      </w:r>
      <w:r w:rsidRPr="001A06F7">
        <w:rPr>
          <w:rFonts w:ascii="Simplified Arabic" w:hAnsi="Simplified Arabic" w:cs="Simplified Arabic"/>
          <w:sz w:val="28"/>
          <w:szCs w:val="28"/>
        </w:rPr>
        <w:t>Employee Well-being</w:t>
      </w:r>
      <w:r w:rsidRPr="001A06F7">
        <w:rPr>
          <w:rFonts w:ascii="Simplified Arabic" w:hAnsi="Simplified Arabic" w:cs="Simplified Arabic"/>
          <w:sz w:val="28"/>
          <w:szCs w:val="28"/>
          <w:rtl/>
        </w:rPr>
        <w:t>) بأنها حالة من التوازن النفسي والاجتماعي والجسدي تُمكّن الفرد من أداء عمله بكفاءة، والشعور بالرضا والانسجام بين متطلبات العمل وحياته الخاصة (</w:t>
      </w:r>
      <w:r w:rsidRPr="001A06F7">
        <w:rPr>
          <w:rFonts w:ascii="Simplified Arabic" w:hAnsi="Simplified Arabic" w:cs="Simplified Arabic"/>
          <w:sz w:val="28"/>
          <w:szCs w:val="28"/>
        </w:rPr>
        <w:t>Page &amp; Vella-Brodrick, 2009</w:t>
      </w:r>
      <w:r w:rsidRPr="001A06F7">
        <w:rPr>
          <w:rFonts w:ascii="Simplified Arabic" w:hAnsi="Simplified Arabic" w:cs="Simplified Arabic"/>
          <w:sz w:val="28"/>
          <w:szCs w:val="28"/>
          <w:rtl/>
        </w:rPr>
        <w:t xml:space="preserve">؛ </w:t>
      </w:r>
      <w:r w:rsidRPr="001A06F7">
        <w:rPr>
          <w:rFonts w:ascii="Simplified Arabic" w:hAnsi="Simplified Arabic" w:cs="Simplified Arabic"/>
          <w:sz w:val="28"/>
          <w:szCs w:val="28"/>
        </w:rPr>
        <w:t xml:space="preserve">Robertson &amp; Cooper, </w:t>
      </w:r>
      <w:r w:rsidR="00C102A6" w:rsidRPr="001A06F7">
        <w:rPr>
          <w:rFonts w:ascii="Simplified Arabic" w:hAnsi="Simplified Arabic" w:cs="Simplified Arabic"/>
          <w:sz w:val="28"/>
          <w:szCs w:val="28"/>
        </w:rPr>
        <w:t>2011</w:t>
      </w:r>
      <w:r w:rsidRPr="001A06F7">
        <w:rPr>
          <w:rFonts w:ascii="Simplified Arabic" w:hAnsi="Simplified Arabic" w:cs="Simplified Arabic"/>
          <w:sz w:val="28"/>
          <w:szCs w:val="28"/>
          <w:rtl/>
        </w:rPr>
        <w:t>).</w:t>
      </w:r>
    </w:p>
    <w:p w14:paraId="6C880283"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القياس الإجرائي:</w:t>
      </w:r>
    </w:p>
    <w:p w14:paraId="38D55187" w14:textId="77777777" w:rsidR="001B7161" w:rsidRPr="001A06F7" w:rsidRDefault="000517F6" w:rsidP="00161DBA">
      <w:pPr>
        <w:spacing w:line="240" w:lineRule="auto"/>
        <w:ind w:left="360"/>
        <w:jc w:val="both"/>
        <w:rPr>
          <w:rFonts w:ascii="Simplified Arabic" w:hAnsi="Simplified Arabic" w:cs="Simplified Arabic"/>
          <w:sz w:val="28"/>
          <w:szCs w:val="28"/>
        </w:rPr>
      </w:pPr>
      <w:r w:rsidRPr="001A06F7">
        <w:rPr>
          <w:rFonts w:ascii="Simplified Arabic" w:hAnsi="Simplified Arabic" w:cs="Simplified Arabic"/>
          <w:sz w:val="28"/>
          <w:szCs w:val="28"/>
          <w:rtl/>
        </w:rPr>
        <w:lastRenderedPageBreak/>
        <w:t>تم قياس هذا المتغير من خلال ثماني عبارات تناولت أبعادًا مختلفة من الرفاهية المهنية، وهي:</w:t>
      </w:r>
    </w:p>
    <w:p w14:paraId="6AA57E22" w14:textId="77777777" w:rsidR="00161DBA" w:rsidRPr="001A06F7" w:rsidRDefault="000517F6" w:rsidP="006C4CDD">
      <w:pPr>
        <w:pStyle w:val="a6"/>
        <w:numPr>
          <w:ilvl w:val="0"/>
          <w:numId w:val="7"/>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الرضا العام عن العمل.</w:t>
      </w:r>
    </w:p>
    <w:p w14:paraId="69E4D33D" w14:textId="77777777" w:rsidR="00161DBA" w:rsidRPr="001A06F7" w:rsidRDefault="000517F6" w:rsidP="006C4CDD">
      <w:pPr>
        <w:pStyle w:val="a6"/>
        <w:numPr>
          <w:ilvl w:val="0"/>
          <w:numId w:val="7"/>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التوازن بين العمل والحياة الشخصية.</w:t>
      </w:r>
    </w:p>
    <w:p w14:paraId="0A88B2CA" w14:textId="77777777" w:rsidR="00161DBA" w:rsidRPr="001A06F7" w:rsidRDefault="000517F6" w:rsidP="006C4CDD">
      <w:pPr>
        <w:pStyle w:val="a6"/>
        <w:numPr>
          <w:ilvl w:val="0"/>
          <w:numId w:val="7"/>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فرص النمو والتطوير المهني.</w:t>
      </w:r>
    </w:p>
    <w:p w14:paraId="393FAAE0" w14:textId="77777777" w:rsidR="00161DBA" w:rsidRPr="001A06F7" w:rsidRDefault="000517F6" w:rsidP="006C4CDD">
      <w:pPr>
        <w:pStyle w:val="a6"/>
        <w:numPr>
          <w:ilvl w:val="0"/>
          <w:numId w:val="7"/>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الدعم الاجتماعي داخل المنظمة.</w:t>
      </w:r>
    </w:p>
    <w:p w14:paraId="5A8B35C1" w14:textId="77777777" w:rsidR="000517F6" w:rsidRPr="001A06F7" w:rsidRDefault="000517F6" w:rsidP="006C4CDD">
      <w:pPr>
        <w:pStyle w:val="a6"/>
        <w:numPr>
          <w:ilvl w:val="0"/>
          <w:numId w:val="7"/>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المكافآت والحوافز المادية والمعنوية.</w:t>
      </w:r>
    </w:p>
    <w:p w14:paraId="299A19E9" w14:textId="77777777" w:rsidR="000517F6" w:rsidRPr="001A06F7" w:rsidRDefault="000517F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وقد طُبّق مقياس ليكرت الخماسي لقياس درجة الاتفاق مع كل عبارة، بحيث تعكس المتوسطات الحسابية مستوى الرفاهية المدركة لدى الموظفين.</w:t>
      </w:r>
    </w:p>
    <w:p w14:paraId="17E0CF99" w14:textId="77777777" w:rsidR="000517F6" w:rsidRPr="001A06F7" w:rsidRDefault="000517F6"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رابعًا: المتغير التابع – الاحتراق الوظيفي</w:t>
      </w:r>
    </w:p>
    <w:p w14:paraId="2688CCCB"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التعريف المفاهيمي:</w:t>
      </w:r>
    </w:p>
    <w:p w14:paraId="692541AA" w14:textId="77777777" w:rsidR="000517F6" w:rsidRPr="001A06F7" w:rsidRDefault="000517F6" w:rsidP="00732DE5">
      <w:pPr>
        <w:spacing w:line="240" w:lineRule="auto"/>
        <w:ind w:left="360"/>
        <w:jc w:val="both"/>
        <w:rPr>
          <w:rFonts w:ascii="Simplified Arabic" w:hAnsi="Simplified Arabic" w:cs="Simplified Arabic"/>
          <w:sz w:val="28"/>
          <w:szCs w:val="28"/>
          <w:rtl/>
        </w:rPr>
      </w:pPr>
      <w:r w:rsidRPr="001A06F7">
        <w:rPr>
          <w:rFonts w:ascii="Simplified Arabic" w:hAnsi="Simplified Arabic" w:cs="Simplified Arabic"/>
          <w:sz w:val="28"/>
          <w:szCs w:val="28"/>
          <w:rtl/>
        </w:rPr>
        <w:t>يُعرّف الاحتراق الوظيفي (</w:t>
      </w:r>
      <w:r w:rsidRPr="001A06F7">
        <w:rPr>
          <w:rFonts w:ascii="Simplified Arabic" w:hAnsi="Simplified Arabic" w:cs="Simplified Arabic"/>
          <w:sz w:val="28"/>
          <w:szCs w:val="28"/>
        </w:rPr>
        <w:t>Job Burnout</w:t>
      </w:r>
      <w:r w:rsidRPr="001A06F7">
        <w:rPr>
          <w:rFonts w:ascii="Simplified Arabic" w:hAnsi="Simplified Arabic" w:cs="Simplified Arabic"/>
          <w:sz w:val="28"/>
          <w:szCs w:val="28"/>
          <w:rtl/>
        </w:rPr>
        <w:t>) بأنه حالة من الإرهاق العاطفي والتبلّد المهني وانخفاض الإحساس بالإنجاز الشخصي، تنتج عن التعرض المستمر لضغوط العمل المزمنة، وفقًا لتصنيف منظمة الصحة العالمية في الإصدار الحادي عشر من التصنيف الدولي للأمراض (</w:t>
      </w:r>
      <w:r w:rsidRPr="001A06F7">
        <w:rPr>
          <w:rFonts w:ascii="Simplified Arabic" w:hAnsi="Simplified Arabic" w:cs="Simplified Arabic"/>
          <w:sz w:val="28"/>
          <w:szCs w:val="28"/>
        </w:rPr>
        <w:t>World Health Organization, 2019</w:t>
      </w:r>
      <w:r w:rsidRPr="001A06F7">
        <w:rPr>
          <w:rFonts w:ascii="Simplified Arabic" w:hAnsi="Simplified Arabic" w:cs="Simplified Arabic"/>
          <w:sz w:val="28"/>
          <w:szCs w:val="28"/>
          <w:rtl/>
        </w:rPr>
        <w:t>).</w:t>
      </w:r>
    </w:p>
    <w:p w14:paraId="55550042" w14:textId="77777777" w:rsidR="000517F6" w:rsidRPr="001A06F7" w:rsidRDefault="000517F6"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القياس الإجرائي:</w:t>
      </w:r>
    </w:p>
    <w:p w14:paraId="38F7B43A" w14:textId="77777777" w:rsidR="00732DE5" w:rsidRPr="001A06F7" w:rsidRDefault="000517F6" w:rsidP="00732DE5">
      <w:pPr>
        <w:spacing w:line="240" w:lineRule="auto"/>
        <w:ind w:left="360"/>
        <w:jc w:val="both"/>
        <w:rPr>
          <w:rFonts w:ascii="Simplified Arabic" w:hAnsi="Simplified Arabic" w:cs="Simplified Arabic"/>
          <w:sz w:val="28"/>
          <w:szCs w:val="28"/>
        </w:rPr>
      </w:pPr>
      <w:r w:rsidRPr="001A06F7">
        <w:rPr>
          <w:rFonts w:ascii="Simplified Arabic" w:hAnsi="Simplified Arabic" w:cs="Simplified Arabic"/>
          <w:sz w:val="28"/>
          <w:szCs w:val="28"/>
          <w:rtl/>
        </w:rPr>
        <w:t>تم قياس هذا المتغير من خلال ثماني عبارات اشتقت من الأدبيات المعتمدة على مقياس ماسلاش للاحتراق الوظيفي (</w:t>
      </w:r>
      <w:r w:rsidRPr="001A06F7">
        <w:rPr>
          <w:rFonts w:ascii="Simplified Arabic" w:hAnsi="Simplified Arabic" w:cs="Simplified Arabic"/>
          <w:sz w:val="28"/>
          <w:szCs w:val="28"/>
        </w:rPr>
        <w:t>Maslach &amp; Leiter, 2016</w:t>
      </w:r>
      <w:r w:rsidRPr="001A06F7">
        <w:rPr>
          <w:rFonts w:ascii="Simplified Arabic" w:hAnsi="Simplified Arabic" w:cs="Simplified Arabic"/>
          <w:sz w:val="28"/>
          <w:szCs w:val="28"/>
          <w:rtl/>
        </w:rPr>
        <w:t>)، حيث تغطي الأبعاد الثلاثة الآتية:</w:t>
      </w:r>
    </w:p>
    <w:p w14:paraId="11C9DD28" w14:textId="77777777" w:rsidR="00732DE5" w:rsidRPr="001A06F7" w:rsidRDefault="000517F6" w:rsidP="006C4CDD">
      <w:pPr>
        <w:pStyle w:val="a6"/>
        <w:numPr>
          <w:ilvl w:val="0"/>
          <w:numId w:val="8"/>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الإرهاق العاطفي.</w:t>
      </w:r>
    </w:p>
    <w:p w14:paraId="0835F0F8" w14:textId="77777777" w:rsidR="00732DE5" w:rsidRPr="001A06F7" w:rsidRDefault="000517F6" w:rsidP="006C4CDD">
      <w:pPr>
        <w:pStyle w:val="a6"/>
        <w:numPr>
          <w:ilvl w:val="0"/>
          <w:numId w:val="8"/>
        </w:num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التبلّد أو الانفصال المهني.</w:t>
      </w:r>
    </w:p>
    <w:p w14:paraId="186A1EBB" w14:textId="77777777" w:rsidR="000517F6" w:rsidRPr="001A06F7" w:rsidRDefault="000517F6" w:rsidP="006C4CDD">
      <w:pPr>
        <w:pStyle w:val="a6"/>
        <w:numPr>
          <w:ilvl w:val="0"/>
          <w:numId w:val="8"/>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انخفاض الشعور بالإنجاز الشخصي.</w:t>
      </w:r>
    </w:p>
    <w:p w14:paraId="3A29AE19" w14:textId="77777777" w:rsidR="000517F6" w:rsidRPr="001A06F7" w:rsidRDefault="000517F6"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وجرى استخدام مقياس ليكرت الخماسي لقياس مستوى الاتفاق مع العبارات، حيث تشير المتوسطات الأعلى إلى مستويات أكبر من الاحتراق الوظيفي.</w:t>
      </w:r>
    </w:p>
    <w:p w14:paraId="6C08B777" w14:textId="77777777" w:rsidR="000517F6" w:rsidRPr="001A06F7" w:rsidRDefault="000517F6"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خلاصة</w:t>
      </w:r>
    </w:p>
    <w:p w14:paraId="25734DE3" w14:textId="77777777" w:rsidR="000517F6" w:rsidRPr="001A06F7" w:rsidRDefault="000517F6" w:rsidP="00CB5D51">
      <w:p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تم بناء جميع المقاييس بطريقة تضمن الاتساق الداخلي والتمثيل الشامل لأبعاد كل متغير. كما رُوعي توحيد طريقة القياس لتسهيل التحليل الإحصائي اللاحق للعلاقات بين المتغيرات باستخدام التحليل الإحصائي متعدد المتغيرات</w:t>
      </w:r>
      <w:r w:rsidR="003E7E6A" w:rsidRPr="001A06F7">
        <w:rPr>
          <w:rFonts w:ascii="Simplified Arabic" w:hAnsi="Simplified Arabic" w:cs="Simplified Arabic"/>
          <w:sz w:val="28"/>
          <w:szCs w:val="28"/>
          <w:rtl/>
        </w:rPr>
        <w:t>.</w:t>
      </w:r>
    </w:p>
    <w:p w14:paraId="537FC878" w14:textId="77777777" w:rsidR="001E7C34" w:rsidRPr="001A06F7" w:rsidRDefault="001E7C34" w:rsidP="00CB5D51">
      <w:pPr>
        <w:spacing w:line="240" w:lineRule="auto"/>
        <w:jc w:val="both"/>
        <w:rPr>
          <w:rFonts w:ascii="Simplified Arabic" w:hAnsi="Simplified Arabic" w:cs="Simplified Arabic"/>
          <w:sz w:val="28"/>
          <w:szCs w:val="28"/>
        </w:rPr>
      </w:pPr>
    </w:p>
    <w:p w14:paraId="683A769D" w14:textId="77777777" w:rsidR="00BC1EFD" w:rsidRPr="000C5D98" w:rsidRDefault="00BC1EFD" w:rsidP="000C5D98">
      <w:pPr>
        <w:pStyle w:val="2"/>
        <w:rPr>
          <w:b w:val="0"/>
          <w:bCs/>
        </w:rPr>
      </w:pPr>
      <w:bookmarkStart w:id="44" w:name="_Toc235119054"/>
      <w:r w:rsidRPr="000C5D98">
        <w:rPr>
          <w:b w:val="0"/>
          <w:bCs/>
          <w:rtl/>
        </w:rPr>
        <w:t>أسلوب تحليل البيانات</w:t>
      </w:r>
      <w:bookmarkEnd w:id="44"/>
    </w:p>
    <w:p w14:paraId="25E548C4"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اعتمدت الدراسة في تحليل بياناتها على الأساليب الإحصائية الوصفية والاستدلالية باستخدام برنامج الحزم الإحصائية للعلوم الاجتماعية (</w:t>
      </w:r>
      <w:r w:rsidRPr="001A06F7">
        <w:rPr>
          <w:rFonts w:ascii="Simplified Arabic" w:hAnsi="Simplified Arabic" w:cs="Simplified Arabic"/>
          <w:sz w:val="28"/>
          <w:szCs w:val="28"/>
        </w:rPr>
        <w:t>Statistical Package for the Social Sciences – SPSS</w:t>
      </w:r>
      <w:r w:rsidRPr="001A06F7">
        <w:rPr>
          <w:rFonts w:ascii="Simplified Arabic" w:hAnsi="Simplified Arabic" w:cs="Simplified Arabic"/>
          <w:sz w:val="28"/>
          <w:szCs w:val="28"/>
          <w:rtl/>
        </w:rPr>
        <w:t>)، لما يتميز به من دقة وكفاءة في معالجة البيانات الكمية، وإجراء التحليلات الإحصائية المتقدمة المناسبة لطبيعة المتغيرات المدروسة (</w:t>
      </w:r>
      <w:r w:rsidRPr="001A06F7">
        <w:rPr>
          <w:rFonts w:ascii="Simplified Arabic" w:hAnsi="Simplified Arabic" w:cs="Simplified Arabic"/>
          <w:sz w:val="28"/>
          <w:szCs w:val="28"/>
        </w:rPr>
        <w:t>Pallant, 2020</w:t>
      </w:r>
      <w:r w:rsidRPr="001A06F7">
        <w:rPr>
          <w:rFonts w:ascii="Simplified Arabic" w:hAnsi="Simplified Arabic" w:cs="Simplified Arabic"/>
          <w:sz w:val="28"/>
          <w:szCs w:val="28"/>
          <w:rtl/>
        </w:rPr>
        <w:t>).</w:t>
      </w:r>
    </w:p>
    <w:p w14:paraId="682557F9"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وقد تم اتباع مجموعة من الإجراءات الإحصائية المتكاملة لتحقيق أهداف الدراسة واختبار فرضياتها، وفق التسلسل الآتي:</w:t>
      </w:r>
    </w:p>
    <w:p w14:paraId="7BACE450" w14:textId="77777777" w:rsidR="00BC1EFD" w:rsidRPr="001A06F7" w:rsidRDefault="00BC1EFD"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أولًا: المعالجة الأولية للبيانات</w:t>
      </w:r>
    </w:p>
    <w:p w14:paraId="32BFD0BE" w14:textId="77777777"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الترميز (</w:t>
      </w:r>
      <w:r w:rsidRPr="001A06F7">
        <w:rPr>
          <w:rFonts w:ascii="Simplified Arabic" w:hAnsi="Simplified Arabic" w:cs="Simplified Arabic"/>
          <w:b/>
          <w:bCs/>
          <w:sz w:val="28"/>
          <w:szCs w:val="28"/>
        </w:rPr>
        <w:t>Coding</w:t>
      </w:r>
      <w:r w:rsidRPr="001A06F7">
        <w:rPr>
          <w:rFonts w:ascii="Simplified Arabic" w:hAnsi="Simplified Arabic" w:cs="Simplified Arabic"/>
          <w:b/>
          <w:bCs/>
          <w:sz w:val="28"/>
          <w:szCs w:val="28"/>
          <w:rtl/>
        </w:rPr>
        <w:t>):</w:t>
      </w:r>
      <w:r w:rsidR="00191F80"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جرى ترميز إجابات الاستبانة رقميًا بما يتوافق مع مقياس ليكرت الخماسي، حيث أعطيت القيم (1) إلى (5) لتُمثل التدرج من "لا أوافق بشدة" إلى "أوافق بشدة".</w:t>
      </w:r>
    </w:p>
    <w:p w14:paraId="03B7D049" w14:textId="77777777"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تنقية البيانات (</w:t>
      </w:r>
      <w:r w:rsidRPr="001A06F7">
        <w:rPr>
          <w:rFonts w:ascii="Simplified Arabic" w:hAnsi="Simplified Arabic" w:cs="Simplified Arabic"/>
          <w:b/>
          <w:bCs/>
          <w:sz w:val="28"/>
          <w:szCs w:val="28"/>
        </w:rPr>
        <w:t>Data Cleaning</w:t>
      </w:r>
      <w:r w:rsidRPr="001A06F7">
        <w:rPr>
          <w:rFonts w:ascii="Simplified Arabic" w:hAnsi="Simplified Arabic" w:cs="Simplified Arabic"/>
          <w:b/>
          <w:bCs/>
          <w:sz w:val="28"/>
          <w:szCs w:val="28"/>
          <w:rtl/>
        </w:rPr>
        <w:t>):</w:t>
      </w:r>
      <w:r w:rsidR="00191F80"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تم فحص الاستجابات للتحقق من اكتمالها واستبعاد الحالات التي تحتوي على بيانات ناقصة أو متناقضة لضمان دقة التحليل.</w:t>
      </w:r>
    </w:p>
    <w:p w14:paraId="3DBE2A08" w14:textId="77777777"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اختبار الصدق والثبات:</w:t>
      </w:r>
      <w:r w:rsidR="00191F80"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بعد إدخال البيانات في البرنامج، سيتم التحقق من ثبات الأداة باستخدام معامل الاتساق الداخلي كرونباخ ألفا (</w:t>
      </w:r>
      <w:r w:rsidRPr="001A06F7">
        <w:rPr>
          <w:rFonts w:ascii="Simplified Arabic" w:hAnsi="Simplified Arabic" w:cs="Simplified Arabic"/>
          <w:sz w:val="28"/>
          <w:szCs w:val="28"/>
        </w:rPr>
        <w:t>Cronbach’s Alpha</w:t>
      </w:r>
      <w:r w:rsidRPr="001A06F7">
        <w:rPr>
          <w:rFonts w:ascii="Simplified Arabic" w:hAnsi="Simplified Arabic" w:cs="Simplified Arabic"/>
          <w:sz w:val="28"/>
          <w:szCs w:val="28"/>
          <w:rtl/>
        </w:rPr>
        <w:t>)، وصدق البناء من خلال معاملات الارتباط بين البنود داخل كل محور.</w:t>
      </w:r>
    </w:p>
    <w:p w14:paraId="435F4082" w14:textId="77777777" w:rsidR="00BC1EFD" w:rsidRPr="001A06F7" w:rsidRDefault="00BC1EFD"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ثانيًا: التحليل الإحصائي الوصفي (</w:t>
      </w:r>
      <w:r w:rsidRPr="001A06F7">
        <w:rPr>
          <w:rFonts w:ascii="Simplified Arabic" w:hAnsi="Simplified Arabic" w:cs="Simplified Arabic"/>
          <w:b/>
          <w:bCs/>
          <w:sz w:val="28"/>
          <w:szCs w:val="28"/>
        </w:rPr>
        <w:t>Descriptive Statistics</w:t>
      </w:r>
      <w:r w:rsidRPr="001A06F7">
        <w:rPr>
          <w:rFonts w:ascii="Simplified Arabic" w:hAnsi="Simplified Arabic" w:cs="Simplified Arabic"/>
          <w:b/>
          <w:bCs/>
          <w:sz w:val="28"/>
          <w:szCs w:val="28"/>
          <w:rtl/>
        </w:rPr>
        <w:t>)</w:t>
      </w:r>
    </w:p>
    <w:p w14:paraId="383A9FA2"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يهدف التحليل الوصفي إلى توصيف خصائص بيانات العينة ومتغيرات الدراسة من خلال:</w:t>
      </w:r>
    </w:p>
    <w:p w14:paraId="3C0ACC9D" w14:textId="77777777" w:rsidR="00BC1EFD" w:rsidRPr="001A06F7" w:rsidRDefault="00BC1EFD" w:rsidP="006C4CDD">
      <w:pPr>
        <w:pStyle w:val="a6"/>
        <w:numPr>
          <w:ilvl w:val="0"/>
          <w:numId w:val="9"/>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حساب التكرارات والنسب المئوية للمتغيرات الديموغرافية.</w:t>
      </w:r>
    </w:p>
    <w:p w14:paraId="055876CF" w14:textId="77777777" w:rsidR="00BC1EFD" w:rsidRPr="001A06F7" w:rsidRDefault="00BC1EFD" w:rsidP="006C4CDD">
      <w:pPr>
        <w:pStyle w:val="a6"/>
        <w:numPr>
          <w:ilvl w:val="0"/>
          <w:numId w:val="9"/>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حساب المتوسطات الحسابية والانحرافات المعيارية لجميع بنود الاستبانة لقياس مستوى إدراك المشاركين لمتغيرات الدراسة.</w:t>
      </w:r>
    </w:p>
    <w:p w14:paraId="2DD29986" w14:textId="77777777" w:rsidR="00BC1EFD" w:rsidRPr="001A06F7" w:rsidRDefault="00BC1EFD" w:rsidP="006C4CDD">
      <w:pPr>
        <w:pStyle w:val="a6"/>
        <w:numPr>
          <w:ilvl w:val="0"/>
          <w:numId w:val="9"/>
        </w:num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تحليل الاتجاهات العامة للاستجابات ومقارنة مستويات المتغيرات الرئيسة.</w:t>
      </w:r>
    </w:p>
    <w:p w14:paraId="0358779C"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تُسهم هذه المؤشرات في تكوين صورة أولية عن طبيعة العلاقات بين المتغيرات، قبل الانتقال إلى التحليل الاستدلالي.</w:t>
      </w:r>
    </w:p>
    <w:p w14:paraId="73F14B8C" w14:textId="77777777" w:rsidR="00BC1EFD" w:rsidRPr="001A06F7" w:rsidRDefault="00BC1EFD"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ثالثًا: التحليل الإحصائي الاستدلالي (</w:t>
      </w:r>
      <w:r w:rsidRPr="001A06F7">
        <w:rPr>
          <w:rFonts w:ascii="Simplified Arabic" w:hAnsi="Simplified Arabic" w:cs="Simplified Arabic"/>
          <w:b/>
          <w:bCs/>
          <w:sz w:val="28"/>
          <w:szCs w:val="28"/>
        </w:rPr>
        <w:t>Inferential Statistics</w:t>
      </w:r>
      <w:r w:rsidRPr="001A06F7">
        <w:rPr>
          <w:rFonts w:ascii="Simplified Arabic" w:hAnsi="Simplified Arabic" w:cs="Simplified Arabic"/>
          <w:b/>
          <w:bCs/>
          <w:sz w:val="28"/>
          <w:szCs w:val="28"/>
          <w:rtl/>
        </w:rPr>
        <w:t>)</w:t>
      </w:r>
    </w:p>
    <w:p w14:paraId="0AEC3CB0"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lastRenderedPageBreak/>
        <w:t>تم استخدام مجموعة من الاختبارات الإحصائية الاستدلالية المناسبة لطبيعة الدراسة وفرضياتها، وتشمل:</w:t>
      </w:r>
    </w:p>
    <w:p w14:paraId="23E0E4F6" w14:textId="77777777"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اختبار الارتباط بيرسون (</w:t>
      </w:r>
      <w:r w:rsidRPr="001A06F7">
        <w:rPr>
          <w:rFonts w:ascii="Simplified Arabic" w:hAnsi="Simplified Arabic" w:cs="Simplified Arabic"/>
          <w:b/>
          <w:bCs/>
          <w:sz w:val="28"/>
          <w:szCs w:val="28"/>
        </w:rPr>
        <w:t>Pearson Correlation</w:t>
      </w:r>
      <w:r w:rsidRPr="001A06F7">
        <w:rPr>
          <w:rFonts w:ascii="Simplified Arabic" w:hAnsi="Simplified Arabic" w:cs="Simplified Arabic"/>
          <w:b/>
          <w:bCs/>
          <w:sz w:val="28"/>
          <w:szCs w:val="28"/>
          <w:rtl/>
        </w:rPr>
        <w:t>):</w:t>
      </w:r>
      <w:r w:rsidR="000541BA"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لقياس قوة واتجاه العلاقة بين المتغيرات الرئيسة (التحول الصحي، بيئة العمل النفسية المستدامة، رفاهية الموظفين، والاحتراق الوظيفي).</w:t>
      </w:r>
    </w:p>
    <w:p w14:paraId="05BC6D9D" w14:textId="77777777"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تحليل الانحدار الخطي البسيط والمتعدد (</w:t>
      </w:r>
      <w:r w:rsidRPr="001A06F7">
        <w:rPr>
          <w:rFonts w:ascii="Simplified Arabic" w:hAnsi="Simplified Arabic" w:cs="Simplified Arabic"/>
          <w:b/>
          <w:bCs/>
          <w:sz w:val="28"/>
          <w:szCs w:val="28"/>
        </w:rPr>
        <w:t>Simple &amp; Multiple Linear Regression</w:t>
      </w:r>
      <w:r w:rsidRPr="001A06F7">
        <w:rPr>
          <w:rFonts w:ascii="Simplified Arabic" w:hAnsi="Simplified Arabic" w:cs="Simplified Arabic"/>
          <w:b/>
          <w:bCs/>
          <w:sz w:val="28"/>
          <w:szCs w:val="28"/>
          <w:rtl/>
        </w:rPr>
        <w:t>):</w:t>
      </w:r>
      <w:r w:rsidR="00216F6A"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لقياس أثر التحول الصحي في بيئة العمل النفسية المستدامة، وتقدير حجم تأثير رفاهية الموظفين كمتغير وسيط في العلاقة بين التحول الصحي والاحتراق الوظيفي (</w:t>
      </w:r>
      <w:r w:rsidRPr="001A06F7">
        <w:rPr>
          <w:rFonts w:ascii="Simplified Arabic" w:hAnsi="Simplified Arabic" w:cs="Simplified Arabic"/>
          <w:sz w:val="28"/>
          <w:szCs w:val="28"/>
        </w:rPr>
        <w:t xml:space="preserve">Field, </w:t>
      </w:r>
      <w:r w:rsidR="00884707" w:rsidRPr="001A06F7">
        <w:rPr>
          <w:rFonts w:ascii="Simplified Arabic" w:hAnsi="Simplified Arabic" w:cs="Simplified Arabic"/>
          <w:sz w:val="28"/>
          <w:szCs w:val="28"/>
        </w:rPr>
        <w:t>2024</w:t>
      </w:r>
      <w:r w:rsidRPr="001A06F7">
        <w:rPr>
          <w:rFonts w:ascii="Simplified Arabic" w:hAnsi="Simplified Arabic" w:cs="Simplified Arabic"/>
          <w:sz w:val="28"/>
          <w:szCs w:val="28"/>
          <w:rtl/>
        </w:rPr>
        <w:t>).</w:t>
      </w:r>
    </w:p>
    <w:p w14:paraId="28C5D503" w14:textId="77777777"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اختبار تحليل التباين الأحادي (</w:t>
      </w:r>
      <w:r w:rsidRPr="001A06F7">
        <w:rPr>
          <w:rFonts w:ascii="Simplified Arabic" w:hAnsi="Simplified Arabic" w:cs="Simplified Arabic"/>
          <w:b/>
          <w:bCs/>
          <w:sz w:val="28"/>
          <w:szCs w:val="28"/>
        </w:rPr>
        <w:t>One-Way ANOVA</w:t>
      </w:r>
      <w:r w:rsidRPr="001A06F7">
        <w:rPr>
          <w:rFonts w:ascii="Simplified Arabic" w:hAnsi="Simplified Arabic" w:cs="Simplified Arabic"/>
          <w:b/>
          <w:bCs/>
          <w:sz w:val="28"/>
          <w:szCs w:val="28"/>
          <w:rtl/>
        </w:rPr>
        <w:t>):</w:t>
      </w:r>
      <w:r w:rsidR="00216F6A"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لاختبار الفروق بين متوسطات استجابات المشاركين تبعًا للخصائص الديموغرافية (مثل الجنس، المؤهل، عدد سنوات الخبرة).</w:t>
      </w:r>
    </w:p>
    <w:p w14:paraId="488997AD" w14:textId="77777777"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اختبار المتوسطات المستقلة (</w:t>
      </w:r>
      <w:r w:rsidRPr="001A06F7">
        <w:rPr>
          <w:rFonts w:ascii="Simplified Arabic" w:hAnsi="Simplified Arabic" w:cs="Simplified Arabic"/>
          <w:b/>
          <w:bCs/>
          <w:sz w:val="28"/>
          <w:szCs w:val="28"/>
        </w:rPr>
        <w:t>Independent Samples t-test</w:t>
      </w:r>
      <w:r w:rsidRPr="001A06F7">
        <w:rPr>
          <w:rFonts w:ascii="Simplified Arabic" w:hAnsi="Simplified Arabic" w:cs="Simplified Arabic"/>
          <w:b/>
          <w:bCs/>
          <w:sz w:val="28"/>
          <w:szCs w:val="28"/>
          <w:rtl/>
        </w:rPr>
        <w:t>):</w:t>
      </w:r>
      <w:r w:rsidR="005B7494"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لمقارنة استجابات فئتين من المشاركين في بعض المتغيرات بحسب طبيعة البيانات.</w:t>
      </w:r>
    </w:p>
    <w:p w14:paraId="618C9B8A" w14:textId="77777777" w:rsidR="00BC1EFD" w:rsidRPr="001A06F7" w:rsidRDefault="00BC1EFD" w:rsidP="006C4CDD">
      <w:pPr>
        <w:pStyle w:val="a6"/>
        <w:numPr>
          <w:ilvl w:val="0"/>
          <w:numId w:val="2"/>
        </w:num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تحليل المسار أو النموذج الوسيط (</w:t>
      </w:r>
      <w:r w:rsidRPr="001A06F7">
        <w:rPr>
          <w:rFonts w:ascii="Simplified Arabic" w:hAnsi="Simplified Arabic" w:cs="Simplified Arabic"/>
          <w:b/>
          <w:bCs/>
          <w:sz w:val="28"/>
          <w:szCs w:val="28"/>
        </w:rPr>
        <w:t>Mediation Analysis</w:t>
      </w:r>
      <w:r w:rsidRPr="001A06F7">
        <w:rPr>
          <w:rFonts w:ascii="Simplified Arabic" w:hAnsi="Simplified Arabic" w:cs="Simplified Arabic"/>
          <w:b/>
          <w:bCs/>
          <w:sz w:val="28"/>
          <w:szCs w:val="28"/>
          <w:rtl/>
        </w:rPr>
        <w:t>):</w:t>
      </w:r>
      <w:r w:rsidR="005B7494" w:rsidRPr="001A06F7">
        <w:rPr>
          <w:rFonts w:ascii="Simplified Arabic" w:hAnsi="Simplified Arabic" w:cs="Simplified Arabic"/>
          <w:b/>
          <w:bCs/>
          <w:sz w:val="28"/>
          <w:szCs w:val="28"/>
        </w:rPr>
        <w:t xml:space="preserve"> </w:t>
      </w:r>
      <w:r w:rsidRPr="001A06F7">
        <w:rPr>
          <w:rFonts w:ascii="Simplified Arabic" w:hAnsi="Simplified Arabic" w:cs="Simplified Arabic"/>
          <w:sz w:val="28"/>
          <w:szCs w:val="28"/>
          <w:rtl/>
        </w:rPr>
        <w:t xml:space="preserve">لفحص الدور الوسيط لمتغير رفاهية الموظفين في العلاقة بين التحول الصحي والاحتراق الوظيفي باستخدام نهج </w:t>
      </w:r>
      <w:r w:rsidRPr="001A06F7">
        <w:rPr>
          <w:rFonts w:ascii="Simplified Arabic" w:hAnsi="Simplified Arabic" w:cs="Simplified Arabic"/>
          <w:sz w:val="28"/>
          <w:szCs w:val="28"/>
        </w:rPr>
        <w:t>Baron &amp; Kenny (1986)</w:t>
      </w:r>
      <w:r w:rsidRPr="001A06F7">
        <w:rPr>
          <w:rFonts w:ascii="Simplified Arabic" w:hAnsi="Simplified Arabic" w:cs="Simplified Arabic"/>
          <w:sz w:val="28"/>
          <w:szCs w:val="28"/>
          <w:rtl/>
        </w:rPr>
        <w:t xml:space="preserve"> أو اختبار </w:t>
      </w:r>
      <w:r w:rsidRPr="001A06F7">
        <w:rPr>
          <w:rFonts w:ascii="Simplified Arabic" w:hAnsi="Simplified Arabic" w:cs="Simplified Arabic"/>
          <w:sz w:val="28"/>
          <w:szCs w:val="28"/>
        </w:rPr>
        <w:t>Bootstrap</w:t>
      </w:r>
      <w:r w:rsidRPr="001A06F7">
        <w:rPr>
          <w:rFonts w:ascii="Simplified Arabic" w:hAnsi="Simplified Arabic" w:cs="Simplified Arabic"/>
          <w:sz w:val="28"/>
          <w:szCs w:val="28"/>
          <w:rtl/>
        </w:rPr>
        <w:t xml:space="preserve"> المتاح في (</w:t>
      </w:r>
      <w:r w:rsidRPr="001A06F7">
        <w:rPr>
          <w:rFonts w:ascii="Simplified Arabic" w:hAnsi="Simplified Arabic" w:cs="Simplified Arabic"/>
          <w:sz w:val="28"/>
          <w:szCs w:val="28"/>
        </w:rPr>
        <w:t>SPSS Process Macro</w:t>
      </w:r>
      <w:r w:rsidRPr="001A06F7">
        <w:rPr>
          <w:rFonts w:ascii="Simplified Arabic" w:hAnsi="Simplified Arabic" w:cs="Simplified Arabic"/>
          <w:sz w:val="28"/>
          <w:szCs w:val="28"/>
          <w:rtl/>
        </w:rPr>
        <w:t>) وفق توصية (</w:t>
      </w:r>
      <w:r w:rsidRPr="001A06F7">
        <w:rPr>
          <w:rFonts w:ascii="Simplified Arabic" w:hAnsi="Simplified Arabic" w:cs="Simplified Arabic"/>
          <w:sz w:val="28"/>
          <w:szCs w:val="28"/>
        </w:rPr>
        <w:t>Hayes, 2018</w:t>
      </w:r>
      <w:r w:rsidRPr="001A06F7">
        <w:rPr>
          <w:rFonts w:ascii="Simplified Arabic" w:hAnsi="Simplified Arabic" w:cs="Simplified Arabic"/>
          <w:sz w:val="28"/>
          <w:szCs w:val="28"/>
          <w:rtl/>
        </w:rPr>
        <w:t>).</w:t>
      </w:r>
    </w:p>
    <w:p w14:paraId="6A37F936" w14:textId="77777777" w:rsidR="00BC1EFD" w:rsidRPr="001A06F7" w:rsidRDefault="00BC1EFD" w:rsidP="00CB5D51">
      <w:pPr>
        <w:spacing w:line="240" w:lineRule="auto"/>
        <w:jc w:val="both"/>
        <w:rPr>
          <w:rFonts w:ascii="Simplified Arabic" w:hAnsi="Simplified Arabic" w:cs="Simplified Arabic"/>
          <w:b/>
          <w:bCs/>
          <w:sz w:val="28"/>
          <w:szCs w:val="28"/>
          <w:rtl/>
        </w:rPr>
      </w:pPr>
      <w:r w:rsidRPr="001A06F7">
        <w:rPr>
          <w:rFonts w:ascii="Simplified Arabic" w:hAnsi="Simplified Arabic" w:cs="Simplified Arabic"/>
          <w:b/>
          <w:bCs/>
          <w:sz w:val="28"/>
          <w:szCs w:val="28"/>
          <w:rtl/>
        </w:rPr>
        <w:t>رابعًا: تفسير النتائج</w:t>
      </w:r>
    </w:p>
    <w:p w14:paraId="00608508" w14:textId="77777777" w:rsidR="00BC1EFD" w:rsidRPr="001A06F7" w:rsidRDefault="00BC1EFD" w:rsidP="00CB5D51">
      <w:pPr>
        <w:spacing w:line="24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سيتم تفسير النتائج الإحصائية استنادًا إلى القيم الاحتمالية (</w:t>
      </w:r>
      <w:r w:rsidRPr="001A06F7">
        <w:rPr>
          <w:rFonts w:ascii="Simplified Arabic" w:hAnsi="Simplified Arabic" w:cs="Simplified Arabic"/>
          <w:sz w:val="28"/>
          <w:szCs w:val="28"/>
        </w:rPr>
        <w:t>Sig</w:t>
      </w:r>
      <w:r w:rsidRPr="001A06F7">
        <w:rPr>
          <w:rFonts w:ascii="Simplified Arabic" w:hAnsi="Simplified Arabic" w:cs="Simplified Arabic"/>
          <w:sz w:val="28"/>
          <w:szCs w:val="28"/>
          <w:rtl/>
        </w:rPr>
        <w:t>.) ومستويات الدلالة المعتمدة عند (0.05)، مع مقارنة النتائج بالدراسات السابقة، واستخلاص الدلالات النظرية والتطبيقية ذات الصلة بالقطاع الصحي الحكومي في مدينة الرياض.</w:t>
      </w:r>
    </w:p>
    <w:p w14:paraId="11DC336A" w14:textId="77777777" w:rsidR="00BC1EFD" w:rsidRDefault="00BC1EFD" w:rsidP="00CB5D51">
      <w:pPr>
        <w:spacing w:line="240" w:lineRule="auto"/>
        <w:jc w:val="both"/>
        <w:rPr>
          <w:rFonts w:ascii="Simplified Arabic" w:hAnsi="Simplified Arabic" w:cs="Simplified Arabic"/>
          <w:sz w:val="28"/>
          <w:szCs w:val="28"/>
        </w:rPr>
      </w:pPr>
      <w:r w:rsidRPr="001A06F7">
        <w:rPr>
          <w:rFonts w:ascii="Simplified Arabic" w:hAnsi="Simplified Arabic" w:cs="Simplified Arabic"/>
          <w:sz w:val="28"/>
          <w:szCs w:val="28"/>
          <w:rtl/>
        </w:rPr>
        <w:t>وبهذا الأسلوب، يتيح استخدام برنامج (</w:t>
      </w:r>
      <w:r w:rsidRPr="001A06F7">
        <w:rPr>
          <w:rFonts w:ascii="Simplified Arabic" w:hAnsi="Simplified Arabic" w:cs="Simplified Arabic"/>
          <w:sz w:val="28"/>
          <w:szCs w:val="28"/>
        </w:rPr>
        <w:t>SPSS</w:t>
      </w:r>
      <w:r w:rsidRPr="001A06F7">
        <w:rPr>
          <w:rFonts w:ascii="Simplified Arabic" w:hAnsi="Simplified Arabic" w:cs="Simplified Arabic"/>
          <w:sz w:val="28"/>
          <w:szCs w:val="28"/>
          <w:rtl/>
        </w:rPr>
        <w:t>) إمكانية تحليل بيانات الدراسة بدقة عالية، بما يدعم موثوقية النتائج ويساعد في تفسير العلاقات بين المتغيرات بصورة علمية ومنهجية.</w:t>
      </w:r>
    </w:p>
    <w:p w14:paraId="47AD2321" w14:textId="77777777" w:rsidR="00FA1BFA" w:rsidRDefault="00FA1BFA" w:rsidP="00CB5D51">
      <w:pPr>
        <w:spacing w:line="240" w:lineRule="auto"/>
        <w:jc w:val="both"/>
        <w:rPr>
          <w:rFonts w:ascii="Simplified Arabic" w:hAnsi="Simplified Arabic" w:cs="Simplified Arabic"/>
          <w:sz w:val="28"/>
          <w:szCs w:val="28"/>
          <w:rtl/>
        </w:rPr>
      </w:pPr>
    </w:p>
    <w:p w14:paraId="582984FB" w14:textId="77777777" w:rsidR="00FA1BFA" w:rsidRDefault="00FA1BFA">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BDF74FD" w14:textId="77777777" w:rsidR="001D3D5D" w:rsidRPr="000C5D98" w:rsidRDefault="001D3D5D" w:rsidP="000C5D98">
      <w:pPr>
        <w:pStyle w:val="1"/>
        <w:rPr>
          <w:b/>
          <w:bCs/>
          <w:lang w:bidi="ar-YE"/>
        </w:rPr>
      </w:pPr>
      <w:bookmarkStart w:id="45" w:name="_Toc235119055"/>
      <w:r w:rsidRPr="000C5D98">
        <w:rPr>
          <w:rFonts w:hint="cs"/>
          <w:b/>
          <w:bCs/>
          <w:rtl/>
          <w:lang w:bidi="ar-YE"/>
        </w:rPr>
        <w:lastRenderedPageBreak/>
        <w:t xml:space="preserve">الفصل الرابع: نتائج الدراسة </w:t>
      </w:r>
      <w:r w:rsidR="009D776E" w:rsidRPr="000C5D98">
        <w:rPr>
          <w:rFonts w:hint="cs"/>
          <w:b/>
          <w:bCs/>
          <w:rtl/>
          <w:lang w:bidi="ar-YE"/>
        </w:rPr>
        <w:t>واختبار الفروض</w:t>
      </w:r>
      <w:bookmarkEnd w:id="45"/>
    </w:p>
    <w:p w14:paraId="5697E5A6" w14:textId="77777777" w:rsidR="001D3D5D" w:rsidRPr="000C5D98" w:rsidRDefault="001D3D5D" w:rsidP="000C5D98">
      <w:pPr>
        <w:pStyle w:val="2"/>
        <w:rPr>
          <w:b w:val="0"/>
          <w:bCs/>
          <w:rtl/>
          <w:lang w:bidi="ar-YE"/>
        </w:rPr>
      </w:pPr>
      <w:bookmarkStart w:id="46" w:name="_Toc235119056"/>
      <w:r w:rsidRPr="000C5D98">
        <w:rPr>
          <w:rFonts w:hint="cs"/>
          <w:b w:val="0"/>
          <w:bCs/>
          <w:rtl/>
          <w:lang w:bidi="ar-YE"/>
        </w:rPr>
        <w:t>تمهيد</w:t>
      </w:r>
      <w:bookmarkEnd w:id="46"/>
    </w:p>
    <w:p w14:paraId="1C52060C"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 xml:space="preserve">يستعرض هذا الفصل النتائج الميدانية للدراسة التي سعى الباحث من خلالها إلى قياس أثر التحول الصحي على بيئة العمل النفسية المستدامة، مع تبيان الدور الوسيط لرفاهية الموظفين في الحد من ظاهرة الاحتراق الوظيفي في القطاع الصحي الحكومي بمدينة الرياض. تبدأ المعالجة الإحصائية بالتحليل الوصفي الذي يهدف إلى تلخيص خصائص عينة الدراسة البالغ قوامها (384) مفردة، وتوصيف استجابات المبحوثين تجاه المتغيرات الرئيسية، وذلك باستخدام المقاييس الإحصائية المناسبة كالتكرارات، والنسب المئوية، والمتوسطات الحسابية، والانحرافات المعيارية، مما يشكل قاعدة معرفية صلبة للانتقال لاحقاً إلى مرحلة اختبار الفرضيات والاستدلال الإحصائي. </w:t>
      </w:r>
    </w:p>
    <w:p w14:paraId="11BEADB0" w14:textId="77777777" w:rsidR="001D3D5D" w:rsidRPr="000C5D98" w:rsidRDefault="001D3D5D" w:rsidP="000C5D98">
      <w:pPr>
        <w:pStyle w:val="2"/>
        <w:rPr>
          <w:b w:val="0"/>
          <w:bCs/>
          <w:rtl/>
          <w:lang w:bidi="ar-YE"/>
        </w:rPr>
      </w:pPr>
      <w:bookmarkStart w:id="47" w:name="_Toc235119057"/>
      <w:r w:rsidRPr="000C5D98">
        <w:rPr>
          <w:rFonts w:hint="cs"/>
          <w:b w:val="0"/>
          <w:bCs/>
          <w:rtl/>
          <w:lang w:bidi="ar-YE"/>
        </w:rPr>
        <w:t>أولاً: التحليل الوصفي للبيانات</w:t>
      </w:r>
      <w:bookmarkEnd w:id="47"/>
    </w:p>
    <w:p w14:paraId="5B19FCAC" w14:textId="77777777" w:rsidR="001D3D5D" w:rsidRPr="00B322FF" w:rsidRDefault="001D3D5D" w:rsidP="006C4CDD">
      <w:pPr>
        <w:pStyle w:val="ac"/>
        <w:numPr>
          <w:ilvl w:val="0"/>
          <w:numId w:val="12"/>
        </w:numPr>
        <w:bidi/>
        <w:jc w:val="both"/>
        <w:rPr>
          <w:rFonts w:ascii="Simplified Arabic" w:hAnsi="Simplified Arabic" w:cs="Simplified Arabic"/>
          <w:b/>
          <w:bCs/>
          <w:kern w:val="2"/>
          <w:sz w:val="32"/>
          <w:szCs w:val="32"/>
          <w:rtl/>
          <w:lang w:bidi="ar-YE"/>
          <w14:ligatures w14:val="standardContextual"/>
        </w:rPr>
      </w:pPr>
      <w:r w:rsidRPr="00B322FF">
        <w:rPr>
          <w:rFonts w:ascii="Simplified Arabic" w:hAnsi="Simplified Arabic" w:cs="Simplified Arabic" w:hint="cs"/>
          <w:b/>
          <w:bCs/>
          <w:kern w:val="2"/>
          <w:sz w:val="32"/>
          <w:szCs w:val="32"/>
          <w:rtl/>
          <w:lang w:bidi="ar-YE"/>
          <w14:ligatures w14:val="standardContextual"/>
        </w:rPr>
        <w:t>الوصف الإحصائي لخصائص عينة الدراسة</w:t>
      </w:r>
    </w:p>
    <w:p w14:paraId="0EFF341F"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يوضح الجدول التالي التوزيع التكراري والنسبي لأفراد عينة الدراسة وفقاً لمتغيراتهم الديموغرافية والمهنية، بما يعكس ملامح المجتمع البحثي المستهدف:</w:t>
      </w:r>
    </w:p>
    <w:p w14:paraId="6F7F305F"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rtl/>
        </w:rPr>
        <w:t>جدول (</w:t>
      </w:r>
      <w:r w:rsidR="007F6186">
        <w:rPr>
          <w:rFonts w:ascii="Simplified Arabic" w:hAnsi="Simplified Arabic" w:cs="Simplified Arabic" w:hint="cs"/>
          <w:b/>
          <w:bCs/>
          <w:rtl/>
        </w:rPr>
        <w:t>٤-١</w:t>
      </w:r>
      <w:r w:rsidRPr="00B322FF">
        <w:rPr>
          <w:rFonts w:ascii="Simplified Arabic" w:hAnsi="Simplified Arabic" w:cs="Simplified Arabic" w:hint="cs"/>
          <w:b/>
          <w:bCs/>
          <w:rtl/>
        </w:rPr>
        <w:t>): التوزيع النسبي والتكراري لخصائص عينة الدراسة</w:t>
      </w:r>
    </w:p>
    <w:tbl>
      <w:tblPr>
        <w:tblStyle w:val="af"/>
        <w:bidiVisual/>
        <w:tblW w:w="5000" w:type="pct"/>
        <w:tblLook w:val="06A0" w:firstRow="1" w:lastRow="0" w:firstColumn="1" w:lastColumn="0" w:noHBand="1" w:noVBand="1"/>
      </w:tblPr>
      <w:tblGrid>
        <w:gridCol w:w="2507"/>
        <w:gridCol w:w="3441"/>
        <w:gridCol w:w="1084"/>
        <w:gridCol w:w="1984"/>
      </w:tblGrid>
      <w:tr w:rsidR="001D3D5D" w:rsidRPr="00B322FF" w14:paraId="13E19683" w14:textId="77777777" w:rsidTr="00597597">
        <w:trPr>
          <w:trHeight w:val="270"/>
        </w:trPr>
        <w:tc>
          <w:tcPr>
            <w:tcW w:w="1391" w:type="pct"/>
            <w:vAlign w:val="center"/>
            <w:hideMark/>
          </w:tcPr>
          <w:p w14:paraId="7D6FA5AB"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1908" w:type="pct"/>
            <w:vAlign w:val="center"/>
            <w:hideMark/>
          </w:tcPr>
          <w:p w14:paraId="3F338662"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الفئة</w:t>
            </w:r>
          </w:p>
        </w:tc>
        <w:tc>
          <w:tcPr>
            <w:tcW w:w="601" w:type="pct"/>
            <w:vAlign w:val="center"/>
            <w:hideMark/>
          </w:tcPr>
          <w:p w14:paraId="36B741C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التكرار</w:t>
            </w:r>
          </w:p>
        </w:tc>
        <w:tc>
          <w:tcPr>
            <w:tcW w:w="1100" w:type="pct"/>
            <w:vAlign w:val="center"/>
            <w:hideMark/>
          </w:tcPr>
          <w:p w14:paraId="2F6369E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النسبة المئوية</w:t>
            </w:r>
          </w:p>
        </w:tc>
      </w:tr>
      <w:tr w:rsidR="001D3D5D" w:rsidRPr="00B322FF" w14:paraId="2906D024" w14:textId="77777777" w:rsidTr="00597597">
        <w:trPr>
          <w:trHeight w:val="270"/>
        </w:trPr>
        <w:tc>
          <w:tcPr>
            <w:tcW w:w="1391" w:type="pct"/>
            <w:vMerge w:val="restart"/>
            <w:vAlign w:val="center"/>
            <w:hideMark/>
          </w:tcPr>
          <w:p w14:paraId="5057D4C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الجنس</w:t>
            </w:r>
          </w:p>
        </w:tc>
        <w:tc>
          <w:tcPr>
            <w:tcW w:w="1908" w:type="pct"/>
            <w:vAlign w:val="center"/>
            <w:hideMark/>
          </w:tcPr>
          <w:p w14:paraId="548B21D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ذكر</w:t>
            </w:r>
          </w:p>
        </w:tc>
        <w:tc>
          <w:tcPr>
            <w:tcW w:w="601" w:type="pct"/>
            <w:vAlign w:val="center"/>
            <w:hideMark/>
          </w:tcPr>
          <w:p w14:paraId="789F55B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209</w:t>
            </w:r>
          </w:p>
        </w:tc>
        <w:tc>
          <w:tcPr>
            <w:tcW w:w="1100" w:type="pct"/>
            <w:vAlign w:val="center"/>
            <w:hideMark/>
          </w:tcPr>
          <w:p w14:paraId="13A7D79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54.40%</w:t>
            </w:r>
          </w:p>
        </w:tc>
      </w:tr>
      <w:tr w:rsidR="001D3D5D" w:rsidRPr="00B322FF" w14:paraId="36F31DD1" w14:textId="77777777" w:rsidTr="00597597">
        <w:trPr>
          <w:trHeight w:val="270"/>
        </w:trPr>
        <w:tc>
          <w:tcPr>
            <w:tcW w:w="1391" w:type="pct"/>
            <w:vMerge/>
            <w:vAlign w:val="center"/>
            <w:hideMark/>
          </w:tcPr>
          <w:p w14:paraId="056BBA77"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10DD225A"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أنثى</w:t>
            </w:r>
          </w:p>
        </w:tc>
        <w:tc>
          <w:tcPr>
            <w:tcW w:w="601" w:type="pct"/>
            <w:vAlign w:val="center"/>
            <w:hideMark/>
          </w:tcPr>
          <w:p w14:paraId="0E7B963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175</w:t>
            </w:r>
          </w:p>
        </w:tc>
        <w:tc>
          <w:tcPr>
            <w:tcW w:w="1100" w:type="pct"/>
            <w:vAlign w:val="center"/>
            <w:hideMark/>
          </w:tcPr>
          <w:p w14:paraId="363F56D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45.60%</w:t>
            </w:r>
          </w:p>
        </w:tc>
      </w:tr>
      <w:tr w:rsidR="001D3D5D" w:rsidRPr="00B322FF" w14:paraId="0091D7A4" w14:textId="77777777" w:rsidTr="00597597">
        <w:trPr>
          <w:trHeight w:val="270"/>
        </w:trPr>
        <w:tc>
          <w:tcPr>
            <w:tcW w:w="1391" w:type="pct"/>
            <w:vMerge w:val="restart"/>
            <w:vAlign w:val="center"/>
            <w:hideMark/>
          </w:tcPr>
          <w:p w14:paraId="27CBBF1B"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العمر</w:t>
            </w:r>
          </w:p>
        </w:tc>
        <w:tc>
          <w:tcPr>
            <w:tcW w:w="1908" w:type="pct"/>
            <w:vAlign w:val="center"/>
            <w:hideMark/>
          </w:tcPr>
          <w:p w14:paraId="4E6F430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أقل من 30 سنة</w:t>
            </w:r>
          </w:p>
        </w:tc>
        <w:tc>
          <w:tcPr>
            <w:tcW w:w="601" w:type="pct"/>
            <w:vAlign w:val="center"/>
            <w:hideMark/>
          </w:tcPr>
          <w:p w14:paraId="1D6B43A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74</w:t>
            </w:r>
          </w:p>
        </w:tc>
        <w:tc>
          <w:tcPr>
            <w:tcW w:w="1100" w:type="pct"/>
            <w:vAlign w:val="center"/>
            <w:hideMark/>
          </w:tcPr>
          <w:p w14:paraId="37101F6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19.30%</w:t>
            </w:r>
          </w:p>
        </w:tc>
      </w:tr>
      <w:tr w:rsidR="001D3D5D" w:rsidRPr="00B322FF" w14:paraId="47E77B42" w14:textId="77777777" w:rsidTr="00597597">
        <w:trPr>
          <w:trHeight w:val="270"/>
        </w:trPr>
        <w:tc>
          <w:tcPr>
            <w:tcW w:w="1391" w:type="pct"/>
            <w:vMerge/>
            <w:vAlign w:val="center"/>
            <w:hideMark/>
          </w:tcPr>
          <w:p w14:paraId="760A4F8B"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049A84B5"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30 – 39 سنة</w:t>
            </w:r>
          </w:p>
        </w:tc>
        <w:tc>
          <w:tcPr>
            <w:tcW w:w="601" w:type="pct"/>
            <w:vAlign w:val="center"/>
            <w:hideMark/>
          </w:tcPr>
          <w:p w14:paraId="36E1C05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114</w:t>
            </w:r>
          </w:p>
        </w:tc>
        <w:tc>
          <w:tcPr>
            <w:tcW w:w="1100" w:type="pct"/>
            <w:vAlign w:val="center"/>
            <w:hideMark/>
          </w:tcPr>
          <w:p w14:paraId="0D9C800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29.70%</w:t>
            </w:r>
          </w:p>
        </w:tc>
      </w:tr>
      <w:tr w:rsidR="001D3D5D" w:rsidRPr="00B322FF" w14:paraId="1DCE9553" w14:textId="77777777" w:rsidTr="00597597">
        <w:trPr>
          <w:trHeight w:val="270"/>
        </w:trPr>
        <w:tc>
          <w:tcPr>
            <w:tcW w:w="1391" w:type="pct"/>
            <w:vMerge/>
            <w:vAlign w:val="center"/>
            <w:hideMark/>
          </w:tcPr>
          <w:p w14:paraId="1670651A"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70E34CEA"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40 – 49 سنة</w:t>
            </w:r>
          </w:p>
        </w:tc>
        <w:tc>
          <w:tcPr>
            <w:tcW w:w="601" w:type="pct"/>
            <w:vAlign w:val="center"/>
            <w:hideMark/>
          </w:tcPr>
          <w:p w14:paraId="5B0AAF3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108</w:t>
            </w:r>
          </w:p>
        </w:tc>
        <w:tc>
          <w:tcPr>
            <w:tcW w:w="1100" w:type="pct"/>
            <w:vAlign w:val="center"/>
            <w:hideMark/>
          </w:tcPr>
          <w:p w14:paraId="43F15EC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28.10%</w:t>
            </w:r>
          </w:p>
        </w:tc>
      </w:tr>
      <w:tr w:rsidR="001D3D5D" w:rsidRPr="00B322FF" w14:paraId="48EB49C2" w14:textId="77777777" w:rsidTr="00597597">
        <w:trPr>
          <w:trHeight w:val="270"/>
        </w:trPr>
        <w:tc>
          <w:tcPr>
            <w:tcW w:w="1391" w:type="pct"/>
            <w:vMerge/>
            <w:vAlign w:val="center"/>
            <w:hideMark/>
          </w:tcPr>
          <w:p w14:paraId="19434322"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447328BF"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50 سنة فأكثر</w:t>
            </w:r>
          </w:p>
        </w:tc>
        <w:tc>
          <w:tcPr>
            <w:tcW w:w="601" w:type="pct"/>
            <w:vAlign w:val="center"/>
            <w:hideMark/>
          </w:tcPr>
          <w:p w14:paraId="10EF067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88</w:t>
            </w:r>
          </w:p>
        </w:tc>
        <w:tc>
          <w:tcPr>
            <w:tcW w:w="1100" w:type="pct"/>
            <w:vAlign w:val="center"/>
            <w:hideMark/>
          </w:tcPr>
          <w:p w14:paraId="3CD816B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22.90%</w:t>
            </w:r>
          </w:p>
        </w:tc>
      </w:tr>
      <w:tr w:rsidR="001D3D5D" w:rsidRPr="00B322FF" w14:paraId="6C3575DA" w14:textId="77777777" w:rsidTr="00597597">
        <w:trPr>
          <w:trHeight w:val="270"/>
        </w:trPr>
        <w:tc>
          <w:tcPr>
            <w:tcW w:w="1391" w:type="pct"/>
            <w:vMerge w:val="restart"/>
            <w:vAlign w:val="center"/>
            <w:hideMark/>
          </w:tcPr>
          <w:p w14:paraId="05797FEE"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المؤهل العلمي</w:t>
            </w:r>
          </w:p>
        </w:tc>
        <w:tc>
          <w:tcPr>
            <w:tcW w:w="1908" w:type="pct"/>
            <w:vAlign w:val="center"/>
            <w:hideMark/>
          </w:tcPr>
          <w:p w14:paraId="212D88E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دبلوم</w:t>
            </w:r>
          </w:p>
        </w:tc>
        <w:tc>
          <w:tcPr>
            <w:tcW w:w="601" w:type="pct"/>
            <w:vAlign w:val="center"/>
            <w:hideMark/>
          </w:tcPr>
          <w:p w14:paraId="6AE8FB2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88</w:t>
            </w:r>
          </w:p>
        </w:tc>
        <w:tc>
          <w:tcPr>
            <w:tcW w:w="1100" w:type="pct"/>
            <w:vAlign w:val="center"/>
            <w:hideMark/>
          </w:tcPr>
          <w:p w14:paraId="06F7D1B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22.90%</w:t>
            </w:r>
          </w:p>
        </w:tc>
      </w:tr>
      <w:tr w:rsidR="001D3D5D" w:rsidRPr="00B322FF" w14:paraId="72C0C4D6" w14:textId="77777777" w:rsidTr="00597597">
        <w:trPr>
          <w:trHeight w:val="270"/>
        </w:trPr>
        <w:tc>
          <w:tcPr>
            <w:tcW w:w="1391" w:type="pct"/>
            <w:vMerge/>
            <w:vAlign w:val="center"/>
            <w:hideMark/>
          </w:tcPr>
          <w:p w14:paraId="59F72F9E"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7AEAB12A"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بكالوريوس</w:t>
            </w:r>
          </w:p>
        </w:tc>
        <w:tc>
          <w:tcPr>
            <w:tcW w:w="601" w:type="pct"/>
            <w:vAlign w:val="center"/>
            <w:hideMark/>
          </w:tcPr>
          <w:p w14:paraId="189B804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201</w:t>
            </w:r>
          </w:p>
        </w:tc>
        <w:tc>
          <w:tcPr>
            <w:tcW w:w="1100" w:type="pct"/>
            <w:vAlign w:val="center"/>
            <w:hideMark/>
          </w:tcPr>
          <w:p w14:paraId="2094425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52.30%</w:t>
            </w:r>
          </w:p>
        </w:tc>
      </w:tr>
      <w:tr w:rsidR="001D3D5D" w:rsidRPr="00B322FF" w14:paraId="52453B20" w14:textId="77777777" w:rsidTr="00597597">
        <w:trPr>
          <w:trHeight w:val="270"/>
        </w:trPr>
        <w:tc>
          <w:tcPr>
            <w:tcW w:w="1391" w:type="pct"/>
            <w:vMerge/>
            <w:vAlign w:val="center"/>
            <w:hideMark/>
          </w:tcPr>
          <w:p w14:paraId="684C3469"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4E8384EC"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ماجستير</w:t>
            </w:r>
          </w:p>
        </w:tc>
        <w:tc>
          <w:tcPr>
            <w:tcW w:w="601" w:type="pct"/>
            <w:vAlign w:val="center"/>
            <w:hideMark/>
          </w:tcPr>
          <w:p w14:paraId="268F375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54</w:t>
            </w:r>
          </w:p>
        </w:tc>
        <w:tc>
          <w:tcPr>
            <w:tcW w:w="1100" w:type="pct"/>
            <w:vAlign w:val="center"/>
            <w:hideMark/>
          </w:tcPr>
          <w:p w14:paraId="5F4AC3C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14.10%</w:t>
            </w:r>
          </w:p>
        </w:tc>
      </w:tr>
      <w:tr w:rsidR="001D3D5D" w:rsidRPr="00B322FF" w14:paraId="0F3E2A65" w14:textId="77777777" w:rsidTr="00597597">
        <w:trPr>
          <w:trHeight w:val="270"/>
        </w:trPr>
        <w:tc>
          <w:tcPr>
            <w:tcW w:w="1391" w:type="pct"/>
            <w:vMerge/>
            <w:vAlign w:val="center"/>
            <w:hideMark/>
          </w:tcPr>
          <w:p w14:paraId="44FA1D4E"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4A431BA4"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دكتوراه</w:t>
            </w:r>
          </w:p>
        </w:tc>
        <w:tc>
          <w:tcPr>
            <w:tcW w:w="601" w:type="pct"/>
            <w:vAlign w:val="center"/>
            <w:hideMark/>
          </w:tcPr>
          <w:p w14:paraId="0B88486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41</w:t>
            </w:r>
          </w:p>
        </w:tc>
        <w:tc>
          <w:tcPr>
            <w:tcW w:w="1100" w:type="pct"/>
            <w:vAlign w:val="center"/>
            <w:hideMark/>
          </w:tcPr>
          <w:p w14:paraId="064E91D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10.70%</w:t>
            </w:r>
          </w:p>
        </w:tc>
      </w:tr>
      <w:tr w:rsidR="001D3D5D" w:rsidRPr="00B322FF" w14:paraId="190E3AE2" w14:textId="77777777" w:rsidTr="00597597">
        <w:trPr>
          <w:trHeight w:val="270"/>
        </w:trPr>
        <w:tc>
          <w:tcPr>
            <w:tcW w:w="1391" w:type="pct"/>
            <w:vMerge w:val="restart"/>
            <w:vAlign w:val="center"/>
            <w:hideMark/>
          </w:tcPr>
          <w:p w14:paraId="5EED2222"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المسمى الوظيفي</w:t>
            </w:r>
          </w:p>
        </w:tc>
        <w:tc>
          <w:tcPr>
            <w:tcW w:w="1908" w:type="pct"/>
            <w:vAlign w:val="center"/>
            <w:hideMark/>
          </w:tcPr>
          <w:p w14:paraId="4A434A1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طبيب</w:t>
            </w:r>
          </w:p>
        </w:tc>
        <w:tc>
          <w:tcPr>
            <w:tcW w:w="601" w:type="pct"/>
            <w:vAlign w:val="center"/>
            <w:hideMark/>
          </w:tcPr>
          <w:p w14:paraId="127E491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113</w:t>
            </w:r>
          </w:p>
        </w:tc>
        <w:tc>
          <w:tcPr>
            <w:tcW w:w="1100" w:type="pct"/>
            <w:vAlign w:val="center"/>
            <w:hideMark/>
          </w:tcPr>
          <w:p w14:paraId="11C6F76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29.40%</w:t>
            </w:r>
          </w:p>
        </w:tc>
      </w:tr>
      <w:tr w:rsidR="001D3D5D" w:rsidRPr="00B322FF" w14:paraId="2C86E4E7" w14:textId="77777777" w:rsidTr="00597597">
        <w:trPr>
          <w:trHeight w:val="270"/>
        </w:trPr>
        <w:tc>
          <w:tcPr>
            <w:tcW w:w="1391" w:type="pct"/>
            <w:vMerge/>
            <w:vAlign w:val="center"/>
            <w:hideMark/>
          </w:tcPr>
          <w:p w14:paraId="51F5AB5E"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58BC28FD"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ممرض</w:t>
            </w:r>
          </w:p>
        </w:tc>
        <w:tc>
          <w:tcPr>
            <w:tcW w:w="601" w:type="pct"/>
            <w:vAlign w:val="center"/>
            <w:hideMark/>
          </w:tcPr>
          <w:p w14:paraId="457D44B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82</w:t>
            </w:r>
          </w:p>
        </w:tc>
        <w:tc>
          <w:tcPr>
            <w:tcW w:w="1100" w:type="pct"/>
            <w:vAlign w:val="center"/>
            <w:hideMark/>
          </w:tcPr>
          <w:p w14:paraId="71C1A29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21.40%</w:t>
            </w:r>
          </w:p>
        </w:tc>
      </w:tr>
      <w:tr w:rsidR="001D3D5D" w:rsidRPr="00B322FF" w14:paraId="4E76FCC1" w14:textId="77777777" w:rsidTr="00597597">
        <w:trPr>
          <w:trHeight w:val="270"/>
        </w:trPr>
        <w:tc>
          <w:tcPr>
            <w:tcW w:w="1391" w:type="pct"/>
            <w:vMerge/>
            <w:vAlign w:val="center"/>
            <w:hideMark/>
          </w:tcPr>
          <w:p w14:paraId="4E08435D"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2E0D31A2"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فني</w:t>
            </w:r>
          </w:p>
        </w:tc>
        <w:tc>
          <w:tcPr>
            <w:tcW w:w="601" w:type="pct"/>
            <w:vAlign w:val="center"/>
            <w:hideMark/>
          </w:tcPr>
          <w:p w14:paraId="4B35EE7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84</w:t>
            </w:r>
          </w:p>
        </w:tc>
        <w:tc>
          <w:tcPr>
            <w:tcW w:w="1100" w:type="pct"/>
            <w:vAlign w:val="center"/>
            <w:hideMark/>
          </w:tcPr>
          <w:p w14:paraId="6F092FA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21.90%</w:t>
            </w:r>
          </w:p>
        </w:tc>
      </w:tr>
      <w:tr w:rsidR="001D3D5D" w:rsidRPr="00B322FF" w14:paraId="5073E486" w14:textId="77777777" w:rsidTr="00597597">
        <w:trPr>
          <w:trHeight w:val="270"/>
        </w:trPr>
        <w:tc>
          <w:tcPr>
            <w:tcW w:w="1391" w:type="pct"/>
            <w:vMerge/>
            <w:vAlign w:val="center"/>
            <w:hideMark/>
          </w:tcPr>
          <w:p w14:paraId="45CB4A29"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22E8DCC4"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إداري</w:t>
            </w:r>
          </w:p>
        </w:tc>
        <w:tc>
          <w:tcPr>
            <w:tcW w:w="601" w:type="pct"/>
            <w:vAlign w:val="center"/>
            <w:hideMark/>
          </w:tcPr>
          <w:p w14:paraId="5A6A04D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105</w:t>
            </w:r>
          </w:p>
        </w:tc>
        <w:tc>
          <w:tcPr>
            <w:tcW w:w="1100" w:type="pct"/>
            <w:vAlign w:val="center"/>
            <w:hideMark/>
          </w:tcPr>
          <w:p w14:paraId="3047E04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27.30%</w:t>
            </w:r>
          </w:p>
        </w:tc>
      </w:tr>
      <w:tr w:rsidR="001D3D5D" w:rsidRPr="00B322FF" w14:paraId="3A3F2760" w14:textId="77777777" w:rsidTr="00597597">
        <w:trPr>
          <w:trHeight w:val="270"/>
        </w:trPr>
        <w:tc>
          <w:tcPr>
            <w:tcW w:w="1391" w:type="pct"/>
            <w:vMerge w:val="restart"/>
            <w:vAlign w:val="center"/>
            <w:hideMark/>
          </w:tcPr>
          <w:p w14:paraId="0912D5A1"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سنوات الخبرة</w:t>
            </w:r>
          </w:p>
        </w:tc>
        <w:tc>
          <w:tcPr>
            <w:tcW w:w="1908" w:type="pct"/>
            <w:vAlign w:val="center"/>
            <w:hideMark/>
          </w:tcPr>
          <w:p w14:paraId="329A390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أقل من 5 سنوات</w:t>
            </w:r>
          </w:p>
        </w:tc>
        <w:tc>
          <w:tcPr>
            <w:tcW w:w="601" w:type="pct"/>
            <w:vAlign w:val="center"/>
            <w:hideMark/>
          </w:tcPr>
          <w:p w14:paraId="6189F26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67</w:t>
            </w:r>
          </w:p>
        </w:tc>
        <w:tc>
          <w:tcPr>
            <w:tcW w:w="1100" w:type="pct"/>
            <w:vAlign w:val="center"/>
            <w:hideMark/>
          </w:tcPr>
          <w:p w14:paraId="0425D3E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17.40%</w:t>
            </w:r>
          </w:p>
        </w:tc>
      </w:tr>
      <w:tr w:rsidR="001D3D5D" w:rsidRPr="00B322FF" w14:paraId="5430D4B7" w14:textId="77777777" w:rsidTr="00597597">
        <w:trPr>
          <w:trHeight w:val="270"/>
        </w:trPr>
        <w:tc>
          <w:tcPr>
            <w:tcW w:w="1391" w:type="pct"/>
            <w:vMerge/>
            <w:vAlign w:val="center"/>
            <w:hideMark/>
          </w:tcPr>
          <w:p w14:paraId="23D65B47"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71787E9E"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5 – 10 سنوات</w:t>
            </w:r>
          </w:p>
        </w:tc>
        <w:tc>
          <w:tcPr>
            <w:tcW w:w="601" w:type="pct"/>
            <w:vAlign w:val="center"/>
            <w:hideMark/>
          </w:tcPr>
          <w:p w14:paraId="369E6CB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104</w:t>
            </w:r>
          </w:p>
        </w:tc>
        <w:tc>
          <w:tcPr>
            <w:tcW w:w="1100" w:type="pct"/>
            <w:vAlign w:val="center"/>
            <w:hideMark/>
          </w:tcPr>
          <w:p w14:paraId="76BD389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27.10%</w:t>
            </w:r>
          </w:p>
        </w:tc>
      </w:tr>
      <w:tr w:rsidR="001D3D5D" w:rsidRPr="00B322FF" w14:paraId="330ECA45" w14:textId="77777777" w:rsidTr="00597597">
        <w:trPr>
          <w:trHeight w:val="270"/>
        </w:trPr>
        <w:tc>
          <w:tcPr>
            <w:tcW w:w="1391" w:type="pct"/>
            <w:vMerge/>
            <w:vAlign w:val="center"/>
            <w:hideMark/>
          </w:tcPr>
          <w:p w14:paraId="705D64D7"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49F28FAE"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أكثر من 10 سنوات</w:t>
            </w:r>
          </w:p>
        </w:tc>
        <w:tc>
          <w:tcPr>
            <w:tcW w:w="601" w:type="pct"/>
            <w:vAlign w:val="center"/>
            <w:hideMark/>
          </w:tcPr>
          <w:p w14:paraId="797EDE8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213</w:t>
            </w:r>
          </w:p>
        </w:tc>
        <w:tc>
          <w:tcPr>
            <w:tcW w:w="1100" w:type="pct"/>
            <w:vAlign w:val="center"/>
            <w:hideMark/>
          </w:tcPr>
          <w:p w14:paraId="132CA6F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55.50%</w:t>
            </w:r>
          </w:p>
        </w:tc>
      </w:tr>
      <w:tr w:rsidR="001D3D5D" w:rsidRPr="00B322FF" w14:paraId="36C30F16" w14:textId="77777777" w:rsidTr="00597597">
        <w:trPr>
          <w:trHeight w:val="270"/>
        </w:trPr>
        <w:tc>
          <w:tcPr>
            <w:tcW w:w="1391" w:type="pct"/>
            <w:vMerge w:val="restart"/>
            <w:vAlign w:val="center"/>
            <w:hideMark/>
          </w:tcPr>
          <w:p w14:paraId="59727FCC"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الحالة الاجتماعية</w:t>
            </w:r>
          </w:p>
        </w:tc>
        <w:tc>
          <w:tcPr>
            <w:tcW w:w="1908" w:type="pct"/>
            <w:vAlign w:val="center"/>
            <w:hideMark/>
          </w:tcPr>
          <w:p w14:paraId="189DA0E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أعزب</w:t>
            </w:r>
          </w:p>
        </w:tc>
        <w:tc>
          <w:tcPr>
            <w:tcW w:w="601" w:type="pct"/>
            <w:vAlign w:val="center"/>
            <w:hideMark/>
          </w:tcPr>
          <w:p w14:paraId="7233B2E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96</w:t>
            </w:r>
          </w:p>
        </w:tc>
        <w:tc>
          <w:tcPr>
            <w:tcW w:w="1100" w:type="pct"/>
            <w:vAlign w:val="center"/>
            <w:hideMark/>
          </w:tcPr>
          <w:p w14:paraId="4463766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25.00%</w:t>
            </w:r>
          </w:p>
        </w:tc>
      </w:tr>
      <w:tr w:rsidR="001D3D5D" w:rsidRPr="00B322FF" w14:paraId="06FDCF87" w14:textId="77777777" w:rsidTr="00597597">
        <w:trPr>
          <w:trHeight w:val="270"/>
        </w:trPr>
        <w:tc>
          <w:tcPr>
            <w:tcW w:w="1391" w:type="pct"/>
            <w:vMerge/>
            <w:vAlign w:val="center"/>
            <w:hideMark/>
          </w:tcPr>
          <w:p w14:paraId="74269083"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0682E369"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متزوج</w:t>
            </w:r>
          </w:p>
        </w:tc>
        <w:tc>
          <w:tcPr>
            <w:tcW w:w="601" w:type="pct"/>
            <w:vAlign w:val="center"/>
            <w:hideMark/>
          </w:tcPr>
          <w:p w14:paraId="665AE35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255</w:t>
            </w:r>
          </w:p>
        </w:tc>
        <w:tc>
          <w:tcPr>
            <w:tcW w:w="1100" w:type="pct"/>
            <w:vAlign w:val="center"/>
            <w:hideMark/>
          </w:tcPr>
          <w:p w14:paraId="47CFB92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66.40%</w:t>
            </w:r>
          </w:p>
        </w:tc>
      </w:tr>
      <w:tr w:rsidR="001D3D5D" w:rsidRPr="00B322FF" w14:paraId="2C5E70D5" w14:textId="77777777" w:rsidTr="00597597">
        <w:trPr>
          <w:trHeight w:val="270"/>
        </w:trPr>
        <w:tc>
          <w:tcPr>
            <w:tcW w:w="1391" w:type="pct"/>
            <w:vMerge/>
            <w:vAlign w:val="center"/>
            <w:hideMark/>
          </w:tcPr>
          <w:p w14:paraId="520F2BC8"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2B0F8B46"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أخرى</w:t>
            </w:r>
          </w:p>
        </w:tc>
        <w:tc>
          <w:tcPr>
            <w:tcW w:w="601" w:type="pct"/>
            <w:vAlign w:val="center"/>
            <w:hideMark/>
          </w:tcPr>
          <w:p w14:paraId="0E5EBA5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33</w:t>
            </w:r>
          </w:p>
        </w:tc>
        <w:tc>
          <w:tcPr>
            <w:tcW w:w="1100" w:type="pct"/>
            <w:vAlign w:val="center"/>
            <w:hideMark/>
          </w:tcPr>
          <w:p w14:paraId="631EB6F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8.60%</w:t>
            </w:r>
          </w:p>
        </w:tc>
      </w:tr>
      <w:tr w:rsidR="001D3D5D" w:rsidRPr="00B322FF" w14:paraId="1D8017C0" w14:textId="77777777" w:rsidTr="00597597">
        <w:trPr>
          <w:trHeight w:val="270"/>
        </w:trPr>
        <w:tc>
          <w:tcPr>
            <w:tcW w:w="1391" w:type="pct"/>
            <w:vMerge w:val="restart"/>
            <w:vAlign w:val="center"/>
            <w:hideMark/>
          </w:tcPr>
          <w:p w14:paraId="3E1B7751"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الدخل الشهري</w:t>
            </w:r>
          </w:p>
        </w:tc>
        <w:tc>
          <w:tcPr>
            <w:tcW w:w="1908" w:type="pct"/>
            <w:vAlign w:val="center"/>
            <w:hideMark/>
          </w:tcPr>
          <w:p w14:paraId="3EBD336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أقل من 7000 ريال</w:t>
            </w:r>
          </w:p>
        </w:tc>
        <w:tc>
          <w:tcPr>
            <w:tcW w:w="601" w:type="pct"/>
            <w:vAlign w:val="center"/>
            <w:hideMark/>
          </w:tcPr>
          <w:p w14:paraId="7B6982C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12</w:t>
            </w:r>
          </w:p>
        </w:tc>
        <w:tc>
          <w:tcPr>
            <w:tcW w:w="1100" w:type="pct"/>
            <w:vAlign w:val="center"/>
            <w:hideMark/>
          </w:tcPr>
          <w:p w14:paraId="19CB0B6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3.10%</w:t>
            </w:r>
          </w:p>
        </w:tc>
      </w:tr>
      <w:tr w:rsidR="001D3D5D" w:rsidRPr="00B322FF" w14:paraId="26922E55" w14:textId="77777777" w:rsidTr="00597597">
        <w:trPr>
          <w:trHeight w:val="270"/>
        </w:trPr>
        <w:tc>
          <w:tcPr>
            <w:tcW w:w="1391" w:type="pct"/>
            <w:vMerge/>
            <w:vAlign w:val="center"/>
            <w:hideMark/>
          </w:tcPr>
          <w:p w14:paraId="561BEB3A"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081BFF0B"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7000 – 12000 ريال</w:t>
            </w:r>
          </w:p>
        </w:tc>
        <w:tc>
          <w:tcPr>
            <w:tcW w:w="601" w:type="pct"/>
            <w:vAlign w:val="center"/>
            <w:hideMark/>
          </w:tcPr>
          <w:p w14:paraId="3513FCD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72</w:t>
            </w:r>
          </w:p>
        </w:tc>
        <w:tc>
          <w:tcPr>
            <w:tcW w:w="1100" w:type="pct"/>
            <w:vAlign w:val="center"/>
            <w:hideMark/>
          </w:tcPr>
          <w:p w14:paraId="5AD7DEF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18.80%</w:t>
            </w:r>
          </w:p>
        </w:tc>
      </w:tr>
      <w:tr w:rsidR="001D3D5D" w:rsidRPr="00B322FF" w14:paraId="744B9AF2" w14:textId="77777777" w:rsidTr="00597597">
        <w:trPr>
          <w:trHeight w:val="285"/>
        </w:trPr>
        <w:tc>
          <w:tcPr>
            <w:tcW w:w="1391" w:type="pct"/>
            <w:vMerge/>
            <w:vAlign w:val="center"/>
            <w:hideMark/>
          </w:tcPr>
          <w:p w14:paraId="510842FA" w14:textId="77777777" w:rsidR="001D3D5D" w:rsidRPr="00B322FF" w:rsidRDefault="001D3D5D" w:rsidP="00B527E5">
            <w:pPr>
              <w:jc w:val="center"/>
              <w:rPr>
                <w:rFonts w:ascii="Simplified Arabic" w:eastAsia="Times New Roman" w:hAnsi="Simplified Arabic" w:cs="Simplified Arabic"/>
                <w:b/>
                <w:bCs/>
              </w:rPr>
            </w:pPr>
          </w:p>
        </w:tc>
        <w:tc>
          <w:tcPr>
            <w:tcW w:w="1908" w:type="pct"/>
            <w:vAlign w:val="center"/>
            <w:hideMark/>
          </w:tcPr>
          <w:p w14:paraId="44FE5154"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أكثر من 12000 ريال</w:t>
            </w:r>
          </w:p>
        </w:tc>
        <w:tc>
          <w:tcPr>
            <w:tcW w:w="601" w:type="pct"/>
            <w:vAlign w:val="center"/>
            <w:hideMark/>
          </w:tcPr>
          <w:p w14:paraId="6B82DB8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300</w:t>
            </w:r>
          </w:p>
        </w:tc>
        <w:tc>
          <w:tcPr>
            <w:tcW w:w="1100" w:type="pct"/>
            <w:vAlign w:val="center"/>
            <w:hideMark/>
          </w:tcPr>
          <w:p w14:paraId="162DC0D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78.10%</w:t>
            </w:r>
          </w:p>
        </w:tc>
      </w:tr>
    </w:tbl>
    <w:p w14:paraId="13842184" w14:textId="77777777" w:rsidR="00A61A27" w:rsidRPr="00177514" w:rsidRDefault="0089331B" w:rsidP="000663CD">
      <w:pPr>
        <w:spacing w:before="40" w:after="120"/>
        <w:rPr>
          <w:rFonts w:ascii="Simplified Arabic" w:hAnsi="Simplified Arabic" w:cs="Simplified Arabic"/>
          <w:sz w:val="22"/>
          <w:szCs w:val="22"/>
        </w:rPr>
      </w:pPr>
      <w:r w:rsidRPr="00177514">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4F067222"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ويتضح من الجدول (</w:t>
      </w:r>
      <w:r w:rsidR="00CD70F3">
        <w:rPr>
          <w:rFonts w:ascii="Simplified Arabic" w:hAnsi="Simplified Arabic" w:cs="Simplified Arabic" w:hint="cs"/>
          <w:sz w:val="28"/>
          <w:szCs w:val="28"/>
          <w:rtl/>
        </w:rPr>
        <w:t>٤-1</w:t>
      </w:r>
      <w:r w:rsidRPr="00B322FF">
        <w:rPr>
          <w:rFonts w:ascii="Simplified Arabic" w:hAnsi="Simplified Arabic" w:cs="Simplified Arabic" w:hint="cs"/>
          <w:sz w:val="28"/>
          <w:szCs w:val="28"/>
          <w:rtl/>
        </w:rPr>
        <w:t xml:space="preserve">) ما يلي: </w:t>
      </w:r>
    </w:p>
    <w:p w14:paraId="4555707F"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تشير البيانات الوصفية للعينة إلى أن نسبة الذكور بلغت (54.4%)، وهي النسبة الأعلى مقارنة بالإناث. وفيما يخص التوزيع العمري، نجد تقارباً في الفئات العمرية مع تصدر الفئة (30-39 سنة) بنسبة (29.7%)، تليها الفئة (40-49 سنة) بنسبة (28.1%). أما من الناحية الأكاديمية، فقد استحوذ حملة درجة البكالوريوس على النصيب الأكبر بنسبة (52.3%)، مما يعكس مستوى تعليمياً جيداً لدى أفراد العينة.</w:t>
      </w:r>
    </w:p>
    <w:p w14:paraId="79C9926C"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وعلى صعيد الخبرة المهنية، نلاحظ أن غالبية المبحوثين يمتلكون خبرة طويلة تتجاوز 10 سنوات بنسبة بلغت (55.5%)، وهو مؤشر جوهري يعطي وزناً كبيراً للنتائج لكون العينة تمتلك نضجاً مهنياً كافياً لتقييم متغيرات الدراسة. كما يظهر التوزيع المادي أن الغالبية العظمى (78.1%) يقع دخلهم في الفئة الأعلى (أكثر من 12000 ريال)، وهي خاصية ترتبط غالباً بطبيعة الكوادر الطبية المتخصصة وسنوات الخبرة الطويلة الموضحة سابقاً.</w:t>
      </w:r>
    </w:p>
    <w:p w14:paraId="450334B7" w14:textId="77777777" w:rsidR="001D3D5D" w:rsidRPr="00B322FF" w:rsidRDefault="001D3D5D" w:rsidP="006C4CDD">
      <w:pPr>
        <w:pStyle w:val="ac"/>
        <w:numPr>
          <w:ilvl w:val="0"/>
          <w:numId w:val="12"/>
        </w:numPr>
        <w:bidi/>
        <w:jc w:val="both"/>
        <w:rPr>
          <w:rFonts w:ascii="Simplified Arabic" w:hAnsi="Simplified Arabic" w:cs="Simplified Arabic"/>
          <w:b/>
          <w:bCs/>
          <w:kern w:val="2"/>
          <w:sz w:val="32"/>
          <w:szCs w:val="32"/>
          <w:rtl/>
          <w:lang w:bidi="ar-YE"/>
          <w14:ligatures w14:val="standardContextual"/>
        </w:rPr>
      </w:pPr>
      <w:r w:rsidRPr="00B322FF">
        <w:rPr>
          <w:rFonts w:ascii="Simplified Arabic" w:hAnsi="Simplified Arabic" w:cs="Simplified Arabic" w:hint="cs"/>
          <w:b/>
          <w:bCs/>
          <w:kern w:val="2"/>
          <w:sz w:val="32"/>
          <w:szCs w:val="32"/>
          <w:rtl/>
          <w:lang w:bidi="ar-YE"/>
          <w14:ligatures w14:val="standardContextual"/>
        </w:rPr>
        <w:t>الإحصاءات الوصفية لمتغيرات الدراسة الرئيسية</w:t>
      </w:r>
    </w:p>
    <w:p w14:paraId="270A3782" w14:textId="77777777" w:rsidR="001D3D5D"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تم استخراج المتوسطات الحسابية والانحرافات المعيارية لتمثيل درجة استجابة المبحوثين تجاه محاور الدراسة الأربعة، وذلك للوقوف على الاتجاه العام لكل متغير وفقاً لمقياس ليكرت الخماسي:</w:t>
      </w:r>
    </w:p>
    <w:p w14:paraId="4E0046B3" w14:textId="77777777" w:rsidR="00891197" w:rsidRDefault="00891197" w:rsidP="00891197">
      <w:pPr>
        <w:pStyle w:val="ac"/>
        <w:bidi/>
        <w:jc w:val="both"/>
        <w:rPr>
          <w:rFonts w:ascii="Simplified Arabic" w:hAnsi="Simplified Arabic" w:cs="Simplified Arabic"/>
          <w:sz w:val="28"/>
          <w:szCs w:val="28"/>
          <w:rtl/>
        </w:rPr>
      </w:pPr>
    </w:p>
    <w:p w14:paraId="7BA51E03" w14:textId="77777777" w:rsidR="0034028E" w:rsidRPr="00B322FF" w:rsidRDefault="0034028E" w:rsidP="0034028E">
      <w:pPr>
        <w:pStyle w:val="ac"/>
        <w:bidi/>
        <w:jc w:val="both"/>
        <w:rPr>
          <w:rFonts w:ascii="Simplified Arabic" w:hAnsi="Simplified Arabic" w:cs="Simplified Arabic"/>
          <w:sz w:val="28"/>
          <w:szCs w:val="28"/>
          <w:rtl/>
        </w:rPr>
      </w:pPr>
    </w:p>
    <w:p w14:paraId="087D42E4"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2179E0">
        <w:rPr>
          <w:rFonts w:ascii="Simplified Arabic" w:hAnsi="Simplified Arabic" w:cs="Simplified Arabic" w:hint="cs"/>
          <w:b/>
          <w:bCs/>
          <w:kern w:val="2"/>
          <w:rtl/>
          <w14:ligatures w14:val="standardContextual"/>
        </w:rPr>
        <w:t>٤-٢</w:t>
      </w:r>
      <w:r w:rsidRPr="00B322FF">
        <w:rPr>
          <w:rFonts w:ascii="Simplified Arabic" w:hAnsi="Simplified Arabic" w:cs="Simplified Arabic" w:hint="cs"/>
          <w:b/>
          <w:bCs/>
          <w:kern w:val="2"/>
          <w:rtl/>
          <w14:ligatures w14:val="standardContextual"/>
        </w:rPr>
        <w:t>): المتوسطات الحسابية والانحرافات المعيارية لمتغيرات الدراسة</w:t>
      </w:r>
    </w:p>
    <w:tbl>
      <w:tblPr>
        <w:tblStyle w:val="af"/>
        <w:bidiVisual/>
        <w:tblW w:w="5000" w:type="pct"/>
        <w:tblLook w:val="06A0" w:firstRow="1" w:lastRow="0" w:firstColumn="1" w:lastColumn="0" w:noHBand="1" w:noVBand="1"/>
      </w:tblPr>
      <w:tblGrid>
        <w:gridCol w:w="2875"/>
        <w:gridCol w:w="1894"/>
        <w:gridCol w:w="2103"/>
        <w:gridCol w:w="1367"/>
        <w:gridCol w:w="777"/>
      </w:tblGrid>
      <w:tr w:rsidR="001D3D5D" w:rsidRPr="00B322FF" w14:paraId="3F584263" w14:textId="77777777" w:rsidTr="00597597">
        <w:trPr>
          <w:trHeight w:val="270"/>
        </w:trPr>
        <w:tc>
          <w:tcPr>
            <w:tcW w:w="1594" w:type="pct"/>
            <w:vAlign w:val="center"/>
            <w:hideMark/>
          </w:tcPr>
          <w:p w14:paraId="487BEA96"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1050" w:type="pct"/>
            <w:vAlign w:val="center"/>
            <w:hideMark/>
          </w:tcPr>
          <w:p w14:paraId="54E35A7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المتوسط الحسابي</w:t>
            </w:r>
          </w:p>
        </w:tc>
        <w:tc>
          <w:tcPr>
            <w:tcW w:w="1166" w:type="pct"/>
            <w:vAlign w:val="center"/>
            <w:hideMark/>
          </w:tcPr>
          <w:p w14:paraId="3111E570"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الانحراف المعياري</w:t>
            </w:r>
          </w:p>
        </w:tc>
        <w:tc>
          <w:tcPr>
            <w:tcW w:w="758" w:type="pct"/>
            <w:vAlign w:val="center"/>
            <w:hideMark/>
          </w:tcPr>
          <w:p w14:paraId="169BD69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الاتجاه العام</w:t>
            </w:r>
          </w:p>
        </w:tc>
        <w:tc>
          <w:tcPr>
            <w:tcW w:w="431" w:type="pct"/>
            <w:vAlign w:val="center"/>
            <w:hideMark/>
          </w:tcPr>
          <w:p w14:paraId="73848E69"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الرتبة</w:t>
            </w:r>
          </w:p>
        </w:tc>
      </w:tr>
      <w:tr w:rsidR="001D3D5D" w:rsidRPr="00B322FF" w14:paraId="6A548209" w14:textId="77777777" w:rsidTr="00597597">
        <w:trPr>
          <w:trHeight w:val="270"/>
        </w:trPr>
        <w:tc>
          <w:tcPr>
            <w:tcW w:w="1594" w:type="pct"/>
            <w:vAlign w:val="center"/>
            <w:hideMark/>
          </w:tcPr>
          <w:p w14:paraId="37F7AD8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1050" w:type="pct"/>
            <w:vAlign w:val="center"/>
            <w:hideMark/>
          </w:tcPr>
          <w:p w14:paraId="33C9CF0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3.59</w:t>
            </w:r>
          </w:p>
        </w:tc>
        <w:tc>
          <w:tcPr>
            <w:tcW w:w="1166" w:type="pct"/>
            <w:vAlign w:val="center"/>
            <w:hideMark/>
          </w:tcPr>
          <w:p w14:paraId="6018A42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0.83</w:t>
            </w:r>
          </w:p>
        </w:tc>
        <w:tc>
          <w:tcPr>
            <w:tcW w:w="758" w:type="pct"/>
            <w:vAlign w:val="center"/>
            <w:hideMark/>
          </w:tcPr>
          <w:p w14:paraId="2C5E26C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مرتفع</w:t>
            </w:r>
          </w:p>
        </w:tc>
        <w:tc>
          <w:tcPr>
            <w:tcW w:w="431" w:type="pct"/>
            <w:vAlign w:val="center"/>
            <w:hideMark/>
          </w:tcPr>
          <w:p w14:paraId="3301E25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r>
      <w:tr w:rsidR="001D3D5D" w:rsidRPr="00B322FF" w14:paraId="340C93E1" w14:textId="77777777" w:rsidTr="00597597">
        <w:trPr>
          <w:trHeight w:val="270"/>
        </w:trPr>
        <w:tc>
          <w:tcPr>
            <w:tcW w:w="1594" w:type="pct"/>
            <w:vAlign w:val="center"/>
            <w:hideMark/>
          </w:tcPr>
          <w:p w14:paraId="470D851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رفاهية الموظفين</w:t>
            </w:r>
          </w:p>
        </w:tc>
        <w:tc>
          <w:tcPr>
            <w:tcW w:w="1050" w:type="pct"/>
            <w:vAlign w:val="center"/>
            <w:hideMark/>
          </w:tcPr>
          <w:p w14:paraId="6CB7737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3.44</w:t>
            </w:r>
          </w:p>
        </w:tc>
        <w:tc>
          <w:tcPr>
            <w:tcW w:w="1166" w:type="pct"/>
            <w:vAlign w:val="center"/>
            <w:hideMark/>
          </w:tcPr>
          <w:p w14:paraId="54D540D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0.84</w:t>
            </w:r>
          </w:p>
        </w:tc>
        <w:tc>
          <w:tcPr>
            <w:tcW w:w="758" w:type="pct"/>
            <w:vAlign w:val="center"/>
            <w:hideMark/>
          </w:tcPr>
          <w:p w14:paraId="14267E1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مرتفع</w:t>
            </w:r>
          </w:p>
        </w:tc>
        <w:tc>
          <w:tcPr>
            <w:tcW w:w="431" w:type="pct"/>
            <w:vAlign w:val="center"/>
            <w:hideMark/>
          </w:tcPr>
          <w:p w14:paraId="23C0BC8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r>
      <w:tr w:rsidR="001D3D5D" w:rsidRPr="00B322FF" w14:paraId="1F7D8330" w14:textId="77777777" w:rsidTr="00597597">
        <w:trPr>
          <w:trHeight w:val="270"/>
        </w:trPr>
        <w:tc>
          <w:tcPr>
            <w:tcW w:w="1594" w:type="pct"/>
            <w:vAlign w:val="center"/>
            <w:hideMark/>
          </w:tcPr>
          <w:p w14:paraId="6191F19B"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بيئة العمل النفسية المستدامة</w:t>
            </w:r>
          </w:p>
        </w:tc>
        <w:tc>
          <w:tcPr>
            <w:tcW w:w="1050" w:type="pct"/>
            <w:vAlign w:val="center"/>
            <w:hideMark/>
          </w:tcPr>
          <w:p w14:paraId="36EEC37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3.37</w:t>
            </w:r>
          </w:p>
        </w:tc>
        <w:tc>
          <w:tcPr>
            <w:tcW w:w="1166" w:type="pct"/>
            <w:vAlign w:val="center"/>
            <w:hideMark/>
          </w:tcPr>
          <w:p w14:paraId="00CD854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w:t>
            </w:r>
          </w:p>
        </w:tc>
        <w:tc>
          <w:tcPr>
            <w:tcW w:w="758" w:type="pct"/>
            <w:vAlign w:val="center"/>
            <w:hideMark/>
          </w:tcPr>
          <w:p w14:paraId="677D93A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متوسط</w:t>
            </w:r>
          </w:p>
        </w:tc>
        <w:tc>
          <w:tcPr>
            <w:tcW w:w="431" w:type="pct"/>
            <w:vAlign w:val="center"/>
            <w:hideMark/>
          </w:tcPr>
          <w:p w14:paraId="57958E3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r>
      <w:tr w:rsidR="001D3D5D" w:rsidRPr="00B322FF" w14:paraId="714E89F1" w14:textId="77777777" w:rsidTr="00597597">
        <w:trPr>
          <w:trHeight w:val="270"/>
        </w:trPr>
        <w:tc>
          <w:tcPr>
            <w:tcW w:w="1594" w:type="pct"/>
            <w:vAlign w:val="center"/>
            <w:hideMark/>
          </w:tcPr>
          <w:p w14:paraId="2D1E8C8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الاحتراق الوظيفي</w:t>
            </w:r>
          </w:p>
        </w:tc>
        <w:tc>
          <w:tcPr>
            <w:tcW w:w="1050" w:type="pct"/>
            <w:vAlign w:val="center"/>
            <w:hideMark/>
          </w:tcPr>
          <w:p w14:paraId="0802B4F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2.95</w:t>
            </w:r>
          </w:p>
        </w:tc>
        <w:tc>
          <w:tcPr>
            <w:tcW w:w="1166" w:type="pct"/>
            <w:vAlign w:val="center"/>
            <w:hideMark/>
          </w:tcPr>
          <w:p w14:paraId="6AE56D5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0.99</w:t>
            </w:r>
          </w:p>
        </w:tc>
        <w:tc>
          <w:tcPr>
            <w:tcW w:w="758" w:type="pct"/>
            <w:vAlign w:val="center"/>
            <w:hideMark/>
          </w:tcPr>
          <w:p w14:paraId="7EA0042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متوسط</w:t>
            </w:r>
          </w:p>
        </w:tc>
        <w:tc>
          <w:tcPr>
            <w:tcW w:w="431" w:type="pct"/>
            <w:vAlign w:val="center"/>
            <w:hideMark/>
          </w:tcPr>
          <w:p w14:paraId="5BCD62A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w:t>
            </w:r>
          </w:p>
        </w:tc>
      </w:tr>
    </w:tbl>
    <w:p w14:paraId="6D0EC441" w14:textId="77777777" w:rsidR="00A61A27" w:rsidRPr="00A374A1" w:rsidRDefault="0089331B" w:rsidP="000663CD">
      <w:pPr>
        <w:spacing w:before="40" w:after="120"/>
        <w:rPr>
          <w:rFonts w:ascii="Simplified Arabic" w:hAnsi="Simplified Arabic" w:cs="Simplified Arabic"/>
          <w:sz w:val="22"/>
          <w:szCs w:val="22"/>
        </w:rPr>
      </w:pPr>
      <w:r w:rsidRPr="00A374A1">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6A8BEC6B" w14:textId="77777777" w:rsidR="001D3D5D" w:rsidRPr="00B322FF" w:rsidRDefault="001D3D5D" w:rsidP="00B527E5">
      <w:pPr>
        <w:spacing w:before="240" w:line="240" w:lineRule="auto"/>
        <w:jc w:val="both"/>
        <w:rPr>
          <w:rFonts w:ascii="Simplified Arabic" w:hAnsi="Simplified Arabic" w:cs="Simplified Arabic"/>
          <w:sz w:val="28"/>
          <w:szCs w:val="28"/>
          <w:rtl/>
          <w:lang w:bidi="ar-YE"/>
        </w:rPr>
      </w:pPr>
      <w:r w:rsidRPr="00B322FF">
        <w:rPr>
          <w:rFonts w:ascii="Simplified Arabic" w:hAnsi="Simplified Arabic" w:cs="Simplified Arabic" w:hint="cs"/>
          <w:sz w:val="28"/>
          <w:szCs w:val="28"/>
          <w:rtl/>
          <w:lang w:bidi="ar-YE"/>
        </w:rPr>
        <w:t>ويتضح من الجدول (</w:t>
      </w:r>
      <w:r w:rsidR="002179E0">
        <w:rPr>
          <w:rFonts w:ascii="Simplified Arabic" w:hAnsi="Simplified Arabic" w:cs="Simplified Arabic" w:hint="cs"/>
          <w:sz w:val="28"/>
          <w:szCs w:val="28"/>
          <w:rtl/>
          <w:lang w:bidi="ar-YE"/>
        </w:rPr>
        <w:t>٤-2</w:t>
      </w:r>
      <w:r w:rsidRPr="00B322FF">
        <w:rPr>
          <w:rFonts w:ascii="Simplified Arabic" w:hAnsi="Simplified Arabic" w:cs="Simplified Arabic" w:hint="cs"/>
          <w:sz w:val="28"/>
          <w:szCs w:val="28"/>
          <w:rtl/>
          <w:lang w:bidi="ar-YE"/>
        </w:rPr>
        <w:t xml:space="preserve">) ما يلي: </w:t>
      </w:r>
    </w:p>
    <w:p w14:paraId="14F9B9FD" w14:textId="77777777" w:rsidR="001D3D5D" w:rsidRPr="00B322FF" w:rsidRDefault="001D3D5D" w:rsidP="00B527E5">
      <w:pPr>
        <w:spacing w:line="240" w:lineRule="auto"/>
        <w:jc w:val="both"/>
        <w:rPr>
          <w:rFonts w:ascii="Simplified Arabic" w:hAnsi="Simplified Arabic" w:cs="Simplified Arabic"/>
          <w:sz w:val="28"/>
          <w:szCs w:val="28"/>
          <w:rtl/>
          <w:lang w:bidi="ar-YE"/>
        </w:rPr>
      </w:pPr>
      <w:r w:rsidRPr="00B322FF">
        <w:rPr>
          <w:rFonts w:ascii="Simplified Arabic" w:hAnsi="Simplified Arabic" w:cs="Simplified Arabic" w:hint="cs"/>
          <w:sz w:val="28"/>
          <w:szCs w:val="28"/>
          <w:rtl/>
          <w:lang w:bidi="ar-YE"/>
        </w:rPr>
        <w:t>أظهرت النتائج الوصفية تبايناً في مستويات المتغيرات البحثية؛ حيث حلَّ متغير التحول الصحي في المرتبة الأولى بمتوسط حسابي قدره (3.59)، مما يعكس تقييماً إيجابياً مرتفعاً من قبل الكوادر الصحية لبرامج التحول الصحي ودورها في جودة الخدمات. كما جاء متغير رفاهية الموظفين في المرتبة الثانية بمتوسط (3.44)، وهو يقع أيضاً ضمن النطاق المرتفع، مما يشير إلى شعور المبحوثين بمستوى جيد من الاستقرار الجسدي والنفسي في ظل الظروف الراهنة.</w:t>
      </w:r>
    </w:p>
    <w:p w14:paraId="4B60CEB7" w14:textId="77777777" w:rsidR="001D3D5D" w:rsidRPr="001919D1" w:rsidRDefault="001D3D5D" w:rsidP="001919D1">
      <w:pPr>
        <w:spacing w:line="240" w:lineRule="auto"/>
        <w:jc w:val="both"/>
        <w:rPr>
          <w:rFonts w:ascii="Simplified Arabic" w:hAnsi="Simplified Arabic" w:cs="Simplified Arabic"/>
          <w:sz w:val="28"/>
          <w:szCs w:val="28"/>
          <w:rtl/>
          <w:lang w:bidi="ar-YE"/>
        </w:rPr>
      </w:pPr>
      <w:r w:rsidRPr="00B322FF">
        <w:rPr>
          <w:rFonts w:ascii="Times New Roman" w:hAnsi="Times New Roman" w:cs="Times New Roman" w:hint="cs"/>
          <w:sz w:val="28"/>
          <w:szCs w:val="28"/>
          <w:rtl/>
          <w:lang w:bidi="ar-YE"/>
        </w:rPr>
        <w:t>​</w:t>
      </w:r>
      <w:r w:rsidRPr="00B322FF">
        <w:rPr>
          <w:rFonts w:ascii="Simplified Arabic" w:hAnsi="Simplified Arabic" w:cs="Simplified Arabic" w:hint="cs"/>
          <w:sz w:val="28"/>
          <w:szCs w:val="28"/>
          <w:rtl/>
          <w:lang w:bidi="ar-YE"/>
        </w:rPr>
        <w:t>في المقابل، سجل متغير بيئة العمل النفسية المستدامة متوسطاً حسابياً قدره (3.37)، مما يضعه في النطاق المتوسط المائل للارتفاع، وهو ما قد يعزى إلى وجود بعض التحديات التنظيمية التي تصاحب مراحل التحول الكبرى. أما بالنسبة لمتغير الاحتراق الوظيفي، فقد سجل أدنى متوسط حسابي (2.95)، وهو مؤشر يقع في النطاق المتوسط، إلا أنه يميل للانخفاض، وهو أمر إيجابي في الدراسات المتعلقة بالضغوط المهنية، مع ملاحظة أن الانحراف المعياري لهذا المتغير (0.99) هو الأعلى، مما يدل على تباين استجابات الموظفين وتفاوت شعورهم بالإجهاد النفسي بناءً على ظروف عملهم الفردية.</w:t>
      </w:r>
    </w:p>
    <w:p w14:paraId="5BE717F9" w14:textId="77777777" w:rsidR="001D3D5D" w:rsidRPr="000C5D98" w:rsidRDefault="001D3D5D" w:rsidP="000C5D98">
      <w:pPr>
        <w:pStyle w:val="2"/>
        <w:rPr>
          <w:b w:val="0"/>
          <w:bCs/>
          <w:lang w:bidi="ar-YE"/>
        </w:rPr>
      </w:pPr>
      <w:bookmarkStart w:id="48" w:name="_Toc235119058"/>
      <w:r w:rsidRPr="000C5D98">
        <w:rPr>
          <w:rFonts w:hint="cs"/>
          <w:b w:val="0"/>
          <w:bCs/>
          <w:rtl/>
          <w:lang w:bidi="ar-YE"/>
        </w:rPr>
        <w:t>ثانياً: اختبار فروض الدراسة</w:t>
      </w:r>
      <w:bookmarkEnd w:id="48"/>
    </w:p>
    <w:p w14:paraId="4B8F8EF6"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لتحقيق أهداف الدراسة واختبار صحة فروضها، تم الاعتماد على مجموعة من الأساليب الإحصائية الاستدلالية. تبدأ هذه المرحلة بتحليل الارتباط للكشف عن طبيعة وقوة العلاقات البينية بين المتغيرات، يليه تحليل الانحدار لاختبار علاقات الأثر والتنبؤ، وصولاً إلى اختبارات الفروق الجوهرية.</w:t>
      </w:r>
    </w:p>
    <w:p w14:paraId="5D6C5599" w14:textId="77777777" w:rsidR="001D3D5D" w:rsidRPr="00B322FF" w:rsidRDefault="001D3D5D" w:rsidP="006C4CDD">
      <w:pPr>
        <w:pStyle w:val="ac"/>
        <w:numPr>
          <w:ilvl w:val="0"/>
          <w:numId w:val="13"/>
        </w:numPr>
        <w:bidi/>
        <w:jc w:val="both"/>
        <w:rPr>
          <w:rFonts w:ascii="Simplified Arabic" w:hAnsi="Simplified Arabic" w:cs="Simplified Arabic"/>
          <w:b/>
          <w:bCs/>
          <w:kern w:val="2"/>
          <w:sz w:val="32"/>
          <w:szCs w:val="32"/>
          <w:rtl/>
          <w:lang w:bidi="ar-YE"/>
          <w14:ligatures w14:val="standardContextual"/>
        </w:rPr>
      </w:pPr>
      <w:r w:rsidRPr="00B322FF">
        <w:rPr>
          <w:rFonts w:hint="cs"/>
          <w:sz w:val="28"/>
          <w:szCs w:val="28"/>
          <w:rtl/>
        </w:rPr>
        <w:t>​</w:t>
      </w:r>
      <w:r w:rsidRPr="00B322FF">
        <w:rPr>
          <w:rFonts w:ascii="Simplified Arabic" w:hAnsi="Simplified Arabic" w:cs="Simplified Arabic" w:hint="cs"/>
          <w:b/>
          <w:bCs/>
          <w:kern w:val="2"/>
          <w:sz w:val="32"/>
          <w:szCs w:val="32"/>
          <w:rtl/>
          <w:lang w:bidi="ar-YE"/>
          <w14:ligatures w14:val="standardContextual"/>
        </w:rPr>
        <w:t xml:space="preserve">تحليل الارتباط لبيرسون </w:t>
      </w:r>
    </w:p>
    <w:p w14:paraId="201CAD72"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lastRenderedPageBreak/>
        <w:t>​</w:t>
      </w:r>
      <w:r w:rsidRPr="00B322FF">
        <w:rPr>
          <w:rFonts w:ascii="Simplified Arabic" w:hAnsi="Simplified Arabic" w:cs="Simplified Arabic" w:hint="cs"/>
          <w:sz w:val="28"/>
          <w:szCs w:val="28"/>
          <w:rtl/>
        </w:rPr>
        <w:t>تم حساب معامل ارتباط بيرسون للكشف عن نوع وقوة العلاقة بين متغيرات الدراسة الرئيسية: (التحول الصحي، بيئة العمل النفسية المستدامة، رفاهية الموظفين، والاحتراق الوظيفي). يوضح الجدول التالي مصفوفة الارتباط الكلية لهذه المتغيرات:</w:t>
      </w:r>
    </w:p>
    <w:p w14:paraId="0736A03F"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2179E0">
        <w:rPr>
          <w:rFonts w:ascii="Simplified Arabic" w:hAnsi="Simplified Arabic" w:cs="Simplified Arabic" w:hint="cs"/>
          <w:b/>
          <w:bCs/>
          <w:kern w:val="2"/>
          <w:rtl/>
          <w14:ligatures w14:val="standardContextual"/>
        </w:rPr>
        <w:t>٤-٣</w:t>
      </w:r>
      <w:r w:rsidRPr="00B322FF">
        <w:rPr>
          <w:rFonts w:ascii="Simplified Arabic" w:hAnsi="Simplified Arabic" w:cs="Simplified Arabic" w:hint="cs"/>
          <w:b/>
          <w:bCs/>
          <w:kern w:val="2"/>
          <w:rtl/>
          <w14:ligatures w14:val="standardContextual"/>
        </w:rPr>
        <w:t>): مصفوفة ارتباط بيرسون لمتغيرات الدراسة الرئيسية</w:t>
      </w:r>
    </w:p>
    <w:tbl>
      <w:tblPr>
        <w:tblStyle w:val="af"/>
        <w:bidiVisual/>
        <w:tblW w:w="5000" w:type="pct"/>
        <w:tblLook w:val="06A0" w:firstRow="1" w:lastRow="0" w:firstColumn="1" w:lastColumn="0" w:noHBand="1" w:noVBand="1"/>
      </w:tblPr>
      <w:tblGrid>
        <w:gridCol w:w="1885"/>
        <w:gridCol w:w="1646"/>
        <w:gridCol w:w="1837"/>
        <w:gridCol w:w="1764"/>
        <w:gridCol w:w="1884"/>
      </w:tblGrid>
      <w:tr w:rsidR="001D3D5D" w:rsidRPr="00B322FF" w14:paraId="7B60740E" w14:textId="77777777" w:rsidTr="00597597">
        <w:trPr>
          <w:trHeight w:val="270"/>
        </w:trPr>
        <w:tc>
          <w:tcPr>
            <w:tcW w:w="1045" w:type="pct"/>
            <w:vAlign w:val="center"/>
            <w:hideMark/>
          </w:tcPr>
          <w:p w14:paraId="55AE3C58"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المتغيرات</w:t>
            </w:r>
          </w:p>
        </w:tc>
        <w:tc>
          <w:tcPr>
            <w:tcW w:w="913" w:type="pct"/>
            <w:vAlign w:val="center"/>
            <w:hideMark/>
          </w:tcPr>
          <w:p w14:paraId="184DE34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1019" w:type="pct"/>
            <w:vAlign w:val="center"/>
            <w:hideMark/>
          </w:tcPr>
          <w:p w14:paraId="7F15A09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بيئة العمل النفسية</w:t>
            </w:r>
          </w:p>
        </w:tc>
        <w:tc>
          <w:tcPr>
            <w:tcW w:w="978" w:type="pct"/>
            <w:vAlign w:val="center"/>
            <w:hideMark/>
          </w:tcPr>
          <w:p w14:paraId="7BBEB3B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رفاهية الموظفين</w:t>
            </w:r>
          </w:p>
        </w:tc>
        <w:tc>
          <w:tcPr>
            <w:tcW w:w="1045" w:type="pct"/>
            <w:vAlign w:val="center"/>
            <w:hideMark/>
          </w:tcPr>
          <w:p w14:paraId="5E01853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الاحتراق الوظيفي</w:t>
            </w:r>
          </w:p>
        </w:tc>
      </w:tr>
      <w:tr w:rsidR="001D3D5D" w:rsidRPr="00B322FF" w14:paraId="78AA7BEB" w14:textId="77777777" w:rsidTr="00597597">
        <w:trPr>
          <w:trHeight w:val="270"/>
        </w:trPr>
        <w:tc>
          <w:tcPr>
            <w:tcW w:w="1045" w:type="pct"/>
            <w:vAlign w:val="center"/>
            <w:hideMark/>
          </w:tcPr>
          <w:p w14:paraId="3E513E90"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913" w:type="pct"/>
            <w:vAlign w:val="center"/>
            <w:hideMark/>
          </w:tcPr>
          <w:p w14:paraId="4DD9EF5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c>
          <w:tcPr>
            <w:tcW w:w="1019" w:type="pct"/>
            <w:vAlign w:val="center"/>
            <w:hideMark/>
          </w:tcPr>
          <w:p w14:paraId="3CC0561E" w14:textId="77777777" w:rsidR="001D3D5D" w:rsidRPr="00B322FF" w:rsidRDefault="001D3D5D" w:rsidP="00B527E5">
            <w:pPr>
              <w:jc w:val="center"/>
              <w:rPr>
                <w:rFonts w:ascii="Simplified Arabic" w:eastAsia="Times New Roman" w:hAnsi="Simplified Arabic" w:cs="Simplified Arabic"/>
                <w:rtl/>
              </w:rPr>
            </w:pPr>
          </w:p>
        </w:tc>
        <w:tc>
          <w:tcPr>
            <w:tcW w:w="978" w:type="pct"/>
            <w:vAlign w:val="center"/>
            <w:hideMark/>
          </w:tcPr>
          <w:p w14:paraId="39B4917E" w14:textId="77777777" w:rsidR="001D3D5D" w:rsidRPr="00B322FF" w:rsidRDefault="001D3D5D" w:rsidP="00B527E5">
            <w:pPr>
              <w:jc w:val="center"/>
              <w:rPr>
                <w:rFonts w:ascii="Simplified Arabic" w:eastAsia="Times New Roman" w:hAnsi="Simplified Arabic" w:cs="Simplified Arabic"/>
              </w:rPr>
            </w:pPr>
          </w:p>
        </w:tc>
        <w:tc>
          <w:tcPr>
            <w:tcW w:w="1045" w:type="pct"/>
            <w:vAlign w:val="center"/>
            <w:hideMark/>
          </w:tcPr>
          <w:p w14:paraId="5F3E6B62"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391B3371" w14:textId="77777777" w:rsidTr="00597597">
        <w:trPr>
          <w:trHeight w:val="270"/>
        </w:trPr>
        <w:tc>
          <w:tcPr>
            <w:tcW w:w="1045" w:type="pct"/>
            <w:vAlign w:val="center"/>
            <w:hideMark/>
          </w:tcPr>
          <w:p w14:paraId="3F60E719"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913" w:type="pct"/>
            <w:vAlign w:val="center"/>
            <w:hideMark/>
          </w:tcPr>
          <w:p w14:paraId="038E862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0.802**</w:t>
            </w:r>
          </w:p>
        </w:tc>
        <w:tc>
          <w:tcPr>
            <w:tcW w:w="1019" w:type="pct"/>
            <w:vAlign w:val="center"/>
            <w:hideMark/>
          </w:tcPr>
          <w:p w14:paraId="0DBE028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c>
          <w:tcPr>
            <w:tcW w:w="978" w:type="pct"/>
            <w:vAlign w:val="center"/>
            <w:hideMark/>
          </w:tcPr>
          <w:p w14:paraId="4D73C5E4" w14:textId="77777777" w:rsidR="001D3D5D" w:rsidRPr="00B322FF" w:rsidRDefault="001D3D5D" w:rsidP="00B527E5">
            <w:pPr>
              <w:jc w:val="center"/>
              <w:rPr>
                <w:rFonts w:ascii="Simplified Arabic" w:eastAsia="Times New Roman" w:hAnsi="Simplified Arabic" w:cs="Simplified Arabic"/>
                <w:rtl/>
              </w:rPr>
            </w:pPr>
          </w:p>
        </w:tc>
        <w:tc>
          <w:tcPr>
            <w:tcW w:w="1045" w:type="pct"/>
            <w:vAlign w:val="center"/>
            <w:hideMark/>
          </w:tcPr>
          <w:p w14:paraId="6D7B954A"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01DB1BBA" w14:textId="77777777" w:rsidTr="00597597">
        <w:trPr>
          <w:trHeight w:val="270"/>
        </w:trPr>
        <w:tc>
          <w:tcPr>
            <w:tcW w:w="1045" w:type="pct"/>
            <w:vAlign w:val="center"/>
            <w:hideMark/>
          </w:tcPr>
          <w:p w14:paraId="63913DC1"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913" w:type="pct"/>
            <w:vAlign w:val="center"/>
            <w:hideMark/>
          </w:tcPr>
          <w:p w14:paraId="55FB0EC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0.744**</w:t>
            </w:r>
          </w:p>
        </w:tc>
        <w:tc>
          <w:tcPr>
            <w:tcW w:w="1019" w:type="pct"/>
            <w:vAlign w:val="center"/>
            <w:hideMark/>
          </w:tcPr>
          <w:p w14:paraId="1B73815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0.821**</w:t>
            </w:r>
          </w:p>
        </w:tc>
        <w:tc>
          <w:tcPr>
            <w:tcW w:w="978" w:type="pct"/>
            <w:vAlign w:val="center"/>
            <w:hideMark/>
          </w:tcPr>
          <w:p w14:paraId="393619F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c>
          <w:tcPr>
            <w:tcW w:w="1045" w:type="pct"/>
            <w:vAlign w:val="center"/>
            <w:hideMark/>
          </w:tcPr>
          <w:p w14:paraId="6B8FAC8A" w14:textId="77777777" w:rsidR="001D3D5D" w:rsidRPr="00B322FF" w:rsidRDefault="001D3D5D" w:rsidP="00B527E5">
            <w:pPr>
              <w:jc w:val="center"/>
              <w:rPr>
                <w:rFonts w:ascii="Simplified Arabic" w:eastAsia="Times New Roman" w:hAnsi="Simplified Arabic" w:cs="Simplified Arabic"/>
                <w:rtl/>
              </w:rPr>
            </w:pPr>
          </w:p>
        </w:tc>
      </w:tr>
      <w:tr w:rsidR="001D3D5D" w:rsidRPr="00B322FF" w14:paraId="2703F1C7" w14:textId="77777777" w:rsidTr="00597597">
        <w:trPr>
          <w:trHeight w:val="270"/>
        </w:trPr>
        <w:tc>
          <w:tcPr>
            <w:tcW w:w="1045" w:type="pct"/>
            <w:vAlign w:val="center"/>
            <w:hideMark/>
          </w:tcPr>
          <w:p w14:paraId="4DC37022"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913" w:type="pct"/>
            <w:vAlign w:val="center"/>
            <w:hideMark/>
          </w:tcPr>
          <w:p w14:paraId="5DB19FB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-0.475**</w:t>
            </w:r>
          </w:p>
        </w:tc>
        <w:tc>
          <w:tcPr>
            <w:tcW w:w="1019" w:type="pct"/>
            <w:vAlign w:val="center"/>
            <w:hideMark/>
          </w:tcPr>
          <w:p w14:paraId="02493E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-0.526**</w:t>
            </w:r>
          </w:p>
        </w:tc>
        <w:tc>
          <w:tcPr>
            <w:tcW w:w="978" w:type="pct"/>
            <w:vAlign w:val="center"/>
            <w:hideMark/>
          </w:tcPr>
          <w:p w14:paraId="4EF8E44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-0.527**</w:t>
            </w:r>
          </w:p>
        </w:tc>
        <w:tc>
          <w:tcPr>
            <w:tcW w:w="1045" w:type="pct"/>
            <w:vAlign w:val="center"/>
            <w:hideMark/>
          </w:tcPr>
          <w:p w14:paraId="3D59544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r>
    </w:tbl>
    <w:p w14:paraId="5D5F3708" w14:textId="77777777" w:rsidR="00A61A27" w:rsidRPr="00A374A1" w:rsidRDefault="0089331B" w:rsidP="000663CD">
      <w:pPr>
        <w:spacing w:before="40" w:after="0"/>
        <w:rPr>
          <w:rFonts w:ascii="Simplified Arabic" w:hAnsi="Simplified Arabic" w:cs="Simplified Arabic"/>
          <w:sz w:val="22"/>
          <w:szCs w:val="22"/>
        </w:rPr>
      </w:pPr>
      <w:r w:rsidRPr="00A374A1">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28CF22A5" w14:textId="77777777" w:rsidR="001D3D5D" w:rsidRPr="00A374A1" w:rsidRDefault="001D3D5D" w:rsidP="00A374A1">
      <w:pPr>
        <w:pStyle w:val="ac"/>
        <w:bidi/>
        <w:spacing w:before="0" w:beforeAutospacing="0"/>
        <w:jc w:val="both"/>
        <w:rPr>
          <w:rFonts w:ascii="Simplified Arabic" w:hAnsi="Simplified Arabic" w:cs="Simplified Arabic"/>
          <w:sz w:val="22"/>
          <w:szCs w:val="22"/>
          <w:rtl/>
        </w:rPr>
      </w:pPr>
      <w:r w:rsidRPr="00A374A1">
        <w:rPr>
          <w:rFonts w:ascii="Simplified Arabic" w:hAnsi="Simplified Arabic" w:cs="Simplified Arabic" w:hint="cs"/>
          <w:sz w:val="22"/>
          <w:szCs w:val="22"/>
          <w:rtl/>
        </w:rPr>
        <w:t>(**) دالة إحصائياً عند مستوى دلالة 0.01 فأقل.</w:t>
      </w:r>
    </w:p>
    <w:p w14:paraId="2D70EDA2"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يتضح من الجدول (</w:t>
      </w:r>
      <w:r w:rsidR="002179E0">
        <w:rPr>
          <w:rFonts w:ascii="Simplified Arabic" w:hAnsi="Simplified Arabic" w:cs="Simplified Arabic" w:hint="cs"/>
          <w:sz w:val="28"/>
          <w:szCs w:val="28"/>
          <w:rtl/>
        </w:rPr>
        <w:t>٤-3</w:t>
      </w:r>
      <w:r w:rsidRPr="00B322FF">
        <w:rPr>
          <w:rFonts w:ascii="Simplified Arabic" w:hAnsi="Simplified Arabic" w:cs="Simplified Arabic" w:hint="cs"/>
          <w:sz w:val="28"/>
          <w:szCs w:val="28"/>
          <w:rtl/>
        </w:rPr>
        <w:t xml:space="preserve">) ما يلي: </w:t>
      </w:r>
    </w:p>
    <w:p w14:paraId="60592396"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تظهر نتائج مصفوفة الارتباط أعلاه وجود علاقات ذات دلالة إحصائية عند مستوى معنوية (0.01) بين جميع متغيرات الدراسة، وقد تراوحت قوة الارتباط ما بين القوية والمتوسطة، ويمكن ترتيب هذه العلاقات تنازلياً من حيث القوة على النحو التالي:</w:t>
      </w:r>
    </w:p>
    <w:p w14:paraId="56B7131F" w14:textId="77777777" w:rsidR="001D3D5D" w:rsidRPr="00B322FF" w:rsidRDefault="001D3D5D" w:rsidP="006C4CDD">
      <w:pPr>
        <w:pStyle w:val="a6"/>
        <w:numPr>
          <w:ilvl w:val="0"/>
          <w:numId w:val="15"/>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بيئة العمل النفسية ورفاهية الموظفين: سجلت هذه العلاقة أعلى معامل ارتباط بقيمة (0.821)، وهي علاقة طردية قوية جداً ودالة إحصائياً، مما يشير إلى أن تحسن خصائص بيئة العمل النفسية يرتبط بشكل وثيق بارتفاع مستوى رفاهية الموظفين.</w:t>
      </w:r>
    </w:p>
    <w:p w14:paraId="4865801A" w14:textId="77777777" w:rsidR="001D3D5D" w:rsidRPr="00B322FF" w:rsidRDefault="001D3D5D" w:rsidP="006C4CDD">
      <w:pPr>
        <w:pStyle w:val="a6"/>
        <w:numPr>
          <w:ilvl w:val="0"/>
          <w:numId w:val="15"/>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التحول الصحي وبينة العمل النفسية: جاءت في المرتبة الثانية بمعامل ارتباط قدره (0.802)، وهي علاقة طردية قوية ودالة، تعكس الدور الجوهري الذي تلعبه مبادرات التحول الصحي في تهيئة بيئة عمل نفسية مستدامة.</w:t>
      </w:r>
    </w:p>
    <w:p w14:paraId="78F0383D" w14:textId="77777777" w:rsidR="001D3D5D" w:rsidRPr="00B322FF" w:rsidRDefault="001D3D5D" w:rsidP="006C4CDD">
      <w:pPr>
        <w:pStyle w:val="a6"/>
        <w:numPr>
          <w:ilvl w:val="0"/>
          <w:numId w:val="15"/>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التحول الصحي ورفاهية الموظفين: بلغت قيمة الارتباط بينهما (0.744)، وهي علاقة طردية قوية، تؤكد أن التوجهات الاستراتيجية للتحول الصحي تنعكس إيجاباً على الرفاه العام للكوادر الصحية.</w:t>
      </w:r>
    </w:p>
    <w:p w14:paraId="32AA7159" w14:textId="77777777" w:rsidR="001D3D5D" w:rsidRPr="00B322FF" w:rsidRDefault="001D3D5D" w:rsidP="006C4CDD">
      <w:pPr>
        <w:pStyle w:val="a6"/>
        <w:numPr>
          <w:ilvl w:val="0"/>
          <w:numId w:val="15"/>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 xml:space="preserve">الرفاهية والبيئة النفسية مع الاحتراق الوظيفي: لوحظ وجود علاقات ارتباطية عكسية دالة إحصائياً بين كل من رفاهية الموظفين والاحتراق الوظيفي (-0.527)، وبين بيئة العمل النفسية والاحتراق </w:t>
      </w:r>
      <w:r w:rsidRPr="00B322FF">
        <w:rPr>
          <w:rFonts w:ascii="Simplified Arabic" w:eastAsia="Times New Roman" w:hAnsi="Simplified Arabic" w:cs="Simplified Arabic" w:hint="cs"/>
          <w:sz w:val="28"/>
          <w:szCs w:val="28"/>
          <w:rtl/>
        </w:rPr>
        <w:lastRenderedPageBreak/>
        <w:t>الوظيفي (-0.526). هذه القيم تشير بوضوح إلى أنه كلما ارتفعت مستويات الرفاهية وتحسنت بيئة العمل، انخفضت معدلات الاحتراق الوظيفي لدى الكوادر الطبية.</w:t>
      </w:r>
    </w:p>
    <w:p w14:paraId="4FCB4078" w14:textId="77777777" w:rsidR="001D3D5D" w:rsidRPr="00B322FF" w:rsidRDefault="001D3D5D" w:rsidP="006C4CDD">
      <w:pPr>
        <w:pStyle w:val="a6"/>
        <w:numPr>
          <w:ilvl w:val="0"/>
          <w:numId w:val="15"/>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التحول الصحي والاحتراق الوظيفي: سجلت هذه العلاقة معامل ارتباط قدره (-0.475)، وهي علاقة عكسية دالة إحصائياً، مما يثبت أن برامج التحول الصحي تساهم بشكل مباشر في الحد من مسببات الاحتراق الوظيفي.</w:t>
      </w:r>
    </w:p>
    <w:p w14:paraId="43750CF7" w14:textId="77777777" w:rsidR="001D3D5D" w:rsidRPr="00B322FF" w:rsidRDefault="001D3D5D" w:rsidP="006C4CDD">
      <w:pPr>
        <w:pStyle w:val="ac"/>
        <w:numPr>
          <w:ilvl w:val="0"/>
          <w:numId w:val="13"/>
        </w:numPr>
        <w:bidi/>
        <w:jc w:val="both"/>
        <w:rPr>
          <w:rFonts w:ascii="Simplified Arabic" w:hAnsi="Simplified Arabic" w:cs="Simplified Arabic"/>
          <w:b/>
          <w:bCs/>
          <w:kern w:val="2"/>
          <w:sz w:val="32"/>
          <w:szCs w:val="32"/>
          <w:lang w:bidi="ar-YE"/>
          <w14:ligatures w14:val="standardContextual"/>
        </w:rPr>
      </w:pPr>
      <w:r w:rsidRPr="00B322FF">
        <w:rPr>
          <w:rFonts w:hint="cs"/>
          <w:sz w:val="28"/>
          <w:szCs w:val="28"/>
          <w:rtl/>
        </w:rPr>
        <w:t>​</w:t>
      </w:r>
      <w:r w:rsidRPr="00B322FF">
        <w:rPr>
          <w:rFonts w:ascii="Simplified Arabic" w:hAnsi="Simplified Arabic" w:cs="Simplified Arabic" w:hint="cs"/>
          <w:b/>
          <w:bCs/>
          <w:kern w:val="2"/>
          <w:sz w:val="32"/>
          <w:szCs w:val="32"/>
          <w:rtl/>
          <w:lang w:bidi="ar-YE"/>
          <w14:ligatures w14:val="standardContextual"/>
        </w:rPr>
        <w:t xml:space="preserve">تحليل الانحدار واختبار فرضيات الدراسة </w:t>
      </w:r>
    </w:p>
    <w:p w14:paraId="7C7F439B" w14:textId="77777777" w:rsidR="001D3D5D" w:rsidRPr="00B322FF" w:rsidRDefault="001D3D5D" w:rsidP="00B527E5">
      <w:pPr>
        <w:pStyle w:val="ac"/>
        <w:bidi/>
        <w:jc w:val="both"/>
        <w:rPr>
          <w:rFonts w:ascii="Simplified Arabic" w:hAnsi="Simplified Arabic" w:cs="Simplified Arabic"/>
          <w:b/>
          <w:bCs/>
          <w:kern w:val="2"/>
          <w:sz w:val="32"/>
          <w:szCs w:val="32"/>
          <w:rtl/>
          <w:lang w:bidi="ar-YE"/>
          <w14:ligatures w14:val="standardContextual"/>
        </w:rPr>
      </w:pPr>
      <w:r w:rsidRPr="00B322FF">
        <w:rPr>
          <w:rFonts w:ascii="Simplified Arabic" w:hAnsi="Simplified Arabic" w:cs="Simplified Arabic" w:hint="cs"/>
          <w:b/>
          <w:bCs/>
          <w:sz w:val="28"/>
          <w:szCs w:val="28"/>
          <w:rtl/>
        </w:rPr>
        <w:t>أ</w:t>
      </w:r>
      <w:r w:rsidRPr="00B322FF">
        <w:rPr>
          <w:rFonts w:ascii="Cambria Math" w:hAnsi="Cambria Math" w:cs="Cambria Math" w:hint="cs"/>
          <w:b/>
          <w:bCs/>
          <w:sz w:val="28"/>
          <w:szCs w:val="28"/>
          <w:rtl/>
        </w:rPr>
        <w:t>‐</w:t>
      </w:r>
      <w:r w:rsidRPr="00B322FF">
        <w:rPr>
          <w:rFonts w:ascii="Simplified Arabic" w:hAnsi="Simplified Arabic" w:cs="Simplified Arabic" w:hint="cs"/>
          <w:b/>
          <w:bCs/>
          <w:sz w:val="28"/>
          <w:szCs w:val="28"/>
          <w:rtl/>
        </w:rPr>
        <w:t xml:space="preserve">  اختبار الفرضية الأولى </w:t>
      </w:r>
    </w:p>
    <w:p w14:paraId="39519662"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 xml:space="preserve">نصت الفرضية الأولى على أنه: </w:t>
      </w:r>
      <w:r w:rsidRPr="00B322FF">
        <w:rPr>
          <w:rFonts w:ascii="Simplified Arabic" w:hAnsi="Simplified Arabic" w:cs="Simplified Arabic" w:hint="cs"/>
          <w:b/>
          <w:bCs/>
          <w:sz w:val="28"/>
          <w:szCs w:val="28"/>
          <w:rtl/>
        </w:rPr>
        <w:t>يوجد أثر ذو دلالة إحصائية بين التحول الصحي وبيئة العمل النفسية المستدامة في القطاع الصحي الحكومي بمدينة الرياض</w:t>
      </w:r>
      <w:r w:rsidRPr="00B322FF">
        <w:rPr>
          <w:rFonts w:ascii="Simplified Arabic" w:hAnsi="Simplified Arabic" w:cs="Simplified Arabic" w:hint="cs"/>
          <w:sz w:val="28"/>
          <w:szCs w:val="28"/>
          <w:rtl/>
        </w:rPr>
        <w:t>.</w:t>
      </w:r>
    </w:p>
    <w:p w14:paraId="0A02F7DC"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لاختبار مدى صحة هذه الفرضية، تم استخدام تحليل الانحدار الخطي البسيط، حيث يمثل التحول الصحي المتغير المستقل، وتمثل بيئة العمل النفسية المستدامة المتغير التابع. يوضح الجدول التالي نتائج هذا التحليل:</w:t>
      </w:r>
    </w:p>
    <w:p w14:paraId="2EEB66A0"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476F90">
        <w:rPr>
          <w:rFonts w:ascii="Simplified Arabic" w:hAnsi="Simplified Arabic" w:cs="Simplified Arabic" w:hint="cs"/>
          <w:b/>
          <w:bCs/>
          <w:kern w:val="2"/>
          <w:rtl/>
          <w14:ligatures w14:val="standardContextual"/>
        </w:rPr>
        <w:t>٤-٤</w:t>
      </w:r>
      <w:r w:rsidRPr="00B322FF">
        <w:rPr>
          <w:rFonts w:ascii="Simplified Arabic" w:hAnsi="Simplified Arabic" w:cs="Simplified Arabic" w:hint="cs"/>
          <w:b/>
          <w:bCs/>
          <w:kern w:val="2"/>
          <w:rtl/>
          <w14:ligatures w14:val="standardContextual"/>
        </w:rPr>
        <w:t>): نتائج تحليل الانحدار لأثر التحول الصحي على بيئة العمل النفسية المستدامة</w:t>
      </w:r>
    </w:p>
    <w:tbl>
      <w:tblPr>
        <w:tblStyle w:val="af"/>
        <w:bidiVisual/>
        <w:tblW w:w="0" w:type="auto"/>
        <w:tblLook w:val="06A0" w:firstRow="1" w:lastRow="0" w:firstColumn="1" w:lastColumn="0" w:noHBand="1" w:noVBand="1"/>
      </w:tblPr>
      <w:tblGrid>
        <w:gridCol w:w="1329"/>
        <w:gridCol w:w="798"/>
        <w:gridCol w:w="798"/>
        <w:gridCol w:w="1050"/>
        <w:gridCol w:w="1695"/>
        <w:gridCol w:w="798"/>
        <w:gridCol w:w="924"/>
        <w:gridCol w:w="1624"/>
      </w:tblGrid>
      <w:tr w:rsidR="001D3D5D" w:rsidRPr="00B322FF" w14:paraId="305429C7" w14:textId="77777777" w:rsidTr="00597597">
        <w:trPr>
          <w:trHeight w:val="270"/>
        </w:trPr>
        <w:tc>
          <w:tcPr>
            <w:tcW w:w="0" w:type="auto"/>
            <w:vAlign w:val="center"/>
            <w:hideMark/>
          </w:tcPr>
          <w:p w14:paraId="17CCC857"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 المستقل</w:t>
            </w:r>
          </w:p>
        </w:tc>
        <w:tc>
          <w:tcPr>
            <w:tcW w:w="0" w:type="auto"/>
            <w:vAlign w:val="center"/>
            <w:hideMark/>
          </w:tcPr>
          <w:p w14:paraId="262E7EA2"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w:t>
            </w:r>
          </w:p>
        </w:tc>
        <w:tc>
          <w:tcPr>
            <w:tcW w:w="0" w:type="auto"/>
            <w:vAlign w:val="center"/>
            <w:hideMark/>
          </w:tcPr>
          <w:p w14:paraId="60BCDC33"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R²</w:t>
            </w:r>
          </w:p>
        </w:tc>
        <w:tc>
          <w:tcPr>
            <w:tcW w:w="0" w:type="auto"/>
            <w:vAlign w:val="center"/>
            <w:hideMark/>
          </w:tcPr>
          <w:p w14:paraId="4858781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F</w:t>
            </w:r>
          </w:p>
        </w:tc>
        <w:tc>
          <w:tcPr>
            <w:tcW w:w="0" w:type="auto"/>
            <w:vAlign w:val="center"/>
            <w:hideMark/>
          </w:tcPr>
          <w:p w14:paraId="0503722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0" w:type="auto"/>
            <w:vAlign w:val="center"/>
            <w:hideMark/>
          </w:tcPr>
          <w:p w14:paraId="703F28AB" w14:textId="77777777" w:rsidR="001D3D5D" w:rsidRPr="00B322FF" w:rsidRDefault="001D3D5D" w:rsidP="00B527E5">
            <w:pPr>
              <w:jc w:val="center"/>
              <w:rPr>
                <w:rFonts w:ascii="Simplified Arabic" w:eastAsia="Times New Roman" w:hAnsi="Simplified Arabic" w:cs="Simplified Arabic"/>
                <w:b/>
                <w:bCs/>
                <w:rtl/>
              </w:rPr>
            </w:pPr>
            <w:r w:rsidRPr="00B322FF">
              <w:rPr>
                <w:rFonts w:ascii="Cambria" w:eastAsia="Times New Roman" w:hAnsi="Cambria" w:cs="Cambria"/>
                <w:b/>
                <w:bCs/>
              </w:rPr>
              <w:t>β</w:t>
            </w:r>
          </w:p>
        </w:tc>
        <w:tc>
          <w:tcPr>
            <w:tcW w:w="0" w:type="auto"/>
            <w:vAlign w:val="center"/>
            <w:hideMark/>
          </w:tcPr>
          <w:p w14:paraId="4208148B"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T</w:t>
            </w:r>
          </w:p>
        </w:tc>
        <w:tc>
          <w:tcPr>
            <w:tcW w:w="0" w:type="auto"/>
            <w:vAlign w:val="center"/>
            <w:hideMark/>
          </w:tcPr>
          <w:p w14:paraId="4B08EC0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دلالة المعامل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r>
      <w:tr w:rsidR="001D3D5D" w:rsidRPr="00B322FF" w14:paraId="69F37780" w14:textId="77777777" w:rsidTr="00597597">
        <w:trPr>
          <w:trHeight w:val="270"/>
        </w:trPr>
        <w:tc>
          <w:tcPr>
            <w:tcW w:w="0" w:type="auto"/>
            <w:vAlign w:val="center"/>
            <w:hideMark/>
          </w:tcPr>
          <w:p w14:paraId="27D3919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0" w:type="auto"/>
            <w:vAlign w:val="center"/>
            <w:hideMark/>
          </w:tcPr>
          <w:p w14:paraId="7A84D63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0.802</w:t>
            </w:r>
          </w:p>
        </w:tc>
        <w:tc>
          <w:tcPr>
            <w:tcW w:w="0" w:type="auto"/>
            <w:vAlign w:val="center"/>
            <w:hideMark/>
          </w:tcPr>
          <w:p w14:paraId="551C15E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0.643</w:t>
            </w:r>
          </w:p>
        </w:tc>
        <w:tc>
          <w:tcPr>
            <w:tcW w:w="0" w:type="auto"/>
            <w:vAlign w:val="center"/>
            <w:hideMark/>
          </w:tcPr>
          <w:p w14:paraId="3181828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688.933</w:t>
            </w:r>
          </w:p>
        </w:tc>
        <w:tc>
          <w:tcPr>
            <w:tcW w:w="0" w:type="auto"/>
            <w:vAlign w:val="center"/>
            <w:hideMark/>
          </w:tcPr>
          <w:p w14:paraId="507A658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0" w:type="auto"/>
            <w:vAlign w:val="center"/>
            <w:hideMark/>
          </w:tcPr>
          <w:p w14:paraId="029644D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0.802</w:t>
            </w:r>
          </w:p>
        </w:tc>
        <w:tc>
          <w:tcPr>
            <w:tcW w:w="0" w:type="auto"/>
            <w:vAlign w:val="center"/>
            <w:hideMark/>
          </w:tcPr>
          <w:p w14:paraId="59DAA5B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26.248</w:t>
            </w:r>
          </w:p>
        </w:tc>
        <w:tc>
          <w:tcPr>
            <w:tcW w:w="0" w:type="auto"/>
            <w:vAlign w:val="center"/>
            <w:hideMark/>
          </w:tcPr>
          <w:p w14:paraId="3413781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r>
    </w:tbl>
    <w:p w14:paraId="3C3C6595" w14:textId="77777777" w:rsidR="00A61A27" w:rsidRPr="000663CD" w:rsidRDefault="0089331B" w:rsidP="000663CD">
      <w:pPr>
        <w:spacing w:before="40" w:after="120"/>
        <w:rPr>
          <w:rFonts w:ascii="Simplified Arabic" w:hAnsi="Simplified Arabic" w:cs="Simplified Arabic"/>
          <w:sz w:val="22"/>
          <w:szCs w:val="22"/>
        </w:rPr>
      </w:pPr>
      <w:r w:rsidRPr="000663C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7411D72C"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تشير النتائج الإحصائية الواردة في الجدول (٤</w:t>
      </w:r>
      <w:r w:rsidR="00476F90">
        <w:rPr>
          <w:rFonts w:ascii="Simplified Arabic" w:hAnsi="Simplified Arabic" w:cs="Simplified Arabic" w:hint="cs"/>
          <w:sz w:val="28"/>
          <w:szCs w:val="28"/>
          <w:rtl/>
        </w:rPr>
        <w:t>‐٤</w:t>
      </w:r>
      <w:r w:rsidRPr="00B322FF">
        <w:rPr>
          <w:rFonts w:ascii="Simplified Arabic" w:hAnsi="Simplified Arabic" w:cs="Simplified Arabic" w:hint="cs"/>
          <w:sz w:val="28"/>
          <w:szCs w:val="28"/>
          <w:rtl/>
        </w:rPr>
        <w:t>) إلى وجود أثر جوهري وذو دلالة إحصائية للمتغير المستقل في المتغير التابع، وتفصيل ذلك كما يلي:</w:t>
      </w:r>
    </w:p>
    <w:p w14:paraId="6B78AF37" w14:textId="77777777" w:rsidR="001D3D5D" w:rsidRPr="00B322FF" w:rsidRDefault="001D3D5D" w:rsidP="006C4CDD">
      <w:pPr>
        <w:pStyle w:val="a6"/>
        <w:numPr>
          <w:ilvl w:val="0"/>
          <w:numId w:val="16"/>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 xml:space="preserve">قوة النموذج التفسيرية: بلغت قيمة معامل التحديد </w:t>
      </w:r>
      <w:r w:rsidRPr="00B322FF">
        <w:rPr>
          <w:rFonts w:ascii="Simplified Arabic" w:eastAsia="Times New Roman" w:hAnsi="Simplified Arabic" w:cs="Simplified Arabic" w:hint="cs"/>
          <w:sz w:val="28"/>
          <w:szCs w:val="28"/>
          <w:lang w:bidi="ar-YE"/>
        </w:rPr>
        <w:t>(R²)</w:t>
      </w:r>
      <w:r w:rsidRPr="00B322FF">
        <w:rPr>
          <w:rFonts w:ascii="Simplified Arabic" w:eastAsia="Times New Roman" w:hAnsi="Simplified Arabic" w:cs="Simplified Arabic" w:hint="cs"/>
          <w:sz w:val="28"/>
          <w:szCs w:val="28"/>
          <w:rtl/>
        </w:rPr>
        <w:t xml:space="preserve"> حوالي (0.643)، وهذا يعني أن متغير التحول الصحي يفسر ما نسبته (64.3%) من التباين الحاصل في بيئة العمل النفسية المستدامة، بينما تعزى النسبة المتبقية لعوامل أخرى خارج نطاق النموذج الحالي.</w:t>
      </w:r>
    </w:p>
    <w:p w14:paraId="0FE6B0F8" w14:textId="77777777" w:rsidR="001D3D5D" w:rsidRPr="00B322FF" w:rsidRDefault="001D3D5D" w:rsidP="006C4CDD">
      <w:pPr>
        <w:pStyle w:val="a6"/>
        <w:numPr>
          <w:ilvl w:val="0"/>
          <w:numId w:val="16"/>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 xml:space="preserve">صلاحية النموذج: تؤكد </w:t>
      </w:r>
      <w:r w:rsidRPr="00B322FF">
        <w:rPr>
          <w:rFonts w:ascii="Simplified Arabic" w:eastAsia="Times New Roman" w:hAnsi="Simplified Arabic" w:cs="Simplified Arabic" w:hint="cs"/>
          <w:sz w:val="28"/>
          <w:szCs w:val="28"/>
        </w:rPr>
        <w:t>(F)</w:t>
      </w:r>
      <w:r w:rsidRPr="00B322FF">
        <w:rPr>
          <w:rFonts w:ascii="Simplified Arabic" w:eastAsia="Times New Roman" w:hAnsi="Simplified Arabic" w:cs="Simplified Arabic" w:hint="cs"/>
          <w:sz w:val="28"/>
          <w:szCs w:val="28"/>
          <w:rtl/>
        </w:rPr>
        <w:t xml:space="preserve"> البالغة (688.933) بمستوى دلالة (0.000) الصلاحية العالية للنموذج من الناحية الإحصائية للتنبؤ بالعلاقة بين المتغيرين.</w:t>
      </w:r>
    </w:p>
    <w:p w14:paraId="201FC16F" w14:textId="77777777" w:rsidR="001D3D5D" w:rsidRPr="00B322FF" w:rsidRDefault="001D3D5D" w:rsidP="006C4CDD">
      <w:pPr>
        <w:pStyle w:val="a6"/>
        <w:numPr>
          <w:ilvl w:val="0"/>
          <w:numId w:val="16"/>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lastRenderedPageBreak/>
        <w:t>​</w:t>
      </w:r>
      <w:r w:rsidRPr="00B322FF">
        <w:rPr>
          <w:rFonts w:ascii="Simplified Arabic" w:eastAsia="Times New Roman" w:hAnsi="Simplified Arabic" w:cs="Simplified Arabic" w:hint="cs"/>
          <w:sz w:val="28"/>
          <w:szCs w:val="28"/>
          <w:rtl/>
        </w:rPr>
        <w:t>معامل التأثير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xml:space="preserve">): أظهرت النتائج أن معامل الانحدار المعياري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xml:space="preserve"> بلغ (0.802)، وهو ارتباط طردي قوي وموجب عند مستوى دلالة (0.000)، مما يعني أنه كلما زاد الاهتمام بتطبيق برامج التحول الصحي بمقدار وحدة واحدة، أدى ذلك إلى تحسن في بيئة العمل النفسية المستدامة بمقدار (0.802). كما تعزز قيمة (</w:t>
      </w:r>
      <w:r w:rsidRPr="00B322FF">
        <w:rPr>
          <w:rFonts w:ascii="Simplified Arabic" w:eastAsia="Times New Roman" w:hAnsi="Simplified Arabic" w:cs="Simplified Arabic" w:hint="cs"/>
          <w:sz w:val="28"/>
          <w:szCs w:val="28"/>
        </w:rPr>
        <w:t>t</w:t>
      </w:r>
      <w:r w:rsidRPr="00B322FF">
        <w:rPr>
          <w:rFonts w:ascii="Simplified Arabic" w:eastAsia="Times New Roman" w:hAnsi="Simplified Arabic" w:cs="Simplified Arabic" w:hint="cs"/>
          <w:sz w:val="28"/>
          <w:szCs w:val="28"/>
          <w:rtl/>
        </w:rPr>
        <w:t>) البالغة (26.248) معنوية هذا الأثر.</w:t>
      </w:r>
    </w:p>
    <w:p w14:paraId="7D4C80A9"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بناءً على ما تقدم من نتائج، وحيث إن مستوى الدلالة المعنوية (</w:t>
      </w:r>
      <w:r w:rsidRPr="00B322FF">
        <w:rPr>
          <w:rFonts w:ascii="Simplified Arabic" w:hAnsi="Simplified Arabic" w:cs="Simplified Arabic" w:hint="cs"/>
          <w:sz w:val="28"/>
          <w:szCs w:val="28"/>
        </w:rPr>
        <w:t>Sig = 0.000</w:t>
      </w:r>
      <w:r w:rsidRPr="00B322FF">
        <w:rPr>
          <w:rFonts w:ascii="Simplified Arabic" w:hAnsi="Simplified Arabic" w:cs="Simplified Arabic" w:hint="cs"/>
          <w:sz w:val="28"/>
          <w:szCs w:val="28"/>
          <w:rtl/>
        </w:rPr>
        <w:t>) هو أقل من مستوى الدلالة المعتمد (0.05): يتم قبول الفرضية الأولى، مما يؤكد وجود أثر إيجابي ذو دلالة إحصائية للتحول الصحي في تعزيز استدامة بيئة العمل النفسية في القطاع الصحي الحكومي بمدينة الرياض.</w:t>
      </w:r>
    </w:p>
    <w:p w14:paraId="7AF0BC37" w14:textId="77777777" w:rsidR="001D3D5D" w:rsidRPr="00B322FF" w:rsidRDefault="001D3D5D" w:rsidP="00B527E5">
      <w:pPr>
        <w:pStyle w:val="ac"/>
        <w:bidi/>
        <w:jc w:val="both"/>
        <w:rPr>
          <w:rFonts w:ascii="Simplified Arabic" w:hAnsi="Simplified Arabic" w:cs="Simplified Arabic"/>
          <w:b/>
          <w:bCs/>
          <w:sz w:val="28"/>
          <w:szCs w:val="28"/>
        </w:rPr>
      </w:pPr>
      <w:r w:rsidRPr="00B322FF">
        <w:rPr>
          <w:rFonts w:ascii="Simplified Arabic" w:hAnsi="Simplified Arabic" w:cs="Simplified Arabic" w:hint="cs"/>
          <w:b/>
          <w:bCs/>
          <w:sz w:val="28"/>
          <w:szCs w:val="28"/>
          <w:rtl/>
        </w:rPr>
        <w:t>ب–  اختبار الفرضية الثانية:</w:t>
      </w:r>
    </w:p>
    <w:p w14:paraId="00718EAF"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 xml:space="preserve">نصت الفرضية الثانية على أنه: </w:t>
      </w:r>
      <w:r w:rsidRPr="00B322FF">
        <w:rPr>
          <w:rFonts w:ascii="Simplified Arabic" w:hAnsi="Simplified Arabic" w:cs="Simplified Arabic" w:hint="cs"/>
          <w:b/>
          <w:bCs/>
          <w:sz w:val="28"/>
          <w:szCs w:val="28"/>
          <w:rtl/>
        </w:rPr>
        <w:t>يوجد أثر ذو دلالة إحصائية بين التحول الصحي وتقليل الاحتراق الوظيفي في القطاع الصحي الحكومي بمدينة الرياض</w:t>
      </w:r>
      <w:r w:rsidRPr="00B322FF">
        <w:rPr>
          <w:rFonts w:ascii="Simplified Arabic" w:hAnsi="Simplified Arabic" w:cs="Simplified Arabic" w:hint="cs"/>
          <w:sz w:val="28"/>
          <w:szCs w:val="28"/>
          <w:rtl/>
        </w:rPr>
        <w:t>.</w:t>
      </w:r>
    </w:p>
    <w:p w14:paraId="1F7B7710"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لاختبار هذه الفرضية، تم إجراء تحليل الانحدار الخطي البسيط، حيث يمثل التحول الصحي المتغير المستقل، ويمثل الاحتراق الوظيفي المتغير التابع. يوضح الجدول التالي نتائج التحليل:</w:t>
      </w:r>
    </w:p>
    <w:p w14:paraId="5E937016"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3E0DC4">
        <w:rPr>
          <w:rFonts w:ascii="Simplified Arabic" w:hAnsi="Simplified Arabic" w:cs="Simplified Arabic" w:hint="cs"/>
          <w:b/>
          <w:bCs/>
          <w:kern w:val="2"/>
          <w:rtl/>
          <w14:ligatures w14:val="standardContextual"/>
        </w:rPr>
        <w:t>٤-٥</w:t>
      </w:r>
      <w:r w:rsidRPr="00B322FF">
        <w:rPr>
          <w:rFonts w:ascii="Simplified Arabic" w:hAnsi="Simplified Arabic" w:cs="Simplified Arabic" w:hint="cs"/>
          <w:b/>
          <w:bCs/>
          <w:kern w:val="2"/>
          <w:rtl/>
          <w14:ligatures w14:val="standardContextual"/>
        </w:rPr>
        <w:t>): نتائج تحليل الانحدار لأثر التحول الصحي على الاحتراق الوظيفي</w:t>
      </w:r>
    </w:p>
    <w:tbl>
      <w:tblPr>
        <w:tblStyle w:val="af"/>
        <w:bidiVisual/>
        <w:tblW w:w="5000" w:type="pct"/>
        <w:tblLook w:val="06A0" w:firstRow="1" w:lastRow="0" w:firstColumn="1" w:lastColumn="0" w:noHBand="1" w:noVBand="1"/>
      </w:tblPr>
      <w:tblGrid>
        <w:gridCol w:w="1270"/>
        <w:gridCol w:w="919"/>
        <w:gridCol w:w="920"/>
        <w:gridCol w:w="1221"/>
        <w:gridCol w:w="1324"/>
        <w:gridCol w:w="952"/>
        <w:gridCol w:w="1104"/>
        <w:gridCol w:w="1306"/>
      </w:tblGrid>
      <w:tr w:rsidR="001D3D5D" w:rsidRPr="00B322FF" w14:paraId="1F8D619E" w14:textId="77777777" w:rsidTr="00597597">
        <w:trPr>
          <w:trHeight w:val="270"/>
        </w:trPr>
        <w:tc>
          <w:tcPr>
            <w:tcW w:w="705" w:type="pct"/>
            <w:vAlign w:val="center"/>
            <w:hideMark/>
          </w:tcPr>
          <w:p w14:paraId="593FE813"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 المستقل</w:t>
            </w:r>
          </w:p>
        </w:tc>
        <w:tc>
          <w:tcPr>
            <w:tcW w:w="510" w:type="pct"/>
            <w:vAlign w:val="center"/>
            <w:hideMark/>
          </w:tcPr>
          <w:p w14:paraId="03B70E9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w:t>
            </w:r>
          </w:p>
        </w:tc>
        <w:tc>
          <w:tcPr>
            <w:tcW w:w="510" w:type="pct"/>
            <w:vAlign w:val="center"/>
            <w:hideMark/>
          </w:tcPr>
          <w:p w14:paraId="20B7DA6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R²</w:t>
            </w:r>
          </w:p>
        </w:tc>
        <w:tc>
          <w:tcPr>
            <w:tcW w:w="677" w:type="pct"/>
            <w:vAlign w:val="center"/>
            <w:hideMark/>
          </w:tcPr>
          <w:p w14:paraId="48434F1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F</w:t>
            </w:r>
          </w:p>
        </w:tc>
        <w:tc>
          <w:tcPr>
            <w:tcW w:w="734" w:type="pct"/>
            <w:vAlign w:val="center"/>
            <w:hideMark/>
          </w:tcPr>
          <w:p w14:paraId="593D970B"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528" w:type="pct"/>
            <w:vAlign w:val="center"/>
            <w:hideMark/>
          </w:tcPr>
          <w:p w14:paraId="2AD8669A" w14:textId="77777777" w:rsidR="001D3D5D" w:rsidRPr="00B322FF" w:rsidRDefault="001D3D5D" w:rsidP="00B527E5">
            <w:pPr>
              <w:jc w:val="center"/>
              <w:rPr>
                <w:rFonts w:ascii="Simplified Arabic" w:eastAsia="Times New Roman" w:hAnsi="Simplified Arabic" w:cs="Simplified Arabic"/>
                <w:b/>
                <w:bCs/>
                <w:rtl/>
              </w:rPr>
            </w:pPr>
            <w:r w:rsidRPr="00B322FF">
              <w:rPr>
                <w:rFonts w:ascii="Cambria" w:eastAsia="Times New Roman" w:hAnsi="Cambria" w:cs="Cambria"/>
                <w:b/>
                <w:bCs/>
              </w:rPr>
              <w:t>β</w:t>
            </w:r>
          </w:p>
        </w:tc>
        <w:tc>
          <w:tcPr>
            <w:tcW w:w="612" w:type="pct"/>
            <w:vAlign w:val="center"/>
            <w:hideMark/>
          </w:tcPr>
          <w:p w14:paraId="4AE4E11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T</w:t>
            </w:r>
          </w:p>
        </w:tc>
        <w:tc>
          <w:tcPr>
            <w:tcW w:w="724" w:type="pct"/>
            <w:vAlign w:val="center"/>
            <w:hideMark/>
          </w:tcPr>
          <w:p w14:paraId="499CCDBB"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دلالة المعامل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r>
      <w:tr w:rsidR="001D3D5D" w:rsidRPr="00B322FF" w14:paraId="052A7D75" w14:textId="77777777" w:rsidTr="00597597">
        <w:trPr>
          <w:trHeight w:val="270"/>
        </w:trPr>
        <w:tc>
          <w:tcPr>
            <w:tcW w:w="705" w:type="pct"/>
            <w:vAlign w:val="center"/>
            <w:hideMark/>
          </w:tcPr>
          <w:p w14:paraId="0DE6A65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510" w:type="pct"/>
            <w:vAlign w:val="center"/>
            <w:hideMark/>
          </w:tcPr>
          <w:p w14:paraId="64883D6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0.475</w:t>
            </w:r>
          </w:p>
        </w:tc>
        <w:tc>
          <w:tcPr>
            <w:tcW w:w="510" w:type="pct"/>
            <w:vAlign w:val="center"/>
            <w:hideMark/>
          </w:tcPr>
          <w:p w14:paraId="59A99F6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0.226</w:t>
            </w:r>
          </w:p>
        </w:tc>
        <w:tc>
          <w:tcPr>
            <w:tcW w:w="677" w:type="pct"/>
            <w:vAlign w:val="center"/>
            <w:hideMark/>
          </w:tcPr>
          <w:p w14:paraId="5B54B7E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111.381</w:t>
            </w:r>
          </w:p>
        </w:tc>
        <w:tc>
          <w:tcPr>
            <w:tcW w:w="734" w:type="pct"/>
            <w:vAlign w:val="center"/>
            <w:hideMark/>
          </w:tcPr>
          <w:p w14:paraId="5C1F634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528" w:type="pct"/>
            <w:vAlign w:val="center"/>
            <w:hideMark/>
          </w:tcPr>
          <w:p w14:paraId="3B3025C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-0.475</w:t>
            </w:r>
          </w:p>
        </w:tc>
        <w:tc>
          <w:tcPr>
            <w:tcW w:w="612" w:type="pct"/>
            <w:vAlign w:val="center"/>
            <w:hideMark/>
          </w:tcPr>
          <w:p w14:paraId="4127449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-10.554</w:t>
            </w:r>
          </w:p>
        </w:tc>
        <w:tc>
          <w:tcPr>
            <w:tcW w:w="724" w:type="pct"/>
            <w:vAlign w:val="center"/>
            <w:hideMark/>
          </w:tcPr>
          <w:p w14:paraId="1A7E951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r>
    </w:tbl>
    <w:p w14:paraId="4A1BACC6" w14:textId="77777777" w:rsidR="00A61A27" w:rsidRPr="000663CD" w:rsidRDefault="0089331B" w:rsidP="000663CD">
      <w:pPr>
        <w:spacing w:before="40" w:after="120"/>
        <w:rPr>
          <w:rFonts w:ascii="Simplified Arabic" w:hAnsi="Simplified Arabic" w:cs="Simplified Arabic"/>
          <w:i/>
          <w:sz w:val="22"/>
          <w:szCs w:val="22"/>
        </w:rPr>
      </w:pPr>
      <w:r w:rsidRPr="000663C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22BFF568"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من خلال استقراء النتائج الإحصائية الموضحة في الجدول (</w:t>
      </w:r>
      <w:r w:rsidR="008D0B8F">
        <w:rPr>
          <w:rFonts w:ascii="Simplified Arabic" w:hAnsi="Simplified Arabic" w:cs="Simplified Arabic" w:hint="cs"/>
          <w:sz w:val="28"/>
          <w:szCs w:val="28"/>
          <w:rtl/>
        </w:rPr>
        <w:t>٤-٥</w:t>
      </w:r>
      <w:r w:rsidRPr="00B322FF">
        <w:rPr>
          <w:rFonts w:ascii="Simplified Arabic" w:hAnsi="Simplified Arabic" w:cs="Simplified Arabic" w:hint="cs"/>
          <w:sz w:val="28"/>
          <w:szCs w:val="28"/>
          <w:rtl/>
        </w:rPr>
        <w:t>)، يمكن استخلاص الآتي:</w:t>
      </w:r>
    </w:p>
    <w:p w14:paraId="39366994" w14:textId="77777777" w:rsidR="001D3D5D" w:rsidRPr="00B322FF" w:rsidRDefault="001D3D5D" w:rsidP="006C4CDD">
      <w:pPr>
        <w:pStyle w:val="a6"/>
        <w:numPr>
          <w:ilvl w:val="0"/>
          <w:numId w:val="17"/>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القوة التفسيرية للنموذج: بلغت قيمة معامل التحديد (</w:t>
      </w:r>
      <w:r w:rsidRPr="00B322FF">
        <w:rPr>
          <w:rFonts w:ascii="Simplified Arabic" w:eastAsia="Times New Roman" w:hAnsi="Simplified Arabic" w:cs="Simplified Arabic" w:hint="cs"/>
          <w:sz w:val="28"/>
          <w:szCs w:val="28"/>
          <w:lang w:bidi="ar-YE"/>
        </w:rPr>
        <w:t>R²</w:t>
      </w:r>
      <w:r w:rsidRPr="00B322FF">
        <w:rPr>
          <w:rFonts w:ascii="Simplified Arabic" w:eastAsia="Times New Roman" w:hAnsi="Simplified Arabic" w:cs="Simplified Arabic" w:hint="cs"/>
          <w:sz w:val="28"/>
          <w:szCs w:val="28"/>
          <w:rtl/>
        </w:rPr>
        <w:t>) حوالي (0.226)، وهذا يشير إلى أن برامج ومبادرات التحول الصحي تساهم في تفسير ما نسبته (22.6%) من التباين (التغير) في مستوى الاحتراق الوظيفي لدى الكوادر الصحية، بينما تعود النسبة المتبقية لعوامل أخرى لم يتناولها النموذج الحالي.</w:t>
      </w:r>
    </w:p>
    <w:p w14:paraId="777D2196" w14:textId="77777777" w:rsidR="001D3D5D" w:rsidRPr="00B322FF" w:rsidRDefault="001D3D5D" w:rsidP="006C4CDD">
      <w:pPr>
        <w:pStyle w:val="a6"/>
        <w:numPr>
          <w:ilvl w:val="0"/>
          <w:numId w:val="17"/>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صلاحية النموذج: سجلت (</w:t>
      </w:r>
      <w:r w:rsidRPr="00B322FF">
        <w:rPr>
          <w:rFonts w:ascii="Simplified Arabic" w:eastAsia="Times New Roman" w:hAnsi="Simplified Arabic" w:cs="Simplified Arabic" w:hint="cs"/>
          <w:sz w:val="28"/>
          <w:szCs w:val="28"/>
        </w:rPr>
        <w:t>F</w:t>
      </w:r>
      <w:r w:rsidRPr="00B322FF">
        <w:rPr>
          <w:rFonts w:ascii="Simplified Arabic" w:eastAsia="Times New Roman" w:hAnsi="Simplified Arabic" w:cs="Simplified Arabic" w:hint="cs"/>
          <w:sz w:val="28"/>
          <w:szCs w:val="28"/>
          <w:rtl/>
        </w:rPr>
        <w:t>) المحسوبة (111.381) عند مستوى دلالة (0.000)، مما يؤكد كفاءة النموذج من الناحية الإحصائية وقدرته على قياس أثر المتغير المستقل في المتغير التابع.</w:t>
      </w:r>
    </w:p>
    <w:p w14:paraId="167E7AFF" w14:textId="77777777" w:rsidR="001D3D5D" w:rsidRPr="00B322FF" w:rsidRDefault="001D3D5D" w:rsidP="006C4CDD">
      <w:pPr>
        <w:pStyle w:val="a6"/>
        <w:numPr>
          <w:ilvl w:val="0"/>
          <w:numId w:val="17"/>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lastRenderedPageBreak/>
        <w:t>​</w:t>
      </w:r>
      <w:r w:rsidRPr="00B322FF">
        <w:rPr>
          <w:rFonts w:ascii="Simplified Arabic" w:eastAsia="Times New Roman" w:hAnsi="Simplified Arabic" w:cs="Simplified Arabic" w:hint="cs"/>
          <w:sz w:val="28"/>
          <w:szCs w:val="28"/>
          <w:rtl/>
        </w:rPr>
        <w:t>معامل التأثير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xml:space="preserve">): أظهرت النتائج أن معامل الانحدار المعياري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xml:space="preserve"> قد بلغ (-0.475)، وهي قيمة ذات دلالة إحصائية عند مستوى (0.000). نلاحظ هنا أن إشارة المعامل سالبة، وهو ما يتفق تماماً مع منطق الفرضية؛ حيث يعني ذلك وجود علاقة عكسية دالة إحصائياً؛ أي أن كل زيادة في تطبيق برامج التحول الصحي يصاحبها انخفاض ملموس في مستويات الاحتراق الوظيفي لدى الموظفين بمقدار (0.475). وتعزز قيمة (</w:t>
      </w:r>
      <w:r w:rsidRPr="00B322FF">
        <w:rPr>
          <w:rFonts w:ascii="Simplified Arabic" w:eastAsia="Times New Roman" w:hAnsi="Simplified Arabic" w:cs="Simplified Arabic" w:hint="cs"/>
          <w:sz w:val="28"/>
          <w:szCs w:val="28"/>
        </w:rPr>
        <w:t>t</w:t>
      </w:r>
      <w:r w:rsidRPr="00B322FF">
        <w:rPr>
          <w:rFonts w:ascii="Simplified Arabic" w:eastAsia="Times New Roman" w:hAnsi="Simplified Arabic" w:cs="Simplified Arabic" w:hint="cs"/>
          <w:sz w:val="28"/>
          <w:szCs w:val="28"/>
          <w:rtl/>
        </w:rPr>
        <w:t>) البالغة (-10.554) هذه المعنوية العالية للأثر.</w:t>
      </w:r>
    </w:p>
    <w:p w14:paraId="0D4133B9"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في ضوء النتائج السابقة، وحيث إن مستوى الدلالة المعنوية (</w:t>
      </w:r>
      <w:r w:rsidRPr="00B322FF">
        <w:rPr>
          <w:rFonts w:ascii="Simplified Arabic" w:hAnsi="Simplified Arabic" w:cs="Simplified Arabic" w:hint="cs"/>
          <w:sz w:val="28"/>
          <w:szCs w:val="28"/>
        </w:rPr>
        <w:t>Sig = 0.000</w:t>
      </w:r>
      <w:r w:rsidRPr="00B322FF">
        <w:rPr>
          <w:rFonts w:ascii="Simplified Arabic" w:hAnsi="Simplified Arabic" w:cs="Simplified Arabic" w:hint="cs"/>
          <w:sz w:val="28"/>
          <w:szCs w:val="28"/>
          <w:rtl/>
        </w:rPr>
        <w:t>) أقل من مستوى الدلالة المعتمد (0.05): يتم قبول الفرضية الثانية، وهو ما يثبت علمياً أن التحول الصحي في المملكة العربية السعودية يلعب دوراً جوهرياً في تقليل حدة الاحتراق الوظيفي لدى العاملين في القطاع الصحي الحكومي بمدينة الرياض.</w:t>
      </w:r>
    </w:p>
    <w:p w14:paraId="196A04B2" w14:textId="77777777" w:rsidR="001D3D5D" w:rsidRPr="00B322FF" w:rsidRDefault="001D3D5D" w:rsidP="00B527E5">
      <w:pPr>
        <w:pStyle w:val="ac"/>
        <w:bidi/>
        <w:jc w:val="both"/>
        <w:rPr>
          <w:rFonts w:ascii="Simplified Arabic" w:hAnsi="Simplified Arabic" w:cs="Simplified Arabic"/>
          <w:b/>
          <w:bCs/>
          <w:sz w:val="28"/>
          <w:szCs w:val="28"/>
        </w:rPr>
      </w:pPr>
      <w:r w:rsidRPr="00B322FF">
        <w:rPr>
          <w:rFonts w:ascii="Simplified Arabic" w:hAnsi="Simplified Arabic" w:cs="Simplified Arabic" w:hint="cs"/>
          <w:b/>
          <w:bCs/>
          <w:sz w:val="28"/>
          <w:szCs w:val="28"/>
          <w:rtl/>
        </w:rPr>
        <w:t xml:space="preserve">جـ–  اختبار الفرضية الثالثة: </w:t>
      </w:r>
    </w:p>
    <w:p w14:paraId="1342D4E4"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 xml:space="preserve">نصت الفرضية الثالثة على أنه: </w:t>
      </w:r>
      <w:r w:rsidRPr="00B322FF">
        <w:rPr>
          <w:rFonts w:ascii="Simplified Arabic" w:hAnsi="Simplified Arabic" w:cs="Simplified Arabic" w:hint="cs"/>
          <w:b/>
          <w:bCs/>
          <w:sz w:val="28"/>
          <w:szCs w:val="28"/>
          <w:rtl/>
        </w:rPr>
        <w:t>توجد علاقة ارتباطية إيجابية بين التحول الصحي ورفاهية الموظفين في تقليل الاحتراق الوظيفي في القطاع الصحي الحكومي بمدينة الرياض</w:t>
      </w:r>
      <w:r w:rsidRPr="00B322FF">
        <w:rPr>
          <w:rFonts w:ascii="Simplified Arabic" w:hAnsi="Simplified Arabic" w:cs="Simplified Arabic" w:hint="cs"/>
          <w:sz w:val="28"/>
          <w:szCs w:val="28"/>
          <w:rtl/>
        </w:rPr>
        <w:t>.</w:t>
      </w:r>
    </w:p>
    <w:p w14:paraId="05EDF976" w14:textId="77777777" w:rsidR="001D3D5D" w:rsidRPr="00B322FF" w:rsidRDefault="001D3D5D" w:rsidP="001919D1">
      <w:pPr>
        <w:pStyle w:val="ac"/>
        <w:bidi/>
        <w:jc w:val="both"/>
        <w:rPr>
          <w:rFonts w:ascii="Simplified Arabic" w:hAnsi="Simplified Arabic" w:cs="Simplified Arabic"/>
          <w:sz w:val="28"/>
          <w:szCs w:val="28"/>
        </w:rPr>
      </w:pPr>
      <w:r w:rsidRPr="00B322FF">
        <w:rPr>
          <w:rFonts w:hint="cs"/>
          <w:sz w:val="28"/>
          <w:szCs w:val="28"/>
          <w:rtl/>
        </w:rPr>
        <w:t>​</w:t>
      </w:r>
      <w:r w:rsidRPr="00B322FF">
        <w:rPr>
          <w:rFonts w:ascii="Simplified Arabic" w:hAnsi="Simplified Arabic" w:cs="Simplified Arabic" w:hint="cs"/>
          <w:sz w:val="28"/>
          <w:szCs w:val="28"/>
          <w:rtl/>
        </w:rPr>
        <w:t>لاختبار هذه الفرضية، تم استخدام تحليل الانحدار الخطي المتعدد للكشف عن القدرة التنبؤية لكل من (التحول الصحي، ورفاهية الموظفين) مجتمعين كمتغيرات مستقلة في التنبؤ بالمتغير التابع (الاحتراق الوظيفي). يوضح الجدول التالي النتائج المستخلصة:</w:t>
      </w:r>
    </w:p>
    <w:p w14:paraId="1587D40D"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1C385C">
        <w:rPr>
          <w:rFonts w:ascii="Simplified Arabic" w:hAnsi="Simplified Arabic" w:cs="Simplified Arabic" w:hint="cs"/>
          <w:b/>
          <w:bCs/>
          <w:kern w:val="2"/>
          <w:rtl/>
          <w14:ligatures w14:val="standardContextual"/>
        </w:rPr>
        <w:t>٤-٦</w:t>
      </w:r>
      <w:r w:rsidRPr="00B322FF">
        <w:rPr>
          <w:rFonts w:ascii="Simplified Arabic" w:hAnsi="Simplified Arabic" w:cs="Simplified Arabic" w:hint="cs"/>
          <w:b/>
          <w:bCs/>
          <w:kern w:val="2"/>
          <w:rtl/>
          <w14:ligatures w14:val="standardContextual"/>
        </w:rPr>
        <w:t>): نتائج تحليل الانحدار المتعدد لأثر التحول الصحي ورفاهية الموظفين في تقليل الاحتراق الوظيفي</w:t>
      </w:r>
    </w:p>
    <w:tbl>
      <w:tblPr>
        <w:tblStyle w:val="af"/>
        <w:bidiVisual/>
        <w:tblW w:w="5000" w:type="pct"/>
        <w:tblLook w:val="04A0" w:firstRow="1" w:lastRow="0" w:firstColumn="1" w:lastColumn="0" w:noHBand="0" w:noVBand="1"/>
      </w:tblPr>
      <w:tblGrid>
        <w:gridCol w:w="1379"/>
        <w:gridCol w:w="942"/>
        <w:gridCol w:w="942"/>
        <w:gridCol w:w="1263"/>
        <w:gridCol w:w="1278"/>
        <w:gridCol w:w="948"/>
        <w:gridCol w:w="948"/>
        <w:gridCol w:w="1316"/>
      </w:tblGrid>
      <w:tr w:rsidR="001D3D5D" w:rsidRPr="00B322FF" w14:paraId="10F34CF8" w14:textId="77777777" w:rsidTr="00597597">
        <w:trPr>
          <w:trHeight w:val="270"/>
        </w:trPr>
        <w:tc>
          <w:tcPr>
            <w:tcW w:w="764" w:type="pct"/>
            <w:vAlign w:val="center"/>
            <w:hideMark/>
          </w:tcPr>
          <w:p w14:paraId="16DEA255"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المتغيرات المستقلة</w:t>
            </w:r>
          </w:p>
        </w:tc>
        <w:tc>
          <w:tcPr>
            <w:tcW w:w="522" w:type="pct"/>
            <w:vAlign w:val="center"/>
            <w:hideMark/>
          </w:tcPr>
          <w:p w14:paraId="760665C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w:t>
            </w:r>
          </w:p>
        </w:tc>
        <w:tc>
          <w:tcPr>
            <w:tcW w:w="522" w:type="pct"/>
            <w:vAlign w:val="center"/>
            <w:hideMark/>
          </w:tcPr>
          <w:p w14:paraId="6E7B676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R²</w:t>
            </w:r>
          </w:p>
        </w:tc>
        <w:tc>
          <w:tcPr>
            <w:tcW w:w="700" w:type="pct"/>
            <w:vAlign w:val="center"/>
            <w:hideMark/>
          </w:tcPr>
          <w:p w14:paraId="0F3A814F"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F</w:t>
            </w:r>
          </w:p>
        </w:tc>
        <w:tc>
          <w:tcPr>
            <w:tcW w:w="709" w:type="pct"/>
            <w:vAlign w:val="center"/>
            <w:hideMark/>
          </w:tcPr>
          <w:p w14:paraId="527F71A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526" w:type="pct"/>
            <w:vAlign w:val="center"/>
            <w:hideMark/>
          </w:tcPr>
          <w:p w14:paraId="7E3868E9" w14:textId="77777777" w:rsidR="001D3D5D" w:rsidRPr="00B322FF" w:rsidRDefault="001D3D5D" w:rsidP="00B527E5">
            <w:pPr>
              <w:jc w:val="center"/>
              <w:rPr>
                <w:rFonts w:ascii="Simplified Arabic" w:eastAsia="Times New Roman" w:hAnsi="Simplified Arabic" w:cs="Simplified Arabic"/>
                <w:b/>
                <w:bCs/>
                <w:rtl/>
              </w:rPr>
            </w:pPr>
            <w:r w:rsidRPr="00B322FF">
              <w:rPr>
                <w:rFonts w:ascii="Cambria" w:eastAsia="Times New Roman" w:hAnsi="Cambria" w:cs="Cambria"/>
                <w:b/>
                <w:bCs/>
              </w:rPr>
              <w:t>β</w:t>
            </w:r>
          </w:p>
        </w:tc>
        <w:tc>
          <w:tcPr>
            <w:tcW w:w="526" w:type="pct"/>
            <w:vAlign w:val="center"/>
            <w:hideMark/>
          </w:tcPr>
          <w:p w14:paraId="551DB0E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T</w:t>
            </w:r>
          </w:p>
        </w:tc>
        <w:tc>
          <w:tcPr>
            <w:tcW w:w="730" w:type="pct"/>
            <w:vAlign w:val="center"/>
            <w:hideMark/>
          </w:tcPr>
          <w:p w14:paraId="6F1843F0"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r>
      <w:tr w:rsidR="001D3D5D" w:rsidRPr="00B322FF" w14:paraId="2F72CE79" w14:textId="77777777" w:rsidTr="00597597">
        <w:trPr>
          <w:trHeight w:val="270"/>
        </w:trPr>
        <w:tc>
          <w:tcPr>
            <w:tcW w:w="764" w:type="pct"/>
            <w:vAlign w:val="center"/>
            <w:hideMark/>
          </w:tcPr>
          <w:p w14:paraId="60DC867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522" w:type="pct"/>
            <w:vMerge w:val="restart"/>
            <w:vAlign w:val="center"/>
            <w:hideMark/>
          </w:tcPr>
          <w:p w14:paraId="071F1178" w14:textId="77777777" w:rsidR="001D3D5D" w:rsidRPr="00B322FF" w:rsidRDefault="001D3D5D" w:rsidP="00B527E5">
            <w:pPr>
              <w:bidi w:val="0"/>
              <w:jc w:val="center"/>
              <w:rPr>
                <w:rFonts w:ascii="Simplified Arabic" w:eastAsia="Times New Roman" w:hAnsi="Simplified Arabic" w:cs="Simplified Arabic"/>
                <w:rtl/>
              </w:rPr>
            </w:pPr>
            <w:r w:rsidRPr="00B322FF">
              <w:rPr>
                <w:rFonts w:ascii="Simplified Arabic" w:eastAsia="Times New Roman" w:hAnsi="Simplified Arabic" w:cs="Simplified Arabic" w:hint="cs"/>
              </w:rPr>
              <w:t>0.589</w:t>
            </w:r>
          </w:p>
        </w:tc>
        <w:tc>
          <w:tcPr>
            <w:tcW w:w="522" w:type="pct"/>
            <w:vMerge w:val="restart"/>
            <w:vAlign w:val="center"/>
            <w:hideMark/>
          </w:tcPr>
          <w:p w14:paraId="4DEDEFB3" w14:textId="77777777" w:rsidR="001D3D5D" w:rsidRPr="00B322FF" w:rsidRDefault="001D3D5D" w:rsidP="00B527E5">
            <w:pPr>
              <w:bidi w:val="0"/>
              <w:jc w:val="center"/>
              <w:rPr>
                <w:rFonts w:ascii="Simplified Arabic" w:eastAsia="Times New Roman" w:hAnsi="Simplified Arabic" w:cs="Simplified Arabic"/>
              </w:rPr>
            </w:pPr>
            <w:r w:rsidRPr="00B322FF">
              <w:rPr>
                <w:rFonts w:ascii="Simplified Arabic" w:eastAsia="Times New Roman" w:hAnsi="Simplified Arabic" w:cs="Simplified Arabic" w:hint="cs"/>
              </w:rPr>
              <w:t>0.347</w:t>
            </w:r>
          </w:p>
        </w:tc>
        <w:tc>
          <w:tcPr>
            <w:tcW w:w="700" w:type="pct"/>
            <w:vMerge w:val="restart"/>
            <w:vAlign w:val="center"/>
            <w:hideMark/>
          </w:tcPr>
          <w:p w14:paraId="3C118E54" w14:textId="77777777" w:rsidR="001D3D5D" w:rsidRPr="00B322FF" w:rsidRDefault="001D3D5D" w:rsidP="00B527E5">
            <w:pPr>
              <w:bidi w:val="0"/>
              <w:jc w:val="center"/>
              <w:rPr>
                <w:rFonts w:ascii="Simplified Arabic" w:eastAsia="Times New Roman" w:hAnsi="Simplified Arabic" w:cs="Simplified Arabic"/>
              </w:rPr>
            </w:pPr>
            <w:r w:rsidRPr="00B322FF">
              <w:rPr>
                <w:rFonts w:ascii="Simplified Arabic" w:eastAsia="Times New Roman" w:hAnsi="Simplified Arabic" w:cs="Simplified Arabic" w:hint="cs"/>
              </w:rPr>
              <w:t>101.127</w:t>
            </w:r>
          </w:p>
        </w:tc>
        <w:tc>
          <w:tcPr>
            <w:tcW w:w="709" w:type="pct"/>
            <w:vMerge w:val="restart"/>
            <w:vAlign w:val="center"/>
            <w:hideMark/>
          </w:tcPr>
          <w:p w14:paraId="088E005D" w14:textId="77777777" w:rsidR="001D3D5D" w:rsidRPr="00B322FF" w:rsidRDefault="001D3D5D" w:rsidP="00B527E5">
            <w:pPr>
              <w:bidi w:val="0"/>
              <w:jc w:val="center"/>
              <w:rPr>
                <w:rFonts w:ascii="Simplified Arabic" w:eastAsia="Times New Roman" w:hAnsi="Simplified Arabic" w:cs="Simplified Arabic"/>
              </w:rPr>
            </w:pPr>
            <w:r w:rsidRPr="00B322FF">
              <w:rPr>
                <w:rFonts w:ascii="Simplified Arabic" w:eastAsia="Times New Roman" w:hAnsi="Simplified Arabic" w:cs="Simplified Arabic" w:hint="cs"/>
              </w:rPr>
              <w:t>0</w:t>
            </w:r>
          </w:p>
        </w:tc>
        <w:tc>
          <w:tcPr>
            <w:tcW w:w="526" w:type="pct"/>
            <w:vAlign w:val="center"/>
            <w:hideMark/>
          </w:tcPr>
          <w:p w14:paraId="4AB0AD14" w14:textId="77777777" w:rsidR="001D3D5D" w:rsidRPr="00B322FF" w:rsidRDefault="001D3D5D" w:rsidP="00B527E5">
            <w:pPr>
              <w:jc w:val="center"/>
              <w:rPr>
                <w:rFonts w:ascii="Simplified Arabic" w:eastAsia="Times New Roman" w:hAnsi="Simplified Arabic" w:cs="Simplified Arabic"/>
              </w:rPr>
            </w:pPr>
            <w:r w:rsidRPr="00B322FF">
              <w:rPr>
                <w:rFonts w:ascii="Simplified Arabic" w:eastAsia="Times New Roman" w:hAnsi="Simplified Arabic" w:cs="Simplified Arabic" w:hint="cs"/>
                <w:rtl/>
              </w:rPr>
              <w:t>-0.155</w:t>
            </w:r>
          </w:p>
        </w:tc>
        <w:tc>
          <w:tcPr>
            <w:tcW w:w="526" w:type="pct"/>
            <w:vAlign w:val="center"/>
            <w:hideMark/>
          </w:tcPr>
          <w:p w14:paraId="76ECA21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-2.656</w:t>
            </w:r>
          </w:p>
        </w:tc>
        <w:tc>
          <w:tcPr>
            <w:tcW w:w="730" w:type="pct"/>
            <w:vAlign w:val="center"/>
            <w:hideMark/>
          </w:tcPr>
          <w:p w14:paraId="6F12632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0.008</w:t>
            </w:r>
          </w:p>
        </w:tc>
      </w:tr>
      <w:tr w:rsidR="001D3D5D" w:rsidRPr="00B322FF" w14:paraId="05B24E29" w14:textId="77777777" w:rsidTr="00597597">
        <w:trPr>
          <w:trHeight w:val="270"/>
        </w:trPr>
        <w:tc>
          <w:tcPr>
            <w:tcW w:w="764" w:type="pct"/>
            <w:vAlign w:val="center"/>
            <w:hideMark/>
          </w:tcPr>
          <w:p w14:paraId="6267C2CF"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رفاهية الموظفين</w:t>
            </w:r>
          </w:p>
        </w:tc>
        <w:tc>
          <w:tcPr>
            <w:tcW w:w="522" w:type="pct"/>
            <w:vMerge/>
            <w:vAlign w:val="center"/>
            <w:hideMark/>
          </w:tcPr>
          <w:p w14:paraId="41A96AA6" w14:textId="77777777" w:rsidR="001D3D5D" w:rsidRPr="00B322FF" w:rsidRDefault="001D3D5D" w:rsidP="00B527E5">
            <w:pPr>
              <w:jc w:val="center"/>
              <w:rPr>
                <w:rFonts w:ascii="Simplified Arabic" w:eastAsia="Times New Roman" w:hAnsi="Simplified Arabic" w:cs="Simplified Arabic"/>
              </w:rPr>
            </w:pPr>
          </w:p>
        </w:tc>
        <w:tc>
          <w:tcPr>
            <w:tcW w:w="522" w:type="pct"/>
            <w:vMerge/>
            <w:vAlign w:val="center"/>
            <w:hideMark/>
          </w:tcPr>
          <w:p w14:paraId="1B6D27EA" w14:textId="77777777" w:rsidR="001D3D5D" w:rsidRPr="00B322FF" w:rsidRDefault="001D3D5D" w:rsidP="00B527E5">
            <w:pPr>
              <w:jc w:val="center"/>
              <w:rPr>
                <w:rFonts w:ascii="Simplified Arabic" w:eastAsia="Times New Roman" w:hAnsi="Simplified Arabic" w:cs="Simplified Arabic"/>
              </w:rPr>
            </w:pPr>
          </w:p>
        </w:tc>
        <w:tc>
          <w:tcPr>
            <w:tcW w:w="700" w:type="pct"/>
            <w:vMerge/>
            <w:vAlign w:val="center"/>
            <w:hideMark/>
          </w:tcPr>
          <w:p w14:paraId="45A10C08" w14:textId="77777777" w:rsidR="001D3D5D" w:rsidRPr="00B322FF" w:rsidRDefault="001D3D5D" w:rsidP="00B527E5">
            <w:pPr>
              <w:jc w:val="center"/>
              <w:rPr>
                <w:rFonts w:ascii="Simplified Arabic" w:eastAsia="Times New Roman" w:hAnsi="Simplified Arabic" w:cs="Simplified Arabic"/>
              </w:rPr>
            </w:pPr>
          </w:p>
        </w:tc>
        <w:tc>
          <w:tcPr>
            <w:tcW w:w="709" w:type="pct"/>
            <w:vMerge/>
            <w:vAlign w:val="center"/>
            <w:hideMark/>
          </w:tcPr>
          <w:p w14:paraId="4E576872" w14:textId="77777777" w:rsidR="001D3D5D" w:rsidRPr="00B322FF" w:rsidRDefault="001D3D5D" w:rsidP="00B527E5">
            <w:pPr>
              <w:jc w:val="center"/>
              <w:rPr>
                <w:rFonts w:ascii="Simplified Arabic" w:eastAsia="Times New Roman" w:hAnsi="Simplified Arabic" w:cs="Simplified Arabic"/>
              </w:rPr>
            </w:pPr>
          </w:p>
        </w:tc>
        <w:tc>
          <w:tcPr>
            <w:tcW w:w="526" w:type="pct"/>
            <w:vAlign w:val="center"/>
            <w:hideMark/>
          </w:tcPr>
          <w:p w14:paraId="0A4EB99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-0.412</w:t>
            </w:r>
          </w:p>
        </w:tc>
        <w:tc>
          <w:tcPr>
            <w:tcW w:w="526" w:type="pct"/>
            <w:vAlign w:val="center"/>
            <w:hideMark/>
          </w:tcPr>
          <w:p w14:paraId="0932264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-7.067</w:t>
            </w:r>
          </w:p>
        </w:tc>
        <w:tc>
          <w:tcPr>
            <w:tcW w:w="730" w:type="pct"/>
            <w:vAlign w:val="center"/>
            <w:hideMark/>
          </w:tcPr>
          <w:p w14:paraId="63F33E8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r>
    </w:tbl>
    <w:p w14:paraId="246D2635" w14:textId="77777777" w:rsidR="00A61A27" w:rsidRPr="000663CD" w:rsidRDefault="0089331B" w:rsidP="000663CD">
      <w:pPr>
        <w:spacing w:before="40" w:after="120"/>
        <w:rPr>
          <w:rFonts w:ascii="Simplified Arabic" w:hAnsi="Simplified Arabic" w:cs="Simplified Arabic"/>
          <w:i/>
          <w:sz w:val="22"/>
          <w:szCs w:val="22"/>
        </w:rPr>
      </w:pPr>
      <w:r w:rsidRPr="000663C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0A5F7249"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من خلال استقراء النتائج الإحصائية الموضحة في الجدول (</w:t>
      </w:r>
      <w:r w:rsidR="001C385C">
        <w:rPr>
          <w:rFonts w:ascii="Simplified Arabic" w:hAnsi="Simplified Arabic" w:cs="Simplified Arabic" w:hint="cs"/>
          <w:sz w:val="28"/>
          <w:szCs w:val="28"/>
          <w:rtl/>
        </w:rPr>
        <w:t>٤-٦</w:t>
      </w:r>
      <w:r w:rsidRPr="00B322FF">
        <w:rPr>
          <w:rFonts w:ascii="Simplified Arabic" w:hAnsi="Simplified Arabic" w:cs="Simplified Arabic" w:hint="cs"/>
          <w:sz w:val="28"/>
          <w:szCs w:val="28"/>
          <w:rtl/>
        </w:rPr>
        <w:t>)، نصل إلى الاستنتاجات التالية:</w:t>
      </w:r>
    </w:p>
    <w:p w14:paraId="0AB00263" w14:textId="77777777" w:rsidR="001D3D5D" w:rsidRPr="00B322FF" w:rsidRDefault="001D3D5D" w:rsidP="006C4CDD">
      <w:pPr>
        <w:pStyle w:val="a6"/>
        <w:numPr>
          <w:ilvl w:val="0"/>
          <w:numId w:val="18"/>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القوة التفسيرية المشتركة: بلغت قيمة معامل التحديد الإجمالي (</w:t>
      </w:r>
      <w:r w:rsidRPr="00B322FF">
        <w:rPr>
          <w:rFonts w:ascii="Simplified Arabic" w:eastAsia="Times New Roman" w:hAnsi="Simplified Arabic" w:cs="Simplified Arabic" w:hint="cs"/>
          <w:sz w:val="28"/>
          <w:szCs w:val="28"/>
          <w:lang w:bidi="ar-YE"/>
        </w:rPr>
        <w:t>R²</w:t>
      </w:r>
      <w:r w:rsidRPr="00B322FF">
        <w:rPr>
          <w:rFonts w:ascii="Simplified Arabic" w:eastAsia="Times New Roman" w:hAnsi="Simplified Arabic" w:cs="Simplified Arabic" w:hint="cs"/>
          <w:sz w:val="28"/>
          <w:szCs w:val="28"/>
          <w:rtl/>
        </w:rPr>
        <w:t xml:space="preserve">) حوالي (0.347)، وهذا يعني أن كلاً من التحول الصحي ورفاهية الموظفين يفسران معاً ما نسبته (34.7%) من التغيرات </w:t>
      </w:r>
      <w:r w:rsidRPr="00B322FF">
        <w:rPr>
          <w:rFonts w:ascii="Simplified Arabic" w:eastAsia="Times New Roman" w:hAnsi="Simplified Arabic" w:cs="Simplified Arabic" w:hint="cs"/>
          <w:sz w:val="28"/>
          <w:szCs w:val="28"/>
          <w:rtl/>
        </w:rPr>
        <w:lastRenderedPageBreak/>
        <w:t>الحاصلة في مستوى الاحتراق الوظيفي. وهي نسبة تفسيرية أعلى مما كان يحققه كل متغير بمفرده، مما يؤكد أهمية تكامل هذين العنصرين.</w:t>
      </w:r>
    </w:p>
    <w:p w14:paraId="1D58355B" w14:textId="77777777" w:rsidR="001D3D5D" w:rsidRPr="00B322FF" w:rsidRDefault="001D3D5D" w:rsidP="006C4CDD">
      <w:pPr>
        <w:pStyle w:val="a6"/>
        <w:numPr>
          <w:ilvl w:val="0"/>
          <w:numId w:val="18"/>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 xml:space="preserve">صلاحية النموذج: أكدت </w:t>
      </w:r>
      <w:r w:rsidRPr="00B322FF">
        <w:rPr>
          <w:rFonts w:ascii="Simplified Arabic" w:eastAsia="Times New Roman" w:hAnsi="Simplified Arabic" w:cs="Simplified Arabic" w:hint="cs"/>
          <w:sz w:val="28"/>
          <w:szCs w:val="28"/>
        </w:rPr>
        <w:t>(F)</w:t>
      </w:r>
      <w:r w:rsidRPr="00B322FF">
        <w:rPr>
          <w:rFonts w:ascii="Simplified Arabic" w:eastAsia="Times New Roman" w:hAnsi="Simplified Arabic" w:cs="Simplified Arabic" w:hint="cs"/>
          <w:sz w:val="28"/>
          <w:szCs w:val="28"/>
          <w:rtl/>
        </w:rPr>
        <w:t xml:space="preserve"> البالغة (101.127) وبمستوى دلالة (0.000) أن النموذج صالح إحصائياً وبقوة للتنبؤ بأثر المتغيرين المستقلين في المتغير التابع.</w:t>
      </w:r>
    </w:p>
    <w:p w14:paraId="5C03B009" w14:textId="77777777" w:rsidR="001D3D5D" w:rsidRPr="00B322FF" w:rsidRDefault="001D3D5D" w:rsidP="006C4CDD">
      <w:pPr>
        <w:pStyle w:val="a6"/>
        <w:numPr>
          <w:ilvl w:val="0"/>
          <w:numId w:val="18"/>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تحليل معاملات التأثير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أظهر متغير رفاهية الموظفين تأثيراً عكسياً قوياً ودالاً إحصائياً (</w:t>
      </w:r>
      <w:r w:rsidRPr="00B322FF">
        <w:rPr>
          <w:rFonts w:ascii="Cambria" w:eastAsia="Times New Roman" w:hAnsi="Cambria" w:cs="Cambria"/>
          <w:sz w:val="28"/>
          <w:szCs w:val="28"/>
          <w:lang w:bidi="ar-YE"/>
        </w:rPr>
        <w:t>β</w:t>
      </w:r>
      <w:r w:rsidRPr="00B322FF">
        <w:rPr>
          <w:rFonts w:ascii="Simplified Arabic" w:eastAsia="Times New Roman" w:hAnsi="Simplified Arabic" w:cs="Simplified Arabic" w:hint="cs"/>
          <w:sz w:val="28"/>
          <w:szCs w:val="28"/>
        </w:rPr>
        <w:t xml:space="preserve"> = -0.412</w:t>
      </w:r>
      <w:r w:rsidRPr="00B322FF">
        <w:rPr>
          <w:rFonts w:ascii="Simplified Arabic" w:eastAsia="Times New Roman" w:hAnsi="Simplified Arabic" w:cs="Simplified Arabic" w:hint="cs"/>
          <w:sz w:val="28"/>
          <w:szCs w:val="28"/>
          <w:rtl/>
        </w:rPr>
        <w:t>) عند مستوى دلالة (0.000)، مما يجعله المساهم الأكبر في تقليل الاحتراق الوظيفي. حيث سجل متغير التحول الصحي تأثيراً عكسياً دالاً إحصائياً (</w:t>
      </w:r>
      <w:r w:rsidRPr="00B322FF">
        <w:rPr>
          <w:rFonts w:ascii="Cambria" w:eastAsia="Times New Roman" w:hAnsi="Cambria" w:cs="Cambria"/>
          <w:sz w:val="28"/>
          <w:szCs w:val="28"/>
          <w:lang w:bidi="ar-YE"/>
        </w:rPr>
        <w:t>β</w:t>
      </w:r>
      <w:r w:rsidRPr="00B322FF">
        <w:rPr>
          <w:rFonts w:ascii="Simplified Arabic" w:eastAsia="Times New Roman" w:hAnsi="Simplified Arabic" w:cs="Simplified Arabic" w:hint="cs"/>
          <w:sz w:val="28"/>
          <w:szCs w:val="28"/>
        </w:rPr>
        <w:t xml:space="preserve"> = -0.155</w:t>
      </w:r>
      <w:r w:rsidRPr="00B322FF">
        <w:rPr>
          <w:rFonts w:ascii="Simplified Arabic" w:eastAsia="Times New Roman" w:hAnsi="Simplified Arabic" w:cs="Simplified Arabic" w:hint="cs"/>
          <w:sz w:val="28"/>
          <w:szCs w:val="28"/>
          <w:rtl/>
        </w:rPr>
        <w:t xml:space="preserve">) عند مستوى دلالة (0.008)، مما يعني أنه يساهم أيضاً في خفض الاحتراق الوظيفي حتى بوجود متغير الرفاهية. ونلاحظ أن إشارات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tl/>
        </w:rPr>
        <w:t xml:space="preserve"> سالبة، وهي تشير إلى تقليل الاحتراق، وهو ما يتسق مع جوهر الفرضية.</w:t>
      </w:r>
    </w:p>
    <w:p w14:paraId="14852A28" w14:textId="77777777" w:rsidR="001D3D5D" w:rsidRPr="00B322FF" w:rsidRDefault="001D3D5D" w:rsidP="001919D1">
      <w:pPr>
        <w:pStyle w:val="ac"/>
        <w:bidi/>
        <w:jc w:val="both"/>
        <w:rPr>
          <w:rFonts w:ascii="Simplified Arabic" w:hAnsi="Simplified Arabic" w:cs="Simplified Arabic"/>
          <w:sz w:val="28"/>
          <w:szCs w:val="28"/>
        </w:rPr>
      </w:pPr>
      <w:r w:rsidRPr="00B322FF">
        <w:rPr>
          <w:rFonts w:hint="cs"/>
          <w:sz w:val="28"/>
          <w:szCs w:val="28"/>
          <w:rtl/>
        </w:rPr>
        <w:t>​</w:t>
      </w:r>
      <w:r w:rsidRPr="00B322FF">
        <w:rPr>
          <w:rFonts w:ascii="Simplified Arabic" w:hAnsi="Simplified Arabic" w:cs="Simplified Arabic" w:hint="cs"/>
          <w:sz w:val="28"/>
          <w:szCs w:val="28"/>
          <w:rtl/>
        </w:rPr>
        <w:t>بناءً على المعطيات السابقة، وحيث إن مستوى الدلالة للنموذج ككل وللمتغيرات بشكل فردي أقل من مستوى الدلالة المعتمد (0.05): يتم قبول الفرضية الثالثة ، مما يثبت وجود علاقة معنوية وتكاملية بين التحول الصحي ورفاهية الموظفين تصب في مصلحة تقليل الاحتراق الوظيفي في القطاع المستهدف.</w:t>
      </w:r>
    </w:p>
    <w:p w14:paraId="53AEEEB0" w14:textId="77777777" w:rsidR="001D3D5D" w:rsidRPr="00B322FF" w:rsidRDefault="001D3D5D" w:rsidP="00B527E5">
      <w:pPr>
        <w:pStyle w:val="ac"/>
        <w:bidi/>
        <w:jc w:val="both"/>
        <w:rPr>
          <w:rFonts w:ascii="Simplified Arabic" w:hAnsi="Simplified Arabic" w:cs="Simplified Arabic"/>
          <w:b/>
          <w:bCs/>
          <w:sz w:val="28"/>
          <w:szCs w:val="28"/>
        </w:rPr>
      </w:pPr>
      <w:r w:rsidRPr="00B322FF">
        <w:rPr>
          <w:rFonts w:ascii="Simplified Arabic" w:hAnsi="Simplified Arabic" w:cs="Simplified Arabic" w:hint="cs"/>
          <w:b/>
          <w:bCs/>
          <w:sz w:val="28"/>
          <w:szCs w:val="28"/>
          <w:rtl/>
        </w:rPr>
        <w:t xml:space="preserve">د– اختبار الفرضية الرابعة: </w:t>
      </w:r>
    </w:p>
    <w:p w14:paraId="7907AB94"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 xml:space="preserve">نصت الفرضية الرابعة على أنه: </w:t>
      </w:r>
      <w:r w:rsidRPr="00B322FF">
        <w:rPr>
          <w:rFonts w:ascii="Simplified Arabic" w:hAnsi="Simplified Arabic" w:cs="Simplified Arabic" w:hint="cs"/>
          <w:b/>
          <w:bCs/>
          <w:sz w:val="28"/>
          <w:szCs w:val="28"/>
          <w:rtl/>
        </w:rPr>
        <w:t>يوجد علاقة ذات دلالة معنوية بين التحول الصحي ورفاهية الموظفين يسهم في تقليل الاحتراق الوظيفي في القطاع الصحي الحكومي بمدينة الرياض</w:t>
      </w:r>
      <w:r w:rsidRPr="00B322FF">
        <w:rPr>
          <w:rFonts w:ascii="Simplified Arabic" w:hAnsi="Simplified Arabic" w:cs="Simplified Arabic" w:hint="cs"/>
          <w:sz w:val="28"/>
          <w:szCs w:val="28"/>
          <w:rtl/>
        </w:rPr>
        <w:t>.</w:t>
      </w:r>
    </w:p>
    <w:p w14:paraId="364E3E35"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تعد هذه الفرضية من الفرضيات المتقدمة التي تختبر الدور الوسيط لرفاهية الموظفين في العلاقة بين التحول الصحي (كمتغير مستقل) والاحتراق الوظيفي (كمتغير تابع). ولإثبات هذا الدور، تم فحص المسارات الإحصائية الأربعة التالية:</w:t>
      </w:r>
    </w:p>
    <w:p w14:paraId="72B5513D"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1C385C">
        <w:rPr>
          <w:rFonts w:ascii="Simplified Arabic" w:hAnsi="Simplified Arabic" w:cs="Simplified Arabic" w:hint="cs"/>
          <w:b/>
          <w:bCs/>
          <w:kern w:val="2"/>
          <w:rtl/>
          <w14:ligatures w14:val="standardContextual"/>
        </w:rPr>
        <w:t>٤-٧</w:t>
      </w:r>
      <w:r w:rsidRPr="00B322FF">
        <w:rPr>
          <w:rFonts w:ascii="Simplified Arabic" w:hAnsi="Simplified Arabic" w:cs="Simplified Arabic" w:hint="cs"/>
          <w:b/>
          <w:bCs/>
          <w:kern w:val="2"/>
          <w:rtl/>
          <w14:ligatures w14:val="standardContextual"/>
        </w:rPr>
        <w:t>): ملخص نتائج المسارات الإحصائية لاختبار الدور الوسيط لرفاهية الموظفين</w:t>
      </w:r>
    </w:p>
    <w:tbl>
      <w:tblPr>
        <w:tblStyle w:val="af"/>
        <w:bidiVisual/>
        <w:tblW w:w="5000" w:type="pct"/>
        <w:tblLook w:val="04A0" w:firstRow="1" w:lastRow="0" w:firstColumn="1" w:lastColumn="0" w:noHBand="0" w:noVBand="1"/>
      </w:tblPr>
      <w:tblGrid>
        <w:gridCol w:w="999"/>
        <w:gridCol w:w="3141"/>
        <w:gridCol w:w="956"/>
        <w:gridCol w:w="1107"/>
        <w:gridCol w:w="1405"/>
        <w:gridCol w:w="1408"/>
      </w:tblGrid>
      <w:tr w:rsidR="001D3D5D" w:rsidRPr="00B322FF" w14:paraId="30F5964C" w14:textId="77777777" w:rsidTr="00597597">
        <w:trPr>
          <w:trHeight w:val="270"/>
        </w:trPr>
        <w:tc>
          <w:tcPr>
            <w:tcW w:w="554" w:type="pct"/>
            <w:vAlign w:val="center"/>
            <w:hideMark/>
          </w:tcPr>
          <w:p w14:paraId="30FA9722"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المسار</w:t>
            </w:r>
          </w:p>
        </w:tc>
        <w:tc>
          <w:tcPr>
            <w:tcW w:w="1742" w:type="pct"/>
            <w:vAlign w:val="center"/>
            <w:hideMark/>
          </w:tcPr>
          <w:p w14:paraId="1884C480"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العلاقة المختبرة</w:t>
            </w:r>
          </w:p>
        </w:tc>
        <w:tc>
          <w:tcPr>
            <w:tcW w:w="530" w:type="pct"/>
            <w:vAlign w:val="center"/>
            <w:hideMark/>
          </w:tcPr>
          <w:p w14:paraId="3873317A" w14:textId="77777777" w:rsidR="001D3D5D" w:rsidRPr="00B322FF" w:rsidRDefault="001D3D5D" w:rsidP="00B527E5">
            <w:pPr>
              <w:jc w:val="center"/>
              <w:rPr>
                <w:rFonts w:ascii="Simplified Arabic" w:eastAsia="Times New Roman" w:hAnsi="Simplified Arabic" w:cs="Simplified Arabic"/>
                <w:b/>
                <w:bCs/>
                <w:rtl/>
              </w:rPr>
            </w:pPr>
            <w:r w:rsidRPr="00B322FF">
              <w:rPr>
                <w:rFonts w:ascii="Cambria" w:eastAsia="Times New Roman" w:hAnsi="Cambria" w:cs="Cambria"/>
                <w:b/>
                <w:bCs/>
              </w:rPr>
              <w:t>β</w:t>
            </w:r>
          </w:p>
        </w:tc>
        <w:tc>
          <w:tcPr>
            <w:tcW w:w="614" w:type="pct"/>
            <w:vAlign w:val="center"/>
            <w:hideMark/>
          </w:tcPr>
          <w:p w14:paraId="363DDA0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lang w:bidi="ar-YE"/>
              </w:rPr>
              <w:t>T</w:t>
            </w:r>
          </w:p>
        </w:tc>
        <w:tc>
          <w:tcPr>
            <w:tcW w:w="779" w:type="pct"/>
            <w:vAlign w:val="center"/>
            <w:hideMark/>
          </w:tcPr>
          <w:p w14:paraId="7DE22E0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781" w:type="pct"/>
            <w:vAlign w:val="center"/>
            <w:hideMark/>
          </w:tcPr>
          <w:p w14:paraId="690CF3E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 الإحصائية</w:t>
            </w:r>
          </w:p>
        </w:tc>
      </w:tr>
      <w:tr w:rsidR="001D3D5D" w:rsidRPr="00B322FF" w14:paraId="51E5EED8" w14:textId="77777777" w:rsidTr="00597597">
        <w:trPr>
          <w:trHeight w:val="270"/>
        </w:trPr>
        <w:tc>
          <w:tcPr>
            <w:tcW w:w="554" w:type="pct"/>
            <w:vAlign w:val="center"/>
            <w:hideMark/>
          </w:tcPr>
          <w:p w14:paraId="5893AFF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المسار (أ)</w:t>
            </w:r>
          </w:p>
        </w:tc>
        <w:tc>
          <w:tcPr>
            <w:tcW w:w="1742" w:type="pct"/>
            <w:vAlign w:val="center"/>
            <w:hideMark/>
          </w:tcPr>
          <w:p w14:paraId="34D3303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 xml:space="preserve">التحول الصحي </w:t>
            </w:r>
            <w:r w:rsidRPr="00B322FF">
              <w:rPr>
                <w:rFonts w:ascii="Times New Roman" w:eastAsia="Times New Roman" w:hAnsi="Times New Roman" w:cs="Times New Roman" w:hint="cs"/>
                <w:rtl/>
              </w:rPr>
              <w:t>←</w:t>
            </w:r>
            <w:r w:rsidRPr="00B322FF">
              <w:rPr>
                <w:rFonts w:ascii="Simplified Arabic" w:eastAsia="Times New Roman" w:hAnsi="Simplified Arabic" w:cs="Simplified Arabic" w:hint="cs"/>
                <w:rtl/>
              </w:rPr>
              <w:t xml:space="preserve"> رفاهية الموظفين</w:t>
            </w:r>
          </w:p>
        </w:tc>
        <w:tc>
          <w:tcPr>
            <w:tcW w:w="530" w:type="pct"/>
            <w:vAlign w:val="center"/>
            <w:hideMark/>
          </w:tcPr>
          <w:p w14:paraId="24EE57E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0.744</w:t>
            </w:r>
          </w:p>
        </w:tc>
        <w:tc>
          <w:tcPr>
            <w:tcW w:w="614" w:type="pct"/>
            <w:vAlign w:val="center"/>
            <w:hideMark/>
          </w:tcPr>
          <w:p w14:paraId="66AECDD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21.744</w:t>
            </w:r>
          </w:p>
        </w:tc>
        <w:tc>
          <w:tcPr>
            <w:tcW w:w="779" w:type="pct"/>
            <w:vAlign w:val="center"/>
            <w:hideMark/>
          </w:tcPr>
          <w:p w14:paraId="5B1AE52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781" w:type="pct"/>
            <w:vAlign w:val="center"/>
            <w:hideMark/>
          </w:tcPr>
          <w:p w14:paraId="31D4F5C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 إحصائياً</w:t>
            </w:r>
          </w:p>
        </w:tc>
      </w:tr>
      <w:tr w:rsidR="001D3D5D" w:rsidRPr="00B322FF" w14:paraId="19EB24A1" w14:textId="77777777" w:rsidTr="00597597">
        <w:trPr>
          <w:trHeight w:val="270"/>
        </w:trPr>
        <w:tc>
          <w:tcPr>
            <w:tcW w:w="554" w:type="pct"/>
            <w:vAlign w:val="center"/>
            <w:hideMark/>
          </w:tcPr>
          <w:p w14:paraId="7D08B19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المسار (ب)</w:t>
            </w:r>
          </w:p>
        </w:tc>
        <w:tc>
          <w:tcPr>
            <w:tcW w:w="1742" w:type="pct"/>
            <w:vAlign w:val="center"/>
            <w:hideMark/>
          </w:tcPr>
          <w:p w14:paraId="519258A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 xml:space="preserve">رفاهية الموظفين </w:t>
            </w:r>
            <w:r w:rsidRPr="00B322FF">
              <w:rPr>
                <w:rFonts w:ascii="Times New Roman" w:eastAsia="Times New Roman" w:hAnsi="Times New Roman" w:cs="Times New Roman" w:hint="cs"/>
                <w:rtl/>
              </w:rPr>
              <w:t>←</w:t>
            </w:r>
            <w:r w:rsidRPr="00B322FF">
              <w:rPr>
                <w:rFonts w:ascii="Simplified Arabic" w:eastAsia="Times New Roman" w:hAnsi="Simplified Arabic" w:cs="Simplified Arabic" w:hint="cs"/>
                <w:rtl/>
              </w:rPr>
              <w:t xml:space="preserve"> الاحتراق الوظيفي</w:t>
            </w:r>
          </w:p>
        </w:tc>
        <w:tc>
          <w:tcPr>
            <w:tcW w:w="530" w:type="pct"/>
            <w:vAlign w:val="center"/>
            <w:hideMark/>
          </w:tcPr>
          <w:p w14:paraId="7660EF1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-0.527</w:t>
            </w:r>
          </w:p>
        </w:tc>
        <w:tc>
          <w:tcPr>
            <w:tcW w:w="614" w:type="pct"/>
            <w:vAlign w:val="center"/>
            <w:hideMark/>
          </w:tcPr>
          <w:p w14:paraId="7FC1241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-12.146</w:t>
            </w:r>
          </w:p>
        </w:tc>
        <w:tc>
          <w:tcPr>
            <w:tcW w:w="779" w:type="pct"/>
            <w:vAlign w:val="center"/>
            <w:hideMark/>
          </w:tcPr>
          <w:p w14:paraId="2F916A6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781" w:type="pct"/>
            <w:vAlign w:val="center"/>
            <w:hideMark/>
          </w:tcPr>
          <w:p w14:paraId="78ACD81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 إحصائياً</w:t>
            </w:r>
          </w:p>
        </w:tc>
      </w:tr>
      <w:tr w:rsidR="001D3D5D" w:rsidRPr="00B322FF" w14:paraId="638C0B8A" w14:textId="77777777" w:rsidTr="00597597">
        <w:trPr>
          <w:trHeight w:val="525"/>
        </w:trPr>
        <w:tc>
          <w:tcPr>
            <w:tcW w:w="554" w:type="pct"/>
            <w:vAlign w:val="center"/>
            <w:hideMark/>
          </w:tcPr>
          <w:p w14:paraId="6CE8FD6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المسار (ج)</w:t>
            </w:r>
          </w:p>
        </w:tc>
        <w:tc>
          <w:tcPr>
            <w:tcW w:w="1742" w:type="pct"/>
            <w:vAlign w:val="center"/>
            <w:hideMark/>
          </w:tcPr>
          <w:p w14:paraId="414DDB6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 xml:space="preserve">التحول الصحي </w:t>
            </w:r>
            <w:r w:rsidRPr="00B322FF">
              <w:rPr>
                <w:rFonts w:ascii="Times New Roman" w:eastAsia="Times New Roman" w:hAnsi="Times New Roman" w:cs="Times New Roman" w:hint="cs"/>
                <w:rtl/>
              </w:rPr>
              <w:t>←</w:t>
            </w:r>
            <w:r w:rsidRPr="00B322FF">
              <w:rPr>
                <w:rFonts w:ascii="Simplified Arabic" w:eastAsia="Times New Roman" w:hAnsi="Simplified Arabic" w:cs="Simplified Arabic" w:hint="cs"/>
                <w:rtl/>
              </w:rPr>
              <w:t xml:space="preserve"> الاحتراق الوظيفي (الأثر الكلي)</w:t>
            </w:r>
          </w:p>
        </w:tc>
        <w:tc>
          <w:tcPr>
            <w:tcW w:w="530" w:type="pct"/>
            <w:vAlign w:val="center"/>
            <w:hideMark/>
          </w:tcPr>
          <w:p w14:paraId="62E7558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-0.475</w:t>
            </w:r>
          </w:p>
        </w:tc>
        <w:tc>
          <w:tcPr>
            <w:tcW w:w="614" w:type="pct"/>
            <w:vAlign w:val="center"/>
            <w:hideMark/>
          </w:tcPr>
          <w:p w14:paraId="5FC9556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-10.554</w:t>
            </w:r>
          </w:p>
        </w:tc>
        <w:tc>
          <w:tcPr>
            <w:tcW w:w="779" w:type="pct"/>
            <w:vAlign w:val="center"/>
            <w:hideMark/>
          </w:tcPr>
          <w:p w14:paraId="49DEABE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781" w:type="pct"/>
            <w:vAlign w:val="center"/>
            <w:hideMark/>
          </w:tcPr>
          <w:p w14:paraId="7E74D7E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 إحصائياً</w:t>
            </w:r>
          </w:p>
        </w:tc>
      </w:tr>
      <w:tr w:rsidR="001D3D5D" w:rsidRPr="00B322FF" w14:paraId="2B76B585" w14:textId="77777777" w:rsidTr="00597597">
        <w:trPr>
          <w:trHeight w:val="525"/>
        </w:trPr>
        <w:tc>
          <w:tcPr>
            <w:tcW w:w="554" w:type="pct"/>
            <w:vAlign w:val="center"/>
            <w:hideMark/>
          </w:tcPr>
          <w:p w14:paraId="0EA39DC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lastRenderedPageBreak/>
              <w:t>المسار (ج')</w:t>
            </w:r>
          </w:p>
        </w:tc>
        <w:tc>
          <w:tcPr>
            <w:tcW w:w="1742" w:type="pct"/>
            <w:vAlign w:val="center"/>
            <w:hideMark/>
          </w:tcPr>
          <w:p w14:paraId="35E7A8D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 xml:space="preserve">التحول الصحي </w:t>
            </w:r>
            <w:r w:rsidRPr="00B322FF">
              <w:rPr>
                <w:rFonts w:ascii="Times New Roman" w:eastAsia="Times New Roman" w:hAnsi="Times New Roman" w:cs="Times New Roman" w:hint="cs"/>
                <w:rtl/>
              </w:rPr>
              <w:t>←</w:t>
            </w:r>
            <w:r w:rsidRPr="00B322FF">
              <w:rPr>
                <w:rFonts w:ascii="Simplified Arabic" w:eastAsia="Times New Roman" w:hAnsi="Simplified Arabic" w:cs="Simplified Arabic" w:hint="cs"/>
                <w:rtl/>
              </w:rPr>
              <w:t xml:space="preserve"> الاحتراق الوظيفي (الأثر المباشر بوجود الوسيط)</w:t>
            </w:r>
          </w:p>
        </w:tc>
        <w:tc>
          <w:tcPr>
            <w:tcW w:w="530" w:type="pct"/>
            <w:vAlign w:val="center"/>
            <w:hideMark/>
          </w:tcPr>
          <w:p w14:paraId="13441A2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-0.155</w:t>
            </w:r>
          </w:p>
        </w:tc>
        <w:tc>
          <w:tcPr>
            <w:tcW w:w="614" w:type="pct"/>
            <w:vAlign w:val="center"/>
            <w:hideMark/>
          </w:tcPr>
          <w:p w14:paraId="36ABA41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-2.656</w:t>
            </w:r>
          </w:p>
        </w:tc>
        <w:tc>
          <w:tcPr>
            <w:tcW w:w="779" w:type="pct"/>
            <w:vAlign w:val="center"/>
            <w:hideMark/>
          </w:tcPr>
          <w:p w14:paraId="71C36F2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0.008</w:t>
            </w:r>
          </w:p>
        </w:tc>
        <w:tc>
          <w:tcPr>
            <w:tcW w:w="781" w:type="pct"/>
            <w:vAlign w:val="center"/>
            <w:hideMark/>
          </w:tcPr>
          <w:p w14:paraId="718C391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 إحصائياً</w:t>
            </w:r>
          </w:p>
        </w:tc>
      </w:tr>
    </w:tbl>
    <w:p w14:paraId="1EA9816F" w14:textId="78715626" w:rsidR="001D3D5D" w:rsidRPr="001F421D" w:rsidRDefault="0089331B" w:rsidP="001F421D">
      <w:pPr>
        <w:spacing w:before="40" w:after="120"/>
        <w:rPr>
          <w:rFonts w:ascii="Simplified Arabic" w:hAnsi="Simplified Arabic" w:cs="Simplified Arabic"/>
          <w:i/>
          <w:sz w:val="22"/>
          <w:szCs w:val="22"/>
          <w:rtl/>
        </w:rPr>
      </w:pPr>
      <w:r w:rsidRPr="001F421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67D74EAC"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يتضح في الجدول (</w:t>
      </w:r>
      <w:r w:rsidR="00AC2A5C">
        <w:rPr>
          <w:rFonts w:ascii="Simplified Arabic" w:hAnsi="Simplified Arabic" w:cs="Simplified Arabic" w:hint="cs"/>
          <w:sz w:val="28"/>
          <w:szCs w:val="28"/>
          <w:rtl/>
        </w:rPr>
        <w:t>٤-٧</w:t>
      </w:r>
      <w:r w:rsidRPr="00B322FF">
        <w:rPr>
          <w:rFonts w:ascii="Simplified Arabic" w:hAnsi="Simplified Arabic" w:cs="Simplified Arabic" w:hint="cs"/>
          <w:sz w:val="28"/>
          <w:szCs w:val="28"/>
          <w:rtl/>
        </w:rPr>
        <w:t>) أنه من خلال فحص المسارات السابقة، يتبين تحقق شروط الوساطة وفق القواعد الإحصائية التالية:</w:t>
      </w:r>
    </w:p>
    <w:p w14:paraId="49F20409" w14:textId="77777777" w:rsidR="001D3D5D" w:rsidRPr="00B322FF" w:rsidRDefault="001D3D5D" w:rsidP="006C4CDD">
      <w:pPr>
        <w:numPr>
          <w:ilvl w:val="0"/>
          <w:numId w:val="11"/>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تحقق المسار (أ): أظهرت النتائج أن التحول الصحي يؤثر إيجاباً وبقوة في رفاهية الموظفين (</w:t>
      </w:r>
      <w:r w:rsidRPr="00B322FF">
        <w:rPr>
          <w:rFonts w:ascii="Cambria" w:eastAsia="Times New Roman" w:hAnsi="Cambria" w:cs="Cambria"/>
          <w:sz w:val="28"/>
          <w:szCs w:val="28"/>
        </w:rPr>
        <w:t>β</w:t>
      </w:r>
      <w:r w:rsidRPr="00B322FF">
        <w:rPr>
          <w:rFonts w:ascii="Simplified Arabic" w:eastAsia="Times New Roman" w:hAnsi="Simplified Arabic" w:cs="Simplified Arabic" w:hint="cs"/>
          <w:sz w:val="28"/>
          <w:szCs w:val="28"/>
        </w:rPr>
        <w:t xml:space="preserve"> = 0.744, Sig = 0.000</w:t>
      </w:r>
      <w:r w:rsidRPr="00B322FF">
        <w:rPr>
          <w:rFonts w:ascii="Simplified Arabic" w:eastAsia="Times New Roman" w:hAnsi="Simplified Arabic" w:cs="Simplified Arabic" w:hint="cs"/>
          <w:sz w:val="28"/>
          <w:szCs w:val="28"/>
          <w:rtl/>
        </w:rPr>
        <w:t>)، مما يعني أن التحول يمثل بيئة خصبة لتعزيز الرفاهية.</w:t>
      </w:r>
    </w:p>
    <w:p w14:paraId="6491A828" w14:textId="77777777" w:rsidR="001D3D5D" w:rsidRPr="00B322FF" w:rsidRDefault="001D3D5D" w:rsidP="006C4CDD">
      <w:pPr>
        <w:numPr>
          <w:ilvl w:val="0"/>
          <w:numId w:val="11"/>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تحقق المسار (ب): أظهرت النتائج أن رفاهية الموظفين تؤثر سلباً (عكسياً) في الاحتراق الوظيفي، مما يعني أنها تساهم في تقليله.</w:t>
      </w:r>
    </w:p>
    <w:p w14:paraId="42ECED09" w14:textId="77777777" w:rsidR="001D3D5D" w:rsidRPr="00B322FF" w:rsidRDefault="001D3D5D" w:rsidP="006C4CDD">
      <w:pPr>
        <w:numPr>
          <w:ilvl w:val="0"/>
          <w:numId w:val="11"/>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تحقق المسار (ج): ثبت وجود أثر كلي دال للتحول الصحي في تقليل الاحتراق الوظيفي قبل إدخال المتغير الوسيط.</w:t>
      </w:r>
    </w:p>
    <w:p w14:paraId="164E3855" w14:textId="77777777" w:rsidR="001D3D5D" w:rsidRPr="00B322FF" w:rsidRDefault="001D3D5D" w:rsidP="006C4CDD">
      <w:pPr>
        <w:numPr>
          <w:ilvl w:val="0"/>
          <w:numId w:val="11"/>
        </w:num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تحليل المسار (ج') والوساطة الجزئية: نلاحظ عند إدخال رفاهية الموظفين كمتغير وسيط في النموذج، أن قيمة التأثير المباشر للتحول الصحي على الاحتراق الوظيفي قد انخفضت من (-0.475) لتصل إلى (-0.155)، ومع ذلك ظلت دالة إحصائياً (</w:t>
      </w:r>
      <w:r w:rsidRPr="00B322FF">
        <w:rPr>
          <w:rFonts w:ascii="Simplified Arabic" w:eastAsia="Times New Roman" w:hAnsi="Simplified Arabic" w:cs="Simplified Arabic" w:hint="cs"/>
          <w:sz w:val="28"/>
          <w:szCs w:val="28"/>
        </w:rPr>
        <w:t>Sig = 0.008</w:t>
      </w:r>
      <w:r w:rsidRPr="00B322FF">
        <w:rPr>
          <w:rFonts w:ascii="Simplified Arabic" w:eastAsia="Times New Roman" w:hAnsi="Simplified Arabic" w:cs="Simplified Arabic" w:hint="cs"/>
          <w:sz w:val="28"/>
          <w:szCs w:val="28"/>
          <w:rtl/>
        </w:rPr>
        <w:t>).</w:t>
      </w:r>
    </w:p>
    <w:p w14:paraId="51D3C1FC"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بما أن الأثر المباشر للمتغير المستقل على التابع ظل دالاً إحصائياً ولكنه تناقص بشكل كبير بعد دخول المتغير الوسيط، فإن ذلك يشير إحصائياً إلى وجود وساطة جزئية.</w:t>
      </w:r>
    </w:p>
    <w:p w14:paraId="43C5C7B9"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وبناءً عليه: يتم قبول الفرضية الرابعة، مما يعني أن رفاهية الموظفين تلعب دور الوسيط في نقل جزء كبير من التحول الصحي لتقليل الاحتراق الوظيفي؛ أي أن برامج التحول لا تكتفي بتقليل الاحتراق مباشرة، بل تقوم بذلك بشكل أكثر فاعلية من خلال تحسين رفاهية الكوادر الصحية أولاً.</w:t>
      </w:r>
    </w:p>
    <w:p w14:paraId="158BE29F" w14:textId="77777777" w:rsidR="001D3D5D" w:rsidRPr="000C5D98" w:rsidRDefault="001D3D5D" w:rsidP="000C5D98">
      <w:pPr>
        <w:pStyle w:val="2"/>
        <w:rPr>
          <w:b w:val="0"/>
          <w:bCs/>
          <w:sz w:val="28"/>
          <w:szCs w:val="28"/>
          <w:lang w:bidi="ar-YE"/>
        </w:rPr>
      </w:pPr>
      <w:bookmarkStart w:id="49" w:name="_Toc235119059"/>
      <w:r w:rsidRPr="000C5D98">
        <w:rPr>
          <w:rFonts w:hint="cs"/>
          <w:b w:val="0"/>
          <w:bCs/>
          <w:rtl/>
          <w:lang w:bidi="ar-YE"/>
        </w:rPr>
        <w:t>ثالثاً: تحليل الفروق للإجابة على التساؤل الخامس للدراسة</w:t>
      </w:r>
      <w:bookmarkEnd w:id="49"/>
    </w:p>
    <w:p w14:paraId="32819C25"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 xml:space="preserve">يستكمل هذا الجزء من الفصل التحليلي عرض مخرجات الدراسة الميدانية للإجابة على التساؤل الخامس والذي ينص على: </w:t>
      </w:r>
      <w:r w:rsidRPr="00B322FF">
        <w:rPr>
          <w:rFonts w:ascii="Simplified Arabic" w:hAnsi="Simplified Arabic" w:cs="Simplified Arabic" w:hint="cs"/>
          <w:b/>
          <w:bCs/>
          <w:sz w:val="28"/>
          <w:szCs w:val="28"/>
          <w:rtl/>
        </w:rPr>
        <w:t>هل تختلف طبيعة الدور الوسيط لرفاهية الموظفين في العلاقة بين التحول الصحي وبيئة العمل النفسية المستدامة وتقليل الاحتراق الوظيفي باختلاف الخصائص الديموغرافية (الجنس، العمر، سنوات الخبرة، المسمى الوظيفي، الدخل، الحالة الاجتماعية)؟.</w:t>
      </w:r>
    </w:p>
    <w:p w14:paraId="314FFBA1"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lastRenderedPageBreak/>
        <w:t>وللإجابة على هذا التساؤل، تم إجراء اختبارات الفروق الجوهرية لتحديد ما إذا كانت هذه الخصائص تؤدي إلى تباين ذي دلالة إحصائية في إدراك المبحوثين للتحول الصحي، وبيئة العمل، والرفاهية، ومستوى الاحتراق الوظيفي، وذلك على النحو التالي:</w:t>
      </w:r>
    </w:p>
    <w:p w14:paraId="64750E34"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الجنس</w:t>
      </w:r>
    </w:p>
    <w:p w14:paraId="79AEBC00" w14:textId="77777777" w:rsidR="001D3D5D" w:rsidRPr="00B322FF" w:rsidRDefault="001D3D5D" w:rsidP="001919D1">
      <w:pPr>
        <w:pStyle w:val="ac"/>
        <w:bidi/>
        <w:jc w:val="both"/>
        <w:rPr>
          <w:rFonts w:ascii="Simplified Arabic" w:hAnsi="Simplified Arabic" w:cs="Simplified Arabic"/>
          <w:sz w:val="28"/>
          <w:szCs w:val="28"/>
        </w:rPr>
      </w:pPr>
      <w:r w:rsidRPr="00B322FF">
        <w:rPr>
          <w:rFonts w:hint="cs"/>
          <w:sz w:val="28"/>
          <w:szCs w:val="28"/>
          <w:rtl/>
        </w:rPr>
        <w:t>​</w:t>
      </w:r>
      <w:r w:rsidRPr="00B322FF">
        <w:rPr>
          <w:rFonts w:ascii="Simplified Arabic" w:hAnsi="Simplified Arabic" w:cs="Simplified Arabic" w:hint="cs"/>
          <w:sz w:val="28"/>
          <w:szCs w:val="28"/>
          <w:rtl/>
        </w:rPr>
        <w:t>للتحقق من وجود فروق ذات دلالة إحصائية بين متوسطات استجابات الذكور والإناث، تم استخدام اختبار (</w:t>
      </w:r>
      <w:r w:rsidRPr="00B322FF">
        <w:rPr>
          <w:rFonts w:ascii="Simplified Arabic" w:hAnsi="Simplified Arabic" w:cs="Simplified Arabic" w:hint="cs"/>
          <w:sz w:val="28"/>
          <w:szCs w:val="28"/>
        </w:rPr>
        <w:t>t</w:t>
      </w:r>
      <w:r w:rsidRPr="00B322FF">
        <w:rPr>
          <w:rFonts w:ascii="Simplified Arabic" w:hAnsi="Simplified Arabic" w:cs="Simplified Arabic" w:hint="cs"/>
          <w:sz w:val="28"/>
          <w:szCs w:val="28"/>
          <w:rtl/>
        </w:rPr>
        <w:t>) للعينات المستقلة. يوضح الجدول التالي مخرجات هذا الاختبار للمحاور الأربعة الرئيسية:</w:t>
      </w:r>
    </w:p>
    <w:p w14:paraId="3F6F4768" w14:textId="77777777" w:rsidR="001D3D5D" w:rsidRPr="00B322FF" w:rsidRDefault="001D3D5D" w:rsidP="00B527E5">
      <w:pPr>
        <w:pStyle w:val="ac"/>
        <w:bidi/>
        <w:jc w:val="center"/>
        <w:rPr>
          <w:rFonts w:ascii="Simplified Arabic" w:hAnsi="Simplified Arabic" w:cs="Simplified Arabic"/>
          <w:rtl/>
        </w:rPr>
      </w:pPr>
      <w:r w:rsidRPr="00B322FF">
        <w:rPr>
          <w:rFonts w:hint="cs"/>
          <w:sz w:val="28"/>
          <w:szCs w:val="28"/>
          <w:rtl/>
        </w:rPr>
        <w:t>​</w:t>
      </w:r>
      <w:r w:rsidRPr="00B322FF">
        <w:rPr>
          <w:rFonts w:ascii="Simplified Arabic" w:hAnsi="Simplified Arabic" w:cs="Simplified Arabic" w:hint="cs"/>
          <w:b/>
          <w:bCs/>
          <w:rtl/>
        </w:rPr>
        <w:t>جدول (</w:t>
      </w:r>
      <w:r w:rsidR="00AC2A5C">
        <w:rPr>
          <w:rFonts w:ascii="Simplified Arabic" w:hAnsi="Simplified Arabic" w:cs="Simplified Arabic" w:hint="cs"/>
          <w:b/>
          <w:bCs/>
          <w:rtl/>
        </w:rPr>
        <w:t>٤-٨</w:t>
      </w:r>
      <w:r w:rsidRPr="00B322FF">
        <w:rPr>
          <w:rFonts w:ascii="Simplified Arabic" w:hAnsi="Simplified Arabic" w:cs="Simplified Arabic" w:hint="cs"/>
          <w:b/>
          <w:bCs/>
          <w:rtl/>
        </w:rPr>
        <w:t>): نتائج اختبار (</w:t>
      </w:r>
      <w:r w:rsidRPr="00B322FF">
        <w:rPr>
          <w:rFonts w:ascii="Simplified Arabic" w:hAnsi="Simplified Arabic" w:cs="Simplified Arabic" w:hint="cs"/>
          <w:b/>
          <w:bCs/>
        </w:rPr>
        <w:t>t</w:t>
      </w:r>
      <w:r w:rsidRPr="00B322FF">
        <w:rPr>
          <w:rFonts w:ascii="Simplified Arabic" w:hAnsi="Simplified Arabic" w:cs="Simplified Arabic" w:hint="cs"/>
          <w:b/>
          <w:bCs/>
          <w:rtl/>
        </w:rPr>
        <w:t>) للفروق بين متوسطات استجابات المبحوثين وفقاً لمتغير الجنس</w:t>
      </w:r>
    </w:p>
    <w:tbl>
      <w:tblPr>
        <w:tblStyle w:val="af"/>
        <w:bidiVisual/>
        <w:tblW w:w="5000" w:type="pct"/>
        <w:tblLook w:val="04A0" w:firstRow="1" w:lastRow="0" w:firstColumn="1" w:lastColumn="0" w:noHBand="0" w:noVBand="1"/>
      </w:tblPr>
      <w:tblGrid>
        <w:gridCol w:w="1445"/>
        <w:gridCol w:w="751"/>
        <w:gridCol w:w="612"/>
        <w:gridCol w:w="1401"/>
        <w:gridCol w:w="1471"/>
        <w:gridCol w:w="864"/>
        <w:gridCol w:w="1626"/>
        <w:gridCol w:w="846"/>
      </w:tblGrid>
      <w:tr w:rsidR="001D3D5D" w:rsidRPr="00B322FF" w14:paraId="5F5B3170" w14:textId="77777777" w:rsidTr="00597597">
        <w:trPr>
          <w:trHeight w:val="330"/>
        </w:trPr>
        <w:tc>
          <w:tcPr>
            <w:tcW w:w="801" w:type="pct"/>
            <w:vAlign w:val="center"/>
            <w:hideMark/>
          </w:tcPr>
          <w:p w14:paraId="2B1340EA"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416" w:type="pct"/>
            <w:vAlign w:val="center"/>
            <w:hideMark/>
          </w:tcPr>
          <w:p w14:paraId="1CAE2C93"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الجنس</w:t>
            </w:r>
          </w:p>
        </w:tc>
        <w:tc>
          <w:tcPr>
            <w:tcW w:w="339" w:type="pct"/>
            <w:vAlign w:val="center"/>
            <w:hideMark/>
          </w:tcPr>
          <w:p w14:paraId="60F0B58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العدد</w:t>
            </w:r>
          </w:p>
        </w:tc>
        <w:tc>
          <w:tcPr>
            <w:tcW w:w="777" w:type="pct"/>
            <w:vAlign w:val="center"/>
            <w:hideMark/>
          </w:tcPr>
          <w:p w14:paraId="0D70E9BE"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المتوسط الحسابي</w:t>
            </w:r>
          </w:p>
        </w:tc>
        <w:tc>
          <w:tcPr>
            <w:tcW w:w="816" w:type="pct"/>
            <w:vAlign w:val="center"/>
            <w:hideMark/>
          </w:tcPr>
          <w:p w14:paraId="3FC3CE8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الانحراف المعياري</w:t>
            </w:r>
          </w:p>
        </w:tc>
        <w:tc>
          <w:tcPr>
            <w:tcW w:w="479" w:type="pct"/>
            <w:vAlign w:val="center"/>
            <w:hideMark/>
          </w:tcPr>
          <w:p w14:paraId="55D5F25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قيمة (</w:t>
            </w:r>
            <w:r w:rsidRPr="00B322FF">
              <w:rPr>
                <w:rFonts w:ascii="Simplified Arabic" w:eastAsia="Times New Roman" w:hAnsi="Simplified Arabic" w:cs="Simplified Arabic" w:hint="cs"/>
                <w:b/>
                <w:bCs/>
              </w:rPr>
              <w:t>t</w:t>
            </w:r>
            <w:r w:rsidRPr="00B322FF">
              <w:rPr>
                <w:rFonts w:ascii="Simplified Arabic" w:eastAsia="Times New Roman" w:hAnsi="Simplified Arabic" w:cs="Simplified Arabic" w:hint="cs"/>
                <w:b/>
                <w:bCs/>
                <w:rtl/>
              </w:rPr>
              <w:t>)</w:t>
            </w:r>
          </w:p>
        </w:tc>
        <w:tc>
          <w:tcPr>
            <w:tcW w:w="902" w:type="pct"/>
            <w:vAlign w:val="center"/>
            <w:hideMark/>
          </w:tcPr>
          <w:p w14:paraId="0BBEFEC0"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69" w:type="pct"/>
            <w:vAlign w:val="center"/>
            <w:hideMark/>
          </w:tcPr>
          <w:p w14:paraId="393FCAFD"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653A5D97" w14:textId="77777777" w:rsidTr="00597597">
        <w:trPr>
          <w:trHeight w:val="330"/>
        </w:trPr>
        <w:tc>
          <w:tcPr>
            <w:tcW w:w="801" w:type="pct"/>
            <w:vMerge w:val="restart"/>
            <w:vAlign w:val="center"/>
            <w:hideMark/>
          </w:tcPr>
          <w:p w14:paraId="4884743F"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416" w:type="pct"/>
            <w:vAlign w:val="center"/>
            <w:hideMark/>
          </w:tcPr>
          <w:p w14:paraId="1C6C779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أنثى</w:t>
            </w:r>
          </w:p>
        </w:tc>
        <w:tc>
          <w:tcPr>
            <w:tcW w:w="339" w:type="pct"/>
            <w:vAlign w:val="center"/>
            <w:hideMark/>
          </w:tcPr>
          <w:p w14:paraId="0833D7F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175</w:t>
            </w:r>
          </w:p>
        </w:tc>
        <w:tc>
          <w:tcPr>
            <w:tcW w:w="777" w:type="pct"/>
            <w:vAlign w:val="center"/>
            <w:hideMark/>
          </w:tcPr>
          <w:p w14:paraId="47F19E0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3.68</w:t>
            </w:r>
          </w:p>
        </w:tc>
        <w:tc>
          <w:tcPr>
            <w:tcW w:w="816" w:type="pct"/>
            <w:vAlign w:val="center"/>
            <w:hideMark/>
          </w:tcPr>
          <w:p w14:paraId="1B47AD2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0.81</w:t>
            </w:r>
          </w:p>
        </w:tc>
        <w:tc>
          <w:tcPr>
            <w:tcW w:w="479" w:type="pct"/>
            <w:vAlign w:val="center"/>
            <w:hideMark/>
          </w:tcPr>
          <w:p w14:paraId="27CAD01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2.042</w:t>
            </w:r>
          </w:p>
        </w:tc>
        <w:tc>
          <w:tcPr>
            <w:tcW w:w="902" w:type="pct"/>
            <w:vAlign w:val="center"/>
            <w:hideMark/>
          </w:tcPr>
          <w:p w14:paraId="2A9DE62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0.042</w:t>
            </w:r>
          </w:p>
        </w:tc>
        <w:tc>
          <w:tcPr>
            <w:tcW w:w="469" w:type="pct"/>
            <w:vMerge w:val="restart"/>
            <w:vAlign w:val="center"/>
            <w:hideMark/>
          </w:tcPr>
          <w:p w14:paraId="06938AA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47C0BBC6" w14:textId="77777777" w:rsidTr="00597597">
        <w:trPr>
          <w:trHeight w:val="330"/>
        </w:trPr>
        <w:tc>
          <w:tcPr>
            <w:tcW w:w="801" w:type="pct"/>
            <w:vMerge/>
            <w:vAlign w:val="center"/>
            <w:hideMark/>
          </w:tcPr>
          <w:p w14:paraId="0B25438C" w14:textId="77777777" w:rsidR="001D3D5D" w:rsidRPr="00B322FF" w:rsidRDefault="001D3D5D" w:rsidP="00B527E5">
            <w:pPr>
              <w:jc w:val="center"/>
              <w:rPr>
                <w:rFonts w:ascii="Simplified Arabic" w:eastAsia="Times New Roman" w:hAnsi="Simplified Arabic" w:cs="Simplified Arabic"/>
                <w:b/>
                <w:bCs/>
              </w:rPr>
            </w:pPr>
          </w:p>
        </w:tc>
        <w:tc>
          <w:tcPr>
            <w:tcW w:w="416" w:type="pct"/>
            <w:vAlign w:val="center"/>
            <w:hideMark/>
          </w:tcPr>
          <w:p w14:paraId="2F9D159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ذكر</w:t>
            </w:r>
          </w:p>
        </w:tc>
        <w:tc>
          <w:tcPr>
            <w:tcW w:w="339" w:type="pct"/>
            <w:vAlign w:val="center"/>
            <w:hideMark/>
          </w:tcPr>
          <w:p w14:paraId="385249D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209</w:t>
            </w:r>
          </w:p>
        </w:tc>
        <w:tc>
          <w:tcPr>
            <w:tcW w:w="777" w:type="pct"/>
            <w:vAlign w:val="center"/>
            <w:hideMark/>
          </w:tcPr>
          <w:p w14:paraId="47E7FDA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3.51</w:t>
            </w:r>
          </w:p>
        </w:tc>
        <w:tc>
          <w:tcPr>
            <w:tcW w:w="816" w:type="pct"/>
            <w:vAlign w:val="center"/>
            <w:hideMark/>
          </w:tcPr>
          <w:p w14:paraId="29FB824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0.84</w:t>
            </w:r>
          </w:p>
        </w:tc>
        <w:tc>
          <w:tcPr>
            <w:tcW w:w="479" w:type="pct"/>
            <w:vAlign w:val="center"/>
            <w:hideMark/>
          </w:tcPr>
          <w:p w14:paraId="30C1D2FB" w14:textId="77777777" w:rsidR="001D3D5D" w:rsidRPr="00B322FF" w:rsidRDefault="001D3D5D" w:rsidP="00B527E5">
            <w:pPr>
              <w:jc w:val="center"/>
              <w:rPr>
                <w:rFonts w:ascii="Simplified Arabic" w:eastAsia="Times New Roman" w:hAnsi="Simplified Arabic" w:cs="Simplified Arabic"/>
                <w:rtl/>
              </w:rPr>
            </w:pPr>
          </w:p>
        </w:tc>
        <w:tc>
          <w:tcPr>
            <w:tcW w:w="902" w:type="pct"/>
            <w:vAlign w:val="center"/>
            <w:hideMark/>
          </w:tcPr>
          <w:p w14:paraId="16C7C453" w14:textId="77777777" w:rsidR="001D3D5D" w:rsidRPr="00B322FF" w:rsidRDefault="001D3D5D" w:rsidP="00B527E5">
            <w:pPr>
              <w:jc w:val="center"/>
              <w:rPr>
                <w:rFonts w:ascii="Simplified Arabic" w:eastAsia="Times New Roman" w:hAnsi="Simplified Arabic" w:cs="Simplified Arabic"/>
              </w:rPr>
            </w:pPr>
          </w:p>
        </w:tc>
        <w:tc>
          <w:tcPr>
            <w:tcW w:w="469" w:type="pct"/>
            <w:vMerge/>
            <w:vAlign w:val="center"/>
            <w:hideMark/>
          </w:tcPr>
          <w:p w14:paraId="08C34F2A"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31DDC541" w14:textId="77777777" w:rsidTr="00597597">
        <w:trPr>
          <w:trHeight w:val="330"/>
        </w:trPr>
        <w:tc>
          <w:tcPr>
            <w:tcW w:w="801" w:type="pct"/>
            <w:vMerge w:val="restart"/>
            <w:vAlign w:val="center"/>
            <w:hideMark/>
          </w:tcPr>
          <w:p w14:paraId="47F079A4"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416" w:type="pct"/>
            <w:vAlign w:val="center"/>
            <w:hideMark/>
          </w:tcPr>
          <w:p w14:paraId="6F7752D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أنثى</w:t>
            </w:r>
          </w:p>
        </w:tc>
        <w:tc>
          <w:tcPr>
            <w:tcW w:w="339" w:type="pct"/>
            <w:vAlign w:val="center"/>
            <w:hideMark/>
          </w:tcPr>
          <w:p w14:paraId="4FB18F7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175</w:t>
            </w:r>
          </w:p>
        </w:tc>
        <w:tc>
          <w:tcPr>
            <w:tcW w:w="777" w:type="pct"/>
            <w:vAlign w:val="center"/>
            <w:hideMark/>
          </w:tcPr>
          <w:p w14:paraId="69D8C8A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3.42</w:t>
            </w:r>
          </w:p>
        </w:tc>
        <w:tc>
          <w:tcPr>
            <w:tcW w:w="816" w:type="pct"/>
            <w:vAlign w:val="center"/>
            <w:hideMark/>
          </w:tcPr>
          <w:p w14:paraId="3C95958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0.87</w:t>
            </w:r>
          </w:p>
        </w:tc>
        <w:tc>
          <w:tcPr>
            <w:tcW w:w="479" w:type="pct"/>
            <w:vAlign w:val="center"/>
            <w:hideMark/>
          </w:tcPr>
          <w:p w14:paraId="5195B84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1.146</w:t>
            </w:r>
          </w:p>
        </w:tc>
        <w:tc>
          <w:tcPr>
            <w:tcW w:w="902" w:type="pct"/>
            <w:vAlign w:val="center"/>
            <w:hideMark/>
          </w:tcPr>
          <w:p w14:paraId="77CC498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0.253</w:t>
            </w:r>
          </w:p>
        </w:tc>
        <w:tc>
          <w:tcPr>
            <w:tcW w:w="469" w:type="pct"/>
            <w:vMerge w:val="restart"/>
            <w:vAlign w:val="center"/>
            <w:hideMark/>
          </w:tcPr>
          <w:p w14:paraId="732D749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49EE7BBF" w14:textId="77777777" w:rsidTr="00597597">
        <w:trPr>
          <w:trHeight w:val="330"/>
        </w:trPr>
        <w:tc>
          <w:tcPr>
            <w:tcW w:w="801" w:type="pct"/>
            <w:vMerge/>
            <w:vAlign w:val="center"/>
            <w:hideMark/>
          </w:tcPr>
          <w:p w14:paraId="23E51BB7" w14:textId="77777777" w:rsidR="001D3D5D" w:rsidRPr="00B322FF" w:rsidRDefault="001D3D5D" w:rsidP="00B527E5">
            <w:pPr>
              <w:jc w:val="center"/>
              <w:rPr>
                <w:rFonts w:ascii="Simplified Arabic" w:eastAsia="Times New Roman" w:hAnsi="Simplified Arabic" w:cs="Simplified Arabic"/>
                <w:b/>
                <w:bCs/>
              </w:rPr>
            </w:pPr>
          </w:p>
        </w:tc>
        <w:tc>
          <w:tcPr>
            <w:tcW w:w="416" w:type="pct"/>
            <w:vAlign w:val="center"/>
            <w:hideMark/>
          </w:tcPr>
          <w:p w14:paraId="276511C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ذكر</w:t>
            </w:r>
          </w:p>
        </w:tc>
        <w:tc>
          <w:tcPr>
            <w:tcW w:w="339" w:type="pct"/>
            <w:vAlign w:val="center"/>
            <w:hideMark/>
          </w:tcPr>
          <w:p w14:paraId="6B68A28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209</w:t>
            </w:r>
          </w:p>
        </w:tc>
        <w:tc>
          <w:tcPr>
            <w:tcW w:w="777" w:type="pct"/>
            <w:vAlign w:val="center"/>
            <w:hideMark/>
          </w:tcPr>
          <w:p w14:paraId="2830636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3.31</w:t>
            </w:r>
          </w:p>
        </w:tc>
        <w:tc>
          <w:tcPr>
            <w:tcW w:w="816" w:type="pct"/>
            <w:vAlign w:val="center"/>
            <w:hideMark/>
          </w:tcPr>
          <w:p w14:paraId="6361FCA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0.91</w:t>
            </w:r>
          </w:p>
        </w:tc>
        <w:tc>
          <w:tcPr>
            <w:tcW w:w="479" w:type="pct"/>
            <w:vAlign w:val="center"/>
            <w:hideMark/>
          </w:tcPr>
          <w:p w14:paraId="41272A4D" w14:textId="77777777" w:rsidR="001D3D5D" w:rsidRPr="00B322FF" w:rsidRDefault="001D3D5D" w:rsidP="00B527E5">
            <w:pPr>
              <w:jc w:val="center"/>
              <w:rPr>
                <w:rFonts w:ascii="Simplified Arabic" w:eastAsia="Times New Roman" w:hAnsi="Simplified Arabic" w:cs="Simplified Arabic"/>
                <w:rtl/>
              </w:rPr>
            </w:pPr>
          </w:p>
        </w:tc>
        <w:tc>
          <w:tcPr>
            <w:tcW w:w="902" w:type="pct"/>
            <w:vAlign w:val="center"/>
            <w:hideMark/>
          </w:tcPr>
          <w:p w14:paraId="168EA152" w14:textId="77777777" w:rsidR="001D3D5D" w:rsidRPr="00B322FF" w:rsidRDefault="001D3D5D" w:rsidP="00B527E5">
            <w:pPr>
              <w:jc w:val="center"/>
              <w:rPr>
                <w:rFonts w:ascii="Simplified Arabic" w:eastAsia="Times New Roman" w:hAnsi="Simplified Arabic" w:cs="Simplified Arabic"/>
              </w:rPr>
            </w:pPr>
          </w:p>
        </w:tc>
        <w:tc>
          <w:tcPr>
            <w:tcW w:w="469" w:type="pct"/>
            <w:vMerge/>
            <w:vAlign w:val="center"/>
            <w:hideMark/>
          </w:tcPr>
          <w:p w14:paraId="78CF75FE"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6D19112C" w14:textId="77777777" w:rsidTr="00597597">
        <w:trPr>
          <w:trHeight w:val="330"/>
        </w:trPr>
        <w:tc>
          <w:tcPr>
            <w:tcW w:w="801" w:type="pct"/>
            <w:vMerge w:val="restart"/>
            <w:vAlign w:val="center"/>
            <w:hideMark/>
          </w:tcPr>
          <w:p w14:paraId="5D0E2C92"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416" w:type="pct"/>
            <w:vAlign w:val="center"/>
            <w:hideMark/>
          </w:tcPr>
          <w:p w14:paraId="03D0C33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أنثى</w:t>
            </w:r>
          </w:p>
        </w:tc>
        <w:tc>
          <w:tcPr>
            <w:tcW w:w="339" w:type="pct"/>
            <w:vAlign w:val="center"/>
            <w:hideMark/>
          </w:tcPr>
          <w:p w14:paraId="7ADEF21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175</w:t>
            </w:r>
          </w:p>
        </w:tc>
        <w:tc>
          <w:tcPr>
            <w:tcW w:w="777" w:type="pct"/>
            <w:vAlign w:val="center"/>
            <w:hideMark/>
          </w:tcPr>
          <w:p w14:paraId="55F9807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3.48</w:t>
            </w:r>
          </w:p>
        </w:tc>
        <w:tc>
          <w:tcPr>
            <w:tcW w:w="816" w:type="pct"/>
            <w:vAlign w:val="center"/>
            <w:hideMark/>
          </w:tcPr>
          <w:p w14:paraId="5FC3477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0.85</w:t>
            </w:r>
          </w:p>
        </w:tc>
        <w:tc>
          <w:tcPr>
            <w:tcW w:w="479" w:type="pct"/>
            <w:vAlign w:val="center"/>
            <w:hideMark/>
          </w:tcPr>
          <w:p w14:paraId="6198F34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0.767</w:t>
            </w:r>
          </w:p>
        </w:tc>
        <w:tc>
          <w:tcPr>
            <w:tcW w:w="902" w:type="pct"/>
            <w:vAlign w:val="center"/>
            <w:hideMark/>
          </w:tcPr>
          <w:p w14:paraId="43B99ED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0.443</w:t>
            </w:r>
          </w:p>
        </w:tc>
        <w:tc>
          <w:tcPr>
            <w:tcW w:w="469" w:type="pct"/>
            <w:vMerge w:val="restart"/>
            <w:vAlign w:val="center"/>
            <w:hideMark/>
          </w:tcPr>
          <w:p w14:paraId="43108DB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6224CD04" w14:textId="77777777" w:rsidTr="00597597">
        <w:trPr>
          <w:trHeight w:val="330"/>
        </w:trPr>
        <w:tc>
          <w:tcPr>
            <w:tcW w:w="801" w:type="pct"/>
            <w:vMerge/>
            <w:vAlign w:val="center"/>
            <w:hideMark/>
          </w:tcPr>
          <w:p w14:paraId="75B4BC91" w14:textId="77777777" w:rsidR="001D3D5D" w:rsidRPr="00B322FF" w:rsidRDefault="001D3D5D" w:rsidP="00B527E5">
            <w:pPr>
              <w:jc w:val="center"/>
              <w:rPr>
                <w:rFonts w:ascii="Simplified Arabic" w:eastAsia="Times New Roman" w:hAnsi="Simplified Arabic" w:cs="Simplified Arabic"/>
                <w:b/>
                <w:bCs/>
              </w:rPr>
            </w:pPr>
          </w:p>
        </w:tc>
        <w:tc>
          <w:tcPr>
            <w:tcW w:w="416" w:type="pct"/>
            <w:vAlign w:val="center"/>
            <w:hideMark/>
          </w:tcPr>
          <w:p w14:paraId="31B302F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ذكر</w:t>
            </w:r>
          </w:p>
        </w:tc>
        <w:tc>
          <w:tcPr>
            <w:tcW w:w="339" w:type="pct"/>
            <w:vAlign w:val="center"/>
            <w:hideMark/>
          </w:tcPr>
          <w:p w14:paraId="3B863E3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209</w:t>
            </w:r>
          </w:p>
        </w:tc>
        <w:tc>
          <w:tcPr>
            <w:tcW w:w="777" w:type="pct"/>
            <w:vAlign w:val="center"/>
            <w:hideMark/>
          </w:tcPr>
          <w:p w14:paraId="280D6E1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3.41</w:t>
            </w:r>
          </w:p>
        </w:tc>
        <w:tc>
          <w:tcPr>
            <w:tcW w:w="816" w:type="pct"/>
            <w:vAlign w:val="center"/>
            <w:hideMark/>
          </w:tcPr>
          <w:p w14:paraId="2645455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0.82</w:t>
            </w:r>
          </w:p>
        </w:tc>
        <w:tc>
          <w:tcPr>
            <w:tcW w:w="479" w:type="pct"/>
            <w:vAlign w:val="center"/>
            <w:hideMark/>
          </w:tcPr>
          <w:p w14:paraId="4A820467" w14:textId="77777777" w:rsidR="001D3D5D" w:rsidRPr="00B322FF" w:rsidRDefault="001D3D5D" w:rsidP="00B527E5">
            <w:pPr>
              <w:jc w:val="center"/>
              <w:rPr>
                <w:rFonts w:ascii="Simplified Arabic" w:eastAsia="Times New Roman" w:hAnsi="Simplified Arabic" w:cs="Simplified Arabic"/>
                <w:rtl/>
              </w:rPr>
            </w:pPr>
          </w:p>
        </w:tc>
        <w:tc>
          <w:tcPr>
            <w:tcW w:w="902" w:type="pct"/>
            <w:vAlign w:val="center"/>
            <w:hideMark/>
          </w:tcPr>
          <w:p w14:paraId="78EFCF89" w14:textId="77777777" w:rsidR="001D3D5D" w:rsidRPr="00B322FF" w:rsidRDefault="001D3D5D" w:rsidP="00B527E5">
            <w:pPr>
              <w:jc w:val="center"/>
              <w:rPr>
                <w:rFonts w:ascii="Simplified Arabic" w:eastAsia="Times New Roman" w:hAnsi="Simplified Arabic" w:cs="Simplified Arabic"/>
              </w:rPr>
            </w:pPr>
          </w:p>
        </w:tc>
        <w:tc>
          <w:tcPr>
            <w:tcW w:w="469" w:type="pct"/>
            <w:vMerge/>
            <w:vAlign w:val="center"/>
            <w:hideMark/>
          </w:tcPr>
          <w:p w14:paraId="22F9BF18"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04C1274C" w14:textId="77777777" w:rsidTr="00597597">
        <w:trPr>
          <w:trHeight w:val="330"/>
        </w:trPr>
        <w:tc>
          <w:tcPr>
            <w:tcW w:w="801" w:type="pct"/>
            <w:vMerge w:val="restart"/>
            <w:vAlign w:val="center"/>
            <w:hideMark/>
          </w:tcPr>
          <w:p w14:paraId="38D9EF5D"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416" w:type="pct"/>
            <w:vAlign w:val="center"/>
            <w:hideMark/>
          </w:tcPr>
          <w:p w14:paraId="1BC0A59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أنثى</w:t>
            </w:r>
          </w:p>
        </w:tc>
        <w:tc>
          <w:tcPr>
            <w:tcW w:w="339" w:type="pct"/>
            <w:vAlign w:val="center"/>
            <w:hideMark/>
          </w:tcPr>
          <w:p w14:paraId="489E684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175</w:t>
            </w:r>
          </w:p>
        </w:tc>
        <w:tc>
          <w:tcPr>
            <w:tcW w:w="777" w:type="pct"/>
            <w:vAlign w:val="center"/>
            <w:hideMark/>
          </w:tcPr>
          <w:p w14:paraId="0013496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2.87</w:t>
            </w:r>
          </w:p>
        </w:tc>
        <w:tc>
          <w:tcPr>
            <w:tcW w:w="816" w:type="pct"/>
            <w:vAlign w:val="center"/>
            <w:hideMark/>
          </w:tcPr>
          <w:p w14:paraId="7EF2E30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w:t>
            </w:r>
          </w:p>
        </w:tc>
        <w:tc>
          <w:tcPr>
            <w:tcW w:w="479" w:type="pct"/>
            <w:vAlign w:val="center"/>
            <w:hideMark/>
          </w:tcPr>
          <w:p w14:paraId="46FD819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-1.29</w:t>
            </w:r>
          </w:p>
        </w:tc>
        <w:tc>
          <w:tcPr>
            <w:tcW w:w="902" w:type="pct"/>
            <w:vAlign w:val="center"/>
            <w:hideMark/>
          </w:tcPr>
          <w:p w14:paraId="0661DF9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0.198</w:t>
            </w:r>
          </w:p>
        </w:tc>
        <w:tc>
          <w:tcPr>
            <w:tcW w:w="469" w:type="pct"/>
            <w:vMerge w:val="restart"/>
            <w:vAlign w:val="center"/>
            <w:hideMark/>
          </w:tcPr>
          <w:p w14:paraId="73CC6EB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4E0E0C22" w14:textId="77777777" w:rsidTr="00597597">
        <w:trPr>
          <w:trHeight w:val="330"/>
        </w:trPr>
        <w:tc>
          <w:tcPr>
            <w:tcW w:w="801" w:type="pct"/>
            <w:vMerge/>
            <w:vAlign w:val="center"/>
            <w:hideMark/>
          </w:tcPr>
          <w:p w14:paraId="010D51F9" w14:textId="77777777" w:rsidR="001D3D5D" w:rsidRPr="00B322FF" w:rsidRDefault="001D3D5D" w:rsidP="00B527E5">
            <w:pPr>
              <w:jc w:val="center"/>
              <w:rPr>
                <w:rFonts w:ascii="Simplified Arabic" w:eastAsia="Times New Roman" w:hAnsi="Simplified Arabic" w:cs="Simplified Arabic"/>
                <w:b/>
                <w:bCs/>
              </w:rPr>
            </w:pPr>
          </w:p>
        </w:tc>
        <w:tc>
          <w:tcPr>
            <w:tcW w:w="416" w:type="pct"/>
            <w:vAlign w:val="center"/>
            <w:hideMark/>
          </w:tcPr>
          <w:p w14:paraId="770E7C3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ذكر</w:t>
            </w:r>
          </w:p>
        </w:tc>
        <w:tc>
          <w:tcPr>
            <w:tcW w:w="339" w:type="pct"/>
            <w:vAlign w:val="center"/>
            <w:hideMark/>
          </w:tcPr>
          <w:p w14:paraId="01C15EF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209</w:t>
            </w:r>
          </w:p>
        </w:tc>
        <w:tc>
          <w:tcPr>
            <w:tcW w:w="777" w:type="pct"/>
            <w:vAlign w:val="center"/>
            <w:hideMark/>
          </w:tcPr>
          <w:p w14:paraId="72652C7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816" w:type="pct"/>
            <w:vAlign w:val="center"/>
            <w:hideMark/>
          </w:tcPr>
          <w:p w14:paraId="2E68431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0.96</w:t>
            </w:r>
          </w:p>
        </w:tc>
        <w:tc>
          <w:tcPr>
            <w:tcW w:w="479" w:type="pct"/>
            <w:vAlign w:val="center"/>
            <w:hideMark/>
          </w:tcPr>
          <w:p w14:paraId="70E313BC" w14:textId="77777777" w:rsidR="001D3D5D" w:rsidRPr="00B322FF" w:rsidRDefault="001D3D5D" w:rsidP="00B527E5">
            <w:pPr>
              <w:jc w:val="center"/>
              <w:rPr>
                <w:rFonts w:ascii="Simplified Arabic" w:eastAsia="Times New Roman" w:hAnsi="Simplified Arabic" w:cs="Simplified Arabic"/>
                <w:rtl/>
              </w:rPr>
            </w:pPr>
          </w:p>
        </w:tc>
        <w:tc>
          <w:tcPr>
            <w:tcW w:w="902" w:type="pct"/>
            <w:vAlign w:val="center"/>
            <w:hideMark/>
          </w:tcPr>
          <w:p w14:paraId="52790496" w14:textId="77777777" w:rsidR="001D3D5D" w:rsidRPr="00B322FF" w:rsidRDefault="001D3D5D" w:rsidP="00B527E5">
            <w:pPr>
              <w:jc w:val="center"/>
              <w:rPr>
                <w:rFonts w:ascii="Simplified Arabic" w:eastAsia="Times New Roman" w:hAnsi="Simplified Arabic" w:cs="Simplified Arabic"/>
              </w:rPr>
            </w:pPr>
          </w:p>
        </w:tc>
        <w:tc>
          <w:tcPr>
            <w:tcW w:w="469" w:type="pct"/>
            <w:vMerge/>
            <w:vAlign w:val="center"/>
            <w:hideMark/>
          </w:tcPr>
          <w:p w14:paraId="07B1E0E9" w14:textId="77777777" w:rsidR="001D3D5D" w:rsidRPr="00B322FF" w:rsidRDefault="001D3D5D" w:rsidP="00B527E5">
            <w:pPr>
              <w:jc w:val="center"/>
              <w:rPr>
                <w:rFonts w:ascii="Simplified Arabic" w:eastAsia="Times New Roman" w:hAnsi="Simplified Arabic" w:cs="Simplified Arabic"/>
              </w:rPr>
            </w:pPr>
          </w:p>
        </w:tc>
      </w:tr>
    </w:tbl>
    <w:p w14:paraId="0BF444C1" w14:textId="77777777" w:rsidR="00A61A27" w:rsidRPr="001F421D" w:rsidRDefault="0089331B" w:rsidP="001F421D">
      <w:pPr>
        <w:spacing w:before="40" w:after="120"/>
        <w:rPr>
          <w:rFonts w:ascii="Simplified Arabic" w:hAnsi="Simplified Arabic" w:cs="Simplified Arabic"/>
          <w:i/>
          <w:sz w:val="22"/>
          <w:szCs w:val="22"/>
        </w:rPr>
      </w:pPr>
      <w:r w:rsidRPr="001F421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34FE4FC5" w14:textId="77777777" w:rsidR="001D3D5D" w:rsidRPr="00B322FF" w:rsidRDefault="001D3D5D" w:rsidP="00B527E5">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يتضح من الجدول (</w:t>
      </w:r>
      <w:r w:rsidR="00AC2A5C">
        <w:rPr>
          <w:rFonts w:ascii="Simplified Arabic" w:hAnsi="Simplified Arabic" w:cs="Simplified Arabic" w:hint="cs"/>
          <w:sz w:val="28"/>
          <w:szCs w:val="28"/>
          <w:rtl/>
        </w:rPr>
        <w:t>٤-٨</w:t>
      </w:r>
      <w:r w:rsidRPr="00B322FF">
        <w:rPr>
          <w:rFonts w:ascii="Simplified Arabic" w:hAnsi="Simplified Arabic" w:cs="Simplified Arabic" w:hint="cs"/>
          <w:sz w:val="28"/>
          <w:szCs w:val="28"/>
          <w:rtl/>
        </w:rPr>
        <w:t xml:space="preserve">) ما يلي: </w:t>
      </w:r>
    </w:p>
    <w:p w14:paraId="1B470020"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بالنسبة لمحور التحول الصحي: تبين وجود فروق ذات دلالة إحصائية بين متوسطات استجابات المبحوثين، حيث بلغت قيمة مستوى الدلالة (0.042)، وهي أقل من (0.05). وتميل هذه الفروق لصالح الإناث بمتوسط (3.68) مقابل (3.51) للذكور، مما يشير إلى أن الموظفات يدركن أثر برامج التحول الصحي بإيجابية أعلى نسبياً من زملائهن الذكور.</w:t>
      </w:r>
    </w:p>
    <w:p w14:paraId="0DDC9103"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بالنسبة لمحور بيئة العمل النفسية المستدامة: أظهرت النتائج عدم وجود فروق دالة إحصائياً (</w:t>
      </w:r>
      <w:r w:rsidRPr="00B322FF">
        <w:rPr>
          <w:rFonts w:ascii="Simplified Arabic" w:eastAsia="Times New Roman" w:hAnsi="Simplified Arabic" w:cs="Simplified Arabic" w:hint="cs"/>
          <w:sz w:val="28"/>
          <w:szCs w:val="28"/>
        </w:rPr>
        <w:t>Sig = 0.253</w:t>
      </w:r>
      <w:r w:rsidRPr="00B322FF">
        <w:rPr>
          <w:rFonts w:ascii="Simplified Arabic" w:eastAsia="Times New Roman" w:hAnsi="Simplified Arabic" w:cs="Simplified Arabic" w:hint="cs"/>
          <w:sz w:val="28"/>
          <w:szCs w:val="28"/>
          <w:rtl/>
        </w:rPr>
        <w:t>)، مما يشير إلى تقارب وجهات نظر الجنسين تجاه جودة واستدامة بيئة العمل النفسية.</w:t>
      </w:r>
    </w:p>
    <w:p w14:paraId="61B3DB35"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lastRenderedPageBreak/>
        <w:t>​</w:t>
      </w:r>
      <w:r w:rsidRPr="00B322FF">
        <w:rPr>
          <w:rFonts w:ascii="Simplified Arabic" w:eastAsia="Times New Roman" w:hAnsi="Simplified Arabic" w:cs="Simplified Arabic" w:hint="cs"/>
          <w:sz w:val="28"/>
          <w:szCs w:val="28"/>
          <w:rtl/>
        </w:rPr>
        <w:t>بالنسبة لمحور رفاهية الموظفين: لم تسجل النتائج أي فروق جوهرية (</w:t>
      </w:r>
      <w:r w:rsidRPr="00B322FF">
        <w:rPr>
          <w:rFonts w:ascii="Simplified Arabic" w:eastAsia="Times New Roman" w:hAnsi="Simplified Arabic" w:cs="Simplified Arabic" w:hint="cs"/>
          <w:sz w:val="28"/>
          <w:szCs w:val="28"/>
        </w:rPr>
        <w:t>Sig = 0.443</w:t>
      </w:r>
      <w:r w:rsidRPr="00B322FF">
        <w:rPr>
          <w:rFonts w:ascii="Simplified Arabic" w:eastAsia="Times New Roman" w:hAnsi="Simplified Arabic" w:cs="Simplified Arabic" w:hint="cs"/>
          <w:sz w:val="28"/>
          <w:szCs w:val="28"/>
          <w:rtl/>
        </w:rPr>
        <w:t>)، مما يعكس تشابهاً في مستوى الرفاه المدرك بين الموظفين والموظفات.</w:t>
      </w:r>
    </w:p>
    <w:p w14:paraId="4BED6628"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بالنسبة لمحور الاحتراق الوظيفي: كشفت النتائج عن عدم وجود فروق دالة إحصائياً (</w:t>
      </w:r>
      <w:r w:rsidRPr="00B322FF">
        <w:rPr>
          <w:rFonts w:ascii="Simplified Arabic" w:eastAsia="Times New Roman" w:hAnsi="Simplified Arabic" w:cs="Simplified Arabic" w:hint="cs"/>
          <w:sz w:val="28"/>
          <w:szCs w:val="28"/>
        </w:rPr>
        <w:t>Sig = 0.198</w:t>
      </w:r>
      <w:r w:rsidRPr="00B322FF">
        <w:rPr>
          <w:rFonts w:ascii="Simplified Arabic" w:eastAsia="Times New Roman" w:hAnsi="Simplified Arabic" w:cs="Simplified Arabic" w:hint="cs"/>
          <w:sz w:val="28"/>
          <w:szCs w:val="28"/>
          <w:rtl/>
        </w:rPr>
        <w:t>)، مما يعني أن الضغوط المهنية تؤثر في الكوادر الصحية بشكل متقارب بغض النظر عن النوع الاجتماعي.</w:t>
      </w:r>
    </w:p>
    <w:p w14:paraId="38E49A1D" w14:textId="5BEDF265" w:rsidR="00891197" w:rsidRPr="00B322FF" w:rsidRDefault="001D3D5D" w:rsidP="001F421D">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بناءً على ما سبق، يتضح أن طبيعة الاستجابات تختلف جزئياً باختلاف الجنس في محور التحول الصحي فقط، بينما لا تختلف في بقية المحاور، مما يثبت أن النوع الاجتماعي لا يمثل عاملاً حاسماً في تباين أغلب أبعاد الدراسة.</w:t>
      </w:r>
    </w:p>
    <w:p w14:paraId="34F92EB7"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العمر</w:t>
      </w:r>
    </w:p>
    <w:p w14:paraId="5681F6B3"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للتحقق من وجود فروق ذات دلالة إحصائية بين متوسطات استجابات الفئات العمرية الأربع (أقل من 30، 30-39، 40-49، 50 فأكثر)، تم استخدام تحليل التباين الأحادي (</w:t>
      </w:r>
      <w:r w:rsidRPr="00B322FF">
        <w:rPr>
          <w:rFonts w:ascii="Simplified Arabic" w:hAnsi="Simplified Arabic" w:cs="Simplified Arabic" w:hint="cs"/>
          <w:sz w:val="28"/>
          <w:szCs w:val="28"/>
          <w:lang w:bidi="ar-YE"/>
        </w:rPr>
        <w:t>One-Way ANOVA</w:t>
      </w:r>
      <w:r w:rsidRPr="00B322FF">
        <w:rPr>
          <w:rFonts w:ascii="Simplified Arabic" w:hAnsi="Simplified Arabic" w:cs="Simplified Arabic" w:hint="cs"/>
          <w:sz w:val="28"/>
          <w:szCs w:val="28"/>
          <w:rtl/>
        </w:rPr>
        <w:t>). يوضح الجدول التالي النتائج المستخلصة:</w:t>
      </w:r>
    </w:p>
    <w:p w14:paraId="52E21129"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EC4824">
        <w:rPr>
          <w:rFonts w:ascii="Simplified Arabic" w:hAnsi="Simplified Arabic" w:cs="Simplified Arabic" w:hint="cs"/>
          <w:b/>
          <w:bCs/>
          <w:kern w:val="2"/>
          <w:rtl/>
          <w14:ligatures w14:val="standardContextual"/>
        </w:rPr>
        <w:t>٤-٩</w:t>
      </w:r>
      <w:r w:rsidRPr="00B322FF">
        <w:rPr>
          <w:rFonts w:ascii="Simplified Arabic" w:hAnsi="Simplified Arabic" w:cs="Simplified Arabic" w:hint="cs"/>
          <w:b/>
          <w:bCs/>
          <w:kern w:val="2"/>
          <w:rtl/>
          <w14:ligatures w14:val="standardContextual"/>
        </w:rPr>
        <w:t>): نتائج تحليل التباين الأحادي للفروق في استجابات المبحوثين وفقاً لمتغير العمر</w:t>
      </w:r>
    </w:p>
    <w:tbl>
      <w:tblPr>
        <w:tblStyle w:val="af"/>
        <w:bidiVisual/>
        <w:tblW w:w="5000" w:type="pct"/>
        <w:tblLook w:val="04A0" w:firstRow="1" w:lastRow="0" w:firstColumn="1" w:lastColumn="0" w:noHBand="0" w:noVBand="1"/>
      </w:tblPr>
      <w:tblGrid>
        <w:gridCol w:w="1338"/>
        <w:gridCol w:w="1369"/>
        <w:gridCol w:w="1343"/>
        <w:gridCol w:w="611"/>
        <w:gridCol w:w="1259"/>
        <w:gridCol w:w="820"/>
        <w:gridCol w:w="1450"/>
        <w:gridCol w:w="826"/>
      </w:tblGrid>
      <w:tr w:rsidR="001D3D5D" w:rsidRPr="00B322FF" w14:paraId="33BB6261" w14:textId="77777777" w:rsidTr="00597597">
        <w:trPr>
          <w:trHeight w:val="330"/>
        </w:trPr>
        <w:tc>
          <w:tcPr>
            <w:tcW w:w="742" w:type="pct"/>
            <w:vAlign w:val="center"/>
            <w:hideMark/>
          </w:tcPr>
          <w:p w14:paraId="45B92D75"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759" w:type="pct"/>
            <w:vAlign w:val="center"/>
            <w:hideMark/>
          </w:tcPr>
          <w:p w14:paraId="6C11B9FE"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مصدر التباين</w:t>
            </w:r>
          </w:p>
        </w:tc>
        <w:tc>
          <w:tcPr>
            <w:tcW w:w="745" w:type="pct"/>
            <w:vAlign w:val="center"/>
            <w:hideMark/>
          </w:tcPr>
          <w:p w14:paraId="7F1932F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مجموع المربعات</w:t>
            </w:r>
          </w:p>
        </w:tc>
        <w:tc>
          <w:tcPr>
            <w:tcW w:w="339" w:type="pct"/>
            <w:vAlign w:val="center"/>
            <w:hideMark/>
          </w:tcPr>
          <w:p w14:paraId="04C52AF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df</w:t>
            </w:r>
          </w:p>
        </w:tc>
        <w:tc>
          <w:tcPr>
            <w:tcW w:w="698" w:type="pct"/>
            <w:vAlign w:val="center"/>
            <w:hideMark/>
          </w:tcPr>
          <w:p w14:paraId="1B0D00BF"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متوسط المربعات</w:t>
            </w:r>
          </w:p>
        </w:tc>
        <w:tc>
          <w:tcPr>
            <w:tcW w:w="455" w:type="pct"/>
            <w:vAlign w:val="center"/>
            <w:hideMark/>
          </w:tcPr>
          <w:p w14:paraId="5CE264C5"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F</w:t>
            </w:r>
          </w:p>
        </w:tc>
        <w:tc>
          <w:tcPr>
            <w:tcW w:w="804" w:type="pct"/>
            <w:vAlign w:val="center"/>
            <w:hideMark/>
          </w:tcPr>
          <w:p w14:paraId="7440BB0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59" w:type="pct"/>
            <w:vAlign w:val="center"/>
            <w:hideMark/>
          </w:tcPr>
          <w:p w14:paraId="7254A142"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55E3C58A" w14:textId="77777777" w:rsidTr="00597597">
        <w:trPr>
          <w:trHeight w:val="330"/>
        </w:trPr>
        <w:tc>
          <w:tcPr>
            <w:tcW w:w="742" w:type="pct"/>
            <w:vMerge w:val="restart"/>
            <w:vAlign w:val="center"/>
            <w:hideMark/>
          </w:tcPr>
          <w:p w14:paraId="36B9F16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759" w:type="pct"/>
            <w:vAlign w:val="center"/>
            <w:hideMark/>
          </w:tcPr>
          <w:p w14:paraId="166E4E1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20B77EA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4.439</w:t>
            </w:r>
          </w:p>
        </w:tc>
        <w:tc>
          <w:tcPr>
            <w:tcW w:w="339" w:type="pct"/>
            <w:vAlign w:val="center"/>
            <w:hideMark/>
          </w:tcPr>
          <w:p w14:paraId="3A81ED5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698" w:type="pct"/>
            <w:vAlign w:val="center"/>
            <w:hideMark/>
          </w:tcPr>
          <w:p w14:paraId="257BBA7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1.48</w:t>
            </w:r>
          </w:p>
        </w:tc>
        <w:tc>
          <w:tcPr>
            <w:tcW w:w="455" w:type="pct"/>
            <w:vAlign w:val="center"/>
            <w:hideMark/>
          </w:tcPr>
          <w:p w14:paraId="16AD2B1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2.154</w:t>
            </w:r>
          </w:p>
        </w:tc>
        <w:tc>
          <w:tcPr>
            <w:tcW w:w="804" w:type="pct"/>
            <w:vAlign w:val="center"/>
            <w:hideMark/>
          </w:tcPr>
          <w:p w14:paraId="0C5BE71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0.093</w:t>
            </w:r>
          </w:p>
        </w:tc>
        <w:tc>
          <w:tcPr>
            <w:tcW w:w="459" w:type="pct"/>
            <w:vMerge w:val="restart"/>
            <w:vAlign w:val="center"/>
            <w:hideMark/>
          </w:tcPr>
          <w:p w14:paraId="3CBDBC0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6A93AB9A" w14:textId="77777777" w:rsidTr="00597597">
        <w:trPr>
          <w:trHeight w:val="330"/>
        </w:trPr>
        <w:tc>
          <w:tcPr>
            <w:tcW w:w="742" w:type="pct"/>
            <w:vMerge/>
            <w:vAlign w:val="center"/>
            <w:hideMark/>
          </w:tcPr>
          <w:p w14:paraId="1E1E2D48"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06BBD71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6F3715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261.068</w:t>
            </w:r>
          </w:p>
        </w:tc>
        <w:tc>
          <w:tcPr>
            <w:tcW w:w="339" w:type="pct"/>
            <w:vAlign w:val="center"/>
            <w:hideMark/>
          </w:tcPr>
          <w:p w14:paraId="2F4A276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698" w:type="pct"/>
            <w:vAlign w:val="center"/>
            <w:hideMark/>
          </w:tcPr>
          <w:p w14:paraId="4AD6DE0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0.687</w:t>
            </w:r>
          </w:p>
        </w:tc>
        <w:tc>
          <w:tcPr>
            <w:tcW w:w="455" w:type="pct"/>
            <w:vAlign w:val="center"/>
            <w:hideMark/>
          </w:tcPr>
          <w:p w14:paraId="3011A30B"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2FA89C50"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72816F31"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6FC7B5C3" w14:textId="77777777" w:rsidTr="00597597">
        <w:trPr>
          <w:trHeight w:val="330"/>
        </w:trPr>
        <w:tc>
          <w:tcPr>
            <w:tcW w:w="742" w:type="pct"/>
            <w:vMerge w:val="restart"/>
            <w:vAlign w:val="center"/>
            <w:hideMark/>
          </w:tcPr>
          <w:p w14:paraId="3E2B1613"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759" w:type="pct"/>
            <w:vAlign w:val="center"/>
            <w:hideMark/>
          </w:tcPr>
          <w:p w14:paraId="15FABCA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4F24462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3.831</w:t>
            </w:r>
          </w:p>
        </w:tc>
        <w:tc>
          <w:tcPr>
            <w:tcW w:w="339" w:type="pct"/>
            <w:vAlign w:val="center"/>
            <w:hideMark/>
          </w:tcPr>
          <w:p w14:paraId="3DA35CA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698" w:type="pct"/>
            <w:vAlign w:val="center"/>
            <w:hideMark/>
          </w:tcPr>
          <w:p w14:paraId="3F26EF8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1.277</w:t>
            </w:r>
          </w:p>
        </w:tc>
        <w:tc>
          <w:tcPr>
            <w:tcW w:w="455" w:type="pct"/>
            <w:vAlign w:val="center"/>
            <w:hideMark/>
          </w:tcPr>
          <w:p w14:paraId="53C0CF7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1.594</w:t>
            </w:r>
          </w:p>
        </w:tc>
        <w:tc>
          <w:tcPr>
            <w:tcW w:w="804" w:type="pct"/>
            <w:vAlign w:val="center"/>
            <w:hideMark/>
          </w:tcPr>
          <w:p w14:paraId="26E4AB0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0.19</w:t>
            </w:r>
          </w:p>
        </w:tc>
        <w:tc>
          <w:tcPr>
            <w:tcW w:w="459" w:type="pct"/>
            <w:vMerge w:val="restart"/>
            <w:vAlign w:val="center"/>
            <w:hideMark/>
          </w:tcPr>
          <w:p w14:paraId="2D82035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1679FA3D" w14:textId="77777777" w:rsidTr="00597597">
        <w:trPr>
          <w:trHeight w:val="330"/>
        </w:trPr>
        <w:tc>
          <w:tcPr>
            <w:tcW w:w="742" w:type="pct"/>
            <w:vMerge/>
            <w:vAlign w:val="center"/>
            <w:hideMark/>
          </w:tcPr>
          <w:p w14:paraId="5B94F5C5"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7CA5710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71EE6AB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304.4</w:t>
            </w:r>
          </w:p>
        </w:tc>
        <w:tc>
          <w:tcPr>
            <w:tcW w:w="339" w:type="pct"/>
            <w:vAlign w:val="center"/>
            <w:hideMark/>
          </w:tcPr>
          <w:p w14:paraId="6281DA4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698" w:type="pct"/>
            <w:vAlign w:val="center"/>
            <w:hideMark/>
          </w:tcPr>
          <w:p w14:paraId="2A9EEAB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0.801</w:t>
            </w:r>
          </w:p>
        </w:tc>
        <w:tc>
          <w:tcPr>
            <w:tcW w:w="455" w:type="pct"/>
            <w:vAlign w:val="center"/>
            <w:hideMark/>
          </w:tcPr>
          <w:p w14:paraId="2D9F7F65"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5AE70468"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6BA0E4E4"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3BDE62F4" w14:textId="77777777" w:rsidTr="00597597">
        <w:trPr>
          <w:trHeight w:val="330"/>
        </w:trPr>
        <w:tc>
          <w:tcPr>
            <w:tcW w:w="742" w:type="pct"/>
            <w:vMerge w:val="restart"/>
            <w:vAlign w:val="center"/>
            <w:hideMark/>
          </w:tcPr>
          <w:p w14:paraId="6081AFEE"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759" w:type="pct"/>
            <w:vAlign w:val="center"/>
            <w:hideMark/>
          </w:tcPr>
          <w:p w14:paraId="6A47190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4497D3A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6.452</w:t>
            </w:r>
          </w:p>
        </w:tc>
        <w:tc>
          <w:tcPr>
            <w:tcW w:w="339" w:type="pct"/>
            <w:vAlign w:val="center"/>
            <w:hideMark/>
          </w:tcPr>
          <w:p w14:paraId="0FA034D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698" w:type="pct"/>
            <w:vAlign w:val="center"/>
            <w:hideMark/>
          </w:tcPr>
          <w:p w14:paraId="10170CC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2.151</w:t>
            </w:r>
          </w:p>
        </w:tc>
        <w:tc>
          <w:tcPr>
            <w:tcW w:w="455" w:type="pct"/>
            <w:vAlign w:val="center"/>
            <w:hideMark/>
          </w:tcPr>
          <w:p w14:paraId="5F51A90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3.094</w:t>
            </w:r>
          </w:p>
        </w:tc>
        <w:tc>
          <w:tcPr>
            <w:tcW w:w="804" w:type="pct"/>
            <w:vAlign w:val="center"/>
            <w:hideMark/>
          </w:tcPr>
          <w:p w14:paraId="5ACF162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0.027</w:t>
            </w:r>
          </w:p>
        </w:tc>
        <w:tc>
          <w:tcPr>
            <w:tcW w:w="459" w:type="pct"/>
            <w:vMerge w:val="restart"/>
            <w:vAlign w:val="center"/>
            <w:hideMark/>
          </w:tcPr>
          <w:p w14:paraId="5591225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1E5BEB0C" w14:textId="77777777" w:rsidTr="00597597">
        <w:trPr>
          <w:trHeight w:val="330"/>
        </w:trPr>
        <w:tc>
          <w:tcPr>
            <w:tcW w:w="742" w:type="pct"/>
            <w:vMerge/>
            <w:vAlign w:val="center"/>
            <w:hideMark/>
          </w:tcPr>
          <w:p w14:paraId="5D870933"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2078CC3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553EEF8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264.126</w:t>
            </w:r>
          </w:p>
        </w:tc>
        <w:tc>
          <w:tcPr>
            <w:tcW w:w="339" w:type="pct"/>
            <w:vAlign w:val="center"/>
            <w:hideMark/>
          </w:tcPr>
          <w:p w14:paraId="6A7926C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698" w:type="pct"/>
            <w:vAlign w:val="center"/>
            <w:hideMark/>
          </w:tcPr>
          <w:p w14:paraId="44D1745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0.695</w:t>
            </w:r>
          </w:p>
        </w:tc>
        <w:tc>
          <w:tcPr>
            <w:tcW w:w="455" w:type="pct"/>
            <w:vAlign w:val="center"/>
            <w:hideMark/>
          </w:tcPr>
          <w:p w14:paraId="3269E5FC"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23A8B1FD"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19C10EA7"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181E8D5D" w14:textId="77777777" w:rsidTr="00597597">
        <w:trPr>
          <w:trHeight w:val="330"/>
        </w:trPr>
        <w:tc>
          <w:tcPr>
            <w:tcW w:w="742" w:type="pct"/>
            <w:vMerge w:val="restart"/>
            <w:vAlign w:val="center"/>
            <w:hideMark/>
          </w:tcPr>
          <w:p w14:paraId="4754DEAF"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759" w:type="pct"/>
            <w:vAlign w:val="center"/>
            <w:hideMark/>
          </w:tcPr>
          <w:p w14:paraId="1DEFC9A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1318AD1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13.205</w:t>
            </w:r>
          </w:p>
        </w:tc>
        <w:tc>
          <w:tcPr>
            <w:tcW w:w="339" w:type="pct"/>
            <w:vAlign w:val="center"/>
            <w:hideMark/>
          </w:tcPr>
          <w:p w14:paraId="34B6256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698" w:type="pct"/>
            <w:vAlign w:val="center"/>
            <w:hideMark/>
          </w:tcPr>
          <w:p w14:paraId="4AC4A6A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4.402</w:t>
            </w:r>
          </w:p>
        </w:tc>
        <w:tc>
          <w:tcPr>
            <w:tcW w:w="455" w:type="pct"/>
            <w:vAlign w:val="center"/>
            <w:hideMark/>
          </w:tcPr>
          <w:p w14:paraId="753AE34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4.647</w:t>
            </w:r>
          </w:p>
        </w:tc>
        <w:tc>
          <w:tcPr>
            <w:tcW w:w="804" w:type="pct"/>
            <w:vAlign w:val="center"/>
            <w:hideMark/>
          </w:tcPr>
          <w:p w14:paraId="6F2F2AD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0.003</w:t>
            </w:r>
          </w:p>
        </w:tc>
        <w:tc>
          <w:tcPr>
            <w:tcW w:w="459" w:type="pct"/>
            <w:vMerge w:val="restart"/>
            <w:vAlign w:val="center"/>
            <w:hideMark/>
          </w:tcPr>
          <w:p w14:paraId="7F8B253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72372D88" w14:textId="77777777" w:rsidTr="00597597">
        <w:trPr>
          <w:trHeight w:val="330"/>
        </w:trPr>
        <w:tc>
          <w:tcPr>
            <w:tcW w:w="742" w:type="pct"/>
            <w:vMerge/>
            <w:vAlign w:val="center"/>
            <w:hideMark/>
          </w:tcPr>
          <w:p w14:paraId="6721E40D"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1A36BA9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409FF91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359.927</w:t>
            </w:r>
          </w:p>
        </w:tc>
        <w:tc>
          <w:tcPr>
            <w:tcW w:w="339" w:type="pct"/>
            <w:vAlign w:val="center"/>
            <w:hideMark/>
          </w:tcPr>
          <w:p w14:paraId="542475F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698" w:type="pct"/>
            <w:vAlign w:val="center"/>
            <w:hideMark/>
          </w:tcPr>
          <w:p w14:paraId="15CF94C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0.947</w:t>
            </w:r>
          </w:p>
        </w:tc>
        <w:tc>
          <w:tcPr>
            <w:tcW w:w="455" w:type="pct"/>
            <w:vAlign w:val="center"/>
            <w:hideMark/>
          </w:tcPr>
          <w:p w14:paraId="578B414D"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14550ADB"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1D8E2BE8" w14:textId="77777777" w:rsidR="001D3D5D" w:rsidRPr="00B322FF" w:rsidRDefault="001D3D5D" w:rsidP="00B527E5">
            <w:pPr>
              <w:jc w:val="center"/>
              <w:rPr>
                <w:rFonts w:ascii="Simplified Arabic" w:eastAsia="Times New Roman" w:hAnsi="Simplified Arabic" w:cs="Simplified Arabic"/>
              </w:rPr>
            </w:pPr>
          </w:p>
        </w:tc>
      </w:tr>
    </w:tbl>
    <w:p w14:paraId="49DABAD5" w14:textId="77777777" w:rsidR="00A61A27" w:rsidRPr="001F421D" w:rsidRDefault="0089331B" w:rsidP="001F421D">
      <w:pPr>
        <w:spacing w:before="40" w:after="120"/>
        <w:rPr>
          <w:rFonts w:ascii="Simplified Arabic" w:hAnsi="Simplified Arabic" w:cs="Simplified Arabic"/>
          <w:i/>
          <w:sz w:val="22"/>
          <w:szCs w:val="22"/>
        </w:rPr>
      </w:pPr>
      <w:r w:rsidRPr="001F421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673E63F4" w14:textId="77777777" w:rsidR="001D3D5D" w:rsidRPr="00B322FF" w:rsidRDefault="001D3D5D" w:rsidP="00B527E5">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يتضح من الجدول (</w:t>
      </w:r>
      <w:r w:rsidR="00340FA8">
        <w:rPr>
          <w:rFonts w:ascii="Simplified Arabic" w:hAnsi="Simplified Arabic" w:cs="Simplified Arabic" w:hint="cs"/>
          <w:sz w:val="28"/>
          <w:szCs w:val="28"/>
          <w:rtl/>
        </w:rPr>
        <w:t>٤-٩</w:t>
      </w:r>
      <w:r w:rsidRPr="00B322FF">
        <w:rPr>
          <w:rFonts w:ascii="Simplified Arabic" w:hAnsi="Simplified Arabic" w:cs="Simplified Arabic" w:hint="cs"/>
          <w:sz w:val="28"/>
          <w:szCs w:val="28"/>
          <w:rtl/>
        </w:rPr>
        <w:t xml:space="preserve">) ما يلي: </w:t>
      </w:r>
    </w:p>
    <w:p w14:paraId="5F8D7B07"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محوري التحول الصحي وبيئة العمل النفسية: تشير النتائج إلى عدم وجود فروق تعزى لمتغير العمر (</w:t>
      </w:r>
      <w:r w:rsidRPr="00B322FF">
        <w:rPr>
          <w:rFonts w:ascii="Simplified Arabic" w:eastAsia="Times New Roman" w:hAnsi="Simplified Arabic" w:cs="Simplified Arabic" w:hint="cs"/>
          <w:sz w:val="28"/>
          <w:szCs w:val="28"/>
        </w:rPr>
        <w:t>Sig</w:t>
      </w:r>
      <w:r w:rsidRPr="00B322FF">
        <w:rPr>
          <w:rFonts w:ascii="Simplified Arabic" w:eastAsia="Times New Roman" w:hAnsi="Simplified Arabic" w:cs="Simplified Arabic" w:hint="cs"/>
          <w:sz w:val="28"/>
          <w:szCs w:val="28"/>
          <w:rtl/>
        </w:rPr>
        <w:t xml:space="preserve"> &gt; 0.05). وهذا يعكس تجانساً في رؤية الموظفين لهذه العوامل بغض النظر عن فئاتهم العمرية.</w:t>
      </w:r>
    </w:p>
    <w:p w14:paraId="51B5B141"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محور رفاهية الموظفين: كشفت النتائج عن وجود فروق ذات دلالة إحصائية (</w:t>
      </w:r>
      <w:r w:rsidRPr="00B322FF">
        <w:rPr>
          <w:rFonts w:ascii="Simplified Arabic" w:eastAsia="Times New Roman" w:hAnsi="Simplified Arabic" w:cs="Simplified Arabic" w:hint="cs"/>
          <w:sz w:val="28"/>
          <w:szCs w:val="28"/>
        </w:rPr>
        <w:t>Sig = 0.027</w:t>
      </w:r>
      <w:r w:rsidRPr="00B322FF">
        <w:rPr>
          <w:rFonts w:ascii="Simplified Arabic" w:eastAsia="Times New Roman" w:hAnsi="Simplified Arabic" w:cs="Simplified Arabic" w:hint="cs"/>
          <w:sz w:val="28"/>
          <w:szCs w:val="28"/>
          <w:rtl/>
        </w:rPr>
        <w:t>)، مما يثبت أن العمر يلعب دوراً مؤثراً في مستوى الرفاهية المدرك وتوقعاته.</w:t>
      </w:r>
    </w:p>
    <w:p w14:paraId="425DF22A"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محور الاحتراق الوظيفي: أظهرت النتائج وجود فروق عالية الدلالة (</w:t>
      </w:r>
      <w:r w:rsidRPr="00B322FF">
        <w:rPr>
          <w:rFonts w:ascii="Simplified Arabic" w:eastAsia="Times New Roman" w:hAnsi="Simplified Arabic" w:cs="Simplified Arabic" w:hint="cs"/>
          <w:sz w:val="28"/>
          <w:szCs w:val="28"/>
        </w:rPr>
        <w:t>Sig = 0.003</w:t>
      </w:r>
      <w:r w:rsidRPr="00B322FF">
        <w:rPr>
          <w:rFonts w:ascii="Simplified Arabic" w:eastAsia="Times New Roman" w:hAnsi="Simplified Arabic" w:cs="Simplified Arabic" w:hint="cs"/>
          <w:sz w:val="28"/>
          <w:szCs w:val="28"/>
          <w:rtl/>
        </w:rPr>
        <w:t>)، مما يؤكد أن المرحلة العمرية تعد عاملاً حاسماً في تحديد مدى التعرض لضغوط الاحتراق الوظيفي.</w:t>
      </w:r>
    </w:p>
    <w:p w14:paraId="29201026"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بناءً على ما تقدم، يتبين وجود اختلاف جوهري في مستويات رفاهية الموظفين والاحتراق الوظيفي باختلاف الفئات العمرية، بينما لا تختلف استجابات الموظفين لمحوري التحول الصحي وبيئة العمل النفسية باختلاف أعمارهم.</w:t>
      </w:r>
    </w:p>
    <w:p w14:paraId="4E1841F1"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سنوات الخبرة</w:t>
      </w:r>
    </w:p>
    <w:p w14:paraId="13A6A6FA"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للتحقق من وجود فروق ذات دلالة إحصائية بين متوسطات استجابات الفئات الثلاث (أقل من 5 سنوات، 5-10 سنوات، أكثر من 10 سنوات)، تم استخدام تحليل التباين الأحادي (</w:t>
      </w:r>
      <w:r w:rsidRPr="00B322FF">
        <w:rPr>
          <w:rFonts w:ascii="Simplified Arabic" w:hAnsi="Simplified Arabic" w:cs="Simplified Arabic" w:hint="cs"/>
          <w:sz w:val="28"/>
          <w:szCs w:val="28"/>
          <w:lang w:bidi="ar-YE"/>
        </w:rPr>
        <w:t>One-Way ANOVA</w:t>
      </w:r>
      <w:r w:rsidRPr="00B322FF">
        <w:rPr>
          <w:rFonts w:ascii="Simplified Arabic" w:hAnsi="Simplified Arabic" w:cs="Simplified Arabic" w:hint="cs"/>
          <w:sz w:val="28"/>
          <w:szCs w:val="28"/>
          <w:rtl/>
        </w:rPr>
        <w:t>). يوضح الجدول التالي النتائج المستخلصة:</w:t>
      </w:r>
    </w:p>
    <w:p w14:paraId="7B6071ED"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340FA8">
        <w:rPr>
          <w:rFonts w:ascii="Simplified Arabic" w:hAnsi="Simplified Arabic" w:cs="Simplified Arabic" w:hint="cs"/>
          <w:b/>
          <w:bCs/>
          <w:kern w:val="2"/>
          <w:rtl/>
          <w14:ligatures w14:val="standardContextual"/>
        </w:rPr>
        <w:t>٤-١٠</w:t>
      </w:r>
      <w:r w:rsidRPr="00B322FF">
        <w:rPr>
          <w:rFonts w:ascii="Simplified Arabic" w:hAnsi="Simplified Arabic" w:cs="Simplified Arabic" w:hint="cs"/>
          <w:b/>
          <w:bCs/>
          <w:kern w:val="2"/>
          <w:rtl/>
          <w14:ligatures w14:val="standardContextual"/>
        </w:rPr>
        <w:t>): نتائج تحليل التباين الأحادي للفروق وفقاً لسنوات الخبرة</w:t>
      </w:r>
    </w:p>
    <w:tbl>
      <w:tblPr>
        <w:tblStyle w:val="af"/>
        <w:bidiVisual/>
        <w:tblW w:w="5000" w:type="pct"/>
        <w:tblLook w:val="04A0" w:firstRow="1" w:lastRow="0" w:firstColumn="1" w:lastColumn="0" w:noHBand="0" w:noVBand="1"/>
      </w:tblPr>
      <w:tblGrid>
        <w:gridCol w:w="1321"/>
        <w:gridCol w:w="1383"/>
        <w:gridCol w:w="1361"/>
        <w:gridCol w:w="611"/>
        <w:gridCol w:w="1284"/>
        <w:gridCol w:w="820"/>
        <w:gridCol w:w="1421"/>
        <w:gridCol w:w="815"/>
      </w:tblGrid>
      <w:tr w:rsidR="001D3D5D" w:rsidRPr="00B322FF" w14:paraId="55456430" w14:textId="77777777" w:rsidTr="00597597">
        <w:trPr>
          <w:trHeight w:val="330"/>
        </w:trPr>
        <w:tc>
          <w:tcPr>
            <w:tcW w:w="732" w:type="pct"/>
            <w:vAlign w:val="center"/>
            <w:hideMark/>
          </w:tcPr>
          <w:p w14:paraId="3DFF7846"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767" w:type="pct"/>
            <w:vAlign w:val="center"/>
            <w:hideMark/>
          </w:tcPr>
          <w:p w14:paraId="0CB5F3EB"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مصدر التباين</w:t>
            </w:r>
          </w:p>
        </w:tc>
        <w:tc>
          <w:tcPr>
            <w:tcW w:w="755" w:type="pct"/>
            <w:vAlign w:val="center"/>
            <w:hideMark/>
          </w:tcPr>
          <w:p w14:paraId="3B5B33B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مجموع المربعات</w:t>
            </w:r>
          </w:p>
        </w:tc>
        <w:tc>
          <w:tcPr>
            <w:tcW w:w="339" w:type="pct"/>
            <w:vAlign w:val="center"/>
            <w:hideMark/>
          </w:tcPr>
          <w:p w14:paraId="34DC004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df</w:t>
            </w:r>
          </w:p>
        </w:tc>
        <w:tc>
          <w:tcPr>
            <w:tcW w:w="712" w:type="pct"/>
            <w:vAlign w:val="center"/>
            <w:hideMark/>
          </w:tcPr>
          <w:p w14:paraId="77033C8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متوسط المربعات</w:t>
            </w:r>
          </w:p>
        </w:tc>
        <w:tc>
          <w:tcPr>
            <w:tcW w:w="455" w:type="pct"/>
            <w:vAlign w:val="center"/>
            <w:hideMark/>
          </w:tcPr>
          <w:p w14:paraId="523591E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F</w:t>
            </w:r>
          </w:p>
        </w:tc>
        <w:tc>
          <w:tcPr>
            <w:tcW w:w="788" w:type="pct"/>
            <w:vAlign w:val="center"/>
            <w:hideMark/>
          </w:tcPr>
          <w:p w14:paraId="6C2B582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52" w:type="pct"/>
            <w:vAlign w:val="center"/>
            <w:hideMark/>
          </w:tcPr>
          <w:p w14:paraId="55E1DF6E"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5E65A867" w14:textId="77777777" w:rsidTr="00597597">
        <w:trPr>
          <w:trHeight w:val="330"/>
        </w:trPr>
        <w:tc>
          <w:tcPr>
            <w:tcW w:w="732" w:type="pct"/>
            <w:vMerge w:val="restart"/>
            <w:vAlign w:val="center"/>
            <w:hideMark/>
          </w:tcPr>
          <w:p w14:paraId="62216E7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767" w:type="pct"/>
            <w:vAlign w:val="center"/>
            <w:hideMark/>
          </w:tcPr>
          <w:p w14:paraId="37987E3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55" w:type="pct"/>
            <w:vAlign w:val="center"/>
            <w:hideMark/>
          </w:tcPr>
          <w:p w14:paraId="702EBE6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2.045</w:t>
            </w:r>
          </w:p>
        </w:tc>
        <w:tc>
          <w:tcPr>
            <w:tcW w:w="339" w:type="pct"/>
            <w:vAlign w:val="center"/>
            <w:hideMark/>
          </w:tcPr>
          <w:p w14:paraId="4C4C292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712" w:type="pct"/>
            <w:vAlign w:val="center"/>
            <w:hideMark/>
          </w:tcPr>
          <w:p w14:paraId="20D370A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1.023</w:t>
            </w:r>
          </w:p>
        </w:tc>
        <w:tc>
          <w:tcPr>
            <w:tcW w:w="455" w:type="pct"/>
            <w:vAlign w:val="center"/>
            <w:hideMark/>
          </w:tcPr>
          <w:p w14:paraId="6A953B9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1.479</w:t>
            </w:r>
          </w:p>
        </w:tc>
        <w:tc>
          <w:tcPr>
            <w:tcW w:w="788" w:type="pct"/>
            <w:vAlign w:val="center"/>
            <w:hideMark/>
          </w:tcPr>
          <w:p w14:paraId="7A1CCF6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0.229</w:t>
            </w:r>
          </w:p>
        </w:tc>
        <w:tc>
          <w:tcPr>
            <w:tcW w:w="452" w:type="pct"/>
            <w:vMerge w:val="restart"/>
            <w:vAlign w:val="center"/>
            <w:hideMark/>
          </w:tcPr>
          <w:p w14:paraId="3E4E56D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13B7D6FB" w14:textId="77777777" w:rsidTr="00597597">
        <w:trPr>
          <w:trHeight w:val="330"/>
        </w:trPr>
        <w:tc>
          <w:tcPr>
            <w:tcW w:w="732" w:type="pct"/>
            <w:vMerge/>
            <w:vAlign w:val="center"/>
            <w:hideMark/>
          </w:tcPr>
          <w:p w14:paraId="7CFA69C1" w14:textId="77777777" w:rsidR="001D3D5D" w:rsidRPr="00B322FF" w:rsidRDefault="001D3D5D" w:rsidP="00B527E5">
            <w:pPr>
              <w:jc w:val="center"/>
              <w:rPr>
                <w:rFonts w:ascii="Simplified Arabic" w:eastAsia="Times New Roman" w:hAnsi="Simplified Arabic" w:cs="Simplified Arabic"/>
                <w:b/>
                <w:bCs/>
              </w:rPr>
            </w:pPr>
          </w:p>
        </w:tc>
        <w:tc>
          <w:tcPr>
            <w:tcW w:w="767" w:type="pct"/>
            <w:vAlign w:val="center"/>
            <w:hideMark/>
          </w:tcPr>
          <w:p w14:paraId="2DB8185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55" w:type="pct"/>
            <w:vAlign w:val="center"/>
            <w:hideMark/>
          </w:tcPr>
          <w:p w14:paraId="0A8B560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263.462</w:t>
            </w:r>
          </w:p>
        </w:tc>
        <w:tc>
          <w:tcPr>
            <w:tcW w:w="339" w:type="pct"/>
            <w:vAlign w:val="center"/>
            <w:hideMark/>
          </w:tcPr>
          <w:p w14:paraId="1E6FB41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712" w:type="pct"/>
            <w:vAlign w:val="center"/>
            <w:hideMark/>
          </w:tcPr>
          <w:p w14:paraId="3E5BB72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0.692</w:t>
            </w:r>
          </w:p>
        </w:tc>
        <w:tc>
          <w:tcPr>
            <w:tcW w:w="455" w:type="pct"/>
            <w:vAlign w:val="center"/>
            <w:hideMark/>
          </w:tcPr>
          <w:p w14:paraId="5F8D6DB7"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4FB6E191" w14:textId="77777777" w:rsidR="001D3D5D" w:rsidRPr="00B322FF" w:rsidRDefault="001D3D5D" w:rsidP="00B527E5">
            <w:pPr>
              <w:jc w:val="center"/>
              <w:rPr>
                <w:rFonts w:ascii="Simplified Arabic" w:eastAsia="Times New Roman" w:hAnsi="Simplified Arabic" w:cs="Simplified Arabic"/>
              </w:rPr>
            </w:pPr>
          </w:p>
        </w:tc>
        <w:tc>
          <w:tcPr>
            <w:tcW w:w="452" w:type="pct"/>
            <w:vMerge/>
            <w:vAlign w:val="center"/>
            <w:hideMark/>
          </w:tcPr>
          <w:p w14:paraId="35F85A95"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7E8217B8" w14:textId="77777777" w:rsidTr="00597597">
        <w:trPr>
          <w:trHeight w:val="330"/>
        </w:trPr>
        <w:tc>
          <w:tcPr>
            <w:tcW w:w="732" w:type="pct"/>
            <w:vMerge w:val="restart"/>
            <w:vAlign w:val="center"/>
            <w:hideMark/>
          </w:tcPr>
          <w:p w14:paraId="0EBF0E4A"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767" w:type="pct"/>
            <w:vAlign w:val="center"/>
            <w:hideMark/>
          </w:tcPr>
          <w:p w14:paraId="5293DBB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55" w:type="pct"/>
            <w:vAlign w:val="center"/>
            <w:hideMark/>
          </w:tcPr>
          <w:p w14:paraId="0D60C31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4.988</w:t>
            </w:r>
          </w:p>
        </w:tc>
        <w:tc>
          <w:tcPr>
            <w:tcW w:w="339" w:type="pct"/>
            <w:vAlign w:val="center"/>
            <w:hideMark/>
          </w:tcPr>
          <w:p w14:paraId="5429FBE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712" w:type="pct"/>
            <w:vAlign w:val="center"/>
            <w:hideMark/>
          </w:tcPr>
          <w:p w14:paraId="69B110D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2.494</w:t>
            </w:r>
          </w:p>
        </w:tc>
        <w:tc>
          <w:tcPr>
            <w:tcW w:w="455" w:type="pct"/>
            <w:vAlign w:val="center"/>
            <w:hideMark/>
          </w:tcPr>
          <w:p w14:paraId="48DF54E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3.134</w:t>
            </w:r>
          </w:p>
        </w:tc>
        <w:tc>
          <w:tcPr>
            <w:tcW w:w="788" w:type="pct"/>
            <w:vAlign w:val="center"/>
            <w:hideMark/>
          </w:tcPr>
          <w:p w14:paraId="3ACA05F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0.045</w:t>
            </w:r>
          </w:p>
        </w:tc>
        <w:tc>
          <w:tcPr>
            <w:tcW w:w="452" w:type="pct"/>
            <w:vMerge w:val="restart"/>
            <w:vAlign w:val="center"/>
            <w:hideMark/>
          </w:tcPr>
          <w:p w14:paraId="735427A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4F6E47D9" w14:textId="77777777" w:rsidTr="00597597">
        <w:trPr>
          <w:trHeight w:val="330"/>
        </w:trPr>
        <w:tc>
          <w:tcPr>
            <w:tcW w:w="732" w:type="pct"/>
            <w:vMerge/>
            <w:vAlign w:val="center"/>
            <w:hideMark/>
          </w:tcPr>
          <w:p w14:paraId="5FD4D6D1" w14:textId="77777777" w:rsidR="001D3D5D" w:rsidRPr="00B322FF" w:rsidRDefault="001D3D5D" w:rsidP="00B527E5">
            <w:pPr>
              <w:jc w:val="center"/>
              <w:rPr>
                <w:rFonts w:ascii="Simplified Arabic" w:eastAsia="Times New Roman" w:hAnsi="Simplified Arabic" w:cs="Simplified Arabic"/>
                <w:b/>
                <w:bCs/>
              </w:rPr>
            </w:pPr>
          </w:p>
        </w:tc>
        <w:tc>
          <w:tcPr>
            <w:tcW w:w="767" w:type="pct"/>
            <w:vAlign w:val="center"/>
            <w:hideMark/>
          </w:tcPr>
          <w:p w14:paraId="0341FC3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55" w:type="pct"/>
            <w:vAlign w:val="center"/>
            <w:hideMark/>
          </w:tcPr>
          <w:p w14:paraId="1574F61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303.243</w:t>
            </w:r>
          </w:p>
        </w:tc>
        <w:tc>
          <w:tcPr>
            <w:tcW w:w="339" w:type="pct"/>
            <w:vAlign w:val="center"/>
            <w:hideMark/>
          </w:tcPr>
          <w:p w14:paraId="43108CD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712" w:type="pct"/>
            <w:vAlign w:val="center"/>
            <w:hideMark/>
          </w:tcPr>
          <w:p w14:paraId="6CF9154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0.796</w:t>
            </w:r>
          </w:p>
        </w:tc>
        <w:tc>
          <w:tcPr>
            <w:tcW w:w="455" w:type="pct"/>
            <w:vAlign w:val="center"/>
            <w:hideMark/>
          </w:tcPr>
          <w:p w14:paraId="2AB370C9"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40FA96E0" w14:textId="77777777" w:rsidR="001D3D5D" w:rsidRPr="00B322FF" w:rsidRDefault="001D3D5D" w:rsidP="00B527E5">
            <w:pPr>
              <w:jc w:val="center"/>
              <w:rPr>
                <w:rFonts w:ascii="Simplified Arabic" w:eastAsia="Times New Roman" w:hAnsi="Simplified Arabic" w:cs="Simplified Arabic"/>
              </w:rPr>
            </w:pPr>
          </w:p>
        </w:tc>
        <w:tc>
          <w:tcPr>
            <w:tcW w:w="452" w:type="pct"/>
            <w:vMerge/>
            <w:vAlign w:val="center"/>
            <w:hideMark/>
          </w:tcPr>
          <w:p w14:paraId="687AF0A1"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54EF9301" w14:textId="77777777" w:rsidTr="00597597">
        <w:trPr>
          <w:trHeight w:val="330"/>
        </w:trPr>
        <w:tc>
          <w:tcPr>
            <w:tcW w:w="732" w:type="pct"/>
            <w:vMerge w:val="restart"/>
            <w:vAlign w:val="center"/>
            <w:hideMark/>
          </w:tcPr>
          <w:p w14:paraId="54C7373B"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767" w:type="pct"/>
            <w:vAlign w:val="center"/>
            <w:hideMark/>
          </w:tcPr>
          <w:p w14:paraId="799EC5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55" w:type="pct"/>
            <w:vAlign w:val="center"/>
            <w:hideMark/>
          </w:tcPr>
          <w:p w14:paraId="5B151F2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5.725</w:t>
            </w:r>
          </w:p>
        </w:tc>
        <w:tc>
          <w:tcPr>
            <w:tcW w:w="339" w:type="pct"/>
            <w:vAlign w:val="center"/>
            <w:hideMark/>
          </w:tcPr>
          <w:p w14:paraId="545820A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712" w:type="pct"/>
            <w:vAlign w:val="center"/>
            <w:hideMark/>
          </w:tcPr>
          <w:p w14:paraId="53E9CDE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2.863</w:t>
            </w:r>
          </w:p>
        </w:tc>
        <w:tc>
          <w:tcPr>
            <w:tcW w:w="455" w:type="pct"/>
            <w:vAlign w:val="center"/>
            <w:hideMark/>
          </w:tcPr>
          <w:p w14:paraId="4B8D274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4.118</w:t>
            </w:r>
          </w:p>
        </w:tc>
        <w:tc>
          <w:tcPr>
            <w:tcW w:w="788" w:type="pct"/>
            <w:vAlign w:val="center"/>
            <w:hideMark/>
          </w:tcPr>
          <w:p w14:paraId="0129B60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0.017</w:t>
            </w:r>
          </w:p>
        </w:tc>
        <w:tc>
          <w:tcPr>
            <w:tcW w:w="452" w:type="pct"/>
            <w:vMerge w:val="restart"/>
            <w:vAlign w:val="center"/>
            <w:hideMark/>
          </w:tcPr>
          <w:p w14:paraId="3837EF9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1BF61F6A" w14:textId="77777777" w:rsidTr="00597597">
        <w:trPr>
          <w:trHeight w:val="330"/>
        </w:trPr>
        <w:tc>
          <w:tcPr>
            <w:tcW w:w="732" w:type="pct"/>
            <w:vMerge/>
            <w:vAlign w:val="center"/>
            <w:hideMark/>
          </w:tcPr>
          <w:p w14:paraId="05E76B2D" w14:textId="77777777" w:rsidR="001D3D5D" w:rsidRPr="00B322FF" w:rsidRDefault="001D3D5D" w:rsidP="00B527E5">
            <w:pPr>
              <w:jc w:val="center"/>
              <w:rPr>
                <w:rFonts w:ascii="Simplified Arabic" w:eastAsia="Times New Roman" w:hAnsi="Simplified Arabic" w:cs="Simplified Arabic"/>
                <w:b/>
                <w:bCs/>
              </w:rPr>
            </w:pPr>
          </w:p>
        </w:tc>
        <w:tc>
          <w:tcPr>
            <w:tcW w:w="767" w:type="pct"/>
            <w:vAlign w:val="center"/>
            <w:hideMark/>
          </w:tcPr>
          <w:p w14:paraId="1A0760B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55" w:type="pct"/>
            <w:vAlign w:val="center"/>
            <w:hideMark/>
          </w:tcPr>
          <w:p w14:paraId="2815E4E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264.852</w:t>
            </w:r>
          </w:p>
        </w:tc>
        <w:tc>
          <w:tcPr>
            <w:tcW w:w="339" w:type="pct"/>
            <w:vAlign w:val="center"/>
            <w:hideMark/>
          </w:tcPr>
          <w:p w14:paraId="6AFB7A5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712" w:type="pct"/>
            <w:vAlign w:val="center"/>
            <w:hideMark/>
          </w:tcPr>
          <w:p w14:paraId="4C9212B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0.695</w:t>
            </w:r>
          </w:p>
        </w:tc>
        <w:tc>
          <w:tcPr>
            <w:tcW w:w="455" w:type="pct"/>
            <w:vAlign w:val="center"/>
            <w:hideMark/>
          </w:tcPr>
          <w:p w14:paraId="1AE48A30"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4C962482" w14:textId="77777777" w:rsidR="001D3D5D" w:rsidRPr="00B322FF" w:rsidRDefault="001D3D5D" w:rsidP="00B527E5">
            <w:pPr>
              <w:jc w:val="center"/>
              <w:rPr>
                <w:rFonts w:ascii="Simplified Arabic" w:eastAsia="Times New Roman" w:hAnsi="Simplified Arabic" w:cs="Simplified Arabic"/>
              </w:rPr>
            </w:pPr>
          </w:p>
        </w:tc>
        <w:tc>
          <w:tcPr>
            <w:tcW w:w="452" w:type="pct"/>
            <w:vMerge/>
            <w:vAlign w:val="center"/>
            <w:hideMark/>
          </w:tcPr>
          <w:p w14:paraId="37037D99"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720D6CC1" w14:textId="77777777" w:rsidTr="00597597">
        <w:trPr>
          <w:trHeight w:val="330"/>
        </w:trPr>
        <w:tc>
          <w:tcPr>
            <w:tcW w:w="732" w:type="pct"/>
            <w:vMerge w:val="restart"/>
            <w:vAlign w:val="center"/>
            <w:hideMark/>
          </w:tcPr>
          <w:p w14:paraId="4C1FEE43"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767" w:type="pct"/>
            <w:vAlign w:val="center"/>
            <w:hideMark/>
          </w:tcPr>
          <w:p w14:paraId="0004687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55" w:type="pct"/>
            <w:vAlign w:val="center"/>
            <w:hideMark/>
          </w:tcPr>
          <w:p w14:paraId="44296FA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5.391</w:t>
            </w:r>
          </w:p>
        </w:tc>
        <w:tc>
          <w:tcPr>
            <w:tcW w:w="339" w:type="pct"/>
            <w:vAlign w:val="center"/>
            <w:hideMark/>
          </w:tcPr>
          <w:p w14:paraId="04AE521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712" w:type="pct"/>
            <w:vAlign w:val="center"/>
            <w:hideMark/>
          </w:tcPr>
          <w:p w14:paraId="2E90D31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2.695</w:t>
            </w:r>
          </w:p>
        </w:tc>
        <w:tc>
          <w:tcPr>
            <w:tcW w:w="455" w:type="pct"/>
            <w:vAlign w:val="center"/>
            <w:hideMark/>
          </w:tcPr>
          <w:p w14:paraId="04FEE7C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2.793</w:t>
            </w:r>
          </w:p>
        </w:tc>
        <w:tc>
          <w:tcPr>
            <w:tcW w:w="788" w:type="pct"/>
            <w:vAlign w:val="center"/>
            <w:hideMark/>
          </w:tcPr>
          <w:p w14:paraId="420FAA7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0.063</w:t>
            </w:r>
          </w:p>
        </w:tc>
        <w:tc>
          <w:tcPr>
            <w:tcW w:w="452" w:type="pct"/>
            <w:vMerge w:val="restart"/>
            <w:vAlign w:val="center"/>
            <w:hideMark/>
          </w:tcPr>
          <w:p w14:paraId="6E0C89C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4B65AE85" w14:textId="77777777" w:rsidTr="00597597">
        <w:trPr>
          <w:trHeight w:val="330"/>
        </w:trPr>
        <w:tc>
          <w:tcPr>
            <w:tcW w:w="732" w:type="pct"/>
            <w:vMerge/>
            <w:vAlign w:val="center"/>
            <w:hideMark/>
          </w:tcPr>
          <w:p w14:paraId="0812186F" w14:textId="77777777" w:rsidR="001D3D5D" w:rsidRPr="00B322FF" w:rsidRDefault="001D3D5D" w:rsidP="00B527E5">
            <w:pPr>
              <w:jc w:val="center"/>
              <w:rPr>
                <w:rFonts w:ascii="Simplified Arabic" w:eastAsia="Times New Roman" w:hAnsi="Simplified Arabic" w:cs="Simplified Arabic"/>
                <w:b/>
                <w:bCs/>
              </w:rPr>
            </w:pPr>
          </w:p>
        </w:tc>
        <w:tc>
          <w:tcPr>
            <w:tcW w:w="767" w:type="pct"/>
            <w:vAlign w:val="center"/>
            <w:hideMark/>
          </w:tcPr>
          <w:p w14:paraId="3940189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55" w:type="pct"/>
            <w:vAlign w:val="center"/>
            <w:hideMark/>
          </w:tcPr>
          <w:p w14:paraId="6AFC308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367.741</w:t>
            </w:r>
          </w:p>
        </w:tc>
        <w:tc>
          <w:tcPr>
            <w:tcW w:w="339" w:type="pct"/>
            <w:vAlign w:val="center"/>
            <w:hideMark/>
          </w:tcPr>
          <w:p w14:paraId="67DE4C1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712" w:type="pct"/>
            <w:vAlign w:val="center"/>
            <w:hideMark/>
          </w:tcPr>
          <w:p w14:paraId="5619C5E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0.965</w:t>
            </w:r>
          </w:p>
        </w:tc>
        <w:tc>
          <w:tcPr>
            <w:tcW w:w="455" w:type="pct"/>
            <w:vAlign w:val="center"/>
            <w:hideMark/>
          </w:tcPr>
          <w:p w14:paraId="35C91311"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7DED5434" w14:textId="77777777" w:rsidR="001D3D5D" w:rsidRPr="00B322FF" w:rsidRDefault="001D3D5D" w:rsidP="00B527E5">
            <w:pPr>
              <w:jc w:val="center"/>
              <w:rPr>
                <w:rFonts w:ascii="Simplified Arabic" w:eastAsia="Times New Roman" w:hAnsi="Simplified Arabic" w:cs="Simplified Arabic"/>
              </w:rPr>
            </w:pPr>
          </w:p>
        </w:tc>
        <w:tc>
          <w:tcPr>
            <w:tcW w:w="452" w:type="pct"/>
            <w:vMerge/>
            <w:vAlign w:val="center"/>
            <w:hideMark/>
          </w:tcPr>
          <w:p w14:paraId="14C457B6" w14:textId="77777777" w:rsidR="001D3D5D" w:rsidRPr="00B322FF" w:rsidRDefault="001D3D5D" w:rsidP="00B527E5">
            <w:pPr>
              <w:jc w:val="center"/>
              <w:rPr>
                <w:rFonts w:ascii="Simplified Arabic" w:eastAsia="Times New Roman" w:hAnsi="Simplified Arabic" w:cs="Simplified Arabic"/>
              </w:rPr>
            </w:pPr>
          </w:p>
        </w:tc>
      </w:tr>
    </w:tbl>
    <w:p w14:paraId="16E4F026" w14:textId="77777777" w:rsidR="00A61A27" w:rsidRPr="001F421D" w:rsidRDefault="0089331B" w:rsidP="001F421D">
      <w:pPr>
        <w:spacing w:before="40" w:after="120"/>
        <w:rPr>
          <w:rFonts w:ascii="Simplified Arabic" w:hAnsi="Simplified Arabic" w:cs="Simplified Arabic"/>
          <w:i/>
          <w:sz w:val="22"/>
          <w:szCs w:val="22"/>
        </w:rPr>
      </w:pPr>
      <w:r w:rsidRPr="001F421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67DD8E63"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ascii="Simplified Arabic" w:hAnsi="Simplified Arabic" w:cs="Simplified Arabic" w:hint="cs"/>
          <w:sz w:val="28"/>
          <w:szCs w:val="28"/>
          <w:rtl/>
        </w:rPr>
        <w:t>يتضح من الجدول (</w:t>
      </w:r>
      <w:r w:rsidR="004240E1">
        <w:rPr>
          <w:rFonts w:ascii="Simplified Arabic" w:hAnsi="Simplified Arabic" w:cs="Simplified Arabic" w:hint="cs"/>
          <w:sz w:val="28"/>
          <w:szCs w:val="28"/>
          <w:rtl/>
        </w:rPr>
        <w:t>٤-١٠</w:t>
      </w:r>
      <w:r w:rsidRPr="00B322FF">
        <w:rPr>
          <w:rFonts w:ascii="Simplified Arabic" w:hAnsi="Simplified Arabic" w:cs="Simplified Arabic" w:hint="cs"/>
          <w:sz w:val="28"/>
          <w:szCs w:val="28"/>
          <w:rtl/>
        </w:rPr>
        <w:t xml:space="preserve">) ما يلي: </w:t>
      </w:r>
    </w:p>
    <w:p w14:paraId="39AC48BA"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التحول الصحي و الاحتراق الوظيفي: تشير النتائج لعدم وجود فروق دالة إحصائياً (</w:t>
      </w:r>
      <w:r w:rsidRPr="00B322FF">
        <w:rPr>
          <w:rFonts w:ascii="Simplified Arabic" w:eastAsia="Times New Roman" w:hAnsi="Simplified Arabic" w:cs="Simplified Arabic" w:hint="cs"/>
          <w:sz w:val="28"/>
          <w:szCs w:val="28"/>
        </w:rPr>
        <w:t>Sig</w:t>
      </w:r>
      <w:r w:rsidRPr="00B322FF">
        <w:rPr>
          <w:rFonts w:ascii="Simplified Arabic" w:eastAsia="Times New Roman" w:hAnsi="Simplified Arabic" w:cs="Simplified Arabic" w:hint="cs"/>
          <w:sz w:val="28"/>
          <w:szCs w:val="28"/>
          <w:rtl/>
        </w:rPr>
        <w:t xml:space="preserve"> &gt; 0.05)، مما يعني أن جميع الكوادر يدركون التحول ويختبرون الضغوط بشكل متقارب بغض النظر عن طول مسيرتهم المهنية.</w:t>
      </w:r>
    </w:p>
    <w:p w14:paraId="216EDC77" w14:textId="77777777" w:rsidR="001D3D5D" w:rsidRPr="00B322FF" w:rsidRDefault="001D3D5D" w:rsidP="00B527E5">
      <w:pPr>
        <w:spacing w:before="100" w:beforeAutospacing="1" w:after="100" w:afterAutospacing="1" w:line="240" w:lineRule="auto"/>
        <w:jc w:val="both"/>
        <w:rPr>
          <w:rFonts w:ascii="Simplified Arabic" w:eastAsia="Times New Roman" w:hAnsi="Simplified Arabic" w:cs="Simplified Arabic"/>
          <w:sz w:val="28"/>
          <w:szCs w:val="28"/>
          <w:rtl/>
        </w:rPr>
      </w:pPr>
      <w:r w:rsidRPr="00B322FF">
        <w:rPr>
          <w:rFonts w:ascii="Times New Roman" w:eastAsia="Times New Roman" w:hAnsi="Times New Roman" w:cs="Times New Roman" w:hint="cs"/>
          <w:sz w:val="28"/>
          <w:szCs w:val="28"/>
          <w:rtl/>
        </w:rPr>
        <w:t>​</w:t>
      </w:r>
      <w:r w:rsidRPr="00B322FF">
        <w:rPr>
          <w:rFonts w:ascii="Simplified Arabic" w:eastAsia="Times New Roman" w:hAnsi="Simplified Arabic" w:cs="Simplified Arabic" w:hint="cs"/>
          <w:sz w:val="28"/>
          <w:szCs w:val="28"/>
          <w:rtl/>
        </w:rPr>
        <w:t>بيئة العمل النفسية ورفاهية الموظفين: توجد فروق دالة إحصائياً (</w:t>
      </w:r>
      <w:r w:rsidRPr="00B322FF">
        <w:rPr>
          <w:rFonts w:ascii="Simplified Arabic" w:eastAsia="Times New Roman" w:hAnsi="Simplified Arabic" w:cs="Simplified Arabic" w:hint="cs"/>
          <w:sz w:val="28"/>
          <w:szCs w:val="28"/>
        </w:rPr>
        <w:t>Sig</w:t>
      </w:r>
      <w:r w:rsidRPr="00B322FF">
        <w:rPr>
          <w:rFonts w:ascii="Simplified Arabic" w:eastAsia="Times New Roman" w:hAnsi="Simplified Arabic" w:cs="Simplified Arabic" w:hint="cs"/>
          <w:sz w:val="28"/>
          <w:szCs w:val="28"/>
          <w:rtl/>
        </w:rPr>
        <w:t xml:space="preserve"> &lt; 0.05)، مما يؤكد أن الخبرة التراكمية تؤثر جوهرياً في تقييم الموظف لاستدامة بيئة عمله ومستوى رفاهيته.</w:t>
      </w:r>
    </w:p>
    <w:p w14:paraId="350C935A"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بناءً على المعطيات أعلاه، تختلف الاستجابات جزئياً باختلاف سنوات الخبرة؛ حيث يظهر الاختلاف جلياً في إدراك بيئة العمل النفسية ورفاهية الموظفين، بينما تنتفي هذه الاختلافات في تقييم التحول الصحي والاحتراق الوظيفي.</w:t>
      </w:r>
    </w:p>
    <w:p w14:paraId="3E7DC088"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المسمى الوظيفي</w:t>
      </w:r>
    </w:p>
    <w:p w14:paraId="794FFD44"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للتحقق من وجود فروق ذات دلالة إحصائية بين متوسطات استجابات الفئات المهنية (طبيب، ممرض، فني، إداري)، تم استخدام تحليل التباين الأحادي (</w:t>
      </w:r>
      <w:r w:rsidRPr="00B322FF">
        <w:rPr>
          <w:rFonts w:ascii="Simplified Arabic" w:hAnsi="Simplified Arabic" w:cs="Simplified Arabic" w:hint="cs"/>
          <w:sz w:val="28"/>
          <w:szCs w:val="28"/>
          <w:lang w:bidi="ar-YE"/>
        </w:rPr>
        <w:t>One-Way ANOVA</w:t>
      </w:r>
      <w:r w:rsidRPr="00B322FF">
        <w:rPr>
          <w:rFonts w:ascii="Simplified Arabic" w:hAnsi="Simplified Arabic" w:cs="Simplified Arabic" w:hint="cs"/>
          <w:sz w:val="28"/>
          <w:szCs w:val="28"/>
          <w:rtl/>
        </w:rPr>
        <w:t>). يوضح الجدول التالي مخرجات هذا التحليل:</w:t>
      </w:r>
    </w:p>
    <w:p w14:paraId="0CB40E12"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4240E1">
        <w:rPr>
          <w:rFonts w:ascii="Simplified Arabic" w:hAnsi="Simplified Arabic" w:cs="Simplified Arabic" w:hint="cs"/>
          <w:b/>
          <w:bCs/>
          <w:kern w:val="2"/>
          <w:rtl/>
          <w14:ligatures w14:val="standardContextual"/>
        </w:rPr>
        <w:t>٤-١١</w:t>
      </w:r>
      <w:r w:rsidRPr="00B322FF">
        <w:rPr>
          <w:rFonts w:ascii="Simplified Arabic" w:hAnsi="Simplified Arabic" w:cs="Simplified Arabic" w:hint="cs"/>
          <w:b/>
          <w:bCs/>
          <w:kern w:val="2"/>
          <w:rtl/>
          <w14:ligatures w14:val="standardContextual"/>
        </w:rPr>
        <w:t>): نتائج تحليل التباين الأحادي للفروق وفقاً للمسمى الوظيفي</w:t>
      </w:r>
    </w:p>
    <w:tbl>
      <w:tblPr>
        <w:tblStyle w:val="af"/>
        <w:bidiVisual/>
        <w:tblW w:w="5000" w:type="pct"/>
        <w:tblLook w:val="04A0" w:firstRow="1" w:lastRow="0" w:firstColumn="1" w:lastColumn="0" w:noHBand="0" w:noVBand="1"/>
      </w:tblPr>
      <w:tblGrid>
        <w:gridCol w:w="1301"/>
        <w:gridCol w:w="1371"/>
        <w:gridCol w:w="1349"/>
        <w:gridCol w:w="609"/>
        <w:gridCol w:w="1276"/>
        <w:gridCol w:w="946"/>
        <w:gridCol w:w="1419"/>
        <w:gridCol w:w="745"/>
      </w:tblGrid>
      <w:tr w:rsidR="001D3D5D" w:rsidRPr="00B322FF" w14:paraId="7B1D6DA3" w14:textId="77777777" w:rsidTr="00597597">
        <w:trPr>
          <w:trHeight w:val="330"/>
        </w:trPr>
        <w:tc>
          <w:tcPr>
            <w:tcW w:w="723" w:type="pct"/>
            <w:vAlign w:val="center"/>
            <w:hideMark/>
          </w:tcPr>
          <w:p w14:paraId="728C7F75"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762" w:type="pct"/>
            <w:vAlign w:val="center"/>
            <w:hideMark/>
          </w:tcPr>
          <w:p w14:paraId="1302B12E"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مصدر التباين</w:t>
            </w:r>
          </w:p>
        </w:tc>
        <w:tc>
          <w:tcPr>
            <w:tcW w:w="749" w:type="pct"/>
            <w:vAlign w:val="center"/>
            <w:hideMark/>
          </w:tcPr>
          <w:p w14:paraId="6953E6F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مجموع المربعات</w:t>
            </w:r>
          </w:p>
        </w:tc>
        <w:tc>
          <w:tcPr>
            <w:tcW w:w="339" w:type="pct"/>
            <w:vAlign w:val="center"/>
            <w:hideMark/>
          </w:tcPr>
          <w:p w14:paraId="52D13101"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df</w:t>
            </w:r>
          </w:p>
        </w:tc>
        <w:tc>
          <w:tcPr>
            <w:tcW w:w="709" w:type="pct"/>
            <w:vAlign w:val="center"/>
            <w:hideMark/>
          </w:tcPr>
          <w:p w14:paraId="3E51DCF0"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متوسط المربعات</w:t>
            </w:r>
          </w:p>
        </w:tc>
        <w:tc>
          <w:tcPr>
            <w:tcW w:w="526" w:type="pct"/>
            <w:vAlign w:val="center"/>
            <w:hideMark/>
          </w:tcPr>
          <w:p w14:paraId="6595BA6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F</w:t>
            </w:r>
          </w:p>
        </w:tc>
        <w:tc>
          <w:tcPr>
            <w:tcW w:w="788" w:type="pct"/>
            <w:vAlign w:val="center"/>
            <w:hideMark/>
          </w:tcPr>
          <w:p w14:paraId="3C1CEBBE"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04" w:type="pct"/>
            <w:vAlign w:val="center"/>
            <w:hideMark/>
          </w:tcPr>
          <w:p w14:paraId="3C8CA832"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14852BB1" w14:textId="77777777" w:rsidTr="00597597">
        <w:trPr>
          <w:trHeight w:val="330"/>
        </w:trPr>
        <w:tc>
          <w:tcPr>
            <w:tcW w:w="723" w:type="pct"/>
            <w:vMerge w:val="restart"/>
            <w:vAlign w:val="center"/>
            <w:hideMark/>
          </w:tcPr>
          <w:p w14:paraId="33040080"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lastRenderedPageBreak/>
              <w:t>التحول الصحي</w:t>
            </w:r>
          </w:p>
        </w:tc>
        <w:tc>
          <w:tcPr>
            <w:tcW w:w="762" w:type="pct"/>
            <w:vAlign w:val="center"/>
            <w:hideMark/>
          </w:tcPr>
          <w:p w14:paraId="3B93F2C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9" w:type="pct"/>
            <w:vAlign w:val="center"/>
            <w:hideMark/>
          </w:tcPr>
          <w:p w14:paraId="35D4E88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13.698</w:t>
            </w:r>
          </w:p>
        </w:tc>
        <w:tc>
          <w:tcPr>
            <w:tcW w:w="339" w:type="pct"/>
            <w:vAlign w:val="center"/>
            <w:hideMark/>
          </w:tcPr>
          <w:p w14:paraId="43E933A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709" w:type="pct"/>
            <w:vAlign w:val="center"/>
            <w:hideMark/>
          </w:tcPr>
          <w:p w14:paraId="647022E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4.566</w:t>
            </w:r>
          </w:p>
        </w:tc>
        <w:tc>
          <w:tcPr>
            <w:tcW w:w="526" w:type="pct"/>
            <w:vAlign w:val="center"/>
            <w:hideMark/>
          </w:tcPr>
          <w:p w14:paraId="3CF7D47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6.891</w:t>
            </w:r>
          </w:p>
        </w:tc>
        <w:tc>
          <w:tcPr>
            <w:tcW w:w="788" w:type="pct"/>
            <w:vAlign w:val="center"/>
            <w:hideMark/>
          </w:tcPr>
          <w:p w14:paraId="0A9E4C7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404" w:type="pct"/>
            <w:vMerge w:val="restart"/>
            <w:vAlign w:val="center"/>
            <w:hideMark/>
          </w:tcPr>
          <w:p w14:paraId="75E95C4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7629CF9C" w14:textId="77777777" w:rsidTr="00597597">
        <w:trPr>
          <w:trHeight w:val="330"/>
        </w:trPr>
        <w:tc>
          <w:tcPr>
            <w:tcW w:w="723" w:type="pct"/>
            <w:vMerge/>
            <w:vAlign w:val="center"/>
            <w:hideMark/>
          </w:tcPr>
          <w:p w14:paraId="53E9E55D" w14:textId="77777777" w:rsidR="001D3D5D" w:rsidRPr="00B322FF" w:rsidRDefault="001D3D5D" w:rsidP="00B527E5">
            <w:pPr>
              <w:jc w:val="center"/>
              <w:rPr>
                <w:rFonts w:ascii="Simplified Arabic" w:eastAsia="Times New Roman" w:hAnsi="Simplified Arabic" w:cs="Simplified Arabic"/>
                <w:b/>
                <w:bCs/>
              </w:rPr>
            </w:pPr>
          </w:p>
        </w:tc>
        <w:tc>
          <w:tcPr>
            <w:tcW w:w="762" w:type="pct"/>
            <w:vAlign w:val="center"/>
            <w:hideMark/>
          </w:tcPr>
          <w:p w14:paraId="4F11063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9" w:type="pct"/>
            <w:vAlign w:val="center"/>
            <w:hideMark/>
          </w:tcPr>
          <w:p w14:paraId="5B2929C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251.81</w:t>
            </w:r>
          </w:p>
        </w:tc>
        <w:tc>
          <w:tcPr>
            <w:tcW w:w="339" w:type="pct"/>
            <w:vAlign w:val="center"/>
            <w:hideMark/>
          </w:tcPr>
          <w:p w14:paraId="5533918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709" w:type="pct"/>
            <w:vAlign w:val="center"/>
            <w:hideMark/>
          </w:tcPr>
          <w:p w14:paraId="3663B02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0.663</w:t>
            </w:r>
          </w:p>
        </w:tc>
        <w:tc>
          <w:tcPr>
            <w:tcW w:w="526" w:type="pct"/>
            <w:vAlign w:val="center"/>
            <w:hideMark/>
          </w:tcPr>
          <w:p w14:paraId="2969B185"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56CBFDA0" w14:textId="77777777" w:rsidR="001D3D5D" w:rsidRPr="00B322FF" w:rsidRDefault="001D3D5D" w:rsidP="00B527E5">
            <w:pPr>
              <w:jc w:val="center"/>
              <w:rPr>
                <w:rFonts w:ascii="Simplified Arabic" w:eastAsia="Times New Roman" w:hAnsi="Simplified Arabic" w:cs="Simplified Arabic"/>
              </w:rPr>
            </w:pPr>
          </w:p>
        </w:tc>
        <w:tc>
          <w:tcPr>
            <w:tcW w:w="404" w:type="pct"/>
            <w:vMerge/>
            <w:vAlign w:val="center"/>
            <w:hideMark/>
          </w:tcPr>
          <w:p w14:paraId="6ACDD9CF"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10B1AF3C" w14:textId="77777777" w:rsidTr="00597597">
        <w:trPr>
          <w:trHeight w:val="330"/>
        </w:trPr>
        <w:tc>
          <w:tcPr>
            <w:tcW w:w="723" w:type="pct"/>
            <w:vMerge w:val="restart"/>
            <w:vAlign w:val="center"/>
            <w:hideMark/>
          </w:tcPr>
          <w:p w14:paraId="3D0E85CA"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762" w:type="pct"/>
            <w:vAlign w:val="center"/>
            <w:hideMark/>
          </w:tcPr>
          <w:p w14:paraId="712F626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9" w:type="pct"/>
            <w:vAlign w:val="center"/>
            <w:hideMark/>
          </w:tcPr>
          <w:p w14:paraId="41E0242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10.118</w:t>
            </w:r>
          </w:p>
        </w:tc>
        <w:tc>
          <w:tcPr>
            <w:tcW w:w="339" w:type="pct"/>
            <w:vAlign w:val="center"/>
            <w:hideMark/>
          </w:tcPr>
          <w:p w14:paraId="4ED8A2B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709" w:type="pct"/>
            <w:vAlign w:val="center"/>
            <w:hideMark/>
          </w:tcPr>
          <w:p w14:paraId="67E84F6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3.373</w:t>
            </w:r>
          </w:p>
        </w:tc>
        <w:tc>
          <w:tcPr>
            <w:tcW w:w="526" w:type="pct"/>
            <w:vAlign w:val="center"/>
            <w:hideMark/>
          </w:tcPr>
          <w:p w14:paraId="563B105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4.299</w:t>
            </w:r>
          </w:p>
        </w:tc>
        <w:tc>
          <w:tcPr>
            <w:tcW w:w="788" w:type="pct"/>
            <w:vAlign w:val="center"/>
            <w:hideMark/>
          </w:tcPr>
          <w:p w14:paraId="32EE9EF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0.005</w:t>
            </w:r>
          </w:p>
        </w:tc>
        <w:tc>
          <w:tcPr>
            <w:tcW w:w="404" w:type="pct"/>
            <w:vMerge w:val="restart"/>
            <w:vAlign w:val="center"/>
            <w:hideMark/>
          </w:tcPr>
          <w:p w14:paraId="0756316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51112136" w14:textId="77777777" w:rsidTr="00597597">
        <w:trPr>
          <w:trHeight w:val="330"/>
        </w:trPr>
        <w:tc>
          <w:tcPr>
            <w:tcW w:w="723" w:type="pct"/>
            <w:vMerge/>
            <w:vAlign w:val="center"/>
            <w:hideMark/>
          </w:tcPr>
          <w:p w14:paraId="0B9C457A" w14:textId="77777777" w:rsidR="001D3D5D" w:rsidRPr="00B322FF" w:rsidRDefault="001D3D5D" w:rsidP="00B527E5">
            <w:pPr>
              <w:jc w:val="center"/>
              <w:rPr>
                <w:rFonts w:ascii="Simplified Arabic" w:eastAsia="Times New Roman" w:hAnsi="Simplified Arabic" w:cs="Simplified Arabic"/>
                <w:b/>
                <w:bCs/>
              </w:rPr>
            </w:pPr>
          </w:p>
        </w:tc>
        <w:tc>
          <w:tcPr>
            <w:tcW w:w="762" w:type="pct"/>
            <w:vAlign w:val="center"/>
            <w:hideMark/>
          </w:tcPr>
          <w:p w14:paraId="0522010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9" w:type="pct"/>
            <w:vAlign w:val="center"/>
            <w:hideMark/>
          </w:tcPr>
          <w:p w14:paraId="048E741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298.114</w:t>
            </w:r>
          </w:p>
        </w:tc>
        <w:tc>
          <w:tcPr>
            <w:tcW w:w="339" w:type="pct"/>
            <w:vAlign w:val="center"/>
            <w:hideMark/>
          </w:tcPr>
          <w:p w14:paraId="6808443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709" w:type="pct"/>
            <w:vAlign w:val="center"/>
            <w:hideMark/>
          </w:tcPr>
          <w:p w14:paraId="202DABC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0.785</w:t>
            </w:r>
          </w:p>
        </w:tc>
        <w:tc>
          <w:tcPr>
            <w:tcW w:w="526" w:type="pct"/>
            <w:vAlign w:val="center"/>
            <w:hideMark/>
          </w:tcPr>
          <w:p w14:paraId="1322C051"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3738958E" w14:textId="77777777" w:rsidR="001D3D5D" w:rsidRPr="00B322FF" w:rsidRDefault="001D3D5D" w:rsidP="00B527E5">
            <w:pPr>
              <w:jc w:val="center"/>
              <w:rPr>
                <w:rFonts w:ascii="Simplified Arabic" w:eastAsia="Times New Roman" w:hAnsi="Simplified Arabic" w:cs="Simplified Arabic"/>
              </w:rPr>
            </w:pPr>
          </w:p>
        </w:tc>
        <w:tc>
          <w:tcPr>
            <w:tcW w:w="404" w:type="pct"/>
            <w:vMerge/>
            <w:vAlign w:val="center"/>
            <w:hideMark/>
          </w:tcPr>
          <w:p w14:paraId="10CE2FEC"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13772008" w14:textId="77777777" w:rsidTr="00597597">
        <w:trPr>
          <w:trHeight w:val="330"/>
        </w:trPr>
        <w:tc>
          <w:tcPr>
            <w:tcW w:w="723" w:type="pct"/>
            <w:vMerge w:val="restart"/>
            <w:vAlign w:val="center"/>
            <w:hideMark/>
          </w:tcPr>
          <w:p w14:paraId="19340277"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762" w:type="pct"/>
            <w:vAlign w:val="center"/>
            <w:hideMark/>
          </w:tcPr>
          <w:p w14:paraId="7B4F4DA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9" w:type="pct"/>
            <w:vAlign w:val="center"/>
            <w:hideMark/>
          </w:tcPr>
          <w:p w14:paraId="2C62988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8.267</w:t>
            </w:r>
          </w:p>
        </w:tc>
        <w:tc>
          <w:tcPr>
            <w:tcW w:w="339" w:type="pct"/>
            <w:vAlign w:val="center"/>
            <w:hideMark/>
          </w:tcPr>
          <w:p w14:paraId="5D82F20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709" w:type="pct"/>
            <w:vAlign w:val="center"/>
            <w:hideMark/>
          </w:tcPr>
          <w:p w14:paraId="038BAEB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2.756</w:t>
            </w:r>
          </w:p>
        </w:tc>
        <w:tc>
          <w:tcPr>
            <w:tcW w:w="526" w:type="pct"/>
            <w:vAlign w:val="center"/>
            <w:hideMark/>
          </w:tcPr>
          <w:p w14:paraId="20BB6B5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3.992</w:t>
            </w:r>
          </w:p>
        </w:tc>
        <w:tc>
          <w:tcPr>
            <w:tcW w:w="788" w:type="pct"/>
            <w:vAlign w:val="center"/>
            <w:hideMark/>
          </w:tcPr>
          <w:p w14:paraId="5111CAE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0.008</w:t>
            </w:r>
          </w:p>
        </w:tc>
        <w:tc>
          <w:tcPr>
            <w:tcW w:w="404" w:type="pct"/>
            <w:vMerge w:val="restart"/>
            <w:vAlign w:val="center"/>
            <w:hideMark/>
          </w:tcPr>
          <w:p w14:paraId="32A2327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096468AF" w14:textId="77777777" w:rsidTr="00597597">
        <w:trPr>
          <w:trHeight w:val="330"/>
        </w:trPr>
        <w:tc>
          <w:tcPr>
            <w:tcW w:w="723" w:type="pct"/>
            <w:vMerge/>
            <w:vAlign w:val="center"/>
            <w:hideMark/>
          </w:tcPr>
          <w:p w14:paraId="5C147EBD" w14:textId="77777777" w:rsidR="001D3D5D" w:rsidRPr="00B322FF" w:rsidRDefault="001D3D5D" w:rsidP="00B527E5">
            <w:pPr>
              <w:jc w:val="center"/>
              <w:rPr>
                <w:rFonts w:ascii="Simplified Arabic" w:eastAsia="Times New Roman" w:hAnsi="Simplified Arabic" w:cs="Simplified Arabic"/>
                <w:b/>
                <w:bCs/>
              </w:rPr>
            </w:pPr>
          </w:p>
        </w:tc>
        <w:tc>
          <w:tcPr>
            <w:tcW w:w="762" w:type="pct"/>
            <w:vAlign w:val="center"/>
            <w:hideMark/>
          </w:tcPr>
          <w:p w14:paraId="194EFC7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9" w:type="pct"/>
            <w:vAlign w:val="center"/>
            <w:hideMark/>
          </w:tcPr>
          <w:p w14:paraId="063838F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262.311</w:t>
            </w:r>
          </w:p>
        </w:tc>
        <w:tc>
          <w:tcPr>
            <w:tcW w:w="339" w:type="pct"/>
            <w:vAlign w:val="center"/>
            <w:hideMark/>
          </w:tcPr>
          <w:p w14:paraId="35EE76D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709" w:type="pct"/>
            <w:vAlign w:val="center"/>
            <w:hideMark/>
          </w:tcPr>
          <w:p w14:paraId="1851A31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w:t>
            </w:r>
          </w:p>
        </w:tc>
        <w:tc>
          <w:tcPr>
            <w:tcW w:w="526" w:type="pct"/>
            <w:vAlign w:val="center"/>
            <w:hideMark/>
          </w:tcPr>
          <w:p w14:paraId="0EE9AD47"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35A93810" w14:textId="77777777" w:rsidR="001D3D5D" w:rsidRPr="00B322FF" w:rsidRDefault="001D3D5D" w:rsidP="00B527E5">
            <w:pPr>
              <w:jc w:val="center"/>
              <w:rPr>
                <w:rFonts w:ascii="Simplified Arabic" w:eastAsia="Times New Roman" w:hAnsi="Simplified Arabic" w:cs="Simplified Arabic"/>
              </w:rPr>
            </w:pPr>
          </w:p>
        </w:tc>
        <w:tc>
          <w:tcPr>
            <w:tcW w:w="404" w:type="pct"/>
            <w:vMerge/>
            <w:vAlign w:val="center"/>
            <w:hideMark/>
          </w:tcPr>
          <w:p w14:paraId="37D88B4A"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02DDB5AE" w14:textId="77777777" w:rsidTr="00597597">
        <w:trPr>
          <w:trHeight w:val="330"/>
        </w:trPr>
        <w:tc>
          <w:tcPr>
            <w:tcW w:w="723" w:type="pct"/>
            <w:vMerge w:val="restart"/>
            <w:vAlign w:val="center"/>
            <w:hideMark/>
          </w:tcPr>
          <w:p w14:paraId="6C10AA08"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762" w:type="pct"/>
            <w:vAlign w:val="center"/>
            <w:hideMark/>
          </w:tcPr>
          <w:p w14:paraId="5657F86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9" w:type="pct"/>
            <w:vAlign w:val="center"/>
            <w:hideMark/>
          </w:tcPr>
          <w:p w14:paraId="07E17F3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30.85</w:t>
            </w:r>
          </w:p>
        </w:tc>
        <w:tc>
          <w:tcPr>
            <w:tcW w:w="339" w:type="pct"/>
            <w:vAlign w:val="center"/>
            <w:hideMark/>
          </w:tcPr>
          <w:p w14:paraId="70DABEE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w:t>
            </w:r>
          </w:p>
        </w:tc>
        <w:tc>
          <w:tcPr>
            <w:tcW w:w="709" w:type="pct"/>
            <w:vAlign w:val="center"/>
            <w:hideMark/>
          </w:tcPr>
          <w:p w14:paraId="12DB17F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10.283</w:t>
            </w:r>
          </w:p>
        </w:tc>
        <w:tc>
          <w:tcPr>
            <w:tcW w:w="526" w:type="pct"/>
            <w:vAlign w:val="center"/>
            <w:hideMark/>
          </w:tcPr>
          <w:p w14:paraId="7A33031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11.417</w:t>
            </w:r>
          </w:p>
        </w:tc>
        <w:tc>
          <w:tcPr>
            <w:tcW w:w="788" w:type="pct"/>
            <w:vAlign w:val="center"/>
            <w:hideMark/>
          </w:tcPr>
          <w:p w14:paraId="1209A70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w:t>
            </w:r>
          </w:p>
        </w:tc>
        <w:tc>
          <w:tcPr>
            <w:tcW w:w="404" w:type="pct"/>
            <w:vMerge w:val="restart"/>
            <w:vAlign w:val="center"/>
            <w:hideMark/>
          </w:tcPr>
          <w:p w14:paraId="175A6B9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دالة</w:t>
            </w:r>
          </w:p>
        </w:tc>
      </w:tr>
      <w:tr w:rsidR="001D3D5D" w:rsidRPr="00B322FF" w14:paraId="15F7CFC5" w14:textId="77777777" w:rsidTr="00597597">
        <w:trPr>
          <w:trHeight w:val="330"/>
        </w:trPr>
        <w:tc>
          <w:tcPr>
            <w:tcW w:w="723" w:type="pct"/>
            <w:vMerge/>
            <w:vAlign w:val="center"/>
            <w:hideMark/>
          </w:tcPr>
          <w:p w14:paraId="0E8F8E6F" w14:textId="77777777" w:rsidR="001D3D5D" w:rsidRPr="00B322FF" w:rsidRDefault="001D3D5D" w:rsidP="00B527E5">
            <w:pPr>
              <w:jc w:val="center"/>
              <w:rPr>
                <w:rFonts w:ascii="Simplified Arabic" w:eastAsia="Times New Roman" w:hAnsi="Simplified Arabic" w:cs="Simplified Arabic"/>
                <w:b/>
                <w:bCs/>
              </w:rPr>
            </w:pPr>
          </w:p>
        </w:tc>
        <w:tc>
          <w:tcPr>
            <w:tcW w:w="762" w:type="pct"/>
            <w:vAlign w:val="center"/>
            <w:hideMark/>
          </w:tcPr>
          <w:p w14:paraId="3457F0F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9" w:type="pct"/>
            <w:vAlign w:val="center"/>
            <w:hideMark/>
          </w:tcPr>
          <w:p w14:paraId="2CC4573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342.282</w:t>
            </w:r>
          </w:p>
        </w:tc>
        <w:tc>
          <w:tcPr>
            <w:tcW w:w="339" w:type="pct"/>
            <w:vAlign w:val="center"/>
            <w:hideMark/>
          </w:tcPr>
          <w:p w14:paraId="03530C9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380</w:t>
            </w:r>
          </w:p>
        </w:tc>
        <w:tc>
          <w:tcPr>
            <w:tcW w:w="709" w:type="pct"/>
            <w:vAlign w:val="center"/>
            <w:hideMark/>
          </w:tcPr>
          <w:p w14:paraId="2416990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0.901</w:t>
            </w:r>
          </w:p>
        </w:tc>
        <w:tc>
          <w:tcPr>
            <w:tcW w:w="526" w:type="pct"/>
            <w:vAlign w:val="center"/>
            <w:hideMark/>
          </w:tcPr>
          <w:p w14:paraId="11F986C7" w14:textId="77777777" w:rsidR="001D3D5D" w:rsidRPr="00B322FF" w:rsidRDefault="001D3D5D" w:rsidP="00B527E5">
            <w:pPr>
              <w:jc w:val="center"/>
              <w:rPr>
                <w:rFonts w:ascii="Simplified Arabic" w:eastAsia="Times New Roman" w:hAnsi="Simplified Arabic" w:cs="Simplified Arabic"/>
                <w:rtl/>
              </w:rPr>
            </w:pPr>
          </w:p>
        </w:tc>
        <w:tc>
          <w:tcPr>
            <w:tcW w:w="788" w:type="pct"/>
            <w:vAlign w:val="center"/>
            <w:hideMark/>
          </w:tcPr>
          <w:p w14:paraId="2CB4339F" w14:textId="77777777" w:rsidR="001D3D5D" w:rsidRPr="00B322FF" w:rsidRDefault="001D3D5D" w:rsidP="00B527E5">
            <w:pPr>
              <w:jc w:val="center"/>
              <w:rPr>
                <w:rFonts w:ascii="Simplified Arabic" w:eastAsia="Times New Roman" w:hAnsi="Simplified Arabic" w:cs="Simplified Arabic"/>
              </w:rPr>
            </w:pPr>
          </w:p>
        </w:tc>
        <w:tc>
          <w:tcPr>
            <w:tcW w:w="404" w:type="pct"/>
            <w:vMerge/>
            <w:vAlign w:val="center"/>
            <w:hideMark/>
          </w:tcPr>
          <w:p w14:paraId="182D1E80" w14:textId="77777777" w:rsidR="001D3D5D" w:rsidRPr="00B322FF" w:rsidRDefault="001D3D5D" w:rsidP="00B527E5">
            <w:pPr>
              <w:jc w:val="center"/>
              <w:rPr>
                <w:rFonts w:ascii="Simplified Arabic" w:eastAsia="Times New Roman" w:hAnsi="Simplified Arabic" w:cs="Simplified Arabic"/>
              </w:rPr>
            </w:pPr>
          </w:p>
        </w:tc>
      </w:tr>
    </w:tbl>
    <w:p w14:paraId="5EEA860A" w14:textId="77777777" w:rsidR="00A61A27" w:rsidRPr="001F421D" w:rsidRDefault="0089331B" w:rsidP="001F421D">
      <w:pPr>
        <w:spacing w:before="40" w:after="120"/>
        <w:rPr>
          <w:rFonts w:ascii="Simplified Arabic" w:hAnsi="Simplified Arabic" w:cs="Simplified Arabic"/>
          <w:i/>
          <w:sz w:val="22"/>
          <w:szCs w:val="22"/>
        </w:rPr>
      </w:pPr>
      <w:r w:rsidRPr="001F421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662526CA" w14:textId="77777777" w:rsidR="001D3D5D" w:rsidRPr="00B322FF" w:rsidRDefault="001D3D5D" w:rsidP="00B527E5">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تظهر النتائج في الجدول (</w:t>
      </w:r>
      <w:r w:rsidR="004240E1">
        <w:rPr>
          <w:rFonts w:ascii="Simplified Arabic" w:hAnsi="Simplified Arabic" w:cs="Simplified Arabic" w:hint="cs"/>
          <w:sz w:val="28"/>
          <w:szCs w:val="28"/>
          <w:rtl/>
        </w:rPr>
        <w:t>٤-١١</w:t>
      </w:r>
      <w:r w:rsidRPr="00B322FF">
        <w:rPr>
          <w:rFonts w:ascii="Simplified Arabic" w:hAnsi="Simplified Arabic" w:cs="Simplified Arabic" w:hint="cs"/>
          <w:sz w:val="28"/>
          <w:szCs w:val="28"/>
          <w:rtl/>
        </w:rPr>
        <w:t>) وجود فروق ذات دلالة إحصائية (</w:t>
      </w:r>
      <w:r w:rsidRPr="00B322FF">
        <w:rPr>
          <w:rFonts w:ascii="Simplified Arabic" w:hAnsi="Simplified Arabic" w:cs="Simplified Arabic" w:hint="cs"/>
          <w:sz w:val="28"/>
          <w:szCs w:val="28"/>
        </w:rPr>
        <w:t>Sig</w:t>
      </w:r>
      <w:r w:rsidRPr="00B322FF">
        <w:rPr>
          <w:rFonts w:ascii="Simplified Arabic" w:hAnsi="Simplified Arabic" w:cs="Simplified Arabic" w:hint="cs"/>
          <w:sz w:val="28"/>
          <w:szCs w:val="28"/>
          <w:rtl/>
        </w:rPr>
        <w:t xml:space="preserve"> &lt; 0.05) في جميع متغيرات الدراسة الرئيسية دون استثناء. تبرز </w:t>
      </w:r>
      <w:r w:rsidRPr="00B322FF">
        <w:rPr>
          <w:rFonts w:ascii="Simplified Arabic" w:hAnsi="Simplified Arabic" w:cs="Simplified Arabic" w:hint="cs"/>
          <w:sz w:val="28"/>
          <w:szCs w:val="28"/>
        </w:rPr>
        <w:t>(F)</w:t>
      </w:r>
      <w:r w:rsidRPr="00B322FF">
        <w:rPr>
          <w:rFonts w:ascii="Simplified Arabic" w:hAnsi="Simplified Arabic" w:cs="Simplified Arabic" w:hint="cs"/>
          <w:sz w:val="28"/>
          <w:szCs w:val="28"/>
          <w:rtl/>
        </w:rPr>
        <w:t xml:space="preserve"> المرتفعة للاحتراق الوظيفي (11.417) والتحول الصحي (6.891) كأقوى مؤشرات على تأثر هذه الظواهر بنوع المهنة وطبيعة العمل اليومية.</w:t>
      </w:r>
    </w:p>
    <w:p w14:paraId="3A4E0892"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 xml:space="preserve"> يتضح بشكل جلي أن طبيعة الدور الوسيط لكافة محاور الدراسة تختلف كلياً وبشكل جوهري باختلاف المسمى الوظيفي. وتؤكد هذه النتيجة ضرورة تصميم مبادرات التحول والرفاهية بشكل يراعي الخصائص والضغوط الفريدة لكل فئة مهنية على حدة.</w:t>
      </w:r>
    </w:p>
    <w:p w14:paraId="5EABA62C"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الدخل الشهري</w:t>
      </w:r>
    </w:p>
    <w:p w14:paraId="7A12DDB7"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تم إجراء تحليل التباين الأحادي (</w:t>
      </w:r>
      <w:r w:rsidRPr="00B322FF">
        <w:rPr>
          <w:rFonts w:ascii="Simplified Arabic" w:hAnsi="Simplified Arabic" w:cs="Simplified Arabic" w:hint="cs"/>
          <w:sz w:val="28"/>
          <w:szCs w:val="28"/>
          <w:lang w:bidi="ar-YE"/>
        </w:rPr>
        <w:t>One-Way ANOVA</w:t>
      </w:r>
      <w:r w:rsidRPr="00B322FF">
        <w:rPr>
          <w:rFonts w:ascii="Simplified Arabic" w:hAnsi="Simplified Arabic" w:cs="Simplified Arabic" w:hint="cs"/>
          <w:sz w:val="28"/>
          <w:szCs w:val="28"/>
          <w:rtl/>
        </w:rPr>
        <w:t>) للكشف عن وجود فروق ذات دلالة إحصائية في استجابات المبحوثين حول متغيرات الدراسة تُعزى لمستوى دخلهم الشهري. يوضح الجدول التالي النتائج المحققة:</w:t>
      </w:r>
    </w:p>
    <w:p w14:paraId="40D0BFB9" w14:textId="77777777" w:rsidR="001D3D5D" w:rsidRPr="00B322FF" w:rsidRDefault="001D3D5D" w:rsidP="00B527E5">
      <w:pPr>
        <w:pStyle w:val="ac"/>
        <w:bidi/>
        <w:jc w:val="center"/>
        <w:rPr>
          <w:rFonts w:ascii="Simplified Arabic" w:hAnsi="Simplified Arabic" w:cs="Simplified Arabic"/>
          <w:b/>
          <w:bCs/>
          <w:kern w:val="2"/>
          <w:rtl/>
          <w14:ligatures w14:val="standardContextua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956DF2">
        <w:rPr>
          <w:rFonts w:ascii="Simplified Arabic" w:hAnsi="Simplified Arabic" w:cs="Simplified Arabic" w:hint="cs"/>
          <w:b/>
          <w:bCs/>
          <w:kern w:val="2"/>
          <w:rtl/>
          <w14:ligatures w14:val="standardContextual"/>
        </w:rPr>
        <w:t>٤-١٢</w:t>
      </w:r>
      <w:r w:rsidRPr="00B322FF">
        <w:rPr>
          <w:rFonts w:ascii="Simplified Arabic" w:hAnsi="Simplified Arabic" w:cs="Simplified Arabic" w:hint="cs"/>
          <w:b/>
          <w:bCs/>
          <w:kern w:val="2"/>
          <w:rtl/>
          <w14:ligatures w14:val="standardContextual"/>
        </w:rPr>
        <w:t>): نتائج تحليل التباين الأحادي للفروق وفقاً للدخل الشهري</w:t>
      </w:r>
    </w:p>
    <w:tbl>
      <w:tblPr>
        <w:tblStyle w:val="af"/>
        <w:bidiVisual/>
        <w:tblW w:w="5000" w:type="pct"/>
        <w:tblLook w:val="04A0" w:firstRow="1" w:lastRow="0" w:firstColumn="1" w:lastColumn="0" w:noHBand="0" w:noVBand="1"/>
      </w:tblPr>
      <w:tblGrid>
        <w:gridCol w:w="1338"/>
        <w:gridCol w:w="1369"/>
        <w:gridCol w:w="1343"/>
        <w:gridCol w:w="611"/>
        <w:gridCol w:w="1259"/>
        <w:gridCol w:w="820"/>
        <w:gridCol w:w="1450"/>
        <w:gridCol w:w="826"/>
      </w:tblGrid>
      <w:tr w:rsidR="001D3D5D" w:rsidRPr="00B322FF" w14:paraId="0A7D01FA" w14:textId="77777777" w:rsidTr="00597597">
        <w:trPr>
          <w:trHeight w:val="270"/>
        </w:trPr>
        <w:tc>
          <w:tcPr>
            <w:tcW w:w="742" w:type="pct"/>
            <w:vAlign w:val="center"/>
            <w:hideMark/>
          </w:tcPr>
          <w:p w14:paraId="2357FAFE"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lastRenderedPageBreak/>
              <w:t>المتغير</w:t>
            </w:r>
          </w:p>
        </w:tc>
        <w:tc>
          <w:tcPr>
            <w:tcW w:w="759" w:type="pct"/>
            <w:vAlign w:val="center"/>
            <w:hideMark/>
          </w:tcPr>
          <w:p w14:paraId="0144B380"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مصدر التباين</w:t>
            </w:r>
          </w:p>
        </w:tc>
        <w:tc>
          <w:tcPr>
            <w:tcW w:w="745" w:type="pct"/>
            <w:vAlign w:val="center"/>
            <w:hideMark/>
          </w:tcPr>
          <w:p w14:paraId="43A6E51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مجموع المربعات</w:t>
            </w:r>
          </w:p>
        </w:tc>
        <w:tc>
          <w:tcPr>
            <w:tcW w:w="339" w:type="pct"/>
            <w:vAlign w:val="center"/>
            <w:hideMark/>
          </w:tcPr>
          <w:p w14:paraId="74AF1737"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df</w:t>
            </w:r>
          </w:p>
        </w:tc>
        <w:tc>
          <w:tcPr>
            <w:tcW w:w="698" w:type="pct"/>
            <w:vAlign w:val="center"/>
            <w:hideMark/>
          </w:tcPr>
          <w:p w14:paraId="7C1A944F"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متوسط المربعات</w:t>
            </w:r>
          </w:p>
        </w:tc>
        <w:tc>
          <w:tcPr>
            <w:tcW w:w="455" w:type="pct"/>
            <w:vAlign w:val="center"/>
            <w:hideMark/>
          </w:tcPr>
          <w:p w14:paraId="22B89A28"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F</w:t>
            </w:r>
          </w:p>
        </w:tc>
        <w:tc>
          <w:tcPr>
            <w:tcW w:w="804" w:type="pct"/>
            <w:vAlign w:val="center"/>
            <w:hideMark/>
          </w:tcPr>
          <w:p w14:paraId="1EFEA2F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59" w:type="pct"/>
            <w:vAlign w:val="center"/>
            <w:hideMark/>
          </w:tcPr>
          <w:p w14:paraId="29BE7436"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328F5B5B" w14:textId="77777777" w:rsidTr="00597597">
        <w:trPr>
          <w:trHeight w:val="270"/>
        </w:trPr>
        <w:tc>
          <w:tcPr>
            <w:tcW w:w="742" w:type="pct"/>
            <w:vMerge w:val="restart"/>
            <w:vAlign w:val="center"/>
            <w:hideMark/>
          </w:tcPr>
          <w:p w14:paraId="78C19CCC"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759" w:type="pct"/>
            <w:vAlign w:val="center"/>
            <w:hideMark/>
          </w:tcPr>
          <w:p w14:paraId="36A93B2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154F9A3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0.601</w:t>
            </w:r>
          </w:p>
        </w:tc>
        <w:tc>
          <w:tcPr>
            <w:tcW w:w="339" w:type="pct"/>
            <w:vAlign w:val="center"/>
            <w:hideMark/>
          </w:tcPr>
          <w:p w14:paraId="29DD0A2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1FDB348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0.301</w:t>
            </w:r>
          </w:p>
        </w:tc>
        <w:tc>
          <w:tcPr>
            <w:tcW w:w="455" w:type="pct"/>
            <w:vAlign w:val="center"/>
            <w:hideMark/>
          </w:tcPr>
          <w:p w14:paraId="377B58B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0.432</w:t>
            </w:r>
          </w:p>
        </w:tc>
        <w:tc>
          <w:tcPr>
            <w:tcW w:w="804" w:type="pct"/>
            <w:vAlign w:val="center"/>
            <w:hideMark/>
          </w:tcPr>
          <w:p w14:paraId="1207425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0.649</w:t>
            </w:r>
          </w:p>
        </w:tc>
        <w:tc>
          <w:tcPr>
            <w:tcW w:w="459" w:type="pct"/>
            <w:vMerge w:val="restart"/>
            <w:vAlign w:val="center"/>
            <w:hideMark/>
          </w:tcPr>
          <w:p w14:paraId="3B89DA7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7CD1DD57" w14:textId="77777777" w:rsidTr="00597597">
        <w:trPr>
          <w:trHeight w:val="270"/>
        </w:trPr>
        <w:tc>
          <w:tcPr>
            <w:tcW w:w="742" w:type="pct"/>
            <w:vMerge/>
            <w:vAlign w:val="center"/>
            <w:hideMark/>
          </w:tcPr>
          <w:p w14:paraId="40B06E27"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4B7E9B9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5322FBD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264.907</w:t>
            </w:r>
          </w:p>
        </w:tc>
        <w:tc>
          <w:tcPr>
            <w:tcW w:w="339" w:type="pct"/>
            <w:vAlign w:val="center"/>
            <w:hideMark/>
          </w:tcPr>
          <w:p w14:paraId="0025469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311211F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0.695</w:t>
            </w:r>
          </w:p>
        </w:tc>
        <w:tc>
          <w:tcPr>
            <w:tcW w:w="455" w:type="pct"/>
            <w:vAlign w:val="center"/>
            <w:hideMark/>
          </w:tcPr>
          <w:p w14:paraId="1D489F15"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060BA2C7"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07705DF9"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62D9E669" w14:textId="77777777" w:rsidTr="00597597">
        <w:trPr>
          <w:trHeight w:val="270"/>
        </w:trPr>
        <w:tc>
          <w:tcPr>
            <w:tcW w:w="742" w:type="pct"/>
            <w:vMerge w:val="restart"/>
            <w:vAlign w:val="center"/>
            <w:hideMark/>
          </w:tcPr>
          <w:p w14:paraId="1A25422D"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759" w:type="pct"/>
            <w:vAlign w:val="center"/>
            <w:hideMark/>
          </w:tcPr>
          <w:p w14:paraId="22687DA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1DA9708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1.053</w:t>
            </w:r>
          </w:p>
        </w:tc>
        <w:tc>
          <w:tcPr>
            <w:tcW w:w="339" w:type="pct"/>
            <w:vAlign w:val="center"/>
            <w:hideMark/>
          </w:tcPr>
          <w:p w14:paraId="084F6E8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6A4FBEF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0.527</w:t>
            </w:r>
          </w:p>
        </w:tc>
        <w:tc>
          <w:tcPr>
            <w:tcW w:w="455" w:type="pct"/>
            <w:vAlign w:val="center"/>
            <w:hideMark/>
          </w:tcPr>
          <w:p w14:paraId="105E74C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0.653</w:t>
            </w:r>
          </w:p>
        </w:tc>
        <w:tc>
          <w:tcPr>
            <w:tcW w:w="804" w:type="pct"/>
            <w:vAlign w:val="center"/>
            <w:hideMark/>
          </w:tcPr>
          <w:p w14:paraId="12B2EF1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0.521</w:t>
            </w:r>
          </w:p>
        </w:tc>
        <w:tc>
          <w:tcPr>
            <w:tcW w:w="459" w:type="pct"/>
            <w:vMerge w:val="restart"/>
            <w:vAlign w:val="center"/>
            <w:hideMark/>
          </w:tcPr>
          <w:p w14:paraId="758AA49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60DABE4B" w14:textId="77777777" w:rsidTr="00597597">
        <w:trPr>
          <w:trHeight w:val="270"/>
        </w:trPr>
        <w:tc>
          <w:tcPr>
            <w:tcW w:w="742" w:type="pct"/>
            <w:vMerge/>
            <w:vAlign w:val="center"/>
            <w:hideMark/>
          </w:tcPr>
          <w:p w14:paraId="5C694001"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4CC95BD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63D58CD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307.178</w:t>
            </w:r>
          </w:p>
        </w:tc>
        <w:tc>
          <w:tcPr>
            <w:tcW w:w="339" w:type="pct"/>
            <w:vAlign w:val="center"/>
            <w:hideMark/>
          </w:tcPr>
          <w:p w14:paraId="1288FB5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2C1FB77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0.806</w:t>
            </w:r>
          </w:p>
        </w:tc>
        <w:tc>
          <w:tcPr>
            <w:tcW w:w="455" w:type="pct"/>
            <w:vAlign w:val="center"/>
            <w:hideMark/>
          </w:tcPr>
          <w:p w14:paraId="57CD144F"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7191059F"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63918651"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559535A2" w14:textId="77777777" w:rsidTr="00597597">
        <w:trPr>
          <w:trHeight w:val="270"/>
        </w:trPr>
        <w:tc>
          <w:tcPr>
            <w:tcW w:w="742" w:type="pct"/>
            <w:vMerge w:val="restart"/>
            <w:vAlign w:val="center"/>
            <w:hideMark/>
          </w:tcPr>
          <w:p w14:paraId="42C34087"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759" w:type="pct"/>
            <w:vAlign w:val="center"/>
            <w:hideMark/>
          </w:tcPr>
          <w:p w14:paraId="578F497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2F03476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2.004</w:t>
            </w:r>
          </w:p>
        </w:tc>
        <w:tc>
          <w:tcPr>
            <w:tcW w:w="339" w:type="pct"/>
            <w:vAlign w:val="center"/>
            <w:hideMark/>
          </w:tcPr>
          <w:p w14:paraId="2BD82CF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1F40D532"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1.002</w:t>
            </w:r>
          </w:p>
        </w:tc>
        <w:tc>
          <w:tcPr>
            <w:tcW w:w="455" w:type="pct"/>
            <w:vAlign w:val="center"/>
            <w:hideMark/>
          </w:tcPr>
          <w:p w14:paraId="153FA91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1.422</w:t>
            </w:r>
          </w:p>
        </w:tc>
        <w:tc>
          <w:tcPr>
            <w:tcW w:w="804" w:type="pct"/>
            <w:vAlign w:val="center"/>
            <w:hideMark/>
          </w:tcPr>
          <w:p w14:paraId="4647C87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0.243</w:t>
            </w:r>
          </w:p>
        </w:tc>
        <w:tc>
          <w:tcPr>
            <w:tcW w:w="459" w:type="pct"/>
            <w:vMerge w:val="restart"/>
            <w:vAlign w:val="center"/>
            <w:hideMark/>
          </w:tcPr>
          <w:p w14:paraId="4AE1DAD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0EC4D14A" w14:textId="77777777" w:rsidTr="00597597">
        <w:trPr>
          <w:trHeight w:val="270"/>
        </w:trPr>
        <w:tc>
          <w:tcPr>
            <w:tcW w:w="742" w:type="pct"/>
            <w:vMerge/>
            <w:vAlign w:val="center"/>
            <w:hideMark/>
          </w:tcPr>
          <w:p w14:paraId="58376549"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60358EC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01B2C89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268.573</w:t>
            </w:r>
          </w:p>
        </w:tc>
        <w:tc>
          <w:tcPr>
            <w:tcW w:w="339" w:type="pct"/>
            <w:vAlign w:val="center"/>
            <w:hideMark/>
          </w:tcPr>
          <w:p w14:paraId="42C675C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52A1A8E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0.705</w:t>
            </w:r>
          </w:p>
        </w:tc>
        <w:tc>
          <w:tcPr>
            <w:tcW w:w="455" w:type="pct"/>
            <w:vAlign w:val="center"/>
            <w:hideMark/>
          </w:tcPr>
          <w:p w14:paraId="1EDA0462"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2CE6E23E"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308238AB"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458709B8" w14:textId="77777777" w:rsidTr="00597597">
        <w:trPr>
          <w:trHeight w:val="270"/>
        </w:trPr>
        <w:tc>
          <w:tcPr>
            <w:tcW w:w="742" w:type="pct"/>
            <w:vMerge w:val="restart"/>
            <w:vAlign w:val="center"/>
            <w:hideMark/>
          </w:tcPr>
          <w:p w14:paraId="2F9DBD34"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759" w:type="pct"/>
            <w:vAlign w:val="center"/>
            <w:hideMark/>
          </w:tcPr>
          <w:p w14:paraId="51704C0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5C20B39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5.158</w:t>
            </w:r>
          </w:p>
        </w:tc>
        <w:tc>
          <w:tcPr>
            <w:tcW w:w="339" w:type="pct"/>
            <w:vAlign w:val="center"/>
            <w:hideMark/>
          </w:tcPr>
          <w:p w14:paraId="6D96203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335EA39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2.579</w:t>
            </w:r>
          </w:p>
        </w:tc>
        <w:tc>
          <w:tcPr>
            <w:tcW w:w="455" w:type="pct"/>
            <w:vAlign w:val="center"/>
            <w:hideMark/>
          </w:tcPr>
          <w:p w14:paraId="50B6A7F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2.67</w:t>
            </w:r>
          </w:p>
        </w:tc>
        <w:tc>
          <w:tcPr>
            <w:tcW w:w="804" w:type="pct"/>
            <w:vAlign w:val="center"/>
            <w:hideMark/>
          </w:tcPr>
          <w:p w14:paraId="0A561C2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0.071</w:t>
            </w:r>
          </w:p>
        </w:tc>
        <w:tc>
          <w:tcPr>
            <w:tcW w:w="459" w:type="pct"/>
            <w:vMerge w:val="restart"/>
            <w:vAlign w:val="center"/>
            <w:hideMark/>
          </w:tcPr>
          <w:p w14:paraId="2482B5D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03202747" w14:textId="77777777" w:rsidTr="00597597">
        <w:trPr>
          <w:trHeight w:val="270"/>
        </w:trPr>
        <w:tc>
          <w:tcPr>
            <w:tcW w:w="742" w:type="pct"/>
            <w:vMerge/>
            <w:vAlign w:val="center"/>
            <w:hideMark/>
          </w:tcPr>
          <w:p w14:paraId="688CA10C"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760B34F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26FB6E8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367.974</w:t>
            </w:r>
          </w:p>
        </w:tc>
        <w:tc>
          <w:tcPr>
            <w:tcW w:w="339" w:type="pct"/>
            <w:vAlign w:val="center"/>
            <w:hideMark/>
          </w:tcPr>
          <w:p w14:paraId="16CCDF1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4C96E38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0.966</w:t>
            </w:r>
          </w:p>
        </w:tc>
        <w:tc>
          <w:tcPr>
            <w:tcW w:w="455" w:type="pct"/>
            <w:vAlign w:val="center"/>
            <w:hideMark/>
          </w:tcPr>
          <w:p w14:paraId="53A35CAD"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3D274040"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25D8A434" w14:textId="77777777" w:rsidR="001D3D5D" w:rsidRPr="00B322FF" w:rsidRDefault="001D3D5D" w:rsidP="00B527E5">
            <w:pPr>
              <w:jc w:val="center"/>
              <w:rPr>
                <w:rFonts w:ascii="Simplified Arabic" w:eastAsia="Times New Roman" w:hAnsi="Simplified Arabic" w:cs="Simplified Arabic"/>
              </w:rPr>
            </w:pPr>
          </w:p>
        </w:tc>
      </w:tr>
    </w:tbl>
    <w:p w14:paraId="038F6DBE" w14:textId="77777777" w:rsidR="00A61A27" w:rsidRPr="001F421D" w:rsidRDefault="0089331B" w:rsidP="001F421D">
      <w:pPr>
        <w:spacing w:before="40" w:after="120"/>
        <w:rPr>
          <w:rFonts w:ascii="Simplified Arabic" w:hAnsi="Simplified Arabic" w:cs="Simplified Arabic"/>
          <w:i/>
          <w:sz w:val="22"/>
          <w:szCs w:val="22"/>
        </w:rPr>
      </w:pPr>
      <w:r w:rsidRPr="001F421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3071C62D" w14:textId="77777777" w:rsidR="001D3D5D" w:rsidRPr="00B322FF" w:rsidRDefault="001D3D5D" w:rsidP="00B527E5">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تشير النتائج الإحصائية الواردة في الجدول (</w:t>
      </w:r>
      <w:r w:rsidR="00956DF2">
        <w:rPr>
          <w:rFonts w:ascii="Simplified Arabic" w:hAnsi="Simplified Arabic" w:cs="Simplified Arabic" w:hint="cs"/>
          <w:sz w:val="28"/>
          <w:szCs w:val="28"/>
          <w:rtl/>
        </w:rPr>
        <w:t>٤-١٢</w:t>
      </w:r>
      <w:r w:rsidRPr="00B322FF">
        <w:rPr>
          <w:rFonts w:ascii="Simplified Arabic" w:hAnsi="Simplified Arabic" w:cs="Simplified Arabic" w:hint="cs"/>
          <w:sz w:val="28"/>
          <w:szCs w:val="28"/>
          <w:rtl/>
        </w:rPr>
        <w:t>) إلى عدم وجود فروق ذات دلالة إحصائية عند مستوى دلالة (0.05) في كافة المتغيرات الرئيسية للدراسة تبعاً لمتغير الدخل الشهري، حيث جاءت جميع قيم مستوى الدلالة (</w:t>
      </w:r>
      <w:r w:rsidRPr="00B322FF">
        <w:rPr>
          <w:rFonts w:ascii="Simplified Arabic" w:hAnsi="Simplified Arabic" w:cs="Simplified Arabic" w:hint="cs"/>
          <w:sz w:val="28"/>
          <w:szCs w:val="28"/>
          <w:lang w:bidi="ar-YE"/>
        </w:rPr>
        <w:t>Sig</w:t>
      </w:r>
      <w:r w:rsidRPr="00B322FF">
        <w:rPr>
          <w:rFonts w:ascii="Simplified Arabic" w:hAnsi="Simplified Arabic" w:cs="Simplified Arabic" w:hint="cs"/>
          <w:sz w:val="28"/>
          <w:szCs w:val="28"/>
          <w:rtl/>
        </w:rPr>
        <w:t>) أكبر من القيمة المعتمدة؛ ففي محور أثر التحول الصحي بلغت (0.649)، وفي بيئة العمل النفسية (0.521)، وفي رفاهية الموظفين (0.243)، وفي الاحتراق الوظيفي (0.071).</w:t>
      </w:r>
    </w:p>
    <w:p w14:paraId="17CC8702"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بناءً على هذه النتائج، لا تختلف تصورات المبحوثين حول أثر التحول الصحي أو مستوى رفاهيتهم وبيئة عملهم النفسية، كما لا يختلف مستوى تأثرهم بالاحتراق الوظيفي باختلاف مستويات دخلهم الشهري، مما يشير إلى أن العوامل المعنوية والتنظيمية في القطاع الصحي هي المحرك الأساسي لإدراك الموظف لبيئته بعيداً عن الفوارق المادية المباشرة.</w:t>
      </w:r>
    </w:p>
    <w:p w14:paraId="1C6421AF" w14:textId="77777777" w:rsidR="001D3D5D" w:rsidRPr="00B322FF" w:rsidRDefault="001D3D5D" w:rsidP="006C4CDD">
      <w:pPr>
        <w:pStyle w:val="ac"/>
        <w:numPr>
          <w:ilvl w:val="0"/>
          <w:numId w:val="14"/>
        </w:numPr>
        <w:bidi/>
        <w:jc w:val="both"/>
        <w:rPr>
          <w:rFonts w:ascii="Simplified Arabic" w:hAnsi="Simplified Arabic" w:cs="Simplified Arabic"/>
          <w:b/>
          <w:bCs/>
          <w:sz w:val="32"/>
          <w:szCs w:val="32"/>
          <w:rtl/>
        </w:rPr>
      </w:pPr>
      <w:r w:rsidRPr="00B322FF">
        <w:rPr>
          <w:rFonts w:hint="cs"/>
          <w:sz w:val="28"/>
          <w:szCs w:val="28"/>
          <w:rtl/>
        </w:rPr>
        <w:t>​</w:t>
      </w:r>
      <w:r w:rsidRPr="00B322FF">
        <w:rPr>
          <w:rFonts w:ascii="Simplified Arabic" w:hAnsi="Simplified Arabic" w:cs="Simplified Arabic" w:hint="cs"/>
          <w:b/>
          <w:bCs/>
          <w:sz w:val="32"/>
          <w:szCs w:val="32"/>
          <w:rtl/>
        </w:rPr>
        <w:t>الفروق تبعاً لمتغير الحالة الاجتماعية</w:t>
      </w:r>
    </w:p>
    <w:p w14:paraId="486CF4C4"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lastRenderedPageBreak/>
        <w:t>​</w:t>
      </w:r>
      <w:r w:rsidRPr="00B322FF">
        <w:rPr>
          <w:rFonts w:ascii="Simplified Arabic" w:hAnsi="Simplified Arabic" w:cs="Simplified Arabic" w:hint="cs"/>
          <w:sz w:val="28"/>
          <w:szCs w:val="28"/>
          <w:rtl/>
        </w:rPr>
        <w:t>للتحقق من وجود فروق ذات دلالة إحصائية بين متوسطات استجابات المبحوثين (أعزب، متزوج، أخرى) تجاه متغيرات الدراسة، تم استخدام تحليل التباين الأحادي (</w:t>
      </w:r>
      <w:r w:rsidRPr="00B322FF">
        <w:rPr>
          <w:rFonts w:ascii="Simplified Arabic" w:hAnsi="Simplified Arabic" w:cs="Simplified Arabic" w:hint="cs"/>
          <w:sz w:val="28"/>
          <w:szCs w:val="28"/>
          <w:lang w:bidi="ar-YE"/>
        </w:rPr>
        <w:t>One-Way ANOVA</w:t>
      </w:r>
      <w:r w:rsidRPr="00B322FF">
        <w:rPr>
          <w:rFonts w:ascii="Simplified Arabic" w:hAnsi="Simplified Arabic" w:cs="Simplified Arabic" w:hint="cs"/>
          <w:sz w:val="28"/>
          <w:szCs w:val="28"/>
          <w:rtl/>
        </w:rPr>
        <w:t>). وتوضح النتائج في الجدول التالي المخرجات الإحصائية لهذا الاختبار:</w:t>
      </w:r>
    </w:p>
    <w:p w14:paraId="16F6D3E7" w14:textId="77777777" w:rsidR="001D3D5D" w:rsidRPr="00B322FF" w:rsidRDefault="001D3D5D" w:rsidP="00B527E5">
      <w:pPr>
        <w:pStyle w:val="ac"/>
        <w:bidi/>
        <w:jc w:val="center"/>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b/>
          <w:bCs/>
          <w:kern w:val="2"/>
          <w:rtl/>
          <w14:ligatures w14:val="standardContextual"/>
        </w:rPr>
        <w:t>جدول (</w:t>
      </w:r>
      <w:r w:rsidR="006D3814">
        <w:rPr>
          <w:rFonts w:ascii="Simplified Arabic" w:hAnsi="Simplified Arabic" w:cs="Simplified Arabic" w:hint="cs"/>
          <w:b/>
          <w:bCs/>
          <w:kern w:val="2"/>
          <w:rtl/>
          <w14:ligatures w14:val="standardContextual"/>
        </w:rPr>
        <w:t>٤-١٣</w:t>
      </w:r>
      <w:r w:rsidRPr="00B322FF">
        <w:rPr>
          <w:rFonts w:ascii="Simplified Arabic" w:hAnsi="Simplified Arabic" w:cs="Simplified Arabic" w:hint="cs"/>
          <w:b/>
          <w:bCs/>
          <w:kern w:val="2"/>
          <w:rtl/>
          <w14:ligatures w14:val="standardContextual"/>
        </w:rPr>
        <w:t>): نتائج تحليل التباين الأحادي للفروق وفقاً للحالة الاجتماعية</w:t>
      </w:r>
    </w:p>
    <w:tbl>
      <w:tblPr>
        <w:tblStyle w:val="af"/>
        <w:bidiVisual/>
        <w:tblW w:w="5000" w:type="pct"/>
        <w:tblLook w:val="04A0" w:firstRow="1" w:lastRow="0" w:firstColumn="1" w:lastColumn="0" w:noHBand="0" w:noVBand="1"/>
      </w:tblPr>
      <w:tblGrid>
        <w:gridCol w:w="1338"/>
        <w:gridCol w:w="1369"/>
        <w:gridCol w:w="1343"/>
        <w:gridCol w:w="611"/>
        <w:gridCol w:w="1259"/>
        <w:gridCol w:w="820"/>
        <w:gridCol w:w="1450"/>
        <w:gridCol w:w="826"/>
      </w:tblGrid>
      <w:tr w:rsidR="001D3D5D" w:rsidRPr="00B322FF" w14:paraId="0A29A2E3" w14:textId="77777777" w:rsidTr="00597597">
        <w:trPr>
          <w:trHeight w:val="270"/>
        </w:trPr>
        <w:tc>
          <w:tcPr>
            <w:tcW w:w="742" w:type="pct"/>
            <w:vAlign w:val="center"/>
            <w:hideMark/>
          </w:tcPr>
          <w:p w14:paraId="162C1073" w14:textId="77777777" w:rsidR="001D3D5D" w:rsidRPr="00B322FF" w:rsidRDefault="001D3D5D" w:rsidP="00B527E5">
            <w:pPr>
              <w:jc w:val="center"/>
              <w:rPr>
                <w:rFonts w:ascii="Simplified Arabic" w:eastAsia="Times New Roman" w:hAnsi="Simplified Arabic" w:cs="Simplified Arabic"/>
                <w:b/>
                <w:bCs/>
                <w:kern w:val="0"/>
                <w14:ligatures w14:val="none"/>
              </w:rPr>
            </w:pPr>
            <w:r w:rsidRPr="00B322FF">
              <w:rPr>
                <w:rFonts w:ascii="Simplified Arabic" w:eastAsia="Times New Roman" w:hAnsi="Simplified Arabic" w:cs="Simplified Arabic" w:hint="cs"/>
                <w:b/>
                <w:bCs/>
                <w:rtl/>
              </w:rPr>
              <w:t>المتغير</w:t>
            </w:r>
          </w:p>
        </w:tc>
        <w:tc>
          <w:tcPr>
            <w:tcW w:w="759" w:type="pct"/>
            <w:vAlign w:val="center"/>
            <w:hideMark/>
          </w:tcPr>
          <w:p w14:paraId="337FC2D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مصدر التباين</w:t>
            </w:r>
          </w:p>
        </w:tc>
        <w:tc>
          <w:tcPr>
            <w:tcW w:w="745" w:type="pct"/>
            <w:vAlign w:val="center"/>
            <w:hideMark/>
          </w:tcPr>
          <w:p w14:paraId="4762EC1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مجموع المربعات</w:t>
            </w:r>
          </w:p>
        </w:tc>
        <w:tc>
          <w:tcPr>
            <w:tcW w:w="339" w:type="pct"/>
            <w:vAlign w:val="center"/>
            <w:hideMark/>
          </w:tcPr>
          <w:p w14:paraId="39078EA9"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df</w:t>
            </w:r>
          </w:p>
        </w:tc>
        <w:tc>
          <w:tcPr>
            <w:tcW w:w="698" w:type="pct"/>
            <w:vAlign w:val="center"/>
            <w:hideMark/>
          </w:tcPr>
          <w:p w14:paraId="71F8C99A"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متوسط المربعات</w:t>
            </w:r>
          </w:p>
        </w:tc>
        <w:tc>
          <w:tcPr>
            <w:tcW w:w="455" w:type="pct"/>
            <w:vAlign w:val="center"/>
            <w:hideMark/>
          </w:tcPr>
          <w:p w14:paraId="705AFB79"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Pr>
              <w:t>F</w:t>
            </w:r>
          </w:p>
        </w:tc>
        <w:tc>
          <w:tcPr>
            <w:tcW w:w="804" w:type="pct"/>
            <w:vAlign w:val="center"/>
            <w:hideMark/>
          </w:tcPr>
          <w:p w14:paraId="6D6E4BC3"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مستوى الدلالة (</w:t>
            </w:r>
            <w:r w:rsidRPr="00B322FF">
              <w:rPr>
                <w:rFonts w:ascii="Simplified Arabic" w:eastAsia="Times New Roman" w:hAnsi="Simplified Arabic" w:cs="Simplified Arabic" w:hint="cs"/>
                <w:b/>
                <w:bCs/>
              </w:rPr>
              <w:t>Sig</w:t>
            </w:r>
            <w:r w:rsidRPr="00B322FF">
              <w:rPr>
                <w:rFonts w:ascii="Simplified Arabic" w:eastAsia="Times New Roman" w:hAnsi="Simplified Arabic" w:cs="Simplified Arabic" w:hint="cs"/>
                <w:b/>
                <w:bCs/>
                <w:rtl/>
              </w:rPr>
              <w:t>)</w:t>
            </w:r>
          </w:p>
        </w:tc>
        <w:tc>
          <w:tcPr>
            <w:tcW w:w="459" w:type="pct"/>
            <w:vAlign w:val="center"/>
            <w:hideMark/>
          </w:tcPr>
          <w:p w14:paraId="3B5D6CF4"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النتيجة</w:t>
            </w:r>
          </w:p>
        </w:tc>
      </w:tr>
      <w:tr w:rsidR="001D3D5D" w:rsidRPr="00B322FF" w14:paraId="4B52BBD6" w14:textId="77777777" w:rsidTr="00597597">
        <w:trPr>
          <w:trHeight w:val="270"/>
        </w:trPr>
        <w:tc>
          <w:tcPr>
            <w:tcW w:w="742" w:type="pct"/>
            <w:vMerge w:val="restart"/>
            <w:vAlign w:val="center"/>
            <w:hideMark/>
          </w:tcPr>
          <w:p w14:paraId="7A5A948F" w14:textId="77777777" w:rsidR="001D3D5D" w:rsidRPr="00B322FF" w:rsidRDefault="001D3D5D" w:rsidP="00B527E5">
            <w:pPr>
              <w:jc w:val="center"/>
              <w:rPr>
                <w:rFonts w:ascii="Simplified Arabic" w:eastAsia="Times New Roman" w:hAnsi="Simplified Arabic" w:cs="Simplified Arabic"/>
                <w:b/>
                <w:bCs/>
                <w:rtl/>
              </w:rPr>
            </w:pPr>
            <w:r w:rsidRPr="00B322FF">
              <w:rPr>
                <w:rFonts w:ascii="Simplified Arabic" w:eastAsia="Times New Roman" w:hAnsi="Simplified Arabic" w:cs="Simplified Arabic" w:hint="cs"/>
                <w:b/>
                <w:bCs/>
                <w:rtl/>
              </w:rPr>
              <w:t>التحول الصحي</w:t>
            </w:r>
          </w:p>
        </w:tc>
        <w:tc>
          <w:tcPr>
            <w:tcW w:w="759" w:type="pct"/>
            <w:vAlign w:val="center"/>
            <w:hideMark/>
          </w:tcPr>
          <w:p w14:paraId="000237B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701F8A5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1.586</w:t>
            </w:r>
          </w:p>
        </w:tc>
        <w:tc>
          <w:tcPr>
            <w:tcW w:w="339" w:type="pct"/>
            <w:vAlign w:val="center"/>
            <w:hideMark/>
          </w:tcPr>
          <w:p w14:paraId="050B344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19E1550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0.793</w:t>
            </w:r>
          </w:p>
        </w:tc>
        <w:tc>
          <w:tcPr>
            <w:tcW w:w="455" w:type="pct"/>
            <w:vAlign w:val="center"/>
            <w:hideMark/>
          </w:tcPr>
          <w:p w14:paraId="74886B3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1.145</w:t>
            </w:r>
          </w:p>
        </w:tc>
        <w:tc>
          <w:tcPr>
            <w:tcW w:w="804" w:type="pct"/>
            <w:vAlign w:val="center"/>
            <w:hideMark/>
          </w:tcPr>
          <w:p w14:paraId="3087517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0.319</w:t>
            </w:r>
          </w:p>
        </w:tc>
        <w:tc>
          <w:tcPr>
            <w:tcW w:w="459" w:type="pct"/>
            <w:vMerge w:val="restart"/>
            <w:vAlign w:val="center"/>
            <w:hideMark/>
          </w:tcPr>
          <w:p w14:paraId="524C11C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21BF3C65" w14:textId="77777777" w:rsidTr="00597597">
        <w:trPr>
          <w:trHeight w:val="270"/>
        </w:trPr>
        <w:tc>
          <w:tcPr>
            <w:tcW w:w="742" w:type="pct"/>
            <w:vMerge/>
            <w:vAlign w:val="center"/>
            <w:hideMark/>
          </w:tcPr>
          <w:p w14:paraId="3FFCD197"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6101675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0DE589F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263.922</w:t>
            </w:r>
          </w:p>
        </w:tc>
        <w:tc>
          <w:tcPr>
            <w:tcW w:w="339" w:type="pct"/>
            <w:vAlign w:val="center"/>
            <w:hideMark/>
          </w:tcPr>
          <w:p w14:paraId="39EB502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136FC11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0.693</w:t>
            </w:r>
          </w:p>
        </w:tc>
        <w:tc>
          <w:tcPr>
            <w:tcW w:w="455" w:type="pct"/>
            <w:vAlign w:val="center"/>
            <w:hideMark/>
          </w:tcPr>
          <w:p w14:paraId="414E602C"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76CC5E42"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194907DC"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3E5A5A84" w14:textId="77777777" w:rsidTr="00597597">
        <w:trPr>
          <w:trHeight w:val="270"/>
        </w:trPr>
        <w:tc>
          <w:tcPr>
            <w:tcW w:w="742" w:type="pct"/>
            <w:vMerge w:val="restart"/>
            <w:vAlign w:val="center"/>
            <w:hideMark/>
          </w:tcPr>
          <w:p w14:paraId="407CAE61"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بيئة العمل النفسية</w:t>
            </w:r>
          </w:p>
        </w:tc>
        <w:tc>
          <w:tcPr>
            <w:tcW w:w="759" w:type="pct"/>
            <w:vAlign w:val="center"/>
            <w:hideMark/>
          </w:tcPr>
          <w:p w14:paraId="0A3AA83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07540BD1"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0.456</w:t>
            </w:r>
          </w:p>
        </w:tc>
        <w:tc>
          <w:tcPr>
            <w:tcW w:w="339" w:type="pct"/>
            <w:vAlign w:val="center"/>
            <w:hideMark/>
          </w:tcPr>
          <w:p w14:paraId="3E560F7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069D21F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0.228</w:t>
            </w:r>
          </w:p>
        </w:tc>
        <w:tc>
          <w:tcPr>
            <w:tcW w:w="455" w:type="pct"/>
            <w:vAlign w:val="center"/>
            <w:hideMark/>
          </w:tcPr>
          <w:p w14:paraId="552C449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0.282</w:t>
            </w:r>
          </w:p>
        </w:tc>
        <w:tc>
          <w:tcPr>
            <w:tcW w:w="804" w:type="pct"/>
            <w:vAlign w:val="center"/>
            <w:hideMark/>
          </w:tcPr>
          <w:p w14:paraId="1E4F27A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0.754</w:t>
            </w:r>
          </w:p>
        </w:tc>
        <w:tc>
          <w:tcPr>
            <w:tcW w:w="459" w:type="pct"/>
            <w:vMerge w:val="restart"/>
            <w:vAlign w:val="center"/>
            <w:hideMark/>
          </w:tcPr>
          <w:p w14:paraId="5DAFDA6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129DA827" w14:textId="77777777" w:rsidTr="00597597">
        <w:trPr>
          <w:trHeight w:val="270"/>
        </w:trPr>
        <w:tc>
          <w:tcPr>
            <w:tcW w:w="742" w:type="pct"/>
            <w:vMerge/>
            <w:vAlign w:val="center"/>
            <w:hideMark/>
          </w:tcPr>
          <w:p w14:paraId="2B4F3D2A"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19EA4B7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4C5E4B4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307.775</w:t>
            </w:r>
          </w:p>
        </w:tc>
        <w:tc>
          <w:tcPr>
            <w:tcW w:w="339" w:type="pct"/>
            <w:vAlign w:val="center"/>
            <w:hideMark/>
          </w:tcPr>
          <w:p w14:paraId="587AD954"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7BF052F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0.808</w:t>
            </w:r>
          </w:p>
        </w:tc>
        <w:tc>
          <w:tcPr>
            <w:tcW w:w="455" w:type="pct"/>
            <w:vAlign w:val="center"/>
            <w:hideMark/>
          </w:tcPr>
          <w:p w14:paraId="4DACAE31"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74A3786C"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3E4FB348"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6F36E11F" w14:textId="77777777" w:rsidTr="00597597">
        <w:trPr>
          <w:trHeight w:val="270"/>
        </w:trPr>
        <w:tc>
          <w:tcPr>
            <w:tcW w:w="742" w:type="pct"/>
            <w:vMerge w:val="restart"/>
            <w:vAlign w:val="center"/>
            <w:hideMark/>
          </w:tcPr>
          <w:p w14:paraId="45488F39"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رفاهية الموظفين</w:t>
            </w:r>
          </w:p>
        </w:tc>
        <w:tc>
          <w:tcPr>
            <w:tcW w:w="759" w:type="pct"/>
            <w:vAlign w:val="center"/>
            <w:hideMark/>
          </w:tcPr>
          <w:p w14:paraId="0BAB5A3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47B1E2E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0.527</w:t>
            </w:r>
          </w:p>
        </w:tc>
        <w:tc>
          <w:tcPr>
            <w:tcW w:w="339" w:type="pct"/>
            <w:vAlign w:val="center"/>
            <w:hideMark/>
          </w:tcPr>
          <w:p w14:paraId="0E5989DD"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1C0A98A3"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0.263</w:t>
            </w:r>
          </w:p>
        </w:tc>
        <w:tc>
          <w:tcPr>
            <w:tcW w:w="455" w:type="pct"/>
            <w:vAlign w:val="center"/>
            <w:hideMark/>
          </w:tcPr>
          <w:p w14:paraId="5D8E6547"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0.372</w:t>
            </w:r>
          </w:p>
        </w:tc>
        <w:tc>
          <w:tcPr>
            <w:tcW w:w="804" w:type="pct"/>
            <w:vAlign w:val="center"/>
            <w:hideMark/>
          </w:tcPr>
          <w:p w14:paraId="3AD03A3F"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0.69</w:t>
            </w:r>
          </w:p>
        </w:tc>
        <w:tc>
          <w:tcPr>
            <w:tcW w:w="459" w:type="pct"/>
            <w:vMerge w:val="restart"/>
            <w:vAlign w:val="center"/>
            <w:hideMark/>
          </w:tcPr>
          <w:p w14:paraId="61575A7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6DF81FDD" w14:textId="77777777" w:rsidTr="00597597">
        <w:trPr>
          <w:trHeight w:val="270"/>
        </w:trPr>
        <w:tc>
          <w:tcPr>
            <w:tcW w:w="742" w:type="pct"/>
            <w:vMerge/>
            <w:vAlign w:val="center"/>
            <w:hideMark/>
          </w:tcPr>
          <w:p w14:paraId="27674432"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3FAFF53A"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5C5F7B59"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270.051</w:t>
            </w:r>
          </w:p>
        </w:tc>
        <w:tc>
          <w:tcPr>
            <w:tcW w:w="339" w:type="pct"/>
            <w:vAlign w:val="center"/>
            <w:hideMark/>
          </w:tcPr>
          <w:p w14:paraId="560BF7E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243201FB"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0.709</w:t>
            </w:r>
          </w:p>
        </w:tc>
        <w:tc>
          <w:tcPr>
            <w:tcW w:w="455" w:type="pct"/>
            <w:vAlign w:val="center"/>
            <w:hideMark/>
          </w:tcPr>
          <w:p w14:paraId="2D82C257"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0C665A60"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4DA5D563" w14:textId="77777777" w:rsidR="001D3D5D" w:rsidRPr="00B322FF" w:rsidRDefault="001D3D5D" w:rsidP="00B527E5">
            <w:pPr>
              <w:jc w:val="center"/>
              <w:rPr>
                <w:rFonts w:ascii="Simplified Arabic" w:eastAsia="Times New Roman" w:hAnsi="Simplified Arabic" w:cs="Simplified Arabic"/>
              </w:rPr>
            </w:pPr>
          </w:p>
        </w:tc>
      </w:tr>
      <w:tr w:rsidR="001D3D5D" w:rsidRPr="00B322FF" w14:paraId="3C7C7BA2" w14:textId="77777777" w:rsidTr="00597597">
        <w:trPr>
          <w:trHeight w:val="270"/>
        </w:trPr>
        <w:tc>
          <w:tcPr>
            <w:tcW w:w="742" w:type="pct"/>
            <w:vMerge w:val="restart"/>
            <w:vAlign w:val="center"/>
            <w:hideMark/>
          </w:tcPr>
          <w:p w14:paraId="62EB4683" w14:textId="77777777" w:rsidR="001D3D5D" w:rsidRPr="00B322FF" w:rsidRDefault="001D3D5D" w:rsidP="00B527E5">
            <w:pPr>
              <w:jc w:val="center"/>
              <w:rPr>
                <w:rFonts w:ascii="Simplified Arabic" w:eastAsia="Times New Roman" w:hAnsi="Simplified Arabic" w:cs="Simplified Arabic"/>
                <w:b/>
                <w:bCs/>
              </w:rPr>
            </w:pPr>
            <w:r w:rsidRPr="00B322FF">
              <w:rPr>
                <w:rFonts w:ascii="Simplified Arabic" w:eastAsia="Times New Roman" w:hAnsi="Simplified Arabic" w:cs="Simplified Arabic" w:hint="cs"/>
                <w:b/>
                <w:bCs/>
                <w:rtl/>
              </w:rPr>
              <w:t>الاحتراق الوظيفي</w:t>
            </w:r>
          </w:p>
        </w:tc>
        <w:tc>
          <w:tcPr>
            <w:tcW w:w="759" w:type="pct"/>
            <w:vAlign w:val="center"/>
            <w:hideMark/>
          </w:tcPr>
          <w:p w14:paraId="76FCF8B6"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بين المجموعات</w:t>
            </w:r>
          </w:p>
        </w:tc>
        <w:tc>
          <w:tcPr>
            <w:tcW w:w="745" w:type="pct"/>
            <w:vAlign w:val="center"/>
            <w:hideMark/>
          </w:tcPr>
          <w:p w14:paraId="61DE584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2.921</w:t>
            </w:r>
          </w:p>
        </w:tc>
        <w:tc>
          <w:tcPr>
            <w:tcW w:w="339" w:type="pct"/>
            <w:vAlign w:val="center"/>
            <w:hideMark/>
          </w:tcPr>
          <w:p w14:paraId="29EC6BF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2</w:t>
            </w:r>
          </w:p>
        </w:tc>
        <w:tc>
          <w:tcPr>
            <w:tcW w:w="698" w:type="pct"/>
            <w:vAlign w:val="center"/>
            <w:hideMark/>
          </w:tcPr>
          <w:p w14:paraId="6DF5A41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1.461</w:t>
            </w:r>
          </w:p>
        </w:tc>
        <w:tc>
          <w:tcPr>
            <w:tcW w:w="455" w:type="pct"/>
            <w:vAlign w:val="center"/>
            <w:hideMark/>
          </w:tcPr>
          <w:p w14:paraId="03A5C2C8"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1.503</w:t>
            </w:r>
          </w:p>
        </w:tc>
        <w:tc>
          <w:tcPr>
            <w:tcW w:w="804" w:type="pct"/>
            <w:vAlign w:val="center"/>
            <w:hideMark/>
          </w:tcPr>
          <w:p w14:paraId="092E28D5"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0.224</w:t>
            </w:r>
          </w:p>
        </w:tc>
        <w:tc>
          <w:tcPr>
            <w:tcW w:w="459" w:type="pct"/>
            <w:vMerge w:val="restart"/>
            <w:vAlign w:val="center"/>
            <w:hideMark/>
          </w:tcPr>
          <w:p w14:paraId="4AE1335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غير دالة</w:t>
            </w:r>
          </w:p>
        </w:tc>
      </w:tr>
      <w:tr w:rsidR="001D3D5D" w:rsidRPr="00B322FF" w14:paraId="0308E2EE" w14:textId="77777777" w:rsidTr="00597597">
        <w:trPr>
          <w:trHeight w:val="270"/>
        </w:trPr>
        <w:tc>
          <w:tcPr>
            <w:tcW w:w="742" w:type="pct"/>
            <w:vMerge/>
            <w:vAlign w:val="center"/>
            <w:hideMark/>
          </w:tcPr>
          <w:p w14:paraId="0E9FD191" w14:textId="77777777" w:rsidR="001D3D5D" w:rsidRPr="00B322FF" w:rsidRDefault="001D3D5D" w:rsidP="00B527E5">
            <w:pPr>
              <w:jc w:val="center"/>
              <w:rPr>
                <w:rFonts w:ascii="Simplified Arabic" w:eastAsia="Times New Roman" w:hAnsi="Simplified Arabic" w:cs="Simplified Arabic"/>
                <w:b/>
                <w:bCs/>
              </w:rPr>
            </w:pPr>
          </w:p>
        </w:tc>
        <w:tc>
          <w:tcPr>
            <w:tcW w:w="759" w:type="pct"/>
            <w:vAlign w:val="center"/>
            <w:hideMark/>
          </w:tcPr>
          <w:p w14:paraId="243767BE"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داخل المجموعات</w:t>
            </w:r>
          </w:p>
        </w:tc>
        <w:tc>
          <w:tcPr>
            <w:tcW w:w="745" w:type="pct"/>
            <w:vAlign w:val="center"/>
            <w:hideMark/>
          </w:tcPr>
          <w:p w14:paraId="7C93A31C"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370.21</w:t>
            </w:r>
          </w:p>
        </w:tc>
        <w:tc>
          <w:tcPr>
            <w:tcW w:w="339" w:type="pct"/>
            <w:vAlign w:val="center"/>
            <w:hideMark/>
          </w:tcPr>
          <w:p w14:paraId="46E5672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381</w:t>
            </w:r>
          </w:p>
        </w:tc>
        <w:tc>
          <w:tcPr>
            <w:tcW w:w="698" w:type="pct"/>
            <w:vAlign w:val="center"/>
            <w:hideMark/>
          </w:tcPr>
          <w:p w14:paraId="69B21D80" w14:textId="77777777" w:rsidR="001D3D5D" w:rsidRPr="00B322FF" w:rsidRDefault="001D3D5D" w:rsidP="00B527E5">
            <w:pPr>
              <w:jc w:val="center"/>
              <w:rPr>
                <w:rFonts w:ascii="Simplified Arabic" w:eastAsia="Times New Roman" w:hAnsi="Simplified Arabic" w:cs="Simplified Arabic"/>
                <w:rtl/>
              </w:rPr>
            </w:pPr>
            <w:r w:rsidRPr="00B322FF">
              <w:rPr>
                <w:rFonts w:ascii="Simplified Arabic" w:eastAsia="Times New Roman" w:hAnsi="Simplified Arabic" w:cs="Simplified Arabic" w:hint="cs"/>
                <w:rtl/>
              </w:rPr>
              <w:t>0.972</w:t>
            </w:r>
          </w:p>
        </w:tc>
        <w:tc>
          <w:tcPr>
            <w:tcW w:w="455" w:type="pct"/>
            <w:vAlign w:val="center"/>
            <w:hideMark/>
          </w:tcPr>
          <w:p w14:paraId="7122A066" w14:textId="77777777" w:rsidR="001D3D5D" w:rsidRPr="00B322FF" w:rsidRDefault="001D3D5D" w:rsidP="00B527E5">
            <w:pPr>
              <w:jc w:val="center"/>
              <w:rPr>
                <w:rFonts w:ascii="Simplified Arabic" w:eastAsia="Times New Roman" w:hAnsi="Simplified Arabic" w:cs="Simplified Arabic"/>
                <w:rtl/>
              </w:rPr>
            </w:pPr>
          </w:p>
        </w:tc>
        <w:tc>
          <w:tcPr>
            <w:tcW w:w="804" w:type="pct"/>
            <w:vAlign w:val="center"/>
            <w:hideMark/>
          </w:tcPr>
          <w:p w14:paraId="58704E48" w14:textId="77777777" w:rsidR="001D3D5D" w:rsidRPr="00B322FF" w:rsidRDefault="001D3D5D" w:rsidP="00B527E5">
            <w:pPr>
              <w:jc w:val="center"/>
              <w:rPr>
                <w:rFonts w:ascii="Simplified Arabic" w:eastAsia="Times New Roman" w:hAnsi="Simplified Arabic" w:cs="Simplified Arabic"/>
              </w:rPr>
            </w:pPr>
          </w:p>
        </w:tc>
        <w:tc>
          <w:tcPr>
            <w:tcW w:w="459" w:type="pct"/>
            <w:vMerge/>
            <w:vAlign w:val="center"/>
            <w:hideMark/>
          </w:tcPr>
          <w:p w14:paraId="67780947" w14:textId="77777777" w:rsidR="001D3D5D" w:rsidRPr="00B322FF" w:rsidRDefault="001D3D5D" w:rsidP="00B527E5">
            <w:pPr>
              <w:jc w:val="center"/>
              <w:rPr>
                <w:rFonts w:ascii="Simplified Arabic" w:eastAsia="Times New Roman" w:hAnsi="Simplified Arabic" w:cs="Simplified Arabic"/>
              </w:rPr>
            </w:pPr>
          </w:p>
        </w:tc>
      </w:tr>
    </w:tbl>
    <w:p w14:paraId="06F67ACA" w14:textId="77777777" w:rsidR="00A61A27" w:rsidRPr="001F421D" w:rsidRDefault="0089331B" w:rsidP="001F421D">
      <w:pPr>
        <w:spacing w:before="40" w:after="120"/>
        <w:rPr>
          <w:rFonts w:ascii="Simplified Arabic" w:hAnsi="Simplified Arabic" w:cs="Simplified Arabic"/>
          <w:i/>
          <w:sz w:val="22"/>
          <w:szCs w:val="22"/>
        </w:rPr>
      </w:pPr>
      <w:r w:rsidRPr="001F421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38D13EF3" w14:textId="77777777" w:rsidR="001D3D5D" w:rsidRPr="00B322FF" w:rsidRDefault="001D3D5D" w:rsidP="00B527E5">
      <w:pPr>
        <w:pStyle w:val="ac"/>
        <w:bidi/>
        <w:jc w:val="both"/>
        <w:rPr>
          <w:rFonts w:ascii="Simplified Arabic" w:hAnsi="Simplified Arabic" w:cs="Simplified Arabic"/>
          <w:sz w:val="28"/>
          <w:szCs w:val="28"/>
        </w:rPr>
      </w:pPr>
      <w:r w:rsidRPr="00B322FF">
        <w:rPr>
          <w:rFonts w:ascii="Simplified Arabic" w:hAnsi="Simplified Arabic" w:cs="Simplified Arabic" w:hint="cs"/>
          <w:sz w:val="28"/>
          <w:szCs w:val="28"/>
          <w:rtl/>
        </w:rPr>
        <w:t>يتضح من الجدول (</w:t>
      </w:r>
      <w:r w:rsidR="00962FBD">
        <w:rPr>
          <w:rFonts w:ascii="Simplified Arabic" w:hAnsi="Simplified Arabic" w:cs="Simplified Arabic" w:hint="cs"/>
          <w:sz w:val="28"/>
          <w:szCs w:val="28"/>
          <w:rtl/>
        </w:rPr>
        <w:t>٤-١٣</w:t>
      </w:r>
      <w:r w:rsidRPr="00B322FF">
        <w:rPr>
          <w:rFonts w:ascii="Simplified Arabic" w:hAnsi="Simplified Arabic" w:cs="Simplified Arabic" w:hint="cs"/>
          <w:sz w:val="28"/>
          <w:szCs w:val="28"/>
          <w:rtl/>
        </w:rPr>
        <w:t>) عدم وجود فروق ذات دلالة إحصائية عند مستوى دلالة (0.05) في جميع محاور الدراسة وفقاً لمتغير الحالة الاجتماعية؛ حيث جاءت جميع قيم مستوى الدلالة (</w:t>
      </w:r>
      <w:r w:rsidRPr="00B322FF">
        <w:rPr>
          <w:rFonts w:ascii="Simplified Arabic" w:hAnsi="Simplified Arabic" w:cs="Simplified Arabic" w:hint="cs"/>
          <w:sz w:val="28"/>
          <w:szCs w:val="28"/>
          <w:lang w:bidi="ar-YE"/>
        </w:rPr>
        <w:t>Sig</w:t>
      </w:r>
      <w:r w:rsidRPr="00B322FF">
        <w:rPr>
          <w:rFonts w:ascii="Simplified Arabic" w:hAnsi="Simplified Arabic" w:cs="Simplified Arabic" w:hint="cs"/>
          <w:sz w:val="28"/>
          <w:szCs w:val="28"/>
          <w:rtl/>
        </w:rPr>
        <w:t>) أكبر من القيمة المعتمدة؛ فبلغت في محور أثر التحول الصحي (0.319)، وفي بيئة العمل النفسية المستدامة (0.754)، وفي رفاهية الموظفين (0.690)، وفي الاحتراق الوظيفي (0.224).</w:t>
      </w:r>
    </w:p>
    <w:p w14:paraId="4E68B726" w14:textId="77777777" w:rsidR="001D3D5D" w:rsidRPr="00B322FF" w:rsidRDefault="001D3D5D" w:rsidP="00B527E5">
      <w:pPr>
        <w:pStyle w:val="ac"/>
        <w:bidi/>
        <w:jc w:val="both"/>
        <w:rPr>
          <w:rFonts w:ascii="Simplified Arabic" w:hAnsi="Simplified Arabic" w:cs="Simplified Arabic"/>
          <w:sz w:val="28"/>
          <w:szCs w:val="28"/>
          <w:rtl/>
        </w:rPr>
      </w:pPr>
      <w:r w:rsidRPr="00B322FF">
        <w:rPr>
          <w:rFonts w:hint="cs"/>
          <w:sz w:val="28"/>
          <w:szCs w:val="28"/>
          <w:rtl/>
        </w:rPr>
        <w:t>​</w:t>
      </w:r>
      <w:r w:rsidRPr="00B322FF">
        <w:rPr>
          <w:rFonts w:ascii="Simplified Arabic" w:hAnsi="Simplified Arabic" w:cs="Simplified Arabic" w:hint="cs"/>
          <w:sz w:val="28"/>
          <w:szCs w:val="28"/>
          <w:rtl/>
        </w:rPr>
        <w:t>بناءً على هذه المعطيات، لا تختلف استجابات المبحوثين وتصوراتهم تجاه متغيرات الدراسة باختلاف حالاتهم الاجتماعية؛ حيث تفرض السياسات الإدارية والمبادرات الاستراتيجية للتحول الصحي تأثيرات عامة وموحدة تستهدف الموظف ككادر مهني بغض النظر عن التزاماته أو ظروفه الاجتماعية الشخصية.</w:t>
      </w:r>
    </w:p>
    <w:p w14:paraId="22471748" w14:textId="77777777" w:rsidR="001D3D5D" w:rsidRPr="000C5D98" w:rsidRDefault="001D3D5D" w:rsidP="000C5D98">
      <w:pPr>
        <w:pStyle w:val="2"/>
        <w:rPr>
          <w:b w:val="0"/>
          <w:bCs/>
          <w:lang w:bidi="ar-YE"/>
        </w:rPr>
      </w:pPr>
      <w:bookmarkStart w:id="50" w:name="_Toc235119060"/>
      <w:r w:rsidRPr="000C5D98">
        <w:rPr>
          <w:rFonts w:hint="cs"/>
          <w:b w:val="0"/>
          <w:bCs/>
          <w:rtl/>
          <w:lang w:bidi="ar-YE"/>
        </w:rPr>
        <w:lastRenderedPageBreak/>
        <w:t>رابعاً: ملخص نتائج الدراسة</w:t>
      </w:r>
      <w:bookmarkEnd w:id="50"/>
      <w:r w:rsidRPr="000C5D98">
        <w:rPr>
          <w:rFonts w:hint="cs"/>
          <w:b w:val="0"/>
          <w:bCs/>
          <w:rtl/>
          <w:lang w:bidi="ar-YE"/>
        </w:rPr>
        <w:t xml:space="preserve"> </w:t>
      </w:r>
    </w:p>
    <w:p w14:paraId="1C54DCE8" w14:textId="77777777" w:rsidR="001D3D5D" w:rsidRPr="00B322FF" w:rsidRDefault="001D3D5D" w:rsidP="00B527E5">
      <w:pPr>
        <w:spacing w:line="240" w:lineRule="auto"/>
        <w:jc w:val="center"/>
        <w:rPr>
          <w:rFonts w:ascii="Simplified Arabic" w:hAnsi="Simplified Arabic" w:cs="Simplified Arabic"/>
          <w:b/>
          <w:bCs/>
          <w:lang w:bidi="ar-YE"/>
        </w:rPr>
      </w:pPr>
      <w:r w:rsidRPr="00B322FF">
        <w:rPr>
          <w:rFonts w:ascii="Simplified Arabic" w:hAnsi="Simplified Arabic" w:cs="Simplified Arabic" w:hint="cs"/>
          <w:b/>
          <w:bCs/>
          <w:rtl/>
          <w:lang w:bidi="ar-YE"/>
        </w:rPr>
        <w:t>جدول (</w:t>
      </w:r>
      <w:r w:rsidR="00962FBD">
        <w:rPr>
          <w:rFonts w:ascii="Simplified Arabic" w:hAnsi="Simplified Arabic" w:cs="Simplified Arabic" w:hint="cs"/>
          <w:b/>
          <w:bCs/>
          <w:rtl/>
          <w:lang w:bidi="ar-YE"/>
        </w:rPr>
        <w:t>٤-١٤</w:t>
      </w:r>
      <w:r w:rsidRPr="00B322FF">
        <w:rPr>
          <w:rFonts w:ascii="Simplified Arabic" w:hAnsi="Simplified Arabic" w:cs="Simplified Arabic" w:hint="cs"/>
          <w:b/>
          <w:bCs/>
          <w:rtl/>
          <w:lang w:bidi="ar-YE"/>
        </w:rPr>
        <w:t>): ملخص نتائج اختبار فروض الدراسة</w:t>
      </w:r>
    </w:p>
    <w:tbl>
      <w:tblPr>
        <w:tblStyle w:val="10"/>
        <w:bidiVisual/>
        <w:tblW w:w="0" w:type="auto"/>
        <w:tblLook w:val="0620" w:firstRow="1" w:lastRow="0" w:firstColumn="0" w:lastColumn="0" w:noHBand="1" w:noVBand="1"/>
      </w:tblPr>
      <w:tblGrid>
        <w:gridCol w:w="343"/>
        <w:gridCol w:w="3216"/>
        <w:gridCol w:w="3148"/>
        <w:gridCol w:w="1367"/>
        <w:gridCol w:w="942"/>
      </w:tblGrid>
      <w:tr w:rsidR="001D3D5D" w:rsidRPr="00B322FF" w14:paraId="6BE898F1" w14:textId="77777777" w:rsidTr="00597597">
        <w:trPr>
          <w:cnfStyle w:val="100000000000" w:firstRow="1" w:lastRow="0" w:firstColumn="0" w:lastColumn="0" w:oddVBand="0" w:evenVBand="0" w:oddHBand="0" w:evenHBand="0" w:firstRowFirstColumn="0" w:firstRowLastColumn="0" w:lastRowFirstColumn="0" w:lastRowLastColumn="0"/>
          <w:trHeight w:val="285"/>
        </w:trPr>
        <w:tc>
          <w:tcPr>
            <w:tcW w:w="0" w:type="auto"/>
            <w:vAlign w:val="center"/>
          </w:tcPr>
          <w:p w14:paraId="7EAB6926" w14:textId="77777777" w:rsidR="001D3D5D" w:rsidRPr="00B322FF" w:rsidRDefault="001D3D5D" w:rsidP="00B527E5">
            <w:pPr>
              <w:jc w:val="center"/>
              <w:rPr>
                <w:rFonts w:ascii="Simplified Arabic" w:eastAsia="Times New Roman" w:hAnsi="Simplified Arabic" w:cs="Simplified Arabic"/>
                <w:b w:val="0"/>
                <w:bCs w:val="0"/>
                <w:color w:val="000000"/>
                <w:rtl/>
              </w:rPr>
            </w:pPr>
          </w:p>
        </w:tc>
        <w:tc>
          <w:tcPr>
            <w:tcW w:w="0" w:type="auto"/>
            <w:vAlign w:val="center"/>
            <w:hideMark/>
          </w:tcPr>
          <w:p w14:paraId="10EDD1D7" w14:textId="77777777" w:rsidR="001D3D5D" w:rsidRPr="00B322FF" w:rsidRDefault="001D3D5D" w:rsidP="00B527E5">
            <w:pPr>
              <w:jc w:val="center"/>
              <w:rPr>
                <w:rFonts w:ascii="Simplified Arabic" w:eastAsia="Times New Roman" w:hAnsi="Simplified Arabic" w:cs="Simplified Arabic"/>
                <w:color w:val="000000"/>
                <w:kern w:val="0"/>
                <w14:ligatures w14:val="none"/>
              </w:rPr>
            </w:pPr>
            <w:r w:rsidRPr="00B322FF">
              <w:rPr>
                <w:rFonts w:ascii="Simplified Arabic" w:eastAsia="Times New Roman" w:hAnsi="Simplified Arabic" w:cs="Simplified Arabic" w:hint="cs"/>
                <w:color w:val="000000"/>
                <w:rtl/>
              </w:rPr>
              <w:t>التساؤل</w:t>
            </w:r>
          </w:p>
        </w:tc>
        <w:tc>
          <w:tcPr>
            <w:tcW w:w="0" w:type="auto"/>
            <w:vAlign w:val="center"/>
            <w:hideMark/>
          </w:tcPr>
          <w:p w14:paraId="0E97E253"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الفرض</w:t>
            </w:r>
          </w:p>
        </w:tc>
        <w:tc>
          <w:tcPr>
            <w:tcW w:w="0" w:type="auto"/>
            <w:vAlign w:val="center"/>
            <w:hideMark/>
          </w:tcPr>
          <w:p w14:paraId="73D24CFC"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أسلوب التحليل الإحصائي</w:t>
            </w:r>
          </w:p>
        </w:tc>
        <w:tc>
          <w:tcPr>
            <w:tcW w:w="0" w:type="auto"/>
            <w:vAlign w:val="center"/>
            <w:hideMark/>
          </w:tcPr>
          <w:p w14:paraId="65E060A5"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النتيجة</w:t>
            </w:r>
          </w:p>
        </w:tc>
      </w:tr>
      <w:tr w:rsidR="001D3D5D" w:rsidRPr="00B322FF" w14:paraId="12B52364" w14:textId="77777777" w:rsidTr="00597597">
        <w:trPr>
          <w:trHeight w:val="1200"/>
        </w:trPr>
        <w:tc>
          <w:tcPr>
            <w:tcW w:w="0" w:type="auto"/>
            <w:vAlign w:val="center"/>
          </w:tcPr>
          <w:p w14:paraId="5540512E"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١</w:t>
            </w:r>
          </w:p>
        </w:tc>
        <w:tc>
          <w:tcPr>
            <w:tcW w:w="0" w:type="auto"/>
            <w:vAlign w:val="center"/>
            <w:hideMark/>
          </w:tcPr>
          <w:p w14:paraId="1F7746AD"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ما أثر التحول الصحي في المملكة العربية السعودية على بيئة العمل النفسية المستدامة في القطاع الصحي الحكومي بمدينة الرياض؟</w:t>
            </w:r>
          </w:p>
        </w:tc>
        <w:tc>
          <w:tcPr>
            <w:tcW w:w="0" w:type="auto"/>
            <w:vAlign w:val="center"/>
            <w:hideMark/>
          </w:tcPr>
          <w:p w14:paraId="3DDF2314"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يوجد أثر ذو دلالة إحصائية بين التحول الصحي وبيئة العمل النفسية المستدامة في القطاع الصحي الحكومي بمدينة الرياض.</w:t>
            </w:r>
          </w:p>
        </w:tc>
        <w:tc>
          <w:tcPr>
            <w:tcW w:w="0" w:type="auto"/>
            <w:vAlign w:val="center"/>
            <w:hideMark/>
          </w:tcPr>
          <w:p w14:paraId="34519401"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تحليل الانحدار الخطي البسيط</w:t>
            </w:r>
          </w:p>
        </w:tc>
        <w:tc>
          <w:tcPr>
            <w:tcW w:w="0" w:type="auto"/>
            <w:vAlign w:val="center"/>
            <w:hideMark/>
          </w:tcPr>
          <w:p w14:paraId="38A7A6C2"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تم قبول الفرضية</w:t>
            </w:r>
          </w:p>
        </w:tc>
      </w:tr>
      <w:tr w:rsidR="001D3D5D" w:rsidRPr="00B322FF" w14:paraId="782EDAE4" w14:textId="77777777" w:rsidTr="00597597">
        <w:trPr>
          <w:trHeight w:val="1200"/>
        </w:trPr>
        <w:tc>
          <w:tcPr>
            <w:tcW w:w="0" w:type="auto"/>
            <w:vAlign w:val="center"/>
          </w:tcPr>
          <w:p w14:paraId="4A1B6EAC"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٢</w:t>
            </w:r>
          </w:p>
        </w:tc>
        <w:tc>
          <w:tcPr>
            <w:tcW w:w="0" w:type="auto"/>
            <w:vAlign w:val="center"/>
            <w:hideMark/>
          </w:tcPr>
          <w:p w14:paraId="197190EE"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ما أثر التحول الصحي في المملكة العربية السعودية على تقليل الاحتراق الوظيفي في القطاع الصحي الحكومي بمدينة الرياض؟</w:t>
            </w:r>
          </w:p>
        </w:tc>
        <w:tc>
          <w:tcPr>
            <w:tcW w:w="0" w:type="auto"/>
            <w:vAlign w:val="center"/>
            <w:hideMark/>
          </w:tcPr>
          <w:p w14:paraId="34D1C923"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يوجد أثر ذو دلالة إحصائية بين التحول الصحي وتقليل الاحتراق الوظيفي في القطاع الصحي الحكومي بمدينة الرياض.</w:t>
            </w:r>
          </w:p>
        </w:tc>
        <w:tc>
          <w:tcPr>
            <w:tcW w:w="0" w:type="auto"/>
            <w:vAlign w:val="center"/>
            <w:hideMark/>
          </w:tcPr>
          <w:p w14:paraId="6F1E12E9"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تحليل الانحدار الخطي البسيط</w:t>
            </w:r>
          </w:p>
        </w:tc>
        <w:tc>
          <w:tcPr>
            <w:tcW w:w="0" w:type="auto"/>
            <w:vAlign w:val="center"/>
            <w:hideMark/>
          </w:tcPr>
          <w:p w14:paraId="6FC8749F"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 xml:space="preserve">تم قبول الفرضية </w:t>
            </w:r>
          </w:p>
        </w:tc>
      </w:tr>
      <w:tr w:rsidR="001D3D5D" w:rsidRPr="00B322FF" w14:paraId="7CC8CDB6" w14:textId="77777777" w:rsidTr="00597597">
        <w:trPr>
          <w:trHeight w:val="1785"/>
        </w:trPr>
        <w:tc>
          <w:tcPr>
            <w:tcW w:w="0" w:type="auto"/>
            <w:vAlign w:val="center"/>
          </w:tcPr>
          <w:p w14:paraId="389042A8"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٣</w:t>
            </w:r>
          </w:p>
        </w:tc>
        <w:tc>
          <w:tcPr>
            <w:tcW w:w="0" w:type="auto"/>
            <w:vAlign w:val="center"/>
            <w:hideMark/>
          </w:tcPr>
          <w:p w14:paraId="1159FB2E"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هل يوجد علاقة بين التحول الصحي ورفاهية الموظفين في تقليل الاحتراق الوظيفي في القطاع الصحي الحكومي بمدينة الرياض؟</w:t>
            </w:r>
          </w:p>
        </w:tc>
        <w:tc>
          <w:tcPr>
            <w:tcW w:w="0" w:type="auto"/>
            <w:vAlign w:val="center"/>
            <w:hideMark/>
          </w:tcPr>
          <w:p w14:paraId="4405C683"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توجد علاقة ارتباطية إيجابية بين التحول الصحي ورفاهية الموظفين في تقليل الاحتراق الوظيفي في القطاع الصحي الحكومي بمدينة الرياض.</w:t>
            </w:r>
          </w:p>
        </w:tc>
        <w:tc>
          <w:tcPr>
            <w:tcW w:w="0" w:type="auto"/>
            <w:vAlign w:val="center"/>
            <w:hideMark/>
          </w:tcPr>
          <w:p w14:paraId="2C9D6F46"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تحليل الانحدار الخطي المتعدد</w:t>
            </w:r>
          </w:p>
        </w:tc>
        <w:tc>
          <w:tcPr>
            <w:tcW w:w="0" w:type="auto"/>
            <w:vAlign w:val="center"/>
            <w:hideMark/>
          </w:tcPr>
          <w:p w14:paraId="2EC2A88C"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 xml:space="preserve">تم قبول الفرضية </w:t>
            </w:r>
          </w:p>
        </w:tc>
      </w:tr>
      <w:tr w:rsidR="001D3D5D" w:rsidRPr="00B322FF" w14:paraId="338AE6D6" w14:textId="77777777" w:rsidTr="00597597">
        <w:trPr>
          <w:trHeight w:val="1755"/>
        </w:trPr>
        <w:tc>
          <w:tcPr>
            <w:tcW w:w="0" w:type="auto"/>
            <w:vAlign w:val="center"/>
          </w:tcPr>
          <w:p w14:paraId="3E88AA91"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٤</w:t>
            </w:r>
          </w:p>
        </w:tc>
        <w:tc>
          <w:tcPr>
            <w:tcW w:w="0" w:type="auto"/>
            <w:vAlign w:val="center"/>
            <w:hideMark/>
          </w:tcPr>
          <w:p w14:paraId="1C044249"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هل يوجد علاقة ذات دلالة معنوية بين التحول الصحي ورفاهية الموظفين تسهم في تقليل الاحتراق الوظيفي في القطاع الصحي الحكومي بمدينة الرياض؟</w:t>
            </w:r>
          </w:p>
        </w:tc>
        <w:tc>
          <w:tcPr>
            <w:tcW w:w="0" w:type="auto"/>
            <w:vAlign w:val="center"/>
            <w:hideMark/>
          </w:tcPr>
          <w:p w14:paraId="6A6FBA8A"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يوجد علاقة ذات دلالة معنوية بين التحول الصحي ورفاهية الموظفين يسهم في تقليل الاحتراق الوظيفي في القطاع الصحي الحكومي بمدينة الرياض.</w:t>
            </w:r>
          </w:p>
        </w:tc>
        <w:tc>
          <w:tcPr>
            <w:tcW w:w="0" w:type="auto"/>
            <w:vAlign w:val="center"/>
            <w:hideMark/>
          </w:tcPr>
          <w:p w14:paraId="5B544009" w14:textId="77777777" w:rsidR="001D3D5D" w:rsidRPr="00B322FF" w:rsidRDefault="001D3D5D" w:rsidP="00B527E5">
            <w:pPr>
              <w:jc w:val="cente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تحليل المسار واختبار الدور الوسيط</w:t>
            </w:r>
          </w:p>
        </w:tc>
        <w:tc>
          <w:tcPr>
            <w:tcW w:w="0" w:type="auto"/>
            <w:vAlign w:val="center"/>
            <w:hideMark/>
          </w:tcPr>
          <w:p w14:paraId="4A29756E" w14:textId="77777777" w:rsidR="001D3D5D" w:rsidRPr="00B322FF" w:rsidRDefault="001D3D5D" w:rsidP="00B527E5">
            <w:pPr>
              <w:rPr>
                <w:rFonts w:ascii="Simplified Arabic" w:eastAsia="Times New Roman" w:hAnsi="Simplified Arabic" w:cs="Simplified Arabic"/>
                <w:color w:val="000000"/>
                <w:rtl/>
              </w:rPr>
            </w:pPr>
            <w:r w:rsidRPr="00B322FF">
              <w:rPr>
                <w:rFonts w:ascii="Simplified Arabic" w:eastAsia="Times New Roman" w:hAnsi="Simplified Arabic" w:cs="Simplified Arabic" w:hint="cs"/>
                <w:color w:val="000000"/>
                <w:rtl/>
              </w:rPr>
              <w:t xml:space="preserve">تم قبول الفرضية </w:t>
            </w:r>
          </w:p>
        </w:tc>
      </w:tr>
    </w:tbl>
    <w:p w14:paraId="72C66C77" w14:textId="77777777" w:rsidR="00A61A27" w:rsidRPr="001F421D" w:rsidRDefault="0089331B" w:rsidP="001F421D">
      <w:pPr>
        <w:spacing w:before="40" w:after="120"/>
        <w:rPr>
          <w:rFonts w:ascii="Simplified Arabic" w:hAnsi="Simplified Arabic" w:cs="Simplified Arabic"/>
          <w:i/>
          <w:sz w:val="22"/>
          <w:szCs w:val="22"/>
        </w:rPr>
      </w:pPr>
      <w:r w:rsidRPr="001F421D">
        <w:rPr>
          <w:rFonts w:ascii="Simplified Arabic" w:hAnsi="Simplified Arabic" w:cs="Simplified Arabic"/>
          <w:i/>
          <w:sz w:val="22"/>
          <w:szCs w:val="22"/>
          <w:rtl/>
        </w:rPr>
        <w:t>المصدر: إعداد الباحثة اعتماداً على بيانات الدراسة الميدانية ومخرجات التحليل الإحصائي باستخدام برنامج SPSS.</w:t>
      </w:r>
    </w:p>
    <w:p w14:paraId="413C116F" w14:textId="77777777" w:rsidR="001D3D5D" w:rsidRPr="00B322FF" w:rsidRDefault="001D3D5D" w:rsidP="00B527E5">
      <w:pPr>
        <w:spacing w:before="240" w:line="240" w:lineRule="auto"/>
        <w:jc w:val="both"/>
        <w:rPr>
          <w:rFonts w:ascii="Simplified Arabic" w:hAnsi="Simplified Arabic" w:cs="Simplified Arabic"/>
          <w:sz w:val="28"/>
          <w:szCs w:val="28"/>
          <w:lang w:bidi="ar-YE"/>
        </w:rPr>
      </w:pPr>
      <w:r w:rsidRPr="00B322FF">
        <w:rPr>
          <w:rFonts w:ascii="Simplified Arabic" w:hAnsi="Simplified Arabic" w:cs="Simplified Arabic" w:hint="cs"/>
          <w:sz w:val="28"/>
          <w:szCs w:val="28"/>
          <w:rtl/>
          <w:lang w:bidi="ar-YE"/>
        </w:rPr>
        <w:t xml:space="preserve">أظهرت نتائج الدراسة أن التحول الصحي يمثل متغيراً مؤثراً بصورة جوهرية في بيئة العمل النفسية المستدامة وفي خفض الاحتراق الوظيفي لدى العاملين في القطاع الصحي الحكومي بمدينة الرياض؛ إذ ثبت وجود أثر إيجابي قوي للتحول الصحي على بيئة العمل النفسية المستدامة، كما ثبت وجود أثر عكسي دال إحصائياً له في تقليل الاحتراق الوظيفي. كذلك بينت النتائج وجود علاقات ارتباطية دالة بين متغيرات الدراسة، حيث ارتبط التحول الصحي ارتباطاً إيجابياً بكل من بيئة العمل النفسية المستدامة ورفاهية الموظفين، في حين ارتبط الاحتراق الوظيفي بعلاقات عكسية مع كل من التحول الصحي ورفاهية الموظفين وبيئة العمل النفسية المستدامة. </w:t>
      </w:r>
    </w:p>
    <w:p w14:paraId="3875A112" w14:textId="77777777" w:rsidR="001D3D5D" w:rsidRPr="00B322FF" w:rsidRDefault="001D3D5D" w:rsidP="00B527E5">
      <w:pPr>
        <w:spacing w:before="240" w:line="240" w:lineRule="auto"/>
        <w:jc w:val="both"/>
        <w:rPr>
          <w:rFonts w:ascii="Simplified Arabic" w:hAnsi="Simplified Arabic" w:cs="Simplified Arabic"/>
          <w:sz w:val="28"/>
          <w:szCs w:val="28"/>
          <w:lang w:bidi="ar-YE"/>
        </w:rPr>
      </w:pPr>
      <w:r w:rsidRPr="00B322FF">
        <w:rPr>
          <w:rFonts w:ascii="Simplified Arabic" w:hAnsi="Simplified Arabic" w:cs="Simplified Arabic" w:hint="cs"/>
          <w:sz w:val="28"/>
          <w:szCs w:val="28"/>
          <w:rtl/>
          <w:lang w:bidi="ar-YE"/>
        </w:rPr>
        <w:lastRenderedPageBreak/>
        <w:t>كما أوضحت النتائج أن رفاهية الموظفين تؤدي دوراً مهماً في تفسير التغير في مستوى الاحتراق الوظيفي، وأنها تسهم مع التحول الصحي في خفضه بدرجة معنوية، فضلاً عن ثبوت قيامها بدور وسيط جزئي في العلاقة بين التحول الصحي والاحتراق الوظيفي؛ وهو ما يعني أن أثر التحول الصحي لا يقتصر على التأثير المباشر، بل يمتد أيضاً من خلال تعزيز رفاهية العاملين.</w:t>
      </w:r>
    </w:p>
    <w:p w14:paraId="13B10FE6" w14:textId="77777777" w:rsidR="001D3D5D" w:rsidRPr="00B322FF" w:rsidRDefault="001D3D5D" w:rsidP="00B527E5">
      <w:pPr>
        <w:spacing w:before="240" w:line="240" w:lineRule="auto"/>
        <w:jc w:val="both"/>
        <w:rPr>
          <w:rFonts w:ascii="Simplified Arabic" w:hAnsi="Simplified Arabic" w:cs="Simplified Arabic"/>
          <w:sz w:val="28"/>
          <w:szCs w:val="28"/>
          <w:lang w:bidi="ar-YE"/>
        </w:rPr>
      </w:pPr>
      <w:r w:rsidRPr="00B322FF">
        <w:rPr>
          <w:rFonts w:ascii="Simplified Arabic" w:hAnsi="Simplified Arabic" w:cs="Simplified Arabic" w:hint="cs"/>
          <w:sz w:val="28"/>
          <w:szCs w:val="28"/>
          <w:rtl/>
          <w:lang w:bidi="ar-YE"/>
        </w:rPr>
        <w:t xml:space="preserve">وفيما يتعلق بالتساؤلات المرتبطة بالفروق الديموغرافية، فقد أظهرت النتائج وجود تباينات جزئية في بعض أبعاد الدراسة تبعاً للخصائص الشخصية والوظيفية؛ إذ ظهرت فروق بحسب الجنس في محور التحول الصحي فقط، وظهرت فروق بحسب العمر في رفاهية الموظفين والاحتراق الوظيفي، وبحسب سنوات الخبرة في بيئة العمل النفسية ورفاهية الموظفين، بينما كان المسمى الوظيفي أكثر المتغيرات الديموغرافية تأثيراً لظهور فروق دالة في جميع متغيرات الدراسة. في المقابل، لم تظهر فروق دالة تعزى إلى الدخل الشهري أو الحالة الاجتماعية. </w:t>
      </w:r>
    </w:p>
    <w:p w14:paraId="0ABBB4AA" w14:textId="77777777" w:rsidR="00AB7263" w:rsidRDefault="001D3D5D" w:rsidP="000C5D98">
      <w:pPr>
        <w:spacing w:before="240" w:line="240" w:lineRule="auto"/>
        <w:jc w:val="both"/>
        <w:rPr>
          <w:rFonts w:ascii="Simplified Arabic" w:hAnsi="Simplified Arabic" w:cs="Simplified Arabic"/>
          <w:sz w:val="28"/>
          <w:szCs w:val="28"/>
          <w:lang w:bidi="ar-YE"/>
        </w:rPr>
      </w:pPr>
      <w:r w:rsidRPr="00B322FF">
        <w:rPr>
          <w:rFonts w:ascii="Simplified Arabic" w:hAnsi="Simplified Arabic" w:cs="Simplified Arabic" w:hint="cs"/>
          <w:sz w:val="28"/>
          <w:szCs w:val="28"/>
          <w:rtl/>
          <w:lang w:bidi="ar-YE"/>
        </w:rPr>
        <w:t xml:space="preserve">وبناءً على ذلك، يمكن القول إن الدراسة توصلت إلى أن نجاح التحول الصحي في القطاع الصحي الحكومي لا ينعكس فقط على تطوير الأداء التنظيمي، بل يمتد أثره إلى تحسين البيئة النفسية للعاملين، وتعزيز رفاهيتهم، والحد من مستويات الاحتراق الوظيفي، مع أهمية مراعاة الفروق المهنية والديموغرافية عند تصميم السياسات والبرامج التطبيقية. </w:t>
      </w:r>
    </w:p>
    <w:p w14:paraId="5E0E8385" w14:textId="77777777" w:rsidR="00AB7263" w:rsidRDefault="00AB7263">
      <w:pPr>
        <w:bidi w:val="0"/>
        <w:rPr>
          <w:rFonts w:ascii="Simplified Arabic" w:hAnsi="Simplified Arabic" w:cs="Simplified Arabic"/>
          <w:sz w:val="28"/>
          <w:szCs w:val="28"/>
          <w:lang w:bidi="ar-YE"/>
        </w:rPr>
      </w:pPr>
      <w:r>
        <w:rPr>
          <w:rFonts w:ascii="Simplified Arabic" w:hAnsi="Simplified Arabic" w:cs="Simplified Arabic"/>
          <w:sz w:val="28"/>
          <w:szCs w:val="28"/>
          <w:lang w:bidi="ar-YE"/>
        </w:rPr>
        <w:br w:type="page"/>
      </w:r>
    </w:p>
    <w:p w14:paraId="6DD87422" w14:textId="77777777" w:rsidR="00BD1526" w:rsidRPr="00891197" w:rsidRDefault="00BD1526" w:rsidP="00891197">
      <w:pPr>
        <w:pStyle w:val="1"/>
        <w:rPr>
          <w:b/>
          <w:bCs/>
          <w:rtl/>
        </w:rPr>
      </w:pPr>
      <w:bookmarkStart w:id="51" w:name="_Toc235119061"/>
      <w:r w:rsidRPr="00891197">
        <w:rPr>
          <w:rFonts w:hint="cs"/>
          <w:b/>
          <w:bCs/>
          <w:rtl/>
        </w:rPr>
        <w:lastRenderedPageBreak/>
        <w:t xml:space="preserve">الفصل الخامس: </w:t>
      </w:r>
      <w:r w:rsidR="006D56C2" w:rsidRPr="00891197">
        <w:rPr>
          <w:rFonts w:hint="cs"/>
          <w:b/>
          <w:bCs/>
          <w:rtl/>
        </w:rPr>
        <w:t xml:space="preserve">الخاتمة </w:t>
      </w:r>
      <w:r w:rsidR="00891197">
        <w:rPr>
          <w:rFonts w:hint="cs"/>
          <w:b/>
          <w:bCs/>
          <w:rtl/>
        </w:rPr>
        <w:t xml:space="preserve"> والتوصيات</w:t>
      </w:r>
      <w:bookmarkEnd w:id="51"/>
    </w:p>
    <w:p w14:paraId="23EC2EFE" w14:textId="77777777" w:rsidR="00BD1526" w:rsidRPr="00891197" w:rsidRDefault="00BD1526" w:rsidP="00891197">
      <w:pPr>
        <w:pStyle w:val="2"/>
        <w:rPr>
          <w:b w:val="0"/>
          <w:bCs/>
          <w:rtl/>
        </w:rPr>
      </w:pPr>
      <w:bookmarkStart w:id="52" w:name="_Toc235119062"/>
      <w:r w:rsidRPr="00891197">
        <w:rPr>
          <w:rFonts w:hint="cs"/>
          <w:b w:val="0"/>
          <w:bCs/>
          <w:rtl/>
        </w:rPr>
        <w:t>تمهيد</w:t>
      </w:r>
      <w:bookmarkEnd w:id="52"/>
    </w:p>
    <w:p w14:paraId="36D39CAB" w14:textId="77777777" w:rsidR="00BD1526" w:rsidRDefault="00BD1526" w:rsidP="00597597">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يمثل الفصل الخامس المرحلة التطبيقية في الدراسة، إذ تنتقل فيه النتائج من مستوى التحليل الإحصائي إلى مستوى التوظيف العملي القابل للتنفيذ. فالقيمة العلمية للدراسة لا تكتمل بمجرد إثبات العلاقات بين التحول الصحي، وبيئة العمل النفسية المستدامة، ورفاهية الموظفين، والاحتراق الوظيفي، بل تتضح بصورة أكبر عندما تتحول هذه العلاقات إلى توصيات إجرائية تساعد متخذي القرار في القطاع الصحي الحكومي بمدينة الرياض على بناء سياسات أكثر اتساقاً مع واقع العاملين واحتياجاتهم المهنية والنفسية.</w:t>
      </w:r>
    </w:p>
    <w:p w14:paraId="6F2E1027" w14:textId="77777777" w:rsidR="00BD1526" w:rsidRDefault="00BD1526" w:rsidP="00597597">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وقد بين الفصل الرابع أن التحول الصحي يمثل متغيراً مؤثراً في بيئة العمل النفسية المستدامة وفي خفض الاحتراق الوظيفي، كما بين أن رفاهية الموظفين تؤدي دوراً محورياً في تفسير انخفاض الاحتراق، سواء بصورة مباشرة أو من خلال دورها الوسيط الجزئي في العلاقة بين التحول الصحي والاحتراق الوظيفي. كما أظهرت النتائج أن بعض الخصائص المهنية والديموغرافية، وبخاصة المسمى الوظيفي والعمر وسنوات الخبرة، ينبغي مراعاتها عند تصميم برامج التحول والرفاهية.</w:t>
      </w:r>
    </w:p>
    <w:p w14:paraId="552EA5AC" w14:textId="77777777" w:rsidR="00BD1526" w:rsidRDefault="00BD1526" w:rsidP="00597597">
      <w:pPr>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وعليه، يعرض هذا الفصل توصيات إجرائية مصاغة في شكل خطة عمل مرتبطة مباشرة بنتائج الدراسة، ثم يقدم مقترحات لدراسات مستقبلية يمكن أن توسع نطاق البحث في هذا المجال، وأخيراً يختتم الفصل ببيان الأثر العملي والعلمي المتوقع من الدراسة.</w:t>
      </w:r>
    </w:p>
    <w:p w14:paraId="79969AE9" w14:textId="77777777" w:rsidR="00BD1526" w:rsidRPr="00E1294E" w:rsidRDefault="00BD1526" w:rsidP="00597597">
      <w:pPr>
        <w:spacing w:line="240" w:lineRule="auto"/>
        <w:jc w:val="both"/>
        <w:rPr>
          <w:rFonts w:ascii="Simplified Arabic" w:hAnsi="Simplified Arabic" w:cs="Simplified Arabic"/>
          <w:sz w:val="28"/>
          <w:szCs w:val="28"/>
        </w:rPr>
        <w:sectPr w:rsidR="00BD1526" w:rsidRPr="00E1294E" w:rsidSect="00BD1526">
          <w:headerReference w:type="default" r:id="rId14"/>
          <w:footerReference w:type="default" r:id="rId15"/>
          <w:pgSz w:w="11906" w:h="16838"/>
          <w:pgMar w:top="1440" w:right="1440" w:bottom="1440" w:left="1440" w:header="720" w:footer="720" w:gutter="0"/>
          <w:cols w:space="720"/>
          <w:docGrid w:linePitch="360"/>
        </w:sectPr>
      </w:pPr>
    </w:p>
    <w:p w14:paraId="21C1DE46" w14:textId="77777777" w:rsidR="00A61A27" w:rsidRPr="00553866" w:rsidRDefault="0089331B" w:rsidP="00553866">
      <w:pPr>
        <w:pStyle w:val="2"/>
        <w:rPr>
          <w:b w:val="0"/>
          <w:bCs/>
        </w:rPr>
      </w:pPr>
      <w:bookmarkStart w:id="53" w:name="_Toc235119063"/>
      <w:r w:rsidRPr="00553866">
        <w:rPr>
          <w:b w:val="0"/>
          <w:bCs/>
          <w:rtl/>
        </w:rPr>
        <w:lastRenderedPageBreak/>
        <w:t>مناقشة النتائج في ضوء فروض الدراسة</w:t>
      </w:r>
      <w:bookmarkEnd w:id="53"/>
    </w:p>
    <w:p w14:paraId="2578E00C" w14:textId="77777777" w:rsidR="00A61A27" w:rsidRPr="00703AF1" w:rsidRDefault="0089331B" w:rsidP="00B32217">
      <w:pPr>
        <w:spacing w:after="80"/>
        <w:jc w:val="both"/>
        <w:rPr>
          <w:rFonts w:ascii="Simplified Arabic" w:hAnsi="Simplified Arabic" w:cs="Simplified Arabic"/>
          <w:sz w:val="28"/>
          <w:szCs w:val="28"/>
        </w:rPr>
      </w:pPr>
      <w:r w:rsidRPr="00703AF1">
        <w:rPr>
          <w:rFonts w:ascii="Simplified Arabic" w:hAnsi="Simplified Arabic" w:cs="Simplified Arabic"/>
          <w:sz w:val="28"/>
          <w:szCs w:val="28"/>
          <w:rtl/>
        </w:rPr>
        <w:t>يعرض الجدول الآتي خلاصة مناقشة نتائج اختبارات الفروض، مع بيان طبيعة العلاقات وقوتها وأهميتها النسبية. وقد استند ترتيب الأهمية إلى معاملات الارتباط والانحدار بين المتغيرات الرئيسة؛ لأن التحليلات الحالية لم تتضمن ترتيباً مستقلاً للأبعاد الفرعية لكل متغير.</w:t>
      </w:r>
    </w:p>
    <w:p w14:paraId="2938042D" w14:textId="77777777" w:rsidR="00A61A27" w:rsidRPr="000775D0" w:rsidRDefault="0089331B" w:rsidP="000775D0">
      <w:pPr>
        <w:keepNext/>
        <w:spacing w:after="80"/>
        <w:jc w:val="center"/>
        <w:rPr>
          <w:rFonts w:ascii="Simplified Arabic" w:hAnsi="Simplified Arabic" w:cs="Simplified Arabic"/>
          <w:bCs/>
          <w:sz w:val="28"/>
          <w:szCs w:val="28"/>
        </w:rPr>
      </w:pPr>
      <w:r w:rsidRPr="000775D0">
        <w:rPr>
          <w:rFonts w:ascii="Simplified Arabic" w:hAnsi="Simplified Arabic" w:cs="Simplified Arabic"/>
          <w:bCs/>
          <w:sz w:val="28"/>
          <w:szCs w:val="28"/>
          <w:rtl/>
        </w:rPr>
        <w:t>جدول (5-1): ملخص مناقشة نتائج اختبارات فروض الدراسة وطبيعة العلاقات</w:t>
      </w:r>
    </w:p>
    <w:tbl>
      <w:tblPr>
        <w:tblStyle w:val="10"/>
        <w:bidiVisual/>
        <w:tblW w:w="0" w:type="auto"/>
        <w:tblLook w:val="04A0" w:firstRow="1" w:lastRow="0" w:firstColumn="1" w:lastColumn="0" w:noHBand="0" w:noVBand="1"/>
      </w:tblPr>
      <w:tblGrid>
        <w:gridCol w:w="778"/>
        <w:gridCol w:w="2421"/>
        <w:gridCol w:w="2979"/>
        <w:gridCol w:w="1862"/>
        <w:gridCol w:w="5908"/>
      </w:tblGrid>
      <w:tr w:rsidR="00A61A27" w:rsidRPr="00703AF1" w14:paraId="18A3CF0F" w14:textId="77777777" w:rsidTr="00703A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top w:w="90" w:type="dxa"/>
              <w:left w:w="90" w:type="dxa"/>
              <w:bottom w:w="90" w:type="dxa"/>
              <w:right w:w="90" w:type="dxa"/>
            </w:tcMar>
            <w:vAlign w:val="center"/>
          </w:tcPr>
          <w:p w14:paraId="650507B0" w14:textId="77777777" w:rsidR="00A61A27" w:rsidRPr="00703AF1" w:rsidRDefault="0089331B" w:rsidP="000775D0">
            <w:pPr>
              <w:jc w:val="center"/>
              <w:rPr>
                <w:rFonts w:ascii="Simplified Arabic" w:hAnsi="Simplified Arabic" w:cs="Simplified Arabic"/>
                <w:sz w:val="28"/>
                <w:szCs w:val="28"/>
              </w:rPr>
            </w:pPr>
            <w:r w:rsidRPr="00703AF1">
              <w:rPr>
                <w:rFonts w:ascii="Simplified Arabic" w:hAnsi="Simplified Arabic" w:cs="Simplified Arabic"/>
                <w:sz w:val="28"/>
                <w:szCs w:val="28"/>
                <w:rtl/>
              </w:rPr>
              <w:t>الفرض</w:t>
            </w:r>
          </w:p>
        </w:tc>
        <w:tc>
          <w:tcPr>
            <w:tcW w:w="0" w:type="auto"/>
            <w:tcMar>
              <w:top w:w="90" w:type="dxa"/>
              <w:left w:w="90" w:type="dxa"/>
              <w:bottom w:w="90" w:type="dxa"/>
              <w:right w:w="90" w:type="dxa"/>
            </w:tcMar>
            <w:vAlign w:val="center"/>
          </w:tcPr>
          <w:p w14:paraId="0D04E6DF" w14:textId="77777777" w:rsidR="00A61A27" w:rsidRPr="00703AF1" w:rsidRDefault="0089331B" w:rsidP="000775D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العلاقة المختبرة</w:t>
            </w:r>
          </w:p>
        </w:tc>
        <w:tc>
          <w:tcPr>
            <w:tcW w:w="0" w:type="auto"/>
            <w:tcMar>
              <w:top w:w="90" w:type="dxa"/>
              <w:left w:w="90" w:type="dxa"/>
              <w:bottom w:w="90" w:type="dxa"/>
              <w:right w:w="90" w:type="dxa"/>
            </w:tcMar>
            <w:vAlign w:val="center"/>
          </w:tcPr>
          <w:p w14:paraId="1019BD20" w14:textId="77777777" w:rsidR="00A61A27" w:rsidRPr="00703AF1" w:rsidRDefault="0089331B" w:rsidP="000775D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المؤشر الإحصائي</w:t>
            </w:r>
          </w:p>
        </w:tc>
        <w:tc>
          <w:tcPr>
            <w:tcW w:w="0" w:type="auto"/>
            <w:tcMar>
              <w:top w:w="90" w:type="dxa"/>
              <w:left w:w="90" w:type="dxa"/>
              <w:bottom w:w="90" w:type="dxa"/>
              <w:right w:w="90" w:type="dxa"/>
            </w:tcMar>
            <w:vAlign w:val="center"/>
          </w:tcPr>
          <w:p w14:paraId="46792C5F" w14:textId="77777777" w:rsidR="00A61A27" w:rsidRPr="00703AF1" w:rsidRDefault="0089331B" w:rsidP="000775D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طبيعة العلاقة وقوتها</w:t>
            </w:r>
          </w:p>
        </w:tc>
        <w:tc>
          <w:tcPr>
            <w:tcW w:w="0" w:type="auto"/>
            <w:tcMar>
              <w:top w:w="90" w:type="dxa"/>
              <w:left w:w="90" w:type="dxa"/>
              <w:bottom w:w="90" w:type="dxa"/>
              <w:right w:w="90" w:type="dxa"/>
            </w:tcMar>
            <w:vAlign w:val="center"/>
          </w:tcPr>
          <w:p w14:paraId="31A817BF" w14:textId="77777777" w:rsidR="00A61A27" w:rsidRPr="00703AF1" w:rsidRDefault="0089331B" w:rsidP="000775D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المناقشة والأهمية النسبية</w:t>
            </w:r>
          </w:p>
        </w:tc>
      </w:tr>
      <w:tr w:rsidR="00A61A27" w:rsidRPr="00703AF1" w14:paraId="7DCC1753" w14:textId="77777777" w:rsidTr="00703AF1">
        <w:tc>
          <w:tcPr>
            <w:cnfStyle w:val="001000000000" w:firstRow="0" w:lastRow="0" w:firstColumn="1" w:lastColumn="0" w:oddVBand="0" w:evenVBand="0" w:oddHBand="0" w:evenHBand="0" w:firstRowFirstColumn="0" w:firstRowLastColumn="0" w:lastRowFirstColumn="0" w:lastRowLastColumn="0"/>
            <w:tcW w:w="0" w:type="auto"/>
            <w:tcMar>
              <w:top w:w="90" w:type="dxa"/>
              <w:left w:w="90" w:type="dxa"/>
              <w:bottom w:w="90" w:type="dxa"/>
              <w:right w:w="90" w:type="dxa"/>
            </w:tcMar>
            <w:vAlign w:val="center"/>
          </w:tcPr>
          <w:p w14:paraId="5F4B2FAA" w14:textId="77777777" w:rsidR="00A61A27" w:rsidRPr="00703AF1" w:rsidRDefault="0089331B" w:rsidP="000775D0">
            <w:pPr>
              <w:jc w:val="center"/>
              <w:rPr>
                <w:rFonts w:ascii="Simplified Arabic" w:hAnsi="Simplified Arabic" w:cs="Simplified Arabic"/>
                <w:sz w:val="28"/>
                <w:szCs w:val="28"/>
              </w:rPr>
            </w:pPr>
            <w:r w:rsidRPr="00703AF1">
              <w:rPr>
                <w:rFonts w:ascii="Simplified Arabic" w:hAnsi="Simplified Arabic" w:cs="Simplified Arabic"/>
                <w:b w:val="0"/>
                <w:sz w:val="28"/>
                <w:szCs w:val="28"/>
                <w:rtl/>
              </w:rPr>
              <w:t>ف1</w:t>
            </w:r>
          </w:p>
        </w:tc>
        <w:tc>
          <w:tcPr>
            <w:tcW w:w="0" w:type="auto"/>
            <w:tcMar>
              <w:top w:w="90" w:type="dxa"/>
              <w:left w:w="90" w:type="dxa"/>
              <w:bottom w:w="90" w:type="dxa"/>
              <w:right w:w="90" w:type="dxa"/>
            </w:tcMar>
            <w:vAlign w:val="center"/>
          </w:tcPr>
          <w:p w14:paraId="627075F5" w14:textId="77777777" w:rsidR="00A61A27" w:rsidRPr="00703AF1" w:rsidRDefault="0089331B" w:rsidP="000775D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 xml:space="preserve">التحول الصحي </w:t>
            </w:r>
            <w:r w:rsidRPr="00703AF1">
              <w:rPr>
                <w:rFonts w:ascii="Times New Roman" w:hAnsi="Times New Roman" w:cs="Times New Roman" w:hint="cs"/>
                <w:sz w:val="28"/>
                <w:szCs w:val="28"/>
                <w:rtl/>
              </w:rPr>
              <w:t>←</w:t>
            </w:r>
            <w:r w:rsidRPr="00703AF1">
              <w:rPr>
                <w:rFonts w:ascii="Simplified Arabic" w:hAnsi="Simplified Arabic" w:cs="Simplified Arabic"/>
                <w:sz w:val="28"/>
                <w:szCs w:val="28"/>
                <w:rtl/>
              </w:rPr>
              <w:t xml:space="preserve"> بيئة العمل النفسية المستدامة</w:t>
            </w:r>
          </w:p>
        </w:tc>
        <w:tc>
          <w:tcPr>
            <w:tcW w:w="0" w:type="auto"/>
            <w:tcMar>
              <w:top w:w="90" w:type="dxa"/>
              <w:left w:w="90" w:type="dxa"/>
              <w:bottom w:w="90" w:type="dxa"/>
              <w:right w:w="90" w:type="dxa"/>
            </w:tcMar>
            <w:vAlign w:val="center"/>
          </w:tcPr>
          <w:p w14:paraId="0F6A12BF" w14:textId="77777777" w:rsidR="00A61A27" w:rsidRPr="00703AF1" w:rsidRDefault="0089331B" w:rsidP="000775D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Cambria" w:hAnsi="Cambria" w:cs="Cambria" w:hint="cs"/>
                <w:sz w:val="28"/>
                <w:szCs w:val="28"/>
                <w:rtl/>
              </w:rPr>
              <w:t>β</w:t>
            </w:r>
            <w:r w:rsidRPr="00703AF1">
              <w:rPr>
                <w:rFonts w:ascii="Simplified Arabic" w:hAnsi="Simplified Arabic" w:cs="Simplified Arabic"/>
                <w:sz w:val="28"/>
                <w:szCs w:val="28"/>
                <w:rtl/>
              </w:rPr>
              <w:t xml:space="preserve"> = 0.802، R² = 0.643، p &lt; 0.001</w:t>
            </w:r>
          </w:p>
        </w:tc>
        <w:tc>
          <w:tcPr>
            <w:tcW w:w="0" w:type="auto"/>
            <w:tcMar>
              <w:top w:w="90" w:type="dxa"/>
              <w:left w:w="90" w:type="dxa"/>
              <w:bottom w:w="90" w:type="dxa"/>
              <w:right w:w="90" w:type="dxa"/>
            </w:tcMar>
            <w:vAlign w:val="center"/>
          </w:tcPr>
          <w:p w14:paraId="735DDB96" w14:textId="77777777" w:rsidR="00A61A27" w:rsidRPr="00703AF1" w:rsidRDefault="0089331B" w:rsidP="000775D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إيجابية قوية</w:t>
            </w:r>
          </w:p>
        </w:tc>
        <w:tc>
          <w:tcPr>
            <w:tcW w:w="0" w:type="auto"/>
            <w:tcMar>
              <w:top w:w="90" w:type="dxa"/>
              <w:left w:w="90" w:type="dxa"/>
              <w:bottom w:w="90" w:type="dxa"/>
              <w:right w:w="90" w:type="dxa"/>
            </w:tcMar>
            <w:vAlign w:val="center"/>
          </w:tcPr>
          <w:p w14:paraId="72BDFE27" w14:textId="77777777" w:rsidR="00A61A27" w:rsidRPr="00703AF1" w:rsidRDefault="0089331B" w:rsidP="000775D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أقوى أثر مباشر بين الفروض؛ فالتحول الصحي يفسر 64.3% من التباين في البيئة النفسية المستدامة، مما يبرز أولوية الممارسات التنظيمية الداعمة أثناء التحول.</w:t>
            </w:r>
          </w:p>
        </w:tc>
      </w:tr>
      <w:tr w:rsidR="00A61A27" w:rsidRPr="00703AF1" w14:paraId="66359B26" w14:textId="77777777" w:rsidTr="00703AF1">
        <w:tc>
          <w:tcPr>
            <w:cnfStyle w:val="001000000000" w:firstRow="0" w:lastRow="0" w:firstColumn="1" w:lastColumn="0" w:oddVBand="0" w:evenVBand="0" w:oddHBand="0" w:evenHBand="0" w:firstRowFirstColumn="0" w:firstRowLastColumn="0" w:lastRowFirstColumn="0" w:lastRowLastColumn="0"/>
            <w:tcW w:w="0" w:type="auto"/>
            <w:tcMar>
              <w:top w:w="90" w:type="dxa"/>
              <w:left w:w="90" w:type="dxa"/>
              <w:bottom w:w="90" w:type="dxa"/>
              <w:right w:w="90" w:type="dxa"/>
            </w:tcMar>
            <w:vAlign w:val="center"/>
          </w:tcPr>
          <w:p w14:paraId="19A7C06B" w14:textId="77777777" w:rsidR="00A61A27" w:rsidRPr="00703AF1" w:rsidRDefault="0089331B" w:rsidP="000775D0">
            <w:pPr>
              <w:jc w:val="center"/>
              <w:rPr>
                <w:rFonts w:ascii="Simplified Arabic" w:hAnsi="Simplified Arabic" w:cs="Simplified Arabic"/>
                <w:sz w:val="28"/>
                <w:szCs w:val="28"/>
              </w:rPr>
            </w:pPr>
            <w:r w:rsidRPr="00703AF1">
              <w:rPr>
                <w:rFonts w:ascii="Simplified Arabic" w:hAnsi="Simplified Arabic" w:cs="Simplified Arabic"/>
                <w:b w:val="0"/>
                <w:sz w:val="28"/>
                <w:szCs w:val="28"/>
                <w:rtl/>
              </w:rPr>
              <w:t>ف2</w:t>
            </w:r>
          </w:p>
        </w:tc>
        <w:tc>
          <w:tcPr>
            <w:tcW w:w="0" w:type="auto"/>
            <w:tcMar>
              <w:top w:w="90" w:type="dxa"/>
              <w:left w:w="90" w:type="dxa"/>
              <w:bottom w:w="90" w:type="dxa"/>
              <w:right w:w="90" w:type="dxa"/>
            </w:tcMar>
            <w:vAlign w:val="center"/>
          </w:tcPr>
          <w:p w14:paraId="538D86B0" w14:textId="77777777" w:rsidR="00A61A27" w:rsidRPr="00703AF1" w:rsidRDefault="0089331B" w:rsidP="000775D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 xml:space="preserve">التحول الصحي </w:t>
            </w:r>
            <w:r w:rsidRPr="00703AF1">
              <w:rPr>
                <w:rFonts w:ascii="Times New Roman" w:hAnsi="Times New Roman" w:cs="Times New Roman" w:hint="cs"/>
                <w:sz w:val="28"/>
                <w:szCs w:val="28"/>
                <w:rtl/>
              </w:rPr>
              <w:t>←</w:t>
            </w:r>
            <w:r w:rsidRPr="00703AF1">
              <w:rPr>
                <w:rFonts w:ascii="Simplified Arabic" w:hAnsi="Simplified Arabic" w:cs="Simplified Arabic"/>
                <w:sz w:val="28"/>
                <w:szCs w:val="28"/>
                <w:rtl/>
              </w:rPr>
              <w:t xml:space="preserve"> الاحتراق الوظيفي</w:t>
            </w:r>
          </w:p>
        </w:tc>
        <w:tc>
          <w:tcPr>
            <w:tcW w:w="0" w:type="auto"/>
            <w:tcMar>
              <w:top w:w="90" w:type="dxa"/>
              <w:left w:w="90" w:type="dxa"/>
              <w:bottom w:w="90" w:type="dxa"/>
              <w:right w:w="90" w:type="dxa"/>
            </w:tcMar>
            <w:vAlign w:val="center"/>
          </w:tcPr>
          <w:p w14:paraId="7774E227" w14:textId="77777777" w:rsidR="00A61A27" w:rsidRPr="00703AF1" w:rsidRDefault="0089331B" w:rsidP="000775D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Cambria" w:hAnsi="Cambria" w:cs="Cambria" w:hint="cs"/>
                <w:sz w:val="28"/>
                <w:szCs w:val="28"/>
                <w:rtl/>
              </w:rPr>
              <w:t>β</w:t>
            </w:r>
            <w:r w:rsidRPr="00703AF1">
              <w:rPr>
                <w:rFonts w:ascii="Simplified Arabic" w:hAnsi="Simplified Arabic" w:cs="Simplified Arabic"/>
                <w:sz w:val="28"/>
                <w:szCs w:val="28"/>
                <w:rtl/>
              </w:rPr>
              <w:t xml:space="preserve"> = -0.475، R² = 0.226، p &lt; 0.001</w:t>
            </w:r>
          </w:p>
        </w:tc>
        <w:tc>
          <w:tcPr>
            <w:tcW w:w="0" w:type="auto"/>
            <w:tcMar>
              <w:top w:w="90" w:type="dxa"/>
              <w:left w:w="90" w:type="dxa"/>
              <w:bottom w:w="90" w:type="dxa"/>
              <w:right w:w="90" w:type="dxa"/>
            </w:tcMar>
            <w:vAlign w:val="center"/>
          </w:tcPr>
          <w:p w14:paraId="5A14F8AA" w14:textId="77777777" w:rsidR="00A61A27" w:rsidRPr="00703AF1" w:rsidRDefault="0089331B" w:rsidP="000775D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سلبية عكسية متوسطة</w:t>
            </w:r>
          </w:p>
        </w:tc>
        <w:tc>
          <w:tcPr>
            <w:tcW w:w="0" w:type="auto"/>
            <w:tcMar>
              <w:top w:w="90" w:type="dxa"/>
              <w:left w:w="90" w:type="dxa"/>
              <w:bottom w:w="90" w:type="dxa"/>
              <w:right w:w="90" w:type="dxa"/>
            </w:tcMar>
            <w:vAlign w:val="center"/>
          </w:tcPr>
          <w:p w14:paraId="71946D64" w14:textId="77777777" w:rsidR="00A61A27" w:rsidRPr="00703AF1" w:rsidRDefault="0089331B" w:rsidP="000775D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كلما ارتفع مستوى تطبيق التحول الصحي انخفض الاحتراق الوظيفي. ويعد هذا الأثر أقل من أثر التحول في البيئة النفسية، بما يشير إلى وجود عوامل مهنية أخرى تفسر الاحتراق.</w:t>
            </w:r>
          </w:p>
        </w:tc>
      </w:tr>
      <w:tr w:rsidR="00A61A27" w:rsidRPr="00703AF1" w14:paraId="4F496E1C" w14:textId="77777777" w:rsidTr="00703AF1">
        <w:tc>
          <w:tcPr>
            <w:cnfStyle w:val="001000000000" w:firstRow="0" w:lastRow="0" w:firstColumn="1" w:lastColumn="0" w:oddVBand="0" w:evenVBand="0" w:oddHBand="0" w:evenHBand="0" w:firstRowFirstColumn="0" w:firstRowLastColumn="0" w:lastRowFirstColumn="0" w:lastRowLastColumn="0"/>
            <w:tcW w:w="0" w:type="auto"/>
            <w:tcMar>
              <w:top w:w="90" w:type="dxa"/>
              <w:left w:w="90" w:type="dxa"/>
              <w:bottom w:w="90" w:type="dxa"/>
              <w:right w:w="90" w:type="dxa"/>
            </w:tcMar>
            <w:vAlign w:val="center"/>
          </w:tcPr>
          <w:p w14:paraId="318DEA61" w14:textId="77777777" w:rsidR="00A61A27" w:rsidRPr="00703AF1" w:rsidRDefault="0089331B" w:rsidP="000775D0">
            <w:pPr>
              <w:jc w:val="center"/>
              <w:rPr>
                <w:rFonts w:ascii="Simplified Arabic" w:hAnsi="Simplified Arabic" w:cs="Simplified Arabic"/>
                <w:sz w:val="28"/>
                <w:szCs w:val="28"/>
              </w:rPr>
            </w:pPr>
            <w:r w:rsidRPr="00703AF1">
              <w:rPr>
                <w:rFonts w:ascii="Simplified Arabic" w:hAnsi="Simplified Arabic" w:cs="Simplified Arabic"/>
                <w:b w:val="0"/>
                <w:sz w:val="28"/>
                <w:szCs w:val="28"/>
                <w:rtl/>
              </w:rPr>
              <w:t>ف3</w:t>
            </w:r>
          </w:p>
        </w:tc>
        <w:tc>
          <w:tcPr>
            <w:tcW w:w="0" w:type="auto"/>
            <w:tcMar>
              <w:top w:w="90" w:type="dxa"/>
              <w:left w:w="90" w:type="dxa"/>
              <w:bottom w:w="90" w:type="dxa"/>
              <w:right w:w="90" w:type="dxa"/>
            </w:tcMar>
            <w:vAlign w:val="center"/>
          </w:tcPr>
          <w:p w14:paraId="2C656275" w14:textId="77777777" w:rsidR="00A61A27" w:rsidRPr="00703AF1" w:rsidRDefault="0089331B" w:rsidP="000775D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 xml:space="preserve">التحول الصحي ورفاهية الموظفين </w:t>
            </w:r>
            <w:r w:rsidRPr="00703AF1">
              <w:rPr>
                <w:rFonts w:ascii="Times New Roman" w:hAnsi="Times New Roman" w:cs="Times New Roman" w:hint="cs"/>
                <w:sz w:val="28"/>
                <w:szCs w:val="28"/>
                <w:rtl/>
              </w:rPr>
              <w:t>←</w:t>
            </w:r>
            <w:r w:rsidRPr="00703AF1">
              <w:rPr>
                <w:rFonts w:ascii="Simplified Arabic" w:hAnsi="Simplified Arabic" w:cs="Simplified Arabic"/>
                <w:sz w:val="28"/>
                <w:szCs w:val="28"/>
                <w:rtl/>
              </w:rPr>
              <w:t xml:space="preserve"> الاحتراق الوظيفي</w:t>
            </w:r>
          </w:p>
        </w:tc>
        <w:tc>
          <w:tcPr>
            <w:tcW w:w="0" w:type="auto"/>
            <w:tcMar>
              <w:top w:w="90" w:type="dxa"/>
              <w:left w:w="90" w:type="dxa"/>
              <w:bottom w:w="90" w:type="dxa"/>
              <w:right w:w="90" w:type="dxa"/>
            </w:tcMar>
            <w:vAlign w:val="center"/>
          </w:tcPr>
          <w:p w14:paraId="487EE677" w14:textId="77777777" w:rsidR="00A61A27" w:rsidRPr="00703AF1" w:rsidRDefault="0089331B" w:rsidP="000775D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 xml:space="preserve">R² = 0.347؛ </w:t>
            </w:r>
            <w:r w:rsidRPr="00703AF1">
              <w:rPr>
                <w:rFonts w:ascii="Cambria" w:hAnsi="Cambria" w:cs="Cambria" w:hint="cs"/>
                <w:sz w:val="28"/>
                <w:szCs w:val="28"/>
                <w:rtl/>
              </w:rPr>
              <w:t>β</w:t>
            </w:r>
            <w:r w:rsidRPr="00703AF1">
              <w:rPr>
                <w:rFonts w:ascii="Simplified Arabic" w:hAnsi="Simplified Arabic" w:cs="Simplified Arabic"/>
                <w:sz w:val="28"/>
                <w:szCs w:val="28"/>
                <w:rtl/>
              </w:rPr>
              <w:t xml:space="preserve"> للرفاهية = -0.412؛ </w:t>
            </w:r>
            <w:r w:rsidRPr="00703AF1">
              <w:rPr>
                <w:rFonts w:ascii="Cambria" w:hAnsi="Cambria" w:cs="Cambria" w:hint="cs"/>
                <w:sz w:val="28"/>
                <w:szCs w:val="28"/>
                <w:rtl/>
              </w:rPr>
              <w:t>β</w:t>
            </w:r>
            <w:r w:rsidRPr="00703AF1">
              <w:rPr>
                <w:rFonts w:ascii="Simplified Arabic" w:hAnsi="Simplified Arabic" w:cs="Simplified Arabic"/>
                <w:sz w:val="28"/>
                <w:szCs w:val="28"/>
                <w:rtl/>
              </w:rPr>
              <w:t xml:space="preserve"> للتحول = -0.155</w:t>
            </w:r>
          </w:p>
        </w:tc>
        <w:tc>
          <w:tcPr>
            <w:tcW w:w="0" w:type="auto"/>
            <w:tcMar>
              <w:top w:w="90" w:type="dxa"/>
              <w:left w:w="90" w:type="dxa"/>
              <w:bottom w:w="90" w:type="dxa"/>
              <w:right w:w="90" w:type="dxa"/>
            </w:tcMar>
            <w:vAlign w:val="center"/>
          </w:tcPr>
          <w:p w14:paraId="475C3367" w14:textId="77777777" w:rsidR="00A61A27" w:rsidRPr="00703AF1" w:rsidRDefault="0089331B" w:rsidP="000775D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تأثير تكاملي عكسي</w:t>
            </w:r>
          </w:p>
        </w:tc>
        <w:tc>
          <w:tcPr>
            <w:tcW w:w="0" w:type="auto"/>
            <w:tcMar>
              <w:top w:w="90" w:type="dxa"/>
              <w:left w:w="90" w:type="dxa"/>
              <w:bottom w:w="90" w:type="dxa"/>
              <w:right w:w="90" w:type="dxa"/>
            </w:tcMar>
            <w:vAlign w:val="center"/>
          </w:tcPr>
          <w:p w14:paraId="372CDDE5" w14:textId="77777777" w:rsidR="00A61A27" w:rsidRPr="00703AF1" w:rsidRDefault="0089331B" w:rsidP="000775D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كانت رفاهية الموظفين العامل الأكثر أهمية نسبياً في خفض الاحتراق داخل النموذج المتعدد، بينما كان الأثر المباشر للتحول الصحي أقل بعد إدخال الرفاهية.</w:t>
            </w:r>
          </w:p>
        </w:tc>
      </w:tr>
      <w:tr w:rsidR="00A61A27" w:rsidRPr="00703AF1" w14:paraId="450690D3" w14:textId="77777777" w:rsidTr="00703AF1">
        <w:tc>
          <w:tcPr>
            <w:cnfStyle w:val="001000000000" w:firstRow="0" w:lastRow="0" w:firstColumn="1" w:lastColumn="0" w:oddVBand="0" w:evenVBand="0" w:oddHBand="0" w:evenHBand="0" w:firstRowFirstColumn="0" w:firstRowLastColumn="0" w:lastRowFirstColumn="0" w:lastRowLastColumn="0"/>
            <w:tcW w:w="0" w:type="auto"/>
            <w:tcMar>
              <w:top w:w="90" w:type="dxa"/>
              <w:left w:w="90" w:type="dxa"/>
              <w:bottom w:w="90" w:type="dxa"/>
              <w:right w:w="90" w:type="dxa"/>
            </w:tcMar>
            <w:vAlign w:val="center"/>
          </w:tcPr>
          <w:p w14:paraId="4F1212CB" w14:textId="77777777" w:rsidR="00A61A27" w:rsidRPr="00703AF1" w:rsidRDefault="0089331B" w:rsidP="000775D0">
            <w:pPr>
              <w:jc w:val="center"/>
              <w:rPr>
                <w:rFonts w:ascii="Simplified Arabic" w:hAnsi="Simplified Arabic" w:cs="Simplified Arabic"/>
                <w:sz w:val="28"/>
                <w:szCs w:val="28"/>
              </w:rPr>
            </w:pPr>
            <w:r w:rsidRPr="00703AF1">
              <w:rPr>
                <w:rFonts w:ascii="Simplified Arabic" w:hAnsi="Simplified Arabic" w:cs="Simplified Arabic"/>
                <w:b w:val="0"/>
                <w:sz w:val="28"/>
                <w:szCs w:val="28"/>
                <w:rtl/>
              </w:rPr>
              <w:lastRenderedPageBreak/>
              <w:t>ف4</w:t>
            </w:r>
          </w:p>
        </w:tc>
        <w:tc>
          <w:tcPr>
            <w:tcW w:w="0" w:type="auto"/>
            <w:tcMar>
              <w:top w:w="90" w:type="dxa"/>
              <w:left w:w="90" w:type="dxa"/>
              <w:bottom w:w="90" w:type="dxa"/>
              <w:right w:w="90" w:type="dxa"/>
            </w:tcMar>
            <w:vAlign w:val="center"/>
          </w:tcPr>
          <w:p w14:paraId="0367E1CC" w14:textId="77777777" w:rsidR="00A61A27" w:rsidRPr="00703AF1" w:rsidRDefault="0089331B" w:rsidP="000775D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 xml:space="preserve">التحول الصحي </w:t>
            </w:r>
            <w:r w:rsidRPr="00703AF1">
              <w:rPr>
                <w:rFonts w:ascii="Times New Roman" w:hAnsi="Times New Roman" w:cs="Times New Roman" w:hint="cs"/>
                <w:sz w:val="28"/>
                <w:szCs w:val="28"/>
                <w:rtl/>
              </w:rPr>
              <w:t>←</w:t>
            </w:r>
            <w:r w:rsidRPr="00703AF1">
              <w:rPr>
                <w:rFonts w:ascii="Simplified Arabic" w:hAnsi="Simplified Arabic" w:cs="Simplified Arabic"/>
                <w:sz w:val="28"/>
                <w:szCs w:val="28"/>
                <w:rtl/>
              </w:rPr>
              <w:t xml:space="preserve"> رفاهية الموظفين </w:t>
            </w:r>
            <w:r w:rsidRPr="00703AF1">
              <w:rPr>
                <w:rFonts w:ascii="Times New Roman" w:hAnsi="Times New Roman" w:cs="Times New Roman" w:hint="cs"/>
                <w:sz w:val="28"/>
                <w:szCs w:val="28"/>
                <w:rtl/>
              </w:rPr>
              <w:t>←</w:t>
            </w:r>
            <w:r w:rsidRPr="00703AF1">
              <w:rPr>
                <w:rFonts w:ascii="Simplified Arabic" w:hAnsi="Simplified Arabic" w:cs="Simplified Arabic"/>
                <w:sz w:val="28"/>
                <w:szCs w:val="28"/>
                <w:rtl/>
              </w:rPr>
              <w:t xml:space="preserve"> الاحتراق الوظيفي</w:t>
            </w:r>
          </w:p>
        </w:tc>
        <w:tc>
          <w:tcPr>
            <w:tcW w:w="0" w:type="auto"/>
            <w:tcMar>
              <w:top w:w="90" w:type="dxa"/>
              <w:left w:w="90" w:type="dxa"/>
              <w:bottom w:w="90" w:type="dxa"/>
              <w:right w:w="90" w:type="dxa"/>
            </w:tcMar>
            <w:vAlign w:val="center"/>
          </w:tcPr>
          <w:p w14:paraId="434DFFBD" w14:textId="77777777" w:rsidR="00A61A27" w:rsidRPr="00703AF1" w:rsidRDefault="0089331B" w:rsidP="000775D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 xml:space="preserve">انخفض الأثر المباشر من </w:t>
            </w:r>
            <w:r w:rsidRPr="00703AF1">
              <w:rPr>
                <w:rFonts w:ascii="Cambria" w:hAnsi="Cambria" w:cs="Cambria" w:hint="cs"/>
                <w:sz w:val="28"/>
                <w:szCs w:val="28"/>
                <w:rtl/>
              </w:rPr>
              <w:t>β</w:t>
            </w:r>
            <w:r w:rsidRPr="00703AF1">
              <w:rPr>
                <w:rFonts w:ascii="Simplified Arabic" w:hAnsi="Simplified Arabic" w:cs="Simplified Arabic"/>
                <w:sz w:val="28"/>
                <w:szCs w:val="28"/>
                <w:rtl/>
              </w:rPr>
              <w:t xml:space="preserve"> = -0.475 إلى </w:t>
            </w:r>
            <w:r w:rsidRPr="00703AF1">
              <w:rPr>
                <w:rFonts w:ascii="Cambria" w:hAnsi="Cambria" w:cs="Cambria" w:hint="cs"/>
                <w:sz w:val="28"/>
                <w:szCs w:val="28"/>
                <w:rtl/>
              </w:rPr>
              <w:t>β</w:t>
            </w:r>
            <w:r w:rsidRPr="00703AF1">
              <w:rPr>
                <w:rFonts w:ascii="Simplified Arabic" w:hAnsi="Simplified Arabic" w:cs="Simplified Arabic"/>
                <w:sz w:val="28"/>
                <w:szCs w:val="28"/>
                <w:rtl/>
              </w:rPr>
              <w:t xml:space="preserve"> = -0.155، p = 0.008</w:t>
            </w:r>
          </w:p>
        </w:tc>
        <w:tc>
          <w:tcPr>
            <w:tcW w:w="0" w:type="auto"/>
            <w:tcMar>
              <w:top w:w="90" w:type="dxa"/>
              <w:left w:w="90" w:type="dxa"/>
              <w:bottom w:w="90" w:type="dxa"/>
              <w:right w:w="90" w:type="dxa"/>
            </w:tcMar>
            <w:vAlign w:val="center"/>
          </w:tcPr>
          <w:p w14:paraId="2258CB15" w14:textId="77777777" w:rsidR="00A61A27" w:rsidRPr="00703AF1" w:rsidRDefault="0089331B" w:rsidP="000775D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وساطة جزئية ذات اتجاه خافض للاحتراق</w:t>
            </w:r>
          </w:p>
        </w:tc>
        <w:tc>
          <w:tcPr>
            <w:tcW w:w="0" w:type="auto"/>
            <w:tcMar>
              <w:top w:w="90" w:type="dxa"/>
              <w:left w:w="90" w:type="dxa"/>
              <w:bottom w:w="90" w:type="dxa"/>
              <w:right w:w="90" w:type="dxa"/>
            </w:tcMar>
            <w:vAlign w:val="center"/>
          </w:tcPr>
          <w:p w14:paraId="43739ACD" w14:textId="77777777" w:rsidR="00A61A27" w:rsidRPr="00703AF1" w:rsidRDefault="0089331B" w:rsidP="000775D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03AF1">
              <w:rPr>
                <w:rFonts w:ascii="Simplified Arabic" w:hAnsi="Simplified Arabic" w:cs="Simplified Arabic"/>
                <w:sz w:val="28"/>
                <w:szCs w:val="28"/>
                <w:rtl/>
              </w:rPr>
              <w:t>تؤكد النتيجة أن التحول الصحي يخفض الاحتراق مباشرة، كما يخفضه بصورة غير مباشرة من خلال تعزيز رفاهية الموظفين؛ لذلك تمثل الرفاهية الآلية التفسيرية الأهم في النموذج.</w:t>
            </w:r>
          </w:p>
        </w:tc>
      </w:tr>
    </w:tbl>
    <w:p w14:paraId="27EECD24" w14:textId="77777777" w:rsidR="00A61A27" w:rsidRPr="00703AF1" w:rsidRDefault="0089331B" w:rsidP="00B32217">
      <w:pPr>
        <w:spacing w:before="40" w:after="120"/>
        <w:jc w:val="both"/>
        <w:rPr>
          <w:rFonts w:ascii="Simplified Arabic" w:hAnsi="Simplified Arabic" w:cs="Simplified Arabic"/>
          <w:sz w:val="28"/>
          <w:szCs w:val="28"/>
        </w:rPr>
      </w:pPr>
      <w:r w:rsidRPr="00703AF1">
        <w:rPr>
          <w:rFonts w:ascii="Simplified Arabic" w:hAnsi="Simplified Arabic" w:cs="Simplified Arabic"/>
          <w:i/>
          <w:sz w:val="28"/>
          <w:szCs w:val="28"/>
          <w:rtl/>
        </w:rPr>
        <w:t>المصدر: إعداد الباحثة اعتماداً على نتائج اختبارات الفروض الواردة في الفصل الرابع.</w:t>
      </w:r>
    </w:p>
    <w:p w14:paraId="0F40936E" w14:textId="77777777" w:rsidR="00BD1526" w:rsidRPr="00891197" w:rsidRDefault="00BD1526" w:rsidP="00B32217">
      <w:pPr>
        <w:pStyle w:val="2"/>
        <w:jc w:val="both"/>
        <w:rPr>
          <w:b w:val="0"/>
          <w:bCs/>
        </w:rPr>
      </w:pPr>
      <w:bookmarkStart w:id="54" w:name="_Toc235119064"/>
      <w:r w:rsidRPr="00891197">
        <w:rPr>
          <w:rFonts w:hint="cs"/>
          <w:b w:val="0"/>
          <w:bCs/>
          <w:rtl/>
        </w:rPr>
        <w:t>التوصيات الإجرائية</w:t>
      </w:r>
      <w:bookmarkEnd w:id="54"/>
      <w:r w:rsidRPr="00891197">
        <w:rPr>
          <w:rFonts w:hint="cs"/>
          <w:b w:val="0"/>
          <w:bCs/>
          <w:rtl/>
        </w:rPr>
        <w:t xml:space="preserve"> </w:t>
      </w:r>
    </w:p>
    <w:p w14:paraId="3B64A306" w14:textId="77777777" w:rsidR="00BD1526" w:rsidRPr="00E1294E" w:rsidRDefault="00BD1526" w:rsidP="00597597">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يوضّح الجدول التالي التوصيات الإجرائية المستخلصة من نتائج الدراسة الميدانية، مُرتَّبةً في صورة خطة عمل تُحدّد لكل توصية: النتيجة العلمية المستندة إليها، وآلية تنفيذها، والجهة المسؤولة عنها، والمدى الزمني اللازم لتحقيقها. </w:t>
      </w:r>
    </w:p>
    <w:p w14:paraId="1ECF02A3" w14:textId="77777777" w:rsidR="00BD1526" w:rsidRPr="006B4630" w:rsidRDefault="00BD1526" w:rsidP="00597597">
      <w:pPr>
        <w:spacing w:before="80" w:after="120" w:line="240" w:lineRule="auto"/>
        <w:jc w:val="center"/>
        <w:rPr>
          <w:rFonts w:ascii="Simplified Arabic" w:hAnsi="Simplified Arabic" w:cs="Simplified Arabic"/>
          <w:bCs/>
          <w:sz w:val="28"/>
          <w:szCs w:val="28"/>
          <w:rtl/>
        </w:rPr>
      </w:pPr>
      <w:r w:rsidRPr="006B4630">
        <w:rPr>
          <w:rFonts w:ascii="Simplified Arabic" w:hAnsi="Simplified Arabic" w:cs="Simplified Arabic" w:hint="cs"/>
          <w:bCs/>
          <w:sz w:val="28"/>
          <w:szCs w:val="28"/>
          <w:rtl/>
        </w:rPr>
        <w:t>جدول (5-2): خطة العمل التنفيذية للتوصيات الإجرائية في ضوء نتائج الدراسة</w:t>
      </w:r>
    </w:p>
    <w:tbl>
      <w:tblPr>
        <w:tblStyle w:val="10"/>
        <w:bidiVisual/>
        <w:tblW w:w="5000" w:type="pct"/>
        <w:tblLook w:val="0620" w:firstRow="1" w:lastRow="0" w:firstColumn="0" w:lastColumn="0" w:noHBand="1" w:noVBand="1"/>
      </w:tblPr>
      <w:tblGrid>
        <w:gridCol w:w="3728"/>
        <w:gridCol w:w="2682"/>
        <w:gridCol w:w="4280"/>
        <w:gridCol w:w="2148"/>
        <w:gridCol w:w="1110"/>
      </w:tblGrid>
      <w:tr w:rsidR="00BD1526" w:rsidRPr="00C9310B" w14:paraId="1C2FD983" w14:textId="77777777" w:rsidTr="00597597">
        <w:trPr>
          <w:cnfStyle w:val="100000000000" w:firstRow="1" w:lastRow="0" w:firstColumn="0" w:lastColumn="0" w:oddVBand="0" w:evenVBand="0" w:oddHBand="0" w:evenHBand="0" w:firstRowFirstColumn="0" w:firstRowLastColumn="0" w:lastRowFirstColumn="0" w:lastRowLastColumn="0"/>
          <w:trHeight w:val="480"/>
        </w:trPr>
        <w:tc>
          <w:tcPr>
            <w:tcW w:w="1336" w:type="pct"/>
            <w:vAlign w:val="center"/>
            <w:hideMark/>
          </w:tcPr>
          <w:p w14:paraId="06A4D872" w14:textId="77777777" w:rsidR="00BD1526" w:rsidRPr="00C9310B" w:rsidRDefault="00BD1526" w:rsidP="00597597">
            <w:pPr>
              <w:rPr>
                <w:rFonts w:ascii="Simplified Arabic" w:eastAsia="Times New Roman" w:hAnsi="Simplified Arabic" w:cs="Simplified Arabic"/>
                <w:color w:val="000000"/>
                <w:kern w:val="0"/>
                <w:sz w:val="28"/>
                <w:szCs w:val="28"/>
                <w14:ligatures w14:val="none"/>
              </w:rPr>
            </w:pPr>
            <w:r w:rsidRPr="00C9310B">
              <w:rPr>
                <w:rFonts w:ascii="Simplified Arabic" w:eastAsia="Times New Roman" w:hAnsi="Simplified Arabic" w:cs="Simplified Arabic" w:hint="cs"/>
                <w:color w:val="000000"/>
                <w:sz w:val="28"/>
                <w:szCs w:val="28"/>
                <w:rtl/>
              </w:rPr>
              <w:t>النتيجة التي توصلت إليها الدراسة</w:t>
            </w:r>
          </w:p>
        </w:tc>
        <w:tc>
          <w:tcPr>
            <w:tcW w:w="961" w:type="pct"/>
            <w:vAlign w:val="center"/>
            <w:hideMark/>
          </w:tcPr>
          <w:p w14:paraId="7D104DD9"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التوصية الإجرائية</w:t>
            </w:r>
          </w:p>
        </w:tc>
        <w:tc>
          <w:tcPr>
            <w:tcW w:w="1534" w:type="pct"/>
            <w:vAlign w:val="center"/>
            <w:hideMark/>
          </w:tcPr>
          <w:p w14:paraId="75878620"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آلية التنفيذ المقترحة</w:t>
            </w:r>
          </w:p>
        </w:tc>
        <w:tc>
          <w:tcPr>
            <w:tcW w:w="770" w:type="pct"/>
            <w:vAlign w:val="center"/>
            <w:hideMark/>
          </w:tcPr>
          <w:p w14:paraId="6B31630C"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الجهة أو الجهات المسؤولة عن التنفيذ</w:t>
            </w:r>
          </w:p>
        </w:tc>
        <w:tc>
          <w:tcPr>
            <w:tcW w:w="398" w:type="pct"/>
            <w:vAlign w:val="center"/>
            <w:hideMark/>
          </w:tcPr>
          <w:p w14:paraId="60B1B313"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المدى الزمني المقترح</w:t>
            </w:r>
          </w:p>
        </w:tc>
      </w:tr>
      <w:tr w:rsidR="00BD1526" w:rsidRPr="00C9310B" w14:paraId="78C71D7D" w14:textId="77777777" w:rsidTr="00597597">
        <w:trPr>
          <w:trHeight w:val="3270"/>
        </w:trPr>
        <w:tc>
          <w:tcPr>
            <w:tcW w:w="1336" w:type="pct"/>
            <w:vAlign w:val="center"/>
            <w:hideMark/>
          </w:tcPr>
          <w:p w14:paraId="72B848DC"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أثبتت نتائج الانحدار وجود أثر إيجابي قوي للتحول الصحي في بيئة العمل النفسية المستدامة؛ إذ فسر التحول الصحي ما نسبته (64.3%) من التباين في بيئة العمل النفسية المستدامة، وبلغ معامل التأثير (</w:t>
            </w:r>
            <w:r w:rsidRPr="00C9310B">
              <w:rPr>
                <w:rStyle w:val="font291"/>
                <w:rFonts w:eastAsia="Times New Roman" w:cs="Cambria"/>
              </w:rPr>
              <w:t>β</w:t>
            </w:r>
            <w:r w:rsidRPr="00C9310B">
              <w:rPr>
                <w:rStyle w:val="font281"/>
                <w:rFonts w:eastAsia="Times New Roman" w:hint="default"/>
                <w:rtl/>
              </w:rPr>
              <w:t xml:space="preserve"> = 0.802) عند مستوى دلالة (0.000).</w:t>
            </w:r>
          </w:p>
        </w:tc>
        <w:tc>
          <w:tcPr>
            <w:tcW w:w="961" w:type="pct"/>
            <w:vAlign w:val="center"/>
            <w:hideMark/>
          </w:tcPr>
          <w:p w14:paraId="22D00AB2"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بدمج البعد النفسي والتنظيمي للموظفين في سياسات التحول الصحي، بحيث تصبح استدامة بيئة العمل النفسية أحد مؤشرات نجاح التحول لا نتيجة ثانوية له.</w:t>
            </w:r>
          </w:p>
        </w:tc>
        <w:tc>
          <w:tcPr>
            <w:tcW w:w="1534" w:type="pct"/>
            <w:vAlign w:val="center"/>
            <w:hideMark/>
          </w:tcPr>
          <w:p w14:paraId="2237225C"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إدراج أثر مبادرات التحول الصحي على العاملين ضمن خطط التحول السنوية، بحيث لا يقتصر التقييم على جودة الخدمة أو كفاءة التشغيل، بل يشمل مؤشرات مثل وضوح الأدوار، الدعم الإداري، المشاركة في القرار، وعدالة توزيع الأعباء. وتراجع المؤشرات بصورة ربع سنوية لربط التحول بنتائج الموارد البشرية.</w:t>
            </w:r>
          </w:p>
        </w:tc>
        <w:tc>
          <w:tcPr>
            <w:tcW w:w="770" w:type="pct"/>
            <w:vAlign w:val="center"/>
            <w:hideMark/>
          </w:tcPr>
          <w:p w14:paraId="382DF924"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وزارة الصحة، التجمعات الصحية بمدينة الرياض، إدارات التحول المؤسسي، إدارات الموارد البشرية.</w:t>
            </w:r>
          </w:p>
        </w:tc>
        <w:tc>
          <w:tcPr>
            <w:tcW w:w="398" w:type="pct"/>
            <w:vAlign w:val="center"/>
            <w:hideMark/>
          </w:tcPr>
          <w:p w14:paraId="56BBAC20"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عام واحد</w:t>
            </w:r>
          </w:p>
        </w:tc>
      </w:tr>
      <w:tr w:rsidR="00BD1526" w:rsidRPr="00C9310B" w14:paraId="049E0C0E" w14:textId="77777777" w:rsidTr="00597597">
        <w:trPr>
          <w:trHeight w:val="3270"/>
        </w:trPr>
        <w:tc>
          <w:tcPr>
            <w:tcW w:w="1336" w:type="pct"/>
            <w:vAlign w:val="center"/>
            <w:hideMark/>
          </w:tcPr>
          <w:p w14:paraId="09C34AC3"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سجلت بيئة العمل النفسية المستدامة متوسطاً حسابياً قدره (3.37)، وهو مستوى متوسط مائل للارتفاع، على الرغم من ارتفاع مستوى إدراك التحول الصحي، مما يدل على وجود مساحة عملية لتحسين المناخ النفسي داخل بيئة العمل.</w:t>
            </w:r>
          </w:p>
        </w:tc>
        <w:tc>
          <w:tcPr>
            <w:tcW w:w="961" w:type="pct"/>
            <w:vAlign w:val="center"/>
            <w:hideMark/>
          </w:tcPr>
          <w:p w14:paraId="2417C22E"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بتبني برنامج مؤسسي لتحسين بيئة العمل النفسية المستدامة، مع إعطاء الأولوية للمنشآت أو الأقسام التي تظهر فيها مؤشرات ضغط تنظيمي أعلى.</w:t>
            </w:r>
          </w:p>
        </w:tc>
        <w:tc>
          <w:tcPr>
            <w:tcW w:w="1534" w:type="pct"/>
            <w:vAlign w:val="center"/>
            <w:hideMark/>
          </w:tcPr>
          <w:p w14:paraId="3E81200C"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تنفيذ قياس نصف سنوي للمناخ النفسي داخل المنشآت الصحية، يشمل الأمان النفسي، العدالة التنظيمية، العلاقات الإنسانية، الدعم الإداري، والمشاركة في اتخاذ القرار. وبعد تحليل النتائج، تعد كل منشأة خطة تحسين خاصة بها، مع متابعة التقدم من خلال مؤشرات محددة ومسؤولة زمنياً.</w:t>
            </w:r>
          </w:p>
        </w:tc>
        <w:tc>
          <w:tcPr>
            <w:tcW w:w="770" w:type="pct"/>
            <w:vAlign w:val="center"/>
            <w:hideMark/>
          </w:tcPr>
          <w:p w14:paraId="7AB7552E"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إدارات الموارد البشرية، إدارات الجودة، إدارات تجربة الموظف، مدراء المنشآت الصحية.</w:t>
            </w:r>
          </w:p>
        </w:tc>
        <w:tc>
          <w:tcPr>
            <w:tcW w:w="398" w:type="pct"/>
            <w:vAlign w:val="center"/>
            <w:hideMark/>
          </w:tcPr>
          <w:p w14:paraId="664BCA55"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من 6 إلى 9 أشهر</w:t>
            </w:r>
          </w:p>
        </w:tc>
      </w:tr>
      <w:tr w:rsidR="00BD1526" w:rsidRPr="00C9310B" w14:paraId="5BD77A10" w14:textId="77777777" w:rsidTr="00597597">
        <w:trPr>
          <w:trHeight w:val="2805"/>
        </w:trPr>
        <w:tc>
          <w:tcPr>
            <w:tcW w:w="1336" w:type="pct"/>
            <w:vAlign w:val="center"/>
            <w:hideMark/>
          </w:tcPr>
          <w:p w14:paraId="3E411B26"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جاء الاحتراق الوظيفي في مستوى متوسط بمتوسط حسابي (2.95)، وسجل أعلى انحراف معياري بين المتغيرات (0.99)، مما يشير إلى تباين واضح بين الموظفين في درجة التعرض للإجهاد المهني.</w:t>
            </w:r>
          </w:p>
        </w:tc>
        <w:tc>
          <w:tcPr>
            <w:tcW w:w="961" w:type="pct"/>
            <w:vAlign w:val="center"/>
            <w:hideMark/>
          </w:tcPr>
          <w:p w14:paraId="62BB6522"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بإنشاء نظام إنذار مبكر لرصد مؤشرات الاحتراق الوظيفي لدى العاملين في القطاع الصحي الحكومي، والتدخل قبل تحوله إلى مشكلة مهنية مزمنة.</w:t>
            </w:r>
          </w:p>
        </w:tc>
        <w:tc>
          <w:tcPr>
            <w:tcW w:w="1534" w:type="pct"/>
            <w:vAlign w:val="center"/>
            <w:hideMark/>
          </w:tcPr>
          <w:p w14:paraId="4A23AB82"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تطبيق أداة مختصرة لقياس الاحتراق الوظيفي مرتين سنوياً، وتصنيف النتائج إلى مستويات خطورة. ويقترن ذلك بتدخلات مبكرة تشمل الإرشاد المهني، الدعم النفسي، مراجعة جداول العمل، وتعديل الأعباء عند الحاجة، مع ضمان سرية البيانات وعدم استخدامها ضد الموظف.</w:t>
            </w:r>
          </w:p>
        </w:tc>
        <w:tc>
          <w:tcPr>
            <w:tcW w:w="770" w:type="pct"/>
            <w:vAlign w:val="center"/>
            <w:hideMark/>
          </w:tcPr>
          <w:p w14:paraId="5577721E"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إدارة الصحة المهنية، وحدات رفاهية الموظفين، الموارد البشرية، المشرفون المباشرون.</w:t>
            </w:r>
          </w:p>
        </w:tc>
        <w:tc>
          <w:tcPr>
            <w:tcW w:w="398" w:type="pct"/>
            <w:vAlign w:val="center"/>
            <w:hideMark/>
          </w:tcPr>
          <w:p w14:paraId="6261C535"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6 أشهر، ثم متابعة مستمرة</w:t>
            </w:r>
          </w:p>
        </w:tc>
      </w:tr>
      <w:tr w:rsidR="00BD1526" w:rsidRPr="00C9310B" w14:paraId="59257E77" w14:textId="77777777" w:rsidTr="00597597">
        <w:trPr>
          <w:trHeight w:val="3270"/>
        </w:trPr>
        <w:tc>
          <w:tcPr>
            <w:tcW w:w="1336" w:type="pct"/>
            <w:vAlign w:val="center"/>
            <w:hideMark/>
          </w:tcPr>
          <w:p w14:paraId="7472A2A8"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أظهرت النتائج أن رفاهية الموظفين جاءت بمستوى مرتفع نسبياً بمتوسط (3.44)، كما ارتبطت عكسياً بالاحتراق الوظيفي بمعامل (-0.527)، وكانت من أقوى العوامل المفسرة لانخفاض الاحتراق.</w:t>
            </w:r>
          </w:p>
        </w:tc>
        <w:tc>
          <w:tcPr>
            <w:tcW w:w="961" w:type="pct"/>
            <w:vAlign w:val="center"/>
            <w:hideMark/>
          </w:tcPr>
          <w:p w14:paraId="6CD707F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بجعل رفاهية الموظفين برنامجاً استراتيجياً دائماً داخل المنشآت الصحية، لا نشاطاً موسمياً أو مبادرة محدودة الأثر.</w:t>
            </w:r>
          </w:p>
        </w:tc>
        <w:tc>
          <w:tcPr>
            <w:tcW w:w="1534" w:type="pct"/>
            <w:vAlign w:val="center"/>
            <w:hideMark/>
          </w:tcPr>
          <w:p w14:paraId="105A194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تصميم برنامج رفاهية شامل يتضمن الدعم النفسي، تعزيز التوازن بين العمل والحياة، مبادرات الصحة الجسدية، برامج التقدير المعنوي، وفرص التطوير المهني. ويقاس أثر البرنامج من خلال مؤشرات الرضا، الغياب، دوران العمل، مستوى الاحتراق، ودرجة المشاركة في أنشطة الرفاهية.</w:t>
            </w:r>
          </w:p>
        </w:tc>
        <w:tc>
          <w:tcPr>
            <w:tcW w:w="770" w:type="pct"/>
            <w:vAlign w:val="center"/>
            <w:hideMark/>
          </w:tcPr>
          <w:p w14:paraId="6B8789D5"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وزارة الصحة، التجمعات الصحية، إدارات الموارد البشرية، إدارات التدريب والتطوير، إدارات الصحة المهنية.</w:t>
            </w:r>
          </w:p>
        </w:tc>
        <w:tc>
          <w:tcPr>
            <w:tcW w:w="398" w:type="pct"/>
            <w:vAlign w:val="center"/>
            <w:hideMark/>
          </w:tcPr>
          <w:p w14:paraId="49BFAB90"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عام واحد</w:t>
            </w:r>
          </w:p>
        </w:tc>
      </w:tr>
      <w:tr w:rsidR="00BD1526" w:rsidRPr="00C9310B" w14:paraId="108D62C9" w14:textId="77777777" w:rsidTr="00597597">
        <w:trPr>
          <w:trHeight w:val="2805"/>
        </w:trPr>
        <w:tc>
          <w:tcPr>
            <w:tcW w:w="1336" w:type="pct"/>
            <w:vAlign w:val="center"/>
            <w:hideMark/>
          </w:tcPr>
          <w:p w14:paraId="0E717C3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سجلت العلاقة بين بيئة العمل النفسية المستدامة ورفاهية الموظفين أعلى معامل ارتباط في الدراسة (0.821)، مما يؤكد أن تحسين البيئة النفسية يعد مدخلاً رئيساً لتعزيز رفاهية العاملين.</w:t>
            </w:r>
          </w:p>
        </w:tc>
        <w:tc>
          <w:tcPr>
            <w:tcW w:w="961" w:type="pct"/>
            <w:vAlign w:val="center"/>
            <w:hideMark/>
          </w:tcPr>
          <w:p w14:paraId="32B618E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بربط تقييم أداء القيادات الإدارية بمدى قدرتها على بناء بيئة نفسية آمنة وداعمة لرفاهية العاملين.</w:t>
            </w:r>
          </w:p>
        </w:tc>
        <w:tc>
          <w:tcPr>
            <w:tcW w:w="1534" w:type="pct"/>
            <w:vAlign w:val="center"/>
            <w:hideMark/>
          </w:tcPr>
          <w:p w14:paraId="0EE70D9F"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إضافة مؤشرات سلوكية إلى تقييم القيادات والمشرفين، مثل العدالة في توزيع العمل، الاستجابة لضغوط الموظفين، تمكين الفريق، إدارة النزاعات، ودعم الصحة النفسية. ويصاحب ذلك برنامج تدريبي للقيادات الوسطى في القيادة الداعمة والاتصال الإنساني في بيئات التحول.</w:t>
            </w:r>
          </w:p>
        </w:tc>
        <w:tc>
          <w:tcPr>
            <w:tcW w:w="770" w:type="pct"/>
            <w:vAlign w:val="center"/>
            <w:hideMark/>
          </w:tcPr>
          <w:p w14:paraId="51025837"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الإدارة العليا، إدارات الأداء المؤسسي، الموارد البشرية، مراكز التدريب القيادي.</w:t>
            </w:r>
          </w:p>
        </w:tc>
        <w:tc>
          <w:tcPr>
            <w:tcW w:w="398" w:type="pct"/>
            <w:vAlign w:val="center"/>
            <w:hideMark/>
          </w:tcPr>
          <w:p w14:paraId="61FF0C72"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9 أشهر</w:t>
            </w:r>
          </w:p>
        </w:tc>
      </w:tr>
      <w:tr w:rsidR="00BD1526" w:rsidRPr="00C9310B" w14:paraId="72FCE217" w14:textId="77777777" w:rsidTr="00597597">
        <w:trPr>
          <w:trHeight w:val="3270"/>
        </w:trPr>
        <w:tc>
          <w:tcPr>
            <w:tcW w:w="1336" w:type="pct"/>
            <w:vAlign w:val="center"/>
            <w:hideMark/>
          </w:tcPr>
          <w:p w14:paraId="1B1365AE"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أثبت تحليل الانحدار المتعدد أن التحول الصحي ورفاهية الموظفين يفسران معاً (34.7%) من التغير في الاحتراق الوظيفي، مع بقاء تأثير رفاهية الموظفين أقوى في تقليل الاحتراق (</w:t>
            </w:r>
            <w:r w:rsidRPr="00C9310B">
              <w:rPr>
                <w:rStyle w:val="font291"/>
                <w:rFonts w:eastAsia="Times New Roman" w:cs="Cambria"/>
              </w:rPr>
              <w:t>β</w:t>
            </w:r>
            <w:r w:rsidRPr="00C9310B">
              <w:rPr>
                <w:rStyle w:val="font281"/>
                <w:rFonts w:eastAsia="Times New Roman" w:hint="default"/>
                <w:rtl/>
              </w:rPr>
              <w:t xml:space="preserve"> = -0.412) مقارنة بالأثر المباشر للتحول الصحي (</w:t>
            </w:r>
            <w:r w:rsidRPr="00C9310B">
              <w:rPr>
                <w:rStyle w:val="font291"/>
                <w:rFonts w:eastAsia="Times New Roman" w:cs="Cambria"/>
              </w:rPr>
              <w:t>β</w:t>
            </w:r>
            <w:r w:rsidRPr="00C9310B">
              <w:rPr>
                <w:rStyle w:val="font281"/>
                <w:rFonts w:eastAsia="Times New Roman" w:hint="default"/>
                <w:rtl/>
              </w:rPr>
              <w:t xml:space="preserve"> = -0.155).</w:t>
            </w:r>
          </w:p>
        </w:tc>
        <w:tc>
          <w:tcPr>
            <w:tcW w:w="961" w:type="pct"/>
            <w:vAlign w:val="center"/>
            <w:hideMark/>
          </w:tcPr>
          <w:p w14:paraId="52308194"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بأن يصاحب كل مشروع تحول صحي تقييم مسبق ولاحق لأثره على رفاهية الموظفين ومستوى الاحتراق الوظيفي.</w:t>
            </w:r>
          </w:p>
        </w:tc>
        <w:tc>
          <w:tcPr>
            <w:tcW w:w="1534" w:type="pct"/>
            <w:vAlign w:val="center"/>
            <w:hideMark/>
          </w:tcPr>
          <w:p w14:paraId="29E7DB8A"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إعداد نموذج تقييم أثر الموظف لكل مشروع تحول صحي أو رقمي جديد، يتضمن أثر المبادرة على عبء العمل، المهارات المطلوبة، وضوح الإجراءات، الحاجة للتدريب، ومخاطر الإجهاد. وبعد التنفيذ، تجمع الملاحظات من المستخدمين النهائيين وتعدل الإجراءات قبل التوسع في التطبيق.</w:t>
            </w:r>
          </w:p>
        </w:tc>
        <w:tc>
          <w:tcPr>
            <w:tcW w:w="770" w:type="pct"/>
            <w:vAlign w:val="center"/>
            <w:hideMark/>
          </w:tcPr>
          <w:p w14:paraId="3EDE0FA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مكاتب إدارة المشاريع، إدارات التحول الرقمي، الموارد البشرية، مدراء الإدارات التشغيلية.</w:t>
            </w:r>
          </w:p>
        </w:tc>
        <w:tc>
          <w:tcPr>
            <w:tcW w:w="398" w:type="pct"/>
            <w:vAlign w:val="center"/>
            <w:hideMark/>
          </w:tcPr>
          <w:p w14:paraId="680A6CC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6 أشهر لوضع الإطار، ثم تطبيق مستمر</w:t>
            </w:r>
          </w:p>
        </w:tc>
      </w:tr>
      <w:tr w:rsidR="00BD1526" w:rsidRPr="00C9310B" w14:paraId="2B1A56D6" w14:textId="77777777" w:rsidTr="00597597">
        <w:trPr>
          <w:trHeight w:val="3270"/>
        </w:trPr>
        <w:tc>
          <w:tcPr>
            <w:tcW w:w="1336" w:type="pct"/>
            <w:vAlign w:val="center"/>
            <w:hideMark/>
          </w:tcPr>
          <w:p w14:paraId="6A7A8297"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أثبت اختبار الدور الوسيط أن رفاهية الموظفين تؤدي وساطة جزئية؛ إذ انخفض الأثر المباشر للتحول الصحي على الاحتراق الوظيفي من (-0.475) إلى (-0.155) بعد إدخال الرفاهية، مع بقاء الأثر دالاً إحصائياً عند (</w:t>
            </w:r>
            <w:r w:rsidRPr="00C9310B">
              <w:rPr>
                <w:rFonts w:ascii="Simplified Arabic" w:eastAsia="Times New Roman" w:hAnsi="Simplified Arabic" w:cs="Simplified Arabic" w:hint="cs"/>
                <w:color w:val="000000"/>
                <w:sz w:val="28"/>
                <w:szCs w:val="28"/>
              </w:rPr>
              <w:t>Sig = 0.008</w:t>
            </w:r>
            <w:r w:rsidRPr="00C9310B">
              <w:rPr>
                <w:rFonts w:ascii="Simplified Arabic" w:eastAsia="Times New Roman" w:hAnsi="Simplified Arabic" w:cs="Simplified Arabic" w:hint="cs"/>
                <w:color w:val="000000"/>
                <w:sz w:val="28"/>
                <w:szCs w:val="28"/>
                <w:rtl/>
              </w:rPr>
              <w:t>).</w:t>
            </w:r>
          </w:p>
        </w:tc>
        <w:tc>
          <w:tcPr>
            <w:tcW w:w="961" w:type="pct"/>
            <w:vAlign w:val="center"/>
            <w:hideMark/>
          </w:tcPr>
          <w:p w14:paraId="78F0CCD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بتثبيت رفاهية الموظفين بوصفها متغيراً وسيطاً حاكماً في نجاح التحول الصحي وتقليل الاحتراق الوظيفي.</w:t>
            </w:r>
          </w:p>
        </w:tc>
        <w:tc>
          <w:tcPr>
            <w:tcW w:w="1534" w:type="pct"/>
            <w:vAlign w:val="center"/>
            <w:hideMark/>
          </w:tcPr>
          <w:p w14:paraId="48EE78B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تحويل مؤشرات الرفاهية إلى مؤشرات أداء ضمن بطاقات الأداء المؤسسي للمنشآت، مثل مستوى الرفاه، معدل الغياب، دوران العمل، شكاوى ضغط العمل، ونسبة المشاركة في برامج الدعم. وتراجع هذه المؤشرات في اجتماعات الأداء جنباً إلى جنب مع مؤشرات جودة الخدمة والكفاءة التشغيلية.</w:t>
            </w:r>
          </w:p>
        </w:tc>
        <w:tc>
          <w:tcPr>
            <w:tcW w:w="770" w:type="pct"/>
            <w:vAlign w:val="center"/>
            <w:hideMark/>
          </w:tcPr>
          <w:p w14:paraId="7F99076C"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وزارة الصحة، التجمعات الصحية، إدارات الموارد البشرية، إدارات التخطيط الاستراتيجي.</w:t>
            </w:r>
          </w:p>
        </w:tc>
        <w:tc>
          <w:tcPr>
            <w:tcW w:w="398" w:type="pct"/>
            <w:vAlign w:val="center"/>
            <w:hideMark/>
          </w:tcPr>
          <w:p w14:paraId="2CBEB45E"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عام واحد</w:t>
            </w:r>
          </w:p>
        </w:tc>
      </w:tr>
      <w:tr w:rsidR="00BD1526" w:rsidRPr="00C9310B" w14:paraId="492851D2" w14:textId="77777777" w:rsidTr="00597597">
        <w:trPr>
          <w:trHeight w:val="2805"/>
        </w:trPr>
        <w:tc>
          <w:tcPr>
            <w:tcW w:w="1336" w:type="pct"/>
            <w:vAlign w:val="center"/>
            <w:hideMark/>
          </w:tcPr>
          <w:p w14:paraId="2C821DA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أظهرت نتائج تحليل الفروق أن المسمى الوظيفي كان أكثر الخصائص الديموغرافية تأثيراً؛ حيث ظهرت فروق دالة إحصائياً في جميع متغيرات الدراسة الرئيسة.</w:t>
            </w:r>
          </w:p>
        </w:tc>
        <w:tc>
          <w:tcPr>
            <w:tcW w:w="961" w:type="pct"/>
            <w:vAlign w:val="center"/>
            <w:hideMark/>
          </w:tcPr>
          <w:p w14:paraId="16B8FF5E"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بتصميم برامج تحول ورفاهية مهنية مخصصة حسب المسمى الوظيفي، بدلاً من اعتماد تدخلات موحدة لجميع العاملين.</w:t>
            </w:r>
          </w:p>
        </w:tc>
        <w:tc>
          <w:tcPr>
            <w:tcW w:w="1534" w:type="pct"/>
            <w:vAlign w:val="center"/>
            <w:hideMark/>
          </w:tcPr>
          <w:p w14:paraId="52296F3F"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تحليل ضغوط كل فئة وظيفية على حدة، ثم تصميم حزم تدخل مختلفة. فالأطباء قد يحتاجون إلى تقليل الأعباء الإدارية غير السريرية، والممرضون إلى تحسين المناوبات، والفنيون إلى وضوح الإجراءات وتحديث المهارات، والإداريون إلى دعم التحول الرقمي وتبسيط تدفق العمل.</w:t>
            </w:r>
          </w:p>
        </w:tc>
        <w:tc>
          <w:tcPr>
            <w:tcW w:w="770" w:type="pct"/>
            <w:vAlign w:val="center"/>
            <w:hideMark/>
          </w:tcPr>
          <w:p w14:paraId="1A9DA346"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مدراء الأقسام الطبية والفنية والإدارية، الموارد البشرية، إدارات التشغيل، إدارات الجودة.</w:t>
            </w:r>
          </w:p>
        </w:tc>
        <w:tc>
          <w:tcPr>
            <w:tcW w:w="398" w:type="pct"/>
            <w:vAlign w:val="center"/>
            <w:hideMark/>
          </w:tcPr>
          <w:p w14:paraId="2C8D70AC"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من 9 إلى 12 شهراً</w:t>
            </w:r>
          </w:p>
        </w:tc>
      </w:tr>
      <w:tr w:rsidR="00BD1526" w:rsidRPr="00C9310B" w14:paraId="0EC45372" w14:textId="77777777" w:rsidTr="00597597">
        <w:trPr>
          <w:trHeight w:val="2805"/>
        </w:trPr>
        <w:tc>
          <w:tcPr>
            <w:tcW w:w="1336" w:type="pct"/>
            <w:vAlign w:val="center"/>
            <w:hideMark/>
          </w:tcPr>
          <w:p w14:paraId="2AD7CF3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بينت نتائج تحليل الفروق وجود فروق دالة حسب العمر في رفاهية الموظفين (</w:t>
            </w:r>
            <w:r w:rsidRPr="00C9310B">
              <w:rPr>
                <w:rFonts w:ascii="Simplified Arabic" w:eastAsia="Times New Roman" w:hAnsi="Simplified Arabic" w:cs="Simplified Arabic" w:hint="cs"/>
                <w:color w:val="000000"/>
                <w:sz w:val="28"/>
                <w:szCs w:val="28"/>
              </w:rPr>
              <w:t>Sig = 0.027</w:t>
            </w:r>
            <w:r w:rsidRPr="00C9310B">
              <w:rPr>
                <w:rFonts w:ascii="Simplified Arabic" w:eastAsia="Times New Roman" w:hAnsi="Simplified Arabic" w:cs="Simplified Arabic" w:hint="cs"/>
                <w:color w:val="000000"/>
                <w:sz w:val="28"/>
                <w:szCs w:val="28"/>
                <w:rtl/>
              </w:rPr>
              <w:t>) والاحتراق الوظيفي (</w:t>
            </w:r>
            <w:r w:rsidRPr="00C9310B">
              <w:rPr>
                <w:rFonts w:ascii="Simplified Arabic" w:eastAsia="Times New Roman" w:hAnsi="Simplified Arabic" w:cs="Simplified Arabic" w:hint="cs"/>
                <w:color w:val="000000"/>
                <w:sz w:val="28"/>
                <w:szCs w:val="28"/>
              </w:rPr>
              <w:t>Sig = 0.003</w:t>
            </w:r>
            <w:r w:rsidRPr="00C9310B">
              <w:rPr>
                <w:rFonts w:ascii="Simplified Arabic" w:eastAsia="Times New Roman" w:hAnsi="Simplified Arabic" w:cs="Simplified Arabic" w:hint="cs"/>
                <w:color w:val="000000"/>
                <w:sz w:val="28"/>
                <w:szCs w:val="28"/>
                <w:rtl/>
              </w:rPr>
              <w:t>)، بينما لم تظهر فروق عمرية في التحول الصحي أو بيئة العمل النفسية.</w:t>
            </w:r>
          </w:p>
        </w:tc>
        <w:tc>
          <w:tcPr>
            <w:tcW w:w="961" w:type="pct"/>
            <w:vAlign w:val="center"/>
            <w:hideMark/>
          </w:tcPr>
          <w:p w14:paraId="34362AD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بتطوير برامج دعم تراعي الفروق العمرية، خصوصاً في موضوعي رفاهية الموظفين والاحتراق الوظيفي.</w:t>
            </w:r>
          </w:p>
        </w:tc>
        <w:tc>
          <w:tcPr>
            <w:tcW w:w="1534" w:type="pct"/>
            <w:vAlign w:val="center"/>
            <w:hideMark/>
          </w:tcPr>
          <w:p w14:paraId="1D16E947"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تقسيم البرامج الداعمة بحسب المرحلة العمرية: برامج تهيئة وإرشاد للموظفين الأصغر سناً، برامج تطوير واستقرار مهني للفئات المتوسطة، وخيارات مرونة ونقل خبرة للموظفين الأكبر سناً. ويرتبط ذلك بقياس دوري لاختلاف الاحتياجات النفسية والمهنية لكل فئة.</w:t>
            </w:r>
          </w:p>
        </w:tc>
        <w:tc>
          <w:tcPr>
            <w:tcW w:w="770" w:type="pct"/>
            <w:vAlign w:val="center"/>
            <w:hideMark/>
          </w:tcPr>
          <w:p w14:paraId="13001AD8"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إدارات الموارد البشرية، إدارات التدريب، المشرفون المباشرون، وحدات رفاهية الموظفين.</w:t>
            </w:r>
          </w:p>
        </w:tc>
        <w:tc>
          <w:tcPr>
            <w:tcW w:w="398" w:type="pct"/>
            <w:vAlign w:val="center"/>
            <w:hideMark/>
          </w:tcPr>
          <w:p w14:paraId="06127FFA"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من 6 إلى 9 أشهر</w:t>
            </w:r>
          </w:p>
        </w:tc>
      </w:tr>
      <w:tr w:rsidR="00BD1526" w:rsidRPr="00C9310B" w14:paraId="40EDE155" w14:textId="77777777" w:rsidTr="00597597">
        <w:trPr>
          <w:trHeight w:val="2805"/>
        </w:trPr>
        <w:tc>
          <w:tcPr>
            <w:tcW w:w="1336" w:type="pct"/>
            <w:vAlign w:val="center"/>
            <w:hideMark/>
          </w:tcPr>
          <w:p w14:paraId="1CC1E3AE"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أظهرت النتائج وجود فروق دالة حسب سنوات الخبرة في بيئة العمل النفسية ورفاهية الموظفين، بينما لم تظهر فروق دالة في التحول الصحي أو الاحتراق الوظيفي.</w:t>
            </w:r>
          </w:p>
        </w:tc>
        <w:tc>
          <w:tcPr>
            <w:tcW w:w="961" w:type="pct"/>
            <w:vAlign w:val="center"/>
            <w:hideMark/>
          </w:tcPr>
          <w:p w14:paraId="55484494"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بإطلاق برنامج إرشاد وتبادل خبرات يعزز اندماج الموظفين الأقل خبرة ويدعم استثمار خبرة العاملين القدامى.</w:t>
            </w:r>
          </w:p>
        </w:tc>
        <w:tc>
          <w:tcPr>
            <w:tcW w:w="1534" w:type="pct"/>
            <w:vAlign w:val="center"/>
            <w:hideMark/>
          </w:tcPr>
          <w:p w14:paraId="507BCEB6"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إطلاق برنامج إرشاد مهني يربط الموظفين الأقل خبرة بمرشدين من ذوي الخبرة، مع لقاءات شهرية لمناقشة تحديات العمل، فهم إجراءات التحول، بناء الثقة، وتبادل أساليب التعامل مع الضغوط. ويقاس أثر البرنامج من خلال مستوى الرفاهية وإدراك بيئة العمل قبل التطبيق وبعده.</w:t>
            </w:r>
          </w:p>
        </w:tc>
        <w:tc>
          <w:tcPr>
            <w:tcW w:w="770" w:type="pct"/>
            <w:vAlign w:val="center"/>
            <w:hideMark/>
          </w:tcPr>
          <w:p w14:paraId="38B5FA0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إدارات التدريب والتطوير، رؤساء الأقسام، الموارد البشرية، الموظفون ذوو الخبرة.</w:t>
            </w:r>
          </w:p>
        </w:tc>
        <w:tc>
          <w:tcPr>
            <w:tcW w:w="398" w:type="pct"/>
            <w:vAlign w:val="center"/>
            <w:hideMark/>
          </w:tcPr>
          <w:p w14:paraId="3844C2B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6 أشهر كمرحلة تجريبية، ثم تعميم تدريجي</w:t>
            </w:r>
          </w:p>
        </w:tc>
      </w:tr>
      <w:tr w:rsidR="00BD1526" w:rsidRPr="00C9310B" w14:paraId="58DBEDDC" w14:textId="77777777" w:rsidTr="00597597">
        <w:trPr>
          <w:trHeight w:val="2805"/>
        </w:trPr>
        <w:tc>
          <w:tcPr>
            <w:tcW w:w="1336" w:type="pct"/>
            <w:vAlign w:val="center"/>
            <w:hideMark/>
          </w:tcPr>
          <w:p w14:paraId="00EA5C57"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لم تظهر فروق دالة في متغيرات الدراسة تعزى إلى الدخل الشهري أو الحالة الاجتماعية، مما يشير إلى أن إدراك الموظفين للتحول والرفاهية والاحتراق يرتبط بدرجة أكبر بطبيعة البيئة التنظيمية والمهنية.</w:t>
            </w:r>
          </w:p>
        </w:tc>
        <w:tc>
          <w:tcPr>
            <w:tcW w:w="961" w:type="pct"/>
            <w:vAlign w:val="center"/>
            <w:hideMark/>
          </w:tcPr>
          <w:p w14:paraId="39E51CA5"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بالتركيز على العوامل التنظيمية غير المادية مثل العدالة، التقدير، وضوح المهام، المشاركة، والدعم الإداري.</w:t>
            </w:r>
          </w:p>
        </w:tc>
        <w:tc>
          <w:tcPr>
            <w:tcW w:w="1534" w:type="pct"/>
            <w:vAlign w:val="center"/>
            <w:hideMark/>
          </w:tcPr>
          <w:p w14:paraId="2588B1C6"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إنشاء قنوات منتظمة لسماع صوت الموظف، وتفعيل اجتماعات تغذية راجعة، وبرامج تقدير معنوي، ومراجعة عدالة توزيع الأعباء. وينبغي أن تعالج السياسات مصادر الضغط التنظيمي مباشرة بدلاً من الاعتماد الحصري على الحوافز المالية أو الظروف الشخصية.</w:t>
            </w:r>
          </w:p>
        </w:tc>
        <w:tc>
          <w:tcPr>
            <w:tcW w:w="770" w:type="pct"/>
            <w:vAlign w:val="center"/>
            <w:hideMark/>
          </w:tcPr>
          <w:p w14:paraId="0818B0FB"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الإدارة العليا، الموارد البشرية، الاتصال الداخلي، مدراء الأقسام.</w:t>
            </w:r>
          </w:p>
        </w:tc>
        <w:tc>
          <w:tcPr>
            <w:tcW w:w="398" w:type="pct"/>
            <w:vAlign w:val="center"/>
            <w:hideMark/>
          </w:tcPr>
          <w:p w14:paraId="364A3B9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من 3 إلى 6 أشهر</w:t>
            </w:r>
          </w:p>
        </w:tc>
      </w:tr>
      <w:tr w:rsidR="00BD1526" w:rsidRPr="00C9310B" w14:paraId="2D51B380" w14:textId="77777777" w:rsidTr="00597597">
        <w:trPr>
          <w:trHeight w:val="3270"/>
        </w:trPr>
        <w:tc>
          <w:tcPr>
            <w:tcW w:w="1336" w:type="pct"/>
            <w:vAlign w:val="center"/>
            <w:hideMark/>
          </w:tcPr>
          <w:p w14:paraId="0840F601"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lastRenderedPageBreak/>
              <w:t>خلصت الدراسة إلى أن نجاح التحول الصحي لا ينعكس فقط على الأداء التنظيمي، بل يمتد إلى تحسين البيئة النفسية وتعزيز رفاهية العاملين والحد من الاحتراق، مع أهمية مراعاة الفروق المهنية والديموغرافية عند تصميم السياسات.</w:t>
            </w:r>
          </w:p>
        </w:tc>
        <w:tc>
          <w:tcPr>
            <w:tcW w:w="961" w:type="pct"/>
            <w:vAlign w:val="center"/>
            <w:hideMark/>
          </w:tcPr>
          <w:p w14:paraId="3F2A391D"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توصي الباحثة بإنشاء نظام حوكمة بيانات للرفاهية والاحتراق الوظيفي يدعم القرار الإداري المبني على الدليل.</w:t>
            </w:r>
          </w:p>
        </w:tc>
        <w:tc>
          <w:tcPr>
            <w:tcW w:w="1534" w:type="pct"/>
            <w:vAlign w:val="center"/>
            <w:hideMark/>
          </w:tcPr>
          <w:p w14:paraId="51DDE294"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بناء لوحة مؤشرات موحدة تجمع بيانات الرفاهية، الاحتراق، الغياب، دوران العمل، رضا الموظف، ومؤشرات التحول الصحي. وتستخدم هذه البيانات في اتخاذ قرارات وقائية، مع مراعاة سرية البيانات، وتحليل الفروق حسب المسمى الوظيفي والعمر وسنوات الخبرة دون المساس بخصوصية الأفراد.</w:t>
            </w:r>
          </w:p>
        </w:tc>
        <w:tc>
          <w:tcPr>
            <w:tcW w:w="770" w:type="pct"/>
            <w:vAlign w:val="center"/>
            <w:hideMark/>
          </w:tcPr>
          <w:p w14:paraId="484A27D3"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وزارة الصحة، التجمعات الصحية، إدارات البيانات والتحليلات، الموارد البشرية، مراكز البحوث الصحية.</w:t>
            </w:r>
          </w:p>
        </w:tc>
        <w:tc>
          <w:tcPr>
            <w:tcW w:w="398" w:type="pct"/>
            <w:vAlign w:val="center"/>
            <w:hideMark/>
          </w:tcPr>
          <w:p w14:paraId="5FE69E3F" w14:textId="77777777" w:rsidR="00BD1526" w:rsidRPr="00C9310B" w:rsidRDefault="00BD1526" w:rsidP="00597597">
            <w:pPr>
              <w:rPr>
                <w:rFonts w:ascii="Simplified Arabic" w:eastAsia="Times New Roman" w:hAnsi="Simplified Arabic" w:cs="Simplified Arabic"/>
                <w:color w:val="000000"/>
                <w:sz w:val="28"/>
                <w:szCs w:val="28"/>
                <w:rtl/>
              </w:rPr>
            </w:pPr>
            <w:r w:rsidRPr="00C9310B">
              <w:rPr>
                <w:rFonts w:ascii="Simplified Arabic" w:eastAsia="Times New Roman" w:hAnsi="Simplified Arabic" w:cs="Simplified Arabic" w:hint="cs"/>
                <w:color w:val="000000"/>
                <w:sz w:val="28"/>
                <w:szCs w:val="28"/>
                <w:rtl/>
              </w:rPr>
              <w:t>12 شهراً</w:t>
            </w:r>
          </w:p>
        </w:tc>
      </w:tr>
    </w:tbl>
    <w:p w14:paraId="325FFC75" w14:textId="77777777" w:rsidR="00A61A27" w:rsidRPr="00D747DF" w:rsidRDefault="0089331B" w:rsidP="00D747DF">
      <w:pPr>
        <w:spacing w:before="40" w:after="120"/>
        <w:rPr>
          <w:rFonts w:ascii="Simplified Arabic" w:hAnsi="Simplified Arabic" w:cs="Simplified Arabic"/>
          <w:sz w:val="22"/>
          <w:szCs w:val="22"/>
        </w:rPr>
      </w:pPr>
      <w:r w:rsidRPr="00D747DF">
        <w:rPr>
          <w:rFonts w:ascii="Simplified Arabic" w:hAnsi="Simplified Arabic" w:cs="Simplified Arabic"/>
          <w:i/>
          <w:sz w:val="22"/>
          <w:szCs w:val="22"/>
          <w:rtl/>
        </w:rPr>
        <w:t>المصدر: إعداد الباحثة في ضوء نتائج الدراسة الميدانية.</w:t>
      </w:r>
    </w:p>
    <w:p w14:paraId="2764EEDF" w14:textId="77777777" w:rsidR="00BD1526" w:rsidRPr="00E1294E" w:rsidRDefault="00BD1526" w:rsidP="00597597">
      <w:pPr>
        <w:spacing w:line="240" w:lineRule="auto"/>
        <w:jc w:val="both"/>
        <w:rPr>
          <w:rFonts w:ascii="Simplified Arabic" w:hAnsi="Simplified Arabic" w:cs="Simplified Arabic"/>
          <w:sz w:val="28"/>
          <w:szCs w:val="28"/>
        </w:rPr>
        <w:sectPr w:rsidR="00BD1526" w:rsidRPr="00E1294E" w:rsidSect="00BD1526">
          <w:pgSz w:w="16838" w:h="11906" w:orient="landscape"/>
          <w:pgMar w:top="1440" w:right="1440" w:bottom="1440" w:left="1440" w:header="720" w:footer="720" w:gutter="0"/>
          <w:cols w:space="720"/>
          <w:docGrid w:linePitch="435"/>
        </w:sectPr>
      </w:pPr>
    </w:p>
    <w:p w14:paraId="662C96BC" w14:textId="77777777" w:rsidR="00BD1526" w:rsidRPr="00891197" w:rsidRDefault="00BD1526" w:rsidP="00891197">
      <w:pPr>
        <w:pStyle w:val="2"/>
        <w:rPr>
          <w:b w:val="0"/>
          <w:bCs/>
        </w:rPr>
      </w:pPr>
      <w:bookmarkStart w:id="55" w:name="_Toc235119065"/>
      <w:r w:rsidRPr="00891197">
        <w:rPr>
          <w:rFonts w:hint="cs"/>
          <w:b w:val="0"/>
          <w:bCs/>
          <w:rtl/>
        </w:rPr>
        <w:lastRenderedPageBreak/>
        <w:t>مقترحات الدراسات المستقبلية</w:t>
      </w:r>
      <w:bookmarkEnd w:id="55"/>
    </w:p>
    <w:p w14:paraId="579F8D33" w14:textId="77777777" w:rsidR="00BD1526" w:rsidRPr="00E1294E" w:rsidRDefault="00BD1526" w:rsidP="00597597">
      <w:pPr>
        <w:spacing w:after="120" w:line="240" w:lineRule="auto"/>
        <w:jc w:val="both"/>
        <w:rPr>
          <w:rFonts w:ascii="Simplified Arabic" w:hAnsi="Simplified Arabic" w:cs="Simplified Arabic"/>
          <w:sz w:val="28"/>
          <w:szCs w:val="28"/>
        </w:rPr>
      </w:pPr>
      <w:r w:rsidRPr="00E1294E">
        <w:rPr>
          <w:rFonts w:ascii="Simplified Arabic" w:hAnsi="Simplified Arabic" w:cs="Simplified Arabic" w:hint="cs"/>
          <w:sz w:val="28"/>
          <w:szCs w:val="28"/>
          <w:rtl/>
        </w:rPr>
        <w:t>على الرغم من أن الدراسة الحالية قدمت نموذجاً تفسيرياً للعلاقة بين التحول الصحي وبيئة العمل النفسية المستدامة ورفاهية الموظفين والاحتراق الوظيفي، فإن طبيعة الموضوع واتساع تطبيقات التحول الصحي يفتحان مجالاً لدراسات لاحقة أكثر تعمقاً. وفيما يأتي أبرز المقترحات البحثية المستقبلية:</w:t>
      </w:r>
    </w:p>
    <w:p w14:paraId="1EF8D4BE" w14:textId="77777777" w:rsidR="00BD1526" w:rsidRPr="006B4630" w:rsidRDefault="00BD1526" w:rsidP="00597597">
      <w:pPr>
        <w:spacing w:before="80" w:after="120" w:line="240" w:lineRule="auto"/>
        <w:jc w:val="center"/>
        <w:rPr>
          <w:rFonts w:ascii="Simplified Arabic" w:hAnsi="Simplified Arabic" w:cs="Simplified Arabic"/>
          <w:bCs/>
          <w:sz w:val="28"/>
          <w:szCs w:val="28"/>
        </w:rPr>
      </w:pPr>
      <w:r w:rsidRPr="006B4630">
        <w:rPr>
          <w:rFonts w:ascii="Simplified Arabic" w:hAnsi="Simplified Arabic" w:cs="Simplified Arabic" w:hint="cs"/>
          <w:bCs/>
          <w:sz w:val="28"/>
          <w:szCs w:val="28"/>
          <w:rtl/>
        </w:rPr>
        <w:t>جدول (5-3): مقترحات الدراسات المستقبلية</w:t>
      </w:r>
    </w:p>
    <w:tbl>
      <w:tblPr>
        <w:tblStyle w:val="10"/>
        <w:bidiVisual/>
        <w:tblW w:w="5000" w:type="pct"/>
        <w:tblLook w:val="0620" w:firstRow="1" w:lastRow="0" w:firstColumn="0" w:lastColumn="0" w:noHBand="1" w:noVBand="1"/>
      </w:tblPr>
      <w:tblGrid>
        <w:gridCol w:w="374"/>
        <w:gridCol w:w="3401"/>
        <w:gridCol w:w="3224"/>
        <w:gridCol w:w="2017"/>
      </w:tblGrid>
      <w:tr w:rsidR="00F567BB" w:rsidRPr="00F567BB" w14:paraId="0CC1325B" w14:textId="77777777" w:rsidTr="00F567BB">
        <w:trPr>
          <w:cnfStyle w:val="100000000000" w:firstRow="1" w:lastRow="0" w:firstColumn="0" w:lastColumn="0" w:oddVBand="0" w:evenVBand="0" w:oddHBand="0" w:evenHBand="0" w:firstRowFirstColumn="0" w:firstRowLastColumn="0" w:lastRowFirstColumn="0" w:lastRowLastColumn="0"/>
          <w:trHeight w:val="525"/>
        </w:trPr>
        <w:tc>
          <w:tcPr>
            <w:tcW w:w="181" w:type="pct"/>
            <w:vAlign w:val="center"/>
          </w:tcPr>
          <w:p w14:paraId="5BED63C7" w14:textId="0403F0E8" w:rsidR="00F567BB" w:rsidRPr="00F567BB" w:rsidRDefault="00F567BB" w:rsidP="00597597">
            <w:pPr>
              <w:jc w:val="center"/>
              <w:rPr>
                <w:rFonts w:ascii="Simplified Arabic" w:eastAsia="Times New Roman" w:hAnsi="Simplified Arabic" w:cs="Simplified Arabic"/>
                <w:color w:val="000000"/>
                <w:sz w:val="28"/>
                <w:szCs w:val="28"/>
                <w:rtl/>
              </w:rPr>
            </w:pPr>
            <w:r w:rsidRPr="00F567BB">
              <w:rPr>
                <w:rFonts w:ascii="Simplified Arabic" w:hAnsi="Simplified Arabic" w:cs="Simplified Arabic"/>
                <w:sz w:val="28"/>
                <w:szCs w:val="28"/>
                <w:rtl/>
              </w:rPr>
              <w:t>م</w:t>
            </w:r>
          </w:p>
        </w:tc>
        <w:tc>
          <w:tcPr>
            <w:tcW w:w="1895" w:type="pct"/>
            <w:vAlign w:val="center"/>
            <w:hideMark/>
          </w:tcPr>
          <w:p w14:paraId="4B063020" w14:textId="2677C5D6" w:rsidR="00F567BB" w:rsidRPr="00F567BB" w:rsidRDefault="00F567BB" w:rsidP="00597597">
            <w:pPr>
              <w:jc w:val="center"/>
              <w:rPr>
                <w:rFonts w:ascii="Simplified Arabic" w:eastAsia="Times New Roman" w:hAnsi="Simplified Arabic" w:cs="Simplified Arabic"/>
                <w:color w:val="000000"/>
                <w:kern w:val="0"/>
                <w:sz w:val="28"/>
                <w:szCs w:val="28"/>
                <w14:ligatures w14:val="none"/>
              </w:rPr>
            </w:pPr>
            <w:r w:rsidRPr="00F567BB">
              <w:rPr>
                <w:rFonts w:ascii="Simplified Arabic" w:eastAsia="Times New Roman" w:hAnsi="Simplified Arabic" w:cs="Simplified Arabic"/>
                <w:color w:val="000000"/>
                <w:sz w:val="28"/>
                <w:szCs w:val="28"/>
                <w:rtl/>
              </w:rPr>
              <w:t>المقترح البحثي المستقبلي</w:t>
            </w:r>
          </w:p>
        </w:tc>
        <w:tc>
          <w:tcPr>
            <w:tcW w:w="1796" w:type="pct"/>
            <w:vAlign w:val="center"/>
            <w:hideMark/>
          </w:tcPr>
          <w:p w14:paraId="477110D1" w14:textId="77777777" w:rsidR="00F567BB" w:rsidRPr="00F567BB" w:rsidRDefault="00F567BB" w:rsidP="00597597">
            <w:pPr>
              <w:jc w:val="cente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مبرر المقترح</w:t>
            </w:r>
          </w:p>
        </w:tc>
        <w:tc>
          <w:tcPr>
            <w:tcW w:w="1127" w:type="pct"/>
            <w:vAlign w:val="center"/>
            <w:hideMark/>
          </w:tcPr>
          <w:p w14:paraId="579F0FEB" w14:textId="77777777" w:rsidR="00F567BB" w:rsidRPr="00F567BB" w:rsidRDefault="00F567BB" w:rsidP="00597597">
            <w:pPr>
              <w:jc w:val="cente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المنهج أو التصميم المقترح</w:t>
            </w:r>
          </w:p>
        </w:tc>
      </w:tr>
      <w:tr w:rsidR="00F567BB" w:rsidRPr="00F567BB" w14:paraId="3F2504CD" w14:textId="77777777" w:rsidTr="00F567BB">
        <w:trPr>
          <w:trHeight w:val="1410"/>
        </w:trPr>
        <w:tc>
          <w:tcPr>
            <w:tcW w:w="181" w:type="pct"/>
            <w:vAlign w:val="center"/>
          </w:tcPr>
          <w:p w14:paraId="1F65750E" w14:textId="263DA464" w:rsidR="00F567BB" w:rsidRPr="00F567BB" w:rsidRDefault="00F567BB" w:rsidP="00597597">
            <w:pPr>
              <w:rPr>
                <w:rFonts w:ascii="Simplified Arabic" w:eastAsia="Times New Roman" w:hAnsi="Simplified Arabic" w:cs="Simplified Arabic"/>
                <w:b/>
                <w:bCs/>
                <w:color w:val="000000"/>
                <w:sz w:val="28"/>
                <w:szCs w:val="28"/>
                <w:rtl/>
              </w:rPr>
            </w:pPr>
            <w:r w:rsidRPr="00F567BB">
              <w:rPr>
                <w:rFonts w:ascii="Simplified Arabic" w:hAnsi="Simplified Arabic" w:cs="Simplified Arabic"/>
                <w:b/>
                <w:bCs/>
                <w:sz w:val="28"/>
                <w:szCs w:val="28"/>
                <w:rtl/>
              </w:rPr>
              <w:t>1</w:t>
            </w:r>
          </w:p>
        </w:tc>
        <w:tc>
          <w:tcPr>
            <w:tcW w:w="1895" w:type="pct"/>
            <w:vAlign w:val="center"/>
            <w:hideMark/>
          </w:tcPr>
          <w:p w14:paraId="6AB58CF8" w14:textId="3D19BC9C"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إجراء دراسة طولية لتتبع أثر التحول الصحي على رفاهية الموظفين والاحتراق الوظيفي خلال عدة سنوات.</w:t>
            </w:r>
          </w:p>
        </w:tc>
        <w:tc>
          <w:tcPr>
            <w:tcW w:w="1796" w:type="pct"/>
            <w:vAlign w:val="center"/>
            <w:hideMark/>
          </w:tcPr>
          <w:p w14:paraId="51EE03F9"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الدراسة الحالية تقيس اتجاهات العاملين في فترة محددة، بينما قد تتغير آثار التحول الصحي مع الزمن.</w:t>
            </w:r>
          </w:p>
        </w:tc>
        <w:tc>
          <w:tcPr>
            <w:tcW w:w="1127" w:type="pct"/>
            <w:vAlign w:val="center"/>
            <w:hideMark/>
          </w:tcPr>
          <w:p w14:paraId="331B474B"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دراسة طولية تتبع نفس المتغيرات عبر أكثر من نقطة زمنية.</w:t>
            </w:r>
          </w:p>
        </w:tc>
      </w:tr>
      <w:tr w:rsidR="00F567BB" w:rsidRPr="00F567BB" w14:paraId="3B390690" w14:textId="77777777" w:rsidTr="00F567BB">
        <w:trPr>
          <w:trHeight w:val="1410"/>
        </w:trPr>
        <w:tc>
          <w:tcPr>
            <w:tcW w:w="181" w:type="pct"/>
            <w:vAlign w:val="center"/>
          </w:tcPr>
          <w:p w14:paraId="7D808034" w14:textId="25D84BF8" w:rsidR="00F567BB" w:rsidRPr="00F567BB" w:rsidRDefault="00F567BB" w:rsidP="00597597">
            <w:pPr>
              <w:rPr>
                <w:rFonts w:ascii="Simplified Arabic" w:eastAsia="Times New Roman" w:hAnsi="Simplified Arabic" w:cs="Simplified Arabic"/>
                <w:b/>
                <w:bCs/>
                <w:color w:val="000000"/>
                <w:sz w:val="28"/>
                <w:szCs w:val="28"/>
                <w:rtl/>
              </w:rPr>
            </w:pPr>
            <w:r w:rsidRPr="00F567BB">
              <w:rPr>
                <w:rFonts w:ascii="Simplified Arabic" w:hAnsi="Simplified Arabic" w:cs="Simplified Arabic"/>
                <w:b/>
                <w:bCs/>
                <w:sz w:val="28"/>
                <w:szCs w:val="28"/>
                <w:rtl/>
              </w:rPr>
              <w:t>2</w:t>
            </w:r>
          </w:p>
        </w:tc>
        <w:tc>
          <w:tcPr>
            <w:tcW w:w="1895" w:type="pct"/>
            <w:vAlign w:val="center"/>
            <w:hideMark/>
          </w:tcPr>
          <w:p w14:paraId="0A35F24F" w14:textId="12485F66"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دراسة التجارب المعاشة للأطباء والممرضين والفنيين والإداريين في التعامل مع ضغوط التحول الصحي.</w:t>
            </w:r>
          </w:p>
        </w:tc>
        <w:tc>
          <w:tcPr>
            <w:tcW w:w="1796" w:type="pct"/>
            <w:vAlign w:val="center"/>
            <w:hideMark/>
          </w:tcPr>
          <w:p w14:paraId="529D7F43"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الاستبانة توضح اتجاه العلاقات، لكنها لا تكشف دائماً تفاصيل التجربة اليومية للموظف داخل بيئة التحول.</w:t>
            </w:r>
          </w:p>
        </w:tc>
        <w:tc>
          <w:tcPr>
            <w:tcW w:w="1127" w:type="pct"/>
            <w:vAlign w:val="center"/>
            <w:hideMark/>
          </w:tcPr>
          <w:p w14:paraId="7F2820E0"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دراسة نوعية باستخدام مقابلات شبه مقننة أو مجموعات تركيز.</w:t>
            </w:r>
          </w:p>
        </w:tc>
      </w:tr>
      <w:tr w:rsidR="00F567BB" w:rsidRPr="00F567BB" w14:paraId="71D6E9B5" w14:textId="77777777" w:rsidTr="00F567BB">
        <w:trPr>
          <w:trHeight w:val="1410"/>
        </w:trPr>
        <w:tc>
          <w:tcPr>
            <w:tcW w:w="181" w:type="pct"/>
            <w:vAlign w:val="center"/>
          </w:tcPr>
          <w:p w14:paraId="6CD1CFBE" w14:textId="75E72B67" w:rsidR="00F567BB" w:rsidRPr="00F567BB" w:rsidRDefault="00F567BB" w:rsidP="00597597">
            <w:pPr>
              <w:rPr>
                <w:rFonts w:ascii="Simplified Arabic" w:eastAsia="Times New Roman" w:hAnsi="Simplified Arabic" w:cs="Simplified Arabic"/>
                <w:b/>
                <w:bCs/>
                <w:color w:val="000000"/>
                <w:sz w:val="28"/>
                <w:szCs w:val="28"/>
                <w:rtl/>
              </w:rPr>
            </w:pPr>
            <w:r w:rsidRPr="00F567BB">
              <w:rPr>
                <w:rFonts w:ascii="Simplified Arabic" w:hAnsi="Simplified Arabic" w:cs="Simplified Arabic"/>
                <w:b/>
                <w:bCs/>
                <w:sz w:val="28"/>
                <w:szCs w:val="28"/>
                <w:rtl/>
              </w:rPr>
              <w:t>3</w:t>
            </w:r>
          </w:p>
        </w:tc>
        <w:tc>
          <w:tcPr>
            <w:tcW w:w="1895" w:type="pct"/>
            <w:vAlign w:val="center"/>
            <w:hideMark/>
          </w:tcPr>
          <w:p w14:paraId="15BDA4EC" w14:textId="45C334EA"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مقارنة القطاع الصحي الحكومي والخاص، أو مقارنة مدينة الرياض بمناطق سعودية أخرى في متغيرات الدراسة نفسها.</w:t>
            </w:r>
          </w:p>
        </w:tc>
        <w:tc>
          <w:tcPr>
            <w:tcW w:w="1796" w:type="pct"/>
            <w:vAlign w:val="center"/>
            <w:hideMark/>
          </w:tcPr>
          <w:p w14:paraId="276CA6B6"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اقتصرت الدراسة الحالية على القطاع الصحي الحكومي بمدينة الرياض، مما يفتح المجال لاختبار قابلية تعميم النتائج.</w:t>
            </w:r>
          </w:p>
        </w:tc>
        <w:tc>
          <w:tcPr>
            <w:tcW w:w="1127" w:type="pct"/>
            <w:vAlign w:val="center"/>
            <w:hideMark/>
          </w:tcPr>
          <w:p w14:paraId="0E4457B5"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دراسة مقارنة بين قطاعات أو مناطق متعددة.</w:t>
            </w:r>
          </w:p>
        </w:tc>
      </w:tr>
      <w:tr w:rsidR="00F567BB" w:rsidRPr="00F567BB" w14:paraId="49187F8B" w14:textId="77777777" w:rsidTr="00F567BB">
        <w:trPr>
          <w:trHeight w:val="1410"/>
        </w:trPr>
        <w:tc>
          <w:tcPr>
            <w:tcW w:w="181" w:type="pct"/>
            <w:vAlign w:val="center"/>
          </w:tcPr>
          <w:p w14:paraId="687A20F0" w14:textId="4079051B" w:rsidR="00F567BB" w:rsidRPr="00F567BB" w:rsidRDefault="00F567BB" w:rsidP="00597597">
            <w:pPr>
              <w:rPr>
                <w:rFonts w:ascii="Simplified Arabic" w:eastAsia="Times New Roman" w:hAnsi="Simplified Arabic" w:cs="Simplified Arabic"/>
                <w:b/>
                <w:bCs/>
                <w:color w:val="000000"/>
                <w:sz w:val="28"/>
                <w:szCs w:val="28"/>
                <w:rtl/>
              </w:rPr>
            </w:pPr>
            <w:r w:rsidRPr="00F567BB">
              <w:rPr>
                <w:rFonts w:ascii="Simplified Arabic" w:hAnsi="Simplified Arabic" w:cs="Simplified Arabic"/>
                <w:b/>
                <w:bCs/>
                <w:sz w:val="28"/>
                <w:szCs w:val="28"/>
                <w:rtl/>
              </w:rPr>
              <w:t>4</w:t>
            </w:r>
          </w:p>
        </w:tc>
        <w:tc>
          <w:tcPr>
            <w:tcW w:w="1895" w:type="pct"/>
            <w:vAlign w:val="center"/>
            <w:hideMark/>
          </w:tcPr>
          <w:p w14:paraId="5CD0BD2A" w14:textId="481BAAF4"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اختبار النموذج البحثي باستخدام نمذجة المعادلات الهيكلية لقياس الأثر المباشر وغير المباشر بدرجة أعلى من الدقة.</w:t>
            </w:r>
          </w:p>
        </w:tc>
        <w:tc>
          <w:tcPr>
            <w:tcW w:w="1796" w:type="pct"/>
            <w:vAlign w:val="center"/>
            <w:hideMark/>
          </w:tcPr>
          <w:p w14:paraId="4EF5CA33"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العلاقات بين التحول الصحي، البيئة النفسية، الرفاهية، والاحتراق قد تكون أكثر تعقيداً من النماذج الخطية المباشرة.</w:t>
            </w:r>
          </w:p>
        </w:tc>
        <w:tc>
          <w:tcPr>
            <w:tcW w:w="1127" w:type="pct"/>
            <w:vAlign w:val="center"/>
            <w:hideMark/>
          </w:tcPr>
          <w:p w14:paraId="465AED7B"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نمذجة معادلات هيكلية أو تحليل مسار متقدم.</w:t>
            </w:r>
          </w:p>
        </w:tc>
      </w:tr>
      <w:tr w:rsidR="00F567BB" w:rsidRPr="00F567BB" w14:paraId="3758CCA9" w14:textId="77777777" w:rsidTr="00F567BB">
        <w:trPr>
          <w:trHeight w:val="1410"/>
        </w:trPr>
        <w:tc>
          <w:tcPr>
            <w:tcW w:w="181" w:type="pct"/>
            <w:vAlign w:val="center"/>
          </w:tcPr>
          <w:p w14:paraId="51019549" w14:textId="7DC5ABDB" w:rsidR="00F567BB" w:rsidRPr="00F567BB" w:rsidRDefault="00F567BB" w:rsidP="00597597">
            <w:pPr>
              <w:rPr>
                <w:rFonts w:ascii="Simplified Arabic" w:eastAsia="Times New Roman" w:hAnsi="Simplified Arabic" w:cs="Simplified Arabic"/>
                <w:b/>
                <w:bCs/>
                <w:color w:val="000000"/>
                <w:sz w:val="28"/>
                <w:szCs w:val="28"/>
                <w:rtl/>
              </w:rPr>
            </w:pPr>
            <w:r w:rsidRPr="00F567BB">
              <w:rPr>
                <w:rFonts w:ascii="Simplified Arabic" w:hAnsi="Simplified Arabic" w:cs="Simplified Arabic"/>
                <w:b/>
                <w:bCs/>
                <w:sz w:val="28"/>
                <w:szCs w:val="28"/>
                <w:rtl/>
              </w:rPr>
              <w:t>5</w:t>
            </w:r>
          </w:p>
        </w:tc>
        <w:tc>
          <w:tcPr>
            <w:tcW w:w="1895" w:type="pct"/>
            <w:vAlign w:val="center"/>
            <w:hideMark/>
          </w:tcPr>
          <w:p w14:paraId="4BE1E0EB" w14:textId="304E9046"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قياس أثر برنامج فعلي لرفاهية الموظفين قبل التطبيق وبعده على مستوى الاحتراق الوظيفي وبيئة العمل النفسية.</w:t>
            </w:r>
          </w:p>
        </w:tc>
        <w:tc>
          <w:tcPr>
            <w:tcW w:w="1796" w:type="pct"/>
            <w:vAlign w:val="center"/>
            <w:hideMark/>
          </w:tcPr>
          <w:p w14:paraId="337E8704"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تحتاج التوصيات التطبيقية إلى اختبار ميداني يبين أثر البرامج المقترحة وليس مجرد الارتباط الإحصائي بينها.</w:t>
            </w:r>
          </w:p>
        </w:tc>
        <w:tc>
          <w:tcPr>
            <w:tcW w:w="1127" w:type="pct"/>
            <w:vAlign w:val="center"/>
            <w:hideMark/>
          </w:tcPr>
          <w:p w14:paraId="180E70A8"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دراسة تدخلية قبلية وبعدية.</w:t>
            </w:r>
          </w:p>
        </w:tc>
      </w:tr>
      <w:tr w:rsidR="00F567BB" w:rsidRPr="00F567BB" w14:paraId="1E1595ED" w14:textId="77777777" w:rsidTr="00F567BB">
        <w:trPr>
          <w:trHeight w:val="1410"/>
        </w:trPr>
        <w:tc>
          <w:tcPr>
            <w:tcW w:w="181" w:type="pct"/>
            <w:vAlign w:val="center"/>
          </w:tcPr>
          <w:p w14:paraId="6C168D4A" w14:textId="235EE29A" w:rsidR="00F567BB" w:rsidRPr="00F567BB" w:rsidRDefault="00F567BB" w:rsidP="00597597">
            <w:pPr>
              <w:rPr>
                <w:rFonts w:ascii="Simplified Arabic" w:eastAsia="Times New Roman" w:hAnsi="Simplified Arabic" w:cs="Simplified Arabic"/>
                <w:b/>
                <w:bCs/>
                <w:color w:val="000000"/>
                <w:sz w:val="28"/>
                <w:szCs w:val="28"/>
                <w:rtl/>
              </w:rPr>
            </w:pPr>
            <w:r w:rsidRPr="00F567BB">
              <w:rPr>
                <w:rFonts w:ascii="Simplified Arabic" w:hAnsi="Simplified Arabic" w:cs="Simplified Arabic"/>
                <w:b/>
                <w:bCs/>
                <w:sz w:val="28"/>
                <w:szCs w:val="28"/>
                <w:rtl/>
              </w:rPr>
              <w:lastRenderedPageBreak/>
              <w:t>6</w:t>
            </w:r>
          </w:p>
        </w:tc>
        <w:tc>
          <w:tcPr>
            <w:tcW w:w="1895" w:type="pct"/>
            <w:vAlign w:val="center"/>
            <w:hideMark/>
          </w:tcPr>
          <w:p w14:paraId="64B0463C" w14:textId="44C8F2C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اختبار دور القيادة الداعمة، العدالة التنظيمية، الرشاقة التنظيمية، رأس المال النفسي، وعبء التحول الرقمي كمتغيرات وسيطة أو معدلة.</w:t>
            </w:r>
          </w:p>
        </w:tc>
        <w:tc>
          <w:tcPr>
            <w:tcW w:w="1796" w:type="pct"/>
            <w:vAlign w:val="center"/>
            <w:hideMark/>
          </w:tcPr>
          <w:p w14:paraId="598359A4"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أثبتت الدراسة دور الرفاهية كوسيط جزئي، مما يعني وجود عوامل أخرى قد تفسر بقية الأثر.</w:t>
            </w:r>
          </w:p>
        </w:tc>
        <w:tc>
          <w:tcPr>
            <w:tcW w:w="1127" w:type="pct"/>
            <w:vAlign w:val="center"/>
            <w:hideMark/>
          </w:tcPr>
          <w:p w14:paraId="1F12CD5C"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دراسة متغيرات وسيطة ومعدلة إضافية.</w:t>
            </w:r>
          </w:p>
        </w:tc>
      </w:tr>
      <w:tr w:rsidR="00F567BB" w:rsidRPr="00F567BB" w14:paraId="57E9C3F5" w14:textId="77777777" w:rsidTr="00F567BB">
        <w:trPr>
          <w:trHeight w:val="1410"/>
        </w:trPr>
        <w:tc>
          <w:tcPr>
            <w:tcW w:w="181" w:type="pct"/>
            <w:vAlign w:val="center"/>
          </w:tcPr>
          <w:p w14:paraId="3950B879" w14:textId="0A27F2F5" w:rsidR="00F567BB" w:rsidRPr="00F567BB" w:rsidRDefault="00F567BB" w:rsidP="00597597">
            <w:pPr>
              <w:rPr>
                <w:rFonts w:ascii="Simplified Arabic" w:eastAsia="Times New Roman" w:hAnsi="Simplified Arabic" w:cs="Simplified Arabic"/>
                <w:b/>
                <w:bCs/>
                <w:color w:val="000000"/>
                <w:sz w:val="28"/>
                <w:szCs w:val="28"/>
                <w:rtl/>
              </w:rPr>
            </w:pPr>
            <w:r w:rsidRPr="00F567BB">
              <w:rPr>
                <w:rFonts w:ascii="Simplified Arabic" w:hAnsi="Simplified Arabic" w:cs="Simplified Arabic"/>
                <w:b/>
                <w:bCs/>
                <w:sz w:val="28"/>
                <w:szCs w:val="28"/>
                <w:rtl/>
              </w:rPr>
              <w:t>7</w:t>
            </w:r>
          </w:p>
        </w:tc>
        <w:tc>
          <w:tcPr>
            <w:tcW w:w="1895" w:type="pct"/>
            <w:vAlign w:val="center"/>
            <w:hideMark/>
          </w:tcPr>
          <w:p w14:paraId="3D255D4B" w14:textId="38373749"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إجراء دراسات منفصلة على الأطباء أو الممرضين أو الفنيين أو الإداريين لتحديد احتياجات كل فئة بدقة أكبر.</w:t>
            </w:r>
          </w:p>
        </w:tc>
        <w:tc>
          <w:tcPr>
            <w:tcW w:w="1796" w:type="pct"/>
            <w:vAlign w:val="center"/>
            <w:hideMark/>
          </w:tcPr>
          <w:p w14:paraId="5D78E8ED"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أظهرت نتائج الفروق أن المسمى الوظيفي أكثر المتغيرات تأثيراً في تباين الاستجابات.</w:t>
            </w:r>
          </w:p>
        </w:tc>
        <w:tc>
          <w:tcPr>
            <w:tcW w:w="1127" w:type="pct"/>
            <w:vAlign w:val="center"/>
            <w:hideMark/>
          </w:tcPr>
          <w:p w14:paraId="028CAE68"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دراسة فئوية مستقلة لكل مهنة.</w:t>
            </w:r>
          </w:p>
        </w:tc>
      </w:tr>
      <w:tr w:rsidR="00F567BB" w:rsidRPr="00F567BB" w14:paraId="737C74C2" w14:textId="77777777" w:rsidTr="00F567BB">
        <w:trPr>
          <w:trHeight w:val="1410"/>
        </w:trPr>
        <w:tc>
          <w:tcPr>
            <w:tcW w:w="181" w:type="pct"/>
            <w:vAlign w:val="center"/>
          </w:tcPr>
          <w:p w14:paraId="6C4948E9" w14:textId="39A05FA5" w:rsidR="00F567BB" w:rsidRPr="00F567BB" w:rsidRDefault="00F567BB" w:rsidP="00597597">
            <w:pPr>
              <w:rPr>
                <w:rFonts w:ascii="Simplified Arabic" w:eastAsia="Times New Roman" w:hAnsi="Simplified Arabic" w:cs="Simplified Arabic"/>
                <w:b/>
                <w:bCs/>
                <w:color w:val="000000"/>
                <w:sz w:val="28"/>
                <w:szCs w:val="28"/>
                <w:rtl/>
              </w:rPr>
            </w:pPr>
            <w:r w:rsidRPr="00F567BB">
              <w:rPr>
                <w:rFonts w:ascii="Simplified Arabic" w:hAnsi="Simplified Arabic" w:cs="Simplified Arabic"/>
                <w:b/>
                <w:bCs/>
                <w:sz w:val="28"/>
                <w:szCs w:val="28"/>
                <w:rtl/>
              </w:rPr>
              <w:t>8</w:t>
            </w:r>
          </w:p>
        </w:tc>
        <w:tc>
          <w:tcPr>
            <w:tcW w:w="1895" w:type="pct"/>
            <w:vAlign w:val="center"/>
            <w:hideMark/>
          </w:tcPr>
          <w:p w14:paraId="3E0F7734" w14:textId="68C1C256"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دراسة أثر التحول الرقمي الصحي تحديداً على عبء العمل، الرفاهية، والاحتراق الوظيفي لدى العاملين الصحيين.</w:t>
            </w:r>
          </w:p>
        </w:tc>
        <w:tc>
          <w:tcPr>
            <w:tcW w:w="1796" w:type="pct"/>
            <w:vAlign w:val="center"/>
            <w:hideMark/>
          </w:tcPr>
          <w:p w14:paraId="725CE0A0"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يمثل التحول الرقمي أحد المكونات الرئيسة للتحول الصحي، وقد يكون مصدراً للتخفيف أو للضغط حسب طريقة التطبيق.</w:t>
            </w:r>
          </w:p>
        </w:tc>
        <w:tc>
          <w:tcPr>
            <w:tcW w:w="1127" w:type="pct"/>
            <w:vAlign w:val="center"/>
            <w:hideMark/>
          </w:tcPr>
          <w:p w14:paraId="7022590D" w14:textId="77777777" w:rsidR="00F567BB" w:rsidRPr="00F567BB" w:rsidRDefault="00F567BB" w:rsidP="00597597">
            <w:pPr>
              <w:rPr>
                <w:rFonts w:ascii="Simplified Arabic" w:eastAsia="Times New Roman" w:hAnsi="Simplified Arabic" w:cs="Simplified Arabic"/>
                <w:color w:val="000000"/>
                <w:sz w:val="28"/>
                <w:szCs w:val="28"/>
                <w:rtl/>
              </w:rPr>
            </w:pPr>
            <w:r w:rsidRPr="00F567BB">
              <w:rPr>
                <w:rFonts w:ascii="Simplified Arabic" w:eastAsia="Times New Roman" w:hAnsi="Simplified Arabic" w:cs="Simplified Arabic"/>
                <w:color w:val="000000"/>
                <w:sz w:val="28"/>
                <w:szCs w:val="28"/>
                <w:rtl/>
              </w:rPr>
              <w:t>دراسة كمية أو مختلطة تركز على الأنظمة الرقمية.</w:t>
            </w:r>
          </w:p>
        </w:tc>
      </w:tr>
    </w:tbl>
    <w:p w14:paraId="50D2D5D7" w14:textId="4F1FA71F" w:rsidR="00BD1526" w:rsidRPr="00F567BB" w:rsidRDefault="0089331B" w:rsidP="00F567BB">
      <w:pPr>
        <w:spacing w:before="40" w:after="120"/>
        <w:rPr>
          <w:rFonts w:ascii="Simplified Arabic" w:hAnsi="Simplified Arabic" w:cs="Simplified Arabic"/>
          <w:sz w:val="22"/>
          <w:szCs w:val="22"/>
          <w:rtl/>
        </w:rPr>
      </w:pPr>
      <w:r w:rsidRPr="00F567BB">
        <w:rPr>
          <w:rFonts w:ascii="Simplified Arabic" w:hAnsi="Simplified Arabic" w:cs="Simplified Arabic"/>
          <w:i/>
          <w:sz w:val="22"/>
          <w:szCs w:val="22"/>
          <w:rtl/>
        </w:rPr>
        <w:t>المصدر: إعداد الباحثة في ضوء نتائج الدراسة والدراسات السابقة.</w:t>
      </w:r>
    </w:p>
    <w:p w14:paraId="43626D53" w14:textId="77777777" w:rsidR="00BD1526" w:rsidRPr="00891197" w:rsidRDefault="00BD1526" w:rsidP="00891197">
      <w:pPr>
        <w:pStyle w:val="2"/>
        <w:rPr>
          <w:b w:val="0"/>
          <w:bCs/>
        </w:rPr>
      </w:pPr>
      <w:bookmarkStart w:id="56" w:name="_Toc235119066"/>
      <w:r w:rsidRPr="00891197">
        <w:rPr>
          <w:rFonts w:hint="cs"/>
          <w:b w:val="0"/>
          <w:bCs/>
          <w:rtl/>
        </w:rPr>
        <w:t>الخاتمة</w:t>
      </w:r>
      <w:bookmarkEnd w:id="56"/>
    </w:p>
    <w:p w14:paraId="3208E949" w14:textId="77777777" w:rsidR="00BD1526" w:rsidRPr="00E1294E" w:rsidRDefault="00BD1526" w:rsidP="00597597">
      <w:pPr>
        <w:spacing w:after="120" w:line="240" w:lineRule="auto"/>
        <w:jc w:val="both"/>
        <w:rPr>
          <w:rFonts w:ascii="Simplified Arabic" w:hAnsi="Simplified Arabic" w:cs="Simplified Arabic"/>
          <w:sz w:val="28"/>
          <w:szCs w:val="28"/>
        </w:rPr>
      </w:pPr>
      <w:r w:rsidRPr="00E1294E">
        <w:rPr>
          <w:rFonts w:ascii="Simplified Arabic" w:hAnsi="Simplified Arabic" w:cs="Simplified Arabic" w:hint="cs"/>
          <w:sz w:val="28"/>
          <w:szCs w:val="28"/>
          <w:rtl/>
        </w:rPr>
        <w:t>خلصت الدراسة إلى أن التحول الصحي في المملكة العربية السعودية لا يمثل مجرد تغيير إداري أو تقني في آليات تقديم الخدمة الصحية، بل يمتد أثره إلى البيئة النفسية والتنظيمية التي يعمل داخلها الموظفون. وقد بينت النتائج أن نجاح التحول الصحي يرتبط بقدرته على تحسين بيئة العمل النفسية المستدامة، وتعزيز رفاهية العاملين، وخفض مستويات الاحتراق الوظيفي، وهو ما يجعل العنصر البشري محوراً رئيساً في أي عملية تحول مؤسسي ناجحة داخل القطاع الصحي.</w:t>
      </w:r>
    </w:p>
    <w:p w14:paraId="1AEA7116" w14:textId="77777777" w:rsidR="00BD1526" w:rsidRPr="00E1294E" w:rsidRDefault="00BD1526" w:rsidP="00597597">
      <w:pPr>
        <w:spacing w:after="120" w:line="240" w:lineRule="auto"/>
        <w:jc w:val="both"/>
        <w:rPr>
          <w:rFonts w:ascii="Simplified Arabic" w:hAnsi="Simplified Arabic" w:cs="Simplified Arabic"/>
          <w:sz w:val="28"/>
          <w:szCs w:val="28"/>
        </w:rPr>
      </w:pPr>
      <w:r w:rsidRPr="00E1294E">
        <w:rPr>
          <w:rFonts w:ascii="Simplified Arabic" w:hAnsi="Simplified Arabic" w:cs="Simplified Arabic" w:hint="cs"/>
          <w:sz w:val="28"/>
          <w:szCs w:val="28"/>
          <w:rtl/>
        </w:rPr>
        <w:t>وتؤكد التوصيات التي قدمتها الدراسة أن معالجة الاحتراق الوظيفي لا ينبغي أن تقتصر على حلول فردية أو مؤقتة، بل يجب أن تنطلق من فهم مؤسسي متكامل يربط بين التحول الصحي، وسياسات الرفاهية، والعدالة التنظيمية، والدعم القيادي، وخصوصية الفئات المهنية المختلفة. فكلما شعر العاملون بالأمان النفسي، والوضوح، والتقدير، والقدرة على التوازن بين متطلبات العمل والحياة، ازدادت قدرتهم على التكيف مع التغيير، وانخفضت احتمالات تعرضهم للاحتراق الوظيفي.</w:t>
      </w:r>
    </w:p>
    <w:p w14:paraId="2F010B1F" w14:textId="77777777" w:rsidR="00BD1526" w:rsidRPr="00E1294E" w:rsidRDefault="00BD1526" w:rsidP="00597597">
      <w:pPr>
        <w:spacing w:after="120" w:line="240" w:lineRule="auto"/>
        <w:jc w:val="both"/>
        <w:rPr>
          <w:rFonts w:ascii="Simplified Arabic" w:hAnsi="Simplified Arabic" w:cs="Simplified Arabic"/>
          <w:sz w:val="28"/>
          <w:szCs w:val="28"/>
        </w:rPr>
      </w:pPr>
      <w:r w:rsidRPr="00E1294E">
        <w:rPr>
          <w:rFonts w:ascii="Simplified Arabic" w:hAnsi="Simplified Arabic" w:cs="Simplified Arabic" w:hint="cs"/>
          <w:sz w:val="28"/>
          <w:szCs w:val="28"/>
          <w:rtl/>
        </w:rPr>
        <w:t xml:space="preserve">ومن الناحية العملية، يمكن أن تسهم نتائج هذه الدراسة في دعم صناع القرار ومديري المنشآت الصحية الحكومية بمدينة الرياض في بناء برامج تدخل أكثر دقة وارتباطاً بالواقع الميداني، ولا سيما في ظل التحولات المتسارعة المرتبطة برؤية المملكة 2030. أما من الناحية العلمية، فقد أسهمت الدراسة في تقديم نموذج يوضح العلاقة بين التحول الصحي وبيئة العمل النفسية المستدامة ورفاهية الموظفين والاحتراق الوظيفي، </w:t>
      </w:r>
      <w:r w:rsidRPr="00E1294E">
        <w:rPr>
          <w:rFonts w:ascii="Simplified Arabic" w:hAnsi="Simplified Arabic" w:cs="Simplified Arabic" w:hint="cs"/>
          <w:sz w:val="28"/>
          <w:szCs w:val="28"/>
          <w:rtl/>
        </w:rPr>
        <w:lastRenderedPageBreak/>
        <w:t>مع إبراز الدور الوسيط لرفاهية الموظفين. وبذلك تفتح الدراسة مجالاً بحثياً مهماً لفهم العلاقة بين التغيير المؤسسي والصحة النفسية للعاملين في القطاع الصحي.</w:t>
      </w:r>
    </w:p>
    <w:p w14:paraId="56146B98" w14:textId="77777777" w:rsidR="004E0A60" w:rsidRDefault="004E0A60" w:rsidP="00597597">
      <w:pPr>
        <w:spacing w:line="240" w:lineRule="auto"/>
        <w:rPr>
          <w:rtl/>
        </w:rPr>
      </w:pPr>
    </w:p>
    <w:p w14:paraId="68707D0F" w14:textId="77777777" w:rsidR="004E0A60" w:rsidRDefault="004E0A60">
      <w:pPr>
        <w:bidi w:val="0"/>
        <w:rPr>
          <w:rtl/>
        </w:rPr>
      </w:pPr>
      <w:r>
        <w:rPr>
          <w:rtl/>
        </w:rPr>
        <w:br w:type="page"/>
      </w:r>
    </w:p>
    <w:p w14:paraId="3E7A964B" w14:textId="77777777" w:rsidR="004E0A60" w:rsidRPr="00891197" w:rsidRDefault="004E0A60" w:rsidP="00891197">
      <w:pPr>
        <w:pStyle w:val="1"/>
        <w:rPr>
          <w:b/>
          <w:bCs/>
        </w:rPr>
      </w:pPr>
      <w:bookmarkStart w:id="57" w:name="_Toc235119067"/>
      <w:r w:rsidRPr="00891197">
        <w:rPr>
          <w:rFonts w:hint="cs"/>
          <w:b/>
          <w:bCs/>
          <w:rtl/>
        </w:rPr>
        <w:lastRenderedPageBreak/>
        <w:t>قائمة المراجع</w:t>
      </w:r>
      <w:bookmarkEnd w:id="57"/>
    </w:p>
    <w:p w14:paraId="7FE4A005" w14:textId="77777777" w:rsidR="004E0A60" w:rsidRPr="00891197" w:rsidRDefault="004E0A60" w:rsidP="00891197">
      <w:pPr>
        <w:pStyle w:val="2"/>
        <w:rPr>
          <w:b w:val="0"/>
          <w:bCs/>
        </w:rPr>
      </w:pPr>
      <w:bookmarkStart w:id="58" w:name="_Toc235119068"/>
      <w:r w:rsidRPr="00891197">
        <w:rPr>
          <w:rFonts w:hint="cs"/>
          <w:b w:val="0"/>
          <w:bCs/>
          <w:rtl/>
        </w:rPr>
        <w:t>أولاً: المراجع العربية</w:t>
      </w:r>
      <w:bookmarkEnd w:id="58"/>
    </w:p>
    <w:p w14:paraId="00DBEBC9"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أثر تطبيق استراتيجية التحول الصحي في تقديم الخدمات من وجهة نظر الموظفين في المملكة العربية السعودية. (2024). </w:t>
      </w:r>
      <w:r w:rsidRPr="00A44E4E">
        <w:rPr>
          <w:rStyle w:val="ae"/>
          <w:rFonts w:ascii="Simplified Arabic" w:hAnsi="Simplified Arabic" w:cs="Simplified Arabic" w:hint="cs"/>
          <w:sz w:val="28"/>
          <w:szCs w:val="28"/>
          <w:rtl/>
        </w:rPr>
        <w:t>المجلة العربية للعلوم ونشر الأبحاث، سلسلة العلوم الاقتصادية والإدارية والقانونية، 8</w:t>
      </w:r>
      <w:r w:rsidRPr="00A44E4E">
        <w:rPr>
          <w:rFonts w:ascii="Simplified Arabic" w:hAnsi="Simplified Arabic" w:cs="Simplified Arabic" w:hint="cs"/>
          <w:sz w:val="28"/>
          <w:szCs w:val="28"/>
        </w:rPr>
        <w:t>(4)، 45–67.</w:t>
      </w:r>
    </w:p>
    <w:p w14:paraId="0FF13D30"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الإدارة العامة للتعليم – الرياض. (2020). أثر جودة الحياة الوظيفية على الاحتراق الوظيفي: دراسة ميدانية على عينة من الموظفات الإداريات بمنطقة الرياض. </w:t>
      </w:r>
      <w:r w:rsidRPr="00A44E4E">
        <w:rPr>
          <w:rStyle w:val="ae"/>
          <w:rFonts w:ascii="Simplified Arabic" w:hAnsi="Simplified Arabic" w:cs="Simplified Arabic" w:hint="cs"/>
          <w:sz w:val="28"/>
          <w:szCs w:val="28"/>
          <w:rtl/>
        </w:rPr>
        <w:t>المجلة العلمية للإدارة</w:t>
      </w:r>
      <w:r w:rsidRPr="00A44E4E">
        <w:rPr>
          <w:rFonts w:ascii="Simplified Arabic" w:hAnsi="Simplified Arabic" w:cs="Simplified Arabic" w:hint="cs"/>
          <w:sz w:val="28"/>
          <w:szCs w:val="28"/>
        </w:rPr>
        <w:t>.</w:t>
      </w:r>
    </w:p>
    <w:p w14:paraId="34C512A3"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الأسمري، علي بن عوض حسن. (2022). دور الرشاقة التنظيمية للتخفيف من الاحتراق الوظيفي للأخصائيين الاجتماعيين بالمجال الصحي. </w:t>
      </w:r>
      <w:r w:rsidRPr="00A44E4E">
        <w:rPr>
          <w:rStyle w:val="ae"/>
          <w:rFonts w:ascii="Simplified Arabic" w:hAnsi="Simplified Arabic" w:cs="Simplified Arabic" w:hint="cs"/>
          <w:sz w:val="28"/>
          <w:szCs w:val="28"/>
          <w:rtl/>
        </w:rPr>
        <w:t>مجلة الخدمة الاجتماعية، 71</w:t>
      </w:r>
      <w:r w:rsidRPr="00A44E4E">
        <w:rPr>
          <w:rFonts w:ascii="Simplified Arabic" w:hAnsi="Simplified Arabic" w:cs="Simplified Arabic" w:hint="cs"/>
          <w:sz w:val="28"/>
          <w:szCs w:val="28"/>
        </w:rPr>
        <w:t>(2)، 241–279.</w:t>
      </w:r>
    </w:p>
    <w:p w14:paraId="0768BF0A"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الجنابي، سجاد محمد عطية، وياس، خضير محمد. (2021). الرفاهية التنظيمية ودورها في الأداء الاستراتيجي: دراسة تحليلية لعينة من العاملين في مديرية إحصاء محافظة بابل. </w:t>
      </w:r>
      <w:r w:rsidRPr="00A44E4E">
        <w:rPr>
          <w:rStyle w:val="ae"/>
          <w:rFonts w:ascii="Simplified Arabic" w:hAnsi="Simplified Arabic" w:cs="Simplified Arabic" w:hint="cs"/>
          <w:sz w:val="28"/>
          <w:szCs w:val="28"/>
          <w:rtl/>
        </w:rPr>
        <w:t>مجلة الغري للعلوم الاقتصادية والإدارية</w:t>
      </w:r>
      <w:r w:rsidRPr="00A44E4E">
        <w:rPr>
          <w:rFonts w:ascii="Simplified Arabic" w:hAnsi="Simplified Arabic" w:cs="Simplified Arabic" w:hint="cs"/>
          <w:sz w:val="28"/>
          <w:szCs w:val="28"/>
        </w:rPr>
        <w:t>، 201–216.</w:t>
      </w:r>
    </w:p>
    <w:p w14:paraId="7FFF49B6" w14:textId="2F6A0463" w:rsidR="00937D8E" w:rsidRPr="00A44E4E" w:rsidRDefault="00937D8E" w:rsidP="00937D8E">
      <w:pPr>
        <w:pStyle w:val="ac"/>
        <w:bidi/>
        <w:ind w:left="720" w:hanging="720"/>
        <w:rPr>
          <w:rFonts w:ascii="Simplified Arabic" w:hAnsi="Simplified Arabic" w:cs="Simplified Arabic"/>
          <w:sz w:val="28"/>
          <w:szCs w:val="28"/>
        </w:rPr>
      </w:pPr>
      <w:r>
        <w:rPr>
          <w:rFonts w:ascii="Simplified Arabic" w:hAnsi="Simplified Arabic" w:cs="Simplified Arabic"/>
          <w:sz w:val="28"/>
          <w:szCs w:val="28"/>
          <w:rtl/>
        </w:rPr>
        <w:t xml:space="preserve">الشهري ح. ع. (2024). أثر تطبيق استراتيجية التحول الصحي في تقديم الخدمات من وجهة نظر الموظفين في المملكة العربية السعودية. </w:t>
      </w:r>
      <w:r w:rsidRPr="00937D8E">
        <w:rPr>
          <w:rFonts w:ascii="Simplified Arabic" w:hAnsi="Simplified Arabic" w:cs="Simplified Arabic"/>
          <w:i/>
          <w:iCs/>
          <w:sz w:val="28"/>
          <w:szCs w:val="28"/>
          <w:rtl/>
        </w:rPr>
        <w:t>مجلة العلوم الإقتصادية و الإدارية و القانونية</w:t>
      </w:r>
      <w:r>
        <w:rPr>
          <w:rFonts w:ascii="Simplified Arabic" w:hAnsi="Simplified Arabic" w:cs="Simplified Arabic"/>
          <w:sz w:val="28"/>
          <w:szCs w:val="28"/>
          <w:rtl/>
        </w:rPr>
        <w:t xml:space="preserve">, 8(10), 22-34. </w:t>
      </w:r>
      <w:hyperlink r:id="rId16" w:history="1">
        <w:r w:rsidRPr="004A3FE5">
          <w:rPr>
            <w:rStyle w:val="Hyperlink"/>
            <w:rFonts w:ascii="Simplified Arabic" w:hAnsi="Simplified Arabic" w:cs="Simplified Arabic"/>
            <w:sz w:val="28"/>
            <w:szCs w:val="28"/>
          </w:rPr>
          <w:t>https://doi.org/10.26389/AJSRP.H270723</w:t>
        </w:r>
      </w:hyperlink>
      <w:r>
        <w:rPr>
          <w:rFonts w:ascii="Simplified Arabic" w:hAnsi="Simplified Arabic" w:cs="Simplified Arabic"/>
          <w:sz w:val="28"/>
          <w:szCs w:val="28"/>
        </w:rPr>
        <w:t xml:space="preserve"> </w:t>
      </w:r>
    </w:p>
    <w:p w14:paraId="2FC38C2A" w14:textId="3AFDEC15" w:rsidR="004E0A60" w:rsidRPr="006375F9" w:rsidRDefault="006E4659" w:rsidP="00937D8E">
      <w:pPr>
        <w:pStyle w:val="ac"/>
        <w:bidi/>
        <w:rPr>
          <w:rFonts w:ascii="Simplified Arabic" w:hAnsi="Simplified Arabic" w:cs="Simplified Arabic"/>
          <w:sz w:val="28"/>
          <w:szCs w:val="28"/>
        </w:rPr>
      </w:pPr>
      <w:r>
        <w:rPr>
          <w:rFonts w:ascii="Simplified Arabic" w:hAnsi="Simplified Arabic" w:cs="Simplified Arabic"/>
          <w:sz w:val="28"/>
          <w:szCs w:val="28"/>
          <w:rtl/>
        </w:rPr>
        <w:t xml:space="preserve">الصبحي، منار. (2022). الاحتراق الوظيفي وتأثيره على أداء العاملين في وزارة الشؤون البلدية والقروية (دراسة تطبيقية على الإداريين العاملين بأمانة محافظة جدة). المجلة </w:t>
      </w:r>
      <w:r w:rsidRPr="006375F9">
        <w:rPr>
          <w:rFonts w:ascii="Simplified Arabic" w:hAnsi="Simplified Arabic" w:cs="Simplified Arabic"/>
          <w:i/>
          <w:iCs/>
          <w:sz w:val="28"/>
          <w:szCs w:val="28"/>
          <w:rtl/>
        </w:rPr>
        <w:t>الدولية لنشر البحوث والدراسات،</w:t>
      </w:r>
      <w:r w:rsidRPr="006375F9">
        <w:rPr>
          <w:rFonts w:ascii="Simplified Arabic" w:hAnsi="Simplified Arabic" w:cs="Simplified Arabic"/>
          <w:sz w:val="28"/>
          <w:szCs w:val="28"/>
          <w:rtl/>
        </w:rPr>
        <w:t xml:space="preserve"> 3(27)، 478-520. </w:t>
      </w:r>
      <w:hyperlink r:id="rId17" w:history="1">
        <w:r w:rsidR="002E0A40" w:rsidRPr="004A3FE5">
          <w:rPr>
            <w:rStyle w:val="Hyperlink"/>
            <w:rFonts w:ascii="Simplified Arabic" w:hAnsi="Simplified Arabic" w:cs="Simplified Arabic"/>
            <w:sz w:val="28"/>
            <w:szCs w:val="28"/>
          </w:rPr>
          <w:t>https://doi.org/10.52133/ijrsp.v3.27.15</w:t>
        </w:r>
      </w:hyperlink>
      <w:r w:rsidR="002E0A40">
        <w:rPr>
          <w:rFonts w:ascii="Simplified Arabic" w:hAnsi="Simplified Arabic" w:cs="Simplified Arabic"/>
          <w:sz w:val="28"/>
          <w:szCs w:val="28"/>
        </w:rPr>
        <w:t xml:space="preserve"> </w:t>
      </w:r>
    </w:p>
    <w:p w14:paraId="7BE4E82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الظفيري، ع. م.، ومحمد، ع. ح. (2021). الرضا الوظيفي كوسيط بين الاحتراق الوظيفي والتزام الموظف والرغبة في ترك العمل. </w:t>
      </w:r>
      <w:r w:rsidRPr="00A44E4E">
        <w:rPr>
          <w:rStyle w:val="ae"/>
          <w:rFonts w:ascii="Simplified Arabic" w:hAnsi="Simplified Arabic" w:cs="Simplified Arabic" w:hint="cs"/>
          <w:sz w:val="28"/>
          <w:szCs w:val="28"/>
          <w:rtl/>
        </w:rPr>
        <w:t>مجلة الأعمال الكويتية، 51</w:t>
      </w:r>
      <w:r w:rsidRPr="00A44E4E">
        <w:rPr>
          <w:rFonts w:ascii="Simplified Arabic" w:hAnsi="Simplified Arabic" w:cs="Simplified Arabic" w:hint="cs"/>
          <w:sz w:val="28"/>
          <w:szCs w:val="28"/>
        </w:rPr>
        <w:t>(1)، 165–192.</w:t>
      </w:r>
    </w:p>
    <w:p w14:paraId="17AAB8D2"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المطيري، د. ع. (2016). أثر القيادة التحويلية على الأداء التنظيمي في القطاع العام السعودي. </w:t>
      </w:r>
      <w:r w:rsidRPr="00A44E4E">
        <w:rPr>
          <w:rStyle w:val="ae"/>
          <w:rFonts w:ascii="Simplified Arabic" w:hAnsi="Simplified Arabic" w:cs="Simplified Arabic" w:hint="cs"/>
          <w:sz w:val="28"/>
          <w:szCs w:val="28"/>
          <w:rtl/>
        </w:rPr>
        <w:t>المجلة الدولية للأعمال والإدارة، 11</w:t>
      </w:r>
      <w:r w:rsidRPr="00A44E4E">
        <w:rPr>
          <w:rFonts w:ascii="Simplified Arabic" w:hAnsi="Simplified Arabic" w:cs="Simplified Arabic" w:hint="cs"/>
          <w:sz w:val="28"/>
          <w:szCs w:val="28"/>
        </w:rPr>
        <w:t>(6)، 85–94.</w:t>
      </w:r>
    </w:p>
    <w:p w14:paraId="0B8120FE"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lastRenderedPageBreak/>
        <w:t xml:space="preserve">المطيري، م. و.، العنزي، ي. د.، والعلياني، ن. أ. (2023). أثر نماذج القيادة على أداء العاملين في القطاع الخاص بالمنطقة الشرقية بالمملكة العربية السعودية. </w:t>
      </w:r>
      <w:r w:rsidRPr="00A44E4E">
        <w:rPr>
          <w:rStyle w:val="ae"/>
          <w:rFonts w:ascii="Simplified Arabic" w:hAnsi="Simplified Arabic" w:cs="Simplified Arabic" w:hint="cs"/>
          <w:sz w:val="28"/>
          <w:szCs w:val="28"/>
          <w:rtl/>
        </w:rPr>
        <w:t>مجلة البحوث والدراسات الاستراتيجية، 4</w:t>
      </w:r>
      <w:r w:rsidRPr="00A44E4E">
        <w:rPr>
          <w:rFonts w:ascii="Simplified Arabic" w:hAnsi="Simplified Arabic" w:cs="Simplified Arabic" w:hint="cs"/>
          <w:sz w:val="28"/>
          <w:szCs w:val="28"/>
        </w:rPr>
        <w:t>(43)، 214–239.</w:t>
      </w:r>
    </w:p>
    <w:p w14:paraId="040BCD87" w14:textId="53D8578F" w:rsidR="0072654C" w:rsidRPr="00CB17BC" w:rsidRDefault="004E0A60" w:rsidP="0072654C">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الهيئة الاتحادية للموارد البشرية الحكومية، الإمارات العربية المتحدة. (2018). </w:t>
      </w:r>
      <w:r w:rsidRPr="00A44E4E">
        <w:rPr>
          <w:rStyle w:val="ae"/>
          <w:rFonts w:ascii="Simplified Arabic" w:hAnsi="Simplified Arabic" w:cs="Simplified Arabic" w:hint="cs"/>
          <w:sz w:val="28"/>
          <w:szCs w:val="28"/>
          <w:rtl/>
        </w:rPr>
        <w:t xml:space="preserve">الدليل الاسترشادي للرفاه </w:t>
      </w:r>
      <w:r w:rsidR="00CB17BC">
        <w:rPr>
          <w:rStyle w:val="ae"/>
          <w:rFonts w:ascii="Simplified Arabic" w:hAnsi="Simplified Arabic" w:cs="Simplified Arabic"/>
          <w:sz w:val="28"/>
          <w:szCs w:val="28"/>
          <w:rtl/>
        </w:rPr>
        <w:t>الوظيفي.</w:t>
      </w:r>
      <w:r w:rsidR="00CB17BC">
        <w:rPr>
          <w:rStyle w:val="ae"/>
          <w:rFonts w:ascii="Simplified Arabic" w:hAnsi="Simplified Arabic" w:cs="Simplified Arabic"/>
          <w:i w:val="0"/>
          <w:iCs w:val="0"/>
          <w:sz w:val="28"/>
          <w:szCs w:val="28"/>
          <w:rtl/>
        </w:rPr>
        <w:t xml:space="preserve"> </w:t>
      </w:r>
      <w:hyperlink r:id="rId18" w:history="1">
        <w:r w:rsidR="0072654C" w:rsidRPr="004A3FE5">
          <w:rPr>
            <w:rStyle w:val="Hyperlink"/>
            <w:rFonts w:ascii="Simplified Arabic" w:hAnsi="Simplified Arabic" w:cs="Simplified Arabic"/>
            <w:sz w:val="28"/>
            <w:szCs w:val="28"/>
          </w:rPr>
          <w:t>https://bit.ly/3RIKrRb</w:t>
        </w:r>
      </w:hyperlink>
      <w:r w:rsidR="0072654C">
        <w:rPr>
          <w:rFonts w:ascii="Simplified Arabic" w:hAnsi="Simplified Arabic" w:cs="Simplified Arabic"/>
          <w:sz w:val="28"/>
          <w:szCs w:val="28"/>
        </w:rPr>
        <w:t xml:space="preserve"> </w:t>
      </w:r>
    </w:p>
    <w:p w14:paraId="40698720"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اليامي، داحن محمد، والسواط، طلق عوض. (2022). أثر تطبيق معايير الحوكمة على أداء العاملين في القطاع الصحي الحكومي بمنطقة نجران. </w:t>
      </w:r>
      <w:r w:rsidRPr="00A44E4E">
        <w:rPr>
          <w:rStyle w:val="ae"/>
          <w:rFonts w:ascii="Simplified Arabic" w:hAnsi="Simplified Arabic" w:cs="Simplified Arabic" w:hint="cs"/>
          <w:sz w:val="28"/>
          <w:szCs w:val="28"/>
          <w:rtl/>
        </w:rPr>
        <w:t>مجلة العلوم الاقتصادية والإدارية والقانونية، 6</w:t>
      </w:r>
      <w:r w:rsidRPr="00A44E4E">
        <w:rPr>
          <w:rFonts w:ascii="Simplified Arabic" w:hAnsi="Simplified Arabic" w:cs="Simplified Arabic" w:hint="cs"/>
          <w:sz w:val="28"/>
          <w:szCs w:val="28"/>
        </w:rPr>
        <w:t>(17)، 14–68.</w:t>
      </w:r>
    </w:p>
    <w:p w14:paraId="2B719D95" w14:textId="012CA045" w:rsidR="004E0A60" w:rsidRPr="00A44E4E" w:rsidRDefault="004668BA" w:rsidP="00007A6F">
      <w:pPr>
        <w:pStyle w:val="ac"/>
        <w:bidi/>
        <w:ind w:left="720" w:hanging="720"/>
        <w:rPr>
          <w:rFonts w:ascii="Simplified Arabic" w:hAnsi="Simplified Arabic" w:cs="Simplified Arabic"/>
          <w:sz w:val="28"/>
          <w:szCs w:val="28"/>
        </w:rPr>
      </w:pPr>
      <w:r>
        <w:rPr>
          <w:rFonts w:ascii="Simplified Arabic" w:hAnsi="Simplified Arabic" w:cs="Simplified Arabic"/>
          <w:sz w:val="28"/>
          <w:szCs w:val="28"/>
          <w:rtl/>
        </w:rPr>
        <w:t xml:space="preserve">اليامي، علي فهد آل منصور، ال بحري، خالد نقطان، ال منصور، فهد محمد، ال مردف، علي حسن، و اليامي، ناصر حسين. (2022). أثر الاحتراق الوظيفي على أداء العاملين بالمنشآت الصحية بمنطقة نجران. </w:t>
      </w:r>
      <w:r w:rsidRPr="00977082">
        <w:rPr>
          <w:rFonts w:ascii="Simplified Arabic" w:hAnsi="Simplified Arabic" w:cs="Simplified Arabic"/>
          <w:i/>
          <w:iCs/>
          <w:sz w:val="28"/>
          <w:szCs w:val="28"/>
          <w:rtl/>
        </w:rPr>
        <w:t>مجلة رماح للبحوث والدراسات،</w:t>
      </w:r>
      <w:r>
        <w:rPr>
          <w:rFonts w:ascii="Simplified Arabic" w:hAnsi="Simplified Arabic" w:cs="Simplified Arabic"/>
          <w:sz w:val="28"/>
          <w:szCs w:val="28"/>
          <w:rtl/>
        </w:rPr>
        <w:t xml:space="preserve"> ع73 ، 305 – 338.</w:t>
      </w:r>
    </w:p>
    <w:p w14:paraId="67D42BCF" w14:textId="67933E64" w:rsidR="00977082" w:rsidRPr="00A44E4E" w:rsidRDefault="00100B62" w:rsidP="00121C5E">
      <w:pPr>
        <w:pStyle w:val="ac"/>
        <w:bidi/>
        <w:ind w:left="720" w:hanging="720"/>
        <w:rPr>
          <w:rFonts w:ascii="Simplified Arabic" w:hAnsi="Simplified Arabic" w:cs="Simplified Arabic"/>
          <w:sz w:val="28"/>
          <w:szCs w:val="28"/>
        </w:rPr>
      </w:pPr>
      <w:r>
        <w:rPr>
          <w:rFonts w:ascii="Simplified Arabic" w:hAnsi="Simplified Arabic" w:cs="Simplified Arabic"/>
          <w:sz w:val="28"/>
          <w:szCs w:val="28"/>
          <w:rtl/>
        </w:rPr>
        <w:t xml:space="preserve">اليماني، زكي أبوبكر. (2023). الاحتراق الوظيفي وأثره على جودة الخدمات الصحية بالمستشفيات. </w:t>
      </w:r>
      <w:r w:rsidRPr="0043470B">
        <w:rPr>
          <w:rFonts w:ascii="Simplified Arabic" w:hAnsi="Simplified Arabic" w:cs="Simplified Arabic"/>
          <w:i/>
          <w:iCs/>
          <w:sz w:val="28"/>
          <w:szCs w:val="28"/>
          <w:rtl/>
        </w:rPr>
        <w:t>مجلة جامعة البيضاء</w:t>
      </w:r>
      <w:r>
        <w:rPr>
          <w:rFonts w:ascii="Simplified Arabic" w:hAnsi="Simplified Arabic" w:cs="Simplified Arabic"/>
          <w:sz w:val="28"/>
          <w:szCs w:val="28"/>
          <w:rtl/>
        </w:rPr>
        <w:t xml:space="preserve">، 5(4). </w:t>
      </w:r>
      <w:hyperlink r:id="rId19" w:history="1">
        <w:r w:rsidR="00121C5E" w:rsidRPr="004A3FE5">
          <w:rPr>
            <w:rStyle w:val="Hyperlink"/>
            <w:rFonts w:ascii="Simplified Arabic" w:hAnsi="Simplified Arabic" w:cs="Simplified Arabic"/>
            <w:sz w:val="28"/>
            <w:szCs w:val="28"/>
          </w:rPr>
          <w:t>https://doi.org/10.56807/buj.v5i4.403</w:t>
        </w:r>
      </w:hyperlink>
      <w:r w:rsidR="00121C5E">
        <w:rPr>
          <w:rFonts w:ascii="Simplified Arabic" w:hAnsi="Simplified Arabic" w:cs="Simplified Arabic"/>
          <w:sz w:val="28"/>
          <w:szCs w:val="28"/>
        </w:rPr>
        <w:t xml:space="preserve"> </w:t>
      </w:r>
    </w:p>
    <w:p w14:paraId="4FD8B8DC"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بو حالة، محمد المهدي، وبوطة، حاج بلقاسم. (2023). </w:t>
      </w:r>
      <w:r w:rsidRPr="00A44E4E">
        <w:rPr>
          <w:rStyle w:val="ae"/>
          <w:rFonts w:ascii="Simplified Arabic" w:hAnsi="Simplified Arabic" w:cs="Simplified Arabic" w:hint="cs"/>
          <w:sz w:val="28"/>
          <w:szCs w:val="28"/>
          <w:rtl/>
        </w:rPr>
        <w:t>بيئة العمل وأثرها في الإبداع التنظيمي بالمؤسسة الاقتصادية</w:t>
      </w:r>
      <w:r w:rsidRPr="00A44E4E">
        <w:rPr>
          <w:rFonts w:ascii="Simplified Arabic" w:hAnsi="Simplified Arabic" w:cs="Simplified Arabic" w:hint="cs"/>
          <w:sz w:val="28"/>
          <w:szCs w:val="28"/>
          <w:rtl/>
        </w:rPr>
        <w:t xml:space="preserve"> [رسالة ماجستير]. الجزائر.</w:t>
      </w:r>
    </w:p>
    <w:p w14:paraId="4838B2D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توتي، مراد. (2020). </w:t>
      </w:r>
      <w:r w:rsidRPr="00A44E4E">
        <w:rPr>
          <w:rStyle w:val="ae"/>
          <w:rFonts w:ascii="Simplified Arabic" w:hAnsi="Simplified Arabic" w:cs="Simplified Arabic" w:hint="cs"/>
          <w:sz w:val="28"/>
          <w:szCs w:val="28"/>
          <w:rtl/>
        </w:rPr>
        <w:t>بيئة العمل النفسية وعلاقتها بالأداء الوظيفي لدى عمال شركة الكهريف بمدينة تقرت</w:t>
      </w:r>
      <w:r w:rsidRPr="00A44E4E">
        <w:rPr>
          <w:rFonts w:ascii="Simplified Arabic" w:hAnsi="Simplified Arabic" w:cs="Simplified Arabic" w:hint="cs"/>
          <w:sz w:val="28"/>
          <w:szCs w:val="28"/>
          <w:rtl/>
        </w:rPr>
        <w:t xml:space="preserve"> [رسالة ماجستير، جامعة قاصدي مرباح ورقلة].</w:t>
      </w:r>
    </w:p>
    <w:p w14:paraId="42313FDD"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جوده، رياض حميد، ومحمد، أثير عبد الله. (2022). تأثير رفاهية العاملين في المخرجات التنظيمية: بحث تحليلي في الشركة العامة لصناعات النسيج والجلود – مقر مصنع القطنية في بغداد. </w:t>
      </w:r>
      <w:r w:rsidRPr="00A44E4E">
        <w:rPr>
          <w:rStyle w:val="ae"/>
          <w:rFonts w:ascii="Simplified Arabic" w:hAnsi="Simplified Arabic" w:cs="Simplified Arabic" w:hint="cs"/>
          <w:sz w:val="28"/>
          <w:szCs w:val="28"/>
          <w:rtl/>
        </w:rPr>
        <w:t>مجلة تكريت للعلوم الإدارية والاقتصادية، 8</w:t>
      </w:r>
      <w:r w:rsidRPr="00A44E4E">
        <w:rPr>
          <w:rFonts w:ascii="Simplified Arabic" w:hAnsi="Simplified Arabic" w:cs="Simplified Arabic" w:hint="cs"/>
          <w:sz w:val="28"/>
          <w:szCs w:val="28"/>
        </w:rPr>
        <w:t>(59)، 208–227.</w:t>
      </w:r>
    </w:p>
    <w:p w14:paraId="766BDABF"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حسين، عبد الله. (2020). </w:t>
      </w:r>
      <w:r w:rsidRPr="00A44E4E">
        <w:rPr>
          <w:rStyle w:val="ae"/>
          <w:rFonts w:ascii="Simplified Arabic" w:hAnsi="Simplified Arabic" w:cs="Simplified Arabic" w:hint="cs"/>
          <w:sz w:val="28"/>
          <w:szCs w:val="28"/>
          <w:rtl/>
        </w:rPr>
        <w:t>أثر الاحتراق الوظيفي على أداء العاملين في المستشفيات الخاصة في الأردن</w:t>
      </w:r>
      <w:r w:rsidRPr="00A44E4E">
        <w:rPr>
          <w:rFonts w:ascii="Simplified Arabic" w:hAnsi="Simplified Arabic" w:cs="Simplified Arabic" w:hint="cs"/>
          <w:sz w:val="28"/>
          <w:szCs w:val="28"/>
          <w:rtl/>
        </w:rPr>
        <w:t xml:space="preserve"> [رسالة ماجستير غير منشورة، جامعة آل البيت]. المفرق، الأردن.</w:t>
      </w:r>
    </w:p>
    <w:p w14:paraId="5D4486AE" w14:textId="28EF9C2D" w:rsidR="00041F19" w:rsidRPr="00A44E4E" w:rsidRDefault="004E0A60" w:rsidP="00041F19">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رؤية المملكة العربية السعودية 2030. (2024). برنامج تحول القطاع الصحي. (تاريخ الاطلاع: 10 يوليو 2026)</w:t>
      </w:r>
      <w:r w:rsidR="00041F19">
        <w:rPr>
          <w:rFonts w:ascii="Simplified Arabic" w:hAnsi="Simplified Arabic" w:cs="Simplified Arabic"/>
          <w:sz w:val="28"/>
          <w:szCs w:val="28"/>
          <w:rtl/>
        </w:rPr>
        <w:t>،</w:t>
      </w:r>
      <w:r w:rsidR="00740B7E">
        <w:rPr>
          <w:rFonts w:ascii="Simplified Arabic" w:hAnsi="Simplified Arabic" w:cs="Simplified Arabic"/>
          <w:sz w:val="28"/>
          <w:szCs w:val="28"/>
          <w:rtl/>
        </w:rPr>
        <w:t xml:space="preserve"> مسترجع من: </w:t>
      </w:r>
      <w:hyperlink r:id="rId20" w:history="1">
        <w:r w:rsidR="00041F19" w:rsidRPr="004A3FE5">
          <w:rPr>
            <w:rStyle w:val="Hyperlink"/>
            <w:rFonts w:ascii="Simplified Arabic" w:hAnsi="Simplified Arabic" w:cs="Simplified Arabic"/>
            <w:sz w:val="28"/>
            <w:szCs w:val="28"/>
            <w:rtl/>
          </w:rPr>
          <w:t>https://www.vision2030.gov.sa/ar/explore/programs/health-sector-transformation-program</w:t>
        </w:r>
      </w:hyperlink>
      <w:r w:rsidR="00041F19">
        <w:rPr>
          <w:rFonts w:ascii="Simplified Arabic" w:hAnsi="Simplified Arabic" w:cs="Simplified Arabic"/>
          <w:sz w:val="28"/>
          <w:szCs w:val="28"/>
        </w:rPr>
        <w:t xml:space="preserve"> </w:t>
      </w:r>
    </w:p>
    <w:p w14:paraId="66CA279E"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سناني، لبنى، وبو عطيط، جلال الدين. (2021). دور جودة حياة العمل في تحقيق الرفاهية النفسية والاجتماعية في بيئة العمل. </w:t>
      </w:r>
      <w:r w:rsidRPr="00A44E4E">
        <w:rPr>
          <w:rStyle w:val="ae"/>
          <w:rFonts w:ascii="Simplified Arabic" w:hAnsi="Simplified Arabic" w:cs="Simplified Arabic" w:hint="cs"/>
          <w:sz w:val="28"/>
          <w:szCs w:val="28"/>
          <w:rtl/>
        </w:rPr>
        <w:t>مجلة سوسيولوجيا للدراسات والبحوث الاجتماعية، 5</w:t>
      </w:r>
      <w:r w:rsidRPr="00A44E4E">
        <w:rPr>
          <w:rFonts w:ascii="Simplified Arabic" w:hAnsi="Simplified Arabic" w:cs="Simplified Arabic" w:hint="cs"/>
          <w:sz w:val="28"/>
          <w:szCs w:val="28"/>
        </w:rPr>
        <w:t>(3)، 84–97.</w:t>
      </w:r>
    </w:p>
    <w:p w14:paraId="745ED214"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سعود، مناور العازمي، ونواف. (2025). فاعلية برامج التحول الصحي وتحقيق استدامة الخدمات الاجتماعية بالمؤسسات الصحية. </w:t>
      </w:r>
      <w:r w:rsidRPr="00A44E4E">
        <w:rPr>
          <w:rStyle w:val="ae"/>
          <w:rFonts w:ascii="Simplified Arabic" w:hAnsi="Simplified Arabic" w:cs="Simplified Arabic" w:hint="cs"/>
          <w:sz w:val="28"/>
          <w:szCs w:val="28"/>
          <w:rtl/>
        </w:rPr>
        <w:t>مجلة دراية: المجلة العلمية للسياسات العامة ودراسات التنمية، 4</w:t>
      </w:r>
      <w:r w:rsidRPr="00A44E4E">
        <w:rPr>
          <w:rFonts w:ascii="Simplified Arabic" w:hAnsi="Simplified Arabic" w:cs="Simplified Arabic" w:hint="cs"/>
          <w:sz w:val="28"/>
          <w:szCs w:val="28"/>
        </w:rPr>
        <w:t>(2)، 59–94.</w:t>
      </w:r>
    </w:p>
    <w:p w14:paraId="74AE48DE"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شلبي، يوسف، القصبي، سام، وأمحديش، صالحة. (2020). الإسهام النسبي لكل من الصمود والاحتراق الأكاديميين في التنبؤ بالرفاهية الأكاديمية لدى طلبة الجامعة. </w:t>
      </w:r>
      <w:r w:rsidRPr="00A44E4E">
        <w:rPr>
          <w:rStyle w:val="ae"/>
          <w:rFonts w:ascii="Simplified Arabic" w:hAnsi="Simplified Arabic" w:cs="Simplified Arabic" w:hint="cs"/>
          <w:sz w:val="28"/>
          <w:szCs w:val="28"/>
          <w:rtl/>
        </w:rPr>
        <w:t>مجلة كلية التربية، جامعة طنطا، 76</w:t>
      </w:r>
      <w:r w:rsidRPr="00A44E4E">
        <w:rPr>
          <w:rFonts w:ascii="Simplified Arabic" w:hAnsi="Simplified Arabic" w:cs="Simplified Arabic" w:hint="cs"/>
          <w:sz w:val="28"/>
          <w:szCs w:val="28"/>
        </w:rPr>
        <w:t>، 80.</w:t>
      </w:r>
    </w:p>
    <w:p w14:paraId="5D2E5360"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شناف، خديجة. (2022). استراتيجية كايزن لتفادي الضغوط النفسية في بيئة العمل. </w:t>
      </w:r>
      <w:r w:rsidRPr="00A44E4E">
        <w:rPr>
          <w:rStyle w:val="ae"/>
          <w:rFonts w:ascii="Simplified Arabic" w:hAnsi="Simplified Arabic" w:cs="Simplified Arabic" w:hint="cs"/>
          <w:sz w:val="28"/>
          <w:szCs w:val="28"/>
          <w:rtl/>
        </w:rPr>
        <w:t>مجلة آفاق للعلوم، 7</w:t>
      </w:r>
      <w:r w:rsidRPr="00A44E4E">
        <w:rPr>
          <w:rFonts w:ascii="Simplified Arabic" w:hAnsi="Simplified Arabic" w:cs="Simplified Arabic" w:hint="cs"/>
          <w:sz w:val="28"/>
          <w:szCs w:val="28"/>
        </w:rPr>
        <w:t>(3)، 543–557.</w:t>
      </w:r>
    </w:p>
    <w:p w14:paraId="554164E9"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عبد الشكور، هاني. (2023). تأثير روحانية مكان العمل على رفاهية العاملين وسلوك مشاركة المعرفة ونية البقاء في العمل: دراسة تطبيقية على قطاع الفنادق بمدينة شرم الشيخ. </w:t>
      </w:r>
      <w:r w:rsidRPr="00A44E4E">
        <w:rPr>
          <w:rStyle w:val="ae"/>
          <w:rFonts w:ascii="Simplified Arabic" w:hAnsi="Simplified Arabic" w:cs="Simplified Arabic" w:hint="cs"/>
          <w:sz w:val="28"/>
          <w:szCs w:val="28"/>
          <w:rtl/>
        </w:rPr>
        <w:t>المجلة العربية للإدارة، 34</w:t>
      </w:r>
      <w:r w:rsidRPr="00A44E4E">
        <w:rPr>
          <w:rFonts w:ascii="Simplified Arabic" w:hAnsi="Simplified Arabic" w:cs="Simplified Arabic" w:hint="cs"/>
          <w:sz w:val="28"/>
          <w:szCs w:val="28"/>
        </w:rPr>
        <w:t>(2)، 75–96.</w:t>
      </w:r>
    </w:p>
    <w:p w14:paraId="48C93315"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عبدالرحمن، أ. (2024، 30 يوليو). الصحة النفسية في بيئة العمل السعودية: تحديات الواقع وطموحات رؤية 2030. </w:t>
      </w:r>
      <w:r w:rsidRPr="00A44E4E">
        <w:rPr>
          <w:rStyle w:val="ae"/>
          <w:rFonts w:ascii="Simplified Arabic" w:hAnsi="Simplified Arabic" w:cs="Simplified Arabic" w:hint="cs"/>
          <w:sz w:val="28"/>
          <w:szCs w:val="28"/>
          <w:rtl/>
        </w:rPr>
        <w:t>موجز الأنباء</w:t>
      </w:r>
      <w:r w:rsidRPr="00A44E4E">
        <w:rPr>
          <w:rFonts w:ascii="Simplified Arabic" w:hAnsi="Simplified Arabic" w:cs="Simplified Arabic" w:hint="cs"/>
          <w:sz w:val="28"/>
          <w:szCs w:val="28"/>
        </w:rPr>
        <w:t>.</w:t>
      </w:r>
    </w:p>
    <w:p w14:paraId="69B990CE"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عسيري، م. ع. ع. (2021). الاحتراق الوظيفي وأثره على إنتاجية الموظف ورضاه الوظيفي: دراسة ميدانية بمدينة تبوك. </w:t>
      </w:r>
      <w:r w:rsidRPr="00A44E4E">
        <w:rPr>
          <w:rStyle w:val="ae"/>
          <w:rFonts w:ascii="Simplified Arabic" w:hAnsi="Simplified Arabic" w:cs="Simplified Arabic" w:hint="cs"/>
          <w:sz w:val="28"/>
          <w:szCs w:val="28"/>
        </w:rPr>
        <w:t>International Journal of Research and Studies Publishing</w:t>
      </w:r>
      <w:r w:rsidRPr="00A44E4E">
        <w:rPr>
          <w:rFonts w:ascii="Simplified Arabic" w:hAnsi="Simplified Arabic" w:cs="Simplified Arabic" w:hint="cs"/>
          <w:sz w:val="28"/>
          <w:szCs w:val="28"/>
        </w:rPr>
        <w:t>.</w:t>
      </w:r>
    </w:p>
    <w:p w14:paraId="0EF5296C"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علي، محمد. (2018). </w:t>
      </w:r>
      <w:r w:rsidRPr="00A44E4E">
        <w:rPr>
          <w:rStyle w:val="ae"/>
          <w:rFonts w:ascii="Simplified Arabic" w:hAnsi="Simplified Arabic" w:cs="Simplified Arabic" w:hint="cs"/>
          <w:sz w:val="28"/>
          <w:szCs w:val="28"/>
          <w:rtl/>
        </w:rPr>
        <w:t>التأثيرات السلبية لبيئة العمل النفسية</w:t>
      </w:r>
      <w:r w:rsidRPr="00A44E4E">
        <w:rPr>
          <w:rFonts w:ascii="Simplified Arabic" w:hAnsi="Simplified Arabic" w:cs="Simplified Arabic" w:hint="cs"/>
          <w:sz w:val="28"/>
          <w:szCs w:val="28"/>
          <w:rtl/>
        </w:rPr>
        <w:t xml:space="preserve"> (ط. 1). دار الفكر للنشر والتوزيع.</w:t>
      </w:r>
    </w:p>
    <w:p w14:paraId="6E42CE00"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غالب، أكرم صادق حسن. (2024). أثر بيئة العمل الداخلية على الإبداع الإداري: دراسة ميدانية على المستشفى العسكري بمدينة تعز. </w:t>
      </w:r>
      <w:r w:rsidRPr="00A44E4E">
        <w:rPr>
          <w:rStyle w:val="ae"/>
          <w:rFonts w:ascii="Simplified Arabic" w:hAnsi="Simplified Arabic" w:cs="Simplified Arabic" w:hint="cs"/>
          <w:sz w:val="28"/>
          <w:szCs w:val="28"/>
          <w:rtl/>
        </w:rPr>
        <w:t>مجلة بحوث جامعة تعز، 41</w:t>
      </w:r>
      <w:r w:rsidRPr="00A44E4E">
        <w:rPr>
          <w:rFonts w:ascii="Simplified Arabic" w:hAnsi="Simplified Arabic" w:cs="Simplified Arabic" w:hint="cs"/>
          <w:sz w:val="28"/>
          <w:szCs w:val="28"/>
        </w:rPr>
        <w:t>(33)، 2958–7848.</w:t>
      </w:r>
    </w:p>
    <w:p w14:paraId="13E5D7EE"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lastRenderedPageBreak/>
        <w:t xml:space="preserve">فرج، ع. ع. ف. ن.، والقبي، ط. م. (2023). الاحتراق الوظيفي وعلاقته بالأداء الوظيفي: دراسة حالة – جامعة سرت. </w:t>
      </w:r>
      <w:r w:rsidRPr="00A44E4E">
        <w:rPr>
          <w:rStyle w:val="ae"/>
          <w:rFonts w:ascii="Simplified Arabic" w:hAnsi="Simplified Arabic" w:cs="Simplified Arabic" w:hint="cs"/>
          <w:sz w:val="28"/>
          <w:szCs w:val="28"/>
          <w:rtl/>
        </w:rPr>
        <w:t>مجلة الدراسات الاقتصادية، 6</w:t>
      </w:r>
      <w:r w:rsidRPr="00A44E4E">
        <w:rPr>
          <w:rFonts w:ascii="Simplified Arabic" w:hAnsi="Simplified Arabic" w:cs="Simplified Arabic" w:hint="cs"/>
          <w:sz w:val="28"/>
          <w:szCs w:val="28"/>
        </w:rPr>
        <w:t>(1)، 185–209.</w:t>
      </w:r>
    </w:p>
    <w:p w14:paraId="73997796"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فرطاقي، مفيدة. (2018). </w:t>
      </w:r>
      <w:r w:rsidRPr="00A44E4E">
        <w:rPr>
          <w:rStyle w:val="ae"/>
          <w:rFonts w:ascii="Simplified Arabic" w:hAnsi="Simplified Arabic" w:cs="Simplified Arabic" w:hint="cs"/>
          <w:sz w:val="28"/>
          <w:szCs w:val="28"/>
          <w:rtl/>
        </w:rPr>
        <w:t>النفقات الصحية وتحديات التمويل في الجزائر في ظل التحول الصحي الجاري</w:t>
      </w:r>
      <w:r w:rsidRPr="00A44E4E">
        <w:rPr>
          <w:rFonts w:ascii="Simplified Arabic" w:hAnsi="Simplified Arabic" w:cs="Simplified Arabic" w:hint="cs"/>
          <w:sz w:val="28"/>
          <w:szCs w:val="28"/>
        </w:rPr>
        <w:t>.</w:t>
      </w:r>
    </w:p>
    <w:p w14:paraId="618DA32F" w14:textId="77777777" w:rsidR="004E0A60" w:rsidRPr="00A44E4E" w:rsidRDefault="004E0A60" w:rsidP="00007A6F">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قرني، حسام. (2023). تعزيز مقومات الرفاه الوظيفي وأثره في تحقيق الميزة التنافسية للمنظمات: دراسة حالة البنك الأهلي المصري. </w:t>
      </w:r>
      <w:r w:rsidRPr="00A44E4E">
        <w:rPr>
          <w:rStyle w:val="ae"/>
          <w:rFonts w:ascii="Simplified Arabic" w:hAnsi="Simplified Arabic" w:cs="Simplified Arabic" w:hint="cs"/>
          <w:sz w:val="28"/>
          <w:szCs w:val="28"/>
          <w:rtl/>
        </w:rPr>
        <w:t>مجلة كلية السياسة والاقتصاد، 17</w:t>
      </w:r>
      <w:r w:rsidRPr="00A44E4E">
        <w:rPr>
          <w:rFonts w:ascii="Simplified Arabic" w:hAnsi="Simplified Arabic" w:cs="Simplified Arabic" w:hint="cs"/>
          <w:sz w:val="28"/>
          <w:szCs w:val="28"/>
        </w:rPr>
        <w:t>(2)، 181–224.</w:t>
      </w:r>
    </w:p>
    <w:p w14:paraId="11BA3F48" w14:textId="77777777" w:rsidR="004E0A60" w:rsidRPr="00A44E4E" w:rsidRDefault="004E0A60" w:rsidP="00525D13">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كنتاوي، أمينة، وتيشات، سلوى. (2022). الدور الوسيط لرفاهية الموظف في العلاقة بين الرضا الوظيفي والأداء الاستراتيجي. </w:t>
      </w:r>
      <w:r w:rsidRPr="00A44E4E">
        <w:rPr>
          <w:rStyle w:val="ae"/>
          <w:rFonts w:ascii="Simplified Arabic" w:hAnsi="Simplified Arabic" w:cs="Simplified Arabic" w:hint="cs"/>
          <w:sz w:val="28"/>
          <w:szCs w:val="28"/>
          <w:rtl/>
        </w:rPr>
        <w:t>مجلة الدراسات الاقتصادية الكمية، 8</w:t>
      </w:r>
      <w:r w:rsidRPr="00A44E4E">
        <w:rPr>
          <w:rFonts w:ascii="Simplified Arabic" w:hAnsi="Simplified Arabic" w:cs="Simplified Arabic" w:hint="cs"/>
          <w:sz w:val="28"/>
          <w:szCs w:val="28"/>
        </w:rPr>
        <w:t>(1)، 311–324.</w:t>
      </w:r>
    </w:p>
    <w:p w14:paraId="68914335" w14:textId="373D8EA6" w:rsidR="00AF45CB" w:rsidRDefault="004E0A60" w:rsidP="00AF45CB">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وزارة الصحة في المملكة العربية السعودية. (2024). التقرير السنوي لوزارة الصحة للعام المالي 2023م. (تاريخ الاطلاع: 10 يوليو 2026)</w:t>
      </w:r>
      <w:r w:rsidR="00172133">
        <w:rPr>
          <w:rFonts w:ascii="Simplified Arabic" w:hAnsi="Simplified Arabic" w:cs="Simplified Arabic"/>
          <w:sz w:val="28"/>
          <w:szCs w:val="28"/>
          <w:rtl/>
        </w:rPr>
        <w:t xml:space="preserve">. مسترجع من:  </w:t>
      </w:r>
      <w:hyperlink r:id="rId21" w:history="1">
        <w:r w:rsidR="00172133" w:rsidRPr="004A3FE5">
          <w:rPr>
            <w:rStyle w:val="Hyperlink"/>
            <w:rFonts w:ascii="Simplified Arabic" w:hAnsi="Simplified Arabic" w:cs="Simplified Arabic"/>
            <w:sz w:val="28"/>
            <w:szCs w:val="28"/>
            <w:rtl/>
          </w:rPr>
          <w:t>https://www.moh.gov.sa/Ministry/About/Documents/MOH-Report-2023.pdf</w:t>
        </w:r>
      </w:hyperlink>
      <w:r w:rsidR="00172133">
        <w:rPr>
          <w:rFonts w:ascii="Simplified Arabic" w:hAnsi="Simplified Arabic" w:cs="Simplified Arabic"/>
          <w:sz w:val="28"/>
          <w:szCs w:val="28"/>
        </w:rPr>
        <w:t xml:space="preserve"> </w:t>
      </w:r>
    </w:p>
    <w:p w14:paraId="4ED5A42C" w14:textId="77777777" w:rsidR="00172133" w:rsidRPr="00A44E4E" w:rsidRDefault="00172133" w:rsidP="00172133">
      <w:pPr>
        <w:pStyle w:val="ac"/>
        <w:bidi/>
        <w:ind w:left="720" w:hanging="720"/>
        <w:rPr>
          <w:rFonts w:ascii="Simplified Arabic" w:hAnsi="Simplified Arabic" w:cs="Simplified Arabic"/>
          <w:sz w:val="28"/>
          <w:szCs w:val="28"/>
        </w:rPr>
      </w:pPr>
    </w:p>
    <w:p w14:paraId="5EF975FE" w14:textId="77777777" w:rsidR="00DE1AA7" w:rsidRDefault="00DE1AA7" w:rsidP="00A44E4E">
      <w:pPr>
        <w:pStyle w:val="ac"/>
        <w:bidi/>
        <w:rPr>
          <w:rFonts w:ascii="Simplified Arabic" w:hAnsi="Simplified Arabic" w:cs="Simplified Arabic"/>
          <w:sz w:val="28"/>
          <w:szCs w:val="28"/>
          <w:rtl/>
        </w:rPr>
      </w:pPr>
      <w:r>
        <w:rPr>
          <w:rFonts w:ascii="Simplified Arabic" w:hAnsi="Simplified Arabic" w:cs="Simplified Arabic"/>
          <w:sz w:val="28"/>
          <w:szCs w:val="28"/>
          <w:rtl/>
        </w:rPr>
        <w:br w:type="page"/>
      </w:r>
    </w:p>
    <w:p w14:paraId="233076E1" w14:textId="77777777" w:rsidR="004E0A60" w:rsidRPr="00891197" w:rsidRDefault="004E0A60" w:rsidP="00891197">
      <w:pPr>
        <w:pStyle w:val="2"/>
        <w:rPr>
          <w:b w:val="0"/>
          <w:bCs/>
        </w:rPr>
      </w:pPr>
      <w:bookmarkStart w:id="59" w:name="_Toc235119069"/>
      <w:r w:rsidRPr="00891197">
        <w:rPr>
          <w:rFonts w:hint="cs"/>
          <w:b w:val="0"/>
          <w:bCs/>
          <w:rtl/>
        </w:rPr>
        <w:lastRenderedPageBreak/>
        <w:t>ثانياً: المراجع الأجنبية</w:t>
      </w:r>
      <w:bookmarkEnd w:id="59"/>
    </w:p>
    <w:p w14:paraId="154D54E8"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Aboobaker, N., Edward, M., &amp; Zakkariya, K. A. (2021). Workplace spirituality, well-being at work and employee loyalty in a gig economy: Multi-group analysis across temporary vs. permanent employment status. </w:t>
      </w:r>
      <w:r w:rsidRPr="00DE1AA7">
        <w:rPr>
          <w:rStyle w:val="ae"/>
          <w:rFonts w:asciiTheme="majorBidi" w:hAnsiTheme="majorBidi" w:cstheme="majorBidi"/>
        </w:rPr>
        <w:t>Personnel Review, 51</w:t>
      </w:r>
      <w:r w:rsidRPr="00DE1AA7">
        <w:rPr>
          <w:rFonts w:asciiTheme="majorBidi" w:hAnsiTheme="majorBidi" w:cstheme="majorBidi"/>
        </w:rPr>
        <w:t>(9), 2162–2180.</w:t>
      </w:r>
    </w:p>
    <w:p w14:paraId="52BF007A" w14:textId="4C346FBA"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Abualrub, R. F., &amp; Alghamdi, M. G. (2012). The impact of leadership styles on nurses’ satisfaction and intention to stay among Saudi nurses. </w:t>
      </w:r>
      <w:r w:rsidRPr="00DE1AA7">
        <w:rPr>
          <w:rStyle w:val="ae"/>
          <w:rFonts w:asciiTheme="majorBidi" w:hAnsiTheme="majorBidi" w:cstheme="majorBidi"/>
        </w:rPr>
        <w:t>Journal of Nursing Management, 20</w:t>
      </w:r>
      <w:r w:rsidRPr="00DE1AA7">
        <w:rPr>
          <w:rFonts w:asciiTheme="majorBidi" w:hAnsiTheme="majorBidi" w:cstheme="majorBidi"/>
        </w:rPr>
        <w:t xml:space="preserve">(5), 668–678. </w:t>
      </w:r>
      <w:hyperlink r:id="rId22" w:history="1">
        <w:r w:rsidR="00C53A69" w:rsidRPr="004A3FE5">
          <w:rPr>
            <w:rStyle w:val="Hyperlink"/>
            <w:rFonts w:asciiTheme="majorBidi" w:hAnsiTheme="majorBidi" w:cstheme="majorBidi"/>
          </w:rPr>
          <w:t>https://doi.org/10.1111/j.1365-2834.2011.01320</w:t>
        </w:r>
      </w:hyperlink>
      <w:r w:rsidR="00C53A69">
        <w:rPr>
          <w:rFonts w:asciiTheme="majorBidi" w:hAnsiTheme="majorBidi" w:cstheme="majorBidi"/>
        </w:rPr>
        <w:t xml:space="preserve"> </w:t>
      </w:r>
    </w:p>
    <w:p w14:paraId="04822B01"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Ahsan, M. J., &amp; Khawaja, S. (2024). Sustainable leadership impact on environmental performance: Exploring employee well-being, innovation, and organizational resilience. </w:t>
      </w:r>
      <w:r w:rsidRPr="00DE1AA7">
        <w:rPr>
          <w:rStyle w:val="ae"/>
          <w:rFonts w:asciiTheme="majorBidi" w:hAnsiTheme="majorBidi" w:cstheme="majorBidi"/>
        </w:rPr>
        <w:t>Discover Sustainability, 5</w:t>
      </w:r>
      <w:r w:rsidRPr="00DE1AA7">
        <w:rPr>
          <w:rFonts w:asciiTheme="majorBidi" w:hAnsiTheme="majorBidi" w:cstheme="majorBidi"/>
        </w:rPr>
        <w:t>(1), 317.</w:t>
      </w:r>
    </w:p>
    <w:p w14:paraId="10B8814F" w14:textId="756F8C75"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Alasiri, A. A., &amp; Mohammed, V. (2022). Healthcare transformation in Saudi Arabia: An overview since the launch of Vision 2030. </w:t>
      </w:r>
      <w:r w:rsidRPr="00DE1AA7">
        <w:rPr>
          <w:rStyle w:val="ae"/>
          <w:rFonts w:asciiTheme="majorBidi" w:hAnsiTheme="majorBidi" w:cstheme="majorBidi"/>
        </w:rPr>
        <w:t>Health Services Insights, 15</w:t>
      </w:r>
      <w:r w:rsidRPr="00DE1AA7">
        <w:rPr>
          <w:rFonts w:asciiTheme="majorBidi" w:hAnsiTheme="majorBidi" w:cstheme="majorBidi"/>
        </w:rPr>
        <w:t xml:space="preserve">, 11786329221121214. </w:t>
      </w:r>
      <w:hyperlink r:id="rId23" w:history="1">
        <w:r w:rsidR="00C53A69" w:rsidRPr="004A3FE5">
          <w:rPr>
            <w:rStyle w:val="Hyperlink"/>
            <w:rFonts w:asciiTheme="majorBidi" w:hAnsiTheme="majorBidi" w:cstheme="majorBidi"/>
          </w:rPr>
          <w:t>https://doi.org/10.1177/11786329221121214</w:t>
        </w:r>
      </w:hyperlink>
      <w:r w:rsidR="00C53A69">
        <w:rPr>
          <w:rFonts w:asciiTheme="majorBidi" w:hAnsiTheme="majorBidi" w:cstheme="majorBidi"/>
        </w:rPr>
        <w:t xml:space="preserve"> </w:t>
      </w:r>
    </w:p>
    <w:p w14:paraId="1145732B"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Alharbi, A. Y. (2017). Leadership styles of nurse managers and their effects on nurse and organisational performance, issues and problems. </w:t>
      </w:r>
      <w:r w:rsidRPr="00DE1AA7">
        <w:rPr>
          <w:rStyle w:val="ae"/>
          <w:rFonts w:asciiTheme="majorBidi" w:hAnsiTheme="majorBidi" w:cstheme="majorBidi"/>
        </w:rPr>
        <w:t>International Journal of Information Research and Review, 4</w:t>
      </w:r>
      <w:r w:rsidRPr="00DE1AA7">
        <w:rPr>
          <w:rFonts w:asciiTheme="majorBidi" w:hAnsiTheme="majorBidi" w:cstheme="majorBidi"/>
        </w:rPr>
        <w:t>(9), 4516–4525.</w:t>
      </w:r>
    </w:p>
    <w:p w14:paraId="305FE654"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Al-Hussami, M. (2008). A study of nurses’ job satisfaction: The relationship to organizational commitment, perceived organizational support, transactional leadership, transformational leadership, and level of education. </w:t>
      </w:r>
      <w:r w:rsidRPr="00DE1AA7">
        <w:rPr>
          <w:rStyle w:val="ae"/>
          <w:rFonts w:asciiTheme="majorBidi" w:hAnsiTheme="majorBidi" w:cstheme="majorBidi"/>
        </w:rPr>
        <w:t>European Journal of Scientific Research, 22</w:t>
      </w:r>
      <w:r w:rsidRPr="00DE1AA7">
        <w:rPr>
          <w:rFonts w:asciiTheme="majorBidi" w:hAnsiTheme="majorBidi" w:cstheme="majorBidi"/>
        </w:rPr>
        <w:t>(2), 286–295.</w:t>
      </w:r>
    </w:p>
    <w:p w14:paraId="6A13F6B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Alqarni, T., Alghamdi, A., Alzahrani, A., Abumelha, K., Alqurashi, Z., &amp; Alsaleh, A. (2022). Prevalence of stress, burnout, and job satisfaction among mental healthcare professionals in Jeddah, Saudi Arabia. </w:t>
      </w:r>
      <w:r w:rsidRPr="00DE1AA7">
        <w:rPr>
          <w:rStyle w:val="ae"/>
          <w:rFonts w:asciiTheme="majorBidi" w:hAnsiTheme="majorBidi" w:cstheme="majorBidi"/>
        </w:rPr>
        <w:t>PLOS ONE, 17</w:t>
      </w:r>
      <w:r w:rsidRPr="00DE1AA7">
        <w:rPr>
          <w:rFonts w:asciiTheme="majorBidi" w:hAnsiTheme="majorBidi" w:cstheme="majorBidi"/>
        </w:rPr>
        <w:t>(4), e0267578.</w:t>
      </w:r>
    </w:p>
    <w:p w14:paraId="1AEC87ED"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Allen, I. E., &amp; Seaman, C. A. (2007). Likert scales and data analyses. </w:t>
      </w:r>
      <w:r w:rsidRPr="00DE1AA7">
        <w:rPr>
          <w:rStyle w:val="ae"/>
          <w:rFonts w:asciiTheme="majorBidi" w:hAnsiTheme="majorBidi" w:cstheme="majorBidi"/>
        </w:rPr>
        <w:t>Quality Progress, 40</w:t>
      </w:r>
      <w:r w:rsidRPr="00DE1AA7">
        <w:rPr>
          <w:rFonts w:asciiTheme="majorBidi" w:hAnsiTheme="majorBidi" w:cstheme="majorBidi"/>
        </w:rPr>
        <w:t>(7), 64–65.</w:t>
      </w:r>
    </w:p>
    <w:p w14:paraId="7F274079"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Bakker, A. B., &amp; Costa, P. L. (2014). Chronic job burnout and daily functioning: A theoretical analysis. </w:t>
      </w:r>
      <w:r w:rsidRPr="00DE1AA7">
        <w:rPr>
          <w:rStyle w:val="ae"/>
          <w:rFonts w:asciiTheme="majorBidi" w:hAnsiTheme="majorBidi" w:cstheme="majorBidi"/>
        </w:rPr>
        <w:t>Burnout Research, 1</w:t>
      </w:r>
      <w:r w:rsidRPr="00DE1AA7">
        <w:rPr>
          <w:rFonts w:asciiTheme="majorBidi" w:hAnsiTheme="majorBidi" w:cstheme="majorBidi"/>
        </w:rPr>
        <w:t>(3), 112–119.</w:t>
      </w:r>
    </w:p>
    <w:p w14:paraId="1FE156B3" w14:textId="1F05743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lastRenderedPageBreak/>
        <w:t xml:space="preserve">Baron, R. M., &amp; Kenny, D. A. (1986). The moderator–mediator variable distinction in social psychological research: Conceptual, strategic, and statistical considerations. </w:t>
      </w:r>
      <w:r w:rsidRPr="00DE1AA7">
        <w:rPr>
          <w:rStyle w:val="ae"/>
          <w:rFonts w:asciiTheme="majorBidi" w:hAnsiTheme="majorBidi" w:cstheme="majorBidi"/>
        </w:rPr>
        <w:t>Journal of Personality and Social Psychology, 51</w:t>
      </w:r>
      <w:r w:rsidRPr="00DE1AA7">
        <w:rPr>
          <w:rFonts w:asciiTheme="majorBidi" w:hAnsiTheme="majorBidi" w:cstheme="majorBidi"/>
        </w:rPr>
        <w:t xml:space="preserve">(6), 1173–1182. </w:t>
      </w:r>
      <w:hyperlink r:id="rId24" w:history="1">
        <w:r w:rsidR="00C53A69" w:rsidRPr="004A3FE5">
          <w:rPr>
            <w:rStyle w:val="Hyperlink"/>
            <w:rFonts w:asciiTheme="majorBidi" w:hAnsiTheme="majorBidi" w:cstheme="majorBidi"/>
          </w:rPr>
          <w:t>https://doi.org/10.1037/0022-3514.51.6.1173</w:t>
        </w:r>
      </w:hyperlink>
      <w:r w:rsidR="00C53A69">
        <w:rPr>
          <w:rFonts w:asciiTheme="majorBidi" w:hAnsiTheme="majorBidi" w:cstheme="majorBidi"/>
        </w:rPr>
        <w:t xml:space="preserve"> </w:t>
      </w:r>
    </w:p>
    <w:p w14:paraId="22C7C45B"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Bass, B. M. (1985). </w:t>
      </w:r>
      <w:r w:rsidRPr="00DE1AA7">
        <w:rPr>
          <w:rStyle w:val="ae"/>
          <w:rFonts w:asciiTheme="majorBidi" w:hAnsiTheme="majorBidi" w:cstheme="majorBidi"/>
        </w:rPr>
        <w:t>Leadership and performance beyond expectations</w:t>
      </w:r>
      <w:r w:rsidRPr="00DE1AA7">
        <w:rPr>
          <w:rFonts w:asciiTheme="majorBidi" w:hAnsiTheme="majorBidi" w:cstheme="majorBidi"/>
        </w:rPr>
        <w:t>. Free Press.</w:t>
      </w:r>
    </w:p>
    <w:p w14:paraId="64C49ACB"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Bass, B. M., &amp; Avolio, B. J. (1994). </w:t>
      </w:r>
      <w:r w:rsidRPr="00DE1AA7">
        <w:rPr>
          <w:rStyle w:val="ae"/>
          <w:rFonts w:asciiTheme="majorBidi" w:hAnsiTheme="majorBidi" w:cstheme="majorBidi"/>
        </w:rPr>
        <w:t>Improving organizational effectiveness through transformational leadership</w:t>
      </w:r>
      <w:r w:rsidRPr="00DE1AA7">
        <w:rPr>
          <w:rFonts w:asciiTheme="majorBidi" w:hAnsiTheme="majorBidi" w:cstheme="majorBidi"/>
        </w:rPr>
        <w:t>. Sage.</w:t>
      </w:r>
    </w:p>
    <w:p w14:paraId="65733F60"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Bass, B. M., &amp; Riggio, R. E. (2006). </w:t>
      </w:r>
      <w:r w:rsidRPr="00DE1AA7">
        <w:rPr>
          <w:rStyle w:val="ae"/>
          <w:rFonts w:asciiTheme="majorBidi" w:hAnsiTheme="majorBidi" w:cstheme="majorBidi"/>
        </w:rPr>
        <w:t>Transformational leadership</w:t>
      </w:r>
      <w:r w:rsidRPr="00DE1AA7">
        <w:rPr>
          <w:rFonts w:asciiTheme="majorBidi" w:hAnsiTheme="majorBidi" w:cstheme="majorBidi"/>
        </w:rPr>
        <w:t xml:space="preserve"> (2nd ed.). Lawrence Erlbaum Associates.</w:t>
      </w:r>
    </w:p>
    <w:p w14:paraId="115339B8"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Bastida, M., Neira, I., &amp; Lacalle-Calderon, M. (2022). Employee’s subjective well-being and job discretion: Designing gendered happy jobs. </w:t>
      </w:r>
      <w:r w:rsidRPr="00DE1AA7">
        <w:rPr>
          <w:rStyle w:val="ae"/>
          <w:rFonts w:asciiTheme="majorBidi" w:hAnsiTheme="majorBidi" w:cstheme="majorBidi"/>
        </w:rPr>
        <w:t>European Research on Management and Business Economics, 28</w:t>
      </w:r>
      <w:r w:rsidRPr="00DE1AA7">
        <w:rPr>
          <w:rFonts w:asciiTheme="majorBidi" w:hAnsiTheme="majorBidi" w:cstheme="majorBidi"/>
        </w:rPr>
        <w:t>(2), Article 100189.</w:t>
      </w:r>
    </w:p>
    <w:p w14:paraId="40D9F447"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Boamah, S. A., Spence Laschinger, H. K., Wong, C., &amp; Clarke, S. (2018). Effect of transformational leadership on job satisfaction and patient safety outcomes. </w:t>
      </w:r>
      <w:r w:rsidRPr="00DE1AA7">
        <w:rPr>
          <w:rStyle w:val="ae"/>
          <w:rFonts w:asciiTheme="majorBidi" w:hAnsiTheme="majorBidi" w:cstheme="majorBidi"/>
        </w:rPr>
        <w:t>Nursing Outlook, 66</w:t>
      </w:r>
      <w:r w:rsidRPr="00DE1AA7">
        <w:rPr>
          <w:rFonts w:asciiTheme="majorBidi" w:hAnsiTheme="majorBidi" w:cstheme="majorBidi"/>
        </w:rPr>
        <w:t>(2), 180–189.</w:t>
      </w:r>
    </w:p>
    <w:p w14:paraId="047D169F"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Braim, N. (2025). </w:t>
      </w:r>
      <w:r w:rsidRPr="00DE1AA7">
        <w:rPr>
          <w:rStyle w:val="ae"/>
          <w:rFonts w:asciiTheme="majorBidi" w:hAnsiTheme="majorBidi" w:cstheme="majorBidi"/>
        </w:rPr>
        <w:t>Management commitment, implementation, and sustainable work environment in healthcare services</w:t>
      </w:r>
      <w:r w:rsidRPr="00DE1AA7">
        <w:rPr>
          <w:rFonts w:asciiTheme="majorBidi" w:hAnsiTheme="majorBidi" w:cstheme="majorBidi"/>
        </w:rPr>
        <w:t>.</w:t>
      </w:r>
    </w:p>
    <w:p w14:paraId="4DD98889"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Bryman, A. (2016). </w:t>
      </w:r>
      <w:r w:rsidRPr="00DE1AA7">
        <w:rPr>
          <w:rStyle w:val="ae"/>
          <w:rFonts w:asciiTheme="majorBidi" w:hAnsiTheme="majorBidi" w:cstheme="majorBidi"/>
        </w:rPr>
        <w:t>Social research methods</w:t>
      </w:r>
      <w:r w:rsidRPr="00DE1AA7">
        <w:rPr>
          <w:rFonts w:asciiTheme="majorBidi" w:hAnsiTheme="majorBidi" w:cstheme="majorBidi"/>
        </w:rPr>
        <w:t xml:space="preserve"> (5th ed.). Oxford University Press.</w:t>
      </w:r>
    </w:p>
    <w:p w14:paraId="2D57C125"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Burns, J. M. (1978). </w:t>
      </w:r>
      <w:r w:rsidRPr="00DE1AA7">
        <w:rPr>
          <w:rStyle w:val="ae"/>
          <w:rFonts w:asciiTheme="majorBidi" w:hAnsiTheme="majorBidi" w:cstheme="majorBidi"/>
        </w:rPr>
        <w:t>Leadership</w:t>
      </w:r>
      <w:r w:rsidRPr="00DE1AA7">
        <w:rPr>
          <w:rFonts w:asciiTheme="majorBidi" w:hAnsiTheme="majorBidi" w:cstheme="majorBidi"/>
        </w:rPr>
        <w:t>. Harper &amp; Row.</w:t>
      </w:r>
    </w:p>
    <w:p w14:paraId="1A9965F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Cochran, W. G. (1977). </w:t>
      </w:r>
      <w:r w:rsidRPr="00DE1AA7">
        <w:rPr>
          <w:rStyle w:val="ae"/>
          <w:rFonts w:asciiTheme="majorBidi" w:hAnsiTheme="majorBidi" w:cstheme="majorBidi"/>
        </w:rPr>
        <w:t>Sampling techniques</w:t>
      </w:r>
      <w:r w:rsidRPr="00DE1AA7">
        <w:rPr>
          <w:rFonts w:asciiTheme="majorBidi" w:hAnsiTheme="majorBidi" w:cstheme="majorBidi"/>
        </w:rPr>
        <w:t xml:space="preserve"> (3rd ed.). John Wiley &amp; Sons.</w:t>
      </w:r>
    </w:p>
    <w:p w14:paraId="09E946B8"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Field, A. (2024). </w:t>
      </w:r>
      <w:r w:rsidRPr="00DE1AA7">
        <w:rPr>
          <w:rStyle w:val="ae"/>
          <w:rFonts w:asciiTheme="majorBidi" w:hAnsiTheme="majorBidi" w:cstheme="majorBidi"/>
        </w:rPr>
        <w:t>Discovering statistics using IBM SPSS statistics</w:t>
      </w:r>
      <w:r w:rsidRPr="00DE1AA7">
        <w:rPr>
          <w:rFonts w:asciiTheme="majorBidi" w:hAnsiTheme="majorBidi" w:cstheme="majorBidi"/>
        </w:rPr>
        <w:t xml:space="preserve"> (6th ed.). Sage Publications.</w:t>
      </w:r>
    </w:p>
    <w:p w14:paraId="554AA4BC"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Gabriel, K. P., &amp; Aguinis, H. (2022). How to prevent and combat employee burnout and create healthier workplaces during crises and beyond. </w:t>
      </w:r>
      <w:r w:rsidRPr="00DE1AA7">
        <w:rPr>
          <w:rStyle w:val="ae"/>
          <w:rFonts w:asciiTheme="majorBidi" w:hAnsiTheme="majorBidi" w:cstheme="majorBidi"/>
        </w:rPr>
        <w:t>Business Horizons, 65</w:t>
      </w:r>
      <w:r w:rsidRPr="00DE1AA7">
        <w:rPr>
          <w:rFonts w:asciiTheme="majorBidi" w:hAnsiTheme="majorBidi" w:cstheme="majorBidi"/>
        </w:rPr>
        <w:t>(2), 183–192.</w:t>
      </w:r>
    </w:p>
    <w:p w14:paraId="2B9E9A5D"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lastRenderedPageBreak/>
        <w:t xml:space="preserve">Hair, J. F., Black, W. C., Babin, B. J., &amp; Anderson, R. E. (2019). </w:t>
      </w:r>
      <w:r w:rsidRPr="00DE1AA7">
        <w:rPr>
          <w:rStyle w:val="ae"/>
          <w:rFonts w:asciiTheme="majorBidi" w:hAnsiTheme="majorBidi" w:cstheme="majorBidi"/>
        </w:rPr>
        <w:t>Multivariate data analysis</w:t>
      </w:r>
      <w:r w:rsidRPr="00DE1AA7">
        <w:rPr>
          <w:rFonts w:asciiTheme="majorBidi" w:hAnsiTheme="majorBidi" w:cstheme="majorBidi"/>
        </w:rPr>
        <w:t xml:space="preserve"> (8th ed.). Cengage Learning.</w:t>
      </w:r>
    </w:p>
    <w:p w14:paraId="7E94A1FF"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Han, W., Kim, J., Park, J., &amp; Lee, M. (2022). Influential effects of emotional intelligence on the relationship between job stress and burnout among general hospital administrative staff. </w:t>
      </w:r>
      <w:r w:rsidRPr="00DE1AA7">
        <w:rPr>
          <w:rStyle w:val="ae"/>
          <w:rFonts w:asciiTheme="majorBidi" w:hAnsiTheme="majorBidi" w:cstheme="majorBidi"/>
        </w:rPr>
        <w:t>Healthcare, 10</w:t>
      </w:r>
      <w:r w:rsidRPr="00DE1AA7">
        <w:rPr>
          <w:rFonts w:asciiTheme="majorBidi" w:hAnsiTheme="majorBidi" w:cstheme="majorBidi"/>
        </w:rPr>
        <w:t>(2), 194.</w:t>
      </w:r>
    </w:p>
    <w:p w14:paraId="2717A707"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Hayes, A. F. (2018). </w:t>
      </w:r>
      <w:r w:rsidRPr="00DE1AA7">
        <w:rPr>
          <w:rStyle w:val="ae"/>
          <w:rFonts w:asciiTheme="majorBidi" w:hAnsiTheme="majorBidi" w:cstheme="majorBidi"/>
        </w:rPr>
        <w:t>Introduction to mediation, moderation, and conditional process analysis: A regression-based approach</w:t>
      </w:r>
      <w:r w:rsidRPr="00DE1AA7">
        <w:rPr>
          <w:rFonts w:asciiTheme="majorBidi" w:hAnsiTheme="majorBidi" w:cstheme="majorBidi"/>
        </w:rPr>
        <w:t xml:space="preserve"> (2nd ed.). The Guilford Press.</w:t>
      </w:r>
    </w:p>
    <w:p w14:paraId="516F86E4"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Hilton, S. K., Madilo, W., Awaah, F., &amp; Arkorful, H. (2023). Dimensions of transformational leadership and organizational performance: The mediating effect of job satisfaction. </w:t>
      </w:r>
      <w:r w:rsidRPr="00DE1AA7">
        <w:rPr>
          <w:rStyle w:val="ae"/>
          <w:rFonts w:asciiTheme="majorBidi" w:hAnsiTheme="majorBidi" w:cstheme="majorBidi"/>
        </w:rPr>
        <w:t>Management Research Review, 46</w:t>
      </w:r>
      <w:r w:rsidRPr="00DE1AA7">
        <w:rPr>
          <w:rFonts w:asciiTheme="majorBidi" w:hAnsiTheme="majorBidi" w:cstheme="majorBidi"/>
        </w:rPr>
        <w:t>(1), 1–19.</w:t>
      </w:r>
    </w:p>
    <w:p w14:paraId="3E96C061"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Hunecke, M. (2018). Psychology of sustainability: Psychological resources for sustainable lifestyles. In </w:t>
      </w:r>
      <w:r w:rsidRPr="00DE1AA7">
        <w:rPr>
          <w:rStyle w:val="ae"/>
          <w:rFonts w:asciiTheme="majorBidi" w:hAnsiTheme="majorBidi" w:cstheme="majorBidi"/>
        </w:rPr>
        <w:t>Personal sustainability</w:t>
      </w:r>
      <w:r w:rsidRPr="00DE1AA7">
        <w:rPr>
          <w:rFonts w:asciiTheme="majorBidi" w:hAnsiTheme="majorBidi" w:cstheme="majorBidi"/>
        </w:rPr>
        <w:t xml:space="preserve"> (pp. 33–50). Routledge.</w:t>
      </w:r>
    </w:p>
    <w:p w14:paraId="385F2421" w14:textId="5E0EA49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Joshi, A., Kale, S., Chandel, S., &amp; Pal, D. K. (2015). Likert scale: Explored and explained. </w:t>
      </w:r>
      <w:r w:rsidRPr="00DE1AA7">
        <w:rPr>
          <w:rStyle w:val="ae"/>
          <w:rFonts w:asciiTheme="majorBidi" w:hAnsiTheme="majorBidi" w:cstheme="majorBidi"/>
        </w:rPr>
        <w:t>British Journal of Applied Science &amp; Technology, 7</w:t>
      </w:r>
      <w:r w:rsidRPr="00DE1AA7">
        <w:rPr>
          <w:rFonts w:asciiTheme="majorBidi" w:hAnsiTheme="majorBidi" w:cstheme="majorBidi"/>
        </w:rPr>
        <w:t xml:space="preserve">(4), 396–403. </w:t>
      </w:r>
      <w:hyperlink r:id="rId25" w:history="1">
        <w:r w:rsidR="00C53A69" w:rsidRPr="004A3FE5">
          <w:rPr>
            <w:rStyle w:val="Hyperlink"/>
            <w:rFonts w:asciiTheme="majorBidi" w:hAnsiTheme="majorBidi" w:cstheme="majorBidi"/>
          </w:rPr>
          <w:t>https://doi.org/10.9734/BJAST/2015/14975</w:t>
        </w:r>
      </w:hyperlink>
      <w:r w:rsidR="00C53A69">
        <w:rPr>
          <w:rFonts w:asciiTheme="majorBidi" w:hAnsiTheme="majorBidi" w:cstheme="majorBidi"/>
        </w:rPr>
        <w:t xml:space="preserve"> </w:t>
      </w:r>
    </w:p>
    <w:p w14:paraId="34F9C621"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Kelloway, E. K., Turner, N., Barling, J., &amp; Loughlin, C. (2012). Transformational leadership and employee psychological well-being: The mediating role of employee trust in leadership. </w:t>
      </w:r>
      <w:r w:rsidRPr="00DE1AA7">
        <w:rPr>
          <w:rStyle w:val="ae"/>
          <w:rFonts w:asciiTheme="majorBidi" w:hAnsiTheme="majorBidi" w:cstheme="majorBidi"/>
        </w:rPr>
        <w:t>Work &amp; Stress, 26</w:t>
      </w:r>
      <w:r w:rsidRPr="00DE1AA7">
        <w:rPr>
          <w:rFonts w:asciiTheme="majorBidi" w:hAnsiTheme="majorBidi" w:cstheme="majorBidi"/>
        </w:rPr>
        <w:t>(1), 39–55.</w:t>
      </w:r>
    </w:p>
    <w:p w14:paraId="6D32A60B"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Kobal Grum, D., &amp; Babnik, K. (2022). The psychological concept of social sustainability in the workplace from the perspective of sustainable goals: A systematic review. </w:t>
      </w:r>
      <w:r w:rsidRPr="00DE1AA7">
        <w:rPr>
          <w:rStyle w:val="ae"/>
          <w:rFonts w:asciiTheme="majorBidi" w:hAnsiTheme="majorBidi" w:cstheme="majorBidi"/>
        </w:rPr>
        <w:t>Frontiers in Psychology, 13</w:t>
      </w:r>
      <w:r w:rsidRPr="00DE1AA7">
        <w:rPr>
          <w:rFonts w:asciiTheme="majorBidi" w:hAnsiTheme="majorBidi" w:cstheme="majorBidi"/>
        </w:rPr>
        <w:t>, Article 942204.</w:t>
      </w:r>
    </w:p>
    <w:p w14:paraId="4B18EDD4"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Maslach, C., &amp; Leiter, M. P. (2016a). </w:t>
      </w:r>
      <w:r w:rsidRPr="00DE1AA7">
        <w:rPr>
          <w:rStyle w:val="ae"/>
          <w:rFonts w:asciiTheme="majorBidi" w:hAnsiTheme="majorBidi" w:cstheme="majorBidi"/>
        </w:rPr>
        <w:t>Burnout: A multidimensional perspective</w:t>
      </w:r>
      <w:r w:rsidRPr="00DE1AA7">
        <w:rPr>
          <w:rFonts w:asciiTheme="majorBidi" w:hAnsiTheme="majorBidi" w:cstheme="majorBidi"/>
        </w:rPr>
        <w:t>. Psychology Press.</w:t>
      </w:r>
    </w:p>
    <w:p w14:paraId="1668C532" w14:textId="7D02C723"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Maslach, C., &amp; Leiter, M. P. (2016b). Understanding the burnout experience: Recent research and its implications for psychiatry. </w:t>
      </w:r>
      <w:r w:rsidRPr="00DE1AA7">
        <w:rPr>
          <w:rStyle w:val="ae"/>
          <w:rFonts w:asciiTheme="majorBidi" w:hAnsiTheme="majorBidi" w:cstheme="majorBidi"/>
        </w:rPr>
        <w:t>World Psychiatry, 15</w:t>
      </w:r>
      <w:r w:rsidRPr="00DE1AA7">
        <w:rPr>
          <w:rFonts w:asciiTheme="majorBidi" w:hAnsiTheme="majorBidi" w:cstheme="majorBidi"/>
        </w:rPr>
        <w:t xml:space="preserve">(2), 103–111. </w:t>
      </w:r>
      <w:hyperlink r:id="rId26" w:history="1">
        <w:r w:rsidR="00C53A69" w:rsidRPr="004A3FE5">
          <w:rPr>
            <w:rStyle w:val="Hyperlink"/>
            <w:rFonts w:asciiTheme="majorBidi" w:hAnsiTheme="majorBidi" w:cstheme="majorBidi"/>
          </w:rPr>
          <w:t>https://doi.org/10.1002/wps.20311</w:t>
        </w:r>
      </w:hyperlink>
      <w:r w:rsidR="00C53A69">
        <w:rPr>
          <w:rFonts w:asciiTheme="majorBidi" w:hAnsiTheme="majorBidi" w:cstheme="majorBidi"/>
        </w:rPr>
        <w:t xml:space="preserve"> </w:t>
      </w:r>
    </w:p>
    <w:p w14:paraId="4C61C73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Northouse, P. G. (2018). </w:t>
      </w:r>
      <w:r w:rsidRPr="00DE1AA7">
        <w:rPr>
          <w:rStyle w:val="ae"/>
          <w:rFonts w:asciiTheme="majorBidi" w:hAnsiTheme="majorBidi" w:cstheme="majorBidi"/>
        </w:rPr>
        <w:t>Leadership: Theory and practice</w:t>
      </w:r>
      <w:r w:rsidRPr="00DE1AA7">
        <w:rPr>
          <w:rFonts w:asciiTheme="majorBidi" w:hAnsiTheme="majorBidi" w:cstheme="majorBidi"/>
        </w:rPr>
        <w:t xml:space="preserve"> (8th ed.). Sage Publications.</w:t>
      </w:r>
    </w:p>
    <w:p w14:paraId="5E24375C"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lastRenderedPageBreak/>
        <w:t xml:space="preserve">Ongaro, F., Di Pietro, L., Guglielmetti-Moggion, R., &amp; Renzi, M. F. (2024). A systematic literature review on transformative practices and well-being outcomes in health care services. </w:t>
      </w:r>
      <w:r w:rsidRPr="00DE1AA7">
        <w:rPr>
          <w:rStyle w:val="ae"/>
          <w:rFonts w:asciiTheme="majorBidi" w:hAnsiTheme="majorBidi" w:cstheme="majorBidi"/>
        </w:rPr>
        <w:t>Journal of Service Theory and Practice, 34</w:t>
      </w:r>
      <w:r w:rsidRPr="00DE1AA7">
        <w:rPr>
          <w:rFonts w:asciiTheme="majorBidi" w:hAnsiTheme="majorBidi" w:cstheme="majorBidi"/>
        </w:rPr>
        <w:t>(3), 432–463.</w:t>
      </w:r>
    </w:p>
    <w:p w14:paraId="2E6CAEF9"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Oppenheim, A. N. (2000). </w:t>
      </w:r>
      <w:r w:rsidRPr="00DE1AA7">
        <w:rPr>
          <w:rStyle w:val="ae"/>
          <w:rFonts w:asciiTheme="majorBidi" w:hAnsiTheme="majorBidi" w:cstheme="majorBidi"/>
        </w:rPr>
        <w:t>Questionnaire design, interviewing and attitude measurement</w:t>
      </w:r>
      <w:r w:rsidRPr="00DE1AA7">
        <w:rPr>
          <w:rFonts w:asciiTheme="majorBidi" w:hAnsiTheme="majorBidi" w:cstheme="majorBidi"/>
        </w:rPr>
        <w:t>. Continuum.</w:t>
      </w:r>
    </w:p>
    <w:p w14:paraId="1A81452D" w14:textId="400659C6"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Page, K. M., &amp; Vella-Brodrick, D. A. (2009). The “what,” “why,” and “how” of employee well-being: A new model. </w:t>
      </w:r>
      <w:r w:rsidRPr="00DE1AA7">
        <w:rPr>
          <w:rStyle w:val="ae"/>
          <w:rFonts w:asciiTheme="majorBidi" w:hAnsiTheme="majorBidi" w:cstheme="majorBidi"/>
        </w:rPr>
        <w:t>Social Indicators Research, 90</w:t>
      </w:r>
      <w:r w:rsidRPr="00DE1AA7">
        <w:rPr>
          <w:rFonts w:asciiTheme="majorBidi" w:hAnsiTheme="majorBidi" w:cstheme="majorBidi"/>
        </w:rPr>
        <w:t xml:space="preserve">(3), 441–458. </w:t>
      </w:r>
      <w:hyperlink r:id="rId27" w:history="1">
        <w:r w:rsidR="00566883" w:rsidRPr="004A3FE5">
          <w:rPr>
            <w:rStyle w:val="Hyperlink"/>
            <w:rFonts w:asciiTheme="majorBidi" w:hAnsiTheme="majorBidi" w:cstheme="majorBidi"/>
          </w:rPr>
          <w:t>https://doi.org/10.1007/s11205-008-9270-3</w:t>
        </w:r>
      </w:hyperlink>
      <w:r w:rsidR="00566883">
        <w:rPr>
          <w:rFonts w:asciiTheme="majorBidi" w:hAnsiTheme="majorBidi" w:cstheme="majorBidi"/>
        </w:rPr>
        <w:t xml:space="preserve"> </w:t>
      </w:r>
    </w:p>
    <w:p w14:paraId="6C478418"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Pallant, J. (2020). </w:t>
      </w:r>
      <w:r w:rsidRPr="00DE1AA7">
        <w:rPr>
          <w:rStyle w:val="ae"/>
          <w:rFonts w:asciiTheme="majorBidi" w:hAnsiTheme="majorBidi" w:cstheme="majorBidi"/>
        </w:rPr>
        <w:t>SPSS survival manual: A step by step guide to data analysis using IBM SPSS</w:t>
      </w:r>
      <w:r w:rsidRPr="00DE1AA7">
        <w:rPr>
          <w:rFonts w:asciiTheme="majorBidi" w:hAnsiTheme="majorBidi" w:cstheme="majorBidi"/>
        </w:rPr>
        <w:t xml:space="preserve"> (7th ed.). Routledge.</w:t>
      </w:r>
    </w:p>
    <w:p w14:paraId="0EA38821"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Putra, A. S. B., Kusumawati, E. D., &amp; Kartikasari, D. (2024). Psychological empowerment and psychological well-being as job performance mediators. </w:t>
      </w:r>
      <w:r w:rsidRPr="00DE1AA7">
        <w:rPr>
          <w:rStyle w:val="ae"/>
          <w:rFonts w:asciiTheme="majorBidi" w:hAnsiTheme="majorBidi" w:cstheme="majorBidi"/>
        </w:rPr>
        <w:t>Journal of Business Management and Economic Development, 2</w:t>
      </w:r>
      <w:r w:rsidRPr="00DE1AA7">
        <w:rPr>
          <w:rFonts w:asciiTheme="majorBidi" w:hAnsiTheme="majorBidi" w:cstheme="majorBidi"/>
        </w:rPr>
        <w:t>(1), 127–141.</w:t>
      </w:r>
    </w:p>
    <w:p w14:paraId="32AA13C2" w14:textId="77777777" w:rsidR="00037B2A" w:rsidRPr="00037B2A" w:rsidRDefault="00037B2A" w:rsidP="00793F14">
      <w:pPr>
        <w:pStyle w:val="ac"/>
        <w:spacing w:line="360" w:lineRule="auto"/>
        <w:ind w:left="720" w:hanging="720"/>
        <w:rPr>
          <w:rFonts w:asciiTheme="majorBidi" w:hAnsiTheme="majorBidi" w:cstheme="majorBidi"/>
          <w:rtl/>
        </w:rPr>
      </w:pPr>
      <w:r w:rsidRPr="00037B2A">
        <w:rPr>
          <w:rFonts w:asciiTheme="majorBidi" w:eastAsia="Times New Roman" w:hAnsiTheme="majorBidi" w:cstheme="majorBidi"/>
          <w:color w:val="222222"/>
          <w:shd w:val="clear" w:color="auto" w:fill="FFFFFF"/>
        </w:rPr>
        <w:t>Rahi, S. (2022). Investigating the role of employee psychological well-being and psychological empowerment with relation to work engagement and sustainable employability. </w:t>
      </w:r>
      <w:r w:rsidRPr="00037B2A">
        <w:rPr>
          <w:rFonts w:asciiTheme="majorBidi" w:eastAsia="Times New Roman" w:hAnsiTheme="majorBidi" w:cstheme="majorBidi"/>
          <w:i/>
          <w:iCs/>
          <w:color w:val="222222"/>
          <w:shd w:val="clear" w:color="auto" w:fill="FFFFFF"/>
        </w:rPr>
        <w:t>International Journal of Ethics and Systems</w:t>
      </w:r>
      <w:r w:rsidRPr="00037B2A">
        <w:rPr>
          <w:rFonts w:asciiTheme="majorBidi" w:eastAsia="Times New Roman" w:hAnsiTheme="majorBidi" w:cstheme="majorBidi"/>
          <w:color w:val="222222"/>
          <w:shd w:val="clear" w:color="auto" w:fill="FFFFFF"/>
        </w:rPr>
        <w:t>, </w:t>
      </w:r>
      <w:r w:rsidRPr="00037B2A">
        <w:rPr>
          <w:rFonts w:asciiTheme="majorBidi" w:eastAsia="Times New Roman" w:hAnsiTheme="majorBidi" w:cstheme="majorBidi"/>
          <w:i/>
          <w:iCs/>
          <w:color w:val="222222"/>
          <w:shd w:val="clear" w:color="auto" w:fill="FFFFFF"/>
        </w:rPr>
        <w:t>38</w:t>
      </w:r>
      <w:r w:rsidRPr="00037B2A">
        <w:rPr>
          <w:rFonts w:asciiTheme="majorBidi" w:eastAsia="Times New Roman" w:hAnsiTheme="majorBidi" w:cstheme="majorBidi"/>
          <w:color w:val="222222"/>
          <w:shd w:val="clear" w:color="auto" w:fill="FFFFFF"/>
        </w:rPr>
        <w:t>(2), 266-285.</w:t>
      </w:r>
      <w:r w:rsidRPr="00037B2A">
        <w:rPr>
          <w:rFonts w:asciiTheme="majorBidi" w:eastAsia="Times New Roman" w:hAnsiTheme="majorBidi" w:cstheme="majorBidi"/>
          <w:color w:val="222222"/>
          <w:shd w:val="clear" w:color="auto" w:fill="FFFFFF"/>
          <w:rtl/>
        </w:rPr>
        <w:t>‏</w:t>
      </w:r>
    </w:p>
    <w:p w14:paraId="41C4D50A"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Robertson, I. T., Cooper, C. L., &amp; Johnson, S. (2011). </w:t>
      </w:r>
      <w:r w:rsidRPr="00DE1AA7">
        <w:rPr>
          <w:rStyle w:val="ae"/>
          <w:rFonts w:asciiTheme="majorBidi" w:hAnsiTheme="majorBidi" w:cstheme="majorBidi"/>
        </w:rPr>
        <w:t>Well-being: Productivity and happiness at work</w:t>
      </w:r>
      <w:r w:rsidRPr="00DE1AA7">
        <w:rPr>
          <w:rFonts w:asciiTheme="majorBidi" w:hAnsiTheme="majorBidi" w:cstheme="majorBidi"/>
        </w:rPr>
        <w:t xml:space="preserve"> (Vol. 3). Palgrave Macmillan.</w:t>
      </w:r>
    </w:p>
    <w:p w14:paraId="372DB920"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Schaufeli, W., De Witte, H., &amp; Desart, S. (2019). </w:t>
      </w:r>
      <w:r w:rsidRPr="00DE1AA7">
        <w:rPr>
          <w:rStyle w:val="ae"/>
          <w:rFonts w:asciiTheme="majorBidi" w:hAnsiTheme="majorBidi" w:cstheme="majorBidi"/>
        </w:rPr>
        <w:t>Manual burnout assessment tool (BAT)</w:t>
      </w:r>
      <w:r w:rsidRPr="00DE1AA7">
        <w:rPr>
          <w:rFonts w:asciiTheme="majorBidi" w:hAnsiTheme="majorBidi" w:cstheme="majorBidi"/>
        </w:rPr>
        <w:t>. KU Leuven.</w:t>
      </w:r>
    </w:p>
    <w:p w14:paraId="7023C7F4"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Sekaran, U., &amp; Bougie, R. (2016). </w:t>
      </w:r>
      <w:r w:rsidRPr="00DE1AA7">
        <w:rPr>
          <w:rStyle w:val="ae"/>
          <w:rFonts w:asciiTheme="majorBidi" w:hAnsiTheme="majorBidi" w:cstheme="majorBidi"/>
        </w:rPr>
        <w:t>Research methods for business: A skill-building approach</w:t>
      </w:r>
      <w:r w:rsidRPr="00DE1AA7">
        <w:rPr>
          <w:rFonts w:asciiTheme="majorBidi" w:hAnsiTheme="majorBidi" w:cstheme="majorBidi"/>
        </w:rPr>
        <w:t xml:space="preserve"> (7th ed.). John Wiley &amp; Sons.</w:t>
      </w:r>
    </w:p>
    <w:p w14:paraId="27BAD8D9"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Speicher, L. L., &amp; Francis, D. (2023). Improving employee experience: Reducing burnout, decreasing turnover and building well-being. </w:t>
      </w:r>
      <w:r w:rsidRPr="00DE1AA7">
        <w:rPr>
          <w:rStyle w:val="ae"/>
          <w:rFonts w:asciiTheme="majorBidi" w:hAnsiTheme="majorBidi" w:cstheme="majorBidi"/>
        </w:rPr>
        <w:t>Clinical Gastroenterology and Hepatology, 21</w:t>
      </w:r>
      <w:r w:rsidRPr="00DE1AA7">
        <w:rPr>
          <w:rFonts w:asciiTheme="majorBidi" w:hAnsiTheme="majorBidi" w:cstheme="majorBidi"/>
        </w:rPr>
        <w:t>(1), 11–14.</w:t>
      </w:r>
    </w:p>
    <w:p w14:paraId="461DC463"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lastRenderedPageBreak/>
        <w:t xml:space="preserve">Taris, T. W., &amp; Schreurs, P. J. (2009). Well-being and organizational performance: An organizational-level test of the happy-productive worker hypothesis. </w:t>
      </w:r>
      <w:r w:rsidRPr="00DE1AA7">
        <w:rPr>
          <w:rStyle w:val="ae"/>
          <w:rFonts w:asciiTheme="majorBidi" w:hAnsiTheme="majorBidi" w:cstheme="majorBidi"/>
        </w:rPr>
        <w:t>Work &amp; Stress, 23</w:t>
      </w:r>
      <w:r w:rsidRPr="00DE1AA7">
        <w:rPr>
          <w:rFonts w:asciiTheme="majorBidi" w:hAnsiTheme="majorBidi" w:cstheme="majorBidi"/>
        </w:rPr>
        <w:t>(2), 120–136.</w:t>
      </w:r>
    </w:p>
    <w:p w14:paraId="7F03F5B5" w14:textId="479DB6B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Tavakol, M., &amp; Dennick, R. (2011). Making sense of Cronbach’s alpha. </w:t>
      </w:r>
      <w:r w:rsidRPr="00DE1AA7">
        <w:rPr>
          <w:rStyle w:val="ae"/>
          <w:rFonts w:asciiTheme="majorBidi" w:hAnsiTheme="majorBidi" w:cstheme="majorBidi"/>
        </w:rPr>
        <w:t>International Journal of Medical Education, 2</w:t>
      </w:r>
      <w:r w:rsidRPr="00DE1AA7">
        <w:rPr>
          <w:rFonts w:asciiTheme="majorBidi" w:hAnsiTheme="majorBidi" w:cstheme="majorBidi"/>
        </w:rPr>
        <w:t xml:space="preserve">, 53–55. </w:t>
      </w:r>
      <w:hyperlink r:id="rId28" w:history="1">
        <w:r w:rsidR="00B31CB6" w:rsidRPr="004A3FE5">
          <w:rPr>
            <w:rStyle w:val="Hyperlink"/>
            <w:rFonts w:asciiTheme="majorBidi" w:hAnsiTheme="majorBidi" w:cstheme="majorBidi"/>
          </w:rPr>
          <w:t>https://doi.org/10.5116/ijme.4dfb.8dfd</w:t>
        </w:r>
      </w:hyperlink>
      <w:r w:rsidR="00B31CB6">
        <w:rPr>
          <w:rFonts w:asciiTheme="majorBidi" w:hAnsiTheme="majorBidi" w:cstheme="majorBidi"/>
        </w:rPr>
        <w:t xml:space="preserve"> </w:t>
      </w:r>
    </w:p>
    <w:p w14:paraId="55F62899"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Van De Voorde, K., Paauwe, J., &amp; Van Veldhoven, M. (2012). Employee well-being and the HRM-organizational performance relationship: A review of quantitative studies. </w:t>
      </w:r>
      <w:r w:rsidRPr="00DE1AA7">
        <w:rPr>
          <w:rStyle w:val="ae"/>
          <w:rFonts w:asciiTheme="majorBidi" w:hAnsiTheme="majorBidi" w:cstheme="majorBidi"/>
        </w:rPr>
        <w:t>International Journal of Management Reviews, 14</w:t>
      </w:r>
      <w:r w:rsidRPr="00DE1AA7">
        <w:rPr>
          <w:rFonts w:asciiTheme="majorBidi" w:hAnsiTheme="majorBidi" w:cstheme="majorBidi"/>
        </w:rPr>
        <w:t>(4), 391–407.</w:t>
      </w:r>
    </w:p>
    <w:p w14:paraId="5F805B8F"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Vuong, B., Tung, D., Tushar, H., Quan, T., &amp; Giao, H. (2021). Determinants of factors influencing job satisfaction and organizational loyalty. </w:t>
      </w:r>
      <w:r w:rsidRPr="00DE1AA7">
        <w:rPr>
          <w:rStyle w:val="ae"/>
          <w:rFonts w:asciiTheme="majorBidi" w:hAnsiTheme="majorBidi" w:cstheme="majorBidi"/>
        </w:rPr>
        <w:t>Management Science Letters, 11</w:t>
      </w:r>
      <w:r w:rsidRPr="00DE1AA7">
        <w:rPr>
          <w:rFonts w:asciiTheme="majorBidi" w:hAnsiTheme="majorBidi" w:cstheme="majorBidi"/>
        </w:rPr>
        <w:t>(1), 203–212.</w:t>
      </w:r>
    </w:p>
    <w:p w14:paraId="3258A6F6" w14:textId="51ACC0D1" w:rsidR="004E0A60" w:rsidRPr="00DE1AA7" w:rsidRDefault="004E0A60" w:rsidP="005C59EE">
      <w:pPr>
        <w:pStyle w:val="ac"/>
        <w:spacing w:line="360" w:lineRule="auto"/>
        <w:ind w:left="720" w:hanging="720"/>
        <w:rPr>
          <w:rFonts w:asciiTheme="majorBidi" w:hAnsiTheme="majorBidi" w:cstheme="majorBidi"/>
        </w:rPr>
      </w:pPr>
      <w:r w:rsidRPr="00DE1AA7">
        <w:rPr>
          <w:rFonts w:asciiTheme="majorBidi" w:hAnsiTheme="majorBidi" w:cstheme="majorBidi"/>
        </w:rPr>
        <w:t xml:space="preserve">World Health Organization. (2019). </w:t>
      </w:r>
      <w:r w:rsidRPr="00DE1AA7">
        <w:rPr>
          <w:rStyle w:val="ae"/>
          <w:rFonts w:asciiTheme="majorBidi" w:hAnsiTheme="majorBidi" w:cstheme="majorBidi"/>
        </w:rPr>
        <w:t>Burn-out an “occupational phenomenon”: International Classification of Diseases, 11th Revision (ICD-11)</w:t>
      </w:r>
      <w:r w:rsidRPr="00DE1AA7">
        <w:rPr>
          <w:rFonts w:asciiTheme="majorBidi" w:hAnsiTheme="majorBidi" w:cstheme="majorBidi"/>
        </w:rPr>
        <w:t xml:space="preserve">. </w:t>
      </w:r>
      <w:hyperlink r:id="rId29" w:history="1">
        <w:r w:rsidR="007D39F7" w:rsidRPr="004A3FE5">
          <w:rPr>
            <w:rStyle w:val="Hyperlink"/>
            <w:rFonts w:asciiTheme="majorBidi" w:hAnsiTheme="majorBidi" w:cstheme="majorBidi"/>
          </w:rPr>
          <w:t>https://www.who.int/news/item/28-05-2019-burn-out-an-occupational-phenomenon-international-classification-of-diseases</w:t>
        </w:r>
      </w:hyperlink>
      <w:r w:rsidR="007D39F7">
        <w:rPr>
          <w:rFonts w:asciiTheme="majorBidi" w:hAnsiTheme="majorBidi" w:cstheme="majorBidi"/>
        </w:rPr>
        <w:t xml:space="preserve"> </w:t>
      </w:r>
    </w:p>
    <w:p w14:paraId="0E09E990"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Zimmerman, B. J., Dubois, N., Houle, J., Lloyd, S., Mercier, C., Brousselle, A., et al. (2011). How does complexity impact evaluation? An introduction to the special issue. </w:t>
      </w:r>
      <w:r w:rsidRPr="00DE1AA7">
        <w:rPr>
          <w:rStyle w:val="ae"/>
          <w:rFonts w:asciiTheme="majorBidi" w:hAnsiTheme="majorBidi" w:cstheme="majorBidi"/>
        </w:rPr>
        <w:t>Canadian Journal of Program Evaluation, 26</w:t>
      </w:r>
      <w:r w:rsidRPr="00DE1AA7">
        <w:rPr>
          <w:rFonts w:asciiTheme="majorBidi" w:hAnsiTheme="majorBidi" w:cstheme="majorBidi"/>
        </w:rPr>
        <w:t>, 5–20.</w:t>
      </w:r>
    </w:p>
    <w:p w14:paraId="2D51E3A6" w14:textId="77777777" w:rsidR="00BD1526" w:rsidRPr="00DE1AA7" w:rsidRDefault="00BD1526" w:rsidP="00DE1AA7">
      <w:pPr>
        <w:bidi w:val="0"/>
        <w:spacing w:line="360" w:lineRule="auto"/>
        <w:rPr>
          <w:rFonts w:asciiTheme="majorBidi" w:hAnsiTheme="majorBidi" w:cstheme="majorBidi"/>
        </w:rPr>
      </w:pPr>
    </w:p>
    <w:p w14:paraId="399722D5" w14:textId="77777777" w:rsidR="00AB7263" w:rsidRPr="00DE1AA7" w:rsidRDefault="00AB7263" w:rsidP="00DE1AA7">
      <w:pPr>
        <w:bidi w:val="0"/>
        <w:spacing w:before="240" w:line="360" w:lineRule="auto"/>
        <w:rPr>
          <w:rFonts w:asciiTheme="majorBidi" w:hAnsiTheme="majorBidi" w:cstheme="majorBidi"/>
          <w:lang w:bidi="ar-YE"/>
        </w:rPr>
      </w:pPr>
    </w:p>
    <w:p w14:paraId="762022D0" w14:textId="77777777" w:rsidR="00EA7DE3" w:rsidRDefault="00EA7DE3" w:rsidP="00DE1AA7">
      <w:pPr>
        <w:bidi w:val="0"/>
        <w:spacing w:line="360" w:lineRule="auto"/>
        <w:rPr>
          <w:rFonts w:asciiTheme="majorBidi" w:hAnsiTheme="majorBidi" w:cstheme="majorBidi"/>
        </w:rPr>
      </w:pPr>
    </w:p>
    <w:p w14:paraId="49E472CF" w14:textId="77777777" w:rsidR="00EA7DE3" w:rsidRDefault="00EA7DE3">
      <w:pPr>
        <w:bidi w:val="0"/>
        <w:rPr>
          <w:rFonts w:asciiTheme="majorBidi" w:hAnsiTheme="majorBidi" w:cstheme="majorBidi"/>
        </w:rPr>
      </w:pPr>
      <w:r>
        <w:rPr>
          <w:rFonts w:asciiTheme="majorBidi" w:hAnsiTheme="majorBidi" w:cstheme="majorBidi"/>
        </w:rPr>
        <w:br w:type="page"/>
      </w:r>
    </w:p>
    <w:p w14:paraId="5C154298" w14:textId="77777777" w:rsidR="00FA1BFA" w:rsidRPr="00891197" w:rsidRDefault="00EA7DE3" w:rsidP="00891197">
      <w:pPr>
        <w:pStyle w:val="1"/>
        <w:rPr>
          <w:b/>
          <w:bCs/>
          <w:rtl/>
        </w:rPr>
      </w:pPr>
      <w:bookmarkStart w:id="60" w:name="_Toc235119070"/>
      <w:r w:rsidRPr="00891197">
        <w:rPr>
          <w:rFonts w:hint="cs"/>
          <w:b/>
          <w:bCs/>
          <w:rtl/>
        </w:rPr>
        <w:lastRenderedPageBreak/>
        <w:t>الملاحق</w:t>
      </w:r>
      <w:bookmarkEnd w:id="60"/>
      <w:r w:rsidRPr="00891197">
        <w:rPr>
          <w:rFonts w:hint="cs"/>
          <w:b/>
          <w:bCs/>
          <w:rtl/>
        </w:rPr>
        <w:t xml:space="preserve"> </w:t>
      </w:r>
    </w:p>
    <w:p w14:paraId="36A8A16D" w14:textId="77777777" w:rsidR="00EA7DE3" w:rsidRPr="00891197" w:rsidRDefault="006D3A2B" w:rsidP="00891197">
      <w:pPr>
        <w:pStyle w:val="2"/>
        <w:rPr>
          <w:b w:val="0"/>
          <w:bCs/>
          <w:rtl/>
        </w:rPr>
      </w:pPr>
      <w:bookmarkStart w:id="61" w:name="_Toc235119071"/>
      <w:r w:rsidRPr="00891197">
        <w:rPr>
          <w:rFonts w:hint="cs"/>
          <w:b w:val="0"/>
          <w:bCs/>
          <w:rtl/>
        </w:rPr>
        <w:t>ملحق (١): استبيان الدراسة</w:t>
      </w:r>
      <w:bookmarkEnd w:id="61"/>
      <w:r w:rsidRPr="00891197">
        <w:rPr>
          <w:rFonts w:hint="cs"/>
          <w:b w:val="0"/>
          <w:bCs/>
          <w:rtl/>
        </w:rPr>
        <w:t xml:space="preserve"> </w:t>
      </w:r>
    </w:p>
    <w:p w14:paraId="7E45B520" w14:textId="77777777" w:rsidR="00403FF2" w:rsidRPr="006F5388" w:rsidRDefault="00403FF2" w:rsidP="00B01EA5">
      <w:pPr>
        <w:rPr>
          <w:rFonts w:eastAsia="Times New Roman"/>
        </w:rPr>
      </w:pPr>
      <w:r w:rsidRPr="006F5388">
        <w:rPr>
          <w:rStyle w:val="ad"/>
          <w:rFonts w:asciiTheme="minorBidi" w:eastAsia="Times New Roman" w:hAnsiTheme="minorBidi" w:hint="cs"/>
          <w:sz w:val="36"/>
          <w:szCs w:val="36"/>
          <w:rtl/>
        </w:rPr>
        <w:t>ا</w:t>
      </w:r>
      <w:r w:rsidRPr="006F5388">
        <w:rPr>
          <w:rStyle w:val="ad"/>
          <w:rFonts w:asciiTheme="minorBidi" w:eastAsia="Times New Roman" w:hAnsiTheme="minorBidi"/>
          <w:sz w:val="36"/>
          <w:szCs w:val="36"/>
          <w:rtl/>
        </w:rPr>
        <w:t>ستبانة بحث ميداني</w:t>
      </w:r>
    </w:p>
    <w:p w14:paraId="5342875B" w14:textId="77777777" w:rsidR="00403FF2" w:rsidRPr="00C72D86" w:rsidRDefault="00403FF2" w:rsidP="00B01EA5">
      <w:pPr>
        <w:rPr>
          <w:rFonts w:eastAsia="Times New Roman"/>
        </w:rPr>
      </w:pPr>
      <w:r w:rsidRPr="00C72D86">
        <w:rPr>
          <w:rStyle w:val="ad"/>
          <w:rFonts w:asciiTheme="minorBidi" w:eastAsia="Times New Roman" w:hAnsiTheme="minorBidi"/>
          <w:color w:val="C00000"/>
          <w:rtl/>
        </w:rPr>
        <w:t>عنوان الدراسة:</w:t>
      </w:r>
    </w:p>
    <w:p w14:paraId="3A4F9C21" w14:textId="77777777" w:rsidR="00403FF2" w:rsidRDefault="00403FF2" w:rsidP="00B54325">
      <w:pPr>
        <w:rPr>
          <w:sz w:val="28"/>
          <w:szCs w:val="28"/>
          <w:rtl/>
        </w:rPr>
      </w:pPr>
      <w:r w:rsidRPr="00C72D86">
        <w:rPr>
          <w:color w:val="0070C0"/>
          <w:sz w:val="32"/>
          <w:szCs w:val="32"/>
          <w:rtl/>
        </w:rPr>
        <w:t>أثر التحول الصحي في المملكة العربية السعودية على بيئة العمل النفسية المستدامة ودور رفاهية الموظفين في تقليل الاحتراق الوظيفي</w:t>
      </w:r>
      <w:r w:rsidRPr="00C72D86">
        <w:rPr>
          <w:color w:val="0070C0"/>
          <w:sz w:val="32"/>
          <w:szCs w:val="32"/>
        </w:rPr>
        <w:br/>
      </w:r>
      <w:r w:rsidRPr="006F5388">
        <w:rPr>
          <w:sz w:val="28"/>
          <w:szCs w:val="28"/>
          <w:rtl/>
        </w:rPr>
        <w:t>(دراسة ميدانية على القطاع الصحي الحكومي بمدينة الرياض)</w:t>
      </w:r>
    </w:p>
    <w:p w14:paraId="1B257150" w14:textId="77777777" w:rsidR="00403FF2" w:rsidRPr="00FB7CC7" w:rsidRDefault="00403FF2" w:rsidP="00B01EA5">
      <w:pPr>
        <w:rPr>
          <w:sz w:val="28"/>
          <w:szCs w:val="28"/>
          <w:rtl/>
        </w:rPr>
      </w:pPr>
      <w:r w:rsidRPr="00FB7CC7">
        <w:rPr>
          <w:sz w:val="28"/>
          <w:szCs w:val="28"/>
          <w:rtl/>
        </w:rPr>
        <w:t>عزيزي المشارك/ عزيزتي المشاركة،</w:t>
      </w:r>
    </w:p>
    <w:p w14:paraId="0678BCF1" w14:textId="77777777" w:rsidR="00403FF2" w:rsidRPr="006F5388" w:rsidRDefault="00403FF2" w:rsidP="00B01EA5">
      <w:pPr>
        <w:rPr>
          <w:sz w:val="28"/>
          <w:szCs w:val="28"/>
          <w:rtl/>
        </w:rPr>
      </w:pPr>
      <w:r w:rsidRPr="006F5388">
        <w:rPr>
          <w:sz w:val="28"/>
          <w:szCs w:val="28"/>
          <w:rtl/>
        </w:rPr>
        <w:t xml:space="preserve">يُجري الباحث هذه الدراسة في إطار بحث علمي يهدف إلى </w:t>
      </w:r>
      <w:r w:rsidRPr="006F5388">
        <w:rPr>
          <w:rStyle w:val="ad"/>
          <w:rFonts w:asciiTheme="minorBidi" w:hAnsiTheme="minorBidi"/>
          <w:b w:val="0"/>
          <w:bCs w:val="0"/>
          <w:sz w:val="28"/>
          <w:szCs w:val="28"/>
          <w:rtl/>
        </w:rPr>
        <w:t>تحليل أثر التحول الصحي في المملكة العربية السعودية على بيئة العمل النفسية المستدامة، ودور رفاهية الموظفين في الحد من الاحتراق الوظيفي</w:t>
      </w:r>
      <w:r w:rsidRPr="006F5388">
        <w:rPr>
          <w:sz w:val="28"/>
          <w:szCs w:val="28"/>
          <w:rtl/>
        </w:rPr>
        <w:t xml:space="preserve"> في القطاع الصحي الحكومي بمدينة الرياض.</w:t>
      </w:r>
    </w:p>
    <w:p w14:paraId="60F529D6" w14:textId="77777777" w:rsidR="00403FF2" w:rsidRDefault="00403FF2" w:rsidP="00B01EA5">
      <w:pPr>
        <w:rPr>
          <w:sz w:val="28"/>
          <w:szCs w:val="28"/>
          <w:rtl/>
        </w:rPr>
      </w:pPr>
      <w:r w:rsidRPr="006F5388">
        <w:rPr>
          <w:sz w:val="28"/>
          <w:szCs w:val="28"/>
          <w:rtl/>
        </w:rPr>
        <w:t>تهدف مشاركتك إلى دعم الجهود العلمية الرامية إلى تطوير بيئة العمل في المؤسسات الصحية.</w:t>
      </w:r>
    </w:p>
    <w:p w14:paraId="3852F11A" w14:textId="77777777" w:rsidR="00403FF2" w:rsidRPr="006F5388" w:rsidRDefault="00403FF2" w:rsidP="00B01EA5">
      <w:pPr>
        <w:rPr>
          <w:sz w:val="28"/>
          <w:szCs w:val="28"/>
          <w:rtl/>
        </w:rPr>
      </w:pPr>
      <w:r w:rsidRPr="006F5388">
        <w:rPr>
          <w:sz w:val="28"/>
          <w:szCs w:val="28"/>
          <w:rtl/>
        </w:rPr>
        <w:t>تُجمع البيانات بسرية تامة ولن تُستخدم إلا لأغراض البحث العلمي.</w:t>
      </w:r>
    </w:p>
    <w:p w14:paraId="60F83DAC" w14:textId="77777777" w:rsidR="00403FF2" w:rsidRPr="006F5388" w:rsidRDefault="00403FF2" w:rsidP="00B54325">
      <w:pPr>
        <w:rPr>
          <w:sz w:val="28"/>
          <w:szCs w:val="28"/>
          <w:rtl/>
        </w:rPr>
      </w:pPr>
      <w:r w:rsidRPr="006F5388">
        <w:rPr>
          <w:sz w:val="28"/>
          <w:szCs w:val="28"/>
          <w:rtl/>
        </w:rPr>
        <w:t>يرجى الإجابة على جميع العبارات والأسئلة بكل موضوعية وشفافية، حيث لا توجد إجابة صحيحة أو خاطئة، بل المطلوب هو رأيك الشخصي فقط.</w:t>
      </w:r>
    </w:p>
    <w:p w14:paraId="2E62D769" w14:textId="77777777" w:rsidR="00403FF2" w:rsidRPr="00FB7CC7" w:rsidRDefault="00403FF2" w:rsidP="00B01EA5">
      <w:pPr>
        <w:rPr>
          <w:sz w:val="28"/>
          <w:szCs w:val="28"/>
          <w:rtl/>
        </w:rPr>
      </w:pPr>
      <w:r w:rsidRPr="00FB7CC7">
        <w:rPr>
          <w:sz w:val="28"/>
          <w:szCs w:val="28"/>
          <w:rtl/>
        </w:rPr>
        <w:t>شكرًا مقدمًا على وقتك ومساهمتك القيّمة.</w:t>
      </w:r>
    </w:p>
    <w:p w14:paraId="20EEAE83" w14:textId="77777777" w:rsidR="00403FF2" w:rsidRPr="006F5388" w:rsidRDefault="00403FF2" w:rsidP="00B01EA5">
      <w:pPr>
        <w:rPr>
          <w:kern w:val="0"/>
          <w:sz w:val="28"/>
          <w:szCs w:val="28"/>
          <w:rtl/>
          <w14:ligatures w14:val="none"/>
        </w:rPr>
      </w:pPr>
      <w:r w:rsidRPr="006F5388">
        <w:rPr>
          <w:sz w:val="28"/>
          <w:szCs w:val="28"/>
          <w:rtl/>
        </w:rPr>
        <w:br w:type="page"/>
      </w:r>
    </w:p>
    <w:p w14:paraId="7FA9A97C" w14:textId="77777777" w:rsidR="00403FF2" w:rsidRPr="00E37091" w:rsidRDefault="00403FF2" w:rsidP="00B01EA5">
      <w:pPr>
        <w:rPr>
          <w:rFonts w:eastAsia="Times New Roman"/>
          <w:rtl/>
        </w:rPr>
      </w:pPr>
      <w:r w:rsidRPr="00E37091">
        <w:rPr>
          <w:rStyle w:val="ad"/>
          <w:rFonts w:asciiTheme="minorBidi" w:eastAsia="Times New Roman" w:hAnsiTheme="minorBidi"/>
          <w:rtl/>
        </w:rPr>
        <w:lastRenderedPageBreak/>
        <w:t>القسم الأول: البيانات الديموغرافية</w:t>
      </w:r>
    </w:p>
    <w:p w14:paraId="2AD7E858" w14:textId="77777777" w:rsidR="00403FF2" w:rsidRPr="00577C52" w:rsidRDefault="00403FF2" w:rsidP="00B01EA5"/>
    <w:p w14:paraId="37F939D5" w14:textId="77777777" w:rsidR="00403FF2" w:rsidRPr="006F5388" w:rsidRDefault="00403FF2" w:rsidP="00B01EA5">
      <w:pPr>
        <w:rPr>
          <w:sz w:val="28"/>
          <w:szCs w:val="28"/>
        </w:rPr>
      </w:pPr>
      <w:r w:rsidRPr="00E37091">
        <w:rPr>
          <w:sz w:val="28"/>
          <w:szCs w:val="28"/>
          <w:rtl/>
        </w:rPr>
        <w:t>يرجى اختيار الإجابة المناسبة:</w:t>
      </w:r>
    </w:p>
    <w:p w14:paraId="6F2C6D41"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الجنس: </w:t>
      </w:r>
    </w:p>
    <w:p w14:paraId="16683E6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ذكر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أنثى</w:t>
      </w:r>
    </w:p>
    <w:p w14:paraId="382E4BD5"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العمر: </w:t>
      </w:r>
    </w:p>
    <w:p w14:paraId="63200B7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أقل من 30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30–39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40–49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50 فأكثر</w:t>
      </w:r>
    </w:p>
    <w:p w14:paraId="5F657D78"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المؤهل العلمي: </w:t>
      </w:r>
    </w:p>
    <w:p w14:paraId="538B543C" w14:textId="77777777"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دبلوم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بكالوريوس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ماجستير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دكتوراه</w:t>
      </w:r>
    </w:p>
    <w:p w14:paraId="232B745D"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المسمى الوظيفي: </w:t>
      </w:r>
    </w:p>
    <w:p w14:paraId="551BE335" w14:textId="77777777"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طبيب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ممرض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إداري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فني</w:t>
      </w:r>
    </w:p>
    <w:p w14:paraId="29E856C6" w14:textId="77777777" w:rsidR="00403FF2" w:rsidRPr="00C00035" w:rsidRDefault="00403FF2" w:rsidP="00B01EA5">
      <w:pPr>
        <w:rPr>
          <w:rFonts w:eastAsia="Times New Roman"/>
          <w:sz w:val="28"/>
          <w:szCs w:val="28"/>
        </w:rPr>
      </w:pPr>
      <w:r w:rsidRPr="00C00035">
        <w:rPr>
          <w:rFonts w:eastAsia="Times New Roman"/>
          <w:sz w:val="28"/>
          <w:szCs w:val="28"/>
          <w:rtl/>
        </w:rPr>
        <w:t xml:space="preserve">سنوات الخبرة: </w:t>
      </w:r>
    </w:p>
    <w:p w14:paraId="5155C0B2" w14:textId="77777777"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أقل من 5 سنوات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5–10 سنوات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أكثر من 10 سنوات</w:t>
      </w:r>
    </w:p>
    <w:p w14:paraId="61CE538A"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الحالة الاجتماعية: </w:t>
      </w:r>
    </w:p>
    <w:p w14:paraId="4367BE08" w14:textId="77777777"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أعزب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متزوج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أخرى</w:t>
      </w:r>
    </w:p>
    <w:p w14:paraId="7DF21E22" w14:textId="77777777" w:rsidR="00403FF2" w:rsidRPr="00C00035" w:rsidRDefault="00403FF2" w:rsidP="00B01EA5">
      <w:pPr>
        <w:rPr>
          <w:rFonts w:eastAsia="Times New Roman"/>
          <w:sz w:val="28"/>
          <w:szCs w:val="28"/>
        </w:rPr>
      </w:pPr>
      <w:r w:rsidRPr="00C00035">
        <w:rPr>
          <w:rFonts w:eastAsia="Times New Roman"/>
          <w:sz w:val="28"/>
          <w:szCs w:val="28"/>
          <w:rtl/>
        </w:rPr>
        <w:t xml:space="preserve">متوسط الدخل الشهري: </w:t>
      </w:r>
    </w:p>
    <w:p w14:paraId="4C7AE76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أقل من 7000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7000–12000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أكثر من 12000</w:t>
      </w:r>
    </w:p>
    <w:p w14:paraId="220C2739" w14:textId="77777777" w:rsidR="00403FF2" w:rsidRPr="006F5388" w:rsidRDefault="00403FF2" w:rsidP="00B01EA5">
      <w:pPr>
        <w:rPr>
          <w:sz w:val="28"/>
          <w:szCs w:val="28"/>
          <w:rtl/>
        </w:rPr>
      </w:pPr>
    </w:p>
    <w:p w14:paraId="47497027" w14:textId="77777777" w:rsidR="00403FF2" w:rsidRPr="006F5388" w:rsidRDefault="00403FF2" w:rsidP="00B01EA5">
      <w:pPr>
        <w:rPr>
          <w:kern w:val="0"/>
          <w:sz w:val="28"/>
          <w:szCs w:val="28"/>
          <w:rtl/>
          <w14:ligatures w14:val="none"/>
        </w:rPr>
      </w:pPr>
      <w:r w:rsidRPr="006F5388">
        <w:rPr>
          <w:sz w:val="28"/>
          <w:szCs w:val="28"/>
          <w:rtl/>
        </w:rPr>
        <w:br w:type="page"/>
      </w:r>
    </w:p>
    <w:p w14:paraId="676055B7" w14:textId="77777777" w:rsidR="00403FF2" w:rsidRPr="00C53193" w:rsidRDefault="00403FF2" w:rsidP="00B01EA5">
      <w:pPr>
        <w:rPr>
          <w:rStyle w:val="ad"/>
          <w:rFonts w:asciiTheme="minorBidi" w:eastAsia="Times New Roman" w:hAnsiTheme="minorBidi"/>
          <w:sz w:val="32"/>
          <w:szCs w:val="32"/>
          <w:rtl/>
        </w:rPr>
      </w:pPr>
      <w:r w:rsidRPr="00C53193">
        <w:rPr>
          <w:rStyle w:val="ad"/>
          <w:rFonts w:asciiTheme="minorBidi" w:eastAsia="Times New Roman" w:hAnsiTheme="minorBidi"/>
          <w:sz w:val="32"/>
          <w:szCs w:val="32"/>
          <w:rtl/>
        </w:rPr>
        <w:lastRenderedPageBreak/>
        <w:t xml:space="preserve">القسم الثاني: </w:t>
      </w:r>
    </w:p>
    <w:p w14:paraId="75C54D9B" w14:textId="77777777" w:rsidR="00403FF2" w:rsidRPr="00C53193" w:rsidRDefault="00403FF2" w:rsidP="00B01EA5">
      <w:pPr>
        <w:rPr>
          <w:sz w:val="28"/>
          <w:szCs w:val="28"/>
          <w:rtl/>
        </w:rPr>
      </w:pPr>
      <w:r w:rsidRPr="00C53193">
        <w:rPr>
          <w:rStyle w:val="ad"/>
          <w:rFonts w:asciiTheme="minorBidi" w:eastAsia="Times New Roman" w:hAnsiTheme="minorBidi"/>
          <w:sz w:val="28"/>
          <w:szCs w:val="28"/>
          <w:rtl/>
        </w:rPr>
        <w:t>المحور الأول: التحول الصحي</w:t>
      </w:r>
    </w:p>
    <w:p w14:paraId="2D3F2460" w14:textId="77777777" w:rsidR="00403FF2" w:rsidRPr="006F5388" w:rsidRDefault="00403FF2" w:rsidP="00B54325">
      <w:pPr>
        <w:rPr>
          <w:sz w:val="28"/>
          <w:szCs w:val="28"/>
          <w:rtl/>
        </w:rPr>
      </w:pPr>
      <w:r w:rsidRPr="006F5388">
        <w:rPr>
          <w:sz w:val="28"/>
          <w:szCs w:val="28"/>
          <w:rtl/>
        </w:rPr>
        <w:t>هذا المحور يهدف إلى قياس إدراك العاملين لمستوى تطبيق مبادرات التحول الصحي في مؤسساتهم.</w:t>
      </w:r>
    </w:p>
    <w:tbl>
      <w:tblPr>
        <w:tblStyle w:val="af"/>
        <w:bidiVisual/>
        <w:tblW w:w="0" w:type="auto"/>
        <w:tblLook w:val="04A0" w:firstRow="1" w:lastRow="0" w:firstColumn="1" w:lastColumn="0" w:noHBand="0" w:noVBand="1"/>
      </w:tblPr>
      <w:tblGrid>
        <w:gridCol w:w="372"/>
        <w:gridCol w:w="4348"/>
        <w:gridCol w:w="1106"/>
        <w:gridCol w:w="828"/>
        <w:gridCol w:w="702"/>
        <w:gridCol w:w="691"/>
        <w:gridCol w:w="969"/>
      </w:tblGrid>
      <w:tr w:rsidR="00403FF2" w:rsidRPr="006F5388" w14:paraId="142EE2F2" w14:textId="77777777" w:rsidTr="00BD5864">
        <w:tc>
          <w:tcPr>
            <w:tcW w:w="0" w:type="auto"/>
            <w:vAlign w:val="center"/>
          </w:tcPr>
          <w:p w14:paraId="6A635475" w14:textId="77777777" w:rsidR="00403FF2" w:rsidRPr="006F5388" w:rsidRDefault="00403FF2" w:rsidP="00B01EA5">
            <w:pPr>
              <w:rPr>
                <w:sz w:val="28"/>
                <w:szCs w:val="28"/>
                <w:rtl/>
              </w:rPr>
            </w:pPr>
            <w:r w:rsidRPr="006F5388">
              <w:rPr>
                <w:rFonts w:eastAsia="Times New Roman"/>
                <w:sz w:val="28"/>
                <w:szCs w:val="28"/>
                <w:rtl/>
              </w:rPr>
              <w:t>#</w:t>
            </w:r>
          </w:p>
        </w:tc>
        <w:tc>
          <w:tcPr>
            <w:tcW w:w="0" w:type="auto"/>
            <w:vAlign w:val="center"/>
          </w:tcPr>
          <w:p w14:paraId="7FAC07AF" w14:textId="77777777" w:rsidR="00403FF2" w:rsidRPr="006F5388" w:rsidRDefault="00403FF2" w:rsidP="00B01EA5">
            <w:pPr>
              <w:rPr>
                <w:sz w:val="28"/>
                <w:szCs w:val="28"/>
                <w:rtl/>
              </w:rPr>
            </w:pPr>
            <w:r w:rsidRPr="006F5388">
              <w:rPr>
                <w:rFonts w:eastAsia="Times New Roman"/>
                <w:sz w:val="28"/>
                <w:szCs w:val="28"/>
                <w:rtl/>
              </w:rPr>
              <w:t>العبارة</w:t>
            </w:r>
          </w:p>
        </w:tc>
        <w:tc>
          <w:tcPr>
            <w:tcW w:w="0" w:type="auto"/>
            <w:vAlign w:val="center"/>
          </w:tcPr>
          <w:p w14:paraId="05AFB618" w14:textId="77777777" w:rsidR="00403FF2" w:rsidRPr="006F5388" w:rsidRDefault="00403FF2" w:rsidP="00B01EA5">
            <w:pPr>
              <w:rPr>
                <w:rFonts w:eastAsia="Times New Roman"/>
                <w:sz w:val="28"/>
                <w:szCs w:val="28"/>
              </w:rPr>
            </w:pPr>
            <w:r w:rsidRPr="006F5388">
              <w:rPr>
                <w:rFonts w:eastAsia="Times New Roman"/>
                <w:sz w:val="28"/>
                <w:szCs w:val="28"/>
                <w:rtl/>
              </w:rPr>
              <w:t>لا أوافق بشدة</w:t>
            </w:r>
          </w:p>
        </w:tc>
        <w:tc>
          <w:tcPr>
            <w:tcW w:w="0" w:type="auto"/>
            <w:vAlign w:val="center"/>
          </w:tcPr>
          <w:p w14:paraId="40E97163" w14:textId="77777777" w:rsidR="00403FF2" w:rsidRPr="006F5388" w:rsidRDefault="00403FF2" w:rsidP="00B01EA5">
            <w:pPr>
              <w:rPr>
                <w:rFonts w:eastAsia="Times New Roman"/>
                <w:sz w:val="28"/>
                <w:szCs w:val="28"/>
              </w:rPr>
            </w:pPr>
            <w:r w:rsidRPr="006F5388">
              <w:rPr>
                <w:rFonts w:eastAsia="Times New Roman"/>
                <w:sz w:val="28"/>
                <w:szCs w:val="28"/>
                <w:rtl/>
              </w:rPr>
              <w:t>لا أوافق</w:t>
            </w:r>
          </w:p>
        </w:tc>
        <w:tc>
          <w:tcPr>
            <w:tcW w:w="0" w:type="auto"/>
            <w:vAlign w:val="center"/>
          </w:tcPr>
          <w:p w14:paraId="56AFC56B" w14:textId="77777777" w:rsidR="00403FF2" w:rsidRPr="006F5388" w:rsidRDefault="00403FF2" w:rsidP="00B01EA5">
            <w:pPr>
              <w:rPr>
                <w:rFonts w:eastAsia="Times New Roman"/>
                <w:sz w:val="28"/>
                <w:szCs w:val="28"/>
              </w:rPr>
            </w:pPr>
            <w:r w:rsidRPr="006F5388">
              <w:rPr>
                <w:rFonts w:eastAsia="Times New Roman"/>
                <w:sz w:val="28"/>
                <w:szCs w:val="28"/>
                <w:rtl/>
              </w:rPr>
              <w:t>محايد</w:t>
            </w:r>
          </w:p>
        </w:tc>
        <w:tc>
          <w:tcPr>
            <w:tcW w:w="0" w:type="auto"/>
            <w:vAlign w:val="center"/>
          </w:tcPr>
          <w:p w14:paraId="30358DA3" w14:textId="77777777" w:rsidR="00403FF2" w:rsidRPr="006F5388" w:rsidRDefault="00403FF2" w:rsidP="00B01EA5">
            <w:pPr>
              <w:rPr>
                <w:rFonts w:eastAsia="Times New Roman"/>
                <w:sz w:val="28"/>
                <w:szCs w:val="28"/>
              </w:rPr>
            </w:pPr>
            <w:r w:rsidRPr="006F5388">
              <w:rPr>
                <w:rFonts w:eastAsia="Times New Roman"/>
                <w:sz w:val="28"/>
                <w:szCs w:val="28"/>
                <w:rtl/>
              </w:rPr>
              <w:t>أوافق</w:t>
            </w:r>
          </w:p>
        </w:tc>
        <w:tc>
          <w:tcPr>
            <w:tcW w:w="0" w:type="auto"/>
            <w:vAlign w:val="center"/>
          </w:tcPr>
          <w:p w14:paraId="1187720C" w14:textId="77777777" w:rsidR="00403FF2" w:rsidRPr="006F5388" w:rsidRDefault="00403FF2" w:rsidP="00B01EA5">
            <w:pPr>
              <w:rPr>
                <w:sz w:val="28"/>
                <w:szCs w:val="28"/>
                <w:rtl/>
              </w:rPr>
            </w:pPr>
            <w:r w:rsidRPr="006F5388">
              <w:rPr>
                <w:rFonts w:eastAsia="Times New Roman"/>
                <w:sz w:val="28"/>
                <w:szCs w:val="28"/>
                <w:rtl/>
              </w:rPr>
              <w:t>أوافق بشدة</w:t>
            </w:r>
          </w:p>
        </w:tc>
      </w:tr>
      <w:tr w:rsidR="00403FF2" w:rsidRPr="006F5388" w14:paraId="2C281ED0" w14:textId="77777777" w:rsidTr="00BD5864">
        <w:tc>
          <w:tcPr>
            <w:tcW w:w="0" w:type="auto"/>
            <w:vAlign w:val="center"/>
          </w:tcPr>
          <w:p w14:paraId="65C5144F" w14:textId="77777777" w:rsidR="00403FF2" w:rsidRPr="006F5388" w:rsidRDefault="00403FF2" w:rsidP="00B01EA5">
            <w:pPr>
              <w:rPr>
                <w:sz w:val="28"/>
                <w:szCs w:val="28"/>
                <w:rtl/>
              </w:rPr>
            </w:pPr>
            <w:r w:rsidRPr="006F5388">
              <w:rPr>
                <w:rFonts w:eastAsia="Times New Roman"/>
                <w:sz w:val="28"/>
                <w:szCs w:val="28"/>
              </w:rPr>
              <w:t>1</w:t>
            </w:r>
          </w:p>
        </w:tc>
        <w:tc>
          <w:tcPr>
            <w:tcW w:w="0" w:type="auto"/>
            <w:vAlign w:val="center"/>
          </w:tcPr>
          <w:p w14:paraId="54A915F5" w14:textId="77777777" w:rsidR="00403FF2" w:rsidRPr="006F5388" w:rsidRDefault="00403FF2" w:rsidP="00B01EA5">
            <w:pPr>
              <w:rPr>
                <w:sz w:val="28"/>
                <w:szCs w:val="28"/>
                <w:rtl/>
              </w:rPr>
            </w:pPr>
            <w:r w:rsidRPr="006F5388">
              <w:rPr>
                <w:rFonts w:eastAsia="Times New Roman"/>
                <w:sz w:val="28"/>
                <w:szCs w:val="28"/>
                <w:rtl/>
              </w:rPr>
              <w:t>برامج التحول الصحي ساهمت في رفع جودة الخدمات المقدمة للمرضى.</w:t>
            </w:r>
          </w:p>
        </w:tc>
        <w:tc>
          <w:tcPr>
            <w:tcW w:w="0" w:type="auto"/>
            <w:vAlign w:val="center"/>
          </w:tcPr>
          <w:p w14:paraId="75BC2A1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EA8EA7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1378CC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B218FC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196AAEE"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4B37E365" w14:textId="77777777" w:rsidTr="00BD5864">
        <w:tc>
          <w:tcPr>
            <w:tcW w:w="0" w:type="auto"/>
            <w:vAlign w:val="center"/>
          </w:tcPr>
          <w:p w14:paraId="1A32EDCD" w14:textId="77777777" w:rsidR="00403FF2" w:rsidRPr="006F5388" w:rsidRDefault="00403FF2" w:rsidP="00B01EA5">
            <w:pPr>
              <w:rPr>
                <w:sz w:val="28"/>
                <w:szCs w:val="28"/>
                <w:rtl/>
              </w:rPr>
            </w:pPr>
            <w:r w:rsidRPr="006F5388">
              <w:rPr>
                <w:rFonts w:eastAsia="Times New Roman"/>
                <w:sz w:val="28"/>
                <w:szCs w:val="28"/>
              </w:rPr>
              <w:t>2</w:t>
            </w:r>
          </w:p>
        </w:tc>
        <w:tc>
          <w:tcPr>
            <w:tcW w:w="0" w:type="auto"/>
            <w:vAlign w:val="center"/>
          </w:tcPr>
          <w:p w14:paraId="2ED99BF4" w14:textId="77777777" w:rsidR="00403FF2" w:rsidRPr="006F5388" w:rsidRDefault="00403FF2" w:rsidP="00B01EA5">
            <w:pPr>
              <w:rPr>
                <w:sz w:val="28"/>
                <w:szCs w:val="28"/>
                <w:rtl/>
              </w:rPr>
            </w:pPr>
            <w:r w:rsidRPr="006F5388">
              <w:rPr>
                <w:rFonts w:eastAsia="Times New Roman"/>
                <w:sz w:val="28"/>
                <w:szCs w:val="28"/>
                <w:rtl/>
              </w:rPr>
              <w:t>التحول الصحي ساعد في تحسين الكفاءة التشغيلية للمؤسسات الصحية.</w:t>
            </w:r>
          </w:p>
        </w:tc>
        <w:tc>
          <w:tcPr>
            <w:tcW w:w="0" w:type="auto"/>
            <w:vAlign w:val="center"/>
          </w:tcPr>
          <w:p w14:paraId="6D40A83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483531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D17DA9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729E45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D2ABA3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95F6969" w14:textId="77777777" w:rsidTr="00BD5864">
        <w:tc>
          <w:tcPr>
            <w:tcW w:w="0" w:type="auto"/>
            <w:vAlign w:val="center"/>
          </w:tcPr>
          <w:p w14:paraId="3A1B71BC" w14:textId="77777777" w:rsidR="00403FF2" w:rsidRPr="006F5388" w:rsidRDefault="00403FF2" w:rsidP="00B01EA5">
            <w:pPr>
              <w:rPr>
                <w:rFonts w:eastAsia="Times New Roman"/>
                <w:sz w:val="28"/>
                <w:szCs w:val="28"/>
              </w:rPr>
            </w:pPr>
            <w:r w:rsidRPr="006F5388">
              <w:rPr>
                <w:rFonts w:eastAsia="Times New Roman"/>
                <w:sz w:val="28"/>
                <w:szCs w:val="28"/>
              </w:rPr>
              <w:t>3</w:t>
            </w:r>
          </w:p>
        </w:tc>
        <w:tc>
          <w:tcPr>
            <w:tcW w:w="0" w:type="auto"/>
            <w:vAlign w:val="center"/>
          </w:tcPr>
          <w:p w14:paraId="49E6FD2E" w14:textId="77777777" w:rsidR="00403FF2" w:rsidRPr="006F5388" w:rsidRDefault="00403FF2" w:rsidP="00B01EA5">
            <w:pPr>
              <w:rPr>
                <w:sz w:val="28"/>
                <w:szCs w:val="28"/>
                <w:rtl/>
              </w:rPr>
            </w:pPr>
            <w:r w:rsidRPr="006F5388">
              <w:rPr>
                <w:rFonts w:eastAsia="Times New Roman"/>
                <w:sz w:val="28"/>
                <w:szCs w:val="28"/>
                <w:rtl/>
              </w:rPr>
              <w:t>تتبنى منشأتي مبادرات رقمية متقدمة في الخدمات الصحية والإدارية.</w:t>
            </w:r>
          </w:p>
        </w:tc>
        <w:tc>
          <w:tcPr>
            <w:tcW w:w="0" w:type="auto"/>
            <w:vAlign w:val="center"/>
          </w:tcPr>
          <w:p w14:paraId="3D8BBD4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4E9386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22527D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677842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215CCD3"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3E0043E" w14:textId="77777777" w:rsidTr="00BD5864">
        <w:tc>
          <w:tcPr>
            <w:tcW w:w="0" w:type="auto"/>
            <w:vAlign w:val="center"/>
          </w:tcPr>
          <w:p w14:paraId="7C5BA1CE" w14:textId="77777777" w:rsidR="00403FF2" w:rsidRPr="006F5388" w:rsidRDefault="00403FF2" w:rsidP="00B01EA5">
            <w:pPr>
              <w:rPr>
                <w:rFonts w:eastAsia="Times New Roman"/>
                <w:sz w:val="28"/>
                <w:szCs w:val="28"/>
              </w:rPr>
            </w:pPr>
            <w:r w:rsidRPr="006F5388">
              <w:rPr>
                <w:rFonts w:eastAsia="Times New Roman"/>
                <w:sz w:val="28"/>
                <w:szCs w:val="28"/>
              </w:rPr>
              <w:t>4</w:t>
            </w:r>
          </w:p>
        </w:tc>
        <w:tc>
          <w:tcPr>
            <w:tcW w:w="0" w:type="auto"/>
            <w:vAlign w:val="center"/>
          </w:tcPr>
          <w:p w14:paraId="625B69AC" w14:textId="77777777" w:rsidR="00403FF2" w:rsidRPr="006F5388" w:rsidRDefault="00403FF2" w:rsidP="00B01EA5">
            <w:pPr>
              <w:rPr>
                <w:sz w:val="28"/>
                <w:szCs w:val="28"/>
                <w:rtl/>
              </w:rPr>
            </w:pPr>
            <w:r w:rsidRPr="006F5388">
              <w:rPr>
                <w:rFonts w:eastAsia="Times New Roman"/>
                <w:sz w:val="28"/>
                <w:szCs w:val="28"/>
                <w:rtl/>
              </w:rPr>
              <w:t>التحول الصحي عزز من ممارسات الحوكمة والشفافية في العمل.</w:t>
            </w:r>
          </w:p>
        </w:tc>
        <w:tc>
          <w:tcPr>
            <w:tcW w:w="0" w:type="auto"/>
            <w:vAlign w:val="center"/>
          </w:tcPr>
          <w:p w14:paraId="67F1E5D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60B5AB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CA3469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ED7E63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BA7EA9B"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F2438A5" w14:textId="77777777" w:rsidTr="00BD5864">
        <w:tc>
          <w:tcPr>
            <w:tcW w:w="0" w:type="auto"/>
            <w:vAlign w:val="center"/>
          </w:tcPr>
          <w:p w14:paraId="140F8063" w14:textId="77777777" w:rsidR="00403FF2" w:rsidRPr="006F5388" w:rsidRDefault="00403FF2" w:rsidP="00B01EA5">
            <w:pPr>
              <w:rPr>
                <w:rFonts w:eastAsia="Times New Roman"/>
                <w:sz w:val="28"/>
                <w:szCs w:val="28"/>
              </w:rPr>
            </w:pPr>
            <w:r w:rsidRPr="006F5388">
              <w:rPr>
                <w:rFonts w:eastAsia="Times New Roman"/>
                <w:sz w:val="28"/>
                <w:szCs w:val="28"/>
              </w:rPr>
              <w:t>5</w:t>
            </w:r>
          </w:p>
        </w:tc>
        <w:tc>
          <w:tcPr>
            <w:tcW w:w="0" w:type="auto"/>
            <w:vAlign w:val="center"/>
          </w:tcPr>
          <w:p w14:paraId="31BD22D8" w14:textId="77777777" w:rsidR="00403FF2" w:rsidRPr="006F5388" w:rsidRDefault="00403FF2" w:rsidP="00B01EA5">
            <w:pPr>
              <w:rPr>
                <w:sz w:val="28"/>
                <w:szCs w:val="28"/>
                <w:rtl/>
              </w:rPr>
            </w:pPr>
            <w:r w:rsidRPr="006F5388">
              <w:rPr>
                <w:rFonts w:eastAsia="Times New Roman"/>
                <w:sz w:val="28"/>
                <w:szCs w:val="28"/>
                <w:rtl/>
              </w:rPr>
              <w:t>أشعر أن التحول الصحي خلق بيئة عمل أكثر تنظيمًا وتحفيزًا.</w:t>
            </w:r>
          </w:p>
        </w:tc>
        <w:tc>
          <w:tcPr>
            <w:tcW w:w="0" w:type="auto"/>
            <w:vAlign w:val="center"/>
          </w:tcPr>
          <w:p w14:paraId="3FEE79E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AC69C8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06FE78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012AD0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78547E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6D44F8F6" w14:textId="77777777" w:rsidTr="00BD5864">
        <w:tc>
          <w:tcPr>
            <w:tcW w:w="0" w:type="auto"/>
            <w:vAlign w:val="center"/>
          </w:tcPr>
          <w:p w14:paraId="7B9DCF9B" w14:textId="77777777" w:rsidR="00403FF2" w:rsidRPr="006F5388" w:rsidRDefault="00403FF2" w:rsidP="00B01EA5">
            <w:pPr>
              <w:rPr>
                <w:rFonts w:eastAsia="Times New Roman"/>
                <w:sz w:val="28"/>
                <w:szCs w:val="28"/>
              </w:rPr>
            </w:pPr>
            <w:r w:rsidRPr="006F5388">
              <w:rPr>
                <w:rFonts w:eastAsia="Times New Roman"/>
                <w:sz w:val="28"/>
                <w:szCs w:val="28"/>
              </w:rPr>
              <w:t>6</w:t>
            </w:r>
          </w:p>
        </w:tc>
        <w:tc>
          <w:tcPr>
            <w:tcW w:w="0" w:type="auto"/>
            <w:vAlign w:val="center"/>
          </w:tcPr>
          <w:p w14:paraId="703259F4" w14:textId="77777777" w:rsidR="00403FF2" w:rsidRPr="006F5388" w:rsidRDefault="00403FF2" w:rsidP="00B01EA5">
            <w:pPr>
              <w:rPr>
                <w:sz w:val="28"/>
                <w:szCs w:val="28"/>
                <w:rtl/>
              </w:rPr>
            </w:pPr>
            <w:r w:rsidRPr="006F5388">
              <w:rPr>
                <w:rFonts w:eastAsia="Times New Roman"/>
                <w:sz w:val="28"/>
                <w:szCs w:val="28"/>
                <w:rtl/>
              </w:rPr>
              <w:t>الإدارة العليا تدعم مبادرات التحول وتتابع تطبيقها بفاعلية.</w:t>
            </w:r>
          </w:p>
        </w:tc>
        <w:tc>
          <w:tcPr>
            <w:tcW w:w="0" w:type="auto"/>
            <w:vAlign w:val="center"/>
          </w:tcPr>
          <w:p w14:paraId="56B1CE0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E394A5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6E5D21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9BA423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98BA4FB"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27A2E14" w14:textId="77777777" w:rsidTr="00BD5864">
        <w:tc>
          <w:tcPr>
            <w:tcW w:w="0" w:type="auto"/>
            <w:vAlign w:val="center"/>
          </w:tcPr>
          <w:p w14:paraId="0A0FF606" w14:textId="77777777" w:rsidR="00403FF2" w:rsidRPr="006F5388" w:rsidRDefault="00403FF2" w:rsidP="00B01EA5">
            <w:pPr>
              <w:rPr>
                <w:rFonts w:eastAsia="Times New Roman"/>
                <w:sz w:val="28"/>
                <w:szCs w:val="28"/>
              </w:rPr>
            </w:pPr>
            <w:r w:rsidRPr="006F5388">
              <w:rPr>
                <w:rFonts w:eastAsia="Times New Roman"/>
                <w:sz w:val="28"/>
                <w:szCs w:val="28"/>
              </w:rPr>
              <w:t>7</w:t>
            </w:r>
          </w:p>
        </w:tc>
        <w:tc>
          <w:tcPr>
            <w:tcW w:w="0" w:type="auto"/>
            <w:vAlign w:val="center"/>
          </w:tcPr>
          <w:p w14:paraId="215DF303" w14:textId="77777777" w:rsidR="00403FF2" w:rsidRPr="006F5388" w:rsidRDefault="00403FF2" w:rsidP="00B01EA5">
            <w:pPr>
              <w:rPr>
                <w:sz w:val="28"/>
                <w:szCs w:val="28"/>
                <w:rtl/>
              </w:rPr>
            </w:pPr>
            <w:r w:rsidRPr="006F5388">
              <w:rPr>
                <w:rFonts w:eastAsia="Times New Roman"/>
                <w:sz w:val="28"/>
                <w:szCs w:val="28"/>
                <w:rtl/>
              </w:rPr>
              <w:t>يتم إشراك الموظفين في مبادرات التحول وتطوير الخدمات.</w:t>
            </w:r>
          </w:p>
        </w:tc>
        <w:tc>
          <w:tcPr>
            <w:tcW w:w="0" w:type="auto"/>
            <w:vAlign w:val="center"/>
          </w:tcPr>
          <w:p w14:paraId="2C4081B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1BD628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97AE55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ABBEDF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6A56756"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78A6BDBB" w14:textId="77777777" w:rsidTr="00BD5864">
        <w:tc>
          <w:tcPr>
            <w:tcW w:w="0" w:type="auto"/>
            <w:vAlign w:val="center"/>
          </w:tcPr>
          <w:p w14:paraId="244674F5" w14:textId="77777777" w:rsidR="00403FF2" w:rsidRPr="006F5388" w:rsidRDefault="00403FF2" w:rsidP="00B01EA5">
            <w:pPr>
              <w:rPr>
                <w:rFonts w:eastAsia="Times New Roman"/>
                <w:sz w:val="28"/>
                <w:szCs w:val="28"/>
              </w:rPr>
            </w:pPr>
            <w:r w:rsidRPr="006F5388">
              <w:rPr>
                <w:rFonts w:eastAsia="Times New Roman"/>
                <w:sz w:val="28"/>
                <w:szCs w:val="28"/>
              </w:rPr>
              <w:t>8</w:t>
            </w:r>
          </w:p>
        </w:tc>
        <w:tc>
          <w:tcPr>
            <w:tcW w:w="0" w:type="auto"/>
            <w:vAlign w:val="center"/>
          </w:tcPr>
          <w:p w14:paraId="3E019D9E" w14:textId="77777777" w:rsidR="00403FF2" w:rsidRPr="006F5388" w:rsidRDefault="00403FF2" w:rsidP="00B01EA5">
            <w:pPr>
              <w:rPr>
                <w:sz w:val="28"/>
                <w:szCs w:val="28"/>
                <w:rtl/>
              </w:rPr>
            </w:pPr>
            <w:r w:rsidRPr="006F5388">
              <w:rPr>
                <w:rFonts w:eastAsia="Times New Roman"/>
                <w:sz w:val="28"/>
                <w:szCs w:val="28"/>
                <w:rtl/>
              </w:rPr>
              <w:t>التحول الصحي عزز ثقافة الابتكار والتعلم المستمر داخل المؤسسة.</w:t>
            </w:r>
          </w:p>
        </w:tc>
        <w:tc>
          <w:tcPr>
            <w:tcW w:w="0" w:type="auto"/>
            <w:vAlign w:val="center"/>
          </w:tcPr>
          <w:p w14:paraId="5F08933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70540A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F8E616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43B3CE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F9C4243"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2FC9B462" w14:textId="77777777" w:rsidR="00A61A27" w:rsidRDefault="0089331B">
      <w:pPr>
        <w:spacing w:before="40" w:after="120"/>
        <w:jc w:val="right"/>
      </w:pPr>
      <w:r>
        <w:rPr>
          <w:rFonts w:ascii="Traditional Arabic" w:hAnsi="Traditional Arabic" w:cs="Traditional Arabic"/>
          <w:i/>
          <w:sz w:val="22"/>
          <w:rtl/>
        </w:rPr>
        <w:t>المصدر: إعداد الباحثة بالاستناد إلى الإطار النظري والدراسات السابقة.</w:t>
      </w:r>
    </w:p>
    <w:p w14:paraId="6819DA68" w14:textId="77777777" w:rsidR="00403FF2" w:rsidRPr="006F5388" w:rsidRDefault="00403FF2" w:rsidP="00B01EA5">
      <w:pPr>
        <w:rPr>
          <w:rStyle w:val="ad"/>
          <w:rFonts w:asciiTheme="minorBidi" w:eastAsia="Times New Roman" w:hAnsiTheme="minorBidi"/>
          <w:b w:val="0"/>
          <w:bCs w:val="0"/>
          <w:sz w:val="28"/>
          <w:szCs w:val="28"/>
          <w:rtl/>
        </w:rPr>
      </w:pPr>
    </w:p>
    <w:p w14:paraId="42DCBA92" w14:textId="77777777" w:rsidR="00403FF2" w:rsidRPr="006F5388" w:rsidRDefault="00403FF2" w:rsidP="00B01EA5">
      <w:pPr>
        <w:rPr>
          <w:rStyle w:val="ad"/>
          <w:rFonts w:asciiTheme="minorBidi" w:eastAsia="Times New Roman" w:hAnsiTheme="minorBidi"/>
          <w:b w:val="0"/>
          <w:bCs w:val="0"/>
          <w:sz w:val="28"/>
          <w:szCs w:val="28"/>
          <w:rtl/>
        </w:rPr>
      </w:pPr>
    </w:p>
    <w:p w14:paraId="28EE575F" w14:textId="77777777" w:rsidR="00403FF2" w:rsidRPr="006F5388" w:rsidRDefault="00403FF2" w:rsidP="00B01EA5">
      <w:pPr>
        <w:rPr>
          <w:rStyle w:val="ad"/>
          <w:rFonts w:asciiTheme="minorBidi" w:eastAsia="Times New Roman" w:hAnsiTheme="minorBidi"/>
          <w:b w:val="0"/>
          <w:bCs w:val="0"/>
          <w:sz w:val="28"/>
          <w:szCs w:val="28"/>
          <w:rtl/>
        </w:rPr>
      </w:pPr>
    </w:p>
    <w:p w14:paraId="5A9A934E" w14:textId="77777777" w:rsidR="00403FF2" w:rsidRPr="006F5388" w:rsidRDefault="00403FF2" w:rsidP="00B01EA5">
      <w:pPr>
        <w:rPr>
          <w:rStyle w:val="ad"/>
          <w:rFonts w:asciiTheme="minorBidi" w:eastAsia="Times New Roman" w:hAnsiTheme="minorBidi"/>
          <w:b w:val="0"/>
          <w:bCs w:val="0"/>
          <w:sz w:val="28"/>
          <w:szCs w:val="28"/>
          <w:rtl/>
        </w:rPr>
      </w:pPr>
    </w:p>
    <w:p w14:paraId="7711EF39" w14:textId="77777777" w:rsidR="00403FF2" w:rsidRPr="006F5388" w:rsidRDefault="00403FF2" w:rsidP="00B01EA5">
      <w:pPr>
        <w:rPr>
          <w:rStyle w:val="ad"/>
          <w:rFonts w:asciiTheme="minorBidi" w:eastAsia="Times New Roman" w:hAnsiTheme="minorBidi"/>
          <w:b w:val="0"/>
          <w:bCs w:val="0"/>
          <w:sz w:val="28"/>
          <w:szCs w:val="28"/>
          <w:rtl/>
        </w:rPr>
      </w:pPr>
    </w:p>
    <w:p w14:paraId="06136063" w14:textId="77777777" w:rsidR="00403FF2" w:rsidRPr="006F5388" w:rsidRDefault="00403FF2" w:rsidP="00B01EA5">
      <w:pPr>
        <w:rPr>
          <w:rStyle w:val="ad"/>
          <w:rFonts w:asciiTheme="minorBidi" w:eastAsia="Times New Roman" w:hAnsiTheme="minorBidi"/>
          <w:b w:val="0"/>
          <w:bCs w:val="0"/>
          <w:sz w:val="28"/>
          <w:szCs w:val="28"/>
          <w:rtl/>
        </w:rPr>
      </w:pPr>
    </w:p>
    <w:p w14:paraId="3065610D" w14:textId="77777777" w:rsidR="00403FF2" w:rsidRPr="006F5388" w:rsidRDefault="00403FF2" w:rsidP="00B01EA5">
      <w:pPr>
        <w:rPr>
          <w:rStyle w:val="ad"/>
          <w:rFonts w:asciiTheme="minorBidi" w:eastAsia="Times New Roman" w:hAnsiTheme="minorBidi"/>
          <w:b w:val="0"/>
          <w:bCs w:val="0"/>
          <w:sz w:val="28"/>
          <w:szCs w:val="28"/>
          <w:rtl/>
        </w:rPr>
      </w:pPr>
    </w:p>
    <w:p w14:paraId="3C48F435" w14:textId="77777777" w:rsidR="00403FF2" w:rsidRPr="006F5388" w:rsidRDefault="00403FF2" w:rsidP="00B01EA5">
      <w:pPr>
        <w:rPr>
          <w:rStyle w:val="ad"/>
          <w:rFonts w:asciiTheme="minorBidi" w:eastAsia="Times New Roman" w:hAnsiTheme="minorBidi"/>
          <w:b w:val="0"/>
          <w:bCs w:val="0"/>
          <w:sz w:val="28"/>
          <w:szCs w:val="28"/>
          <w:rtl/>
        </w:rPr>
      </w:pPr>
    </w:p>
    <w:p w14:paraId="55CD6FD7" w14:textId="77777777" w:rsidR="00403FF2" w:rsidRPr="006F5388" w:rsidRDefault="00403FF2" w:rsidP="00B01EA5">
      <w:pPr>
        <w:rPr>
          <w:rStyle w:val="ad"/>
          <w:rFonts w:asciiTheme="minorBidi" w:eastAsia="Times New Roman" w:hAnsiTheme="minorBidi"/>
          <w:b w:val="0"/>
          <w:bCs w:val="0"/>
          <w:sz w:val="28"/>
          <w:szCs w:val="28"/>
          <w:rtl/>
        </w:rPr>
      </w:pPr>
    </w:p>
    <w:p w14:paraId="45487C19" w14:textId="77777777" w:rsidR="00403FF2" w:rsidRDefault="00403FF2" w:rsidP="00B01EA5">
      <w:pPr>
        <w:rPr>
          <w:rStyle w:val="ad"/>
          <w:rFonts w:asciiTheme="minorBidi" w:eastAsia="Times New Roman" w:hAnsiTheme="minorBidi"/>
          <w:b w:val="0"/>
          <w:bCs w:val="0"/>
          <w:sz w:val="28"/>
          <w:szCs w:val="28"/>
          <w:rtl/>
        </w:rPr>
      </w:pPr>
    </w:p>
    <w:p w14:paraId="08CDA1A1" w14:textId="77777777" w:rsidR="00B54325" w:rsidRDefault="00B54325" w:rsidP="00B01EA5">
      <w:pPr>
        <w:rPr>
          <w:rStyle w:val="ad"/>
          <w:rFonts w:asciiTheme="minorBidi" w:eastAsia="Times New Roman" w:hAnsiTheme="minorBidi"/>
          <w:b w:val="0"/>
          <w:bCs w:val="0"/>
          <w:sz w:val="28"/>
          <w:szCs w:val="28"/>
          <w:rtl/>
        </w:rPr>
      </w:pPr>
    </w:p>
    <w:p w14:paraId="53BE4918" w14:textId="77777777" w:rsidR="00B54325" w:rsidRPr="006F5388" w:rsidRDefault="00B54325" w:rsidP="00B01EA5">
      <w:pPr>
        <w:rPr>
          <w:rStyle w:val="ad"/>
          <w:rFonts w:asciiTheme="minorBidi" w:eastAsia="Times New Roman" w:hAnsiTheme="minorBidi"/>
          <w:b w:val="0"/>
          <w:bCs w:val="0"/>
          <w:sz w:val="28"/>
          <w:szCs w:val="28"/>
          <w:rtl/>
        </w:rPr>
      </w:pPr>
    </w:p>
    <w:p w14:paraId="460712FB" w14:textId="77777777" w:rsidR="00403FF2" w:rsidRPr="00DD5BED" w:rsidRDefault="00403FF2" w:rsidP="00B01EA5">
      <w:pPr>
        <w:rPr>
          <w:sz w:val="28"/>
          <w:szCs w:val="28"/>
          <w:rtl/>
        </w:rPr>
      </w:pPr>
      <w:r w:rsidRPr="00DD5BED">
        <w:rPr>
          <w:rStyle w:val="ad"/>
          <w:rFonts w:asciiTheme="minorBidi" w:eastAsia="Times New Roman" w:hAnsiTheme="minorBidi"/>
          <w:sz w:val="28"/>
          <w:szCs w:val="28"/>
          <w:rtl/>
        </w:rPr>
        <w:t>المحور الثاني: بيئة العمل النفسية المستدامة</w:t>
      </w:r>
    </w:p>
    <w:p w14:paraId="18700B4A" w14:textId="77777777" w:rsidR="00403FF2" w:rsidRPr="006F5388" w:rsidRDefault="00403FF2" w:rsidP="00B54325">
      <w:pPr>
        <w:rPr>
          <w:sz w:val="28"/>
          <w:szCs w:val="28"/>
          <w:rtl/>
        </w:rPr>
      </w:pPr>
      <w:r w:rsidRPr="006F5388">
        <w:rPr>
          <w:sz w:val="28"/>
          <w:szCs w:val="28"/>
          <w:rtl/>
        </w:rPr>
        <w:t>هذا المحور يهدف إلى قياس درجة توفر المناخ النفسي الإيجابي الداعم للاستقرار والرفاهية.</w:t>
      </w:r>
    </w:p>
    <w:tbl>
      <w:tblPr>
        <w:tblStyle w:val="af"/>
        <w:bidiVisual/>
        <w:tblW w:w="0" w:type="auto"/>
        <w:tblLook w:val="04A0" w:firstRow="1" w:lastRow="0" w:firstColumn="1" w:lastColumn="0" w:noHBand="0" w:noVBand="1"/>
      </w:tblPr>
      <w:tblGrid>
        <w:gridCol w:w="372"/>
        <w:gridCol w:w="4363"/>
        <w:gridCol w:w="1099"/>
        <w:gridCol w:w="825"/>
        <w:gridCol w:w="702"/>
        <w:gridCol w:w="691"/>
        <w:gridCol w:w="964"/>
      </w:tblGrid>
      <w:tr w:rsidR="00403FF2" w:rsidRPr="006F5388" w14:paraId="6C25737F" w14:textId="77777777" w:rsidTr="00BD5864">
        <w:tc>
          <w:tcPr>
            <w:tcW w:w="0" w:type="auto"/>
            <w:vAlign w:val="center"/>
          </w:tcPr>
          <w:p w14:paraId="1D6DE323" w14:textId="77777777" w:rsidR="00403FF2" w:rsidRPr="006F5388" w:rsidRDefault="00403FF2" w:rsidP="00B01EA5">
            <w:pPr>
              <w:rPr>
                <w:sz w:val="28"/>
                <w:szCs w:val="28"/>
                <w:rtl/>
              </w:rPr>
            </w:pPr>
            <w:r w:rsidRPr="006F5388">
              <w:rPr>
                <w:sz w:val="28"/>
                <w:szCs w:val="28"/>
                <w:rtl/>
              </w:rPr>
              <w:t>#</w:t>
            </w:r>
          </w:p>
        </w:tc>
        <w:tc>
          <w:tcPr>
            <w:tcW w:w="0" w:type="auto"/>
            <w:vAlign w:val="center"/>
          </w:tcPr>
          <w:p w14:paraId="1BAF739C" w14:textId="77777777" w:rsidR="00403FF2" w:rsidRPr="006F5388" w:rsidRDefault="00403FF2" w:rsidP="00B01EA5">
            <w:pPr>
              <w:rPr>
                <w:rFonts w:eastAsia="Times New Roman"/>
                <w:sz w:val="28"/>
                <w:szCs w:val="28"/>
                <w:rtl/>
              </w:rPr>
            </w:pPr>
            <w:r w:rsidRPr="006F5388">
              <w:rPr>
                <w:rFonts w:eastAsia="Times New Roman"/>
                <w:sz w:val="28"/>
                <w:szCs w:val="28"/>
                <w:rtl/>
              </w:rPr>
              <w:t>العبارة</w:t>
            </w:r>
          </w:p>
        </w:tc>
        <w:tc>
          <w:tcPr>
            <w:tcW w:w="0" w:type="auto"/>
            <w:vAlign w:val="center"/>
          </w:tcPr>
          <w:p w14:paraId="34F2DC7F" w14:textId="77777777" w:rsidR="00403FF2" w:rsidRPr="006F5388" w:rsidRDefault="00403FF2" w:rsidP="00B01EA5">
            <w:pPr>
              <w:rPr>
                <w:rFonts w:eastAsia="Times New Roman"/>
                <w:sz w:val="28"/>
                <w:szCs w:val="28"/>
              </w:rPr>
            </w:pPr>
            <w:r w:rsidRPr="006F5388">
              <w:rPr>
                <w:rFonts w:eastAsia="Times New Roman"/>
                <w:sz w:val="28"/>
                <w:szCs w:val="28"/>
                <w:rtl/>
              </w:rPr>
              <w:t>لا أوافق بشدة</w:t>
            </w:r>
          </w:p>
        </w:tc>
        <w:tc>
          <w:tcPr>
            <w:tcW w:w="0" w:type="auto"/>
            <w:vAlign w:val="center"/>
          </w:tcPr>
          <w:p w14:paraId="6401D026" w14:textId="77777777" w:rsidR="00403FF2" w:rsidRPr="006F5388" w:rsidRDefault="00403FF2" w:rsidP="00B01EA5">
            <w:pPr>
              <w:rPr>
                <w:rFonts w:eastAsia="Times New Roman"/>
                <w:sz w:val="28"/>
                <w:szCs w:val="28"/>
              </w:rPr>
            </w:pPr>
            <w:r w:rsidRPr="006F5388">
              <w:rPr>
                <w:rFonts w:eastAsia="Times New Roman"/>
                <w:sz w:val="28"/>
                <w:szCs w:val="28"/>
                <w:rtl/>
              </w:rPr>
              <w:t>لا أوافق</w:t>
            </w:r>
          </w:p>
        </w:tc>
        <w:tc>
          <w:tcPr>
            <w:tcW w:w="0" w:type="auto"/>
            <w:vAlign w:val="center"/>
          </w:tcPr>
          <w:p w14:paraId="349B1DBE" w14:textId="77777777" w:rsidR="00403FF2" w:rsidRPr="006F5388" w:rsidRDefault="00403FF2" w:rsidP="00B01EA5">
            <w:pPr>
              <w:rPr>
                <w:rFonts w:eastAsia="Times New Roman"/>
                <w:sz w:val="28"/>
                <w:szCs w:val="28"/>
              </w:rPr>
            </w:pPr>
            <w:r w:rsidRPr="006F5388">
              <w:rPr>
                <w:rFonts w:eastAsia="Times New Roman"/>
                <w:sz w:val="28"/>
                <w:szCs w:val="28"/>
                <w:rtl/>
              </w:rPr>
              <w:t>محايد</w:t>
            </w:r>
          </w:p>
        </w:tc>
        <w:tc>
          <w:tcPr>
            <w:tcW w:w="0" w:type="auto"/>
            <w:vAlign w:val="center"/>
          </w:tcPr>
          <w:p w14:paraId="3DD0D6FE" w14:textId="77777777" w:rsidR="00403FF2" w:rsidRPr="006F5388" w:rsidRDefault="00403FF2" w:rsidP="00B01EA5">
            <w:pPr>
              <w:rPr>
                <w:rFonts w:eastAsia="Times New Roman"/>
                <w:sz w:val="28"/>
                <w:szCs w:val="28"/>
              </w:rPr>
            </w:pPr>
            <w:r w:rsidRPr="006F5388">
              <w:rPr>
                <w:rFonts w:eastAsia="Times New Roman"/>
                <w:sz w:val="28"/>
                <w:szCs w:val="28"/>
                <w:rtl/>
              </w:rPr>
              <w:t>أوافق</w:t>
            </w:r>
          </w:p>
        </w:tc>
        <w:tc>
          <w:tcPr>
            <w:tcW w:w="0" w:type="auto"/>
            <w:vAlign w:val="center"/>
          </w:tcPr>
          <w:p w14:paraId="0FD4A75E" w14:textId="77777777" w:rsidR="00403FF2" w:rsidRPr="006F5388" w:rsidRDefault="00403FF2" w:rsidP="00B01EA5">
            <w:pPr>
              <w:rPr>
                <w:sz w:val="28"/>
                <w:szCs w:val="28"/>
                <w:rtl/>
              </w:rPr>
            </w:pPr>
            <w:r w:rsidRPr="006F5388">
              <w:rPr>
                <w:rFonts w:eastAsia="Times New Roman"/>
                <w:sz w:val="28"/>
                <w:szCs w:val="28"/>
                <w:rtl/>
              </w:rPr>
              <w:t>أوافق بشدة</w:t>
            </w:r>
          </w:p>
        </w:tc>
      </w:tr>
      <w:tr w:rsidR="00403FF2" w:rsidRPr="006F5388" w14:paraId="3BF01309" w14:textId="77777777" w:rsidTr="00BD5864">
        <w:tc>
          <w:tcPr>
            <w:tcW w:w="0" w:type="auto"/>
            <w:vAlign w:val="center"/>
          </w:tcPr>
          <w:p w14:paraId="73CCD1BC" w14:textId="77777777" w:rsidR="00403FF2" w:rsidRPr="006F5388" w:rsidRDefault="00403FF2" w:rsidP="00B01EA5">
            <w:pPr>
              <w:rPr>
                <w:sz w:val="28"/>
                <w:szCs w:val="28"/>
                <w:rtl/>
              </w:rPr>
            </w:pPr>
            <w:r w:rsidRPr="006F5388">
              <w:rPr>
                <w:rFonts w:eastAsia="Times New Roman"/>
                <w:sz w:val="28"/>
                <w:szCs w:val="28"/>
              </w:rPr>
              <w:t>1</w:t>
            </w:r>
          </w:p>
        </w:tc>
        <w:tc>
          <w:tcPr>
            <w:tcW w:w="0" w:type="auto"/>
            <w:vAlign w:val="center"/>
          </w:tcPr>
          <w:p w14:paraId="13970A38" w14:textId="77777777" w:rsidR="00403FF2" w:rsidRPr="006F5388" w:rsidRDefault="00403FF2" w:rsidP="00B01EA5">
            <w:pPr>
              <w:rPr>
                <w:rFonts w:eastAsia="Times New Roman"/>
                <w:sz w:val="28"/>
                <w:szCs w:val="28"/>
              </w:rPr>
            </w:pPr>
            <w:r w:rsidRPr="006F5388">
              <w:rPr>
                <w:rFonts w:eastAsia="Times New Roman"/>
                <w:sz w:val="28"/>
                <w:szCs w:val="28"/>
                <w:rtl/>
              </w:rPr>
              <w:t>أشعر بالأمان النفسي في عملي دون خوف من العقاب عند حدوث الخطأ.</w:t>
            </w:r>
          </w:p>
        </w:tc>
        <w:tc>
          <w:tcPr>
            <w:tcW w:w="0" w:type="auto"/>
            <w:vAlign w:val="center"/>
          </w:tcPr>
          <w:p w14:paraId="246FAFA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BB1908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6033BA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513513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11EF6D5"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A627490" w14:textId="77777777" w:rsidTr="00BD5864">
        <w:tc>
          <w:tcPr>
            <w:tcW w:w="0" w:type="auto"/>
            <w:vAlign w:val="center"/>
          </w:tcPr>
          <w:p w14:paraId="041708F4" w14:textId="77777777" w:rsidR="00403FF2" w:rsidRPr="006F5388" w:rsidRDefault="00403FF2" w:rsidP="00B01EA5">
            <w:pPr>
              <w:rPr>
                <w:sz w:val="28"/>
                <w:szCs w:val="28"/>
                <w:rtl/>
              </w:rPr>
            </w:pPr>
            <w:r w:rsidRPr="006F5388">
              <w:rPr>
                <w:rFonts w:eastAsia="Times New Roman"/>
                <w:sz w:val="28"/>
                <w:szCs w:val="28"/>
              </w:rPr>
              <w:t>2</w:t>
            </w:r>
          </w:p>
        </w:tc>
        <w:tc>
          <w:tcPr>
            <w:tcW w:w="0" w:type="auto"/>
            <w:vAlign w:val="center"/>
          </w:tcPr>
          <w:p w14:paraId="02BF3377" w14:textId="77777777" w:rsidR="00403FF2" w:rsidRPr="006F5388" w:rsidRDefault="00403FF2" w:rsidP="00B01EA5">
            <w:pPr>
              <w:rPr>
                <w:rFonts w:eastAsia="Times New Roman"/>
                <w:sz w:val="28"/>
                <w:szCs w:val="28"/>
              </w:rPr>
            </w:pPr>
            <w:r w:rsidRPr="006F5388">
              <w:rPr>
                <w:rFonts w:eastAsia="Times New Roman"/>
                <w:sz w:val="28"/>
                <w:szCs w:val="28"/>
                <w:rtl/>
              </w:rPr>
              <w:t>العلاقة بين الزملاء في بيئة العمل يسودها الاحترام والثقة المتبادلة.</w:t>
            </w:r>
          </w:p>
        </w:tc>
        <w:tc>
          <w:tcPr>
            <w:tcW w:w="0" w:type="auto"/>
            <w:vAlign w:val="center"/>
          </w:tcPr>
          <w:p w14:paraId="7C25FFE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8D6DFB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651530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8EC4FA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CB86E0B"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6C9E2D72" w14:textId="77777777" w:rsidTr="00BD5864">
        <w:tc>
          <w:tcPr>
            <w:tcW w:w="0" w:type="auto"/>
            <w:vAlign w:val="center"/>
          </w:tcPr>
          <w:p w14:paraId="1E1E869D" w14:textId="77777777" w:rsidR="00403FF2" w:rsidRPr="006F5388" w:rsidRDefault="00403FF2" w:rsidP="00B01EA5">
            <w:pPr>
              <w:rPr>
                <w:rFonts w:eastAsia="Times New Roman"/>
                <w:sz w:val="28"/>
                <w:szCs w:val="28"/>
              </w:rPr>
            </w:pPr>
            <w:r w:rsidRPr="006F5388">
              <w:rPr>
                <w:rFonts w:eastAsia="Times New Roman"/>
                <w:sz w:val="28"/>
                <w:szCs w:val="28"/>
              </w:rPr>
              <w:t>3</w:t>
            </w:r>
          </w:p>
        </w:tc>
        <w:tc>
          <w:tcPr>
            <w:tcW w:w="0" w:type="auto"/>
            <w:vAlign w:val="center"/>
          </w:tcPr>
          <w:p w14:paraId="141F07C2" w14:textId="77777777" w:rsidR="00403FF2" w:rsidRPr="006F5388" w:rsidRDefault="00403FF2" w:rsidP="00B01EA5">
            <w:pPr>
              <w:rPr>
                <w:rFonts w:eastAsia="Times New Roman"/>
                <w:sz w:val="28"/>
                <w:szCs w:val="28"/>
              </w:rPr>
            </w:pPr>
            <w:r w:rsidRPr="006F5388">
              <w:rPr>
                <w:rFonts w:eastAsia="Times New Roman"/>
                <w:sz w:val="28"/>
                <w:szCs w:val="28"/>
                <w:rtl/>
              </w:rPr>
              <w:t>تتسم سياسات الإدارة بالعدالة والمساواة في التعامل مع الموظفين.</w:t>
            </w:r>
          </w:p>
        </w:tc>
        <w:tc>
          <w:tcPr>
            <w:tcW w:w="0" w:type="auto"/>
            <w:vAlign w:val="center"/>
          </w:tcPr>
          <w:p w14:paraId="0579655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D314F2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7B5C2B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2FBA78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B566644"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7D3AD98" w14:textId="77777777" w:rsidTr="00BD5864">
        <w:tc>
          <w:tcPr>
            <w:tcW w:w="0" w:type="auto"/>
            <w:vAlign w:val="center"/>
          </w:tcPr>
          <w:p w14:paraId="0B425A17" w14:textId="77777777" w:rsidR="00403FF2" w:rsidRPr="006F5388" w:rsidRDefault="00403FF2" w:rsidP="00B01EA5">
            <w:pPr>
              <w:rPr>
                <w:rFonts w:eastAsia="Times New Roman"/>
                <w:sz w:val="28"/>
                <w:szCs w:val="28"/>
              </w:rPr>
            </w:pPr>
            <w:r w:rsidRPr="006F5388">
              <w:rPr>
                <w:rFonts w:eastAsia="Times New Roman"/>
                <w:sz w:val="28"/>
                <w:szCs w:val="28"/>
              </w:rPr>
              <w:t>4</w:t>
            </w:r>
          </w:p>
        </w:tc>
        <w:tc>
          <w:tcPr>
            <w:tcW w:w="0" w:type="auto"/>
            <w:vAlign w:val="center"/>
          </w:tcPr>
          <w:p w14:paraId="0B86D896" w14:textId="77777777" w:rsidR="00403FF2" w:rsidRPr="006F5388" w:rsidRDefault="00403FF2" w:rsidP="00B01EA5">
            <w:pPr>
              <w:rPr>
                <w:rFonts w:eastAsia="Times New Roman"/>
                <w:sz w:val="28"/>
                <w:szCs w:val="28"/>
              </w:rPr>
            </w:pPr>
            <w:r w:rsidRPr="006F5388">
              <w:rPr>
                <w:rFonts w:eastAsia="Times New Roman"/>
                <w:sz w:val="28"/>
                <w:szCs w:val="28"/>
                <w:rtl/>
              </w:rPr>
              <w:t>أحصل على دعم وتشجيع من المشرفين عند مواجهة ضغوط العمل.</w:t>
            </w:r>
          </w:p>
        </w:tc>
        <w:tc>
          <w:tcPr>
            <w:tcW w:w="0" w:type="auto"/>
            <w:vAlign w:val="center"/>
          </w:tcPr>
          <w:p w14:paraId="4F2F96C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FB7670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9F7FCC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9A9A04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B76CE43"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4E50DD51" w14:textId="77777777" w:rsidTr="00BD5864">
        <w:tc>
          <w:tcPr>
            <w:tcW w:w="0" w:type="auto"/>
            <w:vAlign w:val="center"/>
          </w:tcPr>
          <w:p w14:paraId="5EB75E1C" w14:textId="77777777" w:rsidR="00403FF2" w:rsidRPr="006F5388" w:rsidRDefault="00403FF2" w:rsidP="00B01EA5">
            <w:pPr>
              <w:rPr>
                <w:rFonts w:eastAsia="Times New Roman"/>
                <w:sz w:val="28"/>
                <w:szCs w:val="28"/>
              </w:rPr>
            </w:pPr>
            <w:r w:rsidRPr="006F5388">
              <w:rPr>
                <w:rFonts w:eastAsia="Times New Roman"/>
                <w:sz w:val="28"/>
                <w:szCs w:val="28"/>
              </w:rPr>
              <w:t>5</w:t>
            </w:r>
          </w:p>
        </w:tc>
        <w:tc>
          <w:tcPr>
            <w:tcW w:w="0" w:type="auto"/>
            <w:vAlign w:val="center"/>
          </w:tcPr>
          <w:p w14:paraId="3BA2335C" w14:textId="77777777" w:rsidR="00403FF2" w:rsidRPr="006F5388" w:rsidRDefault="00403FF2" w:rsidP="00B01EA5">
            <w:pPr>
              <w:rPr>
                <w:rFonts w:eastAsia="Times New Roman"/>
                <w:sz w:val="28"/>
                <w:szCs w:val="28"/>
              </w:rPr>
            </w:pPr>
            <w:r w:rsidRPr="006F5388">
              <w:rPr>
                <w:rFonts w:eastAsia="Times New Roman"/>
                <w:sz w:val="28"/>
                <w:szCs w:val="28"/>
                <w:rtl/>
              </w:rPr>
              <w:t>توفر المؤسسة فرصًا للتعبير عن الرأي والمشاركة في اتخاذ القرار.</w:t>
            </w:r>
          </w:p>
        </w:tc>
        <w:tc>
          <w:tcPr>
            <w:tcW w:w="0" w:type="auto"/>
            <w:vAlign w:val="center"/>
          </w:tcPr>
          <w:p w14:paraId="58992C6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74A7A4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F41314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30D7CC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7792A1A"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6909C95" w14:textId="77777777" w:rsidTr="00BD5864">
        <w:tc>
          <w:tcPr>
            <w:tcW w:w="0" w:type="auto"/>
            <w:vAlign w:val="center"/>
          </w:tcPr>
          <w:p w14:paraId="0F475D45" w14:textId="77777777" w:rsidR="00403FF2" w:rsidRPr="006F5388" w:rsidRDefault="00403FF2" w:rsidP="00B01EA5">
            <w:pPr>
              <w:rPr>
                <w:rFonts w:eastAsia="Times New Roman"/>
                <w:sz w:val="28"/>
                <w:szCs w:val="28"/>
              </w:rPr>
            </w:pPr>
            <w:r w:rsidRPr="006F5388">
              <w:rPr>
                <w:rFonts w:eastAsia="Times New Roman"/>
                <w:sz w:val="28"/>
                <w:szCs w:val="28"/>
              </w:rPr>
              <w:t>6</w:t>
            </w:r>
          </w:p>
        </w:tc>
        <w:tc>
          <w:tcPr>
            <w:tcW w:w="0" w:type="auto"/>
            <w:vAlign w:val="center"/>
          </w:tcPr>
          <w:p w14:paraId="3FD1E8AC" w14:textId="77777777" w:rsidR="00403FF2" w:rsidRPr="006F5388" w:rsidRDefault="00403FF2" w:rsidP="00B01EA5">
            <w:pPr>
              <w:rPr>
                <w:rFonts w:eastAsia="Times New Roman"/>
                <w:sz w:val="28"/>
                <w:szCs w:val="28"/>
              </w:rPr>
            </w:pPr>
            <w:r w:rsidRPr="006F5388">
              <w:rPr>
                <w:rFonts w:eastAsia="Times New Roman"/>
                <w:sz w:val="28"/>
                <w:szCs w:val="28"/>
                <w:rtl/>
              </w:rPr>
              <w:t>بيئة العمل تشجع على التعاون والتفاعل الإيجابي بين العاملين.</w:t>
            </w:r>
          </w:p>
        </w:tc>
        <w:tc>
          <w:tcPr>
            <w:tcW w:w="0" w:type="auto"/>
            <w:vAlign w:val="center"/>
          </w:tcPr>
          <w:p w14:paraId="72D7E8B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006E92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42C4E9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2CF0E1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C5CFE32"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72C2ECE4" w14:textId="77777777" w:rsidTr="00BD5864">
        <w:tc>
          <w:tcPr>
            <w:tcW w:w="0" w:type="auto"/>
            <w:vAlign w:val="center"/>
          </w:tcPr>
          <w:p w14:paraId="14D3C07F" w14:textId="77777777" w:rsidR="00403FF2" w:rsidRPr="006F5388" w:rsidRDefault="00403FF2" w:rsidP="00B01EA5">
            <w:pPr>
              <w:rPr>
                <w:rFonts w:eastAsia="Times New Roman"/>
                <w:sz w:val="28"/>
                <w:szCs w:val="28"/>
              </w:rPr>
            </w:pPr>
            <w:r w:rsidRPr="006F5388">
              <w:rPr>
                <w:rFonts w:eastAsia="Times New Roman"/>
                <w:sz w:val="28"/>
                <w:szCs w:val="28"/>
              </w:rPr>
              <w:t>7</w:t>
            </w:r>
          </w:p>
        </w:tc>
        <w:tc>
          <w:tcPr>
            <w:tcW w:w="0" w:type="auto"/>
            <w:vAlign w:val="center"/>
          </w:tcPr>
          <w:p w14:paraId="1A8C7CBD" w14:textId="77777777" w:rsidR="00403FF2" w:rsidRPr="006F5388" w:rsidRDefault="00403FF2" w:rsidP="00B01EA5">
            <w:pPr>
              <w:rPr>
                <w:rFonts w:eastAsia="Times New Roman"/>
                <w:sz w:val="28"/>
                <w:szCs w:val="28"/>
              </w:rPr>
            </w:pPr>
            <w:r w:rsidRPr="006F5388">
              <w:rPr>
                <w:rFonts w:eastAsia="Times New Roman"/>
                <w:sz w:val="28"/>
                <w:szCs w:val="28"/>
                <w:rtl/>
              </w:rPr>
              <w:t>تتوفر في مكان العمل إمكانات ووسائل تقلل من الإرهاق والتوتر.</w:t>
            </w:r>
          </w:p>
        </w:tc>
        <w:tc>
          <w:tcPr>
            <w:tcW w:w="0" w:type="auto"/>
            <w:vAlign w:val="center"/>
          </w:tcPr>
          <w:p w14:paraId="1A9A25C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6A7B88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B5E00B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04E036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BE59CF3"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5281E03" w14:textId="77777777" w:rsidTr="00BD5864">
        <w:tc>
          <w:tcPr>
            <w:tcW w:w="0" w:type="auto"/>
            <w:vAlign w:val="center"/>
          </w:tcPr>
          <w:p w14:paraId="3B06E622" w14:textId="77777777" w:rsidR="00403FF2" w:rsidRPr="006F5388" w:rsidRDefault="00403FF2" w:rsidP="00B01EA5">
            <w:pPr>
              <w:rPr>
                <w:rFonts w:eastAsia="Times New Roman"/>
                <w:sz w:val="28"/>
                <w:szCs w:val="28"/>
              </w:rPr>
            </w:pPr>
            <w:r w:rsidRPr="006F5388">
              <w:rPr>
                <w:rFonts w:eastAsia="Times New Roman"/>
                <w:sz w:val="28"/>
                <w:szCs w:val="28"/>
              </w:rPr>
              <w:t>8</w:t>
            </w:r>
          </w:p>
        </w:tc>
        <w:tc>
          <w:tcPr>
            <w:tcW w:w="0" w:type="auto"/>
            <w:vAlign w:val="center"/>
          </w:tcPr>
          <w:p w14:paraId="12B77135" w14:textId="77777777" w:rsidR="00403FF2" w:rsidRPr="006F5388" w:rsidRDefault="00403FF2" w:rsidP="00B01EA5">
            <w:pPr>
              <w:rPr>
                <w:rFonts w:eastAsia="Times New Roman"/>
                <w:sz w:val="28"/>
                <w:szCs w:val="28"/>
              </w:rPr>
            </w:pPr>
            <w:r w:rsidRPr="006F5388">
              <w:rPr>
                <w:rFonts w:eastAsia="Times New Roman"/>
                <w:sz w:val="28"/>
                <w:szCs w:val="28"/>
                <w:rtl/>
              </w:rPr>
              <w:t>المؤسسة تُظهر اهتمامًا حقيقيًا بصحة العاملين النفسية واستقرارهم.</w:t>
            </w:r>
          </w:p>
        </w:tc>
        <w:tc>
          <w:tcPr>
            <w:tcW w:w="0" w:type="auto"/>
            <w:vAlign w:val="center"/>
          </w:tcPr>
          <w:p w14:paraId="227EC35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418A63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0AD5C0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5AF6BE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5CB592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3F1421B2" w14:textId="77777777" w:rsidR="00A61A27" w:rsidRDefault="0089331B">
      <w:pPr>
        <w:spacing w:before="40" w:after="120"/>
        <w:jc w:val="right"/>
      </w:pPr>
      <w:r>
        <w:rPr>
          <w:rFonts w:ascii="Traditional Arabic" w:hAnsi="Traditional Arabic" w:cs="Traditional Arabic"/>
          <w:i/>
          <w:sz w:val="22"/>
          <w:rtl/>
        </w:rPr>
        <w:t>المصدر: إعداد الباحثة بالاستناد إلى الإطار النظري والدراسات السابقة.</w:t>
      </w:r>
    </w:p>
    <w:p w14:paraId="025D83E2" w14:textId="77777777" w:rsidR="00403FF2" w:rsidRPr="006F5388" w:rsidRDefault="00403FF2" w:rsidP="00B01EA5">
      <w:pPr>
        <w:rPr>
          <w:sz w:val="28"/>
          <w:szCs w:val="28"/>
          <w:rtl/>
        </w:rPr>
      </w:pPr>
    </w:p>
    <w:p w14:paraId="58991CE3" w14:textId="77777777" w:rsidR="00403FF2" w:rsidRPr="006F5388" w:rsidRDefault="00403FF2" w:rsidP="00B01EA5">
      <w:pPr>
        <w:rPr>
          <w:kern w:val="0"/>
          <w:sz w:val="28"/>
          <w:szCs w:val="28"/>
          <w:rtl/>
          <w14:ligatures w14:val="none"/>
        </w:rPr>
      </w:pPr>
      <w:r w:rsidRPr="006F5388">
        <w:rPr>
          <w:sz w:val="28"/>
          <w:szCs w:val="28"/>
          <w:rtl/>
        </w:rPr>
        <w:br w:type="page"/>
      </w:r>
    </w:p>
    <w:p w14:paraId="04F61B9E" w14:textId="77777777" w:rsidR="00403FF2" w:rsidRPr="004A6081" w:rsidRDefault="00403FF2" w:rsidP="00B01EA5">
      <w:pPr>
        <w:rPr>
          <w:sz w:val="28"/>
          <w:szCs w:val="28"/>
          <w:rtl/>
        </w:rPr>
      </w:pPr>
      <w:r w:rsidRPr="004A6081">
        <w:rPr>
          <w:rStyle w:val="ad"/>
          <w:rFonts w:asciiTheme="minorBidi" w:eastAsia="Times New Roman" w:hAnsiTheme="minorBidi"/>
          <w:sz w:val="28"/>
          <w:szCs w:val="28"/>
          <w:rtl/>
        </w:rPr>
        <w:lastRenderedPageBreak/>
        <w:t>المحور الثالث: رفاهية الموظفين</w:t>
      </w:r>
    </w:p>
    <w:p w14:paraId="708E3D22" w14:textId="77777777" w:rsidR="00403FF2" w:rsidRPr="006F5388" w:rsidRDefault="00403FF2" w:rsidP="00B54325">
      <w:pPr>
        <w:rPr>
          <w:sz w:val="28"/>
          <w:szCs w:val="28"/>
          <w:rtl/>
        </w:rPr>
      </w:pPr>
      <w:r w:rsidRPr="006F5388">
        <w:rPr>
          <w:sz w:val="28"/>
          <w:szCs w:val="28"/>
          <w:rtl/>
        </w:rPr>
        <w:t>هذا المحور يهدف إلى قياس مستوى الرفاهية النفسية والاجتماعية والجسدية للموظف.</w:t>
      </w:r>
    </w:p>
    <w:tbl>
      <w:tblPr>
        <w:tblStyle w:val="af"/>
        <w:bidiVisual/>
        <w:tblW w:w="0" w:type="auto"/>
        <w:tblLook w:val="04A0" w:firstRow="1" w:lastRow="0" w:firstColumn="1" w:lastColumn="0" w:noHBand="0" w:noVBand="1"/>
      </w:tblPr>
      <w:tblGrid>
        <w:gridCol w:w="372"/>
        <w:gridCol w:w="4385"/>
        <w:gridCol w:w="1088"/>
        <w:gridCol w:w="821"/>
        <w:gridCol w:w="702"/>
        <w:gridCol w:w="691"/>
        <w:gridCol w:w="957"/>
      </w:tblGrid>
      <w:tr w:rsidR="00403FF2" w:rsidRPr="006F5388" w14:paraId="480E628A" w14:textId="77777777" w:rsidTr="00BD5864">
        <w:tc>
          <w:tcPr>
            <w:tcW w:w="0" w:type="auto"/>
            <w:vAlign w:val="center"/>
          </w:tcPr>
          <w:p w14:paraId="1BCC3F29" w14:textId="77777777" w:rsidR="00403FF2" w:rsidRPr="006F5388" w:rsidRDefault="00403FF2" w:rsidP="00B01EA5">
            <w:pPr>
              <w:rPr>
                <w:sz w:val="28"/>
                <w:szCs w:val="28"/>
                <w:rtl/>
              </w:rPr>
            </w:pPr>
            <w:r w:rsidRPr="006F5388">
              <w:rPr>
                <w:sz w:val="28"/>
                <w:szCs w:val="28"/>
                <w:rtl/>
              </w:rPr>
              <w:t>#</w:t>
            </w:r>
          </w:p>
        </w:tc>
        <w:tc>
          <w:tcPr>
            <w:tcW w:w="0" w:type="auto"/>
            <w:vAlign w:val="center"/>
          </w:tcPr>
          <w:p w14:paraId="059FBA7A" w14:textId="77777777" w:rsidR="00403FF2" w:rsidRPr="006F5388" w:rsidRDefault="00403FF2" w:rsidP="00B01EA5">
            <w:pPr>
              <w:rPr>
                <w:rFonts w:eastAsia="Times New Roman"/>
                <w:sz w:val="28"/>
                <w:szCs w:val="28"/>
                <w:rtl/>
              </w:rPr>
            </w:pPr>
            <w:r w:rsidRPr="006F5388">
              <w:rPr>
                <w:rFonts w:eastAsia="Times New Roman"/>
                <w:sz w:val="28"/>
                <w:szCs w:val="28"/>
                <w:rtl/>
              </w:rPr>
              <w:t>العبارة</w:t>
            </w:r>
          </w:p>
        </w:tc>
        <w:tc>
          <w:tcPr>
            <w:tcW w:w="0" w:type="auto"/>
            <w:vAlign w:val="center"/>
          </w:tcPr>
          <w:p w14:paraId="5BC17EBC" w14:textId="77777777" w:rsidR="00403FF2" w:rsidRPr="006F5388" w:rsidRDefault="00403FF2" w:rsidP="00B01EA5">
            <w:pPr>
              <w:rPr>
                <w:rFonts w:eastAsia="Times New Roman"/>
                <w:sz w:val="28"/>
                <w:szCs w:val="28"/>
              </w:rPr>
            </w:pPr>
            <w:r w:rsidRPr="006F5388">
              <w:rPr>
                <w:rFonts w:eastAsia="Times New Roman"/>
                <w:sz w:val="28"/>
                <w:szCs w:val="28"/>
                <w:rtl/>
              </w:rPr>
              <w:t>لا أوافق بشدة</w:t>
            </w:r>
          </w:p>
        </w:tc>
        <w:tc>
          <w:tcPr>
            <w:tcW w:w="0" w:type="auto"/>
            <w:vAlign w:val="center"/>
          </w:tcPr>
          <w:p w14:paraId="2927D6C7" w14:textId="77777777" w:rsidR="00403FF2" w:rsidRPr="006F5388" w:rsidRDefault="00403FF2" w:rsidP="00B01EA5">
            <w:pPr>
              <w:rPr>
                <w:rFonts w:eastAsia="Times New Roman"/>
                <w:sz w:val="28"/>
                <w:szCs w:val="28"/>
              </w:rPr>
            </w:pPr>
            <w:r w:rsidRPr="006F5388">
              <w:rPr>
                <w:rFonts w:eastAsia="Times New Roman"/>
                <w:sz w:val="28"/>
                <w:szCs w:val="28"/>
                <w:rtl/>
              </w:rPr>
              <w:t>لا أوافق</w:t>
            </w:r>
          </w:p>
        </w:tc>
        <w:tc>
          <w:tcPr>
            <w:tcW w:w="0" w:type="auto"/>
            <w:vAlign w:val="center"/>
          </w:tcPr>
          <w:p w14:paraId="78675A05" w14:textId="77777777" w:rsidR="00403FF2" w:rsidRPr="006F5388" w:rsidRDefault="00403FF2" w:rsidP="00B01EA5">
            <w:pPr>
              <w:rPr>
                <w:rFonts w:eastAsia="Times New Roman"/>
                <w:sz w:val="28"/>
                <w:szCs w:val="28"/>
              </w:rPr>
            </w:pPr>
            <w:r w:rsidRPr="006F5388">
              <w:rPr>
                <w:rFonts w:eastAsia="Times New Roman"/>
                <w:sz w:val="28"/>
                <w:szCs w:val="28"/>
                <w:rtl/>
              </w:rPr>
              <w:t>محايد</w:t>
            </w:r>
          </w:p>
        </w:tc>
        <w:tc>
          <w:tcPr>
            <w:tcW w:w="0" w:type="auto"/>
            <w:vAlign w:val="center"/>
          </w:tcPr>
          <w:p w14:paraId="2FF567D4" w14:textId="77777777" w:rsidR="00403FF2" w:rsidRPr="006F5388" w:rsidRDefault="00403FF2" w:rsidP="00B01EA5">
            <w:pPr>
              <w:rPr>
                <w:rFonts w:eastAsia="Times New Roman"/>
                <w:sz w:val="28"/>
                <w:szCs w:val="28"/>
              </w:rPr>
            </w:pPr>
            <w:r w:rsidRPr="006F5388">
              <w:rPr>
                <w:rFonts w:eastAsia="Times New Roman"/>
                <w:sz w:val="28"/>
                <w:szCs w:val="28"/>
                <w:rtl/>
              </w:rPr>
              <w:t>أوافق</w:t>
            </w:r>
          </w:p>
        </w:tc>
        <w:tc>
          <w:tcPr>
            <w:tcW w:w="0" w:type="auto"/>
            <w:vAlign w:val="center"/>
          </w:tcPr>
          <w:p w14:paraId="749D0D26" w14:textId="77777777" w:rsidR="00403FF2" w:rsidRPr="006F5388" w:rsidRDefault="00403FF2" w:rsidP="00B01EA5">
            <w:pPr>
              <w:rPr>
                <w:sz w:val="28"/>
                <w:szCs w:val="28"/>
                <w:rtl/>
              </w:rPr>
            </w:pPr>
            <w:r w:rsidRPr="006F5388">
              <w:rPr>
                <w:rFonts w:eastAsia="Times New Roman"/>
                <w:sz w:val="28"/>
                <w:szCs w:val="28"/>
                <w:rtl/>
              </w:rPr>
              <w:t>أوافق بشدة</w:t>
            </w:r>
          </w:p>
        </w:tc>
      </w:tr>
      <w:tr w:rsidR="00403FF2" w:rsidRPr="006F5388" w14:paraId="1A165188" w14:textId="77777777" w:rsidTr="00BD5864">
        <w:tc>
          <w:tcPr>
            <w:tcW w:w="0" w:type="auto"/>
            <w:vAlign w:val="center"/>
          </w:tcPr>
          <w:p w14:paraId="6AE72C03" w14:textId="77777777" w:rsidR="00403FF2" w:rsidRPr="006F5388" w:rsidRDefault="00403FF2" w:rsidP="00B01EA5">
            <w:pPr>
              <w:rPr>
                <w:sz w:val="28"/>
                <w:szCs w:val="28"/>
                <w:rtl/>
              </w:rPr>
            </w:pPr>
            <w:r w:rsidRPr="006F5388">
              <w:rPr>
                <w:rFonts w:eastAsia="Times New Roman"/>
                <w:sz w:val="28"/>
                <w:szCs w:val="28"/>
              </w:rPr>
              <w:t>1</w:t>
            </w:r>
          </w:p>
        </w:tc>
        <w:tc>
          <w:tcPr>
            <w:tcW w:w="0" w:type="auto"/>
            <w:vAlign w:val="center"/>
          </w:tcPr>
          <w:p w14:paraId="41904DCD" w14:textId="77777777" w:rsidR="00403FF2" w:rsidRPr="006F5388" w:rsidRDefault="00403FF2" w:rsidP="00B01EA5">
            <w:pPr>
              <w:rPr>
                <w:rFonts w:eastAsia="Times New Roman"/>
                <w:sz w:val="28"/>
                <w:szCs w:val="28"/>
              </w:rPr>
            </w:pPr>
            <w:r w:rsidRPr="006F5388">
              <w:rPr>
                <w:rFonts w:eastAsia="Times New Roman"/>
                <w:sz w:val="28"/>
                <w:szCs w:val="28"/>
                <w:rtl/>
              </w:rPr>
              <w:t>أشعر بالرضا العام عن حياتي المهنية في المؤسسة.</w:t>
            </w:r>
          </w:p>
        </w:tc>
        <w:tc>
          <w:tcPr>
            <w:tcW w:w="0" w:type="auto"/>
            <w:vAlign w:val="center"/>
          </w:tcPr>
          <w:p w14:paraId="58057BB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56868A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182F56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80E49F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7393E42"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6C5507DE" w14:textId="77777777" w:rsidTr="00BD5864">
        <w:tc>
          <w:tcPr>
            <w:tcW w:w="0" w:type="auto"/>
            <w:vAlign w:val="center"/>
          </w:tcPr>
          <w:p w14:paraId="654282EE" w14:textId="77777777" w:rsidR="00403FF2" w:rsidRPr="006F5388" w:rsidRDefault="00403FF2" w:rsidP="00B01EA5">
            <w:pPr>
              <w:rPr>
                <w:sz w:val="28"/>
                <w:szCs w:val="28"/>
                <w:rtl/>
              </w:rPr>
            </w:pPr>
            <w:r w:rsidRPr="006F5388">
              <w:rPr>
                <w:rFonts w:eastAsia="Times New Roman"/>
                <w:sz w:val="28"/>
                <w:szCs w:val="28"/>
              </w:rPr>
              <w:t>2</w:t>
            </w:r>
          </w:p>
        </w:tc>
        <w:tc>
          <w:tcPr>
            <w:tcW w:w="0" w:type="auto"/>
            <w:vAlign w:val="center"/>
          </w:tcPr>
          <w:p w14:paraId="43A5CAF7" w14:textId="77777777" w:rsidR="00403FF2" w:rsidRPr="006F5388" w:rsidRDefault="00403FF2" w:rsidP="00B01EA5">
            <w:pPr>
              <w:rPr>
                <w:rFonts w:eastAsia="Times New Roman"/>
                <w:sz w:val="28"/>
                <w:szCs w:val="28"/>
              </w:rPr>
            </w:pPr>
            <w:r w:rsidRPr="006F5388">
              <w:rPr>
                <w:rFonts w:eastAsia="Times New Roman"/>
                <w:sz w:val="28"/>
                <w:szCs w:val="28"/>
                <w:rtl/>
              </w:rPr>
              <w:t>أتمتع بصحة بدنية جيدة تساعدني على أداء مهامي بكفاءة.</w:t>
            </w:r>
          </w:p>
        </w:tc>
        <w:tc>
          <w:tcPr>
            <w:tcW w:w="0" w:type="auto"/>
            <w:vAlign w:val="center"/>
          </w:tcPr>
          <w:p w14:paraId="4A682BC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964B7D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7EE0D5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283D3E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665D97A"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5846BA47" w14:textId="77777777" w:rsidTr="00BD5864">
        <w:tc>
          <w:tcPr>
            <w:tcW w:w="0" w:type="auto"/>
            <w:vAlign w:val="center"/>
          </w:tcPr>
          <w:p w14:paraId="151BB4BB" w14:textId="77777777" w:rsidR="00403FF2" w:rsidRPr="006F5388" w:rsidRDefault="00403FF2" w:rsidP="00B01EA5">
            <w:pPr>
              <w:rPr>
                <w:rFonts w:eastAsia="Times New Roman"/>
                <w:sz w:val="28"/>
                <w:szCs w:val="28"/>
              </w:rPr>
            </w:pPr>
            <w:r w:rsidRPr="006F5388">
              <w:rPr>
                <w:rFonts w:eastAsia="Times New Roman"/>
                <w:sz w:val="28"/>
                <w:szCs w:val="28"/>
              </w:rPr>
              <w:t>3</w:t>
            </w:r>
          </w:p>
        </w:tc>
        <w:tc>
          <w:tcPr>
            <w:tcW w:w="0" w:type="auto"/>
            <w:vAlign w:val="center"/>
          </w:tcPr>
          <w:p w14:paraId="62F11EC2" w14:textId="77777777" w:rsidR="00403FF2" w:rsidRPr="006F5388" w:rsidRDefault="00403FF2" w:rsidP="00B01EA5">
            <w:pPr>
              <w:rPr>
                <w:rFonts w:eastAsia="Times New Roman"/>
                <w:sz w:val="28"/>
                <w:szCs w:val="28"/>
              </w:rPr>
            </w:pPr>
            <w:r w:rsidRPr="006F5388">
              <w:rPr>
                <w:rFonts w:eastAsia="Times New Roman"/>
                <w:sz w:val="28"/>
                <w:szCs w:val="28"/>
                <w:rtl/>
              </w:rPr>
              <w:t>أحقق توازنًا مقبولًا بين العمل والحياة الشخصية.</w:t>
            </w:r>
          </w:p>
        </w:tc>
        <w:tc>
          <w:tcPr>
            <w:tcW w:w="0" w:type="auto"/>
            <w:vAlign w:val="center"/>
          </w:tcPr>
          <w:p w14:paraId="5735D47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7259B5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8C57A4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AF1B51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5BBFF8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74DCB2F5" w14:textId="77777777" w:rsidTr="00BD5864">
        <w:tc>
          <w:tcPr>
            <w:tcW w:w="0" w:type="auto"/>
            <w:vAlign w:val="center"/>
          </w:tcPr>
          <w:p w14:paraId="2C6526A3" w14:textId="77777777" w:rsidR="00403FF2" w:rsidRPr="006F5388" w:rsidRDefault="00403FF2" w:rsidP="00B01EA5">
            <w:pPr>
              <w:rPr>
                <w:rFonts w:eastAsia="Times New Roman"/>
                <w:sz w:val="28"/>
                <w:szCs w:val="28"/>
              </w:rPr>
            </w:pPr>
            <w:r w:rsidRPr="006F5388">
              <w:rPr>
                <w:rFonts w:eastAsia="Times New Roman"/>
                <w:sz w:val="28"/>
                <w:szCs w:val="28"/>
              </w:rPr>
              <w:t>4</w:t>
            </w:r>
          </w:p>
        </w:tc>
        <w:tc>
          <w:tcPr>
            <w:tcW w:w="0" w:type="auto"/>
            <w:vAlign w:val="center"/>
          </w:tcPr>
          <w:p w14:paraId="3F8803D2" w14:textId="77777777" w:rsidR="00403FF2" w:rsidRPr="006F5388" w:rsidRDefault="00403FF2" w:rsidP="00B01EA5">
            <w:pPr>
              <w:rPr>
                <w:rFonts w:eastAsia="Times New Roman"/>
                <w:sz w:val="28"/>
                <w:szCs w:val="28"/>
              </w:rPr>
            </w:pPr>
            <w:r w:rsidRPr="006F5388">
              <w:rPr>
                <w:rFonts w:eastAsia="Times New Roman"/>
                <w:sz w:val="28"/>
                <w:szCs w:val="28"/>
                <w:rtl/>
              </w:rPr>
              <w:t>أشعر بالتقدير والدعم من إدارة المؤسسة وزملائي.</w:t>
            </w:r>
          </w:p>
        </w:tc>
        <w:tc>
          <w:tcPr>
            <w:tcW w:w="0" w:type="auto"/>
            <w:vAlign w:val="center"/>
          </w:tcPr>
          <w:p w14:paraId="6007698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767480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042863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324A24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F719E8E"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CCF30AC" w14:textId="77777777" w:rsidTr="00BD5864">
        <w:tc>
          <w:tcPr>
            <w:tcW w:w="0" w:type="auto"/>
            <w:vAlign w:val="center"/>
          </w:tcPr>
          <w:p w14:paraId="51CA4721" w14:textId="77777777" w:rsidR="00403FF2" w:rsidRPr="006F5388" w:rsidRDefault="00403FF2" w:rsidP="00B01EA5">
            <w:pPr>
              <w:rPr>
                <w:rFonts w:eastAsia="Times New Roman"/>
                <w:sz w:val="28"/>
                <w:szCs w:val="28"/>
              </w:rPr>
            </w:pPr>
            <w:r w:rsidRPr="006F5388">
              <w:rPr>
                <w:rFonts w:eastAsia="Times New Roman"/>
                <w:sz w:val="28"/>
                <w:szCs w:val="28"/>
              </w:rPr>
              <w:t>5</w:t>
            </w:r>
          </w:p>
        </w:tc>
        <w:tc>
          <w:tcPr>
            <w:tcW w:w="0" w:type="auto"/>
            <w:vAlign w:val="center"/>
          </w:tcPr>
          <w:p w14:paraId="5817AD01" w14:textId="77777777" w:rsidR="00403FF2" w:rsidRPr="006F5388" w:rsidRDefault="00403FF2" w:rsidP="00B01EA5">
            <w:pPr>
              <w:rPr>
                <w:rFonts w:eastAsia="Times New Roman"/>
                <w:sz w:val="28"/>
                <w:szCs w:val="28"/>
              </w:rPr>
            </w:pPr>
            <w:r w:rsidRPr="006F5388">
              <w:rPr>
                <w:rFonts w:eastAsia="Times New Roman"/>
                <w:sz w:val="28"/>
                <w:szCs w:val="28"/>
                <w:rtl/>
              </w:rPr>
              <w:t>تتوفر لي فرص مناسبة للتطوير المهني والنمو الوظيفي.</w:t>
            </w:r>
          </w:p>
        </w:tc>
        <w:tc>
          <w:tcPr>
            <w:tcW w:w="0" w:type="auto"/>
            <w:vAlign w:val="center"/>
          </w:tcPr>
          <w:p w14:paraId="1F54EE6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84AECF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D7189C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7BEC2F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C4BA394"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31C23D6" w14:textId="77777777" w:rsidTr="00BD5864">
        <w:tc>
          <w:tcPr>
            <w:tcW w:w="0" w:type="auto"/>
            <w:vAlign w:val="center"/>
          </w:tcPr>
          <w:p w14:paraId="038AEA0A" w14:textId="77777777" w:rsidR="00403FF2" w:rsidRPr="006F5388" w:rsidRDefault="00403FF2" w:rsidP="00B01EA5">
            <w:pPr>
              <w:rPr>
                <w:rFonts w:eastAsia="Times New Roman"/>
                <w:sz w:val="28"/>
                <w:szCs w:val="28"/>
              </w:rPr>
            </w:pPr>
            <w:r w:rsidRPr="006F5388">
              <w:rPr>
                <w:rFonts w:eastAsia="Times New Roman"/>
                <w:sz w:val="28"/>
                <w:szCs w:val="28"/>
              </w:rPr>
              <w:t>6</w:t>
            </w:r>
          </w:p>
        </w:tc>
        <w:tc>
          <w:tcPr>
            <w:tcW w:w="0" w:type="auto"/>
            <w:vAlign w:val="center"/>
          </w:tcPr>
          <w:p w14:paraId="034133EA" w14:textId="77777777" w:rsidR="00403FF2" w:rsidRPr="006F5388" w:rsidRDefault="00403FF2" w:rsidP="00B01EA5">
            <w:pPr>
              <w:rPr>
                <w:rFonts w:eastAsia="Times New Roman"/>
                <w:sz w:val="28"/>
                <w:szCs w:val="28"/>
              </w:rPr>
            </w:pPr>
            <w:r w:rsidRPr="006F5388">
              <w:rPr>
                <w:rFonts w:eastAsia="Times New Roman"/>
                <w:sz w:val="28"/>
                <w:szCs w:val="28"/>
                <w:rtl/>
              </w:rPr>
              <w:t>أحصل على مكافآت أو حوافز تشجعني على الاستمرار في الأداء المتميز.</w:t>
            </w:r>
          </w:p>
        </w:tc>
        <w:tc>
          <w:tcPr>
            <w:tcW w:w="0" w:type="auto"/>
            <w:vAlign w:val="center"/>
          </w:tcPr>
          <w:p w14:paraId="777146E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FBA4D9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94038E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FD3F0F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0CF7DDC"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4020A9EE" w14:textId="77777777" w:rsidTr="00BD5864">
        <w:tc>
          <w:tcPr>
            <w:tcW w:w="0" w:type="auto"/>
            <w:vAlign w:val="center"/>
          </w:tcPr>
          <w:p w14:paraId="09978417" w14:textId="77777777" w:rsidR="00403FF2" w:rsidRPr="006F5388" w:rsidRDefault="00403FF2" w:rsidP="00B01EA5">
            <w:pPr>
              <w:rPr>
                <w:rFonts w:eastAsia="Times New Roman"/>
                <w:sz w:val="28"/>
                <w:szCs w:val="28"/>
              </w:rPr>
            </w:pPr>
            <w:r w:rsidRPr="006F5388">
              <w:rPr>
                <w:rFonts w:eastAsia="Times New Roman"/>
                <w:sz w:val="28"/>
                <w:szCs w:val="28"/>
              </w:rPr>
              <w:t>7</w:t>
            </w:r>
          </w:p>
        </w:tc>
        <w:tc>
          <w:tcPr>
            <w:tcW w:w="0" w:type="auto"/>
            <w:vAlign w:val="center"/>
          </w:tcPr>
          <w:p w14:paraId="14B31470" w14:textId="77777777" w:rsidR="00403FF2" w:rsidRPr="006F5388" w:rsidRDefault="00403FF2" w:rsidP="00B01EA5">
            <w:pPr>
              <w:rPr>
                <w:rFonts w:eastAsia="Times New Roman"/>
                <w:sz w:val="28"/>
                <w:szCs w:val="28"/>
              </w:rPr>
            </w:pPr>
            <w:r w:rsidRPr="006F5388">
              <w:rPr>
                <w:rFonts w:eastAsia="Times New Roman"/>
                <w:sz w:val="28"/>
                <w:szCs w:val="28"/>
                <w:rtl/>
              </w:rPr>
              <w:t>راتبي ومزاياي المالية تتناسب مع طبيعة الجهد والمسؤوليات.</w:t>
            </w:r>
          </w:p>
        </w:tc>
        <w:tc>
          <w:tcPr>
            <w:tcW w:w="0" w:type="auto"/>
            <w:vAlign w:val="center"/>
          </w:tcPr>
          <w:p w14:paraId="3523DB5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BA34DF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2F3962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5D4860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52679E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6B1798A3" w14:textId="77777777" w:rsidTr="00BD5864">
        <w:tc>
          <w:tcPr>
            <w:tcW w:w="0" w:type="auto"/>
            <w:vAlign w:val="center"/>
          </w:tcPr>
          <w:p w14:paraId="4023DCB6" w14:textId="77777777" w:rsidR="00403FF2" w:rsidRPr="006F5388" w:rsidRDefault="00403FF2" w:rsidP="00B01EA5">
            <w:pPr>
              <w:rPr>
                <w:rFonts w:eastAsia="Times New Roman"/>
                <w:sz w:val="28"/>
                <w:szCs w:val="28"/>
              </w:rPr>
            </w:pPr>
            <w:r w:rsidRPr="006F5388">
              <w:rPr>
                <w:rFonts w:eastAsia="Times New Roman"/>
                <w:sz w:val="28"/>
                <w:szCs w:val="28"/>
              </w:rPr>
              <w:t>8</w:t>
            </w:r>
          </w:p>
        </w:tc>
        <w:tc>
          <w:tcPr>
            <w:tcW w:w="0" w:type="auto"/>
            <w:vAlign w:val="center"/>
          </w:tcPr>
          <w:p w14:paraId="3AD7165F" w14:textId="77777777" w:rsidR="00403FF2" w:rsidRPr="006F5388" w:rsidRDefault="00403FF2" w:rsidP="00B01EA5">
            <w:pPr>
              <w:rPr>
                <w:rFonts w:eastAsia="Times New Roman"/>
                <w:sz w:val="28"/>
                <w:szCs w:val="28"/>
              </w:rPr>
            </w:pPr>
            <w:r w:rsidRPr="006F5388">
              <w:rPr>
                <w:rFonts w:eastAsia="Times New Roman"/>
                <w:sz w:val="28"/>
                <w:szCs w:val="28"/>
                <w:rtl/>
              </w:rPr>
              <w:t>أتمكن من التعامل مع ضغوط العمل دون أن تؤثر سلبًا على نفسيتي.</w:t>
            </w:r>
          </w:p>
        </w:tc>
        <w:tc>
          <w:tcPr>
            <w:tcW w:w="0" w:type="auto"/>
            <w:vAlign w:val="center"/>
          </w:tcPr>
          <w:p w14:paraId="688215B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187500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F166B9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A29950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84646D0"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0347A7D2" w14:textId="77777777" w:rsidR="00A61A27" w:rsidRDefault="0089331B">
      <w:pPr>
        <w:spacing w:before="40" w:after="120"/>
        <w:jc w:val="right"/>
      </w:pPr>
      <w:r>
        <w:rPr>
          <w:rFonts w:ascii="Traditional Arabic" w:hAnsi="Traditional Arabic" w:cs="Traditional Arabic"/>
          <w:i/>
          <w:sz w:val="22"/>
          <w:rtl/>
        </w:rPr>
        <w:t>المصدر: إعداد الباحثة بالاستناد إلى الإطار النظري والدراسات السابقة.</w:t>
      </w:r>
    </w:p>
    <w:p w14:paraId="6EFDC77A" w14:textId="77777777" w:rsidR="00B54325" w:rsidRDefault="00B54325" w:rsidP="00B01EA5">
      <w:pPr>
        <w:rPr>
          <w:rStyle w:val="ad"/>
          <w:rFonts w:asciiTheme="minorBidi" w:eastAsia="Times New Roman" w:hAnsiTheme="minorBidi"/>
          <w:sz w:val="28"/>
          <w:szCs w:val="28"/>
          <w:rtl/>
        </w:rPr>
      </w:pPr>
    </w:p>
    <w:p w14:paraId="18DA8943" w14:textId="77777777" w:rsidR="00B54325" w:rsidRDefault="00B54325" w:rsidP="00B01EA5">
      <w:pPr>
        <w:rPr>
          <w:rStyle w:val="ad"/>
          <w:rFonts w:asciiTheme="minorBidi" w:eastAsia="Times New Roman" w:hAnsiTheme="minorBidi"/>
          <w:sz w:val="28"/>
          <w:szCs w:val="28"/>
          <w:rtl/>
        </w:rPr>
      </w:pPr>
    </w:p>
    <w:p w14:paraId="12D09600" w14:textId="77777777" w:rsidR="00B54325" w:rsidRDefault="00B54325" w:rsidP="00B01EA5">
      <w:pPr>
        <w:rPr>
          <w:rStyle w:val="ad"/>
          <w:rFonts w:asciiTheme="minorBidi" w:eastAsia="Times New Roman" w:hAnsiTheme="minorBidi"/>
          <w:sz w:val="28"/>
          <w:szCs w:val="28"/>
          <w:rtl/>
        </w:rPr>
      </w:pPr>
    </w:p>
    <w:p w14:paraId="67173C7D" w14:textId="77777777" w:rsidR="00B54325" w:rsidRDefault="00B54325" w:rsidP="00B01EA5">
      <w:pPr>
        <w:rPr>
          <w:rStyle w:val="ad"/>
          <w:rFonts w:asciiTheme="minorBidi" w:eastAsia="Times New Roman" w:hAnsiTheme="minorBidi"/>
          <w:sz w:val="28"/>
          <w:szCs w:val="28"/>
          <w:rtl/>
        </w:rPr>
      </w:pPr>
    </w:p>
    <w:p w14:paraId="017873FC" w14:textId="77777777" w:rsidR="00B54325" w:rsidRDefault="00B54325" w:rsidP="00B01EA5">
      <w:pPr>
        <w:rPr>
          <w:rStyle w:val="ad"/>
          <w:rFonts w:asciiTheme="minorBidi" w:eastAsia="Times New Roman" w:hAnsiTheme="minorBidi"/>
          <w:sz w:val="28"/>
          <w:szCs w:val="28"/>
          <w:rtl/>
        </w:rPr>
      </w:pPr>
    </w:p>
    <w:p w14:paraId="05064598" w14:textId="77777777" w:rsidR="00B54325" w:rsidRDefault="00B54325" w:rsidP="00B01EA5">
      <w:pPr>
        <w:rPr>
          <w:rStyle w:val="ad"/>
          <w:rFonts w:asciiTheme="minorBidi" w:eastAsia="Times New Roman" w:hAnsiTheme="minorBidi"/>
          <w:sz w:val="28"/>
          <w:szCs w:val="28"/>
          <w:rtl/>
        </w:rPr>
      </w:pPr>
    </w:p>
    <w:p w14:paraId="5CA890CA" w14:textId="77777777" w:rsidR="00B54325" w:rsidRDefault="00B54325" w:rsidP="00B01EA5">
      <w:pPr>
        <w:rPr>
          <w:rStyle w:val="ad"/>
          <w:rFonts w:asciiTheme="minorBidi" w:eastAsia="Times New Roman" w:hAnsiTheme="minorBidi"/>
          <w:sz w:val="28"/>
          <w:szCs w:val="28"/>
          <w:rtl/>
        </w:rPr>
      </w:pPr>
    </w:p>
    <w:p w14:paraId="49C7800B" w14:textId="77777777" w:rsidR="00B54325" w:rsidRDefault="00B54325" w:rsidP="00B01EA5">
      <w:pPr>
        <w:rPr>
          <w:rStyle w:val="ad"/>
          <w:rFonts w:asciiTheme="minorBidi" w:eastAsia="Times New Roman" w:hAnsiTheme="minorBidi"/>
          <w:sz w:val="28"/>
          <w:szCs w:val="28"/>
          <w:rtl/>
        </w:rPr>
      </w:pPr>
    </w:p>
    <w:p w14:paraId="05880263" w14:textId="77777777" w:rsidR="00B54325" w:rsidRDefault="00B54325" w:rsidP="00B01EA5">
      <w:pPr>
        <w:rPr>
          <w:rStyle w:val="ad"/>
          <w:rFonts w:asciiTheme="minorBidi" w:eastAsia="Times New Roman" w:hAnsiTheme="minorBidi"/>
          <w:sz w:val="28"/>
          <w:szCs w:val="28"/>
          <w:rtl/>
        </w:rPr>
      </w:pPr>
    </w:p>
    <w:p w14:paraId="4DD04204" w14:textId="77777777" w:rsidR="00B54325" w:rsidRDefault="00B54325" w:rsidP="00B01EA5">
      <w:pPr>
        <w:rPr>
          <w:rStyle w:val="ad"/>
          <w:rFonts w:asciiTheme="minorBidi" w:eastAsia="Times New Roman" w:hAnsiTheme="minorBidi"/>
          <w:sz w:val="28"/>
          <w:szCs w:val="28"/>
          <w:rtl/>
        </w:rPr>
      </w:pPr>
    </w:p>
    <w:p w14:paraId="49817A2E" w14:textId="77777777" w:rsidR="00B54325" w:rsidRDefault="00B54325" w:rsidP="00B01EA5">
      <w:pPr>
        <w:rPr>
          <w:rStyle w:val="ad"/>
          <w:rFonts w:asciiTheme="minorBidi" w:eastAsia="Times New Roman" w:hAnsiTheme="minorBidi"/>
          <w:sz w:val="28"/>
          <w:szCs w:val="28"/>
          <w:rtl/>
        </w:rPr>
      </w:pPr>
    </w:p>
    <w:p w14:paraId="073911AD" w14:textId="77777777" w:rsidR="00B54325" w:rsidRDefault="00B54325" w:rsidP="00B01EA5">
      <w:pPr>
        <w:rPr>
          <w:rStyle w:val="ad"/>
          <w:rFonts w:asciiTheme="minorBidi" w:eastAsia="Times New Roman" w:hAnsiTheme="minorBidi"/>
          <w:sz w:val="28"/>
          <w:szCs w:val="28"/>
          <w:rtl/>
        </w:rPr>
      </w:pPr>
    </w:p>
    <w:p w14:paraId="3367E0F5" w14:textId="77777777" w:rsidR="00B54325" w:rsidRDefault="00B54325" w:rsidP="00B01EA5">
      <w:pPr>
        <w:rPr>
          <w:rStyle w:val="ad"/>
          <w:rFonts w:asciiTheme="minorBidi" w:eastAsia="Times New Roman" w:hAnsiTheme="minorBidi"/>
          <w:sz w:val="28"/>
          <w:szCs w:val="28"/>
          <w:rtl/>
        </w:rPr>
      </w:pPr>
    </w:p>
    <w:p w14:paraId="332DD8F1" w14:textId="77777777" w:rsidR="00403FF2" w:rsidRPr="00CB39E6" w:rsidRDefault="00403FF2" w:rsidP="00B01EA5">
      <w:pPr>
        <w:rPr>
          <w:sz w:val="28"/>
          <w:szCs w:val="28"/>
          <w:rtl/>
        </w:rPr>
      </w:pPr>
      <w:r w:rsidRPr="00CB39E6">
        <w:rPr>
          <w:rStyle w:val="ad"/>
          <w:rFonts w:asciiTheme="minorBidi" w:eastAsia="Times New Roman" w:hAnsiTheme="minorBidi"/>
          <w:sz w:val="28"/>
          <w:szCs w:val="28"/>
          <w:rtl/>
        </w:rPr>
        <w:t>المحور الرابع: الاحتراق الوظيفي</w:t>
      </w:r>
    </w:p>
    <w:p w14:paraId="00E86966" w14:textId="77777777" w:rsidR="00403FF2" w:rsidRPr="006F5388" w:rsidRDefault="00403FF2" w:rsidP="00B54325">
      <w:pPr>
        <w:rPr>
          <w:sz w:val="28"/>
          <w:szCs w:val="28"/>
          <w:rtl/>
        </w:rPr>
      </w:pPr>
      <w:r w:rsidRPr="006F5388">
        <w:rPr>
          <w:sz w:val="28"/>
          <w:szCs w:val="28"/>
          <w:rtl/>
        </w:rPr>
        <w:t>هذا المحور يهدف إلى قياس درجة الإرهاق العاطفي والتبلّد المهني وانخفاض الشعور بالإنجاز الشخصي.</w:t>
      </w:r>
    </w:p>
    <w:tbl>
      <w:tblPr>
        <w:tblStyle w:val="af"/>
        <w:bidiVisual/>
        <w:tblW w:w="0" w:type="auto"/>
        <w:tblLook w:val="04A0" w:firstRow="1" w:lastRow="0" w:firstColumn="1" w:lastColumn="0" w:noHBand="0" w:noVBand="1"/>
      </w:tblPr>
      <w:tblGrid>
        <w:gridCol w:w="372"/>
        <w:gridCol w:w="4256"/>
        <w:gridCol w:w="1152"/>
        <w:gridCol w:w="843"/>
        <w:gridCol w:w="702"/>
        <w:gridCol w:w="691"/>
        <w:gridCol w:w="1000"/>
      </w:tblGrid>
      <w:tr w:rsidR="00403FF2" w:rsidRPr="00C46AEC" w14:paraId="1C0F5F2D" w14:textId="77777777" w:rsidTr="00BD5864">
        <w:tc>
          <w:tcPr>
            <w:tcW w:w="0" w:type="auto"/>
            <w:vAlign w:val="center"/>
          </w:tcPr>
          <w:p w14:paraId="6F202B58" w14:textId="77777777" w:rsidR="00403FF2" w:rsidRPr="00C46AEC" w:rsidRDefault="00403FF2" w:rsidP="00B01EA5">
            <w:pPr>
              <w:rPr>
                <w:sz w:val="28"/>
                <w:szCs w:val="28"/>
                <w:rtl/>
              </w:rPr>
            </w:pPr>
            <w:r w:rsidRPr="00C46AEC">
              <w:rPr>
                <w:sz w:val="28"/>
                <w:szCs w:val="28"/>
                <w:rtl/>
              </w:rPr>
              <w:t>#</w:t>
            </w:r>
          </w:p>
        </w:tc>
        <w:tc>
          <w:tcPr>
            <w:tcW w:w="0" w:type="auto"/>
            <w:vAlign w:val="center"/>
          </w:tcPr>
          <w:p w14:paraId="402BBF23" w14:textId="77777777" w:rsidR="00403FF2" w:rsidRPr="00C46AEC" w:rsidRDefault="00403FF2" w:rsidP="00B01EA5">
            <w:pPr>
              <w:rPr>
                <w:rFonts w:eastAsia="Times New Roman"/>
                <w:sz w:val="28"/>
                <w:szCs w:val="28"/>
                <w:rtl/>
              </w:rPr>
            </w:pPr>
            <w:r w:rsidRPr="00C46AEC">
              <w:rPr>
                <w:rFonts w:eastAsia="Times New Roman"/>
                <w:sz w:val="28"/>
                <w:szCs w:val="28"/>
                <w:rtl/>
              </w:rPr>
              <w:t>العبارة</w:t>
            </w:r>
          </w:p>
        </w:tc>
        <w:tc>
          <w:tcPr>
            <w:tcW w:w="0" w:type="auto"/>
            <w:vAlign w:val="center"/>
          </w:tcPr>
          <w:p w14:paraId="695083CB" w14:textId="77777777" w:rsidR="00403FF2" w:rsidRPr="00C46AEC" w:rsidRDefault="00403FF2" w:rsidP="00B01EA5">
            <w:pPr>
              <w:rPr>
                <w:rFonts w:eastAsia="Times New Roman"/>
                <w:sz w:val="28"/>
                <w:szCs w:val="28"/>
              </w:rPr>
            </w:pPr>
            <w:r w:rsidRPr="00C46AEC">
              <w:rPr>
                <w:rFonts w:eastAsia="Times New Roman"/>
                <w:sz w:val="28"/>
                <w:szCs w:val="28"/>
                <w:rtl/>
              </w:rPr>
              <w:t>لا أوافق بشدة</w:t>
            </w:r>
          </w:p>
        </w:tc>
        <w:tc>
          <w:tcPr>
            <w:tcW w:w="0" w:type="auto"/>
            <w:vAlign w:val="center"/>
          </w:tcPr>
          <w:p w14:paraId="50DCFA08" w14:textId="77777777" w:rsidR="00403FF2" w:rsidRPr="00C46AEC" w:rsidRDefault="00403FF2" w:rsidP="00B01EA5">
            <w:pPr>
              <w:rPr>
                <w:rFonts w:eastAsia="Times New Roman"/>
                <w:sz w:val="28"/>
                <w:szCs w:val="28"/>
              </w:rPr>
            </w:pPr>
            <w:r w:rsidRPr="00C46AEC">
              <w:rPr>
                <w:rFonts w:eastAsia="Times New Roman"/>
                <w:sz w:val="28"/>
                <w:szCs w:val="28"/>
                <w:rtl/>
              </w:rPr>
              <w:t>لا أوافق</w:t>
            </w:r>
          </w:p>
        </w:tc>
        <w:tc>
          <w:tcPr>
            <w:tcW w:w="0" w:type="auto"/>
            <w:vAlign w:val="center"/>
          </w:tcPr>
          <w:p w14:paraId="4870E557" w14:textId="77777777" w:rsidR="00403FF2" w:rsidRPr="00C46AEC" w:rsidRDefault="00403FF2" w:rsidP="00B01EA5">
            <w:pPr>
              <w:rPr>
                <w:rFonts w:eastAsia="Times New Roman"/>
                <w:sz w:val="28"/>
                <w:szCs w:val="28"/>
              </w:rPr>
            </w:pPr>
            <w:r w:rsidRPr="00C46AEC">
              <w:rPr>
                <w:rFonts w:eastAsia="Times New Roman"/>
                <w:sz w:val="28"/>
                <w:szCs w:val="28"/>
                <w:rtl/>
              </w:rPr>
              <w:t>محايد</w:t>
            </w:r>
          </w:p>
        </w:tc>
        <w:tc>
          <w:tcPr>
            <w:tcW w:w="0" w:type="auto"/>
            <w:vAlign w:val="center"/>
          </w:tcPr>
          <w:p w14:paraId="2E1B0BAE" w14:textId="77777777" w:rsidR="00403FF2" w:rsidRPr="00C46AEC" w:rsidRDefault="00403FF2" w:rsidP="00B01EA5">
            <w:pPr>
              <w:rPr>
                <w:rFonts w:eastAsia="Times New Roman"/>
                <w:sz w:val="28"/>
                <w:szCs w:val="28"/>
              </w:rPr>
            </w:pPr>
            <w:r w:rsidRPr="00C46AEC">
              <w:rPr>
                <w:rFonts w:eastAsia="Times New Roman"/>
                <w:sz w:val="28"/>
                <w:szCs w:val="28"/>
                <w:rtl/>
              </w:rPr>
              <w:t>أوافق</w:t>
            </w:r>
          </w:p>
        </w:tc>
        <w:tc>
          <w:tcPr>
            <w:tcW w:w="0" w:type="auto"/>
            <w:vAlign w:val="center"/>
          </w:tcPr>
          <w:p w14:paraId="5E9BDA37" w14:textId="77777777" w:rsidR="00403FF2" w:rsidRPr="00C46AEC" w:rsidRDefault="00403FF2" w:rsidP="00B01EA5">
            <w:pPr>
              <w:rPr>
                <w:sz w:val="28"/>
                <w:szCs w:val="28"/>
                <w:rtl/>
              </w:rPr>
            </w:pPr>
            <w:r w:rsidRPr="00C46AEC">
              <w:rPr>
                <w:rFonts w:eastAsia="Times New Roman"/>
                <w:sz w:val="28"/>
                <w:szCs w:val="28"/>
                <w:rtl/>
              </w:rPr>
              <w:t>أوافق بشدة</w:t>
            </w:r>
          </w:p>
        </w:tc>
      </w:tr>
      <w:tr w:rsidR="00403FF2" w:rsidRPr="006F5388" w14:paraId="315F35E1" w14:textId="77777777" w:rsidTr="00BD5864">
        <w:tc>
          <w:tcPr>
            <w:tcW w:w="0" w:type="auto"/>
            <w:vAlign w:val="center"/>
          </w:tcPr>
          <w:p w14:paraId="14C30A1B" w14:textId="77777777" w:rsidR="00403FF2" w:rsidRPr="00C46AEC" w:rsidRDefault="00403FF2" w:rsidP="00B01EA5">
            <w:pPr>
              <w:rPr>
                <w:sz w:val="28"/>
                <w:szCs w:val="28"/>
                <w:rtl/>
              </w:rPr>
            </w:pPr>
            <w:r w:rsidRPr="00C46AEC">
              <w:rPr>
                <w:rFonts w:eastAsia="Times New Roman"/>
                <w:sz w:val="28"/>
                <w:szCs w:val="28"/>
              </w:rPr>
              <w:t>1</w:t>
            </w:r>
          </w:p>
        </w:tc>
        <w:tc>
          <w:tcPr>
            <w:tcW w:w="0" w:type="auto"/>
            <w:vAlign w:val="center"/>
          </w:tcPr>
          <w:p w14:paraId="19676F99" w14:textId="77777777" w:rsidR="00403FF2" w:rsidRPr="006F5388" w:rsidRDefault="00403FF2" w:rsidP="00B01EA5">
            <w:pPr>
              <w:rPr>
                <w:rFonts w:eastAsia="Times New Roman"/>
                <w:sz w:val="28"/>
                <w:szCs w:val="28"/>
              </w:rPr>
            </w:pPr>
            <w:r w:rsidRPr="006F5388">
              <w:rPr>
                <w:rFonts w:eastAsia="Times New Roman"/>
                <w:sz w:val="28"/>
                <w:szCs w:val="28"/>
                <w:rtl/>
              </w:rPr>
              <w:t>أشعر بإرهاق عاطفي متكرر بسبب ضغوط العمل اليومية.</w:t>
            </w:r>
          </w:p>
        </w:tc>
        <w:tc>
          <w:tcPr>
            <w:tcW w:w="0" w:type="auto"/>
            <w:vAlign w:val="center"/>
          </w:tcPr>
          <w:p w14:paraId="3031067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3D2D54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A4E00C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D7FC9C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A6C8CB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79ADAA98" w14:textId="77777777" w:rsidTr="00BD5864">
        <w:tc>
          <w:tcPr>
            <w:tcW w:w="0" w:type="auto"/>
            <w:vAlign w:val="center"/>
          </w:tcPr>
          <w:p w14:paraId="2CA2B3B5" w14:textId="77777777" w:rsidR="00403FF2" w:rsidRPr="00C46AEC" w:rsidRDefault="00403FF2" w:rsidP="00B01EA5">
            <w:pPr>
              <w:rPr>
                <w:sz w:val="28"/>
                <w:szCs w:val="28"/>
                <w:rtl/>
              </w:rPr>
            </w:pPr>
            <w:r w:rsidRPr="00C46AEC">
              <w:rPr>
                <w:rFonts w:eastAsia="Times New Roman"/>
                <w:sz w:val="28"/>
                <w:szCs w:val="28"/>
              </w:rPr>
              <w:t>2</w:t>
            </w:r>
          </w:p>
        </w:tc>
        <w:tc>
          <w:tcPr>
            <w:tcW w:w="0" w:type="auto"/>
            <w:vAlign w:val="center"/>
          </w:tcPr>
          <w:p w14:paraId="78D4FEB7" w14:textId="77777777" w:rsidR="00403FF2" w:rsidRPr="006F5388" w:rsidRDefault="00403FF2" w:rsidP="00B01EA5">
            <w:pPr>
              <w:rPr>
                <w:rFonts w:eastAsia="Times New Roman"/>
                <w:sz w:val="28"/>
                <w:szCs w:val="28"/>
              </w:rPr>
            </w:pPr>
            <w:r w:rsidRPr="006F5388">
              <w:rPr>
                <w:rFonts w:eastAsia="Times New Roman"/>
                <w:sz w:val="28"/>
                <w:szCs w:val="28"/>
                <w:rtl/>
              </w:rPr>
              <w:t>أصبحت أقل حماسًا تجاه أداء مهامي المهنية.</w:t>
            </w:r>
          </w:p>
        </w:tc>
        <w:tc>
          <w:tcPr>
            <w:tcW w:w="0" w:type="auto"/>
            <w:vAlign w:val="center"/>
          </w:tcPr>
          <w:p w14:paraId="1E3CBC2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B09E50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5A4095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108547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79CE945"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4C33FA7" w14:textId="77777777" w:rsidTr="00BD5864">
        <w:tc>
          <w:tcPr>
            <w:tcW w:w="0" w:type="auto"/>
            <w:vAlign w:val="center"/>
          </w:tcPr>
          <w:p w14:paraId="167681B5" w14:textId="77777777" w:rsidR="00403FF2" w:rsidRPr="00C46AEC" w:rsidRDefault="00403FF2" w:rsidP="00B01EA5">
            <w:pPr>
              <w:rPr>
                <w:rFonts w:eastAsia="Times New Roman"/>
                <w:sz w:val="28"/>
                <w:szCs w:val="28"/>
              </w:rPr>
            </w:pPr>
            <w:r w:rsidRPr="00C46AEC">
              <w:rPr>
                <w:rFonts w:eastAsia="Times New Roman"/>
                <w:sz w:val="28"/>
                <w:szCs w:val="28"/>
              </w:rPr>
              <w:t>3</w:t>
            </w:r>
          </w:p>
        </w:tc>
        <w:tc>
          <w:tcPr>
            <w:tcW w:w="0" w:type="auto"/>
            <w:vAlign w:val="center"/>
          </w:tcPr>
          <w:p w14:paraId="5B5AB33A" w14:textId="77777777" w:rsidR="00403FF2" w:rsidRPr="006F5388" w:rsidRDefault="00403FF2" w:rsidP="00B01EA5">
            <w:pPr>
              <w:rPr>
                <w:rFonts w:eastAsia="Times New Roman"/>
                <w:sz w:val="28"/>
                <w:szCs w:val="28"/>
              </w:rPr>
            </w:pPr>
            <w:r w:rsidRPr="006F5388">
              <w:rPr>
                <w:rFonts w:eastAsia="Times New Roman"/>
                <w:sz w:val="28"/>
                <w:szCs w:val="28"/>
                <w:rtl/>
              </w:rPr>
              <w:t>أتعامل مع المرضى أو المستفيدين ببرود وانفصال عاطفي أحيانًا.</w:t>
            </w:r>
          </w:p>
        </w:tc>
        <w:tc>
          <w:tcPr>
            <w:tcW w:w="0" w:type="auto"/>
            <w:vAlign w:val="center"/>
          </w:tcPr>
          <w:p w14:paraId="419A93E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22A05D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12E4CD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84792A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CD0E3E3"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661BCEFB" w14:textId="77777777" w:rsidTr="00BD5864">
        <w:tc>
          <w:tcPr>
            <w:tcW w:w="0" w:type="auto"/>
            <w:vAlign w:val="center"/>
          </w:tcPr>
          <w:p w14:paraId="216DA863" w14:textId="77777777" w:rsidR="00403FF2" w:rsidRPr="00C46AEC" w:rsidRDefault="00403FF2" w:rsidP="00B01EA5">
            <w:pPr>
              <w:rPr>
                <w:rFonts w:eastAsia="Times New Roman"/>
                <w:sz w:val="28"/>
                <w:szCs w:val="28"/>
              </w:rPr>
            </w:pPr>
            <w:r w:rsidRPr="00C46AEC">
              <w:rPr>
                <w:rFonts w:eastAsia="Times New Roman"/>
                <w:sz w:val="28"/>
                <w:szCs w:val="28"/>
              </w:rPr>
              <w:t>4</w:t>
            </w:r>
          </w:p>
        </w:tc>
        <w:tc>
          <w:tcPr>
            <w:tcW w:w="0" w:type="auto"/>
            <w:vAlign w:val="center"/>
          </w:tcPr>
          <w:p w14:paraId="06E192B8" w14:textId="77777777" w:rsidR="00403FF2" w:rsidRPr="006F5388" w:rsidRDefault="00403FF2" w:rsidP="00B01EA5">
            <w:pPr>
              <w:rPr>
                <w:rFonts w:eastAsia="Times New Roman"/>
                <w:sz w:val="28"/>
                <w:szCs w:val="28"/>
              </w:rPr>
            </w:pPr>
            <w:r w:rsidRPr="006F5388">
              <w:rPr>
                <w:rFonts w:eastAsia="Times New Roman"/>
                <w:sz w:val="28"/>
                <w:szCs w:val="28"/>
                <w:rtl/>
              </w:rPr>
              <w:t>أواجه صعوبة في الشعور بالإنجاز عند نهاية يوم العمل.</w:t>
            </w:r>
          </w:p>
        </w:tc>
        <w:tc>
          <w:tcPr>
            <w:tcW w:w="0" w:type="auto"/>
            <w:vAlign w:val="center"/>
          </w:tcPr>
          <w:p w14:paraId="16C64B8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04C33B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669AE4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F4ED03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D97080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7CA36E70" w14:textId="77777777" w:rsidTr="00BD5864">
        <w:tc>
          <w:tcPr>
            <w:tcW w:w="0" w:type="auto"/>
            <w:vAlign w:val="center"/>
          </w:tcPr>
          <w:p w14:paraId="53E0563D" w14:textId="77777777" w:rsidR="00403FF2" w:rsidRPr="00C46AEC" w:rsidRDefault="00403FF2" w:rsidP="00B01EA5">
            <w:pPr>
              <w:rPr>
                <w:rFonts w:eastAsia="Times New Roman"/>
                <w:sz w:val="28"/>
                <w:szCs w:val="28"/>
              </w:rPr>
            </w:pPr>
            <w:r w:rsidRPr="00C46AEC">
              <w:rPr>
                <w:rFonts w:eastAsia="Times New Roman"/>
                <w:sz w:val="28"/>
                <w:szCs w:val="28"/>
              </w:rPr>
              <w:t>5</w:t>
            </w:r>
          </w:p>
        </w:tc>
        <w:tc>
          <w:tcPr>
            <w:tcW w:w="0" w:type="auto"/>
            <w:vAlign w:val="center"/>
          </w:tcPr>
          <w:p w14:paraId="605940F1" w14:textId="77777777" w:rsidR="00403FF2" w:rsidRPr="006F5388" w:rsidRDefault="00403FF2" w:rsidP="00B01EA5">
            <w:pPr>
              <w:rPr>
                <w:rFonts w:eastAsia="Times New Roman"/>
                <w:sz w:val="28"/>
                <w:szCs w:val="28"/>
              </w:rPr>
            </w:pPr>
            <w:r w:rsidRPr="006F5388">
              <w:rPr>
                <w:rFonts w:eastAsia="Times New Roman"/>
                <w:sz w:val="28"/>
                <w:szCs w:val="28"/>
                <w:rtl/>
              </w:rPr>
              <w:t>تراودني مشاعر بالإنهاك وفقدان الطاقة خلال الأسبوع.</w:t>
            </w:r>
          </w:p>
        </w:tc>
        <w:tc>
          <w:tcPr>
            <w:tcW w:w="0" w:type="auto"/>
            <w:vAlign w:val="center"/>
          </w:tcPr>
          <w:p w14:paraId="5B1D552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F57F5A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C7814F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5C9D10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A65C0D5"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736FEA1A" w14:textId="77777777" w:rsidTr="00BD5864">
        <w:tc>
          <w:tcPr>
            <w:tcW w:w="0" w:type="auto"/>
            <w:vAlign w:val="center"/>
          </w:tcPr>
          <w:p w14:paraId="24D0AE55" w14:textId="77777777" w:rsidR="00403FF2" w:rsidRPr="00C46AEC" w:rsidRDefault="00403FF2" w:rsidP="00B01EA5">
            <w:pPr>
              <w:rPr>
                <w:rFonts w:eastAsia="Times New Roman"/>
                <w:sz w:val="28"/>
                <w:szCs w:val="28"/>
              </w:rPr>
            </w:pPr>
            <w:r w:rsidRPr="00C46AEC">
              <w:rPr>
                <w:rFonts w:eastAsia="Times New Roman"/>
                <w:sz w:val="28"/>
                <w:szCs w:val="28"/>
              </w:rPr>
              <w:t>6</w:t>
            </w:r>
          </w:p>
        </w:tc>
        <w:tc>
          <w:tcPr>
            <w:tcW w:w="0" w:type="auto"/>
            <w:vAlign w:val="center"/>
          </w:tcPr>
          <w:p w14:paraId="74BCBF14" w14:textId="77777777" w:rsidR="00403FF2" w:rsidRPr="006F5388" w:rsidRDefault="00403FF2" w:rsidP="00B01EA5">
            <w:pPr>
              <w:rPr>
                <w:rFonts w:eastAsia="Times New Roman"/>
                <w:sz w:val="28"/>
                <w:szCs w:val="28"/>
              </w:rPr>
            </w:pPr>
            <w:r w:rsidRPr="006F5388">
              <w:rPr>
                <w:rFonts w:eastAsia="Times New Roman"/>
                <w:sz w:val="28"/>
                <w:szCs w:val="28"/>
                <w:rtl/>
              </w:rPr>
              <w:t>ألاحظ انخفاضًا في مستوى اهتمامي بالعمل مقارنة بالماضي.</w:t>
            </w:r>
          </w:p>
        </w:tc>
        <w:tc>
          <w:tcPr>
            <w:tcW w:w="0" w:type="auto"/>
            <w:vAlign w:val="center"/>
          </w:tcPr>
          <w:p w14:paraId="07FB580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06DD93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133F64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17C5BC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AD90A5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3F3C1BDD" w14:textId="77777777" w:rsidTr="00BD5864">
        <w:tc>
          <w:tcPr>
            <w:tcW w:w="0" w:type="auto"/>
            <w:vAlign w:val="center"/>
          </w:tcPr>
          <w:p w14:paraId="2774D092" w14:textId="77777777" w:rsidR="00403FF2" w:rsidRPr="00C46AEC" w:rsidRDefault="00403FF2" w:rsidP="00B01EA5">
            <w:pPr>
              <w:rPr>
                <w:rFonts w:eastAsia="Times New Roman"/>
                <w:sz w:val="28"/>
                <w:szCs w:val="28"/>
              </w:rPr>
            </w:pPr>
            <w:r w:rsidRPr="00C46AEC">
              <w:rPr>
                <w:rFonts w:eastAsia="Times New Roman"/>
                <w:sz w:val="28"/>
                <w:szCs w:val="28"/>
              </w:rPr>
              <w:t>7</w:t>
            </w:r>
          </w:p>
        </w:tc>
        <w:tc>
          <w:tcPr>
            <w:tcW w:w="0" w:type="auto"/>
            <w:vAlign w:val="center"/>
          </w:tcPr>
          <w:p w14:paraId="477244E2" w14:textId="77777777" w:rsidR="00403FF2" w:rsidRPr="006F5388" w:rsidRDefault="00403FF2" w:rsidP="00B01EA5">
            <w:pPr>
              <w:rPr>
                <w:rFonts w:eastAsia="Times New Roman"/>
                <w:sz w:val="28"/>
                <w:szCs w:val="28"/>
              </w:rPr>
            </w:pPr>
            <w:r w:rsidRPr="006F5388">
              <w:rPr>
                <w:rFonts w:eastAsia="Times New Roman"/>
                <w:sz w:val="28"/>
                <w:szCs w:val="28"/>
                <w:rtl/>
              </w:rPr>
              <w:t>أحيانًا أفكر بترك العمل بسبب الإرهاق الذهني المستمر.</w:t>
            </w:r>
          </w:p>
        </w:tc>
        <w:tc>
          <w:tcPr>
            <w:tcW w:w="0" w:type="auto"/>
            <w:vAlign w:val="center"/>
          </w:tcPr>
          <w:p w14:paraId="05C975C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CB75D4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18269C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320A9D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7219ACA"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C4CF476" w14:textId="77777777" w:rsidTr="00BD5864">
        <w:tc>
          <w:tcPr>
            <w:tcW w:w="0" w:type="auto"/>
            <w:vAlign w:val="center"/>
          </w:tcPr>
          <w:p w14:paraId="0005B705" w14:textId="77777777" w:rsidR="00403FF2" w:rsidRPr="00C46AEC" w:rsidRDefault="00403FF2" w:rsidP="00B01EA5">
            <w:pPr>
              <w:rPr>
                <w:rFonts w:eastAsia="Times New Roman"/>
                <w:sz w:val="28"/>
                <w:szCs w:val="28"/>
              </w:rPr>
            </w:pPr>
            <w:r w:rsidRPr="00C46AEC">
              <w:rPr>
                <w:rFonts w:eastAsia="Times New Roman"/>
                <w:sz w:val="28"/>
                <w:szCs w:val="28"/>
              </w:rPr>
              <w:t>8</w:t>
            </w:r>
          </w:p>
        </w:tc>
        <w:tc>
          <w:tcPr>
            <w:tcW w:w="0" w:type="auto"/>
            <w:vAlign w:val="center"/>
          </w:tcPr>
          <w:p w14:paraId="764AE419" w14:textId="77777777" w:rsidR="00403FF2" w:rsidRPr="006F5388" w:rsidRDefault="00403FF2" w:rsidP="00B01EA5">
            <w:pPr>
              <w:rPr>
                <w:rFonts w:eastAsia="Times New Roman"/>
                <w:sz w:val="28"/>
                <w:szCs w:val="28"/>
              </w:rPr>
            </w:pPr>
            <w:r w:rsidRPr="006F5388">
              <w:rPr>
                <w:rFonts w:eastAsia="Times New Roman"/>
                <w:sz w:val="28"/>
                <w:szCs w:val="28"/>
                <w:rtl/>
              </w:rPr>
              <w:t>أفتقد الشعور بالحماس تجاه مهامي المعتادة.</w:t>
            </w:r>
          </w:p>
        </w:tc>
        <w:tc>
          <w:tcPr>
            <w:tcW w:w="0" w:type="auto"/>
            <w:vAlign w:val="center"/>
          </w:tcPr>
          <w:p w14:paraId="321D968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423D16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D25C7B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D6AB8A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239BE78"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7F4B17CC" w14:textId="77777777" w:rsidR="00A61A27" w:rsidRDefault="0089331B">
      <w:pPr>
        <w:spacing w:before="40" w:after="120"/>
        <w:jc w:val="right"/>
      </w:pPr>
      <w:r>
        <w:rPr>
          <w:rFonts w:ascii="Traditional Arabic" w:hAnsi="Traditional Arabic" w:cs="Traditional Arabic"/>
          <w:i/>
          <w:sz w:val="22"/>
          <w:rtl/>
        </w:rPr>
        <w:t>المصدر: إعداد الباحثة بالاستناد إلى الإطار النظري والدراسات السابقة.</w:t>
      </w:r>
    </w:p>
    <w:p w14:paraId="7EDCF181" w14:textId="77777777" w:rsidR="00B90F2F" w:rsidRPr="00DE1AA7" w:rsidRDefault="00B90F2F">
      <w:pPr>
        <w:rPr>
          <w:rFonts w:asciiTheme="majorBidi" w:hAnsiTheme="majorBidi" w:cstheme="majorBidi"/>
        </w:rPr>
      </w:pPr>
    </w:p>
    <w:sectPr w:rsidR="00B90F2F" w:rsidRPr="00DE1AA7" w:rsidSect="00EE2486">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95399" w14:textId="77777777" w:rsidR="006D1865" w:rsidRDefault="006D1865" w:rsidP="000C5D98">
      <w:pPr>
        <w:spacing w:after="0" w:line="240" w:lineRule="auto"/>
      </w:pPr>
      <w:r>
        <w:separator/>
      </w:r>
    </w:p>
  </w:endnote>
  <w:endnote w:type="continuationSeparator" w:id="0">
    <w:p w14:paraId="0BEE4E64" w14:textId="77777777" w:rsidR="006D1865" w:rsidRDefault="006D1865" w:rsidP="000C5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41758307"/>
      <w:docPartObj>
        <w:docPartGallery w:val="Page Numbers (Bottom of Page)"/>
        <w:docPartUnique/>
      </w:docPartObj>
    </w:sdtPr>
    <w:sdtEndPr>
      <w:rPr>
        <w:noProof/>
      </w:rPr>
    </w:sdtEndPr>
    <w:sdtContent>
      <w:p w14:paraId="6414D746" w14:textId="77777777" w:rsidR="00B01EA5" w:rsidRDefault="00B01EA5">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0E938E4C" w14:textId="77777777" w:rsidR="00B01EA5" w:rsidRDefault="00B01EA5">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9219211"/>
      <w:docPartObj>
        <w:docPartGallery w:val="Page Numbers (Bottom of Page)"/>
        <w:docPartUnique/>
      </w:docPartObj>
    </w:sdtPr>
    <w:sdtEndPr>
      <w:rPr>
        <w:noProof/>
      </w:rPr>
    </w:sdtEndPr>
    <w:sdtContent>
      <w:p w14:paraId="6BC90008" w14:textId="77777777" w:rsidR="00B01EA5" w:rsidRDefault="00B01EA5">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191329E5" w14:textId="77777777" w:rsidR="00B01EA5" w:rsidRDefault="00B01EA5">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7333265"/>
      <w:docPartObj>
        <w:docPartGallery w:val="Page Numbers (Bottom of Page)"/>
        <w:docPartUnique/>
      </w:docPartObj>
    </w:sdtPr>
    <w:sdtEndPr>
      <w:rPr>
        <w:noProof/>
      </w:rPr>
    </w:sdtEndPr>
    <w:sdtContent>
      <w:p w14:paraId="34C9D22C" w14:textId="77777777" w:rsidR="00B90F2F" w:rsidRDefault="00B90F2F">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3D90B06F" w14:textId="77777777" w:rsidR="00B01EA5" w:rsidRDefault="00B01EA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F3065" w14:textId="77777777" w:rsidR="006D1865" w:rsidRDefault="006D1865" w:rsidP="000C5D98">
      <w:pPr>
        <w:spacing w:after="0" w:line="240" w:lineRule="auto"/>
      </w:pPr>
      <w:r>
        <w:separator/>
      </w:r>
    </w:p>
  </w:footnote>
  <w:footnote w:type="continuationSeparator" w:id="0">
    <w:p w14:paraId="18E110E5" w14:textId="77777777" w:rsidR="006D1865" w:rsidRDefault="006D1865" w:rsidP="000C5D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094F3" w14:textId="77777777" w:rsidR="00B01EA5" w:rsidRDefault="00B01EA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FE928" w14:textId="77777777" w:rsidR="00B01EA5" w:rsidRDefault="00B01EA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2794E" w14:textId="77777777" w:rsidR="00B01EA5" w:rsidRDefault="00B01EA5">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4E12"/>
    <w:multiLevelType w:val="hybridMultilevel"/>
    <w:tmpl w:val="B7C470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F4170"/>
    <w:multiLevelType w:val="hybridMultilevel"/>
    <w:tmpl w:val="B8529BE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C63E8D"/>
    <w:multiLevelType w:val="hybridMultilevel"/>
    <w:tmpl w:val="EDDE0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8E55FC"/>
    <w:multiLevelType w:val="hybridMultilevel"/>
    <w:tmpl w:val="B65EB4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3E3956"/>
    <w:multiLevelType w:val="hybridMultilevel"/>
    <w:tmpl w:val="A82ABFE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437414F"/>
    <w:multiLevelType w:val="hybridMultilevel"/>
    <w:tmpl w:val="616283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B96E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CB7757"/>
    <w:multiLevelType w:val="hybridMultilevel"/>
    <w:tmpl w:val="303CF7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BE788A"/>
    <w:multiLevelType w:val="hybridMultilevel"/>
    <w:tmpl w:val="210404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7C53E3"/>
    <w:multiLevelType w:val="hybridMultilevel"/>
    <w:tmpl w:val="F5CC46D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A8C1D43"/>
    <w:multiLevelType w:val="hybridMultilevel"/>
    <w:tmpl w:val="8214BA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A6701B"/>
    <w:multiLevelType w:val="hybridMultilevel"/>
    <w:tmpl w:val="70FC16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93505D"/>
    <w:multiLevelType w:val="hybridMultilevel"/>
    <w:tmpl w:val="7AF8E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8454C9"/>
    <w:multiLevelType w:val="hybridMultilevel"/>
    <w:tmpl w:val="E30E49D4"/>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CCA7831"/>
    <w:multiLevelType w:val="hybridMultilevel"/>
    <w:tmpl w:val="5E8A3E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145D47"/>
    <w:multiLevelType w:val="hybridMultilevel"/>
    <w:tmpl w:val="40067442"/>
    <w:lvl w:ilvl="0" w:tplc="FFFFFFFF">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F4561F"/>
    <w:multiLevelType w:val="hybridMultilevel"/>
    <w:tmpl w:val="2AC0593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3E43A3"/>
    <w:multiLevelType w:val="hybridMultilevel"/>
    <w:tmpl w:val="2BD4DA7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E135BD"/>
    <w:multiLevelType w:val="hybridMultilevel"/>
    <w:tmpl w:val="93DA8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2D2C21"/>
    <w:multiLevelType w:val="hybridMultilevel"/>
    <w:tmpl w:val="855A714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A8965E6"/>
    <w:multiLevelType w:val="hybridMultilevel"/>
    <w:tmpl w:val="E5E0718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49251B4"/>
    <w:multiLevelType w:val="hybridMultilevel"/>
    <w:tmpl w:val="5F248592"/>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4AF2B3E"/>
    <w:multiLevelType w:val="hybridMultilevel"/>
    <w:tmpl w:val="498E5A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67C482A"/>
    <w:multiLevelType w:val="hybridMultilevel"/>
    <w:tmpl w:val="8436A7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6DD4C76"/>
    <w:multiLevelType w:val="hybridMultilevel"/>
    <w:tmpl w:val="2A7097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6B61B8"/>
    <w:multiLevelType w:val="hybridMultilevel"/>
    <w:tmpl w:val="561CFF9E"/>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D9A60A8"/>
    <w:multiLevelType w:val="hybridMultilevel"/>
    <w:tmpl w:val="AE2695B2"/>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F3024E8"/>
    <w:multiLevelType w:val="hybridMultilevel"/>
    <w:tmpl w:val="2960C5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432488"/>
    <w:multiLevelType w:val="hybridMultilevel"/>
    <w:tmpl w:val="8E780F26"/>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99C0F19"/>
    <w:multiLevelType w:val="hybridMultilevel"/>
    <w:tmpl w:val="E2B6E5F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9AB3994"/>
    <w:multiLevelType w:val="hybridMultilevel"/>
    <w:tmpl w:val="59F8EA26"/>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F866C5B"/>
    <w:multiLevelType w:val="hybridMultilevel"/>
    <w:tmpl w:val="5DA864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384133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1E5AF2"/>
    <w:multiLevelType w:val="hybridMultilevel"/>
    <w:tmpl w:val="934AF2C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2ED3613"/>
    <w:multiLevelType w:val="hybridMultilevel"/>
    <w:tmpl w:val="5C4EA4D6"/>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76597DE9"/>
    <w:multiLevelType w:val="hybridMultilevel"/>
    <w:tmpl w:val="560685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6DD446D"/>
    <w:multiLevelType w:val="hybridMultilevel"/>
    <w:tmpl w:val="81B80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7B7E02"/>
    <w:multiLevelType w:val="hybridMultilevel"/>
    <w:tmpl w:val="9C40B9EA"/>
    <w:lvl w:ilvl="0" w:tplc="FFFFFFFF">
      <w:start w:val="1"/>
      <w:numFmt w:val="decimal"/>
      <w:lvlText w:val="%1-"/>
      <w:lvlJc w:val="left"/>
      <w:pPr>
        <w:ind w:left="720" w:hanging="360"/>
      </w:pPr>
      <w:rPr>
        <w:rFonts w:hint="default"/>
      </w:rPr>
    </w:lvl>
    <w:lvl w:ilvl="1" w:tplc="C6A42F6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F354A"/>
    <w:multiLevelType w:val="hybridMultilevel"/>
    <w:tmpl w:val="47308D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1169819">
    <w:abstractNumId w:val="16"/>
  </w:num>
  <w:num w:numId="2" w16cid:durableId="1567493987">
    <w:abstractNumId w:val="28"/>
  </w:num>
  <w:num w:numId="3" w16cid:durableId="507018000">
    <w:abstractNumId w:val="19"/>
  </w:num>
  <w:num w:numId="4" w16cid:durableId="788284684">
    <w:abstractNumId w:val="27"/>
  </w:num>
  <w:num w:numId="5" w16cid:durableId="55402290">
    <w:abstractNumId w:val="34"/>
  </w:num>
  <w:num w:numId="6" w16cid:durableId="402416134">
    <w:abstractNumId w:val="33"/>
  </w:num>
  <w:num w:numId="7" w16cid:durableId="1790273208">
    <w:abstractNumId w:val="29"/>
  </w:num>
  <w:num w:numId="8" w16cid:durableId="313604653">
    <w:abstractNumId w:val="35"/>
  </w:num>
  <w:num w:numId="9" w16cid:durableId="1002390068">
    <w:abstractNumId w:val="5"/>
  </w:num>
  <w:num w:numId="10" w16cid:durableId="849948114">
    <w:abstractNumId w:val="10"/>
  </w:num>
  <w:num w:numId="11" w16cid:durableId="1213034252">
    <w:abstractNumId w:val="32"/>
  </w:num>
  <w:num w:numId="12" w16cid:durableId="430781226">
    <w:abstractNumId w:val="23"/>
  </w:num>
  <w:num w:numId="13" w16cid:durableId="391975463">
    <w:abstractNumId w:val="17"/>
  </w:num>
  <w:num w:numId="14" w16cid:durableId="1842621624">
    <w:abstractNumId w:val="1"/>
  </w:num>
  <w:num w:numId="15" w16cid:durableId="1388215088">
    <w:abstractNumId w:val="0"/>
  </w:num>
  <w:num w:numId="16" w16cid:durableId="1038896159">
    <w:abstractNumId w:val="24"/>
  </w:num>
  <w:num w:numId="17" w16cid:durableId="311982262">
    <w:abstractNumId w:val="14"/>
  </w:num>
  <w:num w:numId="18" w16cid:durableId="608851863">
    <w:abstractNumId w:val="8"/>
  </w:num>
  <w:num w:numId="19" w16cid:durableId="986124590">
    <w:abstractNumId w:val="15"/>
  </w:num>
  <w:num w:numId="20" w16cid:durableId="159583817">
    <w:abstractNumId w:val="37"/>
  </w:num>
  <w:num w:numId="21" w16cid:durableId="109665152">
    <w:abstractNumId w:val="11"/>
  </w:num>
  <w:num w:numId="22" w16cid:durableId="1100174175">
    <w:abstractNumId w:val="20"/>
  </w:num>
  <w:num w:numId="23" w16cid:durableId="1586499691">
    <w:abstractNumId w:val="4"/>
  </w:num>
  <w:num w:numId="24" w16cid:durableId="1793594244">
    <w:abstractNumId w:val="9"/>
  </w:num>
  <w:num w:numId="25" w16cid:durableId="960575955">
    <w:abstractNumId w:val="36"/>
  </w:num>
  <w:num w:numId="26" w16cid:durableId="1251544893">
    <w:abstractNumId w:val="12"/>
  </w:num>
  <w:num w:numId="27" w16cid:durableId="235673566">
    <w:abstractNumId w:val="2"/>
  </w:num>
  <w:num w:numId="28" w16cid:durableId="115175265">
    <w:abstractNumId w:val="22"/>
  </w:num>
  <w:num w:numId="29" w16cid:durableId="77756615">
    <w:abstractNumId w:val="18"/>
  </w:num>
  <w:num w:numId="30" w16cid:durableId="1037462035">
    <w:abstractNumId w:val="6"/>
  </w:num>
  <w:num w:numId="31" w16cid:durableId="824466859">
    <w:abstractNumId w:val="38"/>
  </w:num>
  <w:num w:numId="32" w16cid:durableId="2024625120">
    <w:abstractNumId w:val="7"/>
  </w:num>
  <w:num w:numId="33" w16cid:durableId="1016152419">
    <w:abstractNumId w:val="3"/>
  </w:num>
  <w:num w:numId="34" w16cid:durableId="2079815560">
    <w:abstractNumId w:val="31"/>
  </w:num>
  <w:num w:numId="35" w16cid:durableId="1056246200">
    <w:abstractNumId w:val="25"/>
  </w:num>
  <w:num w:numId="36" w16cid:durableId="799959852">
    <w:abstractNumId w:val="30"/>
  </w:num>
  <w:num w:numId="37" w16cid:durableId="1204976139">
    <w:abstractNumId w:val="21"/>
  </w:num>
  <w:num w:numId="38" w16cid:durableId="1474179343">
    <w:abstractNumId w:val="13"/>
  </w:num>
  <w:num w:numId="39" w16cid:durableId="1613172197">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mirrorMargi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E6"/>
    <w:rsid w:val="000017D9"/>
    <w:rsid w:val="00007A6F"/>
    <w:rsid w:val="000105D1"/>
    <w:rsid w:val="0002332F"/>
    <w:rsid w:val="00037B2A"/>
    <w:rsid w:val="000404DF"/>
    <w:rsid w:val="00041F19"/>
    <w:rsid w:val="00047B87"/>
    <w:rsid w:val="000517F6"/>
    <w:rsid w:val="00051BDB"/>
    <w:rsid w:val="000541BA"/>
    <w:rsid w:val="00060738"/>
    <w:rsid w:val="000622F2"/>
    <w:rsid w:val="000663CD"/>
    <w:rsid w:val="000775D0"/>
    <w:rsid w:val="00087A7A"/>
    <w:rsid w:val="00097C7F"/>
    <w:rsid w:val="000A07DC"/>
    <w:rsid w:val="000B1407"/>
    <w:rsid w:val="000B24AC"/>
    <w:rsid w:val="000C1D39"/>
    <w:rsid w:val="000C5D98"/>
    <w:rsid w:val="000D66BE"/>
    <w:rsid w:val="00100B62"/>
    <w:rsid w:val="00103044"/>
    <w:rsid w:val="00103463"/>
    <w:rsid w:val="00121C5E"/>
    <w:rsid w:val="00142B41"/>
    <w:rsid w:val="00145302"/>
    <w:rsid w:val="00161DBA"/>
    <w:rsid w:val="001659DC"/>
    <w:rsid w:val="00166096"/>
    <w:rsid w:val="00167656"/>
    <w:rsid w:val="00167869"/>
    <w:rsid w:val="00172133"/>
    <w:rsid w:val="00172CC4"/>
    <w:rsid w:val="00177514"/>
    <w:rsid w:val="00187831"/>
    <w:rsid w:val="001919D1"/>
    <w:rsid w:val="00191F80"/>
    <w:rsid w:val="001959AA"/>
    <w:rsid w:val="00196873"/>
    <w:rsid w:val="001A06F7"/>
    <w:rsid w:val="001A665D"/>
    <w:rsid w:val="001B231A"/>
    <w:rsid w:val="001B7161"/>
    <w:rsid w:val="001C385C"/>
    <w:rsid w:val="001C4C86"/>
    <w:rsid w:val="001D3D5D"/>
    <w:rsid w:val="001E599F"/>
    <w:rsid w:val="001E7C34"/>
    <w:rsid w:val="001F421D"/>
    <w:rsid w:val="001F49C4"/>
    <w:rsid w:val="00216F6A"/>
    <w:rsid w:val="002179E0"/>
    <w:rsid w:val="00235AFE"/>
    <w:rsid w:val="0023644F"/>
    <w:rsid w:val="00236DCF"/>
    <w:rsid w:val="0023756D"/>
    <w:rsid w:val="00245300"/>
    <w:rsid w:val="00245D85"/>
    <w:rsid w:val="00252D6C"/>
    <w:rsid w:val="00260B2A"/>
    <w:rsid w:val="00263B4E"/>
    <w:rsid w:val="00270D4E"/>
    <w:rsid w:val="00271AE4"/>
    <w:rsid w:val="00283E81"/>
    <w:rsid w:val="0029528F"/>
    <w:rsid w:val="002A09E1"/>
    <w:rsid w:val="002B27DE"/>
    <w:rsid w:val="002C5E33"/>
    <w:rsid w:val="002E0A40"/>
    <w:rsid w:val="002E3FC2"/>
    <w:rsid w:val="00305514"/>
    <w:rsid w:val="00311420"/>
    <w:rsid w:val="0031302A"/>
    <w:rsid w:val="003167A9"/>
    <w:rsid w:val="003276A8"/>
    <w:rsid w:val="0034028E"/>
    <w:rsid w:val="00340BD1"/>
    <w:rsid w:val="00340FA8"/>
    <w:rsid w:val="00364DF1"/>
    <w:rsid w:val="00372143"/>
    <w:rsid w:val="00375128"/>
    <w:rsid w:val="00377FF5"/>
    <w:rsid w:val="00387990"/>
    <w:rsid w:val="0039045E"/>
    <w:rsid w:val="0039107F"/>
    <w:rsid w:val="0039717E"/>
    <w:rsid w:val="003B00A1"/>
    <w:rsid w:val="003B2427"/>
    <w:rsid w:val="003D1AA8"/>
    <w:rsid w:val="003D3FE3"/>
    <w:rsid w:val="003D7D69"/>
    <w:rsid w:val="003E0DC4"/>
    <w:rsid w:val="003E7E6A"/>
    <w:rsid w:val="003F2CD3"/>
    <w:rsid w:val="00403FF2"/>
    <w:rsid w:val="00415AF5"/>
    <w:rsid w:val="004240E1"/>
    <w:rsid w:val="004279BA"/>
    <w:rsid w:val="0043470B"/>
    <w:rsid w:val="00457CA5"/>
    <w:rsid w:val="004668BA"/>
    <w:rsid w:val="004679E4"/>
    <w:rsid w:val="0047067B"/>
    <w:rsid w:val="00476F90"/>
    <w:rsid w:val="004839CF"/>
    <w:rsid w:val="00483DC8"/>
    <w:rsid w:val="00485C9D"/>
    <w:rsid w:val="004A241E"/>
    <w:rsid w:val="004A40C5"/>
    <w:rsid w:val="004B464B"/>
    <w:rsid w:val="004E0A60"/>
    <w:rsid w:val="00506EA9"/>
    <w:rsid w:val="005177AF"/>
    <w:rsid w:val="00517D15"/>
    <w:rsid w:val="00521B8D"/>
    <w:rsid w:val="00525D13"/>
    <w:rsid w:val="005272CB"/>
    <w:rsid w:val="005370DB"/>
    <w:rsid w:val="00537672"/>
    <w:rsid w:val="0054306E"/>
    <w:rsid w:val="00553866"/>
    <w:rsid w:val="00566883"/>
    <w:rsid w:val="005705DC"/>
    <w:rsid w:val="00575DDB"/>
    <w:rsid w:val="0058381B"/>
    <w:rsid w:val="00597427"/>
    <w:rsid w:val="005B7494"/>
    <w:rsid w:val="005C59EE"/>
    <w:rsid w:val="005C5F29"/>
    <w:rsid w:val="005D0694"/>
    <w:rsid w:val="005E2821"/>
    <w:rsid w:val="005E4C35"/>
    <w:rsid w:val="005F723A"/>
    <w:rsid w:val="005F7875"/>
    <w:rsid w:val="006027A5"/>
    <w:rsid w:val="00606DFE"/>
    <w:rsid w:val="00607617"/>
    <w:rsid w:val="006118AF"/>
    <w:rsid w:val="00624E58"/>
    <w:rsid w:val="00632919"/>
    <w:rsid w:val="00633354"/>
    <w:rsid w:val="006375F9"/>
    <w:rsid w:val="00667E47"/>
    <w:rsid w:val="00672359"/>
    <w:rsid w:val="00675EE4"/>
    <w:rsid w:val="00690C5F"/>
    <w:rsid w:val="00697B85"/>
    <w:rsid w:val="006A45C0"/>
    <w:rsid w:val="006B4630"/>
    <w:rsid w:val="006B6084"/>
    <w:rsid w:val="006C4CDD"/>
    <w:rsid w:val="006D1865"/>
    <w:rsid w:val="006D3814"/>
    <w:rsid w:val="006D3A2B"/>
    <w:rsid w:val="006D56C2"/>
    <w:rsid w:val="006E4659"/>
    <w:rsid w:val="00702F4A"/>
    <w:rsid w:val="00703AF1"/>
    <w:rsid w:val="00714541"/>
    <w:rsid w:val="00714A8E"/>
    <w:rsid w:val="0072654C"/>
    <w:rsid w:val="007320C9"/>
    <w:rsid w:val="00732DE5"/>
    <w:rsid w:val="0073679F"/>
    <w:rsid w:val="00740B7E"/>
    <w:rsid w:val="00756BB8"/>
    <w:rsid w:val="00765B51"/>
    <w:rsid w:val="0077094B"/>
    <w:rsid w:val="0077608F"/>
    <w:rsid w:val="00792ACF"/>
    <w:rsid w:val="00793F14"/>
    <w:rsid w:val="007946E6"/>
    <w:rsid w:val="007B1AC1"/>
    <w:rsid w:val="007D39F7"/>
    <w:rsid w:val="007E3FAC"/>
    <w:rsid w:val="007E7D59"/>
    <w:rsid w:val="007F6186"/>
    <w:rsid w:val="008042E6"/>
    <w:rsid w:val="008150AA"/>
    <w:rsid w:val="008435A7"/>
    <w:rsid w:val="00862E10"/>
    <w:rsid w:val="0086543C"/>
    <w:rsid w:val="00866CE6"/>
    <w:rsid w:val="008832D5"/>
    <w:rsid w:val="00884707"/>
    <w:rsid w:val="00890898"/>
    <w:rsid w:val="00891197"/>
    <w:rsid w:val="0089331B"/>
    <w:rsid w:val="0089744B"/>
    <w:rsid w:val="008A1DE0"/>
    <w:rsid w:val="008B6F94"/>
    <w:rsid w:val="008C757A"/>
    <w:rsid w:val="008D0B8F"/>
    <w:rsid w:val="008F54BD"/>
    <w:rsid w:val="009051BB"/>
    <w:rsid w:val="00905E51"/>
    <w:rsid w:val="00906F91"/>
    <w:rsid w:val="00912101"/>
    <w:rsid w:val="00917720"/>
    <w:rsid w:val="009231B5"/>
    <w:rsid w:val="009277D0"/>
    <w:rsid w:val="00937D8E"/>
    <w:rsid w:val="009412DA"/>
    <w:rsid w:val="00953CEC"/>
    <w:rsid w:val="00956DF2"/>
    <w:rsid w:val="00962FBD"/>
    <w:rsid w:val="009631F6"/>
    <w:rsid w:val="00970324"/>
    <w:rsid w:val="00977082"/>
    <w:rsid w:val="00980907"/>
    <w:rsid w:val="009871EA"/>
    <w:rsid w:val="009914A3"/>
    <w:rsid w:val="0099190A"/>
    <w:rsid w:val="009A7209"/>
    <w:rsid w:val="009B6679"/>
    <w:rsid w:val="009C0B5D"/>
    <w:rsid w:val="009C14D7"/>
    <w:rsid w:val="009C4018"/>
    <w:rsid w:val="009D776E"/>
    <w:rsid w:val="009F4738"/>
    <w:rsid w:val="00A05B9A"/>
    <w:rsid w:val="00A05E2A"/>
    <w:rsid w:val="00A0778C"/>
    <w:rsid w:val="00A374A1"/>
    <w:rsid w:val="00A3793F"/>
    <w:rsid w:val="00A43126"/>
    <w:rsid w:val="00A44E4E"/>
    <w:rsid w:val="00A55E33"/>
    <w:rsid w:val="00A61A27"/>
    <w:rsid w:val="00A917AA"/>
    <w:rsid w:val="00AB7263"/>
    <w:rsid w:val="00AB7E68"/>
    <w:rsid w:val="00AC2A5C"/>
    <w:rsid w:val="00AC48ED"/>
    <w:rsid w:val="00AD460A"/>
    <w:rsid w:val="00AD748B"/>
    <w:rsid w:val="00AF3C0E"/>
    <w:rsid w:val="00AF45CB"/>
    <w:rsid w:val="00B01EA5"/>
    <w:rsid w:val="00B1334F"/>
    <w:rsid w:val="00B23659"/>
    <w:rsid w:val="00B31CB6"/>
    <w:rsid w:val="00B32217"/>
    <w:rsid w:val="00B36C24"/>
    <w:rsid w:val="00B524F6"/>
    <w:rsid w:val="00B527E5"/>
    <w:rsid w:val="00B54325"/>
    <w:rsid w:val="00B63650"/>
    <w:rsid w:val="00B67283"/>
    <w:rsid w:val="00B70974"/>
    <w:rsid w:val="00B723D2"/>
    <w:rsid w:val="00B7660A"/>
    <w:rsid w:val="00B8233C"/>
    <w:rsid w:val="00B90F2F"/>
    <w:rsid w:val="00BA0C8A"/>
    <w:rsid w:val="00BC1EFD"/>
    <w:rsid w:val="00BC2950"/>
    <w:rsid w:val="00BD1526"/>
    <w:rsid w:val="00BD24E8"/>
    <w:rsid w:val="00C03D0B"/>
    <w:rsid w:val="00C06A89"/>
    <w:rsid w:val="00C102A6"/>
    <w:rsid w:val="00C22EAF"/>
    <w:rsid w:val="00C25FBA"/>
    <w:rsid w:val="00C44026"/>
    <w:rsid w:val="00C53A69"/>
    <w:rsid w:val="00C6070D"/>
    <w:rsid w:val="00C65F3F"/>
    <w:rsid w:val="00C767C5"/>
    <w:rsid w:val="00C93792"/>
    <w:rsid w:val="00CB17BC"/>
    <w:rsid w:val="00CB1C49"/>
    <w:rsid w:val="00CB5D51"/>
    <w:rsid w:val="00CC1A54"/>
    <w:rsid w:val="00CC3F30"/>
    <w:rsid w:val="00CC410A"/>
    <w:rsid w:val="00CC5428"/>
    <w:rsid w:val="00CD484A"/>
    <w:rsid w:val="00CD70F3"/>
    <w:rsid w:val="00CE231C"/>
    <w:rsid w:val="00D11BD7"/>
    <w:rsid w:val="00D208C8"/>
    <w:rsid w:val="00D2242D"/>
    <w:rsid w:val="00D40C11"/>
    <w:rsid w:val="00D46234"/>
    <w:rsid w:val="00D47240"/>
    <w:rsid w:val="00D473E0"/>
    <w:rsid w:val="00D67689"/>
    <w:rsid w:val="00D747DF"/>
    <w:rsid w:val="00D80977"/>
    <w:rsid w:val="00D81B6A"/>
    <w:rsid w:val="00D870FA"/>
    <w:rsid w:val="00DC1426"/>
    <w:rsid w:val="00DC1FEF"/>
    <w:rsid w:val="00DC6A8E"/>
    <w:rsid w:val="00DE1AA7"/>
    <w:rsid w:val="00DF44B3"/>
    <w:rsid w:val="00DF5AFB"/>
    <w:rsid w:val="00DF70FE"/>
    <w:rsid w:val="00E03D52"/>
    <w:rsid w:val="00E04133"/>
    <w:rsid w:val="00E1091B"/>
    <w:rsid w:val="00E13F6A"/>
    <w:rsid w:val="00E17564"/>
    <w:rsid w:val="00E20A0A"/>
    <w:rsid w:val="00E21018"/>
    <w:rsid w:val="00E21120"/>
    <w:rsid w:val="00E41967"/>
    <w:rsid w:val="00E46B27"/>
    <w:rsid w:val="00E55F14"/>
    <w:rsid w:val="00E64286"/>
    <w:rsid w:val="00E806E7"/>
    <w:rsid w:val="00E90974"/>
    <w:rsid w:val="00EA7DE3"/>
    <w:rsid w:val="00EC4824"/>
    <w:rsid w:val="00ED596F"/>
    <w:rsid w:val="00EE2486"/>
    <w:rsid w:val="00EE2A45"/>
    <w:rsid w:val="00EE3A3C"/>
    <w:rsid w:val="00EE4838"/>
    <w:rsid w:val="00EE65C5"/>
    <w:rsid w:val="00EF6E6A"/>
    <w:rsid w:val="00F128D0"/>
    <w:rsid w:val="00F13E58"/>
    <w:rsid w:val="00F173DD"/>
    <w:rsid w:val="00F24E31"/>
    <w:rsid w:val="00F32736"/>
    <w:rsid w:val="00F471D8"/>
    <w:rsid w:val="00F567BB"/>
    <w:rsid w:val="00F802BD"/>
    <w:rsid w:val="00F81DBD"/>
    <w:rsid w:val="00F96DA5"/>
    <w:rsid w:val="00FA1BFA"/>
    <w:rsid w:val="00FC4BC2"/>
    <w:rsid w:val="00FE21DC"/>
    <w:rsid w:val="00FF0861"/>
    <w:rsid w:val="00FF45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28ABE"/>
  <w15:chartTrackingRefBased/>
  <w15:docId w15:val="{139FB9BE-5BB4-4541-AC68-73EEA4B15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C5E33"/>
    <w:pPr>
      <w:keepNext/>
      <w:keepLines/>
      <w:spacing w:before="480" w:after="200"/>
      <w:ind w:left="720"/>
      <w:jc w:val="center"/>
      <w:outlineLvl w:val="0"/>
    </w:pPr>
    <w:rPr>
      <w:rFonts w:ascii="Simplified Arabic" w:eastAsiaTheme="majorEastAsia" w:hAnsi="Simplified Arabic" w:cstheme="majorBidi"/>
      <w:sz w:val="40"/>
      <w:szCs w:val="40"/>
    </w:rPr>
  </w:style>
  <w:style w:type="paragraph" w:styleId="2">
    <w:name w:val="heading 2"/>
    <w:basedOn w:val="a"/>
    <w:next w:val="a"/>
    <w:link w:val="2Char"/>
    <w:uiPriority w:val="9"/>
    <w:unhideWhenUsed/>
    <w:qFormat/>
    <w:rsid w:val="002C5E33"/>
    <w:pPr>
      <w:keepNext/>
      <w:keepLines/>
      <w:spacing w:before="400" w:after="320"/>
      <w:outlineLvl w:val="1"/>
    </w:pPr>
    <w:rPr>
      <w:rFonts w:ascii="Simplified Arabic" w:eastAsiaTheme="majorEastAsia" w:hAnsi="Simplified Arabic" w:cstheme="majorBidi"/>
      <w:b/>
      <w:sz w:val="36"/>
      <w:szCs w:val="36"/>
    </w:rPr>
  </w:style>
  <w:style w:type="paragraph" w:styleId="3">
    <w:name w:val="heading 3"/>
    <w:basedOn w:val="a"/>
    <w:next w:val="a"/>
    <w:link w:val="3Char"/>
    <w:uiPriority w:val="9"/>
    <w:unhideWhenUsed/>
    <w:qFormat/>
    <w:rsid w:val="002C5E33"/>
    <w:pPr>
      <w:keepNext/>
      <w:keepLines/>
      <w:spacing w:before="280" w:after="200"/>
      <w:outlineLvl w:val="2"/>
    </w:pPr>
    <w:rPr>
      <w:rFonts w:ascii="Simplified Arabic" w:eastAsiaTheme="majorEastAsia" w:hAnsi="Simplified Arabic" w:cstheme="majorBidi"/>
      <w:b/>
      <w:sz w:val="32"/>
      <w:szCs w:val="28"/>
    </w:rPr>
  </w:style>
  <w:style w:type="paragraph" w:styleId="4">
    <w:name w:val="heading 4"/>
    <w:basedOn w:val="a"/>
    <w:next w:val="a"/>
    <w:link w:val="4Char"/>
    <w:uiPriority w:val="9"/>
    <w:semiHidden/>
    <w:unhideWhenUsed/>
    <w:qFormat/>
    <w:rsid w:val="00E55F14"/>
    <w:pPr>
      <w:keepNext/>
      <w:keepLines/>
      <w:spacing w:before="80" w:after="40"/>
      <w:outlineLvl w:val="3"/>
    </w:pPr>
    <w:rPr>
      <w:rFonts w:ascii="Simplified Arabic" w:eastAsiaTheme="majorEastAsia" w:hAnsi="Simplified Arabic" w:cstheme="majorBidi"/>
      <w:b/>
      <w:i/>
      <w:iCs/>
      <w:sz w:val="28"/>
    </w:rPr>
  </w:style>
  <w:style w:type="paragraph" w:styleId="5">
    <w:name w:val="heading 5"/>
    <w:basedOn w:val="a"/>
    <w:next w:val="a"/>
    <w:link w:val="5Char"/>
    <w:uiPriority w:val="9"/>
    <w:semiHidden/>
    <w:unhideWhenUsed/>
    <w:qFormat/>
    <w:rsid w:val="007946E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946E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946E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946E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946E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C5E33"/>
    <w:rPr>
      <w:rFonts w:ascii="Simplified Arabic" w:eastAsiaTheme="majorEastAsia" w:hAnsi="Simplified Arabic" w:cstheme="majorBidi"/>
      <w:sz w:val="40"/>
      <w:szCs w:val="40"/>
    </w:rPr>
  </w:style>
  <w:style w:type="character" w:customStyle="1" w:styleId="2Char">
    <w:name w:val="عنوان 2 Char"/>
    <w:basedOn w:val="a0"/>
    <w:link w:val="2"/>
    <w:uiPriority w:val="9"/>
    <w:rsid w:val="002C5E33"/>
    <w:rPr>
      <w:rFonts w:ascii="Simplified Arabic" w:eastAsiaTheme="majorEastAsia" w:hAnsi="Simplified Arabic" w:cstheme="majorBidi"/>
      <w:b/>
      <w:sz w:val="36"/>
      <w:szCs w:val="36"/>
    </w:rPr>
  </w:style>
  <w:style w:type="character" w:customStyle="1" w:styleId="3Char">
    <w:name w:val="عنوان 3 Char"/>
    <w:basedOn w:val="a0"/>
    <w:link w:val="3"/>
    <w:uiPriority w:val="9"/>
    <w:rsid w:val="002C5E33"/>
    <w:rPr>
      <w:rFonts w:ascii="Simplified Arabic" w:eastAsiaTheme="majorEastAsia" w:hAnsi="Simplified Arabic" w:cstheme="majorBidi"/>
      <w:b/>
      <w:sz w:val="32"/>
      <w:szCs w:val="28"/>
    </w:rPr>
  </w:style>
  <w:style w:type="character" w:customStyle="1" w:styleId="4Char">
    <w:name w:val="عنوان 4 Char"/>
    <w:basedOn w:val="a0"/>
    <w:link w:val="4"/>
    <w:uiPriority w:val="9"/>
    <w:semiHidden/>
    <w:rsid w:val="00E55F14"/>
    <w:rPr>
      <w:rFonts w:ascii="Simplified Arabic" w:eastAsiaTheme="majorEastAsia" w:hAnsi="Simplified Arabic" w:cstheme="majorBidi"/>
      <w:b/>
      <w:i/>
      <w:iCs/>
      <w:sz w:val="28"/>
    </w:rPr>
  </w:style>
  <w:style w:type="character" w:customStyle="1" w:styleId="5Char">
    <w:name w:val="عنوان 5 Char"/>
    <w:basedOn w:val="a0"/>
    <w:link w:val="5"/>
    <w:uiPriority w:val="9"/>
    <w:semiHidden/>
    <w:rsid w:val="007946E6"/>
    <w:rPr>
      <w:rFonts w:eastAsiaTheme="majorEastAsia" w:cstheme="majorBidi"/>
      <w:color w:val="0F4761" w:themeColor="accent1" w:themeShade="BF"/>
    </w:rPr>
  </w:style>
  <w:style w:type="character" w:customStyle="1" w:styleId="6Char">
    <w:name w:val="عنوان 6 Char"/>
    <w:basedOn w:val="a0"/>
    <w:link w:val="6"/>
    <w:uiPriority w:val="9"/>
    <w:semiHidden/>
    <w:rsid w:val="007946E6"/>
    <w:rPr>
      <w:rFonts w:eastAsiaTheme="majorEastAsia" w:cstheme="majorBidi"/>
      <w:i/>
      <w:iCs/>
      <w:color w:val="595959" w:themeColor="text1" w:themeTint="A6"/>
    </w:rPr>
  </w:style>
  <w:style w:type="character" w:customStyle="1" w:styleId="7Char">
    <w:name w:val="عنوان 7 Char"/>
    <w:basedOn w:val="a0"/>
    <w:link w:val="7"/>
    <w:uiPriority w:val="9"/>
    <w:semiHidden/>
    <w:rsid w:val="007946E6"/>
    <w:rPr>
      <w:rFonts w:eastAsiaTheme="majorEastAsia" w:cstheme="majorBidi"/>
      <w:color w:val="595959" w:themeColor="text1" w:themeTint="A6"/>
    </w:rPr>
  </w:style>
  <w:style w:type="character" w:customStyle="1" w:styleId="8Char">
    <w:name w:val="عنوان 8 Char"/>
    <w:basedOn w:val="a0"/>
    <w:link w:val="8"/>
    <w:uiPriority w:val="9"/>
    <w:semiHidden/>
    <w:rsid w:val="007946E6"/>
    <w:rPr>
      <w:rFonts w:eastAsiaTheme="majorEastAsia" w:cstheme="majorBidi"/>
      <w:i/>
      <w:iCs/>
      <w:color w:val="272727" w:themeColor="text1" w:themeTint="D8"/>
    </w:rPr>
  </w:style>
  <w:style w:type="character" w:customStyle="1" w:styleId="9Char">
    <w:name w:val="عنوان 9 Char"/>
    <w:basedOn w:val="a0"/>
    <w:link w:val="9"/>
    <w:uiPriority w:val="9"/>
    <w:semiHidden/>
    <w:rsid w:val="007946E6"/>
    <w:rPr>
      <w:rFonts w:eastAsiaTheme="majorEastAsia" w:cstheme="majorBidi"/>
      <w:color w:val="272727" w:themeColor="text1" w:themeTint="D8"/>
    </w:rPr>
  </w:style>
  <w:style w:type="paragraph" w:styleId="a3">
    <w:name w:val="Title"/>
    <w:basedOn w:val="a"/>
    <w:next w:val="a"/>
    <w:link w:val="Char"/>
    <w:uiPriority w:val="10"/>
    <w:qFormat/>
    <w:rsid w:val="007946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946E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946E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946E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946E6"/>
    <w:pPr>
      <w:spacing w:before="160"/>
      <w:jc w:val="center"/>
    </w:pPr>
    <w:rPr>
      <w:i/>
      <w:iCs/>
      <w:color w:val="404040" w:themeColor="text1" w:themeTint="BF"/>
    </w:rPr>
  </w:style>
  <w:style w:type="character" w:customStyle="1" w:styleId="Char1">
    <w:name w:val="اقتباس Char"/>
    <w:basedOn w:val="a0"/>
    <w:link w:val="a5"/>
    <w:uiPriority w:val="29"/>
    <w:rsid w:val="007946E6"/>
    <w:rPr>
      <w:i/>
      <w:iCs/>
      <w:color w:val="404040" w:themeColor="text1" w:themeTint="BF"/>
    </w:rPr>
  </w:style>
  <w:style w:type="paragraph" w:styleId="a6">
    <w:name w:val="List Paragraph"/>
    <w:basedOn w:val="a"/>
    <w:uiPriority w:val="34"/>
    <w:qFormat/>
    <w:rsid w:val="007946E6"/>
    <w:pPr>
      <w:ind w:left="720"/>
      <w:contextualSpacing/>
    </w:pPr>
  </w:style>
  <w:style w:type="character" w:styleId="a7">
    <w:name w:val="Intense Emphasis"/>
    <w:basedOn w:val="a0"/>
    <w:uiPriority w:val="21"/>
    <w:qFormat/>
    <w:rsid w:val="007946E6"/>
    <w:rPr>
      <w:i/>
      <w:iCs/>
      <w:color w:val="0F4761" w:themeColor="accent1" w:themeShade="BF"/>
    </w:rPr>
  </w:style>
  <w:style w:type="paragraph" w:styleId="a8">
    <w:name w:val="Intense Quote"/>
    <w:basedOn w:val="a"/>
    <w:next w:val="a"/>
    <w:link w:val="Char2"/>
    <w:uiPriority w:val="30"/>
    <w:qFormat/>
    <w:rsid w:val="007946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946E6"/>
    <w:rPr>
      <w:i/>
      <w:iCs/>
      <w:color w:val="0F4761" w:themeColor="accent1" w:themeShade="BF"/>
    </w:rPr>
  </w:style>
  <w:style w:type="character" w:styleId="a9">
    <w:name w:val="Intense Reference"/>
    <w:basedOn w:val="a0"/>
    <w:uiPriority w:val="32"/>
    <w:qFormat/>
    <w:rsid w:val="007946E6"/>
    <w:rPr>
      <w:b/>
      <w:bCs/>
      <w:smallCaps/>
      <w:color w:val="0F4761" w:themeColor="accent1" w:themeShade="BF"/>
      <w:spacing w:val="5"/>
    </w:rPr>
  </w:style>
  <w:style w:type="character" w:styleId="aa">
    <w:name w:val="Placeholder Text"/>
    <w:basedOn w:val="a0"/>
    <w:uiPriority w:val="99"/>
    <w:semiHidden/>
    <w:rsid w:val="009277D0"/>
    <w:rPr>
      <w:color w:val="666666"/>
    </w:rPr>
  </w:style>
  <w:style w:type="character" w:styleId="Hyperlink">
    <w:name w:val="Hyperlink"/>
    <w:basedOn w:val="a0"/>
    <w:uiPriority w:val="99"/>
    <w:unhideWhenUsed/>
    <w:rsid w:val="0039045E"/>
    <w:rPr>
      <w:color w:val="467886" w:themeColor="hyperlink"/>
      <w:u w:val="single"/>
    </w:rPr>
  </w:style>
  <w:style w:type="character" w:styleId="ab">
    <w:name w:val="Unresolved Mention"/>
    <w:basedOn w:val="a0"/>
    <w:uiPriority w:val="99"/>
    <w:semiHidden/>
    <w:unhideWhenUsed/>
    <w:rsid w:val="0039045E"/>
    <w:rPr>
      <w:color w:val="605E5C"/>
      <w:shd w:val="clear" w:color="auto" w:fill="E1DFDD"/>
    </w:rPr>
  </w:style>
  <w:style w:type="paragraph" w:styleId="ac">
    <w:name w:val="Normal (Web)"/>
    <w:basedOn w:val="a"/>
    <w:uiPriority w:val="99"/>
    <w:unhideWhenUsed/>
    <w:rsid w:val="00283E81"/>
    <w:pPr>
      <w:bidi w:val="0"/>
      <w:spacing w:before="100" w:beforeAutospacing="1" w:after="100" w:afterAutospacing="1" w:line="240" w:lineRule="auto"/>
    </w:pPr>
    <w:rPr>
      <w:rFonts w:ascii="Times New Roman" w:hAnsi="Times New Roman" w:cs="Times New Roman"/>
      <w:kern w:val="0"/>
      <w14:ligatures w14:val="none"/>
    </w:rPr>
  </w:style>
  <w:style w:type="character" w:styleId="ad">
    <w:name w:val="Strong"/>
    <w:basedOn w:val="a0"/>
    <w:uiPriority w:val="22"/>
    <w:qFormat/>
    <w:rsid w:val="00283E81"/>
    <w:rPr>
      <w:b/>
      <w:bCs/>
    </w:rPr>
  </w:style>
  <w:style w:type="character" w:styleId="ae">
    <w:name w:val="Emphasis"/>
    <w:basedOn w:val="a0"/>
    <w:uiPriority w:val="20"/>
    <w:qFormat/>
    <w:rsid w:val="00283E81"/>
    <w:rPr>
      <w:i/>
      <w:iCs/>
    </w:rPr>
  </w:style>
  <w:style w:type="table" w:styleId="10">
    <w:name w:val="Grid Table 1 Light"/>
    <w:basedOn w:val="a1"/>
    <w:uiPriority w:val="46"/>
    <w:rsid w:val="009231B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f">
    <w:name w:val="Table Grid"/>
    <w:basedOn w:val="a1"/>
    <w:uiPriority w:val="39"/>
    <w:rsid w:val="001D3D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61">
    <w:name w:val="font161"/>
    <w:basedOn w:val="a0"/>
    <w:rsid w:val="001D3D5D"/>
    <w:rPr>
      <w:rFonts w:ascii="Arial" w:hAnsi="Arial" w:cs="Arial" w:hint="default"/>
      <w:b w:val="0"/>
      <w:bCs w:val="0"/>
      <w:i w:val="0"/>
      <w:iCs w:val="0"/>
      <w:strike w:val="0"/>
      <w:dstrike w:val="0"/>
      <w:color w:val="000000"/>
      <w:sz w:val="24"/>
      <w:szCs w:val="24"/>
      <w:u w:val="none"/>
      <w:effect w:val="none"/>
    </w:rPr>
  </w:style>
  <w:style w:type="character" w:customStyle="1" w:styleId="font581">
    <w:name w:val="font581"/>
    <w:basedOn w:val="a0"/>
    <w:rsid w:val="001D3D5D"/>
    <w:rPr>
      <w:rFonts w:ascii="Aptos" w:hAnsi="Aptos" w:hint="default"/>
      <w:b/>
      <w:bCs/>
      <w:i w:val="0"/>
      <w:iCs w:val="0"/>
      <w:strike w:val="0"/>
      <w:dstrike w:val="0"/>
      <w:color w:val="000000"/>
      <w:sz w:val="24"/>
      <w:szCs w:val="24"/>
      <w:u w:val="none"/>
      <w:effect w:val="none"/>
    </w:rPr>
  </w:style>
  <w:style w:type="character" w:customStyle="1" w:styleId="font171">
    <w:name w:val="font171"/>
    <w:basedOn w:val="a0"/>
    <w:rsid w:val="001D3D5D"/>
    <w:rPr>
      <w:rFonts w:ascii="Aptos" w:hAnsi="Aptos" w:hint="default"/>
      <w:b w:val="0"/>
      <w:bCs w:val="0"/>
      <w:i w:val="0"/>
      <w:iCs w:val="0"/>
      <w:strike w:val="0"/>
      <w:dstrike w:val="0"/>
      <w:color w:val="000000"/>
      <w:sz w:val="24"/>
      <w:szCs w:val="24"/>
      <w:u w:val="none"/>
      <w:effect w:val="none"/>
    </w:rPr>
  </w:style>
  <w:style w:type="character" w:customStyle="1" w:styleId="font571">
    <w:name w:val="font571"/>
    <w:basedOn w:val="a0"/>
    <w:rsid w:val="001D3D5D"/>
    <w:rPr>
      <w:rFonts w:ascii="Arial" w:hAnsi="Arial" w:cs="Arial" w:hint="default"/>
      <w:b/>
      <w:bCs/>
      <w:i w:val="0"/>
      <w:iCs w:val="0"/>
      <w:strike w:val="0"/>
      <w:dstrike w:val="0"/>
      <w:color w:val="000000"/>
      <w:sz w:val="24"/>
      <w:szCs w:val="24"/>
      <w:u w:val="none"/>
      <w:effect w:val="none"/>
    </w:rPr>
  </w:style>
  <w:style w:type="character" w:customStyle="1" w:styleId="font291">
    <w:name w:val="font291"/>
    <w:basedOn w:val="a0"/>
    <w:rsid w:val="00BD1526"/>
    <w:rPr>
      <w:rFonts w:ascii="Cambria" w:hAnsi="Cambria" w:hint="default"/>
      <w:b w:val="0"/>
      <w:bCs w:val="0"/>
      <w:i w:val="0"/>
      <w:iCs w:val="0"/>
      <w:strike w:val="0"/>
      <w:dstrike w:val="0"/>
      <w:color w:val="000000"/>
      <w:sz w:val="28"/>
      <w:szCs w:val="28"/>
      <w:u w:val="none"/>
      <w:effect w:val="none"/>
    </w:rPr>
  </w:style>
  <w:style w:type="character" w:customStyle="1" w:styleId="font281">
    <w:name w:val="font281"/>
    <w:basedOn w:val="a0"/>
    <w:rsid w:val="00BD1526"/>
    <w:rPr>
      <w:rFonts w:ascii="Simplified Arabic" w:hAnsi="Simplified Arabic" w:cs="Simplified Arabic" w:hint="cs"/>
      <w:b w:val="0"/>
      <w:bCs w:val="0"/>
      <w:i w:val="0"/>
      <w:iCs w:val="0"/>
      <w:strike w:val="0"/>
      <w:dstrike w:val="0"/>
      <w:color w:val="000000"/>
      <w:sz w:val="28"/>
      <w:szCs w:val="28"/>
      <w:u w:val="none"/>
      <w:effect w:val="none"/>
    </w:rPr>
  </w:style>
  <w:style w:type="paragraph" w:styleId="af0">
    <w:name w:val="header"/>
    <w:basedOn w:val="a"/>
    <w:link w:val="Char3"/>
    <w:uiPriority w:val="99"/>
    <w:unhideWhenUsed/>
    <w:rsid w:val="000C5D98"/>
    <w:pPr>
      <w:tabs>
        <w:tab w:val="center" w:pos="4320"/>
        <w:tab w:val="right" w:pos="8640"/>
      </w:tabs>
      <w:spacing w:after="0" w:line="240" w:lineRule="auto"/>
    </w:pPr>
  </w:style>
  <w:style w:type="character" w:customStyle="1" w:styleId="Char3">
    <w:name w:val="رأس الصفحة Char"/>
    <w:basedOn w:val="a0"/>
    <w:link w:val="af0"/>
    <w:uiPriority w:val="99"/>
    <w:rsid w:val="000C5D98"/>
  </w:style>
  <w:style w:type="paragraph" w:styleId="af1">
    <w:name w:val="footer"/>
    <w:basedOn w:val="a"/>
    <w:link w:val="Char4"/>
    <w:uiPriority w:val="99"/>
    <w:unhideWhenUsed/>
    <w:rsid w:val="000C5D98"/>
    <w:pPr>
      <w:tabs>
        <w:tab w:val="center" w:pos="4320"/>
        <w:tab w:val="right" w:pos="8640"/>
      </w:tabs>
      <w:spacing w:after="0" w:line="240" w:lineRule="auto"/>
    </w:pPr>
  </w:style>
  <w:style w:type="character" w:customStyle="1" w:styleId="Char4">
    <w:name w:val="تذييل الصفحة Char"/>
    <w:basedOn w:val="a0"/>
    <w:link w:val="af1"/>
    <w:uiPriority w:val="99"/>
    <w:rsid w:val="000C5D98"/>
  </w:style>
  <w:style w:type="paragraph" w:styleId="af2">
    <w:name w:val="TOC Heading"/>
    <w:basedOn w:val="1"/>
    <w:next w:val="a"/>
    <w:uiPriority w:val="39"/>
    <w:unhideWhenUsed/>
    <w:qFormat/>
    <w:rsid w:val="00891197"/>
    <w:pPr>
      <w:bidi w:val="0"/>
      <w:spacing w:before="240" w:after="0" w:line="259" w:lineRule="auto"/>
      <w:ind w:left="0"/>
      <w:jc w:val="left"/>
      <w:outlineLvl w:val="9"/>
    </w:pPr>
    <w:rPr>
      <w:rFonts w:asciiTheme="majorHAnsi" w:hAnsiTheme="majorHAnsi"/>
      <w:color w:val="0F4761" w:themeColor="accent1" w:themeShade="BF"/>
      <w:kern w:val="0"/>
      <w:sz w:val="32"/>
      <w:szCs w:val="32"/>
      <w14:ligatures w14:val="none"/>
    </w:rPr>
  </w:style>
  <w:style w:type="paragraph" w:styleId="20">
    <w:name w:val="toc 2"/>
    <w:basedOn w:val="a"/>
    <w:next w:val="a"/>
    <w:autoRedefine/>
    <w:uiPriority w:val="39"/>
    <w:unhideWhenUsed/>
    <w:rsid w:val="00891197"/>
    <w:pPr>
      <w:spacing w:after="0"/>
      <w:ind w:left="240"/>
    </w:pPr>
    <w:rPr>
      <w:rFonts w:cs="Times New Roman"/>
      <w:smallCaps/>
      <w:sz w:val="20"/>
    </w:rPr>
  </w:style>
  <w:style w:type="paragraph" w:styleId="11">
    <w:name w:val="toc 1"/>
    <w:basedOn w:val="a"/>
    <w:next w:val="a"/>
    <w:autoRedefine/>
    <w:uiPriority w:val="39"/>
    <w:unhideWhenUsed/>
    <w:rsid w:val="00891197"/>
    <w:pPr>
      <w:spacing w:before="120" w:after="120"/>
    </w:pPr>
    <w:rPr>
      <w:rFonts w:cs="Times New Roman"/>
      <w:b/>
      <w:bCs/>
      <w:caps/>
      <w:sz w:val="20"/>
    </w:rPr>
  </w:style>
  <w:style w:type="paragraph" w:styleId="30">
    <w:name w:val="toc 3"/>
    <w:basedOn w:val="a"/>
    <w:next w:val="a"/>
    <w:autoRedefine/>
    <w:uiPriority w:val="39"/>
    <w:unhideWhenUsed/>
    <w:rsid w:val="00891197"/>
    <w:pPr>
      <w:spacing w:after="0"/>
      <w:ind w:left="480"/>
    </w:pPr>
    <w:rPr>
      <w:rFonts w:cs="Times New Roman"/>
      <w:i/>
      <w:iCs/>
      <w:sz w:val="20"/>
    </w:rPr>
  </w:style>
  <w:style w:type="paragraph" w:styleId="40">
    <w:name w:val="toc 4"/>
    <w:basedOn w:val="a"/>
    <w:next w:val="a"/>
    <w:autoRedefine/>
    <w:uiPriority w:val="39"/>
    <w:unhideWhenUsed/>
    <w:rsid w:val="00B01EA5"/>
    <w:pPr>
      <w:spacing w:after="0"/>
      <w:ind w:left="720"/>
    </w:pPr>
    <w:rPr>
      <w:rFonts w:cs="Times New Roman"/>
      <w:sz w:val="18"/>
      <w:szCs w:val="21"/>
    </w:rPr>
  </w:style>
  <w:style w:type="paragraph" w:styleId="50">
    <w:name w:val="toc 5"/>
    <w:basedOn w:val="a"/>
    <w:next w:val="a"/>
    <w:autoRedefine/>
    <w:uiPriority w:val="39"/>
    <w:unhideWhenUsed/>
    <w:rsid w:val="00B01EA5"/>
    <w:pPr>
      <w:spacing w:after="0"/>
      <w:ind w:left="960"/>
    </w:pPr>
    <w:rPr>
      <w:rFonts w:cs="Times New Roman"/>
      <w:sz w:val="18"/>
      <w:szCs w:val="21"/>
    </w:rPr>
  </w:style>
  <w:style w:type="paragraph" w:styleId="60">
    <w:name w:val="toc 6"/>
    <w:basedOn w:val="a"/>
    <w:next w:val="a"/>
    <w:autoRedefine/>
    <w:uiPriority w:val="39"/>
    <w:unhideWhenUsed/>
    <w:rsid w:val="00B01EA5"/>
    <w:pPr>
      <w:spacing w:after="0"/>
      <w:ind w:left="1200"/>
    </w:pPr>
    <w:rPr>
      <w:rFonts w:cs="Times New Roman"/>
      <w:sz w:val="18"/>
      <w:szCs w:val="21"/>
    </w:rPr>
  </w:style>
  <w:style w:type="paragraph" w:styleId="70">
    <w:name w:val="toc 7"/>
    <w:basedOn w:val="a"/>
    <w:next w:val="a"/>
    <w:autoRedefine/>
    <w:uiPriority w:val="39"/>
    <w:unhideWhenUsed/>
    <w:rsid w:val="00B01EA5"/>
    <w:pPr>
      <w:spacing w:after="0"/>
      <w:ind w:left="1440"/>
    </w:pPr>
    <w:rPr>
      <w:rFonts w:cs="Times New Roman"/>
      <w:sz w:val="18"/>
      <w:szCs w:val="21"/>
    </w:rPr>
  </w:style>
  <w:style w:type="paragraph" w:styleId="80">
    <w:name w:val="toc 8"/>
    <w:basedOn w:val="a"/>
    <w:next w:val="a"/>
    <w:autoRedefine/>
    <w:uiPriority w:val="39"/>
    <w:unhideWhenUsed/>
    <w:rsid w:val="00B01EA5"/>
    <w:pPr>
      <w:spacing w:after="0"/>
      <w:ind w:left="1680"/>
    </w:pPr>
    <w:rPr>
      <w:rFonts w:cs="Times New Roman"/>
      <w:sz w:val="18"/>
      <w:szCs w:val="21"/>
    </w:rPr>
  </w:style>
  <w:style w:type="paragraph" w:styleId="90">
    <w:name w:val="toc 9"/>
    <w:basedOn w:val="a"/>
    <w:next w:val="a"/>
    <w:autoRedefine/>
    <w:uiPriority w:val="39"/>
    <w:unhideWhenUsed/>
    <w:rsid w:val="00B01EA5"/>
    <w:pPr>
      <w:spacing w:after="0"/>
      <w:ind w:left="1920"/>
    </w:pPr>
    <w:rPr>
      <w:rFonts w:cs="Times New Roman"/>
      <w:sz w:val="18"/>
      <w:szCs w:val="21"/>
    </w:rPr>
  </w:style>
  <w:style w:type="character" w:styleId="af3">
    <w:name w:val="FollowedHyperlink"/>
    <w:basedOn w:val="a0"/>
    <w:uiPriority w:val="99"/>
    <w:semiHidden/>
    <w:unhideWhenUsed/>
    <w:rsid w:val="00740B7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52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18" Type="http://schemas.openxmlformats.org/officeDocument/2006/relationships/hyperlink" Target="https://bit.ly/3RIKrRb" TargetMode="External" /><Relationship Id="rId26" Type="http://schemas.openxmlformats.org/officeDocument/2006/relationships/hyperlink" Target="https://doi.org/10.1002/wps.20311" TargetMode="External" /><Relationship Id="rId3" Type="http://schemas.openxmlformats.org/officeDocument/2006/relationships/styles" Target="styles.xml" /><Relationship Id="rId21" Type="http://schemas.openxmlformats.org/officeDocument/2006/relationships/hyperlink" Target="https://www.moh.gov.sa/Ministry/About/Documents/MOH-Report-2023.pdf" TargetMode="Externa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hyperlink" Target="https://doi.org/10.52133/ijrsp.v3.27.15" TargetMode="External" /><Relationship Id="rId25" Type="http://schemas.openxmlformats.org/officeDocument/2006/relationships/hyperlink" Target="https://doi.org/10.9734/BJAST/2015/14975" TargetMode="External" /><Relationship Id="rId2" Type="http://schemas.openxmlformats.org/officeDocument/2006/relationships/numbering" Target="numbering.xml" /><Relationship Id="rId16" Type="http://schemas.openxmlformats.org/officeDocument/2006/relationships/hyperlink" Target="https://doi.org/10.26389/AJSRP.H270723" TargetMode="External" /><Relationship Id="rId20" Type="http://schemas.openxmlformats.org/officeDocument/2006/relationships/hyperlink" Target="https://www.vision2030.gov.sa/ar/explore/programs/health-sector-transformation-program" TargetMode="External" /><Relationship Id="rId29" Type="http://schemas.openxmlformats.org/officeDocument/2006/relationships/hyperlink" Target="https://www.who.int/news/item/28-05-2019-burn-out-an-occupational-phenomenon-international-classification-of-disease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24" Type="http://schemas.openxmlformats.org/officeDocument/2006/relationships/hyperlink" Target="https://doi.org/10.1037/0022-3514.51.6.1173" TargetMode="External" /><Relationship Id="rId5" Type="http://schemas.openxmlformats.org/officeDocument/2006/relationships/webSettings" Target="webSettings.xml" /><Relationship Id="rId15" Type="http://schemas.openxmlformats.org/officeDocument/2006/relationships/footer" Target="footer3.xml" /><Relationship Id="rId23" Type="http://schemas.openxmlformats.org/officeDocument/2006/relationships/hyperlink" Target="https://doi.org/10.1177/11786329221121214" TargetMode="External" /><Relationship Id="rId28" Type="http://schemas.openxmlformats.org/officeDocument/2006/relationships/hyperlink" Target="https://doi.org/10.5116/ijme.4dfb.8dfd" TargetMode="External" /><Relationship Id="rId10" Type="http://schemas.openxmlformats.org/officeDocument/2006/relationships/footer" Target="footer1.xml" /><Relationship Id="rId19" Type="http://schemas.openxmlformats.org/officeDocument/2006/relationships/hyperlink" Target="https://doi.org/10.56807/buj.v5i4.403" TargetMode="External"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header" Target="header3.xml" /><Relationship Id="rId22" Type="http://schemas.openxmlformats.org/officeDocument/2006/relationships/hyperlink" Target="https://doi.org/10.1111/j.1365-2834.2011.01320" TargetMode="External" /><Relationship Id="rId27" Type="http://schemas.openxmlformats.org/officeDocument/2006/relationships/hyperlink" Target="https://doi.org/10.1007/s11205-008-9270-3" TargetMode="External" /><Relationship Id="rId30"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11A65-06C8-4B0E-AD90-3B55A90BE3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90</Pages>
  <Words>21114</Words>
  <Characters>120354</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Akram Algrady</dc:creator>
  <cp:keywords/>
  <dc:description/>
  <cp:lastModifiedBy>AKRAM Mohammed</cp:lastModifiedBy>
  <cp:revision>2</cp:revision>
  <dcterms:created xsi:type="dcterms:W3CDTF">2026-07-16T15:34:00Z</dcterms:created>
  <dcterms:modified xsi:type="dcterms:W3CDTF">2026-07-16T15:34:00Z</dcterms:modified>
</cp:coreProperties>
</file>