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263EBA26" w14:textId="77777777" w:rsidR="00E968BF" w:rsidRDefault="00E968BF" w:rsidP="00E968BF">
      <w:pPr>
        <w:jc w:val="center"/>
        <w:rPr>
          <w:rFonts w:ascii="Arial" w:hAnsi="Arial" w:cs="Monotype Koufi"/>
          <w:b/>
          <w:bCs/>
          <w:sz w:val="44"/>
          <w:szCs w:val="44"/>
          <w:rtl/>
        </w:rPr>
      </w:pPr>
    </w:p>
    <w:p w14:paraId="6EB7BF09" w14:textId="2DF4DFE9" w:rsidR="00E968BF" w:rsidRDefault="00E968BF" w:rsidP="00E968BF">
      <w:pPr>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أطروحة</w:t>
      </w:r>
      <w:r>
        <w:rPr>
          <w:rFonts w:ascii="Arial" w:hAnsi="Arial" w:cs="Monotype Koufi" w:hint="cs"/>
          <w:b/>
          <w:bCs/>
          <w:sz w:val="44"/>
          <w:szCs w:val="44"/>
          <w:rtl/>
        </w:rPr>
        <w:t xml:space="preserve"> درجة الدكتوراه</w:t>
      </w:r>
    </w:p>
    <w:p w14:paraId="1A28A28D" w14:textId="77777777" w:rsidR="00E968BF" w:rsidRPr="00DF1AF8" w:rsidRDefault="00E968BF" w:rsidP="00E968BF">
      <w:pPr>
        <w:jc w:val="center"/>
        <w:rPr>
          <w:rFonts w:ascii="Arial" w:hAnsi="Arial" w:cs="Monotype Koufi"/>
          <w:b/>
          <w:bCs/>
          <w:sz w:val="44"/>
          <w:szCs w:val="44"/>
          <w:rtl/>
        </w:rPr>
      </w:pPr>
      <w:r>
        <w:rPr>
          <w:rFonts w:ascii="Arial" w:hAnsi="Arial" w:cs="Monotype Koufi" w:hint="cs"/>
          <w:b/>
          <w:bCs/>
          <w:sz w:val="44"/>
          <w:szCs w:val="44"/>
          <w:rtl/>
        </w:rPr>
        <w:t>بعنوان</w:t>
      </w:r>
    </w:p>
    <w:p w14:paraId="23F0AC74" w14:textId="77777777" w:rsidR="00E968BF" w:rsidRDefault="00E968BF" w:rsidP="00E968BF">
      <w:pPr>
        <w:pStyle w:val="NormalWeb"/>
        <w:bidi/>
        <w:spacing w:before="0" w:beforeAutospacing="0" w:after="0" w:afterAutospacing="0"/>
        <w:ind w:right="-270"/>
        <w:jc w:val="center"/>
        <w:rPr>
          <w:rtl/>
        </w:rPr>
      </w:pPr>
      <w:r w:rsidRPr="00D824BA">
        <w:rPr>
          <w:rFonts w:ascii="Arial" w:hAnsi="Arial" w:cs="Arial"/>
          <w:b/>
          <w:bCs/>
          <w:color w:val="0070C0"/>
          <w:sz w:val="32"/>
          <w:szCs w:val="32"/>
          <w:rtl/>
        </w:rPr>
        <w:t>أثر الحوافز الوظيفية على أداء الموظفين</w:t>
      </w:r>
      <w:r>
        <w:rPr>
          <w:rFonts w:ascii="Arial" w:hAnsi="Arial" w:cs="Arial" w:hint="cs"/>
          <w:b/>
          <w:bCs/>
          <w:color w:val="0070C0"/>
          <w:sz w:val="32"/>
          <w:szCs w:val="32"/>
          <w:rtl/>
        </w:rPr>
        <w:t>: (دراسة تطبيقية) على موظفي</w:t>
      </w:r>
      <w:r w:rsidRPr="00D824BA">
        <w:rPr>
          <w:rFonts w:ascii="Arial" w:hAnsi="Arial" w:cs="Arial"/>
          <w:b/>
          <w:bCs/>
          <w:color w:val="0070C0"/>
          <w:sz w:val="32"/>
          <w:szCs w:val="32"/>
          <w:rtl/>
        </w:rPr>
        <w:t xml:space="preserve"> الإدارة العامة للتشريعات والدراسات البيئية </w:t>
      </w:r>
    </w:p>
    <w:p w14:paraId="63149E94" w14:textId="77777777" w:rsidR="00E968BF" w:rsidRDefault="00E968BF" w:rsidP="00E968BF">
      <w:pPr>
        <w:pStyle w:val="NormalWeb"/>
        <w:bidi/>
        <w:spacing w:before="0" w:beforeAutospacing="0" w:after="0" w:afterAutospacing="0"/>
        <w:ind w:right="-270"/>
        <w:jc w:val="center"/>
        <w:rPr>
          <w:rtl/>
        </w:rPr>
      </w:pPr>
    </w:p>
    <w:p w14:paraId="291475B3" w14:textId="77777777" w:rsidR="00E968BF" w:rsidRDefault="00E968BF" w:rsidP="00E968BF">
      <w:pPr>
        <w:pStyle w:val="NormalWeb"/>
        <w:bidi/>
        <w:spacing w:before="0" w:beforeAutospacing="0" w:after="0" w:afterAutospacing="0"/>
        <w:ind w:right="-270"/>
        <w:jc w:val="center"/>
        <w:rPr>
          <w:rtl/>
        </w:rPr>
      </w:pPr>
    </w:p>
    <w:p w14:paraId="10F41704" w14:textId="77777777" w:rsidR="00E968BF" w:rsidRDefault="00E968BF" w:rsidP="00E968BF">
      <w:pPr>
        <w:pStyle w:val="NormalWeb"/>
        <w:bidi/>
        <w:spacing w:before="0" w:beforeAutospacing="0" w:after="0" w:afterAutospacing="0"/>
        <w:ind w:right="-270"/>
        <w:jc w:val="center"/>
        <w:rPr>
          <w:rtl/>
        </w:rPr>
      </w:pPr>
    </w:p>
    <w:p w14:paraId="7F23B6C3" w14:textId="77777777" w:rsidR="00E968BF" w:rsidRDefault="00E968BF" w:rsidP="00E968BF">
      <w:pPr>
        <w:pStyle w:val="NormalWeb"/>
        <w:bidi/>
        <w:spacing w:before="0" w:beforeAutospacing="0" w:after="0" w:afterAutospacing="0"/>
        <w:ind w:right="-270"/>
        <w:jc w:val="center"/>
      </w:pPr>
    </w:p>
    <w:p w14:paraId="18274D87" w14:textId="77777777" w:rsidR="00E968BF" w:rsidRDefault="00E968BF" w:rsidP="00E968BF">
      <w:pPr>
        <w:pStyle w:val="NormalWeb"/>
        <w:bidi/>
        <w:spacing w:before="0" w:beforeAutospacing="0" w:after="0" w:afterAutospacing="0"/>
        <w:ind w:right="-270"/>
        <w:jc w:val="center"/>
        <w:rPr>
          <w:rFonts w:ascii="Arial" w:hAnsi="Arial" w:cs="Arial"/>
          <w:b/>
          <w:bCs/>
          <w:color w:val="0070C0"/>
          <w:szCs w:val="28"/>
          <w:rtl/>
        </w:rPr>
      </w:pPr>
      <w:r w:rsidRPr="008B7206">
        <w:rPr>
          <w:rFonts w:ascii="Arial" w:hAnsi="Arial" w:cs="Arial"/>
          <w:b/>
          <w:bCs/>
          <w:color w:val="0070C0"/>
          <w:szCs w:val="28"/>
          <w:rtl/>
        </w:rPr>
        <w:t>“</w:t>
      </w:r>
      <w:r>
        <w:rPr>
          <w:rFonts w:ascii="Arial" w:hAnsi="Arial" w:cs="Arial"/>
          <w:b/>
          <w:bCs/>
          <w:color w:val="0070C0"/>
          <w:szCs w:val="28"/>
        </w:rPr>
        <w:t xml:space="preserve">The </w:t>
      </w:r>
      <w:r w:rsidRPr="008B7206">
        <w:rPr>
          <w:rFonts w:ascii="Arial" w:hAnsi="Arial" w:cs="Arial"/>
          <w:b/>
          <w:bCs/>
          <w:color w:val="0070C0"/>
          <w:szCs w:val="28"/>
        </w:rPr>
        <w:t>Impact of Job Incentives on Employee Performance: A Case Study of the General Administration of Legislation and Environmental Studies”</w:t>
      </w:r>
    </w:p>
    <w:p w14:paraId="36D60318" w14:textId="77777777" w:rsidR="00E968BF" w:rsidRDefault="00E968BF" w:rsidP="00E968BF">
      <w:pPr>
        <w:pStyle w:val="NormalWeb"/>
        <w:bidi/>
        <w:spacing w:before="0" w:beforeAutospacing="0" w:after="0" w:afterAutospacing="0"/>
        <w:ind w:right="-270"/>
        <w:jc w:val="center"/>
        <w:rPr>
          <w:rFonts w:ascii="Arial" w:hAnsi="Arial" w:cs="Arial"/>
          <w:b/>
          <w:bCs/>
          <w:color w:val="0070C0"/>
          <w:szCs w:val="28"/>
        </w:rPr>
      </w:pPr>
    </w:p>
    <w:p w14:paraId="4B417B65" w14:textId="77777777" w:rsidR="00E968BF" w:rsidRPr="00D6177D" w:rsidRDefault="00E968BF" w:rsidP="00E968BF">
      <w:pPr>
        <w:pStyle w:val="NormalWeb"/>
        <w:bidi/>
        <w:spacing w:before="0" w:beforeAutospacing="0" w:after="0" w:afterAutospacing="0"/>
        <w:ind w:right="-270"/>
        <w:jc w:val="center"/>
        <w:rPr>
          <w:rFonts w:ascii="Arial" w:hAnsi="Arial" w:cs="Arial"/>
          <w:b/>
          <w:bCs/>
          <w:color w:val="0070C0"/>
          <w:szCs w:val="28"/>
          <w:rtl/>
        </w:rPr>
      </w:pPr>
    </w:p>
    <w:p w14:paraId="2A27BD11" w14:textId="77777777" w:rsidR="00E968BF"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18CF3D1" w14:textId="77777777" w:rsidR="00E968BF"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Pr>
      </w:pPr>
    </w:p>
    <w:p w14:paraId="27726D12" w14:textId="77777777" w:rsidR="00E968BF" w:rsidRPr="004B484B"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287"/>
        <w:gridCol w:w="5662"/>
      </w:tblGrid>
      <w:tr w:rsidR="00E968BF" w14:paraId="03B3CC8B" w14:textId="77777777" w:rsidTr="00E968BF">
        <w:tc>
          <w:tcPr>
            <w:tcW w:w="1989" w:type="dxa"/>
          </w:tcPr>
          <w:p w14:paraId="6BCF24B4"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04BFED14"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662" w:type="dxa"/>
          </w:tcPr>
          <w:p w14:paraId="51F6CA18" w14:textId="77777777" w:rsidR="00E968BF" w:rsidRDefault="00E968BF" w:rsidP="006D26B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6D26BE">
              <w:rPr>
                <w:rFonts w:ascii="Sakkal Majalla" w:hAnsi="Sakkal Majalla" w:cs="Sakkal Majalla" w:hint="cs"/>
                <w:b/>
                <w:bCs/>
                <w:color w:val="000000" w:themeColor="text1"/>
                <w:sz w:val="36"/>
                <w:szCs w:val="36"/>
                <w:rtl/>
              </w:rPr>
              <w:t>هذال بن سعود الجنيبي</w:t>
            </w:r>
            <w:r>
              <w:rPr>
                <w:rFonts w:ascii="Sakkal Majalla" w:hAnsi="Sakkal Majalla" w:cs="Sakkal Majalla" w:hint="cs"/>
                <w:b/>
                <w:bCs/>
                <w:color w:val="0000FF"/>
                <w:sz w:val="36"/>
                <w:szCs w:val="36"/>
                <w:rtl/>
              </w:rPr>
              <w:t xml:space="preserve">  </w:t>
            </w:r>
          </w:p>
        </w:tc>
      </w:tr>
      <w:tr w:rsidR="00E968BF" w14:paraId="73A577E1" w14:textId="77777777" w:rsidTr="00E968BF">
        <w:tc>
          <w:tcPr>
            <w:tcW w:w="1989" w:type="dxa"/>
          </w:tcPr>
          <w:p w14:paraId="6064CA67" w14:textId="77777777" w:rsidR="00E968BF" w:rsidRPr="004B484B" w:rsidRDefault="00E968BF" w:rsidP="00B51232">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الكلية         </w:t>
            </w:r>
          </w:p>
        </w:tc>
        <w:tc>
          <w:tcPr>
            <w:tcW w:w="287" w:type="dxa"/>
          </w:tcPr>
          <w:p w14:paraId="15B5A9C3"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662" w:type="dxa"/>
          </w:tcPr>
          <w:p w14:paraId="753E573B" w14:textId="77777777" w:rsidR="00E968BF" w:rsidRDefault="00E968BF" w:rsidP="006D26B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6D26BE">
              <w:rPr>
                <w:rFonts w:ascii="Sakkal Majalla" w:hAnsi="Sakkal Majalla" w:cs="Sakkal Majalla" w:hint="cs"/>
                <w:b/>
                <w:bCs/>
                <w:color w:val="000000" w:themeColor="text1"/>
                <w:sz w:val="36"/>
                <w:szCs w:val="36"/>
                <w:rtl/>
              </w:rPr>
              <w:t>كليه الإدارة</w:t>
            </w:r>
          </w:p>
        </w:tc>
      </w:tr>
    </w:tbl>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bookmarkStart w:id="0" w:name="_GoBack"/>
      <w:bookmarkEnd w:id="0"/>
    </w:p>
    <w:p w14:paraId="26C98FDA" w14:textId="4006BA97" w:rsidR="003D7155" w:rsidRDefault="003D7155" w:rsidP="003D7155">
      <w:pPr>
        <w:spacing w:before="240" w:after="0" w:line="360" w:lineRule="auto"/>
        <w:rPr>
          <w:rFonts w:ascii="Traditional Arabic" w:hAnsi="Traditional Arabic" w:cs="Traditional Arabic"/>
          <w:b/>
          <w:bCs/>
          <w:sz w:val="32"/>
          <w:szCs w:val="32"/>
          <w:rtl/>
        </w:rPr>
      </w:pPr>
    </w:p>
    <w:p w14:paraId="5D310ECB" w14:textId="3E1156B7" w:rsidR="00E968BF" w:rsidRDefault="00E968BF" w:rsidP="003D7155">
      <w:pPr>
        <w:spacing w:before="240" w:after="0" w:line="360" w:lineRule="auto"/>
        <w:rPr>
          <w:rFonts w:ascii="Traditional Arabic" w:hAnsi="Traditional Arabic" w:cs="Traditional Arabic"/>
          <w:b/>
          <w:bCs/>
          <w:sz w:val="32"/>
          <w:szCs w:val="32"/>
          <w:rtl/>
        </w:rPr>
      </w:pPr>
    </w:p>
    <w:p w14:paraId="3A388392" w14:textId="251C50C2" w:rsidR="00E968BF" w:rsidRDefault="00E968BF" w:rsidP="003D7155">
      <w:pPr>
        <w:spacing w:before="240" w:after="0" w:line="360" w:lineRule="auto"/>
        <w:rPr>
          <w:rFonts w:ascii="Traditional Arabic" w:hAnsi="Traditional Arabic" w:cs="Traditional Arabic"/>
          <w:b/>
          <w:bCs/>
          <w:sz w:val="32"/>
          <w:szCs w:val="32"/>
          <w:rtl/>
        </w:rPr>
      </w:pPr>
    </w:p>
    <w:p w14:paraId="57A6671C" w14:textId="4F7808BD" w:rsidR="003D7155" w:rsidRDefault="003D7155" w:rsidP="00E968BF">
      <w:pPr>
        <w:spacing w:before="240" w:after="0" w:line="360" w:lineRule="auto"/>
        <w:rPr>
          <w:rFonts w:ascii="Traditional Arabic" w:hAnsi="Traditional Arabic" w:cs="Traditional Arabic"/>
          <w:b/>
          <w:bCs/>
          <w:sz w:val="32"/>
          <w:szCs w:val="32"/>
          <w:rtl/>
        </w:rPr>
      </w:pPr>
    </w:p>
    <w:p w14:paraId="72B7A408" w14:textId="77777777" w:rsidR="00E968BF" w:rsidRPr="00E968BF" w:rsidRDefault="00E968BF" w:rsidP="00E968BF">
      <w:pPr>
        <w:spacing w:before="100" w:beforeAutospacing="1" w:after="100" w:afterAutospacing="1" w:line="240" w:lineRule="auto"/>
        <w:jc w:val="center"/>
        <w:rPr>
          <w:rFonts w:ascii="Times New Roman" w:eastAsia="Times New Roman" w:hAnsi="Times New Roman" w:cs="Times New Roman"/>
          <w:kern w:val="0"/>
          <w:sz w:val="32"/>
          <w:szCs w:val="32"/>
          <w:rtl/>
          <w14:ligatures w14:val="none"/>
        </w:rPr>
      </w:pPr>
      <w:r w:rsidRPr="00E968BF">
        <w:rPr>
          <w:rFonts w:ascii="Times New Roman" w:eastAsia="Times New Roman" w:hAnsi="Times New Roman" w:cs="Times New Roman"/>
          <w:b/>
          <w:bCs/>
          <w:kern w:val="0"/>
          <w:sz w:val="32"/>
          <w:szCs w:val="32"/>
          <w:rtl/>
          <w14:ligatures w14:val="none"/>
        </w:rPr>
        <w:lastRenderedPageBreak/>
        <w:t>تقييم الفصل الثاني بعد التعديلات</w:t>
      </w:r>
    </w:p>
    <w:p w14:paraId="4CFEA601" w14:textId="361C3204" w:rsidR="00E968BF" w:rsidRPr="00E968BF" w:rsidRDefault="00E968BF" w:rsidP="006D26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14:ligatures w14:val="none"/>
        </w:rPr>
        <w:br/>
      </w:r>
      <w:r w:rsidRPr="00E968BF">
        <w:rPr>
          <w:rFonts w:ascii="Times New Roman" w:eastAsia="Times New Roman" w:hAnsi="Times New Roman" w:cs="Times New Roman"/>
          <w:kern w:val="0"/>
          <w:sz w:val="24"/>
          <w:szCs w:val="24"/>
          <w:rtl/>
          <w14:ligatures w14:val="none"/>
        </w:rPr>
        <w:t>بمراجعة الفصل الثاني بعد إجراء التعديلات، يتضح أن الباحث أجرى بعض التحسينات، إلا أن مستوى الاستجابة للملاحظات جاء متفاوتًا بين أجزاء الفصل، حيث تحسن عرض الدراسات السابقة بشكل ملحوظ، بينما ما زال الإطار النظري بحاجة إلى مزيد من التعميق التحليلي</w:t>
      </w:r>
      <w:r w:rsidRPr="00E968BF">
        <w:rPr>
          <w:rFonts w:ascii="Times New Roman" w:eastAsia="Times New Roman" w:hAnsi="Times New Roman" w:cs="Times New Roman"/>
          <w:kern w:val="0"/>
          <w:sz w:val="24"/>
          <w:szCs w:val="24"/>
          <w14:ligatures w14:val="none"/>
        </w:rPr>
        <w:t>.</w:t>
      </w:r>
    </w:p>
    <w:p w14:paraId="60335F6F" w14:textId="77777777" w:rsidR="00E968BF" w:rsidRPr="00E968BF" w:rsidRDefault="00E968BF" w:rsidP="00E968B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ففي الإطار النظري، استمر التركيز على العرض الوصفي للمفاهيم دون تقديم مقارنة كافية بين الاتجاهات النظرية أو تبني منظور نظري واضح يربط بين متغيرات الدراسة، وهو ما يشير إلى استجابة محدودة للملاحظات السابقة</w:t>
      </w:r>
      <w:r w:rsidRPr="00E968BF">
        <w:rPr>
          <w:rFonts w:ascii="Times New Roman" w:eastAsia="Times New Roman" w:hAnsi="Times New Roman" w:cs="Times New Roman"/>
          <w:kern w:val="0"/>
          <w:sz w:val="24"/>
          <w:szCs w:val="24"/>
          <w14:ligatures w14:val="none"/>
        </w:rPr>
        <w:t>.</w:t>
      </w:r>
    </w:p>
    <w:p w14:paraId="2DE114D2" w14:textId="77777777" w:rsidR="00E968BF" w:rsidRPr="00E968BF" w:rsidRDefault="00E968BF" w:rsidP="00E968B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أما الدراسات السابقة، فقد شهدت تحسنًا جيدًا من حيث إعادة التنظيم وإضافة قدر من المقارنة بين الدراسات، إلا أن مستوى التحليل ما زال يحتاج إلى مزيد من التعميق</w:t>
      </w:r>
      <w:r w:rsidRPr="00E968BF">
        <w:rPr>
          <w:rFonts w:ascii="Times New Roman" w:eastAsia="Times New Roman" w:hAnsi="Times New Roman" w:cs="Times New Roman"/>
          <w:kern w:val="0"/>
          <w:sz w:val="24"/>
          <w:szCs w:val="24"/>
          <w14:ligatures w14:val="none"/>
        </w:rPr>
        <w:t>.</w:t>
      </w:r>
    </w:p>
    <w:p w14:paraId="2EE87A8E" w14:textId="77777777" w:rsidR="00E968BF" w:rsidRPr="00E968BF" w:rsidRDefault="00E968BF" w:rsidP="00E968B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وفيما يتعلق بالفجوة البحثية، تمت إضافتها بالفعل، إلا أن صياغتها جاءت عامة وتحتاج إلى تحديد أدق لطبيعة الفجوة وكيفية معالجتها في الدراسة الحالية</w:t>
      </w:r>
      <w:r w:rsidRPr="00E968BF">
        <w:rPr>
          <w:rFonts w:ascii="Times New Roman" w:eastAsia="Times New Roman" w:hAnsi="Times New Roman" w:cs="Times New Roman"/>
          <w:kern w:val="0"/>
          <w:sz w:val="24"/>
          <w:szCs w:val="24"/>
          <w14:ligatures w14:val="none"/>
        </w:rPr>
        <w:t>.</w:t>
      </w:r>
    </w:p>
    <w:p w14:paraId="27B27141" w14:textId="77777777" w:rsidR="00E968BF" w:rsidRPr="00E968BF" w:rsidRDefault="00E968BF" w:rsidP="00E968B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كما يُلاحظ أن الفصل ما زال طويلًا نسبيًا، ويحتاج إلى مزيد من الاختصار وإعادة الصياغة لزيادة التركيز وتجنب التكرار</w:t>
      </w:r>
      <w:r w:rsidRPr="00E968BF">
        <w:rPr>
          <w:rFonts w:ascii="Times New Roman" w:eastAsia="Times New Roman" w:hAnsi="Times New Roman" w:cs="Times New Roman"/>
          <w:kern w:val="0"/>
          <w:sz w:val="24"/>
          <w:szCs w:val="24"/>
          <w14:ligatures w14:val="none"/>
        </w:rPr>
        <w:t>.</w:t>
      </w:r>
    </w:p>
    <w:p w14:paraId="03AF9206" w14:textId="77777777" w:rsidR="00E968BF" w:rsidRPr="00E968BF" w:rsidRDefault="00E968BF" w:rsidP="00E968B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ويمكن تلخيص مستوى الاستجابة للملاحظات على النحو التالي</w:t>
      </w:r>
      <w:r w:rsidRPr="00E968BF">
        <w:rPr>
          <w:rFonts w:ascii="Times New Roman" w:eastAsia="Times New Roman" w:hAnsi="Times New Roman" w:cs="Times New Roman"/>
          <w:kern w:val="0"/>
          <w:sz w:val="24"/>
          <w:szCs w:val="24"/>
          <w14:ligatures w14:val="none"/>
        </w:rPr>
        <w:t>:</w:t>
      </w:r>
    </w:p>
    <w:p w14:paraId="0181A7A1" w14:textId="77777777" w:rsidR="00E968BF" w:rsidRPr="00E968BF" w:rsidRDefault="00E968BF" w:rsidP="00E968BF">
      <w:pPr>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الإطار النظري: استجابة محدودة وما زال يحتاج إلى تعميق تحليلي</w:t>
      </w:r>
      <w:r w:rsidRPr="00E968BF">
        <w:rPr>
          <w:rFonts w:ascii="Times New Roman" w:eastAsia="Times New Roman" w:hAnsi="Times New Roman" w:cs="Times New Roman"/>
          <w:kern w:val="0"/>
          <w:sz w:val="24"/>
          <w:szCs w:val="24"/>
          <w14:ligatures w14:val="none"/>
        </w:rPr>
        <w:t xml:space="preserve">. </w:t>
      </w:r>
    </w:p>
    <w:p w14:paraId="66088ED9" w14:textId="77777777" w:rsidR="00E968BF" w:rsidRPr="00E968BF" w:rsidRDefault="00E968BF" w:rsidP="00E968BF">
      <w:pPr>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الدراسات السابقة: استجابة جيدة مع تحسن واضح في التنظيم والمقارنة</w:t>
      </w:r>
      <w:r w:rsidRPr="00E968BF">
        <w:rPr>
          <w:rFonts w:ascii="Times New Roman" w:eastAsia="Times New Roman" w:hAnsi="Times New Roman" w:cs="Times New Roman"/>
          <w:kern w:val="0"/>
          <w:sz w:val="24"/>
          <w:szCs w:val="24"/>
          <w14:ligatures w14:val="none"/>
        </w:rPr>
        <w:t xml:space="preserve">. </w:t>
      </w:r>
    </w:p>
    <w:p w14:paraId="715CFFFC" w14:textId="77777777" w:rsidR="00E968BF" w:rsidRPr="00E968BF" w:rsidRDefault="00E968BF" w:rsidP="00E968BF">
      <w:pPr>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الفجوة البحثية: استجابة جزئية مع حاجة إلى مزيد من التحديد</w:t>
      </w:r>
      <w:r w:rsidRPr="00E968BF">
        <w:rPr>
          <w:rFonts w:ascii="Times New Roman" w:eastAsia="Times New Roman" w:hAnsi="Times New Roman" w:cs="Times New Roman"/>
          <w:kern w:val="0"/>
          <w:sz w:val="24"/>
          <w:szCs w:val="24"/>
          <w14:ligatures w14:val="none"/>
        </w:rPr>
        <w:t xml:space="preserve">. </w:t>
      </w:r>
    </w:p>
    <w:p w14:paraId="6E07E5C5" w14:textId="77777777" w:rsidR="00E968BF" w:rsidRPr="00E968BF" w:rsidRDefault="00E968BF" w:rsidP="00E968B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968BF">
        <w:rPr>
          <w:rFonts w:ascii="Times New Roman" w:eastAsia="Times New Roman" w:hAnsi="Times New Roman" w:cs="Times New Roman"/>
          <w:kern w:val="0"/>
          <w:sz w:val="24"/>
          <w:szCs w:val="24"/>
          <w:rtl/>
          <w14:ligatures w14:val="none"/>
        </w:rPr>
        <w:t>وبوجه عام، يمكن القول إن الباحث استجاب للملاحظات بصورة جزئية، مع تحسن واضح في الدراسات السابقة، بينما لا يزال الإطار النظري وحجم الفصل بحاجة إلى مزيد من التطوير</w:t>
      </w:r>
      <w:r w:rsidRPr="00E968BF">
        <w:rPr>
          <w:rFonts w:ascii="Times New Roman" w:eastAsia="Times New Roman" w:hAnsi="Times New Roman" w:cs="Times New Roman"/>
          <w:kern w:val="0"/>
          <w:sz w:val="24"/>
          <w:szCs w:val="24"/>
          <w14:ligatures w14:val="none"/>
        </w:rPr>
        <w:t>.</w:t>
      </w:r>
    </w:p>
    <w:p w14:paraId="12704387" w14:textId="77777777" w:rsidR="003D7155" w:rsidRPr="00E968BF" w:rsidRDefault="003D7155" w:rsidP="00E968BF">
      <w:pPr>
        <w:spacing w:before="240" w:after="0" w:line="360" w:lineRule="auto"/>
        <w:rPr>
          <w:rFonts w:ascii="Traditional Arabic" w:hAnsi="Traditional Arabic" w:cs="Traditional Arabic"/>
          <w:b/>
          <w:bCs/>
          <w:sz w:val="32"/>
          <w:szCs w:val="32"/>
        </w:rPr>
      </w:pPr>
    </w:p>
    <w:sectPr w:rsidR="003D7155" w:rsidRPr="00E968BF"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FEE88" w14:textId="77777777" w:rsidR="009D3C16" w:rsidRDefault="009D3C16" w:rsidP="00FD5B03">
      <w:pPr>
        <w:spacing w:after="0" w:line="240" w:lineRule="auto"/>
      </w:pPr>
      <w:r>
        <w:separator/>
      </w:r>
    </w:p>
  </w:endnote>
  <w:endnote w:type="continuationSeparator" w:id="0">
    <w:p w14:paraId="362DBE2C" w14:textId="77777777" w:rsidR="009D3C16" w:rsidRDefault="009D3C16"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Koufi">
    <w:altName w:val="Times New Roman"/>
    <w:charset w:val="B2"/>
    <w:family w:val="auto"/>
    <w:pitch w:val="variable"/>
    <w:sig w:usb0="00002000"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3326B" w14:textId="77777777" w:rsidR="009D3C16" w:rsidRDefault="009D3C16" w:rsidP="00FD5B03">
      <w:pPr>
        <w:spacing w:after="0" w:line="240" w:lineRule="auto"/>
      </w:pPr>
      <w:r>
        <w:separator/>
      </w:r>
    </w:p>
  </w:footnote>
  <w:footnote w:type="continuationSeparator" w:id="0">
    <w:p w14:paraId="71795BEF" w14:textId="77777777" w:rsidR="009D3C16" w:rsidRDefault="009D3C16"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39BD"/>
    <w:multiLevelType w:val="multilevel"/>
    <w:tmpl w:val="AA30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5"/>
  </w:num>
  <w:num w:numId="3">
    <w:abstractNumId w:val="5"/>
  </w:num>
  <w:num w:numId="4">
    <w:abstractNumId w:val="19"/>
  </w:num>
  <w:num w:numId="5">
    <w:abstractNumId w:val="9"/>
  </w:num>
  <w:num w:numId="6">
    <w:abstractNumId w:val="13"/>
  </w:num>
  <w:num w:numId="7">
    <w:abstractNumId w:val="1"/>
  </w:num>
  <w:num w:numId="8">
    <w:abstractNumId w:val="23"/>
  </w:num>
  <w:num w:numId="9">
    <w:abstractNumId w:val="28"/>
  </w:num>
  <w:num w:numId="10">
    <w:abstractNumId w:val="26"/>
  </w:num>
  <w:num w:numId="11">
    <w:abstractNumId w:val="2"/>
  </w:num>
  <w:num w:numId="12">
    <w:abstractNumId w:val="17"/>
  </w:num>
  <w:num w:numId="13">
    <w:abstractNumId w:val="22"/>
  </w:num>
  <w:num w:numId="14">
    <w:abstractNumId w:val="4"/>
  </w:num>
  <w:num w:numId="15">
    <w:abstractNumId w:val="10"/>
  </w:num>
  <w:num w:numId="16">
    <w:abstractNumId w:val="27"/>
  </w:num>
  <w:num w:numId="17">
    <w:abstractNumId w:val="21"/>
  </w:num>
  <w:num w:numId="18">
    <w:abstractNumId w:val="3"/>
  </w:num>
  <w:num w:numId="19">
    <w:abstractNumId w:val="7"/>
  </w:num>
  <w:num w:numId="20">
    <w:abstractNumId w:val="30"/>
  </w:num>
  <w:num w:numId="21">
    <w:abstractNumId w:val="15"/>
  </w:num>
  <w:num w:numId="22">
    <w:abstractNumId w:val="12"/>
  </w:num>
  <w:num w:numId="23">
    <w:abstractNumId w:val="29"/>
  </w:num>
  <w:num w:numId="24">
    <w:abstractNumId w:val="24"/>
  </w:num>
  <w:num w:numId="25">
    <w:abstractNumId w:val="16"/>
  </w:num>
  <w:num w:numId="26">
    <w:abstractNumId w:val="14"/>
  </w:num>
  <w:num w:numId="27">
    <w:abstractNumId w:val="18"/>
  </w:num>
  <w:num w:numId="28">
    <w:abstractNumId w:val="6"/>
  </w:num>
  <w:num w:numId="29">
    <w:abstractNumId w:val="20"/>
  </w:num>
  <w:num w:numId="30">
    <w:abstractNumId w:val="11"/>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61E5B"/>
    <w:rsid w:val="003A6FD5"/>
    <w:rsid w:val="003D7155"/>
    <w:rsid w:val="004212E9"/>
    <w:rsid w:val="004267EE"/>
    <w:rsid w:val="00436C7A"/>
    <w:rsid w:val="004744D7"/>
    <w:rsid w:val="00487083"/>
    <w:rsid w:val="004C7C0E"/>
    <w:rsid w:val="004F100D"/>
    <w:rsid w:val="004F3455"/>
    <w:rsid w:val="005518AC"/>
    <w:rsid w:val="005B7C5F"/>
    <w:rsid w:val="00622A3A"/>
    <w:rsid w:val="00645A09"/>
    <w:rsid w:val="00696E92"/>
    <w:rsid w:val="006D26BE"/>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9D3C16"/>
    <w:rsid w:val="00A450E0"/>
    <w:rsid w:val="00A6691C"/>
    <w:rsid w:val="00B170F5"/>
    <w:rsid w:val="00B42C73"/>
    <w:rsid w:val="00B80DDB"/>
    <w:rsid w:val="00BC1B25"/>
    <w:rsid w:val="00BD1469"/>
    <w:rsid w:val="00C173B2"/>
    <w:rsid w:val="00CB2307"/>
    <w:rsid w:val="00D46659"/>
    <w:rsid w:val="00E30D73"/>
    <w:rsid w:val="00E35F6A"/>
    <w:rsid w:val="00E968BF"/>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57188349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257</Words>
  <Characters>1466</Characters>
  <Application>Microsoft Office Word</Application>
  <DocSecurity>0</DocSecurity>
  <Lines>12</Lines>
  <Paragraphs>3</Paragraphs>
  <ScaleCrop>false</ScaleCrop>
  <HeadingPairs>
    <vt:vector size="6" baseType="variant">
      <vt:variant>
        <vt:lpstr>Title</vt:lpstr>
      </vt:variant>
      <vt:variant>
        <vt:i4>1</vt:i4>
      </vt:variant>
      <vt:variant>
        <vt:lpstr>Headings</vt:lpstr>
      </vt:variant>
      <vt:variant>
        <vt:i4>1</vt:i4>
      </vt:variant>
      <vt:variant>
        <vt:lpstr>العنوان</vt:lpstr>
      </vt:variant>
      <vt:variant>
        <vt:i4>1</vt:i4>
      </vt:variant>
    </vt:vector>
  </HeadingPairs>
  <TitlesOfParts>
    <vt:vector size="3" baseType="lpstr">
      <vt:lpstr/>
      <vt:lpstr>/جامعــــــة ميداوشن - كليــــة الإدارة</vt:lpstr>
      <vt:lpstr/>
    </vt:vector>
  </TitlesOfParts>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2026-04-06T12:22:00Z</dcterms:created>
  <dcterms:modified xsi:type="dcterms:W3CDTF">2026-04-06T12:27:00Z</dcterms:modified>
</cp:coreProperties>
</file>