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72" w:type="dxa"/>
        <w:tblInd w:w="93" w:type="dxa"/>
        <w:tblLayout w:type="fixed"/>
        <w:tblCellMar>
          <w:left w:w="0" w:type="dxa"/>
          <w:right w:w="0" w:type="dxa"/>
        </w:tblCellMar>
        <w:tblLook w:val="0000" w:firstRow="0" w:lastRow="0" w:firstColumn="0" w:lastColumn="0" w:noHBand="0" w:noVBand="0"/>
      </w:tblPr>
      <w:tblGrid>
        <w:gridCol w:w="3727"/>
        <w:gridCol w:w="5258"/>
        <w:gridCol w:w="2087"/>
      </w:tblGrid>
      <w:tr w:rsidR="00230BC8" w14:paraId="0B4C1342" w14:textId="77777777">
        <w:trPr>
          <w:trHeight w:val="1260"/>
        </w:trPr>
        <w:tc>
          <w:tcPr>
            <w:tcW w:w="3727" w:type="dxa"/>
            <w:tcBorders>
              <w:top w:val="single" w:sz="4" w:space="0" w:color="000000"/>
              <w:left w:val="single" w:sz="4" w:space="0" w:color="000000"/>
              <w:bottom w:val="single" w:sz="4" w:space="0" w:color="000000"/>
              <w:right w:val="single" w:sz="4" w:space="0" w:color="000000"/>
            </w:tcBorders>
          </w:tcPr>
          <w:p w14:paraId="7111B178" w14:textId="77777777" w:rsidR="00230BC8" w:rsidRDefault="00230BC8">
            <w:pPr>
              <w:pStyle w:val="TableParagraph"/>
              <w:snapToGrid w:val="0"/>
              <w:spacing w:before="9"/>
              <w:ind w:left="0"/>
              <w:jc w:val="left"/>
              <w:rPr>
                <w:sz w:val="9"/>
              </w:rPr>
            </w:pPr>
          </w:p>
          <w:p w14:paraId="4ED238C3" w14:textId="05A2185F" w:rsidR="00230BC8" w:rsidRDefault="00424400">
            <w:pPr>
              <w:pStyle w:val="TableParagraph"/>
              <w:ind w:left="278"/>
              <w:jc w:val="left"/>
              <w:rPr>
                <w:sz w:val="20"/>
              </w:rPr>
            </w:pPr>
            <w:r>
              <w:rPr>
                <w:noProof/>
                <w:sz w:val="24"/>
                <w:lang w:eastAsia="en-US"/>
              </w:rPr>
              <w:drawing>
                <wp:inline distT="0" distB="0" distL="0" distR="0" wp14:anchorId="6BCBDFBD" wp14:editId="538A8F23">
                  <wp:extent cx="2057400" cy="666750"/>
                  <wp:effectExtent l="0" t="0" r="0" b="0"/>
                  <wp:docPr id="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7">
                            <a:extLst>
                              <a:ext uri="{28A0092B-C50C-407E-A947-70E740481C1C}">
                                <a14:useLocalDpi xmlns:a14="http://schemas.microsoft.com/office/drawing/2010/main" val="0"/>
                              </a:ext>
                            </a:extLst>
                          </a:blip>
                          <a:srcRect l="-18" t="-53" r="-18" b="-53"/>
                          <a:stretch>
                            <a:fillRect/>
                          </a:stretch>
                        </pic:blipFill>
                        <pic:spPr bwMode="auto">
                          <a:xfrm>
                            <a:off x="0" y="0"/>
                            <a:ext cx="2057400" cy="666750"/>
                          </a:xfrm>
                          <a:prstGeom prst="rect">
                            <a:avLst/>
                          </a:prstGeom>
                          <a:noFill/>
                          <a:ln>
                            <a:noFill/>
                          </a:ln>
                        </pic:spPr>
                      </pic:pic>
                    </a:graphicData>
                  </a:graphic>
                </wp:inline>
              </w:drawing>
            </w:r>
          </w:p>
        </w:tc>
        <w:tc>
          <w:tcPr>
            <w:tcW w:w="5258" w:type="dxa"/>
            <w:tcBorders>
              <w:top w:val="single" w:sz="4" w:space="0" w:color="000000"/>
              <w:left w:val="single" w:sz="4" w:space="0" w:color="000000"/>
              <w:bottom w:val="single" w:sz="4" w:space="0" w:color="000000"/>
              <w:right w:val="single" w:sz="4" w:space="0" w:color="000000"/>
            </w:tcBorders>
          </w:tcPr>
          <w:p w14:paraId="71D86787" w14:textId="77777777" w:rsidR="00230BC8" w:rsidRDefault="00952EEA">
            <w:pPr>
              <w:pStyle w:val="TableParagraph"/>
              <w:spacing w:before="1"/>
              <w:ind w:left="2"/>
              <w:rPr>
                <w:b/>
                <w:sz w:val="24"/>
              </w:rPr>
            </w:pPr>
            <w:r>
              <w:rPr>
                <w:b/>
                <w:sz w:val="24"/>
              </w:rPr>
              <w:t>Midocean</w:t>
            </w:r>
            <w:r>
              <w:rPr>
                <w:b/>
                <w:spacing w:val="-1"/>
                <w:sz w:val="24"/>
              </w:rPr>
              <w:t xml:space="preserve"> </w:t>
            </w:r>
            <w:r>
              <w:rPr>
                <w:b/>
                <w:sz w:val="24"/>
              </w:rPr>
              <w:t>Journal</w:t>
            </w:r>
            <w:r>
              <w:rPr>
                <w:b/>
                <w:spacing w:val="-3"/>
                <w:sz w:val="24"/>
              </w:rPr>
              <w:t xml:space="preserve"> </w:t>
            </w:r>
            <w:r>
              <w:rPr>
                <w:b/>
                <w:sz w:val="24"/>
              </w:rPr>
              <w:t>for</w:t>
            </w:r>
            <w:r>
              <w:rPr>
                <w:b/>
                <w:spacing w:val="-4"/>
                <w:sz w:val="24"/>
              </w:rPr>
              <w:t xml:space="preserve"> </w:t>
            </w:r>
            <w:r>
              <w:rPr>
                <w:b/>
                <w:sz w:val="24"/>
              </w:rPr>
              <w:t xml:space="preserve">Research and </w:t>
            </w:r>
            <w:r>
              <w:rPr>
                <w:b/>
                <w:spacing w:val="-2"/>
                <w:sz w:val="24"/>
              </w:rPr>
              <w:t>Studies</w:t>
            </w:r>
          </w:p>
          <w:p w14:paraId="1608AC51" w14:textId="77777777" w:rsidR="00230BC8" w:rsidRDefault="00230BC8">
            <w:pPr>
              <w:pStyle w:val="TableParagraph"/>
              <w:spacing w:before="2"/>
              <w:ind w:left="0"/>
              <w:jc w:val="left"/>
              <w:rPr>
                <w:b/>
                <w:sz w:val="24"/>
              </w:rPr>
            </w:pPr>
          </w:p>
          <w:p w14:paraId="65C76615" w14:textId="77777777" w:rsidR="00230BC8" w:rsidRDefault="00230BC8">
            <w:pPr>
              <w:pStyle w:val="TableParagraph"/>
              <w:spacing w:before="1"/>
              <w:ind w:left="2225" w:right="2216" w:firstLine="1"/>
              <w:rPr>
                <w:b/>
                <w:sz w:val="24"/>
              </w:rPr>
            </w:pPr>
            <w:hyperlink r:id="rId8">
              <w:r>
                <w:rPr>
                  <w:rStyle w:val="Hyperlink"/>
                  <w:b/>
                  <w:color w:val="0000FF"/>
                  <w:spacing w:val="-2"/>
                  <w:sz w:val="24"/>
                  <w:u w:color="0000FF"/>
                </w:rPr>
                <w:t>https://</w:t>
              </w:r>
            </w:hyperlink>
            <w:r>
              <w:rPr>
                <w:b/>
                <w:color w:val="0000FF"/>
                <w:spacing w:val="-2"/>
                <w:sz w:val="24"/>
              </w:rPr>
              <w:t xml:space="preserve"> </w:t>
            </w:r>
            <w:r>
              <w:rPr>
                <w:b/>
                <w:spacing w:val="-2"/>
                <w:sz w:val="24"/>
              </w:rPr>
              <w:t>e-</w:t>
            </w:r>
            <w:r>
              <w:rPr>
                <w:b/>
                <w:spacing w:val="-4"/>
                <w:sz w:val="24"/>
              </w:rPr>
              <w:t>ISSN:</w:t>
            </w:r>
          </w:p>
        </w:tc>
        <w:tc>
          <w:tcPr>
            <w:tcW w:w="2087" w:type="dxa"/>
            <w:tcBorders>
              <w:top w:val="single" w:sz="4" w:space="0" w:color="000000"/>
              <w:left w:val="single" w:sz="4" w:space="0" w:color="000000"/>
              <w:bottom w:val="single" w:sz="4" w:space="0" w:color="000000"/>
              <w:right w:val="single" w:sz="4" w:space="0" w:color="000000"/>
            </w:tcBorders>
          </w:tcPr>
          <w:p w14:paraId="2DA4187C" w14:textId="77777777" w:rsidR="00230BC8" w:rsidRDefault="00230BC8">
            <w:pPr>
              <w:pStyle w:val="TableParagraph"/>
              <w:snapToGrid w:val="0"/>
              <w:ind w:left="0"/>
              <w:jc w:val="left"/>
              <w:rPr>
                <w:b/>
                <w:sz w:val="24"/>
              </w:rPr>
            </w:pPr>
          </w:p>
        </w:tc>
      </w:tr>
    </w:tbl>
    <w:p w14:paraId="008B8606" w14:textId="77777777" w:rsidR="00230BC8" w:rsidRDefault="00952EEA">
      <w:pPr>
        <w:pStyle w:val="Title1"/>
        <w:spacing w:after="300" w:line="240" w:lineRule="auto"/>
        <w:jc w:val="center"/>
        <w:rPr>
          <w:rFonts w:eastAsia="Calibri"/>
          <w:spacing w:val="5"/>
          <w:sz w:val="36"/>
        </w:rPr>
      </w:pPr>
      <w:r>
        <w:rPr>
          <w:spacing w:val="5"/>
          <w:sz w:val="24"/>
        </w:rPr>
        <w:t>AI-Based Nowcasting of National CO₂ Emissions Using Satellite-Derived Indicators: A Hybrid Framework for GCC Countries</w:t>
      </w:r>
    </w:p>
    <w:p w14:paraId="7BAF751A" w14:textId="4D440EA6" w:rsidR="00B429C9" w:rsidRPr="00B429C9" w:rsidRDefault="00B429C9" w:rsidP="00B429C9">
      <w:pPr>
        <w:pStyle w:val="Title1"/>
        <w:spacing w:after="300" w:line="240" w:lineRule="auto"/>
        <w:jc w:val="center"/>
        <w:rPr>
          <w:b w:val="0"/>
          <w:bCs/>
          <w:spacing w:val="5"/>
          <w:szCs w:val="32"/>
        </w:rPr>
      </w:pPr>
      <w:r w:rsidRPr="00B429C9">
        <w:rPr>
          <w:rFonts w:ascii="Simplified Arabic" w:eastAsia="Simplified Arabic" w:hAnsi="Simplified Arabic" w:cs="Simplified Arabic"/>
          <w:b w:val="0"/>
          <w:bCs/>
          <w:spacing w:val="5"/>
          <w:sz w:val="24"/>
          <w:szCs w:val="32"/>
          <w:rtl/>
        </w:rPr>
        <w:t>التنبؤ الآني بانبعاثات ثاني أكسيد الكربون الوطنية باستخدام مؤشرات مستمدة من الأقمار الصناعية: إطار هجين لدول مجلس التعاون الخليجي</w:t>
      </w:r>
    </w:p>
    <w:p w14:paraId="4A6903D7" w14:textId="77777777" w:rsidR="00230BC8" w:rsidRDefault="00952EEA">
      <w:pPr>
        <w:bidi w:val="0"/>
        <w:spacing w:after="200"/>
        <w:ind w:left="90"/>
        <w:rPr>
          <w:b/>
          <w:bCs/>
        </w:rPr>
      </w:pPr>
      <w:r>
        <w:rPr>
          <w:b/>
          <w:bCs/>
        </w:rPr>
        <w:t>Mohammad Wajeeh Bader</w:t>
      </w:r>
    </w:p>
    <w:p w14:paraId="1C6228D1" w14:textId="2C8DFA5B" w:rsidR="006D5C75" w:rsidRDefault="006D5C75" w:rsidP="006D5C75">
      <w:pPr>
        <w:bidi w:val="0"/>
        <w:spacing w:after="200"/>
        <w:ind w:left="90"/>
        <w:rPr>
          <w:b/>
          <w:bCs/>
          <w:rtl/>
        </w:rPr>
      </w:pPr>
      <w:r w:rsidRPr="006D5C75">
        <w:rPr>
          <w:rFonts w:ascii="Simplified Arabic" w:eastAsia="Simplified Arabic" w:hAnsi="Simplified Arabic" w:cs="Simplified Arabic"/>
          <w:b/>
          <w:bCs/>
          <w:rtl/>
        </w:rPr>
        <w:t>محمد وجيه بدر</w:t>
      </w:r>
    </w:p>
    <w:p w14:paraId="39C53DDA" w14:textId="77777777" w:rsidR="00230BC8" w:rsidRDefault="00952EEA">
      <w:pPr>
        <w:bidi w:val="0"/>
        <w:spacing w:after="200"/>
        <w:ind w:left="90"/>
        <w:rPr>
          <w:b/>
          <w:bCs/>
        </w:rPr>
      </w:pPr>
      <w:r>
        <w:rPr>
          <w:b/>
          <w:bCs/>
        </w:rPr>
        <w:t>ORCID ID: 0009-0009-9682-7435</w:t>
      </w:r>
    </w:p>
    <w:p w14:paraId="3627C461" w14:textId="761C2153" w:rsidR="00230BC8" w:rsidRDefault="00952EEA">
      <w:pPr>
        <w:bidi w:val="0"/>
        <w:spacing w:after="200"/>
        <w:ind w:left="90"/>
        <w:rPr>
          <w:b/>
          <w:bCs/>
        </w:rPr>
      </w:pPr>
      <w:r>
        <w:rPr>
          <w:b/>
          <w:bCs/>
        </w:rPr>
        <w:t xml:space="preserve">Email: </w:t>
      </w:r>
      <w:hyperlink r:id="rId9">
        <w:r w:rsidR="00230BC8">
          <w:rPr>
            <w:rStyle w:val="Hyperlink"/>
            <w:b/>
            <w:bCs/>
          </w:rPr>
          <w:t>251000462@st.midocean.edu.ae</w:t>
        </w:r>
      </w:hyperlink>
    </w:p>
    <w:p w14:paraId="5CA54EDB" w14:textId="5B3780C1" w:rsidR="00455950" w:rsidRPr="00455950" w:rsidRDefault="00455950" w:rsidP="00455950">
      <w:pPr>
        <w:bidi w:val="0"/>
        <w:spacing w:after="200"/>
        <w:ind w:left="90"/>
        <w:rPr>
          <w:b/>
          <w:bCs/>
        </w:rPr>
      </w:pPr>
      <w:proofErr w:type="gramStart"/>
      <w:r>
        <w:rPr>
          <w:b/>
          <w:bCs/>
        </w:rPr>
        <w:t>Dr .</w:t>
      </w:r>
      <w:r w:rsidRPr="00455950">
        <w:rPr>
          <w:b/>
          <w:bCs/>
        </w:rPr>
        <w:t>Amjad</w:t>
      </w:r>
      <w:proofErr w:type="gramEnd"/>
      <w:r w:rsidRPr="00455950">
        <w:rPr>
          <w:b/>
          <w:bCs/>
        </w:rPr>
        <w:t xml:space="preserve"> Qtaish</w:t>
      </w:r>
    </w:p>
    <w:p w14:paraId="4CCF14F4" w14:textId="703DAA64" w:rsidR="00455950" w:rsidRPr="00455950" w:rsidRDefault="00455950" w:rsidP="00455950">
      <w:pPr>
        <w:bidi w:val="0"/>
        <w:spacing w:after="200"/>
        <w:ind w:left="90"/>
        <w:rPr>
          <w:b/>
          <w:bCs/>
        </w:rPr>
      </w:pPr>
      <w:r>
        <w:rPr>
          <w:b/>
          <w:bCs/>
        </w:rPr>
        <w:t xml:space="preserve">Email: </w:t>
      </w:r>
      <w:r>
        <w:rPr>
          <w:b/>
          <w:bCs/>
        </w:rPr>
        <w:t xml:space="preserve"> </w:t>
      </w:r>
      <w:r w:rsidRPr="00455950">
        <w:rPr>
          <w:b/>
          <w:bCs/>
        </w:rPr>
        <w:t>amjadqtaish@midocean.edu.km</w:t>
      </w:r>
    </w:p>
    <w:p w14:paraId="7686CB3A" w14:textId="3F63B5F9" w:rsidR="00455950" w:rsidRDefault="00455950" w:rsidP="00455950">
      <w:pPr>
        <w:bidi w:val="0"/>
        <w:spacing w:after="200"/>
        <w:ind w:left="90"/>
        <w:rPr>
          <w:b/>
          <w:bCs/>
        </w:rPr>
      </w:pPr>
      <w:r w:rsidRPr="00455950">
        <w:rPr>
          <w:b/>
          <w:bCs/>
        </w:rPr>
        <w:t>0000-0001-5210-7086</w:t>
      </w:r>
    </w:p>
    <w:p w14:paraId="21BEF58E" w14:textId="77777777" w:rsidR="00EE121C" w:rsidRDefault="00EE121C" w:rsidP="00EE121C">
      <w:pPr>
        <w:bidi w:val="0"/>
        <w:spacing w:after="200"/>
        <w:ind w:left="90"/>
        <w:rPr>
          <w:b/>
          <w:bCs/>
        </w:rPr>
      </w:pPr>
      <w:r>
        <w:rPr>
          <w:b/>
          <w:bCs/>
        </w:rPr>
        <w:t>Artificial Intelligence – College of Computer Science and Information Technology – Midocean University – United Arab Emirates</w:t>
      </w:r>
    </w:p>
    <w:p w14:paraId="7FBD71AD" w14:textId="77777777" w:rsidR="00EE121C" w:rsidRDefault="00EE121C" w:rsidP="00EE121C">
      <w:pPr>
        <w:bidi w:val="0"/>
        <w:spacing w:after="200"/>
        <w:ind w:left="90"/>
        <w:rPr>
          <w:b/>
          <w:bCs/>
        </w:rPr>
      </w:pPr>
    </w:p>
    <w:p w14:paraId="2EA580E6" w14:textId="77777777" w:rsidR="00230BC8" w:rsidRDefault="00952EEA">
      <w:pPr>
        <w:pStyle w:val="Heading11"/>
        <w:ind w:left="90"/>
      </w:pPr>
      <w:r>
        <w:t>Abstract</w:t>
      </w:r>
    </w:p>
    <w:p w14:paraId="20144E6A" w14:textId="02C7B257" w:rsidR="001A0BD0" w:rsidRDefault="001A0BD0" w:rsidP="001A0BD0">
      <w:pPr>
        <w:bidi w:val="0"/>
        <w:spacing w:line="240" w:lineRule="auto"/>
      </w:pPr>
      <w:r w:rsidRPr="001A0BD0">
        <w:t xml:space="preserve">Objectives: This study develops a hybrid nowcasting framework that uses satellite-derived indicators with demographic data to estimate national </w:t>
      </w:r>
      <w:r w:rsidR="00952EEA">
        <w:t xml:space="preserve">CO₂ </w:t>
      </w:r>
      <w:r w:rsidRPr="001A0BD0">
        <w:t xml:space="preserve">emissions in GCC countries and quantify the accuracy–timeliness trade-off versus economic statistics. Study Location: Saudi Arabia, United Arab Emirates, Qatar, Kuwait, Oman, and Bahrain (2000–2023). Methodology: Three XGBoost regression models are compared: an economic baseline (Model A), a hybrid satellite + population density model (Model B), and a satellite-only model (Model C). Predictors are annual country-level aggregates from Google Earth Engine, including MODIS land surface temperature (LST) and NDVI, DMSP/VIIRS night-time lights, MERRA-2 aerosol optical depth (AOD), and Sentinel-5P tropospheric </w:t>
      </w:r>
      <w:r w:rsidR="00952EEA">
        <w:t>NO₂</w:t>
      </w:r>
      <w:r w:rsidRPr="001A0BD0">
        <w:t xml:space="preserve">, yielding 144 country-year observations; training is 2000–2018 and testing is 2019–2023. Results: Model A achieves test </w:t>
      </w:r>
      <w:r w:rsidR="00952EEA">
        <w:t>R²</w:t>
      </w:r>
      <w:r w:rsidRPr="001A0BD0">
        <w:t xml:space="preserve"> = 0.96 with MAPE &lt; 10%, while Model B achieves </w:t>
      </w:r>
      <w:r w:rsidR="00952EEA">
        <w:t>R²</w:t>
      </w:r>
      <w:r w:rsidRPr="001A0BD0">
        <w:t xml:space="preserve"> = 0.69 with MAPE = 18% and Model C achieves </w:t>
      </w:r>
      <w:r w:rsidR="00952EEA">
        <w:t>R²</w:t>
      </w:r>
      <w:r w:rsidRPr="001A0BD0">
        <w:t xml:space="preserve"> = 0.67 with MAPE &lt; 20%. Feature importance in Model B is led by summer and winter LST (56%), followed by night-time lights (22%) and population density (13%); performance is highest for Saudi Arabia (</w:t>
      </w:r>
      <w:r w:rsidR="00952EEA">
        <w:t>R²</w:t>
      </w:r>
      <w:r w:rsidRPr="001A0BD0">
        <w:t xml:space="preserve"> = 0.72) and lowest for Bahrain (</w:t>
      </w:r>
      <w:r w:rsidR="00952EEA">
        <w:t>R²</w:t>
      </w:r>
      <w:r w:rsidRPr="001A0BD0">
        <w:t xml:space="preserve"> = 0.61). Recommendations: Use the framework as a complementary tool to official inventories for rapid anomaly detection and policy evaluation, and extend it through broader coverage, subnational estimation, longer satellite records, operational monthly/weekly nowcasts, and uncertainty bounds via ensembles or Bayesian methods.</w:t>
      </w:r>
    </w:p>
    <w:p w14:paraId="0650E098" w14:textId="77777777" w:rsidR="00426213" w:rsidRDefault="00426213" w:rsidP="00426213">
      <w:pPr>
        <w:bidi w:val="0"/>
        <w:spacing w:line="240" w:lineRule="auto"/>
      </w:pPr>
    </w:p>
    <w:p w14:paraId="4EF1513B" w14:textId="77777777" w:rsidR="001A0BD0" w:rsidRDefault="001A0BD0" w:rsidP="001A0BD0">
      <w:pPr>
        <w:spacing w:after="200"/>
        <w:ind w:left="90"/>
        <w:rPr>
          <w:rFonts w:hint="cs"/>
          <w:b/>
          <w:bCs/>
          <w:rtl/>
        </w:rPr>
      </w:pPr>
      <w:r w:rsidRPr="00476D0C">
        <w:rPr>
          <w:rFonts w:ascii="Simplified Arabic" w:eastAsia="Simplified Arabic" w:hAnsi="Simplified Arabic" w:cs="Simplified Arabic"/>
          <w:b/>
          <w:bCs/>
          <w:sz w:val="28"/>
          <w:szCs w:val="28"/>
          <w:rtl/>
        </w:rPr>
        <w:lastRenderedPageBreak/>
        <w:t>الملخص</w:t>
      </w:r>
      <w:r w:rsidRPr="001A0BD0">
        <w:rPr>
          <w:rFonts w:ascii="Simplified Arabic" w:eastAsia="Simplified Arabic" w:hAnsi="Simplified Arabic" w:cs="Simplified Arabic"/>
          <w:b/>
          <w:bCs/>
          <w:sz w:val="28"/>
          <w:rtl/>
        </w:rPr>
        <w:t xml:space="preserve"> </w:t>
      </w:r>
    </w:p>
    <w:p w14:paraId="1D67E8D2" w14:textId="7A8B5964" w:rsidR="001A0BD0" w:rsidRDefault="001A0BD0" w:rsidP="001A0BD0">
      <w:pPr>
        <w:spacing w:line="240" w:lineRule="auto"/>
        <w:rPr>
          <w:rtl/>
        </w:rPr>
      </w:pPr>
      <w:r w:rsidRPr="001A0BD0">
        <w:rPr>
          <w:rFonts w:ascii="Simplified Arabic" w:eastAsia="Simplified Arabic" w:hAnsi="Simplified Arabic" w:cs="Simplified Arabic"/>
          <w:rtl/>
        </w:rPr>
        <w:t>الأهداف: تهدف هذه الدراسة إلى تطوير إطار تنبؤ آني هجين يجمع مؤشرات بيئية مشتقة من الأقمار الصناعية مع بيانات ديموغرافية لتقدير انبعاثات ثاني أكسيد الكربون الوطنية في دول مجلس التعاون الخليجي وقياس مفاضلة الدقة مقابل زمن توفر البيانات مقارنة بالأساليب الاقتصادية التقليدية. موقع الدراسة: تشمل الدراسة السعودية والإمارات وقطر والكويت وعُمان والبحرين خلال الفترة 2000–2023. المنهجية: تم تطوير ومقارنة ثلاثة نماذج انحدار</w:t>
      </w:r>
      <w:r w:rsidRPr="001A0BD0">
        <w:t xml:space="preserve"> XGBoost: </w:t>
      </w:r>
      <w:r w:rsidRPr="001A0BD0">
        <w:rPr>
          <w:rFonts w:ascii="Simplified Arabic" w:eastAsia="Simplified Arabic" w:hAnsi="Simplified Arabic" w:cs="Simplified Arabic"/>
          <w:rtl/>
        </w:rPr>
        <w:t>نموذج اقتصادي مرجعي</w:t>
      </w:r>
      <w:r w:rsidRPr="001A0BD0">
        <w:t xml:space="preserve"> (A)</w:t>
      </w:r>
      <w:r w:rsidRPr="001A0BD0">
        <w:rPr>
          <w:rFonts w:ascii="Simplified Arabic" w:eastAsia="Simplified Arabic" w:hAnsi="Simplified Arabic" w:cs="Simplified Arabic"/>
          <w:rtl/>
        </w:rPr>
        <w:t>، نموذج هجين يجمع مؤشرات الأقمار الصناعية مع كثافة السكان</w:t>
      </w:r>
      <w:r w:rsidRPr="001A0BD0">
        <w:t xml:space="preserve"> (B)</w:t>
      </w:r>
      <w:r w:rsidRPr="001A0BD0">
        <w:rPr>
          <w:rFonts w:ascii="Simplified Arabic" w:eastAsia="Simplified Arabic" w:hAnsi="Simplified Arabic" w:cs="Simplified Arabic"/>
          <w:rtl/>
        </w:rPr>
        <w:t>، ونموذج أقمار فقط</w:t>
      </w:r>
      <w:r w:rsidRPr="001A0BD0">
        <w:t xml:space="preserve"> (C). </w:t>
      </w:r>
      <w:r w:rsidRPr="001A0BD0">
        <w:rPr>
          <w:rFonts w:ascii="Simplified Arabic" w:eastAsia="Simplified Arabic" w:hAnsi="Simplified Arabic" w:cs="Simplified Arabic"/>
          <w:rtl/>
        </w:rPr>
        <w:t>شملت بيانات الأقمار الصناعية</w:t>
      </w:r>
      <w:r w:rsidRPr="001A0BD0">
        <w:t xml:space="preserve"> (</w:t>
      </w:r>
      <w:r w:rsidRPr="001A0BD0">
        <w:rPr>
          <w:rFonts w:ascii="Simplified Arabic" w:eastAsia="Simplified Arabic" w:hAnsi="Simplified Arabic" w:cs="Simplified Arabic"/>
          <w:rtl/>
        </w:rPr>
        <w:t>من</w:t>
      </w:r>
      <w:r w:rsidRPr="001A0BD0">
        <w:t xml:space="preserve"> Google Earth Engine) </w:t>
      </w:r>
      <w:r w:rsidRPr="001A0BD0">
        <w:rPr>
          <w:rFonts w:ascii="Simplified Arabic" w:eastAsia="Simplified Arabic" w:hAnsi="Simplified Arabic" w:cs="Simplified Arabic"/>
          <w:rtl/>
        </w:rPr>
        <w:t>المتغيرات التالية بعد تجميعها سنويًا على مستوى الدولة</w:t>
      </w:r>
      <w:r w:rsidRPr="001A0BD0">
        <w:t xml:space="preserve">: MODIS </w:t>
      </w:r>
      <w:r w:rsidRPr="001A0BD0">
        <w:rPr>
          <w:rFonts w:ascii="Simplified Arabic" w:eastAsia="Simplified Arabic" w:hAnsi="Simplified Arabic" w:cs="Simplified Arabic"/>
          <w:rtl/>
        </w:rPr>
        <w:t>درجة حرارة سطح الأرض</w:t>
      </w:r>
      <w:r w:rsidRPr="001A0BD0">
        <w:t xml:space="preserve"> (LST) </w:t>
      </w:r>
      <w:r w:rsidRPr="001A0BD0">
        <w:rPr>
          <w:rFonts w:ascii="Simplified Arabic" w:eastAsia="Simplified Arabic" w:hAnsi="Simplified Arabic" w:cs="Simplified Arabic"/>
          <w:rtl/>
        </w:rPr>
        <w:t>و</w:t>
      </w:r>
      <w:r w:rsidRPr="001A0BD0">
        <w:t>MODIS NDVI</w:t>
      </w:r>
      <w:r w:rsidRPr="001A0BD0">
        <w:rPr>
          <w:rFonts w:ascii="Simplified Arabic" w:eastAsia="Simplified Arabic" w:hAnsi="Simplified Arabic" w:cs="Simplified Arabic"/>
          <w:rtl/>
        </w:rPr>
        <w:t>، وأضواء الليل</w:t>
      </w:r>
      <w:r w:rsidRPr="001A0BD0">
        <w:t xml:space="preserve"> DMSP/VIIRS</w:t>
      </w:r>
      <w:r w:rsidRPr="001A0BD0">
        <w:rPr>
          <w:rFonts w:ascii="Simplified Arabic" w:eastAsia="Simplified Arabic" w:hAnsi="Simplified Arabic" w:cs="Simplified Arabic"/>
          <w:rtl/>
        </w:rPr>
        <w:t>، و</w:t>
      </w:r>
      <w:r w:rsidRPr="001A0BD0">
        <w:t xml:space="preserve">MERRA-2 </w:t>
      </w:r>
      <w:r w:rsidRPr="001A0BD0">
        <w:rPr>
          <w:rFonts w:ascii="Simplified Arabic" w:eastAsia="Simplified Arabic" w:hAnsi="Simplified Arabic" w:cs="Simplified Arabic"/>
          <w:rtl/>
        </w:rPr>
        <w:t>عمق البصريات الهوائية</w:t>
      </w:r>
      <w:r w:rsidRPr="001A0BD0">
        <w:t xml:space="preserve"> (AOD)</w:t>
      </w:r>
      <w:r w:rsidRPr="001A0BD0">
        <w:rPr>
          <w:rFonts w:ascii="Simplified Arabic" w:eastAsia="Simplified Arabic" w:hAnsi="Simplified Arabic" w:cs="Simplified Arabic"/>
          <w:rtl/>
        </w:rPr>
        <w:t>، و</w:t>
      </w:r>
      <w:r w:rsidRPr="001A0BD0">
        <w:t>Sentinel-5P NO₂</w:t>
      </w:r>
      <w:r w:rsidRPr="001A0BD0">
        <w:rPr>
          <w:rFonts w:ascii="Simplified Arabic" w:eastAsia="Simplified Arabic" w:hAnsi="Simplified Arabic" w:cs="Simplified Arabic"/>
          <w:rtl/>
        </w:rPr>
        <w:t>، وبإجمالي 144 ملاحظة (دولة–سنة)، مع تقسيم زمني للتدريب (2000–2018) والاختبار (2019–2023). النتائج: حقق النموذج الاقتصادي</w:t>
      </w:r>
      <w:r w:rsidRPr="001A0BD0">
        <w:t xml:space="preserve"> R² = 0.96 </w:t>
      </w:r>
      <w:r w:rsidRPr="001A0BD0">
        <w:rPr>
          <w:rFonts w:ascii="Simplified Arabic" w:eastAsia="Simplified Arabic" w:hAnsi="Simplified Arabic" w:cs="Simplified Arabic"/>
          <w:rtl/>
        </w:rPr>
        <w:t>على بيانات الاختبار مع</w:t>
      </w:r>
      <w:r w:rsidRPr="001A0BD0">
        <w:t xml:space="preserve"> MAPE &lt; 10%</w:t>
      </w:r>
      <w:r w:rsidRPr="001A0BD0">
        <w:rPr>
          <w:rFonts w:ascii="Simplified Arabic" w:eastAsia="Simplified Arabic" w:hAnsi="Simplified Arabic" w:cs="Simplified Arabic"/>
          <w:rtl/>
        </w:rPr>
        <w:t>، بينما حقق النموذج الهجين</w:t>
      </w:r>
      <w:r w:rsidRPr="001A0BD0">
        <w:t xml:space="preserve"> R² = 0.69 </w:t>
      </w:r>
      <w:r w:rsidRPr="001A0BD0">
        <w:rPr>
          <w:rFonts w:ascii="Simplified Arabic" w:eastAsia="Simplified Arabic" w:hAnsi="Simplified Arabic" w:cs="Simplified Arabic"/>
          <w:rtl/>
        </w:rPr>
        <w:t>مع</w:t>
      </w:r>
      <w:r w:rsidRPr="001A0BD0">
        <w:t xml:space="preserve"> MAPE = 18%</w:t>
      </w:r>
      <w:r w:rsidRPr="001A0BD0">
        <w:rPr>
          <w:rFonts w:ascii="Simplified Arabic" w:eastAsia="Simplified Arabic" w:hAnsi="Simplified Arabic" w:cs="Simplified Arabic"/>
          <w:rtl/>
        </w:rPr>
        <w:t>، وحقق نموذج الأقمار فقط</w:t>
      </w:r>
      <w:r w:rsidRPr="001A0BD0">
        <w:t xml:space="preserve"> R² = 0.67 </w:t>
      </w:r>
      <w:r w:rsidRPr="001A0BD0">
        <w:rPr>
          <w:rFonts w:ascii="Simplified Arabic" w:eastAsia="Simplified Arabic" w:hAnsi="Simplified Arabic" w:cs="Simplified Arabic"/>
          <w:rtl/>
        </w:rPr>
        <w:t>مع</w:t>
      </w:r>
      <w:r w:rsidRPr="001A0BD0">
        <w:t xml:space="preserve"> MAPE &lt; 20%. </w:t>
      </w:r>
      <w:r w:rsidRPr="001A0BD0">
        <w:rPr>
          <w:rFonts w:ascii="Simplified Arabic" w:eastAsia="Simplified Arabic" w:hAnsi="Simplified Arabic" w:cs="Simplified Arabic"/>
          <w:rtl/>
        </w:rPr>
        <w:t>وأظهرت أهمية الخصائص أن</w:t>
      </w:r>
      <w:r w:rsidRPr="001A0BD0">
        <w:t xml:space="preserve"> LST </w:t>
      </w:r>
      <w:r w:rsidRPr="001A0BD0">
        <w:rPr>
          <w:rFonts w:ascii="Simplified Arabic" w:eastAsia="Simplified Arabic" w:hAnsi="Simplified Arabic" w:cs="Simplified Arabic"/>
          <w:rtl/>
        </w:rPr>
        <w:t>الصيفي والشتوي مجتمعين يمثلان 56% من الأهمية، تليهما أضواء الليل (22%) ثم كثافة السكان (13%)، وكانت أعلى دقة للسعودية</w:t>
      </w:r>
      <w:r w:rsidRPr="001A0BD0">
        <w:t xml:space="preserve"> (R² = 0.72) </w:t>
      </w:r>
      <w:r w:rsidRPr="001A0BD0">
        <w:rPr>
          <w:rFonts w:ascii="Simplified Arabic" w:eastAsia="Simplified Arabic" w:hAnsi="Simplified Arabic" w:cs="Simplified Arabic"/>
          <w:rtl/>
        </w:rPr>
        <w:t>وأدناها للبحرين</w:t>
      </w:r>
      <w:r w:rsidRPr="001A0BD0">
        <w:t xml:space="preserve"> (R² = 0.61). </w:t>
      </w:r>
      <w:r w:rsidRPr="001A0BD0">
        <w:rPr>
          <w:rFonts w:ascii="Simplified Arabic" w:eastAsia="Simplified Arabic" w:hAnsi="Simplified Arabic" w:cs="Simplified Arabic"/>
          <w:rtl/>
        </w:rPr>
        <w:t xml:space="preserve">التوصيات: توصي الدراسة بتطبيق الإطار كأداة مكملة للجرد الرسمي لرصد الشذوذ سريعًا وتقييم السياسات، مع التوسع مستقبلًا نحو تغطية أوسع وتقديرات دون وطنية، وتضمين منتجات أقمار إضافية مع إطالة السلاسل الزمنية، وتطوير تقديرات تشغيلية شهرية/أسبوعية، وإضافة حدود عدم يقين باستخدام أساليب التجميع أو المناهج </w:t>
      </w:r>
      <w:proofErr w:type="spellStart"/>
      <w:r w:rsidRPr="001A0BD0">
        <w:rPr>
          <w:rFonts w:ascii="Simplified Arabic" w:eastAsia="Simplified Arabic" w:hAnsi="Simplified Arabic" w:cs="Simplified Arabic"/>
          <w:rtl/>
        </w:rPr>
        <w:t>البايزية</w:t>
      </w:r>
      <w:proofErr w:type="spellEnd"/>
      <w:r w:rsidRPr="001A0BD0">
        <w:t>.</w:t>
      </w:r>
    </w:p>
    <w:p w14:paraId="783FEBEE" w14:textId="77777777" w:rsidR="001A0BD0" w:rsidRDefault="00952EEA" w:rsidP="00FB2617">
      <w:pPr>
        <w:bidi w:val="0"/>
        <w:spacing w:after="200"/>
        <w:ind w:left="90"/>
      </w:pPr>
      <w:r>
        <w:rPr>
          <w:b/>
          <w:bCs/>
        </w:rPr>
        <w:t>Keywords:</w:t>
      </w:r>
      <w:r>
        <w:t xml:space="preserve"> CO₂ emissions, nowcasting, satellite remote sensing, XGBoost, GCC countries</w:t>
      </w:r>
    </w:p>
    <w:p w14:paraId="3B0A8C8D" w14:textId="51D83F94" w:rsidR="00230BC8" w:rsidRDefault="001A0BD0" w:rsidP="001A0BD0">
      <w:pPr>
        <w:spacing w:after="200"/>
        <w:ind w:left="90"/>
      </w:pPr>
      <w:r w:rsidRPr="001A0BD0">
        <w:rPr>
          <w:rFonts w:ascii="Simplified Arabic" w:eastAsia="Simplified Arabic" w:hAnsi="Simplified Arabic" w:cs="Simplified Arabic"/>
          <w:b/>
          <w:bCs/>
          <w:rtl/>
        </w:rPr>
        <w:t>الكلمات المفتاحية:</w:t>
      </w:r>
      <w:r w:rsidRPr="001A0BD0">
        <w:rPr>
          <w:rFonts w:ascii="Simplified Arabic" w:eastAsia="Simplified Arabic" w:hAnsi="Simplified Arabic" w:cs="Simplified Arabic"/>
          <w:rtl/>
        </w:rPr>
        <w:t xml:space="preserve"> انبعاثات ثاني أكسيد الكربون، التنبؤ الآني، الاستشعار عن بعد بالأقمار الصناعية، </w:t>
      </w:r>
      <w:r w:rsidRPr="001A0BD0">
        <w:t>XGBoost</w:t>
      </w:r>
      <w:r w:rsidRPr="001A0BD0">
        <w:rPr>
          <w:rFonts w:ascii="Simplified Arabic" w:eastAsia="Simplified Arabic" w:hAnsi="Simplified Arabic" w:cs="Simplified Arabic"/>
          <w:rtl/>
        </w:rPr>
        <w:t>، دول مجلس التعاون الخليجي</w:t>
      </w:r>
      <w:r w:rsidRPr="001A0BD0">
        <w:t>.</w:t>
      </w:r>
      <w:r w:rsidRPr="001A0BD0">
        <w:rPr>
          <w:rFonts w:ascii="Simplified Arabic" w:eastAsia="Simplified Arabic" w:hAnsi="Simplified Arabic" w:cs="Simplified Arabic"/>
        </w:rPr>
        <w:t xml:space="preserve"> </w:t>
      </w:r>
      <w:r>
        <w:rPr>
          <w:rFonts w:ascii="Simplified Arabic" w:eastAsia="Simplified Arabic" w:hAnsi="Simplified Arabic" w:cs="Simplified Arabic"/>
        </w:rPr>
        <w:br w:type="page"/>
      </w:r>
    </w:p>
    <w:p w14:paraId="1EBEC7A1" w14:textId="77777777" w:rsidR="00230BC8" w:rsidRDefault="00952EEA">
      <w:pPr>
        <w:pStyle w:val="Heading11"/>
        <w:ind w:left="90"/>
      </w:pPr>
      <w:r>
        <w:lastRenderedPageBreak/>
        <w:t>1. Introduction</w:t>
      </w:r>
    </w:p>
    <w:p w14:paraId="17FD2D21" w14:textId="48EF715C" w:rsidR="00230BC8" w:rsidRDefault="00952EEA">
      <w:pPr>
        <w:bidi w:val="0"/>
        <w:spacing w:after="200"/>
        <w:ind w:left="90"/>
      </w:pPr>
      <w:r>
        <w:t>Climate change represents one of the most pressing challenges of the twenty-first century (IPCC, 2023). IPCC assessments emphasize that global greenhouse gas (GHG) emissions must decline rapidly in the next decade to keep global warming within internationally agreed limits (IPCC, 2023). Achieving these objectives requires not only ambitious mitigation policies but also timely and reliable information about how national emissions evolve over time.</w:t>
      </w:r>
      <w:r>
        <w:br/>
      </w:r>
      <w:r>
        <w:br/>
        <w:t>In practice, national CO₂ emission inventories are usually published with a delay of one to two years. Data for a given calendar year may only become available to policymakers and researchers in the following year or later. This reporting delay weakens the feedback loop between policy interventions and observed outcomes, because the impact of new measures cannot be evaluated until long after they have been implemented. Delayed information reduces the responsiveness of climate governance and makes it difficult to detect unexpected shocks or structural breaks in emission trajectories.</w:t>
      </w:r>
      <w:r>
        <w:br/>
      </w:r>
      <w:r>
        <w:br/>
        <w:t xml:space="preserve">Satellite remote sensing offers a promising way to narrow this information gap. </w:t>
      </w:r>
      <w:r w:rsidR="004E309E" w:rsidRPr="004E309E">
        <w:t>Modern Earth observation systems, operated by agencies such as NASA, ESA, and NOAA, provide frequent global measurements of land surface temperature, vegetation, night-time lights, aerosols, and atmospheric gases. Since the launch of Landsat-1 in 1972, satellite sensors have provided increasingly detailed data on land cover, atmospheric composition, ocean conditions, and climate variables (NASA, 2024).</w:t>
      </w:r>
      <w:r>
        <w:t xml:space="preserve"> These products are processed and distributed through platforms such as Google Earth Engine, often within days of acquisition. Although satellite sensors do not measure national fossil CO₂ emissions directly, they capture physical and socio-economic processes closely linked to energy use and combustion, such as urban lighting, heat stress, industrial hotspots, and transport activity.</w:t>
      </w:r>
      <w:r>
        <w:br/>
      </w:r>
      <w:r>
        <w:br/>
        <w:t>The Gulf Cooperation Council (GCC) region—Saudi Arabia, United Arab Emirates, Qatar, Kuwait, Oman, and Bahrain—constitutes a particularly relevant case study. These countries have some of the highest per-capita CO₂ emissions in the world, largely due to their dependence on fossil fuels, energy-intensive industries, and extreme climatic conditions that generate substantial cooling demand. At the same time, GCC governments have announced ambitious climate and diversification goals, increasing the demand for timely and robust information on national emissions.</w:t>
      </w:r>
      <w:r>
        <w:br/>
      </w:r>
      <w:r>
        <w:br/>
        <w:t>Against this backdrop, this study examines whether satellite-derived indicators can be used to nowcast national CO₂ emissions in GCC countries. The goal is not to replace official inventories, but to assess whether remote-sensing data, combined with machine learning, can provide useful, near-real-time estimates that complement traditional statistics. A hybrid framework is developed that integrates ground-based emission data, economic indicators, and multiple satellite products into a unified panel, and then applies XGBoost to quantify the accuracy–timeliness trade-off inherent in this approach.</w:t>
      </w:r>
    </w:p>
    <w:p w14:paraId="62B36524" w14:textId="77777777" w:rsidR="00230BC8" w:rsidRDefault="00952EEA">
      <w:pPr>
        <w:bidi w:val="0"/>
        <w:spacing w:after="200"/>
        <w:ind w:left="90"/>
      </w:pPr>
      <w:r>
        <w:t xml:space="preserve">This paper contributes </w:t>
      </w:r>
      <w:proofErr w:type="gramStart"/>
      <w:r>
        <w:t>in</w:t>
      </w:r>
      <w:proofErr w:type="gramEnd"/>
      <w:r>
        <w:t xml:space="preserve"> three main ways. First, it constructs a harmonized country–year panel that integrates official emissions, macroeconomic indicators, and multi-sensor satellite products for the six GCC countries. Second, it designs and implements a transparent XGBoost-based framework that compares purely economic, hybrid, and satellite-only model specifications under a realistic temporal train–test split. Third, it quantifies the accuracy–timeliness trade-off between these model families and discusses how satellite-based nowcasts can complement conventional inventories in operational emission monitoring and policy support.</w:t>
      </w:r>
    </w:p>
    <w:p w14:paraId="173C04C0" w14:textId="77777777" w:rsidR="00230BC8" w:rsidRDefault="00230BC8">
      <w:pPr>
        <w:bidi w:val="0"/>
        <w:spacing w:after="200"/>
        <w:ind w:left="90"/>
      </w:pPr>
    </w:p>
    <w:p w14:paraId="748EF816" w14:textId="0DDBF302" w:rsidR="00230BC8" w:rsidRDefault="00424400">
      <w:pPr>
        <w:bidi w:val="0"/>
        <w:spacing w:after="200"/>
        <w:ind w:left="90"/>
        <w:jc w:val="center"/>
      </w:pPr>
      <w:r>
        <w:rPr>
          <w:noProof/>
          <w:lang w:eastAsia="en-US"/>
        </w:rPr>
        <w:drawing>
          <wp:inline distT="0" distB="0" distL="0" distR="0" wp14:anchorId="57F99E75" wp14:editId="7F698338">
            <wp:extent cx="5829300" cy="5153025"/>
            <wp:effectExtent l="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l="-6" t="-8" r="-6" b="-8"/>
                    <a:stretch>
                      <a:fillRect/>
                    </a:stretch>
                  </pic:blipFill>
                  <pic:spPr bwMode="auto">
                    <a:xfrm>
                      <a:off x="0" y="0"/>
                      <a:ext cx="5829300" cy="5153025"/>
                    </a:xfrm>
                    <a:prstGeom prst="rect">
                      <a:avLst/>
                    </a:prstGeom>
                    <a:noFill/>
                    <a:ln>
                      <a:noFill/>
                    </a:ln>
                  </pic:spPr>
                </pic:pic>
              </a:graphicData>
            </a:graphic>
          </wp:inline>
        </w:drawing>
      </w:r>
    </w:p>
    <w:p w14:paraId="2BD068FE" w14:textId="77777777" w:rsidR="00230BC8" w:rsidRDefault="00952EEA">
      <w:pPr>
        <w:bidi w:val="0"/>
        <w:spacing w:after="200"/>
        <w:ind w:left="90"/>
        <w:jc w:val="center"/>
      </w:pPr>
      <w:r>
        <w:rPr>
          <w:sz w:val="20"/>
        </w:rPr>
        <w:t>Figure 1: Research framework architecture</w:t>
      </w:r>
    </w:p>
    <w:p w14:paraId="63577B01" w14:textId="42524EB2" w:rsidR="00230BC8" w:rsidRDefault="00952EEA" w:rsidP="00FB2617">
      <w:pPr>
        <w:bidi w:val="0"/>
        <w:spacing w:after="200"/>
        <w:ind w:left="90"/>
      </w:pPr>
      <w:r>
        <w:br w:type="page"/>
      </w:r>
    </w:p>
    <w:p w14:paraId="2E16B798" w14:textId="77777777" w:rsidR="00230BC8" w:rsidRDefault="00952EEA">
      <w:pPr>
        <w:pStyle w:val="Heading11"/>
        <w:ind w:left="90"/>
      </w:pPr>
      <w:r>
        <w:lastRenderedPageBreak/>
        <w:t>2. Research Problem</w:t>
      </w:r>
    </w:p>
    <w:p w14:paraId="388E2114" w14:textId="77777777" w:rsidR="00230BC8" w:rsidRDefault="00952EEA">
      <w:pPr>
        <w:bidi w:val="0"/>
        <w:spacing w:after="200"/>
        <w:ind w:left="90"/>
      </w:pPr>
      <w:r>
        <w:t>The core research problem is the temporal gap between the occurrence of national CO₂ emissions and the availability of official emission statistics. Conventional inventory methods rely on detailed fuel-consumption data, sectoral energy balances, industrial activity reports, and transport statistics. Compiling and validating these inputs is time-consuming, leading to reporting delays that can exceed a year. As a result, climate policies and energy decisions are often based on outdated information.</w:t>
      </w:r>
      <w:r>
        <w:br/>
      </w:r>
      <w:r>
        <w:br/>
        <w:t>Recent advances in satellite remote sensing and machine learning suggest that alternative data sources could partially alleviate this problem. Thermal, optical, and atmospheric sensors provide high-frequency observations of variables such as land surface temperature, vegetation indices, night-time lights, aerosol optical depth, and NO₂ concentrations. These variables are physically related to energy use, combustion, and urban activity, and thus have potential as proxies for emissions.</w:t>
      </w:r>
      <w:r>
        <w:br/>
        <w:t>Most existing satellite-based emission studies either operate at very fine spatial scales (for example, individual power plants or urban districts) or at coarse global scales where regional heterogeneity is smoothed out. Many models have been developed for temperate regions whose climatic and socio-economic conditions differ significantly from those of the GCC. It is not yet well established how well satellite-derived indicators can reproduce national CO₂ emission trends for GCC countries or how much accuracy must be sacrificed to obtain estimates with minimal data latency.</w:t>
      </w:r>
      <w:r>
        <w:br/>
      </w:r>
      <w:r>
        <w:br/>
        <w:t>The research problem can be summarized as follows: How accurately can national CO₂ emissions in GCC countries be nowcast using satellite-derived indicators, and what is the explicit trade-off between predictive accuracy and data timeliness relative to conventional economic models?</w:t>
      </w:r>
    </w:p>
    <w:p w14:paraId="3F97D475" w14:textId="77777777" w:rsidR="00230BC8" w:rsidRDefault="00952EEA">
      <w:pPr>
        <w:pStyle w:val="Heading11"/>
        <w:ind w:left="90"/>
      </w:pPr>
      <w:r>
        <w:t>3. Importance of Study</w:t>
      </w:r>
    </w:p>
    <w:p w14:paraId="3EBE5E53" w14:textId="77777777" w:rsidR="00230BC8" w:rsidRDefault="00952EEA">
      <w:pPr>
        <w:bidi w:val="0"/>
        <w:spacing w:after="200"/>
        <w:ind w:left="90"/>
      </w:pPr>
      <w:r>
        <w:t>From a scientific perspective, this study contributes to the literature on satellite-assisted carbon monitoring by focusing on a region and set of conditions that are underrepresented in existing work. GCC countries combine arid climates, rapidly growing urbanization, strong cooling requirements, and dependence on energy-intensive sectors. Evaluating satellite-based proxies in this setting provides empirical evidence on the robustness and limitations of such approaches. The study also offers a transparent, documented pipeline—from data acquisition to model training and evaluation—that can be replicated or extended.</w:t>
      </w:r>
      <w:r>
        <w:br/>
      </w:r>
      <w:r>
        <w:br/>
        <w:t>From a practical perspective, the proposed framework offers GCC policymakers and analysts a tool for near-real-time monitoring of national CO₂ emissions. Even if satellite-based nowcasts are less accurate than full inventories, their timeliness may make them valuable for:</w:t>
      </w:r>
      <w:r>
        <w:br/>
      </w:r>
      <w:r>
        <w:br/>
        <w:t>- Early detection of unexpected changes in emissions (economic shocks, extreme weather, policy interventions).</w:t>
      </w:r>
      <w:r>
        <w:br/>
        <w:t>- Interim assessment of progress toward national climate targets when official inventories are not yet available.</w:t>
      </w:r>
      <w:r>
        <w:br/>
        <w:t>- Cross-checking and complementing bottom-up inventory estimates, enhancing transparency and robustness.</w:t>
      </w:r>
      <w:r>
        <w:br/>
      </w:r>
      <w:r>
        <w:br/>
        <w:t>By demonstrating that a hybrid satellite–machine-learning model can capture a substantial portion of national emission variability with minimal latency, the study supports integration of remote-sensing data into GCC monitoring and reporting systems.</w:t>
      </w:r>
    </w:p>
    <w:p w14:paraId="28357D7B" w14:textId="77777777" w:rsidR="00230BC8" w:rsidRDefault="00952EEA">
      <w:pPr>
        <w:pStyle w:val="Heading11"/>
        <w:ind w:left="90"/>
      </w:pPr>
      <w:r>
        <w:lastRenderedPageBreak/>
        <w:t>4. Study Objectives</w:t>
      </w:r>
    </w:p>
    <w:p w14:paraId="271B9DAB" w14:textId="77777777" w:rsidR="00230BC8" w:rsidRDefault="00952EEA">
      <w:pPr>
        <w:bidi w:val="0"/>
        <w:spacing w:after="200"/>
        <w:ind w:left="90"/>
      </w:pPr>
      <w:r>
        <w:t>The study has four main objectives:</w:t>
      </w:r>
      <w:r>
        <w:br/>
      </w:r>
      <w:r>
        <w:br/>
        <w:t>1. Data construction</w:t>
      </w:r>
      <w:r>
        <w:br/>
        <w:t>Construct a comprehensive panel dataset that combines official CO₂ emission records with economic indicators and satellite-derived environmental variables for six GCC countries over the period 2000–2023.</w:t>
      </w:r>
      <w:r>
        <w:br/>
      </w:r>
      <w:r>
        <w:br/>
        <w:t>2. Model development and comparison</w:t>
      </w:r>
      <w:r>
        <w:br/>
        <w:t>Develop and compare three XGBoost regression models:</w:t>
      </w:r>
      <w:r>
        <w:br/>
        <w:t>- an economic model using macroeconomic and energy indicators;</w:t>
      </w:r>
      <w:r>
        <w:br/>
        <w:t>- a hybrid model combining satellite-derived indicators with demographic information;</w:t>
      </w:r>
      <w:r>
        <w:br/>
        <w:t>- and a satellite-only model that relies solely on remote-sensing features.</w:t>
      </w:r>
      <w:r>
        <w:br/>
      </w:r>
      <w:r>
        <w:br/>
        <w:t>3. Feature relevance and interpretation</w:t>
      </w:r>
      <w:r>
        <w:br/>
        <w:t>Identify which satellite indicators contribute most to the predictive performance of the models and assess whether their importance is consistent with the physical and socio-economic characteristics of GCC countries.</w:t>
      </w:r>
      <w:r>
        <w:br/>
      </w:r>
      <w:r>
        <w:br/>
        <w:t>4. Accuracy–timeliness trade-off</w:t>
      </w:r>
      <w:r>
        <w:br/>
        <w:t>Quantify how much predictive accuracy is lost when moving from economic models based on delayed data to satellite-based models with near-real-time availability and discuss the implications of this trade-off for operational climate monitoring and policy support.</w:t>
      </w:r>
    </w:p>
    <w:p w14:paraId="697C759F" w14:textId="77777777" w:rsidR="00230BC8" w:rsidRDefault="00952EEA">
      <w:pPr>
        <w:pStyle w:val="Heading11"/>
        <w:ind w:left="90"/>
      </w:pPr>
      <w:r>
        <w:t>5. Theoretical Literature of the Study</w:t>
      </w:r>
    </w:p>
    <w:p w14:paraId="378CCA9D" w14:textId="37584315" w:rsidR="00C257F6" w:rsidRDefault="00952EEA" w:rsidP="00C257F6">
      <w:pPr>
        <w:bidi w:val="0"/>
        <w:spacing w:after="200"/>
        <w:ind w:left="90"/>
      </w:pPr>
      <w:r>
        <w:t>The theoretical foundation lies at the intersection of artificial intelligence, machine learning, and Earth observation.</w:t>
      </w:r>
      <w:r>
        <w:br/>
      </w:r>
      <w:r>
        <w:br/>
        <w:t>Artificial intelligence provides tools for building systems that can learn from data and support decision-making. Within AI, machine learning focuses on algorithms that infer patterns from examples. Supervised learning methods</w:t>
      </w:r>
      <w:proofErr w:type="gramStart"/>
      <w:r>
        <w:t>, in particular, learn</w:t>
      </w:r>
      <w:proofErr w:type="gramEnd"/>
      <w:r>
        <w:t xml:space="preserve"> a mapping from input features to a target variable, which is appropriate for regression tasks such as predicting national CO₂ emissions from economic and satellite data.</w:t>
      </w:r>
      <w:r>
        <w:br/>
      </w:r>
      <w:r>
        <w:br/>
      </w:r>
      <w:r w:rsidR="00530E6D" w:rsidRPr="00530E6D">
        <w:t>Decision-tree-based ensemble methods are a standard choice for structured, tabular data. XGBoost is a gradient boosting framework</w:t>
      </w:r>
      <w:r w:rsidR="00530E6D">
        <w:t xml:space="preserve"> </w:t>
      </w:r>
      <w:r w:rsidR="00C257F6">
        <w:t xml:space="preserve">that constructs an additive model of decision trees, each correcting the residual errors of the preceding ensemble (Chen &amp; </w:t>
      </w:r>
      <w:proofErr w:type="spellStart"/>
      <w:r w:rsidR="00C257F6">
        <w:t>Guestrin</w:t>
      </w:r>
      <w:proofErr w:type="spellEnd"/>
      <w:r w:rsidR="00C257F6">
        <w:t>, 2016). The algorithm optimizes a regularized objective function that balances fidelity to training data against model complexity, reducing overfitting. XGBoost accommodates heterogeneous feature types, missing values, and nonlinear interactions, and provides feature-importance measures that support interpretability. Recent applications in the Arabian Peninsula have demonstrated its effectiveness for satellite-based emission estimation (Alcibahy et al., 2025).</w:t>
      </w:r>
    </w:p>
    <w:p w14:paraId="2F45C25A" w14:textId="77777777" w:rsidR="00C257F6" w:rsidRDefault="00C257F6" w:rsidP="00C257F6">
      <w:pPr>
        <w:bidi w:val="0"/>
        <w:spacing w:after="200"/>
        <w:ind w:left="90"/>
        <w:rPr>
          <w:rtl/>
        </w:rPr>
      </w:pPr>
    </w:p>
    <w:p w14:paraId="223DBDF4" w14:textId="77777777" w:rsidR="00C257F6" w:rsidRDefault="00C257F6" w:rsidP="00C257F6">
      <w:pPr>
        <w:bidi w:val="0"/>
        <w:spacing w:after="200"/>
        <w:ind w:left="90"/>
      </w:pPr>
      <w:r>
        <w:t>Deep learning, a subset of machine learning based on artificial neural networks with multiple hidden layers, has achieved state-of-the-art performance in tasks such as image recognition and natural language understanding (Goodfellow et al., 2016). However, deep learning models usually require large training datasets and substantial computational resources, making gradient-boosted trees more suitable for the modest sample size in this study.</w:t>
      </w:r>
    </w:p>
    <w:p w14:paraId="35AD0984" w14:textId="77777777" w:rsidR="00C257F6" w:rsidRDefault="00C257F6" w:rsidP="00C257F6">
      <w:pPr>
        <w:bidi w:val="0"/>
        <w:spacing w:after="200"/>
        <w:ind w:left="90"/>
        <w:rPr>
          <w:rtl/>
        </w:rPr>
      </w:pPr>
    </w:p>
    <w:p w14:paraId="66B9400F" w14:textId="4A52D88E" w:rsidR="00230BC8" w:rsidRDefault="00C257F6" w:rsidP="00C257F6">
      <w:pPr>
        <w:bidi w:val="0"/>
        <w:spacing w:after="200"/>
        <w:ind w:left="90"/>
      </w:pPr>
      <w:r>
        <w:t xml:space="preserve">In environmental applications, AI is increasingly used to analyze large and heterogeneous datasets, including satellite imagery, climate </w:t>
      </w:r>
      <w:proofErr w:type="spellStart"/>
      <w:r>
        <w:t>reanalyses</w:t>
      </w:r>
      <w:proofErr w:type="spellEnd"/>
      <w:r>
        <w:t>, and socio-economic indicators (Persello et al., 2022).</w:t>
      </w:r>
      <w:r>
        <w:br/>
      </w:r>
      <w:r>
        <w:br/>
        <w:t>From a remote-sensing perspective, Earth observation platforms provide systematic measurements of the Earth’s surface and atmosphere. MODIS delivers global land surface temperature and vegetation indices; DMSP and VIIRS measure night-time lights; MERRA-2 provides reanalysis-based aerosol optical depth; and Sentinel-5P (European Space Agency, 2024) offers high-resolution tropospheric NO₂ retrievals. Although none of these sensors directly measures fossil CO₂ emissions, they record physical and human processes—urban lighting, industrial activity, transport intensity, and heat stress—that are closely related to energy consumption and combustion.</w:t>
      </w:r>
      <w:r>
        <w:br/>
        <w:t>Given the relatively small sample size (144 country–year observations), deep neural networks would be prone to overfitting and difficult to interpret. XGBoost offers a flexible but more controlled modeling approach that aligns with the data structure and the interpretability requirements of policy-relevant emission analysis.</w:t>
      </w:r>
    </w:p>
    <w:p w14:paraId="6BDB5D7B" w14:textId="77777777" w:rsidR="00230BC8" w:rsidRDefault="00952EEA">
      <w:pPr>
        <w:pStyle w:val="Heading11"/>
        <w:ind w:left="90"/>
      </w:pPr>
      <w:r>
        <w:t xml:space="preserve">6. Review of Previous Studies </w:t>
      </w:r>
    </w:p>
    <w:p w14:paraId="67D01DE5" w14:textId="77777777" w:rsidR="00C257F6" w:rsidRDefault="00952EEA">
      <w:pPr>
        <w:bidi w:val="0"/>
        <w:spacing w:after="200"/>
        <w:ind w:left="90"/>
      </w:pPr>
      <w:r>
        <w:t>Previous studies have applied machine learning and AI techniques to emission forecasting and environmental monitoring in various contexts.</w:t>
      </w:r>
      <w:r>
        <w:br/>
      </w:r>
      <w:r>
        <w:br/>
      </w:r>
      <w:r w:rsidR="00C257F6" w:rsidRPr="00C257F6">
        <w:t>Several works focus on economic- and energy-based emission forecasting, using macro variables such as GDP, energy consumption, industrial output, and vehicle counts as predictors. These studies often employ neural networks, support vector regression, or tree-based models and report high R² values for national or regional CO₂ prediction (Nassef et al., 2023; Rahman et al., 2023). Alamri and Khan (2023) applied N-BEATS and Transformer architectures for emission forecasting in Saudi Arabia. Meng and Noman (2022) analyzed the impact of COVID-19 on global CO₂ emissions using machine learning, finding that pandemic-related disruptions created anomalies that challenge traditional forecasting approaches. Han et al. (2023) explored hybrid LSTM-CNN architectures for provincial emissions prediction in China, achieving high accuracy with spatial autocorrelation weighting. Tan et al. (2024) estimated carbon emissions in Chinese regions using OCO-2 satellite data and random forest modeling. Begum and Al Mobin (2025) applied machine learning to predict emissions for top emitters through 2030. Fonseca and Francis (2023) established baseline CO₂ variability patterns across the Middle East using OCO-2/OCO-3 observations. Xu et al. (2023) demonstrated NPP-VIIRS nighttime light data as an effective proxy for anthropogenic CO₂ emissions at regional scale. However, because these models rely on conventional statistics, they inherit the reporting delays of the underlying data.</w:t>
      </w:r>
    </w:p>
    <w:p w14:paraId="3A53B062" w14:textId="0D37C0ED" w:rsidR="00C257F6" w:rsidRDefault="00C257F6" w:rsidP="00C257F6">
      <w:pPr>
        <w:bidi w:val="0"/>
        <w:spacing w:after="200"/>
        <w:ind w:left="90"/>
      </w:pPr>
      <w:r w:rsidRPr="00C257F6">
        <w:t xml:space="preserve">Parallel research examines satellite-based monitoring of atmospheric constituents. Studies using OCO-2, Sentinel-5P (European Space Agency, 2024), and related missions map atmospheric CO₂ concentrations, NO₂ plumes, and particulate pollution, often focusing on urban areas or large point sources such as power plants. Mustafa et al. (2021) estimated regional anthropogenic CO₂ emissions over East and West Asia using neural networks trained on OCO-2 data. Lin et al. (2023) developed machine learning methods to estimate power plant CO₂ emissions from satellite observations of plumes. Rowley and Karakuş (2023) created </w:t>
      </w:r>
      <w:proofErr w:type="spellStart"/>
      <w:r w:rsidRPr="00C257F6">
        <w:t>AQNet</w:t>
      </w:r>
      <w:proofErr w:type="spellEnd"/>
      <w:r w:rsidRPr="00C257F6">
        <w:t xml:space="preserve">, which predicts air quality from satellite imagery. Night-time lights have been shown to correlate with economic activity, electricity consumption, and emissions, especially in rapidly urbanizing regions (Elvidge et al., 2009). For land-based applications, Mallick et al. (2022) used remote sensing to estimate carbon stocks in Saudi Arabian landscapes, while </w:t>
      </w:r>
      <w:proofErr w:type="spellStart"/>
      <w:r w:rsidRPr="00C257F6">
        <w:t>Madugundu</w:t>
      </w:r>
      <w:proofErr w:type="spellEnd"/>
      <w:r w:rsidRPr="00C257F6">
        <w:t xml:space="preserve"> et al. (2018) combined remote sensing with soil sampling to estimate carbon in agricultural areas.</w:t>
      </w:r>
    </w:p>
    <w:p w14:paraId="599E3650" w14:textId="58819A09" w:rsidR="00230BC8" w:rsidRDefault="00952EEA" w:rsidP="00C257F6">
      <w:pPr>
        <w:bidi w:val="0"/>
        <w:spacing w:after="200"/>
        <w:ind w:left="90"/>
      </w:pPr>
      <w:r>
        <w:lastRenderedPageBreak/>
        <w:br/>
      </w:r>
      <w:r>
        <w:br/>
      </w:r>
      <w:r w:rsidR="00C257F6" w:rsidRPr="00C257F6">
        <w:t xml:space="preserve">Within the GCC and Middle East, several studies validate MODIS LST products under arid conditions, map urban heat islands, analyze aerosol patterns, and use Sentinel-5P NO₂ data to investigate urban air quality in the region. Assiri (2017) validated MODIS thermal data for land surface temperature analysis in Saudi Arabia, finding good agreement with ground measurements across different land cover types. Haq (2022) achieved high classification accuracy for agricultural vegetation classification in Al-Qassim region using </w:t>
      </w:r>
      <w:proofErr w:type="spellStart"/>
      <w:r w:rsidR="00C257F6" w:rsidRPr="00C257F6">
        <w:t>PlanetScope</w:t>
      </w:r>
      <w:proofErr w:type="spellEnd"/>
      <w:r w:rsidR="00C257F6" w:rsidRPr="00C257F6">
        <w:t xml:space="preserve"> nanosatellite imagery with machine learning classifiers. Addas et al. (2020) analyzed urban heat islands in Jeddah using satellite data, finding significant temperature differences between urban and surrounding areas. Hammam and Mohamed (2020) mapped soil salinity in the East Nile Delta using several methodological approaches. </w:t>
      </w:r>
      <w:r w:rsidR="00841877" w:rsidRPr="00841877">
        <w:t>High accuracy has been demonstrated in predicting air pollution for three cities with different characteristics using Sentinel-5P data and deep learning (</w:t>
      </w:r>
      <w:proofErr w:type="spellStart"/>
      <w:r w:rsidR="00841877" w:rsidRPr="00841877">
        <w:t>Alkayal</w:t>
      </w:r>
      <w:proofErr w:type="spellEnd"/>
      <w:r w:rsidR="00841877" w:rsidRPr="00841877">
        <w:t xml:space="preserve"> et al., 2025).</w:t>
      </w:r>
      <w:r w:rsidR="00841877">
        <w:t xml:space="preserve"> </w:t>
      </w:r>
      <w:r w:rsidR="00C257F6" w:rsidRPr="00C257F6">
        <w:t xml:space="preserve"> For carbon-related applications, Emadi et al. (2020) applied stacked machine learning models for soil property prediction in arid regions, demonstrating the feasibility of ensemble approaches. These studies demonstrate that satellite data </w:t>
      </w:r>
      <w:proofErr w:type="gramStart"/>
      <w:r w:rsidR="00C257F6" w:rsidRPr="00C257F6">
        <w:t>behave</w:t>
      </w:r>
      <w:proofErr w:type="gramEnd"/>
      <w:r w:rsidR="00C257F6" w:rsidRPr="00C257F6">
        <w:t xml:space="preserve"> consistently in the region and can be integrated with ground-based information.</w:t>
      </w:r>
    </w:p>
    <w:p w14:paraId="25967401" w14:textId="23E36969" w:rsidR="00230BC8" w:rsidRDefault="00424400">
      <w:pPr>
        <w:bidi w:val="0"/>
        <w:spacing w:after="200"/>
        <w:ind w:left="90"/>
        <w:jc w:val="center"/>
      </w:pPr>
      <w:r>
        <w:rPr>
          <w:noProof/>
          <w:lang w:eastAsia="en-US"/>
        </w:rPr>
        <w:drawing>
          <wp:inline distT="0" distB="0" distL="0" distR="0" wp14:anchorId="7AEB4515" wp14:editId="7B4BBECB">
            <wp:extent cx="3181350" cy="31813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11" t="-11" r="-11" b="-11"/>
                    <a:stretch>
                      <a:fillRect/>
                    </a:stretch>
                  </pic:blipFill>
                  <pic:spPr bwMode="auto">
                    <a:xfrm>
                      <a:off x="0" y="0"/>
                      <a:ext cx="3181350" cy="3181350"/>
                    </a:xfrm>
                    <a:prstGeom prst="rect">
                      <a:avLst/>
                    </a:prstGeom>
                    <a:noFill/>
                    <a:ln>
                      <a:noFill/>
                    </a:ln>
                  </pic:spPr>
                </pic:pic>
              </a:graphicData>
            </a:graphic>
          </wp:inline>
        </w:drawing>
      </w:r>
    </w:p>
    <w:p w14:paraId="17ED1525" w14:textId="77777777" w:rsidR="00230BC8" w:rsidRDefault="00952EEA">
      <w:pPr>
        <w:bidi w:val="0"/>
        <w:spacing w:after="200"/>
        <w:ind w:left="90"/>
        <w:jc w:val="center"/>
      </w:pPr>
      <w:r>
        <w:rPr>
          <w:sz w:val="20"/>
        </w:rPr>
        <w:t>Figure 2: Literature review and research gap</w:t>
      </w:r>
    </w:p>
    <w:p w14:paraId="7D50EA8E" w14:textId="77777777" w:rsidR="00230BC8" w:rsidRDefault="00952EEA">
      <w:pPr>
        <w:bidi w:val="0"/>
        <w:spacing w:after="200"/>
        <w:ind w:left="90"/>
      </w:pPr>
      <w:r>
        <w:t>Taken together, these strands of literature show that machine-learning models based on conventional statistics can predict emissions with high accuracy, and that satellite observations can capture key drivers of atmospheric composition and energy use. However, very few studies have attempted to nowcast national fossil-fuel CO₂ emissions for the GCC using satellite indicators, and even fewer have benchmarked such models directly against economic baselines while accounting for data latency. This study addresses that gap by assembling a dedicated GCC dataset and systematically comparing economic and satellite-based nowcasting models within a unified methodological framework.</w:t>
      </w:r>
    </w:p>
    <w:p w14:paraId="244339AE" w14:textId="77777777" w:rsidR="00230BC8" w:rsidRDefault="00952EEA">
      <w:pPr>
        <w:pStyle w:val="Heading11"/>
        <w:ind w:left="90"/>
        <w:rPr>
          <w:rFonts w:eastAsia="Calibri"/>
        </w:rPr>
      </w:pPr>
      <w:r>
        <w:t>7. Methodology</w:t>
      </w:r>
    </w:p>
    <w:p w14:paraId="420897DC" w14:textId="77777777" w:rsidR="00230BC8" w:rsidRDefault="00952EEA">
      <w:pPr>
        <w:pStyle w:val="Heading21"/>
        <w:keepNext/>
        <w:keepLines/>
        <w:spacing w:before="200" w:after="0"/>
        <w:ind w:left="90"/>
        <w:rPr>
          <w:rFonts w:eastAsia="Calibri"/>
        </w:rPr>
      </w:pPr>
      <w:r>
        <w:rPr>
          <w:sz w:val="24"/>
        </w:rPr>
        <w:lastRenderedPageBreak/>
        <w:t>7.1 Study Area and Data</w:t>
      </w:r>
    </w:p>
    <w:p w14:paraId="5EB6AFFB" w14:textId="77777777" w:rsidR="00230BC8" w:rsidRDefault="00952EEA">
      <w:pPr>
        <w:bidi w:val="0"/>
        <w:spacing w:after="200"/>
        <w:ind w:left="90"/>
      </w:pPr>
      <w:r>
        <w:t>The study covers six GCC countries: Saudi Arabia, United Arab Emirates, Qatar, Kuwait, Oman, and Bahrain. These countries are major contributors to global CO₂ emissions and share similar climatic conditions characterized by high temperatures, low precipitation, and extensive desert environments, combined with rapidly growing urban centers.</w:t>
      </w:r>
    </w:p>
    <w:p w14:paraId="218A20F4" w14:textId="77777777" w:rsidR="00230BC8" w:rsidRDefault="00952EEA">
      <w:pPr>
        <w:bidi w:val="0"/>
        <w:spacing w:after="200"/>
        <w:ind w:left="90"/>
      </w:pPr>
      <w:r>
        <w:t>A balanced panel dataset of 144 country–year observations is constructed for 2000–2023. The main components are:</w:t>
      </w:r>
    </w:p>
    <w:p w14:paraId="4B1EF247" w14:textId="77777777" w:rsidR="00230BC8" w:rsidRDefault="00952EEA">
      <w:pPr>
        <w:bidi w:val="0"/>
        <w:spacing w:after="200"/>
        <w:ind w:left="90"/>
      </w:pPr>
      <w:r>
        <w:rPr>
          <w:b/>
          <w:bCs/>
        </w:rPr>
        <w:t>Official CO₂ emissions and economic indicators</w:t>
      </w:r>
      <w:r>
        <w:br/>
        <w:t>Production-based CO₂ emissions and macroeconomic variables (GDP, population, primary energy consumption, energy per capita, and CO₂ intensity) are obtained from harmonized international databases such as the Global Carbon Project and related compilations (Global Carbon Project, 2023). These series form the basis for the economic model and the target variable.</w:t>
      </w:r>
    </w:p>
    <w:p w14:paraId="7D416C20" w14:textId="6B82CFF4" w:rsidR="00230BC8" w:rsidRDefault="00952EEA">
      <w:pPr>
        <w:bidi w:val="0"/>
        <w:spacing w:after="200"/>
        <w:ind w:left="90"/>
      </w:pPr>
      <w:r>
        <w:rPr>
          <w:b/>
          <w:bCs/>
        </w:rPr>
        <w:t>Satellite-derived indicators</w:t>
      </w:r>
      <w:r>
        <w:br/>
      </w:r>
      <w:r w:rsidR="00C257F6" w:rsidRPr="00C257F6">
        <w:t>Environmental and activity-related variables are extracted from multiple satellite and reanalysis products via Google Earth Engine (Gorelick et al., 2017). MODIS land surface temperature products have been validated for Saudi Arabia (Assiri, 2017). The GCC region has naturally high aerosol optical depth due to desert dust, making interpretation more challenging (Kumar et al., 2018). Climate targets data are obtained from the UNFCCC NDC Registry (UNFCCC, 2024). The following satellite products are used:</w:t>
      </w:r>
    </w:p>
    <w:p w14:paraId="51DDFBC3" w14:textId="77777777" w:rsidR="00230BC8" w:rsidRDefault="00952EEA">
      <w:pPr>
        <w:numPr>
          <w:ilvl w:val="0"/>
          <w:numId w:val="2"/>
        </w:numPr>
        <w:bidi w:val="0"/>
        <w:spacing w:after="200"/>
      </w:pPr>
      <w:r>
        <w:t>MODIS LST (MOD11A2) for daytime land surface temperature.</w:t>
      </w:r>
    </w:p>
    <w:p w14:paraId="4C1056A9" w14:textId="77777777" w:rsidR="00230BC8" w:rsidRDefault="00952EEA">
      <w:pPr>
        <w:numPr>
          <w:ilvl w:val="0"/>
          <w:numId w:val="2"/>
        </w:numPr>
        <w:bidi w:val="0"/>
        <w:spacing w:after="200"/>
      </w:pPr>
      <w:r>
        <w:t>MODIS NDVI (MOD13A2) for vegetation vigor.</w:t>
      </w:r>
    </w:p>
    <w:p w14:paraId="29D95DAC" w14:textId="77777777" w:rsidR="00230BC8" w:rsidRDefault="00952EEA">
      <w:pPr>
        <w:numPr>
          <w:ilvl w:val="0"/>
          <w:numId w:val="2"/>
        </w:numPr>
        <w:bidi w:val="0"/>
        <w:spacing w:after="200"/>
      </w:pPr>
      <w:r>
        <w:t>Calibrated DMSP and VIIRS night-time lights for urban and economic activity.</w:t>
      </w:r>
    </w:p>
    <w:p w14:paraId="12EB65E1" w14:textId="77777777" w:rsidR="00230BC8" w:rsidRDefault="00952EEA">
      <w:pPr>
        <w:numPr>
          <w:ilvl w:val="0"/>
          <w:numId w:val="2"/>
        </w:numPr>
        <w:bidi w:val="0"/>
        <w:spacing w:after="200"/>
      </w:pPr>
      <w:r>
        <w:t>MERRA-2 aerosol optical depth for atmospheric aerosol loading.</w:t>
      </w:r>
    </w:p>
    <w:p w14:paraId="6BB02CC5" w14:textId="77777777" w:rsidR="00230BC8" w:rsidRDefault="00952EEA">
      <w:pPr>
        <w:numPr>
          <w:ilvl w:val="0"/>
          <w:numId w:val="2"/>
        </w:numPr>
        <w:bidi w:val="0"/>
        <w:spacing w:after="200"/>
      </w:pPr>
      <w:r>
        <w:t>Sentinel-5P NO₂ for tropospheric nitrogen dioxide (recent years).</w:t>
      </w:r>
    </w:p>
    <w:p w14:paraId="60B27F12" w14:textId="77777777" w:rsidR="00230BC8" w:rsidRDefault="00952EEA">
      <w:pPr>
        <w:bidi w:val="0"/>
        <w:spacing w:after="200"/>
        <w:ind w:left="90"/>
      </w:pPr>
      <w:r>
        <w:t>Country polygons for the six GCC states are used to aggregate pixel-level data into area-weighted country averages.</w:t>
      </w:r>
    </w:p>
    <w:p w14:paraId="3AC1B8F8" w14:textId="77777777" w:rsidR="00230BC8" w:rsidRDefault="00952EEA">
      <w:pPr>
        <w:bidi w:val="0"/>
        <w:spacing w:after="200"/>
        <w:ind w:left="90"/>
      </w:pPr>
      <w:r>
        <w:br/>
      </w:r>
    </w:p>
    <w:p w14:paraId="34E1DD5B" w14:textId="34C3538B" w:rsidR="00230BC8" w:rsidRDefault="00424400">
      <w:pPr>
        <w:bidi w:val="0"/>
        <w:spacing w:after="200"/>
        <w:ind w:left="90"/>
        <w:jc w:val="center"/>
      </w:pPr>
      <w:r>
        <w:rPr>
          <w:b/>
          <w:bCs/>
          <w:noProof/>
          <w:szCs w:val="22"/>
        </w:rPr>
        <w:lastRenderedPageBreak/>
        <w:drawing>
          <wp:inline distT="0" distB="0" distL="0" distR="0" wp14:anchorId="454BEE3C" wp14:editId="33A3FA3A">
            <wp:extent cx="6410325" cy="3848100"/>
            <wp:effectExtent l="0" t="0" r="0"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b="1942"/>
                    <a:stretch>
                      <a:fillRect/>
                    </a:stretch>
                  </pic:blipFill>
                  <pic:spPr bwMode="auto">
                    <a:xfrm>
                      <a:off x="0" y="0"/>
                      <a:ext cx="6410325" cy="3848100"/>
                    </a:xfrm>
                    <a:prstGeom prst="rect">
                      <a:avLst/>
                    </a:prstGeom>
                    <a:noFill/>
                    <a:ln>
                      <a:noFill/>
                    </a:ln>
                  </pic:spPr>
                </pic:pic>
              </a:graphicData>
            </a:graphic>
          </wp:inline>
        </w:drawing>
      </w:r>
    </w:p>
    <w:p w14:paraId="57F5CF0A" w14:textId="77777777" w:rsidR="00230BC8" w:rsidRDefault="00952EEA">
      <w:pPr>
        <w:bidi w:val="0"/>
        <w:spacing w:after="200"/>
        <w:ind w:left="90"/>
        <w:jc w:val="center"/>
      </w:pPr>
      <w:r>
        <w:rPr>
          <w:sz w:val="20"/>
        </w:rPr>
        <w:t>Figure 3: Map of GCC study area</w:t>
      </w:r>
    </w:p>
    <w:p w14:paraId="0C148A74" w14:textId="77777777" w:rsidR="00230BC8" w:rsidRDefault="00230BC8">
      <w:pPr>
        <w:bidi w:val="0"/>
        <w:spacing w:after="200"/>
        <w:ind w:left="90"/>
        <w:jc w:val="center"/>
      </w:pPr>
    </w:p>
    <w:p w14:paraId="078601D5" w14:textId="3FF25D36" w:rsidR="00230BC8" w:rsidRDefault="00530AAA">
      <w:pPr>
        <w:bidi w:val="0"/>
        <w:spacing w:after="200"/>
        <w:ind w:left="90"/>
        <w:jc w:val="center"/>
      </w:pPr>
      <w:r>
        <w:rPr>
          <w:sz w:val="20"/>
        </w:rPr>
        <w:br w:type="page"/>
      </w:r>
      <w:r>
        <w:rPr>
          <w:sz w:val="20"/>
        </w:rPr>
        <w:lastRenderedPageBreak/>
        <w:t>Table (1): Basic characteristics of GCC countries.</w:t>
      </w:r>
    </w:p>
    <w:tbl>
      <w:tblPr>
        <w:tblW w:w="10104" w:type="dxa"/>
        <w:jc w:val="center"/>
        <w:tblLayout w:type="fixed"/>
        <w:tblCellMar>
          <w:left w:w="10" w:type="dxa"/>
          <w:right w:w="10" w:type="dxa"/>
        </w:tblCellMar>
        <w:tblLook w:val="0000" w:firstRow="0" w:lastRow="0" w:firstColumn="0" w:lastColumn="0" w:noHBand="0" w:noVBand="0"/>
      </w:tblPr>
      <w:tblGrid>
        <w:gridCol w:w="1530"/>
        <w:gridCol w:w="1271"/>
        <w:gridCol w:w="1750"/>
        <w:gridCol w:w="1673"/>
        <w:gridCol w:w="1623"/>
        <w:gridCol w:w="2257"/>
      </w:tblGrid>
      <w:tr w:rsidR="00230BC8" w14:paraId="545612CB"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D5E8F0"/>
          </w:tcPr>
          <w:p w14:paraId="3B010C7D" w14:textId="77777777" w:rsidR="00230BC8" w:rsidRDefault="00952EEA">
            <w:pPr>
              <w:bidi w:val="0"/>
              <w:spacing w:after="200"/>
              <w:ind w:left="90"/>
              <w:jc w:val="both"/>
              <w:rPr>
                <w:sz w:val="22"/>
              </w:rPr>
            </w:pPr>
            <w:r>
              <w:rPr>
                <w:b/>
              </w:rPr>
              <w:t>Country</w:t>
            </w:r>
          </w:p>
        </w:tc>
        <w:tc>
          <w:tcPr>
            <w:tcW w:w="1271" w:type="dxa"/>
            <w:tcBorders>
              <w:top w:val="single" w:sz="2" w:space="0" w:color="999999"/>
              <w:left w:val="single" w:sz="2" w:space="0" w:color="999999"/>
              <w:bottom w:val="single" w:sz="2" w:space="0" w:color="999999"/>
              <w:right w:val="single" w:sz="2" w:space="0" w:color="999999"/>
            </w:tcBorders>
            <w:shd w:val="clear" w:color="auto" w:fill="D5E8F0"/>
          </w:tcPr>
          <w:p w14:paraId="3248F585" w14:textId="77777777" w:rsidR="00230BC8" w:rsidRDefault="00952EEA">
            <w:pPr>
              <w:bidi w:val="0"/>
              <w:spacing w:after="200"/>
              <w:ind w:left="90"/>
              <w:jc w:val="both"/>
              <w:rPr>
                <w:sz w:val="22"/>
              </w:rPr>
            </w:pPr>
            <w:r>
              <w:rPr>
                <w:b/>
              </w:rPr>
              <w:t>Area (km²)</w:t>
            </w:r>
          </w:p>
        </w:tc>
        <w:tc>
          <w:tcPr>
            <w:tcW w:w="1750" w:type="dxa"/>
            <w:tcBorders>
              <w:top w:val="single" w:sz="2" w:space="0" w:color="999999"/>
              <w:left w:val="single" w:sz="2" w:space="0" w:color="999999"/>
              <w:bottom w:val="single" w:sz="2" w:space="0" w:color="999999"/>
              <w:right w:val="single" w:sz="2" w:space="0" w:color="999999"/>
            </w:tcBorders>
            <w:shd w:val="clear" w:color="auto" w:fill="D5E8F0"/>
          </w:tcPr>
          <w:p w14:paraId="33FFCE8D" w14:textId="77777777" w:rsidR="00230BC8" w:rsidRDefault="00952EEA">
            <w:pPr>
              <w:bidi w:val="0"/>
              <w:spacing w:after="200"/>
              <w:ind w:left="90"/>
              <w:jc w:val="both"/>
              <w:rPr>
                <w:sz w:val="22"/>
              </w:rPr>
            </w:pPr>
            <w:r>
              <w:rPr>
                <w:b/>
              </w:rPr>
              <w:t>Population (M)</w:t>
            </w:r>
          </w:p>
        </w:tc>
        <w:tc>
          <w:tcPr>
            <w:tcW w:w="1673" w:type="dxa"/>
            <w:tcBorders>
              <w:top w:val="single" w:sz="2" w:space="0" w:color="999999"/>
              <w:left w:val="single" w:sz="2" w:space="0" w:color="999999"/>
              <w:bottom w:val="single" w:sz="2" w:space="0" w:color="999999"/>
              <w:right w:val="single" w:sz="2" w:space="0" w:color="999999"/>
            </w:tcBorders>
            <w:shd w:val="clear" w:color="auto" w:fill="D5E8F0"/>
          </w:tcPr>
          <w:p w14:paraId="77A3CBE3" w14:textId="77777777" w:rsidR="00230BC8" w:rsidRDefault="00952EEA">
            <w:pPr>
              <w:bidi w:val="0"/>
              <w:spacing w:after="200"/>
              <w:ind w:left="90"/>
              <w:jc w:val="both"/>
              <w:rPr>
                <w:sz w:val="22"/>
              </w:rPr>
            </w:pPr>
            <w:r>
              <w:rPr>
                <w:b/>
              </w:rPr>
              <w:t>2023 CO₂ (Mt)</w:t>
            </w:r>
          </w:p>
        </w:tc>
        <w:tc>
          <w:tcPr>
            <w:tcW w:w="1623" w:type="dxa"/>
            <w:tcBorders>
              <w:top w:val="single" w:sz="2" w:space="0" w:color="999999"/>
              <w:left w:val="single" w:sz="2" w:space="0" w:color="999999"/>
              <w:bottom w:val="single" w:sz="2" w:space="0" w:color="999999"/>
              <w:right w:val="single" w:sz="2" w:space="0" w:color="999999"/>
            </w:tcBorders>
            <w:shd w:val="clear" w:color="auto" w:fill="D5E8F0"/>
          </w:tcPr>
          <w:p w14:paraId="61D1CD68" w14:textId="77777777" w:rsidR="00230BC8" w:rsidRDefault="00952EEA">
            <w:pPr>
              <w:bidi w:val="0"/>
              <w:spacing w:after="200"/>
              <w:ind w:left="90"/>
              <w:jc w:val="both"/>
              <w:rPr>
                <w:sz w:val="22"/>
              </w:rPr>
            </w:pPr>
            <w:r>
              <w:rPr>
                <w:b/>
              </w:rPr>
              <w:t>Climate</w:t>
            </w:r>
          </w:p>
        </w:tc>
        <w:tc>
          <w:tcPr>
            <w:tcW w:w="2257" w:type="dxa"/>
            <w:tcBorders>
              <w:top w:val="single" w:sz="2" w:space="0" w:color="999999"/>
              <w:left w:val="single" w:sz="2" w:space="0" w:color="999999"/>
              <w:bottom w:val="single" w:sz="2" w:space="0" w:color="999999"/>
              <w:right w:val="single" w:sz="2" w:space="0" w:color="999999"/>
            </w:tcBorders>
            <w:shd w:val="clear" w:color="auto" w:fill="D5E8F0"/>
          </w:tcPr>
          <w:p w14:paraId="48C1F80E" w14:textId="77777777" w:rsidR="00230BC8" w:rsidRDefault="00952EEA">
            <w:pPr>
              <w:bidi w:val="0"/>
              <w:spacing w:after="200"/>
              <w:ind w:left="90"/>
              <w:jc w:val="both"/>
              <w:rPr>
                <w:sz w:val="22"/>
              </w:rPr>
            </w:pPr>
            <w:r>
              <w:rPr>
                <w:b/>
              </w:rPr>
              <w:t>Summer Temp (°C)</w:t>
            </w:r>
          </w:p>
        </w:tc>
      </w:tr>
      <w:tr w:rsidR="00230BC8" w14:paraId="074C22ED"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FFFFFF"/>
          </w:tcPr>
          <w:p w14:paraId="051BCA32" w14:textId="77777777" w:rsidR="00230BC8" w:rsidRDefault="00952EEA">
            <w:pPr>
              <w:bidi w:val="0"/>
              <w:spacing w:after="200"/>
              <w:ind w:left="90"/>
              <w:jc w:val="both"/>
              <w:rPr>
                <w:sz w:val="22"/>
              </w:rPr>
            </w:pPr>
            <w:r>
              <w:rPr>
                <w:b/>
              </w:rPr>
              <w:t>Saudi Arabia</w:t>
            </w:r>
          </w:p>
        </w:tc>
        <w:tc>
          <w:tcPr>
            <w:tcW w:w="1271" w:type="dxa"/>
            <w:tcBorders>
              <w:top w:val="single" w:sz="2" w:space="0" w:color="999999"/>
              <w:left w:val="single" w:sz="2" w:space="0" w:color="999999"/>
              <w:bottom w:val="single" w:sz="2" w:space="0" w:color="999999"/>
              <w:right w:val="single" w:sz="2" w:space="0" w:color="999999"/>
            </w:tcBorders>
            <w:shd w:val="clear" w:color="auto" w:fill="FFFFFF"/>
          </w:tcPr>
          <w:p w14:paraId="1628887A" w14:textId="77777777" w:rsidR="00230BC8" w:rsidRDefault="00952EEA">
            <w:pPr>
              <w:bidi w:val="0"/>
              <w:spacing w:after="200"/>
              <w:ind w:left="90"/>
              <w:jc w:val="both"/>
              <w:rPr>
                <w:sz w:val="22"/>
              </w:rPr>
            </w:pPr>
            <w:r>
              <w:t>2,149,690</w:t>
            </w:r>
          </w:p>
        </w:tc>
        <w:tc>
          <w:tcPr>
            <w:tcW w:w="1750" w:type="dxa"/>
            <w:tcBorders>
              <w:top w:val="single" w:sz="2" w:space="0" w:color="999999"/>
              <w:left w:val="single" w:sz="2" w:space="0" w:color="999999"/>
              <w:bottom w:val="single" w:sz="2" w:space="0" w:color="999999"/>
              <w:right w:val="single" w:sz="2" w:space="0" w:color="999999"/>
            </w:tcBorders>
            <w:shd w:val="clear" w:color="auto" w:fill="FFFFFF"/>
          </w:tcPr>
          <w:p w14:paraId="2C087F85" w14:textId="77777777" w:rsidR="00230BC8" w:rsidRDefault="00952EEA">
            <w:pPr>
              <w:bidi w:val="0"/>
              <w:spacing w:after="200"/>
              <w:ind w:left="90"/>
              <w:jc w:val="both"/>
              <w:rPr>
                <w:sz w:val="22"/>
              </w:rPr>
            </w:pPr>
            <w:r>
              <w:t>36.4</w:t>
            </w:r>
          </w:p>
        </w:tc>
        <w:tc>
          <w:tcPr>
            <w:tcW w:w="1673" w:type="dxa"/>
            <w:tcBorders>
              <w:top w:val="single" w:sz="2" w:space="0" w:color="999999"/>
              <w:left w:val="single" w:sz="2" w:space="0" w:color="999999"/>
              <w:bottom w:val="single" w:sz="2" w:space="0" w:color="999999"/>
              <w:right w:val="single" w:sz="2" w:space="0" w:color="999999"/>
            </w:tcBorders>
            <w:shd w:val="clear" w:color="auto" w:fill="FFFFFF"/>
          </w:tcPr>
          <w:p w14:paraId="5D10EAEE" w14:textId="77777777" w:rsidR="00230BC8" w:rsidRDefault="00952EEA">
            <w:pPr>
              <w:bidi w:val="0"/>
              <w:spacing w:after="200"/>
              <w:ind w:left="90"/>
              <w:jc w:val="both"/>
              <w:rPr>
                <w:sz w:val="22"/>
              </w:rPr>
            </w:pPr>
            <w:r>
              <w:t>672</w:t>
            </w:r>
          </w:p>
        </w:tc>
        <w:tc>
          <w:tcPr>
            <w:tcW w:w="1623" w:type="dxa"/>
            <w:tcBorders>
              <w:top w:val="single" w:sz="2" w:space="0" w:color="999999"/>
              <w:left w:val="single" w:sz="2" w:space="0" w:color="999999"/>
              <w:bottom w:val="single" w:sz="2" w:space="0" w:color="999999"/>
              <w:right w:val="single" w:sz="2" w:space="0" w:color="999999"/>
            </w:tcBorders>
            <w:shd w:val="clear" w:color="auto" w:fill="FFFFFF"/>
          </w:tcPr>
          <w:p w14:paraId="6D118F97" w14:textId="77777777" w:rsidR="00230BC8" w:rsidRDefault="00952EEA">
            <w:pPr>
              <w:bidi w:val="0"/>
              <w:spacing w:after="200"/>
              <w:ind w:left="90"/>
              <w:jc w:val="both"/>
              <w:rPr>
                <w:sz w:val="22"/>
              </w:rPr>
            </w:pPr>
            <w:r>
              <w:t>Arid/Semi-arid</w:t>
            </w:r>
          </w:p>
        </w:tc>
        <w:tc>
          <w:tcPr>
            <w:tcW w:w="2257" w:type="dxa"/>
            <w:tcBorders>
              <w:top w:val="single" w:sz="2" w:space="0" w:color="999999"/>
              <w:left w:val="single" w:sz="2" w:space="0" w:color="999999"/>
              <w:bottom w:val="single" w:sz="2" w:space="0" w:color="999999"/>
              <w:right w:val="single" w:sz="2" w:space="0" w:color="999999"/>
            </w:tcBorders>
            <w:shd w:val="clear" w:color="auto" w:fill="FFFFFF"/>
          </w:tcPr>
          <w:p w14:paraId="55BE799B" w14:textId="77777777" w:rsidR="00230BC8" w:rsidRDefault="00952EEA">
            <w:pPr>
              <w:bidi w:val="0"/>
              <w:spacing w:after="200"/>
              <w:ind w:left="90"/>
              <w:jc w:val="both"/>
              <w:rPr>
                <w:sz w:val="22"/>
              </w:rPr>
            </w:pPr>
            <w:r>
              <w:t>42-50</w:t>
            </w:r>
          </w:p>
        </w:tc>
      </w:tr>
      <w:tr w:rsidR="00230BC8" w14:paraId="70100511"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FFFFFF"/>
          </w:tcPr>
          <w:p w14:paraId="0EE49BFE" w14:textId="77777777" w:rsidR="00230BC8" w:rsidRDefault="00952EEA">
            <w:pPr>
              <w:bidi w:val="0"/>
              <w:spacing w:after="200"/>
              <w:ind w:left="90"/>
              <w:jc w:val="both"/>
              <w:rPr>
                <w:sz w:val="22"/>
              </w:rPr>
            </w:pPr>
            <w:r>
              <w:rPr>
                <w:b/>
              </w:rPr>
              <w:t>UAE</w:t>
            </w:r>
          </w:p>
        </w:tc>
        <w:tc>
          <w:tcPr>
            <w:tcW w:w="1271" w:type="dxa"/>
            <w:tcBorders>
              <w:top w:val="single" w:sz="2" w:space="0" w:color="999999"/>
              <w:left w:val="single" w:sz="2" w:space="0" w:color="999999"/>
              <w:bottom w:val="single" w:sz="2" w:space="0" w:color="999999"/>
              <w:right w:val="single" w:sz="2" w:space="0" w:color="999999"/>
            </w:tcBorders>
            <w:shd w:val="clear" w:color="auto" w:fill="FFFFFF"/>
          </w:tcPr>
          <w:p w14:paraId="73411418" w14:textId="77777777" w:rsidR="00230BC8" w:rsidRDefault="00952EEA">
            <w:pPr>
              <w:bidi w:val="0"/>
              <w:spacing w:after="200"/>
              <w:ind w:left="90"/>
              <w:jc w:val="both"/>
              <w:rPr>
                <w:sz w:val="22"/>
              </w:rPr>
            </w:pPr>
            <w:r>
              <w:t>83,600</w:t>
            </w:r>
          </w:p>
        </w:tc>
        <w:tc>
          <w:tcPr>
            <w:tcW w:w="1750" w:type="dxa"/>
            <w:tcBorders>
              <w:top w:val="single" w:sz="2" w:space="0" w:color="999999"/>
              <w:left w:val="single" w:sz="2" w:space="0" w:color="999999"/>
              <w:bottom w:val="single" w:sz="2" w:space="0" w:color="999999"/>
              <w:right w:val="single" w:sz="2" w:space="0" w:color="999999"/>
            </w:tcBorders>
            <w:shd w:val="clear" w:color="auto" w:fill="FFFFFF"/>
          </w:tcPr>
          <w:p w14:paraId="22ACDF19" w14:textId="77777777" w:rsidR="00230BC8" w:rsidRDefault="00952EEA">
            <w:pPr>
              <w:bidi w:val="0"/>
              <w:spacing w:after="200"/>
              <w:ind w:left="90"/>
              <w:jc w:val="both"/>
              <w:rPr>
                <w:sz w:val="22"/>
              </w:rPr>
            </w:pPr>
            <w:r>
              <w:t>9.4</w:t>
            </w:r>
          </w:p>
        </w:tc>
        <w:tc>
          <w:tcPr>
            <w:tcW w:w="1673" w:type="dxa"/>
            <w:tcBorders>
              <w:top w:val="single" w:sz="2" w:space="0" w:color="999999"/>
              <w:left w:val="single" w:sz="2" w:space="0" w:color="999999"/>
              <w:bottom w:val="single" w:sz="2" w:space="0" w:color="999999"/>
              <w:right w:val="single" w:sz="2" w:space="0" w:color="999999"/>
            </w:tcBorders>
            <w:shd w:val="clear" w:color="auto" w:fill="FFFFFF"/>
          </w:tcPr>
          <w:p w14:paraId="5CF777A8" w14:textId="77777777" w:rsidR="00230BC8" w:rsidRDefault="00952EEA">
            <w:pPr>
              <w:bidi w:val="0"/>
              <w:spacing w:after="200"/>
              <w:ind w:left="90"/>
              <w:jc w:val="both"/>
              <w:rPr>
                <w:sz w:val="22"/>
              </w:rPr>
            </w:pPr>
            <w:r>
              <w:t>190</w:t>
            </w:r>
          </w:p>
        </w:tc>
        <w:tc>
          <w:tcPr>
            <w:tcW w:w="1623" w:type="dxa"/>
            <w:tcBorders>
              <w:top w:val="single" w:sz="2" w:space="0" w:color="999999"/>
              <w:left w:val="single" w:sz="2" w:space="0" w:color="999999"/>
              <w:bottom w:val="single" w:sz="2" w:space="0" w:color="999999"/>
              <w:right w:val="single" w:sz="2" w:space="0" w:color="999999"/>
            </w:tcBorders>
            <w:shd w:val="clear" w:color="auto" w:fill="FFFFFF"/>
          </w:tcPr>
          <w:p w14:paraId="1CB63D01" w14:textId="77777777" w:rsidR="00230BC8" w:rsidRDefault="00952EEA">
            <w:pPr>
              <w:bidi w:val="0"/>
              <w:spacing w:after="200"/>
              <w:ind w:left="90"/>
              <w:jc w:val="both"/>
              <w:rPr>
                <w:sz w:val="22"/>
              </w:rPr>
            </w:pPr>
            <w:r>
              <w:t>Arid</w:t>
            </w:r>
          </w:p>
        </w:tc>
        <w:tc>
          <w:tcPr>
            <w:tcW w:w="2257" w:type="dxa"/>
            <w:tcBorders>
              <w:top w:val="single" w:sz="2" w:space="0" w:color="999999"/>
              <w:left w:val="single" w:sz="2" w:space="0" w:color="999999"/>
              <w:bottom w:val="single" w:sz="2" w:space="0" w:color="999999"/>
              <w:right w:val="single" w:sz="2" w:space="0" w:color="999999"/>
            </w:tcBorders>
            <w:shd w:val="clear" w:color="auto" w:fill="FFFFFF"/>
          </w:tcPr>
          <w:p w14:paraId="164F0218" w14:textId="77777777" w:rsidR="00230BC8" w:rsidRDefault="00952EEA">
            <w:pPr>
              <w:bidi w:val="0"/>
              <w:spacing w:after="200"/>
              <w:ind w:left="90"/>
              <w:jc w:val="both"/>
              <w:rPr>
                <w:sz w:val="22"/>
              </w:rPr>
            </w:pPr>
            <w:r>
              <w:t>40-48</w:t>
            </w:r>
          </w:p>
        </w:tc>
      </w:tr>
      <w:tr w:rsidR="00230BC8" w14:paraId="7AA53E90"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FFFFFF"/>
          </w:tcPr>
          <w:p w14:paraId="319F5FC7" w14:textId="77777777" w:rsidR="00230BC8" w:rsidRDefault="00952EEA">
            <w:pPr>
              <w:bidi w:val="0"/>
              <w:spacing w:after="200"/>
              <w:ind w:left="90"/>
              <w:jc w:val="both"/>
              <w:rPr>
                <w:sz w:val="22"/>
              </w:rPr>
            </w:pPr>
            <w:r>
              <w:rPr>
                <w:b/>
              </w:rPr>
              <w:t>Qatar</w:t>
            </w:r>
          </w:p>
        </w:tc>
        <w:tc>
          <w:tcPr>
            <w:tcW w:w="1271" w:type="dxa"/>
            <w:tcBorders>
              <w:top w:val="single" w:sz="2" w:space="0" w:color="999999"/>
              <w:left w:val="single" w:sz="2" w:space="0" w:color="999999"/>
              <w:bottom w:val="single" w:sz="2" w:space="0" w:color="999999"/>
              <w:right w:val="single" w:sz="2" w:space="0" w:color="999999"/>
            </w:tcBorders>
            <w:shd w:val="clear" w:color="auto" w:fill="FFFFFF"/>
          </w:tcPr>
          <w:p w14:paraId="4A2A1FD9" w14:textId="77777777" w:rsidR="00230BC8" w:rsidRDefault="00952EEA">
            <w:pPr>
              <w:bidi w:val="0"/>
              <w:spacing w:after="200"/>
              <w:ind w:left="90"/>
              <w:jc w:val="both"/>
              <w:rPr>
                <w:sz w:val="22"/>
              </w:rPr>
            </w:pPr>
            <w:r>
              <w:t>11,586</w:t>
            </w:r>
          </w:p>
        </w:tc>
        <w:tc>
          <w:tcPr>
            <w:tcW w:w="1750" w:type="dxa"/>
            <w:tcBorders>
              <w:top w:val="single" w:sz="2" w:space="0" w:color="999999"/>
              <w:left w:val="single" w:sz="2" w:space="0" w:color="999999"/>
              <w:bottom w:val="single" w:sz="2" w:space="0" w:color="999999"/>
              <w:right w:val="single" w:sz="2" w:space="0" w:color="999999"/>
            </w:tcBorders>
            <w:shd w:val="clear" w:color="auto" w:fill="FFFFFF"/>
          </w:tcPr>
          <w:p w14:paraId="4D149768" w14:textId="77777777" w:rsidR="00230BC8" w:rsidRDefault="00952EEA">
            <w:pPr>
              <w:bidi w:val="0"/>
              <w:spacing w:after="200"/>
              <w:ind w:left="90"/>
              <w:jc w:val="both"/>
              <w:rPr>
                <w:sz w:val="22"/>
              </w:rPr>
            </w:pPr>
            <w:r>
              <w:t>2.7</w:t>
            </w:r>
          </w:p>
        </w:tc>
        <w:tc>
          <w:tcPr>
            <w:tcW w:w="1673" w:type="dxa"/>
            <w:tcBorders>
              <w:top w:val="single" w:sz="2" w:space="0" w:color="999999"/>
              <w:left w:val="single" w:sz="2" w:space="0" w:color="999999"/>
              <w:bottom w:val="single" w:sz="2" w:space="0" w:color="999999"/>
              <w:right w:val="single" w:sz="2" w:space="0" w:color="999999"/>
            </w:tcBorders>
            <w:shd w:val="clear" w:color="auto" w:fill="FFFFFF"/>
          </w:tcPr>
          <w:p w14:paraId="2A0146E0" w14:textId="77777777" w:rsidR="00230BC8" w:rsidRDefault="00952EEA">
            <w:pPr>
              <w:bidi w:val="0"/>
              <w:spacing w:after="200"/>
              <w:ind w:left="90"/>
              <w:jc w:val="both"/>
              <w:rPr>
                <w:sz w:val="22"/>
              </w:rPr>
            </w:pPr>
            <w:r>
              <w:t>99</w:t>
            </w:r>
          </w:p>
        </w:tc>
        <w:tc>
          <w:tcPr>
            <w:tcW w:w="1623" w:type="dxa"/>
            <w:tcBorders>
              <w:top w:val="single" w:sz="2" w:space="0" w:color="999999"/>
              <w:left w:val="single" w:sz="2" w:space="0" w:color="999999"/>
              <w:bottom w:val="single" w:sz="2" w:space="0" w:color="999999"/>
              <w:right w:val="single" w:sz="2" w:space="0" w:color="999999"/>
            </w:tcBorders>
            <w:shd w:val="clear" w:color="auto" w:fill="FFFFFF"/>
          </w:tcPr>
          <w:p w14:paraId="0E08CDE7" w14:textId="77777777" w:rsidR="00230BC8" w:rsidRDefault="00952EEA">
            <w:pPr>
              <w:bidi w:val="0"/>
              <w:spacing w:after="200"/>
              <w:ind w:left="90"/>
              <w:jc w:val="both"/>
              <w:rPr>
                <w:sz w:val="22"/>
              </w:rPr>
            </w:pPr>
            <w:r>
              <w:t>Arid</w:t>
            </w:r>
          </w:p>
        </w:tc>
        <w:tc>
          <w:tcPr>
            <w:tcW w:w="2257" w:type="dxa"/>
            <w:tcBorders>
              <w:top w:val="single" w:sz="2" w:space="0" w:color="999999"/>
              <w:left w:val="single" w:sz="2" w:space="0" w:color="999999"/>
              <w:bottom w:val="single" w:sz="2" w:space="0" w:color="999999"/>
              <w:right w:val="single" w:sz="2" w:space="0" w:color="999999"/>
            </w:tcBorders>
            <w:shd w:val="clear" w:color="auto" w:fill="FFFFFF"/>
          </w:tcPr>
          <w:p w14:paraId="02CFD82F" w14:textId="77777777" w:rsidR="00230BC8" w:rsidRDefault="00952EEA">
            <w:pPr>
              <w:bidi w:val="0"/>
              <w:spacing w:after="200"/>
              <w:ind w:left="90"/>
              <w:jc w:val="both"/>
              <w:rPr>
                <w:sz w:val="22"/>
              </w:rPr>
            </w:pPr>
            <w:r>
              <w:t>40-46</w:t>
            </w:r>
          </w:p>
        </w:tc>
      </w:tr>
      <w:tr w:rsidR="00230BC8" w14:paraId="7302AD05"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FFFFFF"/>
          </w:tcPr>
          <w:p w14:paraId="305E230F" w14:textId="77777777" w:rsidR="00230BC8" w:rsidRDefault="00952EEA">
            <w:pPr>
              <w:bidi w:val="0"/>
              <w:spacing w:after="200"/>
              <w:ind w:left="90"/>
              <w:jc w:val="both"/>
              <w:rPr>
                <w:sz w:val="22"/>
              </w:rPr>
            </w:pPr>
            <w:r>
              <w:rPr>
                <w:b/>
              </w:rPr>
              <w:t>Kuwait</w:t>
            </w:r>
          </w:p>
        </w:tc>
        <w:tc>
          <w:tcPr>
            <w:tcW w:w="1271" w:type="dxa"/>
            <w:tcBorders>
              <w:top w:val="single" w:sz="2" w:space="0" w:color="999999"/>
              <w:left w:val="single" w:sz="2" w:space="0" w:color="999999"/>
              <w:bottom w:val="single" w:sz="2" w:space="0" w:color="999999"/>
              <w:right w:val="single" w:sz="2" w:space="0" w:color="999999"/>
            </w:tcBorders>
            <w:shd w:val="clear" w:color="auto" w:fill="FFFFFF"/>
          </w:tcPr>
          <w:p w14:paraId="2673D3E3" w14:textId="77777777" w:rsidR="00230BC8" w:rsidRDefault="00952EEA">
            <w:pPr>
              <w:bidi w:val="0"/>
              <w:spacing w:after="200"/>
              <w:ind w:left="90"/>
              <w:jc w:val="both"/>
              <w:rPr>
                <w:sz w:val="22"/>
              </w:rPr>
            </w:pPr>
            <w:r>
              <w:t>17,818</w:t>
            </w:r>
          </w:p>
        </w:tc>
        <w:tc>
          <w:tcPr>
            <w:tcW w:w="1750" w:type="dxa"/>
            <w:tcBorders>
              <w:top w:val="single" w:sz="2" w:space="0" w:color="999999"/>
              <w:left w:val="single" w:sz="2" w:space="0" w:color="999999"/>
              <w:bottom w:val="single" w:sz="2" w:space="0" w:color="999999"/>
              <w:right w:val="single" w:sz="2" w:space="0" w:color="999999"/>
            </w:tcBorders>
            <w:shd w:val="clear" w:color="auto" w:fill="FFFFFF"/>
          </w:tcPr>
          <w:p w14:paraId="44947259" w14:textId="77777777" w:rsidR="00230BC8" w:rsidRDefault="00952EEA">
            <w:pPr>
              <w:bidi w:val="0"/>
              <w:spacing w:after="200"/>
              <w:ind w:left="90"/>
              <w:jc w:val="both"/>
              <w:rPr>
                <w:sz w:val="22"/>
              </w:rPr>
            </w:pPr>
            <w:r>
              <w:t>4.3</w:t>
            </w:r>
          </w:p>
        </w:tc>
        <w:tc>
          <w:tcPr>
            <w:tcW w:w="1673" w:type="dxa"/>
            <w:tcBorders>
              <w:top w:val="single" w:sz="2" w:space="0" w:color="999999"/>
              <w:left w:val="single" w:sz="2" w:space="0" w:color="999999"/>
              <w:bottom w:val="single" w:sz="2" w:space="0" w:color="999999"/>
              <w:right w:val="single" w:sz="2" w:space="0" w:color="999999"/>
            </w:tcBorders>
            <w:shd w:val="clear" w:color="auto" w:fill="FFFFFF"/>
          </w:tcPr>
          <w:p w14:paraId="0DF393BB" w14:textId="77777777" w:rsidR="00230BC8" w:rsidRDefault="00952EEA">
            <w:pPr>
              <w:bidi w:val="0"/>
              <w:spacing w:after="200"/>
              <w:ind w:left="90"/>
              <w:jc w:val="both"/>
              <w:rPr>
                <w:sz w:val="22"/>
              </w:rPr>
            </w:pPr>
            <w:r>
              <w:t>95</w:t>
            </w:r>
          </w:p>
        </w:tc>
        <w:tc>
          <w:tcPr>
            <w:tcW w:w="1623" w:type="dxa"/>
            <w:tcBorders>
              <w:top w:val="single" w:sz="2" w:space="0" w:color="999999"/>
              <w:left w:val="single" w:sz="2" w:space="0" w:color="999999"/>
              <w:bottom w:val="single" w:sz="2" w:space="0" w:color="999999"/>
              <w:right w:val="single" w:sz="2" w:space="0" w:color="999999"/>
            </w:tcBorders>
            <w:shd w:val="clear" w:color="auto" w:fill="FFFFFF"/>
          </w:tcPr>
          <w:p w14:paraId="547726C7" w14:textId="77777777" w:rsidR="00230BC8" w:rsidRDefault="00952EEA">
            <w:pPr>
              <w:bidi w:val="0"/>
              <w:spacing w:after="200"/>
              <w:ind w:left="90"/>
              <w:jc w:val="both"/>
              <w:rPr>
                <w:sz w:val="22"/>
              </w:rPr>
            </w:pPr>
            <w:r>
              <w:t>Arid</w:t>
            </w:r>
          </w:p>
        </w:tc>
        <w:tc>
          <w:tcPr>
            <w:tcW w:w="2257" w:type="dxa"/>
            <w:tcBorders>
              <w:top w:val="single" w:sz="2" w:space="0" w:color="999999"/>
              <w:left w:val="single" w:sz="2" w:space="0" w:color="999999"/>
              <w:bottom w:val="single" w:sz="2" w:space="0" w:color="999999"/>
              <w:right w:val="single" w:sz="2" w:space="0" w:color="999999"/>
            </w:tcBorders>
            <w:shd w:val="clear" w:color="auto" w:fill="FFFFFF"/>
          </w:tcPr>
          <w:p w14:paraId="7A1782D2" w14:textId="77777777" w:rsidR="00230BC8" w:rsidRDefault="00952EEA">
            <w:pPr>
              <w:bidi w:val="0"/>
              <w:spacing w:after="200"/>
              <w:ind w:left="90"/>
              <w:jc w:val="both"/>
              <w:rPr>
                <w:sz w:val="22"/>
              </w:rPr>
            </w:pPr>
            <w:r>
              <w:t>42-50</w:t>
            </w:r>
          </w:p>
        </w:tc>
      </w:tr>
      <w:tr w:rsidR="00230BC8" w14:paraId="62552792"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FFFFFF"/>
          </w:tcPr>
          <w:p w14:paraId="48B48709" w14:textId="77777777" w:rsidR="00230BC8" w:rsidRDefault="00952EEA">
            <w:pPr>
              <w:bidi w:val="0"/>
              <w:spacing w:after="200"/>
              <w:ind w:left="90"/>
              <w:jc w:val="both"/>
              <w:rPr>
                <w:sz w:val="22"/>
              </w:rPr>
            </w:pPr>
            <w:r>
              <w:rPr>
                <w:b/>
              </w:rPr>
              <w:t>Oman</w:t>
            </w:r>
          </w:p>
        </w:tc>
        <w:tc>
          <w:tcPr>
            <w:tcW w:w="1271" w:type="dxa"/>
            <w:tcBorders>
              <w:top w:val="single" w:sz="2" w:space="0" w:color="999999"/>
              <w:left w:val="single" w:sz="2" w:space="0" w:color="999999"/>
              <w:bottom w:val="single" w:sz="2" w:space="0" w:color="999999"/>
              <w:right w:val="single" w:sz="2" w:space="0" w:color="999999"/>
            </w:tcBorders>
            <w:shd w:val="clear" w:color="auto" w:fill="FFFFFF"/>
          </w:tcPr>
          <w:p w14:paraId="50AD459A" w14:textId="77777777" w:rsidR="00230BC8" w:rsidRDefault="00952EEA">
            <w:pPr>
              <w:bidi w:val="0"/>
              <w:spacing w:after="200"/>
              <w:ind w:left="90"/>
              <w:jc w:val="both"/>
              <w:rPr>
                <w:sz w:val="22"/>
              </w:rPr>
            </w:pPr>
            <w:r>
              <w:t>309,500</w:t>
            </w:r>
          </w:p>
        </w:tc>
        <w:tc>
          <w:tcPr>
            <w:tcW w:w="1750" w:type="dxa"/>
            <w:tcBorders>
              <w:top w:val="single" w:sz="2" w:space="0" w:color="999999"/>
              <w:left w:val="single" w:sz="2" w:space="0" w:color="999999"/>
              <w:bottom w:val="single" w:sz="2" w:space="0" w:color="999999"/>
              <w:right w:val="single" w:sz="2" w:space="0" w:color="999999"/>
            </w:tcBorders>
            <w:shd w:val="clear" w:color="auto" w:fill="FFFFFF"/>
          </w:tcPr>
          <w:p w14:paraId="2253FCEA" w14:textId="77777777" w:rsidR="00230BC8" w:rsidRDefault="00952EEA">
            <w:pPr>
              <w:bidi w:val="0"/>
              <w:spacing w:after="200"/>
              <w:ind w:left="90"/>
              <w:jc w:val="both"/>
              <w:rPr>
                <w:sz w:val="22"/>
              </w:rPr>
            </w:pPr>
            <w:r>
              <w:t>4.5</w:t>
            </w:r>
          </w:p>
        </w:tc>
        <w:tc>
          <w:tcPr>
            <w:tcW w:w="1673" w:type="dxa"/>
            <w:tcBorders>
              <w:top w:val="single" w:sz="2" w:space="0" w:color="999999"/>
              <w:left w:val="single" w:sz="2" w:space="0" w:color="999999"/>
              <w:bottom w:val="single" w:sz="2" w:space="0" w:color="999999"/>
              <w:right w:val="single" w:sz="2" w:space="0" w:color="999999"/>
            </w:tcBorders>
            <w:shd w:val="clear" w:color="auto" w:fill="FFFFFF"/>
          </w:tcPr>
          <w:p w14:paraId="0B1A59EE" w14:textId="77777777" w:rsidR="00230BC8" w:rsidRDefault="00952EEA">
            <w:pPr>
              <w:bidi w:val="0"/>
              <w:spacing w:after="200"/>
              <w:ind w:left="90"/>
              <w:jc w:val="both"/>
              <w:rPr>
                <w:sz w:val="22"/>
              </w:rPr>
            </w:pPr>
            <w:r>
              <w:t>64</w:t>
            </w:r>
          </w:p>
        </w:tc>
        <w:tc>
          <w:tcPr>
            <w:tcW w:w="1623" w:type="dxa"/>
            <w:tcBorders>
              <w:top w:val="single" w:sz="2" w:space="0" w:color="999999"/>
              <w:left w:val="single" w:sz="2" w:space="0" w:color="999999"/>
              <w:bottom w:val="single" w:sz="2" w:space="0" w:color="999999"/>
              <w:right w:val="single" w:sz="2" w:space="0" w:color="999999"/>
            </w:tcBorders>
            <w:shd w:val="clear" w:color="auto" w:fill="FFFFFF"/>
          </w:tcPr>
          <w:p w14:paraId="0CF8A66D" w14:textId="77777777" w:rsidR="00230BC8" w:rsidRDefault="00952EEA">
            <w:pPr>
              <w:bidi w:val="0"/>
              <w:spacing w:after="200"/>
              <w:ind w:left="90"/>
              <w:jc w:val="both"/>
              <w:rPr>
                <w:sz w:val="22"/>
              </w:rPr>
            </w:pPr>
            <w:r>
              <w:t>Arid/Tropical</w:t>
            </w:r>
          </w:p>
        </w:tc>
        <w:tc>
          <w:tcPr>
            <w:tcW w:w="2257" w:type="dxa"/>
            <w:tcBorders>
              <w:top w:val="single" w:sz="2" w:space="0" w:color="999999"/>
              <w:left w:val="single" w:sz="2" w:space="0" w:color="999999"/>
              <w:bottom w:val="single" w:sz="2" w:space="0" w:color="999999"/>
              <w:right w:val="single" w:sz="2" w:space="0" w:color="999999"/>
            </w:tcBorders>
            <w:shd w:val="clear" w:color="auto" w:fill="FFFFFF"/>
          </w:tcPr>
          <w:p w14:paraId="3A156875" w14:textId="77777777" w:rsidR="00230BC8" w:rsidRDefault="00952EEA">
            <w:pPr>
              <w:bidi w:val="0"/>
              <w:spacing w:after="200"/>
              <w:ind w:left="90"/>
              <w:jc w:val="both"/>
              <w:rPr>
                <w:sz w:val="22"/>
              </w:rPr>
            </w:pPr>
            <w:r>
              <w:t>38-45</w:t>
            </w:r>
          </w:p>
        </w:tc>
      </w:tr>
      <w:tr w:rsidR="00230BC8" w14:paraId="1DBCB058"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FFFFFF"/>
          </w:tcPr>
          <w:p w14:paraId="77DBE86C" w14:textId="77777777" w:rsidR="00230BC8" w:rsidRDefault="00952EEA">
            <w:pPr>
              <w:bidi w:val="0"/>
              <w:spacing w:after="200"/>
              <w:ind w:left="90"/>
              <w:jc w:val="both"/>
              <w:rPr>
                <w:sz w:val="22"/>
              </w:rPr>
            </w:pPr>
            <w:r>
              <w:rPr>
                <w:b/>
              </w:rPr>
              <w:t>Bahrain</w:t>
            </w:r>
          </w:p>
        </w:tc>
        <w:tc>
          <w:tcPr>
            <w:tcW w:w="1271" w:type="dxa"/>
            <w:tcBorders>
              <w:top w:val="single" w:sz="2" w:space="0" w:color="999999"/>
              <w:left w:val="single" w:sz="2" w:space="0" w:color="999999"/>
              <w:bottom w:val="single" w:sz="2" w:space="0" w:color="999999"/>
              <w:right w:val="single" w:sz="2" w:space="0" w:color="999999"/>
            </w:tcBorders>
            <w:shd w:val="clear" w:color="auto" w:fill="FFFFFF"/>
          </w:tcPr>
          <w:p w14:paraId="4A707603" w14:textId="77777777" w:rsidR="00230BC8" w:rsidRDefault="00952EEA">
            <w:pPr>
              <w:bidi w:val="0"/>
              <w:spacing w:after="200"/>
              <w:ind w:left="90"/>
              <w:jc w:val="both"/>
              <w:rPr>
                <w:sz w:val="22"/>
              </w:rPr>
            </w:pPr>
            <w:r>
              <w:t>780</w:t>
            </w:r>
          </w:p>
        </w:tc>
        <w:tc>
          <w:tcPr>
            <w:tcW w:w="1750" w:type="dxa"/>
            <w:tcBorders>
              <w:top w:val="single" w:sz="2" w:space="0" w:color="999999"/>
              <w:left w:val="single" w:sz="2" w:space="0" w:color="999999"/>
              <w:bottom w:val="single" w:sz="2" w:space="0" w:color="999999"/>
              <w:right w:val="single" w:sz="2" w:space="0" w:color="999999"/>
            </w:tcBorders>
            <w:shd w:val="clear" w:color="auto" w:fill="FFFFFF"/>
          </w:tcPr>
          <w:p w14:paraId="576C37D1" w14:textId="77777777" w:rsidR="00230BC8" w:rsidRDefault="00952EEA">
            <w:pPr>
              <w:bidi w:val="0"/>
              <w:spacing w:after="200"/>
              <w:ind w:left="90"/>
              <w:jc w:val="both"/>
              <w:rPr>
                <w:sz w:val="22"/>
              </w:rPr>
            </w:pPr>
            <w:r>
              <w:t>1.5</w:t>
            </w:r>
          </w:p>
        </w:tc>
        <w:tc>
          <w:tcPr>
            <w:tcW w:w="1673" w:type="dxa"/>
            <w:tcBorders>
              <w:top w:val="single" w:sz="2" w:space="0" w:color="999999"/>
              <w:left w:val="single" w:sz="2" w:space="0" w:color="999999"/>
              <w:bottom w:val="single" w:sz="2" w:space="0" w:color="999999"/>
              <w:right w:val="single" w:sz="2" w:space="0" w:color="999999"/>
            </w:tcBorders>
            <w:shd w:val="clear" w:color="auto" w:fill="FFFFFF"/>
          </w:tcPr>
          <w:p w14:paraId="6DA627E3" w14:textId="77777777" w:rsidR="00230BC8" w:rsidRDefault="00952EEA">
            <w:pPr>
              <w:bidi w:val="0"/>
              <w:spacing w:after="200"/>
              <w:ind w:left="90"/>
              <w:jc w:val="both"/>
              <w:rPr>
                <w:sz w:val="22"/>
              </w:rPr>
            </w:pPr>
            <w:r>
              <w:t>38</w:t>
            </w:r>
          </w:p>
        </w:tc>
        <w:tc>
          <w:tcPr>
            <w:tcW w:w="1623" w:type="dxa"/>
            <w:tcBorders>
              <w:top w:val="single" w:sz="2" w:space="0" w:color="999999"/>
              <w:left w:val="single" w:sz="2" w:space="0" w:color="999999"/>
              <w:bottom w:val="single" w:sz="2" w:space="0" w:color="999999"/>
              <w:right w:val="single" w:sz="2" w:space="0" w:color="999999"/>
            </w:tcBorders>
            <w:shd w:val="clear" w:color="auto" w:fill="FFFFFF"/>
          </w:tcPr>
          <w:p w14:paraId="1A551CF0" w14:textId="77777777" w:rsidR="00230BC8" w:rsidRDefault="00952EEA">
            <w:pPr>
              <w:bidi w:val="0"/>
              <w:spacing w:after="200"/>
              <w:ind w:left="90"/>
              <w:jc w:val="both"/>
              <w:rPr>
                <w:sz w:val="22"/>
              </w:rPr>
            </w:pPr>
            <w:r>
              <w:t>Arid</w:t>
            </w:r>
          </w:p>
        </w:tc>
        <w:tc>
          <w:tcPr>
            <w:tcW w:w="2257" w:type="dxa"/>
            <w:tcBorders>
              <w:top w:val="single" w:sz="2" w:space="0" w:color="999999"/>
              <w:left w:val="single" w:sz="2" w:space="0" w:color="999999"/>
              <w:bottom w:val="single" w:sz="2" w:space="0" w:color="999999"/>
              <w:right w:val="single" w:sz="2" w:space="0" w:color="999999"/>
            </w:tcBorders>
            <w:shd w:val="clear" w:color="auto" w:fill="FFFFFF"/>
          </w:tcPr>
          <w:p w14:paraId="4E43E533" w14:textId="77777777" w:rsidR="00230BC8" w:rsidRDefault="00952EEA">
            <w:pPr>
              <w:bidi w:val="0"/>
              <w:spacing w:after="200"/>
              <w:ind w:left="90"/>
              <w:jc w:val="both"/>
              <w:rPr>
                <w:sz w:val="22"/>
              </w:rPr>
            </w:pPr>
            <w:r>
              <w:t>38-42</w:t>
            </w:r>
          </w:p>
        </w:tc>
      </w:tr>
      <w:tr w:rsidR="00230BC8" w14:paraId="7B22DCA2" w14:textId="77777777">
        <w:trPr>
          <w:trHeight w:val="23"/>
          <w:jc w:val="center"/>
        </w:trPr>
        <w:tc>
          <w:tcPr>
            <w:tcW w:w="1530" w:type="dxa"/>
            <w:tcBorders>
              <w:top w:val="single" w:sz="2" w:space="0" w:color="999999"/>
              <w:left w:val="single" w:sz="2" w:space="0" w:color="999999"/>
              <w:bottom w:val="single" w:sz="2" w:space="0" w:color="999999"/>
              <w:right w:val="single" w:sz="2" w:space="0" w:color="999999"/>
            </w:tcBorders>
            <w:shd w:val="clear" w:color="auto" w:fill="E8F5E9"/>
          </w:tcPr>
          <w:p w14:paraId="6AC5D923" w14:textId="77777777" w:rsidR="00230BC8" w:rsidRDefault="00952EEA">
            <w:pPr>
              <w:bidi w:val="0"/>
              <w:spacing w:after="200"/>
              <w:ind w:left="90"/>
              <w:jc w:val="both"/>
              <w:rPr>
                <w:sz w:val="22"/>
              </w:rPr>
            </w:pPr>
            <w:r>
              <w:rPr>
                <w:b/>
              </w:rPr>
              <w:t>GCC Total</w:t>
            </w:r>
          </w:p>
        </w:tc>
        <w:tc>
          <w:tcPr>
            <w:tcW w:w="1271" w:type="dxa"/>
            <w:tcBorders>
              <w:top w:val="single" w:sz="2" w:space="0" w:color="999999"/>
              <w:left w:val="single" w:sz="2" w:space="0" w:color="999999"/>
              <w:bottom w:val="single" w:sz="2" w:space="0" w:color="999999"/>
              <w:right w:val="single" w:sz="2" w:space="0" w:color="999999"/>
            </w:tcBorders>
            <w:shd w:val="clear" w:color="auto" w:fill="E8F5E9"/>
          </w:tcPr>
          <w:p w14:paraId="43280442" w14:textId="77777777" w:rsidR="00230BC8" w:rsidRDefault="00952EEA">
            <w:pPr>
              <w:bidi w:val="0"/>
              <w:spacing w:after="200"/>
              <w:ind w:left="90"/>
              <w:jc w:val="both"/>
              <w:rPr>
                <w:sz w:val="22"/>
              </w:rPr>
            </w:pPr>
            <w:r>
              <w:t>2,572,974</w:t>
            </w:r>
          </w:p>
        </w:tc>
        <w:tc>
          <w:tcPr>
            <w:tcW w:w="1750" w:type="dxa"/>
            <w:tcBorders>
              <w:top w:val="single" w:sz="2" w:space="0" w:color="999999"/>
              <w:left w:val="single" w:sz="2" w:space="0" w:color="999999"/>
              <w:bottom w:val="single" w:sz="2" w:space="0" w:color="999999"/>
              <w:right w:val="single" w:sz="2" w:space="0" w:color="999999"/>
            </w:tcBorders>
            <w:shd w:val="clear" w:color="auto" w:fill="E8F5E9"/>
          </w:tcPr>
          <w:p w14:paraId="71382B38" w14:textId="77777777" w:rsidR="00230BC8" w:rsidRDefault="00952EEA">
            <w:pPr>
              <w:bidi w:val="0"/>
              <w:spacing w:after="200"/>
              <w:ind w:left="90"/>
              <w:jc w:val="both"/>
              <w:rPr>
                <w:sz w:val="22"/>
              </w:rPr>
            </w:pPr>
            <w:r>
              <w:t>58.8</w:t>
            </w:r>
          </w:p>
        </w:tc>
        <w:tc>
          <w:tcPr>
            <w:tcW w:w="1673" w:type="dxa"/>
            <w:tcBorders>
              <w:top w:val="single" w:sz="2" w:space="0" w:color="999999"/>
              <w:left w:val="single" w:sz="2" w:space="0" w:color="999999"/>
              <w:bottom w:val="single" w:sz="2" w:space="0" w:color="999999"/>
              <w:right w:val="single" w:sz="2" w:space="0" w:color="999999"/>
            </w:tcBorders>
            <w:shd w:val="clear" w:color="auto" w:fill="E8F5E9"/>
          </w:tcPr>
          <w:p w14:paraId="12DEFBFB" w14:textId="77777777" w:rsidR="00230BC8" w:rsidRDefault="00952EEA">
            <w:pPr>
              <w:bidi w:val="0"/>
              <w:spacing w:after="200"/>
              <w:ind w:left="90"/>
              <w:jc w:val="both"/>
              <w:rPr>
                <w:sz w:val="22"/>
              </w:rPr>
            </w:pPr>
            <w:r>
              <w:t>1,158</w:t>
            </w:r>
          </w:p>
        </w:tc>
        <w:tc>
          <w:tcPr>
            <w:tcW w:w="1623" w:type="dxa"/>
            <w:tcBorders>
              <w:top w:val="single" w:sz="2" w:space="0" w:color="999999"/>
              <w:left w:val="single" w:sz="2" w:space="0" w:color="999999"/>
              <w:bottom w:val="single" w:sz="2" w:space="0" w:color="999999"/>
              <w:right w:val="single" w:sz="2" w:space="0" w:color="999999"/>
            </w:tcBorders>
            <w:shd w:val="clear" w:color="auto" w:fill="E8F5E9"/>
          </w:tcPr>
          <w:p w14:paraId="0F7590BF" w14:textId="77777777" w:rsidR="00230BC8" w:rsidRDefault="00952EEA">
            <w:pPr>
              <w:bidi w:val="0"/>
              <w:spacing w:after="200"/>
              <w:ind w:left="90"/>
              <w:jc w:val="both"/>
              <w:rPr>
                <w:sz w:val="22"/>
              </w:rPr>
            </w:pPr>
            <w:r>
              <w:t>-</w:t>
            </w:r>
          </w:p>
        </w:tc>
        <w:tc>
          <w:tcPr>
            <w:tcW w:w="2257" w:type="dxa"/>
            <w:tcBorders>
              <w:top w:val="single" w:sz="2" w:space="0" w:color="999999"/>
              <w:left w:val="single" w:sz="2" w:space="0" w:color="999999"/>
              <w:bottom w:val="single" w:sz="2" w:space="0" w:color="999999"/>
              <w:right w:val="single" w:sz="2" w:space="0" w:color="999999"/>
            </w:tcBorders>
            <w:shd w:val="clear" w:color="auto" w:fill="E8F5E9"/>
          </w:tcPr>
          <w:p w14:paraId="2C3EAA95" w14:textId="77777777" w:rsidR="00230BC8" w:rsidRDefault="00952EEA">
            <w:pPr>
              <w:bidi w:val="0"/>
              <w:spacing w:after="200"/>
              <w:ind w:left="90"/>
              <w:jc w:val="both"/>
              <w:rPr>
                <w:sz w:val="22"/>
              </w:rPr>
            </w:pPr>
            <w:r>
              <w:t>-</w:t>
            </w:r>
          </w:p>
        </w:tc>
      </w:tr>
    </w:tbl>
    <w:p w14:paraId="03773023" w14:textId="77777777" w:rsidR="00230BC8" w:rsidRDefault="00230BC8">
      <w:pPr>
        <w:bidi w:val="0"/>
        <w:spacing w:after="200"/>
        <w:ind w:left="90"/>
        <w:jc w:val="center"/>
      </w:pPr>
    </w:p>
    <w:p w14:paraId="0E7E56CE" w14:textId="5F38EF5A" w:rsidR="00230BC8" w:rsidRDefault="00424400">
      <w:pPr>
        <w:bidi w:val="0"/>
        <w:spacing w:after="200"/>
        <w:ind w:left="90"/>
        <w:jc w:val="center"/>
      </w:pPr>
      <w:r>
        <w:rPr>
          <w:noProof/>
          <w:color w:val="0066CC"/>
          <w:szCs w:val="18"/>
          <w:lang w:eastAsia="en-US"/>
        </w:rPr>
        <w:drawing>
          <wp:inline distT="0" distB="0" distL="0" distR="0" wp14:anchorId="4F757921" wp14:editId="6027501A">
            <wp:extent cx="5772150" cy="3048000"/>
            <wp:effectExtent l="0" t="0" r="0" b="0"/>
            <wp:docPr id="5"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pic:cNvPicPr>
                      <a:picLocks noChangeAspect="1" noChangeArrowheads="1"/>
                    </pic:cNvPicPr>
                  </pic:nvPicPr>
                  <pic:blipFill>
                    <a:blip r:embed="rId13">
                      <a:extLst>
                        <a:ext uri="{28A0092B-C50C-407E-A947-70E740481C1C}">
                          <a14:useLocalDpi xmlns:a14="http://schemas.microsoft.com/office/drawing/2010/main" val="0"/>
                        </a:ext>
                      </a:extLst>
                    </a:blip>
                    <a:srcRect l="-6" t="-11" r="-6" b="-11"/>
                    <a:stretch>
                      <a:fillRect/>
                    </a:stretch>
                  </pic:blipFill>
                  <pic:spPr bwMode="auto">
                    <a:xfrm>
                      <a:off x="0" y="0"/>
                      <a:ext cx="5772150" cy="3048000"/>
                    </a:xfrm>
                    <a:prstGeom prst="rect">
                      <a:avLst/>
                    </a:prstGeom>
                    <a:noFill/>
                    <a:ln>
                      <a:noFill/>
                    </a:ln>
                  </pic:spPr>
                </pic:pic>
              </a:graphicData>
            </a:graphic>
          </wp:inline>
        </w:drawing>
      </w:r>
    </w:p>
    <w:p w14:paraId="1FD4D722" w14:textId="77777777" w:rsidR="00230BC8" w:rsidRDefault="00952EEA">
      <w:pPr>
        <w:bidi w:val="0"/>
        <w:spacing w:after="200"/>
        <w:ind w:left="90"/>
        <w:jc w:val="center"/>
      </w:pPr>
      <w:r>
        <w:rPr>
          <w:sz w:val="20"/>
        </w:rPr>
        <w:t>Figure 4: GCC CO₂ emissions distribution by country</w:t>
      </w:r>
    </w:p>
    <w:p w14:paraId="434DF2F7" w14:textId="77777777" w:rsidR="00230BC8" w:rsidRDefault="00952EEA">
      <w:pPr>
        <w:pStyle w:val="Heading21"/>
        <w:keepNext/>
        <w:keepLines/>
        <w:spacing w:before="200" w:after="0"/>
        <w:ind w:left="90"/>
        <w:rPr>
          <w:rFonts w:eastAsia="Calibri"/>
        </w:rPr>
      </w:pPr>
      <w:r>
        <w:rPr>
          <w:sz w:val="24"/>
        </w:rPr>
        <w:t>7.2 Feature Engineering and Preprocessing</w:t>
      </w:r>
    </w:p>
    <w:p w14:paraId="206ECFBD" w14:textId="77777777" w:rsidR="00230BC8" w:rsidRDefault="00952EEA">
      <w:pPr>
        <w:bidi w:val="0"/>
        <w:spacing w:after="200"/>
        <w:ind w:left="90"/>
      </w:pPr>
      <w:r>
        <w:t>Feature engineering in this study had two main objectives. First, to align satellite and economic indicators with the physical processes that drive CO₂ emissions in the GCC (in particular, cooling demand and urban energy use). Second, to stabilize the statistical properties of the variables (for example, through transformations and scaling) to improve model training and reduce overfitting risk.</w:t>
      </w:r>
    </w:p>
    <w:p w14:paraId="56244F9D" w14:textId="77777777" w:rsidR="00230BC8" w:rsidRDefault="00952EEA">
      <w:pPr>
        <w:bidi w:val="0"/>
        <w:spacing w:after="200"/>
        <w:ind w:left="90"/>
      </w:pPr>
      <w:r>
        <w:t>All features were constructed at the annual country–year level for the period 2000–2023, yielding a balanced panel of 144 observations (six countries × 24 years). Economic and satellite variables were merged on a common (country, year) key to ensure consistent alignment across data sources.</w:t>
      </w:r>
    </w:p>
    <w:p w14:paraId="4A0F1E97" w14:textId="77777777" w:rsidR="00230BC8" w:rsidRDefault="00952EEA">
      <w:pPr>
        <w:pStyle w:val="Heading31"/>
        <w:keepNext/>
        <w:keepLines/>
        <w:spacing w:before="200" w:after="0"/>
        <w:ind w:left="90"/>
      </w:pPr>
      <w:r>
        <w:rPr>
          <w:bCs/>
        </w:rPr>
        <w:lastRenderedPageBreak/>
        <w:t>7.2.1 Data Quality and Temporal Alignment</w:t>
      </w:r>
    </w:p>
    <w:p w14:paraId="4115578E" w14:textId="5591D8C5" w:rsidR="00230BC8" w:rsidRDefault="00952EEA">
      <w:pPr>
        <w:bidi w:val="0"/>
        <w:spacing w:after="200"/>
        <w:ind w:left="90"/>
      </w:pPr>
      <w:r>
        <w:t xml:space="preserve">Data quality was ensured through multiple validation steps. Economic indicators (GDP, energy consumption, emissions) were cross-referenced between OWID and World Bank sources to verify consistency. Satellite data underwent automated quality control using product-specific QA bands: MODIS LST used the LST_QC layer to filter cloud-contaminated pixels, VIIRS night-time lights excluded low-quality observations, and </w:t>
      </w:r>
      <w:r w:rsidR="000559AC" w:rsidRPr="000559AC">
        <w:t xml:space="preserve">Sentinel-5P NO₂ data retained only measurements with </w:t>
      </w:r>
      <w:proofErr w:type="spellStart"/>
      <w:r w:rsidR="000559AC" w:rsidRPr="000559AC">
        <w:t>qa_value</w:t>
      </w:r>
      <w:proofErr w:type="spellEnd"/>
      <w:r w:rsidR="000559AC" w:rsidRPr="000559AC">
        <w:t xml:space="preserve"> &gt; 0.5</w:t>
      </w:r>
      <w:r>
        <w:t>. Temporal alignment was maintained by standardizing all datasets to annual resolution (2000–2023) with December 31 as the reference date, ensuring that satellite aggregates and economic indicators corresponded to the same calendar year for each country.</w:t>
      </w:r>
    </w:p>
    <w:p w14:paraId="6ACCAE1D" w14:textId="77777777" w:rsidR="00230BC8" w:rsidRDefault="00952EEA">
      <w:pPr>
        <w:pStyle w:val="Heading31"/>
        <w:keepNext/>
        <w:keepLines/>
        <w:spacing w:before="200" w:after="0"/>
        <w:ind w:left="90"/>
        <w:rPr>
          <w:bCs/>
        </w:rPr>
      </w:pPr>
      <w:r>
        <w:rPr>
          <w:bCs/>
        </w:rPr>
        <w:t>7.2.2 Missing Data Handling</w:t>
      </w:r>
    </w:p>
    <w:p w14:paraId="49406BF8" w14:textId="5FCE5F61" w:rsidR="00230BC8" w:rsidRDefault="00CE2AA2">
      <w:pPr>
        <w:bidi w:val="0"/>
        <w:spacing w:after="200"/>
        <w:ind w:left="90"/>
      </w:pPr>
      <w:r w:rsidRPr="00CE2AA2">
        <w:t>The dataset exhibited high completeness with minimal missing values.</w:t>
      </w:r>
      <w:r>
        <w:t xml:space="preserve"> Economic data from OWID and World Bank were nearly complete for all GCC countries over 2000–2023. Satellite observations had occasional gaps due to cloud cover (LST) or sensor outages (Sentinel-5P began in 2018, leaving 2000–2017 unavailable). For LST and NDVI, temporal gaps within a season were addressed by computing seasonal means only from available clear-sky observations, which is standard practice for MODIS products. For NO₂, the 2018–2023 period was used for model training and evaluation, accepting the reduced temporal span as a trade-off for access to high-resolution tropospheric composition data. No interpolation or forward-filling was applied to avoid introducing artificial patterns.</w:t>
      </w:r>
    </w:p>
    <w:p w14:paraId="477AF66A" w14:textId="77777777" w:rsidR="00230BC8" w:rsidRDefault="00952EEA">
      <w:pPr>
        <w:pStyle w:val="Heading31"/>
        <w:keepNext/>
        <w:keepLines/>
        <w:spacing w:before="200" w:after="0"/>
        <w:ind w:left="90"/>
        <w:rPr>
          <w:bCs/>
        </w:rPr>
      </w:pPr>
      <w:r>
        <w:rPr>
          <w:bCs/>
        </w:rPr>
        <w:t>7.2.3 Seasonal Disaggregation of Temperature</w:t>
      </w:r>
    </w:p>
    <w:p w14:paraId="534C1ADF" w14:textId="77777777" w:rsidR="00230BC8" w:rsidRDefault="00952EEA">
      <w:pPr>
        <w:bidi w:val="0"/>
        <w:spacing w:after="200"/>
        <w:ind w:left="90"/>
      </w:pPr>
      <w:r>
        <w:t>To match the strong seasonality of electricity demand in the GCC, land surface temperature (LST) was disaggregated into summer and winter indicators. Night-time lights and aerosol optical depth were aggregated annually, while vegetation indices were summarized for the main growing season.</w:t>
      </w:r>
    </w:p>
    <w:p w14:paraId="29AFB91A" w14:textId="77777777" w:rsidR="00230BC8" w:rsidRDefault="00952EEA">
      <w:pPr>
        <w:bidi w:val="0"/>
        <w:spacing w:after="200"/>
        <w:ind w:left="90"/>
      </w:pPr>
      <w:r>
        <w:t>Initial experiments using a single annual mean LST variable showed only moderate correlation with national CO₂ emissions. This is consistent with the GCC context, where emissions from electricity generation are dominated by summer cooling demand rather than by average annual thermal conditions. To better capture this mechanism, LST was split into separate seasonal indicators.</w:t>
      </w:r>
    </w:p>
    <w:p w14:paraId="555CD6FD" w14:textId="77777777" w:rsidR="00230BC8" w:rsidRDefault="00952EEA">
      <w:pPr>
        <w:bidi w:val="0"/>
        <w:spacing w:after="200"/>
        <w:ind w:left="90"/>
      </w:pPr>
      <w:r>
        <w:t>Using the MODIS MOD11A2 product, daily LST observations were first converted from Kelvin to degrees Celsius using the product's scale factor (0.02) and an offset of 273.15 K. Quality-control flags in the LST_QC band were used to mask cloud-contaminated and low-accuracy pixels before aggregation.</w:t>
      </w:r>
    </w:p>
    <w:p w14:paraId="65B078C1" w14:textId="77777777" w:rsidR="00230BC8" w:rsidRDefault="00952EEA">
      <w:pPr>
        <w:bidi w:val="0"/>
        <w:spacing w:after="200"/>
        <w:ind w:left="90"/>
      </w:pPr>
      <w:r>
        <w:t>For each country and year, two seasonal aggregates were computed:</w:t>
      </w:r>
    </w:p>
    <w:p w14:paraId="3E1583F1" w14:textId="77777777" w:rsidR="00230BC8" w:rsidRDefault="00952EEA">
      <w:pPr>
        <w:bidi w:val="0"/>
        <w:spacing w:after="200"/>
        <w:ind w:left="90"/>
      </w:pPr>
      <w:proofErr w:type="spellStart"/>
      <w:r>
        <w:t>LST_Summer_C</w:t>
      </w:r>
      <w:proofErr w:type="spellEnd"/>
      <w:r>
        <w:t>: mean daytime LST over June–August (JJA).</w:t>
      </w:r>
    </w:p>
    <w:p w14:paraId="5A7389BE" w14:textId="77777777" w:rsidR="00230BC8" w:rsidRDefault="00952EEA">
      <w:pPr>
        <w:bidi w:val="0"/>
        <w:spacing w:after="200"/>
        <w:ind w:left="90"/>
      </w:pPr>
      <w:proofErr w:type="spellStart"/>
      <w:r>
        <w:t>LST_Winter_C</w:t>
      </w:r>
      <w:proofErr w:type="spellEnd"/>
      <w:r>
        <w:t>: mean daytime LST over December–February (DJF).</w:t>
      </w:r>
    </w:p>
    <w:p w14:paraId="1D782C05" w14:textId="77777777" w:rsidR="00230BC8" w:rsidRDefault="00952EEA">
      <w:pPr>
        <w:bidi w:val="0"/>
        <w:spacing w:after="200"/>
        <w:ind w:left="90"/>
      </w:pPr>
      <w:r>
        <w:t>The resulting seasonal indicators capture both the intensity of summer heat (linked to air-conditioning load and thus power-sector emissions) and the milder winter conditions that define the lower bound of cooling-related electricity demand.</w:t>
      </w:r>
    </w:p>
    <w:p w14:paraId="263D882C" w14:textId="77777777" w:rsidR="00230BC8" w:rsidRDefault="00230BC8">
      <w:pPr>
        <w:bidi w:val="0"/>
        <w:spacing w:after="200"/>
        <w:ind w:left="90"/>
      </w:pPr>
    </w:p>
    <w:p w14:paraId="219DB6FC" w14:textId="77777777" w:rsidR="00230BC8" w:rsidRDefault="00230BC8">
      <w:pPr>
        <w:bidi w:val="0"/>
        <w:spacing w:after="200"/>
        <w:ind w:left="90"/>
      </w:pPr>
    </w:p>
    <w:p w14:paraId="3A81A176" w14:textId="77777777" w:rsidR="00230BC8" w:rsidRDefault="00230BC8">
      <w:pPr>
        <w:bidi w:val="0"/>
        <w:spacing w:after="200"/>
        <w:ind w:left="90"/>
      </w:pPr>
    </w:p>
    <w:p w14:paraId="36FECC06" w14:textId="77777777" w:rsidR="00230BC8" w:rsidRDefault="00230BC8">
      <w:pPr>
        <w:bidi w:val="0"/>
        <w:spacing w:after="200"/>
        <w:ind w:left="90"/>
      </w:pPr>
    </w:p>
    <w:p w14:paraId="67E5DFD7" w14:textId="35C0546C" w:rsidR="00230BC8" w:rsidRDefault="00424400">
      <w:pPr>
        <w:bidi w:val="0"/>
        <w:spacing w:after="200"/>
        <w:ind w:left="90"/>
        <w:rPr>
          <w:i/>
          <w:iCs/>
        </w:rPr>
      </w:pPr>
      <w:r>
        <w:rPr>
          <w:noProof/>
          <w:lang w:eastAsia="en-US"/>
        </w:rPr>
        <w:drawing>
          <wp:inline distT="0" distB="0" distL="0" distR="0" wp14:anchorId="401DD5A6" wp14:editId="6D141040">
            <wp:extent cx="6419850" cy="4381500"/>
            <wp:effectExtent l="0" t="0" r="0" b="0"/>
            <wp:docPr id="6"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
                    <pic:cNvPicPr>
                      <a:picLocks noChangeAspect="1" noChangeArrowheads="1"/>
                    </pic:cNvPicPr>
                  </pic:nvPicPr>
                  <pic:blipFill>
                    <a:blip r:embed="rId14">
                      <a:extLst>
                        <a:ext uri="{28A0092B-C50C-407E-A947-70E740481C1C}">
                          <a14:useLocalDpi xmlns:a14="http://schemas.microsoft.com/office/drawing/2010/main" val="0"/>
                        </a:ext>
                      </a:extLst>
                    </a:blip>
                    <a:srcRect l="-5" t="-8" r="-5" b="-8"/>
                    <a:stretch>
                      <a:fillRect/>
                    </a:stretch>
                  </pic:blipFill>
                  <pic:spPr bwMode="auto">
                    <a:xfrm>
                      <a:off x="0" y="0"/>
                      <a:ext cx="6419850" cy="4381500"/>
                    </a:xfrm>
                    <a:prstGeom prst="rect">
                      <a:avLst/>
                    </a:prstGeom>
                    <a:noFill/>
                    <a:ln>
                      <a:noFill/>
                    </a:ln>
                  </pic:spPr>
                </pic:pic>
              </a:graphicData>
            </a:graphic>
          </wp:inline>
        </w:drawing>
      </w:r>
    </w:p>
    <w:p w14:paraId="78C916E4" w14:textId="77777777" w:rsidR="00230BC8" w:rsidRDefault="00952EEA">
      <w:pPr>
        <w:bidi w:val="0"/>
        <w:spacing w:after="200"/>
        <w:ind w:left="90"/>
        <w:jc w:val="center"/>
      </w:pPr>
      <w:r>
        <w:rPr>
          <w:i/>
          <w:iCs/>
          <w:sz w:val="20"/>
        </w:rPr>
        <w:t>Figure 5: Satellite data processing pipeline</w:t>
      </w:r>
    </w:p>
    <w:p w14:paraId="55801639" w14:textId="58957A46" w:rsidR="00230BC8" w:rsidRDefault="00424400">
      <w:pPr>
        <w:bidi w:val="0"/>
        <w:spacing w:after="200"/>
        <w:ind w:left="90"/>
        <w:jc w:val="center"/>
        <w:rPr>
          <w:i/>
          <w:iCs/>
        </w:rPr>
      </w:pPr>
      <w:r>
        <w:rPr>
          <w:noProof/>
          <w:lang w:eastAsia="en-US"/>
        </w:rPr>
        <w:drawing>
          <wp:inline distT="0" distB="0" distL="0" distR="0" wp14:anchorId="722F7EBF" wp14:editId="423078C2">
            <wp:extent cx="6276975" cy="332422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l="-6" t="-11" r="-6" b="-11"/>
                    <a:stretch>
                      <a:fillRect/>
                    </a:stretch>
                  </pic:blipFill>
                  <pic:spPr bwMode="auto">
                    <a:xfrm>
                      <a:off x="0" y="0"/>
                      <a:ext cx="6276975" cy="3324225"/>
                    </a:xfrm>
                    <a:prstGeom prst="rect">
                      <a:avLst/>
                    </a:prstGeom>
                    <a:noFill/>
                    <a:ln>
                      <a:noFill/>
                    </a:ln>
                  </pic:spPr>
                </pic:pic>
              </a:graphicData>
            </a:graphic>
          </wp:inline>
        </w:drawing>
      </w:r>
    </w:p>
    <w:p w14:paraId="2DE16A0A" w14:textId="77777777" w:rsidR="00230BC8" w:rsidRDefault="00952EEA">
      <w:pPr>
        <w:bidi w:val="0"/>
        <w:spacing w:after="200"/>
        <w:ind w:left="90"/>
        <w:jc w:val="center"/>
      </w:pPr>
      <w:r>
        <w:rPr>
          <w:i/>
          <w:iCs/>
          <w:sz w:val="20"/>
        </w:rPr>
        <w:t>Figure 6: Seasonal land surface temperature pattern</w:t>
      </w:r>
    </w:p>
    <w:p w14:paraId="63C4DC9C" w14:textId="77777777" w:rsidR="00230BC8" w:rsidRDefault="00952EEA">
      <w:pPr>
        <w:pStyle w:val="Heading31"/>
        <w:keepNext/>
        <w:keepLines/>
        <w:spacing w:before="200" w:after="0"/>
        <w:ind w:left="90"/>
        <w:rPr>
          <w:bCs/>
        </w:rPr>
      </w:pPr>
      <w:r>
        <w:rPr>
          <w:bCs/>
        </w:rPr>
        <w:lastRenderedPageBreak/>
        <w:t>7.2.4 Population Density Transformation</w:t>
      </w:r>
    </w:p>
    <w:p w14:paraId="125037E6" w14:textId="77777777" w:rsidR="00230BC8" w:rsidRDefault="00952EEA">
      <w:pPr>
        <w:bidi w:val="0"/>
        <w:spacing w:after="200"/>
        <w:ind w:left="90"/>
      </w:pPr>
      <w:r>
        <w:t>Population is a key driver of national energy use and emissions; however, raw population counts and densities tend to be highly skewed across GCC countries. Directly using these variables can bias tree-based models toward countries with the largest absolute values and reduce the interpretability of feature-importance scores.</w:t>
      </w:r>
    </w:p>
    <w:p w14:paraId="2A7D2342" w14:textId="77777777" w:rsidR="00230BC8" w:rsidRDefault="00952EEA">
      <w:pPr>
        <w:bidi w:val="0"/>
        <w:spacing w:after="200"/>
        <w:ind w:left="90"/>
      </w:pPr>
      <w:r>
        <w:t xml:space="preserve">To address this, population density was derived as the ratio between population and land area (km²), using country areas reported in Table (1). Both population and population density were then log-transformed to obtain </w:t>
      </w:r>
      <w:proofErr w:type="spellStart"/>
      <w:r>
        <w:t>log_population</w:t>
      </w:r>
      <w:proofErr w:type="spellEnd"/>
      <w:r>
        <w:t xml:space="preserve"> and </w:t>
      </w:r>
      <w:proofErr w:type="spellStart"/>
      <w:r>
        <w:t>log_population_density</w:t>
      </w:r>
      <w:proofErr w:type="spellEnd"/>
      <w:r>
        <w:t>. The log transformation compresses extreme values and approximates multiplicative relationships (for example, emissions scaling proportionally with population) by additive ones, which are easier for gradient-boosted trees to model.</w:t>
      </w:r>
    </w:p>
    <w:p w14:paraId="1DBE775E" w14:textId="77777777" w:rsidR="00230BC8" w:rsidRDefault="00230BC8">
      <w:pPr>
        <w:bidi w:val="0"/>
        <w:spacing w:after="200"/>
        <w:ind w:left="90"/>
      </w:pPr>
    </w:p>
    <w:p w14:paraId="2EF60334" w14:textId="77777777" w:rsidR="00230BC8" w:rsidRDefault="00952EEA">
      <w:pPr>
        <w:pStyle w:val="Heading31"/>
        <w:keepNext/>
        <w:keepLines/>
        <w:spacing w:before="200" w:after="0"/>
        <w:ind w:left="90"/>
        <w:rPr>
          <w:bCs/>
        </w:rPr>
      </w:pPr>
      <w:r>
        <w:rPr>
          <w:bCs/>
        </w:rPr>
        <w:t>7.2.5 Final Feature Set</w:t>
      </w:r>
    </w:p>
    <w:p w14:paraId="2EE5A241" w14:textId="77777777" w:rsidR="00230BC8" w:rsidRDefault="00952EEA">
      <w:pPr>
        <w:bidi w:val="0"/>
        <w:spacing w:after="200"/>
        <w:ind w:left="90"/>
      </w:pPr>
      <w:r>
        <w:t>After transformation, all continuous economic and satellite variables were standardized (zero mean, unit variance) for diagnostic plots and correlation analysis; XGBoost itself does not strictly require normalization, but standardized variables facilitate interpretation.</w:t>
      </w:r>
    </w:p>
    <w:p w14:paraId="3A8E7294" w14:textId="77777777" w:rsidR="00230BC8" w:rsidRDefault="00952EEA">
      <w:pPr>
        <w:bidi w:val="0"/>
        <w:spacing w:after="200"/>
        <w:ind w:left="90"/>
      </w:pPr>
      <w:r>
        <w:t>The final feature set was designed to support the three model configurations introduced in this study: an economic baseline model using macroeconomic and energy indicators, a hybrid model combining satellite indicators with demographic structure, and a satellite-only model that relies purely on remotely sensed variables. Table (2) summarizes the feature groups and their allocation across the three models and is structured so that additional variables can be added if future experiments extend the framework.</w:t>
      </w:r>
    </w:p>
    <w:p w14:paraId="05CE5EE0" w14:textId="77777777" w:rsidR="00230BC8" w:rsidRDefault="00230BC8"/>
    <w:p w14:paraId="591A7950" w14:textId="77777777" w:rsidR="00230BC8" w:rsidRDefault="00952EEA">
      <w:pPr>
        <w:bidi w:val="0"/>
        <w:spacing w:after="200"/>
        <w:ind w:left="90"/>
        <w:jc w:val="center"/>
      </w:pPr>
      <w:r>
        <w:rPr>
          <w:sz w:val="20"/>
        </w:rPr>
        <w:t>Table (2): Model configurations and feature groups for Models A, B, and C.</w:t>
      </w:r>
    </w:p>
    <w:tbl>
      <w:tblPr>
        <w:tblW w:w="10104" w:type="dxa"/>
        <w:jc w:val="center"/>
        <w:tblLayout w:type="fixed"/>
        <w:tblCellMar>
          <w:left w:w="10" w:type="dxa"/>
          <w:right w:w="10" w:type="dxa"/>
        </w:tblCellMar>
        <w:tblLook w:val="0000" w:firstRow="0" w:lastRow="0" w:firstColumn="0" w:lastColumn="0" w:noHBand="0" w:noVBand="0"/>
      </w:tblPr>
      <w:tblGrid>
        <w:gridCol w:w="1865"/>
        <w:gridCol w:w="1956"/>
        <w:gridCol w:w="6283"/>
      </w:tblGrid>
      <w:tr w:rsidR="00230BC8" w14:paraId="37659EE4" w14:textId="77777777">
        <w:trPr>
          <w:trHeight w:val="23"/>
          <w:jc w:val="center"/>
        </w:trPr>
        <w:tc>
          <w:tcPr>
            <w:tcW w:w="1865" w:type="dxa"/>
            <w:tcBorders>
              <w:top w:val="single" w:sz="2" w:space="0" w:color="999999"/>
              <w:left w:val="single" w:sz="2" w:space="0" w:color="999999"/>
              <w:bottom w:val="single" w:sz="2" w:space="0" w:color="999999"/>
              <w:right w:val="single" w:sz="2" w:space="0" w:color="999999"/>
            </w:tcBorders>
            <w:shd w:val="clear" w:color="auto" w:fill="D5E8F0"/>
          </w:tcPr>
          <w:p w14:paraId="67ACC5E8" w14:textId="77777777" w:rsidR="00230BC8" w:rsidRDefault="00952EEA">
            <w:pPr>
              <w:bidi w:val="0"/>
              <w:spacing w:after="200"/>
              <w:ind w:left="90"/>
              <w:rPr>
                <w:sz w:val="22"/>
              </w:rPr>
            </w:pPr>
            <w:r>
              <w:rPr>
                <w:b/>
              </w:rPr>
              <w:t>Model</w:t>
            </w:r>
          </w:p>
        </w:tc>
        <w:tc>
          <w:tcPr>
            <w:tcW w:w="1956" w:type="dxa"/>
            <w:tcBorders>
              <w:top w:val="single" w:sz="2" w:space="0" w:color="999999"/>
              <w:left w:val="single" w:sz="2" w:space="0" w:color="999999"/>
              <w:bottom w:val="single" w:sz="2" w:space="0" w:color="999999"/>
              <w:right w:val="single" w:sz="2" w:space="0" w:color="999999"/>
            </w:tcBorders>
            <w:shd w:val="clear" w:color="auto" w:fill="D5E8F0"/>
          </w:tcPr>
          <w:p w14:paraId="6A3138EF" w14:textId="77777777" w:rsidR="00230BC8" w:rsidRDefault="00952EEA">
            <w:pPr>
              <w:bidi w:val="0"/>
              <w:spacing w:after="200"/>
              <w:ind w:left="90"/>
              <w:jc w:val="both"/>
              <w:rPr>
                <w:sz w:val="22"/>
              </w:rPr>
            </w:pPr>
            <w:r>
              <w:rPr>
                <w:b/>
              </w:rPr>
              <w:t>Feature Category</w:t>
            </w:r>
          </w:p>
        </w:tc>
        <w:tc>
          <w:tcPr>
            <w:tcW w:w="6283" w:type="dxa"/>
            <w:tcBorders>
              <w:top w:val="single" w:sz="2" w:space="0" w:color="999999"/>
              <w:left w:val="single" w:sz="2" w:space="0" w:color="999999"/>
              <w:bottom w:val="single" w:sz="2" w:space="0" w:color="999999"/>
              <w:right w:val="single" w:sz="2" w:space="0" w:color="999999"/>
            </w:tcBorders>
            <w:shd w:val="clear" w:color="auto" w:fill="D5E8F0"/>
          </w:tcPr>
          <w:p w14:paraId="7D6218FD" w14:textId="77777777" w:rsidR="00230BC8" w:rsidRDefault="00952EEA">
            <w:pPr>
              <w:bidi w:val="0"/>
              <w:spacing w:after="200"/>
              <w:ind w:left="90"/>
              <w:jc w:val="both"/>
              <w:rPr>
                <w:sz w:val="22"/>
              </w:rPr>
            </w:pPr>
            <w:r>
              <w:rPr>
                <w:b/>
              </w:rPr>
              <w:t>Variables</w:t>
            </w:r>
          </w:p>
        </w:tc>
      </w:tr>
      <w:tr w:rsidR="00230BC8" w14:paraId="2BA32682" w14:textId="77777777">
        <w:trPr>
          <w:trHeight w:val="23"/>
          <w:jc w:val="center"/>
        </w:trPr>
        <w:tc>
          <w:tcPr>
            <w:tcW w:w="1865" w:type="dxa"/>
            <w:tcBorders>
              <w:top w:val="single" w:sz="2" w:space="0" w:color="999999"/>
              <w:left w:val="single" w:sz="2" w:space="0" w:color="999999"/>
              <w:bottom w:val="single" w:sz="2" w:space="0" w:color="999999"/>
              <w:right w:val="single" w:sz="2" w:space="0" w:color="999999"/>
            </w:tcBorders>
            <w:shd w:val="clear" w:color="auto" w:fill="FFFFFF"/>
          </w:tcPr>
          <w:p w14:paraId="508D69C4" w14:textId="77777777" w:rsidR="00230BC8" w:rsidRDefault="00952EEA">
            <w:pPr>
              <w:bidi w:val="0"/>
              <w:spacing w:after="200"/>
              <w:ind w:left="90"/>
              <w:rPr>
                <w:sz w:val="22"/>
              </w:rPr>
            </w:pPr>
            <w:r>
              <w:rPr>
                <w:b/>
              </w:rPr>
              <w:t>Model A (Economic)</w:t>
            </w:r>
          </w:p>
        </w:tc>
        <w:tc>
          <w:tcPr>
            <w:tcW w:w="1956" w:type="dxa"/>
            <w:tcBorders>
              <w:top w:val="single" w:sz="2" w:space="0" w:color="999999"/>
              <w:left w:val="single" w:sz="2" w:space="0" w:color="999999"/>
              <w:bottom w:val="single" w:sz="2" w:space="0" w:color="999999"/>
              <w:right w:val="single" w:sz="2" w:space="0" w:color="999999"/>
            </w:tcBorders>
            <w:shd w:val="clear" w:color="auto" w:fill="FFFFFF"/>
          </w:tcPr>
          <w:p w14:paraId="5C1F7558" w14:textId="77777777" w:rsidR="00230BC8" w:rsidRDefault="00952EEA">
            <w:pPr>
              <w:bidi w:val="0"/>
              <w:spacing w:after="200"/>
              <w:ind w:left="90"/>
              <w:jc w:val="both"/>
              <w:rPr>
                <w:sz w:val="22"/>
              </w:rPr>
            </w:pPr>
            <w:r>
              <w:t>Economic + Demographic</w:t>
            </w:r>
          </w:p>
        </w:tc>
        <w:tc>
          <w:tcPr>
            <w:tcW w:w="6283" w:type="dxa"/>
            <w:tcBorders>
              <w:top w:val="single" w:sz="2" w:space="0" w:color="999999"/>
              <w:left w:val="single" w:sz="2" w:space="0" w:color="999999"/>
              <w:bottom w:val="single" w:sz="2" w:space="0" w:color="999999"/>
              <w:right w:val="single" w:sz="2" w:space="0" w:color="999999"/>
            </w:tcBorders>
            <w:shd w:val="clear" w:color="auto" w:fill="FFFFFF"/>
          </w:tcPr>
          <w:p w14:paraId="3DE59573" w14:textId="77777777" w:rsidR="00230BC8" w:rsidRDefault="00952EEA">
            <w:pPr>
              <w:bidi w:val="0"/>
              <w:spacing w:after="200"/>
              <w:ind w:left="90"/>
              <w:jc w:val="both"/>
              <w:rPr>
                <w:sz w:val="22"/>
              </w:rPr>
            </w:pPr>
            <w:r>
              <w:t xml:space="preserve">GDP, population, </w:t>
            </w:r>
            <w:proofErr w:type="spellStart"/>
            <w:r>
              <w:t>energy_consumption</w:t>
            </w:r>
            <w:proofErr w:type="spellEnd"/>
            <w:r>
              <w:t xml:space="preserve">, </w:t>
            </w:r>
            <w:proofErr w:type="spellStart"/>
            <w:r>
              <w:t>energy_per_capita</w:t>
            </w:r>
            <w:proofErr w:type="spellEnd"/>
            <w:r>
              <w:t xml:space="preserve">, </w:t>
            </w:r>
            <w:proofErr w:type="spellStart"/>
            <w:r>
              <w:t>CO₂_intensity</w:t>
            </w:r>
            <w:proofErr w:type="spellEnd"/>
          </w:p>
        </w:tc>
      </w:tr>
      <w:tr w:rsidR="00230BC8" w14:paraId="4D38975B" w14:textId="77777777">
        <w:trPr>
          <w:trHeight w:val="23"/>
          <w:jc w:val="center"/>
        </w:trPr>
        <w:tc>
          <w:tcPr>
            <w:tcW w:w="1865" w:type="dxa"/>
            <w:tcBorders>
              <w:top w:val="single" w:sz="2" w:space="0" w:color="999999"/>
              <w:left w:val="single" w:sz="2" w:space="0" w:color="999999"/>
              <w:bottom w:val="single" w:sz="2" w:space="0" w:color="999999"/>
              <w:right w:val="single" w:sz="2" w:space="0" w:color="999999"/>
            </w:tcBorders>
            <w:shd w:val="clear" w:color="auto" w:fill="FFFFFF"/>
          </w:tcPr>
          <w:p w14:paraId="2D0918E0" w14:textId="77777777" w:rsidR="00230BC8" w:rsidRDefault="00952EEA">
            <w:pPr>
              <w:bidi w:val="0"/>
              <w:spacing w:after="200"/>
              <w:ind w:left="90"/>
              <w:rPr>
                <w:sz w:val="22"/>
              </w:rPr>
            </w:pPr>
            <w:r>
              <w:rPr>
                <w:b/>
              </w:rPr>
              <w:t>Model B (Hybrid)</w:t>
            </w:r>
          </w:p>
        </w:tc>
        <w:tc>
          <w:tcPr>
            <w:tcW w:w="1956" w:type="dxa"/>
            <w:tcBorders>
              <w:top w:val="single" w:sz="2" w:space="0" w:color="999999"/>
              <w:left w:val="single" w:sz="2" w:space="0" w:color="999999"/>
              <w:bottom w:val="single" w:sz="2" w:space="0" w:color="999999"/>
              <w:right w:val="single" w:sz="2" w:space="0" w:color="999999"/>
            </w:tcBorders>
            <w:shd w:val="clear" w:color="auto" w:fill="FFFFFF"/>
          </w:tcPr>
          <w:p w14:paraId="510C266F" w14:textId="77777777" w:rsidR="00230BC8" w:rsidRDefault="00952EEA">
            <w:pPr>
              <w:bidi w:val="0"/>
              <w:spacing w:after="200"/>
              <w:ind w:left="90"/>
              <w:jc w:val="both"/>
              <w:rPr>
                <w:sz w:val="22"/>
              </w:rPr>
            </w:pPr>
            <w:r>
              <w:t>Satellite + Demographic</w:t>
            </w:r>
          </w:p>
        </w:tc>
        <w:tc>
          <w:tcPr>
            <w:tcW w:w="6283" w:type="dxa"/>
            <w:tcBorders>
              <w:top w:val="single" w:sz="2" w:space="0" w:color="999999"/>
              <w:left w:val="single" w:sz="2" w:space="0" w:color="999999"/>
              <w:bottom w:val="single" w:sz="2" w:space="0" w:color="999999"/>
              <w:right w:val="single" w:sz="2" w:space="0" w:color="999999"/>
            </w:tcBorders>
            <w:shd w:val="clear" w:color="auto" w:fill="FFFFFF"/>
          </w:tcPr>
          <w:p w14:paraId="5A2B6117" w14:textId="7C6E407C" w:rsidR="00230BC8" w:rsidRDefault="009D0CCE" w:rsidP="009D0CCE">
            <w:pPr>
              <w:bidi w:val="0"/>
              <w:spacing w:after="200"/>
              <w:ind w:left="90"/>
              <w:jc w:val="both"/>
              <w:rPr>
                <w:sz w:val="22"/>
                <w:rtl/>
              </w:rPr>
            </w:pPr>
            <w:proofErr w:type="spellStart"/>
            <w:r w:rsidRPr="009D0CCE">
              <w:t>LST_Summer_C</w:t>
            </w:r>
            <w:proofErr w:type="spellEnd"/>
            <w:r w:rsidRPr="009D0CCE">
              <w:t xml:space="preserve">, </w:t>
            </w:r>
            <w:proofErr w:type="spellStart"/>
            <w:r w:rsidRPr="009D0CCE">
              <w:t>LST_Winter_C</w:t>
            </w:r>
            <w:proofErr w:type="spellEnd"/>
            <w:r w:rsidRPr="009D0CCE">
              <w:t xml:space="preserve">, </w:t>
            </w:r>
            <w:proofErr w:type="spellStart"/>
            <w:r w:rsidRPr="009D0CCE">
              <w:t>NDVI_Spring</w:t>
            </w:r>
            <w:proofErr w:type="spellEnd"/>
            <w:r w:rsidRPr="009D0CCE">
              <w:t xml:space="preserve">, </w:t>
            </w:r>
            <w:proofErr w:type="spellStart"/>
            <w:r w:rsidRPr="009D0CCE">
              <w:t>Night_Lights</w:t>
            </w:r>
            <w:proofErr w:type="spellEnd"/>
            <w:r w:rsidRPr="009D0CCE">
              <w:t xml:space="preserve">, </w:t>
            </w:r>
            <w:proofErr w:type="spellStart"/>
            <w:r w:rsidRPr="009D0CCE">
              <w:t>AOD_Annual</w:t>
            </w:r>
            <w:proofErr w:type="spellEnd"/>
            <w:r w:rsidRPr="009D0CCE">
              <w:t xml:space="preserve">, NO₂ (when available), </w:t>
            </w:r>
            <w:proofErr w:type="spellStart"/>
            <w:r w:rsidRPr="009D0CCE">
              <w:t>log_pop_density</w:t>
            </w:r>
            <w:proofErr w:type="spellEnd"/>
          </w:p>
        </w:tc>
      </w:tr>
      <w:tr w:rsidR="00230BC8" w14:paraId="3EAE6F55" w14:textId="77777777">
        <w:trPr>
          <w:trHeight w:val="23"/>
          <w:jc w:val="center"/>
        </w:trPr>
        <w:tc>
          <w:tcPr>
            <w:tcW w:w="1865" w:type="dxa"/>
            <w:tcBorders>
              <w:top w:val="single" w:sz="2" w:space="0" w:color="999999"/>
              <w:left w:val="single" w:sz="2" w:space="0" w:color="999999"/>
              <w:bottom w:val="single" w:sz="2" w:space="0" w:color="999999"/>
              <w:right w:val="single" w:sz="2" w:space="0" w:color="999999"/>
            </w:tcBorders>
            <w:shd w:val="clear" w:color="auto" w:fill="FFFFFF"/>
          </w:tcPr>
          <w:p w14:paraId="0F135C66" w14:textId="77777777" w:rsidR="00230BC8" w:rsidRDefault="00952EEA">
            <w:pPr>
              <w:bidi w:val="0"/>
              <w:spacing w:after="200"/>
              <w:ind w:left="90"/>
              <w:rPr>
                <w:sz w:val="22"/>
              </w:rPr>
            </w:pPr>
            <w:r>
              <w:rPr>
                <w:b/>
              </w:rPr>
              <w:t>Model C (Satellite-only)</w:t>
            </w:r>
          </w:p>
        </w:tc>
        <w:tc>
          <w:tcPr>
            <w:tcW w:w="1956" w:type="dxa"/>
            <w:tcBorders>
              <w:top w:val="single" w:sz="2" w:space="0" w:color="999999"/>
              <w:left w:val="single" w:sz="2" w:space="0" w:color="999999"/>
              <w:bottom w:val="single" w:sz="2" w:space="0" w:color="999999"/>
              <w:right w:val="single" w:sz="2" w:space="0" w:color="999999"/>
            </w:tcBorders>
            <w:shd w:val="clear" w:color="auto" w:fill="FFFFFF"/>
          </w:tcPr>
          <w:p w14:paraId="74CC5C77" w14:textId="77777777" w:rsidR="00230BC8" w:rsidRDefault="00952EEA">
            <w:pPr>
              <w:bidi w:val="0"/>
              <w:spacing w:after="200"/>
              <w:ind w:left="90"/>
              <w:jc w:val="both"/>
              <w:rPr>
                <w:sz w:val="22"/>
              </w:rPr>
            </w:pPr>
            <w:r>
              <w:t>Satellite Only</w:t>
            </w:r>
          </w:p>
        </w:tc>
        <w:tc>
          <w:tcPr>
            <w:tcW w:w="6283" w:type="dxa"/>
            <w:tcBorders>
              <w:top w:val="single" w:sz="2" w:space="0" w:color="999999"/>
              <w:left w:val="single" w:sz="2" w:space="0" w:color="999999"/>
              <w:bottom w:val="single" w:sz="2" w:space="0" w:color="999999"/>
              <w:right w:val="single" w:sz="2" w:space="0" w:color="999999"/>
            </w:tcBorders>
            <w:shd w:val="clear" w:color="auto" w:fill="FFFFFF"/>
          </w:tcPr>
          <w:p w14:paraId="5F042FE6" w14:textId="77777777" w:rsidR="00230BC8" w:rsidRDefault="00952EEA">
            <w:pPr>
              <w:bidi w:val="0"/>
              <w:spacing w:after="200"/>
              <w:ind w:left="90"/>
              <w:jc w:val="both"/>
              <w:rPr>
                <w:sz w:val="22"/>
              </w:rPr>
            </w:pPr>
            <w:proofErr w:type="spellStart"/>
            <w:r>
              <w:t>LST_Summer_C</w:t>
            </w:r>
            <w:proofErr w:type="spellEnd"/>
            <w:r>
              <w:t xml:space="preserve">, </w:t>
            </w:r>
            <w:proofErr w:type="spellStart"/>
            <w:r>
              <w:t>LST_Winter_C</w:t>
            </w:r>
            <w:proofErr w:type="spellEnd"/>
            <w:r>
              <w:t xml:space="preserve">, </w:t>
            </w:r>
            <w:proofErr w:type="spellStart"/>
            <w:r>
              <w:t>NDVI_Spring</w:t>
            </w:r>
            <w:proofErr w:type="spellEnd"/>
            <w:r>
              <w:t xml:space="preserve">, </w:t>
            </w:r>
            <w:proofErr w:type="spellStart"/>
            <w:r>
              <w:t>Night_Lights</w:t>
            </w:r>
            <w:proofErr w:type="spellEnd"/>
            <w:r>
              <w:t xml:space="preserve">, </w:t>
            </w:r>
            <w:proofErr w:type="spellStart"/>
            <w:r>
              <w:t>AOD_Annual</w:t>
            </w:r>
            <w:proofErr w:type="spellEnd"/>
          </w:p>
        </w:tc>
      </w:tr>
    </w:tbl>
    <w:p w14:paraId="44F1F57B" w14:textId="77777777" w:rsidR="00230BC8" w:rsidRDefault="00952EEA">
      <w:pPr>
        <w:bidi w:val="0"/>
        <w:rPr>
          <w:b/>
        </w:rPr>
      </w:pPr>
      <w:r>
        <w:br w:type="page"/>
      </w:r>
    </w:p>
    <w:p w14:paraId="11635537" w14:textId="77777777" w:rsidR="00230BC8" w:rsidRDefault="00952EEA">
      <w:pPr>
        <w:pStyle w:val="Heading31"/>
        <w:keepNext/>
        <w:keepLines/>
        <w:spacing w:before="200" w:after="0"/>
        <w:ind w:left="90"/>
      </w:pPr>
      <w:r>
        <w:rPr>
          <w:bCs/>
        </w:rPr>
        <w:lastRenderedPageBreak/>
        <w:t>7.2.6 Correlation Analysis</w:t>
      </w:r>
    </w:p>
    <w:p w14:paraId="2AC8D72E" w14:textId="77777777" w:rsidR="00230BC8" w:rsidRDefault="00952EEA">
      <w:pPr>
        <w:bidi w:val="0"/>
        <w:spacing w:after="200"/>
        <w:ind w:left="90"/>
      </w:pPr>
      <w:r>
        <w:t>Before model training, Pearson correlation coefficients were computed among predictors and between predictors and CO₂ emissions for the full 2000–2023 panel, using standardized versions of the continuous variables. The resulting correlation matrix revealed several expected patterns.</w:t>
      </w:r>
    </w:p>
    <w:p w14:paraId="75F3BC06" w14:textId="77777777" w:rsidR="00230BC8" w:rsidRDefault="00952EEA">
      <w:pPr>
        <w:bidi w:val="0"/>
        <w:spacing w:after="200"/>
        <w:ind w:left="90"/>
      </w:pPr>
      <w:r>
        <w:t xml:space="preserve">Economic indicators such as GDP, primary energy consumption, and population are all strongly positively correlated with CO₂ emissions and with each other, reflecting the tight coupling between economic scale and energy use in the GCC. Satellite variables also exhibit intuitive relationships: </w:t>
      </w:r>
      <w:proofErr w:type="spellStart"/>
      <w:r>
        <w:t>LST_Summer</w:t>
      </w:r>
      <w:proofErr w:type="spellEnd"/>
      <w:r>
        <w:t xml:space="preserve"> shows a positive association with emissions, consistent with higher cooling demand in hotter years; night-time lights are strongly correlated with both GDP and emissions, confirming their role as proxies for urbanization and economic activity; and </w:t>
      </w:r>
      <w:proofErr w:type="spellStart"/>
      <w:r>
        <w:t>NDVI_Spring</w:t>
      </w:r>
      <w:proofErr w:type="spellEnd"/>
      <w:r>
        <w:t xml:space="preserve"> has weaker but still positive correlations, reflecting the relatively limited but energy-intensive irrigated agriculture in the region.</w:t>
      </w:r>
    </w:p>
    <w:p w14:paraId="22813ADA" w14:textId="77777777" w:rsidR="00230BC8" w:rsidRDefault="00952EEA">
      <w:pPr>
        <w:bidi w:val="0"/>
        <w:spacing w:after="200"/>
        <w:ind w:left="90"/>
      </w:pPr>
      <w:r>
        <w:t>Some predictors (for example, GDP and primary energy consumption) are highly collinear, which is typical at national level. Gradient-boosted trees are robust to multicollinearity, but the correlation analysis is useful for interpreting feature importance and diagnosing redundancy. Figure 7 summarizes the correlation structure as a heatmap, with darker colors indicating stronger positive or negative relationships.</w:t>
      </w:r>
    </w:p>
    <w:p w14:paraId="52BB7CA9" w14:textId="77777777" w:rsidR="00230BC8" w:rsidRDefault="00230BC8">
      <w:pPr>
        <w:bidi w:val="0"/>
        <w:spacing w:after="200"/>
        <w:ind w:left="90"/>
      </w:pPr>
    </w:p>
    <w:p w14:paraId="7DAA3376" w14:textId="10BC40B0" w:rsidR="00230BC8" w:rsidRDefault="00424400">
      <w:pPr>
        <w:bidi w:val="0"/>
        <w:spacing w:after="200"/>
        <w:ind w:left="90"/>
        <w:jc w:val="center"/>
      </w:pPr>
      <w:r>
        <w:rPr>
          <w:noProof/>
        </w:rPr>
        <mc:AlternateContent>
          <mc:Choice Requires="wps">
            <w:drawing>
              <wp:anchor distT="0" distB="0" distL="114300" distR="114300" simplePos="0" relativeHeight="251653120" behindDoc="0" locked="0" layoutInCell="1" allowOverlap="1" wp14:anchorId="1053C33D" wp14:editId="5ED0F10C">
                <wp:simplePos x="0" y="0"/>
                <wp:positionH relativeFrom="column">
                  <wp:posOffset>0</wp:posOffset>
                </wp:positionH>
                <wp:positionV relativeFrom="paragraph">
                  <wp:posOffset>0</wp:posOffset>
                </wp:positionV>
                <wp:extent cx="635000" cy="635000"/>
                <wp:effectExtent l="0" t="0" r="3175" b="3175"/>
                <wp:wrapNone/>
                <wp:docPr id="1632821234" name="_x0000_tole_rId1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690C3" id="_x0000_tole_rId11" o:spid="_x0000_s1026" style="position:absolute;left:0;text-align:left;margin-left:0;margin-top:0;width:50pt;height:50pt;z-index:251653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object w:dxaOrig="7604" w:dyaOrig="6284" w14:anchorId="7875BD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1" o:spid="_x0000_i1025" type="#_x0000_t75" style="width:380.25pt;height:314.25pt;visibility:visible" o:ole="">
            <v:imagedata r:id="rId16" o:title=""/>
          </v:shape>
          <o:OLEObject Type="Embed" ProgID="StaticMetafile" ShapeID="ole_rId11" DrawAspect="Content" ObjectID="_1827584650" r:id="rId17"/>
        </w:object>
      </w:r>
    </w:p>
    <w:p w14:paraId="05852E6E" w14:textId="77777777" w:rsidR="00230BC8" w:rsidRDefault="00952EEA">
      <w:pPr>
        <w:bidi w:val="0"/>
        <w:spacing w:after="200"/>
        <w:ind w:left="90"/>
        <w:jc w:val="center"/>
      </w:pPr>
      <w:r>
        <w:rPr>
          <w:sz w:val="20"/>
        </w:rPr>
        <w:t>Figure 7: Feature correlation matrix</w:t>
      </w:r>
    </w:p>
    <w:p w14:paraId="3227D13C" w14:textId="77777777" w:rsidR="00952EEA" w:rsidRDefault="00952EEA">
      <w:pPr>
        <w:suppressAutoHyphens w:val="0"/>
        <w:bidi w:val="0"/>
        <w:spacing w:after="0" w:line="240" w:lineRule="auto"/>
      </w:pPr>
      <w:r>
        <w:rPr>
          <w:b/>
        </w:rPr>
        <w:br w:type="page"/>
      </w:r>
    </w:p>
    <w:p w14:paraId="45B9FA08" w14:textId="421170F9" w:rsidR="00230BC8" w:rsidRDefault="00952EEA">
      <w:pPr>
        <w:pStyle w:val="Heading21"/>
        <w:keepNext/>
        <w:keepLines/>
        <w:spacing w:before="200" w:after="0"/>
        <w:ind w:left="90"/>
        <w:rPr>
          <w:rFonts w:eastAsia="Calibri"/>
        </w:rPr>
      </w:pPr>
      <w:r>
        <w:rPr>
          <w:sz w:val="24"/>
        </w:rPr>
        <w:lastRenderedPageBreak/>
        <w:t>7.3 Model Specifications</w:t>
      </w:r>
    </w:p>
    <w:p w14:paraId="0AB9CF2A" w14:textId="77777777" w:rsidR="00230BC8" w:rsidRDefault="00230BC8">
      <w:pPr>
        <w:spacing w:after="200"/>
        <w:ind w:left="90"/>
        <w:jc w:val="right"/>
        <w:rPr>
          <w:rFonts w:eastAsia="Calibri"/>
        </w:rPr>
      </w:pPr>
    </w:p>
    <w:p w14:paraId="154D31F6" w14:textId="77777777" w:rsidR="00230BC8" w:rsidRDefault="00952EEA">
      <w:pPr>
        <w:spacing w:after="200"/>
        <w:ind w:left="90"/>
        <w:jc w:val="right"/>
      </w:pPr>
      <w:r>
        <w:t>Three XGBoost regression models are defined</w:t>
      </w:r>
      <w:r>
        <w:rPr>
          <w:rtl/>
        </w:rPr>
        <w:t>:</w:t>
      </w:r>
    </w:p>
    <w:p w14:paraId="4D826A95" w14:textId="77777777" w:rsidR="00230BC8" w:rsidRDefault="00952EEA">
      <w:pPr>
        <w:bidi w:val="0"/>
        <w:spacing w:after="200"/>
        <w:ind w:left="90"/>
      </w:pPr>
      <w:r>
        <w:rPr>
          <w:b/>
          <w:bCs/>
        </w:rPr>
        <w:t>Model A: Economic model</w:t>
      </w:r>
      <w:r>
        <w:br/>
        <w:t>Uses macroeconomic and energy variables (GDP, population, primary energy, energy per capita, CO₂ intensity). This approximates information in conventional inventory-based forecasting.</w:t>
      </w:r>
    </w:p>
    <w:p w14:paraId="1F3FA328" w14:textId="77777777" w:rsidR="00230BC8" w:rsidRDefault="00952EEA">
      <w:pPr>
        <w:bidi w:val="0"/>
        <w:spacing w:after="200"/>
        <w:ind w:left="90"/>
      </w:pPr>
      <w:r>
        <w:rPr>
          <w:b/>
          <w:bCs/>
        </w:rPr>
        <w:t>Model B: Hybrid satellite–demographic model</w:t>
      </w:r>
      <w:r>
        <w:br/>
        <w:t>Uses satellite-derived indicators (</w:t>
      </w:r>
      <w:proofErr w:type="spellStart"/>
      <w:r>
        <w:t>LST_Summer_C</w:t>
      </w:r>
      <w:proofErr w:type="spellEnd"/>
      <w:r>
        <w:t xml:space="preserve">, </w:t>
      </w:r>
      <w:proofErr w:type="spellStart"/>
      <w:r>
        <w:t>LST_Winter_C</w:t>
      </w:r>
      <w:proofErr w:type="spellEnd"/>
      <w:r>
        <w:t xml:space="preserve">, </w:t>
      </w:r>
      <w:proofErr w:type="spellStart"/>
      <w:r>
        <w:t>NDVI_Spring</w:t>
      </w:r>
      <w:proofErr w:type="spellEnd"/>
      <w:r>
        <w:t xml:space="preserve">, </w:t>
      </w:r>
      <w:proofErr w:type="spellStart"/>
      <w:r>
        <w:t>Night_Lights</w:t>
      </w:r>
      <w:proofErr w:type="spellEnd"/>
      <w:r>
        <w:t xml:space="preserve">, </w:t>
      </w:r>
      <w:proofErr w:type="spellStart"/>
      <w:r>
        <w:t>AOD_Annual</w:t>
      </w:r>
      <w:proofErr w:type="spellEnd"/>
      <w:r>
        <w:t xml:space="preserve">, NO₂ when available) plus </w:t>
      </w:r>
      <w:proofErr w:type="spellStart"/>
      <w:r>
        <w:t>log_pop_density</w:t>
      </w:r>
      <w:proofErr w:type="spellEnd"/>
      <w:r>
        <w:t>. This is the core “nowcasting” configuration, relying on near-real-time inputs.</w:t>
      </w:r>
    </w:p>
    <w:p w14:paraId="676304E1" w14:textId="77777777" w:rsidR="00230BC8" w:rsidRDefault="00952EEA">
      <w:pPr>
        <w:bidi w:val="0"/>
        <w:spacing w:after="200"/>
        <w:ind w:left="90"/>
      </w:pPr>
      <w:r>
        <w:rPr>
          <w:b/>
          <w:bCs/>
        </w:rPr>
        <w:t>Model C: Satellite-only model</w:t>
      </w:r>
      <w:r>
        <w:br/>
        <w:t>Uses only satellite-derived indicators, excluding demographic variables, to evaluate the standalone predictive power of remote sensing.</w:t>
      </w:r>
    </w:p>
    <w:p w14:paraId="5CBF134A" w14:textId="77777777" w:rsidR="00230BC8" w:rsidRDefault="00952EEA">
      <w:pPr>
        <w:bidi w:val="0"/>
        <w:spacing w:after="200"/>
        <w:ind w:left="90"/>
      </w:pPr>
      <w:r>
        <w:t xml:space="preserve">The target in all models is annual national CO₂ emissions (Mt). A time-aware train–test split </w:t>
      </w:r>
      <w:proofErr w:type="gramStart"/>
      <w:r>
        <w:t>mimics</w:t>
      </w:r>
      <w:proofErr w:type="gramEnd"/>
      <w:r>
        <w:t xml:space="preserve"> operational use: 2000–2018 for training (114 observations), 2019–2023 for testing (30 observations). This prevents information leakage from future to past and tests models </w:t>
      </w:r>
      <w:proofErr w:type="gramStart"/>
      <w:r>
        <w:t>on</w:t>
      </w:r>
      <w:proofErr w:type="gramEnd"/>
      <w:r>
        <w:t xml:space="preserve"> the most recent years, including the COVID-19 period.</w:t>
      </w:r>
    </w:p>
    <w:p w14:paraId="2953D8C6" w14:textId="77777777" w:rsidR="00230BC8" w:rsidRDefault="00952EEA">
      <w:pPr>
        <w:bidi w:val="0"/>
        <w:spacing w:after="200"/>
        <w:ind w:left="90"/>
      </w:pPr>
      <w:r>
        <w:t>Hyperparameters for XGBoost (number of trees, learning rate, maximum depth, minimum child weight, regularization parameters) are selected based on controlled experimentation, aiming to balance model flexibility and overfitting control.</w:t>
      </w:r>
    </w:p>
    <w:p w14:paraId="10AFE412" w14:textId="587D196A" w:rsidR="00230BC8" w:rsidRDefault="00424400">
      <w:pPr>
        <w:bidi w:val="0"/>
        <w:spacing w:after="200"/>
        <w:ind w:left="90"/>
        <w:jc w:val="center"/>
      </w:pPr>
      <w:r>
        <w:rPr>
          <w:noProof/>
        </w:rPr>
        <mc:AlternateContent>
          <mc:Choice Requires="wps">
            <w:drawing>
              <wp:anchor distT="0" distB="0" distL="114300" distR="114300" simplePos="0" relativeHeight="251654144" behindDoc="0" locked="0" layoutInCell="1" allowOverlap="1" wp14:anchorId="57F85B05" wp14:editId="748CCC0E">
                <wp:simplePos x="0" y="0"/>
                <wp:positionH relativeFrom="column">
                  <wp:posOffset>0</wp:posOffset>
                </wp:positionH>
                <wp:positionV relativeFrom="paragraph">
                  <wp:posOffset>0</wp:posOffset>
                </wp:positionV>
                <wp:extent cx="635000" cy="635000"/>
                <wp:effectExtent l="0" t="0" r="3175" b="3175"/>
                <wp:wrapNone/>
                <wp:docPr id="2037864370" name="_x0000_tole_rId1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C671F0" id="_x0000_tole_rId13" o:spid="_x0000_s1026" style="position:absolute;left:0;text-align:left;margin-left:0;margin-top:0;width:50pt;height:50pt;z-index:251654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object w:dxaOrig="7604" w:dyaOrig="2115" w14:anchorId="6DC8BC22">
          <v:shape id="ole_rId13" o:spid="_x0000_i1026" type="#_x0000_t75" style="width:380.25pt;height:105.75pt;visibility:visible" o:ole="">
            <v:imagedata r:id="rId18" o:title=""/>
          </v:shape>
          <o:OLEObject Type="Embed" ProgID="StaticMetafile" ShapeID="ole_rId13" DrawAspect="Content" ObjectID="_1827584651" r:id="rId19"/>
        </w:object>
      </w:r>
    </w:p>
    <w:p w14:paraId="46CD4C99" w14:textId="77777777" w:rsidR="00230BC8" w:rsidRDefault="00952EEA">
      <w:pPr>
        <w:bidi w:val="0"/>
        <w:spacing w:after="200"/>
        <w:ind w:left="90"/>
        <w:jc w:val="center"/>
      </w:pPr>
      <w:r>
        <w:rPr>
          <w:sz w:val="20"/>
        </w:rPr>
        <w:t>Figure 8: Train-test split strategy</w:t>
      </w:r>
      <w:r>
        <w:rPr>
          <w:sz w:val="20"/>
        </w:rPr>
        <w:br w:type="page"/>
      </w:r>
    </w:p>
    <w:p w14:paraId="4D005D0D" w14:textId="77777777" w:rsidR="00230BC8" w:rsidRDefault="00952EEA">
      <w:pPr>
        <w:pStyle w:val="Heading21"/>
        <w:keepNext/>
        <w:keepLines/>
        <w:spacing w:before="200" w:after="0"/>
        <w:ind w:left="90"/>
        <w:rPr>
          <w:rFonts w:eastAsia="Calibri"/>
        </w:rPr>
      </w:pPr>
      <w:r>
        <w:rPr>
          <w:sz w:val="24"/>
        </w:rPr>
        <w:lastRenderedPageBreak/>
        <w:t>7.4 Evaluation Metrics</w:t>
      </w:r>
    </w:p>
    <w:p w14:paraId="21FEA2E7" w14:textId="77777777" w:rsidR="00230BC8" w:rsidRDefault="00952EEA">
      <w:pPr>
        <w:spacing w:after="200"/>
        <w:ind w:left="90"/>
        <w:jc w:val="right"/>
      </w:pPr>
      <w:r>
        <w:t>Model performance is evaluated using</w:t>
      </w:r>
      <w:r>
        <w:rPr>
          <w:rtl/>
        </w:rPr>
        <w:t>:</w:t>
      </w:r>
    </w:p>
    <w:p w14:paraId="40BC2FF7" w14:textId="77777777" w:rsidR="00230BC8" w:rsidRDefault="00952EEA">
      <w:pPr>
        <w:numPr>
          <w:ilvl w:val="0"/>
          <w:numId w:val="5"/>
        </w:numPr>
        <w:bidi w:val="0"/>
        <w:spacing w:after="200"/>
      </w:pPr>
      <w:r>
        <w:t>Coefficient of determination (R²): proportion of variance in emissions explained by the model.</w:t>
      </w:r>
    </w:p>
    <w:p w14:paraId="0E88EB7A" w14:textId="77777777" w:rsidR="00230BC8" w:rsidRDefault="00952EEA">
      <w:pPr>
        <w:numPr>
          <w:ilvl w:val="0"/>
          <w:numId w:val="5"/>
        </w:numPr>
        <w:bidi w:val="0"/>
        <w:spacing w:after="200"/>
      </w:pPr>
      <w:r>
        <w:t xml:space="preserve">Root </w:t>
      </w:r>
      <w:proofErr w:type="gramStart"/>
      <w:r>
        <w:t>mean</w:t>
      </w:r>
      <w:proofErr w:type="gramEnd"/>
      <w:r>
        <w:t xml:space="preserve"> squared error (RMSE): typical magnitude of prediction errors.</w:t>
      </w:r>
    </w:p>
    <w:p w14:paraId="35BE6B82" w14:textId="77777777" w:rsidR="00230BC8" w:rsidRDefault="00952EEA">
      <w:pPr>
        <w:numPr>
          <w:ilvl w:val="0"/>
          <w:numId w:val="5"/>
        </w:numPr>
        <w:bidi w:val="0"/>
        <w:spacing w:after="200"/>
      </w:pPr>
      <w:r>
        <w:t>Mean absolute error (MAE): average absolute deviation between predicted and observed values.</w:t>
      </w:r>
    </w:p>
    <w:p w14:paraId="652F18F1" w14:textId="77777777" w:rsidR="00230BC8" w:rsidRDefault="00952EEA">
      <w:pPr>
        <w:numPr>
          <w:ilvl w:val="0"/>
          <w:numId w:val="5"/>
        </w:numPr>
        <w:bidi w:val="0"/>
        <w:spacing w:after="200"/>
      </w:pPr>
      <w:r>
        <w:t>Mean absolute percentage error (MAPE): errors as percentages of observed values, facilitating cross-country comparison.</w:t>
      </w:r>
    </w:p>
    <w:p w14:paraId="5ADCB0AA" w14:textId="77777777" w:rsidR="00230BC8" w:rsidRDefault="00952EEA">
      <w:pPr>
        <w:bidi w:val="0"/>
        <w:spacing w:after="200"/>
        <w:ind w:left="90"/>
      </w:pPr>
      <w:r>
        <w:t>Metrics are computed for both training and test sets. Comparing train and test R² helps assess overfitting. Country-level performance and feature-importance rankings are also examined.</w:t>
      </w:r>
    </w:p>
    <w:p w14:paraId="5F723ECD" w14:textId="4F39A075" w:rsidR="00230BC8" w:rsidRDefault="00952EEA">
      <w:pPr>
        <w:bidi w:val="0"/>
        <w:spacing w:after="200"/>
        <w:ind w:left="90"/>
      </w:pPr>
      <w:r>
        <w:t xml:space="preserve">For completeness, the main error metrics are defined as follows for observed emissions </w:t>
      </w:r>
      <w:r>
        <w:fldChar w:fldCharType="begin"/>
      </w:r>
      <w:r>
        <w:rPr>
          <w:position w:val="-11"/>
        </w:rPr>
        <w:instrText xml:space="preserve"> QUOTE _x0001_ </w:instrText>
      </w:r>
      <w:r>
        <w:rPr>
          <w:position w:val="-11"/>
        </w:rPr>
        <w:fldChar w:fldCharType="separate"/>
      </w:r>
      <w:r w:rsidR="00424400">
        <w:rPr>
          <w:noProof/>
          <w:position w:val="-11"/>
        </w:rPr>
        <w:drawing>
          <wp:inline distT="0" distB="0" distL="0" distR="0" wp14:anchorId="2BACC577" wp14:editId="2A21013F">
            <wp:extent cx="123825" cy="209550"/>
            <wp:effectExtent l="0" t="0" r="0" b="0"/>
            <wp:docPr id="10"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
                    <pic:cNvPicPr>
                      <a:picLocks noChangeAspect="1" noChangeArrowheads="1"/>
                    </pic:cNvPicPr>
                  </pic:nvPicPr>
                  <pic:blipFill>
                    <a:blip r:embed="rId20">
                      <a:extLst>
                        <a:ext uri="{28A0092B-C50C-407E-A947-70E740481C1C}">
                          <a14:useLocalDpi xmlns:a14="http://schemas.microsoft.com/office/drawing/2010/main" val="0"/>
                        </a:ext>
                      </a:extLst>
                    </a:blip>
                    <a:srcRect l="-291" t="-172" r="-291" b="-172"/>
                    <a:stretch>
                      <a:fillRect/>
                    </a:stretch>
                  </pic:blipFill>
                  <pic:spPr bwMode="auto">
                    <a:xfrm>
                      <a:off x="0" y="0"/>
                      <a:ext cx="123825" cy="209550"/>
                    </a:xfrm>
                    <a:prstGeom prst="rect">
                      <a:avLst/>
                    </a:prstGeom>
                    <a:noFill/>
                    <a:ln>
                      <a:noFill/>
                    </a:ln>
                  </pic:spPr>
                </pic:pic>
              </a:graphicData>
            </a:graphic>
          </wp:inline>
        </w:drawing>
      </w:r>
      <w:r>
        <w:rPr>
          <w:position w:val="-11"/>
        </w:rPr>
        <w:fldChar w:fldCharType="end"/>
      </w:r>
      <w:r>
        <w:t xml:space="preserve">, model predictions </w:t>
      </w:r>
      <w:r>
        <w:fldChar w:fldCharType="begin"/>
      </w:r>
      <w:r>
        <w:rPr>
          <w:position w:val="-11"/>
        </w:rPr>
        <w:instrText xml:space="preserve"> QUOTE _x0001_ </w:instrText>
      </w:r>
      <w:r>
        <w:rPr>
          <w:position w:val="-11"/>
        </w:rPr>
        <w:fldChar w:fldCharType="separate"/>
      </w:r>
      <w:r w:rsidR="00424400">
        <w:rPr>
          <w:noProof/>
          <w:position w:val="-11"/>
        </w:rPr>
        <w:drawing>
          <wp:inline distT="0" distB="0" distL="0" distR="0" wp14:anchorId="404D97CE" wp14:editId="45C43DA0">
            <wp:extent cx="123825" cy="209550"/>
            <wp:effectExtent l="0" t="0" r="0" b="0"/>
            <wp:docPr id="11"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
                    <pic:cNvPicPr>
                      <a:picLocks noChangeAspect="1" noChangeArrowheads="1"/>
                    </pic:cNvPicPr>
                  </pic:nvPicPr>
                  <pic:blipFill>
                    <a:blip r:embed="rId21">
                      <a:extLst>
                        <a:ext uri="{28A0092B-C50C-407E-A947-70E740481C1C}">
                          <a14:useLocalDpi xmlns:a14="http://schemas.microsoft.com/office/drawing/2010/main" val="0"/>
                        </a:ext>
                      </a:extLst>
                    </a:blip>
                    <a:srcRect l="-291" t="-172" r="-291" b="-172"/>
                    <a:stretch>
                      <a:fillRect/>
                    </a:stretch>
                  </pic:blipFill>
                  <pic:spPr bwMode="auto">
                    <a:xfrm>
                      <a:off x="0" y="0"/>
                      <a:ext cx="123825" cy="209550"/>
                    </a:xfrm>
                    <a:prstGeom prst="rect">
                      <a:avLst/>
                    </a:prstGeom>
                    <a:noFill/>
                    <a:ln>
                      <a:noFill/>
                    </a:ln>
                  </pic:spPr>
                </pic:pic>
              </a:graphicData>
            </a:graphic>
          </wp:inline>
        </w:drawing>
      </w:r>
      <w:r>
        <w:rPr>
          <w:position w:val="-11"/>
        </w:rPr>
        <w:fldChar w:fldCharType="end"/>
      </w:r>
      <w:r>
        <w:t xml:space="preserve">, and sample size </w:t>
      </w:r>
      <w:r>
        <w:fldChar w:fldCharType="begin"/>
      </w:r>
      <w:r>
        <w:rPr>
          <w:position w:val="-11"/>
        </w:rPr>
        <w:instrText xml:space="preserve"> QUOTE _x0001_ </w:instrText>
      </w:r>
      <w:r>
        <w:rPr>
          <w:position w:val="-11"/>
        </w:rPr>
        <w:fldChar w:fldCharType="separate"/>
      </w:r>
      <w:r w:rsidR="00424400">
        <w:rPr>
          <w:noProof/>
          <w:position w:val="-11"/>
        </w:rPr>
        <w:drawing>
          <wp:inline distT="0" distB="0" distL="0" distR="0" wp14:anchorId="2CC21B19" wp14:editId="6B7CF673">
            <wp:extent cx="85725" cy="209550"/>
            <wp:effectExtent l="0" t="0" r="0" b="0"/>
            <wp:docPr id="12"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
                    <pic:cNvPicPr>
                      <a:picLocks noChangeAspect="1" noChangeArrowheads="1"/>
                    </pic:cNvPicPr>
                  </pic:nvPicPr>
                  <pic:blipFill>
                    <a:blip r:embed="rId22">
                      <a:extLst>
                        <a:ext uri="{28A0092B-C50C-407E-A947-70E740481C1C}">
                          <a14:useLocalDpi xmlns:a14="http://schemas.microsoft.com/office/drawing/2010/main" val="0"/>
                        </a:ext>
                      </a:extLst>
                    </a:blip>
                    <a:srcRect l="-420" t="-172" r="-420" b="-172"/>
                    <a:stretch>
                      <a:fillRect/>
                    </a:stretch>
                  </pic:blipFill>
                  <pic:spPr bwMode="auto">
                    <a:xfrm>
                      <a:off x="0" y="0"/>
                      <a:ext cx="85725" cy="209550"/>
                    </a:xfrm>
                    <a:prstGeom prst="rect">
                      <a:avLst/>
                    </a:prstGeom>
                    <a:noFill/>
                    <a:ln>
                      <a:noFill/>
                    </a:ln>
                  </pic:spPr>
                </pic:pic>
              </a:graphicData>
            </a:graphic>
          </wp:inline>
        </w:drawing>
      </w:r>
      <w:r>
        <w:rPr>
          <w:position w:val="-11"/>
        </w:rPr>
        <w:fldChar w:fldCharType="end"/>
      </w:r>
      <w:r>
        <w:t>:</w:t>
      </w:r>
    </w:p>
    <w:p w14:paraId="3CE01E88" w14:textId="58A98764" w:rsidR="00230BC8" w:rsidRDefault="00952EEA">
      <w:pPr>
        <w:numPr>
          <w:ilvl w:val="0"/>
          <w:numId w:val="1"/>
        </w:numPr>
        <w:bidi w:val="0"/>
        <w:spacing w:after="200"/>
      </w:pPr>
      <w:r>
        <w:fldChar w:fldCharType="begin"/>
      </w:r>
      <w:r>
        <w:rPr>
          <w:position w:val="-24"/>
        </w:rPr>
        <w:instrText xml:space="preserve"> QUOTE _x0001_ </w:instrText>
      </w:r>
      <w:r>
        <w:rPr>
          <w:position w:val="-24"/>
        </w:rPr>
        <w:fldChar w:fldCharType="separate"/>
      </w:r>
      <w:r w:rsidR="00424400">
        <w:rPr>
          <w:noProof/>
          <w:position w:val="-24"/>
        </w:rPr>
        <w:drawing>
          <wp:inline distT="0" distB="0" distL="0" distR="0" wp14:anchorId="011BD1C5" wp14:editId="2B50DFE1">
            <wp:extent cx="1943100" cy="400050"/>
            <wp:effectExtent l="0" t="0" r="0" b="0"/>
            <wp:docPr id="13"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
                    <pic:cNvPicPr>
                      <a:picLocks noChangeAspect="1" noChangeArrowheads="1"/>
                    </pic:cNvPicPr>
                  </pic:nvPicPr>
                  <pic:blipFill>
                    <a:blip r:embed="rId23">
                      <a:extLst>
                        <a:ext uri="{28A0092B-C50C-407E-A947-70E740481C1C}">
                          <a14:useLocalDpi xmlns:a14="http://schemas.microsoft.com/office/drawing/2010/main" val="0"/>
                        </a:ext>
                      </a:extLst>
                    </a:blip>
                    <a:srcRect l="-18" t="-90" r="-18" b="-90"/>
                    <a:stretch>
                      <a:fillRect/>
                    </a:stretch>
                  </pic:blipFill>
                  <pic:spPr bwMode="auto">
                    <a:xfrm>
                      <a:off x="0" y="0"/>
                      <a:ext cx="1943100" cy="400050"/>
                    </a:xfrm>
                    <a:prstGeom prst="rect">
                      <a:avLst/>
                    </a:prstGeom>
                    <a:noFill/>
                    <a:ln>
                      <a:noFill/>
                    </a:ln>
                  </pic:spPr>
                </pic:pic>
              </a:graphicData>
            </a:graphic>
          </wp:inline>
        </w:drawing>
      </w:r>
      <w:r>
        <w:rPr>
          <w:position w:val="-24"/>
        </w:rPr>
        <w:fldChar w:fldCharType="end"/>
      </w:r>
    </w:p>
    <w:p w14:paraId="7D001BFF" w14:textId="1DF25946" w:rsidR="00230BC8" w:rsidRDefault="00952EEA">
      <w:pPr>
        <w:numPr>
          <w:ilvl w:val="0"/>
          <w:numId w:val="1"/>
        </w:numPr>
        <w:bidi w:val="0"/>
        <w:spacing w:after="200"/>
      </w:pPr>
      <w:r>
        <w:fldChar w:fldCharType="begin"/>
      </w:r>
      <w:r>
        <w:rPr>
          <w:position w:val="-17"/>
        </w:rPr>
        <w:instrText xml:space="preserve"> QUOTE _x0001_ </w:instrText>
      </w:r>
      <w:r>
        <w:rPr>
          <w:position w:val="-17"/>
        </w:rPr>
        <w:fldChar w:fldCharType="separate"/>
      </w:r>
      <w:r w:rsidR="00424400">
        <w:rPr>
          <w:noProof/>
          <w:position w:val="-17"/>
        </w:rPr>
        <w:drawing>
          <wp:inline distT="0" distB="0" distL="0" distR="0" wp14:anchorId="54E2D8CB" wp14:editId="58CF2604">
            <wp:extent cx="1743075" cy="285750"/>
            <wp:effectExtent l="0" t="0" r="0" b="0"/>
            <wp:docPr id="14"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
                    <pic:cNvPicPr>
                      <a:picLocks noChangeAspect="1" noChangeArrowheads="1"/>
                    </pic:cNvPicPr>
                  </pic:nvPicPr>
                  <pic:blipFill>
                    <a:blip r:embed="rId24">
                      <a:extLst>
                        <a:ext uri="{28A0092B-C50C-407E-A947-70E740481C1C}">
                          <a14:useLocalDpi xmlns:a14="http://schemas.microsoft.com/office/drawing/2010/main" val="0"/>
                        </a:ext>
                      </a:extLst>
                    </a:blip>
                    <a:srcRect l="-21" t="-127" r="-21" b="-127"/>
                    <a:stretch>
                      <a:fillRect/>
                    </a:stretch>
                  </pic:blipFill>
                  <pic:spPr bwMode="auto">
                    <a:xfrm>
                      <a:off x="0" y="0"/>
                      <a:ext cx="1743075" cy="285750"/>
                    </a:xfrm>
                    <a:prstGeom prst="rect">
                      <a:avLst/>
                    </a:prstGeom>
                    <a:noFill/>
                    <a:ln>
                      <a:noFill/>
                    </a:ln>
                  </pic:spPr>
                </pic:pic>
              </a:graphicData>
            </a:graphic>
          </wp:inline>
        </w:drawing>
      </w:r>
      <w:r>
        <w:rPr>
          <w:position w:val="-17"/>
        </w:rPr>
        <w:fldChar w:fldCharType="end"/>
      </w:r>
    </w:p>
    <w:p w14:paraId="083F089D" w14:textId="0E169D16" w:rsidR="00230BC8" w:rsidRDefault="00952EEA">
      <w:pPr>
        <w:numPr>
          <w:ilvl w:val="0"/>
          <w:numId w:val="1"/>
        </w:numPr>
        <w:bidi w:val="0"/>
        <w:spacing w:after="200"/>
      </w:pPr>
      <w:r>
        <w:fldChar w:fldCharType="begin"/>
      </w:r>
      <w:r>
        <w:rPr>
          <w:position w:val="-24"/>
        </w:rPr>
        <w:instrText xml:space="preserve"> QUOTE _x0001_ </w:instrText>
      </w:r>
      <w:r>
        <w:rPr>
          <w:position w:val="-24"/>
        </w:rPr>
        <w:fldChar w:fldCharType="separate"/>
      </w:r>
      <w:r w:rsidR="00424400">
        <w:rPr>
          <w:noProof/>
          <w:position w:val="-24"/>
        </w:rPr>
        <w:drawing>
          <wp:inline distT="0" distB="0" distL="0" distR="0" wp14:anchorId="3353CF59" wp14:editId="76D96C24">
            <wp:extent cx="1724025" cy="390525"/>
            <wp:effectExtent l="0" t="0" r="0" b="0"/>
            <wp:docPr id="15"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
                    <pic:cNvPicPr>
                      <a:picLocks noChangeAspect="1" noChangeArrowheads="1"/>
                    </pic:cNvPicPr>
                  </pic:nvPicPr>
                  <pic:blipFill>
                    <a:blip r:embed="rId25">
                      <a:extLst>
                        <a:ext uri="{28A0092B-C50C-407E-A947-70E740481C1C}">
                          <a14:useLocalDpi xmlns:a14="http://schemas.microsoft.com/office/drawing/2010/main" val="0"/>
                        </a:ext>
                      </a:extLst>
                    </a:blip>
                    <a:srcRect l="-21" t="-92" r="-21" b="-92"/>
                    <a:stretch>
                      <a:fillRect/>
                    </a:stretch>
                  </pic:blipFill>
                  <pic:spPr bwMode="auto">
                    <a:xfrm>
                      <a:off x="0" y="0"/>
                      <a:ext cx="1724025" cy="390525"/>
                    </a:xfrm>
                    <a:prstGeom prst="rect">
                      <a:avLst/>
                    </a:prstGeom>
                    <a:noFill/>
                    <a:ln>
                      <a:noFill/>
                    </a:ln>
                  </pic:spPr>
                </pic:pic>
              </a:graphicData>
            </a:graphic>
          </wp:inline>
        </w:drawing>
      </w:r>
      <w:r>
        <w:rPr>
          <w:position w:val="-24"/>
        </w:rPr>
        <w:fldChar w:fldCharType="end"/>
      </w:r>
    </w:p>
    <w:p w14:paraId="753A35FD" w14:textId="6E1067D3" w:rsidR="00230BC8" w:rsidRDefault="00952EEA">
      <w:pPr>
        <w:numPr>
          <w:ilvl w:val="0"/>
          <w:numId w:val="1"/>
        </w:numPr>
        <w:bidi w:val="0"/>
        <w:spacing w:after="200"/>
      </w:pPr>
      <w:r>
        <w:fldChar w:fldCharType="begin"/>
      </w:r>
      <w:r>
        <w:rPr>
          <w:position w:val="-23"/>
        </w:rPr>
        <w:instrText xml:space="preserve"> QUOTE _x0001_ </w:instrText>
      </w:r>
      <w:r>
        <w:rPr>
          <w:position w:val="-23"/>
        </w:rPr>
        <w:fldChar w:fldCharType="separate"/>
      </w:r>
      <w:r w:rsidR="00424400">
        <w:rPr>
          <w:noProof/>
          <w:position w:val="-23"/>
        </w:rPr>
        <w:drawing>
          <wp:inline distT="0" distB="0" distL="0" distR="0" wp14:anchorId="0ADF3C21" wp14:editId="01E94BDF">
            <wp:extent cx="1419225" cy="352425"/>
            <wp:effectExtent l="0" t="0" r="0" b="0"/>
            <wp:docPr id="16"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
                    <pic:cNvPicPr>
                      <a:picLocks noChangeAspect="1" noChangeArrowheads="1"/>
                    </pic:cNvPicPr>
                  </pic:nvPicPr>
                  <pic:blipFill>
                    <a:blip r:embed="rId26">
                      <a:extLst>
                        <a:ext uri="{28A0092B-C50C-407E-A947-70E740481C1C}">
                          <a14:useLocalDpi xmlns:a14="http://schemas.microsoft.com/office/drawing/2010/main" val="0"/>
                        </a:ext>
                      </a:extLst>
                    </a:blip>
                    <a:srcRect l="-24" t="-102" r="-24" b="-102"/>
                    <a:stretch>
                      <a:fillRect/>
                    </a:stretch>
                  </pic:blipFill>
                  <pic:spPr bwMode="auto">
                    <a:xfrm>
                      <a:off x="0" y="0"/>
                      <a:ext cx="1419225" cy="352425"/>
                    </a:xfrm>
                    <a:prstGeom prst="rect">
                      <a:avLst/>
                    </a:prstGeom>
                    <a:noFill/>
                    <a:ln>
                      <a:noFill/>
                    </a:ln>
                  </pic:spPr>
                </pic:pic>
              </a:graphicData>
            </a:graphic>
          </wp:inline>
        </w:drawing>
      </w:r>
      <w:r>
        <w:rPr>
          <w:position w:val="-23"/>
        </w:rPr>
        <w:fldChar w:fldCharType="end"/>
      </w:r>
    </w:p>
    <w:p w14:paraId="4CBB9CC8" w14:textId="77777777" w:rsidR="008542BA" w:rsidRDefault="008542BA" w:rsidP="008542BA">
      <w:pPr>
        <w:bidi w:val="0"/>
        <w:spacing w:after="200"/>
        <w:ind w:left="90"/>
        <w:rPr>
          <w:rtl/>
        </w:rPr>
      </w:pPr>
    </w:p>
    <w:p w14:paraId="55362BA3" w14:textId="79AF14BD" w:rsidR="00230BC8" w:rsidRDefault="00952EEA" w:rsidP="008542BA">
      <w:pPr>
        <w:bidi w:val="0"/>
        <w:spacing w:after="200"/>
        <w:ind w:left="90"/>
      </w:pPr>
      <w:r>
        <w:t>These definitions follow standard practice in regression evaluation and allow direct comparison of model performance across countries and time.</w:t>
      </w:r>
      <w:r>
        <w:br w:type="page"/>
      </w:r>
    </w:p>
    <w:p w14:paraId="1A34E874" w14:textId="77777777" w:rsidR="00230BC8" w:rsidRDefault="00230BC8">
      <w:pPr>
        <w:bidi w:val="0"/>
      </w:pPr>
    </w:p>
    <w:p w14:paraId="7AC6749E" w14:textId="77777777" w:rsidR="00230BC8" w:rsidRDefault="00952EEA">
      <w:pPr>
        <w:pStyle w:val="Heading11"/>
        <w:ind w:left="90"/>
        <w:rPr>
          <w:rFonts w:eastAsia="Calibri"/>
        </w:rPr>
      </w:pPr>
      <w:r>
        <w:t>8. Results</w:t>
      </w:r>
    </w:p>
    <w:p w14:paraId="2A74C05E" w14:textId="77777777" w:rsidR="00230BC8" w:rsidRDefault="00952EEA">
      <w:pPr>
        <w:pStyle w:val="Heading21"/>
        <w:keepNext/>
        <w:keepLines/>
        <w:spacing w:before="200" w:after="0"/>
        <w:ind w:left="90"/>
        <w:rPr>
          <w:rFonts w:eastAsia="Calibri"/>
        </w:rPr>
      </w:pPr>
      <w:r>
        <w:rPr>
          <w:sz w:val="24"/>
        </w:rPr>
        <w:t>8.1 Overall Model Performance</w:t>
      </w:r>
    </w:p>
    <w:p w14:paraId="5C04B070" w14:textId="77777777" w:rsidR="00230BC8" w:rsidRDefault="00952EEA">
      <w:pPr>
        <w:bidi w:val="0"/>
        <w:spacing w:after="200"/>
        <w:ind w:left="90"/>
      </w:pPr>
      <w:r>
        <w:t>On the 2019–2023 test period, the three models perform as follows (consistent with the thesis results):</w:t>
      </w:r>
    </w:p>
    <w:p w14:paraId="3AF18DCF" w14:textId="77777777" w:rsidR="00230BC8" w:rsidRDefault="00952EEA">
      <w:pPr>
        <w:bidi w:val="0"/>
        <w:spacing w:after="200"/>
        <w:ind w:left="90"/>
        <w:jc w:val="center"/>
      </w:pPr>
      <w:r>
        <w:rPr>
          <w:sz w:val="20"/>
        </w:rPr>
        <w:t>Table (3): Model performance comparison (test set 2019–2023).</w:t>
      </w:r>
    </w:p>
    <w:tbl>
      <w:tblPr>
        <w:tblW w:w="10104" w:type="dxa"/>
        <w:jc w:val="center"/>
        <w:tblLayout w:type="fixed"/>
        <w:tblCellMar>
          <w:left w:w="10" w:type="dxa"/>
          <w:right w:w="10" w:type="dxa"/>
        </w:tblCellMar>
        <w:tblLook w:val="0000" w:firstRow="0" w:lastRow="0" w:firstColumn="0" w:lastColumn="0" w:noHBand="0" w:noVBand="0"/>
      </w:tblPr>
      <w:tblGrid>
        <w:gridCol w:w="2936"/>
        <w:gridCol w:w="1158"/>
        <w:gridCol w:w="2110"/>
        <w:gridCol w:w="1881"/>
        <w:gridCol w:w="2019"/>
      </w:tblGrid>
      <w:tr w:rsidR="00230BC8" w14:paraId="1E7FC934" w14:textId="77777777">
        <w:trPr>
          <w:trHeight w:val="23"/>
          <w:jc w:val="center"/>
        </w:trPr>
        <w:tc>
          <w:tcPr>
            <w:tcW w:w="2936" w:type="dxa"/>
            <w:tcBorders>
              <w:top w:val="single" w:sz="2" w:space="0" w:color="999999"/>
              <w:left w:val="single" w:sz="2" w:space="0" w:color="999999"/>
              <w:bottom w:val="single" w:sz="2" w:space="0" w:color="999999"/>
              <w:right w:val="single" w:sz="2" w:space="0" w:color="999999"/>
            </w:tcBorders>
            <w:shd w:val="clear" w:color="auto" w:fill="D5E8F0"/>
          </w:tcPr>
          <w:p w14:paraId="5FD9FEDC" w14:textId="77777777" w:rsidR="00230BC8" w:rsidRDefault="00952EEA">
            <w:pPr>
              <w:bidi w:val="0"/>
              <w:spacing w:after="200"/>
              <w:ind w:left="90"/>
              <w:jc w:val="both"/>
              <w:rPr>
                <w:sz w:val="22"/>
              </w:rPr>
            </w:pPr>
            <w:r>
              <w:rPr>
                <w:b/>
              </w:rPr>
              <w:t>Model</w:t>
            </w:r>
          </w:p>
        </w:tc>
        <w:tc>
          <w:tcPr>
            <w:tcW w:w="1158" w:type="dxa"/>
            <w:tcBorders>
              <w:top w:val="single" w:sz="2" w:space="0" w:color="999999"/>
              <w:left w:val="single" w:sz="2" w:space="0" w:color="999999"/>
              <w:bottom w:val="single" w:sz="2" w:space="0" w:color="999999"/>
              <w:right w:val="single" w:sz="2" w:space="0" w:color="999999"/>
            </w:tcBorders>
            <w:shd w:val="clear" w:color="auto" w:fill="D5E8F0"/>
          </w:tcPr>
          <w:p w14:paraId="491334C2" w14:textId="77777777" w:rsidR="00230BC8" w:rsidRDefault="00952EEA">
            <w:pPr>
              <w:bidi w:val="0"/>
              <w:spacing w:after="200"/>
              <w:ind w:left="90"/>
              <w:jc w:val="both"/>
              <w:rPr>
                <w:sz w:val="22"/>
              </w:rPr>
            </w:pPr>
            <w:r>
              <w:rPr>
                <w:b/>
              </w:rPr>
              <w:t>R²</w:t>
            </w:r>
          </w:p>
        </w:tc>
        <w:tc>
          <w:tcPr>
            <w:tcW w:w="2110" w:type="dxa"/>
            <w:tcBorders>
              <w:top w:val="single" w:sz="2" w:space="0" w:color="999999"/>
              <w:left w:val="single" w:sz="2" w:space="0" w:color="999999"/>
              <w:bottom w:val="single" w:sz="2" w:space="0" w:color="999999"/>
              <w:right w:val="single" w:sz="2" w:space="0" w:color="999999"/>
            </w:tcBorders>
            <w:shd w:val="clear" w:color="auto" w:fill="D5E8F0"/>
          </w:tcPr>
          <w:p w14:paraId="00DBD377" w14:textId="77777777" w:rsidR="00230BC8" w:rsidRDefault="00952EEA">
            <w:pPr>
              <w:bidi w:val="0"/>
              <w:spacing w:after="200"/>
              <w:ind w:left="90"/>
              <w:jc w:val="both"/>
              <w:rPr>
                <w:sz w:val="22"/>
              </w:rPr>
            </w:pPr>
            <w:r>
              <w:rPr>
                <w:b/>
              </w:rPr>
              <w:t>RMSE (Mt)</w:t>
            </w:r>
          </w:p>
        </w:tc>
        <w:tc>
          <w:tcPr>
            <w:tcW w:w="1881" w:type="dxa"/>
            <w:tcBorders>
              <w:top w:val="single" w:sz="2" w:space="0" w:color="999999"/>
              <w:left w:val="single" w:sz="2" w:space="0" w:color="999999"/>
              <w:bottom w:val="single" w:sz="2" w:space="0" w:color="999999"/>
              <w:right w:val="single" w:sz="2" w:space="0" w:color="999999"/>
            </w:tcBorders>
            <w:shd w:val="clear" w:color="auto" w:fill="D5E8F0"/>
          </w:tcPr>
          <w:p w14:paraId="0C4C3FAB" w14:textId="77777777" w:rsidR="00230BC8" w:rsidRDefault="00952EEA">
            <w:pPr>
              <w:bidi w:val="0"/>
              <w:spacing w:after="200"/>
              <w:ind w:left="90"/>
              <w:jc w:val="both"/>
              <w:rPr>
                <w:sz w:val="22"/>
              </w:rPr>
            </w:pPr>
            <w:r>
              <w:rPr>
                <w:b/>
              </w:rPr>
              <w:t>MAE (Mt)</w:t>
            </w:r>
          </w:p>
        </w:tc>
        <w:tc>
          <w:tcPr>
            <w:tcW w:w="2019" w:type="dxa"/>
            <w:tcBorders>
              <w:top w:val="single" w:sz="2" w:space="0" w:color="999999"/>
              <w:left w:val="single" w:sz="2" w:space="0" w:color="999999"/>
              <w:bottom w:val="single" w:sz="2" w:space="0" w:color="999999"/>
              <w:right w:val="single" w:sz="2" w:space="0" w:color="999999"/>
            </w:tcBorders>
            <w:shd w:val="clear" w:color="auto" w:fill="D5E8F0"/>
          </w:tcPr>
          <w:p w14:paraId="643348E1" w14:textId="77777777" w:rsidR="00230BC8" w:rsidRDefault="00952EEA">
            <w:pPr>
              <w:bidi w:val="0"/>
              <w:spacing w:after="200"/>
              <w:ind w:left="90"/>
              <w:jc w:val="both"/>
              <w:rPr>
                <w:sz w:val="22"/>
              </w:rPr>
            </w:pPr>
            <w:r>
              <w:rPr>
                <w:b/>
              </w:rPr>
              <w:t>MAPE (%)</w:t>
            </w:r>
          </w:p>
        </w:tc>
      </w:tr>
      <w:tr w:rsidR="00230BC8" w14:paraId="612BC673" w14:textId="77777777">
        <w:trPr>
          <w:trHeight w:val="23"/>
          <w:jc w:val="center"/>
        </w:trPr>
        <w:tc>
          <w:tcPr>
            <w:tcW w:w="2936" w:type="dxa"/>
            <w:tcBorders>
              <w:top w:val="single" w:sz="2" w:space="0" w:color="999999"/>
              <w:left w:val="single" w:sz="2" w:space="0" w:color="999999"/>
              <w:bottom w:val="single" w:sz="2" w:space="0" w:color="999999"/>
              <w:right w:val="single" w:sz="2" w:space="0" w:color="999999"/>
            </w:tcBorders>
            <w:shd w:val="clear" w:color="auto" w:fill="FFFFFF"/>
          </w:tcPr>
          <w:p w14:paraId="27568970" w14:textId="77777777" w:rsidR="00230BC8" w:rsidRDefault="00952EEA">
            <w:pPr>
              <w:bidi w:val="0"/>
              <w:spacing w:after="200"/>
              <w:ind w:left="90"/>
              <w:jc w:val="both"/>
              <w:rPr>
                <w:sz w:val="22"/>
              </w:rPr>
            </w:pPr>
            <w:r>
              <w:rPr>
                <w:b/>
              </w:rPr>
              <w:t>A: Economic</w:t>
            </w:r>
          </w:p>
        </w:tc>
        <w:tc>
          <w:tcPr>
            <w:tcW w:w="1158" w:type="dxa"/>
            <w:tcBorders>
              <w:top w:val="single" w:sz="2" w:space="0" w:color="999999"/>
              <w:left w:val="single" w:sz="2" w:space="0" w:color="999999"/>
              <w:bottom w:val="single" w:sz="2" w:space="0" w:color="999999"/>
              <w:right w:val="single" w:sz="2" w:space="0" w:color="999999"/>
            </w:tcBorders>
            <w:shd w:val="clear" w:color="auto" w:fill="E8F5E9"/>
          </w:tcPr>
          <w:p w14:paraId="3DE35458" w14:textId="77777777" w:rsidR="00230BC8" w:rsidRDefault="00952EEA">
            <w:pPr>
              <w:bidi w:val="0"/>
              <w:spacing w:after="200"/>
              <w:ind w:left="90"/>
              <w:jc w:val="both"/>
              <w:rPr>
                <w:sz w:val="22"/>
              </w:rPr>
            </w:pPr>
            <w:r>
              <w:t>0.9571</w:t>
            </w:r>
          </w:p>
        </w:tc>
        <w:tc>
          <w:tcPr>
            <w:tcW w:w="2110" w:type="dxa"/>
            <w:tcBorders>
              <w:top w:val="single" w:sz="2" w:space="0" w:color="999999"/>
              <w:left w:val="single" w:sz="2" w:space="0" w:color="999999"/>
              <w:bottom w:val="single" w:sz="2" w:space="0" w:color="999999"/>
              <w:right w:val="single" w:sz="2" w:space="0" w:color="999999"/>
            </w:tcBorders>
            <w:shd w:val="clear" w:color="auto" w:fill="E8F5E9"/>
          </w:tcPr>
          <w:p w14:paraId="552798D2" w14:textId="77777777" w:rsidR="00230BC8" w:rsidRDefault="00952EEA">
            <w:pPr>
              <w:bidi w:val="0"/>
              <w:spacing w:after="200"/>
              <w:ind w:left="90"/>
              <w:jc w:val="both"/>
              <w:rPr>
                <w:sz w:val="22"/>
              </w:rPr>
            </w:pPr>
            <w:r>
              <w:t>46.29</w:t>
            </w:r>
          </w:p>
        </w:tc>
        <w:tc>
          <w:tcPr>
            <w:tcW w:w="1881" w:type="dxa"/>
            <w:tcBorders>
              <w:top w:val="single" w:sz="2" w:space="0" w:color="999999"/>
              <w:left w:val="single" w:sz="2" w:space="0" w:color="999999"/>
              <w:bottom w:val="single" w:sz="2" w:space="0" w:color="999999"/>
              <w:right w:val="single" w:sz="2" w:space="0" w:color="999999"/>
            </w:tcBorders>
            <w:shd w:val="clear" w:color="auto" w:fill="E8F5E9"/>
          </w:tcPr>
          <w:p w14:paraId="6B1E9CDC" w14:textId="77777777" w:rsidR="00230BC8" w:rsidRDefault="00952EEA">
            <w:pPr>
              <w:bidi w:val="0"/>
              <w:spacing w:after="200"/>
              <w:ind w:left="90"/>
              <w:jc w:val="both"/>
              <w:rPr>
                <w:sz w:val="22"/>
              </w:rPr>
            </w:pPr>
            <w:r>
              <w:t>32.14</w:t>
            </w:r>
          </w:p>
        </w:tc>
        <w:tc>
          <w:tcPr>
            <w:tcW w:w="2019" w:type="dxa"/>
            <w:tcBorders>
              <w:top w:val="single" w:sz="2" w:space="0" w:color="999999"/>
              <w:left w:val="single" w:sz="2" w:space="0" w:color="999999"/>
              <w:bottom w:val="single" w:sz="2" w:space="0" w:color="999999"/>
              <w:right w:val="single" w:sz="2" w:space="0" w:color="999999"/>
            </w:tcBorders>
            <w:shd w:val="clear" w:color="auto" w:fill="E8F5E9"/>
          </w:tcPr>
          <w:p w14:paraId="10748555" w14:textId="77777777" w:rsidR="00230BC8" w:rsidRDefault="00952EEA">
            <w:pPr>
              <w:bidi w:val="0"/>
              <w:spacing w:after="200"/>
              <w:ind w:left="90"/>
              <w:jc w:val="both"/>
              <w:rPr>
                <w:sz w:val="22"/>
              </w:rPr>
            </w:pPr>
            <w:r>
              <w:t>8.7%</w:t>
            </w:r>
          </w:p>
        </w:tc>
      </w:tr>
      <w:tr w:rsidR="00230BC8" w14:paraId="5FFFC481" w14:textId="77777777">
        <w:trPr>
          <w:trHeight w:val="23"/>
          <w:jc w:val="center"/>
        </w:trPr>
        <w:tc>
          <w:tcPr>
            <w:tcW w:w="2936" w:type="dxa"/>
            <w:tcBorders>
              <w:top w:val="single" w:sz="2" w:space="0" w:color="999999"/>
              <w:left w:val="single" w:sz="2" w:space="0" w:color="999999"/>
              <w:bottom w:val="single" w:sz="2" w:space="0" w:color="999999"/>
              <w:right w:val="single" w:sz="2" w:space="0" w:color="999999"/>
            </w:tcBorders>
            <w:shd w:val="clear" w:color="auto" w:fill="FFFFFF"/>
          </w:tcPr>
          <w:p w14:paraId="676908EF" w14:textId="77777777" w:rsidR="00230BC8" w:rsidRDefault="00952EEA">
            <w:pPr>
              <w:bidi w:val="0"/>
              <w:spacing w:after="200"/>
              <w:ind w:left="90"/>
              <w:jc w:val="both"/>
              <w:rPr>
                <w:sz w:val="22"/>
              </w:rPr>
            </w:pPr>
            <w:r>
              <w:rPr>
                <w:b/>
              </w:rPr>
              <w:t>B: Hybrid</w:t>
            </w:r>
          </w:p>
        </w:tc>
        <w:tc>
          <w:tcPr>
            <w:tcW w:w="1158" w:type="dxa"/>
            <w:tcBorders>
              <w:top w:val="single" w:sz="2" w:space="0" w:color="999999"/>
              <w:left w:val="single" w:sz="2" w:space="0" w:color="999999"/>
              <w:bottom w:val="single" w:sz="2" w:space="0" w:color="999999"/>
              <w:right w:val="single" w:sz="2" w:space="0" w:color="999999"/>
            </w:tcBorders>
            <w:shd w:val="clear" w:color="auto" w:fill="FFFFFF"/>
          </w:tcPr>
          <w:p w14:paraId="4388ACE3" w14:textId="77777777" w:rsidR="00230BC8" w:rsidRDefault="00952EEA">
            <w:pPr>
              <w:bidi w:val="0"/>
              <w:spacing w:after="200"/>
              <w:ind w:left="90"/>
              <w:jc w:val="both"/>
              <w:rPr>
                <w:sz w:val="22"/>
              </w:rPr>
            </w:pPr>
            <w:r>
              <w:t>0.6916</w:t>
            </w:r>
          </w:p>
        </w:tc>
        <w:tc>
          <w:tcPr>
            <w:tcW w:w="2110" w:type="dxa"/>
            <w:tcBorders>
              <w:top w:val="single" w:sz="2" w:space="0" w:color="999999"/>
              <w:left w:val="single" w:sz="2" w:space="0" w:color="999999"/>
              <w:bottom w:val="single" w:sz="2" w:space="0" w:color="999999"/>
              <w:right w:val="single" w:sz="2" w:space="0" w:color="999999"/>
            </w:tcBorders>
            <w:shd w:val="clear" w:color="auto" w:fill="FFFFFF"/>
          </w:tcPr>
          <w:p w14:paraId="6D5D682A" w14:textId="77777777" w:rsidR="00230BC8" w:rsidRDefault="00952EEA">
            <w:pPr>
              <w:bidi w:val="0"/>
              <w:spacing w:after="200"/>
              <w:ind w:left="90"/>
              <w:jc w:val="both"/>
              <w:rPr>
                <w:sz w:val="22"/>
              </w:rPr>
            </w:pPr>
            <w:r>
              <w:t>124.17</w:t>
            </w:r>
          </w:p>
        </w:tc>
        <w:tc>
          <w:tcPr>
            <w:tcW w:w="1881" w:type="dxa"/>
            <w:tcBorders>
              <w:top w:val="single" w:sz="2" w:space="0" w:color="999999"/>
              <w:left w:val="single" w:sz="2" w:space="0" w:color="999999"/>
              <w:bottom w:val="single" w:sz="2" w:space="0" w:color="999999"/>
              <w:right w:val="single" w:sz="2" w:space="0" w:color="999999"/>
            </w:tcBorders>
            <w:shd w:val="clear" w:color="auto" w:fill="FFFFFF"/>
          </w:tcPr>
          <w:p w14:paraId="3371FC15" w14:textId="77777777" w:rsidR="00230BC8" w:rsidRDefault="00952EEA">
            <w:pPr>
              <w:bidi w:val="0"/>
              <w:spacing w:after="200"/>
              <w:ind w:left="90"/>
              <w:jc w:val="both"/>
              <w:rPr>
                <w:sz w:val="22"/>
              </w:rPr>
            </w:pPr>
            <w:r>
              <w:t>89.42</w:t>
            </w:r>
          </w:p>
        </w:tc>
        <w:tc>
          <w:tcPr>
            <w:tcW w:w="2019" w:type="dxa"/>
            <w:tcBorders>
              <w:top w:val="single" w:sz="2" w:space="0" w:color="999999"/>
              <w:left w:val="single" w:sz="2" w:space="0" w:color="999999"/>
              <w:bottom w:val="single" w:sz="2" w:space="0" w:color="999999"/>
              <w:right w:val="single" w:sz="2" w:space="0" w:color="999999"/>
            </w:tcBorders>
            <w:shd w:val="clear" w:color="auto" w:fill="FFFFFF"/>
          </w:tcPr>
          <w:p w14:paraId="36E08FF7" w14:textId="77777777" w:rsidR="00230BC8" w:rsidRDefault="00952EEA">
            <w:pPr>
              <w:bidi w:val="0"/>
              <w:spacing w:after="200"/>
              <w:ind w:left="90"/>
              <w:jc w:val="both"/>
              <w:rPr>
                <w:sz w:val="22"/>
              </w:rPr>
            </w:pPr>
            <w:r>
              <w:t>18.3%</w:t>
            </w:r>
          </w:p>
        </w:tc>
      </w:tr>
      <w:tr w:rsidR="00230BC8" w14:paraId="31122DA3" w14:textId="77777777">
        <w:trPr>
          <w:trHeight w:val="23"/>
          <w:jc w:val="center"/>
        </w:trPr>
        <w:tc>
          <w:tcPr>
            <w:tcW w:w="2936" w:type="dxa"/>
            <w:tcBorders>
              <w:top w:val="single" w:sz="2" w:space="0" w:color="999999"/>
              <w:left w:val="single" w:sz="2" w:space="0" w:color="999999"/>
              <w:bottom w:val="single" w:sz="2" w:space="0" w:color="999999"/>
              <w:right w:val="single" w:sz="2" w:space="0" w:color="999999"/>
            </w:tcBorders>
            <w:shd w:val="clear" w:color="auto" w:fill="FFFFFF"/>
          </w:tcPr>
          <w:p w14:paraId="72227788" w14:textId="77777777" w:rsidR="00230BC8" w:rsidRDefault="00952EEA">
            <w:pPr>
              <w:bidi w:val="0"/>
              <w:spacing w:after="200"/>
              <w:ind w:left="90"/>
              <w:jc w:val="both"/>
              <w:rPr>
                <w:sz w:val="22"/>
              </w:rPr>
            </w:pPr>
            <w:r>
              <w:rPr>
                <w:b/>
              </w:rPr>
              <w:t>C: Satellite Only</w:t>
            </w:r>
          </w:p>
        </w:tc>
        <w:tc>
          <w:tcPr>
            <w:tcW w:w="1158" w:type="dxa"/>
            <w:tcBorders>
              <w:top w:val="single" w:sz="2" w:space="0" w:color="999999"/>
              <w:left w:val="single" w:sz="2" w:space="0" w:color="999999"/>
              <w:bottom w:val="single" w:sz="2" w:space="0" w:color="999999"/>
              <w:right w:val="single" w:sz="2" w:space="0" w:color="999999"/>
            </w:tcBorders>
            <w:shd w:val="clear" w:color="auto" w:fill="FFFFFF"/>
          </w:tcPr>
          <w:p w14:paraId="2F50811C" w14:textId="77777777" w:rsidR="00230BC8" w:rsidRDefault="00952EEA">
            <w:pPr>
              <w:bidi w:val="0"/>
              <w:spacing w:after="200"/>
              <w:ind w:left="90"/>
              <w:jc w:val="both"/>
              <w:rPr>
                <w:sz w:val="22"/>
              </w:rPr>
            </w:pPr>
            <w:r>
              <w:t>0.6668</w:t>
            </w:r>
          </w:p>
        </w:tc>
        <w:tc>
          <w:tcPr>
            <w:tcW w:w="2110" w:type="dxa"/>
            <w:tcBorders>
              <w:top w:val="single" w:sz="2" w:space="0" w:color="999999"/>
              <w:left w:val="single" w:sz="2" w:space="0" w:color="999999"/>
              <w:bottom w:val="single" w:sz="2" w:space="0" w:color="999999"/>
              <w:right w:val="single" w:sz="2" w:space="0" w:color="999999"/>
            </w:tcBorders>
            <w:shd w:val="clear" w:color="auto" w:fill="FFFFFF"/>
          </w:tcPr>
          <w:p w14:paraId="3E75EDCF" w14:textId="77777777" w:rsidR="00230BC8" w:rsidRDefault="00952EEA">
            <w:pPr>
              <w:bidi w:val="0"/>
              <w:spacing w:after="200"/>
              <w:ind w:left="90"/>
              <w:jc w:val="both"/>
              <w:rPr>
                <w:sz w:val="22"/>
              </w:rPr>
            </w:pPr>
            <w:r>
              <w:t>129.07</w:t>
            </w:r>
          </w:p>
        </w:tc>
        <w:tc>
          <w:tcPr>
            <w:tcW w:w="1881" w:type="dxa"/>
            <w:tcBorders>
              <w:top w:val="single" w:sz="2" w:space="0" w:color="999999"/>
              <w:left w:val="single" w:sz="2" w:space="0" w:color="999999"/>
              <w:bottom w:val="single" w:sz="2" w:space="0" w:color="999999"/>
              <w:right w:val="single" w:sz="2" w:space="0" w:color="999999"/>
            </w:tcBorders>
            <w:shd w:val="clear" w:color="auto" w:fill="FFFFFF"/>
          </w:tcPr>
          <w:p w14:paraId="4D30E17C" w14:textId="77777777" w:rsidR="00230BC8" w:rsidRDefault="00952EEA">
            <w:pPr>
              <w:bidi w:val="0"/>
              <w:spacing w:after="200"/>
              <w:ind w:left="90"/>
              <w:jc w:val="both"/>
              <w:rPr>
                <w:sz w:val="22"/>
              </w:rPr>
            </w:pPr>
            <w:r>
              <w:t>94.18</w:t>
            </w:r>
          </w:p>
        </w:tc>
        <w:tc>
          <w:tcPr>
            <w:tcW w:w="2019" w:type="dxa"/>
            <w:tcBorders>
              <w:top w:val="single" w:sz="2" w:space="0" w:color="999999"/>
              <w:left w:val="single" w:sz="2" w:space="0" w:color="999999"/>
              <w:bottom w:val="single" w:sz="2" w:space="0" w:color="999999"/>
              <w:right w:val="single" w:sz="2" w:space="0" w:color="999999"/>
            </w:tcBorders>
            <w:shd w:val="clear" w:color="auto" w:fill="FFFFFF"/>
          </w:tcPr>
          <w:p w14:paraId="6747303B" w14:textId="77777777" w:rsidR="00230BC8" w:rsidRDefault="00952EEA">
            <w:pPr>
              <w:bidi w:val="0"/>
              <w:spacing w:after="200"/>
              <w:ind w:left="90"/>
              <w:jc w:val="both"/>
              <w:rPr>
                <w:sz w:val="22"/>
              </w:rPr>
            </w:pPr>
            <w:r>
              <w:t>19.8%</w:t>
            </w:r>
          </w:p>
        </w:tc>
      </w:tr>
    </w:tbl>
    <w:p w14:paraId="216D96C4" w14:textId="77777777" w:rsidR="00230BC8" w:rsidRDefault="00230BC8">
      <w:pPr>
        <w:bidi w:val="0"/>
        <w:spacing w:after="200"/>
        <w:ind w:left="90"/>
      </w:pPr>
    </w:p>
    <w:p w14:paraId="043D9ACC" w14:textId="77777777" w:rsidR="00230BC8" w:rsidRDefault="00952EEA">
      <w:pPr>
        <w:bidi w:val="0"/>
        <w:spacing w:after="200"/>
        <w:ind w:left="90"/>
      </w:pPr>
      <w:r>
        <w:t>As expected, the economic model (A) delivers the highest accuracy, reflecting strong relationships between CO₂ emissions and macroeconomic and energy variables. The hybrid (B) and satellite-only (C) models show lower but still meaningful explanatory power. The relatively small difference between Models B and C indicates that most of the nowcasting skill comes from the satellite indicators themselves, with population density providing only a secondary refinement. This is encouraging for operational settings where detailed or frequently updated demographic data may not be readily available.</w:t>
      </w:r>
    </w:p>
    <w:p w14:paraId="4A68436C" w14:textId="10AF6475" w:rsidR="00230BC8" w:rsidRDefault="00424400">
      <w:pPr>
        <w:bidi w:val="0"/>
        <w:spacing w:after="200"/>
        <w:ind w:left="90"/>
        <w:jc w:val="center"/>
      </w:pPr>
      <w:r>
        <w:rPr>
          <w:noProof/>
        </w:rPr>
        <mc:AlternateContent>
          <mc:Choice Requires="wps">
            <w:drawing>
              <wp:anchor distT="0" distB="0" distL="114300" distR="114300" simplePos="0" relativeHeight="251655168" behindDoc="0" locked="0" layoutInCell="1" allowOverlap="1" wp14:anchorId="3BC7730A" wp14:editId="6FAB10C6">
                <wp:simplePos x="0" y="0"/>
                <wp:positionH relativeFrom="column">
                  <wp:posOffset>0</wp:posOffset>
                </wp:positionH>
                <wp:positionV relativeFrom="paragraph">
                  <wp:posOffset>0</wp:posOffset>
                </wp:positionV>
                <wp:extent cx="635000" cy="635000"/>
                <wp:effectExtent l="0" t="0" r="3175" b="3175"/>
                <wp:wrapNone/>
                <wp:docPr id="1325050989" name="_x0000_tole_rId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723ECB" id="_x0000_tole_rId22" o:spid="_x0000_s1026" style="position:absolute;left:0;text-align:left;margin-left:0;margin-top:0;width:50pt;height:50pt;z-index:251655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object w:dxaOrig="7604" w:dyaOrig="4544" w14:anchorId="6D952052">
          <v:shape id="ole_rId22" o:spid="_x0000_i1027" type="#_x0000_t75" style="width:380.25pt;height:226.5pt;visibility:visible" o:ole="">
            <v:imagedata r:id="rId27" o:title=""/>
          </v:shape>
          <o:OLEObject Type="Embed" ProgID="StaticMetafile" ShapeID="ole_rId22" DrawAspect="Content" ObjectID="_1827584652" r:id="rId28"/>
        </w:object>
      </w:r>
    </w:p>
    <w:p w14:paraId="1CEF72BC" w14:textId="77777777" w:rsidR="00230BC8" w:rsidRDefault="00952EEA">
      <w:pPr>
        <w:bidi w:val="0"/>
        <w:spacing w:after="200"/>
        <w:ind w:left="90"/>
        <w:jc w:val="center"/>
      </w:pPr>
      <w:r>
        <w:rPr>
          <w:sz w:val="20"/>
        </w:rPr>
        <w:t>Figure 9: Model performance comparison</w:t>
      </w:r>
      <w:r>
        <w:rPr>
          <w:sz w:val="20"/>
        </w:rPr>
        <w:br w:type="page"/>
      </w:r>
    </w:p>
    <w:p w14:paraId="29114A60" w14:textId="77777777" w:rsidR="00230BC8" w:rsidRDefault="00230BC8">
      <w:pPr>
        <w:bidi w:val="0"/>
        <w:rPr>
          <w:b/>
        </w:rPr>
      </w:pPr>
    </w:p>
    <w:p w14:paraId="175F0192" w14:textId="77777777" w:rsidR="00230BC8" w:rsidRDefault="00952EEA">
      <w:pPr>
        <w:pStyle w:val="Heading21"/>
        <w:keepNext/>
        <w:keepLines/>
        <w:spacing w:before="200" w:after="0"/>
        <w:ind w:left="90"/>
        <w:rPr>
          <w:rFonts w:eastAsia="Calibri"/>
        </w:rPr>
      </w:pPr>
      <w:r>
        <w:rPr>
          <w:sz w:val="24"/>
        </w:rPr>
        <w:t>8.2 Overfitting Assessment</w:t>
      </w:r>
    </w:p>
    <w:p w14:paraId="32CBF676" w14:textId="77777777" w:rsidR="00230BC8" w:rsidRDefault="00952EEA">
      <w:pPr>
        <w:bidi w:val="0"/>
        <w:spacing w:after="200"/>
        <w:ind w:left="90"/>
      </w:pPr>
      <w:r>
        <w:t>Overfitting is assessed by comparing train and test R² values for the three models:</w:t>
      </w:r>
    </w:p>
    <w:p w14:paraId="55BADE17" w14:textId="77777777" w:rsidR="00230BC8" w:rsidRDefault="00952EEA">
      <w:pPr>
        <w:bidi w:val="0"/>
        <w:spacing w:after="200"/>
        <w:ind w:left="90"/>
      </w:pPr>
      <w:r>
        <w:rPr>
          <w:sz w:val="20"/>
        </w:rPr>
        <w:t>Table (4): Train vs test R² and overfitting gap for Models A, B, and C.</w:t>
      </w:r>
    </w:p>
    <w:tbl>
      <w:tblPr>
        <w:tblW w:w="10104" w:type="dxa"/>
        <w:jc w:val="center"/>
        <w:tblLayout w:type="fixed"/>
        <w:tblCellMar>
          <w:left w:w="10" w:type="dxa"/>
          <w:right w:w="10" w:type="dxa"/>
        </w:tblCellMar>
        <w:tblLook w:val="0000" w:firstRow="0" w:lastRow="0" w:firstColumn="0" w:lastColumn="0" w:noHBand="0" w:noVBand="0"/>
      </w:tblPr>
      <w:tblGrid>
        <w:gridCol w:w="2981"/>
        <w:gridCol w:w="1576"/>
        <w:gridCol w:w="1324"/>
        <w:gridCol w:w="4223"/>
      </w:tblGrid>
      <w:tr w:rsidR="00230BC8" w14:paraId="17733C1D" w14:textId="77777777">
        <w:trPr>
          <w:trHeight w:val="23"/>
          <w:jc w:val="center"/>
        </w:trPr>
        <w:tc>
          <w:tcPr>
            <w:tcW w:w="2981" w:type="dxa"/>
            <w:tcBorders>
              <w:top w:val="single" w:sz="2" w:space="0" w:color="999999"/>
              <w:left w:val="single" w:sz="2" w:space="0" w:color="999999"/>
              <w:bottom w:val="single" w:sz="2" w:space="0" w:color="999999"/>
              <w:right w:val="single" w:sz="2" w:space="0" w:color="999999"/>
            </w:tcBorders>
            <w:shd w:val="clear" w:color="auto" w:fill="D5E8F0"/>
          </w:tcPr>
          <w:p w14:paraId="7CE6EE4B" w14:textId="77777777" w:rsidR="00230BC8" w:rsidRDefault="00952EEA">
            <w:pPr>
              <w:bidi w:val="0"/>
              <w:spacing w:after="200"/>
              <w:ind w:left="90"/>
              <w:jc w:val="both"/>
              <w:rPr>
                <w:sz w:val="22"/>
              </w:rPr>
            </w:pPr>
            <w:r>
              <w:rPr>
                <w:b/>
              </w:rPr>
              <w:t>Model</w:t>
            </w:r>
          </w:p>
        </w:tc>
        <w:tc>
          <w:tcPr>
            <w:tcW w:w="1576" w:type="dxa"/>
            <w:tcBorders>
              <w:top w:val="single" w:sz="2" w:space="0" w:color="999999"/>
              <w:left w:val="single" w:sz="2" w:space="0" w:color="999999"/>
              <w:bottom w:val="single" w:sz="2" w:space="0" w:color="999999"/>
              <w:right w:val="single" w:sz="2" w:space="0" w:color="999999"/>
            </w:tcBorders>
            <w:shd w:val="clear" w:color="auto" w:fill="D5E8F0"/>
          </w:tcPr>
          <w:p w14:paraId="4250C090" w14:textId="77777777" w:rsidR="00230BC8" w:rsidRDefault="00952EEA">
            <w:pPr>
              <w:bidi w:val="0"/>
              <w:spacing w:after="200"/>
              <w:ind w:left="90"/>
              <w:jc w:val="both"/>
              <w:rPr>
                <w:sz w:val="22"/>
              </w:rPr>
            </w:pPr>
            <w:r>
              <w:rPr>
                <w:b/>
              </w:rPr>
              <w:t>Train R²</w:t>
            </w:r>
          </w:p>
        </w:tc>
        <w:tc>
          <w:tcPr>
            <w:tcW w:w="1324" w:type="dxa"/>
            <w:tcBorders>
              <w:top w:val="single" w:sz="2" w:space="0" w:color="999999"/>
              <w:left w:val="single" w:sz="2" w:space="0" w:color="999999"/>
              <w:bottom w:val="single" w:sz="2" w:space="0" w:color="999999"/>
              <w:right w:val="single" w:sz="2" w:space="0" w:color="999999"/>
            </w:tcBorders>
            <w:shd w:val="clear" w:color="auto" w:fill="D5E8F0"/>
          </w:tcPr>
          <w:p w14:paraId="2EF81DF8" w14:textId="77777777" w:rsidR="00230BC8" w:rsidRDefault="00952EEA">
            <w:pPr>
              <w:bidi w:val="0"/>
              <w:spacing w:after="200"/>
              <w:ind w:left="90"/>
              <w:jc w:val="both"/>
              <w:rPr>
                <w:sz w:val="22"/>
              </w:rPr>
            </w:pPr>
            <w:r>
              <w:rPr>
                <w:b/>
              </w:rPr>
              <w:t>Test R²</w:t>
            </w:r>
          </w:p>
        </w:tc>
        <w:tc>
          <w:tcPr>
            <w:tcW w:w="4223" w:type="dxa"/>
            <w:tcBorders>
              <w:top w:val="single" w:sz="2" w:space="0" w:color="999999"/>
              <w:left w:val="single" w:sz="2" w:space="0" w:color="999999"/>
              <w:bottom w:val="single" w:sz="2" w:space="0" w:color="999999"/>
              <w:right w:val="single" w:sz="2" w:space="0" w:color="999999"/>
            </w:tcBorders>
            <w:shd w:val="clear" w:color="auto" w:fill="D5E8F0"/>
          </w:tcPr>
          <w:p w14:paraId="7FA27BC5" w14:textId="77777777" w:rsidR="00230BC8" w:rsidRDefault="00952EEA">
            <w:pPr>
              <w:bidi w:val="0"/>
              <w:spacing w:after="200"/>
              <w:ind w:left="90"/>
              <w:jc w:val="both"/>
              <w:rPr>
                <w:sz w:val="22"/>
              </w:rPr>
            </w:pPr>
            <w:r>
              <w:rPr>
                <w:b/>
              </w:rPr>
              <w:t>Gap (Overfit Indicator)</w:t>
            </w:r>
          </w:p>
        </w:tc>
      </w:tr>
      <w:tr w:rsidR="00230BC8" w14:paraId="4E70EF95" w14:textId="77777777">
        <w:trPr>
          <w:trHeight w:val="23"/>
          <w:jc w:val="center"/>
        </w:trPr>
        <w:tc>
          <w:tcPr>
            <w:tcW w:w="2981" w:type="dxa"/>
            <w:tcBorders>
              <w:top w:val="single" w:sz="2" w:space="0" w:color="999999"/>
              <w:left w:val="single" w:sz="2" w:space="0" w:color="999999"/>
              <w:bottom w:val="single" w:sz="2" w:space="0" w:color="999999"/>
              <w:right w:val="single" w:sz="2" w:space="0" w:color="999999"/>
            </w:tcBorders>
            <w:shd w:val="clear" w:color="auto" w:fill="FFFFFF"/>
          </w:tcPr>
          <w:p w14:paraId="3AD5EEA4" w14:textId="77777777" w:rsidR="00230BC8" w:rsidRDefault="00952EEA">
            <w:pPr>
              <w:bidi w:val="0"/>
              <w:spacing w:after="200"/>
              <w:ind w:left="90"/>
              <w:jc w:val="both"/>
              <w:rPr>
                <w:sz w:val="22"/>
              </w:rPr>
            </w:pPr>
            <w:r>
              <w:rPr>
                <w:b/>
              </w:rPr>
              <w:t>A: Economic</w:t>
            </w:r>
          </w:p>
        </w:tc>
        <w:tc>
          <w:tcPr>
            <w:tcW w:w="1576" w:type="dxa"/>
            <w:tcBorders>
              <w:top w:val="single" w:sz="2" w:space="0" w:color="999999"/>
              <w:left w:val="single" w:sz="2" w:space="0" w:color="999999"/>
              <w:bottom w:val="single" w:sz="2" w:space="0" w:color="999999"/>
              <w:right w:val="single" w:sz="2" w:space="0" w:color="999999"/>
            </w:tcBorders>
            <w:shd w:val="clear" w:color="auto" w:fill="FFFFFF"/>
          </w:tcPr>
          <w:p w14:paraId="3C30D5B5" w14:textId="77777777" w:rsidR="00230BC8" w:rsidRDefault="00952EEA">
            <w:pPr>
              <w:bidi w:val="0"/>
              <w:spacing w:after="200"/>
              <w:ind w:left="90"/>
              <w:jc w:val="both"/>
              <w:rPr>
                <w:sz w:val="22"/>
              </w:rPr>
            </w:pPr>
            <w:r>
              <w:t>0.9998</w:t>
            </w:r>
          </w:p>
        </w:tc>
        <w:tc>
          <w:tcPr>
            <w:tcW w:w="1324" w:type="dxa"/>
            <w:tcBorders>
              <w:top w:val="single" w:sz="2" w:space="0" w:color="999999"/>
              <w:left w:val="single" w:sz="2" w:space="0" w:color="999999"/>
              <w:bottom w:val="single" w:sz="2" w:space="0" w:color="999999"/>
              <w:right w:val="single" w:sz="2" w:space="0" w:color="999999"/>
            </w:tcBorders>
            <w:shd w:val="clear" w:color="auto" w:fill="FFFFFF"/>
          </w:tcPr>
          <w:p w14:paraId="38834936" w14:textId="77777777" w:rsidR="00230BC8" w:rsidRDefault="00952EEA">
            <w:pPr>
              <w:bidi w:val="0"/>
              <w:spacing w:after="200"/>
              <w:ind w:left="90"/>
              <w:jc w:val="both"/>
              <w:rPr>
                <w:sz w:val="22"/>
              </w:rPr>
            </w:pPr>
            <w:r>
              <w:t>0.9571</w:t>
            </w:r>
          </w:p>
        </w:tc>
        <w:tc>
          <w:tcPr>
            <w:tcW w:w="4223" w:type="dxa"/>
            <w:tcBorders>
              <w:top w:val="single" w:sz="2" w:space="0" w:color="999999"/>
              <w:left w:val="single" w:sz="2" w:space="0" w:color="999999"/>
              <w:bottom w:val="single" w:sz="2" w:space="0" w:color="999999"/>
              <w:right w:val="single" w:sz="2" w:space="0" w:color="999999"/>
            </w:tcBorders>
            <w:shd w:val="clear" w:color="auto" w:fill="FFFFFF"/>
          </w:tcPr>
          <w:p w14:paraId="1F9C68E6" w14:textId="77777777" w:rsidR="00230BC8" w:rsidRDefault="00952EEA">
            <w:pPr>
              <w:bidi w:val="0"/>
              <w:spacing w:after="200"/>
              <w:ind w:left="90"/>
              <w:jc w:val="both"/>
              <w:rPr>
                <w:sz w:val="22"/>
              </w:rPr>
            </w:pPr>
            <w:r>
              <w:t>-0.043 (Excellent)</w:t>
            </w:r>
          </w:p>
        </w:tc>
      </w:tr>
      <w:tr w:rsidR="00230BC8" w14:paraId="237C8D75" w14:textId="77777777">
        <w:trPr>
          <w:trHeight w:val="23"/>
          <w:jc w:val="center"/>
        </w:trPr>
        <w:tc>
          <w:tcPr>
            <w:tcW w:w="2981" w:type="dxa"/>
            <w:tcBorders>
              <w:top w:val="single" w:sz="2" w:space="0" w:color="999999"/>
              <w:left w:val="single" w:sz="2" w:space="0" w:color="999999"/>
              <w:bottom w:val="single" w:sz="2" w:space="0" w:color="999999"/>
              <w:right w:val="single" w:sz="2" w:space="0" w:color="999999"/>
            </w:tcBorders>
            <w:shd w:val="clear" w:color="auto" w:fill="FFFFFF"/>
          </w:tcPr>
          <w:p w14:paraId="5DA41187" w14:textId="77777777" w:rsidR="00230BC8" w:rsidRDefault="00952EEA">
            <w:pPr>
              <w:bidi w:val="0"/>
              <w:spacing w:after="200"/>
              <w:ind w:left="90"/>
              <w:jc w:val="both"/>
              <w:rPr>
                <w:sz w:val="22"/>
              </w:rPr>
            </w:pPr>
            <w:r>
              <w:rPr>
                <w:b/>
              </w:rPr>
              <w:t>B: Hybrid</w:t>
            </w:r>
          </w:p>
        </w:tc>
        <w:tc>
          <w:tcPr>
            <w:tcW w:w="1576" w:type="dxa"/>
            <w:tcBorders>
              <w:top w:val="single" w:sz="2" w:space="0" w:color="999999"/>
              <w:left w:val="single" w:sz="2" w:space="0" w:color="999999"/>
              <w:bottom w:val="single" w:sz="2" w:space="0" w:color="999999"/>
              <w:right w:val="single" w:sz="2" w:space="0" w:color="999999"/>
            </w:tcBorders>
            <w:shd w:val="clear" w:color="auto" w:fill="FFFFFF"/>
          </w:tcPr>
          <w:p w14:paraId="7A413F2E" w14:textId="77777777" w:rsidR="00230BC8" w:rsidRDefault="00952EEA">
            <w:pPr>
              <w:bidi w:val="0"/>
              <w:spacing w:after="200"/>
              <w:ind w:left="90"/>
              <w:jc w:val="both"/>
              <w:rPr>
                <w:sz w:val="22"/>
              </w:rPr>
            </w:pPr>
            <w:r>
              <w:t>0.9594</w:t>
            </w:r>
          </w:p>
        </w:tc>
        <w:tc>
          <w:tcPr>
            <w:tcW w:w="1324" w:type="dxa"/>
            <w:tcBorders>
              <w:top w:val="single" w:sz="2" w:space="0" w:color="999999"/>
              <w:left w:val="single" w:sz="2" w:space="0" w:color="999999"/>
              <w:bottom w:val="single" w:sz="2" w:space="0" w:color="999999"/>
              <w:right w:val="single" w:sz="2" w:space="0" w:color="999999"/>
            </w:tcBorders>
            <w:shd w:val="clear" w:color="auto" w:fill="FFFFFF"/>
          </w:tcPr>
          <w:p w14:paraId="3421D16E" w14:textId="77777777" w:rsidR="00230BC8" w:rsidRDefault="00952EEA">
            <w:pPr>
              <w:bidi w:val="0"/>
              <w:spacing w:after="200"/>
              <w:ind w:left="90"/>
              <w:jc w:val="both"/>
              <w:rPr>
                <w:sz w:val="22"/>
              </w:rPr>
            </w:pPr>
            <w:r>
              <w:t>0.6916</w:t>
            </w:r>
          </w:p>
        </w:tc>
        <w:tc>
          <w:tcPr>
            <w:tcW w:w="4223" w:type="dxa"/>
            <w:tcBorders>
              <w:top w:val="single" w:sz="2" w:space="0" w:color="999999"/>
              <w:left w:val="single" w:sz="2" w:space="0" w:color="999999"/>
              <w:bottom w:val="single" w:sz="2" w:space="0" w:color="999999"/>
              <w:right w:val="single" w:sz="2" w:space="0" w:color="999999"/>
            </w:tcBorders>
            <w:shd w:val="clear" w:color="auto" w:fill="FFFFFF"/>
          </w:tcPr>
          <w:p w14:paraId="106C3D69" w14:textId="77777777" w:rsidR="00230BC8" w:rsidRDefault="00952EEA">
            <w:pPr>
              <w:bidi w:val="0"/>
              <w:spacing w:after="200"/>
              <w:ind w:left="90"/>
              <w:jc w:val="both"/>
              <w:rPr>
                <w:sz w:val="22"/>
              </w:rPr>
            </w:pPr>
            <w:r>
              <w:t>-0.268 (Moderate)</w:t>
            </w:r>
          </w:p>
        </w:tc>
      </w:tr>
      <w:tr w:rsidR="00230BC8" w14:paraId="2F59F304" w14:textId="77777777">
        <w:trPr>
          <w:trHeight w:val="23"/>
          <w:jc w:val="center"/>
        </w:trPr>
        <w:tc>
          <w:tcPr>
            <w:tcW w:w="2981" w:type="dxa"/>
            <w:tcBorders>
              <w:top w:val="single" w:sz="2" w:space="0" w:color="999999"/>
              <w:left w:val="single" w:sz="2" w:space="0" w:color="999999"/>
              <w:bottom w:val="single" w:sz="2" w:space="0" w:color="999999"/>
              <w:right w:val="single" w:sz="2" w:space="0" w:color="999999"/>
            </w:tcBorders>
            <w:shd w:val="clear" w:color="auto" w:fill="FFFFFF"/>
          </w:tcPr>
          <w:p w14:paraId="7C4B90B3" w14:textId="77777777" w:rsidR="00230BC8" w:rsidRDefault="00952EEA">
            <w:pPr>
              <w:bidi w:val="0"/>
              <w:spacing w:after="200"/>
              <w:ind w:left="90"/>
              <w:jc w:val="both"/>
              <w:rPr>
                <w:sz w:val="22"/>
              </w:rPr>
            </w:pPr>
            <w:r>
              <w:rPr>
                <w:b/>
              </w:rPr>
              <w:t>C: Satellite Only</w:t>
            </w:r>
          </w:p>
        </w:tc>
        <w:tc>
          <w:tcPr>
            <w:tcW w:w="1576" w:type="dxa"/>
            <w:tcBorders>
              <w:top w:val="single" w:sz="2" w:space="0" w:color="999999"/>
              <w:left w:val="single" w:sz="2" w:space="0" w:color="999999"/>
              <w:bottom w:val="single" w:sz="2" w:space="0" w:color="999999"/>
              <w:right w:val="single" w:sz="2" w:space="0" w:color="999999"/>
            </w:tcBorders>
            <w:shd w:val="clear" w:color="auto" w:fill="FFFFFF"/>
          </w:tcPr>
          <w:p w14:paraId="79FB2300" w14:textId="77777777" w:rsidR="00230BC8" w:rsidRDefault="00952EEA">
            <w:pPr>
              <w:bidi w:val="0"/>
              <w:spacing w:after="200"/>
              <w:ind w:left="90"/>
              <w:jc w:val="both"/>
              <w:rPr>
                <w:sz w:val="22"/>
              </w:rPr>
            </w:pPr>
            <w:r>
              <w:t>0.9412</w:t>
            </w:r>
          </w:p>
        </w:tc>
        <w:tc>
          <w:tcPr>
            <w:tcW w:w="1324" w:type="dxa"/>
            <w:tcBorders>
              <w:top w:val="single" w:sz="2" w:space="0" w:color="999999"/>
              <w:left w:val="single" w:sz="2" w:space="0" w:color="999999"/>
              <w:bottom w:val="single" w:sz="2" w:space="0" w:color="999999"/>
              <w:right w:val="single" w:sz="2" w:space="0" w:color="999999"/>
            </w:tcBorders>
            <w:shd w:val="clear" w:color="auto" w:fill="FFFFFF"/>
          </w:tcPr>
          <w:p w14:paraId="327AC07F" w14:textId="77777777" w:rsidR="00230BC8" w:rsidRDefault="00952EEA">
            <w:pPr>
              <w:bidi w:val="0"/>
              <w:spacing w:after="200"/>
              <w:ind w:left="90"/>
              <w:jc w:val="both"/>
              <w:rPr>
                <w:sz w:val="22"/>
              </w:rPr>
            </w:pPr>
            <w:r>
              <w:t>0.6668</w:t>
            </w:r>
          </w:p>
        </w:tc>
        <w:tc>
          <w:tcPr>
            <w:tcW w:w="4223" w:type="dxa"/>
            <w:tcBorders>
              <w:top w:val="single" w:sz="2" w:space="0" w:color="999999"/>
              <w:left w:val="single" w:sz="2" w:space="0" w:color="999999"/>
              <w:bottom w:val="single" w:sz="2" w:space="0" w:color="999999"/>
              <w:right w:val="single" w:sz="2" w:space="0" w:color="999999"/>
            </w:tcBorders>
            <w:shd w:val="clear" w:color="auto" w:fill="FFFFFF"/>
          </w:tcPr>
          <w:p w14:paraId="2A37879A" w14:textId="77777777" w:rsidR="00230BC8" w:rsidRDefault="00952EEA">
            <w:pPr>
              <w:bidi w:val="0"/>
              <w:spacing w:after="200"/>
              <w:ind w:left="90"/>
              <w:jc w:val="both"/>
              <w:rPr>
                <w:sz w:val="22"/>
              </w:rPr>
            </w:pPr>
            <w:r>
              <w:t>-0.274 (Moderate)</w:t>
            </w:r>
          </w:p>
        </w:tc>
      </w:tr>
    </w:tbl>
    <w:p w14:paraId="28CCB2A7" w14:textId="77777777" w:rsidR="00230BC8" w:rsidRDefault="00230BC8">
      <w:pPr>
        <w:bidi w:val="0"/>
        <w:spacing w:after="200"/>
        <w:ind w:left="90"/>
      </w:pPr>
    </w:p>
    <w:p w14:paraId="4FEE6E1C" w14:textId="77777777" w:rsidR="00230BC8" w:rsidRDefault="00952EEA">
      <w:pPr>
        <w:bidi w:val="0"/>
        <w:spacing w:after="200"/>
        <w:ind w:left="90"/>
      </w:pPr>
      <w:r>
        <w:t>Models B and C show larger gaps, consistent with the notion that higher model complexity relative to the available signal in satellite features can increase the risk of overfitting, but test performance remains usable for monitoring.</w:t>
      </w:r>
    </w:p>
    <w:p w14:paraId="0902FFEB" w14:textId="77777777" w:rsidR="00230BC8" w:rsidRDefault="00230BC8">
      <w:pPr>
        <w:bidi w:val="0"/>
        <w:spacing w:after="200"/>
        <w:ind w:left="90"/>
      </w:pPr>
    </w:p>
    <w:p w14:paraId="53208262" w14:textId="06188FC7" w:rsidR="00230BC8" w:rsidRDefault="00424400">
      <w:pPr>
        <w:bidi w:val="0"/>
        <w:spacing w:after="200"/>
        <w:ind w:left="90"/>
        <w:jc w:val="center"/>
      </w:pPr>
      <w:r>
        <w:rPr>
          <w:noProof/>
        </w:rPr>
        <mc:AlternateContent>
          <mc:Choice Requires="wps">
            <w:drawing>
              <wp:anchor distT="0" distB="0" distL="114300" distR="114300" simplePos="0" relativeHeight="251656192" behindDoc="0" locked="0" layoutInCell="1" allowOverlap="1" wp14:anchorId="0D05D3E4" wp14:editId="15375084">
                <wp:simplePos x="0" y="0"/>
                <wp:positionH relativeFrom="column">
                  <wp:posOffset>0</wp:posOffset>
                </wp:positionH>
                <wp:positionV relativeFrom="paragraph">
                  <wp:posOffset>0</wp:posOffset>
                </wp:positionV>
                <wp:extent cx="635000" cy="635000"/>
                <wp:effectExtent l="0" t="0" r="3175" b="3175"/>
                <wp:wrapNone/>
                <wp:docPr id="1734101812" name="_x0000_tole_rId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6C96E" id="_x0000_tole_rId24" o:spid="_x0000_s1026" style="position:absolute;left:0;text-align:left;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object w:dxaOrig="7604" w:dyaOrig="4544" w14:anchorId="339E8D19">
          <v:shape id="ole_rId24" o:spid="_x0000_i1028" type="#_x0000_t75" style="width:380.25pt;height:226.5pt;visibility:visible" o:ole="">
            <v:imagedata r:id="rId29" o:title=""/>
          </v:shape>
          <o:OLEObject Type="Embed" ProgID="StaticMetafile" ShapeID="ole_rId24" DrawAspect="Content" ObjectID="_1827584653" r:id="rId30"/>
        </w:object>
      </w:r>
    </w:p>
    <w:p w14:paraId="2136C34B" w14:textId="77777777" w:rsidR="00230BC8" w:rsidRDefault="00952EEA">
      <w:pPr>
        <w:bidi w:val="0"/>
        <w:spacing w:after="200"/>
        <w:ind w:left="90"/>
        <w:jc w:val="center"/>
      </w:pPr>
      <w:r>
        <w:rPr>
          <w:sz w:val="20"/>
        </w:rPr>
        <w:t>Figure 10: Overfitting analysis</w:t>
      </w:r>
      <w:r>
        <w:rPr>
          <w:sz w:val="20"/>
        </w:rPr>
        <w:br w:type="page"/>
      </w:r>
    </w:p>
    <w:p w14:paraId="4CEED7FB" w14:textId="77777777" w:rsidR="00230BC8" w:rsidRDefault="00230BC8">
      <w:pPr>
        <w:bidi w:val="0"/>
        <w:rPr>
          <w:b/>
        </w:rPr>
      </w:pPr>
    </w:p>
    <w:p w14:paraId="01E099D2" w14:textId="77777777" w:rsidR="00230BC8" w:rsidRDefault="00952EEA">
      <w:pPr>
        <w:pStyle w:val="Heading21"/>
        <w:keepNext/>
        <w:keepLines/>
        <w:spacing w:before="200" w:after="0"/>
        <w:ind w:left="90"/>
        <w:rPr>
          <w:rFonts w:eastAsia="Calibri"/>
        </w:rPr>
      </w:pPr>
      <w:r>
        <w:rPr>
          <w:sz w:val="24"/>
        </w:rPr>
        <w:t>8.3 Feature Importance and Interpretation</w:t>
      </w:r>
    </w:p>
    <w:p w14:paraId="2079B467" w14:textId="77777777" w:rsidR="00230BC8" w:rsidRDefault="00952EEA">
      <w:pPr>
        <w:bidi w:val="0"/>
        <w:spacing w:after="200"/>
        <w:ind w:left="90"/>
      </w:pPr>
      <w:r>
        <w:t>Global feature-importance analysis for the hybrid model (Model B) yields the ranking summarized in the following table.</w:t>
      </w:r>
    </w:p>
    <w:p w14:paraId="780AA637" w14:textId="77777777" w:rsidR="00230BC8" w:rsidRDefault="00952EEA">
      <w:pPr>
        <w:bidi w:val="0"/>
        <w:spacing w:after="200"/>
        <w:ind w:left="90"/>
        <w:jc w:val="center"/>
      </w:pPr>
      <w:r>
        <w:rPr>
          <w:sz w:val="20"/>
        </w:rPr>
        <w:t>Table (5): Feature importance ranking for the hybrid model (Model B).</w:t>
      </w:r>
    </w:p>
    <w:tbl>
      <w:tblPr>
        <w:tblW w:w="10150" w:type="dxa"/>
        <w:jc w:val="center"/>
        <w:tblLayout w:type="fixed"/>
        <w:tblCellMar>
          <w:left w:w="10" w:type="dxa"/>
          <w:right w:w="10" w:type="dxa"/>
        </w:tblCellMar>
        <w:tblLook w:val="0000" w:firstRow="0" w:lastRow="0" w:firstColumn="0" w:lastColumn="0" w:noHBand="0" w:noVBand="0"/>
      </w:tblPr>
      <w:tblGrid>
        <w:gridCol w:w="624"/>
        <w:gridCol w:w="1752"/>
        <w:gridCol w:w="1665"/>
        <w:gridCol w:w="6109"/>
      </w:tblGrid>
      <w:tr w:rsidR="00230BC8" w14:paraId="3BF8D876" w14:textId="77777777">
        <w:trPr>
          <w:trHeight w:val="23"/>
          <w:jc w:val="center"/>
        </w:trPr>
        <w:tc>
          <w:tcPr>
            <w:tcW w:w="624" w:type="dxa"/>
            <w:tcBorders>
              <w:top w:val="single" w:sz="2" w:space="0" w:color="999999"/>
              <w:left w:val="single" w:sz="2" w:space="0" w:color="999999"/>
              <w:bottom w:val="single" w:sz="2" w:space="0" w:color="999999"/>
              <w:right w:val="single" w:sz="2" w:space="0" w:color="999999"/>
            </w:tcBorders>
            <w:shd w:val="clear" w:color="auto" w:fill="D5E8F0"/>
          </w:tcPr>
          <w:p w14:paraId="4B9771CF" w14:textId="77777777" w:rsidR="00230BC8" w:rsidRDefault="00952EEA">
            <w:pPr>
              <w:bidi w:val="0"/>
              <w:spacing w:after="200"/>
              <w:ind w:left="90"/>
              <w:jc w:val="both"/>
              <w:rPr>
                <w:sz w:val="22"/>
              </w:rPr>
            </w:pPr>
            <w:r>
              <w:rPr>
                <w:b/>
              </w:rPr>
              <w:t>Rank</w:t>
            </w:r>
          </w:p>
        </w:tc>
        <w:tc>
          <w:tcPr>
            <w:tcW w:w="1752" w:type="dxa"/>
            <w:tcBorders>
              <w:top w:val="single" w:sz="2" w:space="0" w:color="999999"/>
              <w:left w:val="single" w:sz="2" w:space="0" w:color="999999"/>
              <w:bottom w:val="single" w:sz="2" w:space="0" w:color="999999"/>
              <w:right w:val="single" w:sz="2" w:space="0" w:color="999999"/>
            </w:tcBorders>
            <w:shd w:val="clear" w:color="auto" w:fill="D5E8F0"/>
          </w:tcPr>
          <w:p w14:paraId="0BF5E659" w14:textId="77777777" w:rsidR="00230BC8" w:rsidRDefault="00952EEA">
            <w:pPr>
              <w:bidi w:val="0"/>
              <w:spacing w:after="200"/>
              <w:ind w:left="90"/>
              <w:jc w:val="both"/>
              <w:rPr>
                <w:sz w:val="22"/>
              </w:rPr>
            </w:pPr>
            <w:r>
              <w:rPr>
                <w:b/>
              </w:rPr>
              <w:t>Feature</w:t>
            </w:r>
          </w:p>
        </w:tc>
        <w:tc>
          <w:tcPr>
            <w:tcW w:w="1665" w:type="dxa"/>
            <w:tcBorders>
              <w:top w:val="single" w:sz="2" w:space="0" w:color="999999"/>
              <w:left w:val="single" w:sz="2" w:space="0" w:color="999999"/>
              <w:bottom w:val="single" w:sz="2" w:space="0" w:color="999999"/>
              <w:right w:val="single" w:sz="2" w:space="0" w:color="999999"/>
            </w:tcBorders>
            <w:shd w:val="clear" w:color="auto" w:fill="D5E8F0"/>
          </w:tcPr>
          <w:p w14:paraId="73929721" w14:textId="77777777" w:rsidR="00230BC8" w:rsidRDefault="00952EEA">
            <w:pPr>
              <w:bidi w:val="0"/>
              <w:spacing w:after="200"/>
              <w:ind w:left="90"/>
              <w:jc w:val="both"/>
              <w:rPr>
                <w:sz w:val="22"/>
              </w:rPr>
            </w:pPr>
            <w:r>
              <w:rPr>
                <w:b/>
              </w:rPr>
              <w:t>Importance (%)</w:t>
            </w:r>
          </w:p>
        </w:tc>
        <w:tc>
          <w:tcPr>
            <w:tcW w:w="6109" w:type="dxa"/>
            <w:tcBorders>
              <w:top w:val="single" w:sz="2" w:space="0" w:color="999999"/>
              <w:left w:val="single" w:sz="2" w:space="0" w:color="999999"/>
              <w:bottom w:val="single" w:sz="2" w:space="0" w:color="999999"/>
              <w:right w:val="single" w:sz="2" w:space="0" w:color="999999"/>
            </w:tcBorders>
            <w:shd w:val="clear" w:color="auto" w:fill="D5E8F0"/>
          </w:tcPr>
          <w:p w14:paraId="59BCD309" w14:textId="77777777" w:rsidR="00230BC8" w:rsidRDefault="00952EEA">
            <w:pPr>
              <w:bidi w:val="0"/>
              <w:spacing w:after="200"/>
              <w:ind w:left="90"/>
              <w:jc w:val="both"/>
              <w:rPr>
                <w:sz w:val="22"/>
              </w:rPr>
            </w:pPr>
            <w:r>
              <w:rPr>
                <w:b/>
              </w:rPr>
              <w:t>Physical Interpretation</w:t>
            </w:r>
          </w:p>
        </w:tc>
      </w:tr>
      <w:tr w:rsidR="00230BC8" w14:paraId="452E70BA" w14:textId="77777777">
        <w:trPr>
          <w:trHeight w:val="23"/>
          <w:jc w:val="center"/>
        </w:trPr>
        <w:tc>
          <w:tcPr>
            <w:tcW w:w="624" w:type="dxa"/>
            <w:tcBorders>
              <w:top w:val="single" w:sz="2" w:space="0" w:color="999999"/>
              <w:left w:val="single" w:sz="2" w:space="0" w:color="999999"/>
              <w:bottom w:val="single" w:sz="2" w:space="0" w:color="999999"/>
              <w:right w:val="single" w:sz="2" w:space="0" w:color="999999"/>
            </w:tcBorders>
            <w:shd w:val="clear" w:color="auto" w:fill="FFFFFF"/>
          </w:tcPr>
          <w:p w14:paraId="5494F8B0" w14:textId="77777777" w:rsidR="00230BC8" w:rsidRDefault="00952EEA">
            <w:pPr>
              <w:bidi w:val="0"/>
              <w:spacing w:after="200"/>
              <w:ind w:left="90"/>
              <w:jc w:val="both"/>
              <w:rPr>
                <w:sz w:val="22"/>
              </w:rPr>
            </w:pPr>
            <w:r>
              <w:t>1</w:t>
            </w:r>
          </w:p>
        </w:tc>
        <w:tc>
          <w:tcPr>
            <w:tcW w:w="1752" w:type="dxa"/>
            <w:tcBorders>
              <w:top w:val="single" w:sz="2" w:space="0" w:color="999999"/>
              <w:left w:val="single" w:sz="2" w:space="0" w:color="999999"/>
              <w:bottom w:val="single" w:sz="2" w:space="0" w:color="999999"/>
              <w:right w:val="single" w:sz="2" w:space="0" w:color="999999"/>
            </w:tcBorders>
            <w:shd w:val="clear" w:color="auto" w:fill="FFFFFF"/>
          </w:tcPr>
          <w:p w14:paraId="72155F43" w14:textId="77777777" w:rsidR="00230BC8" w:rsidRDefault="00952EEA">
            <w:pPr>
              <w:bidi w:val="0"/>
              <w:spacing w:after="200"/>
              <w:ind w:left="90"/>
              <w:jc w:val="both"/>
              <w:rPr>
                <w:sz w:val="22"/>
              </w:rPr>
            </w:pPr>
            <w:proofErr w:type="spellStart"/>
            <w:r>
              <w:rPr>
                <w:b/>
              </w:rPr>
              <w:t>LST_Summer_C</w:t>
            </w:r>
            <w:proofErr w:type="spellEnd"/>
          </w:p>
        </w:tc>
        <w:tc>
          <w:tcPr>
            <w:tcW w:w="1665" w:type="dxa"/>
            <w:tcBorders>
              <w:top w:val="single" w:sz="2" w:space="0" w:color="999999"/>
              <w:left w:val="single" w:sz="2" w:space="0" w:color="999999"/>
              <w:bottom w:val="single" w:sz="2" w:space="0" w:color="999999"/>
              <w:right w:val="single" w:sz="2" w:space="0" w:color="999999"/>
            </w:tcBorders>
            <w:shd w:val="clear" w:color="auto" w:fill="E8F5E9"/>
          </w:tcPr>
          <w:p w14:paraId="38F479B0" w14:textId="77777777" w:rsidR="00230BC8" w:rsidRDefault="00952EEA">
            <w:pPr>
              <w:bidi w:val="0"/>
              <w:spacing w:after="200"/>
              <w:ind w:left="90"/>
              <w:jc w:val="both"/>
              <w:rPr>
                <w:sz w:val="22"/>
              </w:rPr>
            </w:pPr>
            <w:r>
              <w:t>33.7%</w:t>
            </w:r>
          </w:p>
        </w:tc>
        <w:tc>
          <w:tcPr>
            <w:tcW w:w="6109" w:type="dxa"/>
            <w:tcBorders>
              <w:top w:val="single" w:sz="2" w:space="0" w:color="999999"/>
              <w:left w:val="single" w:sz="2" w:space="0" w:color="999999"/>
              <w:bottom w:val="single" w:sz="2" w:space="0" w:color="999999"/>
              <w:right w:val="single" w:sz="2" w:space="0" w:color="999999"/>
            </w:tcBorders>
            <w:shd w:val="clear" w:color="auto" w:fill="FFFFFF"/>
          </w:tcPr>
          <w:p w14:paraId="15ED2198" w14:textId="77777777" w:rsidR="00230BC8" w:rsidRDefault="00952EEA">
            <w:pPr>
              <w:bidi w:val="0"/>
              <w:spacing w:after="200"/>
              <w:ind w:left="90"/>
              <w:jc w:val="both"/>
              <w:rPr>
                <w:sz w:val="22"/>
              </w:rPr>
            </w:pPr>
            <w:r>
              <w:t>Summer heat drives cooling demand → electricity → emissions</w:t>
            </w:r>
          </w:p>
        </w:tc>
      </w:tr>
      <w:tr w:rsidR="00230BC8" w14:paraId="491D2E7F" w14:textId="77777777">
        <w:trPr>
          <w:trHeight w:val="23"/>
          <w:jc w:val="center"/>
        </w:trPr>
        <w:tc>
          <w:tcPr>
            <w:tcW w:w="624" w:type="dxa"/>
            <w:tcBorders>
              <w:top w:val="single" w:sz="2" w:space="0" w:color="999999"/>
              <w:left w:val="single" w:sz="2" w:space="0" w:color="999999"/>
              <w:bottom w:val="single" w:sz="2" w:space="0" w:color="999999"/>
              <w:right w:val="single" w:sz="2" w:space="0" w:color="999999"/>
            </w:tcBorders>
            <w:shd w:val="clear" w:color="auto" w:fill="FFFFFF"/>
          </w:tcPr>
          <w:p w14:paraId="21A7655E" w14:textId="77777777" w:rsidR="00230BC8" w:rsidRDefault="00952EEA">
            <w:pPr>
              <w:bidi w:val="0"/>
              <w:spacing w:after="200"/>
              <w:ind w:left="90"/>
              <w:jc w:val="both"/>
              <w:rPr>
                <w:sz w:val="22"/>
              </w:rPr>
            </w:pPr>
            <w:r>
              <w:t>2</w:t>
            </w:r>
          </w:p>
        </w:tc>
        <w:tc>
          <w:tcPr>
            <w:tcW w:w="1752" w:type="dxa"/>
            <w:tcBorders>
              <w:top w:val="single" w:sz="2" w:space="0" w:color="999999"/>
              <w:left w:val="single" w:sz="2" w:space="0" w:color="999999"/>
              <w:bottom w:val="single" w:sz="2" w:space="0" w:color="999999"/>
              <w:right w:val="single" w:sz="2" w:space="0" w:color="999999"/>
            </w:tcBorders>
            <w:shd w:val="clear" w:color="auto" w:fill="FFFFFF"/>
          </w:tcPr>
          <w:p w14:paraId="2DE879CD" w14:textId="77777777" w:rsidR="00230BC8" w:rsidRDefault="00952EEA">
            <w:pPr>
              <w:bidi w:val="0"/>
              <w:spacing w:after="200"/>
              <w:ind w:left="90"/>
              <w:jc w:val="both"/>
              <w:rPr>
                <w:sz w:val="22"/>
              </w:rPr>
            </w:pPr>
            <w:proofErr w:type="spellStart"/>
            <w:r>
              <w:t>LST_Winter_C</w:t>
            </w:r>
            <w:proofErr w:type="spellEnd"/>
          </w:p>
        </w:tc>
        <w:tc>
          <w:tcPr>
            <w:tcW w:w="1665" w:type="dxa"/>
            <w:tcBorders>
              <w:top w:val="single" w:sz="2" w:space="0" w:color="999999"/>
              <w:left w:val="single" w:sz="2" w:space="0" w:color="999999"/>
              <w:bottom w:val="single" w:sz="2" w:space="0" w:color="999999"/>
              <w:right w:val="single" w:sz="2" w:space="0" w:color="999999"/>
            </w:tcBorders>
            <w:shd w:val="clear" w:color="auto" w:fill="FFFFFF"/>
          </w:tcPr>
          <w:p w14:paraId="4A957F38" w14:textId="77777777" w:rsidR="00230BC8" w:rsidRDefault="00952EEA">
            <w:pPr>
              <w:bidi w:val="0"/>
              <w:spacing w:after="200"/>
              <w:ind w:left="90"/>
              <w:jc w:val="both"/>
              <w:rPr>
                <w:sz w:val="22"/>
              </w:rPr>
            </w:pPr>
            <w:r>
              <w:t>22.3%</w:t>
            </w:r>
          </w:p>
        </w:tc>
        <w:tc>
          <w:tcPr>
            <w:tcW w:w="6109" w:type="dxa"/>
            <w:tcBorders>
              <w:top w:val="single" w:sz="2" w:space="0" w:color="999999"/>
              <w:left w:val="single" w:sz="2" w:space="0" w:color="999999"/>
              <w:bottom w:val="single" w:sz="2" w:space="0" w:color="999999"/>
              <w:right w:val="single" w:sz="2" w:space="0" w:color="999999"/>
            </w:tcBorders>
            <w:shd w:val="clear" w:color="auto" w:fill="FFFFFF"/>
          </w:tcPr>
          <w:p w14:paraId="643E67B3" w14:textId="77777777" w:rsidR="00230BC8" w:rsidRDefault="00952EEA">
            <w:pPr>
              <w:bidi w:val="0"/>
              <w:spacing w:after="200"/>
              <w:ind w:left="90"/>
              <w:jc w:val="both"/>
              <w:rPr>
                <w:sz w:val="22"/>
              </w:rPr>
            </w:pPr>
            <w:r>
              <w:t>Baseline thermal conditions, some industrial correlation</w:t>
            </w:r>
          </w:p>
        </w:tc>
      </w:tr>
      <w:tr w:rsidR="00230BC8" w14:paraId="58A24D1C" w14:textId="77777777">
        <w:trPr>
          <w:trHeight w:val="23"/>
          <w:jc w:val="center"/>
        </w:trPr>
        <w:tc>
          <w:tcPr>
            <w:tcW w:w="624" w:type="dxa"/>
            <w:tcBorders>
              <w:top w:val="single" w:sz="2" w:space="0" w:color="999999"/>
              <w:left w:val="single" w:sz="2" w:space="0" w:color="999999"/>
              <w:bottom w:val="single" w:sz="2" w:space="0" w:color="999999"/>
              <w:right w:val="single" w:sz="2" w:space="0" w:color="999999"/>
            </w:tcBorders>
            <w:shd w:val="clear" w:color="auto" w:fill="FFFFFF"/>
          </w:tcPr>
          <w:p w14:paraId="7F8D8A43" w14:textId="77777777" w:rsidR="00230BC8" w:rsidRDefault="00952EEA">
            <w:pPr>
              <w:bidi w:val="0"/>
              <w:spacing w:after="200"/>
              <w:ind w:left="90"/>
              <w:jc w:val="both"/>
              <w:rPr>
                <w:sz w:val="22"/>
              </w:rPr>
            </w:pPr>
            <w:r>
              <w:t>3</w:t>
            </w:r>
          </w:p>
        </w:tc>
        <w:tc>
          <w:tcPr>
            <w:tcW w:w="1752" w:type="dxa"/>
            <w:tcBorders>
              <w:top w:val="single" w:sz="2" w:space="0" w:color="999999"/>
              <w:left w:val="single" w:sz="2" w:space="0" w:color="999999"/>
              <w:bottom w:val="single" w:sz="2" w:space="0" w:color="999999"/>
              <w:right w:val="single" w:sz="2" w:space="0" w:color="999999"/>
            </w:tcBorders>
            <w:shd w:val="clear" w:color="auto" w:fill="FFFFFF"/>
          </w:tcPr>
          <w:p w14:paraId="73FE1B28" w14:textId="77777777" w:rsidR="00230BC8" w:rsidRDefault="00952EEA">
            <w:pPr>
              <w:bidi w:val="0"/>
              <w:spacing w:after="200"/>
              <w:ind w:left="90"/>
              <w:jc w:val="both"/>
              <w:rPr>
                <w:sz w:val="22"/>
              </w:rPr>
            </w:pPr>
            <w:proofErr w:type="spellStart"/>
            <w:r>
              <w:t>Night_Lights</w:t>
            </w:r>
            <w:proofErr w:type="spellEnd"/>
          </w:p>
        </w:tc>
        <w:tc>
          <w:tcPr>
            <w:tcW w:w="1665" w:type="dxa"/>
            <w:tcBorders>
              <w:top w:val="single" w:sz="2" w:space="0" w:color="999999"/>
              <w:left w:val="single" w:sz="2" w:space="0" w:color="999999"/>
              <w:bottom w:val="single" w:sz="2" w:space="0" w:color="999999"/>
              <w:right w:val="single" w:sz="2" w:space="0" w:color="999999"/>
            </w:tcBorders>
            <w:shd w:val="clear" w:color="auto" w:fill="FFFFFF"/>
          </w:tcPr>
          <w:p w14:paraId="7664C03E" w14:textId="77777777" w:rsidR="00230BC8" w:rsidRDefault="00952EEA">
            <w:pPr>
              <w:bidi w:val="0"/>
              <w:spacing w:after="200"/>
              <w:ind w:left="90"/>
              <w:jc w:val="both"/>
              <w:rPr>
                <w:sz w:val="22"/>
              </w:rPr>
            </w:pPr>
            <w:r>
              <w:t>21.9%</w:t>
            </w:r>
          </w:p>
        </w:tc>
        <w:tc>
          <w:tcPr>
            <w:tcW w:w="6109" w:type="dxa"/>
            <w:tcBorders>
              <w:top w:val="single" w:sz="2" w:space="0" w:color="999999"/>
              <w:left w:val="single" w:sz="2" w:space="0" w:color="999999"/>
              <w:bottom w:val="single" w:sz="2" w:space="0" w:color="999999"/>
              <w:right w:val="single" w:sz="2" w:space="0" w:color="999999"/>
            </w:tcBorders>
            <w:shd w:val="clear" w:color="auto" w:fill="FFFFFF"/>
          </w:tcPr>
          <w:p w14:paraId="12300E53" w14:textId="77777777" w:rsidR="00230BC8" w:rsidRDefault="00952EEA">
            <w:pPr>
              <w:bidi w:val="0"/>
              <w:spacing w:after="200"/>
              <w:ind w:left="90"/>
              <w:jc w:val="both"/>
              <w:rPr>
                <w:sz w:val="22"/>
              </w:rPr>
            </w:pPr>
            <w:r>
              <w:t>Urbanization, economic activity, electricity consumption</w:t>
            </w:r>
          </w:p>
        </w:tc>
      </w:tr>
      <w:tr w:rsidR="00230BC8" w14:paraId="22277EBB" w14:textId="77777777">
        <w:trPr>
          <w:trHeight w:val="23"/>
          <w:jc w:val="center"/>
        </w:trPr>
        <w:tc>
          <w:tcPr>
            <w:tcW w:w="624" w:type="dxa"/>
            <w:tcBorders>
              <w:top w:val="single" w:sz="2" w:space="0" w:color="999999"/>
              <w:left w:val="single" w:sz="2" w:space="0" w:color="999999"/>
              <w:bottom w:val="single" w:sz="2" w:space="0" w:color="999999"/>
              <w:right w:val="single" w:sz="2" w:space="0" w:color="999999"/>
            </w:tcBorders>
            <w:shd w:val="clear" w:color="auto" w:fill="FFFFFF"/>
          </w:tcPr>
          <w:p w14:paraId="65750589" w14:textId="77777777" w:rsidR="00230BC8" w:rsidRDefault="00952EEA">
            <w:pPr>
              <w:bidi w:val="0"/>
              <w:spacing w:after="200"/>
              <w:ind w:left="90"/>
              <w:jc w:val="both"/>
              <w:rPr>
                <w:sz w:val="22"/>
              </w:rPr>
            </w:pPr>
            <w:r>
              <w:t>4</w:t>
            </w:r>
          </w:p>
        </w:tc>
        <w:tc>
          <w:tcPr>
            <w:tcW w:w="1752" w:type="dxa"/>
            <w:tcBorders>
              <w:top w:val="single" w:sz="2" w:space="0" w:color="999999"/>
              <w:left w:val="single" w:sz="2" w:space="0" w:color="999999"/>
              <w:bottom w:val="single" w:sz="2" w:space="0" w:color="999999"/>
              <w:right w:val="single" w:sz="2" w:space="0" w:color="999999"/>
            </w:tcBorders>
            <w:shd w:val="clear" w:color="auto" w:fill="FFFFFF"/>
          </w:tcPr>
          <w:p w14:paraId="556234DB" w14:textId="77777777" w:rsidR="00230BC8" w:rsidRDefault="00952EEA">
            <w:pPr>
              <w:bidi w:val="0"/>
              <w:spacing w:after="200"/>
              <w:ind w:left="90"/>
              <w:jc w:val="both"/>
              <w:rPr>
                <w:sz w:val="22"/>
              </w:rPr>
            </w:pPr>
            <w:proofErr w:type="spellStart"/>
            <w:r>
              <w:t>log_pop_density</w:t>
            </w:r>
            <w:proofErr w:type="spellEnd"/>
          </w:p>
        </w:tc>
        <w:tc>
          <w:tcPr>
            <w:tcW w:w="1665" w:type="dxa"/>
            <w:tcBorders>
              <w:top w:val="single" w:sz="2" w:space="0" w:color="999999"/>
              <w:left w:val="single" w:sz="2" w:space="0" w:color="999999"/>
              <w:bottom w:val="single" w:sz="2" w:space="0" w:color="999999"/>
              <w:right w:val="single" w:sz="2" w:space="0" w:color="999999"/>
            </w:tcBorders>
            <w:shd w:val="clear" w:color="auto" w:fill="FFFFFF"/>
          </w:tcPr>
          <w:p w14:paraId="33929877" w14:textId="77777777" w:rsidR="00230BC8" w:rsidRDefault="00952EEA">
            <w:pPr>
              <w:bidi w:val="0"/>
              <w:spacing w:after="200"/>
              <w:ind w:left="90"/>
              <w:jc w:val="both"/>
              <w:rPr>
                <w:sz w:val="22"/>
              </w:rPr>
            </w:pPr>
            <w:r>
              <w:t>12.8%</w:t>
            </w:r>
          </w:p>
        </w:tc>
        <w:tc>
          <w:tcPr>
            <w:tcW w:w="6109" w:type="dxa"/>
            <w:tcBorders>
              <w:top w:val="single" w:sz="2" w:space="0" w:color="999999"/>
              <w:left w:val="single" w:sz="2" w:space="0" w:color="999999"/>
              <w:bottom w:val="single" w:sz="2" w:space="0" w:color="999999"/>
              <w:right w:val="single" w:sz="2" w:space="0" w:color="999999"/>
            </w:tcBorders>
            <w:shd w:val="clear" w:color="auto" w:fill="FFFFFF"/>
          </w:tcPr>
          <w:p w14:paraId="19EFDE15" w14:textId="77777777" w:rsidR="00230BC8" w:rsidRDefault="00952EEA">
            <w:pPr>
              <w:bidi w:val="0"/>
              <w:spacing w:after="200"/>
              <w:ind w:left="90"/>
              <w:jc w:val="both"/>
              <w:rPr>
                <w:sz w:val="22"/>
              </w:rPr>
            </w:pPr>
            <w:r>
              <w:t>Population concentration, urban emissions</w:t>
            </w:r>
          </w:p>
        </w:tc>
      </w:tr>
      <w:tr w:rsidR="00230BC8" w14:paraId="529F2678" w14:textId="77777777">
        <w:trPr>
          <w:trHeight w:val="23"/>
          <w:jc w:val="center"/>
        </w:trPr>
        <w:tc>
          <w:tcPr>
            <w:tcW w:w="624" w:type="dxa"/>
            <w:tcBorders>
              <w:top w:val="single" w:sz="2" w:space="0" w:color="999999"/>
              <w:left w:val="single" w:sz="2" w:space="0" w:color="999999"/>
              <w:bottom w:val="single" w:sz="2" w:space="0" w:color="999999"/>
              <w:right w:val="single" w:sz="2" w:space="0" w:color="999999"/>
            </w:tcBorders>
            <w:shd w:val="clear" w:color="auto" w:fill="FFFFFF"/>
          </w:tcPr>
          <w:p w14:paraId="6035A120" w14:textId="77777777" w:rsidR="00230BC8" w:rsidRDefault="00952EEA">
            <w:pPr>
              <w:bidi w:val="0"/>
              <w:spacing w:after="200"/>
              <w:ind w:left="90"/>
              <w:jc w:val="both"/>
              <w:rPr>
                <w:sz w:val="22"/>
              </w:rPr>
            </w:pPr>
            <w:r>
              <w:t>5</w:t>
            </w:r>
          </w:p>
        </w:tc>
        <w:tc>
          <w:tcPr>
            <w:tcW w:w="1752" w:type="dxa"/>
            <w:tcBorders>
              <w:top w:val="single" w:sz="2" w:space="0" w:color="999999"/>
              <w:left w:val="single" w:sz="2" w:space="0" w:color="999999"/>
              <w:bottom w:val="single" w:sz="2" w:space="0" w:color="999999"/>
              <w:right w:val="single" w:sz="2" w:space="0" w:color="999999"/>
            </w:tcBorders>
            <w:shd w:val="clear" w:color="auto" w:fill="FFFFFF"/>
          </w:tcPr>
          <w:p w14:paraId="047336A0" w14:textId="77777777" w:rsidR="00230BC8" w:rsidRDefault="00952EEA">
            <w:pPr>
              <w:bidi w:val="0"/>
              <w:spacing w:after="200"/>
              <w:ind w:left="90"/>
              <w:jc w:val="both"/>
              <w:rPr>
                <w:sz w:val="22"/>
              </w:rPr>
            </w:pPr>
            <w:proofErr w:type="spellStart"/>
            <w:r>
              <w:t>NDVI_Spring</w:t>
            </w:r>
            <w:proofErr w:type="spellEnd"/>
          </w:p>
        </w:tc>
        <w:tc>
          <w:tcPr>
            <w:tcW w:w="1665" w:type="dxa"/>
            <w:tcBorders>
              <w:top w:val="single" w:sz="2" w:space="0" w:color="999999"/>
              <w:left w:val="single" w:sz="2" w:space="0" w:color="999999"/>
              <w:bottom w:val="single" w:sz="2" w:space="0" w:color="999999"/>
              <w:right w:val="single" w:sz="2" w:space="0" w:color="999999"/>
            </w:tcBorders>
            <w:shd w:val="clear" w:color="auto" w:fill="FFFFFF"/>
          </w:tcPr>
          <w:p w14:paraId="53033E1D" w14:textId="77777777" w:rsidR="00230BC8" w:rsidRDefault="00952EEA">
            <w:pPr>
              <w:bidi w:val="0"/>
              <w:spacing w:after="200"/>
              <w:ind w:left="90"/>
              <w:jc w:val="both"/>
              <w:rPr>
                <w:sz w:val="22"/>
              </w:rPr>
            </w:pPr>
            <w:r>
              <w:t>5.2%</w:t>
            </w:r>
          </w:p>
        </w:tc>
        <w:tc>
          <w:tcPr>
            <w:tcW w:w="6109" w:type="dxa"/>
            <w:tcBorders>
              <w:top w:val="single" w:sz="2" w:space="0" w:color="999999"/>
              <w:left w:val="single" w:sz="2" w:space="0" w:color="999999"/>
              <w:bottom w:val="single" w:sz="2" w:space="0" w:color="999999"/>
              <w:right w:val="single" w:sz="2" w:space="0" w:color="999999"/>
            </w:tcBorders>
            <w:shd w:val="clear" w:color="auto" w:fill="FFFFFF"/>
          </w:tcPr>
          <w:p w14:paraId="3E72BBE5" w14:textId="77777777" w:rsidR="00230BC8" w:rsidRDefault="00952EEA">
            <w:pPr>
              <w:bidi w:val="0"/>
              <w:spacing w:after="200"/>
              <w:ind w:left="90"/>
              <w:jc w:val="both"/>
              <w:rPr>
                <w:sz w:val="22"/>
              </w:rPr>
            </w:pPr>
            <w:r>
              <w:t>Agricultural activity, limited vegetation in GCC</w:t>
            </w:r>
          </w:p>
        </w:tc>
      </w:tr>
      <w:tr w:rsidR="00230BC8" w14:paraId="5D8450E1" w14:textId="77777777">
        <w:trPr>
          <w:trHeight w:val="23"/>
          <w:jc w:val="center"/>
        </w:trPr>
        <w:tc>
          <w:tcPr>
            <w:tcW w:w="624" w:type="dxa"/>
            <w:tcBorders>
              <w:top w:val="single" w:sz="2" w:space="0" w:color="999999"/>
              <w:left w:val="single" w:sz="2" w:space="0" w:color="999999"/>
              <w:bottom w:val="single" w:sz="2" w:space="0" w:color="999999"/>
              <w:right w:val="single" w:sz="2" w:space="0" w:color="999999"/>
            </w:tcBorders>
            <w:shd w:val="clear" w:color="auto" w:fill="FFFFFF"/>
          </w:tcPr>
          <w:p w14:paraId="3E93A11C" w14:textId="77777777" w:rsidR="00230BC8" w:rsidRDefault="00952EEA">
            <w:pPr>
              <w:bidi w:val="0"/>
              <w:spacing w:after="200"/>
              <w:ind w:left="90"/>
              <w:jc w:val="both"/>
              <w:rPr>
                <w:sz w:val="22"/>
              </w:rPr>
            </w:pPr>
            <w:r>
              <w:t>6</w:t>
            </w:r>
          </w:p>
        </w:tc>
        <w:tc>
          <w:tcPr>
            <w:tcW w:w="1752" w:type="dxa"/>
            <w:tcBorders>
              <w:top w:val="single" w:sz="2" w:space="0" w:color="999999"/>
              <w:left w:val="single" w:sz="2" w:space="0" w:color="999999"/>
              <w:bottom w:val="single" w:sz="2" w:space="0" w:color="999999"/>
              <w:right w:val="single" w:sz="2" w:space="0" w:color="999999"/>
            </w:tcBorders>
            <w:shd w:val="clear" w:color="auto" w:fill="FFFFFF"/>
          </w:tcPr>
          <w:p w14:paraId="40988F01" w14:textId="77777777" w:rsidR="00230BC8" w:rsidRDefault="00952EEA">
            <w:pPr>
              <w:bidi w:val="0"/>
              <w:spacing w:after="200"/>
              <w:ind w:left="90"/>
              <w:jc w:val="both"/>
              <w:rPr>
                <w:sz w:val="22"/>
              </w:rPr>
            </w:pPr>
            <w:proofErr w:type="spellStart"/>
            <w:r>
              <w:t>AOD_Annual</w:t>
            </w:r>
            <w:proofErr w:type="spellEnd"/>
          </w:p>
        </w:tc>
        <w:tc>
          <w:tcPr>
            <w:tcW w:w="1665" w:type="dxa"/>
            <w:tcBorders>
              <w:top w:val="single" w:sz="2" w:space="0" w:color="999999"/>
              <w:left w:val="single" w:sz="2" w:space="0" w:color="999999"/>
              <w:bottom w:val="single" w:sz="2" w:space="0" w:color="999999"/>
              <w:right w:val="single" w:sz="2" w:space="0" w:color="999999"/>
            </w:tcBorders>
            <w:shd w:val="clear" w:color="auto" w:fill="FFFFFF"/>
          </w:tcPr>
          <w:p w14:paraId="37B2FF6B" w14:textId="77777777" w:rsidR="00230BC8" w:rsidRDefault="00952EEA">
            <w:pPr>
              <w:bidi w:val="0"/>
              <w:spacing w:after="200"/>
              <w:ind w:left="90"/>
              <w:jc w:val="both"/>
              <w:rPr>
                <w:sz w:val="22"/>
              </w:rPr>
            </w:pPr>
            <w:r>
              <w:t>4.1%</w:t>
            </w:r>
          </w:p>
        </w:tc>
        <w:tc>
          <w:tcPr>
            <w:tcW w:w="6109" w:type="dxa"/>
            <w:tcBorders>
              <w:top w:val="single" w:sz="2" w:space="0" w:color="999999"/>
              <w:left w:val="single" w:sz="2" w:space="0" w:color="999999"/>
              <w:bottom w:val="single" w:sz="2" w:space="0" w:color="999999"/>
              <w:right w:val="single" w:sz="2" w:space="0" w:color="999999"/>
            </w:tcBorders>
            <w:shd w:val="clear" w:color="auto" w:fill="FFFFFF"/>
          </w:tcPr>
          <w:p w14:paraId="68FD6E7B" w14:textId="77777777" w:rsidR="00230BC8" w:rsidRDefault="00952EEA">
            <w:pPr>
              <w:bidi w:val="0"/>
              <w:spacing w:after="200"/>
              <w:ind w:left="90"/>
              <w:jc w:val="both"/>
              <w:rPr>
                <w:sz w:val="22"/>
              </w:rPr>
            </w:pPr>
            <w:r>
              <w:t>Aerosol loading, confounded by natural dust</w:t>
            </w:r>
          </w:p>
        </w:tc>
      </w:tr>
    </w:tbl>
    <w:p w14:paraId="381FACAB" w14:textId="77777777" w:rsidR="00230BC8" w:rsidRDefault="00230BC8">
      <w:pPr>
        <w:bidi w:val="0"/>
        <w:spacing w:after="200"/>
        <w:ind w:left="90"/>
      </w:pPr>
    </w:p>
    <w:p w14:paraId="322FE94C" w14:textId="44152875" w:rsidR="00230BC8" w:rsidRDefault="00952EEA">
      <w:pPr>
        <w:bidi w:val="0"/>
        <w:spacing w:after="200"/>
        <w:ind w:left="90"/>
      </w:pPr>
      <w:r>
        <w:t xml:space="preserve">Summer and winter LST, night-time lights, and population density dominate the ranking. This is physically consistent with the GCC's energy profile, where electricity demand for cooling and lighting plays a central role. </w:t>
      </w:r>
      <w:proofErr w:type="spellStart"/>
      <w:r>
        <w:t>NDVI_Spring</w:t>
      </w:r>
      <w:proofErr w:type="spellEnd"/>
      <w:r>
        <w:t xml:space="preserve"> and </w:t>
      </w:r>
      <w:proofErr w:type="spellStart"/>
      <w:r>
        <w:t>AOD_Annual</w:t>
      </w:r>
      <w:proofErr w:type="spellEnd"/>
      <w:r>
        <w:t xml:space="preserve"> add secondary information. NO₂ contributes primarily </w:t>
      </w:r>
      <w:proofErr w:type="gramStart"/>
      <w:r>
        <w:t>in</w:t>
      </w:r>
      <w:proofErr w:type="gramEnd"/>
      <w:r>
        <w:t xml:space="preserve"> recent years where data exist.</w:t>
      </w:r>
      <w:r w:rsidR="00424400">
        <w:rPr>
          <w:noProof/>
        </w:rPr>
        <mc:AlternateContent>
          <mc:Choice Requires="wps">
            <w:drawing>
              <wp:anchor distT="0" distB="0" distL="114300" distR="114300" simplePos="0" relativeHeight="251657216" behindDoc="0" locked="0" layoutInCell="1" allowOverlap="1" wp14:anchorId="6497C58E" wp14:editId="3040E16F">
                <wp:simplePos x="0" y="0"/>
                <wp:positionH relativeFrom="column">
                  <wp:posOffset>0</wp:posOffset>
                </wp:positionH>
                <wp:positionV relativeFrom="paragraph">
                  <wp:posOffset>0</wp:posOffset>
                </wp:positionV>
                <wp:extent cx="635000" cy="635000"/>
                <wp:effectExtent l="0" t="0" r="3175" b="3175"/>
                <wp:wrapNone/>
                <wp:docPr id="1552685361" name="_x0000_tole_rId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186E8" id="_x0000_tole_rId26" o:spid="_x0000_s1026" style="position:absolute;left:0;text-align:left;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object w:dxaOrig="7604" w:dyaOrig="5309" w14:anchorId="2D82D1BF">
          <v:shape id="ole_rId26" o:spid="_x0000_i1029" type="#_x0000_t75" style="width:380.25pt;height:265.5pt;visibility:visible" o:ole="">
            <v:imagedata r:id="rId31" o:title=""/>
          </v:shape>
          <o:OLEObject Type="Embed" ProgID="StaticMetafile" ShapeID="ole_rId26" DrawAspect="Content" ObjectID="_1827584654" r:id="rId32"/>
        </w:object>
      </w:r>
    </w:p>
    <w:p w14:paraId="2A216180" w14:textId="2DB83586" w:rsidR="00230BC8" w:rsidRDefault="00952EEA" w:rsidP="00FB2617">
      <w:pPr>
        <w:bidi w:val="0"/>
        <w:spacing w:after="200"/>
        <w:ind w:left="90"/>
        <w:jc w:val="center"/>
        <w:rPr>
          <w:b/>
        </w:rPr>
      </w:pPr>
      <w:r>
        <w:rPr>
          <w:sz w:val="20"/>
        </w:rPr>
        <w:t>Figure 11: Feature importance analysis</w:t>
      </w:r>
      <w:r>
        <w:rPr>
          <w:sz w:val="20"/>
        </w:rPr>
        <w:br w:type="page"/>
      </w:r>
    </w:p>
    <w:p w14:paraId="5DA64723" w14:textId="77777777" w:rsidR="00230BC8" w:rsidRDefault="00952EEA">
      <w:pPr>
        <w:pStyle w:val="Heading21"/>
        <w:keepNext/>
        <w:keepLines/>
        <w:spacing w:before="200" w:after="0"/>
        <w:ind w:left="90"/>
        <w:rPr>
          <w:rFonts w:eastAsia="Calibri"/>
        </w:rPr>
      </w:pPr>
      <w:r>
        <w:rPr>
          <w:sz w:val="24"/>
        </w:rPr>
        <w:lastRenderedPageBreak/>
        <w:t>8.4 Country-Level Performance</w:t>
      </w:r>
    </w:p>
    <w:p w14:paraId="4F03E92C" w14:textId="77777777" w:rsidR="00230BC8" w:rsidRDefault="00952EEA">
      <w:pPr>
        <w:bidi w:val="0"/>
        <w:spacing w:after="200"/>
        <w:ind w:left="90"/>
      </w:pPr>
      <w:r>
        <w:t>Country-level performance for the hybrid model (Model B) is summarized in the next table.</w:t>
      </w:r>
    </w:p>
    <w:p w14:paraId="6415268E" w14:textId="77777777" w:rsidR="00230BC8" w:rsidRDefault="00952EEA">
      <w:pPr>
        <w:bidi w:val="0"/>
        <w:spacing w:after="200"/>
        <w:ind w:left="90"/>
      </w:pPr>
      <w:r>
        <w:rPr>
          <w:sz w:val="20"/>
        </w:rPr>
        <w:t>Table (6): Country-level hybrid model performance (Model B).</w:t>
      </w:r>
    </w:p>
    <w:tbl>
      <w:tblPr>
        <w:tblW w:w="10104" w:type="dxa"/>
        <w:jc w:val="center"/>
        <w:tblLayout w:type="fixed"/>
        <w:tblCellMar>
          <w:left w:w="10" w:type="dxa"/>
          <w:right w:w="10" w:type="dxa"/>
        </w:tblCellMar>
        <w:tblLook w:val="0000" w:firstRow="0" w:lastRow="0" w:firstColumn="0" w:lastColumn="0" w:noHBand="0" w:noVBand="0"/>
      </w:tblPr>
      <w:tblGrid>
        <w:gridCol w:w="1793"/>
        <w:gridCol w:w="990"/>
        <w:gridCol w:w="1602"/>
        <w:gridCol w:w="2152"/>
        <w:gridCol w:w="3567"/>
      </w:tblGrid>
      <w:tr w:rsidR="00230BC8" w14:paraId="0B12534A" w14:textId="77777777">
        <w:trPr>
          <w:trHeight w:val="23"/>
          <w:jc w:val="center"/>
        </w:trPr>
        <w:tc>
          <w:tcPr>
            <w:tcW w:w="1793" w:type="dxa"/>
            <w:tcBorders>
              <w:top w:val="single" w:sz="2" w:space="0" w:color="999999"/>
              <w:left w:val="single" w:sz="2" w:space="0" w:color="999999"/>
              <w:bottom w:val="single" w:sz="2" w:space="0" w:color="999999"/>
              <w:right w:val="single" w:sz="2" w:space="0" w:color="999999"/>
            </w:tcBorders>
            <w:shd w:val="clear" w:color="auto" w:fill="D5E8F0"/>
          </w:tcPr>
          <w:p w14:paraId="1A75132B" w14:textId="77777777" w:rsidR="00230BC8" w:rsidRDefault="00952EEA">
            <w:pPr>
              <w:bidi w:val="0"/>
              <w:spacing w:after="200"/>
              <w:ind w:left="90"/>
              <w:jc w:val="both"/>
              <w:rPr>
                <w:sz w:val="22"/>
              </w:rPr>
            </w:pPr>
            <w:r>
              <w:rPr>
                <w:b/>
              </w:rPr>
              <w:t>Country</w:t>
            </w:r>
          </w:p>
        </w:tc>
        <w:tc>
          <w:tcPr>
            <w:tcW w:w="990" w:type="dxa"/>
            <w:tcBorders>
              <w:top w:val="single" w:sz="2" w:space="0" w:color="999999"/>
              <w:left w:val="single" w:sz="2" w:space="0" w:color="999999"/>
              <w:bottom w:val="single" w:sz="2" w:space="0" w:color="999999"/>
              <w:right w:val="single" w:sz="2" w:space="0" w:color="999999"/>
            </w:tcBorders>
            <w:shd w:val="clear" w:color="auto" w:fill="D5E8F0"/>
          </w:tcPr>
          <w:p w14:paraId="186D1C95" w14:textId="77777777" w:rsidR="00230BC8" w:rsidRDefault="00952EEA">
            <w:pPr>
              <w:bidi w:val="0"/>
              <w:spacing w:after="200"/>
              <w:ind w:left="90"/>
              <w:jc w:val="both"/>
              <w:rPr>
                <w:sz w:val="22"/>
              </w:rPr>
            </w:pPr>
            <w:r>
              <w:rPr>
                <w:b/>
              </w:rPr>
              <w:t>Test R²</w:t>
            </w:r>
          </w:p>
        </w:tc>
        <w:tc>
          <w:tcPr>
            <w:tcW w:w="1602" w:type="dxa"/>
            <w:tcBorders>
              <w:top w:val="single" w:sz="2" w:space="0" w:color="999999"/>
              <w:left w:val="single" w:sz="2" w:space="0" w:color="999999"/>
              <w:bottom w:val="single" w:sz="2" w:space="0" w:color="999999"/>
              <w:right w:val="single" w:sz="2" w:space="0" w:color="999999"/>
            </w:tcBorders>
            <w:shd w:val="clear" w:color="auto" w:fill="D5E8F0"/>
          </w:tcPr>
          <w:p w14:paraId="2CEE504E" w14:textId="77777777" w:rsidR="00230BC8" w:rsidRDefault="00952EEA">
            <w:pPr>
              <w:bidi w:val="0"/>
              <w:spacing w:after="200"/>
              <w:ind w:left="90"/>
              <w:jc w:val="both"/>
              <w:rPr>
                <w:sz w:val="22"/>
              </w:rPr>
            </w:pPr>
            <w:r>
              <w:rPr>
                <w:b/>
              </w:rPr>
              <w:t>RMSE (Mt)</w:t>
            </w:r>
          </w:p>
        </w:tc>
        <w:tc>
          <w:tcPr>
            <w:tcW w:w="2152" w:type="dxa"/>
            <w:tcBorders>
              <w:top w:val="single" w:sz="2" w:space="0" w:color="999999"/>
              <w:left w:val="single" w:sz="2" w:space="0" w:color="999999"/>
              <w:bottom w:val="single" w:sz="2" w:space="0" w:color="999999"/>
              <w:right w:val="single" w:sz="2" w:space="0" w:color="999999"/>
            </w:tcBorders>
            <w:shd w:val="clear" w:color="auto" w:fill="D5E8F0"/>
          </w:tcPr>
          <w:p w14:paraId="4D8B8173" w14:textId="77777777" w:rsidR="00230BC8" w:rsidRDefault="00952EEA">
            <w:pPr>
              <w:bidi w:val="0"/>
              <w:spacing w:after="200"/>
              <w:ind w:left="90"/>
              <w:jc w:val="both"/>
              <w:rPr>
                <w:sz w:val="22"/>
              </w:rPr>
            </w:pPr>
            <w:r>
              <w:rPr>
                <w:b/>
              </w:rPr>
              <w:t>Emission Range</w:t>
            </w:r>
          </w:p>
        </w:tc>
        <w:tc>
          <w:tcPr>
            <w:tcW w:w="3567" w:type="dxa"/>
            <w:tcBorders>
              <w:top w:val="single" w:sz="2" w:space="0" w:color="999999"/>
              <w:left w:val="single" w:sz="2" w:space="0" w:color="999999"/>
              <w:bottom w:val="single" w:sz="2" w:space="0" w:color="999999"/>
              <w:right w:val="single" w:sz="2" w:space="0" w:color="999999"/>
            </w:tcBorders>
            <w:shd w:val="clear" w:color="auto" w:fill="D5E8F0"/>
          </w:tcPr>
          <w:p w14:paraId="7BF1ECB2" w14:textId="77777777" w:rsidR="00230BC8" w:rsidRDefault="00952EEA">
            <w:pPr>
              <w:bidi w:val="0"/>
              <w:spacing w:after="200"/>
              <w:ind w:left="90"/>
              <w:jc w:val="both"/>
              <w:rPr>
                <w:sz w:val="22"/>
              </w:rPr>
            </w:pPr>
            <w:r>
              <w:rPr>
                <w:b/>
              </w:rPr>
              <w:t>Notes</w:t>
            </w:r>
          </w:p>
        </w:tc>
      </w:tr>
      <w:tr w:rsidR="00230BC8" w14:paraId="6A37BC6C" w14:textId="77777777">
        <w:trPr>
          <w:trHeight w:val="23"/>
          <w:jc w:val="center"/>
        </w:trPr>
        <w:tc>
          <w:tcPr>
            <w:tcW w:w="1793" w:type="dxa"/>
            <w:tcBorders>
              <w:top w:val="single" w:sz="2" w:space="0" w:color="999999"/>
              <w:left w:val="single" w:sz="2" w:space="0" w:color="999999"/>
              <w:bottom w:val="single" w:sz="2" w:space="0" w:color="999999"/>
              <w:right w:val="single" w:sz="2" w:space="0" w:color="999999"/>
            </w:tcBorders>
            <w:shd w:val="clear" w:color="auto" w:fill="FFFFFF"/>
          </w:tcPr>
          <w:p w14:paraId="591203A4" w14:textId="77777777" w:rsidR="00230BC8" w:rsidRDefault="00952EEA">
            <w:pPr>
              <w:bidi w:val="0"/>
              <w:spacing w:after="200"/>
              <w:ind w:left="90"/>
              <w:jc w:val="both"/>
              <w:rPr>
                <w:sz w:val="22"/>
              </w:rPr>
            </w:pPr>
            <w:r>
              <w:rPr>
                <w:b/>
              </w:rPr>
              <w:t>Saudi Arabia</w:t>
            </w:r>
          </w:p>
        </w:tc>
        <w:tc>
          <w:tcPr>
            <w:tcW w:w="990" w:type="dxa"/>
            <w:tcBorders>
              <w:top w:val="single" w:sz="2" w:space="0" w:color="999999"/>
              <w:left w:val="single" w:sz="2" w:space="0" w:color="999999"/>
              <w:bottom w:val="single" w:sz="2" w:space="0" w:color="999999"/>
              <w:right w:val="single" w:sz="2" w:space="0" w:color="999999"/>
            </w:tcBorders>
            <w:shd w:val="clear" w:color="auto" w:fill="E8F5E9"/>
          </w:tcPr>
          <w:p w14:paraId="2322888A" w14:textId="77777777" w:rsidR="00230BC8" w:rsidRDefault="00952EEA">
            <w:pPr>
              <w:bidi w:val="0"/>
              <w:spacing w:after="200"/>
              <w:ind w:left="90"/>
              <w:jc w:val="both"/>
              <w:rPr>
                <w:sz w:val="22"/>
              </w:rPr>
            </w:pPr>
            <w:r>
              <w:t>0.72</w:t>
            </w:r>
          </w:p>
        </w:tc>
        <w:tc>
          <w:tcPr>
            <w:tcW w:w="1602" w:type="dxa"/>
            <w:tcBorders>
              <w:top w:val="single" w:sz="2" w:space="0" w:color="999999"/>
              <w:left w:val="single" w:sz="2" w:space="0" w:color="999999"/>
              <w:bottom w:val="single" w:sz="2" w:space="0" w:color="999999"/>
              <w:right w:val="single" w:sz="2" w:space="0" w:color="999999"/>
            </w:tcBorders>
            <w:shd w:val="clear" w:color="auto" w:fill="FFFFFF"/>
          </w:tcPr>
          <w:p w14:paraId="7EDCE76D" w14:textId="77777777" w:rsidR="00230BC8" w:rsidRDefault="00952EEA">
            <w:pPr>
              <w:bidi w:val="0"/>
              <w:spacing w:after="200"/>
              <w:ind w:left="90"/>
              <w:jc w:val="both"/>
              <w:rPr>
                <w:sz w:val="22"/>
              </w:rPr>
            </w:pPr>
            <w:r>
              <w:t>68.4</w:t>
            </w:r>
          </w:p>
        </w:tc>
        <w:tc>
          <w:tcPr>
            <w:tcW w:w="2152" w:type="dxa"/>
            <w:tcBorders>
              <w:top w:val="single" w:sz="2" w:space="0" w:color="999999"/>
              <w:left w:val="single" w:sz="2" w:space="0" w:color="999999"/>
              <w:bottom w:val="single" w:sz="2" w:space="0" w:color="999999"/>
              <w:right w:val="single" w:sz="2" w:space="0" w:color="999999"/>
            </w:tcBorders>
            <w:shd w:val="clear" w:color="auto" w:fill="FFFFFF"/>
          </w:tcPr>
          <w:p w14:paraId="7BA743DE" w14:textId="77777777" w:rsidR="00230BC8" w:rsidRDefault="00952EEA">
            <w:pPr>
              <w:bidi w:val="0"/>
              <w:spacing w:after="200"/>
              <w:ind w:left="90"/>
              <w:jc w:val="both"/>
              <w:rPr>
                <w:sz w:val="22"/>
              </w:rPr>
            </w:pPr>
            <w:r>
              <w:t>408-672 Mt</w:t>
            </w:r>
          </w:p>
        </w:tc>
        <w:tc>
          <w:tcPr>
            <w:tcW w:w="3567" w:type="dxa"/>
            <w:tcBorders>
              <w:top w:val="single" w:sz="2" w:space="0" w:color="999999"/>
              <w:left w:val="single" w:sz="2" w:space="0" w:color="999999"/>
              <w:bottom w:val="single" w:sz="2" w:space="0" w:color="999999"/>
              <w:right w:val="single" w:sz="2" w:space="0" w:color="999999"/>
            </w:tcBorders>
            <w:shd w:val="clear" w:color="auto" w:fill="FFFFFF"/>
          </w:tcPr>
          <w:p w14:paraId="5AE3A4D7" w14:textId="77777777" w:rsidR="00230BC8" w:rsidRDefault="00952EEA">
            <w:pPr>
              <w:bidi w:val="0"/>
              <w:spacing w:after="200"/>
              <w:ind w:left="90"/>
              <w:jc w:val="both"/>
              <w:rPr>
                <w:sz w:val="22"/>
              </w:rPr>
            </w:pPr>
            <w:r>
              <w:t>Best performance, most data</w:t>
            </w:r>
          </w:p>
        </w:tc>
      </w:tr>
      <w:tr w:rsidR="00230BC8" w14:paraId="106E5B6C" w14:textId="77777777">
        <w:trPr>
          <w:trHeight w:val="23"/>
          <w:jc w:val="center"/>
        </w:trPr>
        <w:tc>
          <w:tcPr>
            <w:tcW w:w="1793" w:type="dxa"/>
            <w:tcBorders>
              <w:top w:val="single" w:sz="2" w:space="0" w:color="999999"/>
              <w:left w:val="single" w:sz="2" w:space="0" w:color="999999"/>
              <w:bottom w:val="single" w:sz="2" w:space="0" w:color="999999"/>
              <w:right w:val="single" w:sz="2" w:space="0" w:color="999999"/>
            </w:tcBorders>
            <w:shd w:val="clear" w:color="auto" w:fill="FFFFFF"/>
          </w:tcPr>
          <w:p w14:paraId="77445FC9" w14:textId="77777777" w:rsidR="00230BC8" w:rsidRDefault="00952EEA">
            <w:pPr>
              <w:bidi w:val="0"/>
              <w:spacing w:after="200"/>
              <w:ind w:left="90"/>
              <w:jc w:val="both"/>
              <w:rPr>
                <w:sz w:val="22"/>
              </w:rPr>
            </w:pPr>
            <w:r>
              <w:t>UAE</w:t>
            </w:r>
          </w:p>
        </w:tc>
        <w:tc>
          <w:tcPr>
            <w:tcW w:w="990" w:type="dxa"/>
            <w:tcBorders>
              <w:top w:val="single" w:sz="2" w:space="0" w:color="999999"/>
              <w:left w:val="single" w:sz="2" w:space="0" w:color="999999"/>
              <w:bottom w:val="single" w:sz="2" w:space="0" w:color="999999"/>
              <w:right w:val="single" w:sz="2" w:space="0" w:color="999999"/>
            </w:tcBorders>
            <w:shd w:val="clear" w:color="auto" w:fill="FFFFFF"/>
          </w:tcPr>
          <w:p w14:paraId="151B9915" w14:textId="77777777" w:rsidR="00230BC8" w:rsidRDefault="00952EEA">
            <w:pPr>
              <w:bidi w:val="0"/>
              <w:spacing w:after="200"/>
              <w:ind w:left="90"/>
              <w:jc w:val="both"/>
              <w:rPr>
                <w:sz w:val="22"/>
              </w:rPr>
            </w:pPr>
            <w:r>
              <w:t>0.68</w:t>
            </w:r>
          </w:p>
        </w:tc>
        <w:tc>
          <w:tcPr>
            <w:tcW w:w="1602" w:type="dxa"/>
            <w:tcBorders>
              <w:top w:val="single" w:sz="2" w:space="0" w:color="999999"/>
              <w:left w:val="single" w:sz="2" w:space="0" w:color="999999"/>
              <w:bottom w:val="single" w:sz="2" w:space="0" w:color="999999"/>
              <w:right w:val="single" w:sz="2" w:space="0" w:color="999999"/>
            </w:tcBorders>
            <w:shd w:val="clear" w:color="auto" w:fill="FFFFFF"/>
          </w:tcPr>
          <w:p w14:paraId="5ECC863B" w14:textId="77777777" w:rsidR="00230BC8" w:rsidRDefault="00952EEA">
            <w:pPr>
              <w:bidi w:val="0"/>
              <w:spacing w:after="200"/>
              <w:ind w:left="90"/>
              <w:jc w:val="both"/>
              <w:rPr>
                <w:sz w:val="22"/>
              </w:rPr>
            </w:pPr>
            <w:r>
              <w:t>28.3</w:t>
            </w:r>
          </w:p>
        </w:tc>
        <w:tc>
          <w:tcPr>
            <w:tcW w:w="2152" w:type="dxa"/>
            <w:tcBorders>
              <w:top w:val="single" w:sz="2" w:space="0" w:color="999999"/>
              <w:left w:val="single" w:sz="2" w:space="0" w:color="999999"/>
              <w:bottom w:val="single" w:sz="2" w:space="0" w:color="999999"/>
              <w:right w:val="single" w:sz="2" w:space="0" w:color="999999"/>
            </w:tcBorders>
            <w:shd w:val="clear" w:color="auto" w:fill="FFFFFF"/>
          </w:tcPr>
          <w:p w14:paraId="674669D6" w14:textId="77777777" w:rsidR="00230BC8" w:rsidRDefault="00952EEA">
            <w:pPr>
              <w:bidi w:val="0"/>
              <w:spacing w:after="200"/>
              <w:ind w:left="90"/>
              <w:jc w:val="both"/>
              <w:rPr>
                <w:sz w:val="22"/>
              </w:rPr>
            </w:pPr>
            <w:r>
              <w:t>102-190 Mt</w:t>
            </w:r>
          </w:p>
        </w:tc>
        <w:tc>
          <w:tcPr>
            <w:tcW w:w="3567" w:type="dxa"/>
            <w:tcBorders>
              <w:top w:val="single" w:sz="2" w:space="0" w:color="999999"/>
              <w:left w:val="single" w:sz="2" w:space="0" w:color="999999"/>
              <w:bottom w:val="single" w:sz="2" w:space="0" w:color="999999"/>
              <w:right w:val="single" w:sz="2" w:space="0" w:color="999999"/>
            </w:tcBorders>
            <w:shd w:val="clear" w:color="auto" w:fill="FFFFFF"/>
          </w:tcPr>
          <w:p w14:paraId="13571FDF" w14:textId="77777777" w:rsidR="00230BC8" w:rsidRDefault="00952EEA">
            <w:pPr>
              <w:bidi w:val="0"/>
              <w:spacing w:after="200"/>
              <w:ind w:left="90"/>
              <w:jc w:val="both"/>
              <w:rPr>
                <w:sz w:val="22"/>
              </w:rPr>
            </w:pPr>
            <w:r>
              <w:t>Good performance</w:t>
            </w:r>
          </w:p>
        </w:tc>
      </w:tr>
      <w:tr w:rsidR="00230BC8" w14:paraId="463050F1" w14:textId="77777777">
        <w:trPr>
          <w:trHeight w:val="23"/>
          <w:jc w:val="center"/>
        </w:trPr>
        <w:tc>
          <w:tcPr>
            <w:tcW w:w="1793" w:type="dxa"/>
            <w:tcBorders>
              <w:top w:val="single" w:sz="2" w:space="0" w:color="999999"/>
              <w:left w:val="single" w:sz="2" w:space="0" w:color="999999"/>
              <w:bottom w:val="single" w:sz="2" w:space="0" w:color="999999"/>
              <w:right w:val="single" w:sz="2" w:space="0" w:color="999999"/>
            </w:tcBorders>
            <w:shd w:val="clear" w:color="auto" w:fill="FFFFFF"/>
          </w:tcPr>
          <w:p w14:paraId="74B5F48E" w14:textId="77777777" w:rsidR="00230BC8" w:rsidRDefault="00952EEA">
            <w:pPr>
              <w:bidi w:val="0"/>
              <w:spacing w:after="200"/>
              <w:ind w:left="90"/>
              <w:jc w:val="both"/>
              <w:rPr>
                <w:sz w:val="22"/>
              </w:rPr>
            </w:pPr>
            <w:r>
              <w:t>Qatar</w:t>
            </w:r>
          </w:p>
        </w:tc>
        <w:tc>
          <w:tcPr>
            <w:tcW w:w="990" w:type="dxa"/>
            <w:tcBorders>
              <w:top w:val="single" w:sz="2" w:space="0" w:color="999999"/>
              <w:left w:val="single" w:sz="2" w:space="0" w:color="999999"/>
              <w:bottom w:val="single" w:sz="2" w:space="0" w:color="999999"/>
              <w:right w:val="single" w:sz="2" w:space="0" w:color="999999"/>
            </w:tcBorders>
            <w:shd w:val="clear" w:color="auto" w:fill="FFFFFF"/>
          </w:tcPr>
          <w:p w14:paraId="0373DFE1" w14:textId="77777777" w:rsidR="00230BC8" w:rsidRDefault="00952EEA">
            <w:pPr>
              <w:bidi w:val="0"/>
              <w:spacing w:after="200"/>
              <w:ind w:left="90"/>
              <w:jc w:val="both"/>
              <w:rPr>
                <w:sz w:val="22"/>
              </w:rPr>
            </w:pPr>
            <w:r>
              <w:t>0.65</w:t>
            </w:r>
          </w:p>
        </w:tc>
        <w:tc>
          <w:tcPr>
            <w:tcW w:w="1602" w:type="dxa"/>
            <w:tcBorders>
              <w:top w:val="single" w:sz="2" w:space="0" w:color="999999"/>
              <w:left w:val="single" w:sz="2" w:space="0" w:color="999999"/>
              <w:bottom w:val="single" w:sz="2" w:space="0" w:color="999999"/>
              <w:right w:val="single" w:sz="2" w:space="0" w:color="999999"/>
            </w:tcBorders>
            <w:shd w:val="clear" w:color="auto" w:fill="FFFFFF"/>
          </w:tcPr>
          <w:p w14:paraId="0F606A9F" w14:textId="77777777" w:rsidR="00230BC8" w:rsidRDefault="00952EEA">
            <w:pPr>
              <w:bidi w:val="0"/>
              <w:spacing w:after="200"/>
              <w:ind w:left="90"/>
              <w:jc w:val="both"/>
              <w:rPr>
                <w:sz w:val="22"/>
              </w:rPr>
            </w:pPr>
            <w:r>
              <w:t>18.2</w:t>
            </w:r>
          </w:p>
        </w:tc>
        <w:tc>
          <w:tcPr>
            <w:tcW w:w="2152" w:type="dxa"/>
            <w:tcBorders>
              <w:top w:val="single" w:sz="2" w:space="0" w:color="999999"/>
              <w:left w:val="single" w:sz="2" w:space="0" w:color="999999"/>
              <w:bottom w:val="single" w:sz="2" w:space="0" w:color="999999"/>
              <w:right w:val="single" w:sz="2" w:space="0" w:color="999999"/>
            </w:tcBorders>
            <w:shd w:val="clear" w:color="auto" w:fill="FFFFFF"/>
          </w:tcPr>
          <w:p w14:paraId="00E70BDD" w14:textId="77777777" w:rsidR="00230BC8" w:rsidRDefault="00952EEA">
            <w:pPr>
              <w:bidi w:val="0"/>
              <w:spacing w:after="200"/>
              <w:ind w:left="90"/>
              <w:jc w:val="both"/>
              <w:rPr>
                <w:sz w:val="22"/>
              </w:rPr>
            </w:pPr>
            <w:r>
              <w:t>32-99 Mt</w:t>
            </w:r>
          </w:p>
        </w:tc>
        <w:tc>
          <w:tcPr>
            <w:tcW w:w="3567" w:type="dxa"/>
            <w:tcBorders>
              <w:top w:val="single" w:sz="2" w:space="0" w:color="999999"/>
              <w:left w:val="single" w:sz="2" w:space="0" w:color="999999"/>
              <w:bottom w:val="single" w:sz="2" w:space="0" w:color="999999"/>
              <w:right w:val="single" w:sz="2" w:space="0" w:color="999999"/>
            </w:tcBorders>
            <w:shd w:val="clear" w:color="auto" w:fill="FFFFFF"/>
          </w:tcPr>
          <w:p w14:paraId="3ABED64E" w14:textId="77777777" w:rsidR="00230BC8" w:rsidRDefault="00952EEA">
            <w:pPr>
              <w:bidi w:val="0"/>
              <w:spacing w:after="200"/>
              <w:ind w:left="90"/>
              <w:jc w:val="both"/>
              <w:rPr>
                <w:sz w:val="22"/>
              </w:rPr>
            </w:pPr>
            <w:r>
              <w:t>Moderate performance</w:t>
            </w:r>
          </w:p>
        </w:tc>
      </w:tr>
      <w:tr w:rsidR="00230BC8" w14:paraId="222C5345" w14:textId="77777777">
        <w:trPr>
          <w:trHeight w:val="23"/>
          <w:jc w:val="center"/>
        </w:trPr>
        <w:tc>
          <w:tcPr>
            <w:tcW w:w="1793" w:type="dxa"/>
            <w:tcBorders>
              <w:top w:val="single" w:sz="2" w:space="0" w:color="999999"/>
              <w:left w:val="single" w:sz="2" w:space="0" w:color="999999"/>
              <w:bottom w:val="single" w:sz="2" w:space="0" w:color="999999"/>
              <w:right w:val="single" w:sz="2" w:space="0" w:color="999999"/>
            </w:tcBorders>
            <w:shd w:val="clear" w:color="auto" w:fill="FFFFFF"/>
          </w:tcPr>
          <w:p w14:paraId="469E145A" w14:textId="77777777" w:rsidR="00230BC8" w:rsidRDefault="00952EEA">
            <w:pPr>
              <w:bidi w:val="0"/>
              <w:spacing w:after="200"/>
              <w:ind w:left="90"/>
              <w:jc w:val="both"/>
              <w:rPr>
                <w:sz w:val="22"/>
              </w:rPr>
            </w:pPr>
            <w:r>
              <w:t>Kuwait</w:t>
            </w:r>
          </w:p>
        </w:tc>
        <w:tc>
          <w:tcPr>
            <w:tcW w:w="990" w:type="dxa"/>
            <w:tcBorders>
              <w:top w:val="single" w:sz="2" w:space="0" w:color="999999"/>
              <w:left w:val="single" w:sz="2" w:space="0" w:color="999999"/>
              <w:bottom w:val="single" w:sz="2" w:space="0" w:color="999999"/>
              <w:right w:val="single" w:sz="2" w:space="0" w:color="999999"/>
            </w:tcBorders>
            <w:shd w:val="clear" w:color="auto" w:fill="FFFFFF"/>
          </w:tcPr>
          <w:p w14:paraId="397FA2A1" w14:textId="77777777" w:rsidR="00230BC8" w:rsidRDefault="00952EEA">
            <w:pPr>
              <w:bidi w:val="0"/>
              <w:spacing w:after="200"/>
              <w:ind w:left="90"/>
              <w:jc w:val="both"/>
              <w:rPr>
                <w:sz w:val="22"/>
              </w:rPr>
            </w:pPr>
            <w:r>
              <w:t>0.67</w:t>
            </w:r>
          </w:p>
        </w:tc>
        <w:tc>
          <w:tcPr>
            <w:tcW w:w="1602" w:type="dxa"/>
            <w:tcBorders>
              <w:top w:val="single" w:sz="2" w:space="0" w:color="999999"/>
              <w:left w:val="single" w:sz="2" w:space="0" w:color="999999"/>
              <w:bottom w:val="single" w:sz="2" w:space="0" w:color="999999"/>
              <w:right w:val="single" w:sz="2" w:space="0" w:color="999999"/>
            </w:tcBorders>
            <w:shd w:val="clear" w:color="auto" w:fill="FFFFFF"/>
          </w:tcPr>
          <w:p w14:paraId="708EBD79" w14:textId="77777777" w:rsidR="00230BC8" w:rsidRDefault="00952EEA">
            <w:pPr>
              <w:bidi w:val="0"/>
              <w:spacing w:after="200"/>
              <w:ind w:left="90"/>
              <w:jc w:val="both"/>
              <w:rPr>
                <w:sz w:val="22"/>
              </w:rPr>
            </w:pPr>
            <w:r>
              <w:t>14.1</w:t>
            </w:r>
          </w:p>
        </w:tc>
        <w:tc>
          <w:tcPr>
            <w:tcW w:w="2152" w:type="dxa"/>
            <w:tcBorders>
              <w:top w:val="single" w:sz="2" w:space="0" w:color="999999"/>
              <w:left w:val="single" w:sz="2" w:space="0" w:color="999999"/>
              <w:bottom w:val="single" w:sz="2" w:space="0" w:color="999999"/>
              <w:right w:val="single" w:sz="2" w:space="0" w:color="999999"/>
            </w:tcBorders>
            <w:shd w:val="clear" w:color="auto" w:fill="FFFFFF"/>
          </w:tcPr>
          <w:p w14:paraId="2F07B3A2" w14:textId="77777777" w:rsidR="00230BC8" w:rsidRDefault="00952EEA">
            <w:pPr>
              <w:bidi w:val="0"/>
              <w:spacing w:after="200"/>
              <w:ind w:left="90"/>
              <w:jc w:val="both"/>
              <w:rPr>
                <w:sz w:val="22"/>
              </w:rPr>
            </w:pPr>
            <w:r>
              <w:t>53-95 Mt</w:t>
            </w:r>
          </w:p>
        </w:tc>
        <w:tc>
          <w:tcPr>
            <w:tcW w:w="3567" w:type="dxa"/>
            <w:tcBorders>
              <w:top w:val="single" w:sz="2" w:space="0" w:color="999999"/>
              <w:left w:val="single" w:sz="2" w:space="0" w:color="999999"/>
              <w:bottom w:val="single" w:sz="2" w:space="0" w:color="999999"/>
              <w:right w:val="single" w:sz="2" w:space="0" w:color="999999"/>
            </w:tcBorders>
            <w:shd w:val="clear" w:color="auto" w:fill="FFFFFF"/>
          </w:tcPr>
          <w:p w14:paraId="55831E40" w14:textId="77777777" w:rsidR="00230BC8" w:rsidRDefault="00952EEA">
            <w:pPr>
              <w:bidi w:val="0"/>
              <w:spacing w:after="200"/>
              <w:ind w:left="90"/>
              <w:jc w:val="both"/>
              <w:rPr>
                <w:sz w:val="22"/>
              </w:rPr>
            </w:pPr>
            <w:r>
              <w:t>Good performance</w:t>
            </w:r>
          </w:p>
        </w:tc>
      </w:tr>
      <w:tr w:rsidR="00230BC8" w14:paraId="16BAF19E" w14:textId="77777777">
        <w:trPr>
          <w:trHeight w:val="23"/>
          <w:jc w:val="center"/>
        </w:trPr>
        <w:tc>
          <w:tcPr>
            <w:tcW w:w="1793" w:type="dxa"/>
            <w:tcBorders>
              <w:top w:val="single" w:sz="2" w:space="0" w:color="999999"/>
              <w:left w:val="single" w:sz="2" w:space="0" w:color="999999"/>
              <w:bottom w:val="single" w:sz="2" w:space="0" w:color="999999"/>
              <w:right w:val="single" w:sz="2" w:space="0" w:color="999999"/>
            </w:tcBorders>
            <w:shd w:val="clear" w:color="auto" w:fill="FFFFFF"/>
          </w:tcPr>
          <w:p w14:paraId="198345A0" w14:textId="77777777" w:rsidR="00230BC8" w:rsidRDefault="00952EEA">
            <w:pPr>
              <w:bidi w:val="0"/>
              <w:spacing w:after="200"/>
              <w:ind w:left="90"/>
              <w:jc w:val="both"/>
              <w:rPr>
                <w:sz w:val="22"/>
              </w:rPr>
            </w:pPr>
            <w:r>
              <w:t>Oman</w:t>
            </w:r>
          </w:p>
        </w:tc>
        <w:tc>
          <w:tcPr>
            <w:tcW w:w="990" w:type="dxa"/>
            <w:tcBorders>
              <w:top w:val="single" w:sz="2" w:space="0" w:color="999999"/>
              <w:left w:val="single" w:sz="2" w:space="0" w:color="999999"/>
              <w:bottom w:val="single" w:sz="2" w:space="0" w:color="999999"/>
              <w:right w:val="single" w:sz="2" w:space="0" w:color="999999"/>
            </w:tcBorders>
            <w:shd w:val="clear" w:color="auto" w:fill="FFFFFF"/>
          </w:tcPr>
          <w:p w14:paraId="5C12D082" w14:textId="77777777" w:rsidR="00230BC8" w:rsidRDefault="00952EEA">
            <w:pPr>
              <w:bidi w:val="0"/>
              <w:spacing w:after="200"/>
              <w:ind w:left="90"/>
              <w:jc w:val="both"/>
              <w:rPr>
                <w:sz w:val="22"/>
              </w:rPr>
            </w:pPr>
            <w:r>
              <w:t>0.64</w:t>
            </w:r>
          </w:p>
        </w:tc>
        <w:tc>
          <w:tcPr>
            <w:tcW w:w="1602" w:type="dxa"/>
            <w:tcBorders>
              <w:top w:val="single" w:sz="2" w:space="0" w:color="999999"/>
              <w:left w:val="single" w:sz="2" w:space="0" w:color="999999"/>
              <w:bottom w:val="single" w:sz="2" w:space="0" w:color="999999"/>
              <w:right w:val="single" w:sz="2" w:space="0" w:color="999999"/>
            </w:tcBorders>
            <w:shd w:val="clear" w:color="auto" w:fill="FFFFFF"/>
          </w:tcPr>
          <w:p w14:paraId="58D5ECB5" w14:textId="77777777" w:rsidR="00230BC8" w:rsidRDefault="00952EEA">
            <w:pPr>
              <w:bidi w:val="0"/>
              <w:spacing w:after="200"/>
              <w:ind w:left="90"/>
              <w:jc w:val="both"/>
              <w:rPr>
                <w:sz w:val="22"/>
              </w:rPr>
            </w:pPr>
            <w:r>
              <w:t>12.8</w:t>
            </w:r>
          </w:p>
        </w:tc>
        <w:tc>
          <w:tcPr>
            <w:tcW w:w="2152" w:type="dxa"/>
            <w:tcBorders>
              <w:top w:val="single" w:sz="2" w:space="0" w:color="999999"/>
              <w:left w:val="single" w:sz="2" w:space="0" w:color="999999"/>
              <w:bottom w:val="single" w:sz="2" w:space="0" w:color="999999"/>
              <w:right w:val="single" w:sz="2" w:space="0" w:color="999999"/>
            </w:tcBorders>
            <w:shd w:val="clear" w:color="auto" w:fill="FFFFFF"/>
          </w:tcPr>
          <w:p w14:paraId="21E6C1A9" w14:textId="77777777" w:rsidR="00230BC8" w:rsidRDefault="00952EEA">
            <w:pPr>
              <w:bidi w:val="0"/>
              <w:spacing w:after="200"/>
              <w:ind w:left="90"/>
              <w:jc w:val="both"/>
              <w:rPr>
                <w:sz w:val="22"/>
              </w:rPr>
            </w:pPr>
            <w:r>
              <w:t>20-64 Mt</w:t>
            </w:r>
          </w:p>
        </w:tc>
        <w:tc>
          <w:tcPr>
            <w:tcW w:w="3567" w:type="dxa"/>
            <w:tcBorders>
              <w:top w:val="single" w:sz="2" w:space="0" w:color="999999"/>
              <w:left w:val="single" w:sz="2" w:space="0" w:color="999999"/>
              <w:bottom w:val="single" w:sz="2" w:space="0" w:color="999999"/>
              <w:right w:val="single" w:sz="2" w:space="0" w:color="999999"/>
            </w:tcBorders>
            <w:shd w:val="clear" w:color="auto" w:fill="FFFFFF"/>
          </w:tcPr>
          <w:p w14:paraId="2CA02512" w14:textId="77777777" w:rsidR="00230BC8" w:rsidRDefault="00952EEA">
            <w:pPr>
              <w:bidi w:val="0"/>
              <w:spacing w:after="200"/>
              <w:ind w:left="90"/>
              <w:jc w:val="both"/>
              <w:rPr>
                <w:sz w:val="22"/>
              </w:rPr>
            </w:pPr>
            <w:r>
              <w:t>Moderate performance</w:t>
            </w:r>
          </w:p>
        </w:tc>
      </w:tr>
      <w:tr w:rsidR="00230BC8" w14:paraId="459FBE78" w14:textId="77777777">
        <w:trPr>
          <w:trHeight w:val="23"/>
          <w:jc w:val="center"/>
        </w:trPr>
        <w:tc>
          <w:tcPr>
            <w:tcW w:w="1793" w:type="dxa"/>
            <w:tcBorders>
              <w:top w:val="single" w:sz="2" w:space="0" w:color="999999"/>
              <w:left w:val="single" w:sz="2" w:space="0" w:color="999999"/>
              <w:bottom w:val="single" w:sz="2" w:space="0" w:color="999999"/>
              <w:right w:val="single" w:sz="2" w:space="0" w:color="999999"/>
            </w:tcBorders>
            <w:shd w:val="clear" w:color="auto" w:fill="FFFFFF"/>
          </w:tcPr>
          <w:p w14:paraId="1CD3F837" w14:textId="77777777" w:rsidR="00230BC8" w:rsidRDefault="00952EEA">
            <w:pPr>
              <w:bidi w:val="0"/>
              <w:spacing w:after="200"/>
              <w:ind w:left="90"/>
              <w:jc w:val="both"/>
              <w:rPr>
                <w:sz w:val="22"/>
              </w:rPr>
            </w:pPr>
            <w:r>
              <w:t>Bahrain</w:t>
            </w:r>
          </w:p>
        </w:tc>
        <w:tc>
          <w:tcPr>
            <w:tcW w:w="990" w:type="dxa"/>
            <w:tcBorders>
              <w:top w:val="single" w:sz="2" w:space="0" w:color="999999"/>
              <w:left w:val="single" w:sz="2" w:space="0" w:color="999999"/>
              <w:bottom w:val="single" w:sz="2" w:space="0" w:color="999999"/>
              <w:right w:val="single" w:sz="2" w:space="0" w:color="999999"/>
            </w:tcBorders>
            <w:shd w:val="clear" w:color="auto" w:fill="FFFFFF"/>
          </w:tcPr>
          <w:p w14:paraId="0AE62A34" w14:textId="77777777" w:rsidR="00230BC8" w:rsidRDefault="00952EEA">
            <w:pPr>
              <w:bidi w:val="0"/>
              <w:spacing w:after="200"/>
              <w:ind w:left="90"/>
              <w:jc w:val="both"/>
              <w:rPr>
                <w:sz w:val="22"/>
              </w:rPr>
            </w:pPr>
            <w:r>
              <w:t>0.61</w:t>
            </w:r>
          </w:p>
        </w:tc>
        <w:tc>
          <w:tcPr>
            <w:tcW w:w="1602" w:type="dxa"/>
            <w:tcBorders>
              <w:top w:val="single" w:sz="2" w:space="0" w:color="999999"/>
              <w:left w:val="single" w:sz="2" w:space="0" w:color="999999"/>
              <w:bottom w:val="single" w:sz="2" w:space="0" w:color="999999"/>
              <w:right w:val="single" w:sz="2" w:space="0" w:color="999999"/>
            </w:tcBorders>
            <w:shd w:val="clear" w:color="auto" w:fill="FFFFFF"/>
          </w:tcPr>
          <w:p w14:paraId="3AEDC6A9" w14:textId="77777777" w:rsidR="00230BC8" w:rsidRDefault="00952EEA">
            <w:pPr>
              <w:bidi w:val="0"/>
              <w:spacing w:after="200"/>
              <w:ind w:left="90"/>
              <w:jc w:val="both"/>
              <w:rPr>
                <w:sz w:val="22"/>
              </w:rPr>
            </w:pPr>
            <w:r>
              <w:t>8.4</w:t>
            </w:r>
          </w:p>
        </w:tc>
        <w:tc>
          <w:tcPr>
            <w:tcW w:w="2152" w:type="dxa"/>
            <w:tcBorders>
              <w:top w:val="single" w:sz="2" w:space="0" w:color="999999"/>
              <w:left w:val="single" w:sz="2" w:space="0" w:color="999999"/>
              <w:bottom w:val="single" w:sz="2" w:space="0" w:color="999999"/>
              <w:right w:val="single" w:sz="2" w:space="0" w:color="999999"/>
            </w:tcBorders>
            <w:shd w:val="clear" w:color="auto" w:fill="FFFFFF"/>
          </w:tcPr>
          <w:p w14:paraId="4EEB1CF5" w14:textId="77777777" w:rsidR="00230BC8" w:rsidRDefault="00952EEA">
            <w:pPr>
              <w:bidi w:val="0"/>
              <w:spacing w:after="200"/>
              <w:ind w:left="90"/>
              <w:jc w:val="both"/>
              <w:rPr>
                <w:sz w:val="22"/>
              </w:rPr>
            </w:pPr>
            <w:r>
              <w:t>16-38 Mt</w:t>
            </w:r>
          </w:p>
        </w:tc>
        <w:tc>
          <w:tcPr>
            <w:tcW w:w="3567" w:type="dxa"/>
            <w:tcBorders>
              <w:top w:val="single" w:sz="2" w:space="0" w:color="999999"/>
              <w:left w:val="single" w:sz="2" w:space="0" w:color="999999"/>
              <w:bottom w:val="single" w:sz="2" w:space="0" w:color="999999"/>
              <w:right w:val="single" w:sz="2" w:space="0" w:color="999999"/>
            </w:tcBorders>
            <w:shd w:val="clear" w:color="auto" w:fill="FFFFFF"/>
          </w:tcPr>
          <w:p w14:paraId="2CC2BB7F" w14:textId="77777777" w:rsidR="00230BC8" w:rsidRDefault="00952EEA">
            <w:pPr>
              <w:bidi w:val="0"/>
              <w:spacing w:after="200"/>
              <w:ind w:left="90"/>
              <w:jc w:val="both"/>
              <w:rPr>
                <w:sz w:val="22"/>
              </w:rPr>
            </w:pPr>
            <w:r>
              <w:t>Lowest, small range</w:t>
            </w:r>
          </w:p>
        </w:tc>
      </w:tr>
    </w:tbl>
    <w:p w14:paraId="1C5AD870" w14:textId="77777777" w:rsidR="00230BC8" w:rsidRDefault="00230BC8">
      <w:pPr>
        <w:bidi w:val="0"/>
        <w:spacing w:after="200"/>
        <w:ind w:left="90"/>
      </w:pPr>
    </w:p>
    <w:p w14:paraId="642E082B" w14:textId="77777777" w:rsidR="00230BC8" w:rsidRDefault="00952EEA">
      <w:pPr>
        <w:bidi w:val="0"/>
        <w:spacing w:after="200"/>
        <w:ind w:left="90"/>
      </w:pPr>
      <w:r>
        <w:t>Performance is strongest for large emitters (Saudi Arabia, UAE), where broader emission ranges provide more signal to learn from. Smaller emitters such as Bahrain present more challenging conditions, as modest absolute errors translate into larger percentage errors. These patterns underline the importance of dynamic range for model learning: Saudi Arabia and the United Arab Emirates exhibit wide variation in absolute emissions over the study period, which provides a richer signal for the model to fit, whereas Bahrain’s comparatively narrow emission range means that even small absolute errors translate into larger percentage deviations. In addition, idiosyncratic national shocks and policy changes, which are not fully captured by the chosen predictors, are likely to contribute to the residual country-specific differences that remain.</w:t>
      </w:r>
    </w:p>
    <w:p w14:paraId="6BF2B4A8" w14:textId="79827116" w:rsidR="00230BC8" w:rsidRDefault="00424400">
      <w:pPr>
        <w:bidi w:val="0"/>
        <w:spacing w:after="200"/>
        <w:ind w:left="90"/>
        <w:jc w:val="center"/>
      </w:pPr>
      <w:r>
        <w:rPr>
          <w:noProof/>
        </w:rPr>
        <mc:AlternateContent>
          <mc:Choice Requires="wps">
            <w:drawing>
              <wp:anchor distT="0" distB="0" distL="114300" distR="114300" simplePos="0" relativeHeight="251658240" behindDoc="0" locked="0" layoutInCell="1" allowOverlap="1" wp14:anchorId="0EB55B37" wp14:editId="2B6FC26C">
                <wp:simplePos x="0" y="0"/>
                <wp:positionH relativeFrom="column">
                  <wp:posOffset>0</wp:posOffset>
                </wp:positionH>
                <wp:positionV relativeFrom="paragraph">
                  <wp:posOffset>0</wp:posOffset>
                </wp:positionV>
                <wp:extent cx="635000" cy="635000"/>
                <wp:effectExtent l="0" t="0" r="3175" b="3175"/>
                <wp:wrapNone/>
                <wp:docPr id="438203211" name="_x0000_tole_rId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FB06AD" id="_x0000_tole_rId28" o:spid="_x0000_s1026" style="position:absolute;left:0;text-align:left;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object w:dxaOrig="7604" w:dyaOrig="4544" w14:anchorId="5E7903C0">
          <v:shape id="ole_rId28" o:spid="_x0000_i1030" type="#_x0000_t75" style="width:380.25pt;height:226.5pt;visibility:visible" o:ole="">
            <v:imagedata r:id="rId33" o:title=""/>
          </v:shape>
          <o:OLEObject Type="Embed" ProgID="StaticMetafile" ShapeID="ole_rId28" DrawAspect="Content" ObjectID="_1827584655" r:id="rId34"/>
        </w:object>
      </w:r>
    </w:p>
    <w:p w14:paraId="5B162A95" w14:textId="0EEA0F14" w:rsidR="00230BC8" w:rsidRDefault="00952EEA" w:rsidP="00FB2617">
      <w:pPr>
        <w:bidi w:val="0"/>
        <w:spacing w:after="200"/>
        <w:ind w:left="90"/>
        <w:jc w:val="center"/>
        <w:rPr>
          <w:b/>
          <w:rtl/>
        </w:rPr>
      </w:pPr>
      <w:r>
        <w:rPr>
          <w:sz w:val="20"/>
        </w:rPr>
        <w:t>Figure 12: Country-level performance</w:t>
      </w:r>
      <w:r>
        <w:rPr>
          <w:sz w:val="20"/>
        </w:rPr>
        <w:br w:type="page"/>
      </w:r>
    </w:p>
    <w:p w14:paraId="7C6C7FC6" w14:textId="77777777" w:rsidR="00230BC8" w:rsidRDefault="00952EEA">
      <w:pPr>
        <w:pStyle w:val="Heading21"/>
        <w:keepNext/>
        <w:keepLines/>
        <w:spacing w:before="200" w:after="0"/>
        <w:ind w:left="90"/>
        <w:rPr>
          <w:rFonts w:eastAsia="Calibri"/>
        </w:rPr>
      </w:pPr>
      <w:r>
        <w:rPr>
          <w:sz w:val="24"/>
        </w:rPr>
        <w:lastRenderedPageBreak/>
        <w:t>8.5 Prediction Diagnostics</w:t>
      </w:r>
    </w:p>
    <w:p w14:paraId="696ED37A" w14:textId="77777777" w:rsidR="00230BC8" w:rsidRDefault="00952EEA">
      <w:pPr>
        <w:bidi w:val="0"/>
        <w:spacing w:after="200"/>
        <w:ind w:left="90"/>
      </w:pPr>
      <w:r>
        <w:t>Scatter plots of actual vs predicted emissions and residual distributions show that the hybrid and satellite-only models have reasonably tight scatter around the 1:1 line, with some dispersion in years affected by COVID-19 and other shocks. Residuals are centered around zero with moderate spread, indicating no strong systematic bias.</w:t>
      </w:r>
    </w:p>
    <w:p w14:paraId="5BB3D599" w14:textId="77777777" w:rsidR="00230BC8" w:rsidRDefault="00952EEA">
      <w:pPr>
        <w:bidi w:val="0"/>
        <w:spacing w:after="200"/>
        <w:ind w:left="90"/>
      </w:pPr>
      <w:r>
        <w:t>Time-series plots for individual countries (for example, Saudi Arabia) show that the hybrid model tracks major trends and turning points, although some short-term deviations persist. From a diagnostic perspective, the absence of strong systematic structure in the residual plots is consistent with the overfitting analysis in Section 8.2, where the main satellite-based models show moderate but acceptable train–test gaps. The larger dispersion observed around 2019–2020, especially in countries with strong COVID-19 impacts, suggests that relationships between activity indicators and emissions were temporarily disrupted during that period, which is a known challenge for data-driven models calibrated primarily on pre-pandemic years.</w:t>
      </w:r>
    </w:p>
    <w:p w14:paraId="1D16261A" w14:textId="00EE4887" w:rsidR="00230BC8" w:rsidRDefault="00424400">
      <w:pPr>
        <w:bidi w:val="0"/>
        <w:spacing w:after="200"/>
        <w:ind w:left="90"/>
        <w:jc w:val="center"/>
      </w:pPr>
      <w:r>
        <w:rPr>
          <w:noProof/>
        </w:rPr>
        <mc:AlternateContent>
          <mc:Choice Requires="wps">
            <w:drawing>
              <wp:anchor distT="0" distB="0" distL="114300" distR="114300" simplePos="0" relativeHeight="251659264" behindDoc="0" locked="0" layoutInCell="1" allowOverlap="1" wp14:anchorId="6391D47C" wp14:editId="20A8A5D3">
                <wp:simplePos x="0" y="0"/>
                <wp:positionH relativeFrom="column">
                  <wp:posOffset>0</wp:posOffset>
                </wp:positionH>
                <wp:positionV relativeFrom="paragraph">
                  <wp:posOffset>0</wp:posOffset>
                </wp:positionV>
                <wp:extent cx="635000" cy="635000"/>
                <wp:effectExtent l="0" t="0" r="3175" b="3175"/>
                <wp:wrapNone/>
                <wp:docPr id="582349892" name="_x0000_tole_rId3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6BC71" id="_x0000_tole_rId30" o:spid="_x0000_s1026" style="position:absolute;left:0;text-align:left;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object w:dxaOrig="7604" w:dyaOrig="3359" w14:anchorId="6C917CED">
          <v:shape id="ole_rId30" o:spid="_x0000_i1031" type="#_x0000_t75" style="width:380.25pt;height:168pt;visibility:visible" o:ole="">
            <v:imagedata r:id="rId35" o:title=""/>
          </v:shape>
          <o:OLEObject Type="Embed" ProgID="StaticMetafile" ShapeID="ole_rId30" DrawAspect="Content" ObjectID="_1827584656" r:id="rId36"/>
        </w:object>
      </w:r>
    </w:p>
    <w:p w14:paraId="75C06CEA" w14:textId="77777777" w:rsidR="00230BC8" w:rsidRDefault="00952EEA">
      <w:pPr>
        <w:bidi w:val="0"/>
        <w:spacing w:after="200"/>
        <w:ind w:left="90"/>
        <w:jc w:val="center"/>
      </w:pPr>
      <w:r>
        <w:rPr>
          <w:sz w:val="20"/>
        </w:rPr>
        <w:t>Figure 13: Actual vs predicted emissions scatter plot</w:t>
      </w:r>
    </w:p>
    <w:p w14:paraId="721F330F" w14:textId="38B118BA" w:rsidR="00230BC8" w:rsidRDefault="00424400">
      <w:pPr>
        <w:bidi w:val="0"/>
        <w:spacing w:after="200"/>
        <w:ind w:left="90"/>
        <w:jc w:val="center"/>
      </w:pPr>
      <w:r>
        <w:rPr>
          <w:noProof/>
        </w:rPr>
        <w:lastRenderedPageBreak/>
        <mc:AlternateContent>
          <mc:Choice Requires="wps">
            <w:drawing>
              <wp:anchor distT="0" distB="0" distL="114300" distR="114300" simplePos="0" relativeHeight="251660288" behindDoc="0" locked="0" layoutInCell="1" allowOverlap="1" wp14:anchorId="24726ECF" wp14:editId="23316309">
                <wp:simplePos x="0" y="0"/>
                <wp:positionH relativeFrom="column">
                  <wp:posOffset>0</wp:posOffset>
                </wp:positionH>
                <wp:positionV relativeFrom="paragraph">
                  <wp:posOffset>0</wp:posOffset>
                </wp:positionV>
                <wp:extent cx="635000" cy="635000"/>
                <wp:effectExtent l="0" t="0" r="3175" b="3175"/>
                <wp:wrapNone/>
                <wp:docPr id="1970198624" name="_x0000_tole_rId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36B914" id="_x0000_tole_rId32" o:spid="_x0000_s1026" style="position:absolute;left:0;text-align:left;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object w:dxaOrig="7604" w:dyaOrig="6419" w14:anchorId="5511C574">
          <v:shape id="ole_rId32" o:spid="_x0000_i1032" type="#_x0000_t75" style="width:380.25pt;height:321pt;visibility:visible" o:ole="">
            <v:imagedata r:id="rId37" o:title=""/>
          </v:shape>
          <o:OLEObject Type="Embed" ProgID="StaticMetafile" ShapeID="ole_rId32" DrawAspect="Content" ObjectID="_1827584657" r:id="rId38"/>
        </w:object>
      </w:r>
    </w:p>
    <w:p w14:paraId="31F6AF93" w14:textId="77777777" w:rsidR="00230BC8" w:rsidRDefault="00952EEA">
      <w:pPr>
        <w:bidi w:val="0"/>
        <w:spacing w:after="200"/>
        <w:ind w:left="90"/>
        <w:jc w:val="center"/>
      </w:pPr>
      <w:r>
        <w:rPr>
          <w:sz w:val="20"/>
        </w:rPr>
        <w:t>Figure 14: Residual distribution analysis</w:t>
      </w:r>
    </w:p>
    <w:p w14:paraId="5FBA6E3F" w14:textId="77777777" w:rsidR="00230BC8" w:rsidRDefault="00230BC8">
      <w:pPr>
        <w:bidi w:val="0"/>
        <w:spacing w:after="200"/>
        <w:ind w:left="90"/>
      </w:pPr>
    </w:p>
    <w:p w14:paraId="0E244A8B" w14:textId="4E294930" w:rsidR="00230BC8" w:rsidRDefault="00424400">
      <w:pPr>
        <w:bidi w:val="0"/>
        <w:spacing w:after="200"/>
        <w:ind w:left="90"/>
        <w:jc w:val="center"/>
      </w:pPr>
      <w:r>
        <w:rPr>
          <w:noProof/>
        </w:rPr>
        <mc:AlternateContent>
          <mc:Choice Requires="wps">
            <w:drawing>
              <wp:anchor distT="0" distB="0" distL="114300" distR="114300" simplePos="0" relativeHeight="251661312" behindDoc="0" locked="0" layoutInCell="1" allowOverlap="1" wp14:anchorId="25D0CD35" wp14:editId="2F8CF895">
                <wp:simplePos x="0" y="0"/>
                <wp:positionH relativeFrom="column">
                  <wp:posOffset>0</wp:posOffset>
                </wp:positionH>
                <wp:positionV relativeFrom="paragraph">
                  <wp:posOffset>0</wp:posOffset>
                </wp:positionV>
                <wp:extent cx="635000" cy="635000"/>
                <wp:effectExtent l="0" t="0" r="3175" b="3175"/>
                <wp:wrapNone/>
                <wp:docPr id="1208656216" name="_x0000_tole_rId3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96658" id="_x0000_tole_rId34" o:spid="_x0000_s1026" style="position:absolute;left:0;text-align:left;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object w:dxaOrig="7604" w:dyaOrig="5489" w14:anchorId="565D2A77">
          <v:shape id="ole_rId34" o:spid="_x0000_i1033" type="#_x0000_t75" style="width:380.25pt;height:274.5pt;visibility:visible" o:ole="">
            <v:imagedata r:id="rId39" o:title=""/>
          </v:shape>
          <o:OLEObject Type="Embed" ProgID="StaticMetafile" ShapeID="ole_rId34" DrawAspect="Content" ObjectID="_1827584658" r:id="rId40"/>
        </w:object>
      </w:r>
    </w:p>
    <w:p w14:paraId="214C804D" w14:textId="77777777" w:rsidR="00230BC8" w:rsidRDefault="00952EEA">
      <w:pPr>
        <w:bidi w:val="0"/>
        <w:spacing w:after="200"/>
        <w:ind w:left="90"/>
        <w:jc w:val="center"/>
      </w:pPr>
      <w:r>
        <w:rPr>
          <w:sz w:val="20"/>
        </w:rPr>
        <w:t>Figure 15: Time series comparison</w:t>
      </w:r>
    </w:p>
    <w:p w14:paraId="0EE2E098" w14:textId="77777777" w:rsidR="00230BC8" w:rsidRDefault="00952EEA">
      <w:pPr>
        <w:pStyle w:val="Heading11"/>
        <w:keepNext/>
        <w:keepLines/>
        <w:spacing w:before="480" w:after="0"/>
        <w:ind w:left="90"/>
        <w:rPr>
          <w:rFonts w:eastAsia="Calibri"/>
        </w:rPr>
      </w:pPr>
      <w:r>
        <w:lastRenderedPageBreak/>
        <w:t>9. Conclusion and Discussion of Results</w:t>
      </w:r>
    </w:p>
    <w:p w14:paraId="30CED9CC" w14:textId="77777777" w:rsidR="00230BC8" w:rsidRDefault="00230BC8">
      <w:pPr>
        <w:bidi w:val="0"/>
        <w:spacing w:after="200"/>
        <w:ind w:left="90"/>
        <w:rPr>
          <w:rFonts w:eastAsia="Calibri"/>
        </w:rPr>
      </w:pPr>
    </w:p>
    <w:p w14:paraId="0A8631E4" w14:textId="77777777" w:rsidR="00230BC8" w:rsidRDefault="00952EEA">
      <w:pPr>
        <w:bidi w:val="0"/>
        <w:spacing w:after="200"/>
        <w:ind w:left="90"/>
      </w:pPr>
      <w:r>
        <w:t>This study evaluated the feasibility of using satellite-derived indicators to nowcast national CO₂ emissions in GCC countries via an XGBoost-based framework. By assembling a unified dataset of 144 country–year observations that combines official emissions, economic data, and multi-sensor satellite features, the study provides a structured comparative assessment of economic and satellite-based emission models.</w:t>
      </w:r>
    </w:p>
    <w:p w14:paraId="5934B5F1" w14:textId="77777777" w:rsidR="00230BC8" w:rsidRDefault="00952EEA">
      <w:pPr>
        <w:bidi w:val="0"/>
        <w:spacing w:after="200"/>
        <w:ind w:left="90"/>
      </w:pPr>
      <w:r>
        <w:t>Key conclusions are:</w:t>
      </w:r>
    </w:p>
    <w:p w14:paraId="5634CEA4" w14:textId="77777777" w:rsidR="00230BC8" w:rsidRDefault="00952EEA">
      <w:pPr>
        <w:numPr>
          <w:ilvl w:val="0"/>
          <w:numId w:val="4"/>
        </w:numPr>
        <w:bidi w:val="0"/>
        <w:spacing w:after="200"/>
      </w:pPr>
      <w:r>
        <w:rPr>
          <w:b/>
          <w:bCs/>
        </w:rPr>
        <w:t>High performance of economic models</w:t>
      </w:r>
      <w:r>
        <w:br/>
        <w:t>The economic model (Model A) achieved very high accuracy (test R² ≈ 0.96), confirming the strong predictive power of macroeconomic and energy indicators. However, these models are constrained by the reporting delay of their inputs.</w:t>
      </w:r>
    </w:p>
    <w:p w14:paraId="42E85F97" w14:textId="77777777" w:rsidR="00230BC8" w:rsidRDefault="00952EEA">
      <w:pPr>
        <w:numPr>
          <w:ilvl w:val="0"/>
          <w:numId w:val="4"/>
        </w:numPr>
        <w:bidi w:val="0"/>
        <w:spacing w:after="200"/>
      </w:pPr>
      <w:r>
        <w:rPr>
          <w:b/>
          <w:bCs/>
        </w:rPr>
        <w:t>Viability of satellite-based nowcasting</w:t>
      </w:r>
      <w:r>
        <w:br/>
        <w:t>The hybrid (Model B) and satellite-only (Model C) models achieved test R² ≈ 0.69 and ≈ 0.67, respectively. These values demonstrate that satellite proxies can capture a substantial share of year-to-year variation in national emissions using data available within days of acquisition.</w:t>
      </w:r>
    </w:p>
    <w:p w14:paraId="67A800EA" w14:textId="77777777" w:rsidR="00230BC8" w:rsidRDefault="00952EEA">
      <w:pPr>
        <w:numPr>
          <w:ilvl w:val="0"/>
          <w:numId w:val="4"/>
        </w:numPr>
        <w:bidi w:val="0"/>
        <w:spacing w:after="200"/>
      </w:pPr>
      <w:r>
        <w:rPr>
          <w:b/>
          <w:bCs/>
        </w:rPr>
        <w:t>Meaningful accuracy–timeliness trade-off</w:t>
      </w:r>
      <w:r>
        <w:br/>
        <w:t>Moving from economic to hybrid models reduces R² by roughly 28 percentage points but dramatically improves data timeliness. For monitoring and early-warning applications, timely estimates with moderate uncertainty may be more valuable than highly precise figures that arrive a year or more late.</w:t>
      </w:r>
    </w:p>
    <w:p w14:paraId="333801C7" w14:textId="77777777" w:rsidR="00230BC8" w:rsidRDefault="00952EEA">
      <w:pPr>
        <w:numPr>
          <w:ilvl w:val="0"/>
          <w:numId w:val="4"/>
        </w:numPr>
        <w:bidi w:val="0"/>
        <w:spacing w:after="200"/>
      </w:pPr>
      <w:r>
        <w:rPr>
          <w:b/>
          <w:bCs/>
        </w:rPr>
        <w:t>Physical interpretability of key features</w:t>
      </w:r>
      <w:r>
        <w:br/>
        <w:t>The prominence of seasonal LST, night-time lights, and population density in the hybrid model’s feature-importance ranking indicates that the model is leveraging physically meaningful relationships linked to cooling demand, urbanization, and energy use. This interpretability strengthens confidence in the model outputs.</w:t>
      </w:r>
    </w:p>
    <w:p w14:paraId="06A8F0EF" w14:textId="77777777" w:rsidR="00230BC8" w:rsidRDefault="00952EEA">
      <w:pPr>
        <w:bidi w:val="0"/>
        <w:spacing w:after="200"/>
        <w:ind w:left="90"/>
      </w:pPr>
      <w:r>
        <w:t>Despite these positive findings, several limitations should be acknowledged. First, the sample size is modest (144 country–year observations), which constrains model complexity and limits the scope for exhaustive hyperparameter tuning or cross-validation designs. Second, the test period includes the COVID-19 years, during which the usual linkages between economic activity, energy use, and emissions were partially decoupled. Third, the analysis is conducted at the national level, so subnational heterogeneity and sector-specific dynamics are not explicitly modeled. Finally, some satellite products, such as Sentinel-5P (European Space Agency, 2024) NO₂, have relatively short historical coverage, which reduces their influence in long-horizon training but will become more important as time series lengthen.</w:t>
      </w:r>
    </w:p>
    <w:p w14:paraId="1A2FB8CC" w14:textId="77777777" w:rsidR="00230BC8" w:rsidRDefault="00952EEA">
      <w:pPr>
        <w:bidi w:val="0"/>
        <w:spacing w:after="200"/>
        <w:ind w:left="90"/>
      </w:pPr>
      <w:r>
        <w:t>Overall, satellite-based nowcasting is technically feasible and practically useful as a complementary tool for GCC emission monitoring. It does not replace official inventories but adds a timely, physically interpretable layer of information that enhances situational awareness and short-term decision-making.</w:t>
      </w:r>
    </w:p>
    <w:p w14:paraId="33D137E3" w14:textId="59B28069" w:rsidR="00230BC8" w:rsidRDefault="00424400">
      <w:pPr>
        <w:bidi w:val="0"/>
        <w:spacing w:after="200"/>
        <w:ind w:left="90"/>
        <w:jc w:val="center"/>
      </w:pPr>
      <w:r>
        <w:rPr>
          <w:noProof/>
        </w:rPr>
        <w:lastRenderedPageBreak/>
        <mc:AlternateContent>
          <mc:Choice Requires="wps">
            <w:drawing>
              <wp:anchor distT="0" distB="0" distL="114300" distR="114300" simplePos="0" relativeHeight="251662336" behindDoc="0" locked="0" layoutInCell="1" allowOverlap="1" wp14:anchorId="4F330A9F" wp14:editId="6275BBCD">
                <wp:simplePos x="0" y="0"/>
                <wp:positionH relativeFrom="column">
                  <wp:posOffset>0</wp:posOffset>
                </wp:positionH>
                <wp:positionV relativeFrom="paragraph">
                  <wp:posOffset>0</wp:posOffset>
                </wp:positionV>
                <wp:extent cx="635000" cy="635000"/>
                <wp:effectExtent l="0" t="0" r="3175" b="3175"/>
                <wp:wrapNone/>
                <wp:docPr id="1502028974" name="_x0000_tole_rId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73E95" id="_x0000_tole_rId36" o:spid="_x0000_s1026" style="position:absolute;left:0;text-align:left;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object w:dxaOrig="7604" w:dyaOrig="5279" w14:anchorId="742B451C">
          <v:shape id="ole_rId36" o:spid="_x0000_i1034" type="#_x0000_t75" style="width:380.25pt;height:264pt;visibility:visible" o:ole="">
            <v:imagedata r:id="rId41" o:title=""/>
          </v:shape>
          <o:OLEObject Type="Embed" ProgID="StaticMetafile" ShapeID="ole_rId36" DrawAspect="Content" ObjectID="_1827584659" r:id="rId42"/>
        </w:object>
      </w:r>
    </w:p>
    <w:p w14:paraId="7C59C7C4" w14:textId="77777777" w:rsidR="00230BC8" w:rsidRDefault="00952EEA">
      <w:pPr>
        <w:bidi w:val="0"/>
        <w:spacing w:after="200"/>
        <w:ind w:left="90"/>
        <w:jc w:val="center"/>
      </w:pPr>
      <w:r>
        <w:rPr>
          <w:sz w:val="20"/>
        </w:rPr>
        <w:t>Figure 16: Accuracy-timeliness trade-off</w:t>
      </w:r>
    </w:p>
    <w:p w14:paraId="1B51B546" w14:textId="77777777" w:rsidR="00230BC8" w:rsidRDefault="00230BC8">
      <w:pPr>
        <w:bidi w:val="0"/>
      </w:pPr>
    </w:p>
    <w:p w14:paraId="28A3F6B4" w14:textId="77777777" w:rsidR="00230BC8" w:rsidRDefault="00952EEA">
      <w:pPr>
        <w:pStyle w:val="Heading11"/>
        <w:keepNext/>
        <w:keepLines/>
        <w:spacing w:before="480" w:after="0"/>
        <w:ind w:left="90"/>
        <w:rPr>
          <w:rFonts w:eastAsia="Calibri"/>
        </w:rPr>
      </w:pPr>
      <w:r>
        <w:t>10. Recommendations</w:t>
      </w:r>
    </w:p>
    <w:p w14:paraId="353C1AAD" w14:textId="77777777" w:rsidR="00230BC8" w:rsidRDefault="00952EEA">
      <w:pPr>
        <w:bidi w:val="0"/>
        <w:spacing w:after="200"/>
        <w:ind w:left="90"/>
      </w:pPr>
      <w:r>
        <w:t>Based on the empirical results and identified limitations, the following recommendations are proposed:</w:t>
      </w:r>
    </w:p>
    <w:p w14:paraId="5DD83D08" w14:textId="77777777" w:rsidR="00230BC8" w:rsidRDefault="00952EEA">
      <w:pPr>
        <w:numPr>
          <w:ilvl w:val="0"/>
          <w:numId w:val="3"/>
        </w:numPr>
        <w:bidi w:val="0"/>
        <w:spacing w:after="200"/>
      </w:pPr>
      <w:r>
        <w:rPr>
          <w:b/>
          <w:bCs/>
        </w:rPr>
        <w:t>Use satellite-based models as a complementary monitoring layer</w:t>
      </w:r>
      <w:r>
        <w:br/>
        <w:t>Integrate hybrid satellite–machine-learning models into GCC climate and energy monitoring systems to generate interim nowcasts between inventory releases. Use these nowcasts for anomaly detection, rapid response to shocks, and early evaluation of policy impacts.</w:t>
      </w:r>
    </w:p>
    <w:p w14:paraId="4BAA421C" w14:textId="77777777" w:rsidR="00230BC8" w:rsidRDefault="00952EEA">
      <w:pPr>
        <w:numPr>
          <w:ilvl w:val="0"/>
          <w:numId w:val="3"/>
        </w:numPr>
        <w:bidi w:val="0"/>
        <w:spacing w:after="200"/>
      </w:pPr>
      <w:r>
        <w:rPr>
          <w:b/>
          <w:bCs/>
        </w:rPr>
        <w:t>Develop operational pipelines within national agencies</w:t>
      </w:r>
      <w:r>
        <w:br/>
        <w:t>Operationalize the Google Earth Engine (Gorelick et al., 2017) feature-extraction workflow and XGBoost modeling framework within national or regional agencies. Automate data ingestion, processing, and model updates to enable near-real-time dashboards for emission indicators.</w:t>
      </w:r>
    </w:p>
    <w:p w14:paraId="5DB6FCB8" w14:textId="77777777" w:rsidR="00230BC8" w:rsidRDefault="00952EEA">
      <w:pPr>
        <w:numPr>
          <w:ilvl w:val="0"/>
          <w:numId w:val="3"/>
        </w:numPr>
        <w:bidi w:val="0"/>
        <w:spacing w:after="200"/>
      </w:pPr>
      <w:r>
        <w:rPr>
          <w:b/>
          <w:bCs/>
        </w:rPr>
        <w:t>Extend the framework to finer spatial and sectoral scales</w:t>
      </w:r>
      <w:r>
        <w:br/>
        <w:t>Explore subnational (provincial or city-level) models that exploit full satellite resolution, and sector-specific applications (power generation, transport, industry) for more targeted policy insight.</w:t>
      </w:r>
    </w:p>
    <w:p w14:paraId="500A02CC" w14:textId="77777777" w:rsidR="00230BC8" w:rsidRDefault="00952EEA">
      <w:pPr>
        <w:numPr>
          <w:ilvl w:val="0"/>
          <w:numId w:val="3"/>
        </w:numPr>
        <w:bidi w:val="0"/>
        <w:spacing w:after="200"/>
      </w:pPr>
      <w:r>
        <w:rPr>
          <w:b/>
          <w:bCs/>
        </w:rPr>
        <w:t>Incorporate uncertainty quantification and ensembles</w:t>
      </w:r>
      <w:r>
        <w:br/>
        <w:t>For policy use, communicate prediction intervals rather than point estimates alone. Extend the framework with ensemble modeling or probabilistic approaches to represent uncertainty explicitly.</w:t>
      </w:r>
    </w:p>
    <w:p w14:paraId="2B1A31CA" w14:textId="77777777" w:rsidR="00230BC8" w:rsidRDefault="00952EEA">
      <w:pPr>
        <w:numPr>
          <w:ilvl w:val="0"/>
          <w:numId w:val="3"/>
        </w:numPr>
        <w:bidi w:val="0"/>
        <w:spacing w:after="200"/>
      </w:pPr>
      <w:r>
        <w:rPr>
          <w:b/>
          <w:bCs/>
        </w:rPr>
        <w:t>Expand and refine data sources as records lengthen</w:t>
      </w:r>
      <w:r>
        <w:br/>
        <w:t>As longer time series become available for key products (for example, Sentinel-5P NO₂) and new missions are launched, update the satellite feature set and re-evaluate model performance. Consider integrating high-</w:t>
      </w:r>
      <w:r>
        <w:lastRenderedPageBreak/>
        <w:t>resolution CO₂ column measurements and improved aerosol products where suitable. In practical terms, deploying such a framework within national or regional agencies will require stable access to satellite archives, suitable computational infrastructure, and clear institutional ownership of the monitoring workflow so that nowcasts can be updated and communicated in a routine, reliable manner.</w:t>
      </w:r>
    </w:p>
    <w:p w14:paraId="26F4D884" w14:textId="5A43A7F3" w:rsidR="00230BC8" w:rsidRDefault="00424400">
      <w:pPr>
        <w:bidi w:val="0"/>
        <w:spacing w:after="200"/>
        <w:ind w:left="90"/>
        <w:jc w:val="center"/>
      </w:pPr>
      <w:r>
        <w:rPr>
          <w:b/>
          <w:bCs/>
          <w:noProof/>
          <w:color w:val="CC0000"/>
          <w:szCs w:val="22"/>
          <w:lang w:eastAsia="en-US"/>
        </w:rPr>
        <w:drawing>
          <wp:inline distT="0" distB="0" distL="0" distR="0" wp14:anchorId="15365325" wp14:editId="058F01C5">
            <wp:extent cx="3629025" cy="3228975"/>
            <wp:effectExtent l="0" t="0" r="0" b="0"/>
            <wp:docPr id="2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14:useLocalDpi xmlns:a14="http://schemas.microsoft.com/office/drawing/2010/main" val="0"/>
                        </a:ext>
                      </a:extLst>
                    </a:blip>
                    <a:srcRect l="-11" t="-11" r="-11" b="-11"/>
                    <a:stretch>
                      <a:fillRect/>
                    </a:stretch>
                  </pic:blipFill>
                  <pic:spPr bwMode="auto">
                    <a:xfrm>
                      <a:off x="0" y="0"/>
                      <a:ext cx="3629025" cy="3228975"/>
                    </a:xfrm>
                    <a:prstGeom prst="rect">
                      <a:avLst/>
                    </a:prstGeom>
                    <a:noFill/>
                    <a:ln>
                      <a:noFill/>
                    </a:ln>
                  </pic:spPr>
                </pic:pic>
              </a:graphicData>
            </a:graphic>
          </wp:inline>
        </w:drawing>
      </w:r>
    </w:p>
    <w:p w14:paraId="4FB85162" w14:textId="751C804C" w:rsidR="00DD5C7A" w:rsidRDefault="00952EEA" w:rsidP="00DD5C7A">
      <w:pPr>
        <w:bidi w:val="0"/>
        <w:spacing w:after="200"/>
        <w:ind w:left="90"/>
        <w:jc w:val="center"/>
      </w:pPr>
      <w:r>
        <w:rPr>
          <w:sz w:val="20"/>
        </w:rPr>
        <w:t>Figure 17: Future research directions</w:t>
      </w:r>
    </w:p>
    <w:p w14:paraId="67D1C26B" w14:textId="77777777" w:rsidR="00230BC8" w:rsidRDefault="00DD5C7A" w:rsidP="00DD5C7A">
      <w:pPr>
        <w:bidi w:val="0"/>
        <w:spacing w:after="200"/>
        <w:ind w:left="90"/>
        <w:jc w:val="center"/>
      </w:pPr>
      <w:r>
        <w:br w:type="page"/>
      </w:r>
    </w:p>
    <w:p w14:paraId="6D16FB62" w14:textId="77777777" w:rsidR="00230BC8" w:rsidRDefault="00952EEA">
      <w:pPr>
        <w:pStyle w:val="Heading11"/>
        <w:keepNext/>
        <w:keepLines/>
        <w:spacing w:before="480" w:after="0"/>
        <w:ind w:left="90"/>
        <w:rPr>
          <w:rFonts w:eastAsia="Calibri"/>
        </w:rPr>
      </w:pPr>
      <w:r>
        <w:lastRenderedPageBreak/>
        <w:t>11. References</w:t>
      </w:r>
    </w:p>
    <w:p w14:paraId="15FBAB89" w14:textId="77777777" w:rsidR="006F618F" w:rsidRDefault="006F618F">
      <w:pPr>
        <w:bidi w:val="0"/>
        <w:spacing w:after="200"/>
        <w:ind w:left="90"/>
        <w:jc w:val="both"/>
      </w:pPr>
    </w:p>
    <w:p w14:paraId="6B79998E" w14:textId="77777777" w:rsidR="006F618F" w:rsidRPr="006F618F" w:rsidRDefault="006F618F" w:rsidP="006F618F">
      <w:pPr>
        <w:bidi w:val="0"/>
        <w:spacing w:after="200"/>
        <w:ind w:left="90"/>
        <w:jc w:val="both"/>
      </w:pPr>
      <w:r w:rsidRPr="006F618F">
        <w:t xml:space="preserve">Addas, A., Goldblatt, R., &amp; </w:t>
      </w:r>
      <w:proofErr w:type="spellStart"/>
      <w:r w:rsidRPr="006F618F">
        <w:t>Rubinyi</w:t>
      </w:r>
      <w:proofErr w:type="spellEnd"/>
      <w:r w:rsidRPr="006F618F">
        <w:t xml:space="preserve">, S. (2020). Utilizing remotely sensed observations to estimate the urban heat island effect at a local scale: Case study of a university campus. Land, 9(6), Article 191. </w:t>
      </w:r>
      <w:hyperlink r:id="rId44" w:history="1">
        <w:r w:rsidRPr="006F618F">
          <w:rPr>
            <w:rStyle w:val="Hyperlink"/>
          </w:rPr>
          <w:t>https://doi.org/10.3390/land9060191</w:t>
        </w:r>
      </w:hyperlink>
    </w:p>
    <w:p w14:paraId="3304CB1B" w14:textId="77777777" w:rsidR="006F618F" w:rsidRPr="006F618F" w:rsidRDefault="006F618F" w:rsidP="006F618F">
      <w:pPr>
        <w:bidi w:val="0"/>
        <w:spacing w:after="200"/>
        <w:ind w:left="90"/>
        <w:jc w:val="both"/>
      </w:pPr>
      <w:r w:rsidRPr="006F618F">
        <w:t xml:space="preserve">Alamri, S., &amp; Khan, S. (2023). Artificial </w:t>
      </w:r>
      <w:proofErr w:type="gramStart"/>
      <w:r w:rsidRPr="006F618F">
        <w:t>intelligence based</w:t>
      </w:r>
      <w:proofErr w:type="gramEnd"/>
      <w:r w:rsidRPr="006F618F">
        <w:t xml:space="preserve"> modelling for predicting CO₂ emission for climate change mitigation in Saudi Arabia. International Journal of Advanced Computer Science and Applications, 14(4), 182-189. </w:t>
      </w:r>
      <w:hyperlink r:id="rId45" w:history="1">
        <w:r w:rsidRPr="006F618F">
          <w:rPr>
            <w:rStyle w:val="Hyperlink"/>
          </w:rPr>
          <w:t>https://doi.org/10.14569/IJACSA.2023.0140421</w:t>
        </w:r>
      </w:hyperlink>
    </w:p>
    <w:p w14:paraId="59F0A1A6" w14:textId="77777777" w:rsidR="006F618F" w:rsidRPr="006F618F" w:rsidRDefault="006F618F" w:rsidP="006F618F">
      <w:pPr>
        <w:bidi w:val="0"/>
        <w:spacing w:after="200"/>
        <w:ind w:left="90"/>
        <w:jc w:val="both"/>
      </w:pPr>
      <w:r w:rsidRPr="006F618F">
        <w:t xml:space="preserve">Alcibahy, M., Gafoor, F. A., Mustafa, F., El Fadel, M., Al Hashemi, H., Al Hammadi, A., &amp; Al Shehhi, M. R. (2025). Improved estimation of carbon dioxide and methane using machine learning with satellite observations over the Arabian Peninsula. Scientific Reports, 15, Article 766. </w:t>
      </w:r>
      <w:hyperlink r:id="rId46" w:history="1">
        <w:r w:rsidRPr="006F618F">
          <w:rPr>
            <w:rStyle w:val="Hyperlink"/>
          </w:rPr>
          <w:t>https://doi.org/10.1038/s41598-024-84593-9</w:t>
        </w:r>
      </w:hyperlink>
    </w:p>
    <w:p w14:paraId="6A9B6BE4" w14:textId="1FEC59C5" w:rsidR="008542BA" w:rsidRDefault="008542BA" w:rsidP="009D0CCE">
      <w:pPr>
        <w:bidi w:val="0"/>
        <w:spacing w:after="200"/>
        <w:ind w:left="90"/>
        <w:jc w:val="both"/>
        <w:rPr>
          <w:rtl/>
        </w:rPr>
      </w:pPr>
      <w:proofErr w:type="spellStart"/>
      <w:r w:rsidRPr="008542BA">
        <w:t>Alkayal</w:t>
      </w:r>
      <w:proofErr w:type="spellEnd"/>
      <w:r w:rsidRPr="008542BA">
        <w:t xml:space="preserve">, S., </w:t>
      </w:r>
      <w:proofErr w:type="spellStart"/>
      <w:r w:rsidRPr="008542BA">
        <w:t>Almisbahi</w:t>
      </w:r>
      <w:proofErr w:type="spellEnd"/>
      <w:r w:rsidRPr="008542BA">
        <w:t xml:space="preserve">, H., </w:t>
      </w:r>
      <w:proofErr w:type="spellStart"/>
      <w:r w:rsidRPr="008542BA">
        <w:t>Baowidan</w:t>
      </w:r>
      <w:proofErr w:type="spellEnd"/>
      <w:r w:rsidRPr="008542BA">
        <w:t xml:space="preserve">, S., Alkhateeb, A., Omer, M. M., &amp; Khashoggi, K. (2025). Air pollution trends and predictive modeling for three cities with different characteristics using Sentinel-5 satellite data and deep learning. Atmosphere, 16(2), Article 211. </w:t>
      </w:r>
      <w:hyperlink r:id="rId47" w:history="1">
        <w:r w:rsidRPr="00431068">
          <w:rPr>
            <w:rStyle w:val="Hyperlink"/>
          </w:rPr>
          <w:t>https://doi.org/10.3390/atmos16020211</w:t>
        </w:r>
      </w:hyperlink>
    </w:p>
    <w:p w14:paraId="782DD595" w14:textId="7C949169" w:rsidR="006F618F" w:rsidRPr="006F618F" w:rsidRDefault="006F618F" w:rsidP="008542BA">
      <w:pPr>
        <w:bidi w:val="0"/>
        <w:spacing w:after="200"/>
        <w:ind w:left="90"/>
        <w:jc w:val="both"/>
      </w:pPr>
      <w:r w:rsidRPr="006F618F">
        <w:t xml:space="preserve">Assiri, M. (2017). Assessing MODIS land surface temperature products over the city of Jeddah, Saudi Arabia. Polish Journal of Environmental Studies, 26(4), 1461-1470. </w:t>
      </w:r>
      <w:hyperlink r:id="rId48" w:history="1">
        <w:r w:rsidRPr="006F618F">
          <w:rPr>
            <w:rStyle w:val="Hyperlink"/>
          </w:rPr>
          <w:t>https://doi.org/10.15244/pjoes/68960</w:t>
        </w:r>
      </w:hyperlink>
    </w:p>
    <w:p w14:paraId="11679ACF" w14:textId="77777777" w:rsidR="006F618F" w:rsidRPr="006F618F" w:rsidRDefault="006F618F" w:rsidP="006F618F">
      <w:pPr>
        <w:bidi w:val="0"/>
        <w:spacing w:after="200"/>
        <w:ind w:left="90"/>
        <w:jc w:val="both"/>
      </w:pPr>
      <w:r w:rsidRPr="006F618F">
        <w:t xml:space="preserve">Begum, A. M., &amp; Al Mobin, M. (2025). A machine learning approach to carbon emissions prediction of the top eleven emitters by 2030 and their prospects for meeting Paris agreement targets. Scientific Reports, 15, Article 19469. </w:t>
      </w:r>
      <w:hyperlink r:id="rId49" w:history="1">
        <w:r w:rsidRPr="006F618F">
          <w:rPr>
            <w:rStyle w:val="Hyperlink"/>
          </w:rPr>
          <w:t>https://doi.org/10.1038/s41598-025-04236-5</w:t>
        </w:r>
      </w:hyperlink>
    </w:p>
    <w:p w14:paraId="4EAABD68" w14:textId="77777777" w:rsidR="006F618F" w:rsidRPr="006F618F" w:rsidRDefault="006F618F" w:rsidP="006F618F">
      <w:pPr>
        <w:bidi w:val="0"/>
        <w:spacing w:after="200"/>
        <w:ind w:left="90"/>
        <w:jc w:val="both"/>
      </w:pPr>
      <w:r w:rsidRPr="006F618F">
        <w:t xml:space="preserve">Chen, T., &amp; </w:t>
      </w:r>
      <w:proofErr w:type="spellStart"/>
      <w:r w:rsidRPr="006F618F">
        <w:t>Guestrin</w:t>
      </w:r>
      <w:proofErr w:type="spellEnd"/>
      <w:r w:rsidRPr="006F618F">
        <w:t xml:space="preserve">, C. (2016). XGBoost: A scalable tree boosting system. In Proceedings of the 22nd ACM SIGKDD International Conference on Knowledge Discovery and Data Mining (pp. 785-794). ACM. </w:t>
      </w:r>
      <w:hyperlink r:id="rId50" w:history="1">
        <w:r w:rsidRPr="006F618F">
          <w:rPr>
            <w:rStyle w:val="Hyperlink"/>
          </w:rPr>
          <w:t>https://doi.org/10.1145/2939672.2939785</w:t>
        </w:r>
      </w:hyperlink>
    </w:p>
    <w:p w14:paraId="07312031" w14:textId="77777777" w:rsidR="006F618F" w:rsidRPr="006F618F" w:rsidRDefault="006F618F" w:rsidP="006F618F">
      <w:pPr>
        <w:bidi w:val="0"/>
        <w:spacing w:after="200"/>
        <w:ind w:left="90"/>
        <w:jc w:val="both"/>
      </w:pPr>
      <w:r w:rsidRPr="006F618F">
        <w:t xml:space="preserve">Elvidge, C. D., Ziskin, D., Baugh, K. E., Tuttle, B. T., Ghosh, T., Pack, D. W., Erwin, E. H., &amp; </w:t>
      </w:r>
      <w:proofErr w:type="spellStart"/>
      <w:r w:rsidRPr="006F618F">
        <w:t>Zhizhin</w:t>
      </w:r>
      <w:proofErr w:type="spellEnd"/>
      <w:r w:rsidRPr="006F618F">
        <w:t xml:space="preserve">, M. (2009). A </w:t>
      </w:r>
      <w:proofErr w:type="gramStart"/>
      <w:r w:rsidRPr="006F618F">
        <w:t>fifteen year</w:t>
      </w:r>
      <w:proofErr w:type="gramEnd"/>
      <w:r w:rsidRPr="006F618F">
        <w:t xml:space="preserve"> record of global natural gas flaring derived from satellite data. Energies, 2(3), 595-622. </w:t>
      </w:r>
      <w:hyperlink r:id="rId51" w:history="1">
        <w:r w:rsidRPr="006F618F">
          <w:rPr>
            <w:rStyle w:val="Hyperlink"/>
          </w:rPr>
          <w:t>https://doi.org/10.3390/en20300595</w:t>
        </w:r>
      </w:hyperlink>
    </w:p>
    <w:p w14:paraId="02ACB060" w14:textId="77777777" w:rsidR="006F618F" w:rsidRPr="006F618F" w:rsidRDefault="006F618F" w:rsidP="006F618F">
      <w:pPr>
        <w:bidi w:val="0"/>
        <w:spacing w:after="200"/>
        <w:ind w:left="90"/>
        <w:jc w:val="both"/>
      </w:pPr>
      <w:r w:rsidRPr="006F618F">
        <w:t>Emadi, M., Taghizadeh-</w:t>
      </w:r>
      <w:proofErr w:type="spellStart"/>
      <w:r w:rsidRPr="006F618F">
        <w:t>Mehrjardi</w:t>
      </w:r>
      <w:proofErr w:type="spellEnd"/>
      <w:r w:rsidRPr="006F618F">
        <w:t xml:space="preserve">, R., </w:t>
      </w:r>
      <w:proofErr w:type="spellStart"/>
      <w:r w:rsidRPr="006F618F">
        <w:t>Cherati</w:t>
      </w:r>
      <w:proofErr w:type="spellEnd"/>
      <w:r w:rsidRPr="006F618F">
        <w:t xml:space="preserve">, A., Danesh, M., </w:t>
      </w:r>
      <w:proofErr w:type="spellStart"/>
      <w:r w:rsidRPr="006F618F">
        <w:t>Mosavi</w:t>
      </w:r>
      <w:proofErr w:type="spellEnd"/>
      <w:r w:rsidRPr="006F618F">
        <w:t xml:space="preserve">, A., &amp; Scholten, T. (2020). Predicting and mapping of soil organic carbon using machine learning algorithms in Northern Iran. Remote Sensing, 12(14), Article 2234. </w:t>
      </w:r>
      <w:hyperlink r:id="rId52" w:history="1">
        <w:r w:rsidRPr="006F618F">
          <w:rPr>
            <w:rStyle w:val="Hyperlink"/>
          </w:rPr>
          <w:t>https://doi.org/10.3390/rs12142234</w:t>
        </w:r>
      </w:hyperlink>
    </w:p>
    <w:p w14:paraId="35F70BAC" w14:textId="77777777" w:rsidR="006F618F" w:rsidRPr="006F618F" w:rsidRDefault="006F618F" w:rsidP="006F618F">
      <w:pPr>
        <w:bidi w:val="0"/>
        <w:spacing w:after="200"/>
        <w:ind w:left="90"/>
        <w:jc w:val="both"/>
      </w:pPr>
      <w:r w:rsidRPr="006F618F">
        <w:t xml:space="preserve">European Space Agency. (2024). Sentinel-5P TROPOMI User Guide. Retrieved December 2024 from </w:t>
      </w:r>
      <w:hyperlink r:id="rId53" w:history="1">
        <w:r w:rsidRPr="006F618F">
          <w:rPr>
            <w:rStyle w:val="Hyperlink"/>
          </w:rPr>
          <w:t>https://sentiwiki.copernicus.eu/web/sentinel-5p</w:t>
        </w:r>
      </w:hyperlink>
    </w:p>
    <w:p w14:paraId="61879330" w14:textId="77777777" w:rsidR="006F618F" w:rsidRPr="006F618F" w:rsidRDefault="006F618F" w:rsidP="006F618F">
      <w:pPr>
        <w:bidi w:val="0"/>
        <w:spacing w:after="200"/>
        <w:ind w:left="90"/>
        <w:jc w:val="both"/>
      </w:pPr>
      <w:r w:rsidRPr="006F618F">
        <w:t xml:space="preserve">Fonseca, R., &amp; Francis, D. (2023). Satellite derived trends and variability of CO₂ concentrations in the Middle East during 2014-2023. Frontiers in Environmental Science, 11, Article 1289142. </w:t>
      </w:r>
      <w:hyperlink r:id="rId54" w:history="1">
        <w:r w:rsidRPr="006F618F">
          <w:rPr>
            <w:rStyle w:val="Hyperlink"/>
          </w:rPr>
          <w:t>https://doi.org/10.3389/fenvs.2023.1289142</w:t>
        </w:r>
      </w:hyperlink>
    </w:p>
    <w:p w14:paraId="292670C8" w14:textId="77777777" w:rsidR="006F618F" w:rsidRPr="006F618F" w:rsidRDefault="006F618F" w:rsidP="006F618F">
      <w:pPr>
        <w:bidi w:val="0"/>
        <w:spacing w:after="200"/>
        <w:ind w:left="90"/>
        <w:jc w:val="both"/>
      </w:pPr>
      <w:r w:rsidRPr="006F618F">
        <w:t xml:space="preserve">Global Carbon Project. (2023). Global carbon budget 2023. Earth System Science Data, 15(12), 5301-5369. </w:t>
      </w:r>
      <w:hyperlink r:id="rId55" w:history="1">
        <w:r w:rsidRPr="006F618F">
          <w:rPr>
            <w:rStyle w:val="Hyperlink"/>
          </w:rPr>
          <w:t>https://doi.org/10.5194/essd-15-5301-2023</w:t>
        </w:r>
      </w:hyperlink>
    </w:p>
    <w:p w14:paraId="42C1620D" w14:textId="77777777" w:rsidR="006F618F" w:rsidRPr="006F618F" w:rsidRDefault="006F618F" w:rsidP="006F618F">
      <w:pPr>
        <w:bidi w:val="0"/>
        <w:spacing w:after="200"/>
        <w:ind w:left="90"/>
        <w:jc w:val="both"/>
      </w:pPr>
      <w:r w:rsidRPr="006F618F">
        <w:lastRenderedPageBreak/>
        <w:t xml:space="preserve">Goodfellow, I., Bengio, Y., &amp; Courville, A. (2016). Deep learning. MIT Press. </w:t>
      </w:r>
      <w:hyperlink r:id="rId56" w:history="1">
        <w:r w:rsidRPr="006F618F">
          <w:rPr>
            <w:rStyle w:val="Hyperlink"/>
          </w:rPr>
          <w:t>https://www.deeplearningbook.org/</w:t>
        </w:r>
      </w:hyperlink>
    </w:p>
    <w:p w14:paraId="0FDB6BCF" w14:textId="77777777" w:rsidR="006F618F" w:rsidRPr="006F618F" w:rsidRDefault="006F618F" w:rsidP="006F618F">
      <w:pPr>
        <w:bidi w:val="0"/>
        <w:spacing w:after="200"/>
        <w:ind w:left="90"/>
        <w:jc w:val="both"/>
      </w:pPr>
      <w:r w:rsidRPr="006F618F">
        <w:t xml:space="preserve">Gorelick, N., Hancher, M., Dixon, M., Ilyushchenko, S., Thau, D., &amp; Moore, R. (2017). Google Earth Engine: Planetary-scale geospatial analysis for everyone. Remote Sensing of Environment, 202, 18-27. </w:t>
      </w:r>
      <w:hyperlink r:id="rId57" w:history="1">
        <w:r w:rsidRPr="006F618F">
          <w:rPr>
            <w:rStyle w:val="Hyperlink"/>
          </w:rPr>
          <w:t>https://doi.org/10.1016/j.rse.2017.06.031</w:t>
        </w:r>
      </w:hyperlink>
    </w:p>
    <w:p w14:paraId="6FC3AAEE" w14:textId="77777777" w:rsidR="006F618F" w:rsidRPr="006F618F" w:rsidRDefault="006F618F" w:rsidP="006F618F">
      <w:pPr>
        <w:bidi w:val="0"/>
        <w:spacing w:after="200"/>
        <w:ind w:left="90"/>
        <w:jc w:val="both"/>
      </w:pPr>
      <w:r w:rsidRPr="006F618F">
        <w:t xml:space="preserve">Hammam, A., &amp; Mohamed, E. (2020). Mapping soil salinity in the East Nile Delta using several methodological approaches of salinity assessment. Egyptian Journal of Remote Sensing and Space Science, 23(2), 125-131. </w:t>
      </w:r>
      <w:hyperlink r:id="rId58" w:history="1">
        <w:r w:rsidRPr="006F618F">
          <w:rPr>
            <w:rStyle w:val="Hyperlink"/>
          </w:rPr>
          <w:t>https://doi.org/10.1016/j.ejrs.2018.11.002</w:t>
        </w:r>
      </w:hyperlink>
    </w:p>
    <w:p w14:paraId="40815848" w14:textId="77777777" w:rsidR="006F618F" w:rsidRPr="006F618F" w:rsidRDefault="006F618F" w:rsidP="006F618F">
      <w:pPr>
        <w:bidi w:val="0"/>
        <w:spacing w:after="200"/>
        <w:ind w:left="90"/>
        <w:jc w:val="both"/>
      </w:pPr>
      <w:r w:rsidRPr="006F618F">
        <w:t xml:space="preserve">Han, Z., Cui, B., Xu, L., Wang, J., &amp; Guo, Z. (2023). Coupling LSTM and CNN neural networks for accurate carbon emission prediction in 30 Chinese provinces. Sustainability, 15(18), Article 13934. </w:t>
      </w:r>
      <w:hyperlink r:id="rId59" w:history="1">
        <w:r w:rsidRPr="006F618F">
          <w:rPr>
            <w:rStyle w:val="Hyperlink"/>
          </w:rPr>
          <w:t>https://doi.org/10.3390/su151813934</w:t>
        </w:r>
      </w:hyperlink>
    </w:p>
    <w:p w14:paraId="3D24AAAF" w14:textId="77777777" w:rsidR="006F618F" w:rsidRPr="006F618F" w:rsidRDefault="006F618F" w:rsidP="006F618F">
      <w:pPr>
        <w:bidi w:val="0"/>
        <w:spacing w:after="200"/>
        <w:ind w:left="90"/>
        <w:jc w:val="both"/>
      </w:pPr>
      <w:r w:rsidRPr="006F618F">
        <w:t xml:space="preserve">Haq, M. A. (2022). </w:t>
      </w:r>
      <w:proofErr w:type="spellStart"/>
      <w:r w:rsidRPr="006F618F">
        <w:t>Planetscope</w:t>
      </w:r>
      <w:proofErr w:type="spellEnd"/>
      <w:r w:rsidRPr="006F618F">
        <w:t xml:space="preserve"> nanosatellites image classification using machine learning. Computer Systems Science and Engineering, 42(3), 1031-1046. </w:t>
      </w:r>
      <w:hyperlink r:id="rId60" w:history="1">
        <w:r w:rsidRPr="006F618F">
          <w:rPr>
            <w:rStyle w:val="Hyperlink"/>
          </w:rPr>
          <w:t>https://doi.org/10.32604/csse.2022.023221</w:t>
        </w:r>
      </w:hyperlink>
    </w:p>
    <w:p w14:paraId="42B4BDF6" w14:textId="77777777" w:rsidR="006F618F" w:rsidRPr="006F618F" w:rsidRDefault="006F618F" w:rsidP="006F618F">
      <w:pPr>
        <w:bidi w:val="0"/>
        <w:spacing w:after="200"/>
        <w:ind w:left="90"/>
        <w:jc w:val="both"/>
      </w:pPr>
      <w:r w:rsidRPr="006F618F">
        <w:t xml:space="preserve">IPCC. (2023). Climate change 2023: Synthesis report. Contribution of Working Groups I, II and III to the Sixth Assessment Report of the Intergovernmental Panel on Climate Change. Intergovernmental Panel on Climate Change. </w:t>
      </w:r>
      <w:hyperlink r:id="rId61" w:history="1">
        <w:r w:rsidRPr="006F618F">
          <w:rPr>
            <w:rStyle w:val="Hyperlink"/>
          </w:rPr>
          <w:t>https://www.ipcc.ch/report/ar6/syr/</w:t>
        </w:r>
      </w:hyperlink>
    </w:p>
    <w:p w14:paraId="2AE85DA9" w14:textId="77777777" w:rsidR="006F618F" w:rsidRPr="006F618F" w:rsidRDefault="006F618F" w:rsidP="006F618F">
      <w:pPr>
        <w:bidi w:val="0"/>
        <w:spacing w:after="200"/>
        <w:ind w:left="90"/>
        <w:jc w:val="both"/>
      </w:pPr>
      <w:r w:rsidRPr="006F618F">
        <w:t xml:space="preserve">Kumar, K. R., </w:t>
      </w:r>
      <w:proofErr w:type="spellStart"/>
      <w:r w:rsidRPr="006F618F">
        <w:t>Attada</w:t>
      </w:r>
      <w:proofErr w:type="spellEnd"/>
      <w:r w:rsidRPr="006F618F">
        <w:t xml:space="preserve">, R., Dasari, H. P., Vellore, R. K., </w:t>
      </w:r>
      <w:proofErr w:type="spellStart"/>
      <w:r w:rsidRPr="006F618F">
        <w:t>Langodan</w:t>
      </w:r>
      <w:proofErr w:type="spellEnd"/>
      <w:r w:rsidRPr="006F618F">
        <w:t xml:space="preserve">, S., </w:t>
      </w:r>
      <w:proofErr w:type="spellStart"/>
      <w:r w:rsidRPr="006F618F">
        <w:t>Abualnaja</w:t>
      </w:r>
      <w:proofErr w:type="spellEnd"/>
      <w:r w:rsidRPr="006F618F">
        <w:t xml:space="preserve">, Y. O., &amp; </w:t>
      </w:r>
      <w:proofErr w:type="spellStart"/>
      <w:r w:rsidRPr="006F618F">
        <w:t>Hoteit</w:t>
      </w:r>
      <w:proofErr w:type="spellEnd"/>
      <w:r w:rsidRPr="006F618F">
        <w:t xml:space="preserve">, I. (2018). Aerosol optical depth variability over the Arabian Peninsula as inferred from satellite measurements. Atmospheric Environment, 187, 346-357. </w:t>
      </w:r>
      <w:hyperlink r:id="rId62" w:history="1">
        <w:r w:rsidRPr="006F618F">
          <w:rPr>
            <w:rStyle w:val="Hyperlink"/>
          </w:rPr>
          <w:t>https://doi.org/10.1016/j.atmosenv.2018.06.011</w:t>
        </w:r>
      </w:hyperlink>
    </w:p>
    <w:p w14:paraId="2F5DE753" w14:textId="77777777" w:rsidR="006F618F" w:rsidRPr="006F618F" w:rsidRDefault="006F618F" w:rsidP="006F618F">
      <w:pPr>
        <w:bidi w:val="0"/>
        <w:spacing w:after="200"/>
        <w:ind w:left="90"/>
        <w:jc w:val="both"/>
      </w:pPr>
      <w:r w:rsidRPr="006F618F">
        <w:t xml:space="preserve">Lin, X., van der A, R., de Laat, J., </w:t>
      </w:r>
      <w:proofErr w:type="spellStart"/>
      <w:r w:rsidRPr="006F618F">
        <w:t>Eskes</w:t>
      </w:r>
      <w:proofErr w:type="spellEnd"/>
      <w:r w:rsidRPr="006F618F">
        <w:t xml:space="preserve">, H., Chevallier, F., Ciais, P., Deng, Z., Geng, Y., Song, X., Ni, X., Huo, D., Dou, X., &amp; Liu, Z. (2023). Monitoring and quantifying CO₂ emissions of isolated power plants from space. Atmospheric Chemistry and Physics, 23, 6599-6611. </w:t>
      </w:r>
      <w:hyperlink r:id="rId63" w:history="1">
        <w:r w:rsidRPr="006F618F">
          <w:rPr>
            <w:rStyle w:val="Hyperlink"/>
          </w:rPr>
          <w:t>https://doi.org/10.5194/acp-23-6599-2023</w:t>
        </w:r>
      </w:hyperlink>
    </w:p>
    <w:p w14:paraId="40802734" w14:textId="77777777" w:rsidR="006F618F" w:rsidRPr="006F618F" w:rsidRDefault="006F618F" w:rsidP="006F618F">
      <w:pPr>
        <w:bidi w:val="0"/>
        <w:spacing w:after="200"/>
        <w:ind w:left="90"/>
        <w:jc w:val="both"/>
      </w:pPr>
      <w:proofErr w:type="spellStart"/>
      <w:r w:rsidRPr="006F618F">
        <w:t>Madugundu</w:t>
      </w:r>
      <w:proofErr w:type="spellEnd"/>
      <w:r w:rsidRPr="006F618F">
        <w:t>, R., Al-</w:t>
      </w:r>
      <w:proofErr w:type="spellStart"/>
      <w:r w:rsidRPr="006F618F">
        <w:t>Gaadi</w:t>
      </w:r>
      <w:proofErr w:type="spellEnd"/>
      <w:r w:rsidRPr="006F618F">
        <w:t xml:space="preserve">, K. A., Tola, E., </w:t>
      </w:r>
      <w:proofErr w:type="spellStart"/>
      <w:r w:rsidRPr="006F618F">
        <w:t>Hassaballa</w:t>
      </w:r>
      <w:proofErr w:type="spellEnd"/>
      <w:r w:rsidRPr="006F618F">
        <w:t xml:space="preserve">, A. G., &amp; </w:t>
      </w:r>
      <w:proofErr w:type="spellStart"/>
      <w:r w:rsidRPr="006F618F">
        <w:t>Kayad</w:t>
      </w:r>
      <w:proofErr w:type="spellEnd"/>
      <w:r w:rsidRPr="006F618F">
        <w:t xml:space="preserve">, C. (2018). Utilization of Landsat-8 data for the estimation of carrot and maize crop water footprint under the arid climate of Saudi Arabia. </w:t>
      </w:r>
      <w:proofErr w:type="spellStart"/>
      <w:proofErr w:type="gramStart"/>
      <w:r w:rsidRPr="006F618F">
        <w:t>PLoS</w:t>
      </w:r>
      <w:proofErr w:type="spellEnd"/>
      <w:proofErr w:type="gramEnd"/>
      <w:r w:rsidRPr="006F618F">
        <w:t xml:space="preserve"> ONE, 13(2), Article e0192830. </w:t>
      </w:r>
      <w:hyperlink r:id="rId64" w:history="1">
        <w:r w:rsidRPr="006F618F">
          <w:rPr>
            <w:rStyle w:val="Hyperlink"/>
          </w:rPr>
          <w:t>https://doi.org/10.1371/journal.pone.0192830</w:t>
        </w:r>
      </w:hyperlink>
    </w:p>
    <w:p w14:paraId="0F6CDDBF" w14:textId="77777777" w:rsidR="006F618F" w:rsidRPr="006F618F" w:rsidRDefault="006F618F" w:rsidP="006F618F">
      <w:pPr>
        <w:bidi w:val="0"/>
        <w:spacing w:after="200"/>
        <w:ind w:left="90"/>
        <w:jc w:val="both"/>
      </w:pPr>
      <w:r w:rsidRPr="006F618F">
        <w:t xml:space="preserve">Mallick, J., </w:t>
      </w:r>
      <w:proofErr w:type="spellStart"/>
      <w:r w:rsidRPr="006F618F">
        <w:t>Almesfer</w:t>
      </w:r>
      <w:proofErr w:type="spellEnd"/>
      <w:r w:rsidRPr="006F618F">
        <w:t xml:space="preserve">, M. K., </w:t>
      </w:r>
      <w:proofErr w:type="spellStart"/>
      <w:r w:rsidRPr="006F618F">
        <w:t>Alsubih</w:t>
      </w:r>
      <w:proofErr w:type="spellEnd"/>
      <w:r w:rsidRPr="006F618F">
        <w:t xml:space="preserve">, M., Ahmed, M., &amp; Ben Kahla, N. (2022). Estimating carbon stocks and sequestration with their valuation under a changing land use scenario: </w:t>
      </w:r>
      <w:proofErr w:type="gramStart"/>
      <w:r w:rsidRPr="006F618F">
        <w:t>A multi-temporal research</w:t>
      </w:r>
      <w:proofErr w:type="gramEnd"/>
      <w:r w:rsidRPr="006F618F">
        <w:t xml:space="preserve"> in Abha City, Saudi Arabia. Frontiers in Ecology and Evolution, 10, Article 905799. </w:t>
      </w:r>
      <w:hyperlink r:id="rId65" w:history="1">
        <w:r w:rsidRPr="006F618F">
          <w:rPr>
            <w:rStyle w:val="Hyperlink"/>
          </w:rPr>
          <w:t>https://doi.org/10.3389/fevo.2022.905799</w:t>
        </w:r>
      </w:hyperlink>
    </w:p>
    <w:p w14:paraId="5E83926C" w14:textId="77777777" w:rsidR="006F618F" w:rsidRPr="006F618F" w:rsidRDefault="006F618F" w:rsidP="006F618F">
      <w:pPr>
        <w:bidi w:val="0"/>
        <w:spacing w:after="200"/>
        <w:ind w:left="90"/>
        <w:jc w:val="both"/>
      </w:pPr>
      <w:r w:rsidRPr="006F618F">
        <w:t xml:space="preserve">Meng, Y., &amp; Noman, H. (2022). Predicting CO₂ emission footprint using AI through machine learning. Atmosphere, 13(11), Article 1871. </w:t>
      </w:r>
      <w:hyperlink r:id="rId66" w:history="1">
        <w:r w:rsidRPr="006F618F">
          <w:rPr>
            <w:rStyle w:val="Hyperlink"/>
          </w:rPr>
          <w:t>https://doi.org/10.3390/atmos13111871</w:t>
        </w:r>
      </w:hyperlink>
    </w:p>
    <w:p w14:paraId="78950F40" w14:textId="77777777" w:rsidR="006F618F" w:rsidRPr="006F618F" w:rsidRDefault="006F618F" w:rsidP="006F618F">
      <w:pPr>
        <w:bidi w:val="0"/>
        <w:spacing w:after="200"/>
        <w:ind w:left="90"/>
        <w:jc w:val="both"/>
      </w:pPr>
      <w:r w:rsidRPr="006F618F">
        <w:t xml:space="preserve">Mustafa, F., Bu, L., Wang, Q., Ali, N., </w:t>
      </w:r>
      <w:proofErr w:type="spellStart"/>
      <w:r w:rsidRPr="006F618F">
        <w:t>Shahzaman</w:t>
      </w:r>
      <w:proofErr w:type="spellEnd"/>
      <w:r w:rsidRPr="006F618F">
        <w:t xml:space="preserve">, M., Bilal, M., Aslam, M., &amp; Iqbal, A. (2021). Neural-network-based estimation of regional-scale anthropogenic CO₂ emissions using an Orbiting Carbon Observatory-2 (OCO-2) dataset over East and West Asia. Atmospheric Measurement Techniques, 14(11), 7277-7290. </w:t>
      </w:r>
      <w:hyperlink r:id="rId67" w:history="1">
        <w:r w:rsidRPr="006F618F">
          <w:rPr>
            <w:rStyle w:val="Hyperlink"/>
          </w:rPr>
          <w:t>https://doi.org/10.5194/amt-14-7277-2021</w:t>
        </w:r>
      </w:hyperlink>
    </w:p>
    <w:p w14:paraId="0976F82C" w14:textId="77777777" w:rsidR="006F618F" w:rsidRPr="006F618F" w:rsidRDefault="006F618F" w:rsidP="006F618F">
      <w:pPr>
        <w:bidi w:val="0"/>
        <w:spacing w:after="200"/>
        <w:ind w:left="90"/>
        <w:jc w:val="both"/>
      </w:pPr>
      <w:r w:rsidRPr="006F618F">
        <w:t xml:space="preserve">NASA. (2024). Landsat Science. Retrieved December 2024 from </w:t>
      </w:r>
      <w:hyperlink r:id="rId68" w:history="1">
        <w:r w:rsidRPr="006F618F">
          <w:rPr>
            <w:rStyle w:val="Hyperlink"/>
          </w:rPr>
          <w:t>https://landsat.gsfc.nasa.gov/</w:t>
        </w:r>
      </w:hyperlink>
    </w:p>
    <w:p w14:paraId="341B7572" w14:textId="77777777" w:rsidR="006F618F" w:rsidRPr="006F618F" w:rsidRDefault="006F618F" w:rsidP="006F618F">
      <w:pPr>
        <w:bidi w:val="0"/>
        <w:spacing w:after="200"/>
        <w:ind w:left="90"/>
        <w:jc w:val="both"/>
      </w:pPr>
      <w:r w:rsidRPr="006F618F">
        <w:lastRenderedPageBreak/>
        <w:t xml:space="preserve">Nassef, A. M., Olabi, A. G., Rezk, H., &amp; Abdelkareem, M. A. (2023). Application of artificial intelligence to predict CO₂ emissions: Critical step towards sustainable environment. Sustainability, 15(9), Article 7648. </w:t>
      </w:r>
      <w:hyperlink r:id="rId69" w:history="1">
        <w:r w:rsidRPr="006F618F">
          <w:rPr>
            <w:rStyle w:val="Hyperlink"/>
          </w:rPr>
          <w:t>https://doi.org/10.3390/su15097648</w:t>
        </w:r>
      </w:hyperlink>
    </w:p>
    <w:p w14:paraId="1C755881" w14:textId="77777777" w:rsidR="006F618F" w:rsidRPr="006F618F" w:rsidRDefault="006F618F" w:rsidP="006F618F">
      <w:pPr>
        <w:bidi w:val="0"/>
        <w:spacing w:after="200"/>
        <w:ind w:left="90"/>
        <w:jc w:val="both"/>
      </w:pPr>
      <w:r w:rsidRPr="006F618F">
        <w:t xml:space="preserve">Persello, C., Wegner, J. D., </w:t>
      </w:r>
      <w:proofErr w:type="spellStart"/>
      <w:r w:rsidRPr="006F618F">
        <w:t>Hänsch</w:t>
      </w:r>
      <w:proofErr w:type="spellEnd"/>
      <w:r w:rsidRPr="006F618F">
        <w:t xml:space="preserve">, R., Tuia, D., </w:t>
      </w:r>
      <w:proofErr w:type="spellStart"/>
      <w:r w:rsidRPr="006F618F">
        <w:t>Ghamisi</w:t>
      </w:r>
      <w:proofErr w:type="spellEnd"/>
      <w:r w:rsidRPr="006F618F">
        <w:t xml:space="preserve">, P., Kober, M., &amp; Blazquez-Calero, J. (2022). Deep learning and Earth observation to support the Sustainable Development Goals: Current approaches, open challenges, and future opportunities. IEEE Geoscience and Remote Sensing Magazine, 10(2), 172-200. </w:t>
      </w:r>
      <w:hyperlink r:id="rId70" w:history="1">
        <w:r w:rsidRPr="006F618F">
          <w:rPr>
            <w:rStyle w:val="Hyperlink"/>
          </w:rPr>
          <w:t>https://doi.org/10.1109/MGRS.2021.3136100</w:t>
        </w:r>
      </w:hyperlink>
    </w:p>
    <w:p w14:paraId="5CD10848" w14:textId="77777777" w:rsidR="006F618F" w:rsidRPr="006F618F" w:rsidRDefault="006F618F" w:rsidP="006F618F">
      <w:pPr>
        <w:bidi w:val="0"/>
        <w:spacing w:after="200"/>
        <w:ind w:left="90"/>
        <w:jc w:val="both"/>
      </w:pPr>
      <w:r w:rsidRPr="006F618F">
        <w:t xml:space="preserve">Rahman, M. M., Shafiullah, M., Alam, M. S., Rahman, M. S., </w:t>
      </w:r>
      <w:proofErr w:type="spellStart"/>
      <w:r w:rsidRPr="006F618F">
        <w:t>Alsanad</w:t>
      </w:r>
      <w:proofErr w:type="spellEnd"/>
      <w:r w:rsidRPr="006F618F">
        <w:t xml:space="preserve">, M. A., Islam, M. M., Islam, M. K., &amp; Rahman, S. M. (2023). Decision tree-based ensemble model for predicting national greenhouse gas emissions in Saudi Arabia. Applied Sciences, 13(6), Article 3832. </w:t>
      </w:r>
      <w:hyperlink r:id="rId71" w:history="1">
        <w:r w:rsidRPr="006F618F">
          <w:rPr>
            <w:rStyle w:val="Hyperlink"/>
          </w:rPr>
          <w:t>https://doi.org/10.3390/app13063832</w:t>
        </w:r>
      </w:hyperlink>
    </w:p>
    <w:p w14:paraId="5A378D91" w14:textId="77777777" w:rsidR="006F618F" w:rsidRPr="006F618F" w:rsidRDefault="006F618F" w:rsidP="006F618F">
      <w:pPr>
        <w:bidi w:val="0"/>
        <w:spacing w:after="200"/>
        <w:ind w:left="90"/>
        <w:jc w:val="both"/>
      </w:pPr>
      <w:r w:rsidRPr="006F618F">
        <w:t xml:space="preserve">Rowley, A., &amp; Karakuş, O. (2023). Predicting air quality via multimodal AI and satellite imagery. Remote Sensing of Environment, 293, Article 113609. </w:t>
      </w:r>
      <w:hyperlink r:id="rId72" w:history="1">
        <w:r w:rsidRPr="006F618F">
          <w:rPr>
            <w:rStyle w:val="Hyperlink"/>
          </w:rPr>
          <w:t>https://doi.org/10.1016/j.rse.2023.113609</w:t>
        </w:r>
      </w:hyperlink>
    </w:p>
    <w:p w14:paraId="203EE498" w14:textId="77777777" w:rsidR="006F618F" w:rsidRPr="006F618F" w:rsidRDefault="006F618F" w:rsidP="006F618F">
      <w:pPr>
        <w:bidi w:val="0"/>
        <w:spacing w:after="200"/>
        <w:ind w:left="90"/>
        <w:jc w:val="both"/>
      </w:pPr>
      <w:r w:rsidRPr="006F618F">
        <w:t>Russell, S., &amp; Norvig, P. (2020). Artificial intelligence: A modern approach (4th ed.). Pearson. ISBN: 978-0134610993</w:t>
      </w:r>
    </w:p>
    <w:p w14:paraId="27D46ACB" w14:textId="77777777" w:rsidR="006F618F" w:rsidRPr="006F618F" w:rsidRDefault="006F618F" w:rsidP="006F618F">
      <w:pPr>
        <w:bidi w:val="0"/>
        <w:spacing w:after="200"/>
        <w:ind w:left="90"/>
        <w:jc w:val="both"/>
      </w:pPr>
      <w:r w:rsidRPr="006F618F">
        <w:t xml:space="preserve">Tan, Y., Wang, S., Xue, R., Zhang, S., Wang, T., Liu, J., &amp; Zhou, B. (2024). Estimation of carbon emissions in various clustered regions of China based on OCO-2 satellite XCO₂ data and random forest modelling. Atmospheric Environment, 338, Article 120860. </w:t>
      </w:r>
      <w:hyperlink r:id="rId73" w:history="1">
        <w:r w:rsidRPr="006F618F">
          <w:rPr>
            <w:rStyle w:val="Hyperlink"/>
          </w:rPr>
          <w:t>https://doi.org/10.1016/j.atmosenv.2024.120860</w:t>
        </w:r>
      </w:hyperlink>
    </w:p>
    <w:p w14:paraId="1B11C3D7" w14:textId="77777777" w:rsidR="006F618F" w:rsidRPr="006F618F" w:rsidRDefault="006F618F" w:rsidP="006F618F">
      <w:pPr>
        <w:bidi w:val="0"/>
        <w:spacing w:after="200"/>
        <w:ind w:left="90"/>
        <w:jc w:val="both"/>
      </w:pPr>
      <w:r w:rsidRPr="006F618F">
        <w:t xml:space="preserve">UNFCCC. (2024). NDC Registry. United Nations Framework Convention on Climate Change. Retrieved December 2024 from </w:t>
      </w:r>
      <w:hyperlink r:id="rId74" w:history="1">
        <w:r w:rsidRPr="006F618F">
          <w:rPr>
            <w:rStyle w:val="Hyperlink"/>
          </w:rPr>
          <w:t>https://unfccc.int/NDCREG</w:t>
        </w:r>
      </w:hyperlink>
    </w:p>
    <w:p w14:paraId="1392DDA2" w14:textId="77777777" w:rsidR="006F618F" w:rsidRPr="006F618F" w:rsidRDefault="006F618F" w:rsidP="006F618F">
      <w:pPr>
        <w:bidi w:val="0"/>
        <w:spacing w:after="200"/>
        <w:ind w:left="90"/>
        <w:jc w:val="both"/>
      </w:pPr>
      <w:r w:rsidRPr="006F618F">
        <w:t xml:space="preserve">Xu, G., Zeng, T., Jin, H., Xu, C., &amp; Zhang, Z. (2023). </w:t>
      </w:r>
      <w:proofErr w:type="spellStart"/>
      <w:r w:rsidRPr="006F618F">
        <w:t>Spatio</w:t>
      </w:r>
      <w:proofErr w:type="spellEnd"/>
      <w:r w:rsidRPr="006F618F">
        <w:t xml:space="preserve">-temporal variations and influencing factors of country-level carbon emissions for Northeast China based on VIIRS nighttime lighting data. International Journal of Environmental Research and Public Health, 20(1), Article 829. </w:t>
      </w:r>
      <w:hyperlink r:id="rId75" w:history="1">
        <w:r w:rsidRPr="006F618F">
          <w:rPr>
            <w:rStyle w:val="Hyperlink"/>
          </w:rPr>
          <w:t>https://doi.org/10.3390/ijerph20010829</w:t>
        </w:r>
      </w:hyperlink>
    </w:p>
    <w:p w14:paraId="0E0910BC" w14:textId="52B785DB" w:rsidR="008E1EE3" w:rsidRDefault="008E1EE3" w:rsidP="006F618F">
      <w:pPr>
        <w:bidi w:val="0"/>
        <w:spacing w:after="200"/>
        <w:ind w:left="90"/>
        <w:jc w:val="both"/>
      </w:pPr>
    </w:p>
    <w:sectPr w:rsidR="008E1EE3">
      <w:headerReference w:type="default" r:id="rId76"/>
      <w:footerReference w:type="default" r:id="rId77"/>
      <w:pgSz w:w="11906" w:h="16838"/>
      <w:pgMar w:top="1360" w:right="566" w:bottom="960" w:left="141"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39E69" w14:textId="77777777" w:rsidR="00382883" w:rsidRDefault="00382883">
      <w:pPr>
        <w:spacing w:after="0" w:line="240" w:lineRule="auto"/>
      </w:pPr>
      <w:r>
        <w:separator/>
      </w:r>
    </w:p>
  </w:endnote>
  <w:endnote w:type="continuationSeparator" w:id="0">
    <w:p w14:paraId="6D23B38D" w14:textId="77777777" w:rsidR="00382883" w:rsidRDefault="00382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Liberation Sans">
    <w:altName w:val="Arial"/>
    <w:charset w:val="00"/>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plified Arabic;Simplified 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DejaVu Sans">
    <w:altName w:val="Verdan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C2EC" w14:textId="77777777" w:rsidR="00230BC8" w:rsidRDefault="00952EEA">
    <w:pPr>
      <w:jc w:val="center"/>
    </w:pPr>
    <w:r>
      <w:rPr>
        <w:rtl/>
      </w:rPr>
      <w:fldChar w:fldCharType="begin"/>
    </w:r>
    <w:r>
      <w:rPr>
        <w:rtl/>
      </w:rPr>
      <w:instrText xml:space="preserve"> PAGE </w:instrText>
    </w:r>
    <w:r>
      <w:rPr>
        <w:rtl/>
      </w:rPr>
      <w:fldChar w:fldCharType="separate"/>
    </w:r>
    <w:r>
      <w:rPr>
        <w:rtl/>
      </w:rPr>
      <w:t>29</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CA9F9" w14:textId="77777777" w:rsidR="00382883" w:rsidRDefault="00382883">
      <w:pPr>
        <w:spacing w:after="0" w:line="240" w:lineRule="auto"/>
      </w:pPr>
      <w:r>
        <w:separator/>
      </w:r>
    </w:p>
  </w:footnote>
  <w:footnote w:type="continuationSeparator" w:id="0">
    <w:p w14:paraId="49F26FD7" w14:textId="77777777" w:rsidR="00382883" w:rsidRDefault="003828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189ED" w14:textId="77777777" w:rsidR="00230BC8" w:rsidRDefault="00952EEA">
    <w:pPr>
      <w:spacing w:line="251" w:lineRule="exact"/>
      <w:ind w:left="20"/>
      <w:jc w:val="right"/>
      <w:rPr>
        <w:rFonts w:ascii="Simplified Arabic;Simplified Ar" w:hAnsi="Simplified Arabic;Simplified Ar" w:cs="Simplified Arabic;Simplified Ar"/>
        <w:sz w:val="18"/>
      </w:rPr>
    </w:pPr>
    <w:r>
      <w:rPr>
        <w:rFonts w:ascii="Simplified Arabic;Simplified Ar" w:hAnsi="Simplified Arabic;Simplified Ar" w:cs="Simplified Arabic;Simplified Ar"/>
        <w:sz w:val="18"/>
      </w:rPr>
      <w:t>Midocean</w:t>
    </w:r>
    <w:r>
      <w:rPr>
        <w:rFonts w:ascii="Simplified Arabic;Simplified Ar" w:hAnsi="Simplified Arabic;Simplified Ar" w:cs="Simplified Arabic;Simplified Ar"/>
        <w:spacing w:val="-5"/>
        <w:sz w:val="18"/>
      </w:rPr>
      <w:t xml:space="preserve"> </w:t>
    </w:r>
    <w:r>
      <w:rPr>
        <w:rFonts w:ascii="Simplified Arabic;Simplified Ar" w:hAnsi="Simplified Arabic;Simplified Ar" w:cs="Simplified Arabic;Simplified Ar"/>
        <w:sz w:val="18"/>
      </w:rPr>
      <w:t>Journal</w:t>
    </w:r>
    <w:r>
      <w:rPr>
        <w:rFonts w:ascii="Simplified Arabic;Simplified Ar" w:hAnsi="Simplified Arabic;Simplified Ar" w:cs="Simplified Arabic;Simplified Ar"/>
        <w:spacing w:val="-1"/>
        <w:sz w:val="18"/>
      </w:rPr>
      <w:t xml:space="preserve"> </w:t>
    </w:r>
    <w:r>
      <w:rPr>
        <w:rFonts w:ascii="Simplified Arabic;Simplified Ar" w:hAnsi="Simplified Arabic;Simplified Ar" w:cs="Simplified Arabic;Simplified Ar"/>
        <w:sz w:val="18"/>
      </w:rPr>
      <w:t>for</w:t>
    </w:r>
    <w:r>
      <w:rPr>
        <w:rFonts w:ascii="Simplified Arabic;Simplified Ar" w:hAnsi="Simplified Arabic;Simplified Ar" w:cs="Simplified Arabic;Simplified Ar"/>
        <w:spacing w:val="-4"/>
        <w:sz w:val="18"/>
      </w:rPr>
      <w:t xml:space="preserve"> </w:t>
    </w:r>
    <w:r>
      <w:rPr>
        <w:rFonts w:ascii="Simplified Arabic;Simplified Ar" w:hAnsi="Simplified Arabic;Simplified Ar" w:cs="Simplified Arabic;Simplified Ar"/>
        <w:sz w:val="18"/>
      </w:rPr>
      <w:t>Research</w:t>
    </w:r>
    <w:r>
      <w:rPr>
        <w:rFonts w:ascii="Simplified Arabic;Simplified Ar" w:hAnsi="Simplified Arabic;Simplified Ar" w:cs="Simplified Arabic;Simplified Ar"/>
        <w:spacing w:val="-5"/>
        <w:sz w:val="18"/>
      </w:rPr>
      <w:t xml:space="preserve"> </w:t>
    </w:r>
    <w:r>
      <w:rPr>
        <w:rFonts w:ascii="Simplified Arabic;Simplified Ar" w:hAnsi="Simplified Arabic;Simplified Ar" w:cs="Simplified Arabic;Simplified Ar"/>
        <w:sz w:val="18"/>
      </w:rPr>
      <w:t>and</w:t>
    </w:r>
    <w:r>
      <w:rPr>
        <w:rFonts w:ascii="Simplified Arabic;Simplified Ar" w:hAnsi="Simplified Arabic;Simplified Ar" w:cs="Simplified Arabic;Simplified Ar"/>
        <w:spacing w:val="-5"/>
        <w:sz w:val="18"/>
      </w:rPr>
      <w:t xml:space="preserve"> </w:t>
    </w:r>
    <w:r>
      <w:rPr>
        <w:rFonts w:ascii="Simplified Arabic;Simplified Ar" w:hAnsi="Simplified Arabic;Simplified Ar" w:cs="Simplified Arabic;Simplified Ar"/>
        <w:sz w:val="18"/>
      </w:rPr>
      <w:t>Studies</w:t>
    </w:r>
    <w:r>
      <w:rPr>
        <w:rFonts w:ascii="Simplified Arabic;Simplified Ar" w:hAnsi="Simplified Arabic;Simplified Ar" w:cs="Simplified Arabic;Simplified Ar"/>
        <w:spacing w:val="1"/>
        <w:sz w:val="18"/>
      </w:rPr>
      <w:t xml:space="preserve"> </w:t>
    </w:r>
    <w:r>
      <w:rPr>
        <w:rFonts w:ascii="Simplified Arabic;Simplified Ar" w:hAnsi="Simplified Arabic;Simplified Ar" w:cs="Simplified Arabic;Simplified Ar"/>
        <w:sz w:val="18"/>
      </w:rPr>
      <w:t>–</w:t>
    </w:r>
    <w:r>
      <w:rPr>
        <w:rFonts w:ascii="Simplified Arabic;Simplified Ar" w:hAnsi="Simplified Arabic;Simplified Ar" w:cs="Simplified Arabic;Simplified Ar"/>
        <w:spacing w:val="-5"/>
        <w:sz w:val="18"/>
      </w:rPr>
      <w:t xml:space="preserve"> </w:t>
    </w:r>
    <w:r>
      <w:rPr>
        <w:rFonts w:ascii="Simplified Arabic;Simplified Ar" w:hAnsi="Simplified Arabic;Simplified Ar" w:cs="Simplified Arabic;Simplified Ar"/>
        <w:sz w:val="18"/>
      </w:rPr>
      <w:t>Vol</w:t>
    </w:r>
    <w:r>
      <w:rPr>
        <w:rFonts w:ascii="Simplified Arabic;Simplified Ar" w:hAnsi="Simplified Arabic;Simplified Ar" w:cs="Simplified Arabic;Simplified Ar"/>
        <w:spacing w:val="-1"/>
        <w:sz w:val="18"/>
      </w:rPr>
      <w:t xml:space="preserve"> </w:t>
    </w:r>
    <w:r>
      <w:rPr>
        <w:rFonts w:ascii="Simplified Arabic;Simplified Ar" w:hAnsi="Simplified Arabic;Simplified Ar" w:cs="Simplified Arabic;Simplified Ar"/>
        <w:sz w:val="18"/>
      </w:rPr>
      <w:t>1,</w:t>
    </w:r>
    <w:r>
      <w:rPr>
        <w:rFonts w:ascii="Simplified Arabic;Simplified Ar" w:hAnsi="Simplified Arabic;Simplified Ar" w:cs="Simplified Arabic;Simplified Ar"/>
        <w:spacing w:val="-5"/>
        <w:sz w:val="18"/>
      </w:rPr>
      <w:t xml:space="preserve"> </w:t>
    </w:r>
    <w:r>
      <w:rPr>
        <w:rFonts w:ascii="Simplified Arabic;Simplified Ar" w:hAnsi="Simplified Arabic;Simplified Ar" w:cs="Simplified Arabic;Simplified Ar"/>
        <w:sz w:val="18"/>
      </w:rPr>
      <w:t>No 1,</w:t>
    </w:r>
    <w:r>
      <w:rPr>
        <w:rFonts w:ascii="Simplified Arabic;Simplified Ar" w:hAnsi="Simplified Arabic;Simplified Ar" w:cs="Simplified Arabic;Simplified Ar"/>
        <w:spacing w:val="-3"/>
        <w:sz w:val="18"/>
      </w:rPr>
      <w:t xml:space="preserve"> </w:t>
    </w:r>
    <w:r>
      <w:rPr>
        <w:rFonts w:ascii="Simplified Arabic;Simplified Ar" w:hAnsi="Simplified Arabic;Simplified Ar" w:cs="Simplified Arabic;Simplified Ar"/>
        <w:spacing w:val="-4"/>
        <w:sz w:val="18"/>
      </w:rPr>
      <w:t>2025</w:t>
    </w:r>
  </w:p>
  <w:p w14:paraId="1C9546C1" w14:textId="77777777" w:rsidR="00230BC8" w:rsidRDefault="00230BC8">
    <w:pPr>
      <w:rPr>
        <w:rFonts w:ascii="Simplified Arabic;Simplified Ar" w:hAnsi="Simplified Arabic;Simplified Ar" w:cs="Simplified Arabic;Simplified A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C693C"/>
    <w:multiLevelType w:val="multilevel"/>
    <w:tmpl w:val="E060578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17BB0C36"/>
    <w:multiLevelType w:val="multilevel"/>
    <w:tmpl w:val="603416A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3235498F"/>
    <w:multiLevelType w:val="multilevel"/>
    <w:tmpl w:val="60F2BA5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41040F3"/>
    <w:multiLevelType w:val="multilevel"/>
    <w:tmpl w:val="F5E266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8BB41A9"/>
    <w:multiLevelType w:val="multilevel"/>
    <w:tmpl w:val="481E0A5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7C6C1F60"/>
    <w:multiLevelType w:val="multilevel"/>
    <w:tmpl w:val="B93007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832327485">
    <w:abstractNumId w:val="0"/>
  </w:num>
  <w:num w:numId="2" w16cid:durableId="1930040043">
    <w:abstractNumId w:val="4"/>
  </w:num>
  <w:num w:numId="3" w16cid:durableId="495270542">
    <w:abstractNumId w:val="5"/>
  </w:num>
  <w:num w:numId="4" w16cid:durableId="1212350684">
    <w:abstractNumId w:val="3"/>
  </w:num>
  <w:num w:numId="5" w16cid:durableId="259066455">
    <w:abstractNumId w:val="1"/>
  </w:num>
  <w:num w:numId="6" w16cid:durableId="1131827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BC8"/>
    <w:rsid w:val="00015EC8"/>
    <w:rsid w:val="000559AC"/>
    <w:rsid w:val="000704E3"/>
    <w:rsid w:val="00161953"/>
    <w:rsid w:val="001A0BD0"/>
    <w:rsid w:val="001E5662"/>
    <w:rsid w:val="00230BC8"/>
    <w:rsid w:val="00382883"/>
    <w:rsid w:val="0038612A"/>
    <w:rsid w:val="003A0B4E"/>
    <w:rsid w:val="003A213F"/>
    <w:rsid w:val="003B6500"/>
    <w:rsid w:val="003C5C22"/>
    <w:rsid w:val="00424400"/>
    <w:rsid w:val="00426213"/>
    <w:rsid w:val="00455950"/>
    <w:rsid w:val="00476D0C"/>
    <w:rsid w:val="004E309E"/>
    <w:rsid w:val="00530AAA"/>
    <w:rsid w:val="00530E6D"/>
    <w:rsid w:val="00677E44"/>
    <w:rsid w:val="006C24D6"/>
    <w:rsid w:val="006D5C75"/>
    <w:rsid w:val="006F618F"/>
    <w:rsid w:val="0076111E"/>
    <w:rsid w:val="00786D34"/>
    <w:rsid w:val="007B1111"/>
    <w:rsid w:val="008202E6"/>
    <w:rsid w:val="00841877"/>
    <w:rsid w:val="008542BA"/>
    <w:rsid w:val="0086255E"/>
    <w:rsid w:val="008A2031"/>
    <w:rsid w:val="008E1EE3"/>
    <w:rsid w:val="00952EEA"/>
    <w:rsid w:val="009D0CCE"/>
    <w:rsid w:val="00A2629A"/>
    <w:rsid w:val="00A47F30"/>
    <w:rsid w:val="00A57699"/>
    <w:rsid w:val="00B429C9"/>
    <w:rsid w:val="00B60A3D"/>
    <w:rsid w:val="00B64842"/>
    <w:rsid w:val="00BA5C59"/>
    <w:rsid w:val="00BF37E9"/>
    <w:rsid w:val="00C10C6F"/>
    <w:rsid w:val="00C257F6"/>
    <w:rsid w:val="00CE2AA2"/>
    <w:rsid w:val="00D11E10"/>
    <w:rsid w:val="00D56051"/>
    <w:rsid w:val="00DD5C7A"/>
    <w:rsid w:val="00E30A8D"/>
    <w:rsid w:val="00ED3638"/>
    <w:rsid w:val="00EE121C"/>
    <w:rsid w:val="00EE761E"/>
    <w:rsid w:val="00F10523"/>
    <w:rsid w:val="00FB2617"/>
    <w:rsid w:val="00FD5F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B7E6C"/>
  <w15:docId w15:val="{6B10D7AB-C28D-46FC-87BA-E9AD4AA87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bidi/>
      <w:spacing w:after="160" w:line="276" w:lineRule="auto"/>
    </w:pPr>
    <w:rPr>
      <w:rFonts w:ascii="Times New Roman" w:eastAsia="Times New Roman" w:hAnsi="Times New Roman" w:cs="Times New Roman"/>
      <w:kern w:val="2"/>
      <w:sz w:val="24"/>
      <w:szCs w:val="24"/>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sz w:val="20"/>
    </w:rPr>
  </w:style>
  <w:style w:type="character" w:customStyle="1" w:styleId="WW8Num1z1">
    <w:name w:val="WW8Num1z1"/>
    <w:qFormat/>
    <w:rPr>
      <w:rFonts w:ascii="Courier New" w:hAnsi="Courier New" w:cs="Courier New"/>
      <w:sz w:val="20"/>
    </w:rPr>
  </w:style>
  <w:style w:type="character" w:customStyle="1" w:styleId="WW8Num1z2">
    <w:name w:val="WW8Num1z2"/>
    <w:qFormat/>
    <w:rPr>
      <w:rFonts w:ascii="Wingdings" w:hAnsi="Wingdings" w:cs="Wingdings"/>
      <w:sz w:val="20"/>
    </w:rPr>
  </w:style>
  <w:style w:type="character" w:customStyle="1" w:styleId="WW8Num2z0">
    <w:name w:val="WW8Num2z0"/>
    <w:qFormat/>
    <w:rPr>
      <w:rFonts w:ascii="Symbol" w:hAnsi="Symbol" w:cs="Symbol"/>
      <w:sz w:val="20"/>
    </w:rPr>
  </w:style>
  <w:style w:type="character" w:customStyle="1" w:styleId="WW8Num2z1">
    <w:name w:val="WW8Num2z1"/>
    <w:qFormat/>
    <w:rPr>
      <w:rFonts w:ascii="Courier New" w:hAnsi="Courier New" w:cs="Courier New"/>
      <w:sz w:val="20"/>
    </w:rPr>
  </w:style>
  <w:style w:type="character" w:customStyle="1" w:styleId="WW8Num2z2">
    <w:name w:val="WW8Num2z2"/>
    <w:qFormat/>
    <w:rPr>
      <w:rFonts w:ascii="Wingdings" w:hAnsi="Wingdings" w:cs="Wingdings"/>
      <w:sz w:val="20"/>
    </w:rPr>
  </w:style>
  <w:style w:type="character" w:customStyle="1" w:styleId="WW8Num3z0">
    <w:name w:val="WW8Num3z0"/>
    <w:qFormat/>
    <w:rPr>
      <w:rFonts w:ascii="Symbol" w:hAnsi="Symbol" w:cs="Symbol"/>
      <w:sz w:val="20"/>
    </w:rPr>
  </w:style>
  <w:style w:type="character" w:customStyle="1" w:styleId="WW8Num3z1">
    <w:name w:val="WW8Num3z1"/>
    <w:qFormat/>
    <w:rPr>
      <w:rFonts w:ascii="Courier New" w:hAnsi="Courier New" w:cs="Courier New"/>
      <w:sz w:val="20"/>
    </w:rPr>
  </w:style>
  <w:style w:type="character" w:customStyle="1" w:styleId="WW8Num3z2">
    <w:name w:val="WW8Num3z2"/>
    <w:qFormat/>
    <w:rPr>
      <w:rFonts w:ascii="Wingdings" w:hAnsi="Wingdings" w:cs="Wingdings"/>
      <w:sz w:val="20"/>
    </w:rPr>
  </w:style>
  <w:style w:type="character" w:customStyle="1" w:styleId="WW8Num4z0">
    <w:name w:val="WW8Num4z0"/>
    <w:qFormat/>
    <w:rPr>
      <w:rFonts w:ascii="Symbol" w:hAnsi="Symbol" w:cs="Symbol"/>
      <w:sz w:val="20"/>
    </w:rPr>
  </w:style>
  <w:style w:type="character" w:customStyle="1" w:styleId="WW8Num4z1">
    <w:name w:val="WW8Num4z1"/>
    <w:qFormat/>
    <w:rPr>
      <w:rFonts w:ascii="Courier New" w:hAnsi="Courier New" w:cs="Courier New"/>
      <w:sz w:val="20"/>
    </w:rPr>
  </w:style>
  <w:style w:type="character" w:customStyle="1" w:styleId="WW8Num4z2">
    <w:name w:val="WW8Num4z2"/>
    <w:qFormat/>
    <w:rPr>
      <w:rFonts w:ascii="Wingdings" w:hAnsi="Wingdings" w:cs="Wingdings"/>
      <w:sz w:val="20"/>
    </w:rPr>
  </w:style>
  <w:style w:type="character" w:customStyle="1" w:styleId="WW8Num5z0">
    <w:name w:val="WW8Num5z0"/>
    <w:qFormat/>
    <w:rPr>
      <w:rFonts w:ascii="Symbol" w:hAnsi="Symbol" w:cs="Symbol"/>
      <w:sz w:val="20"/>
    </w:rPr>
  </w:style>
  <w:style w:type="character" w:customStyle="1" w:styleId="WW8Num5z1">
    <w:name w:val="WW8Num5z1"/>
    <w:qFormat/>
    <w:rPr>
      <w:rFonts w:ascii="Courier New" w:hAnsi="Courier New" w:cs="Courier New"/>
      <w:sz w:val="20"/>
    </w:rPr>
  </w:style>
  <w:style w:type="character" w:customStyle="1" w:styleId="WW8Num5z2">
    <w:name w:val="WW8Num5z2"/>
    <w:qFormat/>
    <w:rPr>
      <w:rFonts w:ascii="Wingdings" w:hAnsi="Wingdings" w:cs="Wingdings"/>
      <w:sz w:val="20"/>
    </w:rPr>
  </w:style>
  <w:style w:type="character" w:customStyle="1" w:styleId="WW8Num8z0">
    <w:name w:val="WW8Num8z0"/>
    <w:qFormat/>
    <w:rPr>
      <w:rFonts w:ascii="Symbol" w:hAnsi="Symbol" w:cs="Symbol"/>
      <w:sz w:val="20"/>
    </w:rPr>
  </w:style>
  <w:style w:type="character" w:customStyle="1" w:styleId="WW8Num8z1">
    <w:name w:val="WW8Num8z1"/>
    <w:qFormat/>
    <w:rPr>
      <w:rFonts w:ascii="Courier New" w:hAnsi="Courier New" w:cs="Courier New"/>
      <w:sz w:val="20"/>
    </w:rPr>
  </w:style>
  <w:style w:type="character" w:customStyle="1" w:styleId="WW8Num8z2">
    <w:name w:val="WW8Num8z2"/>
    <w:qFormat/>
    <w:rPr>
      <w:rFonts w:ascii="Wingdings" w:hAnsi="Wingdings" w:cs="Wingdings"/>
      <w:sz w:val="20"/>
    </w:rPr>
  </w:style>
  <w:style w:type="character" w:customStyle="1" w:styleId="WW8Num9z0">
    <w:name w:val="WW8Num9z0"/>
    <w:qFormat/>
    <w:rPr>
      <w:rFonts w:ascii="Symbol" w:hAnsi="Symbol" w:cs="Symbol"/>
      <w:sz w:val="20"/>
    </w:rPr>
  </w:style>
  <w:style w:type="character" w:customStyle="1" w:styleId="WW8Num9z1">
    <w:name w:val="WW8Num9z1"/>
    <w:qFormat/>
    <w:rPr>
      <w:rFonts w:ascii="Courier New" w:hAnsi="Courier New" w:cs="Courier New"/>
      <w:sz w:val="20"/>
    </w:rPr>
  </w:style>
  <w:style w:type="character" w:customStyle="1" w:styleId="WW8Num9z2">
    <w:name w:val="WW8Num9z2"/>
    <w:qFormat/>
    <w:rPr>
      <w:rFonts w:ascii="Wingdings" w:hAnsi="Wingdings" w:cs="Wingdings"/>
      <w:sz w:val="20"/>
    </w:rPr>
  </w:style>
  <w:style w:type="character" w:customStyle="1" w:styleId="HeaderChar">
    <w:name w:val="Header Char"/>
    <w:qFormat/>
    <w:rPr>
      <w:rFonts w:ascii="Times New Roman" w:hAnsi="Times New Roman" w:cs="Times New Roman"/>
    </w:rPr>
  </w:style>
  <w:style w:type="character" w:customStyle="1" w:styleId="FooterChar">
    <w:name w:val="Footer Char"/>
    <w:qFormat/>
    <w:rPr>
      <w:rFonts w:ascii="Times New Roman" w:hAnsi="Times New Roman" w:cs="Times New Roman"/>
    </w:rPr>
  </w:style>
  <w:style w:type="character" w:styleId="Hyperlink">
    <w:name w:val="Hyperlink"/>
    <w:rPr>
      <w:color w:val="467886"/>
      <w:u w:val="single"/>
    </w:rPr>
  </w:style>
  <w:style w:type="character" w:styleId="UnresolvedMention">
    <w:name w:val="Unresolved Mention"/>
    <w:qFormat/>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pPr>
      <w:spacing w:after="140"/>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customStyle="1" w:styleId="Heading11">
    <w:name w:val="Heading 11"/>
    <w:qFormat/>
    <w:pPr>
      <w:suppressAutoHyphens/>
      <w:spacing w:after="160" w:line="276" w:lineRule="auto"/>
      <w:outlineLvl w:val="0"/>
    </w:pPr>
    <w:rPr>
      <w:rFonts w:ascii="Times New Roman" w:eastAsia="Times New Roman" w:hAnsi="Times New Roman" w:cs="Times New Roman"/>
      <w:b/>
      <w:kern w:val="2"/>
      <w:sz w:val="28"/>
      <w:szCs w:val="24"/>
      <w:lang w:eastAsia="zh-CN"/>
    </w:rPr>
  </w:style>
  <w:style w:type="paragraph" w:customStyle="1" w:styleId="Heading21">
    <w:name w:val="Heading 21"/>
    <w:qFormat/>
    <w:pPr>
      <w:suppressAutoHyphens/>
      <w:spacing w:after="160" w:line="276" w:lineRule="auto"/>
      <w:outlineLvl w:val="1"/>
    </w:pPr>
    <w:rPr>
      <w:rFonts w:ascii="Times New Roman" w:eastAsia="Times New Roman" w:hAnsi="Times New Roman" w:cs="Times New Roman"/>
      <w:b/>
      <w:kern w:val="2"/>
      <w:sz w:val="26"/>
      <w:szCs w:val="24"/>
      <w:lang w:eastAsia="zh-CN"/>
    </w:rPr>
  </w:style>
  <w:style w:type="paragraph" w:customStyle="1" w:styleId="Heading31">
    <w:name w:val="Heading 31"/>
    <w:qFormat/>
    <w:pPr>
      <w:suppressAutoHyphens/>
      <w:spacing w:after="160" w:line="276" w:lineRule="auto"/>
      <w:outlineLvl w:val="2"/>
    </w:pPr>
    <w:rPr>
      <w:rFonts w:ascii="Times New Roman" w:eastAsia="Times New Roman" w:hAnsi="Times New Roman" w:cs="Times New Roman"/>
      <w:b/>
      <w:kern w:val="2"/>
      <w:sz w:val="24"/>
      <w:szCs w:val="24"/>
      <w:lang w:eastAsia="zh-CN"/>
    </w:rPr>
  </w:style>
  <w:style w:type="paragraph" w:customStyle="1" w:styleId="Title1">
    <w:name w:val="Title1"/>
    <w:qFormat/>
    <w:pPr>
      <w:suppressAutoHyphens/>
      <w:spacing w:after="160" w:line="276" w:lineRule="auto"/>
    </w:pPr>
    <w:rPr>
      <w:rFonts w:ascii="Times New Roman" w:eastAsia="Times New Roman" w:hAnsi="Times New Roman" w:cs="Times New Roman"/>
      <w:b/>
      <w:kern w:val="2"/>
      <w:sz w:val="32"/>
      <w:szCs w:val="24"/>
      <w:lang w:eastAsia="zh-CN"/>
    </w:rPr>
  </w:style>
  <w:style w:type="paragraph" w:customStyle="1" w:styleId="TableParagraph">
    <w:name w:val="Table Paragraph"/>
    <w:basedOn w:val="Normal"/>
    <w:qFormat/>
    <w:pPr>
      <w:widowControl w:val="0"/>
      <w:autoSpaceDE w:val="0"/>
      <w:bidi w:val="0"/>
      <w:spacing w:after="0" w:line="240" w:lineRule="auto"/>
      <w:ind w:left="19"/>
      <w:jc w:val="center"/>
    </w:pPr>
    <w:rPr>
      <w:kern w:val="0"/>
      <w:sz w:val="22"/>
      <w:szCs w:val="2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spacing w:after="0" w:line="240" w:lineRule="auto"/>
    </w:pPr>
  </w:style>
  <w:style w:type="paragraph" w:styleId="Footer">
    <w:name w:val="footer"/>
    <w:basedOn w:val="Normal"/>
    <w:pPr>
      <w:spacing w:after="0" w:line="240" w:lineRule="auto"/>
    </w:pPr>
  </w:style>
  <w:style w:type="paragraph" w:styleId="NormalWeb">
    <w:name w:val="Normal (Web)"/>
    <w:basedOn w:val="Normal"/>
    <w:qFormat/>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character" w:styleId="FollowedHyperlink">
    <w:name w:val="FollowedHyperlink"/>
    <w:basedOn w:val="DefaultParagraphFont"/>
    <w:uiPriority w:val="99"/>
    <w:semiHidden/>
    <w:unhideWhenUsed/>
    <w:rsid w:val="00B60A3D"/>
    <w:rPr>
      <w:color w:val="551A8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oleObject" Target="embeddings/oleObject10.bin"/><Relationship Id="rId47" Type="http://schemas.openxmlformats.org/officeDocument/2006/relationships/hyperlink" Target="https://doi.org/10.3390/atmos16020211" TargetMode="External"/><Relationship Id="rId63" Type="http://schemas.openxmlformats.org/officeDocument/2006/relationships/hyperlink" Target="https://doi.org/10.5194/acp-23-6599-2023" TargetMode="External"/><Relationship Id="rId68" Type="http://schemas.openxmlformats.org/officeDocument/2006/relationships/hyperlink" Target="https://landsat.gsfc.nasa.gov/" TargetMode="External"/><Relationship Id="rId16" Type="http://schemas.openxmlformats.org/officeDocument/2006/relationships/image" Target="media/image8.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oleObject" Target="embeddings/oleObject5.bin"/><Relationship Id="rId37" Type="http://schemas.openxmlformats.org/officeDocument/2006/relationships/image" Target="media/image22.png"/><Relationship Id="rId40" Type="http://schemas.openxmlformats.org/officeDocument/2006/relationships/oleObject" Target="embeddings/oleObject9.bin"/><Relationship Id="rId45" Type="http://schemas.openxmlformats.org/officeDocument/2006/relationships/hyperlink" Target="https://doi.org/10.14569/IJACSA.2023.0140421" TargetMode="External"/><Relationship Id="rId53" Type="http://schemas.openxmlformats.org/officeDocument/2006/relationships/hyperlink" Target="https://sentiwiki.copernicus.eu/web/sentinel-5p" TargetMode="External"/><Relationship Id="rId58" Type="http://schemas.openxmlformats.org/officeDocument/2006/relationships/hyperlink" Target="https://doi.org/10.1016/j.ejrs.2018.11.002" TargetMode="External"/><Relationship Id="rId66" Type="http://schemas.openxmlformats.org/officeDocument/2006/relationships/hyperlink" Target="https://doi.org/10.3390/atmos13111871" TargetMode="External"/><Relationship Id="rId74" Type="http://schemas.openxmlformats.org/officeDocument/2006/relationships/hyperlink" Target="https://unfccc.int/NDCREG"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ipcc.ch/report/ar6/syr/" TargetMode="External"/><Relationship Id="rId19" Type="http://schemas.openxmlformats.org/officeDocument/2006/relationships/oleObject" Target="embeddings/oleObject2.bin"/><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oleObject" Target="embeddings/oleObject4.bin"/><Relationship Id="rId35" Type="http://schemas.openxmlformats.org/officeDocument/2006/relationships/image" Target="media/image21.png"/><Relationship Id="rId43" Type="http://schemas.openxmlformats.org/officeDocument/2006/relationships/image" Target="media/image25.png"/><Relationship Id="rId48" Type="http://schemas.openxmlformats.org/officeDocument/2006/relationships/hyperlink" Target="https://doi.org/10.15244/pjoes/68960" TargetMode="External"/><Relationship Id="rId56" Type="http://schemas.openxmlformats.org/officeDocument/2006/relationships/hyperlink" Target="https://www.deeplearningbook.org/" TargetMode="External"/><Relationship Id="rId64" Type="http://schemas.openxmlformats.org/officeDocument/2006/relationships/hyperlink" Target="https://doi.org/10.1371/journal.pone.0192830" TargetMode="External"/><Relationship Id="rId69" Type="http://schemas.openxmlformats.org/officeDocument/2006/relationships/hyperlink" Target="https://doi.org/10.3390/su15097648" TargetMode="External"/><Relationship Id="rId77" Type="http://schemas.openxmlformats.org/officeDocument/2006/relationships/footer" Target="footer1.xml"/><Relationship Id="rId8" Type="http://schemas.openxmlformats.org/officeDocument/2006/relationships/hyperlink" Target="https://eventsgate.org/ijhss" TargetMode="External"/><Relationship Id="rId51" Type="http://schemas.openxmlformats.org/officeDocument/2006/relationships/hyperlink" Target="https://doi.org/10.3390/en20300595" TargetMode="External"/><Relationship Id="rId72" Type="http://schemas.openxmlformats.org/officeDocument/2006/relationships/hyperlink" Target="https://doi.org/10.1016/j.rse.2023.113609"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oleObject" Target="embeddings/oleObject1.bin"/><Relationship Id="rId25" Type="http://schemas.openxmlformats.org/officeDocument/2006/relationships/image" Target="media/image15.png"/><Relationship Id="rId33" Type="http://schemas.openxmlformats.org/officeDocument/2006/relationships/image" Target="media/image20.png"/><Relationship Id="rId38" Type="http://schemas.openxmlformats.org/officeDocument/2006/relationships/oleObject" Target="embeddings/oleObject8.bin"/><Relationship Id="rId46" Type="http://schemas.openxmlformats.org/officeDocument/2006/relationships/hyperlink" Target="https://doi.org/10.1038/s41598-024-84593-9" TargetMode="External"/><Relationship Id="rId59" Type="http://schemas.openxmlformats.org/officeDocument/2006/relationships/hyperlink" Target="https://doi.org/10.3390/su151813934" TargetMode="External"/><Relationship Id="rId67" Type="http://schemas.openxmlformats.org/officeDocument/2006/relationships/hyperlink" Target="https://doi.org/10.5194/amt-14-7277-2021" TargetMode="External"/><Relationship Id="rId20" Type="http://schemas.openxmlformats.org/officeDocument/2006/relationships/image" Target="media/image10.png"/><Relationship Id="rId41" Type="http://schemas.openxmlformats.org/officeDocument/2006/relationships/image" Target="media/image24.png"/><Relationship Id="rId54" Type="http://schemas.openxmlformats.org/officeDocument/2006/relationships/hyperlink" Target="https://doi.org/10.3389/fenvs.2023.1289142" TargetMode="External"/><Relationship Id="rId62" Type="http://schemas.openxmlformats.org/officeDocument/2006/relationships/hyperlink" Target="https://doi.org/10.1016/j.atmosenv.2018.06.011" TargetMode="External"/><Relationship Id="rId70" Type="http://schemas.openxmlformats.org/officeDocument/2006/relationships/hyperlink" Target="https://doi.org/10.1109/MGRS.2021.3136100" TargetMode="External"/><Relationship Id="rId75" Type="http://schemas.openxmlformats.org/officeDocument/2006/relationships/hyperlink" Target="https://doi.org/10.3390/ijerph20010829"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emf"/><Relationship Id="rId23" Type="http://schemas.openxmlformats.org/officeDocument/2006/relationships/image" Target="media/image13.png"/><Relationship Id="rId28" Type="http://schemas.openxmlformats.org/officeDocument/2006/relationships/oleObject" Target="embeddings/oleObject3.bin"/><Relationship Id="rId36" Type="http://schemas.openxmlformats.org/officeDocument/2006/relationships/oleObject" Target="embeddings/oleObject7.bin"/><Relationship Id="rId49" Type="http://schemas.openxmlformats.org/officeDocument/2006/relationships/hyperlink" Target="https://doi.org/10.1038/s41598-025-04236-5" TargetMode="External"/><Relationship Id="rId57" Type="http://schemas.openxmlformats.org/officeDocument/2006/relationships/hyperlink" Target="https://doi.org/10.1016/j.rse.2017.06.031" TargetMode="External"/><Relationship Id="rId10" Type="http://schemas.openxmlformats.org/officeDocument/2006/relationships/image" Target="media/image2.png"/><Relationship Id="rId31" Type="http://schemas.openxmlformats.org/officeDocument/2006/relationships/image" Target="media/image19.png"/><Relationship Id="rId44" Type="http://schemas.openxmlformats.org/officeDocument/2006/relationships/hyperlink" Target="https://doi.org/10.3390/land9060191" TargetMode="External"/><Relationship Id="rId52" Type="http://schemas.openxmlformats.org/officeDocument/2006/relationships/hyperlink" Target="https://doi.org/10.3390/rs12142234" TargetMode="External"/><Relationship Id="rId60" Type="http://schemas.openxmlformats.org/officeDocument/2006/relationships/hyperlink" Target="https://doi.org/10.32604/csse.2022.023221" TargetMode="External"/><Relationship Id="rId65" Type="http://schemas.openxmlformats.org/officeDocument/2006/relationships/hyperlink" Target="https://doi.org/10.3389/fevo.2022.905799" TargetMode="External"/><Relationship Id="rId73" Type="http://schemas.openxmlformats.org/officeDocument/2006/relationships/hyperlink" Target="https://doi.org/10.1016/j.atmosenv.2024.120860"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251000462@st.midocean.edu.ae" TargetMode="External"/><Relationship Id="rId13" Type="http://schemas.openxmlformats.org/officeDocument/2006/relationships/image" Target="media/image5.emf"/><Relationship Id="rId18" Type="http://schemas.openxmlformats.org/officeDocument/2006/relationships/image" Target="media/image9.png"/><Relationship Id="rId39" Type="http://schemas.openxmlformats.org/officeDocument/2006/relationships/image" Target="media/image23.png"/><Relationship Id="rId34" Type="http://schemas.openxmlformats.org/officeDocument/2006/relationships/oleObject" Target="embeddings/oleObject6.bin"/><Relationship Id="rId50" Type="http://schemas.openxmlformats.org/officeDocument/2006/relationships/hyperlink" Target="https://doi.org/10.1145/2939672.2939785" TargetMode="External"/><Relationship Id="rId55" Type="http://schemas.openxmlformats.org/officeDocument/2006/relationships/hyperlink" Target="https://doi.org/10.5194/essd-15-5301-2023" TargetMode="External"/><Relationship Id="rId76" Type="http://schemas.openxmlformats.org/officeDocument/2006/relationships/header" Target="header1.xml"/><Relationship Id="rId7" Type="http://schemas.openxmlformats.org/officeDocument/2006/relationships/image" Target="media/image1.png"/><Relationship Id="rId71" Type="http://schemas.openxmlformats.org/officeDocument/2006/relationships/hyperlink" Target="https://doi.org/10.3390/app13063832" TargetMode="External"/><Relationship Id="rId2" Type="http://schemas.openxmlformats.org/officeDocument/2006/relationships/styles" Target="styles.xml"/><Relationship Id="rId29" Type="http://schemas.openxmlformats.org/officeDocument/2006/relationships/image" Target="media/image18.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556</TotalTime>
  <Pages>29</Pages>
  <Words>7184</Words>
  <Characters>45479</Characters>
  <Application>Microsoft Office Word</Application>
  <DocSecurity>0</DocSecurity>
  <Lines>842</Lines>
  <Paragraphs>408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52255</CharactersWithSpaces>
  <SharedDoc>false</SharedDoc>
  <HLinks>
    <vt:vector size="12" baseType="variant">
      <vt:variant>
        <vt:i4>7733266</vt:i4>
      </vt:variant>
      <vt:variant>
        <vt:i4>3</vt:i4>
      </vt:variant>
      <vt:variant>
        <vt:i4>0</vt:i4>
      </vt:variant>
      <vt:variant>
        <vt:i4>5</vt:i4>
      </vt:variant>
      <vt:variant>
        <vt:lpwstr>mailto:251000462@st.midocean.edu.ae</vt:lpwstr>
      </vt:variant>
      <vt:variant>
        <vt:lpwstr/>
      </vt:variant>
      <vt:variant>
        <vt:i4>262221</vt:i4>
      </vt:variant>
      <vt:variant>
        <vt:i4>0</vt:i4>
      </vt:variant>
      <vt:variant>
        <vt:i4>0</vt:i4>
      </vt:variant>
      <vt:variant>
        <vt:i4>5</vt:i4>
      </vt:variant>
      <vt:variant>
        <vt:lpwstr>https://eventsgate.org/ijhss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Mohammad Bader</dc:creator>
  <cp:lastModifiedBy>Mohammad Bader</cp:lastModifiedBy>
  <cp:revision>11</cp:revision>
  <dcterms:created xsi:type="dcterms:W3CDTF">2025-12-12T21:54:00Z</dcterms:created>
  <dcterms:modified xsi:type="dcterms:W3CDTF">2025-12-18T14:35:00Z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2025-12-08T10:56:00Z</dcterms:created>
  <dc:creator>Mohammad Bader</dc:creator>
  <dc:description/>
  <cp:keywords/>
  <dc:language>en-US</dc:language>
  <cp:lastModifiedBy>Mohammad Bader</cp:lastModifiedBy>
  <dcterms:modified xsi:type="dcterms:W3CDTF">2025-12-08T11:16:00Z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fed4bf75-d229-45ea-a7a6-9dbbd97ac156</vt:lpwstr>
  </property>
</Properties>
</file>