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21D50" w14:textId="48F98564" w:rsidR="00D35ABA" w:rsidRPr="000C2410" w:rsidRDefault="00D35ABA" w:rsidP="000C2410">
      <w:pPr>
        <w:pStyle w:val="Heading1"/>
        <w:bidi/>
        <w:rPr>
          <w:rFonts w:asciiTheme="majorBidi" w:hAnsiTheme="majorBidi"/>
          <w:sz w:val="28"/>
          <w:szCs w:val="28"/>
          <w:rtl/>
        </w:rPr>
      </w:pPr>
      <w:r w:rsidRPr="000C2410">
        <w:rPr>
          <w:rFonts w:asciiTheme="majorBidi" w:hAnsiTheme="majorBidi"/>
          <w:sz w:val="28"/>
          <w:szCs w:val="28"/>
          <w:rtl/>
        </w:rPr>
        <w:t xml:space="preserve">السلام عليكم د.موفق </w:t>
      </w:r>
    </w:p>
    <w:p w14:paraId="7AC7568B" w14:textId="77777777" w:rsidR="0093262D" w:rsidRPr="000C2410" w:rsidRDefault="0093262D" w:rsidP="000C2410">
      <w:pPr>
        <w:bidi/>
        <w:rPr>
          <w:rFonts w:asciiTheme="majorBidi" w:hAnsiTheme="majorBidi" w:cstheme="majorBidi"/>
          <w:sz w:val="28"/>
          <w:szCs w:val="28"/>
          <w:rtl/>
        </w:rPr>
      </w:pPr>
    </w:p>
    <w:p w14:paraId="0601538E" w14:textId="3DDDF22E" w:rsidR="0093262D" w:rsidRPr="000C2410" w:rsidRDefault="0093262D" w:rsidP="000C2410">
      <w:pPr>
        <w:pStyle w:val="ListParagraph"/>
        <w:numPr>
          <w:ilvl w:val="0"/>
          <w:numId w:val="23"/>
        </w:numPr>
        <w:bidi/>
        <w:rPr>
          <w:rFonts w:asciiTheme="majorBidi" w:hAnsiTheme="majorBidi" w:cstheme="majorBidi"/>
          <w:sz w:val="28"/>
          <w:szCs w:val="28"/>
          <w:lang w:val="en-AE"/>
        </w:rPr>
      </w:pPr>
      <w:r w:rsidRPr="000C2410">
        <w:rPr>
          <w:rFonts w:asciiTheme="majorBidi" w:hAnsiTheme="majorBidi" w:cstheme="majorBidi"/>
          <w:sz w:val="28"/>
          <w:szCs w:val="28"/>
          <w:rtl/>
        </w:rPr>
        <w:t xml:space="preserve">الهدف </w:t>
      </w:r>
      <w:r w:rsidRPr="000C2410">
        <w:rPr>
          <w:rFonts w:asciiTheme="majorBidi" w:hAnsiTheme="majorBidi" w:cstheme="majorBidi"/>
          <w:sz w:val="28"/>
          <w:szCs w:val="28"/>
          <w:rtl/>
        </w:rPr>
        <w:t xml:space="preserve">الثالث </w:t>
      </w:r>
      <w:r w:rsidRPr="000C2410">
        <w:rPr>
          <w:rFonts w:asciiTheme="majorBidi" w:hAnsiTheme="majorBidi" w:cstheme="majorBidi"/>
          <w:sz w:val="28"/>
          <w:szCs w:val="28"/>
          <w:rtl/>
        </w:rPr>
        <w:t>الحالي مصاغ على النحو التالي</w:t>
      </w:r>
      <w:r w:rsidRPr="000C2410">
        <w:rPr>
          <w:rFonts w:asciiTheme="majorBidi" w:hAnsiTheme="majorBidi" w:cstheme="majorBidi"/>
          <w:sz w:val="28"/>
          <w:szCs w:val="28"/>
          <w:lang w:val="en-AE"/>
        </w:rPr>
        <w:t>:</w:t>
      </w:r>
      <w:r w:rsidRPr="000C2410">
        <w:rPr>
          <w:rFonts w:asciiTheme="majorBidi" w:hAnsiTheme="majorBidi" w:cstheme="majorBidi"/>
          <w:sz w:val="28"/>
          <w:szCs w:val="28"/>
          <w:lang w:val="en-AE"/>
        </w:rPr>
        <w:br/>
      </w:r>
      <w:r w:rsidRPr="000C2410">
        <w:rPr>
          <w:rFonts w:asciiTheme="majorBidi" w:hAnsiTheme="majorBidi" w:cstheme="majorBidi"/>
          <w:i/>
          <w:iCs/>
          <w:sz w:val="28"/>
          <w:szCs w:val="28"/>
          <w:lang w:val="en-AE"/>
        </w:rPr>
        <w:t>“To examine the role of organizational readiness (technical, organizational, and human) in influencing the effectiveness of AI adoption in construction project management.”</w:t>
      </w:r>
    </w:p>
    <w:p w14:paraId="100ECF1B" w14:textId="77777777" w:rsidR="0093262D" w:rsidRPr="000C2410" w:rsidRDefault="0093262D" w:rsidP="000C2410">
      <w:pPr>
        <w:pStyle w:val="ListParagraph"/>
        <w:bidi/>
        <w:rPr>
          <w:rFonts w:asciiTheme="majorBidi" w:hAnsiTheme="majorBidi" w:cstheme="majorBidi"/>
          <w:sz w:val="28"/>
          <w:szCs w:val="28"/>
          <w:rtl/>
        </w:rPr>
      </w:pPr>
      <w:r w:rsidRPr="000C2410">
        <w:rPr>
          <w:rFonts w:asciiTheme="majorBidi" w:hAnsiTheme="majorBidi" w:cstheme="majorBidi"/>
          <w:sz w:val="28"/>
          <w:szCs w:val="28"/>
          <w:rtl/>
        </w:rPr>
        <w:t>يُلاحظ أن الصياغة الحالية تعكس دورًا مباشرًا للجاهزية التنظيمية، بينما يشير الإطار النظري وتصميم الدراسة إلى أن الجاهزية التنظيمية بأبعادها المختلفة تؤدي دورًا مُنظِّمًا</w:t>
      </w:r>
      <w:r w:rsidRPr="000C2410">
        <w:rPr>
          <w:rFonts w:asciiTheme="majorBidi" w:hAnsiTheme="majorBidi" w:cstheme="majorBidi"/>
          <w:sz w:val="28"/>
          <w:szCs w:val="28"/>
          <w:rtl/>
        </w:rPr>
        <w:t xml:space="preserve"> (</w:t>
      </w:r>
      <w:r w:rsidRPr="000C2410">
        <w:rPr>
          <w:rFonts w:asciiTheme="majorBidi" w:hAnsiTheme="majorBidi" w:cstheme="majorBidi"/>
          <w:sz w:val="28"/>
          <w:szCs w:val="28"/>
        </w:rPr>
        <w:t>moderate</w:t>
      </w:r>
      <w:r w:rsidRPr="000C2410">
        <w:rPr>
          <w:rFonts w:asciiTheme="majorBidi" w:hAnsiTheme="majorBidi" w:cstheme="majorBidi"/>
          <w:sz w:val="28"/>
          <w:szCs w:val="28"/>
          <w:rtl/>
        </w:rPr>
        <w:t>)</w:t>
      </w:r>
      <w:r w:rsidRPr="000C2410">
        <w:rPr>
          <w:rFonts w:asciiTheme="majorBidi" w:hAnsiTheme="majorBidi" w:cstheme="majorBidi"/>
          <w:sz w:val="28"/>
          <w:szCs w:val="28"/>
          <w:rtl/>
        </w:rPr>
        <w:t xml:space="preserve"> في العلاقة بين تبني تقنيات الذكاء الاصطناعي وفعالية إدارة مشاريع التشييد. وعليه، يُوصى بإعادة صياغة الهدف بما يوضح هذا الدور المُنظِّم، </w:t>
      </w:r>
    </w:p>
    <w:p w14:paraId="22E12492" w14:textId="77777777" w:rsidR="00BD7435" w:rsidRPr="000C2410" w:rsidRDefault="00BD7435" w:rsidP="000C2410">
      <w:pPr>
        <w:bidi/>
        <w:rPr>
          <w:rFonts w:asciiTheme="majorBidi" w:hAnsiTheme="majorBidi" w:cstheme="majorBidi"/>
          <w:sz w:val="28"/>
          <w:szCs w:val="28"/>
          <w:rtl/>
        </w:rPr>
      </w:pPr>
    </w:p>
    <w:p w14:paraId="14BFFCA0" w14:textId="77777777" w:rsidR="00BD7435" w:rsidRPr="000C2410" w:rsidRDefault="00BD7435" w:rsidP="000C2410">
      <w:pPr>
        <w:pStyle w:val="ListParagraph"/>
        <w:numPr>
          <w:ilvl w:val="0"/>
          <w:numId w:val="23"/>
        </w:numPr>
        <w:bidi/>
        <w:rPr>
          <w:rFonts w:asciiTheme="majorBidi" w:hAnsiTheme="majorBidi" w:cstheme="majorBidi"/>
          <w:sz w:val="28"/>
          <w:szCs w:val="28"/>
          <w:lang w:val="en-AE"/>
        </w:rPr>
      </w:pPr>
      <w:r w:rsidRPr="000C2410">
        <w:rPr>
          <w:rFonts w:asciiTheme="majorBidi" w:hAnsiTheme="majorBidi" w:cstheme="majorBidi"/>
          <w:sz w:val="28"/>
          <w:szCs w:val="28"/>
          <w:rtl/>
        </w:rPr>
        <w:t>الفرضية الأولى الواردة في الفصل الأول مصاغة حاليًا على النحو التالي</w:t>
      </w:r>
      <w:r w:rsidRPr="000C2410">
        <w:rPr>
          <w:rFonts w:asciiTheme="majorBidi" w:hAnsiTheme="majorBidi" w:cstheme="majorBidi"/>
          <w:sz w:val="28"/>
          <w:szCs w:val="28"/>
          <w:lang w:val="en-AE"/>
        </w:rPr>
        <w:t>:</w:t>
      </w:r>
      <w:r w:rsidRPr="000C2410">
        <w:rPr>
          <w:rFonts w:asciiTheme="majorBidi" w:hAnsiTheme="majorBidi" w:cstheme="majorBidi"/>
          <w:sz w:val="28"/>
          <w:szCs w:val="28"/>
          <w:lang w:val="en-AE"/>
        </w:rPr>
        <w:br/>
      </w:r>
      <w:r w:rsidRPr="000C2410">
        <w:rPr>
          <w:rFonts w:asciiTheme="majorBidi" w:hAnsiTheme="majorBidi" w:cstheme="majorBidi"/>
          <w:i/>
          <w:iCs/>
          <w:sz w:val="28"/>
          <w:szCs w:val="28"/>
          <w:lang w:val="en-AE"/>
        </w:rPr>
        <w:t>“Hypothesis One (H1): Has a significant positive impact of using artificial intelligence technologies on the performance of project management in the Kingdom of Saudi Arabia.”</w:t>
      </w:r>
    </w:p>
    <w:p w14:paraId="7F35A5B8" w14:textId="1E6D4030" w:rsidR="00BD7435" w:rsidRPr="000C2410" w:rsidRDefault="00BD7435" w:rsidP="000C2410">
      <w:pPr>
        <w:pStyle w:val="ListParagraph"/>
        <w:bidi/>
        <w:rPr>
          <w:rFonts w:asciiTheme="majorBidi" w:hAnsiTheme="majorBidi" w:cstheme="majorBidi"/>
          <w:sz w:val="28"/>
          <w:szCs w:val="28"/>
          <w:lang w:val="en-AE"/>
        </w:rPr>
      </w:pPr>
      <w:r w:rsidRPr="000C2410">
        <w:rPr>
          <w:rFonts w:asciiTheme="majorBidi" w:hAnsiTheme="majorBidi" w:cstheme="majorBidi"/>
          <w:sz w:val="28"/>
          <w:szCs w:val="28"/>
          <w:rtl/>
        </w:rPr>
        <w:t>يُلاحظ وجود خلل لغوي وصياغي في منطوق الفرضية، إضافة إلى عدم التطابق الكامل مع صياغة الفرضية نفسها كما وردت في الفصل الثالث. وعليه، يُرجى إجراء تصحيح لغوي ودلالي للفرضية في الفصل الأول، بما يضمن وضوحها النحوي وتطابقها التام مع منطوق الفرضية في الفصل الثالث، تحقيقًا للاتساق العلمي والمنهجي بين فصول الرسالة</w:t>
      </w:r>
      <w:r w:rsidRPr="000C2410">
        <w:rPr>
          <w:rFonts w:asciiTheme="majorBidi" w:hAnsiTheme="majorBidi" w:cstheme="majorBidi"/>
          <w:sz w:val="28"/>
          <w:szCs w:val="28"/>
          <w:lang w:val="en-AE"/>
        </w:rPr>
        <w:t>.</w:t>
      </w:r>
    </w:p>
    <w:p w14:paraId="348A912D" w14:textId="77777777" w:rsidR="000C2410" w:rsidRPr="000C2410" w:rsidRDefault="000C2410" w:rsidP="000C2410">
      <w:pPr>
        <w:bidi/>
        <w:rPr>
          <w:rFonts w:asciiTheme="majorBidi" w:hAnsiTheme="majorBidi" w:cstheme="majorBidi"/>
          <w:sz w:val="28"/>
          <w:szCs w:val="28"/>
          <w:rtl/>
          <w:lang w:val="en-AE"/>
        </w:rPr>
      </w:pPr>
    </w:p>
    <w:p w14:paraId="28B3C97F" w14:textId="77777777" w:rsidR="00BD7435" w:rsidRPr="000C2410" w:rsidRDefault="00BD7435" w:rsidP="000C2410">
      <w:pPr>
        <w:pStyle w:val="ListParagraph"/>
        <w:numPr>
          <w:ilvl w:val="0"/>
          <w:numId w:val="23"/>
        </w:numPr>
        <w:bidi/>
        <w:rPr>
          <w:rFonts w:asciiTheme="majorBidi" w:hAnsiTheme="majorBidi" w:cstheme="majorBidi"/>
          <w:sz w:val="28"/>
          <w:szCs w:val="28"/>
          <w:lang w:val="en-AE"/>
        </w:rPr>
      </w:pPr>
      <w:r w:rsidRPr="000C2410">
        <w:rPr>
          <w:rFonts w:asciiTheme="majorBidi" w:hAnsiTheme="majorBidi" w:cstheme="majorBidi"/>
          <w:sz w:val="28"/>
          <w:szCs w:val="28"/>
          <w:rtl/>
          <w:lang w:val="en-AE"/>
        </w:rPr>
        <w:t xml:space="preserve">يلاحظ في الفصل الثالث، عند عرض أبعاد المتغير المُعدِّل </w:t>
      </w:r>
      <w:r w:rsidRPr="000C2410">
        <w:rPr>
          <w:rFonts w:asciiTheme="majorBidi" w:hAnsiTheme="majorBidi" w:cstheme="majorBidi"/>
          <w:sz w:val="28"/>
          <w:szCs w:val="28"/>
          <w:lang w:val="en-AE"/>
        </w:rPr>
        <w:t>(Organizational Readiness)</w:t>
      </w:r>
      <w:r w:rsidRPr="000C2410">
        <w:rPr>
          <w:rFonts w:asciiTheme="majorBidi" w:hAnsiTheme="majorBidi" w:cstheme="majorBidi"/>
          <w:sz w:val="28"/>
          <w:szCs w:val="28"/>
          <w:rtl/>
          <w:lang w:val="en-AE"/>
        </w:rPr>
        <w:t>، الإشارة إلى البعدين التاليين</w:t>
      </w:r>
      <w:r w:rsidRPr="000C2410">
        <w:rPr>
          <w:rFonts w:asciiTheme="majorBidi" w:hAnsiTheme="majorBidi" w:cstheme="majorBidi"/>
          <w:sz w:val="28"/>
          <w:szCs w:val="28"/>
          <w:lang w:val="en-AE"/>
        </w:rPr>
        <w:t xml:space="preserve">: Technical Infrastructure Readiness </w:t>
      </w:r>
      <w:r w:rsidRPr="000C2410">
        <w:rPr>
          <w:rFonts w:asciiTheme="majorBidi" w:hAnsiTheme="majorBidi" w:cstheme="majorBidi"/>
          <w:sz w:val="28"/>
          <w:szCs w:val="28"/>
          <w:rtl/>
          <w:lang w:val="en-AE"/>
        </w:rPr>
        <w:t xml:space="preserve">و </w:t>
      </w:r>
      <w:r w:rsidRPr="000C2410">
        <w:rPr>
          <w:rFonts w:asciiTheme="majorBidi" w:hAnsiTheme="majorBidi" w:cstheme="majorBidi"/>
          <w:sz w:val="28"/>
          <w:szCs w:val="28"/>
          <w:lang w:val="en-AE"/>
        </w:rPr>
        <w:t xml:space="preserve">Training Readiness. </w:t>
      </w:r>
      <w:r w:rsidRPr="000C2410">
        <w:rPr>
          <w:rFonts w:asciiTheme="majorBidi" w:hAnsiTheme="majorBidi" w:cstheme="majorBidi"/>
          <w:sz w:val="28"/>
          <w:szCs w:val="28"/>
          <w:rtl/>
          <w:lang w:val="en-AE"/>
        </w:rPr>
        <w:t xml:space="preserve">إلا أن ذلك لا يتطابق مع ما ورد في بقية فصول الدراسة، حيث تم اعتماد بُعد </w:t>
      </w:r>
      <w:r w:rsidRPr="000C2410">
        <w:rPr>
          <w:rFonts w:asciiTheme="majorBidi" w:hAnsiTheme="majorBidi" w:cstheme="majorBidi"/>
          <w:sz w:val="28"/>
          <w:szCs w:val="28"/>
          <w:lang w:val="en-AE"/>
        </w:rPr>
        <w:t xml:space="preserve">Human Resource Readiness </w:t>
      </w:r>
      <w:r w:rsidRPr="000C2410">
        <w:rPr>
          <w:rFonts w:asciiTheme="majorBidi" w:hAnsiTheme="majorBidi" w:cstheme="majorBidi"/>
          <w:sz w:val="28"/>
          <w:szCs w:val="28"/>
          <w:rtl/>
          <w:lang w:val="en-AE"/>
        </w:rPr>
        <w:t xml:space="preserve">بوصفه أحد الأبعاد الرئيسة للجاهزية التنظيمية. وعليه، يُرجى توحيد المصطلح المستخدم في الفصل الثالث واستبدال </w:t>
      </w:r>
      <w:r w:rsidRPr="000C2410">
        <w:rPr>
          <w:rFonts w:asciiTheme="majorBidi" w:hAnsiTheme="majorBidi" w:cstheme="majorBidi"/>
          <w:sz w:val="28"/>
          <w:szCs w:val="28"/>
          <w:lang w:val="en-AE"/>
        </w:rPr>
        <w:t xml:space="preserve">Training Readiness </w:t>
      </w:r>
      <w:r w:rsidRPr="000C2410">
        <w:rPr>
          <w:rFonts w:asciiTheme="majorBidi" w:hAnsiTheme="majorBidi" w:cstheme="majorBidi"/>
          <w:sz w:val="28"/>
          <w:szCs w:val="28"/>
          <w:rtl/>
          <w:lang w:val="en-AE"/>
        </w:rPr>
        <w:t xml:space="preserve">بـ </w:t>
      </w:r>
      <w:r w:rsidRPr="000C2410">
        <w:rPr>
          <w:rFonts w:asciiTheme="majorBidi" w:hAnsiTheme="majorBidi" w:cstheme="majorBidi"/>
          <w:sz w:val="28"/>
          <w:szCs w:val="28"/>
          <w:lang w:val="en-AE"/>
        </w:rPr>
        <w:t>Human Resource Readiness</w:t>
      </w:r>
      <w:r w:rsidRPr="000C2410">
        <w:rPr>
          <w:rFonts w:asciiTheme="majorBidi" w:hAnsiTheme="majorBidi" w:cstheme="majorBidi"/>
          <w:sz w:val="28"/>
          <w:szCs w:val="28"/>
          <w:rtl/>
          <w:lang w:val="en-AE"/>
        </w:rPr>
        <w:t>، باعتباره الأشمل والأدق علميًا ويعكس محتوى الدراسة وإطارها النظري بشكل صحيح، مع ضمان الاتساق المنهجي بين جميع فصول الرسالة</w:t>
      </w:r>
    </w:p>
    <w:p w14:paraId="67008FE2" w14:textId="77777777" w:rsidR="00B24BA9" w:rsidRPr="000C2410" w:rsidRDefault="00B24BA9" w:rsidP="000C2410">
      <w:pPr>
        <w:bidi/>
        <w:rPr>
          <w:rFonts w:asciiTheme="majorBidi" w:hAnsiTheme="majorBidi" w:cstheme="majorBidi"/>
          <w:sz w:val="28"/>
          <w:szCs w:val="28"/>
          <w:rtl/>
          <w:lang w:val="en-AE"/>
        </w:rPr>
      </w:pPr>
    </w:p>
    <w:p w14:paraId="522D06F5" w14:textId="77777777" w:rsidR="000C2410" w:rsidRPr="000C2410" w:rsidRDefault="000C2410" w:rsidP="000C2410">
      <w:pPr>
        <w:pStyle w:val="ListParagraph"/>
        <w:numPr>
          <w:ilvl w:val="0"/>
          <w:numId w:val="23"/>
        </w:numPr>
        <w:bidi/>
        <w:rPr>
          <w:rFonts w:asciiTheme="majorBidi" w:hAnsiTheme="majorBidi" w:cstheme="majorBidi"/>
          <w:sz w:val="28"/>
          <w:szCs w:val="28"/>
          <w:lang w:val="en-AE"/>
        </w:rPr>
      </w:pPr>
      <w:r w:rsidRPr="000C2410">
        <w:rPr>
          <w:rFonts w:asciiTheme="majorBidi" w:hAnsiTheme="majorBidi" w:cstheme="majorBidi"/>
          <w:sz w:val="28"/>
          <w:szCs w:val="28"/>
          <w:rtl/>
          <w:lang w:val="en-AE"/>
        </w:rPr>
        <w:t>بالرجوع إلى الفقرة الخاصة بتحديد مجتمع الدراسة</w:t>
      </w:r>
      <w:r w:rsidRPr="000C2410">
        <w:rPr>
          <w:rFonts w:asciiTheme="majorBidi" w:hAnsiTheme="majorBidi" w:cstheme="majorBidi"/>
          <w:sz w:val="28"/>
          <w:szCs w:val="28"/>
          <w:lang w:val="en-AE"/>
        </w:rPr>
        <w:t xml:space="preserve"> (Population)</w:t>
      </w:r>
      <w:r w:rsidRPr="000C2410">
        <w:rPr>
          <w:rFonts w:asciiTheme="majorBidi" w:hAnsiTheme="majorBidi" w:cstheme="majorBidi"/>
          <w:sz w:val="28"/>
          <w:szCs w:val="28"/>
          <w:rtl/>
          <w:lang w:val="en-AE"/>
        </w:rPr>
        <w:t xml:space="preserve">، أُشير إلى أن الحجم التقديري للمجتمع المتاح يبلغ حوالي </w:t>
      </w:r>
      <w:r w:rsidRPr="000C2410">
        <w:rPr>
          <w:rFonts w:asciiTheme="majorBidi" w:hAnsiTheme="majorBidi" w:cstheme="majorBidi"/>
          <w:sz w:val="28"/>
          <w:szCs w:val="28"/>
          <w:lang w:val="en-AE"/>
        </w:rPr>
        <w:t xml:space="preserve">(N = 600) </w:t>
      </w:r>
      <w:r w:rsidRPr="000C2410">
        <w:rPr>
          <w:rFonts w:asciiTheme="majorBidi" w:hAnsiTheme="majorBidi" w:cstheme="majorBidi"/>
          <w:sz w:val="28"/>
          <w:szCs w:val="28"/>
          <w:rtl/>
          <w:lang w:val="en-AE"/>
        </w:rPr>
        <w:t>من المهنيين العاملين، دون تقديم دلائل منهجية أو إحصائية توضّح الأساس الذي تم الاعتماد عليه في هذا التقدير، أو مصادر البيانات التي استُخدمت لاستخراج هذه القيمة (مثل السجلات الرسمية، التقارير المؤسسية، بيانات الشركات، أو الدراسات السابقة)</w:t>
      </w:r>
      <w:r w:rsidRPr="000C2410">
        <w:rPr>
          <w:rFonts w:asciiTheme="majorBidi" w:hAnsiTheme="majorBidi" w:cstheme="majorBidi"/>
          <w:sz w:val="28"/>
          <w:szCs w:val="28"/>
          <w:lang w:val="en-AE"/>
        </w:rPr>
        <w:t>.</w:t>
      </w:r>
    </w:p>
    <w:p w14:paraId="41E05CF1" w14:textId="77777777" w:rsidR="000C2410" w:rsidRPr="000C2410" w:rsidRDefault="000C2410" w:rsidP="000C2410">
      <w:pPr>
        <w:bidi/>
        <w:rPr>
          <w:rFonts w:asciiTheme="majorBidi" w:hAnsiTheme="majorBidi" w:cstheme="majorBidi"/>
          <w:sz w:val="28"/>
          <w:szCs w:val="28"/>
          <w:lang w:val="en-AE"/>
        </w:rPr>
      </w:pPr>
    </w:p>
    <w:p w14:paraId="54F40BBA" w14:textId="77777777" w:rsidR="000C2410" w:rsidRDefault="00B24BA9" w:rsidP="000C2410">
      <w:pPr>
        <w:pStyle w:val="ListParagraph"/>
        <w:numPr>
          <w:ilvl w:val="0"/>
          <w:numId w:val="23"/>
        </w:numPr>
        <w:bidi/>
        <w:rPr>
          <w:rFonts w:asciiTheme="majorBidi" w:hAnsiTheme="majorBidi" w:cstheme="majorBidi"/>
          <w:sz w:val="28"/>
          <w:szCs w:val="28"/>
          <w:lang w:val="en-AE"/>
        </w:rPr>
      </w:pPr>
      <w:r w:rsidRPr="000C2410">
        <w:rPr>
          <w:rFonts w:asciiTheme="majorBidi" w:hAnsiTheme="majorBidi" w:cstheme="majorBidi"/>
          <w:sz w:val="28"/>
          <w:szCs w:val="28"/>
          <w:rtl/>
          <w:lang w:val="en-AE"/>
        </w:rPr>
        <w:lastRenderedPageBreak/>
        <w:t xml:space="preserve">يلاحظ ورود محور </w:t>
      </w:r>
      <w:r w:rsidRPr="000C2410">
        <w:rPr>
          <w:rFonts w:asciiTheme="majorBidi" w:hAnsiTheme="majorBidi" w:cstheme="majorBidi"/>
          <w:sz w:val="28"/>
          <w:szCs w:val="28"/>
          <w:lang w:val="en-AE"/>
        </w:rPr>
        <w:t xml:space="preserve">AI Implementation Challenges </w:t>
      </w:r>
      <w:r w:rsidRPr="000C2410">
        <w:rPr>
          <w:rFonts w:asciiTheme="majorBidi" w:hAnsiTheme="majorBidi" w:cstheme="majorBidi"/>
          <w:sz w:val="28"/>
          <w:szCs w:val="28"/>
          <w:rtl/>
          <w:lang w:val="en-AE"/>
        </w:rPr>
        <w:t>بوصفه أحد محاور أداة الاستبيان في الفصل الثالث، دون أن يقابله إدراج واضح ضمن أهداف الدراسة أو فرضياتها أو نموذجها المفاهيمي</w:t>
      </w:r>
      <w:r w:rsidRPr="000C2410">
        <w:rPr>
          <w:rFonts w:asciiTheme="majorBidi" w:hAnsiTheme="majorBidi" w:cstheme="majorBidi"/>
          <w:sz w:val="28"/>
          <w:szCs w:val="28"/>
          <w:lang w:val="en-AE"/>
        </w:rPr>
        <w:t xml:space="preserve">. </w:t>
      </w:r>
      <w:r w:rsidRPr="000C2410">
        <w:rPr>
          <w:rFonts w:asciiTheme="majorBidi" w:hAnsiTheme="majorBidi" w:cstheme="majorBidi"/>
          <w:sz w:val="28"/>
          <w:szCs w:val="28"/>
          <w:rtl/>
          <w:lang w:val="en-AE"/>
        </w:rPr>
        <w:t>ويُعد ذلك عدم اتساق منهجي بين مكونات الدراسة. وعليه، يُوصى بإدراج هذا المحور بشكل صريح ضمن الأهداف والفرضيات ونموذج الدراسة، مع الحرص التام على التمييز الواضح بين بنود وأسئلة الجاهزية التنظيمية</w:t>
      </w:r>
      <w:r w:rsidRPr="000C2410">
        <w:rPr>
          <w:rFonts w:asciiTheme="majorBidi" w:hAnsiTheme="majorBidi" w:cstheme="majorBidi"/>
          <w:sz w:val="28"/>
          <w:szCs w:val="28"/>
          <w:lang w:val="en-AE"/>
        </w:rPr>
        <w:t xml:space="preserve"> (Organizational Readiness) </w:t>
      </w:r>
      <w:r w:rsidRPr="000C2410">
        <w:rPr>
          <w:rFonts w:asciiTheme="majorBidi" w:hAnsiTheme="majorBidi" w:cstheme="majorBidi"/>
          <w:sz w:val="28"/>
          <w:szCs w:val="28"/>
          <w:rtl/>
          <w:lang w:val="en-AE"/>
        </w:rPr>
        <w:t>وبنود تحديات تطبيق الذكاء الاصطناعي</w:t>
      </w:r>
      <w:r w:rsidRPr="000C2410">
        <w:rPr>
          <w:rFonts w:asciiTheme="majorBidi" w:hAnsiTheme="majorBidi" w:cstheme="majorBidi"/>
          <w:sz w:val="28"/>
          <w:szCs w:val="28"/>
          <w:lang w:val="en-AE"/>
        </w:rPr>
        <w:t xml:space="preserve"> (AI Implementation Challenges)</w:t>
      </w:r>
      <w:r w:rsidRPr="000C2410">
        <w:rPr>
          <w:rFonts w:asciiTheme="majorBidi" w:hAnsiTheme="majorBidi" w:cstheme="majorBidi"/>
          <w:sz w:val="28"/>
          <w:szCs w:val="28"/>
          <w:rtl/>
          <w:lang w:val="en-AE"/>
        </w:rPr>
        <w:t>، سواء من حيث الإطار المفاهيمي أو الصياغة أو التحليل، وذلك ضمانًا للوضوح العلمي وسلامة البناء المنهجي للدراسة</w:t>
      </w:r>
      <w:r w:rsidRPr="000C2410">
        <w:rPr>
          <w:rFonts w:asciiTheme="majorBidi" w:hAnsiTheme="majorBidi" w:cstheme="majorBidi"/>
          <w:sz w:val="28"/>
          <w:szCs w:val="28"/>
          <w:lang w:val="en-AE"/>
        </w:rPr>
        <w:t>.</w:t>
      </w:r>
    </w:p>
    <w:p w14:paraId="3172CF30" w14:textId="77777777" w:rsidR="000C2410" w:rsidRPr="000C2410" w:rsidRDefault="000C2410" w:rsidP="000C2410">
      <w:pPr>
        <w:pStyle w:val="ListParagraph"/>
        <w:rPr>
          <w:rFonts w:asciiTheme="majorBidi" w:hAnsiTheme="majorBidi" w:cstheme="majorBidi" w:hint="cs"/>
          <w:sz w:val="28"/>
          <w:szCs w:val="28"/>
          <w:rtl/>
          <w:lang w:val="en-AE"/>
        </w:rPr>
      </w:pPr>
    </w:p>
    <w:p w14:paraId="738D5070" w14:textId="2C8066CA" w:rsidR="00B24BA9" w:rsidRPr="000C2410" w:rsidRDefault="000C2410" w:rsidP="000C2410">
      <w:pPr>
        <w:pStyle w:val="ListParagraph"/>
        <w:numPr>
          <w:ilvl w:val="0"/>
          <w:numId w:val="23"/>
        </w:numPr>
        <w:bidi/>
        <w:rPr>
          <w:rFonts w:asciiTheme="majorBidi" w:hAnsiTheme="majorBidi" w:cstheme="majorBidi"/>
          <w:sz w:val="28"/>
          <w:szCs w:val="28"/>
          <w:lang w:val="en-AE"/>
        </w:rPr>
      </w:pPr>
      <w:r w:rsidRPr="000C2410">
        <w:rPr>
          <w:rFonts w:asciiTheme="majorBidi" w:hAnsiTheme="majorBidi" w:cstheme="majorBidi"/>
          <w:sz w:val="28"/>
          <w:szCs w:val="28"/>
          <w:rtl/>
          <w:lang w:val="en-AE"/>
        </w:rPr>
        <w:t xml:space="preserve">ويُلاحظ كذلك إدراج المحورين </w:t>
      </w:r>
      <w:r w:rsidRPr="000C2410">
        <w:rPr>
          <w:rFonts w:asciiTheme="majorBidi" w:hAnsiTheme="majorBidi" w:cstheme="majorBidi"/>
          <w:sz w:val="28"/>
          <w:szCs w:val="28"/>
          <w:lang w:val="en-AE"/>
        </w:rPr>
        <w:t xml:space="preserve">F: Best Practices </w:t>
      </w:r>
      <w:r w:rsidRPr="000C2410">
        <w:rPr>
          <w:rFonts w:asciiTheme="majorBidi" w:hAnsiTheme="majorBidi" w:cstheme="majorBidi"/>
          <w:sz w:val="28"/>
          <w:szCs w:val="28"/>
          <w:rtl/>
          <w:lang w:val="en-AE"/>
        </w:rPr>
        <w:t xml:space="preserve">و </w:t>
      </w:r>
      <w:r w:rsidRPr="000C2410">
        <w:rPr>
          <w:rFonts w:asciiTheme="majorBidi" w:hAnsiTheme="majorBidi" w:cstheme="majorBidi"/>
          <w:sz w:val="28"/>
          <w:szCs w:val="28"/>
          <w:lang w:val="en-AE"/>
        </w:rPr>
        <w:t xml:space="preserve">G: Policies and Strategies </w:t>
      </w:r>
      <w:r w:rsidRPr="000C2410">
        <w:rPr>
          <w:rFonts w:asciiTheme="majorBidi" w:hAnsiTheme="majorBidi" w:cstheme="majorBidi"/>
          <w:sz w:val="28"/>
          <w:szCs w:val="28"/>
          <w:rtl/>
          <w:lang w:val="en-AE"/>
        </w:rPr>
        <w:t xml:space="preserve">ضمن محاور أداة الاستبيان بوصفهما أسئلة استكشافية </w:t>
      </w:r>
      <w:r w:rsidRPr="000C2410">
        <w:rPr>
          <w:rFonts w:asciiTheme="majorBidi" w:hAnsiTheme="majorBidi" w:cstheme="majorBidi"/>
          <w:i/>
          <w:iCs/>
          <w:sz w:val="28"/>
          <w:szCs w:val="28"/>
          <w:lang w:val="en-AE"/>
        </w:rPr>
        <w:t>(Exploratory)</w:t>
      </w:r>
      <w:r w:rsidRPr="000C2410">
        <w:rPr>
          <w:rFonts w:asciiTheme="majorBidi" w:hAnsiTheme="majorBidi" w:cstheme="majorBidi"/>
          <w:sz w:val="28"/>
          <w:szCs w:val="28"/>
          <w:rtl/>
          <w:lang w:val="en-AE"/>
        </w:rPr>
        <w:t>، في حين أن طبيعة هذه المحاور تتسم بطابع تصوري وتفسيري يتطلب تعمقًا في الخبرات والسياق المؤسسي. وعليه، يُعد من الأنسب منهجيًا تناول هذه المحاور</w:t>
      </w:r>
      <w:r w:rsidRPr="000C2410">
        <w:rPr>
          <w:rFonts w:asciiTheme="majorBidi" w:hAnsiTheme="majorBidi" w:cstheme="majorBidi"/>
          <w:sz w:val="28"/>
          <w:szCs w:val="28"/>
          <w:rtl/>
          <w:lang w:val="en-AE"/>
        </w:rPr>
        <w:t xml:space="preserve"> على </w:t>
      </w:r>
      <w:r w:rsidRPr="000C2410">
        <w:rPr>
          <w:rFonts w:asciiTheme="majorBidi" w:hAnsiTheme="majorBidi" w:cstheme="majorBidi"/>
          <w:sz w:val="28"/>
          <w:szCs w:val="28"/>
          <w:rtl/>
          <w:lang w:val="en-AE"/>
        </w:rPr>
        <w:t>صورة أسئلة مفتوحة في نهاية الاستبيان، أو الاكتفاء بتغطيتها بالكامل من خلال المقابلات النوعية، بما يعزز عمق النتائج ويحقق الاتساق المنهجي في تصميم أدوات الدراسة</w:t>
      </w:r>
      <w:r w:rsidRPr="000C2410">
        <w:rPr>
          <w:rFonts w:asciiTheme="majorBidi" w:hAnsiTheme="majorBidi" w:cstheme="majorBidi"/>
          <w:sz w:val="28"/>
          <w:szCs w:val="28"/>
          <w:rtl/>
          <w:lang w:val="en-AE"/>
        </w:rPr>
        <w:t xml:space="preserve"> </w:t>
      </w:r>
      <w:r w:rsidRPr="000C2410">
        <w:rPr>
          <w:rFonts w:asciiTheme="majorBidi" w:hAnsiTheme="majorBidi" w:cstheme="majorBidi"/>
          <w:sz w:val="28"/>
          <w:szCs w:val="28"/>
          <w:rtl/>
          <w:lang w:val="en-AE"/>
        </w:rPr>
        <w:t xml:space="preserve">. </w:t>
      </w:r>
    </w:p>
    <w:p w14:paraId="5ACA2D4E" w14:textId="0F53D61F" w:rsidR="00B24BA9" w:rsidRPr="000C2410" w:rsidRDefault="00B24BA9" w:rsidP="000C2410">
      <w:pPr>
        <w:bidi/>
        <w:rPr>
          <w:rFonts w:asciiTheme="majorBidi" w:hAnsiTheme="majorBidi" w:cstheme="majorBidi"/>
          <w:sz w:val="28"/>
          <w:szCs w:val="28"/>
          <w:lang w:val="en-AE"/>
        </w:rPr>
      </w:pPr>
    </w:p>
    <w:p w14:paraId="477F61E9" w14:textId="0253590E" w:rsidR="00B24BA9" w:rsidRPr="000C2410" w:rsidRDefault="00B24BA9" w:rsidP="000C2410">
      <w:pPr>
        <w:pStyle w:val="ListParagraph"/>
        <w:numPr>
          <w:ilvl w:val="0"/>
          <w:numId w:val="23"/>
        </w:numPr>
        <w:bidi/>
        <w:rPr>
          <w:rFonts w:asciiTheme="majorBidi" w:hAnsiTheme="majorBidi" w:cstheme="majorBidi"/>
          <w:sz w:val="28"/>
          <w:szCs w:val="28"/>
          <w:lang w:val="en-AE"/>
        </w:rPr>
      </w:pPr>
      <w:r w:rsidRPr="000C2410">
        <w:rPr>
          <w:rFonts w:asciiTheme="majorBidi" w:hAnsiTheme="majorBidi" w:cstheme="majorBidi"/>
          <w:sz w:val="28"/>
          <w:szCs w:val="28"/>
          <w:rtl/>
          <w:lang w:val="en-AE"/>
        </w:rPr>
        <w:t>يُرجى تضمين الدراسات العلمية التي تم الاستعانة بها في بناء وتطوير فقرات الاستبيان ضمن قائمة مراجع الرسالة، ومن بينها دراسة</w:t>
      </w:r>
      <w:r w:rsidRPr="000C2410">
        <w:rPr>
          <w:rFonts w:asciiTheme="majorBidi" w:hAnsiTheme="majorBidi" w:cstheme="majorBidi"/>
          <w:sz w:val="28"/>
          <w:szCs w:val="28"/>
          <w:lang w:val="en-AE"/>
        </w:rPr>
        <w:t xml:space="preserve"> </w:t>
      </w:r>
      <w:r w:rsidRPr="000C2410">
        <w:rPr>
          <w:rFonts w:asciiTheme="majorBidi" w:hAnsiTheme="majorBidi" w:cstheme="majorBidi"/>
          <w:sz w:val="28"/>
          <w:szCs w:val="28"/>
          <w:rtl/>
          <w:lang w:val="en-AE" w:bidi="ar-EG"/>
        </w:rPr>
        <w:t xml:space="preserve"> مثل </w:t>
      </w:r>
      <w:r w:rsidRPr="000C2410">
        <w:rPr>
          <w:rFonts w:asciiTheme="majorBidi" w:hAnsiTheme="majorBidi" w:cstheme="majorBidi"/>
          <w:sz w:val="28"/>
          <w:szCs w:val="28"/>
          <w:lang w:val="en-AE"/>
        </w:rPr>
        <w:br/>
        <w:t xml:space="preserve">Thordur V. </w:t>
      </w:r>
      <w:proofErr w:type="spellStart"/>
      <w:r w:rsidRPr="000C2410">
        <w:rPr>
          <w:rFonts w:asciiTheme="majorBidi" w:hAnsiTheme="majorBidi" w:cstheme="majorBidi"/>
          <w:sz w:val="28"/>
          <w:szCs w:val="28"/>
          <w:lang w:val="en-AE"/>
        </w:rPr>
        <w:t>Fridgeirsson</w:t>
      </w:r>
      <w:proofErr w:type="spellEnd"/>
      <w:r w:rsidRPr="000C2410">
        <w:rPr>
          <w:rFonts w:asciiTheme="majorBidi" w:hAnsiTheme="majorBidi" w:cstheme="majorBidi"/>
          <w:sz w:val="28"/>
          <w:szCs w:val="28"/>
          <w:lang w:val="en-AE"/>
        </w:rPr>
        <w:t>, Helgi Thor Ingason, Haukur Ingi Jonasson, &amp; Hildur Gunnarsdottir (2023).</w:t>
      </w:r>
    </w:p>
    <w:p w14:paraId="15C70F86" w14:textId="28C9FDAB" w:rsidR="00BD7435" w:rsidRDefault="00B24BA9" w:rsidP="000C2410">
      <w:pPr>
        <w:pStyle w:val="ListParagraph"/>
        <w:bidi/>
        <w:rPr>
          <w:rFonts w:asciiTheme="majorBidi" w:hAnsiTheme="majorBidi" w:cstheme="majorBidi"/>
          <w:sz w:val="28"/>
          <w:szCs w:val="28"/>
          <w:lang w:val="en-AE"/>
        </w:rPr>
      </w:pPr>
      <w:r w:rsidRPr="000C2410">
        <w:rPr>
          <w:rFonts w:asciiTheme="majorBidi" w:hAnsiTheme="majorBidi" w:cstheme="majorBidi"/>
          <w:sz w:val="28"/>
          <w:szCs w:val="28"/>
          <w:rtl/>
          <w:lang w:val="en-AE"/>
        </w:rPr>
        <w:t>كما يُشدد على ضرورة توثيق جميع هذه الدراسات وفق نظام</w:t>
      </w:r>
      <w:r w:rsidRPr="000C2410">
        <w:rPr>
          <w:rFonts w:asciiTheme="majorBidi" w:hAnsiTheme="majorBidi" w:cstheme="majorBidi"/>
          <w:sz w:val="28"/>
          <w:szCs w:val="28"/>
          <w:lang w:val="en-AE"/>
        </w:rPr>
        <w:t xml:space="preserve"> APA </w:t>
      </w:r>
      <w:r w:rsidRPr="000C2410">
        <w:rPr>
          <w:rFonts w:asciiTheme="majorBidi" w:hAnsiTheme="majorBidi" w:cstheme="majorBidi"/>
          <w:sz w:val="28"/>
          <w:szCs w:val="28"/>
          <w:rtl/>
          <w:lang w:val="en-AE"/>
        </w:rPr>
        <w:t>الإصدار السابع</w:t>
      </w:r>
      <w:r w:rsidRPr="000C2410">
        <w:rPr>
          <w:rFonts w:asciiTheme="majorBidi" w:hAnsiTheme="majorBidi" w:cstheme="majorBidi"/>
          <w:sz w:val="28"/>
          <w:szCs w:val="28"/>
          <w:lang w:val="en-AE"/>
        </w:rPr>
        <w:t xml:space="preserve"> (APA 7th Edition)</w:t>
      </w:r>
      <w:r w:rsidRPr="000C2410">
        <w:rPr>
          <w:rFonts w:asciiTheme="majorBidi" w:hAnsiTheme="majorBidi" w:cstheme="majorBidi"/>
          <w:sz w:val="28"/>
          <w:szCs w:val="28"/>
          <w:rtl/>
          <w:lang w:val="en-AE"/>
        </w:rPr>
        <w:t>، مع التأكد من الاتساق بين الإحالات داخل المتن وقائمة المراجع، وذلك تعزيزًا للأمانة العلمية ودعمًا للمنهجية البحثية المتبعة في تصميم أداة الدراسة</w:t>
      </w:r>
      <w:r w:rsidRPr="000C2410">
        <w:rPr>
          <w:rFonts w:asciiTheme="majorBidi" w:hAnsiTheme="majorBidi" w:cstheme="majorBidi"/>
          <w:sz w:val="28"/>
          <w:szCs w:val="28"/>
          <w:lang w:val="en-AE"/>
        </w:rPr>
        <w:t>.</w:t>
      </w:r>
    </w:p>
    <w:p w14:paraId="419DAFDE" w14:textId="77777777" w:rsidR="000C2410" w:rsidRPr="000C2410" w:rsidRDefault="000C2410" w:rsidP="000C2410">
      <w:pPr>
        <w:pStyle w:val="ListParagraph"/>
        <w:bidi/>
        <w:rPr>
          <w:rFonts w:asciiTheme="majorBidi" w:hAnsiTheme="majorBidi" w:cstheme="majorBidi"/>
          <w:sz w:val="28"/>
          <w:szCs w:val="28"/>
          <w:lang w:val="en-AE"/>
        </w:rPr>
      </w:pPr>
    </w:p>
    <w:p w14:paraId="3047DC7A" w14:textId="77777777" w:rsidR="00B24BA9" w:rsidRPr="000C2410" w:rsidRDefault="00B24BA9" w:rsidP="000C2410">
      <w:pPr>
        <w:pStyle w:val="ListParagraph"/>
        <w:numPr>
          <w:ilvl w:val="0"/>
          <w:numId w:val="23"/>
        </w:numPr>
        <w:bidi/>
        <w:spacing w:after="0" w:line="240" w:lineRule="auto"/>
        <w:rPr>
          <w:rFonts w:asciiTheme="majorBidi" w:eastAsia="Times New Roman" w:hAnsiTheme="majorBidi" w:cstheme="majorBidi"/>
          <w:color w:val="000000"/>
          <w:sz w:val="28"/>
          <w:szCs w:val="28"/>
          <w:lang w:val="en-AE"/>
        </w:rPr>
      </w:pPr>
      <w:r w:rsidRPr="000C2410">
        <w:rPr>
          <w:rFonts w:asciiTheme="majorBidi" w:eastAsia="Times New Roman" w:hAnsiTheme="majorBidi" w:cstheme="majorBidi"/>
          <w:color w:val="000000"/>
          <w:sz w:val="28"/>
          <w:szCs w:val="28"/>
          <w:rtl/>
        </w:rPr>
        <w:t>يُلاحظ إدراج العنوانين</w:t>
      </w:r>
      <w:r w:rsidRPr="000C2410">
        <w:rPr>
          <w:rFonts w:asciiTheme="majorBidi" w:eastAsia="Times New Roman" w:hAnsiTheme="majorBidi" w:cstheme="majorBidi"/>
          <w:color w:val="000000"/>
          <w:sz w:val="28"/>
          <w:szCs w:val="28"/>
          <w:lang w:val="en-AE"/>
        </w:rPr>
        <w:t>:</w:t>
      </w:r>
      <w:r w:rsidRPr="000C2410">
        <w:rPr>
          <w:rFonts w:asciiTheme="majorBidi" w:eastAsia="Times New Roman" w:hAnsiTheme="majorBidi" w:cstheme="majorBidi"/>
          <w:color w:val="000000"/>
          <w:sz w:val="28"/>
          <w:szCs w:val="28"/>
          <w:lang w:val="en-AE"/>
        </w:rPr>
        <w:br/>
        <w:t>9. Key recommendations to enhance the application of artificial intelligence</w:t>
      </w:r>
      <w:r w:rsidRPr="000C2410">
        <w:rPr>
          <w:rFonts w:asciiTheme="majorBidi" w:eastAsia="Times New Roman" w:hAnsiTheme="majorBidi" w:cstheme="majorBidi"/>
          <w:color w:val="000000"/>
          <w:sz w:val="28"/>
          <w:szCs w:val="28"/>
          <w:lang w:val="en-AE"/>
        </w:rPr>
        <w:br/>
        <w:t>10. Future implications of using artificial intelligence in project management</w:t>
      </w:r>
      <w:r w:rsidRPr="000C2410">
        <w:rPr>
          <w:rFonts w:asciiTheme="majorBidi" w:eastAsia="Times New Roman" w:hAnsiTheme="majorBidi" w:cstheme="majorBidi"/>
          <w:color w:val="000000"/>
          <w:sz w:val="28"/>
          <w:szCs w:val="28"/>
          <w:lang w:val="en-AE"/>
        </w:rPr>
        <w:br/>
      </w:r>
      <w:r w:rsidRPr="000C2410">
        <w:rPr>
          <w:rFonts w:asciiTheme="majorBidi" w:eastAsia="Times New Roman" w:hAnsiTheme="majorBidi" w:cstheme="majorBidi"/>
          <w:color w:val="000000"/>
          <w:sz w:val="28"/>
          <w:szCs w:val="28"/>
          <w:rtl/>
        </w:rPr>
        <w:t>ضمن الفصل الثالث الخاص بالمنهجية البحثية، في حين أن طبيعة هذه العناوين تحليلية وتفسيرية وتطبيقية، ولا تندرج ضمن مكونات المنهجية. وعليه، تُعد هذه العناوين غير مناسبة للورود في الفصل الثالث، ويُفضّل نقلها إلى فصل المناقشة أو النتائج والتوصيات</w:t>
      </w:r>
    </w:p>
    <w:p w14:paraId="6B8EBBA6" w14:textId="77777777" w:rsidR="0014256E" w:rsidRPr="000C2410" w:rsidRDefault="0014256E" w:rsidP="000C2410">
      <w:pPr>
        <w:bidi/>
        <w:spacing w:after="0" w:line="240" w:lineRule="auto"/>
        <w:rPr>
          <w:rFonts w:asciiTheme="majorBidi" w:eastAsia="Times New Roman" w:hAnsiTheme="majorBidi" w:cstheme="majorBidi"/>
          <w:color w:val="000000"/>
          <w:sz w:val="28"/>
          <w:szCs w:val="28"/>
          <w:lang w:val="en-AE"/>
        </w:rPr>
      </w:pPr>
    </w:p>
    <w:p w14:paraId="2BAFC4BB" w14:textId="77777777" w:rsidR="0014256E" w:rsidRPr="000C2410" w:rsidRDefault="0014256E" w:rsidP="000C2410">
      <w:pPr>
        <w:bidi/>
        <w:spacing w:after="0" w:line="240" w:lineRule="auto"/>
        <w:rPr>
          <w:rFonts w:asciiTheme="majorBidi" w:eastAsia="Times New Roman" w:hAnsiTheme="majorBidi" w:cstheme="majorBidi"/>
          <w:color w:val="000000"/>
          <w:sz w:val="28"/>
          <w:szCs w:val="28"/>
        </w:rPr>
      </w:pPr>
    </w:p>
    <w:p w14:paraId="5600BC9E" w14:textId="77777777" w:rsidR="00AD11F9" w:rsidRPr="000C2410" w:rsidRDefault="00AD11F9" w:rsidP="000C2410">
      <w:pPr>
        <w:bidi/>
        <w:spacing w:line="360" w:lineRule="auto"/>
        <w:rPr>
          <w:rFonts w:asciiTheme="majorBidi" w:hAnsiTheme="majorBidi" w:cstheme="majorBidi"/>
          <w:color w:val="000000" w:themeColor="text1"/>
          <w:sz w:val="28"/>
          <w:szCs w:val="28"/>
        </w:rPr>
      </w:pPr>
    </w:p>
    <w:p w14:paraId="0898213F" w14:textId="77777777" w:rsidR="00AD11F9" w:rsidRPr="000C2410" w:rsidRDefault="00AD11F9" w:rsidP="000C2410">
      <w:pPr>
        <w:bidi/>
        <w:rPr>
          <w:rFonts w:asciiTheme="majorBidi" w:hAnsiTheme="majorBidi" w:cstheme="majorBidi"/>
          <w:sz w:val="28"/>
          <w:szCs w:val="28"/>
        </w:rPr>
      </w:pPr>
    </w:p>
    <w:p w14:paraId="2B37F30D" w14:textId="77777777" w:rsidR="00AD11F9" w:rsidRPr="000C2410" w:rsidRDefault="00AD11F9" w:rsidP="000C2410">
      <w:pPr>
        <w:bidi/>
        <w:rPr>
          <w:rFonts w:asciiTheme="majorBidi" w:hAnsiTheme="majorBidi" w:cstheme="majorBidi"/>
          <w:sz w:val="28"/>
          <w:szCs w:val="28"/>
          <w:rtl/>
          <w:lang w:bidi="ar-EG"/>
        </w:rPr>
      </w:pPr>
    </w:p>
    <w:p w14:paraId="09AD0173" w14:textId="2499DC5C" w:rsidR="0041364E" w:rsidRPr="000C2410" w:rsidRDefault="0041364E" w:rsidP="000C2410">
      <w:pPr>
        <w:bidi/>
        <w:rPr>
          <w:rFonts w:asciiTheme="majorBidi" w:hAnsiTheme="majorBidi" w:cstheme="majorBidi"/>
          <w:sz w:val="28"/>
          <w:szCs w:val="28"/>
          <w:lang w:val="en-AE"/>
        </w:rPr>
      </w:pPr>
    </w:p>
    <w:sectPr w:rsidR="0041364E" w:rsidRPr="000C2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BC6D66"/>
    <w:multiLevelType w:val="multilevel"/>
    <w:tmpl w:val="823CA1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2177E"/>
    <w:multiLevelType w:val="multilevel"/>
    <w:tmpl w:val="DFAE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C22B01"/>
    <w:multiLevelType w:val="multilevel"/>
    <w:tmpl w:val="E4C6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F0438B"/>
    <w:multiLevelType w:val="multilevel"/>
    <w:tmpl w:val="C80C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144177"/>
    <w:multiLevelType w:val="multilevel"/>
    <w:tmpl w:val="DF50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1F7E5B"/>
    <w:multiLevelType w:val="multilevel"/>
    <w:tmpl w:val="89B2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2C0B2A"/>
    <w:multiLevelType w:val="hybridMultilevel"/>
    <w:tmpl w:val="80DCE30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 w15:restartNumberingAfterBreak="0">
    <w:nsid w:val="4D3C4E78"/>
    <w:multiLevelType w:val="multilevel"/>
    <w:tmpl w:val="DF50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A00D10"/>
    <w:multiLevelType w:val="multilevel"/>
    <w:tmpl w:val="DF50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9A783A"/>
    <w:multiLevelType w:val="multilevel"/>
    <w:tmpl w:val="12F8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63E78"/>
    <w:multiLevelType w:val="multilevel"/>
    <w:tmpl w:val="96CE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287899"/>
    <w:multiLevelType w:val="multilevel"/>
    <w:tmpl w:val="BACCB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A07E7F"/>
    <w:multiLevelType w:val="multilevel"/>
    <w:tmpl w:val="3B3C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E530BE"/>
    <w:multiLevelType w:val="multilevel"/>
    <w:tmpl w:val="427C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6646587">
    <w:abstractNumId w:val="0"/>
  </w:num>
  <w:num w:numId="2" w16cid:durableId="1998266351">
    <w:abstractNumId w:val="2"/>
  </w:num>
  <w:num w:numId="3" w16cid:durableId="2137749517">
    <w:abstractNumId w:val="6"/>
  </w:num>
  <w:num w:numId="4" w16cid:durableId="1260257574">
    <w:abstractNumId w:val="17"/>
  </w:num>
  <w:num w:numId="5" w16cid:durableId="1616521037">
    <w:abstractNumId w:val="5"/>
  </w:num>
  <w:num w:numId="6" w16cid:durableId="120267719">
    <w:abstractNumId w:val="21"/>
  </w:num>
  <w:num w:numId="7" w16cid:durableId="150367623">
    <w:abstractNumId w:val="20"/>
  </w:num>
  <w:num w:numId="8" w16cid:durableId="1290279805">
    <w:abstractNumId w:val="22"/>
  </w:num>
  <w:num w:numId="9" w16cid:durableId="1436437844">
    <w:abstractNumId w:val="15"/>
  </w:num>
  <w:num w:numId="10" w16cid:durableId="1306353476">
    <w:abstractNumId w:val="7"/>
  </w:num>
  <w:num w:numId="11" w16cid:durableId="828641645">
    <w:abstractNumId w:val="13"/>
  </w:num>
  <w:num w:numId="12" w16cid:durableId="1410617231">
    <w:abstractNumId w:val="14"/>
  </w:num>
  <w:num w:numId="13" w16cid:durableId="1084689086">
    <w:abstractNumId w:val="8"/>
  </w:num>
  <w:num w:numId="14" w16cid:durableId="1036154856">
    <w:abstractNumId w:val="9"/>
  </w:num>
  <w:num w:numId="15" w16cid:durableId="1425418692">
    <w:abstractNumId w:val="16"/>
  </w:num>
  <w:num w:numId="16" w16cid:durableId="1965383762">
    <w:abstractNumId w:val="19"/>
  </w:num>
  <w:num w:numId="17" w16cid:durableId="420374072">
    <w:abstractNumId w:val="4"/>
  </w:num>
  <w:num w:numId="18" w16cid:durableId="282736714">
    <w:abstractNumId w:val="12"/>
  </w:num>
  <w:num w:numId="19" w16cid:durableId="3630340">
    <w:abstractNumId w:val="10"/>
  </w:num>
  <w:num w:numId="20" w16cid:durableId="2011760405">
    <w:abstractNumId w:val="1"/>
  </w:num>
  <w:num w:numId="21" w16cid:durableId="811672864">
    <w:abstractNumId w:val="3"/>
  </w:num>
  <w:num w:numId="22" w16cid:durableId="568229431">
    <w:abstractNumId w:val="18"/>
  </w:num>
  <w:num w:numId="23" w16cid:durableId="16438540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175"/>
    <w:rsid w:val="000466B3"/>
    <w:rsid w:val="000C2410"/>
    <w:rsid w:val="0014256E"/>
    <w:rsid w:val="001D3175"/>
    <w:rsid w:val="0038239D"/>
    <w:rsid w:val="00394364"/>
    <w:rsid w:val="0041364E"/>
    <w:rsid w:val="00457DB3"/>
    <w:rsid w:val="00542D58"/>
    <w:rsid w:val="006C19A9"/>
    <w:rsid w:val="006F005F"/>
    <w:rsid w:val="0072249C"/>
    <w:rsid w:val="0072787D"/>
    <w:rsid w:val="0093262D"/>
    <w:rsid w:val="00973D26"/>
    <w:rsid w:val="00AC3543"/>
    <w:rsid w:val="00AD11F9"/>
    <w:rsid w:val="00B24BA9"/>
    <w:rsid w:val="00BD7435"/>
    <w:rsid w:val="00D35ABA"/>
    <w:rsid w:val="00FA1E6D"/>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53BC"/>
  <w15:chartTrackingRefBased/>
  <w15:docId w15:val="{6718231B-1DCF-40F4-97FD-FF954D00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175"/>
    <w:pPr>
      <w:spacing w:after="120" w:line="264" w:lineRule="auto"/>
    </w:pPr>
    <w:rPr>
      <w:rFonts w:eastAsiaTheme="minorEastAsia"/>
      <w:kern w:val="0"/>
      <w:sz w:val="20"/>
      <w:szCs w:val="20"/>
      <w:lang w:val="en-US"/>
      <w14:ligatures w14:val="none"/>
    </w:rPr>
  </w:style>
  <w:style w:type="paragraph" w:styleId="Heading1">
    <w:name w:val="heading 1"/>
    <w:basedOn w:val="Normal"/>
    <w:next w:val="Normal"/>
    <w:link w:val="Heading1Char"/>
    <w:uiPriority w:val="9"/>
    <w:qFormat/>
    <w:rsid w:val="001D31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31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31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31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31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31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1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1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1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1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31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31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1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31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31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1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1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175"/>
    <w:rPr>
      <w:rFonts w:eastAsiaTheme="majorEastAsia" w:cstheme="majorBidi"/>
      <w:color w:val="272727" w:themeColor="text1" w:themeTint="D8"/>
    </w:rPr>
  </w:style>
  <w:style w:type="paragraph" w:styleId="Title">
    <w:name w:val="Title"/>
    <w:basedOn w:val="Normal"/>
    <w:next w:val="Normal"/>
    <w:link w:val="TitleChar"/>
    <w:uiPriority w:val="10"/>
    <w:qFormat/>
    <w:rsid w:val="001D31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1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1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1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175"/>
    <w:pPr>
      <w:spacing w:before="160"/>
      <w:jc w:val="center"/>
    </w:pPr>
    <w:rPr>
      <w:i/>
      <w:iCs/>
      <w:color w:val="404040" w:themeColor="text1" w:themeTint="BF"/>
    </w:rPr>
  </w:style>
  <w:style w:type="character" w:customStyle="1" w:styleId="QuoteChar">
    <w:name w:val="Quote Char"/>
    <w:basedOn w:val="DefaultParagraphFont"/>
    <w:link w:val="Quote"/>
    <w:uiPriority w:val="29"/>
    <w:rsid w:val="001D3175"/>
    <w:rPr>
      <w:i/>
      <w:iCs/>
      <w:color w:val="404040" w:themeColor="text1" w:themeTint="BF"/>
    </w:rPr>
  </w:style>
  <w:style w:type="paragraph" w:styleId="ListParagraph">
    <w:name w:val="List Paragraph"/>
    <w:basedOn w:val="Normal"/>
    <w:uiPriority w:val="34"/>
    <w:qFormat/>
    <w:rsid w:val="001D3175"/>
    <w:pPr>
      <w:ind w:left="720"/>
      <w:contextualSpacing/>
    </w:pPr>
  </w:style>
  <w:style w:type="character" w:styleId="IntenseEmphasis">
    <w:name w:val="Intense Emphasis"/>
    <w:basedOn w:val="DefaultParagraphFont"/>
    <w:uiPriority w:val="21"/>
    <w:qFormat/>
    <w:rsid w:val="001D3175"/>
    <w:rPr>
      <w:i/>
      <w:iCs/>
      <w:color w:val="0F4761" w:themeColor="accent1" w:themeShade="BF"/>
    </w:rPr>
  </w:style>
  <w:style w:type="paragraph" w:styleId="IntenseQuote">
    <w:name w:val="Intense Quote"/>
    <w:basedOn w:val="Normal"/>
    <w:next w:val="Normal"/>
    <w:link w:val="IntenseQuoteChar"/>
    <w:uiPriority w:val="30"/>
    <w:qFormat/>
    <w:rsid w:val="001D31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175"/>
    <w:rPr>
      <w:i/>
      <w:iCs/>
      <w:color w:val="0F4761" w:themeColor="accent1" w:themeShade="BF"/>
    </w:rPr>
  </w:style>
  <w:style w:type="character" w:styleId="IntenseReference">
    <w:name w:val="Intense Reference"/>
    <w:basedOn w:val="DefaultParagraphFont"/>
    <w:uiPriority w:val="32"/>
    <w:qFormat/>
    <w:rsid w:val="001D3175"/>
    <w:rPr>
      <w:b/>
      <w:bCs/>
      <w:smallCaps/>
      <w:color w:val="0F4761" w:themeColor="accent1" w:themeShade="BF"/>
      <w:spacing w:val="5"/>
    </w:rPr>
  </w:style>
  <w:style w:type="character" w:styleId="Strong">
    <w:name w:val="Strong"/>
    <w:basedOn w:val="DefaultParagraphFont"/>
    <w:uiPriority w:val="22"/>
    <w:qFormat/>
    <w:rsid w:val="00973D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586</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2</cp:revision>
  <dcterms:created xsi:type="dcterms:W3CDTF">2026-04-25T15:44:00Z</dcterms:created>
  <dcterms:modified xsi:type="dcterms:W3CDTF">2026-04-25T15:44:00Z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61e52571-6c9e-461f-a66e-746627c136e3</vt:lpwstr>
  </property>
  <property fmtid="{D5CDD505-2E9C-101B-9397-08002B2CF9AE}" pid="3" name="MSIP_Label_d3d7eded-5fbb-4e74-baac-4decc5b8fd35_Enabled">
    <vt:lpwstr>true</vt:lpwstr>
  </property>
  <property fmtid="{D5CDD505-2E9C-101B-9397-08002B2CF9AE}" pid="4" name="MSIP_Label_d3d7eded-5fbb-4e74-baac-4decc5b8fd35_SetDate">
    <vt:lpwstr>2026-04-14T06:31:57Z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bb8fdea8-9c0b-4e71-9a33-f7ff1ce39996</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