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654B5" w14:textId="77777777" w:rsidR="00A97A7C" w:rsidRDefault="00250688" w:rsidP="00A97A7C">
      <w:pPr>
        <w:bidi/>
        <w:spacing w:line="240" w:lineRule="auto"/>
        <w:ind w:hanging="283"/>
        <w:jc w:val="both"/>
        <w:rPr>
          <w:rFonts w:ascii="ae_Cortoba" w:hAnsi="ae_Cortoba" w:cs="ae_Cortoba"/>
          <w:b/>
          <w:bCs/>
          <w:sz w:val="28"/>
          <w:szCs w:val="28"/>
          <w:rtl/>
        </w:rPr>
      </w:pPr>
      <w:r>
        <w:rPr>
          <w:rFonts w:ascii="Times New Roman"/>
          <w:b/>
          <w:bCs/>
          <w:noProof/>
          <w:sz w:val="28"/>
          <w:szCs w:val="28"/>
        </w:rPr>
        <w:drawing>
          <wp:anchor distT="0" distB="0" distL="114300" distR="114300" simplePos="0" relativeHeight="251659264" behindDoc="0" locked="0" layoutInCell="1" allowOverlap="1" wp14:anchorId="2F5E9D7A" wp14:editId="2BA4A67D">
            <wp:simplePos x="0" y="0"/>
            <wp:positionH relativeFrom="margin">
              <wp:posOffset>-100330</wp:posOffset>
            </wp:positionH>
            <wp:positionV relativeFrom="margin">
              <wp:posOffset>-342900</wp:posOffset>
            </wp:positionV>
            <wp:extent cx="2261870" cy="1000125"/>
            <wp:effectExtent l="0" t="0" r="5080" b="952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1870" cy="1000125"/>
                    </a:xfrm>
                    <a:prstGeom prst="rect">
                      <a:avLst/>
                    </a:prstGeom>
                  </pic:spPr>
                </pic:pic>
              </a:graphicData>
            </a:graphic>
            <wp14:sizeRelH relativeFrom="margin">
              <wp14:pctWidth>0</wp14:pctWidth>
            </wp14:sizeRelH>
            <wp14:sizeRelV relativeFrom="margin">
              <wp14:pctHeight>0</wp14:pctHeight>
            </wp14:sizeRelV>
          </wp:anchor>
        </w:drawing>
      </w:r>
      <w:r>
        <w:rPr>
          <w:rFonts w:ascii="ae_Cortoba" w:hAnsi="ae_Cortoba" w:cs="ae_Cortoba" w:hint="cs"/>
          <w:b/>
          <w:bCs/>
          <w:sz w:val="28"/>
          <w:szCs w:val="28"/>
          <w:rtl/>
        </w:rPr>
        <w:t xml:space="preserve">جامعة ميد أوشن </w:t>
      </w:r>
      <w:r>
        <w:rPr>
          <w:rFonts w:ascii="ae_Cortoba" w:hAnsi="ae_Cortoba" w:cs="ae_Cortoba"/>
          <w:b/>
          <w:bCs/>
          <w:sz w:val="28"/>
          <w:szCs w:val="28"/>
          <w:rtl/>
        </w:rPr>
        <w:t>–</w:t>
      </w:r>
    </w:p>
    <w:p w14:paraId="6DAC9C29" w14:textId="77777777" w:rsidR="00A97A7C" w:rsidRPr="00A97A7C" w:rsidRDefault="00A97A7C" w:rsidP="00A97A7C">
      <w:pPr>
        <w:bidi/>
        <w:spacing w:line="240" w:lineRule="auto"/>
        <w:ind w:hanging="283"/>
        <w:jc w:val="both"/>
        <w:rPr>
          <w:rFonts w:ascii="ae_Cortoba" w:hAnsi="ae_Cortoba" w:cs="ae_Cortoba"/>
          <w:b/>
          <w:bCs/>
          <w:sz w:val="28"/>
          <w:szCs w:val="28"/>
          <w:rtl/>
        </w:rPr>
      </w:pPr>
      <w:r>
        <w:rPr>
          <w:rFonts w:ascii="ae_Cortoba" w:hAnsi="ae_Cortoba" w:cs="ae_Cortoba" w:hint="cs"/>
          <w:b/>
          <w:bCs/>
          <w:sz w:val="28"/>
          <w:szCs w:val="28"/>
          <w:rtl/>
        </w:rPr>
        <w:t xml:space="preserve"> برنامج الدكتوراة</w:t>
      </w:r>
    </w:p>
    <w:p w14:paraId="11EFCD21" w14:textId="77777777" w:rsidR="00250688" w:rsidRDefault="00250688" w:rsidP="00250688">
      <w:pPr>
        <w:bidi/>
        <w:spacing w:line="240" w:lineRule="auto"/>
        <w:jc w:val="both"/>
        <w:rPr>
          <w:rFonts w:ascii="Calibri" w:hAnsi="Calibri" w:cs="Calibri"/>
          <w:b/>
          <w:bCs/>
          <w:color w:val="8496B0" w:themeColor="text2" w:themeTint="99"/>
          <w:sz w:val="40"/>
          <w:szCs w:val="40"/>
          <w:rtl/>
        </w:rPr>
      </w:pPr>
    </w:p>
    <w:p w14:paraId="379D24C2"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2298020B"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3C931220" w14:textId="426AEBAC" w:rsidR="00250688" w:rsidRPr="00A97A7C" w:rsidRDefault="00250688" w:rsidP="00800E91">
      <w:pPr>
        <w:bidi/>
        <w:spacing w:line="240" w:lineRule="auto"/>
        <w:jc w:val="center"/>
        <w:rPr>
          <w:rFonts w:asciiTheme="majorBidi" w:hAnsiTheme="majorBidi" w:cstheme="majorBidi"/>
          <w:b/>
          <w:bCs/>
          <w:color w:val="EE0000"/>
          <w:sz w:val="40"/>
          <w:szCs w:val="40"/>
          <w:rtl/>
        </w:rPr>
      </w:pPr>
      <w:r>
        <w:rPr>
          <w:rFonts w:asciiTheme="majorBidi" w:hAnsiTheme="majorBidi" w:cstheme="majorBidi"/>
          <w:b/>
          <w:bCs/>
          <w:color w:val="EE0000"/>
          <w:sz w:val="40"/>
          <w:szCs w:val="40"/>
          <w:rtl/>
        </w:rPr>
        <w:t xml:space="preserve">(متطلب الفصل </w:t>
      </w:r>
      <w:r w:rsidR="00800E91">
        <w:rPr>
          <w:rFonts w:asciiTheme="majorBidi" w:hAnsiTheme="majorBidi" w:cstheme="majorBidi" w:hint="cs"/>
          <w:b/>
          <w:bCs/>
          <w:color w:val="EE0000"/>
          <w:sz w:val="40"/>
          <w:szCs w:val="40"/>
          <w:rtl/>
        </w:rPr>
        <w:t>السابع</w:t>
      </w:r>
      <w:r>
        <w:rPr>
          <w:rFonts w:asciiTheme="majorBidi" w:hAnsiTheme="majorBidi" w:cstheme="majorBidi"/>
          <w:b/>
          <w:bCs/>
          <w:color w:val="EE0000"/>
          <w:sz w:val="40"/>
          <w:szCs w:val="40"/>
          <w:rtl/>
        </w:rPr>
        <w:t xml:space="preserve">: </w:t>
      </w:r>
      <w:r w:rsidR="00800E91">
        <w:rPr>
          <w:rFonts w:asciiTheme="majorBidi" w:hAnsiTheme="majorBidi" w:cstheme="majorBidi" w:hint="cs"/>
          <w:b/>
          <w:bCs/>
          <w:color w:val="EE0000"/>
          <w:sz w:val="40"/>
          <w:szCs w:val="40"/>
          <w:rtl/>
        </w:rPr>
        <w:t>إضافة الفصل الثالث</w:t>
      </w:r>
      <w:r w:rsidR="008237A5">
        <w:rPr>
          <w:rFonts w:asciiTheme="majorBidi" w:hAnsiTheme="majorBidi" w:cstheme="majorBidi" w:hint="cs"/>
          <w:b/>
          <w:bCs/>
          <w:color w:val="EE0000"/>
          <w:sz w:val="40"/>
          <w:szCs w:val="40"/>
          <w:rtl/>
        </w:rPr>
        <w:t xml:space="preserve"> ابتداءاً من صفحة 107</w:t>
      </w:r>
      <w:r>
        <w:rPr>
          <w:rFonts w:asciiTheme="majorBidi" w:hAnsiTheme="majorBidi" w:cstheme="majorBidi"/>
          <w:b/>
          <w:bCs/>
          <w:color w:val="EE0000"/>
          <w:sz w:val="40"/>
          <w:szCs w:val="40"/>
          <w:rtl/>
        </w:rPr>
        <w:t>)</w:t>
      </w:r>
    </w:p>
    <w:p w14:paraId="712B1CF4" w14:textId="77777777" w:rsidR="00250688" w:rsidRPr="00A97A7C" w:rsidRDefault="00250688" w:rsidP="00250688">
      <w:pPr>
        <w:bidi/>
        <w:spacing w:line="240" w:lineRule="auto"/>
        <w:jc w:val="both"/>
        <w:rPr>
          <w:rFonts w:asciiTheme="majorBidi" w:hAnsiTheme="majorBidi" w:cstheme="majorBidi"/>
          <w:b/>
          <w:bCs/>
          <w:color w:val="8496B0" w:themeColor="text2" w:themeTint="99"/>
          <w:sz w:val="40"/>
          <w:szCs w:val="40"/>
          <w:rtl/>
        </w:rPr>
      </w:pPr>
    </w:p>
    <w:p w14:paraId="1E02B9D9" w14:textId="77777777" w:rsidR="00250688" w:rsidRPr="00271741" w:rsidRDefault="00A97A7C" w:rsidP="00250688">
      <w:pPr>
        <w:bidi/>
        <w:spacing w:line="240" w:lineRule="auto"/>
        <w:jc w:val="center"/>
        <w:rPr>
          <w:rFonts w:asciiTheme="majorBidi" w:hAnsiTheme="majorBidi" w:cstheme="majorBidi"/>
          <w:b/>
          <w:bCs/>
          <w:sz w:val="36"/>
          <w:szCs w:val="36"/>
          <w:rtl/>
        </w:rPr>
      </w:pPr>
      <w:r>
        <w:rPr>
          <w:rFonts w:asciiTheme="majorBidi" w:hAnsiTheme="majorBidi" w:cstheme="majorBidi" w:hint="cs"/>
          <w:b/>
          <w:bCs/>
          <w:sz w:val="36"/>
          <w:szCs w:val="36"/>
          <w:rtl/>
        </w:rPr>
        <w:t xml:space="preserve">أطروحة مقدمة لجامعة ميدأوشن </w:t>
      </w:r>
      <w:r>
        <w:rPr>
          <w:rFonts w:asciiTheme="majorBidi" w:hAnsiTheme="majorBidi" w:cstheme="majorBidi"/>
          <w:b/>
          <w:bCs/>
          <w:sz w:val="36"/>
          <w:szCs w:val="36"/>
          <w:rtl/>
        </w:rPr>
        <w:t>لنيل درجة الدكتوراه في القانون بعنوان:</w:t>
      </w:r>
    </w:p>
    <w:p w14:paraId="69A08163"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00FF"/>
          <w:sz w:val="32"/>
          <w:szCs w:val="32"/>
        </w:rPr>
      </w:pPr>
    </w:p>
    <w:p w14:paraId="4D909EB6"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2"/>
          <w:szCs w:val="32"/>
          <w:rtl/>
          <w:lang w:bidi="ar-JO"/>
        </w:rPr>
      </w:pPr>
    </w:p>
    <w:p w14:paraId="40258D99" w14:textId="77777777" w:rsidR="00A10B6F" w:rsidRPr="00A10B6F" w:rsidRDefault="00A10B6F" w:rsidP="00A10B6F">
      <w:pPr>
        <w:spacing w:line="360" w:lineRule="auto"/>
        <w:ind w:left="534" w:hanging="340"/>
        <w:jc w:val="center"/>
        <w:rPr>
          <w:rFonts w:asciiTheme="majorBidi" w:hAnsiTheme="majorBidi" w:cstheme="majorBidi"/>
          <w:noProof/>
          <w:color w:val="44546A" w:themeColor="text2"/>
          <w:sz w:val="32"/>
          <w:szCs w:val="32"/>
        </w:rPr>
      </w:pPr>
      <w:r>
        <w:rPr>
          <w:rFonts w:asciiTheme="majorBidi" w:hAnsiTheme="majorBidi" w:cstheme="majorBidi"/>
          <w:b/>
          <w:bCs/>
          <w:noProof/>
          <w:color w:val="44546A" w:themeColor="text2"/>
          <w:sz w:val="32"/>
          <w:szCs w:val="32"/>
          <w:rtl/>
        </w:rPr>
        <w:t xml:space="preserve">الإطار القانوني </w:t>
      </w:r>
      <w:r>
        <w:rPr>
          <w:rFonts w:asciiTheme="majorBidi" w:hAnsiTheme="majorBidi" w:cstheme="majorBidi" w:hint="cs"/>
          <w:b/>
          <w:bCs/>
          <w:noProof/>
          <w:color w:val="44546A" w:themeColor="text2"/>
          <w:sz w:val="32"/>
          <w:szCs w:val="32"/>
          <w:rtl/>
        </w:rPr>
        <w:t>لتوظيف</w:t>
      </w:r>
      <w:r>
        <w:rPr>
          <w:rFonts w:asciiTheme="majorBidi" w:hAnsiTheme="majorBidi" w:cstheme="majorBidi"/>
          <w:b/>
          <w:bCs/>
          <w:noProof/>
          <w:color w:val="44546A" w:themeColor="text2"/>
          <w:sz w:val="32"/>
          <w:szCs w:val="32"/>
          <w:rtl/>
        </w:rPr>
        <w:t xml:space="preserve"> الذكاء الاصطناعي في تطوير الخدمات القانونية بمكاتب المحاماة في المملكة العربية السعودية – دراسة تحليلية في ضوء الأنظمة واللوائح السعودية</w:t>
      </w:r>
    </w:p>
    <w:p w14:paraId="7BB60C7B" w14:textId="77777777" w:rsidR="00250688" w:rsidRPr="00A97A7C" w:rsidRDefault="00250688" w:rsidP="00250688">
      <w:pPr>
        <w:spacing w:line="360" w:lineRule="auto"/>
        <w:ind w:left="534" w:hanging="340"/>
        <w:jc w:val="right"/>
        <w:rPr>
          <w:rFonts w:asciiTheme="majorBidi" w:hAnsiTheme="majorBidi" w:cstheme="majorBidi"/>
          <w:noProof/>
          <w:sz w:val="20"/>
          <w:szCs w:val="20"/>
          <w:rtl/>
        </w:rPr>
      </w:pPr>
    </w:p>
    <w:p w14:paraId="1209CC16" w14:textId="77777777" w:rsidR="00960AA5" w:rsidRPr="00960AA5" w:rsidRDefault="00960AA5" w:rsidP="00960AA5">
      <w:pPr>
        <w:pStyle w:val="ab"/>
        <w:bidi/>
        <w:spacing w:before="0" w:beforeAutospacing="0" w:after="0" w:afterAutospacing="0"/>
        <w:ind w:right="-270"/>
        <w:jc w:val="center"/>
        <w:rPr>
          <w:rFonts w:asciiTheme="majorBidi" w:hAnsiTheme="majorBidi" w:cstheme="majorBidi"/>
          <w:b/>
          <w:bCs/>
          <w:color w:val="0070C0"/>
          <w:szCs w:val="28"/>
        </w:rPr>
      </w:pPr>
      <w:r>
        <w:rPr>
          <w:rFonts w:asciiTheme="majorBidi" w:hAnsiTheme="majorBidi" w:cstheme="majorBidi"/>
          <w:b/>
          <w:bCs/>
          <w:color w:val="0070C0"/>
          <w:szCs w:val="28"/>
        </w:rPr>
        <w:t>The Legal Framework for Employing Artificial Intelligence in the Development of Legal Services by Law Firms in the Kingdom of Saudi Arabia: An Analytical Study in Light of Saudi Laws and Regulations</w:t>
      </w:r>
    </w:p>
    <w:p w14:paraId="1CE73625" w14:textId="77777777" w:rsidR="00250688" w:rsidRPr="00960AA5" w:rsidRDefault="00250688" w:rsidP="00250688">
      <w:pPr>
        <w:pStyle w:val="ab"/>
        <w:bidi/>
        <w:spacing w:before="0" w:beforeAutospacing="0" w:after="0" w:afterAutospacing="0"/>
        <w:ind w:right="-270"/>
        <w:rPr>
          <w:rFonts w:asciiTheme="majorBidi" w:hAnsiTheme="majorBidi" w:cstheme="majorBidi"/>
          <w:b/>
          <w:bCs/>
          <w:color w:val="0070C0"/>
          <w:szCs w:val="28"/>
          <w:rtl/>
        </w:rPr>
      </w:pPr>
    </w:p>
    <w:p w14:paraId="6D14EE3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p w14:paraId="5703F72B"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778"/>
      </w:tblGrid>
      <w:tr w:rsidR="00250688" w:rsidRPr="00A97A7C" w14:paraId="5635BE27" w14:textId="77777777" w:rsidTr="00E33865">
        <w:tc>
          <w:tcPr>
            <w:tcW w:w="1763" w:type="dxa"/>
          </w:tcPr>
          <w:p w14:paraId="4E2E0D34"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اسم الباحث</w:t>
            </w:r>
          </w:p>
        </w:tc>
        <w:tc>
          <w:tcPr>
            <w:tcW w:w="252" w:type="dxa"/>
          </w:tcPr>
          <w:p w14:paraId="57BD62E6"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1787F7A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حسان صلاح عبد الرحمن جمبي</w:t>
            </w:r>
          </w:p>
        </w:tc>
      </w:tr>
      <w:tr w:rsidR="00250688" w:rsidRPr="00A97A7C" w14:paraId="7C37EA29" w14:textId="77777777" w:rsidTr="00E33865">
        <w:tc>
          <w:tcPr>
            <w:tcW w:w="1763" w:type="dxa"/>
          </w:tcPr>
          <w:p w14:paraId="66CCC63E"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الرقم الاكاديمي</w:t>
            </w:r>
          </w:p>
        </w:tc>
        <w:tc>
          <w:tcPr>
            <w:tcW w:w="252" w:type="dxa"/>
          </w:tcPr>
          <w:p w14:paraId="58DE1DD3"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5C2B17AB" w14:textId="77777777" w:rsidR="00250688" w:rsidRPr="00A97A7C" w:rsidRDefault="00250688" w:rsidP="00250688">
            <w:pPr>
              <w:pStyle w:val="ab"/>
              <w:tabs>
                <w:tab w:val="left" w:pos="1781"/>
                <w:tab w:val="center" w:pos="2916"/>
              </w:tabs>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242002299</w:t>
            </w:r>
          </w:p>
        </w:tc>
      </w:tr>
      <w:tr w:rsidR="00250688" w:rsidRPr="00A97A7C" w14:paraId="6C6CA4D9" w14:textId="77777777" w:rsidTr="00E33865">
        <w:tc>
          <w:tcPr>
            <w:tcW w:w="1763" w:type="dxa"/>
          </w:tcPr>
          <w:p w14:paraId="081F2E7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البرنامج</w:t>
            </w:r>
          </w:p>
        </w:tc>
        <w:tc>
          <w:tcPr>
            <w:tcW w:w="252" w:type="dxa"/>
          </w:tcPr>
          <w:p w14:paraId="2F456F2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15C61DA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دكتوراه القانون</w:t>
            </w:r>
          </w:p>
        </w:tc>
      </w:tr>
      <w:tr w:rsidR="00250688" w:rsidRPr="00A97A7C" w14:paraId="42B0E002" w14:textId="77777777" w:rsidTr="00E33865">
        <w:tc>
          <w:tcPr>
            <w:tcW w:w="1763" w:type="dxa"/>
          </w:tcPr>
          <w:p w14:paraId="1EFD0B7A"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252" w:type="dxa"/>
          </w:tcPr>
          <w:p w14:paraId="6CADF77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5778" w:type="dxa"/>
          </w:tcPr>
          <w:p w14:paraId="68FCBB7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p>
        </w:tc>
      </w:tr>
    </w:tbl>
    <w:p w14:paraId="168E7868"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6"/>
          <w:szCs w:val="36"/>
          <w:rtl/>
        </w:rPr>
      </w:pPr>
    </w:p>
    <w:p w14:paraId="72ADF2CA" w14:textId="77777777" w:rsidR="00250688" w:rsidRPr="00A97A7C" w:rsidRDefault="00250688" w:rsidP="00250688">
      <w:pPr>
        <w:spacing w:line="240" w:lineRule="auto"/>
        <w:rPr>
          <w:rFonts w:asciiTheme="majorBidi" w:hAnsiTheme="majorBidi" w:cstheme="majorBidi"/>
          <w:noProof/>
          <w:rtl/>
          <w:lang w:bidi="ar-JO"/>
        </w:rPr>
      </w:pPr>
    </w:p>
    <w:p w14:paraId="16481464" w14:textId="459827CA" w:rsidR="00BC5F38" w:rsidRDefault="00250688" w:rsidP="008535D1">
      <w:pPr>
        <w:jc w:val="center"/>
        <w:rPr>
          <w:rFonts w:asciiTheme="majorBidi" w:hAnsiTheme="majorBidi" w:cstheme="majorBidi"/>
          <w:b/>
          <w:bCs/>
          <w:color w:val="FF0000"/>
          <w:sz w:val="28"/>
          <w:szCs w:val="28"/>
          <w:rtl/>
        </w:rPr>
      </w:pPr>
      <w:r>
        <w:rPr>
          <w:rFonts w:asciiTheme="majorBidi" w:hAnsiTheme="majorBidi" w:cstheme="majorBidi"/>
          <w:b/>
          <w:bCs/>
          <w:color w:val="FF0000"/>
          <w:sz w:val="28"/>
          <w:szCs w:val="28"/>
          <w:rtl/>
        </w:rPr>
        <w:t>1447ه</w:t>
      </w:r>
      <w:r w:rsidR="00B73B85">
        <w:rPr>
          <w:rFonts w:asciiTheme="majorBidi" w:hAnsiTheme="majorBidi" w:cstheme="majorBidi" w:hint="cs"/>
          <w:b/>
          <w:bCs/>
          <w:color w:val="FF0000"/>
          <w:sz w:val="28"/>
          <w:szCs w:val="28"/>
          <w:rtl/>
        </w:rPr>
        <w:t>ـ</w:t>
      </w:r>
      <w:r>
        <w:rPr>
          <w:rFonts w:asciiTheme="majorBidi" w:hAnsiTheme="majorBidi" w:cstheme="majorBidi"/>
          <w:b/>
          <w:bCs/>
          <w:color w:val="FF0000"/>
          <w:sz w:val="28"/>
          <w:szCs w:val="28"/>
          <w:rtl/>
        </w:rPr>
        <w:t xml:space="preserve">          -  202</w:t>
      </w:r>
      <w:r w:rsidR="00B73B85">
        <w:rPr>
          <w:rFonts w:asciiTheme="majorBidi" w:hAnsiTheme="majorBidi" w:cstheme="majorBidi" w:hint="cs"/>
          <w:b/>
          <w:bCs/>
          <w:color w:val="FF0000"/>
          <w:sz w:val="28"/>
          <w:szCs w:val="28"/>
          <w:rtl/>
        </w:rPr>
        <w:t>6</w:t>
      </w:r>
      <w:r>
        <w:rPr>
          <w:rFonts w:asciiTheme="majorBidi" w:hAnsiTheme="majorBidi" w:cstheme="majorBidi"/>
          <w:b/>
          <w:bCs/>
          <w:color w:val="FF0000"/>
          <w:sz w:val="28"/>
          <w:szCs w:val="28"/>
          <w:rtl/>
        </w:rPr>
        <w:t xml:space="preserve"> م</w:t>
      </w:r>
    </w:p>
    <w:p w14:paraId="6642EE1B" w14:textId="77777777" w:rsidR="00960AA5" w:rsidRDefault="00960AA5" w:rsidP="008535D1">
      <w:pPr>
        <w:jc w:val="center"/>
        <w:rPr>
          <w:rFonts w:asciiTheme="majorBidi" w:hAnsiTheme="majorBidi" w:cstheme="majorBidi"/>
          <w:b/>
          <w:bCs/>
          <w:color w:val="FF0000"/>
          <w:sz w:val="28"/>
          <w:szCs w:val="28"/>
        </w:rPr>
      </w:pPr>
    </w:p>
    <w:p w14:paraId="44171F37" w14:textId="77777777" w:rsidR="00F91E80" w:rsidRPr="00BC5F38" w:rsidRDefault="00F91E80" w:rsidP="00F219B4">
      <w:pPr>
        <w:jc w:val="center"/>
        <w:rPr>
          <w:rFonts w:asciiTheme="majorBidi" w:hAnsiTheme="majorBidi" w:cstheme="majorBidi"/>
          <w:b/>
          <w:bCs/>
          <w:sz w:val="24"/>
          <w:szCs w:val="24"/>
        </w:rPr>
      </w:pPr>
    </w:p>
    <w:p w14:paraId="46154BD5" w14:textId="77777777" w:rsidR="00F91E80" w:rsidRPr="00BC5F38" w:rsidRDefault="00F219B4" w:rsidP="00A60CD0">
      <w:pPr>
        <w:jc w:val="right"/>
        <w:rPr>
          <w:rFonts w:asciiTheme="majorBidi" w:hAnsiTheme="majorBidi" w:cstheme="majorBidi"/>
          <w:b/>
          <w:bCs/>
          <w:sz w:val="28"/>
          <w:szCs w:val="28"/>
        </w:rPr>
      </w:pPr>
      <w:r>
        <w:rPr>
          <w:rFonts w:asciiTheme="majorBidi" w:hAnsiTheme="majorBidi" w:cstheme="majorBidi"/>
          <w:b/>
          <w:bCs/>
          <w:sz w:val="28"/>
          <w:szCs w:val="28"/>
          <w:rtl/>
        </w:rPr>
        <w:t>مقدمة الدارسة:</w:t>
      </w:r>
    </w:p>
    <w:p w14:paraId="3A0B15D4"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شهد العالم في السنوات الأخيرة ثورة تقنية متسارعة، أبرز مظاهرها تصاعد استخدام تقنيات الذكاء الاصطناعي، لاسيما في المجالات المهنية التخصصية مثل المحاماة، وقد باتت أدوات الذكاء الاصطناعي التنبؤية والتوليدية تستخدم تدريجياً في تحليل المستندات القانونية، وإنشاء العقود، والبحث في السوابق القضائية، وتقديم الدعم القانوني المؤتمت.</w:t>
      </w:r>
    </w:p>
    <w:p w14:paraId="56512B9F"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 xml:space="preserve"> هذا التقدُّم يطرح تساؤلات قانونية ومهنية عميقة حول حدود التوظيف، والمسؤولية، والموثوقية، خاصة في البيئات العدلية المنظمة، حيث انه في المملكة العربية السعودية برز اهتمام رسمي متزايد بتقنين استخدام الذكاء الاصطناعي يتجسد في جهود الهيئة السعودية للبيانات والذكاء الاصطناعي "سدايا" التي أصدرت في (نوفمبر، 2023) وثيقة بعنوان </w:t>
      </w:r>
      <w:r>
        <w:rPr>
          <w:rFonts w:asciiTheme="majorBidi" w:hAnsiTheme="majorBidi" w:cstheme="majorBidi"/>
          <w:b/>
          <w:bCs/>
          <w:sz w:val="24"/>
          <w:szCs w:val="24"/>
          <w:rtl/>
        </w:rPr>
        <w:t xml:space="preserve">"مبادئ أخلاقيات الذكاء الاصطناعي" </w:t>
      </w:r>
    </w:p>
    <w:p w14:paraId="03036927"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أكدت فيها على ضرورة تقليل المخاطر المحتملة والأضرار غير المقصودة ، وهو ما يبرز التوجه الرسمي نحو تقنين وضبط استخدام هذه التقنية داخل القطاعات المهنية مؤكدة في وثيقتها الرسمية أنه :</w:t>
      </w:r>
    </w:p>
    <w:p w14:paraId="34E5B058"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"يجب على نظام الذكاء الاصطناعي العمل على تقليل المخاطر المحتملة والأضرار غير المقصودة إلى أدنى حد ممكن"</w:t>
      </w:r>
      <w:r>
        <w:rPr>
          <w:rStyle w:val="af"/>
          <w:rFonts w:asciiTheme="majorBidi" w:hAnsiTheme="majorBidi" w:cstheme="majorBidi"/>
          <w:sz w:val="24"/>
          <w:szCs w:val="24"/>
          <w:rtl/>
        </w:rPr>
        <w:footnoteReference w:id="1"/>
      </w:r>
    </w:p>
    <w:p w14:paraId="6AAAFC21" w14:textId="77777777"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إلا أن هذا التوجيه الأخلاقي لم يُترجم بعد إلى إطار تنظيمي متكامل داخل بعض القطاعات المهنية الحساسة، وعلى رأسها مهنة المحاماة.</w:t>
      </w:r>
    </w:p>
    <w:p w14:paraId="3C977EDE"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 xml:space="preserve">وعلى صعيد رصد الواقع الميداني لعدد من مكاتب المحاماة السعودية والجهات القانونية المختلفة،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 ويظهر نظام المحاماة السعودي الصادر بالمرسوم الملكي (م/38) بتاريخ 28/7/1422هـ، كالإطار التنظيمي الأساسي للمهنة، حيث تنص المادة (41) منه على أنه: </w:t>
      </w:r>
    </w:p>
    <w:p w14:paraId="1AEACE50" w14:textId="77777777" w:rsidR="00A94FD1" w:rsidRPr="00BC5F38" w:rsidRDefault="00A94FD1" w:rsidP="00A60CD0">
      <w:pPr>
        <w:jc w:val="right"/>
        <w:rPr>
          <w:rFonts w:asciiTheme="majorBidi" w:hAnsiTheme="majorBidi" w:cstheme="majorBidi"/>
          <w:b/>
          <w:bCs/>
          <w:sz w:val="24"/>
          <w:szCs w:val="24"/>
          <w:rtl/>
        </w:rPr>
      </w:pPr>
      <w:r>
        <w:rPr>
          <w:rFonts w:asciiTheme="majorBidi" w:hAnsiTheme="majorBidi" w:cstheme="majorBidi"/>
          <w:sz w:val="24"/>
          <w:szCs w:val="24"/>
          <w:rtl/>
        </w:rPr>
        <w:t>"يجوز للمحامي السعودي المحترف الاستعانة بمحامٍ معتمد غير سعودي في مكتبه، بشرط تحمّله المسؤولية الكاملة وخضوع العلاقة لضوابط تفصيلية تُصدر باللائحة التنفيذية"</w:t>
      </w:r>
      <w:r>
        <w:rPr>
          <w:rStyle w:val="af"/>
          <w:rFonts w:asciiTheme="majorBidi" w:hAnsiTheme="majorBidi" w:cstheme="majorBidi"/>
          <w:sz w:val="24"/>
          <w:szCs w:val="24"/>
          <w:rtl/>
        </w:rPr>
        <w:footnoteReference w:id="2"/>
      </w:r>
    </w:p>
    <w:p w14:paraId="3CF9875D"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p>
    <w:p w14:paraId="4BCACC62" w14:textId="68F9FC9B"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 xml:space="preserve">وقد أشار </w:t>
      </w:r>
      <w:r w:rsidR="001F3C8A">
        <w:rPr>
          <w:rFonts w:asciiTheme="majorBidi" w:hAnsiTheme="majorBidi" w:cstheme="majorBidi" w:hint="cs"/>
          <w:sz w:val="24"/>
          <w:szCs w:val="24"/>
          <w:rtl/>
        </w:rPr>
        <w:t>احد</w:t>
      </w:r>
      <w:r>
        <w:rPr>
          <w:rFonts w:asciiTheme="majorBidi" w:hAnsiTheme="majorBidi" w:cstheme="majorBidi"/>
          <w:sz w:val="24"/>
          <w:szCs w:val="24"/>
          <w:rtl/>
        </w:rPr>
        <w:t xml:space="preserve"> الباحثين في دراسته: (المسؤولية المدنية عن فعل الذكاء الاصطناعي في النظام السعودي) :</w:t>
      </w:r>
    </w:p>
    <w:p w14:paraId="3E0F9E06" w14:textId="77777777" w:rsidR="00A94FD1" w:rsidRPr="00BC5F38" w:rsidRDefault="00A94FD1" w:rsidP="006713B6">
      <w:pPr>
        <w:jc w:val="right"/>
        <w:rPr>
          <w:rFonts w:asciiTheme="majorBidi" w:hAnsiTheme="majorBidi" w:cstheme="majorBidi"/>
          <w:sz w:val="24"/>
          <w:szCs w:val="24"/>
          <w:rtl/>
        </w:rPr>
      </w:pPr>
      <w:r>
        <w:rPr>
          <w:rFonts w:asciiTheme="majorBidi" w:hAnsiTheme="majorBidi" w:cstheme="majorBidi"/>
          <w:sz w:val="24"/>
          <w:szCs w:val="24"/>
          <w:rtl/>
        </w:rPr>
        <w:t>"التشريع والفقه السعودي لم يحددا بعد كيفية التعامل مع الأفعال الناتجة عن أنظمة ذكية مستقلة، ما يُظهر حاجة ماسّة إلى تنظيم تشريعي يعالج هذا الفراغ"</w:t>
      </w:r>
      <w:r>
        <w:rPr>
          <w:rStyle w:val="af"/>
          <w:rFonts w:asciiTheme="majorBidi" w:hAnsiTheme="majorBidi" w:cstheme="majorBidi"/>
          <w:sz w:val="24"/>
          <w:szCs w:val="24"/>
          <w:rtl/>
        </w:rPr>
        <w:footnoteReference w:id="3"/>
      </w:r>
    </w:p>
    <w:p w14:paraId="782E1E86" w14:textId="77777777" w:rsidR="00F219B4" w:rsidRPr="00BC5F38" w:rsidRDefault="00A94FD1"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هذا المنطلق، تتناول هذه الدراسة – ذات الطبيعة التحليلية– الإطار القانوني المنظم لاستخدام تقنيات الذكاء الاصطناعي داخل مكاتب المحاماة، وتسعى إلى تقديم معالجة نوعية تكشف أوجه القصور في التنظيم القائم، </w:t>
      </w:r>
      <w:r>
        <w:rPr>
          <w:rFonts w:asciiTheme="majorBidi" w:hAnsiTheme="majorBidi" w:cstheme="majorBidi"/>
          <w:color w:val="000000" w:themeColor="text1"/>
          <w:sz w:val="24"/>
          <w:szCs w:val="24"/>
          <w:rtl/>
        </w:rPr>
        <w:lastRenderedPageBreak/>
        <w:t>وتقترح إطارًا وطنيًا متكاملًا يضمن التوظيف الآمن والمهني لهذه التقنيات. ويستند التحليل إلى مراجعة عدد من الأنظمة السعودية ذات العلاقة، مثل نظام المحاماة، ونظام حماية البيانات الشخصية، ونظام التعاملات الإلكترونية، لتقييم مدى كفاءتها في ضبط استخدام الذكاء الاصطناعي قانونيًا ومهنيًا. كما تركز الدراسة على استقراء واقع الممارسة التقنية في مكاتب المحاماة، وتشخيص التحديات النظامية والمهنية المصاحبة لها، تمهيدًا لبناء تصور تنظيمي وطني يحقق التوازن بين الكفاءة التقنية من جهة، ومتطلبات حماية الخصوصية والمسؤولية القانونية من جهة أخرى، ويعزز في الوقت ذاته الاستخدام الآمن والمنظم للتقنيات الذكية في البيئة العدلية السعودية.</w:t>
      </w:r>
    </w:p>
    <w:p w14:paraId="1A74576D" w14:textId="77777777" w:rsidR="00A4106D" w:rsidRPr="00BC5F38" w:rsidRDefault="00A4106D" w:rsidP="00A60CD0">
      <w:pPr>
        <w:jc w:val="right"/>
        <w:rPr>
          <w:rFonts w:asciiTheme="majorBidi" w:hAnsiTheme="majorBidi" w:cstheme="majorBidi"/>
          <w:color w:val="000000" w:themeColor="text1"/>
          <w:sz w:val="24"/>
          <w:szCs w:val="24"/>
        </w:rPr>
      </w:pPr>
    </w:p>
    <w:p w14:paraId="7C4AB454" w14:textId="77777777" w:rsidR="00A4106D" w:rsidRPr="00BC5F38" w:rsidRDefault="00A4106D" w:rsidP="00A60CD0">
      <w:pPr>
        <w:jc w:val="right"/>
        <w:rPr>
          <w:rFonts w:asciiTheme="majorBidi" w:hAnsiTheme="majorBidi" w:cstheme="majorBidi"/>
          <w:b/>
          <w:bCs/>
          <w:sz w:val="28"/>
          <w:szCs w:val="28"/>
          <w:rtl/>
        </w:rPr>
      </w:pPr>
      <w:r>
        <w:rPr>
          <w:rFonts w:asciiTheme="majorBidi" w:hAnsiTheme="majorBidi" w:cstheme="majorBidi"/>
          <w:b/>
          <w:bCs/>
          <w:sz w:val="28"/>
          <w:szCs w:val="28"/>
          <w:rtl/>
        </w:rPr>
        <w:t>مشكلة الدراسة:</w:t>
      </w:r>
    </w:p>
    <w:p w14:paraId="5A299C0F"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شهدت مهنة المحاماة في المملكة العربية السعودية تحولًا تقنيًا متسارعًا، إذ بات توظيف أدوات الذكاء الاصطناعي في تحليل المستندات القانونية، وصياغة العقود، وإدارة بيانات القضايا، وتوليد المذكرات، واقعًا يوميًا ملموسًا في عدد متزايد من مكاتب المحاماة. وقد أسهم هذا التحول في رفع كفاءة الأداء القانوني وخفض تكاليفه، غير أنه أفرز في الوقت ذاته إشكاليات قانونية ومهنية ذات طابع مركّب، تتشعب بين تحديد الطبيعة القانونية لمخرجات هذه التقنيات، وضبط المسؤولية المهنية المترتبة على توظيفها، وصون سرية بيانات العملاء في ظل بيئة رقمية متطورة.</w:t>
      </w:r>
    </w:p>
    <w:p w14:paraId="0954D687"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وعلى الرغم من الجهود التنظيمية الملحوظة التي تبذلها المملكة العربية السعودية في إطار رؤية 2030، وإصدار وثيقة مبادئ أخلاقيات الذكاء الاصطناعي عن الهيئة السعودية للبيانات والذكاء الاصطناعي (سدايا)، فإن المنظومة التشريعية القائمة لا تزال تفتقر إلى أحكام صريحة وتفصيلية تُنظِّم توظيف تقنيات الذكاء الاصطناعي داخل مكاتب المحاماة تحديدًا. إذ إن نظام المحاماة، ونظام حماية البيانات الشخصية، ونظام المعاملات المدنية، لم تُعالج في نصوصها الحالية هذه المسألة المستجدة من حيث التكييف القانوني للمخرجات، أو نطاق المسؤولية المهنية للمحامي، أو الضمانات الكافية لحماية البيانات الحساسة للموكلين، مما يُولِّد فراغًا قانونيًا واضحًا يعوق الممارسة المهنية المنضبطة لهذه التقنيات.</w:t>
      </w:r>
    </w:p>
    <w:p w14:paraId="16B69BD0"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ويزداد هذا الفراغ التشريعي تعقيدًا في ظل انعدام معايير موحَّدة تضبط ترخيص الأدوات الذكية المستخدمة مهنيًا وتحديد متطلبات موثوقيتها، وغياب آليات واضحة للمساءلة والحوكمة المهنية عند الاعتماد على هذه الأدوات في اتخاذ القرارات القانونية. فضلًا عن ذلك، فإن الأنظمة القائمة قد صِيغت في مراحل سابقة لبروز الذكاء الاصطناعي التوليدي، مما يجعل تطبيقها على الواقع التقني الراهن قائمًا على الاجتهاد التفسيري لا على النص الصريح، وهو ما لا يرقى إلى مستوى اليقين التشريعي اللازم لمهنة تقوم في جوهرها على الثقة والدقة القانونية.</w:t>
      </w:r>
    </w:p>
    <w:p w14:paraId="768438D3" w14:textId="329CFE3E"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 xml:space="preserve">وعليه،  </w:t>
      </w:r>
      <w:r w:rsidR="0069308E">
        <w:rPr>
          <w:rFonts w:asciiTheme="majorBidi" w:hAnsiTheme="majorBidi" w:cstheme="majorBidi" w:hint="cs"/>
          <w:sz w:val="24"/>
          <w:szCs w:val="24"/>
          <w:rtl/>
        </w:rPr>
        <w:t>فإن هذه</w:t>
      </w:r>
      <w:r>
        <w:rPr>
          <w:rFonts w:asciiTheme="majorBidi" w:hAnsiTheme="majorBidi" w:cstheme="majorBidi"/>
          <w:sz w:val="24"/>
          <w:szCs w:val="24"/>
          <w:rtl/>
        </w:rPr>
        <w:t xml:space="preserve"> الدراسة </w:t>
      </w:r>
      <w:r w:rsidR="0069308E">
        <w:rPr>
          <w:rFonts w:asciiTheme="majorBidi" w:hAnsiTheme="majorBidi" w:cstheme="majorBidi" w:hint="cs"/>
          <w:sz w:val="24"/>
          <w:szCs w:val="24"/>
          <w:rtl/>
        </w:rPr>
        <w:t xml:space="preserve"> تدور حول </w:t>
      </w:r>
      <w:r w:rsidR="0069308E" w:rsidRPr="0069308E">
        <w:rPr>
          <w:rFonts w:asciiTheme="majorBidi" w:hAnsiTheme="majorBidi" w:cstheme="majorBidi" w:hint="cs"/>
          <w:b/>
          <w:bCs/>
          <w:sz w:val="24"/>
          <w:szCs w:val="24"/>
          <w:rtl/>
        </w:rPr>
        <w:t>مدى</w:t>
      </w:r>
      <w:r w:rsidR="0069308E">
        <w:rPr>
          <w:rFonts w:asciiTheme="majorBidi" w:hAnsiTheme="majorBidi" w:cstheme="majorBidi" w:hint="cs"/>
          <w:sz w:val="24"/>
          <w:szCs w:val="24"/>
          <w:rtl/>
        </w:rPr>
        <w:t xml:space="preserve"> </w:t>
      </w:r>
      <w:r w:rsidR="00412166">
        <w:rPr>
          <w:rFonts w:asciiTheme="majorBidi" w:hAnsiTheme="majorBidi" w:cstheme="majorBidi" w:hint="cs"/>
          <w:b/>
          <w:bCs/>
          <w:sz w:val="24"/>
          <w:szCs w:val="24"/>
          <w:rtl/>
        </w:rPr>
        <w:t>قدرة</w:t>
      </w:r>
      <w:r w:rsidR="0069308E">
        <w:rPr>
          <w:rFonts w:asciiTheme="majorBidi" w:hAnsiTheme="majorBidi" w:cstheme="majorBidi" w:hint="cs"/>
          <w:sz w:val="24"/>
          <w:szCs w:val="24"/>
          <w:rtl/>
        </w:rPr>
        <w:t xml:space="preserve"> </w:t>
      </w:r>
      <w:r>
        <w:rPr>
          <w:rFonts w:asciiTheme="majorBidi" w:hAnsiTheme="majorBidi" w:cstheme="majorBidi"/>
          <w:b/>
          <w:bCs/>
          <w:sz w:val="24"/>
          <w:szCs w:val="24"/>
          <w:rtl/>
        </w:rPr>
        <w:t xml:space="preserve">الإطار النظامي السعودي </w:t>
      </w:r>
      <w:r w:rsidR="0069308E">
        <w:rPr>
          <w:rFonts w:asciiTheme="majorBidi" w:hAnsiTheme="majorBidi" w:cstheme="majorBidi" w:hint="cs"/>
          <w:b/>
          <w:bCs/>
          <w:sz w:val="24"/>
          <w:szCs w:val="24"/>
          <w:rtl/>
        </w:rPr>
        <w:t>في</w:t>
      </w:r>
      <w:r>
        <w:rPr>
          <w:rFonts w:asciiTheme="majorBidi" w:hAnsiTheme="majorBidi" w:cstheme="majorBidi"/>
          <w:b/>
          <w:bCs/>
          <w:sz w:val="24"/>
          <w:szCs w:val="24"/>
          <w:rtl/>
        </w:rPr>
        <w:t xml:space="preserve"> استيعاب متطلبات توظيف تقنيات الذكاء الاصطناعي في مكاتب المحاماة، من حيث التكييف القانوني للمخرجات، وتحديد المسؤولية المهنية والنظامية، وضمانات حماية بيانات العملاء</w:t>
      </w:r>
      <w:r>
        <w:rPr>
          <w:rFonts w:asciiTheme="majorBidi" w:hAnsiTheme="majorBidi" w:cstheme="majorBidi"/>
          <w:sz w:val="24"/>
          <w:szCs w:val="24"/>
          <w:rtl/>
        </w:rPr>
        <w:t xml:space="preserve">، في ظل غياب منظومة تنظيمية متخصصة ومتكاملة تواكب هذا التحول التقني وتضبط حدوده، وتُرسي قواعد الاستخدام الآمن والمشروع له داخل </w:t>
      </w:r>
      <w:r w:rsidR="002E0F58">
        <w:rPr>
          <w:rFonts w:asciiTheme="majorBidi" w:hAnsiTheme="majorBidi" w:cstheme="majorBidi" w:hint="cs"/>
          <w:sz w:val="24"/>
          <w:szCs w:val="24"/>
          <w:rtl/>
        </w:rPr>
        <w:t>المنظومة</w:t>
      </w:r>
      <w:r>
        <w:rPr>
          <w:rFonts w:asciiTheme="majorBidi" w:hAnsiTheme="majorBidi" w:cstheme="majorBidi"/>
          <w:sz w:val="24"/>
          <w:szCs w:val="24"/>
          <w:rtl/>
        </w:rPr>
        <w:t xml:space="preserve"> القانونية السعودية.</w:t>
      </w:r>
    </w:p>
    <w:p w14:paraId="4460C77C" w14:textId="77777777" w:rsidR="00A4106D" w:rsidRPr="00BC5F38" w:rsidRDefault="00A4106D" w:rsidP="00A4106D">
      <w:pPr>
        <w:jc w:val="right"/>
        <w:rPr>
          <w:rFonts w:asciiTheme="majorBidi" w:hAnsiTheme="majorBidi" w:cstheme="majorBidi"/>
          <w:sz w:val="24"/>
          <w:szCs w:val="24"/>
        </w:rPr>
      </w:pPr>
    </w:p>
    <w:p w14:paraId="4FD1CA72" w14:textId="77777777" w:rsidR="006363BC" w:rsidRPr="00BC5F38" w:rsidRDefault="006363BC" w:rsidP="00A4106D">
      <w:pPr>
        <w:jc w:val="right"/>
        <w:rPr>
          <w:rFonts w:asciiTheme="majorBidi" w:hAnsiTheme="majorBidi" w:cstheme="majorBidi"/>
          <w:b/>
          <w:bCs/>
          <w:sz w:val="28"/>
          <w:szCs w:val="28"/>
          <w:rtl/>
        </w:rPr>
      </w:pPr>
      <w:r>
        <w:rPr>
          <w:rFonts w:asciiTheme="majorBidi" w:hAnsiTheme="majorBidi" w:cstheme="majorBidi" w:hint="cs"/>
          <w:b/>
          <w:bCs/>
          <w:sz w:val="28"/>
          <w:szCs w:val="28"/>
          <w:rtl/>
        </w:rPr>
        <w:t>أهمية الدراسة:</w:t>
      </w:r>
    </w:p>
    <w:p w14:paraId="3E504E8E"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 xml:space="preserve">تنبع أهمية هذه الدراسة من ارتباطها بموضوع معاصر وذو طابع استراتيجي يمسّ التطور المهني والتشريعي في البيئة العدلية السعودية، حيث تتناول إشكالية تنظيم استخدام تقنيات الذكاء الاصطناعي داخل مكاتب المحاماة، في وقت تتسارع فيه مبادرات التحول الرقمي ضمن رؤية المملكة 2030. وتتمثل القيمة العلمية للدراسة في مساهمتها في إثراء الأدبيات القانونية المحلية والعربية، من خلال تحليل لم يُتناول بعمق سابقًا في سياق المحاماة تحديدًا، مما يمنحها أصالة أكاديمية ويوفّر مرجعًا علميًا منهجيًا للباحثين مستقبلاً في مجال القانون والتقنية. كما </w:t>
      </w:r>
      <w:r>
        <w:rPr>
          <w:rFonts w:asciiTheme="majorBidi" w:hAnsiTheme="majorBidi" w:cstheme="majorBidi"/>
          <w:color w:val="000000" w:themeColor="text1"/>
          <w:sz w:val="24"/>
          <w:szCs w:val="24"/>
          <w:rtl/>
        </w:rPr>
        <w:lastRenderedPageBreak/>
        <w:t>تتمثل الأهمية العملية للدراسة في تقديم حلول واقعية قابلة للتطبيق، من خلال تصور تنظيمي مقترح يمكن الاستفادة منه تشريعيًا ومهنيًا في ضبط العلاقة بين التقنية والممارسة القانونية، بما يعزز موثوقية مخرجات الذكاء الاصطناعي ويحفظ حقوق المتعاملين به. وتبرز أيضًا الأهمية الاقتصادية للدراسة في كونها تسهم في تقنين استخدام أدوات تقنية ذات تكلفة مرتفعة عند سوء الاستخدام، أو عند غياب التنظيم، مما يقلل من المخاطر القانونية والمهنية ويزيد من كفاءة الاستثمار في القطاع العدلي الخاص. أما على المستوى المجتمعي، فتوفر الدراسة أساسًا تنظيميًا يحمي الأفراد والمؤسسات من الوقوع في مخالفات نظامية ناجمة عن استخدام الذكاء الاصطناعي دون إطار قانوني واضح. وتخدم نتائجها أيضًا المجتمع القانوني من ممارسين ومشرّعين، عبر توضيح الأبعاد النظامية للتعامل مع هذه التقنيات، واقتراح مسارات تشريعية ومهنية واقعية تراعي خصوصية البيئة السعودية</w:t>
      </w:r>
      <w:r>
        <w:rPr>
          <w:rFonts w:asciiTheme="majorBidi" w:hAnsiTheme="majorBidi" w:cstheme="majorBidi"/>
          <w:color w:val="000000" w:themeColor="text1"/>
          <w:sz w:val="24"/>
          <w:szCs w:val="24"/>
        </w:rPr>
        <w:t>.</w:t>
      </w:r>
    </w:p>
    <w:p w14:paraId="29E280F1"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p>
    <w:p w14:paraId="717971D8" w14:textId="77777777" w:rsidR="006363BC" w:rsidRPr="00BC5F38" w:rsidRDefault="006363BC" w:rsidP="00F914DE">
      <w:pPr>
        <w:bidi/>
        <w:spacing w:after="200" w:line="276" w:lineRule="auto"/>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أهداف الدراسة:</w:t>
      </w:r>
    </w:p>
    <w:p w14:paraId="7FC407D8" w14:textId="77777777" w:rsidR="00F914DE" w:rsidRDefault="00F914DE" w:rsidP="00F914DE">
      <w:pPr>
        <w:spacing w:after="200" w:line="276" w:lineRule="auto"/>
        <w:jc w:val="right"/>
        <w:rPr>
          <w:rFonts w:asciiTheme="majorBidi" w:hAnsiTheme="majorBidi" w:cstheme="majorBidi"/>
          <w:sz w:val="24"/>
          <w:szCs w:val="24"/>
        </w:rPr>
      </w:pPr>
      <w:r>
        <w:rPr>
          <w:rFonts w:asciiTheme="majorBidi" w:hAnsiTheme="majorBidi" w:cstheme="majorBidi"/>
          <w:color w:val="000000" w:themeColor="text1"/>
          <w:sz w:val="24"/>
          <w:szCs w:val="24"/>
          <w:rtl/>
        </w:rPr>
        <w:t>تسعى هذه الدراسة إلى الكشف عن القصور في الإطار النظامي السعودي المنظِّم لاستخدام تقنيات الذكاء الاصطناعي في مكاتب المحاماة، وتقديم تصور تنظيمي متكامل يُعالج هذا القصور ويُواكب متطلبات التحول الرقمي، وذلك من خلال الأهداف التفصيلية الآتية:</w:t>
      </w:r>
    </w:p>
    <w:p w14:paraId="1E6DF690"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تحليل الأنظمة السعودية ذات الصلة</w:t>
      </w:r>
      <w:r>
        <w:rPr>
          <w:rFonts w:asciiTheme="majorBidi" w:hAnsiTheme="majorBidi" w:cstheme="majorBidi"/>
          <w:color w:val="000000" w:themeColor="text1"/>
          <w:sz w:val="24"/>
          <w:szCs w:val="24"/>
          <w:rtl/>
        </w:rPr>
        <w:t xml:space="preserve"> بتنظيم مهنة المحاماة وحماية البيانات الشخصية والمعاملات الإلكترونية، وتقييم مدى كفايتها في استيعاب التحولات التقنية المرتبطة بتوظيف الذكاء الاصطناعي داخل البيئة القانونية المهنية.</w:t>
      </w:r>
    </w:p>
    <w:p w14:paraId="7B98A6FC"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تقييم الحجية القانونية لمخرجات أدوات الذكاء الاصطناعي</w:t>
      </w:r>
      <w:r>
        <w:rPr>
          <w:rFonts w:asciiTheme="majorBidi" w:hAnsiTheme="majorBidi" w:cstheme="majorBidi"/>
          <w:color w:val="000000" w:themeColor="text1"/>
          <w:sz w:val="24"/>
          <w:szCs w:val="24"/>
          <w:rtl/>
        </w:rPr>
        <w:t xml:space="preserve"> كالعقود والمذكرات القانونية والتقارير المُولَّدة آليًا، وتحديد الضوابط النظامية الحاكمة لاعتمادها، والآثار القانونية المترتبة على توظيفها في غياب إطار تشريعي واضح ومنضبط.</w:t>
      </w:r>
    </w:p>
    <w:p w14:paraId="2A4B05FD"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تحديد أبعاد المسؤولية القانونية والمهنية</w:t>
      </w:r>
      <w:r>
        <w:rPr>
          <w:rFonts w:asciiTheme="majorBidi" w:hAnsiTheme="majorBidi" w:cstheme="majorBidi"/>
          <w:color w:val="000000" w:themeColor="text1"/>
          <w:sz w:val="24"/>
          <w:szCs w:val="24"/>
          <w:rtl/>
        </w:rPr>
        <w:t xml:space="preserve"> الناجمة عن اعتماد مكاتب المحاماة على تقنيات الذكاء الاصطناعي، ودراسة توزيع هذه المسؤولية بين مطوِّر النظام والمحامي المستخدِم وجهات الإشراف المهني، في ضوء الأنظمة السعودية المعمول بها.</w:t>
      </w:r>
    </w:p>
    <w:p w14:paraId="1B3178E1"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رصد واقع الاستخدام غير المنظَّم لتقنيات الذكاء الاصطناعي</w:t>
      </w:r>
      <w:r>
        <w:rPr>
          <w:rFonts w:asciiTheme="majorBidi" w:hAnsiTheme="majorBidi" w:cstheme="majorBidi"/>
          <w:color w:val="000000" w:themeColor="text1"/>
          <w:sz w:val="24"/>
          <w:szCs w:val="24"/>
          <w:rtl/>
        </w:rPr>
        <w:t xml:space="preserve"> في المجال القانوني السعودي، سواء من قِبل مكاتب غير مرخصة أو أفراد غير متخصصين، وتحليل التحديات التي تفرضها هذه الممارسات على مهنة المحاماة والبيئة التنظيمية.</w:t>
      </w:r>
    </w:p>
    <w:p w14:paraId="53F70B88"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اقتراح إطار تنظيمي وطني متكامل</w:t>
      </w:r>
      <w:r>
        <w:rPr>
          <w:rFonts w:asciiTheme="majorBidi" w:hAnsiTheme="majorBidi" w:cstheme="majorBidi"/>
          <w:color w:val="000000" w:themeColor="text1"/>
          <w:sz w:val="24"/>
          <w:szCs w:val="24"/>
          <w:rtl/>
        </w:rPr>
        <w:t xml:space="preserve"> لضبط توظيف تقنيات الذكاء الاصطناعي في مكاتب المحاماة، يُحقق التوازن بين الاستفادة من مزايا هذه التقنية وصون الحقوق المهنية والنظامية، بما ينسجم مع مستهدفات التحول العدلي الرقمي في إطار رؤية المملكة 2030.</w:t>
      </w:r>
    </w:p>
    <w:p w14:paraId="7B303501" w14:textId="77777777" w:rsidR="006363BC" w:rsidRPr="00BC5F38" w:rsidRDefault="006363BC" w:rsidP="00F914DE">
      <w:pPr>
        <w:rPr>
          <w:rFonts w:ascii="Traditional Arabic" w:hAnsi="Traditional Arabic" w:cs="Traditional Arabic"/>
          <w:b/>
          <w:bCs/>
          <w:sz w:val="24"/>
          <w:szCs w:val="24"/>
        </w:rPr>
      </w:pPr>
    </w:p>
    <w:p w14:paraId="036E6FF6" w14:textId="77777777" w:rsidR="006363BC" w:rsidRPr="00BC5F38" w:rsidRDefault="006363BC" w:rsidP="00F914DE">
      <w:pPr>
        <w:jc w:val="right"/>
        <w:rPr>
          <w:rFonts w:asciiTheme="majorBidi" w:hAnsiTheme="majorBidi" w:cstheme="majorBidi"/>
          <w:b/>
          <w:bCs/>
          <w:sz w:val="28"/>
          <w:szCs w:val="28"/>
        </w:rPr>
      </w:pPr>
      <w:r>
        <w:rPr>
          <w:rFonts w:asciiTheme="majorBidi" w:hAnsiTheme="majorBidi" w:cstheme="majorBidi"/>
          <w:b/>
          <w:bCs/>
          <w:sz w:val="28"/>
          <w:szCs w:val="28"/>
          <w:rtl/>
        </w:rPr>
        <w:t>تساؤلات الدراسة:</w:t>
      </w:r>
    </w:p>
    <w:p w14:paraId="3EC9E8F0"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ما واقع استخدام تقنيات الذكاء الاصطناعي في مكاتب المحاماة السعودية المرخَّصة، ومدى كفاية الإطار النظامي القائم لتنظيم هذا الاستخدام وفق معايير الشمول والاتساق والقابلية للإنفاذ؟</w:t>
      </w:r>
    </w:p>
    <w:p w14:paraId="62FA1E58"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كيف يُكيَّف قانونيًا استخدام الذكاء الاصطناعي ومخرجاته في الخدمات القانونية، وما حدود المسؤولية المهنية والنظامية المترتبة عليه، والضمانات الكفيلة بحماية الخصوصية وسرية بيانات العملاء؟</w:t>
      </w:r>
    </w:p>
    <w:p w14:paraId="306B0A09"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ما أوجه القصور التشريعي في المنظومة النظامية السعودية مقارنةً بالتجارب الدولية المختارة، وما التصوّر التنظيمي المتكامل الذي يُوازن بين الكفاءة التقنية والحماية النظامية بما ينسجم مع مستهدفات التحول العدلي الرقمي في رؤية المملكة 2030؟</w:t>
      </w:r>
    </w:p>
    <w:p w14:paraId="0764D2D9" w14:textId="77777777" w:rsidR="00F91E80" w:rsidRPr="00BC5F38" w:rsidRDefault="00F91E80" w:rsidP="00F914DE">
      <w:pPr>
        <w:bidi/>
        <w:spacing w:after="200" w:line="276" w:lineRule="auto"/>
        <w:jc w:val="both"/>
        <w:rPr>
          <w:rFonts w:asciiTheme="majorBidi" w:hAnsiTheme="majorBidi" w:cstheme="majorBidi"/>
          <w:color w:val="000000" w:themeColor="text1"/>
          <w:sz w:val="24"/>
          <w:szCs w:val="24"/>
        </w:rPr>
      </w:pPr>
    </w:p>
    <w:p w14:paraId="41F974E5" w14:textId="77777777" w:rsidR="00CA064E" w:rsidRPr="00BC5F38" w:rsidRDefault="00575B64" w:rsidP="0024502C">
      <w:pPr>
        <w:jc w:val="right"/>
        <w:rPr>
          <w:rFonts w:asciiTheme="majorBidi" w:hAnsiTheme="majorBidi" w:cstheme="majorBidi"/>
          <w:b/>
          <w:bCs/>
          <w:sz w:val="28"/>
          <w:szCs w:val="28"/>
          <w:rtl/>
        </w:rPr>
      </w:pPr>
      <w:r>
        <w:rPr>
          <w:rFonts w:asciiTheme="majorBidi" w:hAnsiTheme="majorBidi" w:cstheme="majorBidi" w:hint="cs"/>
          <w:b/>
          <w:bCs/>
          <w:sz w:val="28"/>
          <w:szCs w:val="28"/>
          <w:rtl/>
        </w:rPr>
        <w:t>منهج الدراسة:</w:t>
      </w:r>
    </w:p>
    <w:p w14:paraId="1A065986"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المنهج الوصفي التحليلي</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يقوم على تحليل النصوص النظامية السعودية ذات العلاقة—كنظام المحاماة، ونظام حماية البيانات الشخصية، ونظام المعاملات المدنية—بهدف الكشف عن مدى كفايتها في تنظيم استخدام تقنيات الذكاء الاصطناعي داخل مكاتب المحاماة، والوقوف على أوجه القصور والتداخل بين النصوص القائمة، فضلًا عن استعراض الأدبيات النظامية والفقهية والآراء القانونية ذات العلاقة من منظور تطبيقي، لبيان واقع استخدام الذكاء الاصطناعي داخل المهنة، وتحديد موقع المملكة من خارطة التنظيم القانوني المقارن.</w:t>
      </w:r>
    </w:p>
    <w:p w14:paraId="5A9B6AD9" w14:textId="77777777" w:rsidR="00F91E80" w:rsidRPr="00BC5F38" w:rsidRDefault="00F91E80" w:rsidP="0024502C">
      <w:pPr>
        <w:jc w:val="right"/>
        <w:rPr>
          <w:rFonts w:asciiTheme="majorBidi" w:hAnsiTheme="majorBidi" w:cstheme="majorBidi"/>
          <w:color w:val="000000" w:themeColor="text1"/>
          <w:sz w:val="24"/>
          <w:szCs w:val="24"/>
        </w:rPr>
      </w:pPr>
    </w:p>
    <w:p w14:paraId="175EE326" w14:textId="77777777" w:rsidR="00EF14BA" w:rsidRPr="00BC5F38" w:rsidRDefault="00F91E80" w:rsidP="00F91E80">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حدود الدراسة:</w:t>
      </w:r>
    </w:p>
    <w:p w14:paraId="2E3CDF5B" w14:textId="77777777" w:rsidR="00F91E80" w:rsidRPr="00BC5F38" w:rsidRDefault="00F91E80" w:rsidP="00F91E80">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 xml:space="preserve">تتحدد هذه الدراسة ضمن مجموعة من الحدود التي تضبط نطاقها العلمي والعملي، وذلك على </w:t>
      </w:r>
      <w:r>
        <w:rPr>
          <w:rFonts w:asciiTheme="majorBidi" w:hAnsiTheme="majorBidi" w:cstheme="majorBidi" w:hint="cs"/>
          <w:b/>
          <w:bCs/>
          <w:color w:val="000000" w:themeColor="text1"/>
          <w:sz w:val="24"/>
          <w:szCs w:val="24"/>
          <w:rtl/>
        </w:rPr>
        <w:t>النحو التالي:</w:t>
      </w:r>
    </w:p>
    <w:p w14:paraId="70516286" w14:textId="7777777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الحدود المكانية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تنحصر الدراسة في المملكة العربية السعودية، باعتبارها البيئة النظامية والمهنية المستهدفة، وموضع التحليل التنظيمي لأطر توظيف الذكاء الاصطناعي في تطوير خدمات مكاتب المحاماة</w:t>
      </w:r>
      <w:r>
        <w:rPr>
          <w:rFonts w:asciiTheme="majorBidi" w:hAnsiTheme="majorBidi" w:cstheme="majorBidi"/>
          <w:color w:val="000000" w:themeColor="text1"/>
          <w:sz w:val="24"/>
          <w:szCs w:val="24"/>
        </w:rPr>
        <w:t>. </w:t>
      </w:r>
    </w:p>
    <w:p w14:paraId="7D3D9EEB" w14:textId="50718B0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الحدود الزمانية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الدراسة الفترة الممتدة من عام 2020م حتى عام 202</w:t>
      </w:r>
      <w:r w:rsidR="00534682">
        <w:rPr>
          <w:rFonts w:asciiTheme="majorBidi" w:hAnsiTheme="majorBidi" w:cstheme="majorBidi" w:hint="cs"/>
          <w:color w:val="000000" w:themeColor="text1"/>
          <w:sz w:val="24"/>
          <w:szCs w:val="24"/>
          <w:rtl/>
        </w:rPr>
        <w:t>6</w:t>
      </w:r>
      <w:r>
        <w:rPr>
          <w:rFonts w:asciiTheme="majorBidi" w:hAnsiTheme="majorBidi" w:cstheme="majorBidi"/>
          <w:color w:val="000000" w:themeColor="text1"/>
          <w:sz w:val="24"/>
          <w:szCs w:val="24"/>
          <w:rtl/>
        </w:rPr>
        <w:t>م، وهي مرحلة شهدت تصاعدًا ملحوظًا في الاهتمام الرسمي بتقنين الذكاء الاصطناعي، وصدور عدد من الوثائق التنظيمية والمبادرات الرقمية ذات الصلة بموضوع الدراسة</w:t>
      </w:r>
      <w:r>
        <w:rPr>
          <w:rFonts w:asciiTheme="majorBidi" w:hAnsiTheme="majorBidi" w:cstheme="majorBidi"/>
          <w:color w:val="000000" w:themeColor="text1"/>
          <w:sz w:val="24"/>
          <w:szCs w:val="24"/>
        </w:rPr>
        <w:t>. </w:t>
      </w:r>
    </w:p>
    <w:p w14:paraId="0A84D6C9" w14:textId="77777777" w:rsidR="00292EA9" w:rsidRPr="00BC5F38" w:rsidRDefault="00F91E80" w:rsidP="00292EA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الحدود البشرية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تقتصر الدراسة على المحامين النظاميين والممارسين داخل مكاتب المحاماة، إلى جانب الجهات التنظيمية ذات العلاقة، دون التوسع إلى القضاة أو الأفراد خارج الإطار المهني القانوني</w:t>
      </w:r>
      <w:r>
        <w:rPr>
          <w:rFonts w:asciiTheme="majorBidi" w:hAnsiTheme="majorBidi" w:cstheme="majorBidi" w:hint="cs"/>
          <w:color w:val="000000" w:themeColor="text1"/>
          <w:sz w:val="24"/>
          <w:szCs w:val="24"/>
          <w:rtl/>
        </w:rPr>
        <w:t xml:space="preserve">. </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w:t>
      </w:r>
    </w:p>
    <w:p w14:paraId="25308C9A" w14:textId="77777777" w:rsidR="00292EA9" w:rsidRPr="00BC5F38" w:rsidRDefault="00292EA9" w:rsidP="00292EA9">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الدراسات المرجعية السابقة :</w:t>
      </w:r>
    </w:p>
    <w:p w14:paraId="528EB088"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sz w:val="24"/>
          <w:szCs w:val="24"/>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Pr>
          <w:rFonts w:asciiTheme="majorBidi" w:hAnsiTheme="majorBidi" w:cstheme="majorBidi"/>
          <w:sz w:val="24"/>
          <w:szCs w:val="24"/>
        </w:rPr>
        <w:t>:</w:t>
      </w:r>
    </w:p>
    <w:p w14:paraId="47174146"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1</w:t>
      </w:r>
      <w:r>
        <w:rPr>
          <w:rFonts w:asciiTheme="majorBidi" w:hAnsiTheme="majorBidi" w:cstheme="majorBidi"/>
          <w:b/>
          <w:bCs/>
          <w:sz w:val="24"/>
          <w:szCs w:val="24"/>
          <w:rtl/>
        </w:rPr>
        <w:t>- خليل، محمد سعيد</w:t>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i/>
          <w:iCs/>
          <w:sz w:val="24"/>
          <w:szCs w:val="24"/>
          <w:rtl/>
        </w:rPr>
        <w:t>المسؤولية القانونية عن أفعال الذكاء الاصطناعي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تركز الدراسة الحالية على ممارسات مهنية فعلية، كتوقيع العقود القانونية، وليس على الجوانب النظرية للمسؤولية فقط</w:t>
      </w:r>
      <w:r>
        <w:rPr>
          <w:rFonts w:asciiTheme="majorBidi" w:hAnsiTheme="majorBidi" w:cstheme="majorBidi"/>
          <w:sz w:val="24"/>
          <w:szCs w:val="24"/>
        </w:rPr>
        <w:t>.</w:t>
      </w:r>
    </w:p>
    <w:p w14:paraId="622FFB89"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lastRenderedPageBreak/>
        <w:t>2</w:t>
      </w:r>
      <w:r>
        <w:rPr>
          <w:rFonts w:asciiTheme="majorBidi" w:hAnsiTheme="majorBidi" w:cstheme="majorBidi"/>
          <w:b/>
          <w:bCs/>
          <w:sz w:val="24"/>
          <w:szCs w:val="24"/>
          <w:rtl/>
        </w:rPr>
        <w:t>-المالكي، خالد</w:t>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i/>
          <w:iCs/>
          <w:sz w:val="24"/>
          <w:szCs w:val="24"/>
          <w:rtl/>
        </w:rPr>
        <w:t>المسؤولية المدنية عن فعل الذكاء الاصطناعي في النظام السعودي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تناولت الدراسة العلاقة بين الفقه الإسلامي والنظام السعودي بشأن المسؤولية المدنية الناشئة عن الأضرار التقنية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تعتمد الرسالة الحالية نتائج هذه الدراسة كأساس لتصور تنظيمي مهني أكثر تخصصًا بمهنة المحاماة</w:t>
      </w:r>
      <w:r>
        <w:rPr>
          <w:rFonts w:asciiTheme="majorBidi" w:hAnsiTheme="majorBidi" w:cstheme="majorBidi"/>
          <w:sz w:val="24"/>
          <w:szCs w:val="24"/>
        </w:rPr>
        <w:t>.</w:t>
      </w:r>
    </w:p>
    <w:p w14:paraId="65D1A031"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 xml:space="preserve">-3 </w:t>
      </w:r>
      <w:r>
        <w:rPr>
          <w:rFonts w:asciiTheme="majorBidi" w:hAnsiTheme="majorBidi" w:cstheme="majorBidi"/>
          <w:b/>
          <w:bCs/>
          <w:sz w:val="24"/>
          <w:szCs w:val="24"/>
          <w:rtl/>
        </w:rPr>
        <w:t>الغنامي، نايف بن ناشي</w:t>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i/>
          <w:iCs/>
          <w:sz w:val="24"/>
          <w:szCs w:val="24"/>
          <w:rtl/>
        </w:rPr>
        <w:t>الضوابط القانونية للذكاء الاصطناعي في إبرام المعاملات القانونية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ركزت على الضوابط النظامية للعقود الذكية والتوقيع الإلكتروني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توسّع الرسالة الحالية نطاق التحليل ليشمل الخدمات القانونية في مكاتب المحاماة، وليس العقود فقط</w:t>
      </w:r>
      <w:r>
        <w:rPr>
          <w:rFonts w:asciiTheme="majorBidi" w:hAnsiTheme="majorBidi" w:cstheme="majorBidi"/>
          <w:sz w:val="24"/>
          <w:szCs w:val="24"/>
        </w:rPr>
        <w:t>.</w:t>
      </w:r>
    </w:p>
    <w:p w14:paraId="35FB6772" w14:textId="6EC2C68F"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4</w:t>
      </w:r>
      <w:r>
        <w:rPr>
          <w:rFonts w:asciiTheme="majorBidi" w:hAnsiTheme="majorBidi" w:cstheme="majorBidi"/>
          <w:b/>
          <w:bCs/>
          <w:sz w:val="24"/>
          <w:szCs w:val="24"/>
          <w:rtl/>
        </w:rPr>
        <w:t>-العلي، عبدالعزيز عبدالناصر</w:t>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i/>
          <w:iCs/>
          <w:sz w:val="24"/>
          <w:szCs w:val="24"/>
          <w:rtl/>
        </w:rPr>
        <w:t>الذكاء الاصطناعي ودوره في إبرام العقود التجارية الذكية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ركزت على الحجية النظامية للعقود الذكية وأوصت بإطار قانوني شامل</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sidR="009A44B7">
        <w:rPr>
          <w:rFonts w:asciiTheme="majorBidi" w:hAnsiTheme="majorBidi" w:cstheme="majorBidi" w:hint="cs"/>
          <w:sz w:val="24"/>
          <w:szCs w:val="24"/>
          <w:rtl/>
        </w:rPr>
        <w:t>شرحت</w:t>
      </w:r>
      <w:r>
        <w:rPr>
          <w:rFonts w:asciiTheme="majorBidi" w:hAnsiTheme="majorBidi" w:cstheme="majorBidi"/>
          <w:sz w:val="24"/>
          <w:szCs w:val="24"/>
          <w:rtl/>
        </w:rPr>
        <w:t xml:space="preserve"> العقود الذكية (Smart Contracts — تقنية مرتبطة بالبلوكشين، تختلف عن الذكاء الاصطناعي وإن تشابكا أحيانًا) أحد مخرجات أدوات الذكاء الاصطناعي التي تتناولها الرسالة ضمن تصور شامل يشمل البنية المؤسسية والتنظيمية</w:t>
      </w:r>
      <w:r>
        <w:rPr>
          <w:rFonts w:asciiTheme="majorBidi" w:hAnsiTheme="majorBidi" w:cstheme="majorBidi"/>
          <w:sz w:val="24"/>
          <w:szCs w:val="24"/>
        </w:rPr>
        <w:t>.</w:t>
      </w:r>
    </w:p>
    <w:p w14:paraId="08BC4C9F" w14:textId="0BA59EC5" w:rsidR="00292EA9" w:rsidRDefault="009A44B7" w:rsidP="00292EA9">
      <w:pPr>
        <w:jc w:val="both"/>
        <w:rPr>
          <w:rFonts w:asciiTheme="majorBidi" w:hAnsiTheme="majorBidi" w:cstheme="majorBidi"/>
          <w:sz w:val="24"/>
          <w:szCs w:val="24"/>
          <w:rtl/>
        </w:rPr>
      </w:pPr>
      <w:r>
        <w:rPr>
          <w:rFonts w:asciiTheme="majorBidi" w:hAnsiTheme="majorBidi" w:cstheme="majorBidi" w:hint="cs"/>
          <w:sz w:val="24"/>
          <w:szCs w:val="24"/>
          <w:rtl/>
        </w:rPr>
        <w:t xml:space="preserve">كما بينت ماهية </w:t>
      </w:r>
      <w:r w:rsidR="00292EA9">
        <w:rPr>
          <w:rFonts w:asciiTheme="majorBidi" w:hAnsiTheme="majorBidi" w:cstheme="majorBidi"/>
          <w:sz w:val="24"/>
          <w:szCs w:val="24"/>
          <w:rtl/>
        </w:rPr>
        <w:t xml:space="preserve"> العقود الذكية — وهي برامج تنفيذية ذاتية مشفّرة على شبكة البلوكشين تختلف جوهريًا عن أنظمة الذكاء الاصطناعي — أحد أبرز التحديات القانونية للمحامي السعودي، إذ تفتقر إلى إطار تنظيمي صريح يحدد طبيعتها القانونية في ظل النظام الحالي. وإن كان الذكاء الاصطناعي وتقنية البلوكشين قد يتشابكان في بعض التطبيقات المتقدمة، فإن العقد الذكي في جوهره لا يعتمد على نماذج لغوية أو تعلم ذاتي، بل على رمز برمجي ثابت مُبرمَج مسبقًا.</w:t>
      </w:r>
      <w:r w:rsidR="00292EA9">
        <w:rPr>
          <w:rtl/>
        </w:rPr>
        <w:footnoteReference w:id="4"/>
      </w:r>
    </w:p>
    <w:p w14:paraId="75C91ECE" w14:textId="197AD378" w:rsidR="00292EA9" w:rsidRPr="009A44B7" w:rsidRDefault="00292EA9" w:rsidP="009A44B7">
      <w:pPr>
        <w:bidi/>
        <w:spacing w:after="200" w:line="276" w:lineRule="auto"/>
        <w:rPr>
          <w:rFonts w:asciiTheme="majorBidi" w:hAnsiTheme="majorBidi" w:cstheme="majorBidi"/>
          <w:sz w:val="24"/>
          <w:szCs w:val="24"/>
          <w:rtl/>
        </w:rPr>
      </w:pPr>
      <w:r>
        <w:rPr>
          <w:rFonts w:asciiTheme="majorBidi" w:hAnsiTheme="majorBidi" w:cstheme="majorBidi"/>
          <w:b/>
          <w:bCs/>
          <w:sz w:val="24"/>
          <w:szCs w:val="24"/>
        </w:rPr>
        <w:t>5</w:t>
      </w:r>
      <w:r>
        <w:rPr>
          <w:rFonts w:asciiTheme="majorBidi" w:hAnsiTheme="majorBidi" w:cstheme="majorBidi"/>
          <w:b/>
          <w:bCs/>
          <w:sz w:val="24"/>
          <w:szCs w:val="24"/>
          <w:rtl/>
        </w:rPr>
        <w:t>-رجب، ياسر محمد عبدالسلام</w:t>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i/>
          <w:iCs/>
          <w:sz w:val="24"/>
          <w:szCs w:val="24"/>
          <w:rtl/>
        </w:rPr>
        <w:t>دور الدولة في تأطير أخلاقيات الذكاء الاصطناعي – دراسة مقارنة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درست التجارب الدولية في وضع السياسات الأخلاقية، مع التركيز على العلاقة بين التنظيم والسياسات العامة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بينما تركّز الدراسة الحالية على التنظيم القانوني المباشر والتشريعي في المجال المهني، اقتصرت الدراسة السابقة على البعد الأخلاقي العام</w:t>
      </w:r>
      <w:r>
        <w:rPr>
          <w:rFonts w:asciiTheme="majorBidi" w:hAnsiTheme="majorBidi" w:cstheme="majorBidi"/>
          <w:sz w:val="24"/>
          <w:szCs w:val="24"/>
        </w:rPr>
        <w:t>.</w:t>
      </w:r>
    </w:p>
    <w:p w14:paraId="3FAFC1F7" w14:textId="4D154678" w:rsidR="00292EA9" w:rsidRPr="00BC5F38" w:rsidRDefault="009A44B7" w:rsidP="00292EA9">
      <w:pPr>
        <w:bidi/>
        <w:spacing w:after="200" w:line="276" w:lineRule="auto"/>
        <w:rPr>
          <w:rFonts w:asciiTheme="majorBidi" w:hAnsiTheme="majorBidi" w:cstheme="majorBidi"/>
          <w:sz w:val="24"/>
          <w:szCs w:val="24"/>
        </w:rPr>
      </w:pPr>
      <w:r w:rsidRPr="009A44B7">
        <w:rPr>
          <w:rFonts w:asciiTheme="majorBidi" w:hAnsiTheme="majorBidi" w:cstheme="majorBidi" w:hint="cs"/>
          <w:b/>
          <w:bCs/>
          <w:sz w:val="24"/>
          <w:szCs w:val="24"/>
          <w:rtl/>
        </w:rPr>
        <w:t>ماتميزت به الدراسة الحالية</w:t>
      </w:r>
      <w:r>
        <w:rPr>
          <w:rFonts w:asciiTheme="majorBidi" w:hAnsiTheme="majorBidi" w:cstheme="majorBidi" w:hint="cs"/>
          <w:sz w:val="24"/>
          <w:szCs w:val="24"/>
          <w:rtl/>
        </w:rPr>
        <w:t xml:space="preserve"> :</w:t>
      </w:r>
      <w:r w:rsidR="00292EA9">
        <w:rPr>
          <w:rFonts w:asciiTheme="majorBidi" w:hAnsiTheme="majorBidi" w:cstheme="majorBidi"/>
          <w:sz w:val="24"/>
          <w:szCs w:val="24"/>
          <w:rtl/>
        </w:rPr>
        <w:t>على الرغم من القيمة العلمية لكل دراسة من الدراسات السابقة، إلا أن أياً منها لم تتناول بشكل مباشر</w:t>
      </w:r>
      <w:r w:rsidR="00292EA9">
        <w:rPr>
          <w:rFonts w:asciiTheme="majorBidi" w:hAnsiTheme="majorBidi" w:cstheme="majorBidi"/>
          <w:sz w:val="24"/>
          <w:szCs w:val="24"/>
        </w:rPr>
        <w:t>:</w:t>
      </w:r>
    </w:p>
    <w:p w14:paraId="54B107C2"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واقع الممارسة المهنية في مكاتب المحاماة السعودية</w:t>
      </w:r>
      <w:r>
        <w:rPr>
          <w:rFonts w:asciiTheme="majorBidi" w:hAnsiTheme="majorBidi" w:cstheme="majorBidi"/>
          <w:sz w:val="24"/>
          <w:szCs w:val="24"/>
        </w:rPr>
        <w:t>.</w:t>
      </w:r>
    </w:p>
    <w:p w14:paraId="26836DF4"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مسؤولية المحامي النظامية عند استخدام أدوات الذكاء الاصطناعي</w:t>
      </w:r>
      <w:r>
        <w:rPr>
          <w:rFonts w:asciiTheme="majorBidi" w:hAnsiTheme="majorBidi" w:cstheme="majorBidi"/>
          <w:sz w:val="24"/>
          <w:szCs w:val="24"/>
        </w:rPr>
        <w:t>.</w:t>
      </w:r>
    </w:p>
    <w:p w14:paraId="1B1DE044"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تصور تشريعي متكامل يتضمن الترخيص، والرقابة، وتحديد الأدوار القانونية للأدوات الذكية</w:t>
      </w:r>
      <w:r>
        <w:rPr>
          <w:rFonts w:asciiTheme="majorBidi" w:hAnsiTheme="majorBidi" w:cstheme="majorBidi"/>
          <w:sz w:val="24"/>
          <w:szCs w:val="24"/>
        </w:rPr>
        <w:t>.</w:t>
      </w:r>
    </w:p>
    <w:p w14:paraId="64315423" w14:textId="77777777" w:rsidR="00292EA9" w:rsidRPr="00BC5F38" w:rsidRDefault="00292EA9" w:rsidP="00292EA9">
      <w:pPr>
        <w:bidi/>
        <w:spacing w:after="200" w:line="276" w:lineRule="auto"/>
        <w:rPr>
          <w:rFonts w:asciiTheme="majorBidi" w:hAnsiTheme="majorBidi" w:cstheme="majorBidi"/>
          <w:sz w:val="24"/>
          <w:szCs w:val="24"/>
          <w:rtl/>
        </w:rPr>
      </w:pPr>
      <w:r>
        <w:rPr>
          <w:rFonts w:asciiTheme="majorBidi" w:hAnsiTheme="majorBidi" w:cstheme="majorBidi"/>
          <w:sz w:val="24"/>
          <w:szCs w:val="24"/>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r>
        <w:rPr>
          <w:rFonts w:asciiTheme="majorBidi" w:hAnsiTheme="majorBidi" w:cstheme="majorBidi"/>
          <w:sz w:val="24"/>
          <w:szCs w:val="24"/>
        </w:rPr>
        <w:t>.</w:t>
      </w:r>
    </w:p>
    <w:p w14:paraId="5375AED6" w14:textId="77777777" w:rsidR="00292EA9" w:rsidRPr="00BC5F38" w:rsidRDefault="00292EA9" w:rsidP="00292EA9">
      <w:pPr>
        <w:bidi/>
        <w:spacing w:after="200" w:line="276" w:lineRule="auto"/>
        <w:rPr>
          <w:rFonts w:asciiTheme="majorBidi" w:hAnsiTheme="majorBidi" w:cstheme="majorBidi"/>
          <w:sz w:val="24"/>
          <w:szCs w:val="24"/>
          <w:rtl/>
        </w:rPr>
      </w:pPr>
    </w:p>
    <w:p w14:paraId="0A653019" w14:textId="64C125B3" w:rsidR="008C5A8E" w:rsidRPr="00BC5F38" w:rsidRDefault="008C5A8E" w:rsidP="00292EA9">
      <w:pPr>
        <w:jc w:val="right"/>
        <w:rPr>
          <w:rFonts w:asciiTheme="majorBidi" w:hAnsiTheme="majorBidi" w:cstheme="majorBidi"/>
          <w:sz w:val="24"/>
          <w:szCs w:val="24"/>
          <w:rtl/>
        </w:rPr>
      </w:pPr>
    </w:p>
    <w:p w14:paraId="3A2C0EA2" w14:textId="77777777" w:rsidR="006713B6" w:rsidRPr="00BC5F38" w:rsidRDefault="006713B6" w:rsidP="00ED18A5">
      <w:pPr>
        <w:rPr>
          <w:rFonts w:asciiTheme="majorBidi" w:hAnsiTheme="majorBidi" w:cstheme="majorBidi"/>
          <w:b/>
          <w:bCs/>
          <w:color w:val="000000" w:themeColor="text1"/>
          <w:sz w:val="24"/>
          <w:szCs w:val="24"/>
        </w:rPr>
      </w:pPr>
    </w:p>
    <w:p w14:paraId="495296F6" w14:textId="3571F2C1" w:rsidR="00B102AB" w:rsidRPr="00D41CB7" w:rsidRDefault="00271741" w:rsidP="00830A22">
      <w:pPr>
        <w:jc w:val="right"/>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tl/>
        </w:rPr>
        <w:lastRenderedPageBreak/>
        <w:t>خطة الدراسة:</w:t>
      </w:r>
    </w:p>
    <w:p w14:paraId="506E54BD" w14:textId="169008B2" w:rsidR="001E4959" w:rsidRPr="00BC5F38" w:rsidRDefault="009E2938" w:rsidP="00065298">
      <w:pPr>
        <w:jc w:val="right"/>
        <w:rPr>
          <w:rFonts w:asciiTheme="majorBidi" w:hAnsiTheme="majorBidi" w:cstheme="majorBidi"/>
          <w:color w:val="000000" w:themeColor="text1"/>
          <w:sz w:val="24"/>
          <w:szCs w:val="24"/>
          <w:rtl/>
        </w:rPr>
      </w:pPr>
      <w:r>
        <w:rPr>
          <w:rFonts w:asciiTheme="majorBidi" w:hAnsiTheme="majorBidi" w:cstheme="majorBidi" w:hint="cs"/>
          <w:b/>
          <w:bCs/>
          <w:color w:val="000000" w:themeColor="text1"/>
          <w:sz w:val="24"/>
          <w:szCs w:val="24"/>
          <w:rtl/>
        </w:rPr>
        <w:t>المقدمة :</w:t>
      </w:r>
      <w:r>
        <w:rPr>
          <w:rFonts w:asciiTheme="majorBidi" w:hAnsiTheme="majorBidi" w:cstheme="majorBidi" w:hint="cs"/>
          <w:color w:val="000000" w:themeColor="text1"/>
          <w:sz w:val="24"/>
          <w:szCs w:val="24"/>
          <w:rtl/>
        </w:rPr>
        <w:t xml:space="preserve">  تشمل </w:t>
      </w:r>
      <w:r>
        <w:rPr>
          <w:rFonts w:asciiTheme="majorBidi" w:hAnsiTheme="majorBidi" w:cstheme="majorBidi"/>
          <w:color w:val="000000" w:themeColor="text1"/>
          <w:sz w:val="24"/>
          <w:szCs w:val="24"/>
          <w:rtl/>
        </w:rPr>
        <w:t xml:space="preserve">مقدمة الدراسة، مشكلة الدراسة، أهمية الدراسة، أهداف الدراسة، </w:t>
      </w:r>
      <w:r>
        <w:rPr>
          <w:rFonts w:asciiTheme="majorBidi" w:hAnsiTheme="majorBidi" w:cstheme="majorBidi" w:hint="cs"/>
          <w:color w:val="000000" w:themeColor="text1"/>
          <w:sz w:val="24"/>
          <w:szCs w:val="24"/>
          <w:rtl/>
        </w:rPr>
        <w:t>تساؤلات الدراسة</w:t>
      </w:r>
      <w:r>
        <w:rPr>
          <w:rFonts w:asciiTheme="majorBidi" w:hAnsiTheme="majorBidi" w:cstheme="majorBidi"/>
          <w:color w:val="000000" w:themeColor="text1"/>
          <w:sz w:val="24"/>
          <w:szCs w:val="24"/>
          <w:rtl/>
        </w:rPr>
        <w:t xml:space="preserve">، منهج الدراسة، حدود الدراسة، </w:t>
      </w:r>
      <w:r>
        <w:rPr>
          <w:rFonts w:asciiTheme="majorBidi" w:hAnsiTheme="majorBidi" w:cstheme="majorBidi" w:hint="cs"/>
          <w:color w:val="000000" w:themeColor="text1"/>
          <w:sz w:val="24"/>
          <w:szCs w:val="24"/>
          <w:rtl/>
        </w:rPr>
        <w:t>الدراسات المرجعية السابقة</w:t>
      </w:r>
      <w:r>
        <w:rPr>
          <w:rFonts w:asciiTheme="majorBidi" w:hAnsiTheme="majorBidi" w:cstheme="majorBidi"/>
          <w:color w:val="000000" w:themeColor="text1"/>
          <w:sz w:val="24"/>
          <w:szCs w:val="24"/>
          <w:rtl/>
        </w:rPr>
        <w:t xml:space="preserve"> ، خطة الدراسة</w:t>
      </w:r>
      <w:r>
        <w:rPr>
          <w:rFonts w:asciiTheme="majorBidi" w:hAnsiTheme="majorBidi" w:cstheme="majorBidi" w:hint="cs"/>
          <w:color w:val="000000" w:themeColor="text1"/>
          <w:sz w:val="24"/>
          <w:szCs w:val="24"/>
          <w:rtl/>
        </w:rPr>
        <w:t>.</w:t>
      </w:r>
    </w:p>
    <w:p w14:paraId="33B5AEB4" w14:textId="77777777" w:rsidR="00454BE9" w:rsidRPr="00BC5F38" w:rsidRDefault="00454BE9" w:rsidP="00C3572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الفصل الأول: </w:t>
      </w:r>
      <w:r>
        <w:rPr>
          <w:rFonts w:hint="cs"/>
          <w:b/>
          <w:bCs/>
          <w:rtl/>
        </w:rPr>
        <w:t>النظام القانوني السعودي لاستخدام الذكاء الاصطناعي في مهنة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xml:space="preserve">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نظام المحاماة واللائحة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دور الأنظمة المكملة (حماية البيانات، الإثبات، الإجراءات</w:t>
      </w:r>
      <w:r>
        <w:rPr>
          <w:rFonts w:asciiTheme="majorBidi" w:hAnsiTheme="majorBidi" w:cstheme="majorBidi" w:hint="cs"/>
          <w:color w:val="000000" w:themeColor="text1"/>
          <w:sz w:val="24"/>
          <w:szCs w:val="24"/>
          <w:rtl/>
        </w:rPr>
        <w:t>...الخ</w:t>
      </w:r>
      <w:r>
        <w:rPr>
          <w:rFonts w:asciiTheme="majorBidi" w:hAnsiTheme="majorBidi" w:cstheme="majorBidi"/>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الثاني: </w:t>
      </w:r>
      <w:r>
        <w:rPr>
          <w:rFonts w:asciiTheme="majorBidi" w:hAnsiTheme="majorBidi" w:cstheme="majorBidi"/>
          <w:color w:val="000000" w:themeColor="text1"/>
          <w:sz w:val="24"/>
          <w:szCs w:val="24"/>
          <w:rtl/>
        </w:rPr>
        <w:t>تحليل الفجوات في التنظيم الحالي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قصور النصوص التنظيمية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آثار الغياب التنظيمي للذكاء الاصطناعي على ممارسة مهنة المحاماة</w:t>
      </w:r>
    </w:p>
    <w:p w14:paraId="33EBA79E" w14:textId="4E221557" w:rsidR="00454BE9" w:rsidRPr="005F338A" w:rsidRDefault="005F338A" w:rsidP="005F338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الفصل الثاني :</w:t>
      </w:r>
      <w:r>
        <w:rPr>
          <w:rFonts w:asciiTheme="majorBidi" w:hAnsiTheme="majorBidi" w:cstheme="majorBidi"/>
          <w:b/>
          <w:bCs/>
          <w:color w:val="000000" w:themeColor="text1"/>
          <w:sz w:val="24"/>
          <w:szCs w:val="24"/>
          <w:rtl/>
        </w:rPr>
        <w:t>التكييف القانوني والفقهي لمخرجات الذكاء الاصطناعي والمسؤولية النظامية والمهنية للمحامي عند توظيفها في مكاتب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التكييف النظامي والفقهي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حجية العقود والتقارير القانونية المنتجة آليًا</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مشروعية استخدامها أمام الجهات القضائية مع الإشارة إلى بعض التجارب الدولية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الثاني:</w:t>
      </w:r>
      <w:r>
        <w:rPr>
          <w:rFonts w:asciiTheme="majorBidi" w:hAnsiTheme="majorBidi" w:cstheme="majorBidi"/>
          <w:color w:val="000000" w:themeColor="text1"/>
          <w:sz w:val="24"/>
          <w:szCs w:val="24"/>
          <w:rtl/>
        </w:rPr>
        <w:t xml:space="preserve"> </w:t>
      </w:r>
      <w:r>
        <w:rPr>
          <w:rFonts w:asciiTheme="majorBidi" w:hAnsiTheme="majorBidi"/>
          <w:b/>
          <w:bCs/>
          <w:color w:val="000000" w:themeColor="text1"/>
          <w:sz w:val="24"/>
          <w:szCs w:val="24"/>
          <w:rtl/>
        </w:rPr>
        <w:t>المسؤولية القانونية والمهنية عن استخدام تقنيات الذكاء الاصطناعي في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المسؤولية المدنية والمهنية للمحامي عند استخدام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مسؤولية المطور، المستخدم، ومقدم التقنية مع مقارنة مختصرة بالتجربة الأوروبية</w:t>
      </w:r>
    </w:p>
    <w:p w14:paraId="7E879775" w14:textId="77777777" w:rsidR="00454BE9" w:rsidRPr="00BC5F38" w:rsidRDefault="00454BE9" w:rsidP="00454BE9">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الفصل الثالث: واقع وتحديات استخدام الذكاء الاصطناعي في مكاتب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الأول: </w:t>
      </w:r>
      <w:r>
        <w:rPr>
          <w:rFonts w:asciiTheme="majorBidi" w:hAnsiTheme="majorBidi" w:cstheme="majorBidi"/>
          <w:color w:val="000000" w:themeColor="text1"/>
          <w:sz w:val="24"/>
          <w:szCs w:val="24"/>
          <w:rtl/>
        </w:rPr>
        <w:t>التطبيقات المهنية المعاصرة في السعودية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أدوات الذكاء الاصطناعي المتداولة في السوق القانوني السعودي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مدى توافقها مع البيئة النظامية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الثاني:</w:t>
      </w:r>
      <w:r>
        <w:rPr>
          <w:rFonts w:asciiTheme="majorBidi" w:hAnsiTheme="majorBidi" w:cstheme="majorBidi"/>
          <w:color w:val="000000" w:themeColor="text1"/>
          <w:sz w:val="24"/>
          <w:szCs w:val="24"/>
          <w:rtl/>
        </w:rPr>
        <w:t xml:space="preserve"> أنماط الاستخدام الفردي للتقنيات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طبيعة الاستخدامات الفردية ومخاطرها في السياق السعودي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التكييف النظامي لهذه الممارسات مع إشارة إلى التجربة الإماراتية</w:t>
      </w:r>
    </w:p>
    <w:p w14:paraId="1F2B99FE" w14:textId="77777777" w:rsidR="00454BE9" w:rsidRPr="00BC5F38" w:rsidRDefault="00454BE9" w:rsidP="00454BE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الفصل </w:t>
      </w:r>
      <w:r>
        <w:rPr>
          <w:rFonts w:asciiTheme="majorBidi" w:hAnsiTheme="majorBidi" w:cstheme="majorBidi" w:hint="cs"/>
          <w:b/>
          <w:bCs/>
          <w:color w:val="000000" w:themeColor="text1"/>
          <w:sz w:val="24"/>
          <w:szCs w:val="24"/>
          <w:rtl/>
        </w:rPr>
        <w:t>الرابع</w:t>
      </w:r>
      <w:r>
        <w:rPr>
          <w:rFonts w:asciiTheme="majorBidi" w:hAnsiTheme="majorBidi" w:cstheme="majorBidi"/>
          <w:b/>
          <w:bCs/>
          <w:color w:val="000000" w:themeColor="text1"/>
          <w:sz w:val="24"/>
          <w:szCs w:val="24"/>
          <w:rtl/>
        </w:rPr>
        <w:t>: التصور التنظيمي المقترح</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تمهيد</w:t>
      </w:r>
      <w:r>
        <w:rPr>
          <w:rFonts w:asciiTheme="majorBidi" w:hAnsiTheme="majorBidi" w:cstheme="majorBidi"/>
          <w:color w:val="000000" w:themeColor="text1"/>
          <w:sz w:val="24"/>
          <w:szCs w:val="24"/>
          <w:rtl/>
        </w:rPr>
        <w:t>: يربط الفجوات التي تم تحديدها في الفصول الأولى والثانية والثالثة بملامح التصور المقترح، موضحًا أن هذا التصور جاء لمعالجة تلك الفجوات بما يتوافق مع البيئة النظامية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xml:space="preserve"> ملامح التشريع المقترح</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شروط الترخيص ومعايير تشغيل أدوات الذكاء الاصطناعي في القطاع القانوني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الضمانات القانونية لحماية البيانات والمسؤولية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الثاني: </w:t>
      </w:r>
      <w:r>
        <w:rPr>
          <w:rFonts w:asciiTheme="majorBidi" w:hAnsiTheme="majorBidi" w:cstheme="majorBidi"/>
          <w:color w:val="000000" w:themeColor="text1"/>
          <w:sz w:val="24"/>
          <w:szCs w:val="24"/>
          <w:rtl/>
        </w:rPr>
        <w:t>التكامل مع رؤية المملكة 2030</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دعم التحول العدلي الرقمي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فرص وإمكانات تطوير الإطار التشريعي الحالي</w:t>
      </w:r>
    </w:p>
    <w:p w14:paraId="373EEF8E" w14:textId="14B008EC" w:rsidR="008F1250" w:rsidRPr="006713B6" w:rsidRDefault="00454BE9" w:rsidP="006713B6">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الخاتمة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النتائج</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التوصيات</w:t>
      </w:r>
      <w:r>
        <w:rPr>
          <w:rFonts w:asciiTheme="majorBidi" w:hAnsiTheme="majorBidi" w:cstheme="majorBidi"/>
          <w:color w:val="000000" w:themeColor="text1"/>
          <w:sz w:val="24"/>
          <w:szCs w:val="24"/>
        </w:rPr>
        <w:br/>
      </w:r>
    </w:p>
    <w:p w14:paraId="0478D94E" w14:textId="77777777" w:rsidR="008F1250" w:rsidRPr="00BC5F38" w:rsidRDefault="008F1250" w:rsidP="00830A22">
      <w:pPr>
        <w:jc w:val="right"/>
        <w:rPr>
          <w:rFonts w:asciiTheme="majorBidi" w:hAnsiTheme="majorBidi" w:cstheme="majorBidi"/>
          <w:b/>
          <w:bCs/>
          <w:color w:val="000000" w:themeColor="text1"/>
          <w:sz w:val="24"/>
          <w:szCs w:val="24"/>
        </w:rPr>
      </w:pPr>
    </w:p>
    <w:p w14:paraId="2B353A16" w14:textId="77777777" w:rsidR="00F7053A" w:rsidRPr="00BC5F38" w:rsidRDefault="00F7053A" w:rsidP="00830A22">
      <w:pPr>
        <w:jc w:val="right"/>
        <w:rPr>
          <w:rFonts w:asciiTheme="majorBidi" w:hAnsiTheme="majorBidi" w:cstheme="majorBidi"/>
          <w:b/>
          <w:bCs/>
          <w:color w:val="000000" w:themeColor="text1"/>
          <w:sz w:val="24"/>
          <w:szCs w:val="24"/>
        </w:rPr>
      </w:pPr>
    </w:p>
    <w:p w14:paraId="34023309" w14:textId="77777777" w:rsidR="00F7053A" w:rsidRPr="00D41CB7" w:rsidRDefault="00F7053A" w:rsidP="00F7053A">
      <w:pPr>
        <w:jc w:val="center"/>
        <w:rPr>
          <w:rFonts w:asciiTheme="majorBidi" w:hAnsiTheme="majorBidi" w:cstheme="majorBidi"/>
          <w:b/>
          <w:bCs/>
          <w:color w:val="000000" w:themeColor="text1"/>
          <w:sz w:val="32"/>
          <w:szCs w:val="32"/>
          <w:rtl/>
        </w:rPr>
      </w:pPr>
      <w:r>
        <w:rPr>
          <w:rFonts w:asciiTheme="majorBidi" w:hAnsiTheme="majorBidi" w:cstheme="majorBidi"/>
          <w:b/>
          <w:bCs/>
          <w:color w:val="000000" w:themeColor="text1"/>
          <w:sz w:val="32"/>
          <w:szCs w:val="32"/>
          <w:rtl/>
        </w:rPr>
        <w:t>الفصل الأول</w:t>
      </w:r>
    </w:p>
    <w:p w14:paraId="536CC054" w14:textId="77777777" w:rsidR="00F7053A" w:rsidRDefault="0008617A" w:rsidP="0008617A">
      <w:pPr>
        <w:jc w:val="center"/>
        <w:rPr>
          <w:b/>
          <w:bCs/>
          <w:sz w:val="32"/>
          <w:szCs w:val="32"/>
          <w:rtl/>
        </w:rPr>
      </w:pPr>
      <w:r>
        <w:rPr>
          <w:rFonts w:hint="cs"/>
          <w:b/>
          <w:bCs/>
          <w:sz w:val="32"/>
          <w:szCs w:val="32"/>
          <w:rtl/>
        </w:rPr>
        <w:t>النظام القانوني السعودي لاستخدام الذكاء الاصطناعي في مهنة المحاماة</w:t>
      </w:r>
    </w:p>
    <w:p w14:paraId="0E1B2B1D" w14:textId="77777777" w:rsidR="0008617A" w:rsidRPr="0008617A" w:rsidRDefault="0008617A" w:rsidP="0008617A">
      <w:pPr>
        <w:jc w:val="center"/>
        <w:rPr>
          <w:rFonts w:asciiTheme="majorBidi" w:hAnsiTheme="majorBidi" w:cstheme="majorBidi"/>
          <w:b/>
          <w:bCs/>
          <w:color w:val="000000" w:themeColor="text1"/>
          <w:sz w:val="32"/>
          <w:szCs w:val="32"/>
          <w:rtl/>
        </w:rPr>
      </w:pPr>
    </w:p>
    <w:p w14:paraId="4351ADC9"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هذا الفصل المدخل النظامي الرئيس للرسالة، إذ يتناول بالدراسة والتحليل الأُطر التشريعية والتنظيمية التي تحكم مهنة المحاماة في المملكة العربية السعودية، ومدى استيعابها لمفاهيم وتقنيات الذكاء الاصطناعي الحديثة في الممارسة المهنية. ويهدف إلى تتبّع تطوّر التنظيم النظامي للمهنة في ضوء التحوّل الرقمي الذي تشهده المنظومة العدلية ضمن رؤية المملكة 2030، وإبراز الفجوات النظامية التي قد تحدّ من توظيف التقنيات الذكية في العمل القانوني</w:t>
      </w:r>
      <w:r>
        <w:rPr>
          <w:rFonts w:asciiTheme="majorBidi" w:hAnsiTheme="majorBidi" w:cstheme="majorBidi"/>
          <w:color w:val="000000" w:themeColor="text1"/>
          <w:sz w:val="24"/>
          <w:szCs w:val="24"/>
        </w:rPr>
        <w:t>.</w:t>
      </w:r>
    </w:p>
    <w:p w14:paraId="2F84BEFA"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ومن المنطلق ذاته، أسهمت بعض الدراسات المنشورة بالمجلة العربية للنشر العلمي في تقديم رؤية تحليلية مقارنة للقواعد والإجراءات المنظمة لاستخدامات الذكاء الاصطناعي في المملكة العربية السعودية، وأكدت أن الفجوة التشريعية بين مرحلة الاستخدام الميداني ومرحلة الضبط النظامي لا تزال واسعة، وأن التأطير القانوني الشامل يستلزم تدخلًا تشريعيًا صريحًا على مستوى الأنظمة الأساسية.</w:t>
      </w:r>
      <w:r>
        <w:rPr>
          <w:rtl/>
        </w:rPr>
        <w:footnoteReference w:id="5"/>
      </w:r>
    </w:p>
    <w:p w14:paraId="129F5730"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وتبرز أهمية هذا الفصل من كونه يحدّد الأساس القانوني الذي تُبنى عليه الفصول اللاحقة؛ إذ يربط بين القواعد النظامية الراسخة في نظام المحاماة ولائحته التنفيذية، وبين المتطلبات المستحدثة التي أفرزها تطوّر أدوات الذكاء الاصطناعي في المجال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ولا يقتصر ذلك على الإطار العام لممارسة المهنة، بل يمتد ليشمل العلاقة المباشرة بين هذه التشريعات وبين المهام اليومية للمحامي؛ فالنصوص النظامية لمهنة المحاماة تضبط مسؤوليات المحامي المهنية</w:t>
      </w:r>
      <w:r>
        <w:rPr>
          <w:rFonts w:asciiTheme="majorBidi" w:hAnsiTheme="majorBidi" w:cstheme="majorBidi"/>
          <w:color w:val="000000" w:themeColor="text1"/>
          <w:sz w:val="24"/>
          <w:szCs w:val="24"/>
          <w:rtl/>
        </w:rPr>
        <w:t xml:space="preserve">، بينما يرتبط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بآليات تعامل المحامي مع بيانات عملائه الرقمية، ويرتبط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بحجية المستندات الإلكترونية وتحضير الأدلة الرقمية التي يعتمد عليها المحامي في مذكراته، كما يؤثر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العملية في التحقيق والدفاع والامتثال للمواعيد والإخطارات الإلكترونية. ويُسهم هذا التكامل النظامي في تشكيل البيئة العملية التي يعمل فيها المحامي يوميًا، خاصة في ظل التوسع في استخدام الأنظمة التقنية والمنصّات العدلية الرقمية</w:t>
      </w:r>
      <w:r>
        <w:rPr>
          <w:rFonts w:asciiTheme="majorBidi" w:hAnsiTheme="majorBidi" w:cstheme="majorBidi"/>
          <w:color w:val="000000" w:themeColor="text1"/>
          <w:sz w:val="24"/>
          <w:szCs w:val="24"/>
        </w:rPr>
        <w:t>.</w:t>
      </w:r>
    </w:p>
    <w:p w14:paraId="05E0822A"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هذا السياق، يسعى الفصل إلى بيان مدى جاهزية الإطار النظامي السعودي لاستيعاب التحولات التقنية، ومدى اتساقه مع المبادئ الأخلاقية التي أرستها الهيئة السعودية للبيانات والذكاء الاصطناعي (سدايا) — وهي وثيقة استرشادية أخلاقية غير ملزمة — بشأن تطوير واستخدام تقنيات الذكاء الاصطناعي في المجالات المهنية المختلفة</w:t>
      </w:r>
      <w:r>
        <w:rPr>
          <w:rFonts w:asciiTheme="majorBidi" w:hAnsiTheme="majorBidi" w:cstheme="majorBidi"/>
          <w:color w:val="000000" w:themeColor="text1"/>
          <w:sz w:val="24"/>
          <w:szCs w:val="24"/>
        </w:rPr>
        <w:t>.</w:t>
      </w:r>
    </w:p>
    <w:p w14:paraId="10EE41CE"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ويُقسَّم هذا الفصل إلى مبحثين رئيسين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يتناول المبحث الأول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 من خلال دراسة النصوص النظامية وتحليلها في ضوء التطورات 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يُركّز المبحث الثاني على تحليل الفجوات في التنظيم الحالي، ورصد أوجه القصور التي قد تعيق التكامل بين التشريعات المهنية ومتطلبات التحوّل الرقمي، تمهيدًا لاقتراح تصور تنظيمي متكامل في الفصل الخامس</w:t>
      </w:r>
      <w:r>
        <w:rPr>
          <w:rFonts w:asciiTheme="majorBidi" w:hAnsiTheme="majorBidi" w:cstheme="majorBidi"/>
          <w:color w:val="000000" w:themeColor="text1"/>
          <w:sz w:val="24"/>
          <w:szCs w:val="24"/>
        </w:rPr>
        <w:t>.</w:t>
      </w:r>
    </w:p>
    <w:p w14:paraId="1F5F2653" w14:textId="77777777" w:rsidR="00CF47E9" w:rsidRPr="00BC5F38" w:rsidRDefault="00CF47E9" w:rsidP="00CF47E9">
      <w:pPr>
        <w:jc w:val="right"/>
        <w:rPr>
          <w:rFonts w:asciiTheme="majorBidi" w:hAnsiTheme="majorBidi" w:cstheme="majorBidi"/>
          <w:color w:val="000000" w:themeColor="text1"/>
          <w:sz w:val="24"/>
          <w:szCs w:val="24"/>
          <w:rtl/>
        </w:rPr>
      </w:pPr>
    </w:p>
    <w:p w14:paraId="204DF141" w14:textId="77777777" w:rsidR="00F7053A" w:rsidRPr="00D41CB7" w:rsidRDefault="00CF47E9" w:rsidP="00CF47E9">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lastRenderedPageBreak/>
        <w:t>المبحث الأول</w:t>
      </w:r>
    </w:p>
    <w:p w14:paraId="692D1FCE" w14:textId="77777777" w:rsidR="00CF47E9" w:rsidRPr="00D41CB7" w:rsidRDefault="00CF47E9" w:rsidP="00CF47E9">
      <w:pPr>
        <w:jc w:val="center"/>
        <w:rPr>
          <w:rFonts w:asciiTheme="majorBidi" w:hAnsiTheme="majorBidi" w:cstheme="majorBidi"/>
          <w:b/>
          <w:bCs/>
          <w:color w:val="000000" w:themeColor="text1"/>
          <w:sz w:val="32"/>
          <w:szCs w:val="32"/>
          <w:rtl/>
        </w:rPr>
      </w:pPr>
      <w:r>
        <w:rPr>
          <w:rFonts w:asciiTheme="majorBidi" w:hAnsiTheme="majorBidi" w:cstheme="majorBidi"/>
          <w:b/>
          <w:bCs/>
          <w:color w:val="000000" w:themeColor="text1"/>
          <w:sz w:val="32"/>
          <w:szCs w:val="32"/>
          <w:rtl/>
        </w:rPr>
        <w:t xml:space="preserve">الإطار </w:t>
      </w:r>
      <w:r>
        <w:rPr>
          <w:rFonts w:asciiTheme="majorBidi" w:hAnsiTheme="majorBidi" w:cstheme="majorBidi" w:hint="cs"/>
          <w:b/>
          <w:bCs/>
          <w:color w:val="000000" w:themeColor="text1"/>
          <w:sz w:val="32"/>
          <w:szCs w:val="32"/>
          <w:rtl/>
        </w:rPr>
        <w:t>التشريعي</w:t>
      </w:r>
      <w:r>
        <w:rPr>
          <w:rFonts w:asciiTheme="majorBidi" w:hAnsiTheme="majorBidi" w:cstheme="majorBidi"/>
          <w:b/>
          <w:bCs/>
          <w:color w:val="000000" w:themeColor="text1"/>
          <w:sz w:val="32"/>
          <w:szCs w:val="32"/>
          <w:rtl/>
        </w:rPr>
        <w:t xml:space="preserve"> لمهنة المحاماة وتقنيات الذكاء الاصطناعي</w:t>
      </w:r>
    </w:p>
    <w:p w14:paraId="032A0FD6" w14:textId="77777777" w:rsidR="00E77780" w:rsidRPr="00BC5F38" w:rsidRDefault="00E77780" w:rsidP="00CF47E9">
      <w:pPr>
        <w:jc w:val="center"/>
        <w:rPr>
          <w:rFonts w:asciiTheme="majorBidi" w:hAnsiTheme="majorBidi" w:cstheme="majorBidi"/>
          <w:b/>
          <w:bCs/>
          <w:color w:val="000000" w:themeColor="text1"/>
          <w:sz w:val="24"/>
          <w:szCs w:val="24"/>
          <w:rtl/>
        </w:rPr>
      </w:pPr>
    </w:p>
    <w:p w14:paraId="7FAE2ABA"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تُعد مهنة المحاماة من أبرز المهن القانونية التي شهدت تطورًا تشريعيًا وتنظيميًا متواصلًا في المملكة العربية السعودية، لما لها من أثر مباشر في تحقيق العدالة وصون الحقوق وحماية المصالح. ومع التحول الرقمي الذي تشهده المنظومة العدلية ضمن رؤية المملكة 2030، برزت الحاجة إلى دراسة الإطار القانوني المنظِّم لهذه المهنة في ضوء المتغيرات التقنية الحديثة، ولا سيما تقنيات الذكاء الاصطناعي التي بدأت تدخل تدريجيًا في مجالات البحث القانوني، وصياغة العقود، وإدارة القضايا</w:t>
      </w:r>
      <w:r>
        <w:rPr>
          <w:rFonts w:asciiTheme="majorBidi" w:hAnsiTheme="majorBidi" w:cstheme="majorBidi"/>
          <w:color w:val="000000" w:themeColor="text1"/>
          <w:sz w:val="24"/>
          <w:szCs w:val="24"/>
        </w:rPr>
        <w:t>.</w:t>
      </w:r>
    </w:p>
    <w:p w14:paraId="57AA254C"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ويركز هذا المبحث على تحليل الأسس القانونية التي يقوم عليها تنظيم مهنة المحاماة في المملكة، واستعراض الأنظمة واللوائح ذات الصلة، مع بيان مدى قدرتها على استيعاب التحول التقني المتسارع الذي تشهده الممارسات القانونية المعاصرة. وتزداد أهمية ذلك في ظل التأثير المباشر لهذه الأنظمة على العمل اليومي للمحامي؛ إذ يحدد </w:t>
      </w:r>
      <w:r>
        <w:rPr>
          <w:rFonts w:asciiTheme="majorBidi" w:hAnsiTheme="majorBidi" w:cstheme="majorBidi"/>
          <w:b/>
          <w:bCs/>
          <w:color w:val="000000" w:themeColor="text1"/>
          <w:sz w:val="24"/>
          <w:szCs w:val="24"/>
          <w:rtl/>
        </w:rPr>
        <w:t>نظام المحاماة</w:t>
      </w:r>
      <w:r>
        <w:rPr>
          <w:rFonts w:asciiTheme="majorBidi" w:hAnsiTheme="majorBidi" w:cstheme="majorBidi"/>
          <w:color w:val="000000" w:themeColor="text1"/>
          <w:sz w:val="24"/>
          <w:szCs w:val="24"/>
          <w:rtl/>
        </w:rPr>
        <w:t xml:space="preserve"> إطار مسؤولياته وواجباته المهنية، بينما ينظّم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الآليات التي يلتزم بها المحامي في حفظ بيانات موكليه ومعالجتها داخل بيئة العمل الرقمية، ويضبط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قواعد التعامل مع المستندات الإلكترونية والأدلة الرقمية التي يعتمد عليها المحامي في مذكراته ودفوعه، في حين ينعكس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في التحقيق والدفاع، وعلى التزامه بالمواعيد والطلبات الإلكترونية ضمن المنظومة العدلية التقنية</w:t>
      </w:r>
      <w:r>
        <w:rPr>
          <w:rFonts w:asciiTheme="majorBidi" w:hAnsiTheme="majorBidi" w:cstheme="majorBidi"/>
          <w:color w:val="000000" w:themeColor="text1"/>
          <w:sz w:val="24"/>
          <w:szCs w:val="24"/>
        </w:rPr>
        <w:t>.</w:t>
      </w:r>
    </w:p>
    <w:p w14:paraId="3565AB9A"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وتضع اللائحة التنفيذية لنظام المحاماة التفاصيل الإجرائية التي تُعمّق الاشتراطات التي أرساها النظام؛ إذ تُحدد المتطلبات المهنية للحصول على الترخيص والتجديد، وآليات المساءلة والإشراف المؤسسي على المحامين الممارسين، ومع أن هذه اللائحة لم تتضمن أحكامًا صريحة تُنظّم استخدام التقنيات الذكية، فإن قواعدها العامة تُشكّل القاعدة القانونية الأساسية لأي معالجة نظامية مستقبلية في هذا الشأن.</w:t>
      </w:r>
      <w:r>
        <w:rPr>
          <w:rStyle w:val="af"/>
          <w:rFonts w:asciiTheme="majorBidi" w:hAnsiTheme="majorBidi" w:cstheme="majorBidi"/>
          <w:sz w:val="24"/>
          <w:szCs w:val="24"/>
          <w:rtl/>
        </w:rPr>
        <w:footnoteReference w:id="6"/>
      </w:r>
    </w:p>
    <w:p w14:paraId="1875085E"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الإطار القانوني لمهنة المحاماة لا يُعد نظامًا نظريًا مجردًا، بل يشكّل مجموعة من الالتزامات العملية التي تُمارَس يوميًا داخل مكاتب المحامين ومع الجهات العدلية، ولا سيما مع تزايد الاعتماد على الأدوات الرقمية والذكاء الاصطناعي في تقديم الخدمات القانونية</w:t>
      </w:r>
      <w:r>
        <w:rPr>
          <w:rFonts w:asciiTheme="majorBidi" w:hAnsiTheme="majorBidi" w:cstheme="majorBidi"/>
          <w:color w:val="000000" w:themeColor="text1"/>
          <w:sz w:val="24"/>
          <w:szCs w:val="24"/>
        </w:rPr>
        <w:t>.</w:t>
      </w:r>
    </w:p>
    <w:p w14:paraId="5CCEB452"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وينقسم هذا المبحث إلى مطلبين رئيسين</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يعالج المطلب الأول نظام المحاماة واللائحة التنفيذية بوصفهما الإطار القانوني الأساس لممارسة 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يتناول المطلب الثاني الأنظمة القانونية المكملة التي تدعم مهنة المحاماة في بيئتها التقنية الحديثة، مثل نظام حماية البيانات الشخصية، ونظام الإثبات، ونظام الإجراءات الجزائية، وغيرها من الأنظمة ذات الصلة</w:t>
      </w:r>
      <w:r>
        <w:rPr>
          <w:rFonts w:asciiTheme="majorBidi" w:hAnsiTheme="majorBidi" w:cstheme="majorBidi"/>
          <w:color w:val="000000" w:themeColor="text1"/>
          <w:sz w:val="24"/>
          <w:szCs w:val="24"/>
        </w:rPr>
        <w:t>.</w:t>
      </w:r>
    </w:p>
    <w:p w14:paraId="00E89425" w14:textId="77777777" w:rsidR="00E77780" w:rsidRPr="00BC5F38" w:rsidRDefault="00E77780" w:rsidP="00D41CB7">
      <w:pPr>
        <w:rPr>
          <w:rFonts w:asciiTheme="majorBidi" w:hAnsiTheme="majorBidi" w:cstheme="majorBidi"/>
          <w:color w:val="000000" w:themeColor="text1"/>
          <w:sz w:val="24"/>
          <w:szCs w:val="24"/>
        </w:rPr>
      </w:pPr>
    </w:p>
    <w:p w14:paraId="7588078F" w14:textId="77777777" w:rsidR="00E77780" w:rsidRDefault="00E77780" w:rsidP="00E77780">
      <w:pPr>
        <w:jc w:val="right"/>
        <w:rPr>
          <w:rFonts w:asciiTheme="majorBidi" w:hAnsiTheme="majorBidi" w:cstheme="majorBidi"/>
          <w:color w:val="000000" w:themeColor="text1"/>
          <w:sz w:val="24"/>
          <w:szCs w:val="24"/>
        </w:rPr>
      </w:pPr>
    </w:p>
    <w:p w14:paraId="7E96FB06" w14:textId="77777777" w:rsidR="00781B0D" w:rsidRDefault="00781B0D" w:rsidP="00E77780">
      <w:pPr>
        <w:jc w:val="right"/>
        <w:rPr>
          <w:rFonts w:asciiTheme="majorBidi" w:hAnsiTheme="majorBidi" w:cstheme="majorBidi"/>
          <w:color w:val="000000" w:themeColor="text1"/>
          <w:sz w:val="24"/>
          <w:szCs w:val="24"/>
        </w:rPr>
      </w:pPr>
    </w:p>
    <w:p w14:paraId="2CDDC2CE" w14:textId="77777777" w:rsidR="00BC6811" w:rsidRDefault="00BC6811" w:rsidP="00E77780">
      <w:pPr>
        <w:jc w:val="right"/>
        <w:rPr>
          <w:rFonts w:asciiTheme="majorBidi" w:hAnsiTheme="majorBidi" w:cstheme="majorBidi"/>
          <w:color w:val="000000" w:themeColor="text1"/>
          <w:sz w:val="24"/>
          <w:szCs w:val="24"/>
        </w:rPr>
      </w:pPr>
    </w:p>
    <w:p w14:paraId="01290726" w14:textId="77777777" w:rsidR="00781B0D" w:rsidRPr="00BC5F38" w:rsidRDefault="00781B0D" w:rsidP="00E77780">
      <w:pPr>
        <w:jc w:val="right"/>
        <w:rPr>
          <w:rFonts w:asciiTheme="majorBidi" w:hAnsiTheme="majorBidi" w:cstheme="majorBidi"/>
          <w:color w:val="000000" w:themeColor="text1"/>
          <w:sz w:val="24"/>
          <w:szCs w:val="24"/>
        </w:rPr>
      </w:pPr>
    </w:p>
    <w:p w14:paraId="1E03FAEC" w14:textId="77777777" w:rsidR="00E77780" w:rsidRPr="00D41CB7" w:rsidRDefault="00E15647" w:rsidP="00E15647">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lastRenderedPageBreak/>
        <w:t>المطلب الأول</w:t>
      </w:r>
    </w:p>
    <w:p w14:paraId="19BDF978" w14:textId="77777777" w:rsidR="00E15647" w:rsidRPr="00D41CB7" w:rsidRDefault="00E15647" w:rsidP="00E15647">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نظام المحاماة واللائحة التنفيذية بوصفهما الإطار القانوني الأساس لممارسة المهنة</w:t>
      </w:r>
    </w:p>
    <w:p w14:paraId="28182562" w14:textId="77777777" w:rsidR="00E15647" w:rsidRPr="00BC5F38" w:rsidRDefault="00E15647" w:rsidP="00E15647">
      <w:pPr>
        <w:jc w:val="right"/>
        <w:rPr>
          <w:rFonts w:asciiTheme="majorBidi" w:hAnsiTheme="majorBidi" w:cstheme="majorBidi"/>
          <w:b/>
          <w:bCs/>
          <w:color w:val="000000" w:themeColor="text1"/>
          <w:sz w:val="24"/>
          <w:szCs w:val="24"/>
          <w:rtl/>
        </w:rPr>
      </w:pPr>
    </w:p>
    <w:p w14:paraId="415EE5F3" w14:textId="77777777" w:rsidR="00E77780" w:rsidRPr="00BC5F38" w:rsidRDefault="00E15647"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أولًا: الخلفية التشريعية لنظام المحاماة</w:t>
      </w:r>
      <w:r>
        <w:rPr>
          <w:rFonts w:asciiTheme="majorBidi" w:hAnsiTheme="majorBidi" w:cstheme="majorBidi" w:hint="cs"/>
          <w:b/>
          <w:bCs/>
          <w:color w:val="000000" w:themeColor="text1"/>
          <w:sz w:val="24"/>
          <w:szCs w:val="24"/>
          <w:rtl/>
        </w:rPr>
        <w:t xml:space="preserve"> وربطها مع نصوص المواد :</w:t>
      </w:r>
    </w:p>
    <w:p w14:paraId="70A86617" w14:textId="77777777" w:rsidR="00535C4D" w:rsidRPr="00535C4D" w:rsidRDefault="00535C4D"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السياق التاريخي والغاية النظامية من التشريع</w:t>
      </w:r>
      <w:r>
        <w:rPr>
          <w:rFonts w:asciiTheme="majorBidi" w:hAnsiTheme="majorBidi" w:cstheme="majorBidi"/>
          <w:b/>
          <w:bCs/>
          <w:color w:val="000000" w:themeColor="text1"/>
          <w:sz w:val="24"/>
          <w:szCs w:val="24"/>
        </w:rPr>
        <w:t xml:space="preserve">- </w:t>
      </w:r>
    </w:p>
    <w:p w14:paraId="07617B8B"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صدر نظام المحاماة بالمرسوم الملكي رقم م 38 بتاريخ 28 / 7 / 1422 هـ في سياق تشريعي هدف إلى بناء منظومة قانونية متكاملة تعزز مبدأ العدالة وتنظم المهن القانونية المساندة للقضاء</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قبل صدوره، كانت المهنة تمارس بصورة فردية وعرفية، دون اشتراط مؤهلات أو معايير موحدة، مما أدى إلى تفاوت في الممارسة القانونية</w:t>
      </w:r>
      <w:r>
        <w:rPr>
          <w:rFonts w:asciiTheme="majorBidi" w:hAnsiTheme="majorBidi" w:cstheme="majorBidi"/>
          <w:color w:val="000000" w:themeColor="text1"/>
          <w:sz w:val="24"/>
          <w:szCs w:val="24"/>
        </w:rPr>
        <w:t>.</w:t>
      </w:r>
    </w:p>
    <w:p w14:paraId="41CD2849"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عالج بعض الباحثين في دراساتهم حول الضوابط القانونية للذكاء الاصطناعي في إبرام المعاملات القانونية الإطارَ النظامي المنظِّم لتوظيف أنظمة الذكاء الاصطناعي في السياق القانوني السعودي، مشيرًا إلى أن القواعد الناظمة لمهنة المحاماة تُشكّل المرجعية الأساسية التي ينبغي استكمالها بنصوص خاصة تعالج حوكمة هذه التقنيات.</w:t>
      </w:r>
      <w:r>
        <w:rPr>
          <w:rStyle w:val="af"/>
          <w:rFonts w:asciiTheme="majorBidi" w:hAnsiTheme="majorBidi" w:cstheme="majorBidi"/>
          <w:sz w:val="24"/>
          <w:szCs w:val="24"/>
          <w:rtl/>
        </w:rPr>
        <w:footnoteReference w:id="7"/>
      </w:r>
    </w:p>
    <w:p w14:paraId="768F5979"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وتضمنت المادة الأولى من النظام أن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tl/>
        </w:rPr>
        <w:t xml:space="preserve"> مهنة المحاماة تشارك السلطة القضائية في تحقيق العدالة وتمارس وفق أحكام الشريعة الإسلامية والأنظمة المرعية</w:t>
      </w:r>
      <w:r>
        <w:rPr>
          <w:rFonts w:asciiTheme="majorBidi" w:hAnsiTheme="majorBidi" w:cstheme="majorBidi" w:hint="cs"/>
          <w:color w:val="000000" w:themeColor="text1"/>
          <w:sz w:val="24"/>
          <w:szCs w:val="24"/>
          <w:rtl/>
        </w:rPr>
        <w:t>)</w:t>
      </w:r>
      <w:r>
        <w:rPr>
          <w:rStyle w:val="af"/>
          <w:rFonts w:asciiTheme="majorBidi" w:hAnsiTheme="majorBidi" w:cstheme="majorBidi"/>
          <w:color w:val="000000" w:themeColor="text1"/>
          <w:sz w:val="24"/>
          <w:szCs w:val="24"/>
          <w:rtl/>
        </w:rPr>
        <w:footnoteReference w:id="8"/>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hint="cs"/>
          <w:color w:val="000000" w:themeColor="text1"/>
          <w:sz w:val="24"/>
          <w:szCs w:val="24"/>
          <w:rtl/>
        </w:rPr>
        <w:t>و</w:t>
      </w:r>
      <w:r>
        <w:rPr>
          <w:rFonts w:asciiTheme="majorBidi" w:hAnsiTheme="majorBidi" w:cstheme="majorBidi"/>
          <w:color w:val="000000" w:themeColor="text1"/>
          <w:sz w:val="24"/>
          <w:szCs w:val="24"/>
          <w:rtl/>
        </w:rPr>
        <w:t>هذا النص يعكس فلسفة تشريعية تعتبر المحامي شريكًا في تحقيق العدالة، لا مجرد وكيل عن الأطراف، وهو ما يجعل المهنة جزءًا من منظومة العدالة ذاتها</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أشار بعض الباحثين في مجال القواعد المنظمة لاستخدامات الذكاء الاصطناعي إلى أن المشرع السعودي أراد بصدور النظام توسيع نطاق العدالة المؤسسية وربط المحاماة بالسلطة القضائية كأحد أركانها</w:t>
      </w:r>
      <w:r>
        <w:rPr>
          <w:rStyle w:val="af"/>
          <w:rFonts w:asciiTheme="majorBidi" w:hAnsiTheme="majorBidi" w:cstheme="majorBidi"/>
          <w:color w:val="000000" w:themeColor="text1"/>
          <w:sz w:val="24"/>
          <w:szCs w:val="24"/>
          <w:rtl/>
        </w:rPr>
        <w:footnoteReference w:id="9"/>
      </w:r>
      <w:r>
        <w:rPr>
          <w:rFonts w:asciiTheme="majorBidi" w:hAnsiTheme="majorBidi" w:cstheme="majorBidi"/>
          <w:color w:val="000000" w:themeColor="text1"/>
          <w:sz w:val="24"/>
          <w:szCs w:val="24"/>
        </w:rPr>
        <w:t>.</w:t>
      </w:r>
    </w:p>
    <w:p w14:paraId="746878CE" w14:textId="77777777" w:rsidR="00535C4D" w:rsidRPr="00D41CB7" w:rsidRDefault="00535C4D"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يتضح أن المشرع حين وضع هذا النص لم يكن يتصور البيئة الرقمية الحديثة التي أصبحت العدالة فيها تُمارس من خلال أنظمة ذكية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فالأنظمة المرعية وقتها كانت تقليدية تعتمد على الورق والمرافعة المباشرة، في حين يشهد الواقع اليوم توسعًا في الاعتماد على التقنيات والذكاء الاصطناعي ضمن منظومة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ولذلك أصبح من الضروري إعادة تفسير المادة الأولى بما يواكب التحول العدلي الرقمي الذي تجسد في إنشاء المحكمة الإلكترونية ومنصة ناجز، وهو التحول الذي وثقته وزارة العدل في تقرير العدالة الناجزة عام </w:t>
      </w:r>
      <w:r>
        <w:rPr>
          <w:rStyle w:val="af"/>
          <w:rFonts w:asciiTheme="majorBidi" w:hAnsiTheme="majorBidi" w:cstheme="majorBidi"/>
          <w:color w:val="000000" w:themeColor="text1"/>
          <w:sz w:val="24"/>
          <w:szCs w:val="24"/>
          <w:rtl/>
        </w:rPr>
        <w:footnoteReference w:id="10"/>
      </w:r>
      <w:r>
        <w:rPr>
          <w:rFonts w:asciiTheme="majorBidi" w:hAnsiTheme="majorBidi" w:cstheme="majorBidi"/>
          <w:color w:val="000000" w:themeColor="text1"/>
          <w:sz w:val="24"/>
          <w:szCs w:val="24"/>
          <w:rtl/>
        </w:rPr>
        <w:t>2022</w:t>
      </w:r>
      <w:r>
        <w:rPr>
          <w:rFonts w:asciiTheme="majorBidi" w:hAnsiTheme="majorBidi" w:cstheme="majorBidi"/>
          <w:color w:val="000000" w:themeColor="text1"/>
          <w:sz w:val="24"/>
          <w:szCs w:val="24"/>
        </w:rPr>
        <w:t>.</w:t>
      </w:r>
    </w:p>
    <w:p w14:paraId="66EF6ECB"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المادة الثانية وتحديات تعريف الممارسة القانونية</w:t>
      </w:r>
      <w:r>
        <w:rPr>
          <w:rFonts w:asciiTheme="majorBidi" w:hAnsiTheme="majorBidi" w:cstheme="majorBidi" w:hint="cs"/>
          <w:b/>
          <w:bCs/>
          <w:color w:val="000000" w:themeColor="text1"/>
          <w:sz w:val="24"/>
          <w:szCs w:val="24"/>
          <w:rtl/>
        </w:rPr>
        <w:t>:</w:t>
      </w:r>
    </w:p>
    <w:p w14:paraId="0A7A5A9C"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تنص المادة الثانية من النظام على أن المحامي هو كل شخص مقيّد في جدول المحامين الممارسين يزاول المهنة بعد الحصول على ترخيص</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النص يؤكد الطابع الشخصي للممارسة القانونية ويقصرها على الأشخاص الطبيعيين المرخص لهم فقط</w:t>
      </w:r>
      <w:r>
        <w:rPr>
          <w:rFonts w:asciiTheme="majorBidi" w:hAnsiTheme="majorBidi" w:cstheme="majorBidi"/>
          <w:color w:val="000000" w:themeColor="text1"/>
          <w:sz w:val="24"/>
          <w:szCs w:val="24"/>
        </w:rPr>
        <w:t>.</w:t>
      </w:r>
    </w:p>
    <w:p w14:paraId="12F2C5A0"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في ضوء التطورات الحديثة، أصبحت بعض الأعمال القانونية تؤدى عبر أنظمة ذكاء اصطناعي قادرة على تحليل الوقائع وإعداد المذكرات وصياغة العقود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lastRenderedPageBreak/>
        <w:t>ويثير هذا تساؤلًا جوهريًا: هل يعد استخدام هذه الأنظمة مشاركة من جهة غير مرخصة في 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وهل يبقى المحامي مسؤولًا عن عمل هذه الأدوات رغم أنه لم يباشرها بيده؟</w:t>
      </w:r>
    </w:p>
    <w:p w14:paraId="06945263" w14:textId="77777777" w:rsidR="0026477A" w:rsidRPr="00BC5F38" w:rsidRDefault="0026477A" w:rsidP="0026477A">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يرى بعض الباحثين</w:t>
      </w:r>
      <w:r>
        <w:rPr>
          <w:rStyle w:val="af"/>
          <w:rFonts w:asciiTheme="majorBidi" w:hAnsiTheme="majorBidi" w:cstheme="majorBidi"/>
          <w:color w:val="000000" w:themeColor="text1"/>
          <w:sz w:val="24"/>
          <w:szCs w:val="24"/>
          <w:rtl/>
        </w:rPr>
        <w:footnoteReference w:id="11"/>
      </w:r>
      <w:r>
        <w:rPr>
          <w:rFonts w:asciiTheme="majorBidi" w:hAnsiTheme="majorBidi" w:cstheme="majorBidi"/>
          <w:color w:val="000000" w:themeColor="text1"/>
          <w:sz w:val="24"/>
          <w:szCs w:val="24"/>
          <w:rtl/>
        </w:rPr>
        <w:t xml:space="preserve"> في دراسته حول تأثير الذكاء الاصطناعي على المهن القانونية أن النصوص التي تحصر الممارسة في الأشخاص تواجه تحديًا حقيقيًا في عصر التحول التقني، وأن الحل يكمن في إدماج التقنية بوصفها وسيلة تنفيذ لا شخصًا مستقلًا في المهنة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المادة الثانية تحتاج إلى تفسير حديث أو تعديل تشريعي يفرّق بين ممارسة المهنة بواسطة الإنسان وممارستها بمساعدة أدوات تقنية مرخصة</w:t>
      </w:r>
      <w:r>
        <w:rPr>
          <w:rFonts w:asciiTheme="majorBidi" w:hAnsiTheme="majorBidi" w:cstheme="majorBidi" w:hint="cs"/>
          <w:color w:val="000000" w:themeColor="text1"/>
          <w:sz w:val="24"/>
          <w:szCs w:val="24"/>
          <w:rtl/>
        </w:rPr>
        <w:t>.</w:t>
      </w:r>
    </w:p>
    <w:p w14:paraId="0329497B"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نطاق المهنة في المادة الثالثة وظهور الذكاء الاصطناعي كمنافس تنظيمي</w:t>
      </w:r>
      <w:r>
        <w:rPr>
          <w:rFonts w:asciiTheme="majorBidi" w:hAnsiTheme="majorBidi" w:cstheme="majorBidi" w:hint="cs"/>
          <w:b/>
          <w:bCs/>
          <w:color w:val="000000" w:themeColor="text1"/>
          <w:sz w:val="24"/>
          <w:szCs w:val="24"/>
          <w:rtl/>
        </w:rPr>
        <w:t>:</w:t>
      </w:r>
      <w:r>
        <w:rPr>
          <w:rFonts w:asciiTheme="majorBidi" w:hAnsiTheme="majorBidi" w:cstheme="majorBidi"/>
          <w:b/>
          <w:bCs/>
          <w:color w:val="000000" w:themeColor="text1"/>
          <w:sz w:val="24"/>
          <w:szCs w:val="24"/>
        </w:rPr>
        <w:t>-</w:t>
      </w:r>
    </w:p>
    <w:p w14:paraId="61F498EC"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حددت المادة الثالثة من النظام نطاق المهنة بأنه يشمل الترافع عن الخصوم، وإبداء الرأي والمشورة الشرعية والنظامية، وصياغة العقود، واتخاذ الإجراءات التي يقتضيها ذلك</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المجالات هي نفسها التي بدأت أنظمة الذكاء الاصطناعي في ممارستها مؤخرًا من خلال برامج البحث والتحليل وصياغة العقود القانونية إلكترونيًا</w:t>
      </w:r>
      <w:r>
        <w:rPr>
          <w:rFonts w:asciiTheme="majorBidi" w:hAnsiTheme="majorBidi" w:cstheme="majorBidi"/>
          <w:color w:val="000000" w:themeColor="text1"/>
          <w:sz w:val="24"/>
          <w:szCs w:val="24"/>
        </w:rPr>
        <w:t>.</w:t>
      </w:r>
    </w:p>
    <w:p w14:paraId="7F9B7A23" w14:textId="77777777" w:rsidR="0026477A" w:rsidRPr="00BC5F38" w:rsidRDefault="0026477A"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أظهرت دراسات فاطمة بلال</w:t>
      </w:r>
      <w:r>
        <w:rPr>
          <w:rStyle w:val="af"/>
          <w:rFonts w:asciiTheme="majorBidi" w:hAnsiTheme="majorBidi" w:cstheme="majorBidi"/>
          <w:color w:val="000000" w:themeColor="text1"/>
          <w:sz w:val="24"/>
          <w:szCs w:val="24"/>
          <w:rtl/>
        </w:rPr>
        <w:footnoteReference w:id="12"/>
      </w:r>
      <w:r>
        <w:rPr>
          <w:rFonts w:asciiTheme="majorBidi" w:hAnsiTheme="majorBidi" w:cstheme="majorBidi"/>
          <w:color w:val="000000" w:themeColor="text1"/>
          <w:sz w:val="24"/>
          <w:szCs w:val="24"/>
          <w:rtl/>
        </w:rPr>
        <w:t xml:space="preserve"> حول العدالة الرقمية أن بعض هذه الأدوات أصبحت تقدم خدمات قانونية شبيهة بما يقدمه المحامي، ما يجعلها منافسًا تنظيميًا غير منظم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لم يشر إلى دور التقنية ولم يضع إطارًا لاستخدامها داخل مكاتب المحاماة، مما أوجد فراغًا تشريعيًا ينبغي معالجته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المادة الثالثة تمثل نقطة التقاء بين النصوص التقليدية والواقع الرقمي الذي يستدعي تنظيما جديدًا لحدود المهنة في ظل التحول التقني</w:t>
      </w:r>
      <w:r>
        <w:rPr>
          <w:rFonts w:asciiTheme="majorBidi" w:hAnsiTheme="majorBidi" w:cstheme="majorBidi" w:hint="cs"/>
          <w:color w:val="000000" w:themeColor="text1"/>
          <w:sz w:val="24"/>
          <w:szCs w:val="24"/>
          <w:rtl/>
        </w:rPr>
        <w:t>.</w:t>
      </w:r>
    </w:p>
    <w:p w14:paraId="0AA990D9" w14:textId="77777777" w:rsidR="0026477A" w:rsidRPr="0026477A" w:rsidRDefault="0026477A" w:rsidP="00BC6811">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 المادة الثالثة عشرة ومسؤولية المحامي عن الأفعال التقنية:</w:t>
      </w:r>
      <w:r>
        <w:rPr>
          <w:rFonts w:asciiTheme="majorBidi" w:hAnsiTheme="majorBidi" w:cstheme="majorBidi"/>
          <w:b/>
          <w:bCs/>
          <w:color w:val="000000" w:themeColor="text1"/>
          <w:sz w:val="24"/>
          <w:szCs w:val="24"/>
        </w:rPr>
        <w:t>-</w:t>
      </w:r>
    </w:p>
    <w:p w14:paraId="26267953"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المتعلق بمواد المحاماة، أشار العطار والنوايسة إلى أن النصوص التأديبية في نظام المحاماة لم تتضمن حتى الآن جزاءات صريحة على الإخلال بمعايير الكفاءة الرقمية، وهو ما يجعل تطبيق المادة الثالثة عشرة في مواجهة محامٍ استخدم أداة ذكاء اصطناعي دون فحص كافٍ رهيناً بالتفسير التوسعي الذي قد لا يكون متاحاً في الأنظمة التي تعتمد مبدأ لا عقوبة بلا نص صريح.</w:t>
      </w:r>
      <w:r>
        <w:rPr>
          <w:rtl/>
        </w:rPr>
        <w:footnoteReference w:id="13"/>
      </w:r>
    </w:p>
    <w:p w14:paraId="2D092A3D"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وفيما يخص المادة الثالثة عشرة من نظام المحاماة وواجبات المحامي تجاه موكله، أوضح بعض الباحثين أن تفسير هذه المادة في ضوء الذكاء الاصطناعي يستلزم إعادة قراءة مفهوم العناية اللازمة بما يشمل الكفاءة التقنية الرقمية؛ إذ لا يُعدّ المحامي قائماً بواجبه كاملاً حين يُقدّم لموكله مشورة مبنية على مخرج آلي لم يتحقق من صحته أو لم يُفصح عن مصدره.</w:t>
      </w:r>
      <w:r>
        <w:rPr>
          <w:rtl/>
        </w:rPr>
        <w:footnoteReference w:id="14"/>
      </w:r>
    </w:p>
    <w:p w14:paraId="53A62BC5"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بتطبيق نصوص المادة الثالثة عشرة من نظام المحاماة السعودي في سياق الذكاء الاصطناعي، يرى بعض الباحثين أن هذه المادة التي تُحدّد واجبات المحامي تجاه موكله لم تُصَغ لتستوعب فرضية اعتماد المحامي </w:t>
      </w:r>
      <w:r>
        <w:rPr>
          <w:rFonts w:asciiTheme="majorBidi" w:hAnsiTheme="majorBidi" w:cstheme="majorBidi"/>
          <w:sz w:val="24"/>
          <w:szCs w:val="24"/>
          <w:rtl/>
        </w:rPr>
        <w:lastRenderedPageBreak/>
        <w:t>على نظام ذكاء اصطناعي في إعداد دفاعه، وأن توسيع نطاق تطبيقها يستلزم تفسيراً قضائياً موسّعاً أو تعديلاً تشريعياً صريحاً.</w:t>
      </w:r>
      <w:r>
        <w:rPr>
          <w:rtl/>
        </w:rPr>
        <w:footnoteReference w:id="15"/>
      </w:r>
    </w:p>
    <w:p w14:paraId="28E9F497" w14:textId="77777777" w:rsidR="0026477A" w:rsidRPr="0026477A" w:rsidRDefault="0026477A"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تنص المادة الثالثة عشرة على أن المحامي مسؤول عن أعماله ومسؤول عن تصرفات من يباشر العمل تحت إشرافه في مكتبه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ويُفهم من هذا النص أنه يمكن تحميل المحامي مسؤولية الأفعال التي تصدر عن أي وسيلة أو أداة تعمل تحت إشرافه، بما في ذلك أنظمة الذكاء الاصطناعي التي يعتمد عليها في إنجاز أعماله</w:t>
      </w:r>
      <w:r>
        <w:rPr>
          <w:rFonts w:asciiTheme="majorBidi" w:hAnsiTheme="majorBidi" w:cstheme="majorBidi"/>
          <w:color w:val="000000" w:themeColor="text1"/>
          <w:sz w:val="24"/>
          <w:szCs w:val="24"/>
        </w:rPr>
        <w:t>.</w:t>
      </w:r>
    </w:p>
    <w:p w14:paraId="32591E65" w14:textId="77777777" w:rsidR="00A40287" w:rsidRPr="00BC5F38" w:rsidRDefault="0026477A" w:rsidP="002A34EF">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وقد بيّن بعض الباحثين</w:t>
      </w:r>
      <w:r>
        <w:rPr>
          <w:rStyle w:val="af"/>
          <w:rFonts w:asciiTheme="majorBidi" w:hAnsiTheme="majorBidi" w:cstheme="majorBidi"/>
          <w:color w:val="000000" w:themeColor="text1"/>
          <w:sz w:val="24"/>
          <w:szCs w:val="24"/>
          <w:rtl/>
        </w:rPr>
        <w:footnoteReference w:id="16"/>
      </w:r>
      <w:r>
        <w:rPr>
          <w:rFonts w:asciiTheme="majorBidi" w:hAnsiTheme="majorBidi" w:cstheme="majorBidi"/>
          <w:color w:val="000000" w:themeColor="text1"/>
          <w:sz w:val="24"/>
          <w:szCs w:val="24"/>
          <w:rtl/>
        </w:rPr>
        <w:t xml:space="preserve"> في بحثه حول المسؤولية المدنية عن فعل الذكاء الاصطناعي في النظام السعودي أن مبدأ الإشراف يشمل كل الوسائل التي يستخدمها المهني في أداء عمله، وأنه يظل مسؤولًا عن نتائجها القانونية ما لم يثبت أنه بذل العناية اللازمة للتحقق من صحتها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وبذلك يمكن القول إن المادة الثالثة عشرة تشكّل الأساس الذي يمكن أن تُبنى عليه قواعد المسؤولية المهنية الرقمية للمحامي في المستقبل</w:t>
      </w:r>
      <w:r>
        <w:rPr>
          <w:rFonts w:asciiTheme="majorBidi" w:hAnsiTheme="majorBidi" w:cstheme="majorBidi" w:hint="cs"/>
          <w:color w:val="000000" w:themeColor="text1"/>
          <w:sz w:val="24"/>
          <w:szCs w:val="24"/>
          <w:rtl/>
        </w:rPr>
        <w:t>.</w:t>
      </w:r>
    </w:p>
    <w:p w14:paraId="1FEFE4DB"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المسؤولية المهنية الرقمية بوجه خاص، كشف العطار والنوايسة عن فراغ جزائي جوهري يتمثل في انعدام النص الذي يُجرّم إهمال التحقق من سلامة النظام الذكي قبل اعتماد مخرجاته في الدفع القانوني أو التوصية القانونية، مُقترِحَين تجريم الإهمال الجسيم في هذا الشأن بوصفه صورة من صور الإهمال المهني المُعاقَب عليه.</w:t>
      </w:r>
      <w:r>
        <w:rPr>
          <w:rtl/>
        </w:rPr>
        <w:footnoteReference w:id="17"/>
      </w:r>
    </w:p>
    <w:p w14:paraId="512B6911"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وبصدد المسؤولية المهنية الرقمية، جاء في بعض الدراسات أن المحامي الذي يستخدم نظام ذكاء اصطناعي في تقديم استشارة قانونية يتحمل مسؤولية جزائية كاملة إذا ثبت أن النظام أنتج توصية مضللة أفضت إلى ضرر قانوني، شريطة أن يكون المحامي قد علم بالطابع الاحتمالي لمخرجات النظام ولم يتخذ التحقق اللازم قبل إفصاحها للعميل.</w:t>
      </w:r>
      <w:r>
        <w:rPr>
          <w:rtl/>
        </w:rPr>
        <w:footnoteReference w:id="18"/>
      </w:r>
    </w:p>
    <w:p w14:paraId="096AA445" w14:textId="77777777" w:rsidR="0026477A" w:rsidRPr="00BC5F38" w:rsidRDefault="0026477A" w:rsidP="0026477A">
      <w:pPr>
        <w:jc w:val="right"/>
        <w:rPr>
          <w:rFonts w:asciiTheme="majorBidi" w:hAnsiTheme="majorBidi" w:cstheme="majorBidi"/>
          <w:color w:val="000000" w:themeColor="text1"/>
          <w:sz w:val="24"/>
          <w:szCs w:val="24"/>
        </w:rPr>
      </w:pPr>
    </w:p>
    <w:p w14:paraId="5B2C9E8A"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المادة الحادية والثلاثون ونطاق التأديب التقني</w:t>
      </w:r>
      <w:r>
        <w:rPr>
          <w:rFonts w:asciiTheme="majorBidi" w:hAnsiTheme="majorBidi" w:cstheme="majorBidi" w:hint="cs"/>
          <w:b/>
          <w:bCs/>
          <w:color w:val="000000" w:themeColor="text1"/>
          <w:sz w:val="24"/>
          <w:szCs w:val="24"/>
          <w:rtl/>
        </w:rPr>
        <w:t xml:space="preserve"> :</w:t>
      </w:r>
    </w:p>
    <w:p w14:paraId="59CB0C2B"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الحادية والثلاثون على أن العقوبات التأديبية تشمل الإنذار واللوم والمنع من مزاولة المهنة مؤقتًا أو شطب الاسم من الجدول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ورغم أن المادة لم تتضمن نصوصًا تتعلق بالأخطاء التقنية، إلا أن مفهوم الإخلال بواجبات المهنة يمكن أن يُفسر على نحو يشمل استخدام الأدوات الذكية بطريقة غير مشروعة أو إهمال أمن البيانات القانونية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5D9EA702" w14:textId="77777777" w:rsidR="00A40287" w:rsidRPr="00BC5F38"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19"/>
      </w:r>
      <w:r>
        <w:rPr>
          <w:rFonts w:asciiTheme="majorBidi" w:hAnsiTheme="majorBidi" w:cstheme="majorBidi"/>
          <w:color w:val="000000" w:themeColor="text1"/>
          <w:sz w:val="24"/>
          <w:szCs w:val="24"/>
          <w:rtl/>
        </w:rPr>
        <w:t xml:space="preserve"> أن المشرع السعودي ترك للمجالس التأديبية والجهات الرقابية سلطة تقديرية واسعة لتكييف صور الإخلال المهني بما يتناسب مع التطورات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يمكن تطبيق هذه المادة على الأخطاء الناشئة عن سوء استخدام التقنيات أو الذكاء الاصطناعي في مكاتب المحاماة</w:t>
      </w:r>
      <w:r>
        <w:rPr>
          <w:rFonts w:asciiTheme="majorBidi" w:hAnsiTheme="majorBidi" w:cstheme="majorBidi" w:hint="cs"/>
          <w:color w:val="000000" w:themeColor="text1"/>
          <w:sz w:val="24"/>
          <w:szCs w:val="24"/>
          <w:rtl/>
        </w:rPr>
        <w:t>.</w:t>
      </w:r>
    </w:p>
    <w:p w14:paraId="2A79EC51"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lastRenderedPageBreak/>
        <w:t xml:space="preserve">: </w:t>
      </w:r>
      <w:r>
        <w:rPr>
          <w:rFonts w:asciiTheme="majorBidi" w:hAnsiTheme="majorBidi" w:cstheme="majorBidi"/>
          <w:b/>
          <w:bCs/>
          <w:color w:val="000000" w:themeColor="text1"/>
          <w:sz w:val="24"/>
          <w:szCs w:val="24"/>
          <w:rtl/>
        </w:rPr>
        <w:t>- التحول العدلي الرقمي وتأثيره على صلاحية النظام</w:t>
      </w:r>
    </w:p>
    <w:p w14:paraId="226BAB2E"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منذ عام 2018 بدأت وزارة العدل تنفيذ برنامج العدالة الرقمية الذي أوجد المحكمة الإلكترونية ومنصة ناجز وخدمات التقاضي عن بعد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غير أن نظام المحاماة ظل دون تعديل جوهري يواكب هذا التحول، فلم يتضمن نصوصًا تنظم التمثيل الرقمي أو العمل القانوني عبر الوسائط الإلكترونية</w:t>
      </w:r>
      <w:r>
        <w:rPr>
          <w:rFonts w:asciiTheme="majorBidi" w:hAnsiTheme="majorBidi" w:cstheme="majorBidi"/>
          <w:color w:val="000000" w:themeColor="text1"/>
          <w:sz w:val="24"/>
          <w:szCs w:val="24"/>
        </w:rPr>
        <w:t>.</w:t>
      </w:r>
    </w:p>
    <w:p w14:paraId="1792CFB1" w14:textId="77777777" w:rsidR="00A40287" w:rsidRPr="00A40287"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تقارير وزارة العدل لعام 2022 إلى أن أكثر من تسعين في المئة من خدمات المحاكم أصبحت رقمية، بينما لا يزال نظام المحاماة يعمل وفق بنية تقليدية صُممت لعصر الورق</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الواقع العملي والنصوص التشريعية يعكس حاجة ملحة إلى تحديث النظام بحيث يشمل تنظيمًا صريحًا لتقنيات الذكاء الاصطناعي في الممارسة القانونية</w:t>
      </w:r>
      <w:r>
        <w:rPr>
          <w:rFonts w:asciiTheme="majorBidi" w:hAnsiTheme="majorBidi" w:cstheme="majorBidi" w:hint="cs"/>
          <w:color w:val="000000" w:themeColor="text1"/>
          <w:sz w:val="24"/>
          <w:szCs w:val="24"/>
          <w:rtl/>
        </w:rPr>
        <w:t>.</w:t>
      </w:r>
    </w:p>
    <w:p w14:paraId="763673D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ويُؤكد نظام المحاماة السعودي بنصه الصريح في المادة (11) أن على المحامي الذي يقبل توكيلًا في قضية "الانصراف لإتمامها والاستمرار في القيام بها حتى انقضائها بحكم نهائي أو انتهاء المهمة"، وهو الالتزام الذي يُمتد ليشمل صحة الأدوات والوسائل المُستخدمة في تنفيذه بما فيها الأدوات الرقمية.</w:t>
      </w:r>
      <w:r>
        <w:rPr>
          <w:rStyle w:val="af"/>
          <w:rFonts w:asciiTheme="majorBidi" w:hAnsiTheme="majorBidi" w:cstheme="majorBidi"/>
          <w:sz w:val="24"/>
          <w:szCs w:val="24"/>
          <w:rtl/>
        </w:rPr>
        <w:footnoteReference w:id="20"/>
      </w:r>
    </w:p>
    <w:p w14:paraId="220613CF"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الخلاصة التحليلية</w:t>
      </w:r>
      <w:r>
        <w:rPr>
          <w:rFonts w:asciiTheme="majorBidi" w:hAnsiTheme="majorBidi" w:cstheme="majorBidi" w:hint="cs"/>
          <w:b/>
          <w:bCs/>
          <w:color w:val="000000" w:themeColor="text1"/>
          <w:sz w:val="24"/>
          <w:szCs w:val="24"/>
          <w:rtl/>
        </w:rPr>
        <w:t xml:space="preserve"> :</w:t>
      </w:r>
    </w:p>
    <w:p w14:paraId="5E32C1D7"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السياق، أثبتت الدراسات المقارنة أن الفجوة بين الأطر التشريعية القائمة ومتطلبات تنظيم الذكاء الاصطناعي ظاهرة واسعة الانتشار؛ فقد خلص بعض الباحثين في بحوثهمما المنشور ضمن المجلة العربية للنشر العلمي إلى أن المنظومة التشريعية في المملكة العربية السعودية تمتلك مقومات تنظيمية واعدة، لكنها تفتقر إلى إطار موحّد يُحكم ضبط استخدامات الذكاء الاصطناعي ويُعيّن المسؤوليات المدنية والجنائية المترتبة عليها بصورة صريحة.</w:t>
      </w:r>
      <w:r>
        <w:rPr>
          <w:rStyle w:val="af"/>
          <w:rFonts w:asciiTheme="majorBidi" w:hAnsiTheme="majorBidi" w:cstheme="majorBidi"/>
          <w:sz w:val="24"/>
          <w:szCs w:val="24"/>
          <w:rtl/>
        </w:rPr>
        <w:footnoteReference w:id="21"/>
      </w:r>
    </w:p>
    <w:p w14:paraId="5C43468C"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خلال تحليل المواد النظامية الأساسية يتضح أن نظام المحاماة يمثل قاعدة صلبة لتنظيم المهنة من حيث الترخيص والمساءلة، لكنه لا يستوعب التطور التقني الحديث الذي غيّر شكل ممارسة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الحالي يعالج مسؤولية الإنسان، بينما أصبح الواقع يفرض مسؤوليات جديدة تتعلق بالأنظمة الذكية والأدوات التقنية المستخدمة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تحديث النظام ليشمل ضوابط استخدام الذكاء الاصطناعي أصبح ضرورة لضمان توافق الممارسة المهنية مع التحول العدلي الرقمي، وهو ما تمثل هذه الدراسة إطارًا علميًا لتحليله واقتراح تنظيمه</w:t>
      </w:r>
      <w:r>
        <w:rPr>
          <w:rFonts w:asciiTheme="majorBidi" w:hAnsiTheme="majorBidi" w:cstheme="majorBidi" w:hint="cs"/>
          <w:color w:val="000000" w:themeColor="text1"/>
          <w:sz w:val="24"/>
          <w:szCs w:val="24"/>
          <w:rtl/>
        </w:rPr>
        <w:t>.</w:t>
      </w:r>
    </w:p>
    <w:p w14:paraId="1BF642DA" w14:textId="77777777" w:rsidR="00A40287" w:rsidRPr="0026477A" w:rsidRDefault="00A40287" w:rsidP="0026477A">
      <w:pPr>
        <w:jc w:val="right"/>
        <w:rPr>
          <w:rFonts w:asciiTheme="majorBidi" w:hAnsiTheme="majorBidi" w:cstheme="majorBidi"/>
          <w:color w:val="000000" w:themeColor="text1"/>
          <w:sz w:val="24"/>
          <w:szCs w:val="24"/>
        </w:rPr>
      </w:pPr>
    </w:p>
    <w:p w14:paraId="516F5E71"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الطبيعة القانونية لمهنة المحاماة في النظام السعودي</w:t>
      </w:r>
      <w:r>
        <w:rPr>
          <w:rFonts w:asciiTheme="majorBidi" w:hAnsiTheme="majorBidi" w:cstheme="majorBidi" w:hint="cs"/>
          <w:b/>
          <w:bCs/>
          <w:color w:val="000000" w:themeColor="text1"/>
          <w:sz w:val="24"/>
          <w:szCs w:val="24"/>
          <w:rtl/>
        </w:rPr>
        <w:t>:</w:t>
      </w:r>
    </w:p>
    <w:p w14:paraId="3886E633"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وفي ضوء إطار حوكمة الذكاء الاصطناعي الذي أرسته الهيئة السعودية للبيانات والذكاء الاصطناعي (سدايا)، أصدرت الهيئة في سبتمبر 2024م وثيقة "إطار تبني الذكاء الاصطناعي" التي تُعدّ المرجع التشغيلي لإدماج الذكاء الاصطناعي في المنظمات السعودية؛ إذ تُحدد ستة ركائز رئيسية لتبني الذكاء الاصطناعي بصورة محوكمة ومسؤولة، تشمل: التأسيس، وتحديد التوجه، وتقييم النضج والجاهزية، وتفعيل التبني، وبناء الممكنات، والمتابعة </w:t>
      </w:r>
      <w:r>
        <w:rPr>
          <w:rFonts w:asciiTheme="majorBidi" w:hAnsiTheme="majorBidi" w:cstheme="majorBidi"/>
          <w:sz w:val="24"/>
          <w:szCs w:val="24"/>
          <w:rtl/>
        </w:rPr>
        <w:lastRenderedPageBreak/>
        <w:t>والتحسين المستمر. وتُلزم هذه الوثيقة المنظمات بما فيها مكاتب المحاماة بتأسيس وحدة مختصة بالذكاء الاصطناعي وبناء قدرات بشرية مؤهلة لإدارته.</w:t>
      </w:r>
      <w:r>
        <w:rPr>
          <w:rStyle w:val="af"/>
          <w:rFonts w:asciiTheme="majorBidi" w:hAnsiTheme="majorBidi" w:cstheme="majorBidi"/>
          <w:sz w:val="24"/>
          <w:szCs w:val="24"/>
          <w:rtl/>
        </w:rPr>
        <w:footnoteReference w:id="22"/>
      </w:r>
    </w:p>
    <w:p w14:paraId="2A3A0181"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تتسم مهنة المحاماة في النظام السعودي بطبيعة قانونية خاصة تجعلها مختلفة عن سائر المهن الحرة التقليدية. فهي من جهة مهنة يمارسها الأفراد لحسابهم الخاص، ويبرمون من خلالها عقود أتعاب مع موكليهم، ومن جهة أخرى تعد جزءًا من المنظومة العدلية التي تستهدف حماية الحقوق وتحقيق العدالة. هذه الازدواجية بين البعد المهني والبعد العدلي هي المدخل لفهم كيفية تعامل النظام السعودي مع أي أدوات جديدة تدخل في صميم ممارسة المهنة، وفي مقدمتها تقنيات الذكاء الاصطناعي</w:t>
      </w:r>
      <w:r>
        <w:rPr>
          <w:rFonts w:asciiTheme="majorBidi" w:hAnsiTheme="majorBidi" w:cstheme="majorBidi"/>
          <w:color w:val="000000" w:themeColor="text1"/>
          <w:sz w:val="24"/>
          <w:szCs w:val="24"/>
        </w:rPr>
        <w:t>.</w:t>
      </w:r>
    </w:p>
    <w:p w14:paraId="0E587693"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فمن الناحية الأولى، تمارس المحاماة بوصفها نشاطًا مهنيًا قائمًا على العقد بين المحامي وموكله. يتفق الطرفان على الأتعاب، وعلى نطاق التمثيل القانوني، وعلى طبيعة الخدمة المقدمة. هذا الجانب التعاقدي يفتح الباب طبيعيًا أمام تطويع الوسائل الحديثة لزيادة كفاءة العمل المهني، مثل استخدام الأنظمة الذكية في البحث القانوني وإدارة القضايا وتحليل العقود. وقد أشارت دراسات إسماعيل</w:t>
      </w:r>
      <w:r>
        <w:rPr>
          <w:rStyle w:val="af"/>
          <w:rFonts w:asciiTheme="majorBidi" w:hAnsiTheme="majorBidi" w:cstheme="majorBidi"/>
          <w:color w:val="000000" w:themeColor="text1"/>
          <w:sz w:val="24"/>
          <w:szCs w:val="24"/>
          <w:rtl/>
        </w:rPr>
        <w:footnoteReference w:id="23"/>
      </w:r>
      <w:r>
        <w:rPr>
          <w:rFonts w:asciiTheme="majorBidi" w:hAnsiTheme="majorBidi" w:cstheme="majorBidi"/>
          <w:color w:val="000000" w:themeColor="text1"/>
          <w:sz w:val="24"/>
          <w:szCs w:val="24"/>
          <w:rtl/>
        </w:rPr>
        <w:t xml:space="preserve"> عن تأثير الذكاء الاصطناعي على المهن القانونية إلى أن المحامين في البيئات الحديثة يتجهون إلى تبني هذه الأدوات بوصفها ميزة تنافسية تتيح لهم تقديم خدمات أسرع وأدق من غيرهم</w:t>
      </w:r>
      <w:r>
        <w:rPr>
          <w:rFonts w:asciiTheme="majorBidi" w:hAnsiTheme="majorBidi" w:cstheme="majorBidi"/>
          <w:color w:val="000000" w:themeColor="text1"/>
          <w:sz w:val="24"/>
          <w:szCs w:val="24"/>
        </w:rPr>
        <w:t>.</w:t>
      </w:r>
    </w:p>
    <w:p w14:paraId="72C9AE88"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من الناحية الثانية، لا ينظر النظام السعودي إلى المحاماة باعتبارها نشاطًا تجاريًا صرفًا، بل يجعلها مهنة ذات ارتباط وثيق بالصالح العام. فالمحامي يمثل يربط بين الأفراد والسلطة القضائية، ويؤدي دورًا في تمكين الوصول إلى العدالة، ويخضع في سلوكه المهني لرقابة تنظيمية وتأديبية. وقد بينت دراسات بعض الباحثين</w:t>
      </w:r>
      <w:r>
        <w:rPr>
          <w:rStyle w:val="af"/>
          <w:rFonts w:asciiTheme="majorBidi" w:hAnsiTheme="majorBidi" w:cstheme="majorBidi"/>
          <w:color w:val="000000" w:themeColor="text1"/>
          <w:sz w:val="24"/>
          <w:szCs w:val="24"/>
          <w:rtl/>
        </w:rPr>
        <w:footnoteReference w:id="24"/>
      </w:r>
      <w:r>
        <w:rPr>
          <w:rFonts w:asciiTheme="majorBidi" w:hAnsiTheme="majorBidi" w:cstheme="majorBidi"/>
          <w:color w:val="000000" w:themeColor="text1"/>
          <w:sz w:val="24"/>
          <w:szCs w:val="24"/>
          <w:rtl/>
        </w:rPr>
        <w:t xml:space="preserve"> أن المشرع السعودي يتعامل مع المحاماة بوصفها ركيزة من ركائز العدالة المؤسسية، لا مجرد خدمة قانونية خاصة. هذا البعد العدلي يجعل المهنة مقيدة بجملة من الالتزامات التي لا يمكن تجاوزها بدعوى التطور التقني أو الحرية المهنية</w:t>
      </w:r>
      <w:r>
        <w:rPr>
          <w:rFonts w:asciiTheme="majorBidi" w:hAnsiTheme="majorBidi" w:cstheme="majorBidi"/>
          <w:color w:val="000000" w:themeColor="text1"/>
          <w:sz w:val="24"/>
          <w:szCs w:val="24"/>
        </w:rPr>
        <w:t>.</w:t>
      </w:r>
    </w:p>
    <w:p w14:paraId="3E397C09"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وتنعكس هذه الطبيعة المزدوجة مباشرة على مسألة توظيف الذكاء الاصطناعي في مكاتب المحاماة. فالمحامي، بحكم صفته المهنية الحرة، قد يسعى إلى استخدام أنظمة ذكية لتوليد المذكرات أو صياغة العقود أو تحليل المخاطر القانونية، باعتبارها أدوات تعزز كفاءة الأداء وتقلل الكلفة والوقت. لكن بصفته جزءًا من المنظومة العدلية، يظل ملزمًا بأن تكون هذه الوسائل منسجمة مع مقتضيات العدالة، وأن لا تؤدي إلى الإخلال بحقوق الموكلين أو سرية بياناتهم أو ضمانات المحاكمة العادلة. وهنا يظهر التحدي التشريعي الحقيقي الذي تتناوله هذه الدراسة، وهو كيفية بناء إطار قانوني يسمح بالاستفادة من الذكاء الاصطناعي من دون أن يخل ذلك بجوهر المهنة وطبيعتها العدلية</w:t>
      </w:r>
      <w:r>
        <w:rPr>
          <w:rFonts w:asciiTheme="majorBidi" w:hAnsiTheme="majorBidi" w:cstheme="majorBidi"/>
          <w:color w:val="000000" w:themeColor="text1"/>
          <w:sz w:val="24"/>
          <w:szCs w:val="24"/>
        </w:rPr>
        <w:t>.</w:t>
      </w:r>
    </w:p>
    <w:p w14:paraId="3E583D03"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استقلال المحامي يمثل عنصرًا جوهريًا في هذه الطبيعة القانونية الخاصة. فالاستقلال لا يعني فقط عدم خضوع المحامي للضغوط من الخصوم أو الجهات الرسمية، بل يعني أيضًا قدرته على تكوين رأيه القانوني بناء على اجتهاده وخبرته وتحليله للنصوص والوقائع. ومع دخول الأنظمة الذكية إلى بيئة العمل القانوني، أصبح هذا الاستقلال مهددًا بنوع جديد من التأثير غير المباشر، يتمثل في اعتماد المحامي على مخرجات نظام تحليلي أو مولد للنصوص قد لا يكون شفافًا في طريقة عمله أو مصادر بياناته. وقد نبهت أبحاث فاطمة بلال</w:t>
      </w:r>
      <w:r>
        <w:rPr>
          <w:rStyle w:val="af"/>
          <w:rFonts w:asciiTheme="majorBidi" w:hAnsiTheme="majorBidi" w:cstheme="majorBidi"/>
          <w:color w:val="000000" w:themeColor="text1"/>
          <w:sz w:val="24"/>
          <w:szCs w:val="24"/>
          <w:rtl/>
        </w:rPr>
        <w:footnoteReference w:id="25"/>
      </w:r>
      <w:r>
        <w:rPr>
          <w:rFonts w:asciiTheme="majorBidi" w:hAnsiTheme="majorBidi" w:cstheme="majorBidi"/>
          <w:color w:val="000000" w:themeColor="text1"/>
          <w:sz w:val="24"/>
          <w:szCs w:val="24"/>
          <w:rtl/>
        </w:rPr>
        <w:t xml:space="preserve"> حول العدالة الرقمية إلى أن الإفراط في الاعتماد على الخوارزميات في اتخاذ القرارات القانونية قد يؤدي إلى إضعاف الدور الإنساني في تقدير الملابسات الفردية لكل قضية، وهو ما يتعارض مع فلسفة العدالة ذاتها</w:t>
      </w:r>
      <w:r>
        <w:rPr>
          <w:rFonts w:asciiTheme="majorBidi" w:hAnsiTheme="majorBidi" w:cstheme="majorBidi"/>
          <w:color w:val="000000" w:themeColor="text1"/>
          <w:sz w:val="24"/>
          <w:szCs w:val="24"/>
        </w:rPr>
        <w:t>.</w:t>
      </w:r>
    </w:p>
    <w:p w14:paraId="5A296A77"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الزاوية الفقهية، تشكل المحاماة امتدادًا مؤسسيًا لعقد الوكالة، حيث يقوم المحامي مقام موكله في مباشرة حقوقه والمطالبة بها. إلا أن النظام السعودي لم يكتف بهذا التكييف الفقهي التقليدي، بل نظم المهنة كإطار قانوني مستقل يشترط الترخيص والتأهيل العلمي والتسجيل في جداول رسمية. هذا التطور جعل المحاماة تخرج من </w:t>
      </w:r>
      <w:r>
        <w:rPr>
          <w:rFonts w:asciiTheme="majorBidi" w:hAnsiTheme="majorBidi" w:cstheme="majorBidi"/>
          <w:color w:val="000000" w:themeColor="text1"/>
          <w:sz w:val="24"/>
          <w:szCs w:val="24"/>
          <w:rtl/>
        </w:rPr>
        <w:lastRenderedPageBreak/>
        <w:t>نطاق الوكالة الخاصة إلى نطاق الوظيفة العامة ذات المسؤولية المجتمعية. وبناء على هذا التكييف، لا يمكن اعتبار الذكاء الاصطناعي وكيلاً أو ممثلًا قانونيًا، لأنه يفتقر إلى الأهلية والإرادة والتمييز، وإنما يظل مجرد أداة يستخدمها المحامي الذي يحمل وحده صفة التمثيل أمام الجهات القضائية والإدارية. وهذا ما يؤكده أيضًا تطور الأحكام المدنية الحديثة في المملكة في تنظيم العقود والوكالات في نظام المعاملات المدنية</w:t>
      </w:r>
      <w:r>
        <w:rPr>
          <w:rFonts w:asciiTheme="majorBidi" w:hAnsiTheme="majorBidi" w:cstheme="majorBidi"/>
          <w:color w:val="000000" w:themeColor="text1"/>
          <w:sz w:val="24"/>
          <w:szCs w:val="24"/>
        </w:rPr>
        <w:t>.</w:t>
      </w:r>
    </w:p>
    <w:p w14:paraId="01E630EC"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ويتصل بذلك البعد الأخلاقي للمهنة، الذي يعد جزءًا من طبيعتها القانونية. فالمحامي ملزم بالمحافظة على السرية المهنية، واحترام خصوصية موكليه، وعدم استغلال المعلومات التي يطلع عليها في غير مصلحتهم. ومع ظهور تقنيات الذكاء الاصطناعي التي تعتمد في عملها على معالجة البيانات وتخزينها وتحليلها، أصبح هذا الالتزام الأخلاقي مهددًا بمخاطر جديدة. فقد يؤدي إدخال بيانات الموكلين في أنظمة سحابية خارجية أو منصات ذكاء اصطناعي غير منضبطة إلى تعريض هذه البيانات للانكشاف أو الاستغلال. وقد شددت وثيقة مبادئ أخلاقيات الذكاء الاصطناعي الصادرة عن سدايا</w:t>
      </w:r>
      <w:r>
        <w:rPr>
          <w:rStyle w:val="af"/>
          <w:rFonts w:asciiTheme="majorBidi" w:hAnsiTheme="majorBidi" w:cstheme="majorBidi"/>
          <w:color w:val="000000" w:themeColor="text1"/>
          <w:sz w:val="24"/>
          <w:szCs w:val="24"/>
          <w:rtl/>
        </w:rPr>
        <w:footnoteReference w:id="26"/>
      </w:r>
      <w:r>
        <w:rPr>
          <w:rFonts w:asciiTheme="majorBidi" w:hAnsiTheme="majorBidi" w:cstheme="majorBidi"/>
          <w:color w:val="000000" w:themeColor="text1"/>
          <w:sz w:val="24"/>
          <w:szCs w:val="24"/>
          <w:rtl/>
        </w:rPr>
        <w:t xml:space="preserve"> على ضرورة حماية الخصوصية وضمان الشفافية والمساءلة عند استخدام هذه التقنيات في القطاعات المهنية، وهو ما ينسجم مع طبيعة مهنة المحاماة التي تقوم على الثقة والسرية</w:t>
      </w:r>
      <w:r>
        <w:rPr>
          <w:rFonts w:asciiTheme="majorBidi" w:hAnsiTheme="majorBidi" w:cstheme="majorBidi"/>
          <w:color w:val="000000" w:themeColor="text1"/>
          <w:sz w:val="24"/>
          <w:szCs w:val="24"/>
        </w:rPr>
        <w:t>.</w:t>
      </w:r>
    </w:p>
    <w:p w14:paraId="76EF9177"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الدولي المقارن لمبادئ أخلاقيات الذكاء الاصطناعي، كشف بعض الباحثين أن التجربة الإماراتية أثبتت أن تطبيق هذه المبادئ في السياق القضائي يحتاج إلى مترجِم مؤسسي يُحوّل المبادئ العامة إلى قواعد إجرائية قابلة للتطبيق؛ وقد اضطلعت وزارة العدل الإماراتية بهذا الدور عبر إصدار دليل اشتراطات الذكاء الاصطناعي القضائي.</w:t>
      </w:r>
      <w:r>
        <w:rPr>
          <w:rtl/>
        </w:rPr>
        <w:footnoteReference w:id="27"/>
      </w:r>
    </w:p>
    <w:p w14:paraId="5FAC8A3A"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وثيقة مبادئ أخلاقيات الذكاء الاصطناعي التي أصدرتها هيئة سدايا، ذهب بعض الباحثين إلى أن الوثيقة تُقرّ بمبادئ جوهرية كالشفافية والعدالة وحماية الخصوصية، إلا أن قيمتها التطبيقية في القطاع القانوني تظل محدودة ما لم تُفصَّل في لوائح تنفيذية مُلزِمة تُحدّد آليات الالتزام وعقوبات المخالفة وجهات الرقابة المختصة.</w:t>
      </w:r>
      <w:r>
        <w:rPr>
          <w:rtl/>
        </w:rPr>
        <w:footnoteReference w:id="28"/>
      </w:r>
    </w:p>
    <w:p w14:paraId="793FB78C"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ضوء وثيقة مبادئ أخلاقيات الذكاء الاصطناعي الصادرة عن هيئة البيانات والذكاء الاصطناعي (سدايا)، لاحظ بعض الباحثين أن هذه الوثيقة أرست مبادئ الشفافية والمساءلة وضمان الجودة إلا أنها أغفلت بيان آليات تطبيقها على سياق المهن القانونية تحديداً، وهو ما يستوجب وضع لوائح تنفيذية مُكمّلة تُعالج خصوصية المحاماة والقضاء والتوثيق.</w:t>
      </w:r>
      <w:r>
        <w:rPr>
          <w:rtl/>
        </w:rPr>
        <w:footnoteReference w:id="29"/>
      </w:r>
    </w:p>
    <w:p w14:paraId="1C7165F4" w14:textId="77777777" w:rsidR="00AA06F2" w:rsidRDefault="00AA06F2" w:rsidP="002A34EF">
      <w:pPr>
        <w:jc w:val="right"/>
        <w:rPr>
          <w:rFonts w:asciiTheme="majorBidi" w:hAnsiTheme="majorBidi" w:cstheme="majorBidi"/>
          <w:color w:val="000000" w:themeColor="text1"/>
          <w:sz w:val="24"/>
          <w:szCs w:val="24"/>
          <w:rtl/>
        </w:rPr>
      </w:pPr>
      <w:r>
        <w:rPr>
          <w:rFonts w:asciiTheme="majorBidi" w:hAnsiTheme="majorBidi" w:cstheme="majorBidi"/>
          <w:b/>
          <w:bCs/>
          <w:color w:val="000000" w:themeColor="text1"/>
          <w:sz w:val="24"/>
          <w:szCs w:val="24"/>
          <w:rtl/>
        </w:rPr>
        <w:t>ومن خلال هذا التحليل</w:t>
      </w:r>
      <w:r>
        <w:rPr>
          <w:rFonts w:asciiTheme="majorBidi" w:hAnsiTheme="majorBidi" w:cstheme="majorBidi"/>
          <w:color w:val="000000" w:themeColor="text1"/>
          <w:sz w:val="24"/>
          <w:szCs w:val="24"/>
          <w:rtl/>
        </w:rPr>
        <w:t>، يتضح أن الطبيعة القانونية لمهنة المحاماة في النظام السعودي لا تقتصر على تعريف شكلي للمهنة وحدود اختصاصها، بل تمتد لتشمل شبكة من القيم والمبادئ، مثل الاستقلال والمسؤولية والسرية والبعد العدلي العام. هذه العناصر مجتمعة تحدد الإطار الذي يجب أن يتحرك داخله أي تنظيم لتوظيف الذكاء الاصطناعي في مكاتب المحاماة. ومن ثم فإن أي إطار قانوني مقترح لتنظيم هذه التقنيات، كما تسعى هذه الرسالة إلى بنائه، لا بد أن يراعي هذه الطبيعة الخاصة، وأن يحافظ على مركزية المحامي الإنسان في اتخاذ القرار القانوني، مع السماح في الوقت نفسه باستثمار قدرات الذكاء الاصطناعي في تطوير جودة وكفاءة الخدمات القانونية</w:t>
      </w:r>
      <w:r>
        <w:rPr>
          <w:rFonts w:asciiTheme="majorBidi" w:hAnsiTheme="majorBidi" w:cstheme="majorBidi" w:hint="cs"/>
          <w:color w:val="000000" w:themeColor="text1"/>
          <w:sz w:val="24"/>
          <w:szCs w:val="24"/>
          <w:rtl/>
        </w:rPr>
        <w:t>.</w:t>
      </w:r>
    </w:p>
    <w:p w14:paraId="4561114A" w14:textId="77777777" w:rsidR="00D41CB7" w:rsidRPr="00AA06F2" w:rsidRDefault="00D41CB7" w:rsidP="002A34EF">
      <w:pPr>
        <w:jc w:val="right"/>
        <w:rPr>
          <w:rFonts w:asciiTheme="majorBidi" w:hAnsiTheme="majorBidi" w:cstheme="majorBidi"/>
          <w:color w:val="000000" w:themeColor="text1"/>
          <w:sz w:val="24"/>
          <w:szCs w:val="24"/>
        </w:rPr>
      </w:pPr>
    </w:p>
    <w:p w14:paraId="37E120F2" w14:textId="77777777" w:rsidR="006F4E03" w:rsidRPr="006F4E03" w:rsidRDefault="006F4E03"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ثالثًا: البنية النصية لنظام المحاماة وأثرها في التحول التقني</w:t>
      </w:r>
      <w:r>
        <w:rPr>
          <w:rFonts w:asciiTheme="majorBidi" w:hAnsiTheme="majorBidi" w:cstheme="majorBidi" w:hint="cs"/>
          <w:b/>
          <w:bCs/>
          <w:color w:val="000000" w:themeColor="text1"/>
          <w:sz w:val="24"/>
          <w:szCs w:val="24"/>
          <w:rtl/>
        </w:rPr>
        <w:t>:</w:t>
      </w:r>
    </w:p>
    <w:p w14:paraId="52B9AE5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سياق إثبات التصرفات القانونية الرقمية، خلص بعض الباحثين في دراساتهم المنشورة بمجلة الباحث العربي إلى أن عصر الذكاء الاصطناعي قد أفرز علاقات ومراكز قانونية جديدة أثبتت عجز القواعد القانونية الحالية عن استيعابها وتنظيمها؛ وذلك لأن المفهوم الحديث لتكنولوجيا الذكاء الاصطناعي تجاوز نطاق التكنولوجيا في صورتها التقليدية التي لم تثر كثيرًا من الإشكاليات القانونية.</w:t>
      </w:r>
      <w:r>
        <w:rPr>
          <w:rStyle w:val="af"/>
          <w:rFonts w:asciiTheme="majorBidi" w:hAnsiTheme="majorBidi" w:cstheme="majorBidi"/>
          <w:sz w:val="24"/>
          <w:szCs w:val="24"/>
          <w:rtl/>
        </w:rPr>
        <w:footnoteReference w:id="30"/>
      </w:r>
    </w:p>
    <w:p w14:paraId="3861416D"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1- </w:t>
      </w:r>
      <w:r>
        <w:rPr>
          <w:rFonts w:asciiTheme="majorBidi" w:hAnsiTheme="majorBidi" w:cstheme="majorBidi"/>
          <w:b/>
          <w:bCs/>
          <w:color w:val="000000" w:themeColor="text1"/>
          <w:sz w:val="24"/>
          <w:szCs w:val="24"/>
          <w:rtl/>
        </w:rPr>
        <w:t>البناء الهيكلي للنظام وطبيعة صياغته التشريعية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جاء نظام المحاماة بصياغة تقليدية تنتمي إلى الجيل الأول من التشريعات العدلية السعودية، حيث رُوعي فيه الطابع الإجرائي والتنظيمي أكثر من الطابع التقني أو المستقبلي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يتكوّن النظام من عدة أبواب تتناول شروط القيد في جدول المحامين، وحقوقهم وواجباتهم، وأحكام التأديب، والجزاءات النظامية، دون أن يتضمن أي باب مستقل لتنظيم الوسائل أو الأدوات التي تُستخدم في الممارسة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الصياغة تعكس مرحلة تشريعية سبقت التحول الرقمي، حيث كان التشريع يركّز على ضبط العلاقة بين المحامي وموكله، وبين المحامي والسلطة العدلية، من منظور الورق والمرافعة الحضورية</w:t>
      </w:r>
      <w:r>
        <w:rPr>
          <w:rFonts w:asciiTheme="majorBidi" w:hAnsiTheme="majorBidi" w:cstheme="majorBidi"/>
          <w:color w:val="000000" w:themeColor="text1"/>
          <w:sz w:val="24"/>
          <w:szCs w:val="24"/>
        </w:rPr>
        <w:t>.</w:t>
      </w:r>
    </w:p>
    <w:p w14:paraId="0617D0F0"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البنية النصية بهذا الشكل تُظهر أن النظام لم يُصمم ليستوعب التقنيات القانونية الحديثة مثل الذكاء الاصطناعي، إذ تغيب فيه المفاهيم المتعلقة بحفظ البيانات الرقمية، أو استخدام الخوارزميات في البحث والتحليل، أو الاعتماد على الأدوات الذكية في إعداد الأعمال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31"/>
      </w:r>
      <w:r>
        <w:rPr>
          <w:rFonts w:asciiTheme="majorBidi" w:hAnsiTheme="majorBidi" w:cstheme="majorBidi"/>
          <w:color w:val="000000" w:themeColor="text1"/>
          <w:sz w:val="24"/>
          <w:szCs w:val="24"/>
          <w:rtl/>
        </w:rPr>
        <w:t xml:space="preserve"> أن هذه الفجوة النصية ليست قصورًا تشريعيًا متعمدًا، بل نتيجة طبيعية لتغير الإطار الزمني والمعرفي الذي وُضع فيه النظام، وهو ما يفرض إعادة صياغة بعض مواده أو استحداث مواد جديدة تراعي التطورات التقنية المتسارعة في بيئة العدالة</w:t>
      </w:r>
      <w:r>
        <w:rPr>
          <w:rFonts w:asciiTheme="majorBidi" w:hAnsiTheme="majorBidi" w:cstheme="majorBidi"/>
          <w:color w:val="000000" w:themeColor="text1"/>
          <w:sz w:val="24"/>
          <w:szCs w:val="24"/>
        </w:rPr>
        <w:t>.</w:t>
      </w:r>
    </w:p>
    <w:p w14:paraId="5AB72E99"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2- </w:t>
      </w:r>
      <w:r>
        <w:rPr>
          <w:rFonts w:asciiTheme="majorBidi" w:hAnsiTheme="majorBidi" w:cstheme="majorBidi"/>
          <w:b/>
          <w:bCs/>
          <w:color w:val="000000" w:themeColor="text1"/>
          <w:sz w:val="24"/>
          <w:szCs w:val="24"/>
          <w:rtl/>
        </w:rPr>
        <w:t>الطابع الشخصي للنصوص النظامية وحدودها في البيئة الرقمية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تقوم البنية النصية للنظام على مبدأ "الشخص الطبيعي" كمركز رئيس في ممارسة المهنة، إذ تُوجّه جميع الالتزامات والحقوق إلى المحامي بصفته الفردية، دون أن تتوسع لتشمل الكيانات التقنية أو المنصات الرقمية التي أصبحت اليوم جزءًا من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يربط المهنة بالأهلية الشخصية والمعرفة القانونية والخبرة العملية، لكنه لا يتعامل مع الذكاء الاصطناعي بوصفه مكوّنًا جديدًا في عملية إنتاج الخدمة القانونية</w:t>
      </w:r>
      <w:r>
        <w:rPr>
          <w:rFonts w:asciiTheme="majorBidi" w:hAnsiTheme="majorBidi" w:cstheme="majorBidi"/>
          <w:color w:val="000000" w:themeColor="text1"/>
          <w:sz w:val="24"/>
          <w:szCs w:val="24"/>
        </w:rPr>
        <w:t>.</w:t>
      </w:r>
    </w:p>
    <w:p w14:paraId="40839240"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في المقابل، تعتمد مكاتب المحاماة الحديثة على نظم إدارة القضايا الإلكترونية، ومنصات توليد العقود، وبرامج التحليل القانوني المدعومة بالذكاء الاصطناعي. وهذه الأدوات أصبحت تؤدي أدوارًا تتجاوز المساعدة التقنية إلى الإسهام في اتخاذ القرار القانوني نفسه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الطابع الشخصي للنظام والطابع التشاركي للتقنيات الحديثة يكشف عن فجوة مفهومية داخل البناء النصي للنظام، حيث يُفترض أن يُعاد تعريف مفهوم "الممارسة القانونية" ليشمل الوسائل الرقمية التي يباشر من خلالها المحامي عمله</w:t>
      </w:r>
      <w:r>
        <w:rPr>
          <w:rFonts w:asciiTheme="majorBidi" w:hAnsiTheme="majorBidi" w:cstheme="majorBidi"/>
          <w:color w:val="000000" w:themeColor="text1"/>
          <w:sz w:val="24"/>
          <w:szCs w:val="24"/>
        </w:rPr>
        <w:t>.</w:t>
      </w:r>
    </w:p>
    <w:p w14:paraId="128E85F5"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أوضحت دراسة إسماعيل</w:t>
      </w:r>
      <w:r>
        <w:rPr>
          <w:rStyle w:val="af"/>
          <w:rFonts w:asciiTheme="majorBidi" w:hAnsiTheme="majorBidi" w:cstheme="majorBidi"/>
          <w:color w:val="000000" w:themeColor="text1"/>
          <w:sz w:val="24"/>
          <w:szCs w:val="24"/>
          <w:rtl/>
        </w:rPr>
        <w:footnoteReference w:id="32"/>
      </w:r>
      <w:r>
        <w:rPr>
          <w:rFonts w:asciiTheme="majorBidi" w:hAnsiTheme="majorBidi" w:cstheme="majorBidi"/>
          <w:color w:val="000000" w:themeColor="text1"/>
          <w:sz w:val="24"/>
          <w:szCs w:val="24"/>
          <w:rtl/>
        </w:rPr>
        <w:t xml:space="preserve"> حول المهن القانونية أن الأنظمة الحديثة في بعض الدول (كالاتحاد الأوروبي والإمارات) بدأت تُدخل في تعريف المهنة "الأدوات التقنية المساعدة" وتنظم مسؤوليتها القانونية والأخلاقية، وهو ما لا يزال غائبًا عن الصياغة السعودية الحالية</w:t>
      </w:r>
      <w:r>
        <w:rPr>
          <w:rFonts w:asciiTheme="majorBidi" w:hAnsiTheme="majorBidi" w:cstheme="majorBidi"/>
          <w:color w:val="000000" w:themeColor="text1"/>
          <w:sz w:val="24"/>
          <w:szCs w:val="24"/>
        </w:rPr>
        <w:t>.</w:t>
      </w:r>
    </w:p>
    <w:p w14:paraId="00B5C047" w14:textId="77777777" w:rsidR="00085940" w:rsidRDefault="006F4E03" w:rsidP="00085940">
      <w:pPr>
        <w:jc w:val="right"/>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 xml:space="preserve">3- </w:t>
      </w:r>
      <w:r>
        <w:rPr>
          <w:rFonts w:asciiTheme="majorBidi" w:hAnsiTheme="majorBidi" w:cstheme="majorBidi"/>
          <w:b/>
          <w:bCs/>
          <w:color w:val="000000" w:themeColor="text1"/>
          <w:sz w:val="24"/>
          <w:szCs w:val="24"/>
          <w:rtl/>
        </w:rPr>
        <w:t>غياب المفاهيم الرقمية في الهيكل النصي للنظام</w:t>
      </w:r>
    </w:p>
    <w:p w14:paraId="579E2714"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ويدعم هذا الطرح ما أورده إسماعيل (2025م) من أن أنظمة المهن القانونية في الدول العربية تفتقر في مجملها إلى تعريف تشريعي صريح للأدوات التقنية المساعدة، مما يجعلها عاجزة عن ملاحقة التحولات الرقمية التي تعيشها مكاتب المحاماة، ويفسح المجال لاجتهادات قضائية متباينة في التعامل مع مخرجات هذه الأدوات.</w:t>
      </w:r>
      <w:r>
        <w:rPr>
          <w:rtl/>
        </w:rPr>
        <w:footnoteReference w:id="33"/>
      </w:r>
    </w:p>
    <w:p w14:paraId="694E0873" w14:textId="77777777" w:rsidR="00085940" w:rsidRPr="00085940" w:rsidRDefault="00085940" w:rsidP="002A34EF">
      <w:pPr>
        <w:jc w:val="right"/>
        <w:rPr>
          <w:rFonts w:asciiTheme="majorBidi" w:hAnsiTheme="majorBidi" w:cstheme="majorBidi"/>
          <w:color w:val="000000" w:themeColor="text1"/>
        </w:rPr>
      </w:pPr>
      <w:r>
        <w:rPr>
          <w:rFonts w:ascii="Times New Roman" w:eastAsia="Times New Roman" w:hAnsi="Times New Roman" w:cs="Times New Roman"/>
          <w:sz w:val="24"/>
          <w:szCs w:val="24"/>
          <w:rtl/>
        </w:rPr>
        <w:t xml:space="preserve"> </w:t>
      </w:r>
      <w:r>
        <w:rPr>
          <w:rFonts w:asciiTheme="majorBidi" w:hAnsiTheme="majorBidi" w:cstheme="majorBidi"/>
          <w:color w:val="000000" w:themeColor="text1"/>
          <w:rtl/>
        </w:rPr>
        <w:t>من الملاحظ أن نظام المحاماة لم يتضمن أي تعريفات أو إشارات إلى مفاهيم أصبحت اليوم أساسية في الممارسة القانونية الرقمية، مثل البيانات القانونية، الخصوصية، الأمن السيبراني، أو الذكاء الاصطناعي القانوني. ويُعدّ هذا الغياب أحد أهم مظاهر القصور في البنية النصية للنظام، ولا سيما أن المهنة باتت تعتمد اعتمادًا جوهريًا على إدارة معلومات حساسة داخل بيئات إلكترونية</w:t>
      </w:r>
      <w:r>
        <w:rPr>
          <w:rFonts w:asciiTheme="majorBidi" w:hAnsiTheme="majorBidi" w:cstheme="majorBidi"/>
          <w:color w:val="000000" w:themeColor="text1"/>
        </w:rPr>
        <w:t>.</w:t>
      </w:r>
    </w:p>
    <w:p w14:paraId="71A71571"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ويمكن تعليل هذا الغياب جزئيًا بما ذكره محمود وعناني (د.ت) من أن المنظومات القانونية التقليدية تتسم بالمحافظة الهيكلية، إذ تُقاوم إدراج المصطلحات التقنية الناشئة في نصوصها التشريعية حتى بعد شيوع هذه التقنيات استخدامًا، وهو ما يجعل التشريعات القائمة دومًا في حالة تأخر بنيوي عن الواقع الرقمي.</w:t>
      </w:r>
      <w:r>
        <w:rPr>
          <w:rtl/>
        </w:rPr>
        <w:footnoteReference w:id="34"/>
      </w:r>
    </w:p>
    <w:p w14:paraId="31EE7EF2"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وتبرز هنا أهمية الربط بين نظام المحاماة والأنظمة المكملة مثل نظام حماية البيانات الشخصية ونظام الإثبات ونظام المعاملات المدنية. فبينما وضعت هذه الأنظمة ضوابط واضحة للتعامل مع المعلومات الرقمية، ظل نظام المحاماة يفتقر إلى النصوص التي تحدد التزامات المحامي عند التعامل مع قواعد البيانات، أو عند استخدام أدوات تحليل ذكية لمعالجة وثائق الموكلين</w:t>
      </w:r>
      <w:r>
        <w:rPr>
          <w:rFonts w:asciiTheme="majorBidi" w:hAnsiTheme="majorBidi" w:cstheme="majorBidi"/>
          <w:color w:val="000000" w:themeColor="text1"/>
          <w:sz w:val="24"/>
          <w:szCs w:val="24"/>
        </w:rPr>
        <w:t>.</w:t>
      </w:r>
    </w:p>
    <w:p w14:paraId="2588DD29"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وقد بينت </w:t>
      </w:r>
      <w:r>
        <w:rPr>
          <w:rFonts w:asciiTheme="majorBidi" w:hAnsiTheme="majorBidi" w:cstheme="majorBidi"/>
          <w:b/>
          <w:bCs/>
          <w:color w:val="000000" w:themeColor="text1"/>
          <w:sz w:val="24"/>
          <w:szCs w:val="24"/>
          <w:rtl/>
        </w:rPr>
        <w:t>وثيقة مبادئ أخلاقيات الذكاء الاصطناعي</w:t>
      </w:r>
      <w:r>
        <w:rPr>
          <w:rFonts w:asciiTheme="majorBidi" w:hAnsiTheme="majorBidi" w:cstheme="majorBidi"/>
          <w:color w:val="000000" w:themeColor="text1"/>
          <w:sz w:val="24"/>
          <w:szCs w:val="24"/>
          <w:rtl/>
        </w:rPr>
        <w:t xml:space="preserve"> الصادرة عن الهيئة السعودية للبيانات والذكاء الاصطناعي (سدايا) لعام 2023 أن الالتزام بالشفافية والمساءلة والخصوصية يجب أن يكون مبدأً عامًا في القطاعات التي تستخدم تقنيات الذكاء الاصطناعي، وفي مقدمتها القطاعات العدلية والقانونية</w:t>
      </w:r>
      <w:r>
        <w:rPr>
          <w:rFonts w:asciiTheme="majorBidi" w:hAnsiTheme="majorBidi" w:cstheme="majorBidi"/>
          <w:color w:val="000000" w:themeColor="text1"/>
          <w:sz w:val="24"/>
          <w:szCs w:val="24"/>
        </w:rPr>
        <w:t>.</w:t>
      </w:r>
    </w:p>
    <w:p w14:paraId="0E99402B"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وانطلاقًا من ذلك، فإن معالجة هذا القصور لا تقتصر على مجرد الإشارة إلى غياب المفاهيم الرقمية، بل تستلزم اقتراح تعديلات عملية على النظام يمكن أن تسهم في بناء إطار تنظيمي أكثر شمولًا يتواءم مع بيئة العمل القانونية الحديثة. ومن أبرز المقترحات العملية التي يمكن تضمينها في النظام</w:t>
      </w:r>
      <w:r>
        <w:rPr>
          <w:rFonts w:asciiTheme="majorBidi" w:hAnsiTheme="majorBidi" w:cstheme="majorBidi"/>
          <w:b/>
          <w:bCs/>
          <w:color w:val="000000" w:themeColor="text1"/>
          <w:sz w:val="24"/>
          <w:szCs w:val="24"/>
        </w:rPr>
        <w:t>:</w:t>
      </w:r>
    </w:p>
    <w:p w14:paraId="283F7608" w14:textId="77777777" w:rsidR="00085940" w:rsidRPr="00085940" w:rsidRDefault="00085940" w:rsidP="002A34EF">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تضمين فصل تعريفي يشمل مصطلحات مثل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البيانات القانونية الرقمية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المعالجة الإلكترونية للمعلومات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الأمن السيبراني القانوني</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أدوات الذكاء الاصطناعي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وهو ما يسهّل ضبط الالتزامات المهنية للمحامي عند ممارسة أعماله التقنية</w:t>
      </w:r>
      <w:r>
        <w:rPr>
          <w:rFonts w:asciiTheme="majorBidi" w:hAnsiTheme="majorBidi" w:cstheme="majorBidi"/>
          <w:color w:val="000000" w:themeColor="text1"/>
          <w:sz w:val="24"/>
          <w:szCs w:val="24"/>
        </w:rPr>
        <w:t>.</w:t>
      </w:r>
    </w:p>
    <w:p w14:paraId="259FE487"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ضوء هذا التحليل، خلص بعض الباحثين إلى أن وثيقة مبادئ أخلاقيات الذكاء الاصطناعي تُمثّل نقطة انطلاق صالحة لإعادة تعريف المسؤولية المهنية في العصر الرقمي، إلا أنه يُلاحظ أن الوثيقة تُعالج الذكاء الاصطناعي بوصفه أداة تقنية عامة لا بوصفه عنصراً فاعلاً في منظومة تقديم الخدمات القانونية، وهو ما يُستوجب معه صياغة وثيقة متخصصة للقطاع القانوني تُراعي خصوصيات السرية والحياد والنزاهة.</w:t>
      </w:r>
      <w:r>
        <w:rPr>
          <w:rtl/>
        </w:rPr>
        <w:footnoteReference w:id="35"/>
      </w:r>
    </w:p>
    <w:p w14:paraId="020EDDCC"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وفيما يتعلق بالبيانات القانونية الرقمية المتعلقة بأحكام القضاء، نبّه بعض الباحثين إلى إشكالية الاستخدام الثانوي لهذه البيانات في تدريب نماذج الذكاء الاصطناعي، مُشيراً إلى أن كثيراً من الشركات التقنية تُوظّف البيانات التي يُدخلها المحامون في أنظمتها لتحسين نماذجها دون إخطار واضح، وهو ما يُمثّل انتهاكاً محتملاً لمبدأ السرية المهنية حتى لو كانت الشروط والأحكام تُجيز ذلك ضمنياً.</w:t>
      </w:r>
      <w:r>
        <w:rPr>
          <w:rtl/>
        </w:rPr>
        <w:footnoteReference w:id="36"/>
      </w:r>
    </w:p>
    <w:p w14:paraId="0F5F8AEB"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وبصدد إضافة تعريفات نظامية جديدة، أوضحت عبد الرحمن أن التشريعات العربية تعتمد في معالجة المستجدات التقنية على أحد مسارين: مسار التعديل التشريعي المباشر الذي يستلزم وقتاً تشريعياً طويلاً، ومسار اللوائح التنفيذية التي تتيح مرونة أعلى وسرعة استجابة أكبر للمتغيرات التقنية، مُقترِحةً أن يسلك النظام السعودي المسار الثاني في المرحلة الراهنة مع التهيؤ للتعديل التشريعي على المدى البعيد.</w:t>
      </w:r>
      <w:r>
        <w:rPr>
          <w:rtl/>
        </w:rPr>
        <w:footnoteReference w:id="37"/>
      </w:r>
    </w:p>
    <w:p w14:paraId="5F610880"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البيانات القانونية الرقمية التي تُغذّي أنظمة الذكاء الاصطناعي المستخدمة في المحاماة، ألحّت الخميسي على أهمية التمييز بين بيانات محمية بالسرية المهنية لا يجوز إدخالها في منصات مفتوحة، وبيانات عامة يمكن توظيفها دون انتهاك الخصوصية، وبيانات مجهولة الهوية تخضع لاشتراطات دنيا قبل توظيفها في التدريب الآلي.</w:t>
      </w:r>
      <w:r>
        <w:rPr>
          <w:rtl/>
        </w:rPr>
        <w:footnoteReference w:id="38"/>
      </w:r>
    </w:p>
    <w:p w14:paraId="2890110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سياق إضافة تعريفات نظامية جديدة تستوعب التطور التقني، اقترحت الأمين مجموعة من المفاهيم الجديرة بالتدوين التشريعي، أبرزها: مفهوم المسؤولية المُشتركة حين يتدخل الذكاء الاصطناعي في صياغة عقد قانوني، ومفهوم الإفصاح التقني الذي يُلزم المحامي بإبلاغ موكله باستخدام هذه الأنظمة، ومفهوم ضمان الجودة الخوارزمية المتعلق بالتحقق من دقة المخرجات قبل تقديمها.</w:t>
      </w:r>
      <w:r>
        <w:rPr>
          <w:rtl/>
        </w:rPr>
        <w:footnoteReference w:id="39"/>
      </w:r>
    </w:p>
    <w:p w14:paraId="39E952E4"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النص على “المسؤولية الرقمية للمحامي</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 يلتزم المحامي بحماية البيانات، وتأمين أنظمة مكتبه التقنية، وضمان سلامة معالجة المستندات عبر المنصات الذكية، وربط الإخلال بهذه الالتزامات بالمسؤولية التأديبية والمهنية</w:t>
      </w:r>
      <w:r>
        <w:rPr>
          <w:rFonts w:asciiTheme="majorBidi" w:hAnsiTheme="majorBidi" w:cstheme="majorBidi"/>
          <w:color w:val="000000" w:themeColor="text1"/>
          <w:sz w:val="24"/>
          <w:szCs w:val="24"/>
        </w:rPr>
        <w:t>.</w:t>
      </w:r>
    </w:p>
    <w:p w14:paraId="471DD483"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مفهوم “السرية التقنية للمعلومات 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 لا تقتصر السرية على حفظ المستندات ورقيًا، بل تمتد إلى حماية المعلومات المخزنة على الأجهزة، والسحابات الإلكترونية، وقواعد البيانات التي تُستخدم في أعمال المكتب</w:t>
      </w:r>
      <w:r>
        <w:rPr>
          <w:rFonts w:asciiTheme="majorBidi" w:hAnsiTheme="majorBidi" w:cstheme="majorBidi"/>
          <w:color w:val="000000" w:themeColor="text1"/>
          <w:sz w:val="24"/>
          <w:szCs w:val="24"/>
        </w:rPr>
        <w:t>.</w:t>
      </w:r>
    </w:p>
    <w:p w14:paraId="5E6E7DB4"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تضمين نصوص تنظّم استخدام أدوات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اشتراط</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الالتزام بالشفافية عند استخدام الأدوات الذكية في إعداد مذكرات أو تحليل مستندات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عدم الاعتماد الكلّي على المخرجات الآلية دون مراجعة بشرية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ضمان عدم إرسال بيانات الموكلين إلى أدوات أو منصات لا تلتزم بضوابط الخصوصية</w:t>
      </w:r>
      <w:r>
        <w:rPr>
          <w:rFonts w:asciiTheme="majorBidi" w:hAnsiTheme="majorBidi" w:cstheme="majorBidi"/>
          <w:color w:val="000000" w:themeColor="text1"/>
          <w:sz w:val="24"/>
          <w:szCs w:val="24"/>
        </w:rPr>
        <w:t>.</w:t>
      </w:r>
    </w:p>
    <w:p w14:paraId="4FD9539B"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إنشاء إطار رقابي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يتضمن إصدار “مدونة سلوك رقمي للمحامين” تشرف عليها وزارة العدل، تُحدّد معايير الاستخدام الأخلاقي للتقنيات، ومعايير حفظ البيانات، والتعامل مع المخاطر التقنية داخل مكاتب المحاماة</w:t>
      </w:r>
      <w:r>
        <w:rPr>
          <w:rFonts w:asciiTheme="majorBidi" w:hAnsiTheme="majorBidi" w:cstheme="majorBidi"/>
          <w:color w:val="000000" w:themeColor="text1"/>
          <w:sz w:val="24"/>
          <w:szCs w:val="24"/>
        </w:rPr>
        <w:t>.</w:t>
      </w:r>
    </w:p>
    <w:p w14:paraId="5F694CC1" w14:textId="77777777" w:rsidR="006F4E03" w:rsidRPr="006F4E03" w:rsidRDefault="00C00F5F"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lastRenderedPageBreak/>
        <w:t xml:space="preserve">4- </w:t>
      </w:r>
      <w:r>
        <w:rPr>
          <w:rFonts w:asciiTheme="majorBidi" w:hAnsiTheme="majorBidi" w:cstheme="majorBidi"/>
          <w:b/>
          <w:bCs/>
          <w:color w:val="000000" w:themeColor="text1"/>
          <w:sz w:val="24"/>
          <w:szCs w:val="24"/>
          <w:rtl/>
        </w:rPr>
        <w:t>القابلية البنيوية للتحديث التشريعي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على الرغم من الطابع التقليدي للنظام، إلا أن بنيته التشريعية قابلة للتطوير والتحديث دون الإخلال بجوهره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يتميز بأنه قائم على مبادئ عامة وليس على تفصيلات جامدة، مما يمنح المشرع مرونة في إدخال التعديلات اللازمة لمواكبة التحول الرقمي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استُخدمت هذه المرونة سابقًا في تطوير اللوائح التنفيذية للنظام، مثل إضافة أحكام تتعلق بالقيد الإلكتروني للمحامين أو التعامل مع السجلات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ويُتوقع أن تكون المرحلة المقبلة فرصة لإدخال نصوص جديدة تنظم العلاقة بين مكاتب المحاماة والتقنيات القانونية، وتحدد شروط استخدام الأنظمة الذكية في أعمال الاستشارات والصياغة والتحليل القانوني</w:t>
      </w:r>
      <w:r>
        <w:rPr>
          <w:rFonts w:asciiTheme="majorBidi" w:hAnsiTheme="majorBidi" w:cstheme="majorBidi"/>
          <w:color w:val="000000" w:themeColor="text1"/>
          <w:sz w:val="24"/>
          <w:szCs w:val="24"/>
        </w:rPr>
        <w:t>.</w:t>
      </w:r>
    </w:p>
    <w:p w14:paraId="65B27415"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40"/>
      </w:r>
      <w:r>
        <w:rPr>
          <w:rFonts w:asciiTheme="majorBidi" w:hAnsiTheme="majorBidi" w:cstheme="majorBidi"/>
          <w:color w:val="000000" w:themeColor="text1"/>
          <w:sz w:val="24"/>
          <w:szCs w:val="24"/>
          <w:rtl/>
        </w:rPr>
        <w:t xml:space="preserve"> أن نجاح هذا التحديث يعتمد على وجود تصور تشريعي متكامل يراعي التوازن بين التطور التقني وحماية القيم العدلية، بحيث لا يؤدي التطوير إلى تقويض مبدأ المسؤولية الشخصية أو انتهاك سرية البيانات القانونية</w:t>
      </w:r>
      <w:r>
        <w:rPr>
          <w:rFonts w:asciiTheme="majorBidi" w:hAnsiTheme="majorBidi" w:cstheme="majorBidi"/>
          <w:color w:val="000000" w:themeColor="text1"/>
          <w:sz w:val="24"/>
          <w:szCs w:val="24"/>
        </w:rPr>
        <w:t>.</w:t>
      </w:r>
    </w:p>
    <w:p w14:paraId="0A1C4005"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5- </w:t>
      </w:r>
      <w:r>
        <w:rPr>
          <w:rFonts w:asciiTheme="majorBidi" w:hAnsiTheme="majorBidi" w:cstheme="majorBidi"/>
          <w:b/>
          <w:bCs/>
          <w:color w:val="000000" w:themeColor="text1"/>
          <w:sz w:val="24"/>
          <w:szCs w:val="24"/>
          <w:rtl/>
        </w:rPr>
        <w:t>الحاجة إلى بنية تشريعية متكاملة تربط النظام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تحليل البنية النصية لنظام المحاماة يوضح أن التشريع الحالي وضع أساسًا متينًا لضبط المهنة، لكنه لم يبنِ منظومة تقنية تشريعية تستوعب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ومن ثم، فإن الخطوة المستقبلية ليست في استبدال النظام القائم، بل في تطوير بنيته بإضافة </w:t>
      </w:r>
      <w:r>
        <w:rPr>
          <w:rFonts w:asciiTheme="majorBidi" w:hAnsiTheme="majorBidi" w:cstheme="majorBidi"/>
          <w:b/>
          <w:bCs/>
          <w:color w:val="000000" w:themeColor="text1"/>
          <w:sz w:val="24"/>
          <w:szCs w:val="24"/>
          <w:rtl/>
        </w:rPr>
        <w:t>نصوص فرعية تتناول بوضوح</w:t>
      </w:r>
      <w:r>
        <w:rPr>
          <w:rFonts w:asciiTheme="majorBidi" w:hAnsiTheme="majorBidi" w:cstheme="majorBidi" w:hint="cs"/>
          <w:b/>
          <w:bCs/>
          <w:color w:val="000000" w:themeColor="text1"/>
          <w:sz w:val="24"/>
          <w:szCs w:val="24"/>
          <w:rtl/>
        </w:rPr>
        <w:t xml:space="preserve"> بعض هذه النقاط:</w:t>
      </w:r>
    </w:p>
    <w:p w14:paraId="78D0B2FD"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إطار منظومة الإثبات الرقمي، يُقرّ نظام الإثبات السعودي (م43/1443هـ) في مادته السادسة والسبعين بحجية الوسائل الإلكترونية في الإثبات بشروط محددة، وقد أجاز للمحكمة الاستناد إليها في القضايا المنظورة. غير أن الغموض يظل سيد الموقف فيما يتعلق بمخرجات الذكاء الاصطناعي تحديدًا، مما يُفضي إلى سلطة تقديرية واسعة للقاضي ينبغي تأطيرها نظاميًا للحدّ من التباين في الأحكام القضائية.</w:t>
      </w:r>
      <w:r>
        <w:rPr>
          <w:rStyle w:val="af"/>
          <w:rFonts w:asciiTheme="majorBidi" w:hAnsiTheme="majorBidi" w:cstheme="majorBidi"/>
          <w:sz w:val="24"/>
          <w:szCs w:val="24"/>
          <w:rtl/>
        </w:rPr>
        <w:footnoteReference w:id="41"/>
      </w:r>
    </w:p>
    <w:p w14:paraId="796F966F"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تعريف التقنية القانونية وأدوات الذكاء الاصطناعي المسموح بها في المهنة</w:t>
      </w:r>
      <w:r>
        <w:rPr>
          <w:rFonts w:asciiTheme="majorBidi" w:hAnsiTheme="majorBidi" w:cstheme="majorBidi"/>
          <w:color w:val="000000" w:themeColor="text1"/>
          <w:sz w:val="24"/>
          <w:szCs w:val="24"/>
        </w:rPr>
        <w:t>.</w:t>
      </w:r>
    </w:p>
    <w:p w14:paraId="48EB0A59"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التزامات المحامي عند استخدام هذه الأدوات، من حيث المراجعة والتحقق والمساءلة</w:t>
      </w:r>
      <w:r>
        <w:rPr>
          <w:rFonts w:asciiTheme="majorBidi" w:hAnsiTheme="majorBidi" w:cstheme="majorBidi"/>
          <w:color w:val="000000" w:themeColor="text1"/>
          <w:sz w:val="24"/>
          <w:szCs w:val="24"/>
        </w:rPr>
        <w:t>.</w:t>
      </w:r>
    </w:p>
    <w:p w14:paraId="7BF8D311"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معايير حماية البيانات والخصوصية في الأنشطة القانونية الرقمية</w:t>
      </w:r>
      <w:r>
        <w:rPr>
          <w:rFonts w:asciiTheme="majorBidi" w:hAnsiTheme="majorBidi" w:cstheme="majorBidi"/>
          <w:color w:val="000000" w:themeColor="text1"/>
          <w:sz w:val="24"/>
          <w:szCs w:val="24"/>
        </w:rPr>
        <w:t>.</w:t>
      </w:r>
    </w:p>
    <w:p w14:paraId="13C6321B"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قواعد المسؤولية النظامية في حال الخطأ التقني أو الإخلال بالسرية المعلوماتية</w:t>
      </w:r>
      <w:r>
        <w:rPr>
          <w:rFonts w:asciiTheme="majorBidi" w:hAnsiTheme="majorBidi" w:cstheme="majorBidi"/>
          <w:color w:val="000000" w:themeColor="text1"/>
          <w:sz w:val="24"/>
          <w:szCs w:val="24"/>
        </w:rPr>
        <w:t>.</w:t>
      </w:r>
    </w:p>
    <w:p w14:paraId="357D0442" w14:textId="77777777" w:rsidR="00C00F5F" w:rsidRPr="00BC5F38" w:rsidRDefault="006F4E03" w:rsidP="006F4E03">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هذه البنود تمثل الأساس لبناء الإطار التنظيمي المقترح الذي ستتناوله الفصول اللاحقة في هذه الدراسة، من خلال تصور تشريعي يسعى إلى دمج التقنية ضمن بنية النظام دون الإخلال بمبادئ العدالة أو استقلال المهنة</w:t>
      </w:r>
    </w:p>
    <w:p w14:paraId="181938A3" w14:textId="77777777" w:rsidR="00C00F5F" w:rsidRPr="00BC5F38" w:rsidRDefault="00C00F5F" w:rsidP="00D41CB7">
      <w:pPr>
        <w:rPr>
          <w:rFonts w:asciiTheme="majorBidi" w:hAnsiTheme="majorBidi" w:cstheme="majorBidi"/>
          <w:color w:val="000000" w:themeColor="text1"/>
          <w:sz w:val="24"/>
          <w:szCs w:val="24"/>
        </w:rPr>
      </w:pPr>
    </w:p>
    <w:p w14:paraId="1A9E84D5"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نطاق عمل المحامي في ضوء النظام وتأثره بالذكاء الاصطناعي</w:t>
      </w:r>
    </w:p>
    <w:p w14:paraId="4E5A9B05"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ويُعدّ تأثير الذكاء الاصطناعي على المهن القانونية من أبرز التحولات التي رصدتها الدراسات الأكاديمية الحديثة؛ إذ أكد إسماعيل في دراسته الصادرة عن مجلة الباحث العربي عام 2025م أن عدة مهن باتت تعتمد اعتمادًا متصاعدًا على تقنيات الذكاء الاصطناعي، وفي مقدمتها مهن المحاماة والقضاء، مستعرضًا جملة من النماذج </w:t>
      </w:r>
      <w:r>
        <w:rPr>
          <w:rFonts w:asciiTheme="majorBidi" w:hAnsiTheme="majorBidi" w:cstheme="majorBidi"/>
          <w:sz w:val="24"/>
          <w:szCs w:val="24"/>
          <w:rtl/>
        </w:rPr>
        <w:lastRenderedPageBreak/>
        <w:t>التطبيقية الدولية التي كرّست الذكاء الاصطناعي في البيئة القانونية، وخلص إلى أن ثمة مزايا جوهرية لهذا التوظيف، غير أنه يصطحب معه تحديات هيكلية تستلزم ضبطًا مؤسسيًا واضحًا.</w:t>
      </w:r>
      <w:r>
        <w:rPr>
          <w:rStyle w:val="af"/>
          <w:rFonts w:asciiTheme="majorBidi" w:hAnsiTheme="majorBidi" w:cstheme="majorBidi"/>
          <w:sz w:val="24"/>
          <w:szCs w:val="24"/>
          <w:rtl/>
        </w:rPr>
        <w:footnoteReference w:id="42"/>
      </w:r>
    </w:p>
    <w:p w14:paraId="04F9FF23"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تحديد نطاق العمل النظامي للمحامي</w:t>
      </w:r>
      <w:r>
        <w:rPr>
          <w:rFonts w:asciiTheme="majorBidi" w:hAnsiTheme="majorBidi" w:cstheme="majorBidi" w:hint="cs"/>
          <w:b/>
          <w:b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نص نظام المحاماة في مادته الثالثة على أن مهنة المحاماة تشمل الترافع عن الخصوم، وتقديم الاستشارات النظامية والشرعية، وصياغة العقود، ومتابعة الإجراءات أمام الجهات القضائية والإدارية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التعريف الواسع يعكس رؤية المشرع لدور المحامي بوصفه الممثل القانوني المتكامل للموكل في جميع مراحل النزاع أو المعاملة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أوضحت رسالة فاطمة بلال</w:t>
      </w:r>
      <w:r>
        <w:rPr>
          <w:rStyle w:val="af"/>
          <w:rFonts w:asciiTheme="majorBidi" w:hAnsiTheme="majorBidi" w:cstheme="majorBidi"/>
          <w:color w:val="000000" w:themeColor="text1"/>
          <w:sz w:val="24"/>
          <w:szCs w:val="24"/>
          <w:rtl/>
        </w:rPr>
        <w:footnoteReference w:id="43"/>
      </w:r>
      <w:r>
        <w:rPr>
          <w:rFonts w:asciiTheme="majorBidi" w:hAnsiTheme="majorBidi" w:cstheme="majorBidi"/>
          <w:color w:val="000000" w:themeColor="text1"/>
          <w:sz w:val="24"/>
          <w:szCs w:val="24"/>
          <w:rtl/>
        </w:rPr>
        <w:t xml:space="preserve"> حول </w:t>
      </w:r>
      <w:r>
        <w:rPr>
          <w:rFonts w:asciiTheme="majorBidi" w:hAnsiTheme="majorBidi" w:cstheme="majorBidi"/>
          <w:i/>
          <w:iCs/>
          <w:color w:val="000000" w:themeColor="text1"/>
          <w:sz w:val="24"/>
          <w:szCs w:val="24"/>
          <w:rtl/>
        </w:rPr>
        <w:t>دور الذكاء الاصطناعي في تعزيز العدالة الناجزة</w:t>
      </w:r>
      <w:r>
        <w:rPr>
          <w:rFonts w:asciiTheme="majorBidi" w:hAnsiTheme="majorBidi" w:cstheme="majorBidi"/>
          <w:color w:val="000000" w:themeColor="text1"/>
          <w:sz w:val="24"/>
          <w:szCs w:val="24"/>
          <w:rtl/>
        </w:rPr>
        <w:t xml:space="preserve"> أن طبيعة المهام القانونية في المملكة اتسعت لتشمل أعمالًا تحليلية واستشارية تعتمد على التكنولوجيا، خصوصًا في مراحل إعداد المستندات ومراجعتها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ويعني ذلك أن نطاق عمل المحامي أصبح أكثر تعقيدًا وتداخلًا مع الوسائل التقنية الحديثة، مما يتطلب إعادة نظر في كيفية تنظيم الأدوات التي تُستخدم في أداء هذه المهام</w:t>
      </w:r>
      <w:r>
        <w:rPr>
          <w:rFonts w:asciiTheme="majorBidi" w:hAnsiTheme="majorBidi" w:cstheme="majorBidi"/>
          <w:color w:val="000000" w:themeColor="text1"/>
          <w:sz w:val="24"/>
          <w:szCs w:val="24"/>
        </w:rPr>
        <w:t>.</w:t>
      </w:r>
    </w:p>
    <w:p w14:paraId="05BD9FE9"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التحول من العمل الورقي إلى العمل الرقمي</w:t>
      </w:r>
      <w:r>
        <w:rPr>
          <w:rFonts w:asciiTheme="majorBidi" w:hAnsiTheme="majorBidi" w:cstheme="majorBidi" w:hint="cs"/>
          <w:b/>
          <w:b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مع دخول الذكاء الاصطناعي في البيئة العدلية السعودية، تحوّل جزء كبير من أعمال المحامي من الورق والمرافعات الحضورية إلى أنظمة رقمية متكاملة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فاليوم تُرفع الدعاوى إلكترونيًا عبر منصة ناجز، وتُدار القضايا رقمياً، ويُقدَّم كثير من الطلبات إلكترونيًا دون حضور فعلي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أظهرت دراسة المركز السعودي للأبحاث القضائية حول </w:t>
      </w:r>
      <w:r>
        <w:rPr>
          <w:rFonts w:asciiTheme="majorBidi" w:hAnsiTheme="majorBidi" w:cstheme="majorBidi"/>
          <w:i/>
          <w:iCs/>
          <w:color w:val="000000" w:themeColor="text1"/>
          <w:sz w:val="24"/>
          <w:szCs w:val="24"/>
          <w:rtl/>
        </w:rPr>
        <w:t>استخدام الذكاء الاصطناعي في المحاكم</w:t>
      </w:r>
      <w:r>
        <w:rPr>
          <w:rFonts w:asciiTheme="majorBidi" w:hAnsiTheme="majorBidi" w:cstheme="majorBidi"/>
          <w:color w:val="000000" w:themeColor="text1"/>
          <w:sz w:val="24"/>
          <w:szCs w:val="24"/>
          <w:rtl/>
        </w:rPr>
        <w:t xml:space="preserve"> أن 92٪ من الخدمات العدلية باتت تُقدّم إلكترونيًا، مما جعل المهارات التقنية للمحامي عنصرًا أساسيًا في كفاءته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التحول الرقمي أوجد إشكالات جديدة، مثل تحديد المسؤولية عن الخطأ التقني في المعاملات، ومدى حجية المستندات الإلكترونية أمام القضاء، وهي مسائل لم يعالجها النظام بصياغة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وتؤكد إحدى الدراسات</w:t>
      </w:r>
      <w:r>
        <w:rPr>
          <w:rStyle w:val="af"/>
          <w:rFonts w:asciiTheme="majorBidi" w:hAnsiTheme="majorBidi" w:cstheme="majorBidi"/>
          <w:color w:val="000000" w:themeColor="text1"/>
          <w:sz w:val="24"/>
          <w:szCs w:val="24"/>
          <w:rtl/>
        </w:rPr>
        <w:footnoteReference w:id="44"/>
      </w:r>
      <w:r>
        <w:rPr>
          <w:rFonts w:asciiTheme="majorBidi" w:hAnsiTheme="majorBidi" w:cstheme="majorBidi"/>
          <w:color w:val="000000" w:themeColor="text1"/>
          <w:sz w:val="24"/>
          <w:szCs w:val="24"/>
          <w:rtl/>
        </w:rPr>
        <w:t xml:space="preserve"> حول </w:t>
      </w:r>
      <w:r>
        <w:rPr>
          <w:rFonts w:asciiTheme="majorBidi" w:hAnsiTheme="majorBidi" w:cstheme="majorBidi"/>
          <w:i/>
          <w:iCs/>
          <w:color w:val="000000" w:themeColor="text1"/>
          <w:sz w:val="24"/>
          <w:szCs w:val="24"/>
          <w:rtl/>
        </w:rPr>
        <w:t>الضوابط القانونية للذكاء الاصطناعي في المعاملات القانونية</w:t>
      </w:r>
      <w:r>
        <w:rPr>
          <w:rFonts w:asciiTheme="majorBidi" w:hAnsiTheme="majorBidi" w:cstheme="majorBidi"/>
          <w:color w:val="000000" w:themeColor="text1"/>
          <w:sz w:val="24"/>
          <w:szCs w:val="24"/>
          <w:rtl/>
        </w:rPr>
        <w:t xml:space="preserve"> أن البيئة العدلية السعودية بحاجة إلى تحديث تشريعي يواكب هذا التحول، ويضع معايير واضحة لاستخدام الأنظمة الذكية في الإجراءات القانونية</w:t>
      </w:r>
      <w:r>
        <w:rPr>
          <w:rFonts w:asciiTheme="majorBidi" w:hAnsiTheme="majorBidi" w:cstheme="majorBidi"/>
          <w:color w:val="000000" w:themeColor="text1"/>
          <w:sz w:val="24"/>
          <w:szCs w:val="24"/>
        </w:rPr>
        <w:t>.</w:t>
      </w:r>
    </w:p>
    <w:p w14:paraId="56AC57FA"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المجالات العملية المتأثرة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يُعدّ نطاق عمل المحامي من أكثر المجالات القابلة للتأثر المباشر بالتقنيات الذكية، إذ بدأت التطبيقات الحديثة تتغلغل في صميم الأعمال اليومية للمكاتب القانونية، مثل</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2CB803B6"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تحليل النصوص 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من خلال برمجيات قادرة على استخراج السوابق والأحكام ذات الصلة بسرعة عالية</w:t>
      </w:r>
    </w:p>
    <w:p w14:paraId="2A733A8E"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صياغة العقود</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أدوات توليد النصوص التي تنتج مسودات مبدئية للعقود اعتمادًا على مدخلات المستخدم</w:t>
      </w:r>
      <w:r>
        <w:rPr>
          <w:rFonts w:asciiTheme="majorBidi" w:hAnsiTheme="majorBidi" w:cstheme="majorBidi"/>
          <w:color w:val="000000" w:themeColor="text1"/>
          <w:sz w:val="24"/>
          <w:szCs w:val="24"/>
        </w:rPr>
        <w:t>.</w:t>
      </w:r>
    </w:p>
    <w:p w14:paraId="219A2078"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إدارة القضايا</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باستخدام أنظمة رقمية تسجل المواعيد والمذكرات وتتابع مراحل التقاضي</w:t>
      </w:r>
      <w:r>
        <w:rPr>
          <w:rFonts w:asciiTheme="majorBidi" w:hAnsiTheme="majorBidi" w:cstheme="majorBidi"/>
          <w:color w:val="000000" w:themeColor="text1"/>
          <w:sz w:val="24"/>
          <w:szCs w:val="24"/>
        </w:rPr>
        <w:t>.</w:t>
      </w:r>
    </w:p>
    <w:p w14:paraId="30DC6EFD"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التنبؤ بالأحكام</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نماذج تعلم آلي تقيّم احتمالات النجاح في الدعاوى بناءً على بيانات سابقة</w:t>
      </w:r>
      <w:r>
        <w:rPr>
          <w:rFonts w:asciiTheme="majorBidi" w:hAnsiTheme="majorBidi" w:cstheme="majorBidi"/>
          <w:color w:val="000000" w:themeColor="text1"/>
          <w:sz w:val="24"/>
          <w:szCs w:val="24"/>
        </w:rPr>
        <w:t>.</w:t>
      </w:r>
    </w:p>
    <w:p w14:paraId="139AC01F"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وقد أوضح بعض الباحثين</w:t>
      </w:r>
      <w:r>
        <w:rPr>
          <w:rStyle w:val="af"/>
          <w:rFonts w:asciiTheme="majorBidi" w:hAnsiTheme="majorBidi" w:cstheme="majorBidi"/>
          <w:color w:val="000000" w:themeColor="text1"/>
          <w:sz w:val="24"/>
          <w:szCs w:val="24"/>
          <w:rtl/>
        </w:rPr>
        <w:footnoteReference w:id="45"/>
      </w:r>
      <w:r>
        <w:rPr>
          <w:rFonts w:asciiTheme="majorBidi" w:hAnsiTheme="majorBidi" w:cstheme="majorBidi"/>
          <w:color w:val="000000" w:themeColor="text1"/>
          <w:sz w:val="24"/>
          <w:szCs w:val="24"/>
          <w:rtl/>
        </w:rPr>
        <w:t xml:space="preserve"> في بحثه </w:t>
      </w:r>
      <w:r>
        <w:rPr>
          <w:rFonts w:asciiTheme="majorBidi" w:hAnsiTheme="majorBidi" w:cstheme="majorBidi"/>
          <w:i/>
          <w:iCs/>
          <w:color w:val="000000" w:themeColor="text1"/>
          <w:sz w:val="24"/>
          <w:szCs w:val="24"/>
          <w:rtl/>
        </w:rPr>
        <w:t>مدى ملاءمة العقود الذكية المبرمة عبر تقنية البلوكشين لقانون العقود</w:t>
      </w:r>
      <w:r>
        <w:rPr>
          <w:rFonts w:asciiTheme="majorBidi" w:hAnsiTheme="majorBidi" w:cstheme="majorBidi"/>
          <w:color w:val="000000" w:themeColor="text1"/>
          <w:sz w:val="24"/>
          <w:szCs w:val="24"/>
          <w:rtl/>
        </w:rPr>
        <w:t xml:space="preserve"> أن هذه الأدوات القانونية الذكية تمثل نقلة نوعية في تنظيم التعاملات، لكنها تثير تساؤلات عميقة حول مدى اعتبارها من قبيل "العمل القانوني" بالمعنى المقصود في نظام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فالمحامي في النظام السعودي يُفترض أن يُمارس العمل القانوني شخصيًا، بينما تقوم هذه الأنظمة بأداء مهام تحليلية وصياغية كانت تُعد جزءًا من جوهر المهنة</w:t>
      </w:r>
      <w:r>
        <w:rPr>
          <w:rFonts w:asciiTheme="majorBidi" w:hAnsiTheme="majorBidi" w:cstheme="majorBidi"/>
          <w:color w:val="000000" w:themeColor="text1"/>
          <w:sz w:val="24"/>
          <w:szCs w:val="24"/>
        </w:rPr>
        <w:t>.</w:t>
      </w:r>
    </w:p>
    <w:p w14:paraId="32C9216E"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الذكاء الاصطناعي كمساعد قانوني لا كممارس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يتفق غالب الباحثين السعوديين، ومنهم بعض الباحثين</w:t>
      </w:r>
      <w:r>
        <w:rPr>
          <w:rStyle w:val="af"/>
          <w:rFonts w:asciiTheme="majorBidi" w:hAnsiTheme="majorBidi" w:cstheme="majorBidi"/>
          <w:color w:val="000000" w:themeColor="text1"/>
          <w:sz w:val="24"/>
          <w:szCs w:val="24"/>
          <w:rtl/>
        </w:rPr>
        <w:footnoteReference w:id="46"/>
      </w:r>
      <w:r>
        <w:rPr>
          <w:rFonts w:asciiTheme="majorBidi" w:hAnsiTheme="majorBidi" w:cstheme="majorBidi"/>
          <w:color w:val="000000" w:themeColor="text1"/>
          <w:sz w:val="24"/>
          <w:szCs w:val="24"/>
          <w:rtl/>
        </w:rPr>
        <w:t>، على أن الذكاء الاصطناعي لا يمكن أن يرقى إلى مرتبة "الممارس القانوني"، لافتقاده الأهلية والتمييز والإرادة، وهي مقومات جوهرية في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لكنهم يؤكدون في الوقت ذاته أن الذكاء الاصطناعي يمكن أن يُستثمر كـ"مساعد قانوني" يُسند إليه جمع المعلومات وتحليلها، أو المساعدة في صياغة المستندات، مع بقاء المحامي المسؤول النظامي عن صحة العمل ونتيجته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أظهرت إحدى الدراسات </w:t>
      </w:r>
      <w:r>
        <w:rPr>
          <w:rFonts w:asciiTheme="majorBidi" w:hAnsiTheme="majorBidi" w:cstheme="majorBidi"/>
          <w:i/>
          <w:iCs/>
          <w:color w:val="000000" w:themeColor="text1"/>
          <w:sz w:val="24"/>
          <w:szCs w:val="24"/>
          <w:rtl/>
        </w:rPr>
        <w:t>المسؤولية المدنية عن أفعال الذكاء الاصطناعي</w:t>
      </w:r>
      <w:r>
        <w:rPr>
          <w:rFonts w:asciiTheme="majorBidi" w:hAnsiTheme="majorBidi" w:cstheme="majorBidi"/>
          <w:color w:val="000000" w:themeColor="text1"/>
          <w:sz w:val="24"/>
          <w:szCs w:val="24"/>
          <w:rtl/>
        </w:rPr>
        <w:t xml:space="preserve"> أن التقنية تُعتبر امتدادًا لأداة المحامي المهنية، مثل الباحث المساعد أو المستشار المتدرب، ولا يمكن فصل نتائجها عن مسؤولية من يستخدمها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نطاق العمل القانوني في النظام السعودي سيبقى مرتبطًا بالمحامي الإنسان، على أن تُنظَّم الأدوات الذكية بوصفها وسائل ضمنية داخل هذا النطاق، لا جهات فاعلة مستقلة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69144D54"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أثر الذكاء الاصطناعي على هيكلة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أدى دخول الأدوات الذكية إلى إعادة تشكيل بيئة العمل داخل مكاتب المحاماة في المملكة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فالمكاتب الكبيرة أصبحت تخصص أقسامًا تقنية لتحليل القضايا، وتطوير نماذج الذكاء الاصطناعي الخاصة بها، بينما تتجه المكاتب الصغيرة إلى الاستعانة بمنصات جاهزة تقدم خدمات قانونية 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بيّن بعض الباحثين</w:t>
      </w:r>
      <w:r>
        <w:rPr>
          <w:rStyle w:val="af"/>
          <w:rFonts w:asciiTheme="majorBidi" w:hAnsiTheme="majorBidi" w:cstheme="majorBidi"/>
          <w:color w:val="000000" w:themeColor="text1"/>
          <w:sz w:val="24"/>
          <w:szCs w:val="24"/>
          <w:rtl/>
        </w:rPr>
        <w:footnoteReference w:id="47"/>
      </w:r>
      <w:r>
        <w:rPr>
          <w:rFonts w:asciiTheme="majorBidi" w:hAnsiTheme="majorBidi" w:cstheme="majorBidi"/>
          <w:color w:val="000000" w:themeColor="text1"/>
          <w:sz w:val="24"/>
          <w:szCs w:val="24"/>
          <w:rtl/>
        </w:rPr>
        <w:t xml:space="preserve"> في بحثه </w:t>
      </w:r>
      <w:r>
        <w:rPr>
          <w:rFonts w:asciiTheme="majorBidi" w:hAnsiTheme="majorBidi" w:cstheme="majorBidi"/>
          <w:i/>
          <w:iCs/>
          <w:color w:val="000000" w:themeColor="text1"/>
          <w:sz w:val="24"/>
          <w:szCs w:val="24"/>
          <w:rtl/>
        </w:rPr>
        <w:t>الذكاء الاصطناعي ودوره في إبرام العقود التجارية الذكية</w:t>
      </w:r>
      <w:r>
        <w:rPr>
          <w:rFonts w:asciiTheme="majorBidi" w:hAnsiTheme="majorBidi" w:cstheme="majorBidi"/>
          <w:color w:val="000000" w:themeColor="text1"/>
          <w:sz w:val="24"/>
          <w:szCs w:val="24"/>
          <w:rtl/>
        </w:rPr>
        <w:t xml:space="preserve"> أن هذا التحول يخلق نوعًا جديدًا من المكاتب القانونية "الهجينة" التي تجمع بين الخبرة البشرية والأنظمة الذكية في تقديم الخدمة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التوسع التقني يحتاج إلى ضبط تشريعي واضح يحفظ خصوصية المهنة ويمنع تهميش العنصر البشري، خاصة في الأعمال التي تتطلب تقديرًا قانونيًا واجتهادًا شخصيًا لا يمكن أتمتته</w:t>
      </w:r>
      <w:r>
        <w:rPr>
          <w:rFonts w:asciiTheme="majorBidi" w:hAnsiTheme="majorBidi" w:cstheme="majorBidi"/>
          <w:color w:val="000000" w:themeColor="text1"/>
          <w:sz w:val="24"/>
          <w:szCs w:val="24"/>
        </w:rPr>
        <w:t>.</w:t>
      </w:r>
    </w:p>
    <w:p w14:paraId="4AE77D96" w14:textId="77777777" w:rsidR="00C00F5F" w:rsidRPr="00C00F5F" w:rsidRDefault="00122234"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التحديات النظامية المرتبطة بتوسّع نطاق العمل الذكي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تواجه مكاتب المحاماة السعودية عدة تحديات مع ازدياد اعتمادها على الذكاء الاصطناعي، من أبرزها</w:t>
      </w:r>
      <w:r>
        <w:rPr>
          <w:rFonts w:asciiTheme="majorBidi" w:hAnsiTheme="majorBidi" w:cstheme="majorBidi"/>
          <w:color w:val="000000" w:themeColor="text1"/>
          <w:sz w:val="24"/>
          <w:szCs w:val="24"/>
        </w:rPr>
        <w:t>:</w:t>
      </w:r>
    </w:p>
    <w:p w14:paraId="2DC9B6D0"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غياب المعايير التي تحدد مسؤولية المحامي عند استخدام أدوات ذكية في تحليل البيانات أو صياغة العقود</w:t>
      </w:r>
      <w:r>
        <w:rPr>
          <w:rFonts w:asciiTheme="majorBidi" w:hAnsiTheme="majorBidi" w:cstheme="majorBidi"/>
          <w:color w:val="000000" w:themeColor="text1"/>
          <w:sz w:val="24"/>
          <w:szCs w:val="24"/>
        </w:rPr>
        <w:t>.</w:t>
      </w:r>
    </w:p>
    <w:p w14:paraId="2E7722CE"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عدم وضوح موقف النظام من التعامل مع المنصات الأجنبية أو البرامج السحابية التي تعالج بيانات الموكلين خارج المملكة</w:t>
      </w:r>
      <w:r>
        <w:rPr>
          <w:rFonts w:asciiTheme="majorBidi" w:hAnsiTheme="majorBidi" w:cstheme="majorBidi"/>
          <w:color w:val="000000" w:themeColor="text1"/>
          <w:sz w:val="24"/>
          <w:szCs w:val="24"/>
        </w:rPr>
        <w:t>.</w:t>
      </w:r>
    </w:p>
    <w:p w14:paraId="2B7EF920"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الحاجة إلى قواعد واضحة بشأن حجية المخرجات التقنية أمام القضاء، ومدى اعتبارها أدلة أو قرائن قانونية</w:t>
      </w:r>
      <w:r>
        <w:rPr>
          <w:rFonts w:asciiTheme="majorBidi" w:hAnsiTheme="majorBidi" w:cstheme="majorBidi"/>
          <w:color w:val="000000" w:themeColor="text1"/>
          <w:sz w:val="24"/>
          <w:szCs w:val="24"/>
        </w:rPr>
        <w:t>.</w:t>
      </w:r>
    </w:p>
    <w:p w14:paraId="4128149F"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غياب التنظيم المهني الذي يُلزم المكاتب باتباع معايير أمن المعلومات عند التعامل مع القضايا الإلكترونية</w:t>
      </w:r>
      <w:r>
        <w:rPr>
          <w:rFonts w:asciiTheme="majorBidi" w:hAnsiTheme="majorBidi" w:cstheme="majorBidi"/>
          <w:color w:val="000000" w:themeColor="text1"/>
          <w:sz w:val="24"/>
          <w:szCs w:val="24"/>
        </w:rPr>
        <w:t>.</w:t>
      </w:r>
    </w:p>
    <w:p w14:paraId="39ABE2FE"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وقد تناولت رسالة قاسم</w:t>
      </w:r>
      <w:r>
        <w:rPr>
          <w:rStyle w:val="af"/>
          <w:rFonts w:asciiTheme="majorBidi" w:hAnsiTheme="majorBidi" w:cstheme="majorBidi"/>
          <w:color w:val="000000" w:themeColor="text1"/>
          <w:sz w:val="24"/>
          <w:szCs w:val="24"/>
          <w:rtl/>
        </w:rPr>
        <w:footnoteReference w:id="48"/>
      </w:r>
      <w:r>
        <w:rPr>
          <w:rFonts w:asciiTheme="majorBidi" w:hAnsiTheme="majorBidi" w:cstheme="majorBidi"/>
          <w:color w:val="000000" w:themeColor="text1"/>
          <w:sz w:val="24"/>
          <w:szCs w:val="24"/>
          <w:rtl/>
        </w:rPr>
        <w:t xml:space="preserve"> </w:t>
      </w:r>
      <w:r>
        <w:rPr>
          <w:rFonts w:asciiTheme="majorBidi" w:hAnsiTheme="majorBidi" w:cstheme="majorBidi"/>
          <w:i/>
          <w:iCs/>
          <w:color w:val="000000" w:themeColor="text1"/>
          <w:sz w:val="24"/>
          <w:szCs w:val="24"/>
          <w:rtl/>
        </w:rPr>
        <w:t>دور الذكاء الاصطناعي في مكافحة الجريمة الإلكترونية</w:t>
      </w:r>
      <w:r>
        <w:rPr>
          <w:rFonts w:asciiTheme="majorBidi" w:hAnsiTheme="majorBidi" w:cstheme="majorBidi"/>
          <w:color w:val="000000" w:themeColor="text1"/>
          <w:sz w:val="24"/>
          <w:szCs w:val="24"/>
          <w:rtl/>
        </w:rPr>
        <w:t xml:space="preserve"> هذه الإشكالات من زاوية أمنية، موضحة أن الإخلال بأمن البيانات في المهن القانونية قد يؤدي إلى مسؤولية جزائية ومهنية في الوقت نفسه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يبرز الحاجة إلى بناء منظومة تشريعية متكاملة تربط بين نظام المحاماة ونظام حماية البيانات ونظام الجرائم المعلوماتية</w:t>
      </w:r>
      <w:r>
        <w:rPr>
          <w:rFonts w:asciiTheme="majorBidi" w:hAnsiTheme="majorBidi" w:cstheme="majorBidi"/>
          <w:color w:val="000000" w:themeColor="text1"/>
          <w:sz w:val="24"/>
          <w:szCs w:val="24"/>
        </w:rPr>
        <w:t>.</w:t>
      </w:r>
    </w:p>
    <w:p w14:paraId="122FEBD7"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وفي هذا السياق، طالب بعض الباحثين (د.ت) بضرورة تشييد منظومة تشريعية متكاملة تجمع بين نظام المحاماة ونظام حماية البيانات الشخصية، مقترحًا أن تُنشأ لجنة مشتركة بين هيئة المحامين السعوديين وهيئة سدايا للبيانات والذكاء الاصطناعي بهدف وضع ضوابط قانونية تفصيلية تحكم استخدام الأنظمة الذكية في تقديم الخدمات القانونية.</w:t>
      </w:r>
      <w:r>
        <w:rPr>
          <w:rtl/>
        </w:rPr>
        <w:footnoteReference w:id="49"/>
      </w:r>
    </w:p>
    <w:p w14:paraId="5377481C"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وقد أسهمت دراسة غاسم (2022م) المعنونة "دور الذكاء الاصطناعي في مكافحة الجريمة الإلكترونية - دراسة مقارنة" في تأصيل العلاقة بين التقنيات الذكية ومنظومة مكافحة الجرائم الإلكترونية، إذ أكدت الدراسة أن استخدام الذكاء الاصطناعي داخل المكاتب القانونية يفرض على المحامي التزامًا مزدوجًا: الالتزام بالسرية تجاه موكليه، والالتزام بالإفصاح الكافي عن البنية التقنية لأدوات العمل.</w:t>
      </w:r>
      <w:r>
        <w:rPr>
          <w:rtl/>
        </w:rPr>
        <w:footnoteReference w:id="50"/>
      </w:r>
    </w:p>
    <w:p w14:paraId="22162C12" w14:textId="77777777" w:rsidR="00C00F5F" w:rsidRPr="00C00F5F" w:rsidRDefault="00122234" w:rsidP="002A34E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الرؤية المستقبلية لنطاق العمل المهني في ظل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إدماج الذكاء الاصطناعي في نطاق عمل المحامي لا يُعد مسألة اختيارية بقدر ما هو تطور حتمي تفرضه بيئة العمل القانونية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 هذا الإدماج يجب أن يتم في إطار يضمن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7A57678"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الرؤية المستقبلية من منظور مقارن، استحضر بعض الباحثين تجربة منصة ROSS الأمريكية التي رفعت إنتاجية محامي البحث القانوني بنسبة تزيد على 40%، مُشيرَين إلى أن هذا المثال يُبرهن على أن الفائدة التطبيقية للذكاء الاصطناعي القانوني حقيقية لا وهمية، وأن القضية الجوهرية ليست في قبول التقنية أو رفضها، بل في صياغة إطار يجعل هذا القبول رشيداً ومنضبطاً.</w:t>
      </w:r>
      <w:r>
        <w:rPr>
          <w:rtl/>
        </w:rPr>
        <w:footnoteReference w:id="51"/>
      </w:r>
    </w:p>
    <w:p w14:paraId="31BEC1D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يتعلق بالإطار الضامن لإدماج الذكاء الاصطناعي في العمل القانوني، وضع بعض الباحثين شروطاً ثلاثة لأي إدماج رشيد: أولاً التحقق المستقل من دقة النظام وموثوقيته، وثانياً الإفصاح للموكل بطبيعة الأداة المستخدمة، وثالثاً الاحتفاظ بالقرار الأخير في أيدي المهني المرخّص القادر على تحمّل المسؤولية القانونية.</w:t>
      </w:r>
      <w:r>
        <w:rPr>
          <w:rtl/>
        </w:rPr>
        <w:footnoteReference w:id="52"/>
      </w:r>
    </w:p>
    <w:p w14:paraId="7E1E6229"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 xml:space="preserve">وعلى صعيد الرؤية المستقبلية، أكد بعض الباحثين أن التحول الرقمي في المنظومة القضائية لا يُشكّل تهديداً وجودياً لمهنة المحاماة، بل هو إعادة ترتيب لنطاق مهامها؛ إذ إن المحامي سيُركّز طاقته على الجوانب التفاوضية </w:t>
      </w:r>
      <w:r>
        <w:rPr>
          <w:rFonts w:asciiTheme="majorBidi" w:hAnsiTheme="majorBidi" w:cstheme="majorBidi"/>
          <w:sz w:val="24"/>
          <w:szCs w:val="24"/>
          <w:rtl/>
        </w:rPr>
        <w:lastRenderedPageBreak/>
        <w:t>والإبداعية والأخلاقية التي تستعصي على الخوارزمية، في حين تتولى الأخيرة المهام الروتينية كالبحث والتصنيف والمعالجة النصية.</w:t>
      </w:r>
      <w:r>
        <w:rPr>
          <w:rtl/>
        </w:rPr>
        <w:footnoteReference w:id="53"/>
      </w:r>
    </w:p>
    <w:p w14:paraId="6EA8CD08"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غير أن الجلعود تُنبّه إلى أن إدماج الذكاء الاصطناعي في الإجراءات القضائية يجب أن يمر بمرحلة تقييم مستقل تتولى فيها جهة محايدة التحقق من دقة النظام واتساقه وخلوّه من التحيز قبل اعتماده رسمياً، مستندةً في ذلك إلى تجارب قضائية أوروبية أثبتت أن أنظمة تنبؤ بالمخاطر الجنائية انطوت على تحيزات طائفية لم تُكشف إلا بعد نشرها.</w:t>
      </w:r>
      <w:r>
        <w:rPr>
          <w:rtl/>
        </w:rPr>
        <w:footnoteReference w:id="54"/>
      </w:r>
    </w:p>
    <w:p w14:paraId="5CCE9BC6"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وعلى صعيد الرؤية المستقبلية لنطاق العمل القانوني في ظل الذكاء الاصطناعي، ذهب بعض الباحثين إلى أن التحول التقني لن يُلغي دور المحامي بل سيُعيد رسم نطاق مهمته؛ إذ ستنتقل قيمته من الاضطلاع بالمهام التكرارية كالبحث والصياغة الأولية إلى التركيز على الجوانب التفاوضية والاستراتيجية والتأويلية التي تحتاج إلى الحكمة الإنسانية، غير أن هذا الانتقال يستلزم مراجعة شاملة لمناهج التدريب القانوني وأخلاقيات المهنة.</w:t>
      </w:r>
      <w:r>
        <w:rPr>
          <w:rtl/>
        </w:rPr>
        <w:footnoteReference w:id="55"/>
      </w:r>
    </w:p>
    <w:p w14:paraId="7D3ADC1C"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بقاء العنصر الإنساني في مركز اتخاذ القرار القانوني</w:t>
      </w:r>
      <w:r>
        <w:rPr>
          <w:rFonts w:asciiTheme="majorBidi" w:hAnsiTheme="majorBidi" w:cstheme="majorBidi"/>
          <w:color w:val="000000" w:themeColor="text1"/>
          <w:sz w:val="24"/>
          <w:szCs w:val="24"/>
        </w:rPr>
        <w:t>.</w:t>
      </w:r>
    </w:p>
    <w:p w14:paraId="561B0E90"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وعلى الصعيد الحقوقي، نبّهت عبد الرحمن إلى أن إقصاء العنصر الإنساني من مركز اتخاذ القرار القانوني قد يُشكّل انتهاكاً لحق المتقاضي في التمثيل القانوني الحقيقي، لأن المادة السادسة من الإعلان العالمي لحقوق الإنسان تُكرّس حق كل شخص في التمثيل القانوني الفعّال، وهو حق يستلزم وجود محامٍ إنساني يتحمل المسؤولية الفعلية لا مجرد تحقق من مخرجات آلية.</w:t>
      </w:r>
      <w:r>
        <w:rPr>
          <w:rtl/>
        </w:rPr>
        <w:footnoteReference w:id="56"/>
      </w:r>
    </w:p>
    <w:p w14:paraId="670A95D5"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الجنائي لهذه المسألة، شدّد العطار والنوايسة على أن بقاء العنصر الإنساني في مركز اتخاذ القرار القانوني ليس خياراً يُترك للممارسين، بل هو اشتراط نظامي يترتب على تجاهله قيام المسؤولية الجنائية في حالات الإهمال الجسيم، مستدلَّين على ذلك بالمبدأ الجزائي العام القائل بأن المتسبب بالإهمال يتحمل من المسؤولية ما يتحمله المباشر في بعض الصور.</w:t>
      </w:r>
      <w:r>
        <w:rPr>
          <w:rtl/>
        </w:rPr>
        <w:footnoteReference w:id="57"/>
      </w:r>
    </w:p>
    <w:p w14:paraId="1C22FF5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ذاته، أكدت الخميسي أن بقاء العنصر الإنساني في مركز اتخاذ القرار القانوني ليس مجرد ضمانة أخلاقية، بل هو اشتراط قانوني يمسّ صحة التصرفات القانونية وحجيتها؛ إذ إن القرار الصادر عن نظام آلي دون مراجعة إنسانية قد يُطعن في صحته من حيث الإرادة وانعدام الشخصية القانونية للنظام.</w:t>
      </w:r>
      <w:r>
        <w:rPr>
          <w:rtl/>
        </w:rPr>
        <w:footnoteReference w:id="58"/>
      </w:r>
    </w:p>
    <w:p w14:paraId="05A9B8B2"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وضوح حدود المسؤولية المهنية عن الأعمال الذكية</w:t>
      </w:r>
      <w:r>
        <w:rPr>
          <w:rFonts w:asciiTheme="majorBidi" w:hAnsiTheme="majorBidi" w:cstheme="majorBidi"/>
          <w:color w:val="000000" w:themeColor="text1"/>
          <w:sz w:val="24"/>
          <w:szCs w:val="24"/>
        </w:rPr>
        <w:t>.</w:t>
      </w:r>
    </w:p>
    <w:p w14:paraId="5B1F3837"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حماية بيانات الموكلين والمستندات القانونية من المخاطر التقنية</w:t>
      </w:r>
      <w:r>
        <w:rPr>
          <w:rFonts w:asciiTheme="majorBidi" w:hAnsiTheme="majorBidi" w:cstheme="majorBidi"/>
          <w:color w:val="000000" w:themeColor="text1"/>
          <w:sz w:val="24"/>
          <w:szCs w:val="24"/>
        </w:rPr>
        <w:t>.</w:t>
      </w:r>
    </w:p>
    <w:p w14:paraId="57BC6E9F"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توفير معايير مهنية وطنية لاستخدام الذكاء الاصطناعي في المهنة</w:t>
      </w:r>
      <w:r>
        <w:rPr>
          <w:rFonts w:asciiTheme="majorBidi" w:hAnsiTheme="majorBidi" w:cstheme="majorBidi"/>
          <w:color w:val="000000" w:themeColor="text1"/>
          <w:sz w:val="24"/>
          <w:szCs w:val="24"/>
        </w:rPr>
        <w:t>.</w:t>
      </w:r>
    </w:p>
    <w:p w14:paraId="72EC9F07" w14:textId="77777777" w:rsidR="0016208C"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ويُتوقع أن تشهد المرحلة القادمة سنّ لوائح مهنية جديدة تُعالج هذه المسائل، بحيث يصبح الذكاء الاصطناعي جزءًا من منظومة الممارسة القانونية المنظمة، لا أداة عشوائية خارج الرقابة العدلية</w:t>
      </w:r>
      <w:r>
        <w:rPr>
          <w:rFonts w:asciiTheme="majorBidi" w:hAnsiTheme="majorBidi" w:cstheme="majorBidi" w:hint="cs"/>
          <w:color w:val="000000" w:themeColor="text1"/>
          <w:sz w:val="24"/>
          <w:szCs w:val="24"/>
          <w:rtl/>
        </w:rPr>
        <w:t>.</w:t>
      </w:r>
    </w:p>
    <w:p w14:paraId="7A9DC481" w14:textId="77777777" w:rsidR="00D41CB7" w:rsidRPr="00BC5F38" w:rsidRDefault="00D41CB7" w:rsidP="00D41CB7">
      <w:pPr>
        <w:jc w:val="right"/>
        <w:rPr>
          <w:rFonts w:asciiTheme="majorBidi" w:hAnsiTheme="majorBidi" w:cstheme="majorBidi"/>
          <w:color w:val="000000" w:themeColor="text1"/>
          <w:sz w:val="24"/>
          <w:szCs w:val="24"/>
        </w:rPr>
      </w:pPr>
    </w:p>
    <w:p w14:paraId="11887789" w14:textId="77777777" w:rsidR="0016208C" w:rsidRPr="0016208C" w:rsidRDefault="0016208C" w:rsidP="0016208C">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خامسًا: دور اللائحة التنفيذية ومساحة المرونة التقنية</w:t>
      </w:r>
      <w:r>
        <w:rPr>
          <w:rFonts w:asciiTheme="majorBidi" w:hAnsiTheme="majorBidi" w:cstheme="majorBidi" w:hint="cs"/>
          <w:b/>
          <w:bCs/>
          <w:color w:val="000000" w:themeColor="text1"/>
          <w:sz w:val="24"/>
          <w:szCs w:val="24"/>
          <w:rtl/>
        </w:rPr>
        <w:t>:</w:t>
      </w:r>
    </w:p>
    <w:p w14:paraId="3B5E812F"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تُعد اللائحة التنفيذية لنظام المحاماة من أبرز الأدوات التنظيمية التي منحت المشرّع السعودي مساحة مرنة للتعامل مع متغيرات المهنة ومواكبة التطورات التقنية دون الحاجة إلى تعديل النظام الأساسي في كل مرحلة. فهي تمثل الإطار الإجرائي التطبيقي لنظام المحاماة الصادر عام 1422هـ، وتأتي لتفصيل ما ورد فيه من أحكام عامة تتعلق بالقيد والترخيص ومزاولة المهنة وآدابها وتأديب المخالفين. وقد صدر آخر تحديث شامل للائحة بقرار وزير العدل رقم </w:t>
      </w:r>
      <w:r>
        <w:rPr>
          <w:rFonts w:asciiTheme="majorBidi" w:hAnsiTheme="majorBidi" w:cstheme="majorBidi"/>
          <w:color w:val="000000" w:themeColor="text1"/>
          <w:sz w:val="24"/>
          <w:szCs w:val="24"/>
        </w:rPr>
        <w:t xml:space="preserve">(5165) </w:t>
      </w:r>
      <w:r>
        <w:rPr>
          <w:rFonts w:asciiTheme="majorBidi" w:hAnsiTheme="majorBidi" w:cstheme="majorBidi"/>
          <w:color w:val="000000" w:themeColor="text1"/>
          <w:sz w:val="24"/>
          <w:szCs w:val="24"/>
          <w:rtl/>
        </w:rPr>
        <w:t xml:space="preserve">بتاريخ </w:t>
      </w:r>
      <w:r>
        <w:rPr>
          <w:rFonts w:asciiTheme="majorBidi" w:hAnsiTheme="majorBidi" w:cstheme="majorBidi"/>
          <w:color w:val="000000" w:themeColor="text1"/>
          <w:sz w:val="24"/>
          <w:szCs w:val="24"/>
        </w:rPr>
        <w:t>12 / 3 / 1441</w:t>
      </w:r>
      <w:r>
        <w:rPr>
          <w:rFonts w:asciiTheme="majorBidi" w:hAnsiTheme="majorBidi" w:cstheme="majorBidi"/>
          <w:color w:val="000000" w:themeColor="text1"/>
          <w:sz w:val="24"/>
          <w:szCs w:val="24"/>
          <w:rtl/>
        </w:rPr>
        <w:t>هـ، وهو قرار منشور في بوابة وزارة العدل الرسمية، ما يجعل الإشارة إليه ضرورية توثيقيًا عند تناول الإطار التنظيمي المعاصر للمهنة</w:t>
      </w:r>
      <w:r>
        <w:rPr>
          <w:rFonts w:asciiTheme="majorBidi" w:hAnsiTheme="majorBidi" w:cstheme="majorBidi"/>
          <w:color w:val="000000" w:themeColor="text1"/>
          <w:sz w:val="24"/>
          <w:szCs w:val="24"/>
        </w:rPr>
        <w:t>.</w:t>
      </w:r>
    </w:p>
    <w:p w14:paraId="338ECDAE"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ويكتسب هذا التحديث أهميته من كونه جاء في ظل بيئة عدلية تشهد تحوّلًا رقميًا واسعًا، مما جعل اللائحة أكثر انفتاحًا على استيعاب الممارسات الإلكترونية الحديثة، وإن لم تتضمن نصوصًا مباشرة تتناول تقنيات الذكاء الاصطناعي أو الأتمتة القانونية. وتتميز اللائحة بمرونتها التشريعية، إذ تصدر بقرار من وزير العدل، ما يمنحها قابلية أسرع للتعديل مقارنة بالنظام ذاته الذي يحتاج إلى إجراءات تشريعية أطول</w:t>
      </w:r>
      <w:r>
        <w:rPr>
          <w:rFonts w:asciiTheme="majorBidi" w:hAnsiTheme="majorBidi" w:cstheme="majorBidi"/>
          <w:color w:val="000000" w:themeColor="text1"/>
          <w:sz w:val="24"/>
          <w:szCs w:val="24"/>
        </w:rPr>
        <w:t>.</w:t>
      </w:r>
    </w:p>
    <w:p w14:paraId="08754B61"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هذه المرونة من خلال إمكانية توظيف اللائحة في تنظيم عدد من التطبيقات التقنية الحديثة داخل مكاتب المحاماة، من خلال أمثلة عملية، من أبرزها</w:t>
      </w:r>
      <w:r>
        <w:rPr>
          <w:rFonts w:asciiTheme="majorBidi" w:hAnsiTheme="majorBidi" w:cstheme="majorBidi"/>
          <w:color w:val="000000" w:themeColor="text1"/>
          <w:sz w:val="24"/>
          <w:szCs w:val="24"/>
        </w:rPr>
        <w:t>:</w:t>
      </w:r>
    </w:p>
    <w:p w14:paraId="16D98070"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تنظيم استخدام الأنظمة الذكية في إدارة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يمكن للائحة أن تنص على أن الأنظمة التقنية التي تُستخدم لإدارة ملفات القضايا يجب أن تكون مرخّصة وملتزمة بمعايير حماية البيانات، مع إلزام مكاتب المحاماة بتوثيق أي معالجة إلكترونية للبيانات القانونية</w:t>
      </w:r>
      <w:r>
        <w:rPr>
          <w:rFonts w:asciiTheme="majorBidi" w:hAnsiTheme="majorBidi" w:cstheme="majorBidi"/>
          <w:color w:val="000000" w:themeColor="text1"/>
          <w:sz w:val="24"/>
          <w:szCs w:val="24"/>
        </w:rPr>
        <w:t>.</w:t>
      </w:r>
    </w:p>
    <w:p w14:paraId="31210502"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وضع معايير مهنية لاستخدام أدوات الذكاء الاصطناعي في تحليل المستندات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النص على واجب المحامي في مراجعة المخرجات التي تولدها الأنظمة الذكية، وعدم اعتماد النتائج الآلية دون تدقيق قانوني بشري، حماية لحقوق الموكلين ومنع الأخطاء المهنية الناتجة عن الاعتماد الكلي على التقنية</w:t>
      </w:r>
      <w:r>
        <w:rPr>
          <w:rFonts w:asciiTheme="majorBidi" w:hAnsiTheme="majorBidi" w:cstheme="majorBidi"/>
          <w:color w:val="000000" w:themeColor="text1"/>
          <w:sz w:val="24"/>
          <w:szCs w:val="24"/>
        </w:rPr>
        <w:t>.</w:t>
      </w:r>
    </w:p>
    <w:p w14:paraId="5AC9D9AB"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تنظيم وسائل الأمان السيبراني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خلال تضمين اللائحة نصوصًا تُلزم المكاتب باستخدام بروتوكولات حماية إلكترونية معينة، وتشفير الملفات، والالتزام بما ورد في نظام حماية البيانات الشخصية في شأن أمن المعلومات</w:t>
      </w:r>
      <w:r>
        <w:rPr>
          <w:rFonts w:asciiTheme="majorBidi" w:hAnsiTheme="majorBidi" w:cstheme="majorBidi"/>
          <w:color w:val="000000" w:themeColor="text1"/>
          <w:sz w:val="24"/>
          <w:szCs w:val="24"/>
        </w:rPr>
        <w:t>.</w:t>
      </w:r>
    </w:p>
    <w:p w14:paraId="0CB05AF4"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ضبط استخدام المنصات الرقمية في صياغة العقود والمذكرات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اشتراط أن تكون منصات الصياغة القانونية المستعانة بها معتمدة رسميًا، أو أن تخضع لرقابة تقنية من الجهات المختصة لضمان التزامها بمبادئ الشفافية والسرية</w:t>
      </w:r>
      <w:r>
        <w:rPr>
          <w:rFonts w:asciiTheme="majorBidi" w:hAnsiTheme="majorBidi" w:cstheme="majorBidi"/>
          <w:color w:val="000000" w:themeColor="text1"/>
          <w:sz w:val="24"/>
          <w:szCs w:val="24"/>
        </w:rPr>
        <w:t>.</w:t>
      </w:r>
    </w:p>
    <w:p w14:paraId="649DF05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إحدى الدراسات حول “الضوابط القانونية للذكاء الاصطناعي في إبرام المعاملات القانونية” إلى أن المشرع السعودي يملك من خلال الأدوات التنفيذية قدرة مرنة على تنظيم المسائل التقنية عبر القرارات الوزارية دون الإخلال بالهيكل التشريعي العام، وهو ما ينسجم مع طبيعة اللائحة التنفيذية لنظام المحاماة</w:t>
      </w:r>
      <w:r>
        <w:rPr>
          <w:rFonts w:asciiTheme="majorBidi" w:hAnsiTheme="majorBidi" w:cstheme="majorBidi"/>
          <w:color w:val="000000" w:themeColor="text1"/>
          <w:sz w:val="24"/>
          <w:szCs w:val="24"/>
        </w:rPr>
        <w:t>.</w:t>
      </w:r>
    </w:p>
    <w:p w14:paraId="1A1A588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يؤكد بعض الباحثين في دراساتهم حول “حماية التصرفات القانونية وإثباتها عبر تطبيق الذكاء الاصطناعي” أن الأنظمة التنفيذية تمثل الوسيلة الأمثل لترجمة المبادئ التقنية إلى التزامات قانونية واقعية، لأن الممارسات التقنية تتغير بوتيرة أسرع من التشريعات الأساسية</w:t>
      </w:r>
      <w:r>
        <w:rPr>
          <w:rFonts w:asciiTheme="majorBidi" w:hAnsiTheme="majorBidi" w:cstheme="majorBidi"/>
          <w:color w:val="000000" w:themeColor="text1"/>
          <w:sz w:val="24"/>
          <w:szCs w:val="24"/>
        </w:rPr>
        <w:t>.</w:t>
      </w:r>
    </w:p>
    <w:p w14:paraId="7FC316D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وتدعم هذه الرؤية بعض الدراسات حول “دور الذكاء الاصطناعي في مكافحة الجريمة الإلكترونية”، والتي أظهرت أن أغلب النظم العدلية الحديثة لم تُدخل التقنيات القانونية المتقدمة في نصوص القوانين الأساسية، وإنما بدأت بتنظيمها عبر اللوائح التنفيذية والتعليمات الوزارية</w:t>
      </w:r>
      <w:r>
        <w:rPr>
          <w:rFonts w:asciiTheme="majorBidi" w:hAnsiTheme="majorBidi" w:cstheme="majorBidi"/>
          <w:color w:val="000000" w:themeColor="text1"/>
          <w:sz w:val="24"/>
          <w:szCs w:val="24"/>
        </w:rPr>
        <w:t>.</w:t>
      </w:r>
    </w:p>
    <w:p w14:paraId="7A505A92"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وانطلاقًا من مفهوم “التأطير المرن” الذي طرحه بعض الباحثين في دراساتهم حول أخلاقيات الذكاء الاصطناعي، يمكن النظر إلى اللائحة التنفيذية بوصفها الأداة الأكثر قدرة على التكيّف مع المستجدات التقنية. فالمرونة هنا لا تعني ضعف الضبط، بل تعزيز القدرة على التحديث المستمر، خاصة في الجوانب المتعلقة بحماية البيانات القانونية، وتوثيق المعاملات الإلكترونية، وتنظيم مسؤوليات المحامي التقنية</w:t>
      </w:r>
      <w:r>
        <w:rPr>
          <w:rFonts w:asciiTheme="majorBidi" w:hAnsiTheme="majorBidi" w:cstheme="majorBidi"/>
          <w:color w:val="000000" w:themeColor="text1"/>
          <w:sz w:val="24"/>
          <w:szCs w:val="24"/>
        </w:rPr>
        <w:t>.</w:t>
      </w:r>
    </w:p>
    <w:p w14:paraId="77AF87D9"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من الناحية العملية، فقد سمحت اللائحة التنفيذية في شكلها الحالي باستخدام الوسائل الإلكترونية في إجراءات مثل تقديم طلبات القيد إلكترونيًا وإدارة السجلات عبر الأنظمة الرقمية. وهذه الإشارات، وإن كانت محدودة، تمثل نواة يمكن البناء عليها لتشمل مستقبلًا تنظيم الذكاء الاصطناعي القانوني وآليات ترخيصه وشروط اعتماده داخل بيئة العمل العدلي</w:t>
      </w:r>
      <w:r>
        <w:rPr>
          <w:rFonts w:asciiTheme="majorBidi" w:hAnsiTheme="majorBidi" w:cstheme="majorBidi"/>
          <w:color w:val="000000" w:themeColor="text1"/>
          <w:sz w:val="24"/>
          <w:szCs w:val="24"/>
        </w:rPr>
        <w:t>.</w:t>
      </w:r>
    </w:p>
    <w:p w14:paraId="23FB96EE" w14:textId="77777777" w:rsidR="00085940" w:rsidRPr="00085940" w:rsidRDefault="00085940" w:rsidP="00085940">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وبناءً على ما تقدم، يمكن القول إن اللائحة التنفيذية لنظام المحاماة تمثل حجر الزاوية في أي مشروع مستقبلي لتنظيم توظيف الذكاء الاصطناعي في العمل القانوني، نظرًا لمرونتها التشريعية وقدرتها على تحقيق التوازن بين التطور التقني والحفاظ على القيم العدلية، بما في ذلك استقلال المحامي وسرية المعلومات وضمان العدالة الناجزة</w:t>
      </w:r>
      <w:r>
        <w:rPr>
          <w:rFonts w:asciiTheme="majorBidi" w:hAnsiTheme="majorBidi" w:cstheme="majorBidi"/>
          <w:b/>
          <w:bCs/>
          <w:color w:val="000000" w:themeColor="text1"/>
          <w:sz w:val="24"/>
          <w:szCs w:val="24"/>
        </w:rPr>
        <w:t>.</w:t>
      </w:r>
    </w:p>
    <w:p w14:paraId="05D9EF1F" w14:textId="77777777" w:rsidR="00974C84" w:rsidRPr="00BC5F38" w:rsidRDefault="00974C84" w:rsidP="00122234">
      <w:pPr>
        <w:jc w:val="right"/>
        <w:rPr>
          <w:rFonts w:asciiTheme="majorBidi" w:hAnsiTheme="majorBidi" w:cstheme="majorBidi"/>
          <w:b/>
          <w:bCs/>
          <w:color w:val="000000" w:themeColor="text1"/>
          <w:sz w:val="24"/>
          <w:szCs w:val="24"/>
        </w:rPr>
      </w:pPr>
    </w:p>
    <w:p w14:paraId="14B736C1"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سادسًا: أوجه القوة في نظام المحاماة في مواجهة التحول الرقمي</w:t>
      </w:r>
    </w:p>
    <w:p w14:paraId="53BC5052"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أن نظام المحاماة السعودي صدر في مرحلة ما قبل الثورة الرقمية، إلا أنه يتضمن بنية تشريعية متماسكة تمكّنه من التكيّف مع التحولات التقنية الحديثة. فالنظام لم يُصمم ليكون مجرد لائحة سلوك مهني أو ميثاق شرف، بل ليكون إطارًا قانونيًا شاملًا يضبط العلاقة بين المحامي، وموكله، والسلطة العدلية، ويؤسس لمسؤوليات مهنية ومدنية يمكن توسيع نطاقها لتشمل الممارسات التقنية الجديدة. ومن أبرز مظاهر القوة في هذا النظام أنه يقوم على مبادئ عامة غير جامدة، ما يمنحه قابلية التطوير والتفسير في ضوء المستجدات دون الحاجة إلى إعادة بنائه من الصفر. فالمواد التي تنظم المسؤولية المهنية، والسرية، والإشراف على المتدربين، والتأديب المهني، يمكن قراءتها اليوم قراءة موسّعة تجعلها قادرة على استيعاب الذكاء الاصطناعي في بنية العمل القانوني</w:t>
      </w:r>
      <w:r>
        <w:rPr>
          <w:rFonts w:asciiTheme="majorBidi" w:hAnsiTheme="majorBidi" w:cstheme="majorBidi"/>
          <w:color w:val="000000" w:themeColor="text1"/>
          <w:sz w:val="24"/>
          <w:szCs w:val="24"/>
        </w:rPr>
        <w:t>.</w:t>
      </w:r>
    </w:p>
    <w:p w14:paraId="7A623B31"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الطبيعة المرنة للنظام ترتبط بفلسفته التشريعية القائمة على مبدأ الثقة في الاجتهاد المهني للمحامي ومسؤوليته الشخصية عن أعماله. فالمادة الثالثة عشرة التي تُحمّله مسؤولية تصرفات العاملين في مكتبه تُعدّ قاعدة متينة يمكن البناء عليها لتوسيع نطاق المسؤولية ليشمل الأفعال الناتجة عن استخدام الأنظمة الذكية أو البرمجيات القانونية. وقد أوضح بعض الباحثين في دراساتهم حول المسؤولية المدنية عن فعل الذكاء الاصطناعي أن النصوص القانونية التي تُحمّل الإنسان مسؤولية الإشراف تُعدّ كافية لتأسيس قواعد “المسؤولية الرقمية” دون الحاجة إلى تشريع جديد مستقل، شريطة تفسيرها تفسيرًا مرنًا يتناسب مع التطور التقني. هذا المنهج التشريعي القائم على المرونة يضمن بقاء النظام متسقًا مع تطورات المهنة دون أن يفقد صلته بمبادئ العدالة</w:t>
      </w:r>
      <w:r>
        <w:rPr>
          <w:rFonts w:asciiTheme="majorBidi" w:hAnsiTheme="majorBidi" w:cstheme="majorBidi"/>
          <w:color w:val="000000" w:themeColor="text1"/>
          <w:sz w:val="24"/>
          <w:szCs w:val="24"/>
        </w:rPr>
        <w:t>.</w:t>
      </w:r>
    </w:p>
    <w:p w14:paraId="2585CC1A"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قوة النظام تتجلى في ارتباطه الوثيق بمنظومة الأنظمة العدلية السعودية التي شهدت خلال السنوات الأخيرة تحديثًا شاملًا، مثل نظام الإثبات ونظام الإجراءات الجزائية ونظام حماية البيانات الشخصية ونظام المعاملات المدنية. وهذه الأنظمة تمثل البيئة القانونية المساندة التي يمكن من خلالها إعادة تفسير أحكام نظام المحاماة في سياق التحول الرقمي. فعلى سبيل المثال، يمكن ربط الالتزام بسرية الموكلين بما ورد في نظام حماية البيانات الشخصية من ضوابط صارمة لحفظ ومعالجة المعلومات، وبذلك يمتد مفهوم السرية المهنية إلى المجال الرقمي من خلال شبكة متكاملة من الأنظمة. وقد أشار بعض الباحثين</w:t>
      </w:r>
      <w:r>
        <w:rPr>
          <w:rStyle w:val="af"/>
          <w:rFonts w:asciiTheme="majorBidi" w:hAnsiTheme="majorBidi" w:cstheme="majorBidi"/>
          <w:color w:val="000000" w:themeColor="text1"/>
          <w:sz w:val="24"/>
          <w:szCs w:val="24"/>
          <w:rtl/>
        </w:rPr>
        <w:footnoteReference w:id="59"/>
      </w:r>
      <w:r>
        <w:rPr>
          <w:rFonts w:asciiTheme="majorBidi" w:hAnsiTheme="majorBidi" w:cstheme="majorBidi"/>
          <w:color w:val="000000" w:themeColor="text1"/>
          <w:sz w:val="24"/>
          <w:szCs w:val="24"/>
          <w:rtl/>
        </w:rPr>
        <w:t xml:space="preserve"> في رسالته عن الضوابط القانونية للذكاء </w:t>
      </w:r>
      <w:r>
        <w:rPr>
          <w:rFonts w:asciiTheme="majorBidi" w:hAnsiTheme="majorBidi" w:cstheme="majorBidi"/>
          <w:color w:val="000000" w:themeColor="text1"/>
          <w:sz w:val="24"/>
          <w:szCs w:val="24"/>
          <w:rtl/>
        </w:rPr>
        <w:lastRenderedPageBreak/>
        <w:t>الاصطناعي إلى أن قوة النظام القانوني السعودي تكمن في تكامله الهيكلي، لا في استقلالية كل نظام عن الآخر، وهو ما يسمح بإعادة بناء الإطار المهني للمحاماة على أسس رقمية متماسكة دون إخلال بالمنظومة التشريعية القائمة</w:t>
      </w:r>
      <w:r>
        <w:rPr>
          <w:rFonts w:asciiTheme="majorBidi" w:hAnsiTheme="majorBidi" w:cstheme="majorBidi"/>
          <w:color w:val="000000" w:themeColor="text1"/>
          <w:sz w:val="24"/>
          <w:szCs w:val="24"/>
        </w:rPr>
        <w:t>.</w:t>
      </w:r>
    </w:p>
    <w:p w14:paraId="18F3BA52"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النظام يكرّس في جوهره فكرة الرقابة المؤسسية والمساءلة المهنية، وهما عنصران يشكلان أساسًا يمكن من خلاله تطوير نظم محاسبة رقمية للممارسات التقنية داخل مكاتب المحاماة. فوجود لجان تأديبية مستقلة وهيئة تنظيمية مهنية كهيئة المحامين السعوديين يمنح المشرّع أداة فعّالة لفرض المعايير الأخلاقية والتنظيمية في بيئة العمل الذكية. وقد أكدت رسالة فاطمة بلال أن الإطار المهني السعودي يمتلك مقومات التحول إلى نموذج عدلي رقمي متكامل لأنه يربط الأداء المهني برقابة مؤسسية دائمة، وهذا يسهّل إدماج الذكاء الاصطناعي في المهنة دون أن يؤدي إلى فوضى مهنية أو تضارب في المسؤوليات</w:t>
      </w:r>
      <w:r>
        <w:rPr>
          <w:rFonts w:asciiTheme="majorBidi" w:hAnsiTheme="majorBidi" w:cstheme="majorBidi"/>
          <w:color w:val="000000" w:themeColor="text1"/>
          <w:sz w:val="24"/>
          <w:szCs w:val="24"/>
        </w:rPr>
        <w:t>.</w:t>
      </w:r>
    </w:p>
    <w:p w14:paraId="593F8A18"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أوجه القوة الأخرى أن النظام السعودي للمحاماة متسق مع المبادئ الأخلاقية العامة للعدالة كما نصت عليها وثيقة مبادئ أخلاقيات الذكاء الاصطناعي الصادرة عن الهيئة السعودية للبيانات والذكاء الاصطناعي (سدايا) عام 2023، والتي أكدت أن أي توظيف للذكاء الاصطناعي يجب أن يكون قائمًا على الشفافية والمساءلة وحماية الخصوصية. فالمبادئ الأخلاقية التي أقرها النظام – كالسرية والولاء والصدق – تتكامل مع هذه الوثيقة وتشكل أساسًا متينًا لبناء ضوابط مهنية تحكم استخدام التقنية في بيئة المحاماة. ويرى الدكتور ياسر محمد بعض الباحثين</w:t>
      </w:r>
      <w:r>
        <w:rPr>
          <w:rStyle w:val="af"/>
          <w:rFonts w:asciiTheme="majorBidi" w:hAnsiTheme="majorBidi" w:cstheme="majorBidi"/>
          <w:color w:val="000000" w:themeColor="text1"/>
          <w:sz w:val="24"/>
          <w:szCs w:val="24"/>
          <w:rtl/>
        </w:rPr>
        <w:footnoteReference w:id="60"/>
      </w:r>
      <w:r>
        <w:rPr>
          <w:rFonts w:asciiTheme="majorBidi" w:hAnsiTheme="majorBidi" w:cstheme="majorBidi"/>
          <w:color w:val="000000" w:themeColor="text1"/>
          <w:sz w:val="24"/>
          <w:szCs w:val="24"/>
          <w:rtl/>
        </w:rPr>
        <w:t xml:space="preserve"> في دراسته المقارنة حول تأطير أخلاقيات الذكاء الاصطناعي أن المجتمعات القانونية التي تملك منظومات مهنية واضحة أكثر قدرة على تقنين التكنولوجيا من غيرها، لأن القيم الأخلاقية المترسخة توفر أساسًا تشريعيًا لتوجيه استخدام الأنظمة الذكية في الاتجاه الصحيح</w:t>
      </w:r>
      <w:r>
        <w:rPr>
          <w:rFonts w:asciiTheme="majorBidi" w:hAnsiTheme="majorBidi" w:cstheme="majorBidi"/>
          <w:color w:val="000000" w:themeColor="text1"/>
          <w:sz w:val="24"/>
          <w:szCs w:val="24"/>
        </w:rPr>
        <w:t>.</w:t>
      </w:r>
    </w:p>
    <w:p w14:paraId="75A19E4C"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ويتقاطع هذا الطرح مع ما خلصت إليه دراسة إسماعيل (2025م) من أن الدول التي تمتلك منظومات مهنية ناضجة، كما هو الحال في المملكة العربية السعودية بعد رؤية 2030، تملك قدرة تنظيمية أعلى على استيعاب أخلاقيات الذكاء الاصطناعي وتحويلها إلى قواعد سلوكية ملزمة داخل مكاتب المحاماة.</w:t>
      </w:r>
      <w:r>
        <w:rPr>
          <w:rtl/>
        </w:rPr>
        <w:footnoteReference w:id="61"/>
      </w:r>
    </w:p>
    <w:p w14:paraId="5442B2CF"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ولا يمكن إغفال جانب آخر من جوانب القوة يتمثل في القابلية المؤسسية للنظام للتكامل مع رؤية المملكة 2030 وبرامج التحول العدلي. فقد أثبتت التجربة خلال السنوات الأخيرة أن النظام العدلي السعودي قادر على التحديث الذاتي السريع عبر إدخال الخدمات الإلكترونية في المحاكم، وتفعيل التقاضي عن بُعد، وتوسيع قاعدة البيانات القضائية الرقمية. هذا التوجه لا يتعارض مع نظام المحاماة، بل يعزّز دوره من خلال خلق بيئة قانونية حديثة تتطلب تطوير قدرات مكاتب المحاماة لتتكامل مع التحول الرقمي. وقد أوضحت دراسة المركز السعودي للأبحاث القضائية حول استخدام الذكاء الاصطناعي في المحاكم أن مهنة المحاماة تمثل أحد الأعمدة التي يجب تحديثها مواكبة للتحول العدلي الرقمي، لأن المحامي هو الوسيط الأساسي بين المواطن والمنصات القضائية</w:t>
      </w:r>
      <w:r>
        <w:rPr>
          <w:rFonts w:asciiTheme="majorBidi" w:hAnsiTheme="majorBidi" w:cstheme="majorBidi"/>
          <w:color w:val="000000" w:themeColor="text1"/>
          <w:sz w:val="24"/>
          <w:szCs w:val="24"/>
        </w:rPr>
        <w:t>.</w:t>
      </w:r>
    </w:p>
    <w:p w14:paraId="1DD289F1"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ويقابل ذلك ما أوضحه بعض الباحثين من أن الإطار التنظيمي السعودي يتميز بقابلية عالية للتكيف مع متطلبات حوكمة الذكاء الاصطناعي، لا سيما أن الأنظمة الصادرة في إطار رؤية 2030 تتضمن مبادئ مرونة تشريعية تتيح توسيع نطاق تطبيقها دون الحاجة إلى تعديلات جذرية في البنية النظامية القائمة.</w:t>
      </w:r>
      <w:r>
        <w:rPr>
          <w:rtl/>
        </w:rPr>
        <w:footnoteReference w:id="62"/>
      </w:r>
    </w:p>
    <w:p w14:paraId="310294C1"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وبناء على ذلك، يمكن القول إن نظام المحاماة لا يقف في مواجهة التحول الرقمي، بل يحتوي ضمن بنيته الداخلية على عناصر قوة يمكن استثمارها لتطوير الإطار القانوني للذكاء الاصطناعي في المهنة. فمرونته في الصياغة، وتكامله مع الأنظمة العدلية، وارتباطه بالقيم الأخلاقية، ووجود مؤسسات مهنية رقابية قادرة على إصدار لوائح </w:t>
      </w:r>
      <w:r>
        <w:rPr>
          <w:rFonts w:asciiTheme="majorBidi" w:hAnsiTheme="majorBidi" w:cstheme="majorBidi"/>
          <w:color w:val="000000" w:themeColor="text1"/>
          <w:sz w:val="24"/>
          <w:szCs w:val="24"/>
          <w:rtl/>
        </w:rPr>
        <w:lastRenderedPageBreak/>
        <w:t>تفصيلية، كلها عوامل تجعل منه نظامًا مؤهلاً ليكون نواة لإطار تشريعي مستقبلي متكامل يحكم استخدام الذكاء الاصطناعي في خدمات مكاتب المحاماة، دون أن يمسّ جوهر المهنة أو استقلالها العدلي</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B117E6A" w14:textId="77777777" w:rsidR="00974C84" w:rsidRDefault="00974C84" w:rsidP="00122234">
      <w:pPr>
        <w:jc w:val="right"/>
        <w:rPr>
          <w:rFonts w:asciiTheme="majorBidi" w:hAnsiTheme="majorBidi" w:cstheme="majorBidi"/>
          <w:b/>
          <w:bCs/>
          <w:color w:val="000000" w:themeColor="text1"/>
          <w:sz w:val="24"/>
          <w:szCs w:val="24"/>
        </w:rPr>
      </w:pPr>
    </w:p>
    <w:p w14:paraId="792B7B3A" w14:textId="77777777" w:rsidR="007F1A18" w:rsidRPr="00BC5F38" w:rsidRDefault="007F1A18" w:rsidP="00122234">
      <w:pPr>
        <w:jc w:val="right"/>
        <w:rPr>
          <w:rFonts w:asciiTheme="majorBidi" w:hAnsiTheme="majorBidi" w:cstheme="majorBidi"/>
          <w:b/>
          <w:bCs/>
          <w:color w:val="000000" w:themeColor="text1"/>
          <w:sz w:val="24"/>
          <w:szCs w:val="24"/>
          <w:rtl/>
        </w:rPr>
      </w:pPr>
    </w:p>
    <w:p w14:paraId="14234E4B" w14:textId="77777777" w:rsidR="001F1442" w:rsidRPr="001F1442" w:rsidRDefault="001F1442" w:rsidP="001F1442">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سابعًا: أوجه القصور التشريعي في ظل الذكاء الاصطناعي</w:t>
      </w:r>
    </w:p>
    <w:p w14:paraId="297F4E37"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تفصيل أوجه القصور التشريعي، رصد بعض الباحثين ثماني ثغرات تنظيمية رئيسية في المنظومة التشريعية السعودية المتعلقة بالذكاء الاصطناعي القانوني، أبرزها: غياب اشتراط الترخيص لأنظمة الذكاء الاصطناعي المستخدمة في القطاع القانوني، وغياب آلية للإشعار الفوري عند وقوع خروقات بيانية تمس معلومات الموكلين، وغياب نظام تعويضي خاص بأضرار الذكاء الاصطناعي القانوني.</w:t>
      </w:r>
      <w:r>
        <w:rPr>
          <w:rtl/>
        </w:rPr>
        <w:footnoteReference w:id="63"/>
      </w:r>
    </w:p>
    <w:p w14:paraId="13E86BF3"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سياق أوجه القصور التشريعي، اعتبر بعض الباحثين أن أشد الثغرات خطورةً هي غياب نص يُحدّد الأثر القانوني لمخرجات الذكاء الاصطناعي في إجراءات التقاضي؛ فلا النظام السعودي ولا نظيره الكويتي يُجيب بوضوح على السؤال: هل يُعدّ المستند الصادر عن نظام ذكاء اصطناعي سنداً عرفياً أم دليلاً قرينياً أم مجرد رأي خبير استشاري؟ وهذا الغموض قد يُعرّض صحة الإجراءات للطعن.</w:t>
      </w:r>
      <w:r>
        <w:rPr>
          <w:rtl/>
        </w:rPr>
        <w:footnoteReference w:id="64"/>
      </w:r>
    </w:p>
    <w:p w14:paraId="56820631"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المرونة التي يتسم بها نظام المحاماة وقدرته على استيعاب التحولات المهنية، إلا أن تحليل نصوصه وتطبيقاته العملية يُظهر عدة أوجه قصور تشريعي عند مقارنته بالتحولات التقنية التي فرضتها الثورة الرقمية والذكاء الاصطناعي، الأمر الذي يستلزم عرض هذه المظاهر في عناوين فرعية مستقلة تسهّل القراءة والفصل بين المعلومات المستندة إلى المراجع ورأي الباحث</w:t>
      </w:r>
      <w:r>
        <w:rPr>
          <w:rFonts w:asciiTheme="majorBidi" w:hAnsiTheme="majorBidi" w:cstheme="majorBidi"/>
          <w:color w:val="000000" w:themeColor="text1"/>
          <w:sz w:val="24"/>
          <w:szCs w:val="24"/>
        </w:rPr>
        <w:t>.</w:t>
      </w:r>
    </w:p>
    <w:p w14:paraId="5534797D"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التعريفات التقنية في نصوص النظام</w:t>
      </w:r>
    </w:p>
    <w:p w14:paraId="59259BA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المقابل، استعرضت عبد الرحمن النموذج الأوروبي في تعريف الذكاء الاصطناعي المرتفع الخطورة في القانون الأوروبي للذكاء الاصطناعي الصادر عام 2024م، موضحةً أن هذا القانون يضع أنظمة الذكاء الاصطناعي المستخدمة في إجراءات التقاضي وإدارة العدالة ضمن الفئة الأعلى خطورة التي تستوجب أقصى درجات الرقابة والاشتراطات التقنية، وهو توجه يرى الباحث أنه جدير بالاعتبار في صياغة التشريعات السعودية المستقبلية.</w:t>
      </w:r>
      <w:r>
        <w:rPr>
          <w:rtl/>
        </w:rPr>
        <w:footnoteReference w:id="65"/>
      </w:r>
    </w:p>
    <w:p w14:paraId="12D06CEC"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مواجهة غياب التعريفات التقنية في نصوص الأنظمة القانونية، اقترح بعض الباحثين أسلوب الإحالة التشريعية المرنة، وهو أن يُشير النص التشريعي إلى أن الذكاء الاصطناعي يُقصد به ما تُحدّده الهيئة المختصة بلائحة قابلة للتحديث بما يتواكب مع التطور التقني المتسارع، بدلاً من تضمين تعريف تقني جامد في صلب النص يُضحي متقادماً بسرعة.</w:t>
      </w:r>
      <w:r>
        <w:rPr>
          <w:rtl/>
        </w:rPr>
        <w:footnoteReference w:id="66"/>
      </w:r>
    </w:p>
    <w:p w14:paraId="60EF4FC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 xml:space="preserve">وفيما يخص غياب التعريفات التقنية في نصوص النظام، خلص بعض الباحثين إلى أن الأنظمة الجزائية السعودية لا تتضمن أي تعريف لنظام الذكاء الاصطناعي أو لمفهوم الخوارزمية أو التعلم الآلي، مما يُفضي إلى إشكاليات </w:t>
      </w:r>
      <w:r>
        <w:rPr>
          <w:rFonts w:asciiTheme="majorBidi" w:hAnsiTheme="majorBidi" w:cstheme="majorBidi"/>
          <w:sz w:val="24"/>
          <w:szCs w:val="24"/>
          <w:rtl/>
        </w:rPr>
        <w:lastRenderedPageBreak/>
        <w:t>إثبات جوهرية حين يستدعي الفصل في النزاع تحديداً دقيقاً لما إذا كانت الأداة المستخدمة تندرج فعلاً ضمن تعريف الذكاء الاصطناعي أم لا.</w:t>
      </w:r>
      <w:r>
        <w:rPr>
          <w:rtl/>
        </w:rPr>
        <w:footnoteReference w:id="67"/>
      </w:r>
    </w:p>
    <w:p w14:paraId="57D39DE4"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يُلاحظ غياب أي تعريف نظامي للمفاهيم التقنية الأساسية مثل التقنيات القانونية، البيانات الرقمية، والذكاء الاصطناعي القانوني. وقد أكدت بعض الباحثين في دراساتهما حول المسؤولية المدنية عن أفعال الذكاء الاصطناعي أن غياب هذه المفاهيم يخلق فراغًا تشريعيًا يعوق تحديد مسؤوليات الأطراف التقنية والبشرية داخل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غياب التعريفات يؤثر مباشرة في قدرة النظام على ضبط الممارسات التقنية الحديثة داخل البيئة القانونية</w:t>
      </w:r>
      <w:r>
        <w:rPr>
          <w:rFonts w:asciiTheme="majorBidi" w:hAnsiTheme="majorBidi" w:cstheme="majorBidi"/>
          <w:color w:val="000000" w:themeColor="text1"/>
          <w:sz w:val="24"/>
          <w:szCs w:val="24"/>
        </w:rPr>
        <w:t>.</w:t>
      </w:r>
    </w:p>
    <w:p w14:paraId="6C5D1A8D"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القصور في تنظيم معالجة البيانات القانونية الرقمية</w:t>
      </w:r>
    </w:p>
    <w:p w14:paraId="4AD0948C"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 الإطار المقارن، خلص بعض الباحثين إلى أن قصور التنظيم في مجال معالجة البيانات القانونية بالذكاء الاصطناعي يُمكن معالجته عبر مسار من مرحلتين: المرحلة الأولى تُركّز على تطوير المعايير الطوعية الإرشادية بالتشاور مع الجهات المهنية، والمرحلة الثانية تُحوّل هذه المعايير إلى اشتراطات ملزمة بعد اختبارها ميدانياً وتحقيق القبول المؤسسي اللازم.</w:t>
      </w:r>
      <w:r>
        <w:rPr>
          <w:rtl/>
        </w:rPr>
        <w:footnoteReference w:id="68"/>
      </w:r>
    </w:p>
    <w:p w14:paraId="3EDFAC7B"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بالقصور في تنظيم معالجة البيانات القانونية، أشار العطار والنوايسة إلى أن هذا القصور يتجلى بوضوح حين تُحلّل وقائع جريمة ما باستخدام منصة ذكاء اصطناعي تابعة لجهة خارج نطاق الاختصاص القضائي السعودي، مما يُثير تساؤلات معقدة حول الاختصاص الإجرائي وسيادة البيانات والحماية الجزائية للمعلومات الأمنية الحساسة.</w:t>
      </w:r>
      <w:r>
        <w:rPr>
          <w:rtl/>
        </w:rPr>
        <w:footnoteReference w:id="69"/>
      </w:r>
    </w:p>
    <w:p w14:paraId="25E8BA8F"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وبالنظر إلى القصور في تنظيم معالجة البيانات القانونية، رأت الأمين أن تدفق البيانات الحساسة من ملفات الدعاوى إلى منصات الذكاء الاصطناعي السحابية يُشكّل ثغرة تشريعية بالغة الخطورة، إذ لا يتضمن نظام المحاماة السعودي ما يُلزم المحامي بالحصول على موافقة مسبقة من موكله قبل إدخال وقائع قضيته في أداة ذكاء اصطناعي تابعة لجهة خارجية.</w:t>
      </w:r>
      <w:r>
        <w:rPr>
          <w:rtl/>
        </w:rPr>
        <w:footnoteReference w:id="70"/>
      </w:r>
    </w:p>
    <w:p w14:paraId="6C49CB8D"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لم يتناول النظام مسألة معالجة البيانات القانونية الإلكترونية، رغم أنّها محور أساسي في عمل المكاتب القانونية الحديثة. وأشار د. بعض الباحثين في بحوثهم حول المسؤولية المدنية عن أفعال الذكاء الاصطناعي إلى أن عدم المواءمة بين نظام المحاماة ونظام حماية البيانات الشخصية يخلق تضاربًا في تحديد المسؤوليات عند تسرب البيانات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الربط المباشر بين النظامين أصبح ضرورة مهنية لضمان حماية بيانات الموكلين</w:t>
      </w:r>
      <w:r>
        <w:rPr>
          <w:rFonts w:asciiTheme="majorBidi" w:hAnsiTheme="majorBidi" w:cstheme="majorBidi"/>
          <w:color w:val="000000" w:themeColor="text1"/>
          <w:sz w:val="24"/>
          <w:szCs w:val="24"/>
        </w:rPr>
        <w:t>.</w:t>
      </w:r>
    </w:p>
    <w:p w14:paraId="6612C4A0"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واضح لاستخدام الأدوات التقنية في الأعمال القانونية</w:t>
      </w:r>
    </w:p>
    <w:p w14:paraId="790E173F"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المادة الثالثة من النظام لم توضّح حدود استخدام الأدوات الذكية في الأعمال الحساسة مثل الاستشارات وصياغة المذكرات. ويرى بعض الباحثين في دراساتهم حول الشخصية القانونية للذكاء الاصطناعي أن هذا الغموض يجعل المحامي في موقف غير محدد عند اعتماد الأنظمة الذكية في العمل المهني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lastRenderedPageBreak/>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كان من الواجب وضع معايير تنظّم الاستخدام المشروع للأدوات التقنية في الممارسات المهنية اليومية</w:t>
      </w:r>
      <w:r>
        <w:rPr>
          <w:rFonts w:asciiTheme="majorBidi" w:hAnsiTheme="majorBidi" w:cstheme="majorBidi"/>
          <w:color w:val="000000" w:themeColor="text1"/>
          <w:sz w:val="24"/>
          <w:szCs w:val="24"/>
        </w:rPr>
        <w:t>.</w:t>
      </w:r>
    </w:p>
    <w:p w14:paraId="2C9EC605"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عدم تحديد المسؤولية عند وقوع خطأ تقني</w:t>
      </w:r>
    </w:p>
    <w:p w14:paraId="621F8AA7"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تنص المادة (13) على مسؤولية المحامي عن العاملين في مكتبه، لكنها لم تُحدد المسؤولية عند وقوع خطأ تقني داخل المكتب القانوني. وأشار د. محمد بعض الباحثين في بحوثهم المسؤولية القانونية عن أفعال الذكاء الاصطناعي إلى أن القانون لم يحدد مركز “الآلة الذكية” في المسؤولية المدنية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يجعل معالجة الأخطاء التقنية محل اجتهادات مختلفة وغير موحدة بين المكاتب</w:t>
      </w:r>
      <w:r>
        <w:rPr>
          <w:rFonts w:asciiTheme="majorBidi" w:hAnsiTheme="majorBidi" w:cstheme="majorBidi"/>
          <w:color w:val="000000" w:themeColor="text1"/>
          <w:sz w:val="24"/>
          <w:szCs w:val="24"/>
        </w:rPr>
        <w:t>.</w:t>
      </w:r>
    </w:p>
    <w:p w14:paraId="6F170487"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ملكية المخرجات التي تنتجها الأنظمة الذكية</w:t>
      </w:r>
    </w:p>
    <w:p w14:paraId="6115A368"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لم يحدد ملكية العقود أو المذكرات التي تولدها الأنظمة الذكية. وقد ناقش بعض الباحثين في بحوثهم العقود التجارية الذكية خطورة غياب التنظيم الخاص بحقوق الملكية الفكرية للمحتوى القانوني الناتج عن أدوات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تحديد المالك القانوني للمخرجات الذكية أصبح أمرًا جوهريًا في حماية الحقوق المهنية</w:t>
      </w:r>
      <w:r>
        <w:rPr>
          <w:rFonts w:asciiTheme="majorBidi" w:hAnsiTheme="majorBidi" w:cstheme="majorBidi"/>
          <w:color w:val="000000" w:themeColor="text1"/>
          <w:sz w:val="24"/>
          <w:szCs w:val="24"/>
        </w:rPr>
        <w:t>.</w:t>
      </w:r>
    </w:p>
    <w:p w14:paraId="162AAA12"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الضوابط الخاصة باستخدام البرمجيات الأجنبية في العمل القانوني</w:t>
      </w:r>
    </w:p>
    <w:p w14:paraId="7DCB2D7B"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تستخدم مكاتب المحاماة في المملكة أدوات تحليل قانوني أجنبية دون إطار نظامي ينظم ذلك. وأشار بعض الباحثين في دراساتهم حول عقود الذكاء الاصطناعي عبر تقنية البلوك تشين إلى المخاطر المرتبطة بالاعتماد على أنظمة خارج الولاية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يثير قضايا تتعلق بالسيادة المعلوماتية وأمن بيانات القضايا</w:t>
      </w:r>
      <w:r>
        <w:rPr>
          <w:rFonts w:asciiTheme="majorBidi" w:hAnsiTheme="majorBidi" w:cstheme="majorBidi"/>
          <w:color w:val="000000" w:themeColor="text1"/>
          <w:sz w:val="24"/>
          <w:szCs w:val="24"/>
        </w:rPr>
        <w:t>.</w:t>
      </w:r>
    </w:p>
    <w:p w14:paraId="769CC9AE"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ضعف المحفزات النظامية لتبني التقنيات القانونية الوطنية</w:t>
      </w:r>
    </w:p>
    <w:p w14:paraId="77F21E1B"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رغم دعم رؤية 2030 للتحول الرقمي، لا يتضمن النظام نصوصًا تشجع على تطوير أدوات قانونية محلية. ويرى بعض الباحثين أن المشرّع بحاجة للانتقال من “التحكم المهني” إلى “التنظيم التطويري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تحفيز الابتكار القانوني المحلي يمثل خطوة رئيسية في بناء منظومة قانونية حديثة</w:t>
      </w:r>
      <w:r>
        <w:rPr>
          <w:rFonts w:asciiTheme="majorBidi" w:hAnsiTheme="majorBidi" w:cstheme="majorBidi"/>
          <w:color w:val="000000" w:themeColor="text1"/>
          <w:sz w:val="24"/>
          <w:szCs w:val="24"/>
        </w:rPr>
        <w:t>.</w:t>
      </w:r>
    </w:p>
    <w:p w14:paraId="1E79E26E"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معالجة التوازن بين السرية المهنية والشفافية التقنية</w:t>
      </w:r>
    </w:p>
    <w:p w14:paraId="44F049BD"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لا يحدد ما إذا كان المحامي ملزمًا بالإفصاح عن استخدام الأنظمة الذكية في أعماله. وأشار د. بعض الباحثين إلى أن السرية في البيئة الرقمية تختلف عن السرية التقليدية وتستلزم قواعد جديدة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تنظيم مسألة الإفصاح عن استخدام التقنية أصبح ضرورة لضبط الجانب الأخلاقي للمهنة</w:t>
      </w:r>
      <w:r>
        <w:rPr>
          <w:rFonts w:asciiTheme="majorBidi" w:hAnsiTheme="majorBidi" w:cstheme="majorBidi"/>
          <w:color w:val="000000" w:themeColor="text1"/>
          <w:sz w:val="24"/>
          <w:szCs w:val="24"/>
        </w:rPr>
        <w:t>.</w:t>
      </w:r>
    </w:p>
    <w:p w14:paraId="51499ED7" w14:textId="77777777" w:rsidR="007F1A18" w:rsidRPr="00AB2138" w:rsidRDefault="00AB2138" w:rsidP="00AB2138">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مما سبق </w:t>
      </w:r>
      <w:r>
        <w:rPr>
          <w:rFonts w:asciiTheme="majorBidi" w:hAnsiTheme="majorBidi" w:cstheme="majorBidi"/>
          <w:color w:val="000000" w:themeColor="text1"/>
          <w:sz w:val="24"/>
          <w:szCs w:val="24"/>
          <w:rtl/>
        </w:rPr>
        <w:t>يتضح أن نظام المحاماة، رغم ثباته، يحتاج إلى مراجعة شاملة تستوعب المفاهيم الرقمية الحديثة، وتربط المهنة بالضوابط التقنية والأخلاقية لاستخدام الذكاء الاصطناعي، وتحدد حدود المسؤولية القانونية، وتُعالج الفجوات الرقمية التي أصبحت جزءًا من الممارسة اليومية للمحامي</w:t>
      </w:r>
      <w:r>
        <w:rPr>
          <w:rFonts w:asciiTheme="majorBidi" w:hAnsiTheme="majorBidi" w:cstheme="majorBidi"/>
          <w:color w:val="000000" w:themeColor="text1"/>
          <w:sz w:val="24"/>
          <w:szCs w:val="24"/>
        </w:rPr>
        <w:t>.</w:t>
      </w:r>
    </w:p>
    <w:p w14:paraId="105F8D61" w14:textId="77777777" w:rsidR="001F1442" w:rsidRPr="001F1442" w:rsidRDefault="001F1442" w:rsidP="00D41CB7">
      <w:pPr>
        <w:jc w:val="right"/>
        <w:rPr>
          <w:rFonts w:asciiTheme="majorBidi" w:hAnsiTheme="majorBidi" w:cstheme="majorBidi"/>
          <w:color w:val="000000" w:themeColor="text1"/>
          <w:sz w:val="24"/>
          <w:szCs w:val="24"/>
          <w:rtl/>
        </w:rPr>
      </w:pPr>
    </w:p>
    <w:p w14:paraId="3CBF6B99" w14:textId="77777777" w:rsidR="000A1619" w:rsidRPr="000A1619" w:rsidRDefault="000A1619" w:rsidP="000A161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ثامنًا: التفسير القانوني الموسّع للنظام تمهيدًا للتطوير القانوني</w:t>
      </w:r>
    </w:p>
    <w:p w14:paraId="168FB09D"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وتُعدّ الترتيبات التنظيمية للهيئة السعودية للبيانات والذكاء الاصطناعي الصادرة بقرار مجلس الوزراء رقم (292) وتاريخ 1441/4/27هـ والمعدلة بقرار رقم (195) وتاريخ 1444/3/15هـ من أبرز الوثائق التنظيمية التي أرست البنية المؤسسية للحوكمة الرقمية في المملكة؛ إذ منحت الهيئة صلاحيات واسعة تشمل: وضع سياسات ومعايير وضوابط خاصة بالبيانات والذكاء الاصطناعي وتعميمها على الجهات الحكومية وغير الحكومية، ومتابعة الالتزام </w:t>
      </w:r>
      <w:r>
        <w:rPr>
          <w:rFonts w:asciiTheme="majorBidi" w:hAnsiTheme="majorBidi" w:cstheme="majorBidi"/>
          <w:sz w:val="24"/>
          <w:szCs w:val="24"/>
          <w:rtl/>
        </w:rPr>
        <w:lastRenderedPageBreak/>
        <w:t>بها. وهذا يجعل الهيئة جهةً تنظيمية عليا في مجال الذكاء الاصطناعي تستلزم تفاعلًا تشريعيًا موازيًا من قِبَل المنظومة القانونية والمهنية.</w:t>
      </w:r>
      <w:r>
        <w:rPr>
          <w:rStyle w:val="af"/>
          <w:rFonts w:asciiTheme="majorBidi" w:hAnsiTheme="majorBidi" w:cstheme="majorBidi"/>
          <w:sz w:val="24"/>
          <w:szCs w:val="24"/>
          <w:rtl/>
        </w:rPr>
        <w:footnoteReference w:id="71"/>
      </w:r>
    </w:p>
    <w:p w14:paraId="21773D52"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تُعد التفسير القانوني الموسّع للنصوص القانونية من أبرز أدوات التطوير التشريعي في الأنظمة المعاصرة، فهي لا تهدف إلى تجاوز النص، بل إلى إحياء معناه في ضوء الواقع الرقمي المتجدد. وفي الحالة السعودية، يمكن القول إن نظام المحاماة — رغم صياغته التقليدية — يحمل قابلية تأويلية عالية تتيح إعادة تفسيره في سياق الثورة التقنية والذكاء الاصطناعي دون الحاجة إلى تعديل جذري في بنيته. فالمشرّع السعودي صاغ نصوص النظام بصياغات عامة مرنة تسمح باستيعاب التطور، وهو ما يشكل الأساس المنهجي لهذه القراءة</w:t>
      </w:r>
      <w:r>
        <w:rPr>
          <w:rFonts w:asciiTheme="majorBidi" w:hAnsiTheme="majorBidi" w:cstheme="majorBidi"/>
          <w:color w:val="000000" w:themeColor="text1"/>
          <w:sz w:val="24"/>
          <w:szCs w:val="24"/>
        </w:rPr>
        <w:t>.</w:t>
      </w:r>
    </w:p>
    <w:p w14:paraId="767834CC"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ويرى بعض الباحثين (د.ت) في هذا الصدد أن التفسير الموسّع للنصوص النظامية السعودية، لا سيما نصوص نظام المحاماة ونظام التعاملات الإلكترونية، يُمكِّن من استيعاب منظومة الذكاء الاصطناعي ضمن الإطار القانوني القائم، دون انتظار تشريع مستقل قد يتأخر سنوات في ظل الإيقاع التسريعي للتقنية.</w:t>
      </w:r>
      <w:r>
        <w:rPr>
          <w:rtl/>
        </w:rPr>
        <w:footnoteReference w:id="72"/>
      </w:r>
    </w:p>
    <w:p w14:paraId="7C8E7748"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تظهر أولى بوادر هذا التأويل في </w:t>
      </w:r>
      <w:r>
        <w:rPr>
          <w:rFonts w:asciiTheme="majorBidi" w:hAnsiTheme="majorBidi" w:cstheme="majorBidi"/>
          <w:b/>
          <w:bCs/>
          <w:color w:val="000000" w:themeColor="text1"/>
          <w:sz w:val="24"/>
          <w:szCs w:val="24"/>
          <w:rtl/>
        </w:rPr>
        <w:t>المادة الأولى</w:t>
      </w:r>
      <w:r>
        <w:rPr>
          <w:rFonts w:asciiTheme="majorBidi" w:hAnsiTheme="majorBidi" w:cstheme="majorBidi"/>
          <w:color w:val="000000" w:themeColor="text1"/>
          <w:sz w:val="24"/>
          <w:szCs w:val="24"/>
          <w:rtl/>
        </w:rPr>
        <w:t xml:space="preserve"> من النظام التي تنص على أن </w:t>
      </w:r>
      <w:r>
        <w:rPr>
          <w:rFonts w:asciiTheme="majorBidi" w:hAnsiTheme="majorBidi" w:cstheme="majorBidi"/>
          <w:i/>
          <w:iCs/>
          <w:color w:val="000000" w:themeColor="text1"/>
          <w:sz w:val="24"/>
          <w:szCs w:val="24"/>
        </w:rPr>
        <w:t>"</w:t>
      </w:r>
      <w:r>
        <w:rPr>
          <w:rFonts w:asciiTheme="majorBidi" w:hAnsiTheme="majorBidi" w:cstheme="majorBidi"/>
          <w:i/>
          <w:iCs/>
          <w:color w:val="000000" w:themeColor="text1"/>
          <w:sz w:val="24"/>
          <w:szCs w:val="24"/>
          <w:rtl/>
        </w:rPr>
        <w:t>مهنة المحاماة تشارك السلطة القضائية في تحقيق العدالة</w:t>
      </w:r>
      <w:r>
        <w:rPr>
          <w:rFonts w:asciiTheme="majorBidi" w:hAnsiTheme="majorBidi" w:cstheme="majorBidi"/>
          <w:i/>
          <w:i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 xml:space="preserve">ورغم أن مفهوم العدالة كان تقليديًا يرتبط بالمرافعة الورقية والحضور المادي، إلا أن منظومة العدالة اليوم تقوم على منصات رقمية وأنظمة ذكية. وبذلك يمكن تفسير المشاركة في تحقيق العدالة — وفق التفسير القانوني الموسّع — على أنها تشمل المشاركة في </w:t>
      </w:r>
      <w:r>
        <w:rPr>
          <w:rFonts w:asciiTheme="majorBidi" w:hAnsiTheme="majorBidi" w:cstheme="majorBidi"/>
          <w:i/>
          <w:iCs/>
          <w:color w:val="000000" w:themeColor="text1"/>
          <w:sz w:val="24"/>
          <w:szCs w:val="24"/>
          <w:rtl/>
        </w:rPr>
        <w:t>بناء البيئة الرقمية للعدالة</w:t>
      </w:r>
      <w:r>
        <w:rPr>
          <w:rFonts w:asciiTheme="majorBidi" w:hAnsiTheme="majorBidi" w:cstheme="majorBidi"/>
          <w:color w:val="000000" w:themeColor="text1"/>
          <w:sz w:val="24"/>
          <w:szCs w:val="24"/>
          <w:rtl/>
        </w:rPr>
        <w:t>، واستخدام أدوات الذكاء الاصطناعي لتحسين كفاءة الخدمات العدلية وتسريع الفصل في المنازعات. وقد أشار بعض الباحثين في بحوثهم عن القواعد المنظمة لاستخدامات الذكاء الاصطناعي إلى أن النصوص ذات الطبيعة الغائية تصلح كإطار قانوني لإدماج التقنيات الحديثة دون تعديل جوهري للنظام</w:t>
      </w:r>
      <w:r>
        <w:rPr>
          <w:rFonts w:asciiTheme="majorBidi" w:hAnsiTheme="majorBidi" w:cstheme="majorBidi"/>
          <w:color w:val="000000" w:themeColor="text1"/>
          <w:sz w:val="24"/>
          <w:szCs w:val="24"/>
        </w:rPr>
        <w:t>.</w:t>
      </w:r>
    </w:p>
    <w:p w14:paraId="00830B0F"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وقد استند محمود وعناني (د.ت) إلى التجارب القانونية المقارنة في فرنسا وكندا للإشارة إلى أن أولى بوادر التأويل الموسَّع في مجال الذكاء الاصطناعي القضائي بدأت بصدور قرارات قضائية قبلت الاستشهاد بالتقارير الذكية كقرائن مدعِّمة للدليل، لا كأدلة قاطعة، وهو ما يمكن تبنّيه في الاجتهاد القضائي السعودي.</w:t>
      </w:r>
      <w:r>
        <w:rPr>
          <w:rtl/>
        </w:rPr>
        <w:footnoteReference w:id="73"/>
      </w:r>
    </w:p>
    <w:p w14:paraId="3E4BE257"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بتعزيز الاجتهاد القضائي من خلال التكوين المتخصص، دعا بعض الباحثين إلى إنشاء برامج تدريبية متخصصة للقضاة تُعنى بمعطيات الذكاء الاصطناعي وآثاره الإجرائية، مستنداً إلى أن الاجتهاد الرشيد في القضايا التقنية يتطلب إلماماً بالمفاهيم الأساسية للأنظمة الذكية، وإلا تحوّل الاجتهاد إلى محض تخمين في مواجهة حقائق تقنية غامضة.</w:t>
      </w:r>
      <w:r>
        <w:rPr>
          <w:rtl/>
        </w:rPr>
        <w:footnoteReference w:id="74"/>
      </w:r>
    </w:p>
    <w:p w14:paraId="0036FDAD"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 ضوء الاجتهاد القضائي المقارن في المسائل التقنية، استعرض بعض الباحثين عدة قضايا أوروبية وأمريكية برزت فيها أنظمة الذكاء الاصطناعي طرفاً فاعلاً في النزاع، خالصاً إلى أن الاجتهاد القضائي في هذه الأنظمة يتسم بالحذر والتدرج، مع الميل إلى تطبيق المبادئ القانونية العامة بتكييفات مبتكرة بدلاً من انتظار التشريع الصريح.</w:t>
      </w:r>
      <w:r>
        <w:rPr>
          <w:rtl/>
        </w:rPr>
        <w:footnoteReference w:id="75"/>
      </w:r>
    </w:p>
    <w:p w14:paraId="58AE7B29"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lastRenderedPageBreak/>
        <w:t>وعلى صعيد الاجتهاد القضائي السعودي في هذا الشأن، لفتت الجلعود إلى أن عدم وجود سوابق قضائية راسخة في مسألة ذكاء اصطناعي يُنشئ عبء الإثبات من جهة، وضعف الاتساق في المعالجة القضائية من جهة أخرى؛ لأن كل قاضٍ يُعمل اجتهاده الخاص في ظل غياب الدليل التشريعي أو المرجع الفقهي الضابط.</w:t>
      </w:r>
      <w:r>
        <w:rPr>
          <w:rtl/>
        </w:rPr>
        <w:footnoteReference w:id="76"/>
      </w:r>
    </w:p>
    <w:p w14:paraId="38B7BF45"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يمكن تأويل </w:t>
      </w:r>
      <w:r>
        <w:rPr>
          <w:rFonts w:asciiTheme="majorBidi" w:hAnsiTheme="majorBidi" w:cstheme="majorBidi"/>
          <w:b/>
          <w:bCs/>
          <w:color w:val="000000" w:themeColor="text1"/>
          <w:sz w:val="24"/>
          <w:szCs w:val="24"/>
          <w:rtl/>
        </w:rPr>
        <w:t>المادة الثالثة عشرة</w:t>
      </w:r>
      <w:r>
        <w:rPr>
          <w:rFonts w:asciiTheme="majorBidi" w:hAnsiTheme="majorBidi" w:cstheme="majorBidi"/>
          <w:color w:val="000000" w:themeColor="text1"/>
          <w:sz w:val="24"/>
          <w:szCs w:val="24"/>
          <w:rtl/>
        </w:rPr>
        <w:t xml:space="preserve"> </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التي تنص على مسؤولية المحامي عن “الأعمال التي تتم تحت إشرافه” — لتشمل الأنظمة الذكية التي يعتمد عليها في أداء مهامه اليومية. فوفق هذا التفسير، يصبح النظام الذكي جزءًا من دائرة الإشراف المهني، ويتحمّل المحامي تبعات مخرجاته كما يتحمّل تبعات أفعال العاملين معه. وقد دعم بعض الباحثين في دراساتهم حول حماية التصرفات القانونية بالذكاء الاصطناعي هذا الاتجاه، مؤكدًا أن الوسائل التقنية الحديثة يمكن إدخالها في الإطار القانوني القائم عبر التفسير دون الحاجة إلى إنشاء كيانات قانونية جديدة</w:t>
      </w:r>
      <w:r>
        <w:rPr>
          <w:rFonts w:asciiTheme="majorBidi" w:hAnsiTheme="majorBidi" w:cstheme="majorBidi"/>
          <w:color w:val="000000" w:themeColor="text1"/>
          <w:sz w:val="24"/>
          <w:szCs w:val="24"/>
        </w:rPr>
        <w:t>.</w:t>
      </w:r>
    </w:p>
    <w:p w14:paraId="7C318717"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ويمكن أيضًا إعادة تفسير النصوص المتعلقة بآداب المهنة وواجباتها، الواردة في </w:t>
      </w:r>
      <w:r>
        <w:rPr>
          <w:rFonts w:asciiTheme="majorBidi" w:hAnsiTheme="majorBidi" w:cstheme="majorBidi"/>
          <w:b/>
          <w:bCs/>
          <w:color w:val="000000" w:themeColor="text1"/>
          <w:sz w:val="24"/>
          <w:szCs w:val="24"/>
          <w:rtl/>
        </w:rPr>
        <w:t>المادة الثالثة</w:t>
      </w:r>
      <w:r>
        <w:rPr>
          <w:rFonts w:asciiTheme="majorBidi" w:hAnsiTheme="majorBidi" w:cstheme="majorBidi"/>
          <w:color w:val="000000" w:themeColor="text1"/>
          <w:sz w:val="24"/>
          <w:szCs w:val="24"/>
          <w:rtl/>
        </w:rPr>
        <w:t xml:space="preserve"> و</w:t>
      </w:r>
      <w:r>
        <w:rPr>
          <w:rFonts w:asciiTheme="majorBidi" w:hAnsiTheme="majorBidi" w:cstheme="majorBidi"/>
          <w:b/>
          <w:bCs/>
          <w:color w:val="000000" w:themeColor="text1"/>
          <w:sz w:val="24"/>
          <w:szCs w:val="24"/>
          <w:rtl/>
        </w:rPr>
        <w:t>المادة الحادية عشرة</w:t>
      </w:r>
      <w:r>
        <w:rPr>
          <w:rFonts w:asciiTheme="majorBidi" w:hAnsiTheme="majorBidi" w:cstheme="majorBidi"/>
          <w:color w:val="000000" w:themeColor="text1"/>
          <w:sz w:val="24"/>
          <w:szCs w:val="24"/>
          <w:rtl/>
        </w:rPr>
        <w:t>، بما يتسع ليشمل الالتزامات الرقمية الحديثة؛ فالقيم التي نص عليها النظام — مثل الأمانة والسرية والصدق — جاءت كقيم عامة غير محصورة، مما يتيح مدّها لتشمل حماية البيانات الإلكترونية، وتأمين المعلومات، والامتناع عن إدخال بيانات الموكلين في أنظمة غير مرخصة. ويجد هذا التفسير سنده في مبادئ وثيقة سدايا لأخلاقيات الذكاء الاصطناعي التي تؤكد أن حماية الخصوصية مسؤولية مشتركة بين الإنسان والتقنية</w:t>
      </w:r>
      <w:r>
        <w:rPr>
          <w:rFonts w:asciiTheme="majorBidi" w:hAnsiTheme="majorBidi" w:cstheme="majorBidi"/>
          <w:color w:val="000000" w:themeColor="text1"/>
          <w:sz w:val="24"/>
          <w:szCs w:val="24"/>
        </w:rPr>
        <w:t>.</w:t>
      </w:r>
    </w:p>
    <w:p w14:paraId="13187312"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وعلى صعيد التطور الفقهي في مسألة السرية، لفتت عبد الرحمن إلى أن الفقه القانوني المقارن انتقل من تصور السرية واجباً سلبياً يقتضي عدم الإفصاح، إلى تصورها واجباً إيجابياً يستلزم اتخاذ الإجراءات الكافية لحفظ المعلومات من الاطلاع غير المشروع؛ وهو تطور جوهري يرتد أثره مباشرة على مسؤولية المحامي الذي يستخدم منصات ذكاء اصطناعي دون ضمانات أمنية كافية.</w:t>
      </w:r>
      <w:r>
        <w:rPr>
          <w:rtl/>
        </w:rPr>
        <w:footnoteReference w:id="77"/>
      </w:r>
    </w:p>
    <w:p w14:paraId="2C033ACE"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وبالنسبة للمادة الحادية عشرة الضامنة لمبدأ السرية، رأى بعض الباحثين أن هذه المادة وأمثالها في الأنظمة الخليجية تُجسّد مبدأً أعمق من مجرد واجب تعاقدي، إذ هي التزام مهني نظامي يمتد إلى ما بعد انتهاء العلاقة بالموكل، وأن هذا الامتداد يستوجب بالضرورة سريانه على أي بيانات مُدخَلة في أنظمة ذكاء اصطناعي طوال فترة احتفاظها بهذه البيانات.</w:t>
      </w:r>
      <w:r>
        <w:rPr>
          <w:rtl/>
        </w:rPr>
        <w:footnoteReference w:id="78"/>
      </w:r>
    </w:p>
    <w:p w14:paraId="12F3AC55"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 ما يخص المادة الحادية عشرة المتعلقة بالسر المهني وضمانات السرية، وصف بعض الباحثين الوضع الراهن بأنه يفتقر إلى نص صريح يُجرّم إفشاء أسرار الموكل عبر منصات الذكاء الاصطناعي غير الآمنة، مقترحاً أن يُعدَّل النظام لينص صراحةً على أن واجب السرية يمتد إلى أي طريقة أو وسيلة يُستعان بها في معالجة معلومات الموكل، بما يشمل الأدوات التقنية الذكية.</w:t>
      </w:r>
      <w:r>
        <w:rPr>
          <w:rtl/>
        </w:rPr>
        <w:footnoteReference w:id="79"/>
      </w:r>
    </w:p>
    <w:p w14:paraId="2926F4E6"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جهة أخرى، يمكن الاستفادة من </w:t>
      </w:r>
      <w:r>
        <w:rPr>
          <w:rFonts w:asciiTheme="majorBidi" w:hAnsiTheme="majorBidi" w:cstheme="majorBidi"/>
          <w:b/>
          <w:bCs/>
          <w:color w:val="000000" w:themeColor="text1"/>
          <w:sz w:val="24"/>
          <w:szCs w:val="24"/>
          <w:rtl/>
        </w:rPr>
        <w:t>المادة (١١) من نظام الإثبات لعام 1443هـ</w:t>
      </w:r>
      <w:r>
        <w:rPr>
          <w:rFonts w:asciiTheme="majorBidi" w:hAnsiTheme="majorBidi" w:cstheme="majorBidi"/>
          <w:color w:val="000000" w:themeColor="text1"/>
          <w:sz w:val="24"/>
          <w:szCs w:val="24"/>
          <w:rtl/>
        </w:rPr>
        <w:t xml:space="preserve"> التي أقرت حجية الأدلة الرقمية متى توافرت متطلبات الموثوقية، لتوسيع نطاق القواعد التي يمكن للمحامي الاستناد إليها عند استخدام أدوات الذكاء الاصطناعي في إعداد المذكرات والعقود. فإذا ثبت للمحامي أن الأداة الذكية المستخدمة معتمدة وتعمل تحت معايير مهنية، يمكن اعتبار مخرجاتها مستندًا ذا حجية في العمل القانوني وفقًا لروح النظام</w:t>
      </w:r>
      <w:r>
        <w:rPr>
          <w:rFonts w:asciiTheme="majorBidi" w:hAnsiTheme="majorBidi" w:cstheme="majorBidi"/>
          <w:color w:val="000000" w:themeColor="text1"/>
          <w:sz w:val="24"/>
          <w:szCs w:val="24"/>
        </w:rPr>
        <w:t>.</w:t>
      </w:r>
    </w:p>
    <w:p w14:paraId="568DE1F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 xml:space="preserve">ويمكن كذلك قراءة أحكام علاقة المحامي بالجهات التنظيمية، الواردة في </w:t>
      </w:r>
      <w:r>
        <w:rPr>
          <w:rFonts w:asciiTheme="majorBidi" w:hAnsiTheme="majorBidi" w:cstheme="majorBidi"/>
          <w:b/>
          <w:bCs/>
          <w:color w:val="000000" w:themeColor="text1"/>
          <w:sz w:val="24"/>
          <w:szCs w:val="24"/>
          <w:rtl/>
        </w:rPr>
        <w:t>المادة (١٧)</w:t>
      </w:r>
      <w:r>
        <w:rPr>
          <w:rFonts w:asciiTheme="majorBidi" w:hAnsiTheme="majorBidi" w:cstheme="majorBidi"/>
          <w:color w:val="000000" w:themeColor="text1"/>
          <w:sz w:val="24"/>
          <w:szCs w:val="24"/>
          <w:rtl/>
        </w:rPr>
        <w:t>، قراءة تأويلية تسمح بتوسيع مفهوم “التعاون المؤسسي” ليشمل المشاركة في تطوير الأدوات الذكية المستخدمة في القطاع العدلي، وإنشاء لجان فنية مشتركة مع وزارة العدل وهيئة المحامين لتنظيم اعتماد التقنيات القانونية. وهذا الاتجاه يتوافق مع ما طرحه بعض الباحثين حول مفهوم “إدارة التقنية” كجزء من الدور التشريعي الحديث</w:t>
      </w:r>
      <w:r>
        <w:rPr>
          <w:rFonts w:asciiTheme="majorBidi" w:hAnsiTheme="majorBidi" w:cstheme="majorBidi"/>
          <w:color w:val="000000" w:themeColor="text1"/>
          <w:sz w:val="24"/>
          <w:szCs w:val="24"/>
        </w:rPr>
        <w:t>.</w:t>
      </w:r>
    </w:p>
    <w:p w14:paraId="1C2376D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أما </w:t>
      </w:r>
      <w:r>
        <w:rPr>
          <w:rFonts w:asciiTheme="majorBidi" w:hAnsiTheme="majorBidi" w:cstheme="majorBidi"/>
          <w:b/>
          <w:bCs/>
          <w:color w:val="000000" w:themeColor="text1"/>
          <w:sz w:val="24"/>
          <w:szCs w:val="24"/>
          <w:rtl/>
        </w:rPr>
        <w:t>نظام القضاء السعودي</w:t>
      </w:r>
      <w:r>
        <w:rPr>
          <w:rFonts w:asciiTheme="majorBidi" w:hAnsiTheme="majorBidi" w:cstheme="majorBidi"/>
          <w:color w:val="000000" w:themeColor="text1"/>
          <w:sz w:val="24"/>
          <w:szCs w:val="24"/>
          <w:rtl/>
        </w:rPr>
        <w:t xml:space="preserve">، وخاصة </w:t>
      </w:r>
      <w:r>
        <w:rPr>
          <w:rFonts w:asciiTheme="majorBidi" w:hAnsiTheme="majorBidi" w:cstheme="majorBidi"/>
          <w:b/>
          <w:bCs/>
          <w:color w:val="000000" w:themeColor="text1"/>
          <w:sz w:val="24"/>
          <w:szCs w:val="24"/>
          <w:rtl/>
        </w:rPr>
        <w:t>المادة السادسة</w:t>
      </w:r>
      <w:r>
        <w:rPr>
          <w:rFonts w:asciiTheme="majorBidi" w:hAnsiTheme="majorBidi" w:cstheme="majorBidi"/>
          <w:color w:val="000000" w:themeColor="text1"/>
          <w:sz w:val="24"/>
          <w:szCs w:val="24"/>
          <w:rtl/>
        </w:rPr>
        <w:t xml:space="preserve"> التي تنص على تعاون القضاة والمحامين والنيابة العامة لتحقيق العدالة، فيمكن أن يُقرأ في ضوء البيئة الرقمية باعتباره يشمل التعاون في تطوير البنية التقنية للعدالة، بما في ذلك المساهمة في تصميم واعتماد الأنظمة الذكية المستخدمة من قبل المحاكم ومكاتب المحاماة</w:t>
      </w:r>
      <w:r>
        <w:rPr>
          <w:rFonts w:asciiTheme="majorBidi" w:hAnsiTheme="majorBidi" w:cstheme="majorBidi"/>
          <w:color w:val="000000" w:themeColor="text1"/>
          <w:sz w:val="24"/>
          <w:szCs w:val="24"/>
        </w:rPr>
        <w:t>.</w:t>
      </w:r>
    </w:p>
    <w:p w14:paraId="1793A87F" w14:textId="77777777" w:rsidR="00780164" w:rsidRDefault="007F1A18" w:rsidP="007F1A18">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إن التفسير القانوني الموسّع للنظام لا تهدف إلى سدّ الفراغات فحسب، بل إلى إعادة إحياء النصوص بما يتوافق مع التحولات التقنية والاجتماعية التي تشهدها المملكة. فالنظام كُتب بروح مرنة قابلة للتطوير، وهو ما ينسجم مع التوجه السعودي نحو بناء منظومة عدلية رقمية ديناميكية. ويمكن القول إن التطوير التشريعي الأمثل لا يكون بإلغاء النصوص القائمة، بل بإعادة تفسيرها ودمجها واستثمار قيمها، لتشكيل نظام قانوني رقمي متكامل يجمع بين الأصالة العدلية والحداثة التقنية</w:t>
      </w:r>
      <w:r>
        <w:rPr>
          <w:rFonts w:asciiTheme="majorBidi" w:hAnsiTheme="majorBidi" w:cstheme="majorBidi" w:hint="cs"/>
          <w:color w:val="000000" w:themeColor="text1"/>
          <w:sz w:val="24"/>
          <w:szCs w:val="24"/>
          <w:rtl/>
        </w:rPr>
        <w:t>.</w:t>
      </w:r>
    </w:p>
    <w:p w14:paraId="16B3CA0F" w14:textId="77777777" w:rsidR="00780164" w:rsidRDefault="00780164" w:rsidP="007F1A18">
      <w:pPr>
        <w:jc w:val="right"/>
        <w:rPr>
          <w:rFonts w:asciiTheme="majorBidi" w:hAnsiTheme="majorBidi" w:cstheme="majorBidi"/>
          <w:color w:val="000000" w:themeColor="text1"/>
          <w:sz w:val="24"/>
          <w:szCs w:val="24"/>
          <w:rtl/>
        </w:rPr>
      </w:pPr>
    </w:p>
    <w:p w14:paraId="0A5B6497" w14:textId="77777777" w:rsidR="00780164" w:rsidRPr="00780164"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تقدّم،</w:t>
      </w:r>
      <w:r>
        <w:rPr>
          <w:rFonts w:asciiTheme="majorBidi" w:hAnsiTheme="majorBidi" w:cstheme="majorBidi"/>
          <w:color w:val="000000" w:themeColor="text1"/>
          <w:sz w:val="24"/>
          <w:szCs w:val="24"/>
          <w:rtl/>
        </w:rPr>
        <w:t xml:space="preserve"> يتضح أن نظام المحاماة السعودي صدر في مرحلة تشريعية سابقة للتحول الرقمي، إلا أنه تأسس على بنية قانونية متينة هدفت إلى تعزيز العدالة وتنظيم المهنة في إطار مؤسسي قابل للتطور. وتتميز مهنة المحاماة بطبيعتها القانونية المركّبة، إذ تجمع بين الصفة العدلية العامة والحرية المهنية، وهو ما يجعلها قابلة من حيث الأصل لاستيعاب التقنيات الحديثة، بما في ذلك الذكاء الاصطناعي، شريطة أن تظل الرقابة الأخلاقية والقانونية قائمة على عمل المحامي ذاته بوصفه المسؤول المهني، لا على النظام التقني المستخدم. كما يُلاحظ أن البنية النصية للنظام ركزت في تنظيمها على الشخص الطبيعي والالتزامات التقليدية المرتبطة بالممارسة المهنية، دون إدراج مفاهيم رقمية صريحة، غير أن هذه النصوص اتسمت بقدر من المرونة يسمح بإدخال ضوابط تقنية ضمن الهيكل التشريعي القائم دون الحاجة إلى إعادة بناء النظام من جذوره</w:t>
      </w:r>
      <w:r>
        <w:rPr>
          <w:rFonts w:asciiTheme="majorBidi" w:hAnsiTheme="majorBidi" w:cstheme="majorBidi"/>
          <w:color w:val="000000" w:themeColor="text1"/>
          <w:sz w:val="24"/>
          <w:szCs w:val="24"/>
        </w:rPr>
        <w:t>.</w:t>
      </w:r>
    </w:p>
    <w:p w14:paraId="6F2E9EBD" w14:textId="77777777" w:rsidR="00C94490"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ناحية أخرى،</w:t>
      </w:r>
      <w:r>
        <w:rPr>
          <w:rFonts w:asciiTheme="majorBidi" w:hAnsiTheme="majorBidi" w:cstheme="majorBidi"/>
          <w:color w:val="000000" w:themeColor="text1"/>
          <w:sz w:val="24"/>
          <w:szCs w:val="24"/>
          <w:rtl/>
        </w:rPr>
        <w:t xml:space="preserve"> أفرز التطور التقني، ولا سيما في مجالات الترافع والاستشارة والصياغة القانونية، تحديات عملية تتطلب تحديدًا دقيقًا لنطاق استخدام الذكاء الاصطناعي، والتمييز بين دوره كمساعد قانوني يدعم عمل المحامي، وبين تحوّله إلى بديل قد يمس جوهر المهنة ووظيفتها العدلية. وفي هذا السياق، تبرز اللائحة التنفيذية لنظام المحاماة بوصفها الأداة الأكثر مرونة لتنظيم هذه الاستخدامات، من خلال إصدار قواعد تفصيلية تضمن الاستخدام الآمن والمشروع للتقنيات القانونية. ورغم ما يتمتع به النظام من أوجه قوة تتمثل في مرونته، وارتباطه بالأنظمة العدلية الحديثة، وتوافقه مع مبادئ العدالة والشفافية، ووجود مؤسسات مهنية قادرة على الضبط والتقنين، إلا أن التحليل يكشف عن أوجه قصور تشريعي، من أبرزها غياب التعريفات النظامية للمفاهيم التقنية، وضعف الربط بين نظام المحاماة وأنظمة البيانات ذات الصلة، وعدم تنظيم المسؤولية عن الأخطاء التقنية، فضلًا عن غموض المركز النظامي للتقنية في الممارسة القانونية. ومن ثم، تبرز أهمية تبنّي قراءة تأويلية للنصوص القائمة، تسمح بتوسيع نطاق تطبيقها ليشمل استخدامات الذكاء الاصطناعي، من خلال تطوير الفهم التطبيقي للنصوص دون المساس بالبنية التشريعية أو الإخلال بالقيم العدلية التي يقوم عليها النظام</w:t>
      </w:r>
      <w:r>
        <w:rPr>
          <w:rFonts w:asciiTheme="majorBidi" w:hAnsiTheme="majorBidi" w:cstheme="majorBidi"/>
          <w:color w:val="000000" w:themeColor="text1"/>
          <w:sz w:val="24"/>
          <w:szCs w:val="24"/>
        </w:rPr>
        <w:t>.</w:t>
      </w:r>
    </w:p>
    <w:p w14:paraId="6A8CA71A" w14:textId="77777777" w:rsidR="00ED0A7F" w:rsidRPr="00BC5F38" w:rsidRDefault="00ED0A7F" w:rsidP="00C94490">
      <w:pPr>
        <w:jc w:val="right"/>
        <w:rPr>
          <w:rFonts w:asciiTheme="majorBidi" w:hAnsiTheme="majorBidi" w:cstheme="majorBidi"/>
          <w:color w:val="000000" w:themeColor="text1"/>
          <w:sz w:val="24"/>
          <w:szCs w:val="24"/>
          <w:rtl/>
        </w:rPr>
      </w:pPr>
    </w:p>
    <w:p w14:paraId="30F386C2" w14:textId="77777777" w:rsidR="00C94490" w:rsidRPr="00D41CB7" w:rsidRDefault="00C94490" w:rsidP="00C94490">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الثاني</w:t>
      </w:r>
    </w:p>
    <w:p w14:paraId="0985930D" w14:textId="77777777" w:rsidR="00C94490" w:rsidRDefault="00ED0A7F" w:rsidP="00ED0A7F">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دور الأنظمة المكملة في تنظيم توظيف الذكاء الاصطناعي في مكاتب المحاماة</w:t>
      </w:r>
    </w:p>
    <w:p w14:paraId="646713A4" w14:textId="77777777" w:rsidR="005B3BD6" w:rsidRDefault="005B3BD6" w:rsidP="00ED0A7F">
      <w:pPr>
        <w:jc w:val="center"/>
        <w:rPr>
          <w:rFonts w:asciiTheme="majorBidi" w:hAnsiTheme="majorBidi" w:cstheme="majorBidi"/>
          <w:b/>
          <w:bCs/>
          <w:color w:val="000000" w:themeColor="text1"/>
          <w:sz w:val="28"/>
          <w:szCs w:val="28"/>
          <w:rtl/>
        </w:rPr>
      </w:pPr>
    </w:p>
    <w:p w14:paraId="61696413" w14:textId="77777777" w:rsidR="005B3BD6" w:rsidRDefault="005B3BD6" w:rsidP="005B3BD6">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 xml:space="preserve">لا يمكن دراسة الإطار القانوني المنظم لتوظيف الذكاء الاصطناعي في مكاتب المحاماة بمعزل عن المنظومة العدلية السعودية الكلية، إذ إن مهنة المحاماة ليست جزيرة قانونية مستقلة، بل هي جزء من شبكة تشريعية أوسع </w:t>
      </w:r>
      <w:r>
        <w:rPr>
          <w:rFonts w:asciiTheme="majorBidi" w:hAnsiTheme="majorBidi" w:cstheme="majorBidi"/>
          <w:color w:val="000000" w:themeColor="text1"/>
          <w:sz w:val="24"/>
          <w:szCs w:val="24"/>
          <w:rtl/>
        </w:rPr>
        <w:lastRenderedPageBreak/>
        <w:t>تشمل أنظمة العدالة، والمعاملات، والبيانات، والإثبات، والمسؤولية، وكلها تتقاطع في ضبط السلوك المهني في البيئة الرقمية. ومن خلال هذه الأنظمة المتكاملة، تتضح معالم البنية القانونية التي يمكن أن تستوعب التطورات التقنية في الممارسة القانونية وتُعيد تعريف مفهوم العمل المهني في ضوء أدوات الذكاء الاصطناعي</w:t>
      </w:r>
      <w:r>
        <w:rPr>
          <w:rFonts w:asciiTheme="majorBidi" w:hAnsiTheme="majorBidi" w:cstheme="majorBidi" w:hint="cs"/>
          <w:color w:val="000000" w:themeColor="text1"/>
          <w:sz w:val="24"/>
          <w:szCs w:val="24"/>
          <w:rtl/>
        </w:rPr>
        <w:t>.</w:t>
      </w:r>
    </w:p>
    <w:p w14:paraId="23312384" w14:textId="77777777" w:rsidR="0095427D" w:rsidRPr="0095427D" w:rsidRDefault="0095427D" w:rsidP="0095427D">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أولا: </w:t>
      </w:r>
      <w:r>
        <w:rPr>
          <w:rFonts w:asciiTheme="majorBidi" w:hAnsiTheme="majorBidi" w:cstheme="majorBidi"/>
          <w:b/>
          <w:bCs/>
          <w:color w:val="000000" w:themeColor="text1"/>
          <w:sz w:val="24"/>
          <w:szCs w:val="24"/>
          <w:rtl/>
        </w:rPr>
        <w:t>نظام حماية البيانات الشخصية (1443هـ)</w:t>
      </w:r>
    </w:p>
    <w:p w14:paraId="2F2C4709"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حماية البيانات الشخصية الصادر عام 1443هـ الإطار النظامي الأهم في المملكة لتنظيم جمع البيانات ومعالجتها وحفظها، وهو من أكثر الأنظمة ارتباطًا بموضوع الرسالة، لأن الذكاء الاصطناعي في مكاتب المحاماة يقوم جوهريًا على تحليل ومعالجة بيانات قانونية وشخصية عالية الحساسية. فالمحامي الذي يستخدم نظامًا ذكياً لصياغة العقود، أو لتتبع الدعاوى، أو لتحليل الأنظمة والوقائع، يصبح في مواجهة مباشرة مع التزامات نظامية تفرضها عليه مواد النظام، خصوصًا المادة الخامسة التي تُلزم بعدم معالجة البيانات إلا بعد موافقة صريحة، والمادة الثانية عشرة التي تُحظر نقل البيانات إلى خارج المملكة دون تقويم مخاطر معتمد</w:t>
      </w:r>
      <w:r>
        <w:rPr>
          <w:rFonts w:asciiTheme="majorBidi" w:hAnsiTheme="majorBidi" w:cstheme="majorBidi"/>
          <w:color w:val="000000" w:themeColor="text1"/>
          <w:sz w:val="24"/>
          <w:szCs w:val="24"/>
        </w:rPr>
        <w:t>.</w:t>
      </w:r>
    </w:p>
    <w:p w14:paraId="50ADF411"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الناحية التحليلية، يمكن القول إن هذا النظام ينقل مفهوم السرية المهنية التقليدية في المحاماة إلى مستوى السرية الرقمية، بحيث لم تعد الأمانة مقتصرة على حفظ الوثائق الورقية، بل تمتد إلى تأمين البيانات التي تعالجها الأنظمة الذكية داخل المكتب. وهذا التحول يُعيد تعريف الالتزام المهني للمحامي ليصبح التزامًا مزدوجًا: قانونيًّا بموجب النظام، وأخلاقيًّا بموجب مبادئ العدالة الرقمية</w:t>
      </w:r>
      <w:r>
        <w:rPr>
          <w:rFonts w:asciiTheme="majorBidi" w:hAnsiTheme="majorBidi" w:cstheme="majorBidi"/>
          <w:color w:val="000000" w:themeColor="text1"/>
          <w:sz w:val="24"/>
          <w:szCs w:val="24"/>
        </w:rPr>
        <w:t>.</w:t>
      </w:r>
    </w:p>
    <w:p w14:paraId="3C791B2D"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ويؤكد بعض الباحثين</w:t>
      </w:r>
      <w:r>
        <w:rPr>
          <w:rStyle w:val="af"/>
          <w:rFonts w:asciiTheme="majorBidi" w:hAnsiTheme="majorBidi" w:cstheme="majorBidi"/>
          <w:color w:val="000000" w:themeColor="text1"/>
          <w:sz w:val="24"/>
          <w:szCs w:val="24"/>
          <w:rtl/>
        </w:rPr>
        <w:footnoteReference w:id="80"/>
      </w:r>
      <w:r>
        <w:rPr>
          <w:rFonts w:asciiTheme="majorBidi" w:hAnsiTheme="majorBidi" w:cstheme="majorBidi"/>
          <w:color w:val="000000" w:themeColor="text1"/>
          <w:sz w:val="24"/>
          <w:szCs w:val="24"/>
          <w:rtl/>
        </w:rPr>
        <w:t xml:space="preserve"> (2024) أن مسؤولية المحامي في البيئة التقنية لا تقتصر على نتائج عمله البشري، بل تشمل إشرافه على الأدوات التقنية التي يستخدمها، ما يجعله مسؤولًا عن أي إخلال بنظام حماية البيانات الشخصية إذا نُفّذ بواسطة برنامج ذكاء اصطناعي تابع له. كما تشير بعض الباحثين</w:t>
      </w:r>
      <w:r>
        <w:rPr>
          <w:rStyle w:val="af"/>
          <w:rFonts w:asciiTheme="majorBidi" w:hAnsiTheme="majorBidi" w:cstheme="majorBidi"/>
          <w:color w:val="000000" w:themeColor="text1"/>
          <w:sz w:val="24"/>
          <w:szCs w:val="24"/>
          <w:rtl/>
        </w:rPr>
        <w:footnoteReference w:id="81"/>
      </w:r>
      <w:r>
        <w:rPr>
          <w:rFonts w:asciiTheme="majorBidi" w:hAnsiTheme="majorBidi" w:cstheme="majorBidi"/>
          <w:color w:val="000000" w:themeColor="text1"/>
          <w:sz w:val="24"/>
          <w:szCs w:val="24"/>
          <w:rtl/>
        </w:rPr>
        <w:t xml:space="preserve"> (2022) إلى أن الخطأ في معالجة البيانات داخل الأنظمة الذكية يدخل ضمن المسؤولية المدنية المهنية متى ثبت تقصير المحامي في التحقق من أمان النظام المستخدم</w:t>
      </w:r>
      <w:r>
        <w:rPr>
          <w:rFonts w:asciiTheme="majorBidi" w:hAnsiTheme="majorBidi" w:cstheme="majorBidi"/>
          <w:color w:val="000000" w:themeColor="text1"/>
          <w:sz w:val="24"/>
          <w:szCs w:val="24"/>
        </w:rPr>
        <w:t>.</w:t>
      </w:r>
    </w:p>
    <w:p w14:paraId="0D144F83"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أهمية هذا النظام أيضًا من خلال الدليل الاسترشادي لتقويم مخاطر نقل البيانات الشخصية إلى خارج المملكة</w:t>
      </w:r>
      <w:r>
        <w:rPr>
          <w:rStyle w:val="af"/>
          <w:rFonts w:asciiTheme="majorBidi" w:hAnsiTheme="majorBidi" w:cstheme="majorBidi"/>
          <w:color w:val="000000" w:themeColor="text1"/>
          <w:sz w:val="24"/>
          <w:szCs w:val="24"/>
          <w:rtl/>
        </w:rPr>
        <w:footnoteReference w:id="82"/>
      </w:r>
      <w:r>
        <w:rPr>
          <w:rFonts w:asciiTheme="majorBidi" w:hAnsiTheme="majorBidi" w:cstheme="majorBidi"/>
          <w:color w:val="000000" w:themeColor="text1"/>
          <w:sz w:val="24"/>
          <w:szCs w:val="24"/>
          <w:rtl/>
        </w:rPr>
        <w:t>، الذي شدّد على أن الجهات المهنية – ومن ضمنها مكاتب المحاماة – يجب أن تجري تقييم أثر تقني قبل استخدام أي منصة ذكاء اصطناعي أجنبية لتحليل البيانات القانونية. وهذا يعكس بوضوح أن الدولة تتعامل مع الذكاء الاصطناعي بوصفه نشاطًا منظمًا يخضع للرقابة القانونية، وليس مجرد أداة فنية</w:t>
      </w:r>
      <w:r>
        <w:rPr>
          <w:rFonts w:asciiTheme="majorBidi" w:hAnsiTheme="majorBidi" w:cstheme="majorBidi"/>
          <w:color w:val="000000" w:themeColor="text1"/>
          <w:sz w:val="24"/>
          <w:szCs w:val="24"/>
        </w:rPr>
        <w:t>.</w:t>
      </w:r>
    </w:p>
    <w:p w14:paraId="5F3B16FA"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وبالتالي، فإن نظام حماية البيانات الشخصية يشكّل أحد أعمدة الإطار القانوني لتوظيف الذكاء الاصطناعي في مكاتب المحاماة، لأنه يوازن بين حق الموكل في الخصوصية وحق المحامي في استخدام التقنية لتطوير خدمته، مع وضع ضوابط دقيقة تضمن حماية الحقوق دون تعطيل الابتكار. وهو ما يتفق مع رؤية المملكة 2030 التي تربط التحول الرقمي بسيادة القانون وضمان الثقة في المنظومة العدلية</w:t>
      </w:r>
      <w:r>
        <w:rPr>
          <w:rFonts w:asciiTheme="majorBidi" w:hAnsiTheme="majorBidi" w:cstheme="majorBidi"/>
          <w:color w:val="000000" w:themeColor="text1"/>
          <w:sz w:val="24"/>
          <w:szCs w:val="24"/>
        </w:rPr>
        <w:t>.</w:t>
      </w:r>
    </w:p>
    <w:p w14:paraId="78ED4C1C"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ويضيف بعض الباحثين (د.ت) أن اشتراط الحصول على موافقة مسبقة لمعالجة بيانات الموكل بواسطة الأنظمة الذكية يُعدّ التزامًا نظاميًا صريحًا يفرضه نظام حماية البيانات الشخصية الصادر بالمرسوم الملكي رقم م/19 لعام 1443هـ، وأن الإخلال بهذا الالتزام يُرتّب مسؤولية مدنية وتأديبية على المحامي المستخدِم للأداة الذكية.</w:t>
      </w:r>
      <w:r>
        <w:rPr>
          <w:rtl/>
        </w:rPr>
        <w:footnoteReference w:id="83"/>
      </w:r>
    </w:p>
    <w:p w14:paraId="428DBF77" w14:textId="77777777" w:rsidR="00ED0A7F" w:rsidRDefault="00ED0A7F" w:rsidP="005B3BD6">
      <w:pPr>
        <w:jc w:val="right"/>
        <w:rPr>
          <w:rFonts w:asciiTheme="majorBidi" w:hAnsiTheme="majorBidi" w:cstheme="majorBidi"/>
          <w:color w:val="000000" w:themeColor="text1"/>
          <w:sz w:val="24"/>
          <w:szCs w:val="24"/>
        </w:rPr>
      </w:pPr>
    </w:p>
    <w:p w14:paraId="52F70448" w14:textId="77777777" w:rsidR="004855F3" w:rsidRDefault="004855F3" w:rsidP="00A742CD">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ثانياً : </w:t>
      </w:r>
      <w:r>
        <w:rPr>
          <w:rFonts w:asciiTheme="majorBidi" w:hAnsiTheme="majorBidi" w:cstheme="majorBidi"/>
          <w:b/>
          <w:bCs/>
          <w:color w:val="000000" w:themeColor="text1"/>
          <w:rtl/>
        </w:rPr>
        <w:t>نظام الإثبات (1443هـ)</w:t>
      </w:r>
      <w:r>
        <w:rPr>
          <w:rFonts w:asciiTheme="majorBidi" w:hAnsiTheme="majorBidi" w:cstheme="majorBidi" w:hint="cs"/>
          <w:b/>
          <w:bCs/>
          <w:color w:val="000000" w:themeColor="text1"/>
          <w:rtl/>
        </w:rPr>
        <w:t xml:space="preserve"> :</w:t>
      </w:r>
    </w:p>
    <w:p w14:paraId="696C2601"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lastRenderedPageBreak/>
        <w:t>وفي إطار نظام الإثبات الصادر عام 1443هـ، أوضحت دراسة مركز الدراسات والبحوث القانونية (2024م) أن النظام يتيح قبول الأدلة الرقمية بما فيها مخرجات الأنظمة الذكية، غير أن ذلك مشروط بضمان صحة الأداة الذكية المولِّدة للدليل وخلوّها من التحيز، مما يُلقي على عاتق المحامي عبء إثبات مصداقية الأداة قبل الاستناد إلى مخرجاتها.</w:t>
      </w:r>
      <w:r>
        <w:rPr>
          <w:rtl/>
        </w:rPr>
        <w:footnoteReference w:id="84"/>
      </w:r>
    </w:p>
    <w:p w14:paraId="74FAEB1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جاء نظام الإثبات لعام 1443هـ بوصفه أحد أبرز التحولات في البنية العدلية السعودية، إذ نقل الإثبات من بيئة يغلب عليها الطابع الورقي إلى بيئة تعترف رسميًا بالأدلة الإلكترونية والرقمية. وهذا التطور يرتبط بصورة مباشرة بموضوع الرسالة، لأن جزءًا كبيرًا من مخرجات أنظمة الذكاء الاصطناعي في مكاتب المحاماة يظهر في صورة مستندات رقمية، أو تحليلات إلكترونية، أو معاملات تتم عبر المنصات التقنية</w:t>
      </w:r>
      <w:r>
        <w:rPr>
          <w:rFonts w:asciiTheme="majorBidi" w:hAnsiTheme="majorBidi" w:cstheme="majorBidi"/>
          <w:color w:val="000000" w:themeColor="text1"/>
          <w:sz w:val="24"/>
          <w:szCs w:val="24"/>
        </w:rPr>
        <w:t>.</w:t>
      </w:r>
    </w:p>
    <w:p w14:paraId="591B00A4"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قرر النظام في عدد من مواده، وبصفة خاصة المادتين (8) و(9)، أن الأدلة الإلكترونية والمحررات الرقمية تعد حجّة معتبرة متى توافرت لها شروط معينة، من أهمها: إمكان نسبة المستند إلى صاحبه، وسلامة وسيلة حفظه ونقله، وعدم العبث بمحتواه. وهذه الشروط تُلقي بعبء مباشر على مكاتب المحاماة التي تعتمد على الذكاء الاصطناعي في إعداد المذكرات أو العقود؛ إذ لا يكفي أن ينتج النظام نصًا قانونيًا، بل يجب على المحامي التأكد من أن طريقة إنشاء النص وحفظه وتقديمه تتوافق مع معايير الموثوقية التي يضعها النظام</w:t>
      </w:r>
      <w:r>
        <w:rPr>
          <w:rFonts w:asciiTheme="majorBidi" w:hAnsiTheme="majorBidi" w:cstheme="majorBidi"/>
          <w:color w:val="000000" w:themeColor="text1"/>
          <w:sz w:val="24"/>
          <w:szCs w:val="24"/>
        </w:rPr>
        <w:t>.</w:t>
      </w:r>
    </w:p>
    <w:p w14:paraId="7BF4817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ويرتبط ذلك بشكل وثيق بآليات </w:t>
      </w:r>
      <w:r>
        <w:rPr>
          <w:rFonts w:asciiTheme="majorBidi" w:hAnsiTheme="majorBidi" w:cstheme="majorBidi"/>
          <w:b/>
          <w:bCs/>
          <w:color w:val="000000" w:themeColor="text1"/>
          <w:sz w:val="24"/>
          <w:szCs w:val="24"/>
          <w:rtl/>
        </w:rPr>
        <w:t>تحصيل الموافقة الصريحة</w:t>
      </w:r>
      <w:r>
        <w:rPr>
          <w:rFonts w:asciiTheme="majorBidi" w:hAnsiTheme="majorBidi" w:cstheme="majorBidi"/>
          <w:color w:val="000000" w:themeColor="text1"/>
          <w:sz w:val="24"/>
          <w:szCs w:val="24"/>
          <w:rtl/>
        </w:rPr>
        <w:t xml:space="preserve"> في التعاملات الرقمية، وهي من المسائل المحورية في النظام. فوفقًا لحكم المادة (25) من نظام الإثبات والمادة (4) من نظام حماية البيانات الشخصية، تُعد الموافقة الصريحة شرطًا لصلاحية التعامل مع البيانات أو المحررات الرقمية. وتشمل هذه الموافقة، وفقًا للنظامين، الموافقات الرقمية الموثقة من خلال التوقيع الإلكتروني أو البصمة الرقمية أو أي وسيلة تقنية تعتمدها الجهات المختصة، متى أمكن التحقق من هوية صاحبها وسلامة الإجراء. وهذا يفتح بابًا مهمًا يتعلق بمدى حجية التوقيعات الإلكترونية التي يتم توليدها من خلال أنظمة الذكاء الاصطناعي، وهل تعد توقيعًا صحيحًا. الاتجاه الغالب في الفقه النظامي السعودي يميل إلى أن التوقيع الإلكتروني صحيح متى كان صادرًا عن المستخدم البشري نفسه أو تم تحت رقابته وإشرافه، أما التواقيع الآلية التي تُنشئها برامج الذكاء الاصطناعي دون تدخل بشري مباشر فلا تتمتع بالحجية إلا إذا صادق عليها المحامي صراحة</w:t>
      </w:r>
      <w:r>
        <w:rPr>
          <w:rFonts w:asciiTheme="majorBidi" w:hAnsiTheme="majorBidi" w:cstheme="majorBidi"/>
          <w:color w:val="000000" w:themeColor="text1"/>
          <w:sz w:val="24"/>
          <w:szCs w:val="24"/>
        </w:rPr>
        <w:t>.</w:t>
      </w:r>
    </w:p>
    <w:p w14:paraId="6E18D0E2"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وفيما يتعلق بالنماذج العملية لنماذج الموافقة، نبّهت عبد الرحمن إلى خطورة النماذج الجاهزة المطوّلة التي يوقّع عليها الموكل دون قراءة، مُقترِحةً اعتماد نموذج الموافقة الإلكترونية التفاعلية الذي يُلزم الموكل بالإجابة على أسئلة متعلقة بطبيعة الأداة المستخدمة قبل التوقيع، بما يُكرّس الموافقة المستنيرة الحقيقية ويُبعد الشك عن صحة الموافقة ومشروعيتها.</w:t>
      </w:r>
      <w:r>
        <w:rPr>
          <w:rtl/>
        </w:rPr>
        <w:footnoteReference w:id="85"/>
      </w:r>
    </w:p>
    <w:p w14:paraId="49124FBC"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تحليل مدى إلزامية الموافقة الصريحة من المنظور الجزائي، أكد العطار والنوايسة أن غياب الموافقة الصريحة في الحالات التي يستوجبها القانون قد يُكيَّف جزائياً باعتباره تجاوزاً لحدود الوكالة وصورة من صور خيانة الأمانة المهنية، مستشهدَين بحالات مقارنة أُدين فيها محامون بتهمة الإخلال بالأمانة حين نقلوا معلومات الموكلين إلى أطراف ثالثة بلا إذن حتى وإن لم يقصدوا الإضرار.</w:t>
      </w:r>
      <w:r>
        <w:rPr>
          <w:rtl/>
        </w:rPr>
        <w:footnoteReference w:id="86"/>
      </w:r>
    </w:p>
    <w:p w14:paraId="5E89ACD9"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 xml:space="preserve">وفي سياق تحصيل الموافقة الصريحة المستنيرة، استعرض بعض الباحثين نموذج الموافقة الطبقية المعتمد في بعض التشريعات الرائدة، والذي يُفرّق بين موافقة الموكل على استخدام الذكاء الاصطناعي في المهام الروتينية، </w:t>
      </w:r>
      <w:r>
        <w:rPr>
          <w:rFonts w:asciiTheme="majorBidi" w:hAnsiTheme="majorBidi" w:cstheme="majorBidi"/>
          <w:sz w:val="24"/>
          <w:szCs w:val="24"/>
          <w:rtl/>
        </w:rPr>
        <w:lastRenderedPageBreak/>
        <w:t>وموافقة خاصة على استخدامه في الاطلاع على البيانات الحساسة، وموافقة مشددة على استخدامه في التوصيات التي تمس حقوق جوهرية للموكل.</w:t>
      </w:r>
      <w:r>
        <w:rPr>
          <w:rtl/>
        </w:rPr>
        <w:footnoteReference w:id="87"/>
      </w:r>
    </w:p>
    <w:p w14:paraId="62B8DA98"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هذا الإطار، دعت الأمين إلى اعتماد نموذج إفصاح مهني موحّد تُصدره هيئة المحامين السعوديين يُلزم كل محامٍ بالإفصاح كتابةً عن استخدامه لأنظمة الذكاء الاصطناعي في أعماله، ويُحدّد نوع الأنظمة المستخدمة وغرضها وضماناتها التقنية، بما يُحوّل الإفصاح من التزام أخلاقي إلى واجب نظامي قابل للتطبيق.</w:t>
      </w:r>
      <w:r>
        <w:rPr>
          <w:rtl/>
        </w:rPr>
        <w:footnoteReference w:id="88"/>
      </w:r>
    </w:p>
    <w:p w14:paraId="68A6EA49"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وفيما يتعلق بتحصيل الموافقة الصريحة من الموكل عند استخدام الذكاء الاصطناعي، أوضحت الخميسي أن هذه الموافقة لا ينبغي أن تكون مجرد إجراء شكلي في عقد الوكالة، بل ينبغي أن تكون موافقة مستنيرة حقيقية يُدرك معها الموكل طبيعة النظام المستخدم، ودرجة دقته، وطريقة حفظ بياناته، والجهة التي تتولى إدارة المنصة، وحدود المسؤولية في حال الخطأ.</w:t>
      </w:r>
      <w:r>
        <w:rPr>
          <w:rtl/>
        </w:rPr>
        <w:footnoteReference w:id="89"/>
      </w:r>
    </w:p>
    <w:p w14:paraId="6676D007"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زاوية أخرى، يفتح نظام الإثبات الباب لتكوين "بيئة إثبات رقمية" داخل الممارسة المهنية، حيث يصبح التعامل مع الملفات الإلكترونية والمنصات العدلية الرقمية جزءًا من العمل اليومي للمحامي. وتزداد هذه البيئة تعقيدًا مع دخول الذكاء الاصطناعي في تحليل السوابق القضائية أو ترتيب المستندات أو تجهيز المذكرات، وهي مخرجات يمكن تقديمها أمام القضاء كمستندات أو تقارير رقمية. وهنا تبرز مسألة </w:t>
      </w:r>
      <w:r>
        <w:rPr>
          <w:rFonts w:asciiTheme="majorBidi" w:hAnsiTheme="majorBidi" w:cstheme="majorBidi"/>
          <w:b/>
          <w:bCs/>
          <w:color w:val="000000" w:themeColor="text1"/>
          <w:sz w:val="24"/>
          <w:szCs w:val="24"/>
          <w:rtl/>
        </w:rPr>
        <w:t>المسؤولية المهنية الرقمية</w:t>
      </w:r>
      <w:r>
        <w:rPr>
          <w:rFonts w:asciiTheme="majorBidi" w:hAnsiTheme="majorBidi" w:cstheme="majorBidi"/>
          <w:color w:val="000000" w:themeColor="text1"/>
          <w:sz w:val="24"/>
          <w:szCs w:val="24"/>
          <w:rtl/>
        </w:rPr>
        <w:t xml:space="preserve"> للمحامي؛ إذ تذهب مجلة الشريعة والقانون في دراستها حول الذكاء الاصطناعي والعمل القضائي إلى أن المهني لا يجوز له أن يتنصل من مسؤولية الدليل بحجة أن مصدره نظام ذكي، بل يظل ملزمًا بالتثبت من صحة الدليل ومنهج إنتاجه قبل تقديمه</w:t>
      </w:r>
      <w:r>
        <w:rPr>
          <w:rFonts w:asciiTheme="majorBidi" w:hAnsiTheme="majorBidi" w:cstheme="majorBidi"/>
          <w:color w:val="000000" w:themeColor="text1"/>
          <w:sz w:val="24"/>
          <w:szCs w:val="24"/>
        </w:rPr>
        <w:t>.</w:t>
      </w:r>
    </w:p>
    <w:p w14:paraId="771790C1"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أشارت الأبحاث المنشورة في مجلة العدالة حول المسؤولية عن الذكاء الاصطناعي إلى أن الأدلة الرقمية أصبحت تشمل سجلات إلكترونية وبيانات ميتاداتا وتقارير تحليلية تنتجها الأنظمة الذكية. وهذا يطرح سؤالًا جوهريًا</w:t>
      </w: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tl/>
        </w:rPr>
        <w:t>هل يُعدّ ما ينتجه الذكاء الاصطناعي دليلًا بذاته؟ أم مجرد أداة مساعدة لا تكتسب الحجية إلا بعد مراجعة المحامي واعتماده؟</w:t>
      </w:r>
      <w:r>
        <w:rPr>
          <w:rFonts w:asciiTheme="majorBidi" w:hAnsiTheme="majorBidi" w:cstheme="majorBidi"/>
          <w:color w:val="000000" w:themeColor="text1"/>
          <w:sz w:val="24"/>
          <w:szCs w:val="24"/>
          <w:rtl/>
        </w:rPr>
        <w:t xml:space="preserve"> الاتجاه السائد في الفقه النظامي السعودي يرى أن الأداة التقنية ليست “شخصًا” ذا ذمة قانونية، بل هي وسيلة في يد المحامي، وبالتالي فإن الحجية تُنسب إلى ما يعتمد عليه المحامي بعد فحصه وتدقيقه</w:t>
      </w:r>
      <w:r>
        <w:rPr>
          <w:rFonts w:asciiTheme="majorBidi" w:hAnsiTheme="majorBidi" w:cstheme="majorBidi"/>
          <w:color w:val="000000" w:themeColor="text1"/>
          <w:sz w:val="24"/>
          <w:szCs w:val="24"/>
        </w:rPr>
        <w:t>.</w:t>
      </w:r>
    </w:p>
    <w:p w14:paraId="5E1931C0"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ويمتد نطاق التأثير إلى مجال الخبرة الفنية، إذ قد يحتاج القاضي — مع انتشار الأنظمة الذكية — إلى الاطلاع على خبرة تقنية متخصصة لفهم آلية عمل النظام المستخدم من قبل المحامي أو الخصم. وهنا تصبح تقارير الخبرة التقنية جزءًا من الدليل الخاضع لأحكام نظام الإثبات. وبذلك يزداد العبء المهني على المحامي في اختيار أنظمة ذكاء اصطناعي قابلة للتفسير وليست "صناديق سوداء" لا يمكن فهم منهجها؛ لأن غموض الآلية قد يضعف من قوة الدليل أمام القضاء</w:t>
      </w:r>
      <w:r>
        <w:rPr>
          <w:rFonts w:asciiTheme="majorBidi" w:hAnsiTheme="majorBidi" w:cstheme="majorBidi"/>
          <w:color w:val="000000" w:themeColor="text1"/>
          <w:sz w:val="24"/>
          <w:szCs w:val="24"/>
        </w:rPr>
        <w:t>.</w:t>
      </w:r>
    </w:p>
    <w:p w14:paraId="0796737C"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وفي سياق رؤية المملكة 2030 وبرامج التحول الرقمي للقطاع العدلي، يبدو واضحًا أن نظام الإثبات جاء ليمنح الثقة الرسمية في الأدلة الرقمية ويقنن دخول التقنية في منظومة العدالة. وقد أشارت فاطمة بلال في دراستها حول دور الذكاء الاصطناعي في تعزيز العدالة الناجزة إلى أن الاعتراف بالمستندات الإلكترونية يشكل خطوة جوهرية في بناء منظومة عدلية تعتمد على التقنية. ومن ثمّ، يصبح نظام الإثبات عنصرًا محوريًا في الإطار </w:t>
      </w:r>
      <w:r>
        <w:rPr>
          <w:rFonts w:asciiTheme="majorBidi" w:hAnsiTheme="majorBidi" w:cstheme="majorBidi"/>
          <w:color w:val="000000" w:themeColor="text1"/>
          <w:sz w:val="24"/>
          <w:szCs w:val="24"/>
          <w:rtl/>
        </w:rPr>
        <w:lastRenderedPageBreak/>
        <w:t>القانوني لتوظيف الذكاء الاصطناعي في مكاتب المحاماة؛ لأنه يحدد متى يكون الناتج التقني دليلًا معتبرًا، ومتى يكون مجرد مسودة أو أداة داخلية لا ترقى إلى مرتبة الحجّة القضائية</w:t>
      </w:r>
      <w:r>
        <w:rPr>
          <w:rFonts w:asciiTheme="majorBidi" w:hAnsiTheme="majorBidi" w:cstheme="majorBidi"/>
          <w:color w:val="000000" w:themeColor="text1"/>
          <w:sz w:val="24"/>
          <w:szCs w:val="24"/>
        </w:rPr>
        <w:t>.</w:t>
      </w:r>
    </w:p>
    <w:p w14:paraId="31D922A1"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وباختصار، فإن نظام الإثبات لا يكتفي بالاعتراف بالأدلة الرقمية، بل يعيد تعريف دور المحامي في زمن الذكاء الاصطناعي؛ إذ يفرض عليه مسؤولية مضاعفة في التعامل مع المخرجات التقنية، وفحص صحتها، وتقديمها في إطار قانوني منضبط، بما يتوافق مع الهدف الرئيس للرسالة في وضع إطار قانوني سعودي متكامل ينظم توظيف الذكاء الاصطناعي في تطوير خدمات مكاتب المحاماة دون المساس بقواعد العدالة وحجية الإثبات</w:t>
      </w:r>
      <w:r>
        <w:rPr>
          <w:rFonts w:asciiTheme="majorBidi" w:hAnsiTheme="majorBidi" w:cstheme="majorBidi"/>
          <w:color w:val="000000" w:themeColor="text1"/>
          <w:sz w:val="24"/>
          <w:szCs w:val="24"/>
        </w:rPr>
        <w:t>.</w:t>
      </w:r>
    </w:p>
    <w:p w14:paraId="7212585F" w14:textId="77777777" w:rsidR="00A742CD" w:rsidRDefault="00A742CD" w:rsidP="00A742CD">
      <w:pPr>
        <w:jc w:val="right"/>
        <w:rPr>
          <w:rFonts w:asciiTheme="majorBidi" w:hAnsiTheme="majorBidi" w:cstheme="majorBidi"/>
          <w:color w:val="000000" w:themeColor="text1"/>
          <w:sz w:val="24"/>
          <w:szCs w:val="24"/>
        </w:rPr>
      </w:pPr>
    </w:p>
    <w:p w14:paraId="44D52534" w14:textId="77777777" w:rsidR="004855F3" w:rsidRPr="004855F3" w:rsidRDefault="004855F3" w:rsidP="004855F3">
      <w:pPr>
        <w:jc w:val="center"/>
        <w:rPr>
          <w:rFonts w:asciiTheme="majorBidi" w:hAnsiTheme="majorBidi" w:cstheme="majorBidi"/>
          <w:color w:val="000000" w:themeColor="text1"/>
          <w:sz w:val="24"/>
          <w:szCs w:val="24"/>
        </w:rPr>
      </w:pPr>
    </w:p>
    <w:p w14:paraId="40011CEC" w14:textId="77777777" w:rsidR="00925C7C" w:rsidRDefault="00925C7C" w:rsidP="00925C7C">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ثالثاً : </w:t>
      </w:r>
      <w:r>
        <w:rPr>
          <w:rFonts w:asciiTheme="majorBidi" w:hAnsiTheme="majorBidi" w:cstheme="majorBidi"/>
          <w:b/>
          <w:bCs/>
          <w:color w:val="000000" w:themeColor="text1"/>
          <w:rtl/>
        </w:rPr>
        <w:t>نظام المعاملات المدنية (1445هـ)</w:t>
      </w:r>
      <w:r>
        <w:rPr>
          <w:rFonts w:asciiTheme="majorBidi" w:hAnsiTheme="majorBidi" w:cstheme="majorBidi" w:hint="cs"/>
          <w:b/>
          <w:bCs/>
          <w:color w:val="000000" w:themeColor="text1"/>
          <w:rtl/>
        </w:rPr>
        <w:t xml:space="preserve"> :</w:t>
      </w:r>
    </w:p>
    <w:p w14:paraId="05BF6C32"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وفيما يخص التكامل بين نظام المعاملات المدنية ومتطلبات الذكاء الاصطناعي، أكد بعض الباحثين ضرورة صياغة لائحة تفسيرية تُبيّن كيفية تطبيق المبادئ العامة في النظام على الحالات الناشئة عن الذكاء الاصطناعي، إذ إن الفراغ التفسيري قد يكون أشد أثراً من الفراغ التشريعي، لأن القاضي المجتهد أمام نص عام قد يُؤوّله في اتجاهات متباينة تُخل بمبدأ توحيد القضاء.</w:t>
      </w:r>
      <w:r>
        <w:rPr>
          <w:rtl/>
        </w:rPr>
        <w:footnoteReference w:id="90"/>
      </w:r>
    </w:p>
    <w:p w14:paraId="1BA66134"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ضوء نظام المعاملات المدنية الصادر عام 1445هـ، أوضح بعض الباحثين أن هذا النظام ورغم حداثته يتضمن قواعد عامة للمسؤولية التقصيرية يمكن توظيفها في قضايا الضرر الناجم عن الذكاء الاصطناعي، غير أن القواعد العامة لا تُغني عن النص الخاص لأنها تُلقي عبء إثبات الخطأ على المتضرر الذي يعجز في أغلب الأحيان عن الإحاطة بالتفاصيل التقنية المعقدة للنظام الذكي.</w:t>
      </w:r>
      <w:r>
        <w:rPr>
          <w:rtl/>
        </w:rPr>
        <w:footnoteReference w:id="91"/>
      </w:r>
    </w:p>
    <w:p w14:paraId="58EBD3B8"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ضوء نظام المعاملات المدنية الجديد الصادر عام 1445هـ، لاحظ بعض الباحثين أن النظام يُرسي قواعد المسؤولية التقصيرية على أساس الخطأ والضرر والعلاقة السببية، غير أنه لا يتناول مسألة تحديد الخطأ حين ينبثق الضرر من مخرجات نظام ذكاء اصطناعي، مما يُلقي عبئاً تفسيرياً مضاعفاً على القضاء في غياب نص خاص يُرتّب المسؤولية وفق معطيات العصر الرقمي.</w:t>
      </w:r>
      <w:r>
        <w:rPr>
          <w:rtl/>
        </w:rPr>
        <w:footnoteReference w:id="92"/>
      </w:r>
    </w:p>
    <w:p w14:paraId="6A260CCA"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يمثّل نظام المعاملات المدنية أحد أهم التطورات التشريعية في المملكة العربية السعودية، إذ وضع الأساس القانوني الحديث للمعاملات والعقود في بيئة رقمية متسارعة، وكرّس لأول مرة مبادئ صريحة تتصل بالعقود الإلكترونية والذكاء الاصطناعي. وتكمن صلته المباشرة بعنوان الرسالة في أنه يحدّد الإطار الذي تعمل ضمنه مكاتب المحاماة عند صياغة العقود أو مراجعتها باستخدام الأدوات التقنية الذكية، مما يجعله جزءًا رئيسًا من المنظومة النظامية المكملة لنظام المحاماة</w:t>
      </w:r>
      <w:r>
        <w:rPr>
          <w:rFonts w:asciiTheme="majorBidi" w:hAnsiTheme="majorBidi" w:cstheme="majorBidi"/>
          <w:color w:val="000000" w:themeColor="text1"/>
          <w:sz w:val="24"/>
          <w:szCs w:val="24"/>
        </w:rPr>
        <w:t>.</w:t>
      </w:r>
    </w:p>
    <w:p w14:paraId="50C57E25"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أقرّ في مادته (الثالثة عشرة)</w:t>
      </w:r>
      <w:r>
        <w:rPr>
          <w:rStyle w:val="af"/>
          <w:rFonts w:asciiTheme="majorBidi" w:hAnsiTheme="majorBidi" w:cstheme="majorBidi"/>
          <w:color w:val="000000" w:themeColor="text1"/>
          <w:sz w:val="24"/>
          <w:szCs w:val="24"/>
          <w:rtl/>
        </w:rPr>
        <w:footnoteReference w:id="93"/>
      </w:r>
      <w:r>
        <w:rPr>
          <w:rFonts w:asciiTheme="majorBidi" w:hAnsiTheme="majorBidi" w:cstheme="majorBidi"/>
          <w:color w:val="000000" w:themeColor="text1"/>
          <w:sz w:val="24"/>
          <w:szCs w:val="24"/>
          <w:rtl/>
        </w:rPr>
        <w:t xml:space="preserve"> مبدأ حرية التعاقد والرضا، ونصّ على أن التعاقد قد يتم بأية وسيلة تفيد تبادل الإيجاب والقبول، وهو ما يشمل اليوم التعاقد عبر الأنظمة الإلكترونية أو الذكاء الاصطناعي. كما أكّد في مواده اللاحقة على حجية المراسلات الإلكترونية والمحررات الرقمية، ما دام يمكن التحقق من نسبتها إلى </w:t>
      </w:r>
      <w:r>
        <w:rPr>
          <w:rFonts w:asciiTheme="majorBidi" w:hAnsiTheme="majorBidi" w:cstheme="majorBidi"/>
          <w:color w:val="000000" w:themeColor="text1"/>
          <w:sz w:val="24"/>
          <w:szCs w:val="24"/>
          <w:rtl/>
        </w:rPr>
        <w:lastRenderedPageBreak/>
        <w:t>أطرافها، مما يفتح الباب أمام استخدام أدوات الذكاء الاصطناعي في صياغة العقود وتحليلها دون الخروج عن الإطار القانوني الصحيح</w:t>
      </w:r>
      <w:r>
        <w:rPr>
          <w:rFonts w:asciiTheme="majorBidi" w:hAnsiTheme="majorBidi" w:cstheme="majorBidi"/>
          <w:color w:val="000000" w:themeColor="text1"/>
          <w:sz w:val="24"/>
          <w:szCs w:val="24"/>
        </w:rPr>
        <w:t>.</w:t>
      </w:r>
    </w:p>
    <w:p w14:paraId="43852656"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التحليل القانوني لهذا النظام يبين أن المشرّع السعودي لم يغفل أثر التقنية الحديثة على طبيعة الإرادة التعاقدية، بل أعاد صياغة مفهومها بما يتلاءم مع “الإرادة المبرمجة” التي أصبحت جزءًا من المعاملات الذكية. فالعقد الذكي – في جوهره – ليس سوى اتفاق بشري تُبرمج أحكامه في خوارزمية تنفّذ الالتزامات تلقائيًا عند تحقق شروط محددة، مما يتطلب من المحامي أن يجمع بين الفهم القانوني والمنهج التقني لتأمين سلامة التعاقد وحماية أطرافه</w:t>
      </w:r>
      <w:r>
        <w:rPr>
          <w:rFonts w:asciiTheme="majorBidi" w:hAnsiTheme="majorBidi" w:cstheme="majorBidi"/>
          <w:color w:val="000000" w:themeColor="text1"/>
          <w:sz w:val="24"/>
          <w:szCs w:val="24"/>
        </w:rPr>
        <w:t>.</w:t>
      </w:r>
    </w:p>
    <w:p w14:paraId="661C835D"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 بعض الباحثين</w:t>
      </w:r>
      <w:r>
        <w:rPr>
          <w:rStyle w:val="af"/>
          <w:rFonts w:asciiTheme="majorBidi" w:hAnsiTheme="majorBidi" w:cstheme="majorBidi"/>
          <w:color w:val="000000" w:themeColor="text1"/>
          <w:sz w:val="24"/>
          <w:szCs w:val="24"/>
          <w:rtl/>
        </w:rPr>
        <w:footnoteReference w:id="94"/>
      </w:r>
      <w:r>
        <w:rPr>
          <w:rFonts w:asciiTheme="majorBidi" w:hAnsiTheme="majorBidi" w:cstheme="majorBidi"/>
          <w:color w:val="000000" w:themeColor="text1"/>
          <w:sz w:val="24"/>
          <w:szCs w:val="24"/>
          <w:rtl/>
        </w:rPr>
        <w:t xml:space="preserve"> (2024) في دراسته عن الذكاء الاصطناعي ودوره في إبرام العقود التجارية الذكية أن العقود الذكية لا تُلغِي دور المحامي، بل تزيد من أهميته في مراجعة الخوارزميات التي تنفذ العقد، والتأكد من مطابقتها للقواعد النظامية، وخاصة في الجوانب المتعلقة بعيوب الإرادة والتزامات التنفيذ. وهو ما يعيد تعريف دور المحامي في بيئة الذكاء الاصطناعي من ممارس تقليدي إلى “مستشار قانوني تقني” قادر على التوفيق بين نص النظام ومقتضيات الواقع الرقمي</w:t>
      </w:r>
      <w:r>
        <w:rPr>
          <w:rFonts w:asciiTheme="majorBidi" w:hAnsiTheme="majorBidi" w:cstheme="majorBidi"/>
          <w:color w:val="000000" w:themeColor="text1"/>
          <w:sz w:val="24"/>
          <w:szCs w:val="24"/>
        </w:rPr>
        <w:t>.</w:t>
      </w:r>
    </w:p>
    <w:p w14:paraId="6EE8639E"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جهة أخرى، يتكامل نظام المعاملات المدنية مع نظام التعاملات الإلكترونية (1428هـ) في تثبيت مبدأ المشروعية للوثائق الإلكترونية والتوقيعات الرقمية، مما يرسّخ حجية الأدلة الرقمية أمام القضاء ويضمن استقرار التعاملات القانونية الناتجة عن الأنظمة الذكية. وقد أشار بعض الباحثين</w:t>
      </w:r>
      <w:r>
        <w:rPr>
          <w:rStyle w:val="af"/>
          <w:rFonts w:asciiTheme="majorBidi" w:hAnsiTheme="majorBidi" w:cstheme="majorBidi"/>
          <w:color w:val="000000" w:themeColor="text1"/>
          <w:sz w:val="24"/>
          <w:szCs w:val="24"/>
          <w:rtl/>
        </w:rPr>
        <w:footnoteReference w:id="95"/>
      </w:r>
      <w:r>
        <w:rPr>
          <w:rFonts w:asciiTheme="majorBidi" w:hAnsiTheme="majorBidi" w:cstheme="majorBidi"/>
          <w:color w:val="000000" w:themeColor="text1"/>
          <w:sz w:val="24"/>
          <w:szCs w:val="24"/>
          <w:rtl/>
        </w:rPr>
        <w:t xml:space="preserve"> (2024) إلى أن هذه المنظومة المزدوجة تخلق بيئة قانونية متكاملة تتيح للمحامين استخدام أدوات الذكاء الاصطناعي بثقة، شريطة الالتزام بضوابط النظام في حفظ السجلات الرقمية وتوثيق العمليات التعاقدية</w:t>
      </w:r>
      <w:r>
        <w:rPr>
          <w:rFonts w:asciiTheme="majorBidi" w:hAnsiTheme="majorBidi" w:cstheme="majorBidi"/>
          <w:color w:val="000000" w:themeColor="text1"/>
          <w:sz w:val="24"/>
          <w:szCs w:val="24"/>
        </w:rPr>
        <w:t>.</w:t>
      </w:r>
    </w:p>
    <w:p w14:paraId="6442A69F"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زاوية أخلاقية، يتكامل هذا النظام مع وثيقة مبادئ أخلاقيات الذكاء الاصطناعي التي تشدد على مبدأ العدالة والشفافية في الأنظمة الذكية، ما يفرض على المحامي واجبًا مهنيًا بعدم استخدام أدوات تقنية تخلّ بتوازن العقود أو تؤدي إلى استغلال أحد الأطراف، تطبيقًا لمبدأ حسن النية الذي نص عليه النظام المدني في مادته (الأولى). وهذا الربط بين النظام المدني والضوابط الأخلاقية للذكاء الاصطناعي يعكس فلسفة تشريعية حديثة تجعل التقنية خادمة للعدالة لا أداة للمخاطر القانونية</w:t>
      </w:r>
      <w:r>
        <w:rPr>
          <w:rFonts w:asciiTheme="majorBidi" w:hAnsiTheme="majorBidi" w:cstheme="majorBidi"/>
          <w:color w:val="000000" w:themeColor="text1"/>
          <w:sz w:val="24"/>
          <w:szCs w:val="24"/>
        </w:rPr>
        <w:t>.</w:t>
      </w:r>
    </w:p>
    <w:p w14:paraId="6BFF1646" w14:textId="77777777" w:rsidR="00925C7C" w:rsidRPr="00925C7C" w:rsidRDefault="00925C7C" w:rsidP="005562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ضوء رؤية المملكة 2030، فإن نظام المعاملات المدنية يمثّل ركيزة لتفعيل الاقتصاد الرقمي والعدالة الذكية، ويمنح المحامين إطارًا قانونيًا مرنًا يمكنهم من دمج أدوات الذكاء الاصطناعي في أعمالهم اليومية دون الخروج عن حدود المشروعية. وبذلك يصبح النظام المدني جزءًا من الإطار الكلي لتنظيم الذكاء الاصطناعي في مكاتب المحاماة، لأنه يضبط العلاقة بين التقنية والإرادة التعاقدية، ويحول دون تحول الذكاء الاصطناعي إلى طرف قانوني مستقل، محافظًا على مركزية الإنسان في العملية التعاقدية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34066694" w14:textId="77777777" w:rsidR="00925C7C" w:rsidRPr="00925C7C" w:rsidRDefault="00925C7C" w:rsidP="00925C7C">
      <w:pPr>
        <w:jc w:val="right"/>
        <w:rPr>
          <w:rFonts w:asciiTheme="majorBidi" w:hAnsiTheme="majorBidi" w:cstheme="majorBidi"/>
          <w:color w:val="000000" w:themeColor="text1"/>
          <w:sz w:val="24"/>
          <w:szCs w:val="24"/>
          <w:rtl/>
        </w:rPr>
      </w:pPr>
    </w:p>
    <w:p w14:paraId="749A0C03" w14:textId="77777777" w:rsidR="004855F3" w:rsidRPr="0095427D" w:rsidRDefault="005562AF"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رابعاً : </w:t>
      </w:r>
      <w:r>
        <w:rPr>
          <w:rFonts w:asciiTheme="majorBidi" w:hAnsiTheme="majorBidi" w:cstheme="majorBidi"/>
          <w:b/>
          <w:bCs/>
          <w:color w:val="000000" w:themeColor="text1"/>
          <w:rtl/>
        </w:rPr>
        <w:t xml:space="preserve">نظام الإجراءات الجزائية (1435هـ) </w:t>
      </w:r>
      <w:r>
        <w:rPr>
          <w:rFonts w:asciiTheme="majorBidi" w:hAnsiTheme="majorBidi" w:cstheme="majorBidi" w:hint="cs"/>
          <w:b/>
          <w:bCs/>
          <w:color w:val="000000" w:themeColor="text1"/>
          <w:rtl/>
        </w:rPr>
        <w:t xml:space="preserve">، </w:t>
      </w:r>
      <w:r>
        <w:rPr>
          <w:rFonts w:asciiTheme="majorBidi" w:hAnsiTheme="majorBidi" w:cstheme="majorBidi"/>
          <w:b/>
          <w:bCs/>
          <w:color w:val="000000" w:themeColor="text1"/>
          <w:rtl/>
        </w:rPr>
        <w:t>ونظام مكافحة الجرائم المعلوماتية (1428هـ)</w:t>
      </w:r>
      <w:r>
        <w:rPr>
          <w:rFonts w:asciiTheme="majorBidi" w:hAnsiTheme="majorBidi" w:cstheme="majorBidi" w:hint="cs"/>
          <w:b/>
          <w:bCs/>
          <w:color w:val="000000" w:themeColor="text1"/>
          <w:rtl/>
        </w:rPr>
        <w:t xml:space="preserve"> :</w:t>
      </w:r>
    </w:p>
    <w:p w14:paraId="54CBBD89"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كل من نظام الإجراءات الجزائية ونظام مكافحة الجرائم المعلوماتية من أهم الأنظمة الداعمة للإطار العدلي في المملكة، ولهما ارتباط مباشر بموضوع الرسالة من زاوية ضبط استخدام الذكاء الاصطناعي في مكاتب المحاماة، خصوصًا فيما يتعلق بجمع المعلومات وتحليل الأدلة وحماية سرية البيانات القانونية. فبينما ينظّم نظام الإجراءات الجزائية قواعد سير العدالة الجنائية ويؤكد على سلامة إجراءات التقاضي، فإن نظام مكافحة الجرائم المعلوماتية يُعدّ خط الدفاع النظامي ضد إساءة استخدام التقنية والبيانات في المجال العدلي</w:t>
      </w:r>
      <w:r>
        <w:rPr>
          <w:rFonts w:asciiTheme="majorBidi" w:hAnsiTheme="majorBidi" w:cstheme="majorBidi"/>
          <w:color w:val="000000" w:themeColor="text1"/>
          <w:sz w:val="24"/>
          <w:szCs w:val="24"/>
        </w:rPr>
        <w:t>.</w:t>
      </w:r>
    </w:p>
    <w:p w14:paraId="273300B8"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وينص نظام الإجراءات الجزائية في مادته الثانية على أن إجراءات التحقيق والمحاكمة يجب أن تتم وفق أحكام الشريعة والأنظمة المرعية بما يضمن صيانة الحقوق وحماية الخصوصية. وهذا النص يُلزم المحامي الذي يستخدم أدوات الذكاء الاصطناعي في تحليل القضايا أو التواصل مع الجهات العدلية بأن يلتزم بضمانات السرية </w:t>
      </w:r>
      <w:r>
        <w:rPr>
          <w:rFonts w:asciiTheme="majorBidi" w:hAnsiTheme="majorBidi" w:cstheme="majorBidi"/>
          <w:color w:val="000000" w:themeColor="text1"/>
          <w:sz w:val="24"/>
          <w:szCs w:val="24"/>
          <w:rtl/>
        </w:rPr>
        <w:lastRenderedPageBreak/>
        <w:t>وعدم انتهاك حرمة البيانات، إذ إن أي خرق لهذه الضمانات قد يؤدي إلى بطلان الدليل أو مساءلة تأديبية. كما أن المادة (161) من النظام توجب المحافظة على سرية المعلومات التي يطلع عليها المحامي أثناء التحقيق أو المحاكمة، وهو التزام يمتد ليشمل المعلومات التي تُعالَج عبر الأنظمة الذكية داخل مكاتب المحاماة</w:t>
      </w:r>
      <w:r>
        <w:rPr>
          <w:rFonts w:asciiTheme="majorBidi" w:hAnsiTheme="majorBidi" w:cstheme="majorBidi"/>
          <w:color w:val="000000" w:themeColor="text1"/>
          <w:sz w:val="24"/>
          <w:szCs w:val="24"/>
        </w:rPr>
        <w:t>.</w:t>
      </w:r>
    </w:p>
    <w:p w14:paraId="6AAF656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نظام مكافحة الجرائم المعلوماتية، فقد نص في مادته الثالثة على تجريم الدخول غير المشروع إلى الأنظمة المعلوماتية أو اعتراض البيانات أثناء نقلها أو إفشائها. وهذا يعني أن المحامي الذي يستخدم منصة ذكاء اصطناعي لمعالجة بيانات الموكلين يجب أن يتحقق من أن المنصة مرخصة وآمنة داخل المملكة، وإلا فقد يعدّ استخدامه للمنصة شكلًا من أشكال الإخلال النظامي. وقد أشار بعض الباحثين في دراساتهم حول مكافحة الجريمة الإلكترونية إلى أن الذكاء الاصطناعي يمكن أن يكون أداة مشروعة أو وسيلة ضارة بحسب نية الاستخدام ونتيجته، وهو ما يتقاطع مع ما ذكرته بعض الباحثين حول أن الخطأ التقني قد يتحول إلى خطأ جسيم إذا أدى إلى ضرر يمسّ الأمن المعلوماتي أو العدالة الرقمية</w:t>
      </w:r>
      <w:r>
        <w:rPr>
          <w:rFonts w:asciiTheme="majorBidi" w:hAnsiTheme="majorBidi" w:cstheme="majorBidi"/>
          <w:color w:val="000000" w:themeColor="text1"/>
          <w:sz w:val="24"/>
          <w:szCs w:val="24"/>
        </w:rPr>
        <w:t>.</w:t>
      </w:r>
    </w:p>
    <w:p w14:paraId="65D273C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ولإيضاح مخاطر إساءة استخدام الذكاء الاصطناعي داخل مكاتب المحاماة، يمكن عرض عدد من الأمثلة العملية التي تكشف حدود المسؤولية القانونية للمحامي</w:t>
      </w:r>
      <w:r>
        <w:rPr>
          <w:rFonts w:asciiTheme="majorBidi" w:hAnsiTheme="majorBidi" w:cstheme="majorBidi"/>
          <w:color w:val="000000" w:themeColor="text1"/>
          <w:sz w:val="24"/>
          <w:szCs w:val="24"/>
        </w:rPr>
        <w:t>:</w:t>
      </w:r>
    </w:p>
    <w:p w14:paraId="55B0F5E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الشأن، أصدرت الهيئة السعودية للبيانات والذكاء الاصطناعي (سدايا) في فبراير 2025م الدليل الاسترشادي لتقويم مخاطر نقل البيانات الشخصية إلى خارج المملكة، وهو دليل إجرائي تفصيلي يُرسي منهجية متكاملة لتقييم المخاطر المرتبطة بمعالجة البيانات وتحديد الآثار السلبية المحتملة على الأطراف ذات الصلة. وتتعلق هذه الضمانات بصورة مباشرة بمكاتب المحاماة التي تُدخل بيانات العملاء السرية في منصات ذكاء اصطناعي تُدار خوادمها خارج المملكة، مما يستوجب إجراء تقويم مسبق للمخاطر قبل أي عملية نقل أو إفصاح.</w:t>
      </w:r>
      <w:r>
        <w:rPr>
          <w:rStyle w:val="af"/>
          <w:rFonts w:asciiTheme="majorBidi" w:hAnsiTheme="majorBidi" w:cstheme="majorBidi"/>
          <w:sz w:val="24"/>
          <w:szCs w:val="24"/>
          <w:rtl/>
        </w:rPr>
        <w:footnoteReference w:id="96"/>
      </w:r>
    </w:p>
    <w:p w14:paraId="00D5AF5B"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استخدام نظام ذكاء اصطناعي غير مرخص</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قد يلجأ بعض المحامين إلى أنظمة تحليل قانوني مجانية أو غير مرخّصة لمعالجة ملفات حساسة. فإذا تبين لاحقًا أن هذه الأنظمة تحفظ البيانات في خوادم خارجية أو تشاركها مع أطراف غير مصرح لها، فإن ذلك قد يعدّ إفشاءً غير مشروع للبيانات طبقًا للمادة الثالثة من نظام مكافحة الجرائم المعلوماتية، وقد يخضع المحامي للمساءلة لعدم التحقق من سلامة النظام</w:t>
      </w:r>
      <w:r>
        <w:rPr>
          <w:rFonts w:asciiTheme="majorBidi" w:hAnsiTheme="majorBidi" w:cstheme="majorBidi"/>
          <w:color w:val="000000" w:themeColor="text1"/>
          <w:sz w:val="24"/>
          <w:szCs w:val="24"/>
        </w:rPr>
        <w:t>.</w:t>
      </w:r>
    </w:p>
    <w:p w14:paraId="20B4D7C7"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الأمثلة التطبيقية في نطاق واجب السرية المهنية، إذا أدى هذا الإهمال إلى تسريب بيانات، فقد يعد ذلك إخلالًا بواجب السرية المهنية المنصوص عليه في المادة (161) من نظام الإجراءات الجزائية، وقد يشكل خطأ مهنيًا جسيمًا يستوجب المساءلة التأديبية أمام هيئة المحامين</w:t>
      </w:r>
      <w:r>
        <w:rPr>
          <w:rFonts w:asciiTheme="majorBidi" w:hAnsiTheme="majorBidi" w:cstheme="majorBidi"/>
          <w:color w:val="000000" w:themeColor="text1"/>
          <w:sz w:val="24"/>
          <w:szCs w:val="24"/>
        </w:rPr>
        <w:t>.</w:t>
      </w:r>
    </w:p>
    <w:p w14:paraId="54C6BD18"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التطبيقات العملية لمسؤولية العناية المهنية، قد يولد النظام الذكي استنتاجات غير دقيقة عن السوابق القضائية أو توصيات قانونية مضللة. فإذا قدّم المحامي هذه المخرجات للقضاء دون فحص أو تدقيق، ثم ظهر أنها خاطئة أو مزورة تقنيًا</w:t>
      </w:r>
      <w:r>
        <w:rPr>
          <w:rFonts w:asciiTheme="majorBidi" w:hAnsiTheme="majorBidi" w:cstheme="majorBidi"/>
          <w:color w:val="000000" w:themeColor="text1"/>
          <w:sz w:val="24"/>
          <w:szCs w:val="24"/>
        </w:rPr>
        <w:t xml:space="preserve"> (Deepfake Evidence)</w:t>
      </w:r>
      <w:r>
        <w:rPr>
          <w:rFonts w:asciiTheme="majorBidi" w:hAnsiTheme="majorBidi" w:cstheme="majorBidi"/>
          <w:color w:val="000000" w:themeColor="text1"/>
          <w:sz w:val="24"/>
          <w:szCs w:val="24"/>
          <w:rtl/>
        </w:rPr>
        <w:t>، فقد يُسأل مهنيًا عن الإخلال بواجب العناية والفحص، لأن مسؤولية الدليل — وفق الأنظمة السعودية — تُنسب لمن يقدمه، لا للأداة التقنية المستخدمة في إنتاجه</w:t>
      </w:r>
      <w:r>
        <w:rPr>
          <w:rFonts w:asciiTheme="majorBidi" w:hAnsiTheme="majorBidi" w:cstheme="majorBidi"/>
          <w:color w:val="000000" w:themeColor="text1"/>
          <w:sz w:val="24"/>
          <w:szCs w:val="24"/>
        </w:rPr>
        <w:t>.</w:t>
      </w:r>
    </w:p>
    <w:p w14:paraId="675111D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وتطبيقيًا في نطاق واجب الإفصاح وحماية بيانات الموكل، قد يولد النظام سجلات محادثة تُخزّن في خوادم أجنبية دون علم الموكل. هذا قد يعرض المحامي للمساءلة النظامية، لأن الموافقة الصريحة المطلوبة على معالجة البيانات — وفق نظام حماية البيانات الشخصية — تشترط العلم والإذن المسبق، وهو ما قد ينتفي في مثل هذه الحالات</w:t>
      </w:r>
      <w:r>
        <w:rPr>
          <w:rFonts w:asciiTheme="majorBidi" w:hAnsiTheme="majorBidi" w:cstheme="majorBidi"/>
          <w:color w:val="000000" w:themeColor="text1"/>
          <w:sz w:val="24"/>
          <w:szCs w:val="24"/>
        </w:rPr>
        <w:t>.</w:t>
      </w:r>
    </w:p>
    <w:p w14:paraId="2C26CF55"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إن العلاقة بين النظامين تكاملية؛ فالأول (نظام الإجراءات الجزائية) يضمن سلامة الإجراءات، والثاني (نظام مكافحة الجرائم المعلوماتية) يوفر الحماية التقنية لهذه الإجراءات في بيئة رقمية. ومن خلال هذا التكامل، تُعاد </w:t>
      </w:r>
      <w:r>
        <w:rPr>
          <w:rFonts w:asciiTheme="majorBidi" w:hAnsiTheme="majorBidi" w:cstheme="majorBidi"/>
          <w:color w:val="000000" w:themeColor="text1"/>
          <w:sz w:val="24"/>
          <w:szCs w:val="24"/>
          <w:rtl/>
        </w:rPr>
        <w:lastRenderedPageBreak/>
        <w:t>صياغة مسؤولية المحامي في ظل الذكاء الاصطناعي بحيث تشمل الالتزام بضمان أمن البيانات، والتحقق من مشروعية الأدوات التقنية المستخدمة، وحماية الخصوصية أثناء استخدامها في التحليل أو المرافعة</w:t>
      </w:r>
      <w:r>
        <w:rPr>
          <w:rFonts w:asciiTheme="majorBidi" w:hAnsiTheme="majorBidi" w:cstheme="majorBidi"/>
          <w:color w:val="000000" w:themeColor="text1"/>
          <w:sz w:val="24"/>
          <w:szCs w:val="24"/>
        </w:rPr>
        <w:t>.</w:t>
      </w:r>
    </w:p>
    <w:p w14:paraId="67ECC25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نظام مكافحة الجرائم المعلوماتية يتصل بشكل وثيق بوثيقة مبادئ أخلاقيات الذكاء الاصطناعي، التي أكدت على مبدأ الشفافية والمسؤولية، ما يعني أن أي استخدام تقني داخل المجال العدلي يجب أن يكون قابلاً للتتبع والمساءلة. وهذا يفتح المجال أمام إنشاء لائحة مهنية مستقبلية تنظّم استخدام الأنظمة الذكية داخل مكاتب المحاماة بما يمنع تعارضها مع الأنظمة الجزائية أو الأمنية</w:t>
      </w:r>
      <w:r>
        <w:rPr>
          <w:rFonts w:asciiTheme="majorBidi" w:hAnsiTheme="majorBidi" w:cstheme="majorBidi"/>
          <w:color w:val="000000" w:themeColor="text1"/>
          <w:sz w:val="24"/>
          <w:szCs w:val="24"/>
        </w:rPr>
        <w:t>.</w:t>
      </w:r>
    </w:p>
    <w:p w14:paraId="00E9B632" w14:textId="77777777" w:rsidR="00A918AE" w:rsidRPr="00A918AE"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وعليه، فإن نظام الإجراءات الجزائية ونظام مكافحة الجرائم المعلوماتية يشكّلان إطارًا وقائيًا وتنظيميًا ضامنًا للاستخدام المشروع للذكاء الاصطناعي في مكاتب المحاماة، ويحددان الخط الفاصل بين التقنيات المساعدة التي تعزز كفاءة المهنة، وبين الممارسات التي قد تعدّ إخلالًا بنزاهة العدالة أو تهديدًا للأمن المعلوماتي</w:t>
      </w:r>
      <w:r>
        <w:rPr>
          <w:rFonts w:asciiTheme="majorBidi" w:hAnsiTheme="majorBidi" w:cstheme="majorBidi"/>
          <w:color w:val="000000" w:themeColor="text1"/>
          <w:sz w:val="24"/>
          <w:szCs w:val="24"/>
        </w:rPr>
        <w:t>..</w:t>
      </w:r>
    </w:p>
    <w:p w14:paraId="20FF3D0F" w14:textId="77777777" w:rsidR="004855F3" w:rsidRDefault="004855F3" w:rsidP="005B3BD6">
      <w:pPr>
        <w:jc w:val="right"/>
        <w:rPr>
          <w:rFonts w:asciiTheme="majorBidi" w:hAnsiTheme="majorBidi" w:cstheme="majorBidi"/>
          <w:color w:val="000000" w:themeColor="text1"/>
          <w:sz w:val="24"/>
          <w:szCs w:val="24"/>
        </w:rPr>
      </w:pPr>
    </w:p>
    <w:p w14:paraId="7AD63852" w14:textId="77777777" w:rsidR="00A918AE" w:rsidRPr="0095427D" w:rsidRDefault="00A918AE"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خامساً : </w:t>
      </w:r>
      <w:r>
        <w:rPr>
          <w:rFonts w:asciiTheme="majorBidi" w:hAnsiTheme="majorBidi" w:cstheme="majorBidi"/>
          <w:b/>
          <w:bCs/>
          <w:color w:val="000000" w:themeColor="text1"/>
          <w:rtl/>
        </w:rPr>
        <w:t>نظام التعاملات الإلكترونية (1428هـ)</w:t>
      </w:r>
      <w:r>
        <w:rPr>
          <w:rFonts w:asciiTheme="majorBidi" w:hAnsiTheme="majorBidi" w:cstheme="majorBidi" w:hint="cs"/>
          <w:b/>
          <w:bCs/>
          <w:color w:val="000000" w:themeColor="text1"/>
          <w:rtl/>
        </w:rPr>
        <w:t xml:space="preserve"> :</w:t>
      </w:r>
    </w:p>
    <w:p w14:paraId="073B9F43"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التعاملات الإلكترونية من الأنظمة السعودية الرائدة التي أرست الإطار النظامي للتحول الرقمي في مختلف القطاعات، وهو يرتبط ارتباطًا مباشرًا بموضوع الرسالة من حيث تمهيده لاستخدام الأدوات الذكية والأنظمة التقنية في إنجاز الأعمال القانونية داخل مكاتب المحاماة. فهذا النظام لم يقتصر على إقرار حجية الوثائق الإلكترونية، بل وضع الأسس القانونية التي تمكّن المحامي من إدارة معاملاته وعلاقاته التعاقدية ومراسلاته المهنية عبر الوسائط الرقمية، بما في ذلك المنصات القائمة على الذكاء الاصطناعي</w:t>
      </w:r>
      <w:r>
        <w:rPr>
          <w:rFonts w:asciiTheme="majorBidi" w:hAnsiTheme="majorBidi" w:cstheme="majorBidi"/>
          <w:color w:val="000000" w:themeColor="text1"/>
          <w:sz w:val="24"/>
          <w:szCs w:val="24"/>
        </w:rPr>
        <w:t>.</w:t>
      </w:r>
    </w:p>
    <w:p w14:paraId="155973C8"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أقرّ النظام في مادته الخامسة أن "المعاملات والتوقيعات الإلكترونية تكون صحيحة ومنتجة لآثارها النظامية إذا تم إنشاؤها أو تبادلها أو حفظها وفقًا لأحكام هذا النظام". وهذا النص يفتح المجال أمام مكاتب المحاماة لاستخدام الأنظمة الذكية في إعداد العقود أو تبادل المذكرات القانونية أو إدارة ملفات العملاء إلكترونيًا، مع بقاء آثارها النظامية نافذة ما دامت تتوافق مع متطلبات الموثوقية والأمان التقني. كما تنص المادة السابعة على أن “الكتابة الإلكترونية تقوم مقام الكتابة العادية”، وهو ما يمنح الذكاء الاصطناعي المستخدم في صياغة الوثائق القانونية قوة إجرائية متى كان النظام المستخدم معتمدًا وموثوقًا</w:t>
      </w:r>
      <w:r>
        <w:rPr>
          <w:rFonts w:asciiTheme="majorBidi" w:hAnsiTheme="majorBidi" w:cstheme="majorBidi"/>
          <w:color w:val="000000" w:themeColor="text1"/>
          <w:sz w:val="24"/>
          <w:szCs w:val="24"/>
        </w:rPr>
        <w:t>.</w:t>
      </w:r>
    </w:p>
    <w:p w14:paraId="23BB7A1A"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زاوية التحليل القانوني، فإن هذا النظام يُعدّ نقطة التقاء بين الجانب الفني والتشريعي في مهنة المحاماة؛ إذ مكّن المحامي من ممارسة أنشطته في بيئة رقمية مؤمنة دون أن يفقد التوثيق قيمته القانونية. وبهذا المعنى، يُعد النظام “الجسر التشريعي” الذي عبرت من خلاله المهنة من المرحلة الورقية إلى مرحلة الذكاء الاصطناعي، إذ جعل من الممكن التعامل مع المحررات الرقمية بوصفها مستندات رسمية، وهو ما أشار إليه بعض الباحثين</w:t>
      </w:r>
      <w:r>
        <w:rPr>
          <w:rStyle w:val="af"/>
          <w:rFonts w:asciiTheme="majorBidi" w:hAnsiTheme="majorBidi" w:cstheme="majorBidi"/>
          <w:color w:val="000000" w:themeColor="text1"/>
          <w:sz w:val="24"/>
          <w:szCs w:val="24"/>
          <w:rtl/>
        </w:rPr>
        <w:footnoteReference w:id="97"/>
      </w:r>
      <w:r>
        <w:rPr>
          <w:rFonts w:asciiTheme="majorBidi" w:hAnsiTheme="majorBidi" w:cstheme="majorBidi"/>
          <w:color w:val="000000" w:themeColor="text1"/>
          <w:sz w:val="24"/>
          <w:szCs w:val="24"/>
          <w:rtl/>
        </w:rPr>
        <w:t xml:space="preserve"> (2024) عندما اعتبر أن الأنظمة السعودية الحديثة نجحت في تقنين الأدلة التقنية ضمن منظومة العدالة دون الإخلال بمبدأ اليقين القانوني</w:t>
      </w:r>
      <w:r>
        <w:rPr>
          <w:rFonts w:asciiTheme="majorBidi" w:hAnsiTheme="majorBidi" w:cstheme="majorBidi"/>
          <w:color w:val="000000" w:themeColor="text1"/>
          <w:sz w:val="24"/>
          <w:szCs w:val="24"/>
        </w:rPr>
        <w:t>.</w:t>
      </w:r>
    </w:p>
    <w:p w14:paraId="6A4804FE"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98"/>
      </w:r>
      <w:r>
        <w:rPr>
          <w:rFonts w:asciiTheme="majorBidi" w:hAnsiTheme="majorBidi" w:cstheme="majorBidi"/>
          <w:color w:val="000000" w:themeColor="text1"/>
          <w:sz w:val="24"/>
          <w:szCs w:val="24"/>
          <w:rtl/>
        </w:rPr>
        <w:t xml:space="preserve"> (2024) في دراسته عن العقود الذكية أن نظام التعاملات الإلكترونية أسس لمبدأ قابلية الأتمتة القانونية، لأن اعترافه بالتوقيعات الرقمية والوثائق الإلكترونية سمح بتطبيق الخوارزميات الذكية في تنفيذ العقود. وهذا يعني أن المحامي الذي يستخدم الذكاء الاصطناعي في صياغة أو مراجعة العقود يستند ضمنًا إلى هذا النظام الذي منح الصبغة القانونية للإجراءات الإلكترونية. وبذلك يصبح النظام بمثابة مظلة قانونية تحمي نشاط المحامي في بيئة رقمية معقّدة</w:t>
      </w:r>
      <w:r>
        <w:rPr>
          <w:rFonts w:asciiTheme="majorBidi" w:hAnsiTheme="majorBidi" w:cstheme="majorBidi"/>
          <w:color w:val="000000" w:themeColor="text1"/>
          <w:sz w:val="24"/>
          <w:szCs w:val="24"/>
        </w:rPr>
        <w:t>.</w:t>
      </w:r>
    </w:p>
    <w:p w14:paraId="67F48466"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النظام يتكامل مع نظام حماية البيانات الشخصية من زاوية الأمن السيبراني، إذ نص في مادته العاشرة على ضرورة حماية المعلومات ومنع الوصول غير المصرح به، وهو ما يتلاقى مع التزامات مكاتب المحاماة في الحفاظ على سرية بيانات عملائها. ويعزز هذا التكامل ما ورد في وثيقة مبادئ أخلاقيات الذكاء الاصطناعي التي </w:t>
      </w:r>
      <w:r>
        <w:rPr>
          <w:rFonts w:asciiTheme="majorBidi" w:hAnsiTheme="majorBidi" w:cstheme="majorBidi"/>
          <w:color w:val="000000" w:themeColor="text1"/>
          <w:sz w:val="24"/>
          <w:szCs w:val="24"/>
          <w:rtl/>
        </w:rPr>
        <w:lastRenderedPageBreak/>
        <w:t>شددت على مبدأ العدالة والمسؤولية في تطوير الأنظمة التقنية، مؤكدة أن التحول الرقمي يجب أن يُدار في بيئة قانونية تراعي القيم الأخلاقية وحماية الحقوق</w:t>
      </w:r>
      <w:r>
        <w:rPr>
          <w:rFonts w:asciiTheme="majorBidi" w:hAnsiTheme="majorBidi" w:cstheme="majorBidi"/>
          <w:color w:val="000000" w:themeColor="text1"/>
          <w:sz w:val="24"/>
          <w:szCs w:val="24"/>
        </w:rPr>
        <w:t>.</w:t>
      </w:r>
    </w:p>
    <w:p w14:paraId="2A882E20"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ناحية مهنية، أتاح النظام للمحامي السعودي أن يدير مكتبه إلكترونيًا، ويرسل المذكرات والعقود ويبرم الاتفاقيات رقمياً دون إخلال بحجيتها، بل وبما يضمن توثيق كل خطوة عبر التوقيعات الرقمية والوسائط الموثوقة. وهذه المرونة القانونية تمهد لتكامل الذكاء الاصطناعي في أعمال المكاتب القانونية من خلال أدوات البحث والتحليل والصياغة الإلكترونية، بما يسهم في تطوير جودة الخدمة وتسريع إنجازها</w:t>
      </w:r>
      <w:r>
        <w:rPr>
          <w:rFonts w:asciiTheme="majorBidi" w:hAnsiTheme="majorBidi" w:cstheme="majorBidi"/>
          <w:color w:val="000000" w:themeColor="text1"/>
          <w:sz w:val="24"/>
          <w:szCs w:val="24"/>
        </w:rPr>
        <w:t>.</w:t>
      </w:r>
    </w:p>
    <w:p w14:paraId="455E38C6"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ويُمكن القول في الختام إن نظام التعاملات الإلكترونية يشكل أحد أهم ركائز الإطار القانوني لتوظيف الذكاء الاصطناعي في مكاتب المحاماة؛ لأنه أرسى المفهوم القانوني للوثيقة الإلكترونية، وفتح الباب أمام اعتماد الأدوات الذكية في الأعمال القانونية دون فقدان الصفة الرسمية أو الحجية النظامية. وهو ما يعزز اتجاه الرسالة نحو بيان كيف مكّنت البيئة النظامية السعودية مهنة المحاماة من الاندماج في التحول العدلي الرقمي، دون الإخلال بضمانات الموثوقية والعدالة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AB4D1C8" w14:textId="77777777" w:rsidR="00A918AE" w:rsidRDefault="00A918AE" w:rsidP="005B3BD6">
      <w:pPr>
        <w:jc w:val="right"/>
        <w:rPr>
          <w:rFonts w:asciiTheme="majorBidi" w:hAnsiTheme="majorBidi" w:cstheme="majorBidi"/>
          <w:color w:val="000000" w:themeColor="text1"/>
          <w:sz w:val="24"/>
          <w:szCs w:val="24"/>
        </w:rPr>
      </w:pPr>
    </w:p>
    <w:p w14:paraId="15E0B4EF" w14:textId="7777777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سادساً : </w:t>
      </w:r>
      <w:r>
        <w:rPr>
          <w:rFonts w:asciiTheme="majorBidi" w:hAnsiTheme="majorBidi" w:cstheme="majorBidi"/>
          <w:b/>
          <w:bCs/>
          <w:color w:val="000000" w:themeColor="text1"/>
          <w:rtl/>
        </w:rPr>
        <w:t>نظام الشركات (1441هـ)</w:t>
      </w:r>
      <w:r>
        <w:rPr>
          <w:rFonts w:asciiTheme="majorBidi" w:hAnsiTheme="majorBidi" w:cstheme="majorBidi" w:hint="cs"/>
          <w:b/>
          <w:bCs/>
          <w:color w:val="000000" w:themeColor="text1"/>
          <w:rtl/>
        </w:rPr>
        <w:t xml:space="preserve"> :</w:t>
      </w:r>
    </w:p>
    <w:p w14:paraId="6889EF0B"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الشركات أحد الأنظمة الجوهرية التي تمسّ مهنة المحاماة مباشرة، إذ ينظم تكوين المكاتب القانونية وشركات المحاماة ويحدد أطر إدارتها ومسؤوليات الشركاء فيها. وترتبط أهميته بموضوع الرسالة من زاوية أنه يشكل الإطار المؤسسي الذي يُتيح لمكاتب المحاماة تبني التحول التقني وتوظيف الذكاء الاصطناعي في أعمالها ضمن بنية نظامية منضبطة. فبينما يركّز نظام المحاماة على الفرد الممارس، فإن نظام الشركات المهنية ينقل الممارسة إلى نطاق مؤسسي أوسع، يجعل تبني التقنية جزءًا من البنية التشغيلية للشركة لا مجرد خيار مهني فردي</w:t>
      </w:r>
      <w:r>
        <w:rPr>
          <w:rFonts w:asciiTheme="majorBidi" w:hAnsiTheme="majorBidi" w:cstheme="majorBidi"/>
          <w:color w:val="000000" w:themeColor="text1"/>
          <w:sz w:val="24"/>
          <w:szCs w:val="24"/>
        </w:rPr>
        <w:t>.</w:t>
      </w:r>
    </w:p>
    <w:p w14:paraId="0EA45802"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(الثالثة) من النظام على أن الشركة المهنية تهدف إلى ممارسة مهنة حرة واحدة أو أكثر وفقًا لأحكام النظام والأنظمة المنظمة لتلك المهن. وتبعًا لذلك، يجوز لشركات المحاماة أن تُدرج ضمن بنيتها التشغيلية أنظمة ذكاء اصطناعي مساندة في البحث القانوني، وإدارة القضايا، وإعداد العقود، وتحليل البيانات. إلا أن استخدام هذه الأنظمة لا يُعفي الشركاء من مسؤوليتهم المهنية، بل يجعلها تضامنية، كما ورد في المادة (الخامسة عشرة) التي تنص على أن “الشركاء مسؤولون بالتضامن عن أعمال الشركة”. وهذا يعني أن أي خطأ أو إخلال ينتج عن النظام التقني المستخدم داخل الشركة ينعكس مسؤوليةً على جميع الشركاء، طالما كان النشاط ضمن نطاق عملها</w:t>
      </w:r>
      <w:r>
        <w:rPr>
          <w:rFonts w:asciiTheme="majorBidi" w:hAnsiTheme="majorBidi" w:cstheme="majorBidi"/>
          <w:color w:val="000000" w:themeColor="text1"/>
          <w:sz w:val="24"/>
          <w:szCs w:val="24"/>
        </w:rPr>
        <w:t>.</w:t>
      </w:r>
    </w:p>
    <w:p w14:paraId="51D1047D"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الناحية التحليلية، يشكل النظام خطوة استراتيجية في تمكين المكاتب القانونية من استثمار التقنية بأمان قانوني. فهو يوفّر إطارًا مرنًا يسمح بالتوسع في الخدمات واستحداث أقسام تقنية قانونية متخصصة، شريطة أن تظل تحت إشراف محامين مرخصين. وقد أشار محمد شحادة إسماعيل </w:t>
      </w:r>
      <w:r>
        <w:rPr>
          <w:rStyle w:val="af"/>
          <w:rFonts w:asciiTheme="majorBidi" w:hAnsiTheme="majorBidi" w:cstheme="majorBidi"/>
          <w:color w:val="000000" w:themeColor="text1"/>
          <w:sz w:val="24"/>
          <w:szCs w:val="24"/>
          <w:rtl/>
        </w:rPr>
        <w:footnoteReference w:id="99"/>
      </w:r>
      <w:r>
        <w:rPr>
          <w:rFonts w:asciiTheme="majorBidi" w:hAnsiTheme="majorBidi" w:cstheme="majorBidi"/>
          <w:color w:val="000000" w:themeColor="text1"/>
          <w:sz w:val="24"/>
          <w:szCs w:val="24"/>
          <w:rtl/>
        </w:rPr>
        <w:t>(2023) في دراسته عن تأثير الذكاء الاصطناعي على المهن القانونية إلى أن الإطار التنظيمي للشركات المهنية في السعودية يمثل بيئة خصبة لتطبيق الذكاء الاصطناعي المؤسسي، لأنه يجمع بين الكفاءة التكنولوجية والمسؤولية القانونية الواضحة. ويضيف أن هذا النظام يمنح للمكتب القانوني القدرة على تطوير خدماته وتحسين الأداء باستخدام التقنية، دون المساس بمبدأ المسؤولية الفردية للمحامي عن مخرجات عمله</w:t>
      </w:r>
      <w:r>
        <w:rPr>
          <w:rFonts w:asciiTheme="majorBidi" w:hAnsiTheme="majorBidi" w:cstheme="majorBidi"/>
          <w:color w:val="000000" w:themeColor="text1"/>
          <w:sz w:val="24"/>
          <w:szCs w:val="24"/>
        </w:rPr>
        <w:t>.</w:t>
      </w:r>
    </w:p>
    <w:p w14:paraId="5AA61F5A"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ويرتبط هذا النظام أيضًا بنظام حماية البيانات الشخصية من جهة الأمن المعلوماتي، إذ تلتزم الشركات المهنية وفقًا للمادة (الثالثة والعشرين) بالمحافظة على السرية المهنية وضمان حماية بيانات عملائها. وهذا الالتزام يشمل الأنظمة التقنية التي تديرها الشركة، بما فيها أنظمة الذكاء الاصطناعي. ويشير بعض الباحثين</w:t>
      </w:r>
      <w:r>
        <w:rPr>
          <w:rStyle w:val="af"/>
          <w:rFonts w:asciiTheme="majorBidi" w:hAnsiTheme="majorBidi" w:cstheme="majorBidi"/>
          <w:color w:val="000000" w:themeColor="text1"/>
          <w:sz w:val="24"/>
          <w:szCs w:val="24"/>
          <w:rtl/>
        </w:rPr>
        <w:footnoteReference w:id="100"/>
      </w:r>
      <w:r>
        <w:rPr>
          <w:rFonts w:asciiTheme="majorBidi" w:hAnsiTheme="majorBidi" w:cstheme="majorBidi"/>
          <w:color w:val="000000" w:themeColor="text1"/>
          <w:sz w:val="24"/>
          <w:szCs w:val="24"/>
          <w:rtl/>
        </w:rPr>
        <w:t xml:space="preserve"> (2022) إلى </w:t>
      </w:r>
      <w:r>
        <w:rPr>
          <w:rFonts w:asciiTheme="majorBidi" w:hAnsiTheme="majorBidi" w:cstheme="majorBidi"/>
          <w:color w:val="000000" w:themeColor="text1"/>
          <w:sz w:val="24"/>
          <w:szCs w:val="24"/>
          <w:rtl/>
        </w:rPr>
        <w:lastRenderedPageBreak/>
        <w:t>أن البنية المؤسسية للشركات المهنية تخلق مستوى إضافيًا من الرقابة الداخلية، يجعل من الممكن تطبيق سياسات حوكمة تقنية تحكم الوصول إلى البيانات وتمنع إساءة استخدامها، ما يعزز الثقة في الممارسة القانونية التقنية</w:t>
      </w:r>
      <w:r>
        <w:rPr>
          <w:rFonts w:asciiTheme="majorBidi" w:hAnsiTheme="majorBidi" w:cstheme="majorBidi"/>
          <w:color w:val="000000" w:themeColor="text1"/>
          <w:sz w:val="24"/>
          <w:szCs w:val="24"/>
        </w:rPr>
        <w:t>.</w:t>
      </w:r>
    </w:p>
    <w:p w14:paraId="320DA7C6"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جهة التكامل، فإن نظام الشركات المهنية يرتبط كذلك بوثيقة مبادئ أخلاقيات الذكاء الاصطناعي التي تؤكد على مبدأ “المساءلة والشفافية”</w:t>
      </w:r>
      <w:r>
        <w:rPr>
          <w:rStyle w:val="af"/>
          <w:rFonts w:asciiTheme="majorBidi" w:hAnsiTheme="majorBidi" w:cstheme="majorBidi"/>
          <w:color w:val="000000" w:themeColor="text1"/>
          <w:sz w:val="24"/>
          <w:szCs w:val="24"/>
          <w:rtl/>
        </w:rPr>
        <w:footnoteReference w:id="101"/>
      </w:r>
      <w:r>
        <w:rPr>
          <w:rFonts w:asciiTheme="majorBidi" w:hAnsiTheme="majorBidi" w:cstheme="majorBidi"/>
          <w:color w:val="000000" w:themeColor="text1"/>
          <w:sz w:val="24"/>
          <w:szCs w:val="24"/>
          <w:rtl/>
        </w:rPr>
        <w:t>. إذ يتطلب من شركات المحاماة أن توثّق آليات استخدام الذكاء الاصطناعي لديها، وتحتفظ بسجلات واضحة تبيّن مدى التزام أنظمتها بالضوابط الوطنية للحوكمة التقنية. وهذا يتماشى مع الهدف العام للرسالة في بناء تصور تنظيمي متكامل يحدد واجبات مكاتب المحاماة في التعامل مع التقنية بما يضمن الشفافية والمساءلة القانونية</w:t>
      </w:r>
      <w:r>
        <w:rPr>
          <w:rFonts w:asciiTheme="majorBidi" w:hAnsiTheme="majorBidi" w:cstheme="majorBidi"/>
          <w:color w:val="000000" w:themeColor="text1"/>
          <w:sz w:val="24"/>
          <w:szCs w:val="24"/>
        </w:rPr>
        <w:t>.</w:t>
      </w:r>
    </w:p>
    <w:p w14:paraId="50EA15DE"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وعلى صعيد رؤية المملكة 2030، يشكل النظام أحد ركائز التحول المهني نحو اقتصاد المعرفة، لأنه يمكّن الشركات القانونية من استثمار التقنية ضمن أطر نظامية حديثة، ويؤكد أن الابتكار في الممارسة القانونية لا يتعارض مع التزام المهني بالقواعد العدلية. وبهذا، يمكن القول إن نظام الشركات المهنية يمثل الإطار التنظيمي المؤسسي لتفعيل الذكاء الاصطناعي في مكاتب المحاماة، لأنه يجمع بين التمكين التقني والانضباط النظامي، ويوفر أساسًا قانونيًا يحقق توازنًا بين الابتكار والمسؤولية</w:t>
      </w:r>
      <w:r>
        <w:rPr>
          <w:rFonts w:asciiTheme="majorBidi" w:hAnsiTheme="majorBidi" w:cstheme="majorBidi"/>
          <w:color w:val="000000" w:themeColor="text1"/>
          <w:sz w:val="24"/>
          <w:szCs w:val="24"/>
        </w:rPr>
        <w:t>.</w:t>
      </w:r>
    </w:p>
    <w:p w14:paraId="3F55D5AB" w14:textId="77777777" w:rsidR="003A40AC" w:rsidRDefault="003A40AC" w:rsidP="005B3BD6">
      <w:pPr>
        <w:jc w:val="right"/>
        <w:rPr>
          <w:rFonts w:asciiTheme="majorBidi" w:hAnsiTheme="majorBidi" w:cstheme="majorBidi"/>
          <w:color w:val="000000" w:themeColor="text1"/>
          <w:sz w:val="24"/>
          <w:szCs w:val="24"/>
        </w:rPr>
      </w:pPr>
    </w:p>
    <w:p w14:paraId="5AF2C9CD" w14:textId="7777777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سابعاً : </w:t>
      </w:r>
      <w:r>
        <w:rPr>
          <w:rFonts w:asciiTheme="majorBidi" w:hAnsiTheme="majorBidi" w:cstheme="majorBidi"/>
          <w:b/>
          <w:bCs/>
          <w:color w:val="000000" w:themeColor="text1"/>
          <w:rtl/>
        </w:rPr>
        <w:t>نظام القضاء (1428هـ)</w:t>
      </w:r>
      <w:r>
        <w:rPr>
          <w:rFonts w:asciiTheme="majorBidi" w:hAnsiTheme="majorBidi" w:cstheme="majorBidi" w:hint="cs"/>
          <w:b/>
          <w:bCs/>
          <w:color w:val="000000" w:themeColor="text1"/>
          <w:rtl/>
        </w:rPr>
        <w:t xml:space="preserve"> :</w:t>
      </w:r>
    </w:p>
    <w:p w14:paraId="2F349EA8"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يُعتبر نظام القضاء أحد الركائز الجوهرية في البناء العدلي السعودي، إذ يُحدد الهيكل التنظيمي للسلطة القضائية ويضع القواعد العامة لإدارة العدالة في المملكة. وترتبط أهميته بموضوع الرسالة من زاوية أنه يُشكّل الإطار المؤسسي الأعلى الذي تعمل ضمنه مكاتب المحاماة، كما يُمثل البيئة التي يُمارَس فيها أثر توظيف الذكاء الاصطناعي على العدالة ذاتها. فإذا كان نظام المحاماة ينظّم المهنة، والأنظمة المكملة تضبط الأدوات التقنية، فإن نظام القضاء هو الذي يمنح هذا التكامل مشروعيته ويُحدّد حدوده في إطار العدالة</w:t>
      </w:r>
      <w:r>
        <w:rPr>
          <w:rFonts w:asciiTheme="majorBidi" w:hAnsiTheme="majorBidi" w:cstheme="majorBidi"/>
          <w:color w:val="000000" w:themeColor="text1"/>
          <w:sz w:val="24"/>
          <w:szCs w:val="24"/>
        </w:rPr>
        <w:t>.</w:t>
      </w:r>
    </w:p>
    <w:p w14:paraId="10B75D10"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أقر النظام في مادته الأولى أن القضاء سلطة مستقلة، ولا سلطان على القضاة في قضائهم لغير أحكام الشريعة الإسلامية والأنظمة المرعية. وهذا النص يُبرز العلاقة العضوية بين العدالة والقانون، لكنه أيضًا يُتيح مساحة لتطور أدوات القضاء ما دامت لا تُخلّ بالمبادئ الأساسية. ومن هذا المنطلق، أصبحت البيئة القضائية اليوم أكثر انفتاحًا على التحول الرقمي، عبر منصات التقاضي الإلكتروني مثل </w:t>
      </w:r>
      <w:r>
        <w:rPr>
          <w:rFonts w:asciiTheme="majorBidi" w:hAnsiTheme="majorBidi" w:cstheme="majorBidi"/>
          <w:i/>
          <w:iCs/>
          <w:color w:val="000000" w:themeColor="text1"/>
          <w:sz w:val="24"/>
          <w:szCs w:val="24"/>
          <w:rtl/>
        </w:rPr>
        <w:t>ناجز</w:t>
      </w:r>
      <w:r>
        <w:rPr>
          <w:rFonts w:asciiTheme="majorBidi" w:hAnsiTheme="majorBidi" w:cstheme="majorBidi"/>
          <w:color w:val="000000" w:themeColor="text1"/>
          <w:sz w:val="24"/>
          <w:szCs w:val="24"/>
          <w:rtl/>
        </w:rPr>
        <w:t xml:space="preserve"> والمحكمة الإلكترونية، ما جعل مهنة المحاماة شريكًا مباشرًا في هذا التحول. وهنا يبرز البعد التنظيمي في عنوان الرسالة؛ إذ يُعاد تعريف العلاقة بين المحامي والقضاء في ظل الذكاء الاصطناعي، من علاقة تقليدية إلى علاقة رقمية مؤسسية تُدار عبر أنظمة ذكية مؤمّنة</w:t>
      </w:r>
      <w:r>
        <w:rPr>
          <w:rFonts w:asciiTheme="majorBidi" w:hAnsiTheme="majorBidi" w:cstheme="majorBidi"/>
          <w:color w:val="000000" w:themeColor="text1"/>
          <w:sz w:val="24"/>
          <w:szCs w:val="24"/>
        </w:rPr>
        <w:t>.</w:t>
      </w:r>
    </w:p>
    <w:p w14:paraId="6579F3F8"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فاطمة بلال</w:t>
      </w:r>
      <w:r>
        <w:rPr>
          <w:rStyle w:val="af"/>
          <w:rFonts w:asciiTheme="majorBidi" w:hAnsiTheme="majorBidi" w:cstheme="majorBidi"/>
          <w:color w:val="000000" w:themeColor="text1"/>
          <w:sz w:val="24"/>
          <w:szCs w:val="24"/>
          <w:rtl/>
        </w:rPr>
        <w:footnoteReference w:id="102"/>
      </w:r>
      <w:r>
        <w:rPr>
          <w:rFonts w:asciiTheme="majorBidi" w:hAnsiTheme="majorBidi" w:cstheme="majorBidi"/>
          <w:color w:val="000000" w:themeColor="text1"/>
          <w:sz w:val="24"/>
          <w:szCs w:val="24"/>
          <w:rtl/>
        </w:rPr>
        <w:t xml:space="preserve"> (2023) في رسالتها حول </w:t>
      </w:r>
      <w:r>
        <w:rPr>
          <w:rFonts w:asciiTheme="majorBidi" w:hAnsiTheme="majorBidi" w:cstheme="majorBidi"/>
          <w:i/>
          <w:iCs/>
          <w:color w:val="000000" w:themeColor="text1"/>
          <w:sz w:val="24"/>
          <w:szCs w:val="24"/>
          <w:rtl/>
        </w:rPr>
        <w:t>دور الذكاء الاصطناعي في تعزيز العدالة الناجزة</w:t>
      </w:r>
      <w:r>
        <w:rPr>
          <w:rFonts w:asciiTheme="majorBidi" w:hAnsiTheme="majorBidi" w:cstheme="majorBidi"/>
          <w:color w:val="000000" w:themeColor="text1"/>
          <w:sz w:val="24"/>
          <w:szCs w:val="24"/>
          <w:rtl/>
        </w:rPr>
        <w:t xml:space="preserve"> إلى أن وزارة العدل السعودية أنجزت نقلة نوعية في أتمتة الإجراءات القضائية، حتى أصبحت أكثر من (90%) من الخدمات العدلية تُقدَّم إلكترونيًا. هذا الواقع يفرض على المحامي أن يطوّر أدواته وأساليبه، لأن طبيعة التقاضي نفسها تغيّرت من بيئة شفوية إلى بيئة رقمية تعتمد على تحليل البيانات والأرشفة الإلكترونية، مما يجعل استخدام أدوات الذكاء الاصطناعي ضرورة مهنية لضمان الكفاءة والسرعة. وهنا تظهر صلة النظام بالرسالة، فنجاح العدالة الرقمية لا يكتمل دون تمكين المحامي من العمل ضمن المنظومة التقنية للقضاء</w:t>
      </w:r>
      <w:r>
        <w:rPr>
          <w:rFonts w:asciiTheme="majorBidi" w:hAnsiTheme="majorBidi" w:cstheme="majorBidi"/>
          <w:color w:val="000000" w:themeColor="text1"/>
          <w:sz w:val="24"/>
          <w:szCs w:val="24"/>
        </w:rPr>
        <w:t>.</w:t>
      </w:r>
    </w:p>
    <w:p w14:paraId="12916409"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زاوية تحليلية، يمكن القول إن نظام القضاء يمهّد لتكامل تشريعي مع الأنظمة المكملة السابقة (الإثبات، حماية البيانات، التعاملات الإلكترونية) في إطار “عدالة رقمية متكاملة”. إذ أصبح القاضي يعتمد على النظم الإلكترونية في تبادل المذكرات وجدولة الجلسات وتسجيل الأحكام، بينما يستخدم المحامي الذكاء الاصطناعي في تحليل السوابق القضائية وصياغة المرافعات. وهذا التفاعل يخلق نظامًا قضائيًا جديدًا قائمًا على “الشراكة التقنية </w:t>
      </w:r>
      <w:r>
        <w:rPr>
          <w:rFonts w:asciiTheme="majorBidi" w:hAnsiTheme="majorBidi" w:cstheme="majorBidi"/>
          <w:color w:val="000000" w:themeColor="text1"/>
          <w:sz w:val="24"/>
          <w:szCs w:val="24"/>
          <w:rtl/>
        </w:rPr>
        <w:lastRenderedPageBreak/>
        <w:t>بين القضاء والمحاماة”، وهي فكرة محورية في رسالة الدكتوراه التي تسعى لتحديد الإطار القانوني المنظم لهذا التكامل</w:t>
      </w:r>
      <w:r>
        <w:rPr>
          <w:rFonts w:asciiTheme="majorBidi" w:hAnsiTheme="majorBidi" w:cstheme="majorBidi"/>
          <w:color w:val="000000" w:themeColor="text1"/>
          <w:sz w:val="24"/>
          <w:szCs w:val="24"/>
        </w:rPr>
        <w:t>.</w:t>
      </w:r>
    </w:p>
    <w:p w14:paraId="6EB7792B"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هذا النظام يرتبط بوثيقة مبادئ أخلاقيات الذكاء الاصطناعي من حيث ترسيخ مبادئ الشفافية والمساءلة في العمل القضائي، بما يضمن أن استخدام الأنظمة الذكية في القضاء يتم تحت رقابة إنسانية تحافظ على العدالة. فالمحاكم الذكية لا تهدف إلى استبدال القاضي أو المحامي، وإنما إلى دعم قراراتهما بالأدوات التقنية التي تعزز دقة العمل وسرعته. ويشير </w:t>
      </w:r>
      <w:r>
        <w:rPr>
          <w:rFonts w:asciiTheme="majorBidi" w:hAnsiTheme="majorBidi" w:cstheme="majorBidi" w:hint="cs"/>
          <w:color w:val="000000" w:themeColor="text1"/>
          <w:sz w:val="24"/>
          <w:szCs w:val="24"/>
          <w:rtl/>
        </w:rPr>
        <w:t>خالد</w:t>
      </w:r>
      <w:r>
        <w:rPr>
          <w:rFonts w:asciiTheme="majorBidi" w:hAnsiTheme="majorBidi" w:cstheme="majorBidi"/>
          <w:color w:val="000000" w:themeColor="text1"/>
          <w:sz w:val="24"/>
          <w:szCs w:val="24"/>
          <w:rtl/>
        </w:rPr>
        <w:t xml:space="preserve"> بعض الباحثين</w:t>
      </w:r>
      <w:r>
        <w:rPr>
          <w:rStyle w:val="af"/>
          <w:rFonts w:asciiTheme="majorBidi" w:hAnsiTheme="majorBidi" w:cstheme="majorBidi"/>
          <w:color w:val="000000" w:themeColor="text1"/>
          <w:sz w:val="24"/>
          <w:szCs w:val="24"/>
          <w:rtl/>
        </w:rPr>
        <w:footnoteReference w:id="103"/>
      </w:r>
      <w:r>
        <w:rPr>
          <w:rFonts w:asciiTheme="majorBidi" w:hAnsiTheme="majorBidi" w:cstheme="majorBidi"/>
          <w:color w:val="000000" w:themeColor="text1"/>
          <w:sz w:val="24"/>
          <w:szCs w:val="24"/>
          <w:rtl/>
        </w:rPr>
        <w:t xml:space="preserve"> (2024) إلى أن دمج الذكاء الاصطناعي في القضاء والمحاماة معًا يستوجب بناء إطار تشريعي موحّد يوازن بين الاستقلال القضائي والرقابة التقنية، وهو ما تسعى هذه الدراسة إلى بلورته تنظيميًا</w:t>
      </w:r>
      <w:r>
        <w:rPr>
          <w:rFonts w:asciiTheme="majorBidi" w:hAnsiTheme="majorBidi" w:cstheme="majorBidi"/>
          <w:color w:val="000000" w:themeColor="text1"/>
          <w:sz w:val="24"/>
          <w:szCs w:val="24"/>
        </w:rPr>
        <w:t>.</w:t>
      </w:r>
    </w:p>
    <w:p w14:paraId="0FB066E7"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المادة (الثانية والأربعين) من نظام القضاء نصّت على إنشاء مجلس أعلى للقضاء يتولى الإشراف على شؤون المحاكم، ما يمنح هذا المجلس صلاحية تبني السياسات العدلية الرقمية وتنظيم العلاقة بين القضاء ومكونات العدالة الأخرى، ومنها مهنة المحاماة. وهذا يفتح الباب أمام إصدار لوائح تنظيمية مستقبلية تضع معايير لاستخدام الذكاء الاصطناعي في العمل القضائي والمرافعات، وهو أحد التوصيات التي تندرج ضمن التصور التنظيمي المقترح في هذه الرسالة</w:t>
      </w:r>
      <w:r>
        <w:rPr>
          <w:rFonts w:asciiTheme="majorBidi" w:hAnsiTheme="majorBidi" w:cstheme="majorBidi"/>
          <w:color w:val="000000" w:themeColor="text1"/>
          <w:sz w:val="24"/>
          <w:szCs w:val="24"/>
        </w:rPr>
        <w:t>.</w:t>
      </w:r>
    </w:p>
    <w:p w14:paraId="7D685E31"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وبحسب ما انتهى إليه محمود وعناني (د.ت) في دراستهما المقارنة، فإن ربط استقلالية القضاء بمتطلبات الشفافية الخوارزمية يمثل المعادلة الأدق في تنظيم اعتماد الذكاء الاصطناعي في مرافق العدالة، إذ لا يمكن القبول بأداة ذكية تصدر أحكامًا أو توصيات قضائية دون أن يكون قراراتها قابلة للتفسير والمراجعة من قِبَل الجهة القضائية المختصة.</w:t>
      </w:r>
      <w:r>
        <w:rPr>
          <w:rtl/>
        </w:rPr>
        <w:footnoteReference w:id="104"/>
      </w:r>
    </w:p>
    <w:p w14:paraId="27F2796F"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وعليه، فإن نظام القضاء يمثل الإطار المؤسسي الذي تُمارَس فيه جميع آثار توظيف الذكاء الاصطناعي في مكاتب المحاماة، لأنه يحدد طبيعة العدالة التي يسعى النظام القانوني السعودي إلى تحقيقها: عدالة </w:t>
      </w:r>
      <w:r>
        <w:rPr>
          <w:rFonts w:asciiTheme="majorBidi" w:hAnsiTheme="majorBidi" w:cstheme="majorBidi" w:hint="cs"/>
          <w:color w:val="000000" w:themeColor="text1"/>
          <w:sz w:val="24"/>
          <w:szCs w:val="24"/>
          <w:rtl/>
        </w:rPr>
        <w:t>مؤتمته</w:t>
      </w:r>
      <w:r>
        <w:rPr>
          <w:rFonts w:asciiTheme="majorBidi" w:hAnsiTheme="majorBidi" w:cstheme="majorBidi"/>
          <w:color w:val="000000" w:themeColor="text1"/>
          <w:sz w:val="24"/>
          <w:szCs w:val="24"/>
          <w:rtl/>
        </w:rPr>
        <w:t>، رقمية، ومنضبطة بالقانون. ومن ثم، فإن تطوير الإطار القانوني لتوظيف الذكاء الاصطناعي في المهنة لا بد أن يُقرأ في سياق هذا النظام الذي يضمن أن تظل العدالة غاية التحول التقني، لا مجرد نتيجة له</w:t>
      </w:r>
      <w:r>
        <w:rPr>
          <w:rFonts w:asciiTheme="majorBidi" w:hAnsiTheme="majorBidi" w:cstheme="majorBidi"/>
          <w:color w:val="000000" w:themeColor="text1"/>
          <w:sz w:val="24"/>
          <w:szCs w:val="24"/>
        </w:rPr>
        <w:t>.</w:t>
      </w:r>
    </w:p>
    <w:p w14:paraId="1C296614" w14:textId="77777777" w:rsidR="003A40AC" w:rsidRDefault="003A40AC" w:rsidP="005B3BD6">
      <w:pPr>
        <w:jc w:val="right"/>
        <w:rPr>
          <w:rFonts w:asciiTheme="majorBidi" w:hAnsiTheme="majorBidi" w:cstheme="majorBidi"/>
          <w:color w:val="000000" w:themeColor="text1"/>
          <w:sz w:val="24"/>
          <w:szCs w:val="24"/>
        </w:rPr>
      </w:pPr>
    </w:p>
    <w:p w14:paraId="7B3DBD11" w14:textId="77777777" w:rsidR="00061491" w:rsidRDefault="00061491" w:rsidP="00061491">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ثامناً : </w:t>
      </w:r>
      <w:r>
        <w:rPr>
          <w:rFonts w:asciiTheme="majorBidi" w:hAnsiTheme="majorBidi" w:cstheme="majorBidi"/>
          <w:b/>
          <w:bCs/>
          <w:color w:val="000000" w:themeColor="text1"/>
          <w:rtl/>
        </w:rPr>
        <w:t>الوثائق التنظيمية والأخلاقية – سدايا</w:t>
      </w:r>
      <w:r>
        <w:rPr>
          <w:rFonts w:asciiTheme="majorBidi" w:hAnsiTheme="majorBidi" w:cstheme="majorBidi" w:hint="cs"/>
          <w:b/>
          <w:bCs/>
          <w:color w:val="000000" w:themeColor="text1"/>
          <w:rtl/>
        </w:rPr>
        <w:t xml:space="preserve"> :</w:t>
      </w:r>
    </w:p>
    <w:p w14:paraId="0A8B3109"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تُمثّل الوثائق الصادرة عن الهيئة السعودية للبيانات والذكاء الاصطناعي (سدايا) الإطار المرجعي المكمل للأنظمة العدلية في المملكة، إذ تُحدّد المبادئ الأخلاقية والتنظيمية الحاكمة لاستخدام الذكاء الاصطناعي في القطاعات المختلفة، ومن ضمنها القطاع القانوني ومكاتب المحاماة. وتبرز أهمية هذه الوثائق بالنسبة لموضوع الرسالة من كونها تهدف إلى تحويل “الاستخدام التقني” إلى ممارسة منضبطة بالقيم والضوابط الأخلاقية، بحيث لا يكون الذكاء الاصطناعي مجرد أداة تقنية، بل جزءًا من منظومة العدالة القائمة على حماية الحقوق وصون البيانات</w:t>
      </w:r>
      <w:r>
        <w:rPr>
          <w:rFonts w:asciiTheme="majorBidi" w:hAnsiTheme="majorBidi" w:cstheme="majorBidi"/>
          <w:color w:val="000000" w:themeColor="text1"/>
          <w:sz w:val="24"/>
          <w:szCs w:val="24"/>
        </w:rPr>
        <w:t>.</w:t>
      </w:r>
    </w:p>
    <w:p w14:paraId="18E4E37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وتشمل هذه الوثائق: وثيقة مبادئ أخلاقيات الذكاء الاصطناعي، وإطار تبنّي الذكاء الاصطناعي في المملكة، والدليل الاسترشادي لتقويم مخاطر نقل البيانات الشخصية إلى خارج المملكة. وتمثل هذه الوثائق إطارًا تنظيميًا “غير تشريعي” يوجّه السياسات التقنية ويكمل القواعد العدلية، إلا أن إلزاميتها القانونية داخل مكاتب المحاماة لا تتحقق إلا من خلال صدور قرارات تنظيمية أو لوائح مهنية تعتمدها وزارة العدل أو هيئة المحامين السعوديين. </w:t>
      </w:r>
      <w:r>
        <w:rPr>
          <w:rFonts w:asciiTheme="majorBidi" w:hAnsiTheme="majorBidi" w:cstheme="majorBidi"/>
          <w:color w:val="000000" w:themeColor="text1"/>
          <w:sz w:val="24"/>
          <w:szCs w:val="24"/>
          <w:rtl/>
        </w:rPr>
        <w:lastRenderedPageBreak/>
        <w:t>وهذا البعد مهم في ضبط المسؤولية القانونية؛ إذ لا يُساءل مكتب المحاماة تأديبيًا إلا إذا اقترنت هذه الوثائق بقرارات تنظيمية تُحوّلها إلى قواعد واجبة الاتباع</w:t>
      </w:r>
      <w:r>
        <w:rPr>
          <w:rFonts w:asciiTheme="majorBidi" w:hAnsiTheme="majorBidi" w:cstheme="majorBidi"/>
          <w:color w:val="000000" w:themeColor="text1"/>
          <w:sz w:val="24"/>
          <w:szCs w:val="24"/>
        </w:rPr>
        <w:t>.</w:t>
      </w:r>
    </w:p>
    <w:p w14:paraId="1FF7F540"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وتؤكد وثيقة مبادئ أخلاقيات الذكاء الاصطناعي على مبادئ العدالة، والشفافية، والمساءلة، وحماية الخصوصية، وهي مبادئ تتقاطع مباشرة مع الالتزامات المهنية للمحامي. فمبدأ “المساءلة” يعني أن الجهة التي تستخدم التقنية — ومنها مكاتب المحاماة — تظل مسؤولة عن نتائج استخدامها. ويشير بعض الباحثين إلى أن دمج المبادئ الأخلاقية في المنظومة العدلية يسهم في توسيع نطاق المسؤولية المهنية لتشمل الآثار الاجتماعية والتقنية للذكاء الاصطناعي، وليس فقط نتائجه القانونية. ومع أن الوثيقة غير ملزمة بذاتها، إلا أن اعتمادها بقرار تنظيمي من وزارة العدل أو هيئة المحامين كفيل بتحويلها إلى معيار مهني ملزم داخل المكاتب القانونية</w:t>
      </w:r>
      <w:r>
        <w:rPr>
          <w:rFonts w:asciiTheme="majorBidi" w:hAnsiTheme="majorBidi" w:cstheme="majorBidi"/>
          <w:color w:val="000000" w:themeColor="text1"/>
          <w:sz w:val="24"/>
          <w:szCs w:val="24"/>
        </w:rPr>
        <w:t>.</w:t>
      </w:r>
    </w:p>
    <w:p w14:paraId="06884CA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إطار تبنّي الذكاء الاصطناعي فيُعدّ وثيقة تنفيذية تحدد مستويات النضج المؤسسي للتقنية، ومعايير الحوكمة وإدارة الأنظمة الذكية. ويمكن لمكاتب المحاماة الاستفادة منه لتقييم جاهزيتها التقنية، وتحديد مستوى الامتثال الأخلاقي والقانوني لديها، وبشكل خاص في ما يتعلق بإدارة بيانات الموكلين واستخدام أدوات الذكاء الاصطناعي في إعداد الوثائق والمذكرات. وهذه الممارسات لا يمكن ضبطها بفعالية إلا إذا تم دمج الإطار داخل لوائح مهنية تُلزم المحامين بالخضوع لتقويم دوري لمدى الامتثال لمعايير الحوكمة الرقمية</w:t>
      </w:r>
      <w:r>
        <w:rPr>
          <w:rFonts w:asciiTheme="majorBidi" w:hAnsiTheme="majorBidi" w:cstheme="majorBidi"/>
          <w:color w:val="000000" w:themeColor="text1"/>
          <w:sz w:val="24"/>
          <w:szCs w:val="24"/>
        </w:rPr>
        <w:t>.</w:t>
      </w:r>
    </w:p>
    <w:p w14:paraId="35F06EB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الدليل الاسترشادي لتقويم مخاطر نقل البيانات الشخصية إلى خارج المملكة، فيمثل وثيقة وقائية مكملة لنظام حماية البيانات الشخصية، لأنه يضع معايير دقيقة لدراسة المخاطر قبل استخدام منصات ذكاء اصطناعي أجنبية. وهذا الأمر جوهري بالنسبة لمكاتب المحاماة التي تتعامل مع بيانات حساسة لا يجوز إخراجها خارج الحدود الوطنية دون مبرر نظامي. ومن ثمّ، يصبح الالتزام بهذا الدليل ضرورة مهنية، غير أنه لا يكتسب القوة النظامية إلا إذا تبنته جهة اختصاص كمصدر إلزامي، كأن تصدر هيئة المحامين دليل التزام تقني يعتمد معايير سدايا كحدّ أدنى للامتثال</w:t>
      </w:r>
      <w:r>
        <w:rPr>
          <w:rFonts w:asciiTheme="majorBidi" w:hAnsiTheme="majorBidi" w:cstheme="majorBidi"/>
          <w:color w:val="000000" w:themeColor="text1"/>
          <w:sz w:val="24"/>
          <w:szCs w:val="24"/>
        </w:rPr>
        <w:t>.</w:t>
      </w:r>
    </w:p>
    <w:p w14:paraId="63D34A99"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الدراسات المقارنة، ومنها بعض الدراسات، إلى أن التجارب العالمية الناجحة في توظيف التقنية داخل القطاعات العدلية لا تقتصر على إصدار أنظمة قانونية فحسب، بل تحتاج أيضًا إلى منظومة قيمية تُوجّه الممارسات اليومية للمحامين والعاملين في المنظومة العدلية. ومن هنا يتضح الدور المحوري لوثائق سدايا في تعزيز ثقافة الاستخدام المسؤول للذكاء الاصطناعي وربط التقنية بالقيم القانونية</w:t>
      </w:r>
      <w:r>
        <w:rPr>
          <w:rFonts w:asciiTheme="majorBidi" w:hAnsiTheme="majorBidi" w:cstheme="majorBidi"/>
          <w:color w:val="000000" w:themeColor="text1"/>
          <w:sz w:val="24"/>
          <w:szCs w:val="24"/>
        </w:rPr>
        <w:t>.</w:t>
      </w:r>
    </w:p>
    <w:p w14:paraId="3BE1C8AB"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تأثير هذه الوثائق لا يقتصر على المستوى التشريعي أو المفاهيمي، بل يمتد إلى الممارسة اليومية داخل مكاتب المحاماة؛ إذ تتطلب مبادئ العدالة والشفافية والمساءلة تطوير برامج تدريبية إلزامية للمحامين والعاملين في المكاتب القانونية حول الاستخدام الآمن والمسؤول للذكاء الاصطناعي، وآليات حماية بيانات الموكلين، وكيفية التعامل مع الأنظمة الذكية وفق الضوابط الأخلاقية والعدلية. كما تتطلب هذه الوثائق نشر ثقافة “المحو الأمّي الرقمي القانوني” بحيث يكون المحامي قادرًا على فهم مخاطر التقنية وواجباته عند استخدامها، لا مجرد الاعتماد عليها بوصفها أداة مساعدة</w:t>
      </w:r>
      <w:r>
        <w:rPr>
          <w:rFonts w:asciiTheme="majorBidi" w:hAnsiTheme="majorBidi" w:cstheme="majorBidi"/>
          <w:color w:val="000000" w:themeColor="text1"/>
          <w:sz w:val="24"/>
          <w:szCs w:val="24"/>
        </w:rPr>
        <w:t>.</w:t>
      </w:r>
    </w:p>
    <w:p w14:paraId="5FDC0FF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خلال هذه الوثائق الثلاث، يتضح أن المملكة انتقلت من مرحلة “تنظيم التقنية” إلى مرحلة “حوكمتها”، وهو ما ينسجم مع رؤية المملكة 2030 التي تقوم على بناء منظومة رقمية حديثة تُوازن بين الابتكار وحماية الحقوق. وتُمثل هذه الوثائق جزءًا أساسيًا من الإطار القانوني لتوظيف الذكاء الاصطناعي في مكاتب المحاماة، لأنها ترسم الحدود الأخلاقية والتنظيمية للعلاقة بين المحامي والتقنية والموكل والمجتمع، وتؤكد أن التحول الرقمي ليس مجرد تطوير أدوات، بل بناء منظومة قيمية وتشريعية متكاملة</w:t>
      </w:r>
      <w:r>
        <w:rPr>
          <w:rFonts w:asciiTheme="majorBidi" w:hAnsiTheme="majorBidi" w:cstheme="majorBidi"/>
          <w:color w:val="000000" w:themeColor="text1"/>
          <w:sz w:val="24"/>
          <w:szCs w:val="24"/>
        </w:rPr>
        <w:t>.</w:t>
      </w:r>
    </w:p>
    <w:p w14:paraId="185DCB14"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ويُضيف إطار تبني الذكاء الاصطناعي الصادر عن سدايا بُعدًا تطبيقيًا مهمًا في هذا السياق؛ إذ يُؤكد أن التطور المتسارع في تقنيات الذكاء الاصطناعي أفضى إلى تغيير مشهد الأعمال في قطاعات متعددة، وأن تبني هذه التقنيات بطريقة محوكمة ومسؤولة يستلزم استيفاء ستة ركائز تنظيمية تشمل تأسيس وحدات مختصة، وبناء قدرات بشرية، </w:t>
      </w:r>
      <w:r>
        <w:rPr>
          <w:rFonts w:asciiTheme="majorBidi" w:hAnsiTheme="majorBidi" w:cstheme="majorBidi"/>
          <w:sz w:val="24"/>
          <w:szCs w:val="24"/>
          <w:rtl/>
        </w:rPr>
        <w:lastRenderedPageBreak/>
        <w:t>وتقييم المخاطر، والمتابعة المستمرة. وهذه الركائز تُوجِب تكاملًا بين الإطار التقني والإطار التشريعي والمهني على حدٍّ سواء.</w:t>
      </w:r>
      <w:r>
        <w:rPr>
          <w:rStyle w:val="af"/>
          <w:rFonts w:asciiTheme="majorBidi" w:hAnsiTheme="majorBidi" w:cstheme="majorBidi"/>
          <w:sz w:val="24"/>
          <w:szCs w:val="24"/>
          <w:rtl/>
        </w:rPr>
        <w:footnoteReference w:id="105"/>
      </w:r>
    </w:p>
    <w:p w14:paraId="61448F43" w14:textId="77777777" w:rsidR="00061491" w:rsidRDefault="00061491" w:rsidP="00061491">
      <w:pPr>
        <w:jc w:val="right"/>
        <w:rPr>
          <w:rFonts w:asciiTheme="majorBidi" w:hAnsiTheme="majorBidi" w:cstheme="majorBidi"/>
          <w:color w:val="000000" w:themeColor="text1"/>
          <w:sz w:val="24"/>
          <w:szCs w:val="24"/>
        </w:rPr>
      </w:pPr>
    </w:p>
    <w:p w14:paraId="1E38E4BE"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سبق عرضه،</w:t>
      </w:r>
      <w:r>
        <w:rPr>
          <w:rFonts w:asciiTheme="majorBidi" w:hAnsiTheme="majorBidi" w:cstheme="majorBidi"/>
          <w:color w:val="000000" w:themeColor="text1"/>
          <w:sz w:val="24"/>
          <w:szCs w:val="24"/>
          <w:rtl/>
        </w:rPr>
        <w:t xml:space="preserve"> يتضح من تحليل الأنظمة المكملة أن البيئة النظامية السعودية قد أرست دعائم متينة لمرحلة جديدة من الممارسة القانونية الذكية، تقوم على تحقيق التوازن بين الابتكار التقني والضبط القانوني. فقد أسهم كل نظام من هذه الأنظمة في بناء جانب محدد من الإطار العام لتوظيف الذكاء الاصطناعي في مكاتب المحاماة، ضمن رؤية تنظيمية متكاملة تتناغم مع أهداف التحول العدلي والرقمي في المملكة. وفي هذا السياق، جاء نظام حماية البيانات الشخصية ليضع الحدود الكفيلة بحماية أسرار الموكلين ومنع إساءة استخدام المعلومات في ظل الأدوات الذكية، ليشكّل بذلك الضامن الأساسي للخصوصية المهنية الرقمية، في حين أقر نظام الإثبات حجية الأدلة الرقمية والمستندات الإلكترونية، وفتح المجال أمام قبول مخرجات الذكاء الاصطناعي كمستندات معتبرة متى ما توافرت فيها معايير الموثوقية، الأمر الذي مكّن المحامي من توظيف التقنية دون المساس بقواعد العدالة الإجرائية</w:t>
      </w:r>
      <w:r>
        <w:rPr>
          <w:rFonts w:asciiTheme="majorBidi" w:hAnsiTheme="majorBidi" w:cstheme="majorBidi"/>
          <w:color w:val="000000" w:themeColor="text1"/>
          <w:sz w:val="24"/>
          <w:szCs w:val="24"/>
        </w:rPr>
        <w:t>.</w:t>
      </w:r>
    </w:p>
    <w:p w14:paraId="07AC19FB"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وقد أسهمت بعض الدراسات في إضاءة هذه المنظومة المكملة، مشيرةً إلى أن الدولة السعودية قد انتهجت نهجًا تدريجيًا حذرًا في تأطير استخدامات الذكاء الاصطناعي، بدءًا بالوثائق التوجيهية وانتهاءً بالأنظمة الملزِمة، وهو ما يعني أن الإطار القانوني الحالي وإن كان ناقصًا فإنه يحمل بذور اكتماله.</w:t>
      </w:r>
      <w:r>
        <w:rPr>
          <w:rtl/>
        </w:rPr>
        <w:footnoteReference w:id="106"/>
      </w:r>
    </w:p>
    <w:p w14:paraId="706D5433"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جانب آخر،</w:t>
      </w:r>
      <w:r>
        <w:rPr>
          <w:rFonts w:asciiTheme="majorBidi" w:hAnsiTheme="majorBidi" w:cstheme="majorBidi"/>
          <w:color w:val="000000" w:themeColor="text1"/>
          <w:sz w:val="24"/>
          <w:szCs w:val="24"/>
          <w:rtl/>
        </w:rPr>
        <w:t xml:space="preserve"> كرّس نظام المعاملات المدنية مبدأ التعاقد الإلكتروني والعقود الذكية، وأسهم في إعادة تعريف الإرادة القانونية في بيئة رقمية تحكمها الخوارزميات، بما أوجد بُعدًا جديدًا لدور المحامي كمستشار قانوني تقني. كما حدّد كل من نظام الإجراءات الجزائية ونظام مكافحة الجرائم المعلوماتية الضوابط النظامية التي تمنع التجاوز في استخدام البيانات والتقنيات، وجعلا من الأمن المعلوماتي جزءًا لا يتجزأ من منظومة العدالة، بما يضمن خضوع مكاتب المحاماة للمساءلة النظامية عند استخدام الأنظمة الذكية. وأسهم نظام التعاملات الإلكترونية في إضفاء الصفة النظامية على الوثيقة والتوقيع الإلكترونيين، الأمر الذي منح الممارسة القانونية الرقمية غطاءً نظاميًا واضحًا، في حين وفّر نظام الشركات المهنية الإطار المؤسسي الذي يمكّن مكاتب المحاماة من توظيف التقنيات الحديثة ضمن بنية مهنية منظمة، تتحمل المسؤولية النظامية عن نتائج هذا الاستخدام. وفي الإطار ذاته، أكّد نظام القضاء ووثائق الهيئة السعودية للبيانات والذكاء الاصطناعي (سدايا) على البعد الأخلاقي والمؤسسي للعدالة الذكية، بما يضمن بقاء الإنسان، قاضيًا كان أو محاميًا، محور العملية العدلية رغم تصاعد الاعتماد على الأدوات التقنية</w:t>
      </w:r>
      <w:r>
        <w:rPr>
          <w:rFonts w:asciiTheme="majorBidi" w:hAnsiTheme="majorBidi" w:cstheme="majorBidi"/>
          <w:color w:val="000000" w:themeColor="text1"/>
          <w:sz w:val="24"/>
          <w:szCs w:val="24"/>
        </w:rPr>
        <w:t>.</w:t>
      </w:r>
    </w:p>
    <w:p w14:paraId="2D441433"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استعرضت الأمين التساؤل القانوني الجوهري: هل يمكن مساءلة المحامي جزائياً عن خطأ ارتكبه نظام ذكاء اصطناعي حين أدخله في دفاعه؟ وقد انتهت إلى أن الإجابة رهينة بإثبات القصد أو الإهمال الجسيم من جانب المحامي، إذ لا يتصور المشرّع الجزائي تحمّل المسؤولية عن فعل الغير ما لم يثبت الاشتراك في الإرادة أو التقصير الصارخ في الرقابة.</w:t>
      </w:r>
      <w:r>
        <w:rPr>
          <w:rtl/>
        </w:rPr>
        <w:footnoteReference w:id="107"/>
      </w:r>
    </w:p>
    <w:p w14:paraId="27C7C31E"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 xml:space="preserve">وفي سياق تحمل المسؤولية عند تعدد المتسببين، خلصت الخميسي إلى أن نظرية التسبب المشترك في الفقه القانوني المقارن توفر أداة مناسبة لمعالجة هذا التداخل، إذ تُتيح توزيع التبعة وفق النسب المئوية للإسهام، وإن </w:t>
      </w:r>
      <w:r>
        <w:rPr>
          <w:rFonts w:asciiTheme="majorBidi" w:hAnsiTheme="majorBidi" w:cstheme="majorBidi"/>
          <w:sz w:val="24"/>
          <w:szCs w:val="24"/>
          <w:rtl/>
        </w:rPr>
        <w:lastRenderedPageBreak/>
        <w:t>استلزم ذلك في القضايا التقنية الاستعانة بخبراء متخصصين قادرين على تحديد درجة إسهام كل طرف في إنتاج الضرر الناجم عن النظام الذكي.</w:t>
      </w:r>
      <w:r>
        <w:rPr>
          <w:rtl/>
        </w:rPr>
        <w:footnoteReference w:id="108"/>
      </w:r>
    </w:p>
    <w:p w14:paraId="35952087"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وفي مسألة توزيع أعباء المسؤولية في الأضرار الرقمية، دعا بعض الباحثين إلى اعتماد نموذج المسؤولية الموزعة الذي يأخذ في الاعتبار إسهام كل طرف في سلسلة القيمة: المطوّر الذي صمّم الخوارزمية، والمشغّل الذي دمجها في خدمته، والمحامي الذي استخدمها في سياق مهني، لأن الضرر في الغالب نتاج تفاعل هذه الأطراف الثلاثة لا فعل طرف واحد.</w:t>
      </w:r>
      <w:r>
        <w:rPr>
          <w:rtl/>
        </w:rPr>
        <w:footnoteReference w:id="109"/>
      </w:r>
    </w:p>
    <w:p w14:paraId="350DB196"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وبالنظر إلى منظومة التعاقد الذكي، رأت علي (د.ت) في دراستها المنشورة بمجلة الشريعة والقانون لجامعة الأزهر أن تقنية سلسلة الكتل (Blockchain) التي تشتغل عليها العقود الذكية تطرح إشكالية جوهرية تتعلق بتحديد القانون الواجب التطبيق، إذ إن الطابع اللامركزي لهذه العقود يجعلها بمنأى عن نطاق الولاية القضائية الإقليمية التقليدية.</w:t>
      </w:r>
      <w:r>
        <w:rPr>
          <w:rtl/>
        </w:rPr>
        <w:footnoteReference w:id="110"/>
      </w:r>
    </w:p>
    <w:p w14:paraId="69629976"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وبناءً على ذلك،</w:t>
      </w:r>
      <w:r>
        <w:rPr>
          <w:rFonts w:asciiTheme="majorBidi" w:hAnsiTheme="majorBidi" w:cstheme="majorBidi"/>
          <w:color w:val="000000" w:themeColor="text1"/>
          <w:sz w:val="24"/>
          <w:szCs w:val="24"/>
          <w:rtl/>
        </w:rPr>
        <w:t xml:space="preserve"> يمكن القول إن هذه المنظومة النظامية، وإن لم تُصغ ابتداءً لتنظيم الذكاء الاصطناعي في المهنة القانونية، إلا أنها أرست الأسس التي تجعل من الممكن تطوير إطار قانوني سعودي متكامل لتوظيف الذكاء الاصطناعي في مكاتب المحاماة، يقوم على حماية البيانات وموثوقية الأدلة، والتمكين المؤسسي للمكاتب المهنية في تبنّي التقنية، والضبط الأخلاقي الذي يحافظ على العدالة وحقوق الإنسان. وبهذا المعنى، يُعد هذا المطلب حلقة وصل منهجية بين النصوص القانونية القائمة والرؤية المستقبلية للرسالة، إذ يمهّد للانتقال في الفصول اللاحقة إلى تحليل الفجوات النظامية واقتراح التصور التنظيمي الشامل الذي يضمن توظيف الذكاء الاصطناعي في مهنة المحاماة بما يخدم العدالة ويصون مبادئها</w:t>
      </w:r>
      <w:r>
        <w:rPr>
          <w:rFonts w:asciiTheme="majorBidi" w:hAnsiTheme="majorBidi" w:cstheme="majorBidi"/>
          <w:color w:val="000000" w:themeColor="text1"/>
          <w:sz w:val="24"/>
          <w:szCs w:val="24"/>
        </w:rPr>
        <w:t>.</w:t>
      </w:r>
    </w:p>
    <w:p w14:paraId="06A63922" w14:textId="77777777" w:rsidR="0089710C" w:rsidRPr="0089710C" w:rsidRDefault="0089710C" w:rsidP="0089710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p>
    <w:p w14:paraId="2B300968" w14:textId="77777777" w:rsidR="00DC0BE2" w:rsidRDefault="00DC0BE2" w:rsidP="00191993">
      <w:pPr>
        <w:rPr>
          <w:rFonts w:asciiTheme="majorBidi" w:hAnsiTheme="majorBidi" w:cstheme="majorBidi"/>
          <w:color w:val="000000" w:themeColor="text1"/>
          <w:sz w:val="24"/>
          <w:szCs w:val="24"/>
        </w:rPr>
      </w:pPr>
    </w:p>
    <w:p w14:paraId="6CE59752" w14:textId="77777777" w:rsidR="00DC0BE2" w:rsidRPr="00BC5F38" w:rsidRDefault="00DC0BE2" w:rsidP="00807AA1">
      <w:pPr>
        <w:rPr>
          <w:rFonts w:asciiTheme="majorBidi" w:hAnsiTheme="majorBidi" w:cstheme="majorBidi"/>
          <w:color w:val="000000" w:themeColor="text1"/>
          <w:sz w:val="24"/>
          <w:szCs w:val="24"/>
          <w:rtl/>
        </w:rPr>
      </w:pPr>
    </w:p>
    <w:p w14:paraId="3EEB1C00" w14:textId="77777777" w:rsidR="00DC0BE2" w:rsidRPr="00D41CB7"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المبحث الثاني</w:t>
      </w:r>
    </w:p>
    <w:p w14:paraId="5C9E058A" w14:textId="77777777" w:rsidR="00DC0BE2"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تحليل الفجوات في التنظيم الحالي</w:t>
      </w:r>
    </w:p>
    <w:p w14:paraId="35475B4C" w14:textId="77777777" w:rsidR="00DC0BE2" w:rsidRPr="00DC0BE2" w:rsidRDefault="00DC0BE2" w:rsidP="0010656B">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يمثّل هذا المبحث مرحلة تحليلية انتقالية في سياق الرسالة، إذ يأتي بعد استعراض الإطار النظامي العام للمحاماة والأنظمة المكملة له، لينتقل من الوصف إلى النقد والتحليل. فبينما تناول المبحث الأول القواعد النظامية القائمة التي تشكّل الإطار القانوني لتوظيف الذكاء الاصطناعي في مكاتب المحاماة، يركّز هذا المبحث على </w:t>
      </w:r>
      <w:r>
        <w:rPr>
          <w:rFonts w:asciiTheme="majorBidi" w:hAnsiTheme="majorBidi" w:cstheme="majorBidi"/>
          <w:b/>
          <w:bCs/>
          <w:color w:val="000000" w:themeColor="text1"/>
          <w:sz w:val="24"/>
          <w:szCs w:val="24"/>
          <w:rtl/>
        </w:rPr>
        <w:t>تحديد الفجوات التشريعية والتنظيمية</w:t>
      </w:r>
      <w:r>
        <w:rPr>
          <w:rFonts w:asciiTheme="majorBidi" w:hAnsiTheme="majorBidi" w:cstheme="majorBidi"/>
          <w:color w:val="000000" w:themeColor="text1"/>
          <w:sz w:val="24"/>
          <w:szCs w:val="24"/>
          <w:rtl/>
        </w:rPr>
        <w:t xml:space="preserve"> التي تُعيق التطبيق العملي لهذه التقنيات داخل البيئة القانونية السعودية، وتحليل آثار هذا النقص على الممارسة المهنية والعدلية</w:t>
      </w:r>
      <w:r>
        <w:rPr>
          <w:rFonts w:asciiTheme="majorBidi" w:hAnsiTheme="majorBidi" w:cstheme="majorBidi"/>
          <w:color w:val="000000" w:themeColor="text1"/>
          <w:sz w:val="24"/>
          <w:szCs w:val="24"/>
        </w:rPr>
        <w:t>.</w:t>
      </w:r>
    </w:p>
    <w:p w14:paraId="0D863620" w14:textId="77777777" w:rsidR="00D57654" w:rsidRDefault="00000000" w:rsidP="0010656B">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بالفجوة المؤسسية في منظومة الرقابة على الذكاء الاصطناعي القانوني، خلص بعض الباحثين إلى أن الغياب الأبرز ليس في النصوص التشريعية وحدها، بل في غياب جهة رقابية متخصصة تضم خبراء قانونيين </w:t>
      </w:r>
      <w:r>
        <w:rPr>
          <w:rFonts w:asciiTheme="majorBidi" w:hAnsiTheme="majorBidi" w:cstheme="majorBidi"/>
          <w:sz w:val="24"/>
          <w:szCs w:val="24"/>
          <w:rtl/>
        </w:rPr>
        <w:lastRenderedPageBreak/>
        <w:t>وتقنيين على حد سواء، وتضطلع بتقييم الأنظمة الذكية المستخدمة في القطاع القانوني وإصدار شهادات الجدارة والاعتماد.</w:t>
      </w:r>
      <w:r>
        <w:rPr>
          <w:rtl/>
        </w:rPr>
        <w:footnoteReference w:id="111"/>
      </w:r>
    </w:p>
    <w:p w14:paraId="70D70FFC"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تحديد الفجوات التشريعية والتنظيمية، أكدت عبد الرحمن أن الفراغ التشريعي الأشد أثراً في مجال الذكاء الاصطناعي القانوني يتمثل في انعدام النص الذي يُحدّد طبيعة العلاقة بين المحامي والعميل حين يدخل في تلك العلاقة طرف ثالث هو المنصة التقنية؛ لأن هذا الغياب يُسقط واجبات الشفافية والأمانة من دائرة التطبيق الفعلي.</w:t>
      </w:r>
      <w:r>
        <w:rPr>
          <w:rtl/>
        </w:rPr>
        <w:footnoteReference w:id="112"/>
      </w:r>
    </w:p>
    <w:p w14:paraId="058D36C1"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التشريعية والتنظيمية، خلص بعض الباحثين إلى أن الدول الخليجية تواجه جميعها تحدياً مشتركاً يتمثل في الاعتماد على نصوص صِيغت في مرحلة ما قبل الذكاء الاصطناعي لتحكيم نزاعات تنشأ في مرحلة ما بعده، داعياً إلى بناء مرجعية تشريعية جديدة تُفرّق بين الذكاء الاصطناعي بوصفه أداة، وبوصفه طرفاً فاعلاً، وبوصفه منصة تقديم خدمات قانونية.</w:t>
      </w:r>
      <w:r>
        <w:rPr>
          <w:rtl/>
        </w:rPr>
        <w:footnoteReference w:id="113"/>
      </w:r>
    </w:p>
    <w:p w14:paraId="157A3580" w14:textId="77777777" w:rsidR="00DC0BE2" w:rsidRPr="00DC0BE2" w:rsidRDefault="00DC0BE2"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تطور أدوات الذكاء الاصطناعي في العمل القانوني لم يقابله إلى الآن تحديث تشريعي موازٍ يُنظّم استخدامها بدقة، مما أدى إلى بقاء بعض الجوانب في منطقة رمادية من حيث المسؤولية القانونية، وضمانات حماية البيانات، وحجية المخرجات التقنية، وحدود الترخيص المهني. هذا القصور لا يعني غياب الإطار النظامي، وإنما محدودية مواكبته للتحول التقني، وهو ما تسعى هذه الرسالة إلى معالجته تنظيميًا</w:t>
      </w:r>
      <w:r>
        <w:rPr>
          <w:rFonts w:asciiTheme="majorBidi" w:hAnsiTheme="majorBidi" w:cstheme="majorBidi"/>
          <w:color w:val="000000" w:themeColor="text1"/>
          <w:sz w:val="24"/>
          <w:szCs w:val="24"/>
        </w:rPr>
        <w:t>.</w:t>
      </w:r>
    </w:p>
    <w:p w14:paraId="0C63297F" w14:textId="77777777" w:rsidR="00DC0BE2" w:rsidRPr="00807AA1" w:rsidRDefault="00DC0BE2" w:rsidP="000D4B35">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ويتكون هذا المبحث من مطلبين رئيسين</w:t>
      </w:r>
      <w:r>
        <w:rPr>
          <w:rFonts w:asciiTheme="majorBidi" w:hAnsiTheme="majorBidi" w:cstheme="majorBidi" w:hint="cs"/>
          <w:b/>
          <w:bCs/>
          <w:color w:val="000000" w:themeColor="text1"/>
          <w:sz w:val="24"/>
          <w:szCs w:val="24"/>
          <w:rtl/>
        </w:rPr>
        <w:t>:</w:t>
      </w:r>
    </w:p>
    <w:p w14:paraId="533BB73D"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المتشعبة، استلزم التحليل تقسيم هذا المبحث إلى مطلبين: يتناول الأول المنظومة التشريعية السعودية الراهنة ومدى استيعابها لمتطلبات الذكاء الاصطناعي المهني، فيما يُعالج الثاني التجارب المقارنة واستخلاص التوصيات. وقد استند الباحث في هذا التقسيم إلى ما أوضحه بعض الباحثين من أن أي قراءة تحليلية في هذا الموضوع ينبغي أن تجمع بين المقاربة الوطنية والأفق المقارن لاستجلاء مكامن القصور واستكشاف سبل المعالجة.</w:t>
      </w:r>
      <w:r>
        <w:rPr>
          <w:rtl/>
        </w:rPr>
        <w:footnoteReference w:id="114"/>
      </w:r>
    </w:p>
    <w:p w14:paraId="34F191A7"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تكملة هذا التحليل، رسم بعض الباحثين جدولاً تقييمياً للتشريعات السعودية ذات الصلة بالذكاء الاصطناعي القانوني، خلص فيه إلى أن نظام المحاماة يحتل ذيل القائمة من حيث جاهزيته للتعامل مع متطلبات التحول الرقمي، في حين تُبدي أنظمة التجارة الإلكترونية والمعاملات المدنية استعداداً نسبياً أعلى لاستيعاب التحولات التقنية المتسارعة.</w:t>
      </w:r>
      <w:r>
        <w:rPr>
          <w:rtl/>
        </w:rPr>
        <w:footnoteReference w:id="115"/>
      </w:r>
    </w:p>
    <w:p w14:paraId="326D7C20"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 xml:space="preserve">وقد حدّد بعض الباحثين ثلاثة مستويات للفجوة التشريعية في هذا الحقل: الفجوة المفاهيمية المتمثلة في غياب تعريف قانوني دقيق لمخرجات الذكاء الاصطناعي، والفجوة الإجرائية المتجلية في عدم وجود قواعد واضحة </w:t>
      </w:r>
      <w:r>
        <w:rPr>
          <w:rFonts w:asciiTheme="majorBidi" w:hAnsiTheme="majorBidi" w:cstheme="majorBidi"/>
          <w:sz w:val="24"/>
          <w:szCs w:val="24"/>
          <w:rtl/>
        </w:rPr>
        <w:lastRenderedPageBreak/>
        <w:t>لقبول هذه المخرجات دليلاً، والفجوة العقابية المتعلقة بخلو النظام من نصوص صريحة تُحدّد الجزاء المترتب على سوء استخدام هذه الأنظمة في السياق القضائي.</w:t>
      </w:r>
      <w:r>
        <w:rPr>
          <w:rtl/>
        </w:rPr>
        <w:footnoteReference w:id="116"/>
      </w:r>
    </w:p>
    <w:p w14:paraId="2D3FA3E7" w14:textId="77777777" w:rsidR="00DC0BE2" w:rsidRPr="00DC0BE2" w:rsidRDefault="00DC0BE2"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الأول: قصور النصوص التنظيمية</w:t>
      </w:r>
      <w:r>
        <w:rPr>
          <w:rFonts w:asciiTheme="majorBidi" w:hAnsiTheme="majorBidi" w:cstheme="majorBidi"/>
          <w:color w:val="000000" w:themeColor="text1"/>
          <w:sz w:val="24"/>
          <w:szCs w:val="24"/>
          <w:rtl/>
        </w:rPr>
        <w:t>، ويتناول بالدراسة التحليلية مدى ملاءمة النصوص الحالية في نظام المحاماة والأنظمة المكملة لتغطية واقع الممارسات التقنية الحديثة، مع بيان أوجه الغموض التشريعي، وتضارب المفاهيم النظامية التي تثيرها مخرجات الذكاء الاصطناعي</w:t>
      </w:r>
      <w:r>
        <w:rPr>
          <w:rFonts w:asciiTheme="majorBidi" w:hAnsiTheme="majorBidi" w:cstheme="majorBidi"/>
          <w:color w:val="000000" w:themeColor="text1"/>
          <w:sz w:val="24"/>
          <w:szCs w:val="24"/>
        </w:rPr>
        <w:t>.</w:t>
      </w:r>
    </w:p>
    <w:p w14:paraId="7D7FAB4F" w14:textId="77777777" w:rsidR="00DC0BE2" w:rsidRPr="00DC0BE2" w:rsidRDefault="00DC0BE2" w:rsidP="00DC0BE2">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الثاني: آثار الغياب التنظيمي للذكاء الاصطناعي على ممارسة مهنة المحاماة</w:t>
      </w:r>
      <w:r>
        <w:rPr>
          <w:rFonts w:asciiTheme="majorBidi" w:hAnsiTheme="majorBidi" w:cstheme="majorBidi"/>
          <w:color w:val="000000" w:themeColor="text1"/>
          <w:sz w:val="24"/>
          <w:szCs w:val="24"/>
          <w:rtl/>
        </w:rPr>
        <w:t>، ويتناول الانعكاسات العملية لهذا القصور على واقع مكاتب المحاماة، من حيث المسؤولية المهنية، والالتزامات النظامية تجاه الموكلين، وجودة الخدمات القانونية المقدّمة باستخدام الأنظمة الذكية</w:t>
      </w:r>
      <w:r>
        <w:rPr>
          <w:rFonts w:asciiTheme="majorBidi" w:hAnsiTheme="majorBidi" w:cstheme="majorBidi"/>
          <w:color w:val="000000" w:themeColor="text1"/>
          <w:sz w:val="24"/>
          <w:szCs w:val="24"/>
        </w:rPr>
        <w:t>.</w:t>
      </w:r>
    </w:p>
    <w:p w14:paraId="25DBE019" w14:textId="77777777" w:rsidR="00DC0BE2" w:rsidRPr="00DC0BE2" w:rsidRDefault="00DC0BE2" w:rsidP="00DC0BE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ويهدف هذا المبحث إلى بيان أن التطور التقني تجاوز الإطار القانوني التقليدي، وأن المشرّع السعودي – رغم تقدمه في تبني أنظمة مساندة للتحول الرقمي – لا يزال بحاجة إلى إصدار تنظيمات خاصة تُعنى بتوظيف الذكاء الاصطناعي في المهن العدلية، سواء من حيث الترخيص، أو الرقابة، أو حماية الحقوق. ويمهّد هذا المبحث للفصل التالي الذي يناقش المسؤولية القانونية والفقهية للمخرجات الذكية، وصولًا إلى وضع تصور نظامي شامل ينظّم الممارسة القانونية في بيئة الذكاء الاصطناعي بما يتسق مع رؤية المملكة 2030 ومبادئ العدالة الرقمية</w:t>
      </w:r>
      <w:r>
        <w:rPr>
          <w:rFonts w:asciiTheme="majorBidi" w:hAnsiTheme="majorBidi" w:cstheme="majorBidi"/>
          <w:color w:val="000000" w:themeColor="text1"/>
          <w:sz w:val="24"/>
          <w:szCs w:val="24"/>
        </w:rPr>
        <w:t>.</w:t>
      </w:r>
    </w:p>
    <w:p w14:paraId="7F30F638" w14:textId="77777777" w:rsidR="00DC0BE2" w:rsidRDefault="00DC0BE2" w:rsidP="00DC0BE2">
      <w:pPr>
        <w:jc w:val="right"/>
        <w:rPr>
          <w:rFonts w:asciiTheme="majorBidi" w:hAnsiTheme="majorBidi" w:cstheme="majorBidi"/>
          <w:color w:val="000000" w:themeColor="text1"/>
          <w:sz w:val="24"/>
          <w:szCs w:val="24"/>
        </w:rPr>
      </w:pPr>
    </w:p>
    <w:p w14:paraId="1462CC11" w14:textId="77777777" w:rsidR="00807AA1" w:rsidRPr="00BC5F38" w:rsidRDefault="00807AA1" w:rsidP="00807AA1">
      <w:pPr>
        <w:jc w:val="right"/>
        <w:rPr>
          <w:rFonts w:asciiTheme="majorBidi" w:hAnsiTheme="majorBidi" w:cstheme="majorBidi"/>
          <w:color w:val="000000" w:themeColor="text1"/>
          <w:sz w:val="24"/>
          <w:szCs w:val="24"/>
          <w:rtl/>
        </w:rPr>
      </w:pPr>
    </w:p>
    <w:p w14:paraId="2D3B5642" w14:textId="77777777" w:rsidR="00807AA1" w:rsidRPr="00D41CB7" w:rsidRDefault="00807AA1" w:rsidP="00807AA1">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الأول</w:t>
      </w:r>
    </w:p>
    <w:p w14:paraId="5868F0A6" w14:textId="77777777" w:rsidR="00807AA1" w:rsidRDefault="00807AA1" w:rsidP="00807AA1">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قصور النصوص التنظيمية</w:t>
      </w:r>
    </w:p>
    <w:p w14:paraId="4CE505DE" w14:textId="77777777" w:rsidR="00047425" w:rsidRDefault="00047425" w:rsidP="00807AA1">
      <w:pPr>
        <w:jc w:val="center"/>
        <w:rPr>
          <w:rFonts w:asciiTheme="majorBidi" w:hAnsiTheme="majorBidi" w:cstheme="majorBidi"/>
          <w:b/>
          <w:bCs/>
          <w:color w:val="000000" w:themeColor="text1"/>
          <w:sz w:val="28"/>
          <w:szCs w:val="28"/>
          <w:rtl/>
        </w:rPr>
      </w:pPr>
    </w:p>
    <w:p w14:paraId="091EEF44" w14:textId="77777777" w:rsidR="00047425" w:rsidRDefault="00047425" w:rsidP="00047425">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تكشف القراءة التحليلية لنظام المحاماة والأنظمة المكملة له عن فجوة واضحة بين التطور التقني في الممارسة القانونية وبين الإطار التشريعي المنظّم لها، إذ لا تزال النصوص النظامية السعودية – رغم حداثة بعضها – تتعامل مع مهنة المحاماة بمنطق الممارسة التقليدية التي يُمارس فيها العمل القانوني بصورة يدوية وشخصية. وفي المقابل، أصبحت مكاتب المحاماة الحديثة تعتمد بصورة متزايدة على أنظمة الذكاء الاصطناعي في تحليل القضايا، وإدارة البيانات، وصياغة العقود، دون أن يكون لذلك أي تنظيم صريح في البنية القانونية القائمة</w:t>
      </w:r>
      <w:r>
        <w:rPr>
          <w:rFonts w:asciiTheme="majorBidi" w:hAnsiTheme="majorBidi" w:cstheme="majorBidi" w:hint="cs"/>
          <w:color w:val="000000" w:themeColor="text1"/>
          <w:sz w:val="24"/>
          <w:szCs w:val="24"/>
          <w:rtl/>
        </w:rPr>
        <w:t>.</w:t>
      </w:r>
    </w:p>
    <w:p w14:paraId="02CDC079" w14:textId="77777777" w:rsidR="00047425" w:rsidRDefault="00047425" w:rsidP="00047425">
      <w:pPr>
        <w:jc w:val="right"/>
        <w:rPr>
          <w:rFonts w:asciiTheme="majorBidi" w:hAnsiTheme="majorBidi" w:cstheme="majorBidi"/>
          <w:color w:val="000000" w:themeColor="text1"/>
          <w:sz w:val="24"/>
          <w:szCs w:val="24"/>
          <w:rtl/>
        </w:rPr>
      </w:pPr>
    </w:p>
    <w:p w14:paraId="2A5DA159" w14:textId="77777777" w:rsidR="00D843CF" w:rsidRPr="00D843CF" w:rsidRDefault="00D843CF" w:rsidP="00D843C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الصمت التشريعي تجاه التقنيات القانونية</w:t>
      </w:r>
    </w:p>
    <w:p w14:paraId="6503A06F"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يثير التأمل في البنية الحالية لنظام المحاماة والأنظمة العدلية المرتبطة به مسألة جوهرية تتصل بموضوع هذه الرسالة، وهي أن المشرّع السعودي نظم مهنة المحاماة على افتراض أدوات تقليدية للعمل، من غير أي تصور لاستخدام أنظمة الذكاء الاصطناعي أو الأدوات الرقمية في الأداء المهني. ولا يتجلى الصمت التشريعي فقط في غياب النصوص المتعلقة بالذكاء الاصطناعي، بل أيضًا في غياب الاعتراف بالتقنيات القانونية كجزء من بنية العمل القانوني ذاته، في وقت تجاوزت فيه مكاتب المحاماة هذا الافتراض منذ سنوات</w:t>
      </w:r>
      <w:r>
        <w:rPr>
          <w:rFonts w:asciiTheme="majorBidi" w:hAnsiTheme="majorBidi" w:cstheme="majorBidi"/>
          <w:color w:val="000000" w:themeColor="text1"/>
          <w:sz w:val="24"/>
          <w:szCs w:val="24"/>
        </w:rPr>
        <w:t>.</w:t>
      </w:r>
    </w:p>
    <w:p w14:paraId="572EAFA5"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وقد أشار بعض الباحثين في دراساتهم حول القواعد المنظمة لاستخدامات الذكاء الاصطناعي إلى أن هذا الفراغ التشريعي يجعل تحديد المشروعية التقنية معلقًا على التفسير والاجتهاد، لا على نص نظامي صريح. ويؤكد </w:t>
      </w:r>
      <w:r>
        <w:rPr>
          <w:rFonts w:asciiTheme="majorBidi" w:hAnsiTheme="majorBidi" w:cstheme="majorBidi"/>
          <w:color w:val="000000" w:themeColor="text1"/>
          <w:sz w:val="24"/>
          <w:szCs w:val="24"/>
          <w:rtl/>
        </w:rPr>
        <w:lastRenderedPageBreak/>
        <w:t>بعض الباحثين في دراساتهم للدكتوراه حول الضوابط القانونية للذكاء الاصطناعي أن عدم إدراج تعريف نظامي للتقنيات الذكية يجعل من الصعب تحديد مركزها القانوني، ولا سيما عند وقوع الضرر أو الإخلال المهني</w:t>
      </w:r>
      <w:r>
        <w:rPr>
          <w:rFonts w:asciiTheme="majorBidi" w:hAnsiTheme="majorBidi" w:cstheme="majorBidi"/>
          <w:color w:val="000000" w:themeColor="text1"/>
          <w:sz w:val="24"/>
          <w:szCs w:val="24"/>
        </w:rPr>
        <w:t>.</w:t>
      </w:r>
    </w:p>
    <w:p w14:paraId="3515274E"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منظور المقارنة التشريعية، فقد اتجهت عدة دول إلى إدراج نصوص صريحة تنظّم استخدام الذكاء الاصطناعي في المهن القانونية. ففي </w:t>
      </w:r>
      <w:r>
        <w:rPr>
          <w:rFonts w:asciiTheme="majorBidi" w:hAnsiTheme="majorBidi" w:cstheme="majorBidi"/>
          <w:b/>
          <w:bCs/>
          <w:color w:val="000000" w:themeColor="text1"/>
          <w:sz w:val="24"/>
          <w:szCs w:val="24"/>
          <w:rtl/>
        </w:rPr>
        <w:t>الاتحاد الأوروبي</w:t>
      </w:r>
      <w:r>
        <w:rPr>
          <w:rFonts w:asciiTheme="majorBidi" w:hAnsiTheme="majorBidi" w:cstheme="majorBidi"/>
          <w:color w:val="000000" w:themeColor="text1"/>
          <w:sz w:val="24"/>
          <w:szCs w:val="24"/>
          <w:rtl/>
        </w:rPr>
        <w:t>، صدر قانون الذكاء الاصطناعي الأوروبي</w:t>
      </w:r>
      <w:r>
        <w:rPr>
          <w:rFonts w:asciiTheme="majorBidi" w:hAnsiTheme="majorBidi" w:cstheme="majorBidi"/>
          <w:color w:val="000000" w:themeColor="text1"/>
          <w:sz w:val="24"/>
          <w:szCs w:val="24"/>
        </w:rPr>
        <w:t xml:space="preserve"> (EU AI Act 2024 – الذي أُقرّ رسميًا في مايو 2024م) </w:t>
      </w:r>
      <w:r>
        <w:rPr>
          <w:rFonts w:asciiTheme="majorBidi" w:hAnsiTheme="majorBidi" w:cstheme="majorBidi"/>
          <w:color w:val="000000" w:themeColor="text1"/>
          <w:sz w:val="24"/>
          <w:szCs w:val="24"/>
          <w:rtl/>
        </w:rPr>
        <w:t xml:space="preserve">ليضع إطارًا ملزمًا للمهن عالية المخاطر، ومنها الخدمات القانونية، واشترط أن تكون أنظمة الذكاء الاصطناعي المستخدمة في العمل القانوني قابلة للتفسير وخاضعة لتقييم مخاطر دوري. وفي </w:t>
      </w:r>
      <w:r>
        <w:rPr>
          <w:rFonts w:asciiTheme="majorBidi" w:hAnsiTheme="majorBidi" w:cstheme="majorBidi"/>
          <w:b/>
          <w:bCs/>
          <w:color w:val="000000" w:themeColor="text1"/>
          <w:sz w:val="24"/>
          <w:szCs w:val="24"/>
          <w:rtl/>
        </w:rPr>
        <w:t>سنغافورة</w:t>
      </w:r>
      <w:r>
        <w:rPr>
          <w:rFonts w:asciiTheme="majorBidi" w:hAnsiTheme="majorBidi" w:cstheme="majorBidi"/>
          <w:color w:val="000000" w:themeColor="text1"/>
          <w:sz w:val="24"/>
          <w:szCs w:val="24"/>
          <w:rtl/>
        </w:rPr>
        <w:t xml:space="preserve">، أصدرت هيئة تطوير الإعلام والاتصالات إرشادات ملزمة لمكاتب المحاماة بشأن استخدام الأنظمة الذكية في صياغة المستندات، وحددت مسؤوليات المحامي عند اعتماد مخرجات تقنية. أما </w:t>
      </w:r>
      <w:r>
        <w:rPr>
          <w:rFonts w:asciiTheme="majorBidi" w:hAnsiTheme="majorBidi" w:cstheme="majorBidi"/>
          <w:b/>
          <w:bCs/>
          <w:color w:val="000000" w:themeColor="text1"/>
          <w:sz w:val="24"/>
          <w:szCs w:val="24"/>
          <w:rtl/>
        </w:rPr>
        <w:t>المملكة المتحدة</w:t>
      </w:r>
      <w:r>
        <w:rPr>
          <w:rFonts w:asciiTheme="majorBidi" w:hAnsiTheme="majorBidi" w:cstheme="majorBidi"/>
          <w:color w:val="000000" w:themeColor="text1"/>
          <w:sz w:val="24"/>
          <w:szCs w:val="24"/>
          <w:rtl/>
        </w:rPr>
        <w:t xml:space="preserve"> فقد نصت في "مدونة السلوك المهني للمحامين لعام 2023" على حظر الاعتماد على أنظمة الذكاء الاصطناعي دون مراجعة بشرية كاملة، وفرضت التزامًا بالإفصاح عند استخدام الأدوات الذكية في تجهيز المستندات</w:t>
      </w:r>
      <w:r>
        <w:rPr>
          <w:rFonts w:asciiTheme="majorBidi" w:hAnsiTheme="majorBidi" w:cstheme="majorBidi"/>
          <w:color w:val="000000" w:themeColor="text1"/>
          <w:sz w:val="24"/>
          <w:szCs w:val="24"/>
        </w:rPr>
        <w:t>.</w:t>
      </w:r>
    </w:p>
    <w:p w14:paraId="0791B76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وتعزز هذه التجارب الدولية الحجة النظامية لضرورة تحديث التشريعات السعودية، لأن إدراج النصوص التقنية في التشريعات المقارنة لم يكن رفاهية تنظيمية، بل استجابة مباشرة لظهور مخاطر مهنية وقانونية حقيقية</w:t>
      </w:r>
      <w:r>
        <w:rPr>
          <w:rFonts w:asciiTheme="majorBidi" w:hAnsiTheme="majorBidi" w:cstheme="majorBidi"/>
          <w:color w:val="000000" w:themeColor="text1"/>
          <w:sz w:val="24"/>
          <w:szCs w:val="24"/>
        </w:rPr>
        <w:t>.</w:t>
      </w:r>
    </w:p>
    <w:p w14:paraId="7C368D23"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الناحية القانونية، فإن غياب تعريف نظامي للذكاء الاصطناعي في البيئة السعودية يؤدي إلى نتائج عملية مهمة. فمن جهة المسؤولية الجزائية، يصبح من الصعب تحديد ما إذا كان الضرر الناتج عن استخدام نظام ذكاء اصطناعي يدخل في نطاق الخطأ المهني، أو الإهمال الجسيم، أو الفعل الجزائي المتعلق بالبيانات. وفي غياب تعريف واضح للأداة التقنية، قد يختلف التكييف القضائي بين المحاكم. ومن جهة أخرى، فإن المسؤولية التأديبية للمحامي قد تصبح محل اجتهاد، لأن النظام لا ينص على معايير السلوك التقني المهني، ولا على نطاق الاستخدام المشروع لأدوات الذكاء الاصطناعي</w:t>
      </w:r>
      <w:r>
        <w:rPr>
          <w:rFonts w:asciiTheme="majorBidi" w:hAnsiTheme="majorBidi" w:cstheme="majorBidi"/>
          <w:color w:val="000000" w:themeColor="text1"/>
          <w:sz w:val="24"/>
          <w:szCs w:val="24"/>
        </w:rPr>
        <w:t>.</w:t>
      </w:r>
    </w:p>
    <w:p w14:paraId="53D16EE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بعض الباحثين في دراساتهما المنشورة إلى أن الفراغ التشريعي في هذا الجانب يفتح الباب أمام تضارب في التفسير بين جهات التحقيق والجهات القضائية، وقد يؤدي إلى تحميل المحامي مسؤولية أفعال تقنية لم تُدرس نظاميًا بعد</w:t>
      </w:r>
      <w:r>
        <w:rPr>
          <w:rFonts w:asciiTheme="majorBidi" w:hAnsiTheme="majorBidi" w:cstheme="majorBidi"/>
          <w:color w:val="000000" w:themeColor="text1"/>
          <w:sz w:val="24"/>
          <w:szCs w:val="24"/>
        </w:rPr>
        <w:t>.</w:t>
      </w:r>
    </w:p>
    <w:p w14:paraId="249953A4"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فإن معالجة هذا الصمت لا تتطلب بالضرورة إعادة صياغة النظام بالكامل، بل يمكن سدّ الفجوة من خلال تعديلات محددة تتناسب مع البيئة النظامية السعودية. ومن أبرز المقترحات التشريعية المناسبة</w:t>
      </w:r>
      <w:r>
        <w:rPr>
          <w:rFonts w:asciiTheme="majorBidi" w:hAnsiTheme="majorBidi" w:cstheme="majorBidi"/>
          <w:color w:val="000000" w:themeColor="text1"/>
          <w:sz w:val="24"/>
          <w:szCs w:val="24"/>
        </w:rPr>
        <w:t>:</w:t>
      </w:r>
    </w:p>
    <w:p w14:paraId="292A706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تعريف “التقنية القانونية”، و“النظام الذكي القانوني”، و“المخرجات القانونية الرقمية”، بحيث يصبح لهذه المفاهيم مركز نظامي واضح داخل النظام</w:t>
      </w:r>
      <w:r>
        <w:rPr>
          <w:rFonts w:asciiTheme="majorBidi" w:hAnsiTheme="majorBidi" w:cstheme="majorBidi"/>
          <w:color w:val="000000" w:themeColor="text1"/>
          <w:sz w:val="24"/>
          <w:szCs w:val="24"/>
        </w:rPr>
        <w:t>.</w:t>
      </w:r>
    </w:p>
    <w:p w14:paraId="5C25FCBF"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تعديل مادة نطاق عمل المحامي</w:t>
      </w:r>
      <w:r>
        <w:rPr>
          <w:rFonts w:asciiTheme="majorBidi" w:hAnsiTheme="majorBidi" w:cstheme="majorBidi"/>
          <w:color w:val="000000" w:themeColor="text1"/>
          <w:sz w:val="24"/>
          <w:szCs w:val="24"/>
          <w:rtl/>
        </w:rPr>
        <w:t xml:space="preserve"> في نظام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ليتم النص صراحة على أن من أعمال المحامي “استخدام الأنظمة التقنية والذكاء الاصطناعي في حدود الضوابط النظامية واللائحة التنفيذية</w:t>
      </w:r>
      <w:r>
        <w:rPr>
          <w:rFonts w:asciiTheme="majorBidi" w:hAnsiTheme="majorBidi" w:cstheme="majorBidi"/>
          <w:color w:val="000000" w:themeColor="text1"/>
          <w:sz w:val="24"/>
          <w:szCs w:val="24"/>
        </w:rPr>
        <w:t>”.</w:t>
      </w:r>
    </w:p>
    <w:p w14:paraId="385E1E7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خاصة بالمسؤولية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تحدد مسؤولية المحامي عند استخدام الأدوات الذكية، وتفرض عليه واجب التدقيق والفحص المهني للمخرجات التقنية، مع بيان المسؤولية التأديبية عند الإخلال</w:t>
      </w:r>
      <w:r>
        <w:rPr>
          <w:rFonts w:asciiTheme="majorBidi" w:hAnsiTheme="majorBidi" w:cstheme="majorBidi"/>
          <w:color w:val="000000" w:themeColor="text1"/>
          <w:sz w:val="24"/>
          <w:szCs w:val="24"/>
        </w:rPr>
        <w:t>.</w:t>
      </w:r>
    </w:p>
    <w:p w14:paraId="0DC4082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تنظم أدوات الذكاء الاصطناعي</w:t>
      </w:r>
      <w:r>
        <w:rPr>
          <w:rFonts w:asciiTheme="majorBidi" w:hAnsiTheme="majorBidi" w:cstheme="majorBidi"/>
          <w:color w:val="000000" w:themeColor="text1"/>
          <w:sz w:val="24"/>
          <w:szCs w:val="24"/>
          <w:rtl/>
        </w:rPr>
        <w:t xml:space="preserve"> داخل 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معايير الأمن السيبراني، واشتراطات الاعتماد، وآليات التحقق من سلامة أنظمة الذكاء الاصطناعي المستخدمة في الممارسات القانونية</w:t>
      </w:r>
      <w:r>
        <w:rPr>
          <w:rFonts w:asciiTheme="majorBidi" w:hAnsiTheme="majorBidi" w:cstheme="majorBidi"/>
          <w:color w:val="000000" w:themeColor="text1"/>
          <w:sz w:val="24"/>
          <w:szCs w:val="24"/>
        </w:rPr>
        <w:t>.</w:t>
      </w:r>
    </w:p>
    <w:p w14:paraId="3479DE9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إنشاء لجنة مهنية للرقابة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بإشراف وزارة العدل وهيئة المحامين، تتولى اعتماد الأنظمة الذكية المستخدمة في المهنة وتقييم مخاطرها</w:t>
      </w:r>
      <w:r>
        <w:rPr>
          <w:rFonts w:asciiTheme="majorBidi" w:hAnsiTheme="majorBidi" w:cstheme="majorBidi"/>
          <w:color w:val="000000" w:themeColor="text1"/>
          <w:sz w:val="24"/>
          <w:szCs w:val="24"/>
        </w:rPr>
        <w:t>.</w:t>
      </w:r>
    </w:p>
    <w:p w14:paraId="425C3A1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ويتضح مما سبق أن الصمت التشريعي لا يمثل غيابًا في النصوص فحسب، بل يعكس غياب رؤية تنظيمية للتقنيات القانونية. وتؤكد التجارب الدولية أن إدخال تقنيات الذكاء الاصطناعي في المهنة دون تشريع واضح قد يؤدي إلى اختلاف في التكييف القانوني وتضارب في المسؤولية. ومن ثمّ، فإن تحديث النظام السعودي ليشمل هذه التقنيات أصبح ضرورة تنظيمية لضمان توازن الممارسة القانونية بين الابتكار وحماية الحقوق</w:t>
      </w:r>
      <w:r>
        <w:rPr>
          <w:rFonts w:asciiTheme="majorBidi" w:hAnsiTheme="majorBidi" w:cstheme="majorBidi"/>
          <w:color w:val="000000" w:themeColor="text1"/>
          <w:sz w:val="24"/>
          <w:szCs w:val="24"/>
        </w:rPr>
        <w:t>.</w:t>
      </w:r>
    </w:p>
    <w:p w14:paraId="672C6C66" w14:textId="77777777" w:rsidR="00D843CF" w:rsidRPr="00D843CF" w:rsidRDefault="00D843CF" w:rsidP="00D843CF">
      <w:pPr>
        <w:jc w:val="right"/>
        <w:rPr>
          <w:rFonts w:asciiTheme="majorBidi" w:hAnsiTheme="majorBidi" w:cstheme="majorBidi"/>
          <w:color w:val="000000" w:themeColor="text1"/>
          <w:sz w:val="24"/>
          <w:szCs w:val="24"/>
        </w:rPr>
      </w:pPr>
    </w:p>
    <w:p w14:paraId="2E47772C" w14:textId="77777777" w:rsidR="00047425" w:rsidRPr="00047425" w:rsidRDefault="00047425" w:rsidP="00047425">
      <w:pPr>
        <w:jc w:val="right"/>
        <w:rPr>
          <w:rFonts w:asciiTheme="majorBidi" w:hAnsiTheme="majorBidi" w:cstheme="majorBidi"/>
          <w:color w:val="000000" w:themeColor="text1"/>
          <w:sz w:val="24"/>
          <w:szCs w:val="24"/>
        </w:rPr>
      </w:pPr>
    </w:p>
    <w:p w14:paraId="06B39EF7" w14:textId="77777777" w:rsidR="00D150CD" w:rsidRPr="00D150CD" w:rsidRDefault="00D150CD" w:rsidP="00D150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التعريف النظامي للذكاء الاصطناعي والأدوات القانونية الذكية</w:t>
      </w:r>
    </w:p>
    <w:p w14:paraId="33E62440"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أشارت الدراسات القانونية المقارنة إلى أن غياب التعريفات النظامية الدقيقة يُفضي إلى تفاوت في تطبيق القواعد القانونية، وخاصة في مجال المسؤولية؛ ففي سياق دراستها للآثار القانونية المترتبة على استخدام الذكاء الاصطناعي، لاحظت لقرب أن أكثر ما يُعيق ترسيخ حوكمة الذكاء الاصطناعي هو افتقار كثير من المنظومات التشريعية إلى تعريف قانوني مُقنَّن يُحدد ماهية هذه التقنيات ويرسم حدود تطبيق القواعد القانونية عليها، مما يفتح الباب أمام الاجتهادات القضائية المتباينة.</w:t>
      </w:r>
      <w:r>
        <w:rPr>
          <w:rStyle w:val="af"/>
          <w:rFonts w:asciiTheme="majorBidi" w:hAnsiTheme="majorBidi" w:cstheme="majorBidi"/>
          <w:sz w:val="24"/>
          <w:szCs w:val="24"/>
          <w:rtl/>
        </w:rPr>
        <w:footnoteReference w:id="117"/>
      </w:r>
    </w:p>
    <w:p w14:paraId="1F097FC5"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المفهوم النظامي للذكاء الاصطناعي في التشريعات العدلية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حتى الآن لا يوجد في الأنظمة السعودية – بما في ذلك نظام المحاماة، ونظام حماية البيانات الشخصية، ونظام المعاملات المدنية – أي تعريف صريح للذكاء الاصطناعي أو للأدوات القانونية الذكية، رغم أن هذه الأدوات أصبحت جزءًا من بيئة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يرى بعض الفقه بن ناشي بعض الباحثين</w:t>
      </w:r>
      <w:r>
        <w:rPr>
          <w:rStyle w:val="af"/>
          <w:rFonts w:asciiTheme="majorBidi" w:hAnsiTheme="majorBidi" w:cstheme="majorBidi"/>
          <w:color w:val="000000" w:themeColor="text1"/>
          <w:sz w:val="24"/>
          <w:szCs w:val="24"/>
          <w:rtl/>
        </w:rPr>
        <w:footnoteReference w:id="118"/>
      </w:r>
      <w:r>
        <w:rPr>
          <w:rFonts w:asciiTheme="majorBidi" w:hAnsiTheme="majorBidi" w:cstheme="majorBidi"/>
          <w:color w:val="000000" w:themeColor="text1"/>
          <w:sz w:val="24"/>
          <w:szCs w:val="24"/>
          <w:rtl/>
        </w:rPr>
        <w:t xml:space="preserve"> أن هذا الغياب المفاهيمي يُحدث خللاً في بناء الأحكام النظامية، لأن التشريع حين لا يُعرّف المفهوم لا يستطيع ضبط تطبيقاته، ولا تمييز استخداماته المشروعة عن غير المشروعة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بعض الباحثين يؤكد أن المسؤولية القانونية لا يمكن أن تُبنى على أداة غير معرّفة تشريعيًا، لأن تحديد نطاق الذمة القانونية أو المهنية يستند أولًا إلى تحديد طبيعة الفاعل، سواء كان شخصًا طبيعيًا أو نظامًا ذكيًا تابعًا له</w:t>
      </w:r>
      <w:r>
        <w:rPr>
          <w:rFonts w:asciiTheme="majorBidi" w:hAnsiTheme="majorBidi" w:cstheme="majorBidi"/>
          <w:color w:val="000000" w:themeColor="text1"/>
          <w:sz w:val="24"/>
          <w:szCs w:val="24"/>
        </w:rPr>
        <w:t>.</w:t>
      </w:r>
    </w:p>
    <w:p w14:paraId="4A777E36"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غموض التوصيف النظامي للأداة التقنية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الأنظمة العدلية السعودية تتعامل مع “المستند” و”المحرر” و”الأداة” بمفهوم مادي تقليدي، ولم تُدخل في بنيتها مفاهيم مثل النظام الذكي أو البرنامج القانوني التفاعلي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w:t>
      </w:r>
      <w:r>
        <w:rPr>
          <w:rStyle w:val="af"/>
          <w:rFonts w:asciiTheme="majorBidi" w:hAnsiTheme="majorBidi" w:cstheme="majorBidi"/>
          <w:color w:val="000000" w:themeColor="text1"/>
          <w:sz w:val="24"/>
          <w:szCs w:val="24"/>
          <w:rtl/>
        </w:rPr>
        <w:footnoteReference w:id="119"/>
      </w:r>
      <w:r>
        <w:rPr>
          <w:rFonts w:asciiTheme="majorBidi" w:hAnsiTheme="majorBidi" w:cstheme="majorBidi"/>
          <w:color w:val="000000" w:themeColor="text1"/>
          <w:sz w:val="24"/>
          <w:szCs w:val="24"/>
          <w:rtl/>
        </w:rPr>
        <w:t xml:space="preserve"> أن هذا الغموض يجعل الذكاء الاصطناعي في الممارسة القانونية خارج الإطار التشريعي، فلا هو وسيلة معترف بها رسميًا، ولا هو ممنوع نظامًا، مما يخلق ازدواجية في التفسير بين السماح والسكوت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الوضع ينعكس على أعمال المحامين الذين يستخدمون أنظمة تحليل أو كتابة ذكية، إذ يظلون في مواجهة مسؤولية مبهمة عن أفعال نظام لم يحدده التشريع ضمن نطاق المهنة أو خارجها</w:t>
      </w:r>
      <w:r>
        <w:rPr>
          <w:rFonts w:asciiTheme="majorBidi" w:hAnsiTheme="majorBidi" w:cstheme="majorBidi"/>
          <w:color w:val="000000" w:themeColor="text1"/>
          <w:sz w:val="24"/>
          <w:szCs w:val="24"/>
        </w:rPr>
        <w:t>.</w:t>
      </w:r>
    </w:p>
    <w:p w14:paraId="6531A8B2"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التكييف النظامي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ما تنتجه أنظمة الذكاء الاصطناعي من نصوص قانونية، أو مذكرات، أو عقود، لا يُعدّ من الناحية النظامية “مستندًا” أو “رأيًا قانونيًا” بالمعنى الوارد في الأنظمة العدلية الحالية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بعض الباحثين</w:t>
      </w:r>
      <w:r>
        <w:rPr>
          <w:rStyle w:val="af"/>
          <w:rFonts w:asciiTheme="majorBidi" w:hAnsiTheme="majorBidi" w:cstheme="majorBidi"/>
          <w:color w:val="000000" w:themeColor="text1"/>
          <w:sz w:val="24"/>
          <w:szCs w:val="24"/>
          <w:rtl/>
        </w:rPr>
        <w:footnoteReference w:id="120"/>
      </w:r>
      <w:r>
        <w:rPr>
          <w:rFonts w:asciiTheme="majorBidi" w:hAnsiTheme="majorBidi" w:cstheme="majorBidi"/>
          <w:color w:val="000000" w:themeColor="text1"/>
          <w:sz w:val="24"/>
          <w:szCs w:val="24"/>
          <w:rtl/>
        </w:rPr>
        <w:t xml:space="preserve"> إلى أن هذا الغموض يفرغ المخرجات الذكية من القيمة القانونية ما لم يعتمدها </w:t>
      </w:r>
      <w:r>
        <w:rPr>
          <w:rFonts w:asciiTheme="majorBidi" w:hAnsiTheme="majorBidi" w:cstheme="majorBidi"/>
          <w:color w:val="000000" w:themeColor="text1"/>
          <w:sz w:val="24"/>
          <w:szCs w:val="24"/>
          <w:rtl/>
        </w:rPr>
        <w:lastRenderedPageBreak/>
        <w:t>المحامي بنفسه ويقدّمها بصفته الشخصية أمام الجهات القضائية، مما يعيد مركز الثقة إلى الإنسان لا إلى النظام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121"/>
      </w:r>
      <w:r>
        <w:rPr>
          <w:rFonts w:asciiTheme="majorBidi" w:hAnsiTheme="majorBidi" w:cstheme="majorBidi"/>
          <w:color w:val="000000" w:themeColor="text1"/>
          <w:sz w:val="24"/>
          <w:szCs w:val="24"/>
          <w:rtl/>
        </w:rPr>
        <w:t xml:space="preserve"> أن هذا الوضع يخلق تداخلاً بين حجية العمل الذكي وحجية العمل المهني، فالمسؤولية النهائية تظل على المحامي حتى لو كانت المعلومة أو التحليل صادرًا عن النظام الذكي، لأن النظام نفسه بلا أهلية نظامية أو ذمة قانونية</w:t>
      </w:r>
      <w:r>
        <w:rPr>
          <w:rFonts w:asciiTheme="majorBidi" w:hAnsiTheme="majorBidi" w:cstheme="majorBidi"/>
          <w:color w:val="000000" w:themeColor="text1"/>
          <w:sz w:val="24"/>
          <w:szCs w:val="24"/>
        </w:rPr>
        <w:t>.</w:t>
      </w:r>
    </w:p>
    <w:p w14:paraId="3D218EA7"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انعكاس الغياب المفاهيمي على بناء المسؤولية المهنية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نتيجة لعدم وجود تعريف واضح للأدوات الذكية، يصعب تحديد ما إذا كان الخطأ الناتج عن النظام الذكي يعدّ خطأ شخصيًا للمحامي، أم خطأ في الأداة التقنية نفسها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توضح بعض الباحثين</w:t>
      </w:r>
      <w:r>
        <w:rPr>
          <w:rStyle w:val="af"/>
          <w:rFonts w:asciiTheme="majorBidi" w:hAnsiTheme="majorBidi" w:cstheme="majorBidi"/>
          <w:color w:val="000000" w:themeColor="text1"/>
          <w:sz w:val="24"/>
          <w:szCs w:val="24"/>
          <w:rtl/>
        </w:rPr>
        <w:footnoteReference w:id="122"/>
      </w:r>
      <w:r>
        <w:rPr>
          <w:rFonts w:asciiTheme="majorBidi" w:hAnsiTheme="majorBidi" w:cstheme="majorBidi"/>
          <w:color w:val="000000" w:themeColor="text1"/>
          <w:sz w:val="24"/>
          <w:szCs w:val="24"/>
          <w:rtl/>
        </w:rPr>
        <w:t xml:space="preserve"> أن الغموض في المفهوم يؤدي إلى اتساع رقعة المسؤولية على نحو قد يُثني المحامين عن استخدام التقنيات الحديثة خوفًا من الوقوع في مساءلات غير منضبطة، وهو ما يعيق التطور المهني والتحول الرقمي في القطاع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بعض الباحثين</w:t>
      </w:r>
      <w:r>
        <w:rPr>
          <w:rStyle w:val="af"/>
          <w:rFonts w:asciiTheme="majorBidi" w:hAnsiTheme="majorBidi" w:cstheme="majorBidi"/>
          <w:color w:val="000000" w:themeColor="text1"/>
          <w:sz w:val="24"/>
          <w:szCs w:val="24"/>
          <w:rtl/>
        </w:rPr>
        <w:footnoteReference w:id="123"/>
      </w:r>
      <w:r>
        <w:rPr>
          <w:rFonts w:asciiTheme="majorBidi" w:hAnsiTheme="majorBidi" w:cstheme="majorBidi"/>
          <w:color w:val="000000" w:themeColor="text1"/>
          <w:sz w:val="24"/>
          <w:szCs w:val="24"/>
          <w:rtl/>
        </w:rPr>
        <w:t xml:space="preserve"> يشير في دراسته المقارنة إلى أن الدول التي سبقت في تقنين الذكاء الاصطناعي، مثل الاتحاد الأوروبي والإمارات، بدأت بمرحلة المفاهيم قبل التشريع، فعرّفت ماهية النظام الذكي وحدود عمله لتُبنى عليها بقية الأحكام القانونية</w:t>
      </w:r>
      <w:r>
        <w:rPr>
          <w:rFonts w:asciiTheme="majorBidi" w:hAnsiTheme="majorBidi" w:cstheme="majorBidi"/>
          <w:color w:val="000000" w:themeColor="text1"/>
          <w:sz w:val="24"/>
          <w:szCs w:val="24"/>
        </w:rPr>
        <w:t>.</w:t>
      </w:r>
    </w:p>
    <w:p w14:paraId="4B6A7C47"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تضمين تعريف نظامي موحد في التشريعات العدلية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يؤكد بعض الباحثين</w:t>
      </w:r>
      <w:r>
        <w:rPr>
          <w:rStyle w:val="af"/>
          <w:rFonts w:asciiTheme="majorBidi" w:hAnsiTheme="majorBidi" w:cstheme="majorBidi"/>
          <w:color w:val="000000" w:themeColor="text1"/>
          <w:sz w:val="24"/>
          <w:szCs w:val="24"/>
          <w:rtl/>
        </w:rPr>
        <w:footnoteReference w:id="124"/>
      </w:r>
      <w:r>
        <w:rPr>
          <w:rFonts w:asciiTheme="majorBidi" w:hAnsiTheme="majorBidi" w:cstheme="majorBidi"/>
          <w:color w:val="000000" w:themeColor="text1"/>
          <w:sz w:val="24"/>
          <w:szCs w:val="24"/>
          <w:rtl/>
        </w:rPr>
        <w:t xml:space="preserve"> أن إدراج تعريف شامل للذكاء الاصطناعي في النظام السعودي لم يعد ترفًا علميًا، بل ضرورة مهنية لحماية العدالة وضبط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ويدعو إلى صياغة تعريف يتسق مع البيئة السعودية، يربط بين المفهوم التقني والمفهوم الفقهي للنظام، بحيث لا يتعارض مع مبادئ الشريعة الإسلامية التي تقوم عليها الأنظمة العدلية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تتفق وثيقة مبادئ أخلاقيات الذكاء الاصطناعي الصادرة عن سدايا على أن وضوح المفاهيم هو الخطوة الأولى لحوكمة الاستخدامات التقنية وضمان المسؤولية الأخلاقية للممارسين</w:t>
      </w:r>
      <w:r>
        <w:rPr>
          <w:rFonts w:asciiTheme="majorBidi" w:hAnsiTheme="majorBidi" w:cstheme="majorBidi"/>
          <w:color w:val="000000" w:themeColor="text1"/>
          <w:sz w:val="24"/>
          <w:szCs w:val="24"/>
        </w:rPr>
        <w:t>.</w:t>
      </w:r>
    </w:p>
    <w:p w14:paraId="4F2E80F1"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أثر غياب التعريف على العدالة الرقمية والتحول المهني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بيّنت فاطمة بلال</w:t>
      </w:r>
      <w:r>
        <w:rPr>
          <w:rStyle w:val="af"/>
          <w:rFonts w:asciiTheme="majorBidi" w:hAnsiTheme="majorBidi" w:cstheme="majorBidi"/>
          <w:color w:val="000000" w:themeColor="text1"/>
          <w:sz w:val="24"/>
          <w:szCs w:val="24"/>
          <w:rtl/>
        </w:rPr>
        <w:footnoteReference w:id="125"/>
      </w:r>
      <w:r>
        <w:rPr>
          <w:rFonts w:asciiTheme="majorBidi" w:hAnsiTheme="majorBidi" w:cstheme="majorBidi"/>
          <w:color w:val="000000" w:themeColor="text1"/>
          <w:sz w:val="24"/>
          <w:szCs w:val="24"/>
          <w:rtl/>
        </w:rPr>
        <w:t xml:space="preserve"> في دراستها حول العدالة الناجزة أن الأنظمة الرقمية داخل القضاء السعودي تتوسع بوتيرة أسرع من التشريعات التي تنظمها، مما يخلق فجوة بين الواقع القانوني والنص النظامي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وغياب التعريف النظامي الدقيق للذكاء الاصطناعي يُبقي المحاكم والمحامين في منطقة تقديرية، تعتمد على اجتهادات فردية بدل أن تُبنى على معايير نظامية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فإن توحيد المفهوم التشريعي للذكاء الاصطناعي والأدوات القانونية الذكية يُعد خطوة أساسية لإرساء العدالة الرقمية وضمان اتساق التنظيم بين القضاء والمهنة القانونية</w:t>
      </w:r>
      <w:r>
        <w:rPr>
          <w:rFonts w:asciiTheme="majorBidi" w:hAnsiTheme="majorBidi" w:cstheme="majorBidi"/>
          <w:color w:val="000000" w:themeColor="text1"/>
          <w:sz w:val="24"/>
          <w:szCs w:val="24"/>
        </w:rPr>
        <w:t>.</w:t>
      </w:r>
    </w:p>
    <w:p w14:paraId="46156C86" w14:textId="77777777" w:rsidR="00807AA1" w:rsidRDefault="00807AA1" w:rsidP="00807AA1">
      <w:pPr>
        <w:jc w:val="right"/>
        <w:rPr>
          <w:rFonts w:asciiTheme="majorBidi" w:hAnsiTheme="majorBidi" w:cstheme="majorBidi"/>
          <w:color w:val="000000" w:themeColor="text1"/>
          <w:sz w:val="24"/>
          <w:szCs w:val="24"/>
        </w:rPr>
      </w:pPr>
    </w:p>
    <w:p w14:paraId="3EF13BC1" w14:textId="77777777" w:rsidR="00F237E4" w:rsidRPr="00F237E4" w:rsidRDefault="00F237E4" w:rsidP="00F237E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ضعف الترابط بين نظام حماية البيانات والممارسة المهنية</w:t>
      </w:r>
      <w:r>
        <w:rPr>
          <w:rFonts w:asciiTheme="majorBidi" w:hAnsiTheme="majorBidi" w:cstheme="majorBidi" w:hint="cs"/>
          <w:b/>
          <w:bCs/>
          <w:color w:val="000000" w:themeColor="text1"/>
          <w:sz w:val="24"/>
          <w:szCs w:val="24"/>
          <w:rtl/>
        </w:rPr>
        <w:t>:</w:t>
      </w:r>
    </w:p>
    <w:p w14:paraId="478E243E"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وعلى صعيد المرجعية الرسمية، أصدرت الهيئة السعودية للبيانات والذكاء الاصطناعي (سدايا) في سبتمبر 2023م وثيقة "مبادئ أخلاقيات الذكاء الاصطناعي" التي حددت سبعة مبادئ جوهرية لضمان تطوير هذه التقنيات واستخدامها بصورة مسؤولة وأخلاقية، شملت النزاهة والإنصاف، والخصوصية والأمن، والإنسانية، والمنافع </w:t>
      </w:r>
      <w:r>
        <w:rPr>
          <w:rFonts w:asciiTheme="majorBidi" w:hAnsiTheme="majorBidi" w:cstheme="majorBidi"/>
          <w:sz w:val="24"/>
          <w:szCs w:val="24"/>
          <w:rtl/>
        </w:rPr>
        <w:lastRenderedPageBreak/>
        <w:t>الاجتماعية، والموثوقية، والشفافية، والمساءلة. غير أن هذه الوثيقة تظل ذات طبيعة استرشادية لا إلزامية، مما يُضعف من إمكانية الاحتجاج بها في المنازعات القانونية المتعلقة بمكاتب المحاماة.</w:t>
      </w:r>
      <w:r>
        <w:rPr>
          <w:rStyle w:val="af"/>
          <w:rFonts w:asciiTheme="majorBidi" w:hAnsiTheme="majorBidi" w:cstheme="majorBidi"/>
          <w:sz w:val="24"/>
          <w:szCs w:val="24"/>
          <w:rtl/>
        </w:rPr>
        <w:footnoteReference w:id="126"/>
      </w:r>
    </w:p>
    <w:p w14:paraId="33114327"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قصور التنسيق بين النظام العام للمعلومات والممارسة القانونية الخاصة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رغم أن نظام حماية البيانات الشخصية الصادر عام 1443هـ يُعد من أكثر الأنظمة تطورًا في المنطقة من حيث حماية الخصوصية وتنظيم المعالجة الرقمية، إلا أنه لم يُفرد أحكامًا خاصة بالمهن العدلية أو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w:t>
      </w:r>
      <w:r>
        <w:rPr>
          <w:rStyle w:val="af"/>
          <w:rFonts w:asciiTheme="majorBidi" w:hAnsiTheme="majorBidi" w:cstheme="majorBidi"/>
          <w:color w:val="000000" w:themeColor="text1"/>
          <w:sz w:val="24"/>
          <w:szCs w:val="24"/>
          <w:rtl/>
        </w:rPr>
        <w:footnoteReference w:id="127"/>
      </w:r>
      <w:r>
        <w:rPr>
          <w:rFonts w:asciiTheme="majorBidi" w:hAnsiTheme="majorBidi" w:cstheme="majorBidi"/>
          <w:color w:val="000000" w:themeColor="text1"/>
          <w:sz w:val="24"/>
          <w:szCs w:val="24"/>
          <w:rtl/>
        </w:rPr>
        <w:t xml:space="preserve"> أن مكاتب المحاماة تتعامل مع بيانات حساسة تشمل العقود، والاعترافات، والمراسلات السرية، ومع ذلك لا يميز النظام بين البيانات التجارية والبيانات القانونية ذات الطبيعة العدلية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الخلط بين طبيعة البيانات يُنتج ضعفًا في التطبيق، ويجعل المحامي خاضعًا لنصوص عامة لا تراعي خصوصية المهنة القانونية القائمة على الثقة والسرية المطلقة</w:t>
      </w:r>
      <w:r>
        <w:rPr>
          <w:rFonts w:asciiTheme="majorBidi" w:hAnsiTheme="majorBidi" w:cstheme="majorBidi"/>
          <w:color w:val="000000" w:themeColor="text1"/>
          <w:sz w:val="24"/>
          <w:szCs w:val="24"/>
        </w:rPr>
        <w:t>.</w:t>
      </w:r>
    </w:p>
    <w:p w14:paraId="384A06D6"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الربط المؤسسي بين وزارة العدل وهيئة حماية البيانات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لم يتضمن النظام آلية تنسيقية بين الهيئة السعودية للبيانات والذكاء الاصطناعي (سدايا) بصفتها الجهة التنظيمية، ووزارة العدل بصفتها المشرفة على مهنة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وترى بعض الدراسات بعض الباحثين</w:t>
      </w:r>
      <w:r>
        <w:rPr>
          <w:rStyle w:val="af"/>
          <w:rFonts w:asciiTheme="majorBidi" w:hAnsiTheme="majorBidi" w:cstheme="majorBidi"/>
          <w:color w:val="000000" w:themeColor="text1"/>
          <w:sz w:val="24"/>
          <w:szCs w:val="24"/>
          <w:rtl/>
        </w:rPr>
        <w:footnoteReference w:id="128"/>
      </w:r>
      <w:r>
        <w:rPr>
          <w:rFonts w:asciiTheme="majorBidi" w:hAnsiTheme="majorBidi" w:cstheme="majorBidi"/>
          <w:color w:val="000000" w:themeColor="text1"/>
          <w:sz w:val="24"/>
          <w:szCs w:val="24"/>
          <w:rtl/>
        </w:rPr>
        <w:t xml:space="preserve"> أن غياب هذا الربط المؤسسي يؤدي إلى ازدواجية في المسؤوليات الرقابية، ويترك فراغًا تنظيميًا في تحديد الجهة المختصة بمحاسبة المخالفات المرتبطة بمعالجة البيانات داخل المكاتب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وتوصي الباحثة بإنشاء وحدة رقابية مشتركة أو لجنة مهنية متخصصة تتولى مراقبة التزام مكاتب المحاماة بضوابط حماية البيانات وفق طابعها العدلي لا التجاري</w:t>
      </w:r>
      <w:r>
        <w:rPr>
          <w:rFonts w:asciiTheme="majorBidi" w:hAnsiTheme="majorBidi" w:cstheme="majorBidi"/>
          <w:color w:val="000000" w:themeColor="text1"/>
          <w:sz w:val="24"/>
          <w:szCs w:val="24"/>
        </w:rPr>
        <w:t>.</w:t>
      </w:r>
    </w:p>
    <w:p w14:paraId="0AF50727"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عدم تحديد واجبات المحامي الرقمية في المعالجة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بعض الباحثين إلى أن النظام حمّل “المتحكم في البيانات” المسؤولية عن الالتزام بالضوابط الفنية والتنظيمية، لكنه لم يحدّد مركز المحامي القانوني في هذا السياق: هل يُعد متحكمًا بالبيانات أم مجرد مستخدم؟</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التوصيف يجعل المسؤولية المهنية للمحامي غير واضحة عند استخدامه أدوات ذكاء اصطناعي لمعالجة بيانات موكليه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وفي ظل توسع المكاتب في استخدام المنصات السحابية لتحليل القضايا، تزداد احتمالية وقوع مخالفات غير مقصودة ناتجة عن ضعف فهم الالتزامات النظامية للمعالجة الرقمية</w:t>
      </w:r>
      <w:r>
        <w:rPr>
          <w:rFonts w:asciiTheme="majorBidi" w:hAnsiTheme="majorBidi" w:cstheme="majorBidi"/>
          <w:color w:val="000000" w:themeColor="text1"/>
          <w:sz w:val="24"/>
          <w:szCs w:val="24"/>
        </w:rPr>
        <w:t>.</w:t>
      </w:r>
    </w:p>
    <w:p w14:paraId="75201A9D"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التحديات التقنية في تطبيق مبدأ السيادة الوطنية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شددت الهيئة السعودية للبيانات والذكاء الاصطناعي في دليلها الاسترشادي لتقويم مخاطر نقل البيانات إلى خارج المملكة على ضرورة إجراء تقييم فني وقانوني قبل استخدام أي منصة أجنبية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العديد من مكاتب المحاماة تعتمد على أدوات ذكاء اصطناعي عالمية دون وعي كامل بمتطلبات السيادة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ويؤكد بعض الباحثين</w:t>
      </w:r>
      <w:r>
        <w:rPr>
          <w:rStyle w:val="af"/>
          <w:rFonts w:asciiTheme="majorBidi" w:hAnsiTheme="majorBidi" w:cstheme="majorBidi"/>
          <w:color w:val="000000" w:themeColor="text1"/>
          <w:sz w:val="24"/>
          <w:szCs w:val="24"/>
          <w:rtl/>
        </w:rPr>
        <w:footnoteReference w:id="129"/>
      </w:r>
      <w:r>
        <w:rPr>
          <w:rFonts w:asciiTheme="majorBidi" w:hAnsiTheme="majorBidi" w:cstheme="majorBidi"/>
          <w:color w:val="000000" w:themeColor="text1"/>
          <w:sz w:val="24"/>
          <w:szCs w:val="24"/>
          <w:rtl/>
        </w:rPr>
        <w:t xml:space="preserve"> أن هذا الاستخدام العابر للحدود يشكل خطرًا مباشرًا على العدالة، لأن تسرب البيانات أو معالجتها في أنظمة غير خاضعة للولاية الوطنية يُعد مساسًا بسيادة القضاء السعودي ذاته، وليس مجرد مخالفة مهنية</w:t>
      </w:r>
      <w:r>
        <w:rPr>
          <w:rFonts w:asciiTheme="majorBidi" w:hAnsiTheme="majorBidi" w:cstheme="majorBidi"/>
          <w:color w:val="000000" w:themeColor="text1"/>
          <w:sz w:val="24"/>
          <w:szCs w:val="24"/>
        </w:rPr>
        <w:t>.</w:t>
      </w:r>
    </w:p>
    <w:p w14:paraId="6BA9E2C2"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انعدام الحماية النظامية للبيانات الناتجة عن الذكاء الاصطناعي نفسه</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تناولت أنظمة حماية البيانات مسألة جمع ومعالجة المعلومات، لكنها لم تتطرق إلى “البيانات المولَّدة” التي </w:t>
      </w:r>
      <w:r>
        <w:rPr>
          <w:rFonts w:asciiTheme="majorBidi" w:hAnsiTheme="majorBidi" w:cstheme="majorBidi"/>
          <w:color w:val="000000" w:themeColor="text1"/>
          <w:sz w:val="24"/>
          <w:szCs w:val="24"/>
          <w:rtl/>
        </w:rPr>
        <w:lastRenderedPageBreak/>
        <w:t>ينتجها الذكاء الاصطناعي من خلال تحليل بيانات الموكلين أو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 أن هذه البيانات الجديدة تكتسب طابعًا قانونيًا خاصًا لأنها قد تحتوي على نتائج تحليلية أو استنتاجات تؤثر في الموقف القضائي أو التعاقدي، ومع ذلك لا يوجد نص يحكم ملكيتها أو سرية تداولها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النوع من الحماية يجعل مكاتب المحاماة معرضة لخطر تسرب التحليلات الذكية أو إساءة استخدامها من قبل أطراف خارجية أو منافسين</w:t>
      </w:r>
      <w:r>
        <w:rPr>
          <w:rFonts w:asciiTheme="majorBidi" w:hAnsiTheme="majorBidi" w:cstheme="majorBidi"/>
          <w:color w:val="000000" w:themeColor="text1"/>
          <w:sz w:val="24"/>
          <w:szCs w:val="24"/>
        </w:rPr>
        <w:t>.</w:t>
      </w:r>
    </w:p>
    <w:p w14:paraId="6F6D11B4"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الفراغ التشريعي في تكييف الانتهاكات المهنية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حال إخلال المحامي بواجب حماية بيانات موكله الرقمية، لا يوجد نص يوضح ما إذا كان الفعل يُعد مخالفة مهنية بموجب نظام المحاماة أو جريمة معلوماتية بموجب نظام مكافحة الجرائم المعلوماتية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يذكر بعض الباحثين أن هذا الغموض يولد تضاربًا في التكييف القانوني، فبعض الانتهاكات قد تُعامَل كتقصير مهني، بينما تُصنّف في وقائع مشابهة كجرائم معلوماتية، مما يضعف الثقة في اتساق العدالة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تظهر الحاجة إلى نصوص توحّد الإطار التأديبي والجنائي لانتهاكات البيانات القانونية، بحيث تكون العقوبات متناسبة مع خطورة الفعل وطبيعته العدلية</w:t>
      </w:r>
      <w:r>
        <w:rPr>
          <w:rFonts w:asciiTheme="majorBidi" w:hAnsiTheme="majorBidi" w:cstheme="majorBidi"/>
          <w:color w:val="000000" w:themeColor="text1"/>
          <w:sz w:val="24"/>
          <w:szCs w:val="24"/>
        </w:rPr>
        <w:t>.</w:t>
      </w:r>
    </w:p>
    <w:p w14:paraId="464D0F84"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إدماج متطلبات حماية البيانات ضمن لائحة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يؤكد بعض الباحثين</w:t>
      </w:r>
      <w:r>
        <w:rPr>
          <w:rStyle w:val="af"/>
          <w:rFonts w:asciiTheme="majorBidi" w:hAnsiTheme="majorBidi" w:cstheme="majorBidi"/>
          <w:color w:val="000000" w:themeColor="text1"/>
          <w:sz w:val="24"/>
          <w:szCs w:val="24"/>
          <w:rtl/>
        </w:rPr>
        <w:footnoteReference w:id="130"/>
      </w:r>
      <w:r>
        <w:rPr>
          <w:rFonts w:asciiTheme="majorBidi" w:hAnsiTheme="majorBidi" w:cstheme="majorBidi"/>
          <w:color w:val="000000" w:themeColor="text1"/>
          <w:sz w:val="24"/>
          <w:szCs w:val="24"/>
          <w:rtl/>
        </w:rPr>
        <w:t xml:space="preserve"> أن تطوير لائحة تنفيذية محدثة لنظام المحاماة هو الطريق الأمثل لسد الفجوة بين المهنة والتقنية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وينبغي أن تتضمن هذه اللائحة التزامات واضحة تتعلق بحماية البيانات الرقمية، تشمل اشتراط أن تكون المنصات التقنية المستخدمة داخل المكاتب مرخّصة وموثوقة وتخضع للرقابة المحلية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توصي وثيقة مبادئ أخلاقيات الذكاء الاصطناعي الصادرة عن سدايا بدمج مبدأ “المساءلة التقنية” في المهن ذات الحساسية العالية، وفي مقدمتها المحاماة، لضمان الاستخدام المسؤول للتقنيات الذكية</w:t>
      </w:r>
      <w:r>
        <w:rPr>
          <w:rFonts w:asciiTheme="majorBidi" w:hAnsiTheme="majorBidi" w:cstheme="majorBidi"/>
          <w:color w:val="000000" w:themeColor="text1"/>
          <w:sz w:val="24"/>
          <w:szCs w:val="24"/>
        </w:rPr>
        <w:t>.</w:t>
      </w:r>
    </w:p>
    <w:p w14:paraId="15590ECD" w14:textId="77777777" w:rsidR="00F237E4" w:rsidRDefault="00F237E4" w:rsidP="00807AA1">
      <w:pPr>
        <w:jc w:val="right"/>
        <w:rPr>
          <w:rFonts w:asciiTheme="majorBidi" w:hAnsiTheme="majorBidi" w:cstheme="majorBidi"/>
          <w:color w:val="000000" w:themeColor="text1"/>
          <w:sz w:val="24"/>
          <w:szCs w:val="24"/>
        </w:rPr>
      </w:pPr>
    </w:p>
    <w:p w14:paraId="14998BC4"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الحاجة إلى إدراج فصل خاص في اللائحة التنفيذية لنظام المحاماة ينظم التقنيات القانونية والذكاء الاصطناعي</w:t>
      </w:r>
    </w:p>
    <w:p w14:paraId="6193A801"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الإطار، يرى المركز الدراسات والبحوث القانونية في دراسته المعنونة باستخدام الذكاء الاصطناعي في المحاكم، والصادرة بالتعاون مع خبراء دوليين لإثراء البيئة القانونية السعودية، أن تطبيق الذكاء الاصطناعي في القطاع العدلي يمر بطور الانتشار التدريجي، وأن من أبرز التحديات عدم فهم منهجية عمل هذه التقنية وكيفية توظيفها، مما يستدعي بناء إطار تنظيمي واضح يُحدد نطاق الاستخدام المشروع ويُرسّخ معايير الحوكمة والمساءلة.</w:t>
      </w:r>
      <w:r>
        <w:rPr>
          <w:rStyle w:val="af"/>
          <w:rFonts w:asciiTheme="majorBidi" w:hAnsiTheme="majorBidi" w:cstheme="majorBidi"/>
          <w:sz w:val="24"/>
          <w:szCs w:val="24"/>
          <w:rtl/>
        </w:rPr>
        <w:footnoteReference w:id="131"/>
      </w:r>
    </w:p>
    <w:p w14:paraId="78A12B57"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قصور مستوى “النظام” ومرونة مستوى “اللائحة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نظام المحاماة وُضع في لحظة تاريخية لم تكن التقنيات القانونية جزءًا من بنية المهنة، ولذلك فإن تعديل النظام نفسه يُعدّ خطوة ثقيلة إجرائيًا وتستغرق زمنًا طويلًا. في المقابل، تتمتع اللائحة التنفيذية بدرجة أعلى من المرونة وإمكان التحديث المستمر وفق تطورات الممارسة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يشير بعض الباحثين في دراساتهم عن القواعد والإجراءات المنظمة لاستخدامات الذكاء الاصطناعي في المملكة إلى أن البيئة التقنية شديدة التغير تحتاج إلى أدوات تنظيم سريعة الاستجابة، وأن اللائحة التنفيذية تمثّل الأداة الأنسب لضبط التفاصيل المهنية المتغيرة دون المساس بالبناء النظامي الأعلى. ومن ثمّ، فإن </w:t>
      </w:r>
      <w:r>
        <w:rPr>
          <w:rFonts w:asciiTheme="majorBidi" w:hAnsiTheme="majorBidi" w:cstheme="majorBidi"/>
          <w:color w:val="000000" w:themeColor="text1"/>
          <w:sz w:val="24"/>
          <w:szCs w:val="24"/>
          <w:rtl/>
        </w:rPr>
        <w:lastRenderedPageBreak/>
        <w:t>إدراج فصل خاص في اللائحة التنفيذية لنظام المحاماة يُعد الخيار الأكثر توازنًا بين الحاجة إلى التنظيم وعدم إثقال كاهل النظام بتعديلات متكررة</w:t>
      </w:r>
      <w:r>
        <w:rPr>
          <w:rFonts w:asciiTheme="majorBidi" w:hAnsiTheme="majorBidi" w:cstheme="majorBidi"/>
          <w:color w:val="000000" w:themeColor="text1"/>
          <w:sz w:val="24"/>
          <w:szCs w:val="24"/>
        </w:rPr>
        <w:t>.</w:t>
      </w:r>
    </w:p>
    <w:p w14:paraId="5A08A7E8"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سدّ الفجوة بين النص التقليدي والممارسة الرقمية داخل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الممارسة الواقعية في عدد من مكاتب المحاماة الكبرى والمتوسطة في المملكة كشفت عن اعتماد متزايد على أنظمة إدارة القضايا الإلكترونية، ومنصات البحث النظامي الذكية، والأدوات المعتمدة على نماذج اللغة في صياغة العقود والمذكرات. هذه الممارسة تجري اليوم في ظل فراغ تنظيمي كامل من حيث ضوابط الاعتماد، ومعايير الأمان، وحدود المسؤولية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فاطمة بلال</w:t>
      </w:r>
      <w:r>
        <w:rPr>
          <w:rStyle w:val="af"/>
          <w:rFonts w:asciiTheme="majorBidi" w:hAnsiTheme="majorBidi" w:cstheme="majorBidi"/>
          <w:color w:val="000000" w:themeColor="text1"/>
          <w:sz w:val="24"/>
          <w:szCs w:val="24"/>
          <w:rtl/>
        </w:rPr>
        <w:footnoteReference w:id="132"/>
      </w:r>
      <w:r>
        <w:rPr>
          <w:rFonts w:asciiTheme="majorBidi" w:hAnsiTheme="majorBidi" w:cstheme="majorBidi"/>
          <w:color w:val="000000" w:themeColor="text1"/>
          <w:sz w:val="24"/>
          <w:szCs w:val="24"/>
          <w:rtl/>
        </w:rPr>
        <w:t xml:space="preserve"> في دراستها عن العدالة الناجزة أن التحول الرقمي في قطاع القضاء لا يمكن أن ينجح بصورة متوازنة ما لم يُواكبه تحول منظم في أدوات المحاماة، وأن استمرار المكاتب في استخدام التقنية خارج أي إطار تفصيلي مكتوب يعرّض المنظومة العدلية لمخاطر متعلقة بجودة الخدمة، وتفاوت المعايير المهنية، وتضارب الممارسات بين مكتب وآخر</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الفصل المقترح في اللائحة يمكن أن يكون الجسر الذي يربط بين النص التقليدي والممارسة الرقمية، من خلال تحويل العرف التقني الجاري في المكاتب إلى معايير مكتوبة يمكن الرجوع إليها ومحاسبة الممارسين على أساسها</w:t>
      </w:r>
      <w:r>
        <w:rPr>
          <w:rFonts w:asciiTheme="majorBidi" w:hAnsiTheme="majorBidi" w:cstheme="majorBidi"/>
          <w:color w:val="000000" w:themeColor="text1"/>
          <w:sz w:val="24"/>
          <w:szCs w:val="24"/>
        </w:rPr>
        <w:t>.</w:t>
      </w:r>
    </w:p>
    <w:p w14:paraId="191E6080" w14:textId="77777777" w:rsidR="00957EC0" w:rsidRPr="00957EC0" w:rsidRDefault="00957EC0"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تنظيم العلاقة بين المحامي ومزوّدي التقنيات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الواقع المهني الحالي، تتعامل مكاتب المحاماة مع عدد من مزوّدي المنصات التقنية، سواء في الداخل أو الخارج، لتوفير خدمات مثل إدارة المستندات، والتحليل القانوني، والتراسل الآمن. هذه العلاقة التعاقدية تظل خارج أي إطار مهني محدد، إذ لا توجد معايير تلزم المحامي بالتحقق من مستوى أمان المنصة، أو موقع تخزين البيانات، أو مدى امتثالها للأنظمة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w:t>
      </w:r>
      <w:r>
        <w:rPr>
          <w:rStyle w:val="af"/>
          <w:rFonts w:asciiTheme="majorBidi" w:hAnsiTheme="majorBidi" w:cstheme="majorBidi"/>
          <w:color w:val="000000" w:themeColor="text1"/>
          <w:sz w:val="24"/>
          <w:szCs w:val="24"/>
          <w:rtl/>
        </w:rPr>
        <w:footnoteReference w:id="133"/>
      </w:r>
      <w:r>
        <w:rPr>
          <w:rFonts w:asciiTheme="majorBidi" w:hAnsiTheme="majorBidi" w:cstheme="majorBidi"/>
          <w:color w:val="000000" w:themeColor="text1"/>
          <w:sz w:val="24"/>
          <w:szCs w:val="24"/>
          <w:rtl/>
        </w:rPr>
        <w:t xml:space="preserve"> في رسالته للدكتوراه أن ترك العلاقة بين المحامي ومزوّد التقنية دون ضوابط مهنية يُضعف من أثر الأنظمة، كحماية البيانات ومكافحة الجرائم المعلوماتية، لأن المحامي قد يتعامل بحسن نية مع منصة أجنبية لا تخضع لأي التزام وطني بحماية الخصوصية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لذلك، يمكن للفصل المقترح أن يضع قواعد صريحة تفرض على مكاتب المحاماة التحقق من المنصات المستخدمة، وأن ينص على وجوب أن تكون أي منصة يُدخل فيها المحامي بيانات موكليه مرخصة، أو على الأقل مستوفية لاشتراطات معينة تُحدَّد من وزارة العدل بالتنسيق مع سدايا</w:t>
      </w:r>
      <w:r>
        <w:rPr>
          <w:rFonts w:asciiTheme="majorBidi" w:hAnsiTheme="majorBidi" w:cstheme="majorBidi"/>
          <w:color w:val="000000" w:themeColor="text1"/>
          <w:sz w:val="24"/>
          <w:szCs w:val="24"/>
        </w:rPr>
        <w:t>.</w:t>
      </w:r>
    </w:p>
    <w:p w14:paraId="3D68D396"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وتعزّز هذه الحجة ما خلص إليه مركز الدراسات والبحوث القانونية (2024م) من أن العلاقة بين المحامي ومزود الأداة الذكية هي علاقة عقدية خدمية تخضع لأحكام نظام التعاملات الإلكترونية وقواعد المسؤولية العقدية الواردة في نظام المعاملات المدنية، وأن إسقاط الضوابط المهنية عن هذه العلاقة يفضي إلى فراغ قانوني خطير.</w:t>
      </w:r>
      <w:r>
        <w:rPr>
          <w:rtl/>
        </w:rPr>
        <w:footnoteReference w:id="134"/>
      </w:r>
    </w:p>
    <w:p w14:paraId="7989E719" w14:textId="77777777" w:rsidR="003835A4" w:rsidRDefault="00957EC0" w:rsidP="000D4B35">
      <w:pPr>
        <w:ind w:left="360"/>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تأطير المسؤولية المهنية عن استخدام الذكاء الاصطناعي</w:t>
      </w:r>
    </w:p>
    <w:p w14:paraId="3A73A078"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وفيما يتعلق بحدود تأطير المسؤولية المهنية، أشارت عبد الرحمن إلى ضرورة مراعاة مبدأ التعادل؛ بمعنى ألا تكون المسؤولية المفروضة على المحامي المستخدم للذكاء الاصطناعي أشد من المسؤولية المفروضة على المحامي الذي لم يستخدمه وارتكب الخطأ ذاته بطريقة تقليدية، لأن التشديد غير المتناسب قد يُثبّط التحول الرقمي الذي تستهدفه رؤية 2030.</w:t>
      </w:r>
      <w:r>
        <w:rPr>
          <w:rtl/>
        </w:rPr>
        <w:footnoteReference w:id="135"/>
      </w:r>
    </w:p>
    <w:p w14:paraId="00DFF523"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lastRenderedPageBreak/>
        <w:t>وفي إطار المسؤولية المهنية الجنائية، أوضح العطار والنوايسة أن الإهمال الجسيم في الرقابة على نظام الذكاء الاصطناعي المستخدم في تقديم المشورة القانونية قد يرقى إلى درجة الخطأ الجنائي الموجب للمساءلة الجزائية، شريطة إثبات العلاقة السببية بين الإهمال في الرقابة والضرر اللاحق بالموكل أو المتضرر من المشورة الخاطئة.</w:t>
      </w:r>
      <w:r>
        <w:rPr>
          <w:rtl/>
        </w:rPr>
        <w:footnoteReference w:id="136"/>
      </w:r>
    </w:p>
    <w:p w14:paraId="2ACBF584"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وفيما يتعلق بتأطير المسؤولية المهنية، اقترح بعض الباحثين تبني نظرية المسؤولية المتشعبة في القضايا الناجمة عن الذكاء الاصطناعي، إذ تنقسم المسؤولية بين المحامي المستخدم، والمطوّر الأصلي للنظام، والوسيط الذي يُتيح الوصول إلى النظام، مع منح القضاء صلاحية التوزيع النسبي وفق درجة الإسهام المثبتة بالخبرة التقنية.</w:t>
      </w:r>
      <w:r>
        <w:rPr>
          <w:rtl/>
        </w:rPr>
        <w:footnoteReference w:id="137"/>
      </w:r>
    </w:p>
    <w:p w14:paraId="6D968C76"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وبالمقابل، ترى الجلعود أن تأطير المسؤولية المهنية ينبغي أن يُراعي مبدأ التناسب؛ فالمحامي الذي يستخدم أداة ذكاء اصطناعي بسيطة لمعالجة النصوص لا يُعامَل كمن يستخدم نظاماً تنبؤياً معقداً يتخذ قرارات استراتيجية، والتمييز بين درجات التعقيد والأثر هو جوهر أي منظومة تشريعية رشيدة في هذا المجال.</w:t>
      </w:r>
      <w:r>
        <w:rPr>
          <w:rtl/>
        </w:rPr>
        <w:footnoteReference w:id="138"/>
      </w:r>
    </w:p>
    <w:p w14:paraId="43978975"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باب تأطير المسؤولية المهنية، ميّز بعض الباحثين بين معيارين يتنافسان في السياق الفقهي المقارن: معيار المحامي المعقول الذي يُقيس أداء المحامي بالمعيار التقليدي القائم على الحكمة المهنية المتعارف عليها، ومعيار المحامي الرقمي الكفء الذي يُضيف إلى المعيار الأول اشتراط الكفاءة في انتقاء أنظمة الذكاء الاصطناعي وتقييم مخرجاتها ونقد توصياتها.</w:t>
      </w:r>
      <w:r>
        <w:rPr>
          <w:rtl/>
        </w:rPr>
        <w:footnoteReference w:id="139"/>
      </w:r>
    </w:p>
    <w:p w14:paraId="27813608"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تشير الأدبيات القانونية الحديثة التي تناولت المسؤولية المدنية عن أفعال الذكاء الاصطناعي — ومنها أبحاث بعض الباحثين — إلى غياب نموذج معياري واضح يُحتكم إليه عند تقييم خطأ المحامي في استخدام الأنظمة الذكية داخل مكاتب المحاماة. فالمسؤولية المهنية في نظام المحاماة تُبنى على مبدأ “العناية المهنية المعتادة”، غير أن هذا المبدأ لم يُعرّف بعد في سياق التقنية، مما يطرح تساؤلات عملية حول مسؤولية المحامي عند الاستعانة بالذكاء الاصطناعي في أعمال ذات أثر عدلي مباشر</w:t>
      </w:r>
      <w:r>
        <w:rPr>
          <w:rFonts w:asciiTheme="majorBidi" w:hAnsiTheme="majorBidi" w:cstheme="majorBidi"/>
          <w:color w:val="000000" w:themeColor="text1"/>
          <w:sz w:val="24"/>
          <w:szCs w:val="24"/>
        </w:rPr>
        <w:t>.</w:t>
      </w:r>
    </w:p>
    <w:p w14:paraId="2302934B"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ويُثار التساؤل هنا: ما هي حدود العناية المهنية الرقمية؟ وهل يُلزم المحامي بفهم الآلية التقنية للنظام؟ أم يكفي التأكد من موثوقية المصدر؟ أم يجب عليه اختبار النتائج ومقارنتها بالسوابق النظامية قبل تقديمها للقضاء؟ وقد أكدت بعض الدراسات حول حماية التصرفات القانونية عبر الذكاء الاصطناعي أن الاعتماد على المخرجات التقنية دون مراجعة بشرية يمثل انحرافًا عن السلوك المهني المألوف في المهن القانونية</w:t>
      </w:r>
      <w:r>
        <w:rPr>
          <w:rFonts w:asciiTheme="majorBidi" w:hAnsiTheme="majorBidi" w:cstheme="majorBidi"/>
          <w:color w:val="000000" w:themeColor="text1"/>
          <w:sz w:val="24"/>
          <w:szCs w:val="24"/>
        </w:rPr>
        <w:t>.</w:t>
      </w:r>
    </w:p>
    <w:p w14:paraId="34D97B8A"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أجل معالجة هذا الفراغ، يمكن للائحة التنفيذية لنظام المحاماة أن تضع فصلًا خاصًا بالمسؤولية التقنية، يتضمن قواعد مهنية مفصلة، من أهمها</w:t>
      </w:r>
      <w:r>
        <w:rPr>
          <w:rFonts w:asciiTheme="majorBidi" w:hAnsiTheme="majorBidi" w:cstheme="majorBidi"/>
          <w:color w:val="000000" w:themeColor="text1"/>
          <w:sz w:val="24"/>
          <w:szCs w:val="24"/>
        </w:rPr>
        <w:t>:</w:t>
      </w:r>
    </w:p>
    <w:p w14:paraId="16652810"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التزام المحامي بإجراء مراجعة بشرية إلزامية لجميع المذكرات أو التحليلات التي ينتجها النظام الذكي قبل تقديمها للقضاء أو للجهات العدلية، وهو ما يتفق مع ما ورد في بعض الدراسات حول ضرورة الرقابة البشرية في المهن العدلية عند استخدام الأنظمة الذكية</w:t>
      </w:r>
      <w:r>
        <w:rPr>
          <w:rFonts w:asciiTheme="majorBidi" w:hAnsiTheme="majorBidi" w:cstheme="majorBidi"/>
          <w:color w:val="000000" w:themeColor="text1"/>
          <w:sz w:val="24"/>
          <w:szCs w:val="24"/>
        </w:rPr>
        <w:t>.</w:t>
      </w:r>
    </w:p>
    <w:p w14:paraId="41BEB9DD"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 xml:space="preserve">• </w:t>
      </w:r>
      <w:r>
        <w:rPr>
          <w:rFonts w:asciiTheme="majorBidi" w:hAnsiTheme="majorBidi" w:cstheme="majorBidi"/>
          <w:color w:val="000000" w:themeColor="text1"/>
          <w:sz w:val="24"/>
          <w:szCs w:val="24"/>
          <w:rtl/>
        </w:rPr>
        <w:t>واجب توثيق الخطوات التقنية التي اتخذها المحامي عند استخدام النظام الذكي، بما في ذلك تحديد إصدار النظام، وطريقة توليد المخرجات، وبيان ما إذا كانت خاضعة لأي تعديل أو تدقيق بعد توليدها. وقد أشارت دراسة فاطمة بلال حول العدالة الرقمية إلى أن التوثيق يمثل ضمانة أساسية ضد الأخطاء التقنية غير المتعمدة</w:t>
      </w:r>
      <w:r>
        <w:rPr>
          <w:rFonts w:asciiTheme="majorBidi" w:hAnsiTheme="majorBidi" w:cstheme="majorBidi"/>
          <w:color w:val="000000" w:themeColor="text1"/>
          <w:sz w:val="24"/>
          <w:szCs w:val="24"/>
        </w:rPr>
        <w:t>.</w:t>
      </w:r>
    </w:p>
    <w:p w14:paraId="4CED3B23"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اعتبار الإخلال بضوابط التقنية — متى ترتب عليه ضرر للموكل — صورة من صور الإهمال المهني الجسيم. ويستند هذا الاتجاه إلى ما قرره بعض الباحثين من أن الخطأ التقني في السياق الرقمي يُعدّ خطأ جسيمًا إذا أمكن الاحتراز عنه باستخدام معايير الأمن السيبراني والتحقق المهني المتعارف عليها</w:t>
      </w:r>
      <w:r>
        <w:rPr>
          <w:rFonts w:asciiTheme="majorBidi" w:hAnsiTheme="majorBidi" w:cstheme="majorBidi"/>
          <w:color w:val="000000" w:themeColor="text1"/>
          <w:sz w:val="24"/>
          <w:szCs w:val="24"/>
        </w:rPr>
        <w:t>.</w:t>
      </w:r>
    </w:p>
    <w:p w14:paraId="44027E1D"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ولكي تتضح طبيعة “الإهمال المهني الجسيم” في السياق الرقمي، فإن تقييمه يجب أن يستند إلى معايير فنية واضحة، من أهمها</w:t>
      </w:r>
      <w:r>
        <w:rPr>
          <w:rFonts w:asciiTheme="majorBidi" w:hAnsiTheme="majorBidi" w:cstheme="majorBidi"/>
          <w:color w:val="000000" w:themeColor="text1"/>
          <w:sz w:val="24"/>
          <w:szCs w:val="24"/>
        </w:rPr>
        <w:t>:</w:t>
      </w:r>
    </w:p>
    <w:p w14:paraId="2EACF48E"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الموثوقية التقنية: هل استخدم المحامي نظامًا معتمدًا ومرخصًا داخل المملكة؟ وهل تجاهل التحذيرات المرتبطة باستخدام منصات غير آمنة؟</w:t>
      </w:r>
    </w:p>
    <w:p w14:paraId="3C2EB325"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التحقق البشري: هل اكتفى المحامي بنقل مخرجات النظام دون مراجعة بشرية أو مقارنة بالسوابق القضائية؟</w:t>
      </w:r>
    </w:p>
    <w:p w14:paraId="669B57D3"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سلامة البيانات: هل أدخل بيانات الموكل في نظام ذكي يخزن المعلومات خارج المملكة دون تقويم للمخاطر وفق دليل سدايا؟</w:t>
      </w:r>
    </w:p>
    <w:p w14:paraId="70851B22"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الإفصاح: هل أخفى المحامي عن الموكل أو المحكمة أنه استخدم نظامًا ذكيًا في توليد المستند؟ وهل أدى ذلك إلى تضليل أو خلل في الثقة المهنية؟</w:t>
      </w:r>
    </w:p>
    <w:p w14:paraId="3D6ECD41"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الكفاءة المهنية: هل استخدم المحامي نظامًا معقدًا لا يستطيع تفسير طريقة عمله أمام القضاء، بما يجعل الإثبات مستحيلاً أو مشوبًا بالغموض؟ وقد أكدت بعض الدراسات حول الذكاء الاصطناعي والبلوكتشين أن الأنظمة غير القابلة للتفسير تُعد الأكثر خطورة في السياق القانوني</w:t>
      </w:r>
      <w:r>
        <w:rPr>
          <w:rFonts w:asciiTheme="majorBidi" w:hAnsiTheme="majorBidi" w:cstheme="majorBidi"/>
          <w:color w:val="000000" w:themeColor="text1"/>
          <w:sz w:val="24"/>
          <w:szCs w:val="24"/>
        </w:rPr>
        <w:t>.</w:t>
      </w:r>
    </w:p>
    <w:p w14:paraId="5EC511A6"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وعند اجتماع هذه المعايير، يمكن أن يُعدّ الإخلال بها إهمالًا مهنيًا جسيمًا يُسأل عنه المحامي تأديبيًا ومدنيًا، خصوصًا إذا ترتب على ذلك ضرر للمُوكّل أو التأثير على نزاهة العدالة. وتؤكد مجلة العدالة في عددها المتعلق بالمسؤولية عن الذكاء الاصطناعي أن المحامي يظل مسؤولًا عن كل ما يقدمه للجهات العدلية، سواء كان ناتجًا عن عمله الشخصي أو عن نظام ذكي استعان به</w:t>
      </w:r>
      <w:r>
        <w:rPr>
          <w:rFonts w:asciiTheme="majorBidi" w:hAnsiTheme="majorBidi" w:cstheme="majorBidi"/>
          <w:color w:val="000000" w:themeColor="text1"/>
          <w:sz w:val="24"/>
          <w:szCs w:val="24"/>
        </w:rPr>
        <w:t>.</w:t>
      </w:r>
    </w:p>
    <w:p w14:paraId="494301BE"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تأطير المسؤولية المهنية الرقمية لا يقوم فقط على تحديد الواجبات، بل على وضع معايير فنية واضحة تُطبّق عند تقييم الإخلال. وهذا ما يجعل اللائحة التنفيذية المكان الأنسب لإدراج هذه الضوابط، لأنها أكثر مرونة في التعديل والتطوير بما يواكب سرعة التغيرات التقنية في مكاتب المحاماة</w:t>
      </w:r>
      <w:r>
        <w:rPr>
          <w:rFonts w:asciiTheme="majorBidi" w:hAnsiTheme="majorBidi" w:cstheme="majorBidi"/>
          <w:color w:val="000000" w:themeColor="text1"/>
          <w:sz w:val="24"/>
          <w:szCs w:val="24"/>
        </w:rPr>
        <w:t>.</w:t>
      </w:r>
    </w:p>
    <w:p w14:paraId="2AA6BA34" w14:textId="77777777" w:rsidR="003835A4" w:rsidRPr="00957EC0" w:rsidRDefault="003835A4" w:rsidP="003835A4">
      <w:pPr>
        <w:ind w:left="360"/>
        <w:jc w:val="right"/>
        <w:rPr>
          <w:rFonts w:asciiTheme="majorBidi" w:hAnsiTheme="majorBidi" w:cstheme="majorBidi"/>
          <w:color w:val="000000" w:themeColor="text1"/>
          <w:sz w:val="24"/>
          <w:szCs w:val="24"/>
          <w:rtl/>
        </w:rPr>
      </w:pPr>
    </w:p>
    <w:p w14:paraId="5942311C"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دمج مبادئ أخلاقيات الذكاء الاصطناعي في أخلاقيات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وثيقة مبادئ أخلاقيات الذكاء الاصطناعي الصادرة عن سدايا وضعت إطارًا قيميا عامًا لاستخدام التقنية، لكنها لم تُترجم حتى الآن إلى التزامات مهنية محددة داخل قطاع المحاماة. في المقابل، مهنة المحاماة في جوهرها مهنة أخلاقية، تقوم على الأمانة والسرية والاستقلالية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يلاحظ بعض الباحثين </w:t>
      </w:r>
      <w:r>
        <w:rPr>
          <w:rStyle w:val="af"/>
          <w:rFonts w:asciiTheme="majorBidi" w:hAnsiTheme="majorBidi" w:cstheme="majorBidi"/>
          <w:color w:val="000000" w:themeColor="text1"/>
          <w:sz w:val="24"/>
          <w:szCs w:val="24"/>
          <w:rtl/>
        </w:rPr>
        <w:footnoteReference w:id="140"/>
      </w:r>
      <w:r>
        <w:rPr>
          <w:rFonts w:asciiTheme="majorBidi" w:hAnsiTheme="majorBidi" w:cstheme="majorBidi"/>
          <w:color w:val="000000" w:themeColor="text1"/>
          <w:sz w:val="24"/>
          <w:szCs w:val="24"/>
          <w:rtl/>
        </w:rPr>
        <w:t xml:space="preserve">في دراسته عن تأطير أخلاقيات الذكاء الاصطناعي أن الانتقال من النص الأخلاقي العام إلى القاعدة المهنية الملزمة هو ما يمنح الأخلاقيات قوة حقيقية في الواقع. ومن هذا المنطلق، فإن إفراد فصل في اللائحة التنفيذية يدمج مبادئ العدالة، والشفافية، وعدم التمييز، وحماية الخصوصية في سلوك المحامي التقني، سيحوّل هذه المبادئ من شعارات عامة إلى التزامات يمكن مساءلة المحامي عن </w:t>
      </w:r>
      <w:r>
        <w:rPr>
          <w:rFonts w:asciiTheme="majorBidi" w:hAnsiTheme="majorBidi" w:cstheme="majorBidi"/>
          <w:color w:val="000000" w:themeColor="text1"/>
          <w:sz w:val="24"/>
          <w:szCs w:val="24"/>
          <w:rtl/>
        </w:rPr>
        <w:lastRenderedPageBreak/>
        <w:t>الإخلال بها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ويمكن أن يتضمن هذا الفصل إلزام المكاتب بوضع سياسات داخلية مكتوبة لاستخدام الذكاء الاصطناعي، وتدريب المحامين والمتدربين على التعامل المسؤول مع الأنظمة الذكية، وتوثيق أي حالات إخلال أو مخاطر تقنية للتعامل معها تأديبيًا</w:t>
      </w:r>
      <w:r>
        <w:rPr>
          <w:rFonts w:asciiTheme="majorBidi" w:hAnsiTheme="majorBidi" w:cstheme="majorBidi"/>
          <w:color w:val="000000" w:themeColor="text1"/>
          <w:sz w:val="24"/>
          <w:szCs w:val="24"/>
        </w:rPr>
        <w:t>.</w:t>
      </w:r>
    </w:p>
    <w:p w14:paraId="5B62DF4E"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استيعاب التحول العدلي الرقمي وضبطه من داخل المهنة نفسها</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فاطمة بلال في دراستها حول العدالة الناجزة أن وزارة العدل قطعت شوطًا كبيرًا في بناء منظومة القضاء الإلكتروني، لكن مهنة المحاماة لم تواكب هذا التحول من حيث البناء التنظيمي الداخلي. فالمحامي اليوم يعمل في بيئة رقمية بالكامل تقريبًا، من القيد في الدعاوى وحتى حضور الجلسات عن بُعد، دون أن يجد في لائحته التنفيذية ما ينظّم دوره التقني أو يحميه من تبعات الأخطاء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إدراج فصل خاص في اللائحة التنفيذية لنظام المحاماة لن يكون مجرد إضافة شكلية، بل هو خطوة تعكس اعترافًا رسميًا بأن المهنة دخلت مرحلة جديدة هي مرحلة “المحاماة الرقمية”، وأن هذه المرحلة تحتاج إلى مدونة تنظيمية خاصة بها تحت مظلة النظام القائم، تمهيدًا لأي تطوير نظامي مستقبلي</w:t>
      </w:r>
      <w:r>
        <w:rPr>
          <w:rFonts w:asciiTheme="majorBidi" w:hAnsiTheme="majorBidi" w:cstheme="majorBidi"/>
          <w:color w:val="000000" w:themeColor="text1"/>
          <w:sz w:val="24"/>
          <w:szCs w:val="24"/>
        </w:rPr>
        <w:t>.</w:t>
      </w:r>
    </w:p>
    <w:p w14:paraId="7B1D8EE5"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تهيئة الأرضية التنظيمية للتصور المقترح في الفصول اللاحقة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منظور منهجي مرتبط بالرسالة نفسها، فإن اقتراح فصل في اللائحة التنفيذية يمثّل خطوة وسيطة بين الإطار النظامي العام الذي عُرض في المبحث الأول، والتصور التنظيمي التفصيلي الذي سيُعرض في الفصل الخامس</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الفصل المقترح هو الأداة الواقعية التي يمكن أن تُنفَّذ من خلالها توصيات الرسالة على المدى القريب، دون انتظار تعديل نظامي شامل. ولذلك، فإن التحليل العميق لفكرة إدراج هذا الفصل يدخل في صميم هدف الرسالة، لأنه يقدّم تصورًا عمليًا لكيفية ترجمة النتائج العلمية إلى آليات تنظيمية قابلة للتطبيق داخل مكاتب المحاماة وفي إطار المنظومة العدلية السعودية</w:t>
      </w:r>
      <w:r>
        <w:rPr>
          <w:rFonts w:asciiTheme="majorBidi" w:hAnsiTheme="majorBidi" w:cstheme="majorBidi"/>
          <w:color w:val="000000" w:themeColor="text1"/>
          <w:sz w:val="24"/>
          <w:szCs w:val="24"/>
        </w:rPr>
        <w:t>.</w:t>
      </w:r>
    </w:p>
    <w:p w14:paraId="37FFE60C" w14:textId="77777777" w:rsidR="00957EC0" w:rsidRDefault="00957EC0" w:rsidP="00807AA1">
      <w:pPr>
        <w:jc w:val="right"/>
        <w:rPr>
          <w:rFonts w:asciiTheme="majorBidi" w:hAnsiTheme="majorBidi" w:cstheme="majorBidi"/>
          <w:color w:val="000000" w:themeColor="text1"/>
          <w:sz w:val="24"/>
          <w:szCs w:val="24"/>
        </w:rPr>
      </w:pPr>
    </w:p>
    <w:p w14:paraId="6F2921C3"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خامسًا: غياب الإطار الرقابي المهني لاستخدام التقنية في مكاتب المحاماة</w:t>
      </w:r>
    </w:p>
    <w:p w14:paraId="18013A04"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إلى جانب القصور التشريعي في النصوص، يبرز وجه آخر من أوجه الضعف في تنظيم توظيف الذكاء الاصطناعي في مكاتب المحاماة، يتمثل في غياب إطار رقابي مهني واضح يضبط استخدام هذه التقنيات داخل الممارسة اليومية للمحامي. فالنظام السعودي يشتمل على قواعد تأديبية وأحكام عامة تتعلق بمساءلة المحامي عن الإخلال بواجباته، لكنه لا يقدّم حتى الآن نموذجًا رقابيًا متخصصًا يتعامل مع المخاطر المهنية المرتبطة بالتقنية القانونية والأنظمة الذكية</w:t>
      </w:r>
      <w:r>
        <w:rPr>
          <w:rFonts w:asciiTheme="majorBidi" w:hAnsiTheme="majorBidi" w:cstheme="majorBidi"/>
          <w:color w:val="000000" w:themeColor="text1"/>
          <w:sz w:val="24"/>
          <w:szCs w:val="24"/>
        </w:rPr>
        <w:t>.</w:t>
      </w:r>
    </w:p>
    <w:p w14:paraId="021B6ED1"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فمسؤولية المحامي التأديبية اليوم تقوم في غالبها على مفاهيم تقليدية، مثل الإخلال بواجب الأمانة، أو مخالفة أحكام النظام، أو الإضرار بالمصلحة المشروعة للموكل. غير أن هذه المفاهيم لم تُعاد صياغتها في ضوء الواقع الرقمي الجديد الذي أصبحت فيه الأخطاء التقنية، أو سوء اختيار المنصات الذكية، أو ضعف تأمين البيانات، من أبرز ما يهدد مصلحة الموكل وسمعة المهنة. ويلاحظ بعض الباحثين في مجال المسؤولية المدنية أن البناء التأديبي في المهن القانونية لم يواكب بعدُ التطور التقني، وأن جزءًا كبيرًا من الأفعال الضارة التي تنشأ عن استخدام الأنظمة الذكية لا يجد وصفًا مهنيًا واضحًا يبرر المساءلة أو يحدد درجتها وخطورتها</w:t>
      </w:r>
      <w:r>
        <w:rPr>
          <w:rFonts w:asciiTheme="majorBidi" w:hAnsiTheme="majorBidi" w:cstheme="majorBidi"/>
          <w:color w:val="000000" w:themeColor="text1"/>
          <w:sz w:val="24"/>
          <w:szCs w:val="24"/>
        </w:rPr>
        <w:t>.</w:t>
      </w:r>
    </w:p>
    <w:p w14:paraId="717706B7"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مهنة المحاماة في المملكة، على خلاف بعض التجارب المقارنة، ما زالت تفتقر إلى كيان مهني رقابي متخصص في الجانب التقني، يتابع أنماط استخدام الذكاء الاصطناعي داخل المكاتب، ويضع أدلة إرشادية ملزمة، ويراقب التزام الممارسين بها. فالمجالس التأديبية والجهات القضائية المعنية بمساءلة المحامين تتعامل مع المخالفات بحسب ما يعرض عليها من وقائع، ومن دون أن تستند إلى معايير تقنية أو مهنية سابقة التعريف تحكم ما إذا كان استخدام نظام معين يُعد مقبولًا مهنيًا أم لا. وهذا ما حذرت منه فاطمة بلال في دراستها عن العدالة الناجزة، حين أشارت إلى أن التحول الرقمي إذا لم تصحبه رقابة مهنية واعية، قد يؤدي إلى تفاوت كبير في جودة </w:t>
      </w:r>
      <w:r>
        <w:rPr>
          <w:rFonts w:asciiTheme="majorBidi" w:hAnsiTheme="majorBidi" w:cstheme="majorBidi"/>
          <w:color w:val="000000" w:themeColor="text1"/>
          <w:sz w:val="24"/>
          <w:szCs w:val="24"/>
          <w:rtl/>
        </w:rPr>
        <w:lastRenderedPageBreak/>
        <w:t>الخدمات القانونية، بل وإلى تعميق الفجوة بين المكاتب القادرة على إدارة التقنية والمكاتب التي تستخدمها بصورة عشوائية أو غير آمنة</w:t>
      </w:r>
      <w:r>
        <w:rPr>
          <w:rFonts w:asciiTheme="majorBidi" w:hAnsiTheme="majorBidi" w:cstheme="majorBidi"/>
          <w:color w:val="000000" w:themeColor="text1"/>
          <w:sz w:val="24"/>
          <w:szCs w:val="24"/>
        </w:rPr>
        <w:t>.</w:t>
      </w:r>
    </w:p>
    <w:p w14:paraId="7E497C8F"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ويشير بعض الباحثين </w:t>
      </w:r>
      <w:r>
        <w:rPr>
          <w:rStyle w:val="af"/>
          <w:rFonts w:asciiTheme="majorBidi" w:hAnsiTheme="majorBidi" w:cstheme="majorBidi"/>
          <w:color w:val="000000" w:themeColor="text1"/>
          <w:sz w:val="24"/>
          <w:szCs w:val="24"/>
          <w:rtl/>
        </w:rPr>
        <w:footnoteReference w:id="141"/>
      </w:r>
      <w:r>
        <w:rPr>
          <w:rFonts w:asciiTheme="majorBidi" w:hAnsiTheme="majorBidi" w:cstheme="majorBidi"/>
          <w:color w:val="000000" w:themeColor="text1"/>
          <w:sz w:val="24"/>
          <w:szCs w:val="24"/>
          <w:rtl/>
        </w:rPr>
        <w:t>في دراسته المقارنة حول دور الدولة في تأطير أخلاقيات الذكاء الاصطناعي إلى أن الاقتصار على النصوص العامة، دون إنشاء آليات مهنية للحوكمة، يجعل المنظومة الأخلاقية للتقنية مجرد إعلان نوايا لا ينفذ إلى سلوك الممارسين اليومي. ويطبَّق هذا التحليل على مهنة المحاماة في السعودية؛ إذ صدرت وثائق وطنية متقدمة عن سدايا تتعلق بمبادئ أخلاقيات الذكاء الاصطناعي وحوكمة البيانات، لكنها لم تُترجم إلى لوائح مهنية داخلية تلزم مكاتب المحاماة بتبني سياسات واضحة لاستخدام الأنظمة الذكية، أو بإنشاء سجلات تقنية للأنظمة المستخدمة، أو بإخضاع هذه الأنظمة لتدقيق دوري من جهة مختصة</w:t>
      </w:r>
      <w:r>
        <w:rPr>
          <w:rFonts w:asciiTheme="majorBidi" w:hAnsiTheme="majorBidi" w:cstheme="majorBidi"/>
          <w:color w:val="000000" w:themeColor="text1"/>
          <w:sz w:val="24"/>
          <w:szCs w:val="24"/>
        </w:rPr>
        <w:t>.</w:t>
      </w:r>
    </w:p>
    <w:p w14:paraId="643C883C"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جانب آخر، يبين بعض الباحثين </w:t>
      </w:r>
      <w:r>
        <w:rPr>
          <w:rStyle w:val="af"/>
          <w:rFonts w:asciiTheme="majorBidi" w:hAnsiTheme="majorBidi" w:cstheme="majorBidi"/>
          <w:color w:val="000000" w:themeColor="text1"/>
          <w:sz w:val="24"/>
          <w:szCs w:val="24"/>
          <w:rtl/>
        </w:rPr>
        <w:footnoteReference w:id="142"/>
      </w:r>
      <w:r>
        <w:rPr>
          <w:rFonts w:asciiTheme="majorBidi" w:hAnsiTheme="majorBidi" w:cstheme="majorBidi"/>
          <w:color w:val="000000" w:themeColor="text1"/>
          <w:sz w:val="24"/>
          <w:szCs w:val="24"/>
          <w:rtl/>
        </w:rPr>
        <w:t>في دراسته عن القواعد والإجراءات المنظمة لاستخدامات الذكاء الاصطناعي أن ترك مساحة واسعة لتقدير المحامي في اختيار أدواته التقنية، من دون معايير رقابية مهنية، قد يؤدي إلى تفاوت كبير في درجة حماية حقوق الموكلين. فمكتب يعتمد على أنظمة مؤمنة خاضعة لرقابة وطنية سيختلف في مستوى الأمان والمهنية عن مكتب آخر يستخدم منصات مجانية أو تجارية غير خاضعة لأي تدقيق أو ترخيص. ومع غياب إطار رقابي مهني، يصعب على الموكلين، بل وعلى الجهات القضائية نفسها، تقييم مدى التزام المكتب بالمعايير التقنية الملائمة، مما يضعف الشفافية في سوق الخدمات القانونية</w:t>
      </w:r>
      <w:r>
        <w:rPr>
          <w:rFonts w:asciiTheme="majorBidi" w:hAnsiTheme="majorBidi" w:cstheme="majorBidi"/>
          <w:color w:val="000000" w:themeColor="text1"/>
          <w:sz w:val="24"/>
          <w:szCs w:val="24"/>
        </w:rPr>
        <w:t>.</w:t>
      </w:r>
    </w:p>
    <w:p w14:paraId="0143639B"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ويطرح بعض الباحثين</w:t>
      </w:r>
      <w:r>
        <w:rPr>
          <w:rStyle w:val="af"/>
          <w:rFonts w:asciiTheme="majorBidi" w:hAnsiTheme="majorBidi" w:cstheme="majorBidi"/>
          <w:color w:val="000000" w:themeColor="text1"/>
          <w:sz w:val="24"/>
          <w:szCs w:val="24"/>
          <w:rtl/>
        </w:rPr>
        <w:footnoteReference w:id="143"/>
      </w:r>
      <w:r>
        <w:rPr>
          <w:rFonts w:asciiTheme="majorBidi" w:hAnsiTheme="majorBidi" w:cstheme="majorBidi"/>
          <w:color w:val="000000" w:themeColor="text1"/>
          <w:sz w:val="24"/>
          <w:szCs w:val="24"/>
          <w:rtl/>
        </w:rPr>
        <w:t xml:space="preserve"> في هذا السياق فكرة الإطار الرقابي المهني بوصفه خطوة مكملة للتنظيم التشريعي؛ إذ يرى أن الاكتفاء بنصوص عامة في نظام المحاماة أو في الأنظمة المكملة لا يكفي لضبط الممارسة، ما لم تُنشأ داخل المهنة نفسها آليات رقابة ولجان متخصصة قادرة على تقييم استخدام التقنية وفق معايير مهنية واضحة. ويمكن لهذا الإطار أن يتجسد في مدونة مهنية رقمية تصدر عن وزارة العدل أو هيئة المحامين السعوديين، تنص على ضوابط استخدام الذكاء الاصطناعي، ومعايير اختيار المنصات، وواجب توثيق الإجراءات التقنية، وآليات التحقيق في أي إخلال يرتبط بإساءة استخدام هذه الأدوات</w:t>
      </w:r>
      <w:r>
        <w:rPr>
          <w:rFonts w:asciiTheme="majorBidi" w:hAnsiTheme="majorBidi" w:cstheme="majorBidi"/>
          <w:color w:val="000000" w:themeColor="text1"/>
          <w:sz w:val="24"/>
          <w:szCs w:val="24"/>
        </w:rPr>
        <w:t>.</w:t>
      </w:r>
    </w:p>
    <w:p w14:paraId="1150E3D0"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بهذا المعنى، فإن غياب الإطار الرقابي المهني في مجال التقنية القانونية لا يُعد مجرد نقص تنظيمي ثانوي، بل هو عنصر أساسي يفسر جزءًا من القصور في حماية الثقة العامة في المهنة، وفي ضمان انسجام استخدام الذكاء الاصطناعي مع رسالة العدالة. ومن ثم، فإن معالجة هذا النقص تُعد ركنًا مهمًا من أركان التصور التنظيمي الذي تهدف هذه الرسالة إلى بنائه، بحيث لا يقتصر الإصلاح على تعديل النصوص أو إضافة تعريفات، بل يمتد إلى إنشاء منظومة رقابية مهنية قادرة على مواكبة سرعة التطور التقني، وضمان ألا تتحول أدوات الذكاء الاصطناعي من وسيلة لتطوير الخدمة القانونية إلى مصدر تهديد لحقوق المتقاضين وكرامة المهنة</w:t>
      </w:r>
      <w:r>
        <w:rPr>
          <w:rFonts w:asciiTheme="majorBidi" w:hAnsiTheme="majorBidi" w:cstheme="majorBidi"/>
          <w:color w:val="000000" w:themeColor="text1"/>
          <w:sz w:val="24"/>
          <w:szCs w:val="24"/>
        </w:rPr>
        <w:t>.</w:t>
      </w:r>
    </w:p>
    <w:p w14:paraId="6740665F" w14:textId="77777777" w:rsidR="00957EC0" w:rsidRDefault="00957EC0" w:rsidP="00807AA1">
      <w:pPr>
        <w:jc w:val="right"/>
        <w:rPr>
          <w:rFonts w:asciiTheme="majorBidi" w:hAnsiTheme="majorBidi" w:cstheme="majorBidi"/>
          <w:color w:val="000000" w:themeColor="text1"/>
          <w:sz w:val="24"/>
          <w:szCs w:val="24"/>
        </w:rPr>
      </w:pPr>
    </w:p>
    <w:p w14:paraId="2CA43E9D" w14:textId="77777777" w:rsidR="00957EC0" w:rsidRPr="00D41CB7" w:rsidRDefault="00957EC0" w:rsidP="00957EC0">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الثاني</w:t>
      </w:r>
    </w:p>
    <w:p w14:paraId="3402E501" w14:textId="77777777" w:rsidR="00957EC0" w:rsidRDefault="00957EC0" w:rsidP="00957EC0">
      <w:pPr>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آثار الغياب التنظيمي للذكاء الاصطناعي على ممارسة مهنة المحاماة</w:t>
      </w:r>
    </w:p>
    <w:p w14:paraId="6E181447" w14:textId="77777777" w:rsidR="003835A4" w:rsidRPr="003835A4" w:rsidRDefault="003835A4" w:rsidP="003835A4">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كشف الواقع المهني في مكاتب المحاماة السعودية عن أن استخدام التقنيات الذكية سبق بكثير تطور النصوص التنظيمية. فالأنظمة ما تزال تتعامل مع المهنة كما لو كانت تُمارس في بيئة ورقية تقليدية، بينما انتقلت الممارسة الفعلية إلى بيئة رقمية تعتمد على منصات إلكترونية وأدوات بحث قانوني ذكية وأنظمة إدارة قضايا ونماذج تحليل وصياغة قائمة على الذكاء الاصطناعي. وقد ألقى هذا التباين بظلاله على المسؤولية المهنية، وعلى علاقة المحامي بموكله، وعلى جودة الخدمة القانونية ذاتها</w:t>
      </w:r>
      <w:r>
        <w:rPr>
          <w:rFonts w:asciiTheme="majorBidi" w:hAnsiTheme="majorBidi" w:cstheme="majorBidi"/>
          <w:color w:val="000000" w:themeColor="text1"/>
          <w:sz w:val="24"/>
          <w:szCs w:val="24"/>
        </w:rPr>
        <w:t>.</w:t>
      </w:r>
    </w:p>
    <w:p w14:paraId="2CCEDB7C"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lastRenderedPageBreak/>
        <w:t>وقد استعرض بعض الباحثين في بحوثهمما جملةً من النماذج التطبيقية لأبرز الإشكاليات التي نتجت عن غياب الإطار التنظيمي لاستخدامات الذكاء الاصطناعي، مشيرَين إلى أن هذا الغياب ألقى بظلاله على بعض الجهات في مختلف الدول. وبالنظر إلى الحالة السعودية، فإن تفاوت الممارسة في مكاتب المحاماة يُعكس بجلاء هذا الواقع، مما يستدعي تدخلًا تشريعيًا عاجلًا يُكمل التوجيهات الاسترشادية الصادرة عن سدايا بأحكام نظامية ملزمة ومتخصصة.</w:t>
      </w:r>
      <w:r>
        <w:rPr>
          <w:rStyle w:val="af"/>
          <w:rFonts w:asciiTheme="majorBidi" w:hAnsiTheme="majorBidi" w:cstheme="majorBidi"/>
          <w:sz w:val="24"/>
          <w:szCs w:val="24"/>
          <w:rtl/>
        </w:rPr>
        <w:footnoteReference w:id="144"/>
      </w:r>
    </w:p>
    <w:p w14:paraId="16C6E8E9"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اضطراب حدود المسؤولية المهنية في ظل الأدوات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تنظيم صريح لاستخدام الذكاء الاصطناعي في مكاتب المحاماة يجعل تقدير المسؤولية المهنية مسألة معقدة. فالمحامي قد يعتمد على الأنظمة الذكية في صياغة المذكرات أو تحليل الأنظمة، غير أن النظام لا يحدد متى يكون هذا الاعتماد مشروعًا، ولا متى يتحول إلى تقصير مهني. ويبين محمد شحادة إسماعيل في دراسته حول تأثير الذكاء الاصطناعي على المهن القانونية أن الاعتماد غير المنضبط على الأدوات التقنية قد يحوّل المحامي من صاحب اجتهاد مستقل إلى “ناقل” لمخرجات النظام، مما يخلق اضطرابًا خطيرًا في تحديد المسؤولية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وتزداد الحاجة إلى تحديد الحدود بين ما يعدّ اجتهادًا شخصيًا للمحامي وما يعدّ نتيجة للأداة التقنية، لأن مسؤولية المحامي في الأنظمة السعودية تُبنى على معيار “الخطأ المهني”، وهو معيار لا يمكن ضبطه دون معرفة الجانب البشري والجانب التقني في العملية المهنية. فإذا وقع خلل في التكييف أو الاستنباط نتيجة اعتماد على أداة ذكية، يصبح من غير الواضح ما إذا كانت المسؤولية تقع على المحامي، أم على مزود التقنية، أم أن النظام نفسه لا يقدم إطارًا كافيًا لتحديد هذه المسؤولية</w:t>
      </w:r>
      <w:r>
        <w:rPr>
          <w:rFonts w:asciiTheme="majorBidi" w:hAnsiTheme="majorBidi" w:cstheme="majorBidi"/>
          <w:color w:val="000000" w:themeColor="text1"/>
          <w:sz w:val="24"/>
          <w:szCs w:val="24"/>
        </w:rPr>
        <w:t>.</w:t>
      </w:r>
    </w:p>
    <w:p w14:paraId="67E1E359"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الإفصاح عن استخدام الأنظمة الذكية وتأثيره على الثقة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الأدبيات الحديثة — ومن بينها دراسة سلسلة المعرفة القانونية — أن من أبرز المخاطر المهنية الناشئة في البيئة الرقمية هو غياب الشفافية بين المحامي وموكله بشأن طريقة إنجاز العمل القانوني. فالأنظمة الذكية كثيرًا ما تتولى إعداد مسودات أو تلخيص مستندات أو إجراء تحليل قانوني، لكن الموكل لا يعلم بذلك، ولا توجد نصوص نظامية تُلزم المحامي بالإفصاح عن استخدام هذه الأدوات أو الحصول على موافقة مسبقة عند إدخال بياناته في أنظمة معالجة ذكية</w:t>
      </w:r>
      <w:r>
        <w:rPr>
          <w:rFonts w:asciiTheme="majorBidi" w:hAnsiTheme="majorBidi" w:cstheme="majorBidi"/>
          <w:color w:val="000000" w:themeColor="text1"/>
          <w:sz w:val="24"/>
          <w:szCs w:val="24"/>
        </w:rPr>
        <w:t>.</w:t>
      </w:r>
    </w:p>
    <w:p w14:paraId="5FDBA9B8" w14:textId="77777777" w:rsidR="00B16B4E" w:rsidRDefault="00000000" w:rsidP="000D4B35">
      <w:pPr>
        <w:rPr>
          <w:rFonts w:asciiTheme="majorBidi" w:hAnsiTheme="majorBidi" w:cstheme="majorBidi"/>
          <w:sz w:val="24"/>
          <w:szCs w:val="24"/>
          <w:rtl/>
        </w:rPr>
      </w:pPr>
      <w:r>
        <w:rPr>
          <w:rFonts w:asciiTheme="majorBidi" w:hAnsiTheme="majorBidi" w:cstheme="majorBidi"/>
          <w:sz w:val="24"/>
          <w:szCs w:val="24"/>
          <w:rtl/>
        </w:rPr>
        <w:t>ويُعدّ الإفصاح عن استخدام الأنظمة الذكية التزامًا مهنيًا جوهريًا، إذ يرتبط بمبدأ الشفافية وحسن النية، ويجد سنده في نظام مكافحة الجرائم المعلوماتية الصادر بالمرسوم الملكي رقم م/17 لعام 1428هـ.</w:t>
      </w:r>
      <w:r>
        <w:rPr>
          <w:rtl/>
        </w:rPr>
        <w:footnoteReference w:id="145"/>
      </w:r>
    </w:p>
    <w:p w14:paraId="090AD043" w14:textId="77777777" w:rsidR="00B16B4E" w:rsidRDefault="00000000" w:rsidP="000D4B35">
      <w:pPr>
        <w:bidi/>
        <w:jc w:val="both"/>
        <w:rPr>
          <w:rFonts w:asciiTheme="majorBidi" w:hAnsiTheme="majorBidi" w:cstheme="majorBidi"/>
          <w:sz w:val="24"/>
          <w:szCs w:val="24"/>
          <w:rtl/>
        </w:rPr>
      </w:pPr>
      <w:r>
        <w:rPr>
          <w:rFonts w:asciiTheme="majorBidi" w:hAnsiTheme="majorBidi" w:cstheme="majorBidi"/>
          <w:sz w:val="24"/>
          <w:szCs w:val="24"/>
          <w:rtl/>
        </w:rPr>
        <w:t>وتُدعم هذه النتيجة بما أكده بعض الباحثين من أن أنظمة المسؤولية المدنية في المملكة العربية السعودية تفتقر إلى نصوص صريحة تُنظّم توزيع المسؤولية عند الأضرار الناجمة عن استخدام تقنيات الذكاء الاصطناعي في الخدمات القانونية، مما يُفضي إلى اعتماد القضاء على القياس والتفسير التوسعي للقواعد العامة، مع ما ينطوي عليه ذلك من حالة عدم يقين قانوني تضرّ باستقرار المعاملات وتُضعف الثقة في منظومة تقديم الخدمات القانونية الرقمية.</w:t>
      </w:r>
      <w:r>
        <w:rPr>
          <w:rStyle w:val="af"/>
          <w:rFonts w:asciiTheme="majorBidi" w:hAnsiTheme="majorBidi" w:cstheme="majorBidi"/>
          <w:sz w:val="24"/>
          <w:szCs w:val="24"/>
          <w:rtl/>
        </w:rPr>
        <w:footnoteReference w:id="146"/>
      </w:r>
    </w:p>
    <w:p w14:paraId="7EE45AB3"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ويؤدي هذا الغياب في النصوص إلى هشاشة واضحة في مركز الموكل، لأن الثقة في مكتب المحامي تقوم تقليديًا على افتراض أن العمل المهني يتم بواسطة اجتهاد بشري مباشر. أما في البيئة الرقمية، فقد يُبنى قرار مهم أو يُقدم رأي قانوني معتمد على مخرجات نظام تقني دون علم الموكل أو دون قدر كافٍ من الرقابة البشرية. وفي حال ترتب ضرر نتيجة خطأ تقني أو ضعف أمان المنصة، يجد الموكل نفسه دون وسيلة واضحة للاعتراض أو المساءلة</w:t>
      </w:r>
      <w:r>
        <w:rPr>
          <w:rFonts w:asciiTheme="majorBidi" w:hAnsiTheme="majorBidi" w:cstheme="majorBidi"/>
          <w:color w:val="000000" w:themeColor="text1"/>
          <w:sz w:val="24"/>
          <w:szCs w:val="24"/>
        </w:rPr>
        <w:t>.</w:t>
      </w:r>
    </w:p>
    <w:p w14:paraId="1978865B"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ويتعمق هذا الأثر السلبي عندما تتعامل مكاتب المحاماة مع قواعد بيانات حساسة تتضمن معلومات شخصية وتجارية وقضائية تُرفع أحيانًا إلى أنظمة سحابية أو منصات ذكاء اصطناعي لأغراض التحليل أو الإدارة. وتشير الدراسات — ومنها دراسة سلسلة المعرفة القانونية — إلى أن أبرز ما يهدد المهن القانونية في البيئة الرقمية هو تآكل مركز “الموثوقية المطلقة” التي تتمتع بها مكاتب المحاماة. وفي ظل غياب قواعد مهنية خاصة بالمعالجة التقنية للبيانات داخل المكاتب، قد يعتمد المحامي على منصات غير آمنة أو مجانية دون إدراك حجم المخاطر أو طبيعة الجهات التي يمكنها الوصول إلى البيانات</w:t>
      </w:r>
      <w:r>
        <w:rPr>
          <w:rFonts w:asciiTheme="majorBidi" w:hAnsiTheme="majorBidi" w:cstheme="majorBidi"/>
          <w:color w:val="000000" w:themeColor="text1"/>
          <w:sz w:val="24"/>
          <w:szCs w:val="24"/>
        </w:rPr>
        <w:t>.</w:t>
      </w:r>
    </w:p>
    <w:p w14:paraId="3FC71851"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أن نظام حماية البيانات الشخصية يضع إطارًا عامًا للحماية، فإن عدم الربط بينه وبين تنظيم مهنة المحاماة يترك الموكل دون آلية واضحة لمساءلة المحامي عن خياراته التقنية. فغياب التنظيم لا يمس فقط الجانب الفني، بل يصل إلى جوهر العلاقة المهنية، ويجعل الثقة بين المحامي وموكله أكثر هشاشة في ظل الأدوات الذكية</w:t>
      </w:r>
      <w:r>
        <w:rPr>
          <w:rFonts w:asciiTheme="majorBidi" w:hAnsiTheme="majorBidi" w:cstheme="majorBidi"/>
          <w:color w:val="000000" w:themeColor="text1"/>
          <w:sz w:val="24"/>
          <w:szCs w:val="24"/>
        </w:rPr>
        <w:t>.</w:t>
      </w:r>
    </w:p>
    <w:p w14:paraId="53FCAB4C" w14:textId="77777777" w:rsidR="003835A4" w:rsidRPr="003835A4" w:rsidRDefault="003835A4" w:rsidP="003835A4">
      <w:pPr>
        <w:jc w:val="right"/>
        <w:rPr>
          <w:rFonts w:asciiTheme="majorBidi" w:hAnsiTheme="majorBidi" w:cstheme="majorBidi"/>
          <w:color w:val="000000" w:themeColor="text1"/>
          <w:sz w:val="24"/>
          <w:szCs w:val="24"/>
          <w:rtl/>
        </w:rPr>
      </w:pPr>
    </w:p>
    <w:p w14:paraId="1F447494"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ثالثًا: تفاوت حاد في جودة الخدمات القانونية بين المكاتب</w:t>
      </w:r>
    </w:p>
    <w:p w14:paraId="20390FCF"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ويُضيف بعض الباحثين في بحوثهمما إلى هذا السياق أن انعدام قواعد اشتراطات موحدة للأدوات الذكية المستخدمة في تقديم الخدمات القانونية يُوجد فجوةً نوعيةً واضحةً بين المكاتب التي تمتلك إمكانات تقنية متقدمة وتلك التي تعمل بالأدوات التقليدية، وهو تفاوت يُلقي بظلاله على مبدأ المساواة في تلقّي الخدمة القانونية ويطرح تساؤلات جدية حول واجب المحامي تجاه موكله في ظل هذه الفجوة الرقمية.</w:t>
      </w:r>
      <w:r>
        <w:rPr>
          <w:rStyle w:val="af"/>
          <w:rFonts w:asciiTheme="majorBidi" w:hAnsiTheme="majorBidi" w:cstheme="majorBidi"/>
          <w:sz w:val="24"/>
          <w:szCs w:val="24"/>
          <w:rtl/>
        </w:rPr>
        <w:footnoteReference w:id="147"/>
      </w:r>
    </w:p>
    <w:p w14:paraId="48203AF6"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الفراغ التنظيمي في مجال الذكاء الاصطناعي داخل مكاتب المحاماة أدى عمليًا إلى خلق بيئة تنافسية غير متوازنة. فبعض المكاتب استثمرت في أدوات ذكية متقدمة، ووضعت لها سياسات داخلية، واعتمدت فرقًا قانونية قادرة على التمييز بين المخرجات التقنية المقبولة وتلك التي تحتاج إلى مراجعة عميقة، بينما لجأت مكاتب أخرى إلى استعمال أدوات مجانية أو بدائية، أو امتنعت عن استخدام التقنية تمامًا خوفًا من المسؤولية أو الجهل بضوابطها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مجلة العدالة في بحثها حول المسؤولية عن الذكاء الاصطناعي تشير إلى أن غياب المعايير المهنية التقنية يؤدي إلى “فوضى في الجودة” داخل السوق القانوني؛ فموكلان في قضيتين متشابهتين قد يحصلان على مستوى مختلف جذريًا من الخدمة لمجرد اختلاف سياسة المكتب تجاه التقنية، لا لاختلاف في الكفاءة العلمية للمحامين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بعض الباحثين</w:t>
      </w:r>
      <w:r>
        <w:rPr>
          <w:rStyle w:val="af"/>
          <w:rFonts w:asciiTheme="majorBidi" w:hAnsiTheme="majorBidi" w:cstheme="majorBidi"/>
          <w:sz w:val="24"/>
          <w:szCs w:val="24"/>
          <w:rtl/>
        </w:rPr>
        <w:footnoteReference w:id="148"/>
      </w:r>
      <w:r>
        <w:rPr>
          <w:rFonts w:asciiTheme="majorBidi" w:hAnsiTheme="majorBidi" w:cstheme="majorBidi"/>
          <w:sz w:val="24"/>
          <w:szCs w:val="24"/>
          <w:rtl/>
        </w:rPr>
        <w:t>، في بحثه عن حماية التصرفات القانونية وإثباتها عبر تطبيقات الذكاء الاصطناعي، يلفت النظر إلى أن المكاتب التي تحسن توظيف التقنية ضمن ضوابط منهجية تحقق جودة أعلى وسرعة أكبر في الإنجاز، لكن في غياب تنظيم مهني، قد تُتهم هذه المكاتب بالتفريط في السرية أو الاعتماد المفرط على الآلات، في حين لا يُحاسب من يستخدم التقنية بشكل عشوائي أو غير آمن. هذا التناقض يضعف فكرة المنافسة العادلة، ويجعل تطور الجودة مرتبطًا باجتهاد كل مكتب لا بإطار عام يضمن حدًا أدنى من الممارسة التقنية المسؤولة</w:t>
      </w:r>
      <w:r>
        <w:rPr>
          <w:rFonts w:asciiTheme="majorBidi" w:hAnsiTheme="majorBidi" w:cstheme="majorBidi"/>
          <w:sz w:val="24"/>
          <w:szCs w:val="24"/>
        </w:rPr>
        <w:t>.</w:t>
      </w:r>
    </w:p>
    <w:p w14:paraId="1782C324"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رابعًا: تضارب في الممارسة بين القضاء والمكاتب بسبب غياب قواعد واضحة للأدلة الذكية</w:t>
      </w:r>
    </w:p>
    <w:p w14:paraId="0E84F268"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المحاكم السعودية تشهد توسعًا مستمرًا في الاعتماد على الأنظمة الإلكترونية ومنصات التقاضي، لكن هذا التطور لم يُرافقه تنظيم تفصيلي لمكانة المذكرات أو التقارير أو الملخصات التي تنتج عن أنظمة الذكاء الاصطناعي داخل مكاتب المحاماة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مجلة الشريعة والقانون</w:t>
      </w:r>
      <w:r>
        <w:rPr>
          <w:rStyle w:val="af"/>
          <w:rFonts w:asciiTheme="majorBidi" w:hAnsiTheme="majorBidi" w:cstheme="majorBidi"/>
          <w:sz w:val="24"/>
          <w:szCs w:val="24"/>
          <w:rtl/>
        </w:rPr>
        <w:footnoteReference w:id="149"/>
      </w:r>
      <w:r>
        <w:rPr>
          <w:rFonts w:asciiTheme="majorBidi" w:hAnsiTheme="majorBidi" w:cstheme="majorBidi"/>
          <w:sz w:val="24"/>
          <w:szCs w:val="24"/>
          <w:rtl/>
        </w:rPr>
        <w:t xml:space="preserve"> في دراستها عن الذكاء الاصطناعي والعمل القضائي تؤكد أن القاضي أصبح يتلقى اليوم مذكرات قد أُعدت جزئيًا أو كليًا بمساعدة أدوات ذكية، دون أن يكون ملزمًا بمعيار محدد في تقييمها: هل يُعطيها ذات الوزن الذي يعطيه للمذكرة التقليدية؟ هل يطالب المحامي بالإفصاح عن طريقة إعدادها؟ هل يحق له </w:t>
      </w:r>
      <w:r>
        <w:rPr>
          <w:rFonts w:asciiTheme="majorBidi" w:hAnsiTheme="majorBidi" w:cstheme="majorBidi"/>
          <w:sz w:val="24"/>
          <w:szCs w:val="24"/>
          <w:rtl/>
        </w:rPr>
        <w:lastRenderedPageBreak/>
        <w:t>التشكيك في دقتها بسبب مصدرها التقني؟</w:t>
      </w:r>
      <w:r>
        <w:rPr>
          <w:rFonts w:asciiTheme="majorBidi" w:hAnsiTheme="majorBidi" w:cstheme="majorBidi"/>
          <w:sz w:val="24"/>
          <w:szCs w:val="24"/>
        </w:rPr>
        <w:br/>
      </w:r>
      <w:r>
        <w:rPr>
          <w:rFonts w:asciiTheme="majorBidi" w:hAnsiTheme="majorBidi" w:cstheme="majorBidi"/>
          <w:sz w:val="24"/>
          <w:szCs w:val="24"/>
          <w:rtl/>
        </w:rPr>
        <w:t>في ظل غياب تنظيم خاص، يصبح تعامل القضاة مع هذه المخرجات رهينًا للاجتهاد الفردي؛ فبعضهم يتوجس من الاعتماد على نصوص معدة بواسطة أنظمة ذكية، فيتشدّد في تقدير حجيتها، بينما قد يقبل آخر بها ما دامت صادرة عن محامٍ مرخَّص. هذا التضارب ينعكس مباشرة على مكاتب المحاماة؛ إذ تجد نفسها أمام بيئة قضائية غير متجانسة في استقبال الأدوات الحديثة، مما يجعل الاستثمار في الذكاء الاصطناعي مخاطرة مهنية غير محسوبة في بعض الأحيان</w:t>
      </w:r>
      <w:r>
        <w:rPr>
          <w:rFonts w:asciiTheme="majorBidi" w:hAnsiTheme="majorBidi" w:cstheme="majorBidi"/>
          <w:sz w:val="24"/>
          <w:szCs w:val="24"/>
        </w:rPr>
        <w:t>.</w:t>
      </w:r>
    </w:p>
    <w:p w14:paraId="1D542759"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وفي هذا الصدد، نبّهت رسالة بالل (2023م) إلى أن غياب النص الصريح يفتح المجال لتقدير قضائي مطلق في قبول مخرجات الأنظمة الذكية أو ردّها، وهو ما يخلق تفاوتًا في معاملة المتقاضين يتعارض مع مبدأ المساواة أمام القضاء المكفول بموجب الأنظمة الأساسية للحكم في المملكة العربية السعودية.</w:t>
      </w:r>
      <w:r>
        <w:rPr>
          <w:rtl/>
        </w:rPr>
        <w:footnoteReference w:id="150"/>
      </w:r>
    </w:p>
    <w:p w14:paraId="40763136"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ويُسند ذلك ما أورده محمود وعناني (د.ت) من أن القضاة في المحاكم المدنية التي تستخدم الأنظمة الذكية يجدون أنفسهم أمام مفارقة منهجية: فهم يُدركون أن المذكرة المعدّة بمساعدة الذكاء الاصطناعي قد تكون أكثر استيعابًا وتوثيقًا من المذكرة التقليدية، لكنهم في الوقت ذاته يفتقرون إلى معيار نظامي يضبط طريقة قبولها وتقييمها.</w:t>
      </w:r>
      <w:r>
        <w:rPr>
          <w:rtl/>
        </w:rPr>
        <w:footnoteReference w:id="151"/>
      </w:r>
    </w:p>
    <w:p w14:paraId="114AC115"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خامسًا: تشجيع الممارسات غير الرسمية والالتفاف على غياب التنظيم</w:t>
      </w:r>
    </w:p>
    <w:p w14:paraId="7BDDFBA5"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وقد رصدت دراسة إسماعيل (2025م) نمطًا متكررًا في أوساط المحامين العرب المستخدمين للذكاء الاصطناعي يتمثل في الالتفاف على الغياب التنظيمي عبر تبني ممارسات غير رسمية تعوّض النص الغائب، وهو نمط يُفضي وإن بدا عمليًا في المدى القصير إلى تضارب السوابق المهنية وانعدام معيار موحّد للجودة والمساءلة.</w:t>
      </w:r>
      <w:r>
        <w:rPr>
          <w:rtl/>
        </w:rPr>
        <w:footnoteReference w:id="152"/>
      </w:r>
    </w:p>
    <w:p w14:paraId="0E0BF1EA"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حين لا يضع المشرّع إطارًا واضحًا لاستخدام الذكاء الاصطناعي في المهنة، تتولد تلقائيًا ممارسات غير رسمية تحاول ملء الفراغ. ففي الواقع العملي، قد يلجأ بعض المحامين إلى استخدام أدوات خارجية غير مصرّح بها، أو إلى تفويض جزء من العمل القانوني إلى أنظمة آلية دون إخبار الموكل بذلك، أو إلى الاعتماد على قوالب معدة تقنيًا وإعادة تمريرها دون مراجعة كافية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دراسة “الذكاء الاصطناعي والآثار القانونية المترتبة عن استخدامه” المنشورة في إحدى المجلات العلمية تبيّن أن غياب التنظيم لا يؤدي إلى توقف استخدام التقنية، بل إلى استخدامها في “ظل المنطقة الرمادية”، حيث لا توجد رقابة واضحة ولا شفافية كافية. وفي هذه البيئة، يصبح من الصعب على الموكل، بل وعلى الجهات الرقابية، الكشف عن مدى التزام المكتب بمعايير مهنية سليمة في توظيف الذكاء الاصطناعي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هذه الممارسات غير الرسمية قد تتسع مع الوقت لتشكّل عرفًا تقنيًا غير مكتوب داخل المهنة، وهو أمر بالغ الخطورة؛ لأن الأعراف التي تتكون بعيدًا عن عين التنظيم والرقابة قد تكرّس أنماطًا من السلوك لا تنسجم مع رسالة العدالة، مثل تغليب السرعة على الجودة، أو التضحية بسرية البيانات في مقابل تقليل التكلفة</w:t>
      </w:r>
      <w:r>
        <w:rPr>
          <w:rFonts w:asciiTheme="majorBidi" w:hAnsiTheme="majorBidi" w:cstheme="majorBidi"/>
          <w:sz w:val="24"/>
          <w:szCs w:val="24"/>
        </w:rPr>
        <w:t>.</w:t>
      </w:r>
    </w:p>
    <w:p w14:paraId="7B4C52FB" w14:textId="77777777" w:rsidR="000003D3" w:rsidRDefault="000003D3" w:rsidP="000D4B35">
      <w:pPr>
        <w:jc w:val="right"/>
        <w:rPr>
          <w:rFonts w:asciiTheme="majorBidi" w:hAnsiTheme="majorBidi" w:cstheme="majorBidi"/>
          <w:b/>
          <w:bCs/>
          <w:sz w:val="24"/>
          <w:szCs w:val="24"/>
          <w:rtl/>
        </w:rPr>
      </w:pPr>
      <w:r>
        <w:rPr>
          <w:rFonts w:asciiTheme="majorBidi" w:hAnsiTheme="majorBidi" w:cstheme="majorBidi"/>
          <w:b/>
          <w:bCs/>
          <w:sz w:val="24"/>
          <w:szCs w:val="24"/>
          <w:rtl/>
        </w:rPr>
        <w:t>سادسًا: إضعاف ثقة المتعاملين في التحول العدلي الرقمي</w:t>
      </w:r>
    </w:p>
    <w:p w14:paraId="3A185122"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 تحليل آليات استعادة الثقة المهزوزة، اقترح بعض الباحثين منظومة شفافية قضائية رقمية تُلزم الجهات القضائية بالإفصاح عن الأنظمة الذكية التي توظّفها، وتُوفر للمتقاضين ملخصاً مبسطاً عن آليات عمل هذه </w:t>
      </w:r>
      <w:r>
        <w:rPr>
          <w:rFonts w:asciiTheme="majorBidi" w:hAnsiTheme="majorBidi" w:cstheme="majorBidi"/>
          <w:sz w:val="24"/>
          <w:szCs w:val="24"/>
          <w:rtl/>
        </w:rPr>
        <w:lastRenderedPageBreak/>
        <w:t>الأنظمة وحدودها، وتُتيح آلية للطعن في قراءة النظام إذا رأى المتقاضي أن النتيجة الخوارزمية انطوت على تحيز غير مبرر.</w:t>
      </w:r>
      <w:r>
        <w:rPr>
          <w:rtl/>
        </w:rPr>
        <w:footnoteReference w:id="153"/>
      </w:r>
    </w:p>
    <w:p w14:paraId="51ED5932"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وفيما يخص علاقة الثقة بالتحول العدلي الرقمي، رصد بعض الباحثين أن استطلاعات الرأي المعتمدة في عدد من الدول الخليجية تُشير إلى أن ما نسبته 60% من المتقاضين لا يعلمون باستخدام الذكاء الاصطناعي في معالجة ملفاتهم القضائية، وأن هذا الجهل لا يعكس رضا بالأمر الواقع، بل مجرد انعدام الإفصاح من جهات التقاضي، وهو ما يُهدد الثقة بمنظومة العدالة حين يُكشف عنه لاحقاً.</w:t>
      </w:r>
      <w:r>
        <w:rPr>
          <w:rtl/>
        </w:rPr>
        <w:footnoteReference w:id="154"/>
      </w:r>
    </w:p>
    <w:p w14:paraId="1983B6D2"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وفي سياق إضعاف الثقة المرتبط بالتحول العدلي الرقمي، لفتت الجلعود إلى أن انعدام الشفافية في آليات عمل أنظمة الذكاء الاصطناعي المستخدمة في القضاء يُشكّل عائقاً نفسياً وقانونياً أمام قبول المتقاضين لمخرجاتها؛ إذ يصعب على الخصم أن يُفنّد حكماً إذا كانت المعطيات التي بُني عليها مُخفاة داخل صندوق أسود خوارزمي لا يمكن فحصه.</w:t>
      </w:r>
      <w:r>
        <w:rPr>
          <w:rtl/>
        </w:rPr>
        <w:footnoteReference w:id="155"/>
      </w:r>
    </w:p>
    <w:p w14:paraId="6D096017"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أحد أهم أهداف التحول الرقمي في العدالة هو تعزيز ثقة الأفراد في أن البيئة الإلكترونية لا تقل أمانًا وكفاءة عن البيئة التقليدية، بل قد تتفوق عليها بفضل قدرتها على توحيد الإجراءات وتحسين جودة الخدمات وسرعة الوصول إليها. غير أن غياب تنظيم واضح لاستخدام الذكاء الاصطناعي في مكاتب المحاماة يهدد هذا الهدف من الداخل؛ إذ إن إحساس المتقاضين بأن التقنية قد تشكل خطرًا على سرية بياناتهم، أو أن المسؤولية المهنية غير واضحة عند وقوع الخطأ، أو أن جودة الخدمة تختلف باختلاف الأدوات الذكية المستخدمة، يؤدي إلى اهتزاز الثقة بالعدالة الرقمية نفسها</w:t>
      </w:r>
      <w:r>
        <w:rPr>
          <w:rFonts w:asciiTheme="majorBidi" w:hAnsiTheme="majorBidi" w:cstheme="majorBidi"/>
          <w:sz w:val="24"/>
          <w:szCs w:val="24"/>
        </w:rPr>
        <w:t>.</w:t>
      </w:r>
    </w:p>
    <w:p w14:paraId="1BB84F57"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وتشير دراسات منشورة في مجلة العدالة وعدد من المجلات القانونية المتخصصة في الذكاء الاصطناعي إلى أن ثقة الجمهور في المهن القانونية ترتبط بوضوح معايير العمل أكثر من ارتباطها بتطور أدوات العمل. فالإنسان لا يخشى الأداة التقنية بحد ذاتها، بل يخشى استخدامًا غير منضبط أو غير خاضع للمساءلة. ومن ثم، فإن إدخال الذكاء الاصطناعي في بيئة مهنية تفتقر إلى تنظيم واضح قد يجعله عنصرًا مقلقًا بدلًا من أن يكون عنصرًا داعمًا للثقة</w:t>
      </w:r>
      <w:r>
        <w:rPr>
          <w:rFonts w:asciiTheme="majorBidi" w:hAnsiTheme="majorBidi" w:cstheme="majorBidi"/>
          <w:sz w:val="24"/>
          <w:szCs w:val="24"/>
        </w:rPr>
        <w:t>.</w:t>
      </w:r>
    </w:p>
    <w:p w14:paraId="08C86F30"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وفي هذا السياق، تبرز الحاجة الملحّة إلى تضمين معايير الشفافية والسرية والأمان ضمن التنظيمات المهنية لمكاتب المحاماة؛ فهذه المعايير لا تُعدّ قيمًا أخلاقية فحسب، بل هي متطلبات تقنية وقانونية ضرورية لضمان ثقة المتعاملين في الأنظمة العدلية الرقمية. فالشفافية تضمن معرفة الموكل بكيفية استخدام بياناته وبالأدوات التقنية المشاركة في إنجاز عمله، والسرية تعزز حماية المعلومات الحساسة من التسرب والاستخدام غير المشروع، بينما يوفّر الأمان التقني ضمانات تمنع إساءة الاستخدام أو التلاعب بالمخرجات الذكية</w:t>
      </w:r>
      <w:r>
        <w:rPr>
          <w:rFonts w:asciiTheme="majorBidi" w:hAnsiTheme="majorBidi" w:cstheme="majorBidi"/>
          <w:sz w:val="24"/>
          <w:szCs w:val="24"/>
        </w:rPr>
        <w:t>.</w:t>
      </w:r>
    </w:p>
    <w:p w14:paraId="0C5E28DB" w14:textId="77777777" w:rsidR="004F7A59" w:rsidRPr="004F7A59" w:rsidRDefault="004F7A59" w:rsidP="000D4B35">
      <w:pPr>
        <w:jc w:val="right"/>
        <w:rPr>
          <w:rFonts w:asciiTheme="majorBidi" w:hAnsiTheme="majorBidi" w:cstheme="majorBidi"/>
          <w:b/>
          <w:bCs/>
          <w:sz w:val="24"/>
          <w:szCs w:val="24"/>
        </w:rPr>
      </w:pPr>
      <w:r>
        <w:rPr>
          <w:rFonts w:asciiTheme="majorBidi" w:hAnsiTheme="majorBidi" w:cstheme="majorBidi"/>
          <w:sz w:val="24"/>
          <w:szCs w:val="24"/>
          <w:rtl/>
        </w:rPr>
        <w:t>إن غياب هذه المعايير ضمن إطار تنظيمي واضح يؤدي إلى نتائج عملية بالغة الخطورة؛ إذ يربك معايير المسؤولية المهنية، ويضعف حماية الموكل، ويخلق تفاوتًا كبيرًا في جودة الخدمات القانونية، ويفتح الباب أمام تباين في تعامل القضاء مع المخرجات الذكية، وقد يشجع ممارسات تقنية غير رسمية تضر بالعدالة. وهذه النتائج مجتمعة تُبرز ضرورة بناء إطار نظامي ومهني شامل ينظم توظيف الذكاء الاصطناعي في مهنة المحاماة، ويرسّخ مبادئ الشفافية والسرية والأمان كمتطلبات أساسية لضمان ثقة المجتمع في العدالة الرقمية</w:t>
      </w:r>
      <w:r>
        <w:rPr>
          <w:rFonts w:asciiTheme="majorBidi" w:hAnsiTheme="majorBidi" w:cstheme="majorBidi"/>
          <w:b/>
          <w:bCs/>
          <w:sz w:val="24"/>
          <w:szCs w:val="24"/>
        </w:rPr>
        <w:t>.</w:t>
      </w:r>
    </w:p>
    <w:p w14:paraId="135217AD" w14:textId="77777777" w:rsidR="004F7A59" w:rsidRDefault="004F7A59" w:rsidP="000D4B35">
      <w:pPr>
        <w:jc w:val="right"/>
        <w:rPr>
          <w:rFonts w:asciiTheme="majorBidi" w:hAnsiTheme="majorBidi" w:cstheme="majorBidi"/>
          <w:b/>
          <w:bCs/>
          <w:sz w:val="24"/>
          <w:szCs w:val="24"/>
        </w:rPr>
      </w:pPr>
    </w:p>
    <w:p w14:paraId="4F631194" w14:textId="77777777" w:rsidR="00E82B9E" w:rsidRDefault="00E82B9E" w:rsidP="000D4B35">
      <w:pPr>
        <w:jc w:val="right"/>
        <w:rPr>
          <w:rFonts w:asciiTheme="majorBidi" w:hAnsiTheme="majorBidi" w:cstheme="majorBidi"/>
          <w:b/>
          <w:bCs/>
          <w:sz w:val="24"/>
          <w:szCs w:val="24"/>
        </w:rPr>
      </w:pPr>
    </w:p>
    <w:p w14:paraId="26A62A6B" w14:textId="77777777" w:rsidR="00E82B9E" w:rsidRPr="000003D3" w:rsidRDefault="00E82B9E" w:rsidP="000D4B35">
      <w:pPr>
        <w:jc w:val="right"/>
        <w:rPr>
          <w:rFonts w:asciiTheme="majorBidi" w:hAnsiTheme="majorBidi" w:cstheme="majorBidi"/>
          <w:b/>
          <w:bCs/>
          <w:sz w:val="24"/>
          <w:szCs w:val="24"/>
        </w:rPr>
      </w:pPr>
    </w:p>
    <w:p w14:paraId="4FB60191"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وخلاصة ما أسفر عنه هذا المبحث،</w:t>
      </w:r>
      <w:r>
        <w:rPr>
          <w:rFonts w:asciiTheme="majorBidi" w:hAnsiTheme="majorBidi" w:cstheme="majorBidi"/>
          <w:sz w:val="24"/>
          <w:szCs w:val="24"/>
          <w:rtl/>
        </w:rPr>
        <w:t xml:space="preserve"> يتبيّن من خلال التحليل المتعمق لنصوص نظام المحاماة والأنظمة المكملة له، مقرونًا بدراسة واقع الممارسة في مكاتب المحاماة السعودية، أن المنظومة النظامية الحالية ما زالت تُدار بذهنية تشريعية سابقة للتحول الرقمي، في حين أن الممارسة المهنية قد تجاوزت هذا الإطار ودخلت مرحلة جديدة تقوم على الأدوات الذكية، والمنصات الرقمية، والتحليل التقني للمعلومات القانونية. ويُعد هذا التباين بين النص النظامي والواقع العملي جوهر الفجوة التنظيمية التي تناولها هذا المبحث، إذ أصبح الواقع المهني يتحرك بوتيرة أسرع من قدرة النصوص القائمة على الاستيعاب والتنظيم</w:t>
      </w:r>
      <w:r>
        <w:rPr>
          <w:rFonts w:asciiTheme="majorBidi" w:hAnsiTheme="majorBidi" w:cstheme="majorBidi"/>
          <w:sz w:val="24"/>
          <w:szCs w:val="24"/>
        </w:rPr>
        <w:t>.</w:t>
      </w:r>
    </w:p>
    <w:p w14:paraId="14670872" w14:textId="77777777" w:rsidR="00D57654" w:rsidRDefault="00000000" w:rsidP="007C2A87">
      <w:pPr>
        <w:jc w:val="right"/>
        <w:rPr>
          <w:rFonts w:asciiTheme="majorBidi" w:hAnsiTheme="majorBidi" w:cstheme="majorBidi"/>
          <w:sz w:val="24"/>
          <w:szCs w:val="24"/>
          <w:rtl/>
        </w:rPr>
      </w:pPr>
      <w:r>
        <w:rPr>
          <w:rFonts w:asciiTheme="majorBidi" w:hAnsiTheme="majorBidi" w:cstheme="majorBidi"/>
          <w:sz w:val="24"/>
          <w:szCs w:val="24"/>
          <w:rtl/>
        </w:rPr>
        <w:t>وخلاصةً لما أسفر عنه هذا المبحث، يرى بعض الباحثين أن منظومة الذكاء الاصطناعي القضائي تحتاج في المرحلة الراهنة إلى مقاربة ثلاثية الأبعاد: بُعد التشريع التدريجي الذي يُواكب التطور التقني، وبُعد التأهيل المهني الذي يُكسب القضاة والمحامين والمتقاضين الوعي الكافي، وبُعد التقييم المستقل الدوري الذي يُخضع الأنظمة الذكية المستخدمة لمراجعة موضوعية منتظمة.</w:t>
      </w:r>
      <w:r>
        <w:rPr>
          <w:rtl/>
        </w:rPr>
        <w:footnoteReference w:id="156"/>
      </w:r>
    </w:p>
    <w:p w14:paraId="4FBBBF0D" w14:textId="77777777" w:rsidR="00D57654" w:rsidRDefault="00000000" w:rsidP="007C2A87">
      <w:pPr>
        <w:jc w:val="right"/>
        <w:rPr>
          <w:rFonts w:asciiTheme="majorBidi" w:hAnsiTheme="majorBidi" w:cstheme="majorBidi"/>
          <w:sz w:val="24"/>
          <w:szCs w:val="24"/>
          <w:rtl/>
        </w:rPr>
      </w:pPr>
      <w:r>
        <w:rPr>
          <w:rFonts w:asciiTheme="majorBidi" w:hAnsiTheme="majorBidi" w:cstheme="majorBidi"/>
          <w:sz w:val="24"/>
          <w:szCs w:val="24"/>
          <w:rtl/>
        </w:rPr>
        <w:t>وخلاصةً لمحاور هذا المبحث، أكد بعض الباحثين أن غياب منظومة تشريعية متسقة في مسألة الذكاء الاصطناعي القانوني يُولّد ثلاثة مخاطر متداخلة: خطر التحيز في المعالجة الآلية، وخطر انعدام المساءلة عن أخطاء النظام، وخطر التمييز غير المقصود في الخدمات القانونية حين تُعتمد نماذج غير محايدة في التصنيف والتنبؤ، وأن التشريع الفعّال هو وحده الكفيل بمعالجة هذه المخاطر الثلاثة بصورة منهجية.</w:t>
      </w:r>
      <w:r>
        <w:rPr>
          <w:rtl/>
        </w:rPr>
        <w:footnoteReference w:id="157"/>
      </w:r>
    </w:p>
    <w:p w14:paraId="709D340E"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وقد أظهر التحليل في هذا السياق</w:t>
      </w:r>
      <w:r>
        <w:rPr>
          <w:rFonts w:asciiTheme="majorBidi" w:hAnsiTheme="majorBidi" w:cstheme="majorBidi"/>
          <w:sz w:val="24"/>
          <w:szCs w:val="24"/>
          <w:rtl/>
        </w:rPr>
        <w:t xml:space="preserve"> أن نظام المحاماة السعودي، رغم صلابته في تنظيم الجوانب التقليدية للمهنة، لم يواكب التطور التقني من حيث المفاهيم والنصوص، إذ ما زال ينظر إلى المحامي بوصفه فاعلًا بشريًا محضًا، ويفترض أن أدواته مادية وتقليدية، دون إدراج أي تعريف أو تنظيم للأدوات الذكية التي أصبحت اليوم عنصرًا جوهريًا في العمل القانوني. وقد أفضى هذا الصمت التشريعي إلى غموض مفاهيمي واسع، تمثل في عدم وضوح طبيعة الأنظمة الذكية المستخدمة في الممارسة المهنية، ومركزها القانوني، وحدود مسؤوليتها عند وقوع الخطأ، فضلًا عن ضعف الربط المؤسسي بين الأنظمة ذات العلاقة، مثل نظام حماية البيانات الشخصية، ونظام مكافحة الجرائم المعلوماتية، ونظام المعاملات المدنية، بما يحقق التكامل المطلوب في تنظيم الذكاء الاصطناعي المهني. ونتيجة لذلك، تجاوزت الممارسة النص، فأصبح المحامي يوظف أدوات الذكاء الاصطناعي في البحث والتحليل والصياغة، في ظل غياب إطار نظامي يضبط هذا الاستخدام أو يوجهه</w:t>
      </w:r>
      <w:r>
        <w:rPr>
          <w:rFonts w:asciiTheme="majorBidi" w:hAnsiTheme="majorBidi" w:cstheme="majorBidi"/>
          <w:sz w:val="24"/>
          <w:szCs w:val="24"/>
        </w:rPr>
        <w:t>.</w:t>
      </w:r>
    </w:p>
    <w:p w14:paraId="59E2F139" w14:textId="77777777" w:rsidR="00D57654" w:rsidRDefault="00000000" w:rsidP="000D4B35">
      <w:pPr>
        <w:rPr>
          <w:rFonts w:asciiTheme="majorBidi" w:hAnsiTheme="majorBidi" w:cstheme="majorBidi"/>
          <w:sz w:val="24"/>
          <w:szCs w:val="24"/>
          <w:rtl/>
        </w:rPr>
      </w:pPr>
      <w:r>
        <w:rPr>
          <w:rFonts w:asciiTheme="majorBidi" w:hAnsiTheme="majorBidi" w:cstheme="majorBidi"/>
          <w:sz w:val="24"/>
          <w:szCs w:val="24"/>
          <w:rtl/>
        </w:rPr>
        <w:t>وفي سياق التحليل الاجتماعي والنفسي، كشفت عبد الرحمن أن مفهوم الثقة في العدالة الرقمية ينقسم إلى بُعدين: ثقة إجرائية تتعلق بنزاهة الإجراءات وشفافيتها، وثقة نتيجية تتعلق بعدالة الأحكام الصادرة، مُشيرةً إلى أن الذكاء الاصطناعي قد يُعزز الثقة الإجرائية بفضل الاتساق والسرعة، لكنه قد يُضعف الثقة النتيجية إذا أُسيئ توظيفه أو أفرز تحيزات نظامية.</w:t>
      </w:r>
      <w:r>
        <w:rPr>
          <w:rtl/>
        </w:rPr>
        <w:footnoteReference w:id="158"/>
      </w:r>
    </w:p>
    <w:p w14:paraId="724D0686"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 xml:space="preserve">وقد أظهر التحليل الميداني المقارن الذي أجراه العطار والنوايسة أن الدول التي أفصحت مبكراً عن توظيف الذكاء الاصطناعي في منظومتها القضائية واجهت مقاومة شعبية أولية تلاشت تدريجياً حين لمس المتقاضون </w:t>
      </w:r>
      <w:r>
        <w:rPr>
          <w:rFonts w:asciiTheme="majorBidi" w:hAnsiTheme="majorBidi" w:cstheme="majorBidi"/>
          <w:sz w:val="24"/>
          <w:szCs w:val="24"/>
          <w:rtl/>
        </w:rPr>
        <w:lastRenderedPageBreak/>
        <w:t>تحسناً فعلياً في سرعة البت بالقضايا وعدالة توزيع المواعيد، مما يُشير إلى أن الشفافية والنتائج الملموسة هما الكفيلان ببناء ثقة مستدامة في العدالة الرقمية.</w:t>
      </w:r>
      <w:r>
        <w:rPr>
          <w:rtl/>
        </w:rPr>
        <w:footnoteReference w:id="159"/>
      </w:r>
    </w:p>
    <w:p w14:paraId="10003553"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وقد أظهر تحليل الأمين في هذا السياق أن مسار بناء الثقة في منظومة العدالة الرقمية يمر بثلاث محطات أساسية: محطة التشريع التي تُرسي حقوق المتقاضين إزاء استخدام الذكاء الاصطناعي، ومحطة التدريب التي تُؤهّل القضاة والمحامين لتقييم مخرجاته ونقدها، ومحطة التقييم المستقل التي تُخضع هذه الأنظمة لمراجعات دورية من جهات محايدة قبل توسيع نطاق تطبيقها.</w:t>
      </w:r>
      <w:r>
        <w:rPr>
          <w:rtl/>
        </w:rPr>
        <w:footnoteReference w:id="160"/>
      </w:r>
    </w:p>
    <w:p w14:paraId="730A6154" w14:textId="77777777" w:rsidR="00E82B9E" w:rsidRPr="00E82B9E" w:rsidRDefault="00E82B9E" w:rsidP="000F2879">
      <w:pPr>
        <w:jc w:val="right"/>
        <w:rPr>
          <w:rFonts w:asciiTheme="majorBidi" w:hAnsiTheme="majorBidi" w:cstheme="majorBidi"/>
          <w:sz w:val="24"/>
          <w:szCs w:val="24"/>
        </w:rPr>
      </w:pPr>
      <w:r>
        <w:rPr>
          <w:rFonts w:asciiTheme="majorBidi" w:hAnsiTheme="majorBidi" w:cstheme="majorBidi"/>
          <w:b/>
          <w:bCs/>
          <w:sz w:val="24"/>
          <w:szCs w:val="24"/>
          <w:rtl/>
        </w:rPr>
        <w:t>كما كشف هذا المبحث</w:t>
      </w:r>
      <w:r>
        <w:rPr>
          <w:rFonts w:asciiTheme="majorBidi" w:hAnsiTheme="majorBidi" w:cstheme="majorBidi"/>
          <w:sz w:val="24"/>
          <w:szCs w:val="24"/>
          <w:rtl/>
        </w:rPr>
        <w:t xml:space="preserve"> عن الآثار العملية المباشرة لهذا القصور على واقع الممارسة اليومية في مكاتب المحاماة، إذ انعكس غياب التنظيم على اضطراب معايير المسؤولية المهنية، فلم يعد من الواضح متى يكون الخطأ ناتجًا عن إهمال بشري، ومتى يكون نتيجة خلل تقني، ومن يتحمل تبعاته النظامية. وامتد هذا الأثر إلى ضعف حماية الموكلين وبياناتهم في ظل توسع المعالجة الرقمية دون ضوابط مهنية واضحة، الأمر الذي أضعف مركز الثقة بين الموكل ومكتبه القانوني. كما ظهر التفاوت في جودة الخدمات القانونية بين المكاتب تبعًا لاختلاف وعيها بالتقنيات أو حذرها منها، إلى جانب تضارب تعامل الجهات القضائية مع المخرجات الذكية في غياب إطار يحدد حجيتها وموقعها في منظومة الإثبات، وهو ما أفضى إلى بروز ممارسات تقنية غير رسمية تفتقر إلى الرقابة والشفافية، وأثّر سلبًا في صورة العدالة الرقمية وثقة المتعاملين بها</w:t>
      </w:r>
      <w:r>
        <w:rPr>
          <w:rFonts w:asciiTheme="majorBidi" w:hAnsiTheme="majorBidi" w:cstheme="majorBidi"/>
          <w:sz w:val="24"/>
          <w:szCs w:val="24"/>
        </w:rPr>
        <w:t>.</w:t>
      </w:r>
    </w:p>
    <w:p w14:paraId="7044CBD9"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ويُستخلص مما سبق</w:t>
      </w:r>
      <w:r>
        <w:rPr>
          <w:rFonts w:asciiTheme="majorBidi" w:hAnsiTheme="majorBidi" w:cstheme="majorBidi"/>
          <w:sz w:val="24"/>
          <w:szCs w:val="24"/>
          <w:rtl/>
        </w:rPr>
        <w:t xml:space="preserve"> أن الفجوة التنظيمية محل الدراسة لا تقتصر على قصور النصوص النظامية فحسب، بل تمثل ظاهرة مركبة ذات أبعاد تشريعية ومؤسسية ومهنية، تجمع بين صمت النظام، وغموض المفاهيم، وتعدد المرجعيات، وغياب الرقابة المتخصصة، وتراخي الأطر الأخلاقية في ضبط الممارسة التقنية. وقد أدت هذه العوامل مجتمعة إلى ممارسة مهنة المحاماة للتحول التقني دون مظلة نظامية واضحة، بما يعرّضها لمخاطر قانونية ومهنية ويقوّض مبادئ الثقة والعدالة التي تقوم عليها المهنة</w:t>
      </w:r>
      <w:r>
        <w:rPr>
          <w:rFonts w:asciiTheme="majorBidi" w:hAnsiTheme="majorBidi" w:cstheme="majorBidi"/>
          <w:sz w:val="24"/>
          <w:szCs w:val="24"/>
        </w:rPr>
        <w:t>.</w:t>
      </w:r>
    </w:p>
    <w:p w14:paraId="1A4D393F"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ومن ثمّ،</w:t>
      </w:r>
      <w:r>
        <w:rPr>
          <w:rFonts w:asciiTheme="majorBidi" w:hAnsiTheme="majorBidi" w:cstheme="majorBidi"/>
          <w:sz w:val="24"/>
          <w:szCs w:val="24"/>
          <w:rtl/>
        </w:rPr>
        <w:t xml:space="preserve"> فإن تجاوز هذه الفجوة يتطلب تبنّي رؤية إصلاحية متكاملة تجمع بين تطوير النصوص النظامية، وتعزيز دور اللوائح التنفيذية، وإنشاء أطر رقابية مهنية متخصصة، وصياغة تعريفات دقيقة للتقنيات القانونية ومخرجات الذكاء الاصطناعي، بما يفضي إلى بناء بيئة تشريعية ومؤسسية قادرة على استيعاب الممارسة الرقمية الحديثة. وعلى هذا الأساس، تمثّل نتائج هذا المبحث قاعدة منهجية للانتقال في الفصول اللاحقة إلى دراسة التكييف النظامي والفقهي للمخرجات الذكية، ثم تقديم التصور التنظيمي المقترح، بما يضمن الانتقال من مرحلة القصور التشريعي إلى مرحلة التنظيم الواعي للتحول التقني في مهنة المحاماة</w:t>
      </w:r>
      <w:r>
        <w:rPr>
          <w:rFonts w:asciiTheme="majorBidi" w:hAnsiTheme="majorBidi" w:cstheme="majorBidi"/>
          <w:sz w:val="24"/>
          <w:szCs w:val="24"/>
        </w:rPr>
        <w:t>.</w:t>
      </w:r>
    </w:p>
    <w:p w14:paraId="1F99F1A4" w14:textId="77777777" w:rsidR="000003D3" w:rsidRPr="000003D3" w:rsidRDefault="000003D3" w:rsidP="000D4B35">
      <w:pPr>
        <w:jc w:val="right"/>
        <w:rPr>
          <w:rFonts w:asciiTheme="majorBidi" w:hAnsiTheme="majorBidi" w:cstheme="majorBidi"/>
          <w:sz w:val="24"/>
          <w:szCs w:val="24"/>
        </w:rPr>
      </w:pPr>
    </w:p>
    <w:p w14:paraId="6FD7EC8E"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وفي ضوء ما تضمّنه هذا الفصل من تحليل، يتبيّن أن الإطار النظامي لمهنة المحاماة في المملكة العربية السعودية يقف اليوم على مفترق طرق بين الماضي الورقي والمستقبل الرقمي. فالنظام الذي وُضع في بدايات القرن الحالي استطاع أن يرسّخ الأسس القانونية التقليدية للمهنة من حيث الترخيص والممارسة والمسؤولية، إلا أنه لم يُبنَ على تصورٍ يستوعب التحول التقني والذكاء الاصطناعي الذي أصبح عنصرًا حتميًا في بيئة العدالة الحديثة. وقد أسفر ذلك عن بروز فجوة واضحة بين النصوص النظامية الثابتة والممارسات المهنية المتطورة التي باتت تعتمد على أدوات رقمية وأنظمة ذكية في التحليل والصياغة وإدارة القضايا</w:t>
      </w:r>
      <w:r>
        <w:rPr>
          <w:rFonts w:asciiTheme="majorBidi" w:hAnsiTheme="majorBidi" w:cstheme="majorBidi"/>
          <w:b/>
          <w:bCs/>
          <w:sz w:val="24"/>
          <w:szCs w:val="24"/>
        </w:rPr>
        <w:t>.</w:t>
      </w:r>
    </w:p>
    <w:p w14:paraId="499AE478"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 xml:space="preserve">وقد أظهر الفصل، من خلال مبحثيه، أن الأنظمة ذات العلاقة بمهنة المحاماة – كأنظمة حماية البيانات الشخصية، والإثبات، والمعاملات المدنية، والإجراءات الجزائية، والتعاملات الإلكترونية – وفّرت إطارًا عامًا </w:t>
      </w:r>
      <w:r>
        <w:rPr>
          <w:rFonts w:asciiTheme="majorBidi" w:hAnsiTheme="majorBidi" w:cstheme="majorBidi"/>
          <w:b/>
          <w:bCs/>
          <w:sz w:val="24"/>
          <w:szCs w:val="24"/>
          <w:rtl/>
        </w:rPr>
        <w:lastRenderedPageBreak/>
        <w:t>يدعم التحول العدلي الرقمي، إلا أنها لم تتضمّن بعد أحكامًا تفصيلية تضبط العلاقة بين المحامي والتقنية الذكية، ولا تحدد على نحو دقيق حدود استخدام الأدوات الرقمية في الممارسة القانونية. وفي المقابل، كشف التحليل أن هذا القصور التشريعي لم يظل حبيس النصوص، بل انعكس عمليًا على واقع مكاتب المحاماة، من حيث تضارب المسؤوليات المهنية، وتفاوت جودة الخدمات القانونية، وضعف الحماية النظامية للبيانات، وتراجع مستوى الثقة في المخرجات التقنية داخل بيئة العدالة</w:t>
      </w:r>
      <w:r>
        <w:rPr>
          <w:rFonts w:asciiTheme="majorBidi" w:hAnsiTheme="majorBidi" w:cstheme="majorBidi"/>
          <w:b/>
          <w:bCs/>
          <w:sz w:val="24"/>
          <w:szCs w:val="24"/>
        </w:rPr>
        <w:t>.</w:t>
      </w:r>
    </w:p>
    <w:p w14:paraId="563BA430" w14:textId="77777777" w:rsidR="00C41E32" w:rsidRDefault="00000000" w:rsidP="000D4B35">
      <w:pPr>
        <w:bidi/>
        <w:jc w:val="both"/>
        <w:rPr>
          <w:rFonts w:asciiTheme="majorBidi" w:hAnsiTheme="majorBidi" w:cstheme="majorBidi"/>
          <w:sz w:val="24"/>
          <w:szCs w:val="24"/>
          <w:rtl/>
        </w:rPr>
      </w:pPr>
      <w:r>
        <w:rPr>
          <w:rFonts w:asciiTheme="majorBidi" w:hAnsiTheme="majorBidi" w:cstheme="majorBidi"/>
          <w:sz w:val="24"/>
          <w:szCs w:val="24"/>
          <w:rtl/>
        </w:rPr>
        <w:t>وفي تأكيد نتائج هذا التحليل، خلص بعض الباحثين إلى أن المنظومة القانونية السعودية تفتقر إلى نصوص صريحة تُبيّن أحكام الضرر الناجم عن استخدام الذكاء الاصطناعي، وتُنظّم توزيع المسؤولية بين مطورّ التقنية ومستخدمها المهني، وهو فراغ تشريعي يجعل القضاء مُضطرًا إلى اللجوء إلى القواعد العامة للمسؤولية المدنية والتفسير القياسي، في غياب نص خاص يُعالج هذه الإشكالية بدقة وتفصيل.</w:t>
      </w:r>
      <w:r>
        <w:rPr>
          <w:rStyle w:val="af"/>
          <w:rFonts w:asciiTheme="majorBidi" w:hAnsiTheme="majorBidi" w:cstheme="majorBidi"/>
          <w:sz w:val="24"/>
          <w:szCs w:val="24"/>
          <w:rtl/>
        </w:rPr>
        <w:footnoteReference w:id="161"/>
      </w:r>
    </w:p>
    <w:p w14:paraId="4916A20C" w14:textId="77777777" w:rsidR="00E82B9E" w:rsidRPr="00E82B9E" w:rsidRDefault="00E82B9E" w:rsidP="00E82B9E">
      <w:pPr>
        <w:jc w:val="right"/>
        <w:rPr>
          <w:rFonts w:asciiTheme="majorBidi" w:hAnsiTheme="majorBidi" w:cstheme="majorBidi"/>
          <w:b/>
          <w:bCs/>
          <w:sz w:val="24"/>
          <w:szCs w:val="24"/>
        </w:rPr>
      </w:pPr>
      <w:r>
        <w:rPr>
          <w:rFonts w:asciiTheme="majorBidi" w:hAnsiTheme="majorBidi" w:cstheme="majorBidi"/>
          <w:b/>
          <w:bCs/>
          <w:sz w:val="24"/>
          <w:szCs w:val="24"/>
          <w:rtl/>
        </w:rPr>
        <w:t>ويُستفاد مما سبق أن مهنة المحاماة في المملكة تمر بمرحلة انتقالية دقيقة؛ فهي من جهة تستفيد من التحول الرقمي الذي تقوده الدولة ضمن رؤية المملكة 2030، ومن جهة أخرى تفتقر إلى تنظيم مهني دقيق يضمن أن يكون هذا التحول منضبطًا بالقواعد القانونية والأخلاقية للمهنة. فالنظام القائم، وإن كان متينًا في ضبط السلوك المهني التقليدي، إلا أنه بحاجة إلى تحديث يعيد صياغة مفاهيم الممارسة القانونية بما يستوعب أدوات الذكاء الاصطناعي بوصفها امتدادًا للاجتهاد البشري، لا بديلًا عنه</w:t>
      </w:r>
      <w:r>
        <w:rPr>
          <w:rFonts w:asciiTheme="majorBidi" w:hAnsiTheme="majorBidi" w:cstheme="majorBidi"/>
          <w:b/>
          <w:bCs/>
          <w:sz w:val="24"/>
          <w:szCs w:val="24"/>
        </w:rPr>
        <w:t>.</w:t>
      </w:r>
    </w:p>
    <w:p w14:paraId="045393AF" w14:textId="77777777" w:rsidR="00AB2138" w:rsidRDefault="00E82B9E" w:rsidP="00E82B9E">
      <w:pPr>
        <w:jc w:val="right"/>
        <w:rPr>
          <w:rFonts w:asciiTheme="majorBidi" w:hAnsiTheme="majorBidi" w:cstheme="majorBidi"/>
          <w:b/>
          <w:bCs/>
          <w:sz w:val="24"/>
          <w:szCs w:val="24"/>
          <w:rtl/>
        </w:rPr>
      </w:pPr>
      <w:r>
        <w:rPr>
          <w:rFonts w:asciiTheme="majorBidi" w:hAnsiTheme="majorBidi" w:cstheme="majorBidi"/>
          <w:b/>
          <w:bCs/>
          <w:sz w:val="24"/>
          <w:szCs w:val="24"/>
          <w:rtl/>
        </w:rPr>
        <w:t>وانطلاقًا من هذه النتائج، يمهّد هذا الفصل للانتقال إلى الفصل الثاني، الذي يتناول التكييف القانوني والفقهي للمخرجات الذكية والمسؤولية النظامية المترتبة عليها، بوصفه امتدادًا منهجيًا للتحليل السابق، ويهدف إلى بيان كيفية تفاعل المفاهيم الفقهية والنظامية التقليدية مع واقع جديد تتشارك فيه الأنظمة الذكية مع المحامين في إنتاج العمل القانوني، بما يتيح للمشرّع وضع قواعد تضمن بقاء الذكاء الاصطناعي في دائرة المساعدة المشروعة، لا في موضع المنافسة أو الإحلال، وبما يسهم في بناء إطار قانوني متكامل لتوظيف الذكاء الاصطناعي في تطوير خدمات مكاتب المحاماة، على نحو يحفظ أصالة المهنة ويحقق في الوقت ذاته متطلبات العدالة الرقمية الحديثة</w:t>
      </w:r>
    </w:p>
    <w:p w14:paraId="15555494"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ويُدعم هذا التقدير ما خلصت إليه دراسة إسماعيل المنشورة عام 2025م من أن الدول الرائدة عالميًا في استخدام الذكاء الاصطناعي في المهن القانونية تتميز بامتلاكها أطرًا تشريعية مرنةً قادرةً على استيعاب المستجدات التقنية وتكييفها قانونيًا، مما يُشير إلى أن الإصلاح التشريعي الموجّه ليس ترفًا أكاديميًا بل ضرورةٌ مهنية وسياسية تتطلب تدخلًا تشريعيًا عاجلًا لإرساء قواعد عادلة وقابلة للتطبيق في ظل التسارع المتنامي لتوظيف هذه التقنيات.</w:t>
      </w:r>
      <w:r>
        <w:rPr>
          <w:rStyle w:val="af"/>
          <w:rFonts w:asciiTheme="majorBidi" w:hAnsiTheme="majorBidi" w:cstheme="majorBidi"/>
          <w:sz w:val="24"/>
          <w:szCs w:val="24"/>
          <w:rtl/>
        </w:rPr>
        <w:footnoteReference w:id="162"/>
      </w:r>
    </w:p>
    <w:p w14:paraId="059A677E" w14:textId="77777777" w:rsidR="00AB2138" w:rsidRDefault="00AB2138" w:rsidP="00E82B9E">
      <w:pPr>
        <w:jc w:val="right"/>
        <w:rPr>
          <w:rFonts w:asciiTheme="majorBidi" w:hAnsiTheme="majorBidi" w:cstheme="majorBidi"/>
          <w:b/>
          <w:bCs/>
          <w:sz w:val="24"/>
          <w:szCs w:val="24"/>
          <w:rtl/>
        </w:rPr>
      </w:pPr>
    </w:p>
    <w:p w14:paraId="0F810952" w14:textId="77777777" w:rsidR="00AB2138" w:rsidRDefault="00AB2138" w:rsidP="00E82B9E">
      <w:pPr>
        <w:jc w:val="right"/>
        <w:rPr>
          <w:rFonts w:asciiTheme="majorBidi" w:hAnsiTheme="majorBidi" w:cstheme="majorBidi"/>
          <w:b/>
          <w:bCs/>
          <w:sz w:val="24"/>
          <w:szCs w:val="24"/>
          <w:rtl/>
        </w:rPr>
      </w:pPr>
    </w:p>
    <w:p w14:paraId="644F3946" w14:textId="77777777" w:rsidR="00AB2138" w:rsidRDefault="00AB2138" w:rsidP="00E82B9E">
      <w:pPr>
        <w:jc w:val="right"/>
        <w:rPr>
          <w:rFonts w:asciiTheme="majorBidi" w:hAnsiTheme="majorBidi" w:cstheme="majorBidi"/>
          <w:b/>
          <w:bCs/>
          <w:sz w:val="24"/>
          <w:szCs w:val="24"/>
          <w:rtl/>
        </w:rPr>
      </w:pPr>
    </w:p>
    <w:p w14:paraId="4E550BE5" w14:textId="77777777" w:rsidR="00AB2138" w:rsidRDefault="00AB2138" w:rsidP="00E82B9E">
      <w:pPr>
        <w:jc w:val="right"/>
        <w:rPr>
          <w:rFonts w:asciiTheme="majorBidi" w:hAnsiTheme="majorBidi" w:cstheme="majorBidi"/>
          <w:b/>
          <w:bCs/>
          <w:sz w:val="24"/>
          <w:szCs w:val="24"/>
          <w:rtl/>
        </w:rPr>
      </w:pPr>
    </w:p>
    <w:p w14:paraId="2FB62563" w14:textId="77777777" w:rsidR="00E82B9E" w:rsidRDefault="00E82B9E" w:rsidP="00E82B9E">
      <w:pPr>
        <w:jc w:val="right"/>
        <w:rPr>
          <w:rFonts w:asciiTheme="majorBidi" w:hAnsiTheme="majorBidi" w:cstheme="majorBidi"/>
          <w:b/>
          <w:bCs/>
          <w:sz w:val="24"/>
          <w:szCs w:val="24"/>
          <w:rtl/>
        </w:rPr>
      </w:pPr>
    </w:p>
    <w:p w14:paraId="79C50E98" w14:textId="77777777" w:rsidR="00AB2138" w:rsidRDefault="00AB2138" w:rsidP="00E82B9E">
      <w:pPr>
        <w:jc w:val="right"/>
        <w:rPr>
          <w:rFonts w:asciiTheme="majorBidi" w:hAnsiTheme="majorBidi" w:cstheme="majorBidi"/>
          <w:b/>
          <w:bCs/>
          <w:sz w:val="24"/>
          <w:szCs w:val="24"/>
          <w:rtl/>
        </w:rPr>
      </w:pPr>
    </w:p>
    <w:p w14:paraId="413169A7" w14:textId="77777777" w:rsidR="00AB2138" w:rsidRDefault="00AB2138" w:rsidP="000F2879">
      <w:pPr>
        <w:rPr>
          <w:rFonts w:asciiTheme="majorBidi" w:hAnsiTheme="majorBidi" w:cstheme="majorBidi"/>
          <w:b/>
          <w:bCs/>
          <w:sz w:val="24"/>
          <w:szCs w:val="24"/>
          <w:rtl/>
        </w:rPr>
      </w:pPr>
    </w:p>
    <w:p w14:paraId="325543DC" w14:textId="77777777" w:rsidR="00F532FA" w:rsidRDefault="00F532FA" w:rsidP="000D4B35">
      <w:pPr>
        <w:rPr>
          <w:rFonts w:asciiTheme="majorBidi" w:hAnsiTheme="majorBidi" w:cstheme="majorBidi"/>
          <w:b/>
          <w:bCs/>
          <w:sz w:val="24"/>
          <w:szCs w:val="24"/>
        </w:rPr>
      </w:pPr>
    </w:p>
    <w:p w14:paraId="0C191A27" w14:textId="77777777" w:rsidR="00624037" w:rsidRPr="00D41CB7" w:rsidRDefault="00624037" w:rsidP="00624037">
      <w:pPr>
        <w:jc w:val="center"/>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tl/>
        </w:rPr>
        <w:t xml:space="preserve">الفصل </w:t>
      </w:r>
      <w:r>
        <w:rPr>
          <w:rFonts w:asciiTheme="majorBidi" w:hAnsiTheme="majorBidi" w:cstheme="majorBidi" w:hint="cs"/>
          <w:b/>
          <w:bCs/>
          <w:color w:val="000000" w:themeColor="text1"/>
          <w:sz w:val="32"/>
          <w:szCs w:val="32"/>
          <w:rtl/>
        </w:rPr>
        <w:t>الثاني</w:t>
      </w:r>
    </w:p>
    <w:p w14:paraId="2187DC4D" w14:textId="4DD2E3E8" w:rsidR="00624037" w:rsidRPr="00994DA4" w:rsidRDefault="00994DA4" w:rsidP="00994DA4">
      <w:pPr>
        <w:jc w:val="cente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ا</w:t>
      </w:r>
      <w:r>
        <w:rPr>
          <w:rFonts w:asciiTheme="majorBidi" w:hAnsiTheme="majorBidi" w:cstheme="majorBidi"/>
          <w:b/>
          <w:bCs/>
          <w:color w:val="000000" w:themeColor="text1"/>
          <w:sz w:val="28"/>
          <w:szCs w:val="28"/>
          <w:rtl/>
        </w:rPr>
        <w:t>لتكييف القانوني والفقهي لمخرجات الذكاء الاصطناعي والمسؤولية النظامية والمهنية للمحامي عند توظيفها في مكاتب المحاماة</w:t>
      </w:r>
    </w:p>
    <w:p w14:paraId="741B47D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hint="cs"/>
          <w:sz w:val="24"/>
          <w:szCs w:val="24"/>
          <w:rtl/>
        </w:rPr>
        <w:t>ي</w:t>
      </w:r>
      <w:r>
        <w:rPr>
          <w:rFonts w:asciiTheme="majorBidi" w:hAnsiTheme="majorBidi" w:cstheme="majorBidi"/>
          <w:sz w:val="24"/>
          <w:szCs w:val="24"/>
          <w:rtl/>
        </w:rPr>
        <w:t>مثل هذا الفصل الامتداد النظري التحليلي لأطروحة الدراسة، إذ ينتقل البحث من توصيف الإطار النظامي المنظم لمهنة المحاماة – كما عُولج في الفصل الأول – إلى استكشاف الطبيعة القانونية للمخرجات الذكية ذاتها، وتحديد مركزها النظامي، وحدود الاعتداد بها، والمسؤولية المترتبة على استخدامها. فإذا كانت النصوص التقليدية في نظام المحاماة</w:t>
      </w:r>
      <w:r>
        <w:rPr>
          <w:rStyle w:val="af"/>
          <w:rFonts w:asciiTheme="majorBidi" w:hAnsiTheme="majorBidi" w:cstheme="majorBidi"/>
          <w:sz w:val="24"/>
          <w:szCs w:val="24"/>
          <w:rtl/>
        </w:rPr>
        <w:footnoteReference w:id="163"/>
      </w:r>
      <w:r>
        <w:rPr>
          <w:rFonts w:asciiTheme="majorBidi" w:hAnsiTheme="majorBidi" w:cstheme="majorBidi"/>
          <w:sz w:val="24"/>
          <w:szCs w:val="24"/>
          <w:rtl/>
        </w:rPr>
        <w:t xml:space="preserve"> قد افترضت أن العمل القانوني نتاج جهد بشري مباشر، قائم على الاجتهاد الفردي وتحمل المسؤولية الشخصية ، فإن إدماج تقنيات الذكاء الاصطناعي في مراحل التحليل القانوني وصياغة العقود وإعداد المذكرات أوجد نمطًا جديدًا من “الإنتاج القانوني المركب” الذي تتداخل فيه الإرادة البشرية مع المعالجة الخوارزمية</w:t>
      </w:r>
      <w:r>
        <w:rPr>
          <w:rFonts w:asciiTheme="majorBidi" w:hAnsiTheme="majorBidi" w:cstheme="majorBidi"/>
          <w:sz w:val="24"/>
          <w:szCs w:val="24"/>
        </w:rPr>
        <w:t>.</w:t>
      </w:r>
    </w:p>
    <w:p w14:paraId="55A0FDF1"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ولا يقف هذا التحول عند حدود التطوير التقني، بل يمتد إلى صميم النظرية العامة للتصرف القانوني، وإلى مفاهيم الإرادة والنسبة والحجية، بل وإلى إعادة توزيع المخاطر والمسؤوليات داخل البنية المهنية. فالعمل القانوني الذي كان يُنسب تقليديًا إلى المحامي بوصفه فاعلًا بشريًا منفردًا، أصبح اليوم نتاج منظومة قد تشمل مطور النظام، ومزود التقنية، وقواعد بيانات ضخمة، وخوارزميات تحليلية قد تسهم في تشكيل مضمون الرأي أو الصياغة. ومن ثم فإن الإشكال لا يتعلق بمجرد مشروعية استخدام التقنية، بل بمدى اندراج مخرجاتها ضمن المفاهيم النظامية القائمة، ومدى كفاية القواعد التقليدية لاستيعاب هذا النمط المستحدث من الإنتاج القانوني</w:t>
      </w:r>
      <w:r>
        <w:rPr>
          <w:rFonts w:asciiTheme="majorBidi" w:hAnsiTheme="majorBidi" w:cstheme="majorBidi"/>
          <w:sz w:val="24"/>
          <w:szCs w:val="24"/>
        </w:rPr>
        <w:t>.</w:t>
      </w:r>
    </w:p>
    <w:p w14:paraId="1C3AEEC7"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ويزداد هذا التساؤل تعقيدًا في ضوء صدور نظام المعاملات المدنية لعام 1445هـ</w:t>
      </w:r>
      <w:r>
        <w:rPr>
          <w:rStyle w:val="af"/>
          <w:rFonts w:asciiTheme="majorBidi" w:hAnsiTheme="majorBidi" w:cstheme="majorBidi"/>
          <w:sz w:val="24"/>
          <w:szCs w:val="24"/>
          <w:rtl/>
        </w:rPr>
        <w:footnoteReference w:id="164"/>
      </w:r>
      <w:r>
        <w:rPr>
          <w:rFonts w:asciiTheme="majorBidi" w:hAnsiTheme="majorBidi" w:cstheme="majorBidi"/>
          <w:sz w:val="24"/>
          <w:szCs w:val="24"/>
          <w:rtl/>
        </w:rPr>
        <w:t>، الذي أعاد تأصيل النظرية العامة للالتزام والعقد، وكرّس مفهوم الإرادة القانونية بوصفها أساسًا لإنشاء الالتزام. فإذا كان العقد – وفقًا لهذا النظام – ينعقد بتلاقي إرادتين معتبرتين صادرتين عن ذوي أهلية ومتجهتين إلى إحداث أثر قانوني معين، فإن إدماج المعالجة الخوارزمية في صياغة العقود أو تحليلها يفرض إعادة النظر في مفهوم “الإرادة” وحدود نسبتها، خاصة عندما تسهم الخوارزمية في تشكيل مضمون التصرف لا في مجرد التعبير عنه</w:t>
      </w:r>
      <w:r>
        <w:rPr>
          <w:rFonts w:asciiTheme="majorBidi" w:hAnsiTheme="majorBidi" w:cstheme="majorBidi"/>
          <w:sz w:val="24"/>
          <w:szCs w:val="24"/>
        </w:rPr>
        <w:t>.</w:t>
      </w:r>
    </w:p>
    <w:p w14:paraId="1BE7152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كما أن نظام الإثبات الصادر عام 1443</w:t>
      </w:r>
      <w:r>
        <w:rPr>
          <w:rStyle w:val="af"/>
          <w:rFonts w:asciiTheme="majorBidi" w:hAnsiTheme="majorBidi" w:cstheme="majorBidi"/>
          <w:sz w:val="24"/>
          <w:szCs w:val="24"/>
          <w:rtl/>
        </w:rPr>
        <w:footnoteReference w:id="165"/>
      </w:r>
      <w:r>
        <w:rPr>
          <w:rFonts w:asciiTheme="majorBidi" w:hAnsiTheme="majorBidi" w:cstheme="majorBidi"/>
          <w:sz w:val="24"/>
          <w:szCs w:val="24"/>
          <w:rtl/>
        </w:rPr>
        <w:t>هـ أقر حجية المحررات الإلكترونية، وأجاز الإثبات بكافة الوسائل النظامية ما لم يرد نص بخلاف ذلك ، وهو ما يعكس تبني المشرّع لمبدأ الحياد التقني. غير أن الاعتراف بالمحرر الإلكتروني لا يعني التسليم تلقائيًا بحجية كل مخرج قانوني منتج آليًا؛ إذ إن الإشكال هنا لا يتعلق بوسيلة التوثيق، بل بآلية التكوين الفكري للمحرر ومدى إمكانية نسبته إلى إرادة بشرية واعية. وقد أوضح بعض الباحثين</w:t>
      </w:r>
      <w:r>
        <w:rPr>
          <w:rStyle w:val="af"/>
          <w:rFonts w:asciiTheme="majorBidi" w:hAnsiTheme="majorBidi" w:cstheme="majorBidi"/>
          <w:sz w:val="24"/>
          <w:szCs w:val="24"/>
          <w:rtl/>
        </w:rPr>
        <w:footnoteReference w:id="166"/>
      </w:r>
      <w:r>
        <w:rPr>
          <w:rFonts w:asciiTheme="majorBidi" w:hAnsiTheme="majorBidi" w:cstheme="majorBidi"/>
          <w:sz w:val="24"/>
          <w:szCs w:val="24"/>
          <w:rtl/>
        </w:rPr>
        <w:t xml:space="preserve"> (2020) أن الحجية في البيئة الرقمية ترتبط بإمكانية التحقق من المصدر وسلامة المحتوى وقابلية تتبع التعديلات، الأمر الذي يجعل قابلية التفسير عنصرًا جوهريًا في تقييم المخرجات الخوارزمية</w:t>
      </w:r>
      <w:r>
        <w:rPr>
          <w:rFonts w:asciiTheme="majorBidi" w:hAnsiTheme="majorBidi" w:cstheme="majorBidi"/>
          <w:sz w:val="24"/>
          <w:szCs w:val="24"/>
        </w:rPr>
        <w:t>.</w:t>
      </w:r>
    </w:p>
    <w:p w14:paraId="0B23FA66"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جانب آخر، يفرض نظام حماية البيانات الشخصية (1443هـ)</w:t>
      </w:r>
      <w:r>
        <w:rPr>
          <w:rStyle w:val="af"/>
          <w:rFonts w:asciiTheme="majorBidi" w:hAnsiTheme="majorBidi" w:cstheme="majorBidi"/>
          <w:sz w:val="24"/>
          <w:szCs w:val="24"/>
          <w:rtl/>
        </w:rPr>
        <w:footnoteReference w:id="167"/>
      </w:r>
      <w:r>
        <w:rPr>
          <w:rFonts w:asciiTheme="majorBidi" w:hAnsiTheme="majorBidi" w:cstheme="majorBidi"/>
          <w:sz w:val="24"/>
          <w:szCs w:val="24"/>
          <w:rtl/>
        </w:rPr>
        <w:t xml:space="preserve"> إطارًا تنظيميًا لمعالجة البيانات واستخدامها، بما يشمل متطلبات المشروعية والغرض المحدد وتقليل المعالجة. فإذا كانت المخرجات القانونية الذكية تعتمد في جوهرها على تحليل بيانات ضخمة، فإن سلامة هذه البيانات ومشروعية جمعها تمثل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7E49E47B"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lastRenderedPageBreak/>
        <w:t>وقد تناولت الدراسات القانونية الحديثة هذه الإشكالية من زوايا متعددة. فذهب بعض الباحثين</w:t>
      </w:r>
      <w:r>
        <w:rPr>
          <w:rStyle w:val="af"/>
          <w:rFonts w:asciiTheme="majorBidi" w:hAnsiTheme="majorBidi" w:cstheme="majorBidi"/>
          <w:sz w:val="24"/>
          <w:szCs w:val="24"/>
          <w:rtl/>
        </w:rPr>
        <w:footnoteReference w:id="168"/>
      </w:r>
      <w:r>
        <w:rPr>
          <w:rFonts w:asciiTheme="majorBidi" w:hAnsiTheme="majorBidi" w:cstheme="majorBidi"/>
          <w:sz w:val="24"/>
          <w:szCs w:val="24"/>
          <w:rtl/>
        </w:rPr>
        <w:t xml:space="preserve"> إلى أن الذكاء الاصطناعي لا يُعد شخصًا قانونيًا مستقلًا، وأن المسؤولية تبقى لصيقة بالمستخدم الذي يمارس الرقابة عليه. كما أكدت مجلة العدالة</w:t>
      </w:r>
      <w:r>
        <w:rPr>
          <w:rStyle w:val="af"/>
          <w:rFonts w:asciiTheme="majorBidi" w:hAnsiTheme="majorBidi" w:cstheme="majorBidi"/>
          <w:sz w:val="24"/>
          <w:szCs w:val="24"/>
          <w:rtl/>
        </w:rPr>
        <w:footnoteReference w:id="169"/>
      </w:r>
      <w:r>
        <w:rPr>
          <w:rFonts w:asciiTheme="majorBidi" w:hAnsiTheme="majorBidi" w:cstheme="majorBidi"/>
          <w:sz w:val="24"/>
          <w:szCs w:val="24"/>
          <w:rtl/>
        </w:rPr>
        <w:t xml:space="preserve"> (2022) ضرورة ضبط المسؤولية المهنية في سياق استخدام الأنظمة الذكية داخل الممارسة القانونية، منعًا لحدوث فراغ تنظيمي أو تضارب في توزيع المخاطر. وفي السياق ذاته، أشارت مجلة الشريعة والقانون</w:t>
      </w:r>
      <w:r>
        <w:rPr>
          <w:rStyle w:val="af"/>
          <w:rFonts w:asciiTheme="majorBidi" w:hAnsiTheme="majorBidi" w:cstheme="majorBidi"/>
          <w:sz w:val="24"/>
          <w:szCs w:val="24"/>
          <w:rtl/>
        </w:rPr>
        <w:footnoteReference w:id="170"/>
      </w:r>
      <w:r>
        <w:rPr>
          <w:rFonts w:asciiTheme="majorBidi" w:hAnsiTheme="majorBidi" w:cstheme="majorBidi"/>
          <w:sz w:val="24"/>
          <w:szCs w:val="24"/>
          <w:rtl/>
        </w:rPr>
        <w:t xml:space="preserve"> (2022) إلى أن إدماج الذكاء الاصطناعي في العمل القانوني لا يجوز أن يمس جوهر الوظيفة المهنية أو يضعف معيار الاجتهاد البشري</w:t>
      </w:r>
      <w:r>
        <w:rPr>
          <w:rFonts w:asciiTheme="majorBidi" w:hAnsiTheme="majorBidi" w:cstheme="majorBidi"/>
          <w:sz w:val="24"/>
          <w:szCs w:val="24"/>
        </w:rPr>
        <w:t>.</w:t>
      </w:r>
    </w:p>
    <w:p w14:paraId="73CF432F"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أما فيما يتعلق بالعقود الذكية، فقد ناقش بعض الباحثين</w:t>
      </w:r>
      <w:r>
        <w:rPr>
          <w:rStyle w:val="af"/>
          <w:rFonts w:asciiTheme="majorBidi" w:hAnsiTheme="majorBidi" w:cstheme="majorBidi"/>
          <w:sz w:val="24"/>
          <w:szCs w:val="24"/>
          <w:rtl/>
        </w:rPr>
        <w:footnoteReference w:id="171"/>
      </w:r>
      <w:r>
        <w:rPr>
          <w:rFonts w:asciiTheme="majorBidi" w:hAnsiTheme="majorBidi" w:cstheme="majorBidi"/>
          <w:sz w:val="24"/>
          <w:szCs w:val="24"/>
          <w:rtl/>
        </w:rPr>
        <w:t xml:space="preserve"> (2023) مدى ملاءمة العقود المبرمة عبر أنظمة مؤتمتة لقانون العقود التقليدي، مؤكدًا أن الإشكال لا يكمن في الوسيلة التقنية ذاتها، بل في مدى تحقق الإرادة النظامية وانعكاسها الصحيح في صيغة العقد. كما بيّن بعض الباحثين </w:t>
      </w:r>
      <w:r>
        <w:rPr>
          <w:rStyle w:val="af"/>
          <w:rFonts w:asciiTheme="majorBidi" w:hAnsiTheme="majorBidi" w:cstheme="majorBidi"/>
          <w:sz w:val="24"/>
          <w:szCs w:val="24"/>
          <w:rtl/>
        </w:rPr>
        <w:footnoteReference w:id="172"/>
      </w:r>
      <w:r>
        <w:rPr>
          <w:rFonts w:asciiTheme="majorBidi" w:hAnsiTheme="majorBidi" w:cstheme="majorBidi"/>
          <w:sz w:val="24"/>
          <w:szCs w:val="24"/>
          <w:rtl/>
        </w:rPr>
        <w:t>(2024) أن العقود التجارية الذكية تظل خاضعة للأركان العامة للعقد، غير أن التنفيذ المؤتمت يثير إشكالات تتعلق باستمرار سيطرة الإرادة البشرية على مسار الالتزام</w:t>
      </w:r>
      <w:r>
        <w:rPr>
          <w:rFonts w:asciiTheme="majorBidi" w:hAnsiTheme="majorBidi" w:cstheme="majorBidi"/>
          <w:sz w:val="24"/>
          <w:szCs w:val="24"/>
        </w:rPr>
        <w:t>.</w:t>
      </w:r>
    </w:p>
    <w:p w14:paraId="71514FB1"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الأفعال في الفقه الإسلامي لا تقوم إلا إلى مكلف ذي ذمة، ولا يُتصور إسناد حكم شرعي إلى غير مكلف. وقد ناقش بعض الباحثين مسألة الاعتراف بالشخصية القانونية للذكاء الاصطناعي، وخلص إلى أن الإطار التقليدي للنظرية القانونية لا يسمح بمنح التقنية ذمة مستقلة دون إعادة بناء جوهرية لمفاهيم الأهلية والنسبة. ويبدو أن القياس على أحكام الوكالة أو التسبب يظل هو الأقرب للتكييف، مع بقاء المسؤولية على عاتق الفاعل البشري الذي أذن واستخدم واعتمد</w:t>
      </w:r>
      <w:r>
        <w:rPr>
          <w:rFonts w:asciiTheme="majorBidi" w:hAnsiTheme="majorBidi" w:cstheme="majorBidi"/>
          <w:sz w:val="24"/>
          <w:szCs w:val="24"/>
        </w:rPr>
        <w:t>.</w:t>
      </w:r>
    </w:p>
    <w:p w14:paraId="576B2F9D"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وفي السياق التنظيمي الوطني، أكدت الهيئة السعودية للبيانات والذكاء الاصطناعي في وثيقة مبادئ أخلاقيات الذكاء الاصطناعي على مبادئ المساءلة والشفافية وقابلية التتبع (الهيئة السعودية للبيانات والذكاء الاصطناعي، 2023)</w:t>
      </w:r>
      <w:r>
        <w:rPr>
          <w:rStyle w:val="af"/>
          <w:rFonts w:asciiTheme="majorBidi" w:hAnsiTheme="majorBidi" w:cstheme="majorBidi"/>
          <w:sz w:val="24"/>
          <w:szCs w:val="24"/>
          <w:rtl/>
        </w:rPr>
        <w:footnoteReference w:id="173"/>
      </w:r>
      <w:r>
        <w:rPr>
          <w:rFonts w:asciiTheme="majorBidi" w:hAnsiTheme="majorBidi" w:cstheme="majorBidi"/>
          <w:sz w:val="24"/>
          <w:szCs w:val="24"/>
          <w:rtl/>
        </w:rPr>
        <w:t>، كما شدد إطار تبني الذكاء الاصطناعي على ضرورة وضوح الأدوار والمسؤوليات وعدم إعفاء أي جهة من تحمل تبعة قراراتها الخوارزمية. ويُفهم من ذلك أن الاتجاه الوطني لا يميل إلى إسناد الفعل إلى التقنية ذاتها، بل إلى تثبيت المسؤولية في يد الإنسان</w:t>
      </w:r>
      <w:r>
        <w:rPr>
          <w:rFonts w:asciiTheme="majorBidi" w:hAnsiTheme="majorBidi" w:cstheme="majorBidi"/>
          <w:sz w:val="24"/>
          <w:szCs w:val="24"/>
        </w:rPr>
        <w:t>.</w:t>
      </w:r>
    </w:p>
    <w:p w14:paraId="460E6CAE"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وانطلاقًا مما سبق، يقوم هذا الفصل على فرضية مفادها أن المخرجات القانونية المنتجة عبر أنظمة الذكاء الاصطناعي لا تكتسب حجيتها أو مشروعيتها من ذاتها، بل من اندماجها الواعي في الإرادة البشرية، ومن خضوعها لمعيار العناية المهنية، ومن قابليتها للفحص والمساءلة. غير أن هذا التصور لا ينفي الحاجة إلى إعادة قراءة أركان المسؤولية المدنية في ضوء تعقيد العلاقة السببية وتعدد الأطراف المتدخلة في إنتاج المخرج</w:t>
      </w:r>
      <w:r>
        <w:rPr>
          <w:rFonts w:asciiTheme="majorBidi" w:hAnsiTheme="majorBidi" w:cstheme="majorBidi"/>
          <w:sz w:val="24"/>
          <w:szCs w:val="24"/>
        </w:rPr>
        <w:t>.</w:t>
      </w:r>
    </w:p>
    <w:p w14:paraId="326C3677"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السياق التشريعي السعودي لمعيار العناية المهنية، أفاد بعض الباحثين أن الهيئة السعودية للمحامين المرخصين تملك صلاحية إصدار معايير أخلاقية ملزمة وفق نظام المحاماة، وأن هذه الصلاحية تُتيح لها تحديد متطلبات الكفاءة الرقمية ومعايير الإفصاح عن توظيف الذكاء الاصطناعي دون انتظار تعديل تشريعي، وهو مسار أسرع وأكثر مرونة في التعامل مع المتغيرات التقنية.</w:t>
      </w:r>
      <w:r>
        <w:rPr>
          <w:rtl/>
        </w:rPr>
        <w:footnoteReference w:id="174"/>
      </w:r>
    </w:p>
    <w:p w14:paraId="7C72323E"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 تطور معيار العناية المهنية في ظل الذكاء الاصطناعي، خلص بعض الباحثين إلى أن هذا المعيار يشهد تحولاً من معيار المحامي الذي يُتقن القانون إلى معيار المحامي الذي يُتقن القانون ويُحسن توظيف أدواته الرقمية </w:t>
      </w:r>
      <w:r>
        <w:rPr>
          <w:rFonts w:asciiTheme="majorBidi" w:hAnsiTheme="majorBidi" w:cstheme="majorBidi"/>
          <w:sz w:val="24"/>
          <w:szCs w:val="24"/>
          <w:rtl/>
        </w:rPr>
        <w:lastRenderedPageBreak/>
        <w:t>بمسؤولية، مُستشهداً بأن بعض نقابات المحامين الأوروبية بات يُدرج الكفاءة الرقمية ضمن متطلبات الترخيص المهني وشروط التجديد الدوري.</w:t>
      </w:r>
      <w:r>
        <w:rPr>
          <w:rtl/>
        </w:rPr>
        <w:footnoteReference w:id="175"/>
      </w:r>
    </w:p>
    <w:p w14:paraId="43FE6B82"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سياق معيار العناية المهنية المرتقب، اقترح بعض الباحثين مفهوم العناية المهنية الرقمية المعززة، الذي يُلزم المحامي المستخدم للذكاء الاصطناعي بالتحقق من ثلاثة عناصر قبل تقديم أي مخرج آلي: صحة المعلومات المُدخَلة في النظام، ودرجة موثوقية النظام في السياق الموضوعي للقضية، وغياب أي تعارض بين مخرجات النظام ومتطلبات واجب الأمانة تجاه الموكل.</w:t>
      </w:r>
      <w:r>
        <w:rPr>
          <w:rtl/>
        </w:rPr>
        <w:footnoteReference w:id="176"/>
      </w:r>
    </w:p>
    <w:p w14:paraId="126F4527"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وتجدر الإشارة هنا إلى ما أوردته الخميسي بشأن تطور معيار العناية المهنية في الفقه القانوني المقارن، إذ رصدت اتجاهاً واضحاً نحو تبني معيار العناية المهنية الرقمية التي تشمل، فضلاً عن المهارات القانونية التقليدية، معرفة المحامي بالأدوات التقنية المستخدمة في مجاله، والقدرة على تقييم موثوقيتها، وإدارة المخاطر المرتبطة بتوظيفها في سياق تمثيل العملاء.</w:t>
      </w:r>
      <w:r>
        <w:rPr>
          <w:rtl/>
        </w:rPr>
        <w:footnoteReference w:id="177"/>
      </w:r>
    </w:p>
    <w:p w14:paraId="51BCA45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وبناءً عليه، ينقسم هذا الفصل إلى مبحثين رئيسين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يتناول </w:t>
      </w:r>
      <w:r>
        <w:rPr>
          <w:rFonts w:asciiTheme="majorBidi" w:hAnsiTheme="majorBidi" w:cstheme="majorBidi"/>
          <w:b/>
          <w:bCs/>
          <w:sz w:val="24"/>
          <w:szCs w:val="24"/>
          <w:rtl/>
        </w:rPr>
        <w:t>المبحث الأول</w:t>
      </w:r>
      <w:r>
        <w:rPr>
          <w:rFonts w:asciiTheme="majorBidi" w:hAnsiTheme="majorBidi" w:cstheme="majorBidi"/>
          <w:sz w:val="24"/>
          <w:szCs w:val="24"/>
          <w:rtl/>
        </w:rPr>
        <w:t xml:space="preserve"> التكييف النظامي والفقهي للمخرجات الذكية من حيث حجيتها ومشروعيتها القضائية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المبحث الثاني</w:t>
      </w:r>
      <w:r>
        <w:rPr>
          <w:rFonts w:asciiTheme="majorBidi" w:hAnsiTheme="majorBidi" w:cstheme="majorBidi"/>
          <w:sz w:val="24"/>
          <w:szCs w:val="24"/>
          <w:rtl/>
        </w:rPr>
        <w:t xml:space="preserve"> فيعالج المسؤولية القانونية والمهنية المترتبة على استخدامها، من خلال تحليل أركان المسؤولية، ومعيار الخطأ، وتوزيع المخاطر بين المستخدم ومطور التقنية ومقدم الخدمة، مع إشارة مقارنة إلى الاتجاه الأوروبي</w:t>
      </w:r>
      <w:r>
        <w:rPr>
          <w:rFonts w:asciiTheme="majorBidi" w:hAnsiTheme="majorBidi" w:cstheme="majorBidi"/>
          <w:sz w:val="24"/>
          <w:szCs w:val="24"/>
        </w:rPr>
        <w:t>.</w:t>
      </w:r>
    </w:p>
    <w:p w14:paraId="4CFA4A4B"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ويمثل هذا الفصل الأساس النظري الذي تُبنى عليه المعالجة التنظيمية المقترحة في الفصول اللاحقة، ويهدف إلى تحقيق توازن دقيق بين تشجيع الابتكار التقني في مكاتب المحاماة وصون ضمانات العدالة ومبادئ المشروعية والمسؤولية</w:t>
      </w:r>
      <w:r>
        <w:rPr>
          <w:rFonts w:asciiTheme="majorBidi" w:hAnsiTheme="majorBidi" w:cstheme="majorBidi"/>
          <w:sz w:val="24"/>
          <w:szCs w:val="24"/>
        </w:rPr>
        <w:t>.</w:t>
      </w:r>
    </w:p>
    <w:p w14:paraId="3900F62A" w14:textId="77777777" w:rsidR="00624037" w:rsidRDefault="00624037" w:rsidP="00624037">
      <w:pPr>
        <w:jc w:val="right"/>
        <w:rPr>
          <w:rFonts w:asciiTheme="majorBidi" w:hAnsiTheme="majorBidi" w:cstheme="majorBidi"/>
          <w:sz w:val="24"/>
          <w:szCs w:val="24"/>
        </w:rPr>
      </w:pPr>
    </w:p>
    <w:p w14:paraId="74F077B4" w14:textId="77777777" w:rsidR="00624037" w:rsidRDefault="00624037" w:rsidP="00624037">
      <w:pPr>
        <w:rPr>
          <w:rFonts w:asciiTheme="majorBidi" w:hAnsiTheme="majorBidi" w:cstheme="majorBidi"/>
          <w:sz w:val="24"/>
          <w:szCs w:val="24"/>
        </w:rPr>
      </w:pPr>
    </w:p>
    <w:p w14:paraId="482D3B69" w14:textId="77777777" w:rsidR="00624037" w:rsidRDefault="00624037" w:rsidP="00624037">
      <w:pPr>
        <w:jc w:val="right"/>
        <w:rPr>
          <w:rFonts w:asciiTheme="majorBidi" w:hAnsiTheme="majorBidi" w:cstheme="majorBidi"/>
          <w:sz w:val="24"/>
          <w:szCs w:val="24"/>
        </w:rPr>
      </w:pPr>
    </w:p>
    <w:p w14:paraId="0A4D1147" w14:textId="77777777" w:rsidR="00624037" w:rsidRPr="000A2E06"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المبحث الأول</w:t>
      </w:r>
    </w:p>
    <w:p w14:paraId="499C7402" w14:textId="77777777" w:rsidR="00624037" w:rsidRPr="000A2E06"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التكييف النظامي والفقهي للمخرجات الذكية</w:t>
      </w:r>
    </w:p>
    <w:p w14:paraId="121B58C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لم يعد توظيف الذكاء الاصطناعي في مكاتب المحاماة مجرد أداة تقنية مساعدة لتسريع العمل أو تنظيم الملفات أو تحسين إدارة الوقت، بل أصبح في صورته المعاصرة قادرًا على إنتاج “مخرجات قانونية” قد تُقدَّم للمتقاضين أو للجهات القضائية بوصفها عقودًا مكتملة الصياغة، أو تقارير تحليلية، أو مذكرات دفاع، أو آراء استشارية، أو حتى تصورات قانونية قائمة على تحليل أنماط السوابق القضائية. وهذه النقلة النوعية تنقل النقاش من مستوى الوسيلة التقنية إلى مستوى البنية النظرية للتصرف القانوني ذاته، وتطرح سؤالًا تأسيسيًا يتجاوز حدود التقنية إلى جوهر النظام القانوني: ما الطبيعة القانونية لهذه المخرجات؟ وهل تُعامل بوصفها مجرد وسائل تحرير وصياغة، أم باعتبارها عنصرًا مؤثرًا في تكوين الإرادة القانونية ونسبة التصرف وحجيته؟</w:t>
      </w:r>
    </w:p>
    <w:p w14:paraId="3E2A95C7"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إن خطورة هذا السؤال لا تكمن في حداثته فحسب، بل في كونه يمس ركائز مستقرة في النظرية العامة للالتزام. فقد قام البناء التقليدي للتصرف القانوني في الفقه الإسلامي ثم في التشريعات المدنية الحديثة على مركزية الإرادة البشرية، باعتبارها مصدر الإلزام ومنشأ الأثر القانوني. وقد أكد نظام المعاملات المدنية الصادر عام 1445هـ هذا المعنى حين قرر أن العقد ينعقد بتلاقي إرادتين معتبرتين، صادرتين عن ذوي أهلية، ومتجهتين إلى إحداث أثر قانوني معين، مع توافر الأركان والشروط المقررة نظامًا</w:t>
      </w:r>
      <w:r>
        <w:rPr>
          <w:rStyle w:val="af"/>
          <w:rFonts w:asciiTheme="majorBidi" w:hAnsiTheme="majorBidi" w:cstheme="majorBidi"/>
          <w:sz w:val="24"/>
          <w:szCs w:val="24"/>
          <w:rtl/>
        </w:rPr>
        <w:footnoteReference w:id="178"/>
      </w:r>
      <w:r>
        <w:rPr>
          <w:rFonts w:asciiTheme="majorBidi" w:hAnsiTheme="majorBidi" w:cstheme="majorBidi"/>
          <w:sz w:val="24"/>
          <w:szCs w:val="24"/>
          <w:rtl/>
        </w:rPr>
        <w:t>. ويُفهم من هذا التأصيل أن الإرادة ليست مجرد نية داخلية، بل تعبير منضبط يمكن نسبته إلى شخص معين، ويُرتب في ذمته التزامات محددة</w:t>
      </w:r>
      <w:r>
        <w:rPr>
          <w:rFonts w:asciiTheme="majorBidi" w:hAnsiTheme="majorBidi" w:cstheme="majorBidi"/>
          <w:sz w:val="24"/>
          <w:szCs w:val="24"/>
        </w:rPr>
        <w:t>.</w:t>
      </w:r>
    </w:p>
    <w:p w14:paraId="02C0BCF4"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إدماج المعالجة الخوارزمية في صياغة العقود أو تحليلها يثير تساؤلًا حول مدى بقاء الإرادة البشرية في موقع “المنشئ الأصلي” للتصرف، أم أنها تتحول أحيانًا إلى إرادة مُجيزة أو مُعتمدة لما أنتجته الخوارزمية. فالمخرجات الذكية لا تقتصر على تنفيذ أوامر صريحة، بل قد تقوم بتحليل معطيات ضخمة، واستخلاص أنماط، واقتراح صيغ تعاقدية أو توصيفات قانونية قد لا تخطر على ذهن المستخدم ابتداءً. وفي هذه الحالة، يصبح السؤال: هل يظل التصرف انعكاسًا خالصًا لإرادة بشرية، أم يصبح نتاجًا مركبًا تشترك في تشكيله منظومة تقنية تحليلية؟</w:t>
      </w:r>
    </w:p>
    <w:p w14:paraId="371D7EF5"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ويتصل بهذا التساؤل جانبٌ آخر يتعلق بالحجية. فقد أقر نظام الإثبات لعام </w:t>
      </w:r>
      <w:r>
        <w:rPr>
          <w:rStyle w:val="af"/>
          <w:rFonts w:asciiTheme="majorBidi" w:hAnsiTheme="majorBidi" w:cstheme="majorBidi"/>
          <w:sz w:val="24"/>
          <w:szCs w:val="24"/>
          <w:rtl/>
        </w:rPr>
        <w:footnoteReference w:id="179"/>
      </w:r>
      <w:r>
        <w:rPr>
          <w:rFonts w:asciiTheme="majorBidi" w:hAnsiTheme="majorBidi" w:cstheme="majorBidi"/>
          <w:sz w:val="24"/>
          <w:szCs w:val="24"/>
          <w:rtl/>
        </w:rPr>
        <w:t>1443هـ حجية المحررات الإلكترونية، وأجاز الإثبات بكافة الوسائل النظامية ما لم يرد نص بخلاف ذلك، بما يعكس تبني المشرّع لمبدأ الحياد التقني. إلا أن هذا الإقرار يفترض – في جوهره – وجود محرر يمكن نسبته إلى مصدر محدد، سواء بالتوقيع أو بوسائل الاعتماد المعتبرة. أما في حالة المخرجات المنتجة آليًا، فإن الإشكال لا يتعلق بشكل المحرر أو وسيطه الإلكتروني، بل بآلية تكوين مضمونه ومدى إمكانية نسبته إلى إرادة بشرية واعية تتحمل تبعته</w:t>
      </w:r>
      <w:r>
        <w:rPr>
          <w:rFonts w:asciiTheme="majorBidi" w:hAnsiTheme="majorBidi" w:cstheme="majorBidi"/>
          <w:sz w:val="24"/>
          <w:szCs w:val="24"/>
        </w:rPr>
        <w:t>.</w:t>
      </w:r>
    </w:p>
    <w:p w14:paraId="019C5E31"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تناول بعض الباحثين مسألة حماية التصرفات القانونية في البيئة الرقمية، وأكد أن الحجية لا تقوم على مجرد وجود وسيط إلكتروني، بل على إمكانية التحقق من المصدر وسلامة المحتوى وقابلية الفحص والتتبع</w:t>
      </w:r>
      <w:r>
        <w:rPr>
          <w:rStyle w:val="af"/>
          <w:rFonts w:asciiTheme="majorBidi" w:hAnsiTheme="majorBidi" w:cstheme="majorBidi"/>
          <w:sz w:val="24"/>
          <w:szCs w:val="24"/>
          <w:rtl/>
        </w:rPr>
        <w:footnoteReference w:id="180"/>
      </w:r>
      <w:r>
        <w:rPr>
          <w:rFonts w:asciiTheme="majorBidi" w:hAnsiTheme="majorBidi" w:cstheme="majorBidi"/>
          <w:sz w:val="24"/>
          <w:szCs w:val="24"/>
          <w:rtl/>
        </w:rPr>
        <w:t>. ويكتسب هذا الطرح أهمية خاصة في سياق المخرجات التوليدية التي قد تنتج نصوصًا قانونية متماسكة ظاهريًا، لكنها لا تُظهر بوضوح مسار تكوينها أو مصادرها أو حدود الاعتماد عليها، الأمر الذي يثير إشكالية تتعلق بمعيار الثقة القانونية وإمكان إخضاع المخرج للفحص النقدي</w:t>
      </w:r>
      <w:r>
        <w:rPr>
          <w:rFonts w:asciiTheme="majorBidi" w:hAnsiTheme="majorBidi" w:cstheme="majorBidi"/>
          <w:sz w:val="24"/>
          <w:szCs w:val="24"/>
        </w:rPr>
        <w:t>.</w:t>
      </w:r>
    </w:p>
    <w:p w14:paraId="66D63878"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وقد أوضح مركز الدراسات والبحوث القانونية (2024م) أن المخرجات التوليدية للذكاء الاصطناعي — لا سيما تلك المستخدمة في إعداد الحجج القانونية — تشكّل تحديًا ضمنيًا للضمانات الإجرائية المتعلقة بصحة الإثبات، إذ إن هذه المخرجات قد تنطوي على أخطاء واقعية أو تحيزات خوارزمية لا يلتفت إليها المحامي المستخدِم.</w:t>
      </w:r>
      <w:r>
        <w:rPr>
          <w:rtl/>
        </w:rPr>
        <w:footnoteReference w:id="181"/>
      </w:r>
    </w:p>
    <w:p w14:paraId="4341360D"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كما يفرض نظام حماية البيانات الشخصية (1443هـ) بعدًا إضافيًا في هذا السياق، إذ ينظم معالجة البيانات ويقرر مسؤولية الجهة المعالجة عند مخالفة أحكامه، ويشترط مشروعية الجمع والغرض المحدد وتقليل المعالجة  وبما أن كثيرًا من الأنظمة الذكية تعتمد على تحليل بيانات ضخمة قد تشمل بيانات شخصية أو حساسة، فإن سلامة مصدر البيانات ومشروعية استخدامها تصبح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37C36997"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ويُستأنس في هذا السياق بما ذهب إليه بعض الباحثين (د.ت) من أن نظام حماية البيانات الشخصية يفرض على مكتب المحاماة قيدًا جوهريًا يتمثل في ضرورة تحديد الغرض من معالجة بيانات الموكل معالجةً ذكية، مع التزام مبدأ التناسب بين حجم البيانات المُعالَجة والغرض القانوني المشروع من هذه المعالجة.</w:t>
      </w:r>
      <w:r>
        <w:rPr>
          <w:rtl/>
        </w:rPr>
        <w:footnoteReference w:id="182"/>
      </w:r>
    </w:p>
    <w:p w14:paraId="5EB689AA"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وفي الإطار الوطني لحوكمة الذكاء الاصطناعي، أكدت الهيئة السعودية للبيانات والذكاء الاصطناعي في وثيقة “مبادئ أخلاقيات الذكاء الاصطناعي” على مبادئ المساءلة والشفافية وعدم الإضرار وقابلية التتبع (الهيئة السعودية للبيانات والذكاء الاصطناعي، 2023)، كما شدد “إطار تبني الذكاء الاصطناعي” على ضرورة وضوح الأدوار والمسؤوليات وعدم إسناد القرار النهائي إلى النظام الآلي بصورة مستقلة (الهيئة السعودية للبيانات والذكاء الاصطناعي، 2024). ويُفهم من هذه الوثائق أن التوجه التنظيمي الوطني لا يعترف للذكاء الاصطناعي بصفة الفاعل القانوني المستقل، بل يرسخ مبدأ بقاء المسؤولية في يد الإنسان، حتى في حال الاستعانة بالأنظمة الذكية</w:t>
      </w:r>
      <w:r>
        <w:rPr>
          <w:rFonts w:asciiTheme="majorBidi" w:hAnsiTheme="majorBidi" w:cstheme="majorBidi"/>
          <w:sz w:val="24"/>
          <w:szCs w:val="24"/>
        </w:rPr>
        <w:t>.</w:t>
      </w:r>
    </w:p>
    <w:p w14:paraId="1BCC275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عالجت الدراسات القانونية الحديثة هذه المسألة من زوايا متعددة. فبعض الباحثين يرى أن الذكاء الاصطناعي لا يُعد شخصًا قانونيًا مستقلًا، وأن المسؤولية تبقى لصيقة بالمستخدم أو المشغل الذي يمارس الرقابة عليه. وفي سياق موازٍ، نبهت مجلة العدالة إلى ضرورة ضبط المسؤولية المهنية في استخدام الأنظمة الذكية داخل الممارسة القانونية، منعًا لاضطراب المعايير وفقدان الثقة في المخرجات (مجلة العدالة، 2022). كما أشارت مجلة الشريعة والقانون إلى أن الإفراط في الاعتماد على الأنظمة التحليلية قد يمس جوهر الوظيفة القانونية القائمة على الاجتهاد البشري، إذا تحول الاستخدام إلى بديل عن التمحيص والمراجعة (مجلة الشريعة والقانون، 2022)</w:t>
      </w:r>
      <w:r>
        <w:rPr>
          <w:rFonts w:asciiTheme="majorBidi" w:hAnsiTheme="majorBidi" w:cstheme="majorBidi"/>
          <w:sz w:val="24"/>
          <w:szCs w:val="24"/>
        </w:rPr>
        <w:t>.</w:t>
      </w:r>
    </w:p>
    <w:p w14:paraId="020EBDC8"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القول أو الفعل في الشريعة لا تقوم إلا إلى مكلف ذي ذمة، ولا يُتصور إسناد حكم إلى غير مكلف. وقد ناقش بعض الباحثين مسألة الاعتراف بالشخصية القانونية للذكاء الاصطناعي، وخلص إلى صعوبة منح التقنية ذمة مستقلة في ظل البناء التقليدي للنظرية القانونية (بعض الباحثين، دون تاريخ). ويبدو أن القياس الأقرب في هذا السياق هو قياس المخرجات الذكية على صور الوكالة أو التسبب، حيث تُنسب النتائج إلى من أذن واستخدم واعتمد، بشرط تحقق القدرة الواقعية على الرقابة وعدم التفريط</w:t>
      </w:r>
      <w:r>
        <w:rPr>
          <w:rFonts w:asciiTheme="majorBidi" w:hAnsiTheme="majorBidi" w:cstheme="majorBidi"/>
          <w:sz w:val="24"/>
          <w:szCs w:val="24"/>
        </w:rPr>
        <w:t>.</w:t>
      </w:r>
    </w:p>
    <w:p w14:paraId="0A934E78"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وعليه، فإن الإشكالية التي يعالجها هذا المبحث ليست إشكالية قبول التقنية أو رفضها، بل إشكالية إدراجها ضمن البنية المفاهيمية القائمة للنظام القانوني، وتحديد موقعها بين الإرادة والنسبة والحجية والمسؤولية. فالمخرجات الذكية لا يمكن التعامل معها بوصفها مجرد “أدوات صماء”، ولا بوصفها “فاعلين قانونيين مستقلين”، بل بوصفها عنصرًا وسيطًا متقدمًا داخل منظومة تصرف قانوني يظل في جوهره بشري المصدر</w:t>
      </w:r>
      <w:r>
        <w:rPr>
          <w:rFonts w:asciiTheme="majorBidi" w:hAnsiTheme="majorBidi" w:cstheme="majorBidi"/>
          <w:sz w:val="24"/>
          <w:szCs w:val="24"/>
        </w:rPr>
        <w:t>.</w:t>
      </w:r>
    </w:p>
    <w:p w14:paraId="5035F689"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وانطلاقًا من ذلك، ينقسم هذا المبحث إلى مطلبين</w:t>
      </w:r>
      <w:r>
        <w:rPr>
          <w:rFonts w:asciiTheme="majorBidi" w:hAnsiTheme="majorBidi" w:cstheme="majorBidi"/>
          <w:b/>
          <w:bCs/>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يتناول </w:t>
      </w:r>
      <w:r>
        <w:rPr>
          <w:rFonts w:asciiTheme="majorBidi" w:hAnsiTheme="majorBidi" w:cstheme="majorBidi"/>
          <w:b/>
          <w:bCs/>
          <w:sz w:val="24"/>
          <w:szCs w:val="24"/>
          <w:rtl/>
        </w:rPr>
        <w:t>المطلب الأول</w:t>
      </w:r>
      <w:r>
        <w:rPr>
          <w:rFonts w:asciiTheme="majorBidi" w:hAnsiTheme="majorBidi" w:cstheme="majorBidi"/>
          <w:sz w:val="24"/>
          <w:szCs w:val="24"/>
          <w:rtl/>
        </w:rPr>
        <w:t xml:space="preserve"> حجية العقود والتقارير القانونية المنتجة آليًا من حيث التكوين والنسبة والحجية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المطلب الثاني</w:t>
      </w:r>
      <w:r>
        <w:rPr>
          <w:rFonts w:asciiTheme="majorBidi" w:hAnsiTheme="majorBidi" w:cstheme="majorBidi"/>
          <w:sz w:val="24"/>
          <w:szCs w:val="24"/>
          <w:rtl/>
        </w:rPr>
        <w:t xml:space="preserve"> فيبحث مشروعية استخدام هذه المخرجات أمام الجهات القضائية، في ضوء الضمانات الإجرائية وسلطة القاضي في تقدير الأدلة، مع الإشارة إلى بعض التجارب الدولية بوصفها مؤشرات تنظيمية مقارنة لا محل استبدال</w:t>
      </w:r>
      <w:r>
        <w:rPr>
          <w:rFonts w:asciiTheme="majorBidi" w:hAnsiTheme="majorBidi" w:cstheme="majorBidi"/>
          <w:sz w:val="24"/>
          <w:szCs w:val="24"/>
        </w:rPr>
        <w:t>.</w:t>
      </w:r>
    </w:p>
    <w:p w14:paraId="413FC54B" w14:textId="77777777" w:rsidR="00355E75" w:rsidRDefault="00624037" w:rsidP="00624037">
      <w:pPr>
        <w:jc w:val="right"/>
        <w:rPr>
          <w:rFonts w:asciiTheme="majorBidi" w:hAnsiTheme="majorBidi" w:cstheme="majorBidi"/>
          <w:sz w:val="24"/>
          <w:szCs w:val="24"/>
          <w:rtl/>
        </w:rPr>
      </w:pPr>
      <w:r>
        <w:rPr>
          <w:rFonts w:asciiTheme="majorBidi" w:hAnsiTheme="majorBidi" w:cstheme="majorBidi"/>
          <w:sz w:val="24"/>
          <w:szCs w:val="24"/>
          <w:rtl/>
        </w:rPr>
        <w:t>ويمثل هذا التمهيد الأساس النظري الذي سيُبنى عليه التحليل التفصيلي في المطلبين اللاحقين، تمهيدًا للانتقال – في المبحث الثاني – إلى معالجة سؤال المسؤولية القانونية والمهنية عن هذه المخرجات في بيئة إنتاج قانوني مركبة</w:t>
      </w:r>
    </w:p>
    <w:p w14:paraId="4680AF81" w14:textId="77777777" w:rsidR="00355E75" w:rsidRDefault="00355E75" w:rsidP="00624037">
      <w:pPr>
        <w:jc w:val="right"/>
        <w:rPr>
          <w:rFonts w:asciiTheme="majorBidi" w:hAnsiTheme="majorBidi" w:cstheme="majorBidi"/>
          <w:sz w:val="24"/>
          <w:szCs w:val="24"/>
          <w:rtl/>
        </w:rPr>
      </w:pPr>
    </w:p>
    <w:p w14:paraId="51D9B8DC" w14:textId="77777777" w:rsidR="00355E75" w:rsidRDefault="00355E75" w:rsidP="00624037">
      <w:pPr>
        <w:jc w:val="right"/>
        <w:rPr>
          <w:rFonts w:asciiTheme="majorBidi" w:hAnsiTheme="majorBidi" w:cstheme="majorBidi"/>
          <w:sz w:val="24"/>
          <w:szCs w:val="24"/>
        </w:rPr>
      </w:pPr>
    </w:p>
    <w:p w14:paraId="213AF8A0" w14:textId="77777777" w:rsidR="004E4D2E" w:rsidRDefault="004E4D2E" w:rsidP="00624037">
      <w:pPr>
        <w:jc w:val="right"/>
        <w:rPr>
          <w:rFonts w:asciiTheme="majorBidi" w:hAnsiTheme="majorBidi" w:cstheme="majorBidi"/>
          <w:sz w:val="24"/>
          <w:szCs w:val="24"/>
        </w:rPr>
      </w:pPr>
    </w:p>
    <w:p w14:paraId="169CBC2A" w14:textId="77777777" w:rsidR="004E4D2E" w:rsidRDefault="004E4D2E" w:rsidP="00624037">
      <w:pPr>
        <w:jc w:val="right"/>
        <w:rPr>
          <w:rFonts w:asciiTheme="majorBidi" w:hAnsiTheme="majorBidi" w:cstheme="majorBidi"/>
          <w:sz w:val="24"/>
          <w:szCs w:val="24"/>
        </w:rPr>
      </w:pPr>
    </w:p>
    <w:p w14:paraId="0122C301" w14:textId="77777777" w:rsidR="004E4D2E" w:rsidRDefault="004E4D2E" w:rsidP="00624037">
      <w:pPr>
        <w:jc w:val="right"/>
        <w:rPr>
          <w:rFonts w:asciiTheme="majorBidi" w:hAnsiTheme="majorBidi" w:cstheme="majorBidi"/>
          <w:sz w:val="24"/>
          <w:szCs w:val="24"/>
        </w:rPr>
      </w:pPr>
    </w:p>
    <w:p w14:paraId="5211DD12" w14:textId="77777777" w:rsidR="00BB08F4" w:rsidRDefault="00BB08F4" w:rsidP="00624037">
      <w:pPr>
        <w:jc w:val="right"/>
        <w:rPr>
          <w:rFonts w:asciiTheme="majorBidi" w:hAnsiTheme="majorBidi" w:cstheme="majorBidi"/>
          <w:sz w:val="24"/>
          <w:szCs w:val="24"/>
          <w:rtl/>
        </w:rPr>
      </w:pPr>
    </w:p>
    <w:p w14:paraId="2895B753" w14:textId="77777777" w:rsidR="00624037" w:rsidRPr="000A2E06" w:rsidRDefault="00624037" w:rsidP="00624037">
      <w:pPr>
        <w:jc w:val="right"/>
        <w:rPr>
          <w:rFonts w:asciiTheme="majorBidi" w:hAnsiTheme="majorBidi" w:cstheme="majorBidi"/>
          <w:sz w:val="24"/>
          <w:szCs w:val="24"/>
        </w:rPr>
      </w:pPr>
    </w:p>
    <w:p w14:paraId="12A6B81B" w14:textId="77777777" w:rsidR="00624037" w:rsidRPr="00850F57"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lastRenderedPageBreak/>
        <w:t>المطلب الأول</w:t>
      </w:r>
    </w:p>
    <w:p w14:paraId="20F1AC31" w14:textId="77777777" w:rsidR="00624037" w:rsidRDefault="00624037" w:rsidP="00624037">
      <w:pPr>
        <w:jc w:val="center"/>
        <w:rPr>
          <w:rFonts w:asciiTheme="majorBidi" w:hAnsiTheme="majorBidi" w:cstheme="majorBidi"/>
          <w:b/>
          <w:bCs/>
          <w:sz w:val="32"/>
          <w:szCs w:val="32"/>
          <w:rtl/>
        </w:rPr>
      </w:pPr>
      <w:r>
        <w:rPr>
          <w:rFonts w:asciiTheme="majorBidi" w:hAnsiTheme="majorBidi" w:cstheme="majorBidi"/>
          <w:b/>
          <w:bCs/>
          <w:sz w:val="32"/>
          <w:szCs w:val="32"/>
          <w:rtl/>
        </w:rPr>
        <w:t>حجية العقود والتقارير القانونية المنتجة آليًا</w:t>
      </w:r>
    </w:p>
    <w:p w14:paraId="7267991B" w14:textId="77777777" w:rsidR="00624037" w:rsidRPr="00850F57" w:rsidRDefault="00624037" w:rsidP="00624037">
      <w:pPr>
        <w:jc w:val="center"/>
        <w:rPr>
          <w:rFonts w:asciiTheme="majorBidi" w:hAnsiTheme="majorBidi" w:cstheme="majorBidi"/>
          <w:b/>
          <w:bCs/>
          <w:sz w:val="32"/>
          <w:szCs w:val="32"/>
        </w:rPr>
      </w:pPr>
    </w:p>
    <w:p w14:paraId="0B69A1B0"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مفهوم الحجية في النظرية العامة للتصرف القانوني</w:t>
      </w:r>
    </w:p>
    <w:p w14:paraId="6E6CA09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التصور القانوني ليست وصفًا شكليًا للمحرر، بل هي مركز قانوني مركب ينشأ عن توافر شروط محددة تتصل بصحة التكوين، وسلامة النسبة، وقابلية الاحتجاج أمام الغير. وقد قرر نظام المعاملات المدنية أن التصرف القانوني يقوم على إرادة معتبرة شرعًا ونظامًا، تصدر عن ذي أهلية، وتتجه إلى إحداث أثر قانوني معين. ويُفهم من هذا النص أن الحجية لا تُفهم بمعزل عن الإرادة، وأن الإرادة لا تُفهم بمعزل عن النسبة</w:t>
      </w:r>
      <w:r>
        <w:rPr>
          <w:rFonts w:asciiTheme="majorBidi" w:hAnsiTheme="majorBidi" w:cstheme="majorBidi"/>
          <w:sz w:val="24"/>
          <w:szCs w:val="24"/>
        </w:rPr>
        <w:t>.</w:t>
      </w:r>
    </w:p>
    <w:p w14:paraId="5859E83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المخرجات القانونية المنتجة عبر أنظمة الذكاء الاصطناعي تثير تساؤلًا جوهريًا: هل يمكن القول إن الإرادة في هذه الحالة تظل “إرادة بشرية خالصة”، أم أنها إرادة مركبة تتداخل فيها عناصر تحليلية غير بشرية؟</w:t>
      </w:r>
      <w:r>
        <w:rPr>
          <w:rFonts w:asciiTheme="majorBidi" w:hAnsiTheme="majorBidi" w:cstheme="majorBidi"/>
          <w:sz w:val="24"/>
          <w:szCs w:val="24"/>
        </w:rPr>
        <w:br/>
      </w:r>
      <w:r>
        <w:rPr>
          <w:rFonts w:asciiTheme="majorBidi" w:hAnsiTheme="majorBidi" w:cstheme="majorBidi"/>
          <w:sz w:val="24"/>
          <w:szCs w:val="24"/>
          <w:rtl/>
        </w:rPr>
        <w:t>هذا السؤال لا يمس الوسيلة التقنية بقدر ما يمس معيار “الانتماء الإرادي” للتصرف</w:t>
      </w:r>
      <w:r>
        <w:rPr>
          <w:rFonts w:asciiTheme="majorBidi" w:hAnsiTheme="majorBidi" w:cstheme="majorBidi"/>
          <w:sz w:val="24"/>
          <w:szCs w:val="24"/>
        </w:rPr>
        <w:t>.</w:t>
      </w:r>
    </w:p>
    <w:p w14:paraId="0C2F8AA3"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الفقه المدني التقليدي، يُشترط لقيام التصرف أن يكون التعبير عن الإرادة صادرًا عن شخص محدد، بحيث يمكن نسبته إليه وتحميله تبعته. فإذا كان النظام الذكي قد شارك في صياغة العقد أو التقرير القانوني، فإن التكييف يتوقف على مدى اندماج هذا المخرج في إرادة المستخدم واعتماده الواعي له</w:t>
      </w:r>
      <w:r>
        <w:rPr>
          <w:rFonts w:asciiTheme="majorBidi" w:hAnsiTheme="majorBidi" w:cstheme="majorBidi"/>
          <w:sz w:val="24"/>
          <w:szCs w:val="24"/>
        </w:rPr>
        <w:t>.</w:t>
      </w:r>
    </w:p>
    <w:p w14:paraId="16E6493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أن الذكاء الاصطناعي – من حيث الأصل – لا يتمتع بإرادة قانونية مستقلة، ولا يمكن إسناد الفعل إليه بوصفه شخصًا قانونيًا، وأن المسؤولية تبقى في يد المشغل أو المستخدم</w:t>
      </w:r>
      <w:r>
        <w:rPr>
          <w:rStyle w:val="af"/>
          <w:rFonts w:asciiTheme="majorBidi" w:hAnsiTheme="majorBidi" w:cstheme="majorBidi"/>
          <w:sz w:val="24"/>
          <w:szCs w:val="24"/>
          <w:rtl/>
        </w:rPr>
        <w:footnoteReference w:id="183"/>
      </w:r>
      <w:r>
        <w:rPr>
          <w:rFonts w:asciiTheme="majorBidi" w:hAnsiTheme="majorBidi" w:cstheme="majorBidi"/>
          <w:sz w:val="24"/>
          <w:szCs w:val="24"/>
          <w:rtl/>
        </w:rPr>
        <w:t>. غير أن هذا الطرح، وإن كان صحيحًا في مستوى المسؤولية، يحتاج إلى تعميق عند بحث الحجية؛ لأن الحجية لا تتعلق فقط بمن يتحمل التبعة، بل بمن يُعد مصدرًا للتكوين الإرادي</w:t>
      </w:r>
      <w:r>
        <w:rPr>
          <w:rFonts w:asciiTheme="majorBidi" w:hAnsiTheme="majorBidi" w:cstheme="majorBidi"/>
          <w:sz w:val="24"/>
          <w:szCs w:val="24"/>
        </w:rPr>
        <w:t>.</w:t>
      </w:r>
    </w:p>
    <w:p w14:paraId="1B9366B9"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لا تُقاس بمعيار “من كتب النص”، بل بمعيار “من تبنّى المضمون بعد فهمٍ وتمحيص”. فإذا كان المحامي قد اعتمد المخرج اعتمادًا شكليًا دون مراجعة جوهرية، فإن نسبة الإرادة تصبح ضعيفة، حتى لو ظل الشكل مستوفيًا. أما إذا كان الاعتماد مسبوقًا بمراجعة نقدية واعية، فإن المخرج يندمج في إرادته ويكتسب حجية كاملة</w:t>
      </w:r>
      <w:r>
        <w:rPr>
          <w:rFonts w:asciiTheme="majorBidi" w:hAnsiTheme="majorBidi" w:cstheme="majorBidi"/>
          <w:sz w:val="24"/>
          <w:szCs w:val="24"/>
        </w:rPr>
        <w:t>.</w:t>
      </w:r>
    </w:p>
    <w:p w14:paraId="00D89357" w14:textId="77777777" w:rsidR="00624037" w:rsidRPr="00850F57" w:rsidRDefault="00624037" w:rsidP="00624037">
      <w:pPr>
        <w:jc w:val="right"/>
        <w:rPr>
          <w:rFonts w:asciiTheme="majorBidi" w:hAnsiTheme="majorBidi" w:cstheme="majorBidi"/>
          <w:sz w:val="24"/>
          <w:szCs w:val="24"/>
        </w:rPr>
      </w:pPr>
    </w:p>
    <w:p w14:paraId="0F9912B3"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نظرية الإرادة في مواجهة المعالجة الخوارزمية</w:t>
      </w:r>
    </w:p>
    <w:p w14:paraId="7E6F294D"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السياق الأكاديمي، استعرض أبو العيد في بحثه حول الذكاء الاصطناعي والقانون الإشكالية الجوهرية المتعلقة بغياب الإرادة الحقيقية عن أنظمة الذكاء الاصطناعي؛ إذ يؤكد أن هذه الأنظمة، وإن بلغت من القدرة الحسابية والتنبؤية حدًا مذهلًا، تفتقر إلى الأهلية القانونية اللازمة للإقرار بمسؤوليتها المستقلة، وأن القانون ما زال يُعوّل على الإنسان صاحب الإرادة المدنية بوصفه المرجع الأول في تحديد الحقوق والالتزامات الناجمة عن استخدام هذه التقنيات.</w:t>
      </w:r>
      <w:r>
        <w:rPr>
          <w:rStyle w:val="af"/>
          <w:rFonts w:asciiTheme="majorBidi" w:hAnsiTheme="majorBidi" w:cstheme="majorBidi"/>
          <w:sz w:val="24"/>
          <w:szCs w:val="24"/>
          <w:rtl/>
        </w:rPr>
        <w:footnoteReference w:id="184"/>
      </w:r>
    </w:p>
    <w:p w14:paraId="0990773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قامت نظرية الإرادة في الفقه المدني على مبدأ سلطان الإرادة، الذي يجعل الإرادة مصدر الالتزام ومناطه. غير أن الفقه الحديث تطور إلى ما يُعرف بـ “نظرية التوازن الموضوعي”، التي تقيد الإرادة بضوابط العدالة والنظام </w:t>
      </w:r>
      <w:r>
        <w:rPr>
          <w:rFonts w:asciiTheme="majorBidi" w:hAnsiTheme="majorBidi" w:cstheme="majorBidi"/>
          <w:sz w:val="24"/>
          <w:szCs w:val="24"/>
          <w:rtl/>
        </w:rPr>
        <w:lastRenderedPageBreak/>
        <w:t>العام. وفي سياق الذكاء الاصطناعي، لا يكفي القول بوجود إرادة شكلية؛ بل ينبغي بحث ما إذا كانت الإرادة قد تشكلت بحرية ووعي أم تأثرت بمعالجة خوارزمية غير مدركة بالكامل</w:t>
      </w:r>
      <w:r>
        <w:rPr>
          <w:rFonts w:asciiTheme="majorBidi" w:hAnsiTheme="majorBidi" w:cstheme="majorBidi"/>
          <w:sz w:val="24"/>
          <w:szCs w:val="24"/>
        </w:rPr>
        <w:t>.</w:t>
      </w:r>
    </w:p>
    <w:p w14:paraId="063AE53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الأنظمة التوليدية قد تقدم للمستخدم صياغات قانونية “مقنعة”، ما يخلق نوعًا من الاعتماد المعرفي على النظام. وهنا يثور تساؤل نظري: هل يؤدي الاعتماد المكثف على التحليل الخوارزمي إلى إضعاف عنصر الإرادة الحرة؟</w:t>
      </w:r>
      <w:r>
        <w:rPr>
          <w:rFonts w:asciiTheme="majorBidi" w:hAnsiTheme="majorBidi" w:cstheme="majorBidi"/>
          <w:sz w:val="24"/>
          <w:szCs w:val="24"/>
        </w:rPr>
        <w:br/>
      </w:r>
      <w:r>
        <w:rPr>
          <w:rFonts w:asciiTheme="majorBidi" w:hAnsiTheme="majorBidi" w:cstheme="majorBidi"/>
          <w:sz w:val="24"/>
          <w:szCs w:val="24"/>
          <w:rtl/>
        </w:rPr>
        <w:t>هذا السؤال يقترب من نظرية “العيوب الإرادية”، لأن الإرادة إذا تشكلت بناءً على تحليل غير قابل للفحص أو قائم على بيانات منحازة، فقد يكون ذلك مؤثرًا في صحتها</w:t>
      </w:r>
      <w:r>
        <w:rPr>
          <w:rFonts w:asciiTheme="majorBidi" w:hAnsiTheme="majorBidi" w:cstheme="majorBidi"/>
          <w:sz w:val="24"/>
          <w:szCs w:val="24"/>
        </w:rPr>
        <w:t>.</w:t>
      </w:r>
    </w:p>
    <w:p w14:paraId="1C78D743"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المعاملات المدنية أن الإرادة إذا شابها عيب مؤثر كان التصرف قابلًا للإبطال (هيئة الخبراء بمجلس الوزراء، 1445هـ)</w:t>
      </w:r>
      <w:r>
        <w:rPr>
          <w:rStyle w:val="af"/>
          <w:rFonts w:asciiTheme="majorBidi" w:hAnsiTheme="majorBidi" w:cstheme="majorBidi"/>
          <w:sz w:val="24"/>
          <w:szCs w:val="24"/>
          <w:rtl/>
        </w:rPr>
        <w:footnoteReference w:id="185"/>
      </w:r>
      <w:r>
        <w:rPr>
          <w:rFonts w:asciiTheme="majorBidi" w:hAnsiTheme="majorBidi" w:cstheme="majorBidi"/>
          <w:sz w:val="24"/>
          <w:szCs w:val="24"/>
          <w:rtl/>
        </w:rPr>
        <w:t>. ومن ثم، فإن استخدام نظام ذكي يقدم توصيفًا قانونيًا خاطئًا بصورة منهجية قد يثير إشكالًا يتعلق بسلامة تكوين الإرادة، لا بمجرد خطأ في الصياغة</w:t>
      </w:r>
      <w:r>
        <w:rPr>
          <w:rFonts w:asciiTheme="majorBidi" w:hAnsiTheme="majorBidi" w:cstheme="majorBidi"/>
          <w:sz w:val="24"/>
          <w:szCs w:val="24"/>
        </w:rPr>
        <w:t>.</w:t>
      </w:r>
    </w:p>
    <w:p w14:paraId="62E6DC1C"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لا أرى أن الاعتماد على الذكاء الاصطناعي يُعد في ذاته عيبًا في الإرادة، لكن الخطر يكمن في “الاعتماد غير المفحوص”. فإذا فقد المستخدم القدرة الواقعية على تقييم المخرج أو أصبح عاجزًا عن تفسيره، فإن معيار الإرادة الواعية يتعرض للاهتزاز. ومن ثم، فإن معيار الفحص النقدي يجب أن يُدمج ضمن مفهوم الإرادة في البيئة الرقمية</w:t>
      </w:r>
      <w:r>
        <w:rPr>
          <w:rFonts w:asciiTheme="majorBidi" w:hAnsiTheme="majorBidi" w:cstheme="majorBidi"/>
          <w:sz w:val="24"/>
          <w:szCs w:val="24"/>
        </w:rPr>
        <w:t>.</w:t>
      </w:r>
    </w:p>
    <w:p w14:paraId="4D9715E8" w14:textId="77777777" w:rsidR="00624037" w:rsidRPr="00850F57" w:rsidRDefault="00624037" w:rsidP="00624037">
      <w:pPr>
        <w:jc w:val="right"/>
        <w:rPr>
          <w:rFonts w:asciiTheme="majorBidi" w:hAnsiTheme="majorBidi" w:cstheme="majorBidi"/>
          <w:sz w:val="24"/>
          <w:szCs w:val="24"/>
        </w:rPr>
      </w:pPr>
    </w:p>
    <w:p w14:paraId="38304929"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حجية المحررات الإلكترونية وحدود القياس عليها</w:t>
      </w:r>
    </w:p>
    <w:p w14:paraId="2F73889B"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أقر نظام الإثبات حجية المحررات الإلكترونية، وأجاز الاحتجاج بها متى ثبتت نسبتها وسلامتها (هيئة الخبراء بمجلس الوزراء، 1443هـ)</w:t>
      </w:r>
      <w:r>
        <w:rPr>
          <w:rStyle w:val="af"/>
          <w:rFonts w:asciiTheme="majorBidi" w:hAnsiTheme="majorBidi" w:cstheme="majorBidi"/>
          <w:sz w:val="24"/>
          <w:szCs w:val="24"/>
          <w:rtl/>
        </w:rPr>
        <w:footnoteReference w:id="186"/>
      </w:r>
      <w:r>
        <w:rPr>
          <w:rFonts w:asciiTheme="majorBidi" w:hAnsiTheme="majorBidi" w:cstheme="majorBidi"/>
          <w:sz w:val="24"/>
          <w:szCs w:val="24"/>
          <w:rtl/>
        </w:rPr>
        <w:t>. وقد استقر الفقه على أن الاعتداد بالمحرر الإلكتروني يقوم على عنصرين: صحة النسبة، وسلامة الوسيط</w:t>
      </w:r>
      <w:r>
        <w:rPr>
          <w:rFonts w:asciiTheme="majorBidi" w:hAnsiTheme="majorBidi" w:cstheme="majorBidi"/>
          <w:sz w:val="24"/>
          <w:szCs w:val="24"/>
        </w:rPr>
        <w:t>.</w:t>
      </w:r>
    </w:p>
    <w:p w14:paraId="7E4C6C8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المخرجات المنتجة آليًا تختلف عن المحررات الإلكترونية التقليدية في نقطة جوهرية؛ إذ إن المحرر الإلكتروني غالبًا ما يكون مجرد نسخة رقمية من إرادة بشرية مكتملة، بينما المخرج الذكي قد يكون نتاج معالجة تحليلية أسهمت في تكوين المضمون ذاته</w:t>
      </w:r>
      <w:r>
        <w:rPr>
          <w:rFonts w:asciiTheme="majorBidi" w:hAnsiTheme="majorBidi" w:cstheme="majorBidi"/>
          <w:sz w:val="24"/>
          <w:szCs w:val="24"/>
        </w:rPr>
        <w:t>.</w:t>
      </w:r>
    </w:p>
    <w:p w14:paraId="54EDAA60"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أوضح بعض الباحثين</w:t>
      </w:r>
      <w:r>
        <w:rPr>
          <w:rStyle w:val="af"/>
          <w:rFonts w:asciiTheme="majorBidi" w:hAnsiTheme="majorBidi" w:cstheme="majorBidi"/>
          <w:sz w:val="24"/>
          <w:szCs w:val="24"/>
          <w:rtl/>
        </w:rPr>
        <w:footnoteReference w:id="187"/>
      </w:r>
      <w:r>
        <w:rPr>
          <w:rFonts w:asciiTheme="majorBidi" w:hAnsiTheme="majorBidi" w:cstheme="majorBidi"/>
          <w:sz w:val="24"/>
          <w:szCs w:val="24"/>
          <w:rtl/>
        </w:rPr>
        <w:t xml:space="preserve"> أن الحجية الرقمية تقوم على قابلية التحقق من المصدر وسلامة المحتوى وقابلية التتبع. وهذا يفتح بابًا مهمًا في تقييم المخرجات الذكية: هل يمكن تتبع آلية تكوينها؟ وهل يمكن فحص أساسها؟ أم أنها تقدم نتيجة دون مسار واضح؟</w:t>
      </w:r>
    </w:p>
    <w:p w14:paraId="3CAE0B9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معيار “قابلية التفسير” هنا يصبح عنصرًا مكملًا للحجية، لأن القضاء لا يستطيع الاعتداد بمحرر لا يمكن فهم أسس تكوينه في حدود معقولة</w:t>
      </w:r>
      <w:r>
        <w:rPr>
          <w:rFonts w:asciiTheme="majorBidi" w:hAnsiTheme="majorBidi" w:cstheme="majorBidi"/>
          <w:sz w:val="24"/>
          <w:szCs w:val="24"/>
        </w:rPr>
        <w:t>.</w:t>
      </w:r>
    </w:p>
    <w:p w14:paraId="7BFFEDE8" w14:textId="77777777" w:rsidR="00624037" w:rsidRDefault="00355E75" w:rsidP="00CF598B">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القياس على المحررات الإلكترونية صحيح من حيث الشكل، لكنه غير كافٍ من حيث الجوهر. فالمخرجات الذكية تحتاج إلى معيار إضافي يتمثل في “إمكان التحقق المهني”، أي قدرة المستخدم على تفسير المخرج والدفاع عنه علميًا وقانونيًا</w:t>
      </w:r>
      <w:r>
        <w:rPr>
          <w:rFonts w:asciiTheme="majorBidi" w:hAnsiTheme="majorBidi" w:cstheme="majorBidi"/>
          <w:sz w:val="24"/>
          <w:szCs w:val="24"/>
        </w:rPr>
        <w:t>.</w:t>
      </w:r>
    </w:p>
    <w:p w14:paraId="2456CAC1" w14:textId="77777777" w:rsidR="00624037" w:rsidRDefault="00624037" w:rsidP="00624037">
      <w:pPr>
        <w:jc w:val="right"/>
        <w:rPr>
          <w:rFonts w:asciiTheme="majorBidi" w:hAnsiTheme="majorBidi" w:cstheme="majorBidi"/>
          <w:sz w:val="24"/>
          <w:szCs w:val="24"/>
        </w:rPr>
      </w:pPr>
    </w:p>
    <w:p w14:paraId="61E2BEB1" w14:textId="77777777" w:rsidR="004E4D2E" w:rsidRDefault="004E4D2E" w:rsidP="00624037">
      <w:pPr>
        <w:jc w:val="right"/>
        <w:rPr>
          <w:rFonts w:asciiTheme="majorBidi" w:hAnsiTheme="majorBidi" w:cstheme="majorBidi"/>
          <w:sz w:val="24"/>
          <w:szCs w:val="24"/>
        </w:rPr>
      </w:pPr>
    </w:p>
    <w:p w14:paraId="30AD1020" w14:textId="77777777" w:rsidR="00624037" w:rsidRPr="00850F57" w:rsidRDefault="00624037" w:rsidP="00624037">
      <w:pPr>
        <w:jc w:val="right"/>
        <w:rPr>
          <w:rFonts w:asciiTheme="majorBidi" w:hAnsiTheme="majorBidi" w:cstheme="majorBidi"/>
          <w:sz w:val="24"/>
          <w:szCs w:val="24"/>
        </w:rPr>
      </w:pPr>
    </w:p>
    <w:p w14:paraId="7A50766F"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lastRenderedPageBreak/>
        <w:t>رابعًا: العقود الذكية والتنفيذ المؤتمت</w:t>
      </w:r>
    </w:p>
    <w:p w14:paraId="4E001001" w14:textId="77777777" w:rsidR="00841BC7" w:rsidRPr="00BB08F4" w:rsidRDefault="00000000" w:rsidP="00BB08F4">
      <w:pPr>
        <w:spacing w:after="200" w:line="276" w:lineRule="auto"/>
        <w:jc w:val="right"/>
        <w:rPr>
          <w:rFonts w:asciiTheme="majorBidi" w:hAnsiTheme="majorBidi" w:cstheme="majorBidi"/>
          <w:b/>
          <w:bCs/>
          <w:color w:val="000000" w:themeColor="text1"/>
          <w:sz w:val="24"/>
          <w:szCs w:val="24"/>
        </w:rPr>
      </w:pPr>
      <w:r w:rsidRPr="00BB08F4">
        <w:rPr>
          <w:rFonts w:asciiTheme="majorBidi" w:hAnsiTheme="majorBidi" w:cstheme="majorBidi"/>
          <w:b/>
          <w:bCs/>
          <w:color w:val="000000" w:themeColor="text1"/>
          <w:sz w:val="24"/>
          <w:szCs w:val="24"/>
          <w:rtl/>
        </w:rPr>
        <w:t>تجدر الإشارة ابتداءً إلى التمييز الجوهري بين مفهومين كثيرًا ما يُستخدمان بصورة مترادفة خطأً: فالعقود الذكية (Smart Contracts) هي برامج تنفيذية ذاتية مشفّرة على شبكات البلوكشين، تعمل بصورة آلية عند تحقق شروط محددة مسبقًا في الكود البرمجي، دون أن تعتمد في جوهرها على تقنيات الذكاء الاصطناعي كالتعلم الآلي أو النماذج اللغوية. أما الذكاء الاصطناعي، فهو منظومة خوارزمية قادرة على الاستنتاج والتعلم من البيانات وتوليد مخرجات لغوية أو تحليلية. وقد تتشابك التقنيتان في بعض التطبيقات المتقدمة، غير أن التداخل المفاهيمي بينهما يُفضي إلى إشكاليات تنظيمية ومهنية تستوجب الدقة التحليلية؛ إذ يختلف الإطار القانوني الناظم لكل منهما اختلافًا جوهريًا من حيث طبيعة المسؤولية، وضوابط الإثبات، ومتطلبات الإفصاح والمساءلة.</w:t>
      </w:r>
    </w:p>
    <w:p w14:paraId="7BDC8638" w14:textId="09FCFD52"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وفي الاتجاه ذاته، </w:t>
      </w:r>
      <w:r w:rsidR="00BB08F4">
        <w:rPr>
          <w:rFonts w:asciiTheme="majorBidi" w:hAnsiTheme="majorBidi" w:cstheme="majorBidi" w:hint="cs"/>
          <w:sz w:val="24"/>
          <w:szCs w:val="24"/>
          <w:rtl/>
        </w:rPr>
        <w:t xml:space="preserve">توجهت </w:t>
      </w:r>
      <w:r>
        <w:rPr>
          <w:rFonts w:asciiTheme="majorBidi" w:hAnsiTheme="majorBidi" w:cstheme="majorBidi"/>
          <w:sz w:val="24"/>
          <w:szCs w:val="24"/>
          <w:rtl/>
        </w:rPr>
        <w:t>بعض البحوث في دراسته مدى ملاءمة العقود الذكية المبرمة عبر تقنية البلوكشين لقانون العقود التقليدي، مستهدفًا إثبات قدرة هذه العقود على إتمام المعاملات التجارية دون الإخلال بحقوق الأطراف أو انتهاك خصوصيتهم، ومنتهيًا إلى أن اشتراط الأهلية في أطراف العقد يُعدّ من أعقد الإشكاليات التي تواجه منظومة العقود الذكية، لا سيما أن هذه العقود لا تتحقق من هوية أطرافها ولا من اكتمال أهليتهم القانونية بالصورة الكافية.</w:t>
      </w:r>
      <w:r>
        <w:rPr>
          <w:rStyle w:val="af"/>
          <w:rFonts w:asciiTheme="majorBidi" w:hAnsiTheme="majorBidi" w:cstheme="majorBidi"/>
          <w:sz w:val="24"/>
          <w:szCs w:val="24"/>
          <w:rtl/>
        </w:rPr>
        <w:footnoteReference w:id="188"/>
      </w:r>
    </w:p>
    <w:p w14:paraId="561602F6"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وعلى صعيد الدراسات القانونية المتخصصة، تناولت علي في بحثها المقارن آلية العقود الذكية ذات الخصائص الفريدة التي غيّرت مسار العملية التعاقدية، مشيرةً إلى أن هذه العقود تُشكّل أحد أبرز التحديات القانونية المعاصرة، وتطرح تساؤلات دقيقة حول كيفية إبرام العقود عبر برامج حاسوبية تعتمد كليًا على الذكاء الاصطناعي، وما طبيعتها القانونية، ومدى استيفائها للأركان اللازمة لصحة العقود في القانون الوضعي.</w:t>
      </w:r>
      <w:r>
        <w:rPr>
          <w:rStyle w:val="af"/>
          <w:rFonts w:asciiTheme="majorBidi" w:hAnsiTheme="majorBidi" w:cstheme="majorBidi"/>
          <w:sz w:val="24"/>
          <w:szCs w:val="24"/>
          <w:rtl/>
        </w:rPr>
        <w:footnoteReference w:id="189"/>
      </w:r>
    </w:p>
    <w:p w14:paraId="257C718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تناول بعض الباحثين مسألة العقود المبرمة عبر أنظمة مؤتمتة، وخلص إلى أن هذه العقود لا تخرج عن الأركان العامة للعقد ما دام التراضي قائمًا</w:t>
      </w:r>
      <w:r>
        <w:rPr>
          <w:rStyle w:val="af"/>
          <w:rFonts w:asciiTheme="majorBidi" w:hAnsiTheme="majorBidi" w:cstheme="majorBidi"/>
          <w:sz w:val="24"/>
          <w:szCs w:val="24"/>
          <w:rtl/>
        </w:rPr>
        <w:footnoteReference w:id="190"/>
      </w:r>
      <w:r>
        <w:rPr>
          <w:rFonts w:asciiTheme="majorBidi" w:hAnsiTheme="majorBidi" w:cstheme="majorBidi"/>
          <w:sz w:val="24"/>
          <w:szCs w:val="24"/>
          <w:rtl/>
        </w:rPr>
        <w:t>. كما أكد بعض الباحثين أن العقود التجارية الذكية تظل خاضعة للقواعد العامة، غير أن التنفيذ المؤتمت يثير تحديات تتعلق بتوزيع المخاطر</w:t>
      </w:r>
      <w:r>
        <w:rPr>
          <w:rFonts w:asciiTheme="majorBidi" w:hAnsiTheme="majorBidi" w:cstheme="majorBidi"/>
          <w:sz w:val="24"/>
          <w:szCs w:val="24"/>
        </w:rPr>
        <w:t>.</w:t>
      </w:r>
    </w:p>
    <w:p w14:paraId="321B4F6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ضوء نظام المعاملات المدنية، فإن العقد ينعقد بتوافر الإيجاب والقبول، ولا يشترط وسيلة معينة للتعبير (هيئة الخبراء بمجلس الوزراء، 1445هـ). ومن ثم، فإن استخدام نظام ذكي في صياغة العقد لا ينزع عنه صفته القانونية. غير أن التنفيذ التلقائي – خاصة عبر البرمجة المسبقة – قد يؤدي إلى نتائج لا يمكن إيقافها بسهولة، وهو ما يرفع معيار العناية في مرحلة الإعداد</w:t>
      </w:r>
      <w:r>
        <w:rPr>
          <w:rFonts w:asciiTheme="majorBidi" w:hAnsiTheme="majorBidi" w:cstheme="majorBidi"/>
          <w:sz w:val="24"/>
          <w:szCs w:val="24"/>
        </w:rPr>
        <w:t>.</w:t>
      </w:r>
    </w:p>
    <w:p w14:paraId="5CC2380C"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العقود الذكية لا تُحدث قطيعة مع النظرية العامة للعقد، لكنها تكشف عن قصور في تصورنا التقليدي للخطأ العقدي. فالخطأ البرمجي قد يكون أشد أثرًا من الخطأ في الصياغة، لأنه يُنفذ آليًا دون فرصة للمراجعة اللحظية. ومن ثم، فإن الحجية العقدية هنا يجب أن تُقرأ في ضوء معيار العناية التقنية المشددة</w:t>
      </w:r>
      <w:r>
        <w:rPr>
          <w:rFonts w:asciiTheme="majorBidi" w:hAnsiTheme="majorBidi" w:cstheme="majorBidi"/>
          <w:sz w:val="24"/>
          <w:szCs w:val="24"/>
        </w:rPr>
        <w:t>.</w:t>
      </w:r>
    </w:p>
    <w:p w14:paraId="21ED1A73" w14:textId="77777777" w:rsidR="00624037" w:rsidRPr="00850F57" w:rsidRDefault="00624037" w:rsidP="00624037">
      <w:pPr>
        <w:jc w:val="right"/>
        <w:rPr>
          <w:rFonts w:asciiTheme="majorBidi" w:hAnsiTheme="majorBidi" w:cstheme="majorBidi"/>
          <w:sz w:val="24"/>
          <w:szCs w:val="24"/>
          <w:rtl/>
        </w:rPr>
      </w:pPr>
    </w:p>
    <w:p w14:paraId="201C6B72"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خامسًا: التكييف الفقهي ونظرية النسبة</w:t>
      </w:r>
    </w:p>
    <w:p w14:paraId="7D52BAB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يقوم الفقه الإسلامي على مبدأ أن “الأعمال بالنيات”، وأن الفعل يُنسب إلى فاعله المكلف. ولا يتصور في الفقه إسناد حكم إلى غير ذي ذمة. ومن ثم، فإن الذكاء الاصطناعي لا يمكن اعتباره فاعلًا شرعيًا مستقلًا</w:t>
      </w:r>
      <w:r>
        <w:rPr>
          <w:rFonts w:asciiTheme="majorBidi" w:hAnsiTheme="majorBidi" w:cstheme="majorBidi"/>
          <w:sz w:val="24"/>
          <w:szCs w:val="24"/>
        </w:rPr>
        <w:t>.</w:t>
      </w:r>
    </w:p>
    <w:p w14:paraId="69D1270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ناقش بعض الباحثين مسألة الاعتراف بالشخصية القانونية للذكاء الاصطناعي، وانتهى إلى أن منح التقنية ذمة مستقلة يقتضي إعادة بناء جوهرية لمفاهيم الأهلية والنسبة (بعض الباحثين، دون تاريخ). ويبدو أن الأقرب للتكييف هو اعتبار النظام الذكي أداة تنفيذية تُنسب آثارها إلى من فعّلها</w:t>
      </w:r>
      <w:r>
        <w:rPr>
          <w:rFonts w:asciiTheme="majorBidi" w:hAnsiTheme="majorBidi" w:cstheme="majorBidi"/>
          <w:sz w:val="24"/>
          <w:szCs w:val="24"/>
        </w:rPr>
        <w:t>.</w:t>
      </w:r>
    </w:p>
    <w:p w14:paraId="17D3858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الفقه يميز بين المباشر والمتسبب، ويقرر أن المتسبب يضمن إذا كان متعديًا أو مفرطًا. فإذا استخدم المحامي نظامًا دون فهم كافٍ أو دون مراجعة، فقد يتحقق معنى التفريط</w:t>
      </w:r>
      <w:r>
        <w:rPr>
          <w:rFonts w:asciiTheme="majorBidi" w:hAnsiTheme="majorBidi" w:cstheme="majorBidi"/>
          <w:sz w:val="24"/>
          <w:szCs w:val="24"/>
        </w:rPr>
        <w:t>.</w:t>
      </w:r>
    </w:p>
    <w:p w14:paraId="28B625D2"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القياس على أحكام التسبب أقرب من القياس على الوكالة؛ لأن النظام الذكي لا يملك إرادة مستقلة، بل يعمل في إطار برمجي. ومن ثم، فإن النسبة تبقى في يد المستخدم، لكن معيار التفريط يصبح هو الفيصل في تقييم الحجية والمسؤولية</w:t>
      </w:r>
      <w:r>
        <w:rPr>
          <w:rFonts w:asciiTheme="majorBidi" w:hAnsiTheme="majorBidi" w:cstheme="majorBidi"/>
          <w:sz w:val="24"/>
          <w:szCs w:val="24"/>
        </w:rPr>
        <w:t>.</w:t>
      </w:r>
    </w:p>
    <w:p w14:paraId="6ED5AF58"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سادسًا: التمييز بين الحجية الشكلية والحجية الموضوعية في المخرجات الذكية</w:t>
      </w:r>
    </w:p>
    <w:p w14:paraId="16B4BCC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أبرز الإشكالات النظرية في هذا السياق ضرورة التمييز بين ما يمكن تسميته بـ “الحجية الشكلية” و”الحجية الموضوعية”. فالحجية الشكلية تتحقق عندما يستوفي المحرر شروطه الشكلية من حيث التوقيع أو الاعتماد أو سلامة الوسيط الإلكتروني وفق ما قرره نظام الإثبات. أما الحجية الموضوعية فتتعلق بسلامة التكوين الإرادي، وصحة الأساس الذي بني عليه المضمون</w:t>
      </w:r>
      <w:r>
        <w:rPr>
          <w:rFonts w:asciiTheme="majorBidi" w:hAnsiTheme="majorBidi" w:cstheme="majorBidi"/>
          <w:sz w:val="24"/>
          <w:szCs w:val="24"/>
        </w:rPr>
        <w:t>.</w:t>
      </w:r>
    </w:p>
    <w:p w14:paraId="2EBBEBCD"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المحررات التقليدية، كان الافتراض الغالب أن الشكل والمضمون صادران عن إرادة واحدة. أما في المخرجات المنتجة آليًا، فقد يتحقق الشكل عبر اعتماد المحامي للمحرر، بينما يكون التكوين الموضوعي قد تم عبر معالجة خوارزمية لا تخضع لرقابة دقيقة من المستخدم</w:t>
      </w:r>
      <w:r>
        <w:rPr>
          <w:rFonts w:asciiTheme="majorBidi" w:hAnsiTheme="majorBidi" w:cstheme="majorBidi"/>
          <w:sz w:val="24"/>
          <w:szCs w:val="24"/>
        </w:rPr>
        <w:t>.</w:t>
      </w:r>
    </w:p>
    <w:p w14:paraId="7A51DD7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أن الثقة في البيئة الرقمية لا تنشأ من مجرد وجود وسيط تقني، بل من إمكانية التحقق من المصدر والأساس الذي بُني عليه المحتوى. وهذا يفرض إعادة قراءة الحجية بوصفها عملية مركبة، لا وصفًا جامدًا</w:t>
      </w:r>
      <w:r>
        <w:rPr>
          <w:rFonts w:asciiTheme="majorBidi" w:hAnsiTheme="majorBidi" w:cstheme="majorBidi"/>
          <w:sz w:val="24"/>
          <w:szCs w:val="24"/>
        </w:rPr>
        <w:t>.</w:t>
      </w:r>
    </w:p>
    <w:p w14:paraId="31A99E02"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قد يواجه البيئة القانونية هو الخلط بين الحجية الشكلية والحجية الموضوعية. فقد يطمئن المستخدم إلى أن المخرج “مستوفٍ شكليًا”، لكنه يغفل عن ضعف الأساس الموضوعي. ومن ثم فإن معيار الحجية في المخرجات الذكية يجب أن يُبنى على ازدواجية واضحة: سلامة الشكل + سلامة التكوين الواعي</w:t>
      </w:r>
      <w:r>
        <w:rPr>
          <w:rFonts w:asciiTheme="majorBidi" w:hAnsiTheme="majorBidi" w:cstheme="majorBidi"/>
          <w:sz w:val="24"/>
          <w:szCs w:val="24"/>
        </w:rPr>
        <w:t>.</w:t>
      </w:r>
    </w:p>
    <w:p w14:paraId="531F77BC" w14:textId="77777777" w:rsidR="00624037" w:rsidRPr="00850F57" w:rsidRDefault="00624037" w:rsidP="00624037">
      <w:pPr>
        <w:jc w:val="right"/>
        <w:rPr>
          <w:rFonts w:asciiTheme="majorBidi" w:hAnsiTheme="majorBidi" w:cstheme="majorBidi"/>
          <w:sz w:val="24"/>
          <w:szCs w:val="24"/>
          <w:rtl/>
        </w:rPr>
      </w:pPr>
    </w:p>
    <w:p w14:paraId="79414C4C"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سابعًا: نظرية المخاطر وتحوّل معيار الثقة</w:t>
      </w:r>
    </w:p>
    <w:p w14:paraId="5918FA1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التطورات اللافتة في الفقه المدني الحديث ما يُعرف بـ “نظرية المخاطر”، التي تقوم على توزيع تبعة النشاط الخطِر على من يجنيه أو يستفيد منه. وإذا كان توظيف أنظمة الذكاء الاصطناعي في العمل القانوني يُعد نشاطًا ينطوي على مخاطر تقنية (انحياز البيانات، أخطاء تحليلية، نتائج غير متوقعة)، فإن معيار الثقة في المخرجات لا يمكن أن يقوم على الافتراض البسيط بأن التقنية معصومة</w:t>
      </w:r>
      <w:r>
        <w:rPr>
          <w:rFonts w:asciiTheme="majorBidi" w:hAnsiTheme="majorBidi" w:cstheme="majorBidi"/>
          <w:sz w:val="24"/>
          <w:szCs w:val="24"/>
        </w:rPr>
        <w:t>.</w:t>
      </w:r>
    </w:p>
    <w:p w14:paraId="2E402A2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ناقشت مجلة العدالة مسألة ضبط المسؤولية في ظل استخدام الأنظمة الذكية، مؤكدة ضرورة بناء إطار يوازن بين الاستفادة من التقنية وتحديد تبعة مخاطرها (مجلة العدالة، 2022)</w:t>
      </w:r>
      <w:r>
        <w:rPr>
          <w:rStyle w:val="af"/>
          <w:rFonts w:asciiTheme="majorBidi" w:hAnsiTheme="majorBidi" w:cstheme="majorBidi"/>
          <w:sz w:val="24"/>
          <w:szCs w:val="24"/>
          <w:rtl/>
        </w:rPr>
        <w:footnoteReference w:id="191"/>
      </w:r>
      <w:r>
        <w:rPr>
          <w:rFonts w:asciiTheme="majorBidi" w:hAnsiTheme="majorBidi" w:cstheme="majorBidi"/>
          <w:sz w:val="24"/>
          <w:szCs w:val="24"/>
          <w:rtl/>
        </w:rPr>
        <w:t>. ويقود هذا الطرح إلى سؤال: هل ينبغي أن يُشدد معيار الحجية في المخرجات الذكية بسبب طبيعة المخاطر الكامنة فيها؟</w:t>
      </w:r>
    </w:p>
    <w:p w14:paraId="6E9D675D"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المخاطر التقنية لا تُنقص الحجية ابتداءً، لكنها تفرض معيار تحقق أعلى. فكلما زادت درجة اعتماد المخرج على معالجة تحليلية معقدة، زاد واجب الفحص والمراجعة. ومن ثم فإن معيار الثقة في المخرجات الذكية ليس مساويًا لمعيار الثقة في الصياغة البشرية التقليدية، بل قد يكون أشد</w:t>
      </w:r>
      <w:r>
        <w:rPr>
          <w:rFonts w:asciiTheme="majorBidi" w:hAnsiTheme="majorBidi" w:cstheme="majorBidi"/>
          <w:sz w:val="24"/>
          <w:szCs w:val="24"/>
        </w:rPr>
        <w:t>.</w:t>
      </w:r>
    </w:p>
    <w:p w14:paraId="27935525" w14:textId="77777777" w:rsidR="00624037" w:rsidRPr="00850F57" w:rsidRDefault="00624037" w:rsidP="00624037">
      <w:pPr>
        <w:jc w:val="right"/>
        <w:rPr>
          <w:rFonts w:asciiTheme="majorBidi" w:hAnsiTheme="majorBidi" w:cstheme="majorBidi"/>
          <w:sz w:val="24"/>
          <w:szCs w:val="24"/>
        </w:rPr>
      </w:pPr>
    </w:p>
    <w:p w14:paraId="5A3637BE"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ثامنًا: حجية التقارير القانونية التحليلية المنتجة آليًا</w:t>
      </w:r>
    </w:p>
    <w:p w14:paraId="6D0562E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لا تقتصر المخرجات الذكية على العقود، بل تمتد إلى التقارير القانونية والتحليلات القائمة على استقراء السوابق أو تصنيف الوقائع. وهنا يثور سؤال مختلف: هل يُعامل التقرير التحليلي المولد آليًا بوصفه رأيًا مهنيًا، أم مجرد أداة مساعدة داخلية؟</w:t>
      </w:r>
    </w:p>
    <w:p w14:paraId="02B0A49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نص نظام الإثبات على أن للمحكمة سلطة تقدير الأدلة، وأنها غير مقيدة إلا بما يرد في النظام (هيئة الخبراء بمجلس الوزراء، 1443هـ). ومن ثم فإن التقرير القانوني – سواء أكان بشريًا أم مدعومًا بخوارزمية – لا يتمتع بقوة إلزامية بذاته، بل يخضع للتقدير القضائي</w:t>
      </w:r>
      <w:r>
        <w:rPr>
          <w:rFonts w:asciiTheme="majorBidi" w:hAnsiTheme="majorBidi" w:cstheme="majorBidi"/>
          <w:sz w:val="24"/>
          <w:szCs w:val="24"/>
        </w:rPr>
        <w:t>.</w:t>
      </w:r>
    </w:p>
    <w:p w14:paraId="4DA813B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الفرق الجوهري يكمن في إمكانية مناقشة الأساس. فالتقرير البشري يمكن استجواب صاحبه حول منهجه وأسانيده، بينما قد يكون التقرير المولد آليًا قائمًا على تحليل لا يمكن شرحه تفصيليًا</w:t>
      </w:r>
      <w:r>
        <w:rPr>
          <w:rFonts w:asciiTheme="majorBidi" w:hAnsiTheme="majorBidi" w:cstheme="majorBidi"/>
          <w:sz w:val="24"/>
          <w:szCs w:val="24"/>
        </w:rPr>
        <w:t>.</w:t>
      </w:r>
    </w:p>
    <w:p w14:paraId="440A51C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حذرت مجلة الشريعة والقانون من الإفراط في الاعتماد على التحليل الخوارزمي في العمل القضائي، لما قد يسببه من إضعاف للاجتهاد القضائي (مجلة الشريعة والقانون، 2022)</w:t>
      </w:r>
      <w:r>
        <w:rPr>
          <w:rStyle w:val="af"/>
          <w:rFonts w:asciiTheme="majorBidi" w:hAnsiTheme="majorBidi" w:cstheme="majorBidi"/>
          <w:sz w:val="24"/>
          <w:szCs w:val="24"/>
          <w:rtl/>
        </w:rPr>
        <w:footnoteReference w:id="192"/>
      </w:r>
      <w:r>
        <w:rPr>
          <w:rFonts w:asciiTheme="majorBidi" w:hAnsiTheme="majorBidi" w:cstheme="majorBidi"/>
          <w:sz w:val="24"/>
          <w:szCs w:val="24"/>
        </w:rPr>
        <w:t>.</w:t>
      </w:r>
    </w:p>
    <w:p w14:paraId="5AEFB2B4"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التقارير المولدة آليًا يجب أن تُعامل بوصفها “أدوات دعم تحليلي”، لا مصادر حجة مستقلة. ويجب أن يظل المحامي قادرًا على شرح مضمون التقرير والدفاع عنه، وإلا أصبحت الحجية محل شك</w:t>
      </w:r>
      <w:r>
        <w:rPr>
          <w:rFonts w:asciiTheme="majorBidi" w:hAnsiTheme="majorBidi" w:cstheme="majorBidi"/>
          <w:sz w:val="24"/>
          <w:szCs w:val="24"/>
        </w:rPr>
        <w:t>.</w:t>
      </w:r>
    </w:p>
    <w:p w14:paraId="38A78FD0" w14:textId="77777777" w:rsidR="00624037" w:rsidRPr="00850F57" w:rsidRDefault="00624037" w:rsidP="00624037">
      <w:pPr>
        <w:jc w:val="right"/>
        <w:rPr>
          <w:rFonts w:asciiTheme="majorBidi" w:hAnsiTheme="majorBidi" w:cstheme="majorBidi"/>
          <w:sz w:val="24"/>
          <w:szCs w:val="24"/>
        </w:rPr>
      </w:pPr>
    </w:p>
    <w:p w14:paraId="0F44F209"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تاسعًا: أثر حوكمة البيانات على الحجية</w:t>
      </w:r>
    </w:p>
    <w:p w14:paraId="63060415"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سلامة المخرج القانوني لا تنفصل عن سلامة البيانات التي بُني عليها. وقد قرر نظام حماية البيانات الشخصية ضوابط دقيقة لمعالجة البيانات، بما في ذلك مشروعية الجمع وتحديد الغرض وتقليل المعالجة (هيئة الخبراء بمجلس الوزراء، 1443هـ)</w:t>
      </w:r>
      <w:r>
        <w:rPr>
          <w:rFonts w:asciiTheme="majorBidi" w:hAnsiTheme="majorBidi" w:cstheme="majorBidi"/>
          <w:sz w:val="24"/>
          <w:szCs w:val="24"/>
        </w:rPr>
        <w:t>.</w:t>
      </w:r>
    </w:p>
    <w:p w14:paraId="78D7780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فإذا استند نظام ذكي إلى بيانات غير مشروعة أو غير دقيقة أو متحيزة، فإن المخرج الناتج قد يكون مشوبًا بخلل منهجي. وهنا تظهر العلاقة بين حوكمة البيانات والحجية القانونية</w:t>
      </w:r>
      <w:r>
        <w:rPr>
          <w:rFonts w:asciiTheme="majorBidi" w:hAnsiTheme="majorBidi" w:cstheme="majorBidi"/>
          <w:sz w:val="24"/>
          <w:szCs w:val="24"/>
        </w:rPr>
        <w:t>.</w:t>
      </w:r>
    </w:p>
    <w:p w14:paraId="7D24EC60"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أكدت وثيقة مبادئ أخلاقيات الذكاء الاصطناعي على العدالة وعدم التحيز والشفافية (الهيئة السعودية للبيانات والذكاء الاصطناعي، 2023)، وهو ما يعني أن مشروعية البيانات شرط ضمني في مشروعية المخرج</w:t>
      </w:r>
      <w:r>
        <w:rPr>
          <w:rFonts w:asciiTheme="majorBidi" w:hAnsiTheme="majorBidi" w:cstheme="majorBidi"/>
          <w:sz w:val="24"/>
          <w:szCs w:val="24"/>
        </w:rPr>
        <w:t>.</w:t>
      </w:r>
    </w:p>
    <w:p w14:paraId="0C8D0980"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يمكن فصلها عن جودة البيانات. فإذا كانت البيانات منحازة أو ناقصة، فإن الحجية الموضوعية للمخرج تتأثر حتى لو استوفى الشكل. ومن ثم، فإن الإطار القانوني لتوظيف الذكاء الاصطناعي في مكاتب المحاماة يجب أن يدمج بين قواعد الإثبات وقواعد حماية البيانات</w:t>
      </w:r>
      <w:r>
        <w:rPr>
          <w:rFonts w:asciiTheme="majorBidi" w:hAnsiTheme="majorBidi" w:cstheme="majorBidi"/>
          <w:sz w:val="24"/>
          <w:szCs w:val="24"/>
        </w:rPr>
        <w:t>.</w:t>
      </w:r>
    </w:p>
    <w:p w14:paraId="19B23943" w14:textId="77777777" w:rsidR="00624037" w:rsidRPr="00850F57" w:rsidRDefault="00624037" w:rsidP="00624037">
      <w:pPr>
        <w:jc w:val="right"/>
        <w:rPr>
          <w:rFonts w:asciiTheme="majorBidi" w:hAnsiTheme="majorBidi" w:cstheme="majorBidi"/>
          <w:sz w:val="24"/>
          <w:szCs w:val="24"/>
        </w:rPr>
      </w:pPr>
    </w:p>
    <w:p w14:paraId="654B76EF"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عاشرًا: إعادة بناء معيار الحجية في البيئة الرقمية</w:t>
      </w:r>
    </w:p>
    <w:p w14:paraId="1B1EA67D"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خلال التحليل السابق، يتضح أن الحجية في المخرجات الذكية لا يمكن اختزالها في معيار واحد. بل تقوم على</w:t>
      </w:r>
      <w:r>
        <w:rPr>
          <w:rFonts w:asciiTheme="majorBidi" w:hAnsiTheme="majorBidi" w:cstheme="majorBidi" w:hint="cs"/>
          <w:sz w:val="24"/>
          <w:szCs w:val="24"/>
          <w:rtl/>
        </w:rPr>
        <w:t xml:space="preserve"> </w:t>
      </w:r>
      <w:r>
        <w:rPr>
          <w:rFonts w:asciiTheme="majorBidi" w:hAnsiTheme="majorBidi" w:cstheme="majorBidi"/>
          <w:sz w:val="24"/>
          <w:szCs w:val="24"/>
          <w:rtl/>
        </w:rPr>
        <w:t>منظومة مركبة تشمل</w:t>
      </w:r>
      <w:r>
        <w:rPr>
          <w:rFonts w:asciiTheme="majorBidi" w:hAnsiTheme="majorBidi" w:cstheme="majorBidi"/>
          <w:sz w:val="24"/>
          <w:szCs w:val="24"/>
        </w:rPr>
        <w:t>:</w:t>
      </w:r>
    </w:p>
    <w:p w14:paraId="01E5BFF6"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صحة التكوين الإرادي وفق نظام المعاملات المدنية (هيئة الخبراء بمجلس الوزراء، 1445هـ)</w:t>
      </w:r>
      <w:r>
        <w:rPr>
          <w:rStyle w:val="af"/>
          <w:rFonts w:asciiTheme="majorBidi" w:hAnsiTheme="majorBidi" w:cstheme="majorBidi"/>
          <w:sz w:val="24"/>
          <w:szCs w:val="24"/>
          <w:rtl/>
        </w:rPr>
        <w:footnoteReference w:id="193"/>
      </w:r>
      <w:r>
        <w:rPr>
          <w:rFonts w:asciiTheme="majorBidi" w:hAnsiTheme="majorBidi" w:cstheme="majorBidi"/>
          <w:sz w:val="24"/>
          <w:szCs w:val="24"/>
        </w:rPr>
        <w:t>.</w:t>
      </w:r>
    </w:p>
    <w:p w14:paraId="6601FCD5"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lastRenderedPageBreak/>
        <w:t>صحة النسبة وسلامة الوسيط وفق نظام الإثبات (هيئة الخبراء بمجلس الوزراء، 1443هـ)</w:t>
      </w:r>
      <w:r>
        <w:rPr>
          <w:rStyle w:val="af"/>
          <w:rFonts w:asciiTheme="majorBidi" w:hAnsiTheme="majorBidi" w:cstheme="majorBidi"/>
          <w:sz w:val="24"/>
          <w:szCs w:val="24"/>
          <w:rtl/>
        </w:rPr>
        <w:footnoteReference w:id="194"/>
      </w:r>
      <w:r>
        <w:rPr>
          <w:rFonts w:asciiTheme="majorBidi" w:hAnsiTheme="majorBidi" w:cstheme="majorBidi"/>
          <w:sz w:val="24"/>
          <w:szCs w:val="24"/>
        </w:rPr>
        <w:t>.</w:t>
      </w:r>
    </w:p>
    <w:p w14:paraId="754D679F"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قابلية الفحص والتفسير وفق ما قرره بعض الباحثين</w:t>
      </w:r>
      <w:r>
        <w:rPr>
          <w:rStyle w:val="af"/>
          <w:rFonts w:asciiTheme="majorBidi" w:hAnsiTheme="majorBidi" w:cstheme="majorBidi"/>
          <w:sz w:val="24"/>
          <w:szCs w:val="24"/>
          <w:rtl/>
        </w:rPr>
        <w:footnoteReference w:id="195"/>
      </w:r>
      <w:r>
        <w:rPr>
          <w:rFonts w:asciiTheme="majorBidi" w:hAnsiTheme="majorBidi" w:cstheme="majorBidi"/>
          <w:sz w:val="24"/>
          <w:szCs w:val="24"/>
        </w:rPr>
        <w:t xml:space="preserve"> (2020).</w:t>
      </w:r>
    </w:p>
    <w:p w14:paraId="358D335A"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مشروعية البيانات وفق نظام حماية البيانات الشخصية</w:t>
      </w:r>
      <w:r>
        <w:rPr>
          <w:rStyle w:val="af"/>
          <w:rFonts w:asciiTheme="majorBidi" w:hAnsiTheme="majorBidi" w:cstheme="majorBidi"/>
          <w:sz w:val="24"/>
          <w:szCs w:val="24"/>
          <w:rtl/>
        </w:rPr>
        <w:footnoteReference w:id="196"/>
      </w:r>
      <w:r>
        <w:rPr>
          <w:rFonts w:asciiTheme="majorBidi" w:hAnsiTheme="majorBidi" w:cstheme="majorBidi"/>
          <w:sz w:val="24"/>
          <w:szCs w:val="24"/>
          <w:rtl/>
        </w:rPr>
        <w:t xml:space="preserve"> (هيئة الخبراء بمجلس الوزراء، 1443هـ)</w:t>
      </w:r>
      <w:r>
        <w:rPr>
          <w:rFonts w:asciiTheme="majorBidi" w:hAnsiTheme="majorBidi" w:cstheme="majorBidi"/>
          <w:sz w:val="24"/>
          <w:szCs w:val="24"/>
        </w:rPr>
        <w:t>.</w:t>
      </w:r>
    </w:p>
    <w:p w14:paraId="04F7CF74" w14:textId="77777777" w:rsidR="00624037" w:rsidRDefault="00624037" w:rsidP="00624037">
      <w:pPr>
        <w:ind w:left="360"/>
        <w:jc w:val="right"/>
        <w:rPr>
          <w:rFonts w:asciiTheme="majorBidi" w:hAnsiTheme="majorBidi" w:cstheme="majorBidi"/>
          <w:sz w:val="24"/>
          <w:szCs w:val="24"/>
          <w:rtl/>
        </w:rPr>
      </w:pPr>
      <w:r>
        <w:rPr>
          <w:rFonts w:asciiTheme="majorBidi" w:hAnsiTheme="majorBidi" w:cstheme="majorBidi"/>
          <w:sz w:val="24"/>
          <w:szCs w:val="24"/>
          <w:rtl/>
        </w:rPr>
        <w:t>بقاء المسؤولية البشرية وفق مبادئ سدايا</w:t>
      </w:r>
      <w:r>
        <w:rPr>
          <w:rStyle w:val="af"/>
          <w:rFonts w:asciiTheme="majorBidi" w:hAnsiTheme="majorBidi" w:cstheme="majorBidi"/>
          <w:sz w:val="24"/>
          <w:szCs w:val="24"/>
          <w:rtl/>
        </w:rPr>
        <w:footnoteReference w:id="197"/>
      </w:r>
      <w:r>
        <w:rPr>
          <w:rFonts w:asciiTheme="majorBidi" w:hAnsiTheme="majorBidi" w:cstheme="majorBidi"/>
          <w:sz w:val="24"/>
          <w:szCs w:val="24"/>
          <w:rtl/>
        </w:rPr>
        <w:t xml:space="preserve"> (الهيئة السعودية للبيانات والذكاء الاصطناعي، 2023؛</w:t>
      </w:r>
      <w:r>
        <w:rPr>
          <w:rFonts w:asciiTheme="majorBidi" w:hAnsiTheme="majorBidi" w:cstheme="majorBidi" w:hint="cs"/>
          <w:sz w:val="24"/>
          <w:szCs w:val="24"/>
          <w:rtl/>
        </w:rPr>
        <w:t xml:space="preserve"> </w:t>
      </w:r>
    </w:p>
    <w:p w14:paraId="31DE3AC1"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 xml:space="preserve"> </w:t>
      </w:r>
    </w:p>
    <w:p w14:paraId="3580DEF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Pr>
        <w:br/>
      </w:r>
      <w:r>
        <w:rPr>
          <w:rFonts w:asciiTheme="majorBidi" w:hAnsiTheme="majorBidi" w:cstheme="majorBidi" w:hint="cs"/>
          <w:sz w:val="24"/>
          <w:szCs w:val="24"/>
          <w:rtl/>
        </w:rPr>
        <w:t xml:space="preserve">مما سبق </w:t>
      </w:r>
      <w:r>
        <w:rPr>
          <w:rFonts w:asciiTheme="majorBidi" w:hAnsiTheme="majorBidi" w:cstheme="majorBidi"/>
          <w:sz w:val="24"/>
          <w:szCs w:val="24"/>
          <w:rtl/>
        </w:rPr>
        <w:t>أرى أن المخرجات القانونية المنتجة آليًا لا ينبغي النظر إليها باعتبارها فاعلًا قانونيًا جديدًا، ولا باعتبارها مجرد وسيلة تحرير محايدة، بل باعتبارها “عنصرًا تحليليًا وسيطًا” داخل عملية تصرف قانوني يظل في جوهره بشري المصدر</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وتكتسب هذه المخرجات حجيتها عندما تندمج اندماجًا واعيًا في إرادة بشرية مسؤولة، وتخضع لمعيار فحص مهني كافٍ، وتقوم على بيانات مشروعة، وتظل قابلة للتفسير في حدود معقولة</w:t>
      </w:r>
      <w:r>
        <w:rPr>
          <w:rFonts w:asciiTheme="majorBidi" w:hAnsiTheme="majorBidi" w:cstheme="majorBidi"/>
          <w:sz w:val="24"/>
          <w:szCs w:val="24"/>
        </w:rPr>
        <w:t>.</w:t>
      </w:r>
    </w:p>
    <w:p w14:paraId="2BF7B12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إذا تحولت إلى مخرجات يُعتمد عليها دون فهم، أو تقوم على معالجة غير قابلة للفحص، فإن الحجية تصبح شكلية أكثر منها موضوعية، وهو ما قد يُحدث خللًا في توازن النظام القانوني</w:t>
      </w:r>
      <w:r>
        <w:rPr>
          <w:rFonts w:asciiTheme="majorBidi" w:hAnsiTheme="majorBidi" w:cstheme="majorBidi"/>
          <w:sz w:val="24"/>
          <w:szCs w:val="24"/>
        </w:rPr>
        <w:t>.</w:t>
      </w:r>
    </w:p>
    <w:p w14:paraId="5854212C" w14:textId="77777777" w:rsidR="00624037" w:rsidRPr="00CF4F0F" w:rsidRDefault="00624037" w:rsidP="00624037">
      <w:pPr>
        <w:jc w:val="right"/>
        <w:rPr>
          <w:rFonts w:asciiTheme="majorBidi" w:hAnsiTheme="majorBidi" w:cstheme="majorBidi"/>
          <w:sz w:val="24"/>
          <w:szCs w:val="24"/>
          <w:u w:val="single"/>
        </w:rPr>
      </w:pPr>
      <w:r>
        <w:rPr>
          <w:rFonts w:asciiTheme="majorBidi" w:hAnsiTheme="majorBidi" w:cstheme="majorBidi"/>
          <w:i/>
          <w:iCs/>
          <w:sz w:val="24"/>
          <w:szCs w:val="24"/>
          <w:u w:val="single"/>
          <w:rtl/>
        </w:rPr>
        <w:t>وبذلك يكون هذا المطلب قد أسس للإطار النظري الذي يمكّن من الانتقال في المطلب الثاني إلى بحث مشروعية استخدام هذه المخرجات أمام الجهات القضائية، في ضوء ضمانات العدالة الإجرائية وسلطة القاضي في تقدير الدليل</w:t>
      </w:r>
      <w:r>
        <w:rPr>
          <w:rFonts w:asciiTheme="majorBidi" w:hAnsiTheme="majorBidi" w:cstheme="majorBidi"/>
          <w:sz w:val="24"/>
          <w:szCs w:val="24"/>
          <w:u w:val="single"/>
        </w:rPr>
        <w:t>.</w:t>
      </w:r>
    </w:p>
    <w:p w14:paraId="2E89866D"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التحول في مفهوم الاجتهاد المهني وأثره على الحجية</w:t>
      </w:r>
    </w:p>
    <w:p w14:paraId="6CF6DD9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التي لم تحظ بالعناية الكافية في النقاش القانوني مسألة تأثير المخرجات الذكية على مفهوم “الاجتهاد المهني” ذاته. فالمحامي – في البناء التقليدي – يُعد صاحب رأي قانوني مستقل، يقوم على تحليل الوقائع والنصوص والسوابق، ويُسأل مهنيًا عن سلامة منهجه ونتيجته. أما في البيئة المعززة بالذكاء الاصطناعي، فإن الرأي قد يتشكل – جزئيًا أو كليًا – بناءً على معالجة خوارزمية تستند إلى قواعد بيانات واسعة</w:t>
      </w:r>
      <w:r>
        <w:rPr>
          <w:rFonts w:asciiTheme="majorBidi" w:hAnsiTheme="majorBidi" w:cstheme="majorBidi"/>
          <w:sz w:val="24"/>
          <w:szCs w:val="24"/>
        </w:rPr>
        <w:t>.</w:t>
      </w:r>
    </w:p>
    <w:p w14:paraId="559FA31A"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وقد أشار بعض الباحثين </w:t>
      </w:r>
      <w:r>
        <w:rPr>
          <w:rStyle w:val="af"/>
          <w:rFonts w:asciiTheme="majorBidi" w:hAnsiTheme="majorBidi" w:cstheme="majorBidi"/>
          <w:sz w:val="24"/>
          <w:szCs w:val="24"/>
          <w:rtl/>
        </w:rPr>
        <w:footnoteReference w:id="198"/>
      </w:r>
      <w:r>
        <w:rPr>
          <w:rFonts w:asciiTheme="majorBidi" w:hAnsiTheme="majorBidi" w:cstheme="majorBidi"/>
          <w:sz w:val="24"/>
          <w:szCs w:val="24"/>
          <w:rtl/>
        </w:rPr>
        <w:t>في دراسته حول الضوابط القانونية لاستخدام الذكاء الاصطناعي في المعاملات القانونية إلى أن إدخال التقنية في عملية اتخاذ القرار القانوني لا ينبغي أن يُفضي إلى “تفريغ الاجتهاد من مضمونه الإنساني”، بل إلى دعمه وتوسيع آفاقه. وهذا الطرح يثير سؤالًا دقيقًا: هل يُعد الرأي القانوني المدعوم بخوارزمية رأيًا شخصيًا للمحامي، أم رأيًا مشترك التكوين؟</w:t>
      </w:r>
    </w:p>
    <w:p w14:paraId="6840ED97"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الحجية هنا ترتبط بمدى بقاء الاجتهاد عنصرًا بشريًا حاكمًا، لا تابعًا. فإذا أصبح دور المحامي مقتصرًا على نقل نتيجة النظام دون تحليل إضافي، فإن الحجية تتحول من حجية رأي مهني إلى حجية أداة تحليلية، وهو تحول خطِر من منظور الثقة القانونية</w:t>
      </w:r>
      <w:r>
        <w:rPr>
          <w:rFonts w:asciiTheme="majorBidi" w:hAnsiTheme="majorBidi" w:cstheme="majorBidi"/>
          <w:sz w:val="24"/>
          <w:szCs w:val="24"/>
        </w:rPr>
        <w:t>.</w:t>
      </w:r>
    </w:p>
    <w:p w14:paraId="1DE7AF32"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الاجتهاد المهني لا ينتفي باستخدام الذكاء الاصطناعي، لكنه يتغير في طبيعته. فالمحامي في البيئة الرقمية مطالب بأن يمارس “اجتهادًا نقديًا” تجاه المخرج، لا مجرد اجتهاد إنشائي. ومن ثم فإن معيار الحجية ينبغي أن يُقاس بمدى ممارسة هذا الاجتهاد النقدي، لا بمجرد صدور المخرج عنه</w:t>
      </w:r>
      <w:r>
        <w:rPr>
          <w:rFonts w:asciiTheme="majorBidi" w:hAnsiTheme="majorBidi" w:cstheme="majorBidi"/>
          <w:sz w:val="24"/>
          <w:szCs w:val="24"/>
        </w:rPr>
        <w:t>.</w:t>
      </w:r>
    </w:p>
    <w:p w14:paraId="5C38D5DF" w14:textId="77777777" w:rsidR="00624037" w:rsidRPr="00F20C0E" w:rsidRDefault="00624037" w:rsidP="00624037">
      <w:pPr>
        <w:jc w:val="right"/>
        <w:rPr>
          <w:rFonts w:asciiTheme="majorBidi" w:hAnsiTheme="majorBidi" w:cstheme="majorBidi"/>
          <w:sz w:val="24"/>
          <w:szCs w:val="24"/>
          <w:rtl/>
        </w:rPr>
      </w:pPr>
    </w:p>
    <w:p w14:paraId="0B71BB82"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المخرجات الذكية بوصفها قرائن تحليلية لا أدلة قاطعة</w:t>
      </w:r>
    </w:p>
    <w:p w14:paraId="2533287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الإشكالات المهمة في سياق الحجية ما يتصل بطبيعة المخرجات التحليلية القائمة على استقراء السوابق أو تصنيف الأنماط. فهذه المخرجات – بطبيعتها – تقوم على تحليل احتمالي أو إحصائي، وهو ما يختلف عن الإثبات المباشر للوقائع</w:t>
      </w:r>
      <w:r>
        <w:rPr>
          <w:rFonts w:asciiTheme="majorBidi" w:hAnsiTheme="majorBidi" w:cstheme="majorBidi"/>
          <w:sz w:val="24"/>
          <w:szCs w:val="24"/>
        </w:rPr>
        <w:t>.</w:t>
      </w:r>
    </w:p>
    <w:p w14:paraId="36A5417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الإثبات أن للقاضي سلطة تقدير القرائن بحسب قوة دلالتها</w:t>
      </w:r>
      <w:r>
        <w:rPr>
          <w:rFonts w:asciiTheme="majorBidi" w:hAnsiTheme="majorBidi" w:cstheme="majorBidi" w:hint="cs"/>
          <w:sz w:val="24"/>
          <w:szCs w:val="24"/>
          <w:rtl/>
        </w:rPr>
        <w:t xml:space="preserve"> </w:t>
      </w:r>
      <w:r>
        <w:rPr>
          <w:rFonts w:asciiTheme="majorBidi" w:hAnsiTheme="majorBidi" w:cstheme="majorBidi"/>
          <w:sz w:val="24"/>
          <w:szCs w:val="24"/>
          <w:rtl/>
        </w:rPr>
        <w:t>وبناءً على ذلك، فإن التحليل الخوارزمي لا يمكن اعتباره دليلًا قاطعًا، بل يدخل – في أفضل الأحوال – ضمن نطاق القرائن المساعدة</w:t>
      </w:r>
      <w:r>
        <w:rPr>
          <w:rFonts w:asciiTheme="majorBidi" w:hAnsiTheme="majorBidi" w:cstheme="majorBidi"/>
          <w:sz w:val="24"/>
          <w:szCs w:val="24"/>
        </w:rPr>
        <w:t>.</w:t>
      </w:r>
    </w:p>
    <w:p w14:paraId="7CCC537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حذرت مجلة الشريعة والقانون من تحويل التحليل الإحصائي إلى بديل عن الاستدلال القانوني، مؤكدة أن القضاء لا يقوم على حساب الاحتمالات بل على تطبيق النص على الواقعة الثابتة (مجلة الشريعة والقانون، 2022)</w:t>
      </w:r>
      <w:r>
        <w:rPr>
          <w:rFonts w:asciiTheme="majorBidi" w:hAnsiTheme="majorBidi" w:cstheme="majorBidi"/>
          <w:sz w:val="24"/>
          <w:szCs w:val="24"/>
        </w:rPr>
        <w:t>.</w:t>
      </w:r>
    </w:p>
    <w:p w14:paraId="45AA8D50"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المخرجات الذكية، خاصة تلك القائمة على تحليل السوابق، يجب أن تُعامل بوصفها “قرائن تحليلية” لا أكثر. فإذا تم تقديمها للمحكمة باعتبارها نتيجة علمية حتمية، فإن ذلك يخل بطبيعة الاستدلال القضائي. ومن ثم فإن حجيتها تظل نسبية، مرتبطة بقدرتها على الإقناع لا بالإلزام</w:t>
      </w:r>
      <w:r>
        <w:rPr>
          <w:rFonts w:asciiTheme="majorBidi" w:hAnsiTheme="majorBidi" w:cstheme="majorBidi"/>
          <w:sz w:val="24"/>
          <w:szCs w:val="24"/>
        </w:rPr>
        <w:t>.</w:t>
      </w:r>
    </w:p>
    <w:p w14:paraId="3AFC1FC9" w14:textId="77777777" w:rsidR="00624037" w:rsidRPr="00F20C0E" w:rsidRDefault="00624037" w:rsidP="00624037">
      <w:pPr>
        <w:jc w:val="right"/>
        <w:rPr>
          <w:rFonts w:asciiTheme="majorBidi" w:hAnsiTheme="majorBidi" w:cstheme="majorBidi"/>
          <w:sz w:val="24"/>
          <w:szCs w:val="24"/>
        </w:rPr>
      </w:pPr>
    </w:p>
    <w:p w14:paraId="755C472B"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الحجية ومبدأ الاستقرار القانوني</w:t>
      </w:r>
    </w:p>
    <w:p w14:paraId="7023451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جوهرها لا تخدم فقط أطراف التصرف، بل تخدم مبدأ الاستقرار القانوني. فالاستقرار يقوم على الثقة في أن التصرفات المنتجة وفق القواعد النظامية تُرتب آثارها بصورة يمكن التنبؤ بها</w:t>
      </w:r>
      <w:r>
        <w:rPr>
          <w:rFonts w:asciiTheme="majorBidi" w:hAnsiTheme="majorBidi" w:cstheme="majorBidi"/>
          <w:sz w:val="24"/>
          <w:szCs w:val="24"/>
        </w:rPr>
        <w:t>.</w:t>
      </w:r>
    </w:p>
    <w:p w14:paraId="141D6E2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الاعتماد المكثف على أنظمة ذكية قد يؤدي إلى تفاوت في النتائج باختلاف النظام المستخدم أو قاعدة البيانات المعتمدة أو طريقة التدريب. وهذا يثير إشكالًا يتعلق بوحدة المعايير</w:t>
      </w:r>
      <w:r>
        <w:rPr>
          <w:rFonts w:asciiTheme="majorBidi" w:hAnsiTheme="majorBidi" w:cstheme="majorBidi"/>
          <w:sz w:val="24"/>
          <w:szCs w:val="24"/>
        </w:rPr>
        <w:t>.</w:t>
      </w:r>
    </w:p>
    <w:p w14:paraId="4818757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ضرورة وجود ضوابط تنظيمية موحدة لاستخدامات الذكاء الاصطناعي، منعًا لحدوث تباين في النتائج القانونية بسبب اختلاف الأنظمة</w:t>
      </w:r>
      <w:r>
        <w:rPr>
          <w:rStyle w:val="af"/>
          <w:rFonts w:asciiTheme="majorBidi" w:hAnsiTheme="majorBidi" w:cstheme="majorBidi"/>
          <w:sz w:val="24"/>
          <w:szCs w:val="24"/>
          <w:rtl/>
        </w:rPr>
        <w:footnoteReference w:id="199"/>
      </w:r>
      <w:r>
        <w:rPr>
          <w:rFonts w:asciiTheme="majorBidi" w:hAnsiTheme="majorBidi" w:cstheme="majorBidi"/>
          <w:sz w:val="24"/>
          <w:szCs w:val="24"/>
        </w:rPr>
        <w:t>.</w:t>
      </w:r>
    </w:p>
    <w:p w14:paraId="6D5F03C9"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تتعلق فقط بصحة التصرف الفردي، بل بمدى انسجامها مع مبدأ الاستقرار القانوني. فإذا أدى تعدد الأنظمة إلى نتائج متناقضة في حالات متشابهة، فإن الثقة في المخرجات تضعف. ومن ثم فإن الإطار القانوني لتوظيف الذكاء الاصطناعي في مكاتب المحاماة ينبغي أن يضع حدًا أدنى من المعايير المهنية الموحدة</w:t>
      </w:r>
      <w:r>
        <w:rPr>
          <w:rFonts w:asciiTheme="majorBidi" w:hAnsiTheme="majorBidi" w:cstheme="majorBidi"/>
          <w:sz w:val="24"/>
          <w:szCs w:val="24"/>
        </w:rPr>
        <w:t>.</w:t>
      </w:r>
    </w:p>
    <w:p w14:paraId="712120A4" w14:textId="77777777" w:rsidR="00624037" w:rsidRPr="00F20C0E" w:rsidRDefault="00624037" w:rsidP="00624037">
      <w:pPr>
        <w:jc w:val="right"/>
        <w:rPr>
          <w:rFonts w:asciiTheme="majorBidi" w:hAnsiTheme="majorBidi" w:cstheme="majorBidi"/>
          <w:sz w:val="24"/>
          <w:szCs w:val="24"/>
        </w:rPr>
      </w:pPr>
    </w:p>
    <w:p w14:paraId="1EEE1FB4"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مفهوم “الثقة المشروطة” في المخرجات القانونية</w:t>
      </w:r>
    </w:p>
    <w:p w14:paraId="3042F41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تقوم الحجية في البيئة التقليدية على افتراض الثقة في المصدر المهني. أما في البيئة الرقمية، فإن الثقة لا يمكن أن تكون مطلقة، بل تصبح “ثقة مشروطة” بمدى تحقق معايير الشفافية والفحص</w:t>
      </w:r>
      <w:r>
        <w:rPr>
          <w:rFonts w:asciiTheme="majorBidi" w:hAnsiTheme="majorBidi" w:cstheme="majorBidi"/>
          <w:sz w:val="24"/>
          <w:szCs w:val="24"/>
        </w:rPr>
        <w:t>.</w:t>
      </w:r>
    </w:p>
    <w:p w14:paraId="1399E215"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أكدت وثيقة مبادئ أخلاقيات الذكاء الاصطناعي على مبدأ الشفافية وقابلية التفسير وعدم الإضرار (الهيئة السعودية للبيانات والذكاء الاصطناعي، 2023)، وهو ما يعني أن الثقة في المخرجات ليست افتراضًا، بل نتيجة تحقق شروط معينة</w:t>
      </w:r>
      <w:r>
        <w:rPr>
          <w:rFonts w:asciiTheme="majorBidi" w:hAnsiTheme="majorBidi" w:cstheme="majorBidi"/>
          <w:sz w:val="24"/>
          <w:szCs w:val="24"/>
        </w:rPr>
        <w:t>.</w:t>
      </w:r>
    </w:p>
    <w:p w14:paraId="1182F20F" w14:textId="77777777" w:rsidR="00624037" w:rsidRPr="00F20C0E" w:rsidRDefault="00AC4E6B" w:rsidP="00AC4E6B">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أ</w:t>
      </w:r>
      <w:r>
        <w:rPr>
          <w:rFonts w:asciiTheme="majorBidi" w:hAnsiTheme="majorBidi" w:cstheme="majorBidi"/>
          <w:sz w:val="24"/>
          <w:szCs w:val="24"/>
          <w:rtl/>
        </w:rPr>
        <w:t>رى أن الثقة في المخرجات الذكية يجب أن تُبنى على معيارين</w:t>
      </w:r>
    </w:p>
    <w:p w14:paraId="678CE64A" w14:textId="77777777" w:rsidR="00624037" w:rsidRPr="00F20C0E" w:rsidRDefault="00624037">
      <w:pPr>
        <w:numPr>
          <w:ilvl w:val="0"/>
          <w:numId w:val="11"/>
        </w:numPr>
        <w:jc w:val="right"/>
        <w:rPr>
          <w:rFonts w:asciiTheme="majorBidi" w:hAnsiTheme="majorBidi" w:cstheme="majorBidi"/>
          <w:sz w:val="24"/>
          <w:szCs w:val="24"/>
        </w:rPr>
      </w:pPr>
      <w:r>
        <w:rPr>
          <w:rFonts w:asciiTheme="majorBidi" w:hAnsiTheme="majorBidi" w:cstheme="majorBidi"/>
          <w:sz w:val="24"/>
          <w:szCs w:val="24"/>
          <w:rtl/>
        </w:rPr>
        <w:lastRenderedPageBreak/>
        <w:t>وضوح حدود النظام المستخدم</w:t>
      </w:r>
      <w:r>
        <w:rPr>
          <w:rFonts w:asciiTheme="majorBidi" w:hAnsiTheme="majorBidi" w:cstheme="majorBidi"/>
          <w:sz w:val="24"/>
          <w:szCs w:val="24"/>
        </w:rPr>
        <w:t>.</w:t>
      </w:r>
    </w:p>
    <w:p w14:paraId="236B919B" w14:textId="77777777" w:rsidR="00624037" w:rsidRPr="00F20C0E" w:rsidRDefault="00624037">
      <w:pPr>
        <w:numPr>
          <w:ilvl w:val="0"/>
          <w:numId w:val="11"/>
        </w:numPr>
        <w:jc w:val="right"/>
        <w:rPr>
          <w:rFonts w:asciiTheme="majorBidi" w:hAnsiTheme="majorBidi" w:cstheme="majorBidi"/>
          <w:sz w:val="24"/>
          <w:szCs w:val="24"/>
        </w:rPr>
      </w:pPr>
      <w:r>
        <w:rPr>
          <w:rFonts w:asciiTheme="majorBidi" w:hAnsiTheme="majorBidi" w:cstheme="majorBidi"/>
          <w:sz w:val="24"/>
          <w:szCs w:val="24"/>
          <w:rtl/>
        </w:rPr>
        <w:t>قدرة المستخدم على تفسير النتيجة والدفاع عنها</w:t>
      </w:r>
      <w:r>
        <w:rPr>
          <w:rFonts w:asciiTheme="majorBidi" w:hAnsiTheme="majorBidi" w:cstheme="majorBidi"/>
          <w:sz w:val="24"/>
          <w:szCs w:val="24"/>
        </w:rPr>
        <w:t>.</w:t>
      </w:r>
    </w:p>
    <w:p w14:paraId="70BDB04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وبغير ذلك، تصبح الحجية مبنية على ثقة تقنية لا على ثقة قانونية</w:t>
      </w:r>
      <w:r>
        <w:rPr>
          <w:rFonts w:asciiTheme="majorBidi" w:hAnsiTheme="majorBidi" w:cstheme="majorBidi"/>
          <w:sz w:val="24"/>
          <w:szCs w:val="24"/>
        </w:rPr>
        <w:t>.</w:t>
      </w:r>
    </w:p>
    <w:p w14:paraId="3820DD93" w14:textId="77777777" w:rsidR="00624037" w:rsidRPr="00F20C0E" w:rsidRDefault="00624037" w:rsidP="00624037">
      <w:pPr>
        <w:jc w:val="right"/>
        <w:rPr>
          <w:rFonts w:asciiTheme="majorBidi" w:hAnsiTheme="majorBidi" w:cstheme="majorBidi"/>
          <w:sz w:val="24"/>
          <w:szCs w:val="24"/>
        </w:rPr>
      </w:pPr>
    </w:p>
    <w:p w14:paraId="5FE13062"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من الحجية الفردية إلى الحجية المؤسسية</w:t>
      </w:r>
    </w:p>
    <w:p w14:paraId="5D0A1397"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الممارسة التقليدية، تُنسب الحجية إلى شخص المحامي. أما في البيئة الرقمية، فقد تصبح المخرجات نتاج منظومة مؤسسية تشمل مزود التقنية ومطور النظام وفريق البيانات</w:t>
      </w:r>
      <w:r>
        <w:rPr>
          <w:rFonts w:asciiTheme="majorBidi" w:hAnsiTheme="majorBidi" w:cstheme="majorBidi"/>
          <w:sz w:val="24"/>
          <w:szCs w:val="24"/>
        </w:rPr>
        <w:t>.</w:t>
      </w:r>
    </w:p>
    <w:p w14:paraId="669E689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وهنا يثور تساؤل: هل تبقى الحجية فردية أم تتحول إلى حجية مؤسسية؟</w:t>
      </w:r>
    </w:p>
    <w:p w14:paraId="661F2F7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إطار تبني الذكاء الاصطناعي ضرورة وضوح الأدوار والمسؤوليات داخل الجهات (الهيئة السعودية للبيانات والذكاء الاصطناعي، 2024)، وهو ما يعني أن الحجية لا يمكن فصلها عن البنية المؤسسية التي أنتجت المخرج</w:t>
      </w:r>
      <w:r>
        <w:rPr>
          <w:rFonts w:asciiTheme="majorBidi" w:hAnsiTheme="majorBidi" w:cstheme="majorBidi"/>
          <w:sz w:val="24"/>
          <w:szCs w:val="24"/>
        </w:rPr>
        <w:t>.</w:t>
      </w:r>
    </w:p>
    <w:p w14:paraId="556BB992"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تتجه نحو طابع مؤسسي، لأن عملية الإنتاج لم تعد فردية بالكامل. ومن ثم فإن الإطار التنظيمي لمكاتب المحاماة يجب أن يعترف بهذا التحول، ويحدد مسؤوليات واضحة داخل المؤسسة المهنية</w:t>
      </w:r>
      <w:r>
        <w:rPr>
          <w:rFonts w:asciiTheme="majorBidi" w:hAnsiTheme="majorBidi" w:cstheme="majorBidi"/>
          <w:sz w:val="24"/>
          <w:szCs w:val="24"/>
        </w:rPr>
        <w:t>.</w:t>
      </w:r>
    </w:p>
    <w:p w14:paraId="20BB06BC" w14:textId="77777777" w:rsidR="00624037" w:rsidRPr="00F20C0E" w:rsidRDefault="00624037" w:rsidP="00624037">
      <w:pPr>
        <w:jc w:val="right"/>
        <w:rPr>
          <w:rFonts w:asciiTheme="majorBidi" w:hAnsiTheme="majorBidi" w:cstheme="majorBidi"/>
          <w:sz w:val="24"/>
          <w:szCs w:val="24"/>
        </w:rPr>
      </w:pPr>
    </w:p>
    <w:p w14:paraId="41FE14F7"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نقدية ختامية للمطلب</w:t>
      </w:r>
    </w:p>
    <w:p w14:paraId="4B772A3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يتبين من مجموع ما سبق أن حجية العقود والتقارير القانونية المنتجة آليًا ليست مسألة شكلية تتعلق بوسيط إلكتروني، ولا مسألة تقنية بحتة تتعلق بمدى تطور الخوارزمية، بل هي مسألة نظرية تمس جوهر الإرادة والنسبة والثقة والاستقرار</w:t>
      </w:r>
      <w:r>
        <w:rPr>
          <w:rFonts w:asciiTheme="majorBidi" w:hAnsiTheme="majorBidi" w:cstheme="majorBidi"/>
          <w:sz w:val="24"/>
          <w:szCs w:val="24"/>
        </w:rPr>
        <w:t>.</w:t>
      </w:r>
    </w:p>
    <w:p w14:paraId="359A40D7"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وقد تناول جابر في بحثه المنشور ضمن المجلة الدولية للبحوث النوعية المتخصصة (IJSSR) عام 2023م موضوع تطبيقات الذكاء الاصطناعي في الحكم القضائي، مستعرضًا العلاقة بين الذكاء الاصطناعي والدعاوى القضائية وسُبل الإثبات والنفي بواسطته. وتوصل إلى جملة من النتائج الجوهرية، منها: أن استعانة القاضي بالذكاء الاصطناعي في استنباط القرائن تبقى رهينةً بتقدير القاضي لا بالإلزام النظامي، وأن إقرار النظام الاصطناعي لا يُعدّ دليلًا نافذًا في النظام القانوني الحالي، وأن عدم توافر شروط الشهادة يمنع اعتماد تقنيات الذكاء الاصطناعي بديلًا عنها.</w:t>
      </w:r>
      <w:r>
        <w:rPr>
          <w:rStyle w:val="af"/>
          <w:rFonts w:asciiTheme="majorBidi" w:hAnsiTheme="majorBidi" w:cstheme="majorBidi"/>
          <w:sz w:val="24"/>
          <w:szCs w:val="24"/>
          <w:rtl/>
        </w:rPr>
        <w:footnoteReference w:id="200"/>
      </w:r>
    </w:p>
    <w:p w14:paraId="79B643E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فالذكاء الاصطناعي لا ينشئ بذاته تصرفًا قانونيًا، لكنه قد يسهم في تشكيله. والحجية لا تُستمد من الآلة، بل من الإنسان الذي يعتمدها ويُحسن استخدامها ويخضعها للفحص</w:t>
      </w:r>
      <w:r>
        <w:rPr>
          <w:rFonts w:asciiTheme="majorBidi" w:hAnsiTheme="majorBidi" w:cstheme="majorBidi"/>
          <w:sz w:val="24"/>
          <w:szCs w:val="24"/>
        </w:rPr>
        <w:t>.</w:t>
      </w:r>
    </w:p>
    <w:p w14:paraId="6058FAC5"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ويظهر من تحليل هذا المطلب :</w:t>
      </w:r>
      <w:r>
        <w:rPr>
          <w:rFonts w:asciiTheme="majorBidi" w:hAnsiTheme="majorBidi" w:cstheme="majorBidi"/>
          <w:sz w:val="24"/>
          <w:szCs w:val="24"/>
        </w:rPr>
        <w:br/>
      </w:r>
      <w:r>
        <w:rPr>
          <w:rFonts w:asciiTheme="majorBidi" w:hAnsiTheme="majorBidi" w:cstheme="majorBidi" w:hint="cs"/>
          <w:sz w:val="24"/>
          <w:szCs w:val="24"/>
          <w:rtl/>
        </w:rPr>
        <w:t>ا</w:t>
      </w:r>
      <w:r>
        <w:rPr>
          <w:rFonts w:asciiTheme="majorBidi" w:hAnsiTheme="majorBidi" w:cstheme="majorBidi"/>
          <w:sz w:val="24"/>
          <w:szCs w:val="24"/>
          <w:rtl/>
        </w:rPr>
        <w:t>ن التكييف الصحيح للمخرجات القانونية المنتجة آليًا في النظام السعودي يقوم على ثلاثة أعمدة</w:t>
      </w:r>
    </w:p>
    <w:p w14:paraId="50993467"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اندماج واعٍ في إرادة بشرية مسؤولة</w:t>
      </w:r>
      <w:r>
        <w:rPr>
          <w:rFonts w:asciiTheme="majorBidi" w:hAnsiTheme="majorBidi" w:cstheme="majorBidi"/>
          <w:sz w:val="24"/>
          <w:szCs w:val="24"/>
        </w:rPr>
        <w:t>.</w:t>
      </w:r>
    </w:p>
    <w:p w14:paraId="207C2F48"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قابلية مهنية للفحص والتفسير</w:t>
      </w:r>
      <w:r>
        <w:rPr>
          <w:rFonts w:asciiTheme="majorBidi" w:hAnsiTheme="majorBidi" w:cstheme="majorBidi"/>
          <w:sz w:val="24"/>
          <w:szCs w:val="24"/>
        </w:rPr>
        <w:t>.</w:t>
      </w:r>
    </w:p>
    <w:p w14:paraId="572EAB28"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lastRenderedPageBreak/>
        <w:t>خضوع لضوابط حوكمة البيانات والمسؤولية المؤسسية</w:t>
      </w:r>
      <w:r>
        <w:rPr>
          <w:rFonts w:asciiTheme="majorBidi" w:hAnsiTheme="majorBidi" w:cstheme="majorBidi"/>
          <w:sz w:val="24"/>
          <w:szCs w:val="24"/>
        </w:rPr>
        <w:t>.</w:t>
      </w:r>
    </w:p>
    <w:p w14:paraId="3468FAB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وبذلك تبقى الحجية محفوظة ضمن الإطار التقليدي للتصرف القانوني، مع تطوير معاييره بما يتلاءم مع البيئة الرقمية، دون الاعتراف للذكاء الاصطناعي بصفة الفاعل القانوني المستقل</w:t>
      </w:r>
      <w:r>
        <w:rPr>
          <w:rFonts w:asciiTheme="majorBidi" w:hAnsiTheme="majorBidi" w:cstheme="majorBidi"/>
          <w:sz w:val="24"/>
          <w:szCs w:val="24"/>
        </w:rPr>
        <w:t>.</w:t>
      </w:r>
    </w:p>
    <w:p w14:paraId="3A68235D" w14:textId="77777777" w:rsidR="00624037" w:rsidRDefault="00624037" w:rsidP="00624037">
      <w:pPr>
        <w:jc w:val="right"/>
        <w:rPr>
          <w:rFonts w:asciiTheme="majorBidi" w:hAnsiTheme="majorBidi" w:cstheme="majorBidi"/>
          <w:sz w:val="24"/>
          <w:szCs w:val="24"/>
        </w:rPr>
      </w:pPr>
    </w:p>
    <w:p w14:paraId="4821868B" w14:textId="77777777" w:rsidR="003048E3" w:rsidRDefault="003048E3" w:rsidP="00624037">
      <w:pPr>
        <w:jc w:val="right"/>
        <w:rPr>
          <w:rFonts w:asciiTheme="majorBidi" w:hAnsiTheme="majorBidi" w:cstheme="majorBidi"/>
          <w:sz w:val="24"/>
          <w:szCs w:val="24"/>
        </w:rPr>
      </w:pPr>
    </w:p>
    <w:p w14:paraId="49336194" w14:textId="77777777" w:rsidR="003048E3" w:rsidRDefault="003048E3" w:rsidP="00624037">
      <w:pPr>
        <w:jc w:val="right"/>
        <w:rPr>
          <w:rFonts w:asciiTheme="majorBidi" w:hAnsiTheme="majorBidi" w:cstheme="majorBidi"/>
          <w:sz w:val="24"/>
          <w:szCs w:val="24"/>
        </w:rPr>
      </w:pPr>
    </w:p>
    <w:p w14:paraId="533357DC" w14:textId="77777777" w:rsidR="00CF598B" w:rsidRDefault="00CF598B" w:rsidP="00624037">
      <w:pPr>
        <w:jc w:val="right"/>
        <w:rPr>
          <w:rFonts w:asciiTheme="majorBidi" w:hAnsiTheme="majorBidi" w:cstheme="majorBidi"/>
          <w:sz w:val="24"/>
          <w:szCs w:val="24"/>
        </w:rPr>
      </w:pPr>
    </w:p>
    <w:p w14:paraId="73BE7EBE" w14:textId="77777777" w:rsidR="00CF598B" w:rsidRDefault="00CF598B" w:rsidP="00624037">
      <w:pPr>
        <w:jc w:val="right"/>
        <w:rPr>
          <w:rFonts w:asciiTheme="majorBidi" w:hAnsiTheme="majorBidi" w:cstheme="majorBidi"/>
          <w:sz w:val="24"/>
          <w:szCs w:val="24"/>
        </w:rPr>
      </w:pPr>
    </w:p>
    <w:p w14:paraId="6E112779" w14:textId="77777777" w:rsidR="00624037" w:rsidRPr="00F20C0E"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المطلب الثاني</w:t>
      </w:r>
    </w:p>
    <w:p w14:paraId="23242EE4" w14:textId="77777777" w:rsidR="00624037" w:rsidRPr="00F20C0E"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مشروعية استخدامها أمام الجهات القضائية مع الإشارة إلى بعض التجارب الدولية</w:t>
      </w:r>
    </w:p>
    <w:p w14:paraId="3E27A3E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البحث في حجية العقود والتقارير القانونية المنتجة آليًا قد انصرف – في المطلب الأول – إلى تحليل طبيعتها من حيث التكوين والنسبة والأساس النظري للاعتداد بها، فإن الانتقال إلى هذا المطلب يقتضي طرح سؤال أكثر دقة وحساسية: هل يُعد استخدام هذه المخرجات أمام الجهات القضائية مشروعًا في ضوء النظام السعودي، وما الضوابط التي تحكم هذا الاستخدام؟ ثم إلى أي مدى يمكن الاستئناس ببعض التجارب الدولية في تنظيم هذه المسألة دون الإخلال بخصوصية البيئة النظامية الوطنية؟</w:t>
      </w:r>
    </w:p>
    <w:p w14:paraId="11C72B1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مشروعية استخدام المخرجات الذكية أمام القضاء لا تُختزل في مجرد الاعتراف بالمحررات الإلكترونية أو تبني مبدأ الحياد التقني، بل ترتبط بمدى انسجام هذه المخرجات مع ضمانات التقاضي، وسلطة المحكمة في تقدير الدليل، ومبدأ المواجهة بين الخصوم، فضلًا عن متطلبات الشفافية والمساءلة التي أكدتها الوثائق الوطنية في مجال حوكمة الذكاء الاصطناعي</w:t>
      </w:r>
      <w:r>
        <w:rPr>
          <w:rFonts w:asciiTheme="majorBidi" w:hAnsiTheme="majorBidi" w:cstheme="majorBidi"/>
          <w:sz w:val="24"/>
          <w:szCs w:val="24"/>
        </w:rPr>
        <w:t>.</w:t>
      </w:r>
    </w:p>
    <w:p w14:paraId="20CD9D6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فقد أقر نظام الإثبات لعام 1443هـ حجية المحررات الإلكترونية، وقرر أن الإثبات يكون بكافة الوسائل النظامية، وأكد أن للمحكمة سلطة تقدير الأدلة بحسب قناعتها المستمدة من أوراق الدعوى (هيئة الخبراء بمجلس الوزراء، 1443هـ). غير أن هذا الإقرار لا يعني أن كل مخرج تقني يُقبل أمام القضاء دون قيد، بل يظل خاضعًا لمعيار المشروعية الإجرائية والموضوعية</w:t>
      </w:r>
      <w:r>
        <w:rPr>
          <w:rFonts w:asciiTheme="majorBidi" w:hAnsiTheme="majorBidi" w:cstheme="majorBidi"/>
          <w:sz w:val="24"/>
          <w:szCs w:val="24"/>
        </w:rPr>
        <w:t>.</w:t>
      </w:r>
    </w:p>
    <w:p w14:paraId="0B1B3B4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ومن ثم فإن هذا </w:t>
      </w:r>
      <w:r>
        <w:rPr>
          <w:rFonts w:asciiTheme="majorBidi" w:hAnsiTheme="majorBidi" w:cstheme="majorBidi"/>
          <w:b/>
          <w:bCs/>
          <w:sz w:val="24"/>
          <w:szCs w:val="24"/>
          <w:rtl/>
        </w:rPr>
        <w:t xml:space="preserve">المطلب ينطلق من فرضية أساسية </w:t>
      </w:r>
      <w:r>
        <w:rPr>
          <w:rFonts w:asciiTheme="majorBidi" w:hAnsiTheme="majorBidi" w:cstheme="majorBidi"/>
          <w:sz w:val="24"/>
          <w:szCs w:val="24"/>
          <w:rtl/>
        </w:rPr>
        <w:t>مؤداها أن مشروعية استخدام المخرجات الذكية أمام الجهات القضائية تقوم على ثلاثة مرتكزات متداخلة</w:t>
      </w:r>
      <w:r>
        <w:rPr>
          <w:rFonts w:asciiTheme="majorBidi" w:hAnsiTheme="majorBidi" w:cstheme="majorBidi"/>
          <w:sz w:val="24"/>
          <w:szCs w:val="24"/>
        </w:rPr>
        <w:t>:</w:t>
      </w:r>
    </w:p>
    <w:p w14:paraId="2EBEC12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أولها:</w:t>
      </w:r>
      <w:r>
        <w:rPr>
          <w:rFonts w:asciiTheme="majorBidi" w:hAnsiTheme="majorBidi" w:cstheme="majorBidi"/>
          <w:sz w:val="24"/>
          <w:szCs w:val="24"/>
          <w:rtl/>
        </w:rPr>
        <w:t xml:space="preserve"> المرتكز النظامي، المتعلق بمدى اتساق الاستخدام مع أحكام نظام الإثبات، ونظام المرافعات الشرعية، ونظام الإجراءات الجزائية، من حيث قبول الوسائل الإلكترونية، وضمان حق الدفاع، وسلطة القاضي في تقدير الأدلة (هيئة الخبراء بمجلس الوزراء، 1443هـ؛ 1435هـ)</w:t>
      </w:r>
      <w:r>
        <w:rPr>
          <w:rFonts w:asciiTheme="majorBidi" w:hAnsiTheme="majorBidi" w:cstheme="majorBidi"/>
          <w:sz w:val="24"/>
          <w:szCs w:val="24"/>
        </w:rPr>
        <w:t>.</w:t>
      </w:r>
    </w:p>
    <w:p w14:paraId="6703E5C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ويُرسي نظام القضاء السعودي الصادر بالمرسوم الملكي رقم م/78 وتاريخ 19/9/1428هـ ضمانات استقلال القضاء وحياده، مؤكدًا في مادته الأولى أن القضاة مستقلون لا سلطان عليهم في قضائهم لغير أحكام الشريعة الإسلامية والأنظمة المرعية. وتُشكّل هذه الضمانة حجر أساس لأي نقاش حول استخدام الذكاء الاصطناعي في </w:t>
      </w:r>
      <w:r>
        <w:rPr>
          <w:rFonts w:asciiTheme="majorBidi" w:hAnsiTheme="majorBidi" w:cstheme="majorBidi"/>
          <w:sz w:val="24"/>
          <w:szCs w:val="24"/>
          <w:rtl/>
        </w:rPr>
        <w:lastRenderedPageBreak/>
        <w:t>إصدار الأحكام أو مساندة القاضي في تقدير الأدلة؛ إذ إن إدخال هذه التقنيات لا يجوز أن يُخلّ باستقلالية القاضي أو يُشكّل مصدر ضغط خارجي على قرارته القضائية.</w:t>
      </w:r>
      <w:r>
        <w:rPr>
          <w:rStyle w:val="af"/>
          <w:rFonts w:asciiTheme="majorBidi" w:hAnsiTheme="majorBidi" w:cstheme="majorBidi"/>
          <w:sz w:val="24"/>
          <w:szCs w:val="24"/>
          <w:rtl/>
        </w:rPr>
        <w:footnoteReference w:id="201"/>
      </w:r>
    </w:p>
    <w:p w14:paraId="1B9203F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وثانيها:</w:t>
      </w:r>
      <w:r>
        <w:rPr>
          <w:rFonts w:asciiTheme="majorBidi" w:hAnsiTheme="majorBidi" w:cstheme="majorBidi"/>
          <w:sz w:val="24"/>
          <w:szCs w:val="24"/>
          <w:rtl/>
        </w:rPr>
        <w:t xml:space="preserve"> المرتكز المهني، المتصل بحدود الدور الذي يجوز للمحامي أن يُسند فيه جزءًا من تحليله أو صياغته إلى نظام ذكي، دون أن يتحول إلى ناقل آلي لنتيجة غير مفحوصة، وهو ما تناولته بعض الدراسات القانونية المعاصرة عند بحثها في المسؤولية المهنية المرتبطة باستخدام الذكاء الاصطناعي</w:t>
      </w:r>
      <w:r>
        <w:rPr>
          <w:rFonts w:asciiTheme="majorBidi" w:hAnsiTheme="majorBidi" w:cstheme="majorBidi"/>
          <w:sz w:val="24"/>
          <w:szCs w:val="24"/>
        </w:rPr>
        <w:t>.</w:t>
      </w:r>
    </w:p>
    <w:p w14:paraId="4BAFE9CF"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 xml:space="preserve">وثالثها: </w:t>
      </w:r>
      <w:r>
        <w:rPr>
          <w:rFonts w:asciiTheme="majorBidi" w:hAnsiTheme="majorBidi" w:cstheme="majorBidi"/>
          <w:sz w:val="24"/>
          <w:szCs w:val="24"/>
          <w:rtl/>
        </w:rPr>
        <w:t>المرتكز المقارن، الذي يهدف إلى استجلاء الكيفية التي تعاملت بها بعض الأنظمة القانونية مع هذه المسألة، خاصة في ظل صدور تنظيمات حديثة للذكاء الاصطناعي في بعض الدول، بما يسمح باستخلاص مؤشرات تنظيمية يمكن الاستئناس بها دون أن تُعد بديلًا عن البناء الوطني</w:t>
      </w:r>
      <w:r>
        <w:rPr>
          <w:rFonts w:asciiTheme="majorBidi" w:hAnsiTheme="majorBidi" w:cstheme="majorBidi"/>
          <w:sz w:val="24"/>
          <w:szCs w:val="24"/>
        </w:rPr>
        <w:t>.</w:t>
      </w:r>
    </w:p>
    <w:p w14:paraId="36A98F6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وفيما يتعلق بالمرتكز النظامي، فإن مبدأ الحياد التقني الذي كرسه نظام الإثبات يعني أن الوسيلة لا تُرفض لكونها إلكترونية، بل يُنظر إلى سلامة نسبتها ومطابقتها للشروط النظامية (هيئة الخبراء بمجلس الوزراء، 1443هـ). إلا أن المخرجات الذكية تثير إشكالًا إضافيًا يتمثل في طبيعة تكوينها التحليلي؛ إذ قد تقوم على معالجة خوارزمية معقدة يصعب على الخصم أو حتى المحكمة الإحاطة بكامل تفاصيلها</w:t>
      </w:r>
      <w:r>
        <w:rPr>
          <w:rFonts w:asciiTheme="majorBidi" w:hAnsiTheme="majorBidi" w:cstheme="majorBidi"/>
          <w:sz w:val="24"/>
          <w:szCs w:val="24"/>
        </w:rPr>
        <w:t>.</w:t>
      </w:r>
    </w:p>
    <w:p w14:paraId="21F031A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أن الاعتداد بالأدلة الرقمية يتطلب قابلية التتبع والتحقق، بما يضمن إمكان فحصها ومناقشتها أمام القضاء</w:t>
      </w:r>
      <w:r>
        <w:rPr>
          <w:rStyle w:val="af"/>
          <w:rFonts w:asciiTheme="majorBidi" w:hAnsiTheme="majorBidi" w:cstheme="majorBidi"/>
          <w:sz w:val="24"/>
          <w:szCs w:val="24"/>
          <w:rtl/>
        </w:rPr>
        <w:footnoteReference w:id="202"/>
      </w:r>
      <w:r>
        <w:rPr>
          <w:rFonts w:asciiTheme="majorBidi" w:hAnsiTheme="majorBidi" w:cstheme="majorBidi"/>
          <w:sz w:val="24"/>
          <w:szCs w:val="24"/>
          <w:rtl/>
        </w:rPr>
        <w:t>. وهذا يضع شرطًا ضمنيًا لمشروعية استخدام المخرجات الذكية، وهو أن تكون قابلة للفحص والمناقشة، وألا تُقدَّم بوصفها نتائج مغلقة لا تقبل التفكيك</w:t>
      </w:r>
      <w:r>
        <w:rPr>
          <w:rFonts w:asciiTheme="majorBidi" w:hAnsiTheme="majorBidi" w:cstheme="majorBidi"/>
          <w:sz w:val="24"/>
          <w:szCs w:val="24"/>
        </w:rPr>
        <w:t>.</w:t>
      </w:r>
    </w:p>
    <w:p w14:paraId="16AD7A1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من الناحية المهنية، فإن استخدام المخرجات الذكية أمام القضاء يثير تساؤلًا حول حدود التفويض التقني في العمل القانوني. فإذا قدم المحامي مذكرة أو تقريرًا أُنتج بمعالجة خوارزمية، فإن مسؤوليته المهنية لا تنتفي لمجرد أن النظام هو الذي اقترح الصياغة أو التحليل. وقد أكدت مجلة العدالة ضرورة بقاء المسؤولية المهنية قائمة عند استخدام الأنظمة الذكية، منعًا لحدوث فراغ تنظيمي (مجلة العدالة، 2022)</w:t>
      </w:r>
      <w:r>
        <w:rPr>
          <w:rStyle w:val="af"/>
          <w:rFonts w:asciiTheme="majorBidi" w:hAnsiTheme="majorBidi" w:cstheme="majorBidi"/>
          <w:sz w:val="24"/>
          <w:szCs w:val="24"/>
          <w:rtl/>
        </w:rPr>
        <w:footnoteReference w:id="203"/>
      </w:r>
      <w:r>
        <w:rPr>
          <w:rFonts w:asciiTheme="majorBidi" w:hAnsiTheme="majorBidi" w:cstheme="majorBidi"/>
          <w:sz w:val="24"/>
          <w:szCs w:val="24"/>
        </w:rPr>
        <w:t>.</w:t>
      </w:r>
    </w:p>
    <w:p w14:paraId="18323E9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ويعني ذلك أن مشروعية الاستخدام أمام القضاء لا تنفصل عن بقاء العنصر البشري في موقع السيطرة والتحكم، وهو ما يتفق مع ما أكدته الهيئة السعودية للبيانات والذكاء الاصطناعي في مبادئ أخلاقيات الذكاء الاصطناعي من ضرورة وجود إشراف بشري فعّال، وقابلية تفسير المخرجات، وتحمل المسؤولية عن نتائجها (الهيئة السعودية للبيانات والذكاء الاصطناعي، 2023). كما شدد إطار تبني الذكاء الاصطناعي على وضوح الأدوار وعدم إسناد القرار النهائي إلى النظام بصورة مستقلة (الهيئة السعودية للبيانات والذكاء الاصطناعي، 2024)</w:t>
      </w:r>
      <w:r>
        <w:rPr>
          <w:rFonts w:asciiTheme="majorBidi" w:hAnsiTheme="majorBidi" w:cstheme="majorBidi"/>
          <w:sz w:val="24"/>
          <w:szCs w:val="24"/>
        </w:rPr>
        <w:t>.</w:t>
      </w:r>
    </w:p>
    <w:p w14:paraId="5A9900F3"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المرتكز المقارن، فيكتسب أهميته من أن بعض الأنظمة القانونية الحديثة قد واجهت بالفعل مسألة استخدام الذكاء الاصطناعي في السياق القضائي، سواء في تقديم المذكرات المدعومة بتحليل آلي، أو في استخدام أدوات تنبؤية. وقد اتجه التنظيم الأوروبي في قانون الذكاء الاصطناعي</w:t>
      </w:r>
      <w:r>
        <w:rPr>
          <w:rFonts w:asciiTheme="majorBidi" w:hAnsiTheme="majorBidi" w:cstheme="majorBidi"/>
          <w:sz w:val="24"/>
          <w:szCs w:val="24"/>
        </w:rPr>
        <w:t xml:space="preserve"> (AI Act) </w:t>
      </w:r>
      <w:r>
        <w:rPr>
          <w:rFonts w:asciiTheme="majorBidi" w:hAnsiTheme="majorBidi" w:cstheme="majorBidi"/>
          <w:sz w:val="24"/>
          <w:szCs w:val="24"/>
          <w:rtl/>
        </w:rPr>
        <w:t>إلى تصنيف بعض أنظمة الذكاء الاصطناعي المستخدمة في المجال القضائي ضمن فئة “الأنظمة عالية المخاطر”، وفرض عليها متطلبات تتعلق بالشفافية والإشراف البشري وإدارة المخاطر</w:t>
      </w:r>
      <w:r>
        <w:rPr>
          <w:rFonts w:asciiTheme="majorBidi" w:hAnsiTheme="majorBidi" w:cstheme="majorBidi"/>
          <w:sz w:val="24"/>
          <w:szCs w:val="24"/>
        </w:rPr>
        <w:t xml:space="preserve"> (European Parliament &amp; Council of the European Union, 2024). </w:t>
      </w:r>
      <w:r>
        <w:rPr>
          <w:rFonts w:asciiTheme="majorBidi" w:hAnsiTheme="majorBidi" w:cstheme="majorBidi"/>
          <w:sz w:val="24"/>
          <w:szCs w:val="24"/>
          <w:rtl/>
        </w:rPr>
        <w:t>ويعكس هذا الاتجاه إدراكًا تشريعيًا لحساسية البيئة القضائية، وضرورة وضع ضوابط خاصة لاستخدام التقنية فيها</w:t>
      </w:r>
      <w:r>
        <w:rPr>
          <w:rFonts w:asciiTheme="majorBidi" w:hAnsiTheme="majorBidi" w:cstheme="majorBidi"/>
          <w:sz w:val="24"/>
          <w:szCs w:val="24"/>
        </w:rPr>
        <w:t>.</w:t>
      </w:r>
    </w:p>
    <w:p w14:paraId="3AC6440B"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 xml:space="preserve">وبالنظر إلى اتجاه التنظيم الأوروبي في قانون الذكاء الاصطناعي، لاحظ بعض الباحثين أن هذا القانون يُرسي نظام المساءلة القائمة على الخطر بدلاً من نظام المساءلة القائمة على الخطأ بالنسبة لأنظمة الذكاء الاصطناعي </w:t>
      </w:r>
      <w:r>
        <w:rPr>
          <w:rFonts w:asciiTheme="majorBidi" w:hAnsiTheme="majorBidi" w:cstheme="majorBidi"/>
          <w:sz w:val="24"/>
          <w:szCs w:val="24"/>
          <w:rtl/>
        </w:rPr>
        <w:lastRenderedPageBreak/>
        <w:t>ذات المخاطر العالية، وأن هذا التحول المفاهيمي يتيح للمتضررين تعويضاً أيسر إثباتاً وأكثر اتساقاً مع مبدأ العدالة التوزيعية.</w:t>
      </w:r>
      <w:r>
        <w:rPr>
          <w:rtl/>
        </w:rPr>
        <w:footnoteReference w:id="204"/>
      </w:r>
    </w:p>
    <w:p w14:paraId="632D24B3"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وفي السياق المقارن، أشار بعض الباحثين إلى أن التنظيم الأوروبي في قانون الذكاء الاصطناعي اعتمد مقاربة تصنيفية مبتكرة قائمة على درجة الخطورة، حيث تخضع الأنظمة ذات الاستخدام القضائي والقانوني لأعلى مستويات الرقابة والاشتراطات التقنية، وهو نهج يرى الباحث أنه جدير بالاستلهام في السياق السعودي مع مراعاة الخصوصية الثقافية والنظامية.</w:t>
      </w:r>
      <w:r>
        <w:rPr>
          <w:rtl/>
        </w:rPr>
        <w:footnoteReference w:id="205"/>
      </w:r>
    </w:p>
    <w:p w14:paraId="55E5C489"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وعلى صعيد تطبيق معيار درجة الخطورة على النظام السعودي، أشار بعض الباحثين إلى أن أنظمة الذكاء الاصطناعي المستخدمة في قضايا الأحوال الشخصية كالطلاق والحضانة والميراث ينبغي أن تنتمي إلى الفئة الأشد خطورة بالنسبة للنظام السعودي، لحساسيتها الدينية والاجتماعية البالغة، مُقترِحاً أن يُحرَّم على هذه الأنظمة إصدار أي توصية نهائية في هذه المسائل دون مراجعة قضائية إنسانية صريحة.</w:t>
      </w:r>
      <w:r>
        <w:rPr>
          <w:rtl/>
        </w:rPr>
        <w:footnoteReference w:id="206"/>
      </w:r>
    </w:p>
    <w:p w14:paraId="6AB1AFFB"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وفي سياق التصنيف بحسب درجة الخطورة، أبدت الجلعود اهتماماً خاصاً بأنظمة الذكاء الاصطناعي المستخدمة في تقدير القرائن وتوجيه قرارات التقاضي، معتبرةً إياها من فئة الأنظمة عالية الخطورة التي ينبغي ألا يُعتمد على مخرجاتها انفرادياً دون مراجعة قضائية معمّقة، لما قد تنطوي عليه من تحيزات مرتبطة بطبيعة بيانات التدريب المستخدمة في بنائها.</w:t>
      </w:r>
      <w:r>
        <w:rPr>
          <w:rtl/>
        </w:rPr>
        <w:footnoteReference w:id="207"/>
      </w:r>
    </w:p>
    <w:p w14:paraId="3DB925D2"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غير أن الاستفادة من التجارب الدولية لا تعني نقلها بحرفيتها، بل تقتضي تحليلها في ضوء البنية النظامية الوطنية، التي تقوم على مركزية القاضي في تكوين قناعته، وعلى عدم وجود نظام السوابق الملزمة بالمعنى الأنجلوسكسوني، وهو ما يجعل وظيفة التحليل الخوارزمي في البيئة السعودية ذات طبيعة استرشادية لا تقريرية</w:t>
      </w:r>
      <w:r>
        <w:rPr>
          <w:rFonts w:asciiTheme="majorBidi" w:hAnsiTheme="majorBidi" w:cstheme="majorBidi"/>
          <w:sz w:val="24"/>
          <w:szCs w:val="24"/>
        </w:rPr>
        <w:t>.</w:t>
      </w:r>
    </w:p>
    <w:p w14:paraId="02ECC9E0" w14:textId="77777777" w:rsidR="00624037" w:rsidRPr="00F20C0E" w:rsidRDefault="00AC4E6B" w:rsidP="004E4D2E">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مشروعية استخدام المخرجات الذكية أمام الجهات القضائية في النظام السعودي تقوم على مبدأ “القبول المشروط”، لا القبول المطلق ولا الرفض المطلق. فهي مقبولة متى كانت</w:t>
      </w:r>
      <w:r>
        <w:rPr>
          <w:rFonts w:asciiTheme="majorBidi" w:hAnsiTheme="majorBidi" w:cstheme="majorBidi"/>
          <w:sz w:val="24"/>
          <w:szCs w:val="24"/>
        </w:rPr>
        <w:t>:</w:t>
      </w:r>
      <w:r>
        <w:rPr>
          <w:rFonts w:asciiTheme="majorBidi" w:hAnsiTheme="majorBidi" w:cstheme="majorBidi"/>
          <w:sz w:val="24"/>
          <w:szCs w:val="24"/>
        </w:rPr>
        <w:br/>
        <w:t xml:space="preserve">– </w:t>
      </w:r>
      <w:r>
        <w:rPr>
          <w:rFonts w:asciiTheme="majorBidi" w:hAnsiTheme="majorBidi" w:cstheme="majorBidi"/>
          <w:sz w:val="24"/>
          <w:szCs w:val="24"/>
          <w:rtl/>
        </w:rPr>
        <w:t>صادرة عن محامٍ تبناها عن وعي،</w:t>
      </w:r>
      <w:r>
        <w:rPr>
          <w:rFonts w:asciiTheme="majorBidi" w:hAnsiTheme="majorBidi" w:cstheme="majorBidi"/>
          <w:sz w:val="24"/>
          <w:szCs w:val="24"/>
        </w:rPr>
        <w:br/>
        <w:t xml:space="preserve">– </w:t>
      </w:r>
      <w:r>
        <w:rPr>
          <w:rFonts w:asciiTheme="majorBidi" w:hAnsiTheme="majorBidi" w:cstheme="majorBidi"/>
          <w:sz w:val="24"/>
          <w:szCs w:val="24"/>
          <w:rtl/>
        </w:rPr>
        <w:t>قابلة للفحص والمناقشة أمام الخصم،</w:t>
      </w:r>
      <w:r>
        <w:rPr>
          <w:rFonts w:asciiTheme="majorBidi" w:hAnsiTheme="majorBidi" w:cstheme="majorBidi"/>
          <w:sz w:val="24"/>
          <w:szCs w:val="24"/>
        </w:rPr>
        <w:br/>
        <w:t xml:space="preserve">– </w:t>
      </w:r>
      <w:r>
        <w:rPr>
          <w:rFonts w:asciiTheme="majorBidi" w:hAnsiTheme="majorBidi" w:cstheme="majorBidi"/>
          <w:sz w:val="24"/>
          <w:szCs w:val="24"/>
          <w:rtl/>
        </w:rPr>
        <w:t>خاضعة لسلطة القاضي في التقدير،</w:t>
      </w:r>
      <w:r>
        <w:rPr>
          <w:rFonts w:asciiTheme="majorBidi" w:hAnsiTheme="majorBidi" w:cstheme="majorBidi"/>
          <w:sz w:val="24"/>
          <w:szCs w:val="24"/>
        </w:rPr>
        <w:br/>
        <w:t xml:space="preserve">– </w:t>
      </w:r>
      <w:r>
        <w:rPr>
          <w:rFonts w:asciiTheme="majorBidi" w:hAnsiTheme="majorBidi" w:cstheme="majorBidi"/>
          <w:sz w:val="24"/>
          <w:szCs w:val="24"/>
          <w:rtl/>
        </w:rPr>
        <w:t>متسقة مع ضوابط الشفافية والمسؤولية المنصوص عليها في الوثائق الوطنية</w:t>
      </w:r>
      <w:r>
        <w:rPr>
          <w:rFonts w:asciiTheme="majorBidi" w:hAnsiTheme="majorBidi" w:cstheme="majorBidi"/>
          <w:sz w:val="24"/>
          <w:szCs w:val="24"/>
        </w:rPr>
        <w:t>.</w:t>
      </w:r>
    </w:p>
    <w:p w14:paraId="51094F05"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أما إذا قُدمت بوصفها نتائج تقنية مغلقة أو بديلًا عن الاجتهاد القضائي، فإن استخدامها يخرج عن حدود المشروعية الإجرائية</w:t>
      </w:r>
      <w:r>
        <w:rPr>
          <w:rFonts w:asciiTheme="majorBidi" w:hAnsiTheme="majorBidi" w:cstheme="majorBidi"/>
          <w:sz w:val="24"/>
          <w:szCs w:val="24"/>
        </w:rPr>
        <w:t>.</w:t>
      </w:r>
    </w:p>
    <w:p w14:paraId="6D2958F2"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وانطلاقًا من هذا التمهيد، سيعالج هذا المطلب – في فقراته اللاحقة – ضوابط هذا الاستخدام المشروع في ضوء النظام السعودي، ثم يقف عند بعض التجارب الدولية الحديثة بوصفها نماذج مقارنة، وصولًا إلى صياغة تصور تنظيمي متوازن ينسجم مع أهداف هذه الدراسة</w:t>
      </w:r>
      <w:r>
        <w:rPr>
          <w:rFonts w:asciiTheme="majorBidi" w:hAnsiTheme="majorBidi" w:cstheme="majorBidi"/>
          <w:sz w:val="24"/>
          <w:szCs w:val="24"/>
        </w:rPr>
        <w:t>.</w:t>
      </w:r>
    </w:p>
    <w:p w14:paraId="66461C7F" w14:textId="77777777" w:rsidR="00624037" w:rsidRDefault="00624037" w:rsidP="004E4D2E">
      <w:pPr>
        <w:jc w:val="right"/>
        <w:rPr>
          <w:rFonts w:asciiTheme="majorBidi" w:hAnsiTheme="majorBidi" w:cstheme="majorBidi"/>
          <w:sz w:val="24"/>
          <w:szCs w:val="24"/>
        </w:rPr>
      </w:pPr>
    </w:p>
    <w:p w14:paraId="2AC01339" w14:textId="77777777" w:rsidR="00624037" w:rsidRPr="00B4002A" w:rsidRDefault="00624037" w:rsidP="004E4D2E">
      <w:pPr>
        <w:jc w:val="right"/>
        <w:rPr>
          <w:rFonts w:asciiTheme="majorBidi" w:hAnsiTheme="majorBidi" w:cstheme="majorBidi"/>
          <w:b/>
          <w:bCs/>
          <w:sz w:val="24"/>
          <w:szCs w:val="24"/>
        </w:rPr>
      </w:pPr>
      <w:r>
        <w:rPr>
          <w:rFonts w:asciiTheme="majorBidi" w:hAnsiTheme="majorBidi" w:cstheme="majorBidi"/>
          <w:b/>
          <w:bCs/>
          <w:sz w:val="24"/>
          <w:szCs w:val="24"/>
          <w:rtl/>
        </w:rPr>
        <w:lastRenderedPageBreak/>
        <w:t>الضوابط الإجرائية لمشروعية تقديم المخرجات الذكية أمام القضاء</w:t>
      </w:r>
    </w:p>
    <w:p w14:paraId="25AE3871"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إن أول معيار حاكم لمشروعية استخدام المخرجات القانونية المنتجة آليًا أمام الجهات القضائية يتمثل في مدى انسجام هذا الاستخدام مع القواعد الإجرائية المنظمة للخصومة. فالقضاء ليس ساحة عرض تقني، وإنما نظام منضبط تحكمه ضمانات دقيقة، في مقدمتها حق الدفاع، ومبدأ المواجهة، وعلانية الإجراءات، وسلطة المحكمة في تكوين قناعتها</w:t>
      </w:r>
      <w:r>
        <w:rPr>
          <w:rFonts w:asciiTheme="majorBidi" w:hAnsiTheme="majorBidi" w:cstheme="majorBidi"/>
          <w:sz w:val="24"/>
          <w:szCs w:val="24"/>
        </w:rPr>
        <w:t>.</w:t>
      </w:r>
    </w:p>
    <w:p w14:paraId="27B80C83"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وقد قرر نظام الإثبات لعام 1443هـ أن للمحكمة سلطة تقدير الأدلة دون تقيد بوسيلة معينة، ما لم يرد نص خاص، كما أقر حجية الوسائل الإلكترونية متى ثبتت نسبتها وسلامتها (هيئة الخبراء بمجلس الوزراء، 1443هـ). غير أن هذه السلطة التقديرية لا تعني أن كل وسيلة إلكترونية مقبولة بذاتها، بل تظل خاضعة لمعيار الفحص القضائي</w:t>
      </w:r>
      <w:r>
        <w:rPr>
          <w:rFonts w:asciiTheme="majorBidi" w:hAnsiTheme="majorBidi" w:cstheme="majorBidi"/>
          <w:sz w:val="24"/>
          <w:szCs w:val="24"/>
        </w:rPr>
        <w:t>.</w:t>
      </w:r>
    </w:p>
    <w:p w14:paraId="5AC4BFAD"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هنا يبرز سؤال جوهري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هل تتيح المخرجات الذكية للخصم إمكانية مناقشتها والطعن فيها بذات الدرجة التي تتيحها المذكرات التقليدية؟</w:t>
      </w:r>
    </w:p>
    <w:p w14:paraId="48FA31A1"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التقرير أو التحليل مبنيًا على معالجة خوارزمية معقدة لا يمكن تفسيرها أو تتبعها، فإن الخصم قد يُحرم عمليًا من حقه في الرد الفعّال. وقد أشار بعض الباحثين إلى أن سلامة الدليل الرقمي لا تتحقق بمجرد وجوده في صيغة إلكترونية، بل تتطلب إمكانية التحقق من مصدره وآلية إنتاجه.</w:t>
      </w:r>
      <w:r>
        <w:rPr>
          <w:rStyle w:val="af"/>
          <w:rFonts w:asciiTheme="majorBidi" w:hAnsiTheme="majorBidi" w:cstheme="majorBidi"/>
          <w:sz w:val="24"/>
          <w:szCs w:val="24"/>
          <w:rtl/>
        </w:rPr>
        <w:footnoteReference w:id="208"/>
      </w:r>
      <w:r>
        <w:rPr>
          <w:rFonts w:asciiTheme="majorBidi" w:hAnsiTheme="majorBidi" w:cstheme="majorBidi"/>
          <w:sz w:val="24"/>
          <w:szCs w:val="24"/>
          <w:rtl/>
        </w:rPr>
        <w:t xml:space="preserve"> وهذا المبدأ يكتسب أهمية مضاعفة في سياق المخرجات الذكية، لأن آلية التوليد نفسها قد تكون جزءًا من قوة الدليل</w:t>
      </w:r>
      <w:r>
        <w:rPr>
          <w:rFonts w:asciiTheme="majorBidi" w:hAnsiTheme="majorBidi" w:cstheme="majorBidi"/>
          <w:sz w:val="24"/>
          <w:szCs w:val="24"/>
        </w:rPr>
        <w:t>.</w:t>
      </w:r>
    </w:p>
    <w:p w14:paraId="414EC8E7"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مشروعية تقديم المخرجات الذكية أمام القضاء مشروطة بقابليتها للمناقشة. فإذا كان النظام المستخدم ينتج تحليلًا لا يمكن تفسير منطقه أو منهجه، فإن تقديمه أمام المحكمة يخل بمبدأ المواجهة، حتى وإن استوفى الشكل الإلكتروني. ومن ثم فإن قابلية الشرح والتفسير تصبح شرطًا ضمنيًا لقبول هذه المخرجات</w:t>
      </w:r>
      <w:r>
        <w:rPr>
          <w:rFonts w:asciiTheme="majorBidi" w:hAnsiTheme="majorBidi" w:cstheme="majorBidi"/>
          <w:sz w:val="24"/>
          <w:szCs w:val="24"/>
        </w:rPr>
        <w:t>.</w:t>
      </w:r>
    </w:p>
    <w:p w14:paraId="067E107A" w14:textId="77777777" w:rsidR="00624037" w:rsidRPr="00B4002A" w:rsidRDefault="00624037" w:rsidP="00624037">
      <w:pPr>
        <w:jc w:val="right"/>
        <w:rPr>
          <w:rFonts w:asciiTheme="majorBidi" w:hAnsiTheme="majorBidi" w:cstheme="majorBidi"/>
          <w:sz w:val="24"/>
          <w:szCs w:val="24"/>
        </w:rPr>
      </w:pPr>
    </w:p>
    <w:p w14:paraId="2D4AC188"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سلطة القاضي في تقدير المخرجات الذكية</w:t>
      </w:r>
    </w:p>
    <w:p w14:paraId="27EF5480"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مبدأ حرية القاضي في تكوين قناعته من المبادئ الراسخة في النظام السعودي، حيث لم يقيد نظام الإثبات المحكمة بوسائل محددة في تقدير الأدلة، بل منحها سلطة واسعة في وزنها بحسب ظروف الدعوى (هيئة الخبراء بمجلس الوزراء، 1443هـ). وهذا يعني أن المخرجات الذكية – مهما بلغت درجة تطورها – لا يمكن أن تكون ملزمة للقاضي بذاتها</w:t>
      </w:r>
      <w:r>
        <w:rPr>
          <w:rFonts w:asciiTheme="majorBidi" w:hAnsiTheme="majorBidi" w:cstheme="majorBidi"/>
          <w:sz w:val="24"/>
          <w:szCs w:val="24"/>
        </w:rPr>
        <w:t>.</w:t>
      </w:r>
    </w:p>
    <w:p w14:paraId="23898107"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الإشكال لا يكمن في الإلزام المباشر، بل في التأثير غير المباشر. فالتقارير التحليلية القائمة على استقراء السوابق أو تحليل أنماط الأحكام قد تُحدث أثرًا نفسيًا أو استرشاديًا قويًا، خاصة إذا قُدمت بلغة تقنية توحي بالدقة العلمية. وقد حذرت مجلة الشريعة والقانون من تحويل التحليل الخوارزمي إلى مرجع حاسم في العمل القضائي، لما قد يترتب عليه من تآكل دور الاجتهاد القضائي (مجلة الشريعة والقانون، 2022)</w:t>
      </w:r>
      <w:r>
        <w:rPr>
          <w:rFonts w:asciiTheme="majorBidi" w:hAnsiTheme="majorBidi" w:cstheme="majorBidi"/>
          <w:sz w:val="24"/>
          <w:szCs w:val="24"/>
        </w:rPr>
        <w:t>.</w:t>
      </w:r>
    </w:p>
    <w:p w14:paraId="6D27AACE"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مشروعية الاستخدام أمام القضاء تقتضي أن يبقى المخرج في إطار الوسيلة الإقناعية، لا المرجعية الملزمة</w:t>
      </w:r>
      <w:r>
        <w:rPr>
          <w:rFonts w:asciiTheme="majorBidi" w:hAnsiTheme="majorBidi" w:cstheme="majorBidi"/>
          <w:sz w:val="24"/>
          <w:szCs w:val="24"/>
        </w:rPr>
        <w:t>.</w:t>
      </w:r>
    </w:p>
    <w:p w14:paraId="25D082B2"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يمكن أن يحدث هو انتقال مركز الثقل من “اقتناع القاضي” إلى “نتيجة النظام”. فالقضاء نشاط تفسيري إنساني، لا عملية حسابية. وإذا أصبحت المخرجات الذكية تُقدَّم بوصفها نتائج حاسمة، فإن ذلك يخل بالتوازن بين التقنية والاجتهاد القضائي. ومن ثم فإن دورها يجب أن يظل استرشاديًا لا تقريريًا</w:t>
      </w:r>
      <w:r>
        <w:rPr>
          <w:rFonts w:asciiTheme="majorBidi" w:hAnsiTheme="majorBidi" w:cstheme="majorBidi"/>
          <w:sz w:val="24"/>
          <w:szCs w:val="24"/>
        </w:rPr>
        <w:t>.</w:t>
      </w:r>
    </w:p>
    <w:p w14:paraId="4B32A2D5" w14:textId="77777777" w:rsidR="00624037" w:rsidRDefault="00624037" w:rsidP="00624037">
      <w:pPr>
        <w:jc w:val="right"/>
        <w:rPr>
          <w:rFonts w:asciiTheme="majorBidi" w:hAnsiTheme="majorBidi" w:cstheme="majorBidi"/>
          <w:sz w:val="24"/>
          <w:szCs w:val="24"/>
        </w:rPr>
      </w:pPr>
    </w:p>
    <w:p w14:paraId="709D99BF" w14:textId="77777777" w:rsidR="00CF598B" w:rsidRDefault="00CF598B" w:rsidP="00624037">
      <w:pPr>
        <w:jc w:val="right"/>
        <w:rPr>
          <w:rFonts w:asciiTheme="majorBidi" w:hAnsiTheme="majorBidi" w:cstheme="majorBidi"/>
          <w:sz w:val="24"/>
          <w:szCs w:val="24"/>
        </w:rPr>
      </w:pPr>
    </w:p>
    <w:p w14:paraId="69202274" w14:textId="77777777" w:rsidR="00CF598B" w:rsidRPr="00B4002A" w:rsidRDefault="00CF598B" w:rsidP="00624037">
      <w:pPr>
        <w:jc w:val="right"/>
        <w:rPr>
          <w:rFonts w:asciiTheme="majorBidi" w:hAnsiTheme="majorBidi" w:cstheme="majorBidi"/>
          <w:sz w:val="24"/>
          <w:szCs w:val="24"/>
        </w:rPr>
      </w:pPr>
    </w:p>
    <w:p w14:paraId="10D6B5E7"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التكييف النظامي للتقارير المدعومة بالذكاء الاصطناعي</w:t>
      </w:r>
    </w:p>
    <w:p w14:paraId="180D18C4"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الناحية التكييفية، يمكن النظر إلى المذكرات أو التقارير المدعومة بالذكاء الاصطناعي باعتبارها أعمالًا مهنية صادرة عن محامٍ، لا باعتبارها منتجات تقنية مستقلة. فالمسؤولية المهنية عن محتواها تظل قائمة على عاتق مقدمها، حتى لو استعان في إعدادها بنظام ذكي</w:t>
      </w:r>
      <w:r>
        <w:rPr>
          <w:rFonts w:asciiTheme="majorBidi" w:hAnsiTheme="majorBidi" w:cstheme="majorBidi"/>
          <w:sz w:val="24"/>
          <w:szCs w:val="24"/>
        </w:rPr>
        <w:t>.</w:t>
      </w:r>
    </w:p>
    <w:p w14:paraId="497BD35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بعض الباحثين أن المسؤولية عن نتائج استخدام الذكاء الاصطناعي تبقى في يد المشغل أو المستخدم، لا في يد النظام ذاته</w:t>
      </w:r>
      <w:r>
        <w:rPr>
          <w:rStyle w:val="af"/>
          <w:rFonts w:asciiTheme="majorBidi" w:hAnsiTheme="majorBidi" w:cstheme="majorBidi"/>
          <w:sz w:val="24"/>
          <w:szCs w:val="24"/>
          <w:rtl/>
        </w:rPr>
        <w:footnoteReference w:id="209"/>
      </w:r>
      <w:r>
        <w:rPr>
          <w:rFonts w:asciiTheme="majorBidi" w:hAnsiTheme="majorBidi" w:cstheme="majorBidi"/>
          <w:sz w:val="24"/>
          <w:szCs w:val="24"/>
          <w:rtl/>
        </w:rPr>
        <w:t>. وهذا المبدأ، إذا أُسقط على البيئة القضائية، يعني أن المحكمة لا تنظر إلى “النظام”، بل إلى المحامي الذي تبنى المخرج ووقع عليه</w:t>
      </w:r>
      <w:r>
        <w:rPr>
          <w:rFonts w:asciiTheme="majorBidi" w:hAnsiTheme="majorBidi" w:cstheme="majorBidi"/>
          <w:sz w:val="24"/>
          <w:szCs w:val="24"/>
        </w:rPr>
        <w:t>.</w:t>
      </w:r>
    </w:p>
    <w:p w14:paraId="2E68B7E2"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هذا التكييف لا يعفي من ضرورة الإفصاح – في بعض الحالات – عن طبيعة الاستعانة بالنظام، خاصة إذا كان التحليل القائم على البيانات جزءًا جوهريًا من الحجة</w:t>
      </w:r>
      <w:r>
        <w:rPr>
          <w:rFonts w:asciiTheme="majorBidi" w:hAnsiTheme="majorBidi" w:cstheme="majorBidi"/>
          <w:sz w:val="24"/>
          <w:szCs w:val="24"/>
        </w:rPr>
        <w:t>.</w:t>
      </w:r>
    </w:p>
    <w:p w14:paraId="026320D0"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التكييف الصحيح لهذه المخرجات أمام القضاء هو اعتبارها “رأيًا مهنيًا مدعومًا بأداة تحليلية”. فهي ليست تقريرًا خبيرًا مستقلًا، وليست دليلًا تقنيًا قائمًا بذاته، بل جزء من بناء الحجة القانونية. ومن ثم فإن مشروعيتها ترتبط بمدى تحمل مقدمها لمسؤوليتها كاملة</w:t>
      </w:r>
      <w:r>
        <w:rPr>
          <w:rFonts w:asciiTheme="majorBidi" w:hAnsiTheme="majorBidi" w:cstheme="majorBidi"/>
          <w:sz w:val="24"/>
          <w:szCs w:val="24"/>
        </w:rPr>
        <w:t>.</w:t>
      </w:r>
    </w:p>
    <w:p w14:paraId="2FEE7885" w14:textId="77777777" w:rsidR="00624037" w:rsidRPr="00B4002A" w:rsidRDefault="00624037" w:rsidP="00624037">
      <w:pPr>
        <w:jc w:val="right"/>
        <w:rPr>
          <w:rFonts w:asciiTheme="majorBidi" w:hAnsiTheme="majorBidi" w:cstheme="majorBidi"/>
          <w:sz w:val="24"/>
          <w:szCs w:val="24"/>
          <w:rtl/>
        </w:rPr>
      </w:pPr>
    </w:p>
    <w:p w14:paraId="6A925F8E"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العلاقة بين الشفافية والمشروعية القضائية</w:t>
      </w:r>
    </w:p>
    <w:p w14:paraId="0C68C83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أكدت الهيئة السعودية للبيانات والذكاء الاصطناعي في وثيقة مبادئ أخلاقيات الذكاء الاصطناعي على مبدأ الشفافية وقابلية التفسير والمساءلة (الهيئة السعودية للبيانات والذكاء الاصطناعي، 2023)، كما شدد إطار تبني الذكاء الاصطناعي على ضرورة وضوح الأدوار والمسؤوليات (الهيئة السعودية للبيانات والذكاء الاصطناعي، 2024)</w:t>
      </w:r>
      <w:r>
        <w:rPr>
          <w:rStyle w:val="af"/>
          <w:rFonts w:asciiTheme="majorBidi" w:hAnsiTheme="majorBidi" w:cstheme="majorBidi"/>
          <w:sz w:val="24"/>
          <w:szCs w:val="24"/>
          <w:rtl/>
        </w:rPr>
        <w:footnoteReference w:id="210"/>
      </w:r>
      <w:r>
        <w:rPr>
          <w:rFonts w:asciiTheme="majorBidi" w:hAnsiTheme="majorBidi" w:cstheme="majorBidi"/>
          <w:sz w:val="24"/>
          <w:szCs w:val="24"/>
        </w:rPr>
        <w:t>.</w:t>
      </w:r>
    </w:p>
    <w:p w14:paraId="2AD6BD74"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سياق التقاضي، فإن هذه المبادئ لا تبقى مجرد إرشادات إدارية، بل تتحول إلى ضمانات إجرائية. فالمخرج الذي لا يمكن تفسيره أو تتبع أساسه قد يُضعف الثقة في العملية القضائية ذاتها</w:t>
      </w:r>
      <w:r>
        <w:rPr>
          <w:rFonts w:asciiTheme="majorBidi" w:hAnsiTheme="majorBidi" w:cstheme="majorBidi"/>
          <w:sz w:val="24"/>
          <w:szCs w:val="24"/>
        </w:rPr>
        <w:t>.</w:t>
      </w:r>
    </w:p>
    <w:p w14:paraId="0B2ED732"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مشروعية الاستخدام القضائي لا تنفصل عن الامتثال لمبادئ الحوكمة الوطنية</w:t>
      </w:r>
      <w:r>
        <w:rPr>
          <w:rFonts w:asciiTheme="majorBidi" w:hAnsiTheme="majorBidi" w:cstheme="majorBidi"/>
          <w:sz w:val="24"/>
          <w:szCs w:val="24"/>
        </w:rPr>
        <w:t>.</w:t>
      </w:r>
    </w:p>
    <w:p w14:paraId="1F025AA7"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مبدأ الشفافية في البيئة القضائية يتجاوز كونه مبدأ أخلاقيًا، ليصبح شرطًا إجرائيًا. فالمخرجات الذكية التي لا يمكن تفسيرها تفسيرًا معقولًا أمام المحكمة ينبغي التعامل معها بحذر شديد، وربما رفضها إذا تعارضت مع حق الدفاع</w:t>
      </w:r>
      <w:r>
        <w:rPr>
          <w:rFonts w:asciiTheme="majorBidi" w:hAnsiTheme="majorBidi" w:cstheme="majorBidi"/>
          <w:sz w:val="24"/>
          <w:szCs w:val="24"/>
        </w:rPr>
        <w:t>.</w:t>
      </w:r>
    </w:p>
    <w:p w14:paraId="385C8911"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المعايير العملية لقبول المخرجات الذكية أمام القضاء</w:t>
      </w:r>
    </w:p>
    <w:p w14:paraId="5103273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الإطار النظري لمشروعية استخدام المخرجات الذكية أمام الجهات القضائية قد ارتبط بسلطة القاضي وضمانات المواجهة ووجوب الشفافية، فإن الانتقال إلى المستوى العملي يقتضي تحديد معايير يمكن من خلالها التمييز بين الاستخدام المشروع والاستخدام غير المشروع</w:t>
      </w:r>
      <w:r>
        <w:rPr>
          <w:rFonts w:asciiTheme="majorBidi" w:hAnsiTheme="majorBidi" w:cstheme="majorBidi"/>
          <w:sz w:val="24"/>
          <w:szCs w:val="24"/>
        </w:rPr>
        <w:t>.</w:t>
      </w:r>
    </w:p>
    <w:p w14:paraId="010370B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انطلاقًا من نظام الإثبات، فإن قبول أي وسيلة إثبات يخضع لمعيارين أساسيين</w:t>
      </w:r>
      <w:r>
        <w:rPr>
          <w:rFonts w:asciiTheme="majorBidi" w:hAnsiTheme="majorBidi" w:cstheme="majorBidi"/>
          <w:sz w:val="24"/>
          <w:szCs w:val="24"/>
        </w:rPr>
        <w:t>:</w:t>
      </w:r>
    </w:p>
    <w:p w14:paraId="7C082E96" w14:textId="77777777" w:rsidR="00624037" w:rsidRPr="002E352F" w:rsidRDefault="00624037">
      <w:pPr>
        <w:numPr>
          <w:ilvl w:val="0"/>
          <w:numId w:val="13"/>
        </w:numPr>
        <w:jc w:val="right"/>
        <w:rPr>
          <w:rFonts w:asciiTheme="majorBidi" w:hAnsiTheme="majorBidi" w:cstheme="majorBidi"/>
          <w:sz w:val="24"/>
          <w:szCs w:val="24"/>
        </w:rPr>
      </w:pPr>
      <w:r>
        <w:rPr>
          <w:rFonts w:asciiTheme="majorBidi" w:hAnsiTheme="majorBidi" w:cstheme="majorBidi"/>
          <w:sz w:val="24"/>
          <w:szCs w:val="24"/>
          <w:rtl/>
        </w:rPr>
        <w:t>سلامة النسبة وصحة المصدر</w:t>
      </w:r>
      <w:r>
        <w:rPr>
          <w:rFonts w:asciiTheme="majorBidi" w:hAnsiTheme="majorBidi" w:cstheme="majorBidi"/>
          <w:sz w:val="24"/>
          <w:szCs w:val="24"/>
        </w:rPr>
        <w:t>.</w:t>
      </w:r>
    </w:p>
    <w:p w14:paraId="60F03856" w14:textId="77777777" w:rsidR="00624037" w:rsidRPr="002E352F" w:rsidRDefault="00624037">
      <w:pPr>
        <w:numPr>
          <w:ilvl w:val="0"/>
          <w:numId w:val="13"/>
        </w:numPr>
        <w:jc w:val="right"/>
        <w:rPr>
          <w:rFonts w:asciiTheme="majorBidi" w:hAnsiTheme="majorBidi" w:cstheme="majorBidi"/>
          <w:sz w:val="24"/>
          <w:szCs w:val="24"/>
        </w:rPr>
      </w:pPr>
      <w:r>
        <w:rPr>
          <w:rFonts w:asciiTheme="majorBidi" w:hAnsiTheme="majorBidi" w:cstheme="majorBidi"/>
          <w:sz w:val="24"/>
          <w:szCs w:val="24"/>
          <w:rtl/>
        </w:rPr>
        <w:t>قدرة المحكمة على تقدير الدليل في ضوء ظروف الدعوى (هيئة الخبراء بمجلس الوزراء، 1443هـ)</w:t>
      </w:r>
      <w:r>
        <w:rPr>
          <w:rFonts w:asciiTheme="majorBidi" w:hAnsiTheme="majorBidi" w:cstheme="majorBidi"/>
          <w:sz w:val="24"/>
          <w:szCs w:val="24"/>
        </w:rPr>
        <w:t>.</w:t>
      </w:r>
    </w:p>
    <w:p w14:paraId="7AAE2CC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وبتطبيق هذين المعيارين على المخرجات الذكية، يمكن استخلاص ضوابط عملية أهمها</w:t>
      </w:r>
      <w:r>
        <w:rPr>
          <w:rFonts w:asciiTheme="majorBidi" w:hAnsiTheme="majorBidi" w:cstheme="majorBidi"/>
          <w:sz w:val="24"/>
          <w:szCs w:val="24"/>
        </w:rPr>
        <w:t>:</w:t>
      </w:r>
    </w:p>
    <w:p w14:paraId="06F7EF7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أولًا</w:t>
      </w:r>
      <w:r>
        <w:rPr>
          <w:rFonts w:asciiTheme="majorBidi" w:hAnsiTheme="majorBidi" w:cstheme="majorBidi"/>
          <w:sz w:val="24"/>
          <w:szCs w:val="24"/>
          <w:rtl/>
        </w:rPr>
        <w:t>: أن يكون المخرج صادرًا عن محامٍ تبناه صراحة وتحمل مسؤوليته المهنية، فلا يُقدَّم بوصفه منتجًا تقنيًا مستقلًا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ثانيًا</w:t>
      </w:r>
      <w:r>
        <w:rPr>
          <w:rFonts w:asciiTheme="majorBidi" w:hAnsiTheme="majorBidi" w:cstheme="majorBidi"/>
          <w:sz w:val="24"/>
          <w:szCs w:val="24"/>
          <w:rtl/>
        </w:rPr>
        <w:t>: أن يكون محتواه قابلاً للفحص والمناقشة، بحيث يستطيع الخصم تفكيك الأساس الذي بُني عليه</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ثالثًا</w:t>
      </w:r>
      <w:r>
        <w:rPr>
          <w:rFonts w:asciiTheme="majorBidi" w:hAnsiTheme="majorBidi" w:cstheme="majorBidi"/>
          <w:sz w:val="24"/>
          <w:szCs w:val="24"/>
          <w:rtl/>
        </w:rPr>
        <w:t>: ألا يتضمن ادعاءً بصفة “القطعية العلمية”، بل يُقدم ضمن إطار الاستدلال القانوني القابل للرد</w:t>
      </w:r>
      <w:r>
        <w:rPr>
          <w:rFonts w:asciiTheme="majorBidi" w:hAnsiTheme="majorBidi" w:cstheme="majorBidi"/>
          <w:sz w:val="24"/>
          <w:szCs w:val="24"/>
        </w:rPr>
        <w:t>.</w:t>
      </w:r>
    </w:p>
    <w:p w14:paraId="70A950F5"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بعض الباحثين أن المسؤولية القانونية عن أفعال الذكاء الاصطناعي لا تعفي المستخدم من واجب التحقق، بل قد تشدد معيار العناية المهنية في بعض الحالات</w:t>
      </w:r>
      <w:r>
        <w:rPr>
          <w:rStyle w:val="af"/>
          <w:rFonts w:asciiTheme="majorBidi" w:hAnsiTheme="majorBidi" w:cstheme="majorBidi"/>
          <w:sz w:val="24"/>
          <w:szCs w:val="24"/>
          <w:rtl/>
        </w:rPr>
        <w:footnoteReference w:id="211"/>
      </w:r>
      <w:r>
        <w:rPr>
          <w:rFonts w:asciiTheme="majorBidi" w:hAnsiTheme="majorBidi" w:cstheme="majorBidi"/>
          <w:sz w:val="24"/>
          <w:szCs w:val="24"/>
          <w:rtl/>
        </w:rPr>
        <w:t>. وهذا التشديد ينعكس في البيئة القضائية على مستوى تقديم المذكرات أو التقارير</w:t>
      </w:r>
      <w:r>
        <w:rPr>
          <w:rFonts w:asciiTheme="majorBidi" w:hAnsiTheme="majorBidi" w:cstheme="majorBidi"/>
          <w:sz w:val="24"/>
          <w:szCs w:val="24"/>
        </w:rPr>
        <w:t>.</w:t>
      </w:r>
    </w:p>
    <w:p w14:paraId="2A93CCD4" w14:textId="77777777" w:rsidR="00624037" w:rsidRPr="002E352F"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العملي الأهم هو بقاء “القابلية للنقاش”. فإذا كان المخرج لا يسمح بالمناقشة التفصيلية، أو إذا كان يعتمد على معالجة لا يمكن توضيحها، فإن قبوله أمام القضاء يهدد مبدأ المواجهة. ومن ثم فإن قابلية الشرح ليست ترفًا تقنيًا، بل شرطًا جوهريًا للمشروعية</w:t>
      </w:r>
      <w:r>
        <w:rPr>
          <w:rFonts w:asciiTheme="majorBidi" w:hAnsiTheme="majorBidi" w:cstheme="majorBidi"/>
          <w:sz w:val="24"/>
          <w:szCs w:val="24"/>
        </w:rPr>
        <w:t>.</w:t>
      </w:r>
    </w:p>
    <w:p w14:paraId="0325A461" w14:textId="77777777" w:rsidR="00624037" w:rsidRPr="002E352F" w:rsidRDefault="00624037" w:rsidP="00624037">
      <w:pPr>
        <w:jc w:val="right"/>
        <w:rPr>
          <w:rFonts w:asciiTheme="majorBidi" w:hAnsiTheme="majorBidi" w:cstheme="majorBidi"/>
          <w:sz w:val="24"/>
          <w:szCs w:val="24"/>
        </w:rPr>
      </w:pPr>
    </w:p>
    <w:p w14:paraId="561FDC07"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التفرقة بين القضاء المدني والقضاء الجزائي</w:t>
      </w:r>
    </w:p>
    <w:p w14:paraId="1F48DAA1"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تختلف طبيعة الإثبات بين المجال المدني والجزائي، وهو ما يؤثر مباشرة في تقييم مشروعية استخدام المخرجات الذكية</w:t>
      </w:r>
      <w:r>
        <w:rPr>
          <w:rFonts w:asciiTheme="majorBidi" w:hAnsiTheme="majorBidi" w:cstheme="majorBidi"/>
          <w:sz w:val="24"/>
          <w:szCs w:val="24"/>
        </w:rPr>
        <w:t>.</w:t>
      </w:r>
    </w:p>
    <w:p w14:paraId="48F8140D"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في المجال المدني، يقوم الإثبات في الأصل على مبدأ حرية الإثبات ما لم يرد نص خاص، ويُترك للقاضي تقدير الدليل في ضوء ظروف الدعوى (هيئة الخبراء بمجلس الوزراء، 1443هـ)</w:t>
      </w:r>
      <w:r>
        <w:rPr>
          <w:rStyle w:val="af"/>
          <w:rFonts w:asciiTheme="majorBidi" w:hAnsiTheme="majorBidi" w:cstheme="majorBidi"/>
          <w:sz w:val="24"/>
          <w:szCs w:val="24"/>
          <w:rtl/>
        </w:rPr>
        <w:footnoteReference w:id="212"/>
      </w:r>
      <w:r>
        <w:rPr>
          <w:rFonts w:asciiTheme="majorBidi" w:hAnsiTheme="majorBidi" w:cstheme="majorBidi"/>
          <w:sz w:val="24"/>
          <w:szCs w:val="24"/>
          <w:rtl/>
        </w:rPr>
        <w:t>. ومن ثم فإن تقديم تحليل مدعوم بالذكاء الاصطناعي في نزاع تجاري أو مدني قد يكون مقبولًا بوصفه عنصرًا استرشاديًا، ما دام لا يخل بحقوق الخصوم</w:t>
      </w:r>
      <w:r>
        <w:rPr>
          <w:rFonts w:asciiTheme="majorBidi" w:hAnsiTheme="majorBidi" w:cstheme="majorBidi"/>
          <w:sz w:val="24"/>
          <w:szCs w:val="24"/>
        </w:rPr>
        <w:t>.</w:t>
      </w:r>
    </w:p>
    <w:p w14:paraId="70260E16"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أما في المجال الجزائي، فإن معايير الإثبات أكثر تشددًا، ويغلب عليها مبدأ الاقتناع القضائي المبني على أدلة قاطعة أو قوية، مع مراعاة</w:t>
      </w:r>
      <w:r>
        <w:rPr>
          <w:rFonts w:asciiTheme="majorBidi" w:hAnsiTheme="majorBidi" w:cstheme="majorBidi"/>
          <w:sz w:val="24"/>
          <w:szCs w:val="24"/>
        </w:rPr>
        <w:t xml:space="preserve"> </w:t>
      </w:r>
      <w:r>
        <w:rPr>
          <w:rFonts w:asciiTheme="majorBidi" w:hAnsiTheme="majorBidi" w:cstheme="majorBidi"/>
          <w:sz w:val="24"/>
          <w:szCs w:val="24"/>
          <w:rtl/>
        </w:rPr>
        <w:t>(هيئة الخبراء بمجلس الوزراء، 1435هـ – نظام الإجراءات الجزائية). وفي هذا السياق، فإن استخدام أدوات تنبؤية أو تحليل احتمالي قد يثير إشكالات أعمق تتعلق بقرينة البراءة</w:t>
      </w:r>
      <w:r>
        <w:rPr>
          <w:rFonts w:asciiTheme="majorBidi" w:hAnsiTheme="majorBidi" w:cstheme="majorBidi"/>
          <w:sz w:val="24"/>
          <w:szCs w:val="24"/>
        </w:rPr>
        <w:t>.</w:t>
      </w:r>
    </w:p>
    <w:p w14:paraId="7EF75A40"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وقد أشار بعض الباحثين</w:t>
      </w:r>
      <w:r>
        <w:rPr>
          <w:rStyle w:val="af"/>
          <w:rFonts w:asciiTheme="majorBidi" w:hAnsiTheme="majorBidi" w:cstheme="majorBidi"/>
          <w:sz w:val="24"/>
          <w:szCs w:val="24"/>
          <w:rtl/>
        </w:rPr>
        <w:footnoteReference w:id="213"/>
      </w:r>
      <w:r>
        <w:rPr>
          <w:rFonts w:asciiTheme="majorBidi" w:hAnsiTheme="majorBidi" w:cstheme="majorBidi"/>
          <w:sz w:val="24"/>
          <w:szCs w:val="24"/>
          <w:rtl/>
        </w:rPr>
        <w:t xml:space="preserve"> في دراسته حول الذكاء الاصطناعي ومكافحة الجريمة الإلكترونية إلى أن الاعتماد على أدوات تحليلية في المجال الجنائي يجب أن يكون محاطًا بضمانات دقيقة، منعًا لتحول التحليل الاحتمالي إلى بديل عن الإثبات المباشر</w:t>
      </w:r>
      <w:r>
        <w:rPr>
          <w:rFonts w:asciiTheme="majorBidi" w:hAnsiTheme="majorBidi" w:cstheme="majorBidi"/>
          <w:sz w:val="24"/>
          <w:szCs w:val="24"/>
        </w:rPr>
        <w:t>.</w:t>
      </w:r>
    </w:p>
    <w:p w14:paraId="724E379E"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وفي إطار مقارن موسَّع، رصدت بعض الدراسات الفوارق الجوهرية بين التجربتين الأوروبية والسعودية في تنظيم الذكاء الاصطناعي، وأكدت أن النموذج السعودي يتميز بمرونة تنظيمية أعلى ولكنه يفتقر إلى آليات إنفاذ فعّالة لضمان الامتثال لمتطلبات أخلاقيات الذكاء الاصطناعي داخل المكاتب المهنية.</w:t>
      </w:r>
      <w:r>
        <w:rPr>
          <w:rtl/>
        </w:rPr>
        <w:footnoteReference w:id="214"/>
      </w:r>
    </w:p>
    <w:p w14:paraId="3DB897AB"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نطاق المشروعية في المجال المدني أوسع منه في المجال الجزائي. ففي القضايا المدنية يمكن قبول المخرجات الذكية ضمن إطار الاستدلال والموازنة، أما في القضايا الجزائية فيجب أن يظل استخدامها محدودًا للغاية، وألا يُبنى عليه حكم بالإدانة دون أدلة مستقلة تدعمه</w:t>
      </w:r>
      <w:r>
        <w:rPr>
          <w:rFonts w:asciiTheme="majorBidi" w:hAnsiTheme="majorBidi" w:cstheme="majorBidi"/>
          <w:sz w:val="24"/>
          <w:szCs w:val="24"/>
        </w:rPr>
        <w:t>.</w:t>
      </w:r>
    </w:p>
    <w:p w14:paraId="6D9F4AEB"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lastRenderedPageBreak/>
        <w:t>وتتوافق هذه الرؤية مع ما انتهت إليه دراسة إسماعيل (2025م) من أن المجال المدني يتيح هامشًا أوسع لاستخدام مخرجات الذكاء الاصطناعي مقارنةً بالمجال الجزائي، نظرًا لاشتراط درجات إثبات مختلفة في كل منهما، مما يعني وجود ضوابط أكثر صرامة على توظيف الأنظمة الذكية في مسائل الاتهام والعقوبة.</w:t>
      </w:r>
      <w:r>
        <w:rPr>
          <w:rtl/>
        </w:rPr>
        <w:footnoteReference w:id="215"/>
      </w:r>
    </w:p>
    <w:p w14:paraId="130A045F" w14:textId="77777777" w:rsidR="00624037" w:rsidRPr="002E352F" w:rsidRDefault="00624037" w:rsidP="00624037">
      <w:pPr>
        <w:jc w:val="right"/>
        <w:rPr>
          <w:rFonts w:asciiTheme="majorBidi" w:hAnsiTheme="majorBidi" w:cstheme="majorBidi"/>
          <w:sz w:val="24"/>
          <w:szCs w:val="24"/>
        </w:rPr>
      </w:pPr>
    </w:p>
    <w:p w14:paraId="025672AD"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حدود استخدامها في المسائل التقديرية</w:t>
      </w:r>
    </w:p>
    <w:p w14:paraId="497A193C"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وفيما يتعلق بحدود استخدام الذكاء الاصطناعي في المسائل التقديرية، أكد بعض الباحثين أن حدود الاستخدام المشروع ترتبط ارتباطاً وثيقاً بمدى إمكانية العزو والتفسير؛ فالنظام الذكي الذي لا يمكن تفسير آلية وصوله إلى توصيته يُشكّل خطراً جوهرياً في المسائل التقديرية التي تتطلب من القاضي أو المحامي تبرير المنطق الذي استند إليه.</w:t>
      </w:r>
      <w:r>
        <w:rPr>
          <w:rtl/>
        </w:rPr>
        <w:footnoteReference w:id="216"/>
      </w:r>
    </w:p>
    <w:p w14:paraId="6C26EA17"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وفيما يتعلق بحدود استخدام الذكاء الاصطناعي في المسائل التقديرية، استقر رأي الجلعود على أن ثمة فئتين من القرارات ينبغي أن تظلا حكراً على الذكاء الإنساني: الأولى قرارات تقدير الدليل ووزنه، والثانية قرارات تكييف الوقائع ومطابقتها بالنصوص النظامية، لأن هذين النوعين ينطويان على بُعد أخلاقي واجتهادي لا تستطيع الخوارزمية الإحاطة به.</w:t>
      </w:r>
      <w:r>
        <w:rPr>
          <w:rtl/>
        </w:rPr>
        <w:footnoteReference w:id="217"/>
      </w:r>
    </w:p>
    <w:p w14:paraId="2BEF564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الدقيقة مسألة استخدام المخرجات الذكية في القضايا التي تقوم على تقدير شخصي أو موازنة قيمية، مثل تقدير التعويض، أو تقدير مدى توافر حسن النية، أو تفسير نية المتعاقدين</w:t>
      </w:r>
      <w:r>
        <w:rPr>
          <w:rFonts w:asciiTheme="majorBidi" w:hAnsiTheme="majorBidi" w:cstheme="majorBidi"/>
          <w:sz w:val="24"/>
          <w:szCs w:val="24"/>
        </w:rPr>
        <w:t>.</w:t>
      </w:r>
    </w:p>
    <w:p w14:paraId="17CE17F2"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فهذه المسائل بطبيعتها لا تخضع لحساب رياضي، بل تتطلب تقديرًا إنسانيًا يستند إلى فهم السياق والملابسات. وقد قرر نظام المعاملات المدنية أن تفسير العقود يتم وفقًا للنية المشتركة للمتعاقدين، لا بالوقوف عند ظاهر الألفاظ فحسب (هيئة الخبراء بمجلس الوزراء، 1445هـ). وهذا التفسير يتطلب قراءة سياقية لا يمكن اختزالها في تحليل بيانات</w:t>
      </w:r>
      <w:r>
        <w:rPr>
          <w:rFonts w:asciiTheme="majorBidi" w:hAnsiTheme="majorBidi" w:cstheme="majorBidi"/>
          <w:sz w:val="24"/>
          <w:szCs w:val="24"/>
        </w:rPr>
        <w:t>.</w:t>
      </w:r>
    </w:p>
    <w:p w14:paraId="5879683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تقديم تحليل خوارزمي لتحديد “المعنى الأرجح” قد يكون مساعدًا، لكنه لا يمكن أن يحل محل الاجتهاد القضائي في تفسير الإرادة</w:t>
      </w:r>
      <w:r>
        <w:rPr>
          <w:rFonts w:asciiTheme="majorBidi" w:hAnsiTheme="majorBidi" w:cstheme="majorBidi"/>
          <w:sz w:val="24"/>
          <w:szCs w:val="24"/>
        </w:rPr>
        <w:t>.</w:t>
      </w:r>
    </w:p>
    <w:p w14:paraId="449F125E"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المخرجات الذكية يجب أن تبقى في دائرة المسائل القابلة للتحليل الموضوعي، لا أن تمتد إلى المجالات التقديرية الخالصة. فالقضاء في هذه المسائل يستند إلى تقدير إنساني مركب لا يمكن استبداله بخوارزمية، مهما بلغت درجة تطورها</w:t>
      </w:r>
      <w:r>
        <w:rPr>
          <w:rFonts w:asciiTheme="majorBidi" w:hAnsiTheme="majorBidi" w:cstheme="majorBidi"/>
          <w:sz w:val="24"/>
          <w:szCs w:val="24"/>
        </w:rPr>
        <w:t>.</w:t>
      </w:r>
    </w:p>
    <w:p w14:paraId="25906F93" w14:textId="77777777" w:rsidR="00624037" w:rsidRPr="002E352F" w:rsidRDefault="00624037" w:rsidP="00624037">
      <w:pPr>
        <w:jc w:val="right"/>
        <w:rPr>
          <w:rFonts w:asciiTheme="majorBidi" w:hAnsiTheme="majorBidi" w:cstheme="majorBidi"/>
          <w:sz w:val="24"/>
          <w:szCs w:val="24"/>
          <w:rtl/>
        </w:rPr>
      </w:pPr>
    </w:p>
    <w:p w14:paraId="3115228F"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التمهيد للبعد المقارن: لماذا نحتاج إلى التجارب الدولية؟</w:t>
      </w:r>
    </w:p>
    <w:p w14:paraId="12DB9EB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إدخال عنصر المقارنة في هذا المطلب لا يهدف إلى استيراد حلول جاهزة، بل إلى فهم الاتجاهات التنظيمية التي سعت إلى معالجة التحديات ذاتها. فالتجارب الدولية تقدم مؤشرات على كيفية التوفيق بين التطور التقني وضمانات العدالة</w:t>
      </w:r>
      <w:r>
        <w:rPr>
          <w:rFonts w:asciiTheme="majorBidi" w:hAnsiTheme="majorBidi" w:cstheme="majorBidi"/>
          <w:sz w:val="24"/>
          <w:szCs w:val="24"/>
        </w:rPr>
        <w:t>.</w:t>
      </w:r>
    </w:p>
    <w:p w14:paraId="0E64B95C"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اتجه التنظيم الأوروبي في قانون الذكاء الاصطناعي</w:t>
      </w:r>
      <w:r>
        <w:rPr>
          <w:rFonts w:asciiTheme="majorBidi" w:hAnsiTheme="majorBidi" w:cstheme="majorBidi"/>
          <w:sz w:val="24"/>
          <w:szCs w:val="24"/>
        </w:rPr>
        <w:t xml:space="preserve"> (AI Act) </w:t>
      </w:r>
      <w:r>
        <w:rPr>
          <w:rFonts w:asciiTheme="majorBidi" w:hAnsiTheme="majorBidi" w:cstheme="majorBidi"/>
          <w:sz w:val="24"/>
          <w:szCs w:val="24"/>
          <w:rtl/>
        </w:rPr>
        <w:t xml:space="preserve">إلى تصنيف بعض أنظمة الذكاء الاصطناعي المستخدمة في المجال القضائي ضمن فئة “الأنظمة عالية المخاطر”، وفرض عليها متطلبات تتعلق </w:t>
      </w:r>
      <w:r>
        <w:rPr>
          <w:rFonts w:asciiTheme="majorBidi" w:hAnsiTheme="majorBidi" w:cstheme="majorBidi"/>
          <w:sz w:val="24"/>
          <w:szCs w:val="24"/>
          <w:rtl/>
        </w:rPr>
        <w:lastRenderedPageBreak/>
        <w:t>بإدارة المخاطر والشفافية والإشراف البشري</w:t>
      </w:r>
      <w:r>
        <w:rPr>
          <w:rFonts w:asciiTheme="majorBidi" w:hAnsiTheme="majorBidi" w:cstheme="majorBidi"/>
          <w:sz w:val="24"/>
          <w:szCs w:val="24"/>
        </w:rPr>
        <w:t xml:space="preserve"> (European Parliament &amp; Council of the European Union, 2024). </w:t>
      </w:r>
      <w:r>
        <w:rPr>
          <w:rFonts w:asciiTheme="majorBidi" w:hAnsiTheme="majorBidi" w:cstheme="majorBidi"/>
          <w:sz w:val="24"/>
          <w:szCs w:val="24"/>
          <w:rtl/>
        </w:rPr>
        <w:t>ويعكس هذا الاتجاه اعترافًا بحساسية البيئة القضائية، وضرورة وضع ضوابط خاصة لاستخدام التقنية فيها</w:t>
      </w:r>
      <w:r>
        <w:rPr>
          <w:rFonts w:asciiTheme="majorBidi" w:hAnsiTheme="majorBidi" w:cstheme="majorBidi"/>
          <w:sz w:val="24"/>
          <w:szCs w:val="24"/>
        </w:rPr>
        <w:t>.</w:t>
      </w:r>
    </w:p>
    <w:p w14:paraId="4927C0F5"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غير أن البيئة النظامية السعودية تختلف في بنيتها عن بعض الأنظمة المقارنة، خاصة في مسألة عدم وجود نظام سوابق ملزمة، وفي مركزية سلطة القاضي في تكوين قناعته. ومن ثم فإن المقارنة ينبغي أن تكون استرشادية لا إحلالية</w:t>
      </w:r>
      <w:r>
        <w:rPr>
          <w:rFonts w:asciiTheme="majorBidi" w:hAnsiTheme="majorBidi" w:cstheme="majorBidi"/>
          <w:sz w:val="24"/>
          <w:szCs w:val="24"/>
        </w:rPr>
        <w:t>.</w:t>
      </w:r>
    </w:p>
    <w:p w14:paraId="15225C3C"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رأى العطار والنوايسة أن غياب السوابق الملزمة في المسائل الجزائية المرتبطة بالذكاء الاصطناعي يُفضي إلى إشكالية مضاعفة تتمثل في تباين الأحكام؛ فقد تُعامَل الجريمة الواحدة معاملات مختلفة من دائرة لأخرى تبعاً لاجتهاد القاضي في تطبيق النصوص العامة، وهو ما يمس مبدأ المساواة أمام القانون ويُثير تساؤلات جوهرية حول العدالة التوزيعية في القضاء الجنائي.</w:t>
      </w:r>
      <w:r>
        <w:rPr>
          <w:rtl/>
        </w:rPr>
        <w:footnoteReference w:id="218"/>
      </w:r>
    </w:p>
    <w:p w14:paraId="62392C7B"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وفي ضوء غياب نظام السوابق الملزمة في منظومة التقاضي السعودي، أكد بعض الباحثين أن هذا الغياب يزداد أثره السلبي في القضايا التقنية الناشئة، مقترحَين إنشاء دليل إرشادي قضائي وطني يتضمن التوجيهات الشرعية والنظامية التي تُرشد القضاة في التعامل مع الحجج والأدلة المعتمدة على الذكاء الاصطناعي، دون أن يصل إلى مستوى السابقة الملزمة التي قد تتعارض مع خصائص المنظومة القضائية السعودية.</w:t>
      </w:r>
      <w:r>
        <w:rPr>
          <w:rtl/>
        </w:rPr>
        <w:footnoteReference w:id="219"/>
      </w:r>
    </w:p>
    <w:p w14:paraId="466C5DD9"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وفيما يتعلق بمسألة عدم وجود نظام سوابق قضائية ملزمة في المنظومة القضائية السعودية، أفاد بعض الباحثين بأن هذا الغياب يتضاعف أثره السلبي في المسائل التقنية الناشئة كالذكاء الاصطناعي؛ إذ يُفضي إلى تباين في المعالجة القضائية من دائرة إلى أخرى، وهو ما يمس مبدأ المساواة أمام القضاء ومبدأ اليقين القانوني اللذَين تؤكد عليهما نظرية التقاضي العادل.</w:t>
      </w:r>
      <w:r>
        <w:rPr>
          <w:rtl/>
        </w:rPr>
        <w:footnoteReference w:id="220"/>
      </w:r>
    </w:p>
    <w:p w14:paraId="46592EA4" w14:textId="77777777" w:rsidR="00624037" w:rsidRPr="002E352F" w:rsidRDefault="001C2B27" w:rsidP="00A83851">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الاستفادة من التجارب الدولية يجب أن تكون انتقائية، تركز على المبادئ العامة مثل الشفافية والإشراف البشري وإدارة المخاطر، دون نقل آليات تنظيمية قد لا تتسق مع خصوصية النظام السعودي</w:t>
      </w:r>
      <w:r>
        <w:rPr>
          <w:rFonts w:asciiTheme="majorBidi" w:hAnsiTheme="majorBidi" w:cstheme="majorBidi"/>
          <w:sz w:val="24"/>
          <w:szCs w:val="24"/>
        </w:rPr>
        <w:t>.</w:t>
      </w:r>
    </w:p>
    <w:p w14:paraId="665F1720" w14:textId="77777777" w:rsidR="00624037" w:rsidRDefault="00624037" w:rsidP="00624037">
      <w:pPr>
        <w:jc w:val="right"/>
        <w:rPr>
          <w:rFonts w:asciiTheme="majorBidi" w:hAnsiTheme="majorBidi" w:cstheme="majorBidi"/>
          <w:sz w:val="24"/>
          <w:szCs w:val="24"/>
        </w:rPr>
      </w:pPr>
    </w:p>
    <w:p w14:paraId="690726C0"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التجارب الدولية في تنظيم استخدام المخرجات الذكية أمام القضاء</w:t>
      </w:r>
    </w:p>
    <w:p w14:paraId="526684D1"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التجربة الأوروبية – تنظيم المخاطر بدل حظر التقنية</w:t>
      </w:r>
    </w:p>
    <w:p w14:paraId="4202237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قانون الذكاء الاصطناعي الصادر عن الاتحاد الأوروبي</w:t>
      </w:r>
      <w:r>
        <w:rPr>
          <w:rFonts w:asciiTheme="majorBidi" w:hAnsiTheme="majorBidi" w:cstheme="majorBidi"/>
          <w:sz w:val="24"/>
          <w:szCs w:val="24"/>
        </w:rPr>
        <w:t xml:space="preserve"> (AI Act) </w:t>
      </w:r>
      <w:r>
        <w:rPr>
          <w:rFonts w:asciiTheme="majorBidi" w:hAnsiTheme="majorBidi" w:cstheme="majorBidi"/>
          <w:sz w:val="24"/>
          <w:szCs w:val="24"/>
          <w:rtl/>
        </w:rPr>
        <w:t>من أوائل التشريعات الشاملة التي تناولت استخدام أنظمة الذكاء الاصطناعي في القطاعات الحساسة، ومن بينها المجال القضائي. وقد تبنى المشرّع الأوروبي منهج “تصنيف المخاطر”، حيث قسّم الأنظمة إلى مستويات مختلفة بحسب خطورتها، واعتبر بعض التطبيقات المستخدمة في سياق العدالة أو إنفاذ القانون ضمن فئة “الأنظمة عالية المخاطر</w:t>
      </w:r>
      <w:r>
        <w:rPr>
          <w:rFonts w:asciiTheme="majorBidi" w:hAnsiTheme="majorBidi" w:cstheme="majorBidi"/>
          <w:sz w:val="24"/>
          <w:szCs w:val="24"/>
        </w:rPr>
        <w:t>” (European Parliament &amp; Council of the European Union, 2024).</w:t>
      </w:r>
    </w:p>
    <w:p w14:paraId="67164D89"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ويترتب على هذا التصنيف فرض التزامات إضافية، من أهمها</w:t>
      </w:r>
      <w:r>
        <w:rPr>
          <w:rFonts w:asciiTheme="majorBidi" w:hAnsiTheme="majorBidi" w:cstheme="majorBidi"/>
          <w:sz w:val="24"/>
          <w:szCs w:val="24"/>
        </w:rPr>
        <w:t>:</w:t>
      </w:r>
    </w:p>
    <w:p w14:paraId="5DA97668"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وجود إشراف بشري فعّال</w:t>
      </w:r>
      <w:r>
        <w:rPr>
          <w:rFonts w:asciiTheme="majorBidi" w:hAnsiTheme="majorBidi" w:cstheme="majorBidi"/>
          <w:sz w:val="24"/>
          <w:szCs w:val="24"/>
        </w:rPr>
        <w:t>.</w:t>
      </w:r>
    </w:p>
    <w:p w14:paraId="4930545D"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lastRenderedPageBreak/>
        <w:t>ضمان جودة البيانات المستخدمة في التدريب</w:t>
      </w:r>
      <w:r>
        <w:rPr>
          <w:rFonts w:asciiTheme="majorBidi" w:hAnsiTheme="majorBidi" w:cstheme="majorBidi"/>
          <w:sz w:val="24"/>
          <w:szCs w:val="24"/>
        </w:rPr>
        <w:t>.</w:t>
      </w:r>
    </w:p>
    <w:p w14:paraId="5E2152CB"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توثيق آلية عمل النظام</w:t>
      </w:r>
      <w:r>
        <w:rPr>
          <w:rFonts w:asciiTheme="majorBidi" w:hAnsiTheme="majorBidi" w:cstheme="majorBidi"/>
          <w:sz w:val="24"/>
          <w:szCs w:val="24"/>
        </w:rPr>
        <w:t>.</w:t>
      </w:r>
    </w:p>
    <w:p w14:paraId="3F721BE0"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تمكين الأطراف من الطعن في النتائج الآلية</w:t>
      </w:r>
      <w:r>
        <w:rPr>
          <w:rFonts w:asciiTheme="majorBidi" w:hAnsiTheme="majorBidi" w:cstheme="majorBidi"/>
          <w:sz w:val="24"/>
          <w:szCs w:val="24"/>
        </w:rPr>
        <w:t>.</w:t>
      </w:r>
    </w:p>
    <w:p w14:paraId="17A429F5"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ويلاحظ أن التشريع الأوروبي لم يحظر استخدام الذكاء الاصطناعي في المجال القضائي، بل اشترط خضوعه لضوابط مشددة. وهذا يعكس فلسفة تنظيمية تقوم على إدارة المخاطر لا منع الابتكار</w:t>
      </w:r>
      <w:r>
        <w:rPr>
          <w:rFonts w:asciiTheme="majorBidi" w:hAnsiTheme="majorBidi" w:cstheme="majorBidi"/>
          <w:sz w:val="24"/>
          <w:szCs w:val="24"/>
        </w:rPr>
        <w:t>.</w:t>
      </w:r>
    </w:p>
    <w:p w14:paraId="0FEA5DB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التنظيم الأوروبي يؤكد في جميع الأحوال بقاء القرار القضائي في يد القاضي، وعدم جواز إسناد سلطة تقريرية ملزمة إلى نظام آلي. وهذا المبدأ يتقاطع مع ما قررته الوثائق الوطنية السعودية بشأن ضرورة بقاء العنصر البشري في موقع القرار (الهيئة السعودية للبيانات والذكاء الاصطناعي، 2023؛ 2024)</w:t>
      </w:r>
      <w:r>
        <w:rPr>
          <w:rStyle w:val="af"/>
          <w:rFonts w:asciiTheme="majorBidi" w:hAnsiTheme="majorBidi" w:cstheme="majorBidi"/>
          <w:sz w:val="24"/>
          <w:szCs w:val="24"/>
          <w:rtl/>
        </w:rPr>
        <w:footnoteReference w:id="221"/>
      </w:r>
      <w:r>
        <w:rPr>
          <w:rFonts w:asciiTheme="majorBidi" w:hAnsiTheme="majorBidi" w:cstheme="majorBidi"/>
          <w:sz w:val="24"/>
          <w:szCs w:val="24"/>
        </w:rPr>
        <w:t>.</w:t>
      </w:r>
    </w:p>
    <w:p w14:paraId="2D1A1AC9"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النموذج الأوروبي يقدم تصورًا متوازنًا، يقوم على الاعتراف بواقع التقنية دون التسليم لها بسلطة تقريرية. ويمكن الاستفادة منه في السياق السعودي عبر تبني مبدأ “الإشراف البشري الملزم” في البيئة القضائية، مع مراعاة الخصوصية النظامية الوطنية</w:t>
      </w:r>
      <w:r>
        <w:rPr>
          <w:rFonts w:asciiTheme="majorBidi" w:hAnsiTheme="majorBidi" w:cstheme="majorBidi"/>
          <w:sz w:val="24"/>
          <w:szCs w:val="24"/>
        </w:rPr>
        <w:t>.</w:t>
      </w:r>
    </w:p>
    <w:p w14:paraId="5D825AAC" w14:textId="77777777" w:rsidR="00624037" w:rsidRPr="002E352F" w:rsidRDefault="00624037" w:rsidP="00624037">
      <w:pPr>
        <w:jc w:val="right"/>
        <w:rPr>
          <w:rFonts w:asciiTheme="majorBidi" w:hAnsiTheme="majorBidi" w:cstheme="majorBidi"/>
          <w:sz w:val="24"/>
          <w:szCs w:val="24"/>
        </w:rPr>
      </w:pPr>
    </w:p>
    <w:p w14:paraId="6CDD6787"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أدوات التحليل التنبئي في بعض الأنظمة المقارنة</w:t>
      </w:r>
    </w:p>
    <w:p w14:paraId="04D9873B"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رصدت دراسة محمود وعناني المنشورة ضمن كتاب التحديات والآفاق القانونية والاقتصادية للذكاء الاصطناعي واقع استخدام هذه التقنيات في العمل القضائي، مؤكدَين أن الذكاء الاصطناعي أصبح أداةً قويةً تُسهم في تحسين فعالية وكفاءة العمل القضائي من خلال تحليل البيانات القانونية، وتوفير معلومات مفيدة، وتوجيه المحامين والقضاة في اتخاذ القرارات؛ مع التنبيه إلى ضرورة وجود مبادئ أخلاقية ترتكز عليها هذه التقنيات عند استخدامها في الفصل في المنازعات.</w:t>
      </w:r>
      <w:r>
        <w:rPr>
          <w:rStyle w:val="af"/>
          <w:rFonts w:asciiTheme="majorBidi" w:hAnsiTheme="majorBidi" w:cstheme="majorBidi"/>
          <w:sz w:val="24"/>
          <w:szCs w:val="24"/>
          <w:rtl/>
        </w:rPr>
        <w:footnoteReference w:id="222"/>
      </w:r>
    </w:p>
    <w:p w14:paraId="2825862D"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شهدت بعض الأنظمة القانونية استخدام أدوات تحليلية لتوقع مآلات النزاعات أو تقدير احتمالية النجاح في الدعوى. ورغم أن هذه الأدوات تُستخدم غالبًا في مرحلة الاستشارة القانونية، فإن بعضها امتد إلى البيئة القضائية بصورة غير مباشرة</w:t>
      </w:r>
      <w:r>
        <w:rPr>
          <w:rFonts w:asciiTheme="majorBidi" w:hAnsiTheme="majorBidi" w:cstheme="majorBidi"/>
          <w:sz w:val="24"/>
          <w:szCs w:val="24"/>
        </w:rPr>
        <w:t>.</w:t>
      </w:r>
    </w:p>
    <w:p w14:paraId="4299387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أثار هذا الاستخدام نقاشًا فقهيًا واسعًا حول مدى تأثير التحليل التنبئي على استقلال القضاء. فالتنبؤ القائم على تحليل بيانات الأحكام السابقة قد يعزز الاتساق، لكنه قد يؤدي في الوقت ذاته إلى تثبيت أنماط اجتهادية قائمة، والحد من التطور القضائي</w:t>
      </w:r>
      <w:r>
        <w:rPr>
          <w:rFonts w:asciiTheme="majorBidi" w:hAnsiTheme="majorBidi" w:cstheme="majorBidi"/>
          <w:sz w:val="24"/>
          <w:szCs w:val="24"/>
        </w:rPr>
        <w:t>.</w:t>
      </w:r>
    </w:p>
    <w:p w14:paraId="0B1868C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أشارت دراسات قانونية مقارنة إلى أن التحليل الإحصائي في المجال القضائي ينبغي أن يظل أداة مساعدة لا مرجعًا حاكمًا، وإلا تحولت العدالة إلى “عدالة تنبؤية” بدل أن تكون عدالة تطبيقية قائمة على فهم خصوصية كل نزاع</w:t>
      </w:r>
      <w:r>
        <w:rPr>
          <w:rFonts w:asciiTheme="majorBidi" w:hAnsiTheme="majorBidi" w:cstheme="majorBidi"/>
          <w:sz w:val="24"/>
          <w:szCs w:val="24"/>
        </w:rPr>
        <w:t>.</w:t>
      </w:r>
    </w:p>
    <w:p w14:paraId="42786692"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استخدام التحليل التنبئي في السياق القضائي السعودي يجب أن يظل في حدود الاستشارة المهنية، لا أن يمتد إلى التأثير المباشر في تكوين قناعة القاضي. فالنظام السعودي لا يقوم على مبدأ السوابق الملزمة، بل يمنح القاضي سلطة تقديرية واسعة، وهو ما يجعل التحليل التنبئي ذا طابع استرشادي فقط</w:t>
      </w:r>
      <w:r>
        <w:rPr>
          <w:rFonts w:asciiTheme="majorBidi" w:hAnsiTheme="majorBidi" w:cstheme="majorBidi"/>
          <w:sz w:val="24"/>
          <w:szCs w:val="24"/>
        </w:rPr>
        <w:t>.</w:t>
      </w:r>
    </w:p>
    <w:p w14:paraId="2003C56F" w14:textId="77777777" w:rsidR="00624037" w:rsidRPr="002E352F" w:rsidRDefault="00624037" w:rsidP="00624037">
      <w:pPr>
        <w:jc w:val="right"/>
        <w:rPr>
          <w:rFonts w:asciiTheme="majorBidi" w:hAnsiTheme="majorBidi" w:cstheme="majorBidi"/>
          <w:sz w:val="24"/>
          <w:szCs w:val="24"/>
        </w:rPr>
      </w:pPr>
    </w:p>
    <w:p w14:paraId="4BB9F75C"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حماية الضمانات الإجرائية في البيئة الرقمية</w:t>
      </w:r>
    </w:p>
    <w:p w14:paraId="38535B90" w14:textId="77777777" w:rsidR="00B16B4E"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lastRenderedPageBreak/>
        <w:t>وتفرض البيئة الرقمية تحديات جوهرية أمام الضمانات الإجرائية المقررة للمتقاضين، وذلك في ظل تنامي الاعتماد على الأنظمة الذكية في إعداد المستندات القانونية، مما يستدعي تطبيق أحكام نظام التعاملات الإلكترونية الصادر بالمرسوم الملكي رقم م/18 لعام 1428هـ.</w:t>
      </w:r>
      <w:r>
        <w:rPr>
          <w:rtl/>
        </w:rPr>
        <w:footnoteReference w:id="223"/>
      </w:r>
    </w:p>
    <w:p w14:paraId="70EC86AA"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الإطار، أشارت الهيئة السعودية للبيانات والذكاء الاصطناعي (سدايا) في وثيقتها الاسترشادية حول أخلاقيات الذكاء الاصطناعي الصادرة في طبعتها الثانية عام 2024م إلى أن مبدأ القيم الإنسانية والعدالة يستلزم أن تكون أنظمة الذكاء الاصطناعي مصممةً بحيث تحترم كرامة الإنسان وتُراعي مبادئ العدالة والمساواة، وهو ما يستوجب في السياق القضائي والمهني توافر ضمانات إجرائية صريحة تكفل حقوق الأطراف وتُحكم مسؤولية مستخدمي هذه الأنظمة.</w:t>
      </w:r>
      <w:r>
        <w:rPr>
          <w:rStyle w:val="af"/>
          <w:rFonts w:asciiTheme="majorBidi" w:hAnsiTheme="majorBidi" w:cstheme="majorBidi"/>
          <w:sz w:val="24"/>
          <w:szCs w:val="24"/>
          <w:rtl/>
        </w:rPr>
        <w:footnoteReference w:id="224"/>
      </w:r>
    </w:p>
    <w:p w14:paraId="3CF7226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أبرز ما شددت عليه التجارب المقارنة ضرورة حماية الضمانات الإجرائية عند إدخال التقنية في المجال القضائي. فالمشكلة لا تكمن في الوسيلة ذاتها، بل في احتمال أن تؤدي إلى الإخلال بحق الدفاع أو مبدأ المساواة بين الخصوم</w:t>
      </w:r>
      <w:r>
        <w:rPr>
          <w:rFonts w:asciiTheme="majorBidi" w:hAnsiTheme="majorBidi" w:cstheme="majorBidi"/>
          <w:sz w:val="24"/>
          <w:szCs w:val="24"/>
        </w:rPr>
        <w:t>.</w:t>
      </w:r>
    </w:p>
    <w:p w14:paraId="6FF023AE"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ربط التنظيم الأوروبي بين استخدام أنظمة الذكاء الاصطناعي في العدالة وبين حماية الحقوق الأساسية، واعتبر الشفافية وقابلية التفسير عنصرين جوهريين لضمان المحاكمة العادلة</w:t>
      </w:r>
      <w:r>
        <w:rPr>
          <w:rFonts w:asciiTheme="majorBidi" w:hAnsiTheme="majorBidi" w:cstheme="majorBidi"/>
          <w:sz w:val="24"/>
          <w:szCs w:val="24"/>
        </w:rPr>
        <w:t xml:space="preserve"> (European Parliament &amp; Council of the European Union, 2024).</w:t>
      </w:r>
    </w:p>
    <w:p w14:paraId="6A95CEFB"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السياق السعودي، فإن ضمانات التقاضي مستمدة من النظام الأساسي للحكم ومن الأنظمة الإجرائية ذات الصلة، التي تؤكد حق الدفاع وعلانية الإجراءات واستقلال القضاء. ومن ثم فإن أي استخدام تقني ينبغي أن يُقاس بمدى اتساقه مع هذه المبادئ</w:t>
      </w:r>
      <w:r>
        <w:rPr>
          <w:rFonts w:asciiTheme="majorBidi" w:hAnsiTheme="majorBidi" w:cstheme="majorBidi"/>
          <w:sz w:val="24"/>
          <w:szCs w:val="24"/>
        </w:rPr>
        <w:t>.</w:t>
      </w:r>
    </w:p>
    <w:p w14:paraId="10326E4B" w14:textId="77777777" w:rsidR="00624037" w:rsidRPr="002E352F" w:rsidRDefault="00523C56"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الحاكم في قبول أو رفض المخرجات الذكية أمام القضاء يجب أن يكون مدى تأثيرها في ضمانات العدالة. فإذا أدت إلى تعزيز الفهم أو تسريع الفصل دون الإخلال بحقوق الخصوم، فهي أداة مشروعة. أما إذا مست جوهر المواجهة أو أضعفت قدرة أحد الأطراف على الرد، فإن استخدامها يصبح محل نظر</w:t>
      </w:r>
      <w:r>
        <w:rPr>
          <w:rFonts w:asciiTheme="majorBidi" w:hAnsiTheme="majorBidi" w:cstheme="majorBidi"/>
          <w:sz w:val="24"/>
          <w:szCs w:val="24"/>
        </w:rPr>
        <w:t>.</w:t>
      </w:r>
    </w:p>
    <w:p w14:paraId="79BDF76D" w14:textId="77777777" w:rsidR="00624037" w:rsidRPr="002E352F" w:rsidRDefault="00624037" w:rsidP="00624037">
      <w:pPr>
        <w:jc w:val="right"/>
        <w:rPr>
          <w:rFonts w:asciiTheme="majorBidi" w:hAnsiTheme="majorBidi" w:cstheme="majorBidi"/>
          <w:sz w:val="24"/>
          <w:szCs w:val="24"/>
        </w:rPr>
      </w:pPr>
    </w:p>
    <w:p w14:paraId="07CA1C0B"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مقارنة ختامية في ضوء النظام السعودي</w:t>
      </w:r>
    </w:p>
    <w:p w14:paraId="6FA286D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يتضح من استعراض التجارب الدولية أن الاتجاه العام لا يتجه إلى منع استخدام المخرجات الذكية أمام القضاء، بل إلى تنظيمها وإحاطتها بضوابط مشددة. ويتركز جوهر هذه الضوابط في ثلاث نقاط رئيسة</w:t>
      </w:r>
      <w:r>
        <w:rPr>
          <w:rFonts w:asciiTheme="majorBidi" w:hAnsiTheme="majorBidi" w:cstheme="majorBidi"/>
          <w:sz w:val="24"/>
          <w:szCs w:val="24"/>
        </w:rPr>
        <w:t>:</w:t>
      </w:r>
    </w:p>
    <w:p w14:paraId="491B024D"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بقاء القرار القضائي بيد الإنسان</w:t>
      </w:r>
      <w:r>
        <w:rPr>
          <w:rFonts w:asciiTheme="majorBidi" w:hAnsiTheme="majorBidi" w:cstheme="majorBidi"/>
          <w:sz w:val="24"/>
          <w:szCs w:val="24"/>
        </w:rPr>
        <w:t>.</w:t>
      </w:r>
    </w:p>
    <w:p w14:paraId="2C341FE9"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قابلية المخرجات للفحص والمراجعة</w:t>
      </w:r>
      <w:r>
        <w:rPr>
          <w:rFonts w:asciiTheme="majorBidi" w:hAnsiTheme="majorBidi" w:cstheme="majorBidi"/>
          <w:sz w:val="24"/>
          <w:szCs w:val="24"/>
        </w:rPr>
        <w:t>.</w:t>
      </w:r>
    </w:p>
    <w:p w14:paraId="66B9029C"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وضوح المسؤولية عن النتائج</w:t>
      </w:r>
      <w:r>
        <w:rPr>
          <w:rFonts w:asciiTheme="majorBidi" w:hAnsiTheme="majorBidi" w:cstheme="majorBidi"/>
          <w:sz w:val="24"/>
          <w:szCs w:val="24"/>
        </w:rPr>
        <w:t>.</w:t>
      </w:r>
    </w:p>
    <w:p w14:paraId="62A61A2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وهذه النقاط تتسق – في جوهرها – مع ما قررته الأنظمة السعودية من حيث سلطة القاضي في تقدير الأدلة (هيئة الخبراء بمجلس الوزراء، 1443هـ)، وبقاء المسؤولية المهنية على عاتق مقدم العمل القانوني</w:t>
      </w:r>
      <w:r>
        <w:rPr>
          <w:rStyle w:val="af"/>
          <w:rFonts w:asciiTheme="majorBidi" w:hAnsiTheme="majorBidi" w:cstheme="majorBidi"/>
          <w:sz w:val="24"/>
          <w:szCs w:val="24"/>
          <w:rtl/>
        </w:rPr>
        <w:footnoteReference w:id="225"/>
      </w:r>
      <w:r>
        <w:rPr>
          <w:rFonts w:asciiTheme="majorBidi" w:hAnsiTheme="majorBidi" w:cstheme="majorBidi"/>
          <w:sz w:val="24"/>
          <w:szCs w:val="24"/>
          <w:rtl/>
        </w:rPr>
        <w:t xml:space="preserve">، ووجوب </w:t>
      </w:r>
      <w:r>
        <w:rPr>
          <w:rFonts w:asciiTheme="majorBidi" w:hAnsiTheme="majorBidi" w:cstheme="majorBidi"/>
          <w:sz w:val="24"/>
          <w:szCs w:val="24"/>
          <w:rtl/>
        </w:rPr>
        <w:lastRenderedPageBreak/>
        <w:t>الشفافية والمساءلة في استخدام الذكاء الاصطناعي (الهيئة السعودية للبيانات والذكاء الاصطناعي، 2023؛ 2024)</w:t>
      </w:r>
      <w:r>
        <w:rPr>
          <w:rFonts w:asciiTheme="majorBidi" w:hAnsiTheme="majorBidi" w:cstheme="majorBidi"/>
          <w:sz w:val="24"/>
          <w:szCs w:val="24"/>
        </w:rPr>
        <w:t>.</w:t>
      </w:r>
    </w:p>
    <w:p w14:paraId="1945165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البيئة السعودية تتميز بخصوصيات، منها</w:t>
      </w:r>
      <w:r>
        <w:rPr>
          <w:rFonts w:asciiTheme="majorBidi" w:hAnsiTheme="majorBidi" w:cstheme="majorBidi"/>
          <w:sz w:val="24"/>
          <w:szCs w:val="24"/>
        </w:rPr>
        <w:t>:</w:t>
      </w:r>
    </w:p>
    <w:p w14:paraId="0A76E3D9" w14:textId="77777777" w:rsidR="00624037" w:rsidRPr="002E352F" w:rsidRDefault="00624037">
      <w:pPr>
        <w:numPr>
          <w:ilvl w:val="0"/>
          <w:numId w:val="16"/>
        </w:numPr>
        <w:jc w:val="right"/>
        <w:rPr>
          <w:rFonts w:asciiTheme="majorBidi" w:hAnsiTheme="majorBidi" w:cstheme="majorBidi"/>
          <w:sz w:val="24"/>
          <w:szCs w:val="24"/>
        </w:rPr>
      </w:pPr>
      <w:r>
        <w:rPr>
          <w:rFonts w:asciiTheme="majorBidi" w:hAnsiTheme="majorBidi" w:cstheme="majorBidi"/>
          <w:sz w:val="24"/>
          <w:szCs w:val="24"/>
          <w:rtl/>
        </w:rPr>
        <w:t>عدم وجود نظام سوابق ملزمة</w:t>
      </w:r>
      <w:r>
        <w:rPr>
          <w:rFonts w:asciiTheme="majorBidi" w:hAnsiTheme="majorBidi" w:cstheme="majorBidi"/>
          <w:sz w:val="24"/>
          <w:szCs w:val="24"/>
        </w:rPr>
        <w:t>.</w:t>
      </w:r>
    </w:p>
    <w:p w14:paraId="0E0F9FF3" w14:textId="77777777" w:rsidR="00624037" w:rsidRPr="002E352F" w:rsidRDefault="00624037" w:rsidP="00786384">
      <w:pPr>
        <w:numPr>
          <w:ilvl w:val="0"/>
          <w:numId w:val="16"/>
        </w:numPr>
        <w:jc w:val="right"/>
        <w:rPr>
          <w:rFonts w:asciiTheme="majorBidi" w:hAnsiTheme="majorBidi" w:cstheme="majorBidi"/>
          <w:sz w:val="24"/>
          <w:szCs w:val="24"/>
        </w:rPr>
      </w:pPr>
      <w:r>
        <w:rPr>
          <w:rFonts w:asciiTheme="majorBidi" w:hAnsiTheme="majorBidi" w:cstheme="majorBidi"/>
          <w:sz w:val="24"/>
          <w:szCs w:val="24"/>
          <w:rtl/>
        </w:rPr>
        <w:t>مركزية الاجتهاد القضائي</w:t>
      </w:r>
      <w:r>
        <w:rPr>
          <w:rFonts w:asciiTheme="majorBidi" w:hAnsiTheme="majorBidi" w:cstheme="majorBidi"/>
          <w:sz w:val="24"/>
          <w:szCs w:val="24"/>
        </w:rPr>
        <w:t>.</w:t>
      </w:r>
    </w:p>
    <w:p w14:paraId="0877F5E3"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 معالجة مركزية الاجتهاد القضائي في مواجهة المسائل التقنية، خلص بعض الباحثين إلى أن إنشاء وحدة تقنية مساندة للقضاء تضم خبراء في الذكاء الاصطناعي والأدلة الرقمية سيُخفف من حدة هذه المركزية ويُوفر للقضاء مرجعية موضوعية تُعينه على التعامل مع الحجج التقنية، على نحو يُشبه في وظيفته دور خبير الحساب أو الخبير الطبي الشرعي في المنظومات القضائية المتخصصة.</w:t>
      </w:r>
      <w:r>
        <w:rPr>
          <w:rtl/>
        </w:rPr>
        <w:footnoteReference w:id="226"/>
      </w:r>
    </w:p>
    <w:p w14:paraId="7D20B950"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 مواجهة مركزية الاجتهاد القضائي التي تُشكّل سمة بنيوية في المنظومة القانونية السعودية، دعا بعض الباحثين إلى إنشاء غرف قضائية متخصصة في القضايا الرقمية تضم قضاة مُؤهَّلين تأهيلاً تقنياً مزدوجاً، يُدركون أحكام النظام السعودي من جهة ومعطيات الثورة الرقمية من جهة أخرى، مما يُتيح بناء اجتهاد قضائي موحّد في مسائل المسؤولية عن الذكاء الاصطناعي.</w:t>
      </w:r>
      <w:r>
        <w:rPr>
          <w:rtl/>
        </w:rPr>
        <w:footnoteReference w:id="227"/>
      </w:r>
    </w:p>
    <w:p w14:paraId="6B722693" w14:textId="77777777" w:rsidR="00624037" w:rsidRPr="002E352F" w:rsidRDefault="00624037" w:rsidP="00786384">
      <w:pPr>
        <w:numPr>
          <w:ilvl w:val="0"/>
          <w:numId w:val="16"/>
        </w:numPr>
        <w:jc w:val="right"/>
        <w:rPr>
          <w:rFonts w:asciiTheme="majorBidi" w:hAnsiTheme="majorBidi" w:cstheme="majorBidi"/>
          <w:sz w:val="24"/>
          <w:szCs w:val="24"/>
        </w:rPr>
      </w:pPr>
      <w:r>
        <w:rPr>
          <w:rFonts w:asciiTheme="majorBidi" w:hAnsiTheme="majorBidi" w:cstheme="majorBidi"/>
          <w:sz w:val="24"/>
          <w:szCs w:val="24"/>
          <w:rtl/>
        </w:rPr>
        <w:t>الطبيعة المختلطة للمرجعية بين الشريعة والنظام</w:t>
      </w:r>
      <w:r>
        <w:rPr>
          <w:rFonts w:asciiTheme="majorBidi" w:hAnsiTheme="majorBidi" w:cstheme="majorBidi"/>
          <w:sz w:val="24"/>
          <w:szCs w:val="24"/>
        </w:rPr>
        <w:t>.</w:t>
      </w:r>
    </w:p>
    <w:p w14:paraId="153EC0A1"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 السياق المقارن لتوظيف مبادئ الفقه الإسلامي في مواجهة تحديات الذكاء الاصطناعي، عرضت عبد الرحمن حالات عدة من الفقه الإسلامي المعاصر تُوظّف فيها قواعد مثل لا ضرر ولا ضرار، وقاعدة الغرم بالغنم، وقاعدة المشقة تجلب التيسير، في معالجة مسائل الضرر الرقمي والمسؤولية عن الأخطاء الخوارزمية، منتهيةً إلى أن الفقه الإسلامي يمتلك المرونة الكافية لاستيعاب هذه الإشكاليات المستحدثة.</w:t>
      </w:r>
      <w:r>
        <w:rPr>
          <w:rtl/>
        </w:rPr>
        <w:footnoteReference w:id="228"/>
      </w:r>
    </w:p>
    <w:p w14:paraId="23709145"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وفيما يتعلق بالطبيعة المختلطة للمرجعية القانونية في المنظومة السعودية، نبّه بعض الباحثين إلى أن هذه الطبيعة المزدوجة تمنح المشرّع والقاضي مرونة نادرة في التعامل مع المستجدات التقنية؛ إذ يمكن الاستناد إلى مبادئ الشريعة الإسلامية كقواعد درء الضرر وحماية الحقوق المكتسبة، إلى جانب النصوص التنظيمية، لسد الفراغ التشريعي في مواجهة إشكاليات الذكاء الاصطناعي الطارئة.</w:t>
      </w:r>
      <w:r>
        <w:rPr>
          <w:rtl/>
        </w:rPr>
        <w:footnoteReference w:id="229"/>
      </w:r>
    </w:p>
    <w:p w14:paraId="3081C10F"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وعلى الصعيد الأكاديمي، رصدت الأمين ما وصفته بالطبيعة المختلطة للمرجعية القانونية في القطاع القانوني السعودي الرقمي؛ إذ تتشابك المرجعية الشرعية الإسلامية والمرجعية النظامية المُدوّنة مع مبادئ القانون المقارن في معالجة مسائل التقنية القانونية، وهذا التشابك يُثري النقاش الأكاديمي لكنه يُعقّد تطبيق النصوص ما لم تُضبط الأولويات تشريعياً.</w:t>
      </w:r>
      <w:r>
        <w:rPr>
          <w:rtl/>
        </w:rPr>
        <w:footnoteReference w:id="230"/>
      </w:r>
    </w:p>
    <w:p w14:paraId="7CD830BD" w14:textId="77777777" w:rsidR="00624037" w:rsidRPr="002E352F" w:rsidRDefault="00624037" w:rsidP="00786384">
      <w:pPr>
        <w:jc w:val="right"/>
        <w:rPr>
          <w:rFonts w:asciiTheme="majorBidi" w:hAnsiTheme="majorBidi" w:cstheme="majorBidi"/>
          <w:sz w:val="24"/>
          <w:szCs w:val="24"/>
        </w:rPr>
      </w:pPr>
      <w:r>
        <w:rPr>
          <w:rFonts w:asciiTheme="majorBidi" w:hAnsiTheme="majorBidi" w:cstheme="majorBidi"/>
          <w:sz w:val="24"/>
          <w:szCs w:val="24"/>
          <w:rtl/>
        </w:rPr>
        <w:lastRenderedPageBreak/>
        <w:t>وهي عناصر تجعل نقل التجارب المقارنة بحرفيتها غير ممكن، لكنها تسمح بالاستفادة من مبادئها العامة</w:t>
      </w:r>
      <w:r>
        <w:rPr>
          <w:rFonts w:asciiTheme="majorBidi" w:hAnsiTheme="majorBidi" w:cstheme="majorBidi"/>
          <w:sz w:val="24"/>
          <w:szCs w:val="24"/>
        </w:rPr>
        <w:t>.</w:t>
      </w:r>
    </w:p>
    <w:p w14:paraId="0CD2D021" w14:textId="77777777" w:rsidR="00624037" w:rsidRPr="002E352F" w:rsidRDefault="00624037" w:rsidP="00786384">
      <w:pPr>
        <w:jc w:val="right"/>
        <w:rPr>
          <w:rFonts w:asciiTheme="majorBidi" w:hAnsiTheme="majorBidi" w:cstheme="majorBidi"/>
          <w:sz w:val="24"/>
          <w:szCs w:val="24"/>
        </w:rPr>
      </w:pPr>
    </w:p>
    <w:p w14:paraId="73BEEC0A" w14:textId="2EE4D84A" w:rsidR="00624037" w:rsidRPr="002E352F" w:rsidRDefault="00BB08F4" w:rsidP="00624037">
      <w:pPr>
        <w:jc w:val="right"/>
        <w:rPr>
          <w:rFonts w:asciiTheme="majorBidi" w:hAnsiTheme="majorBidi" w:cstheme="majorBidi"/>
          <w:sz w:val="24"/>
          <w:szCs w:val="24"/>
        </w:rPr>
      </w:pPr>
      <w:r w:rsidRPr="00BB08F4">
        <w:rPr>
          <w:rFonts w:asciiTheme="majorBidi" w:hAnsiTheme="majorBidi" w:cstheme="majorBidi" w:hint="cs"/>
          <w:b/>
          <w:bCs/>
          <w:sz w:val="24"/>
          <w:szCs w:val="24"/>
          <w:rtl/>
        </w:rPr>
        <w:t xml:space="preserve">و </w:t>
      </w:r>
      <w:r w:rsidR="00624037" w:rsidRPr="00BB08F4">
        <w:rPr>
          <w:rFonts w:asciiTheme="majorBidi" w:hAnsiTheme="majorBidi" w:cstheme="majorBidi"/>
          <w:b/>
          <w:bCs/>
          <w:sz w:val="24"/>
          <w:szCs w:val="24"/>
          <w:rtl/>
        </w:rPr>
        <w:t>من خلال التحليل النظامي والمقارن</w:t>
      </w:r>
      <w:r w:rsidRPr="00BB08F4">
        <w:rPr>
          <w:rFonts w:asciiTheme="majorBidi" w:hAnsiTheme="majorBidi" w:cstheme="majorBidi" w:hint="cs"/>
          <w:b/>
          <w:bCs/>
          <w:sz w:val="24"/>
          <w:szCs w:val="24"/>
          <w:rtl/>
        </w:rPr>
        <w:t xml:space="preserve"> لهذا المطلب</w:t>
      </w:r>
      <w:r w:rsidR="00624037">
        <w:rPr>
          <w:rFonts w:asciiTheme="majorBidi" w:hAnsiTheme="majorBidi" w:cstheme="majorBidi"/>
          <w:sz w:val="24"/>
          <w:szCs w:val="24"/>
          <w:rtl/>
        </w:rPr>
        <w:t>، يتبين أن مشروعية استخدام المخرجات الذكية أمام الجهات القضائية في النظام السعودي تقوم على مبدأ “القبول المنضبط”، الذي يجمع بين</w:t>
      </w:r>
      <w:r w:rsidR="00624037">
        <w:rPr>
          <w:rFonts w:asciiTheme="majorBidi" w:hAnsiTheme="majorBidi" w:cstheme="majorBidi"/>
          <w:sz w:val="24"/>
          <w:szCs w:val="24"/>
        </w:rPr>
        <w:t>:</w:t>
      </w:r>
    </w:p>
    <w:p w14:paraId="7E7225CD"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احترام ضمانات التقاضي</w:t>
      </w:r>
      <w:r>
        <w:rPr>
          <w:rFonts w:asciiTheme="majorBidi" w:hAnsiTheme="majorBidi" w:cstheme="majorBidi"/>
          <w:sz w:val="24"/>
          <w:szCs w:val="24"/>
        </w:rPr>
        <w:t>.</w:t>
      </w:r>
    </w:p>
    <w:p w14:paraId="7C213882"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بقاء سلطة القاضي في التقدير</w:t>
      </w:r>
      <w:r>
        <w:rPr>
          <w:rFonts w:asciiTheme="majorBidi" w:hAnsiTheme="majorBidi" w:cstheme="majorBidi"/>
          <w:sz w:val="24"/>
          <w:szCs w:val="24"/>
        </w:rPr>
        <w:t>.</w:t>
      </w:r>
    </w:p>
    <w:p w14:paraId="2181C9FD"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تحمل المحامي لمسؤوليته المهنية</w:t>
      </w:r>
      <w:r>
        <w:rPr>
          <w:rFonts w:asciiTheme="majorBidi" w:hAnsiTheme="majorBidi" w:cstheme="majorBidi"/>
          <w:sz w:val="24"/>
          <w:szCs w:val="24"/>
        </w:rPr>
        <w:t>.</w:t>
      </w:r>
    </w:p>
    <w:p w14:paraId="0B2EC502"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خضوع التقنية لمبادئ الشفافية والمساءلة</w:t>
      </w:r>
      <w:r>
        <w:rPr>
          <w:rFonts w:asciiTheme="majorBidi" w:hAnsiTheme="majorBidi" w:cstheme="majorBidi"/>
          <w:sz w:val="24"/>
          <w:szCs w:val="24"/>
        </w:rPr>
        <w:t>.</w:t>
      </w:r>
    </w:p>
    <w:p w14:paraId="1C4885E4" w14:textId="77777777" w:rsidR="00CF598B" w:rsidRDefault="007C31A8" w:rsidP="00624037">
      <w:pPr>
        <w:jc w:val="right"/>
        <w:rPr>
          <w:rFonts w:asciiTheme="majorBidi" w:hAnsiTheme="majorBidi" w:cstheme="majorBidi"/>
          <w:sz w:val="24"/>
          <w:szCs w:val="24"/>
          <w:rtl/>
        </w:rPr>
      </w:pPr>
      <w:r>
        <w:rPr>
          <w:rFonts w:asciiTheme="majorBidi" w:hAnsiTheme="majorBidi" w:cstheme="majorBidi" w:hint="cs"/>
          <w:b/>
          <w:bCs/>
          <w:sz w:val="24"/>
          <w:szCs w:val="24"/>
          <w:rtl/>
        </w:rPr>
        <w:t xml:space="preserve">ومن خلال تحليل المطلب نجد </w:t>
      </w:r>
      <w:r>
        <w:rPr>
          <w:rFonts w:asciiTheme="majorBidi" w:hAnsiTheme="majorBidi" w:cstheme="majorBidi"/>
          <w:sz w:val="24"/>
          <w:szCs w:val="24"/>
          <w:rtl/>
        </w:rPr>
        <w:t>أن الإطار القانوني لتوظيف الذكاء الاصطناعي في مكاتب المحاماة ينبغي أن ينص صراحة على أن المخرجات الذكية لا تُقدَّم أمام القضاء إلا بوصفها رأيًا مهنيًا تبناه محامٍ مسؤول، وأن تظل خاضعة لسلطة المحكمة في التقدير، وألا تُعامل كأدلة تقنية مستقلة بذاتها. كما ينبغي أن يُدمج مبدأ الإشراف البشري وقابلية التفسير ضمن المعايير المهنية الملزمة</w:t>
      </w:r>
    </w:p>
    <w:p w14:paraId="25453D18" w14:textId="77777777" w:rsidR="00624037" w:rsidRDefault="00624037" w:rsidP="00624037">
      <w:pPr>
        <w:jc w:val="right"/>
        <w:rPr>
          <w:rFonts w:asciiTheme="majorBidi" w:hAnsiTheme="majorBidi" w:cstheme="majorBidi"/>
          <w:sz w:val="24"/>
          <w:szCs w:val="24"/>
          <w:rtl/>
        </w:rPr>
      </w:pPr>
    </w:p>
    <w:p w14:paraId="6C457D36" w14:textId="77777777" w:rsidR="00CF598B" w:rsidRPr="00A845BC" w:rsidRDefault="00CF598B" w:rsidP="00CF598B">
      <w:pPr>
        <w:jc w:val="center"/>
        <w:rPr>
          <w:rFonts w:asciiTheme="majorBidi" w:hAnsiTheme="majorBidi" w:cstheme="majorBidi"/>
          <w:sz w:val="32"/>
          <w:szCs w:val="32"/>
          <w:rtl/>
        </w:rPr>
      </w:pPr>
    </w:p>
    <w:p w14:paraId="40E16300" w14:textId="77777777" w:rsidR="00CF598B" w:rsidRPr="00A845BC" w:rsidRDefault="00CF598B" w:rsidP="00CF598B">
      <w:pPr>
        <w:jc w:val="center"/>
        <w:rPr>
          <w:rFonts w:asciiTheme="majorBidi" w:hAnsiTheme="majorBidi" w:cstheme="majorBidi"/>
          <w:b/>
          <w:bCs/>
          <w:sz w:val="32"/>
          <w:szCs w:val="32"/>
        </w:rPr>
      </w:pPr>
      <w:r>
        <w:rPr>
          <w:rFonts w:asciiTheme="majorBidi" w:hAnsiTheme="majorBidi" w:cstheme="majorBidi"/>
          <w:b/>
          <w:bCs/>
          <w:sz w:val="32"/>
          <w:szCs w:val="32"/>
          <w:rtl/>
        </w:rPr>
        <w:t>المبحث الثاني</w:t>
      </w:r>
    </w:p>
    <w:p w14:paraId="219FBD82" w14:textId="77777777" w:rsidR="00CF598B" w:rsidRPr="00A845BC" w:rsidRDefault="00CF598B" w:rsidP="00CF598B">
      <w:pPr>
        <w:jc w:val="center"/>
        <w:rPr>
          <w:rFonts w:asciiTheme="majorBidi" w:hAnsiTheme="majorBidi" w:cstheme="majorBidi"/>
          <w:b/>
          <w:bCs/>
          <w:sz w:val="24"/>
          <w:szCs w:val="24"/>
        </w:rPr>
      </w:pPr>
      <w:r>
        <w:rPr>
          <w:rFonts w:asciiTheme="majorBidi" w:hAnsiTheme="majorBidi" w:cstheme="majorBidi"/>
          <w:b/>
          <w:bCs/>
          <w:sz w:val="32"/>
          <w:szCs w:val="32"/>
          <w:rtl/>
        </w:rPr>
        <w:t>المسؤولية القانونية والمهنية عن استخدام تقنيات الذكاء الاصطناعي في مكاتب المحاماة</w:t>
      </w:r>
    </w:p>
    <w:p w14:paraId="0835FB26"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إذا كان المبحث الأول قد انصرف إلى تحديد الطبيعة النظامية والفقهية للمخرجات القانونية المنتجة عبر تقنيات الذكاء الاصطناعي، وبيان مدى حجيتها وإمكان الاحتجاج بها أمام الجهات القضائية، فإن هذا المبحث ينتقل إلى المستوى الأعمق في البناء القانوني، وهو مستوى </w:t>
      </w:r>
      <w:r>
        <w:rPr>
          <w:rFonts w:asciiTheme="majorBidi" w:hAnsiTheme="majorBidi" w:cstheme="majorBidi"/>
          <w:b/>
          <w:bCs/>
          <w:sz w:val="24"/>
          <w:szCs w:val="24"/>
          <w:rtl/>
        </w:rPr>
        <w:t>المساءلة</w:t>
      </w:r>
      <w:r>
        <w:rPr>
          <w:rFonts w:asciiTheme="majorBidi" w:hAnsiTheme="majorBidi" w:cstheme="majorBidi"/>
          <w:sz w:val="24"/>
          <w:szCs w:val="24"/>
        </w:rPr>
        <w:t xml:space="preserve">. </w:t>
      </w:r>
      <w:r>
        <w:rPr>
          <w:rFonts w:asciiTheme="majorBidi" w:hAnsiTheme="majorBidi" w:cstheme="majorBidi"/>
          <w:sz w:val="24"/>
          <w:szCs w:val="24"/>
          <w:rtl/>
        </w:rPr>
        <w:t>ذلك أن أي تنظيم قانوني لتوظيف الذكاء الاصطناعي في مكاتب المحاماة لا يكتمل بمجرد تحديد مشروعية الاستخدام أو توصيف الطبيعة القانونية للمخرجات، بل يتوقف في جوهره على الإجابة عن سؤال أكثر حساسية: من يتحمل تبعة الخطأ عند وقوعه؟</w:t>
      </w:r>
    </w:p>
    <w:p w14:paraId="19F088E5"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فالذكاء الاصطناعي، مهما بلغت درجة تطوره، يظل أداة تُستخدم في إطار علاقة قانونية قائمة بين المحامي وموكله. وهذه العلاقة ذات طبيعة ائتمانية خاصة، تُبنى على الثقة والسرية وحسن العناية، وهي خصائص تميز مهنة المحاماة عن غيرها من الأنشطة التجارية. ومن ثم فإن إدخال أنظمة تحليل ذكية في عملية إعداد العقود، أو صياغة المذكرات، أو تحليل السوابق القضائية، لا يُعد مجرد تحسين تقني في آلية العمل، بل يُعيد تشكيل نطاق الالتزامات المهنية ذاتها</w:t>
      </w:r>
      <w:r>
        <w:rPr>
          <w:rFonts w:asciiTheme="majorBidi" w:hAnsiTheme="majorBidi" w:cstheme="majorBidi"/>
          <w:sz w:val="24"/>
          <w:szCs w:val="24"/>
        </w:rPr>
        <w:t>.</w:t>
      </w:r>
    </w:p>
    <w:p w14:paraId="3BC0737C"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وقد قرر المنظم السعودي في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w:t>
      </w:r>
      <w:r>
        <w:rPr>
          <w:rStyle w:val="af"/>
          <w:rFonts w:asciiTheme="majorBidi" w:hAnsiTheme="majorBidi" w:cstheme="majorBidi"/>
          <w:sz w:val="24"/>
          <w:szCs w:val="24"/>
          <w:rtl/>
        </w:rPr>
        <w:footnoteReference w:id="231"/>
      </w:r>
      <w:r>
        <w:rPr>
          <w:rFonts w:asciiTheme="majorBidi" w:hAnsiTheme="majorBidi" w:cstheme="majorBidi"/>
          <w:sz w:val="24"/>
          <w:szCs w:val="24"/>
          <w:rtl/>
        </w:rPr>
        <w:t xml:space="preserve">أن المحامي يلتزم بأداء عمله وفق أصول المهنة ، كما أكدت اللائحة التنفيذية على مقتضيات الأمانة والمحافظة على حقوق الموكلين. كما أن القواعد العامة في </w:t>
      </w:r>
      <w:r>
        <w:rPr>
          <w:rFonts w:asciiTheme="majorBidi" w:hAnsiTheme="majorBidi" w:cstheme="majorBidi"/>
          <w:b/>
          <w:bCs/>
          <w:sz w:val="24"/>
          <w:szCs w:val="24"/>
          <w:rtl/>
        </w:rPr>
        <w:t>نظام المعاملات المدنية</w:t>
      </w:r>
      <w:r>
        <w:rPr>
          <w:rStyle w:val="af"/>
          <w:rFonts w:asciiTheme="majorBidi" w:hAnsiTheme="majorBidi" w:cstheme="majorBidi"/>
          <w:b/>
          <w:bCs/>
          <w:sz w:val="24"/>
          <w:szCs w:val="24"/>
          <w:rtl/>
        </w:rPr>
        <w:footnoteReference w:id="232"/>
      </w:r>
      <w:r>
        <w:rPr>
          <w:rFonts w:asciiTheme="majorBidi" w:hAnsiTheme="majorBidi" w:cstheme="majorBidi" w:hint="cs"/>
          <w:b/>
          <w:bCs/>
          <w:sz w:val="24"/>
          <w:szCs w:val="24"/>
          <w:rtl/>
        </w:rPr>
        <w:t xml:space="preserve"> </w:t>
      </w:r>
      <w:r>
        <w:rPr>
          <w:rFonts w:asciiTheme="majorBidi" w:hAnsiTheme="majorBidi" w:cstheme="majorBidi"/>
          <w:sz w:val="24"/>
          <w:szCs w:val="24"/>
          <w:rtl/>
        </w:rPr>
        <w:t>تقضي بأن كل خطأ سبب ضررًا للغير يوجب التعويض، وهو ما يشكل الأساس العام للمسؤولية المدنية. وعليه فإن السؤال لا ينصب على وجود المسؤولية من عدمها، بل على كيفية تكييفها في ظل بيئة تقنية تتسم بالتعقيد وتعدد الأطراف</w:t>
      </w:r>
      <w:r>
        <w:rPr>
          <w:rFonts w:asciiTheme="majorBidi" w:hAnsiTheme="majorBidi" w:cstheme="majorBidi"/>
          <w:sz w:val="24"/>
          <w:szCs w:val="24"/>
        </w:rPr>
        <w:t>.</w:t>
      </w:r>
    </w:p>
    <w:p w14:paraId="611B4206"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lastRenderedPageBreak/>
        <w:t>وإذا كان التحليل السابق قد انتهى إلى أن المسؤولية المهنية للمحامي في البيئة الرقمية لا تسقط بمجرد استعانته بأدوات تقنية حديثة، بل تظل قائمة في حدود التزامه بالعناية واليقظة المهنية، فإن الإشكال يتعمّق حين يكون مصدر الخطأ ذاته ناتجًا عن نظام ذكي يعمل بآليات خوارزمية معقدة. فهنا لا يعود السؤال مقتصرًا على مدى التزام المحامي بواجباته، بل يمتد إلى طبيعة الفعل الضار ذاته، وكيفية إسناده في ظل بيئة تقنية لا تتسم بالشفافية الكاملة</w:t>
      </w:r>
      <w:r>
        <w:rPr>
          <w:rFonts w:asciiTheme="majorBidi" w:hAnsiTheme="majorBidi" w:cstheme="majorBidi"/>
          <w:sz w:val="24"/>
          <w:szCs w:val="24"/>
        </w:rPr>
        <w:t>.</w:t>
      </w:r>
    </w:p>
    <w:p w14:paraId="6DC0C22F"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ذلك أن إشكالية المسؤولية في سياق تطبيقات الذكاء الاصطناعي تتجاوز الفرضية التقليدية التي تربط الخطأ بالفعل المباشر الصادر عن شخص محدد يمكن تعيينه بسهولة. ففي التطبيقات القانونية المعاصرة، قد يصدر المخرج – كصياغة عقد، أو إعداد مذكرة قانونية، أو تقديم استشارة أولية – نتيجة معالجة خوارزمية ذاتية التعلم تعتمد على تحليل كميات ضخمة من البيانات، وتتطور بصورة مستمرة وفق آليات التعلم الآلي والتغذية الراجعة. وفي مثل هذا السياق، تتراجع قابلية إسناد الخطأ إلى فاعل بشري واحد بصورة مباشرة، ويغدو تحديد مصدر الخلل مسألة مركبة تتداخل فيها أدوار المصمّم، والمطور، والمستخدم، بل وأحيانًا مزود البيانات أو الجهة المالكة للبنية التحتية التقنية</w:t>
      </w:r>
      <w:r>
        <w:rPr>
          <w:rFonts w:asciiTheme="majorBidi" w:hAnsiTheme="majorBidi" w:cstheme="majorBidi"/>
          <w:sz w:val="24"/>
          <w:szCs w:val="24"/>
        </w:rPr>
        <w:t>.</w:t>
      </w:r>
    </w:p>
    <w:p w14:paraId="16E67565"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هذا الإطار، يبرز ما يُعرف في الأدبيات القانونية والتقنية بمشكلة “الغموض الخوارزمي” أو ما يُصطلح عليه بـ “الصندوق الأسود”، حيث تكون آلية اتخاذ القرار داخل النظام الذكي غير شفافة أو غير قابلة للتتبع الكامل. ويزداد هذا التعقيد في نماذج التعلم العميق التي لا يمكن فيها تفسير جميع المراحل الوسيطة التي أدت إلى النتيجة النهائية بسهولة. وقد نبهت دراسات قانونية معاصرة إلى أن هذا الغموض يمثل تحديًا جوهريًا أمام أنظمة المسؤولية المدنية التقليدية، التي تقوم على افتراض إمكانية تحديد الخطأ، وربطه بفاعل معلوم، وإثبات علاقة السببية بصورة واضحة ومباشرة</w:t>
      </w:r>
      <w:r>
        <w:rPr>
          <w:rFonts w:asciiTheme="majorBidi" w:hAnsiTheme="majorBidi" w:cstheme="majorBidi"/>
          <w:sz w:val="24"/>
          <w:szCs w:val="24"/>
        </w:rPr>
        <w:t>.</w:t>
      </w:r>
    </w:p>
    <w:p w14:paraId="223261F5"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غير أن هذا التعقيد التقني – مهما بلغ – لا يمكن أن يُتخذ مبررًا لإفراغ المسؤولية من مضمونها أو تعطيل الحماية النظامية المقررة للمتعاملين. فالقواعد العامة في المسؤولية لم تُبنَ على بساطة الوسائل، بل على حماية المراكز القانونية ومنع الإضرار بالغير. ومن ثم، فإن ظهور “الصندوق الأسود” لا يعني سقوط المسؤولية، وإنما يقتضي إعادة ضبط معايير إسنادها، سواء من خلال توسيع مفهوم الخطأ المهني ليشمل سوء الاختيار أو الإشراف أو التحقق، أو من خلال إعادة النظر في معيار العناية الواجبة، أو حتى الاتجاه – في بعض الصور – نحو تصورات أقرب إلى المسؤولية المفترضة أو الموضوعية، متى تعذر إثبات الخطأ التقليدي على نحو دقيق</w:t>
      </w:r>
      <w:r>
        <w:rPr>
          <w:rFonts w:asciiTheme="majorBidi" w:hAnsiTheme="majorBidi" w:cstheme="majorBidi"/>
          <w:sz w:val="24"/>
          <w:szCs w:val="24"/>
        </w:rPr>
        <w:t>.</w:t>
      </w:r>
    </w:p>
    <w:p w14:paraId="01E4CBAD"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جوهر الإشكالية لا يتمثل في غياب المسؤولية، بل في كيفية تكييفها بما يحقق التوازن بين العدالة التقنية وحماية العملاء من جهة، وعدم شلّ الابتكار القانوني بقيود جامدة من جهة أخرى؛ وهو ما يمهد للانتقال إلى بحث تحديد المسؤولية بين أطراف العملية التقنية: المحامي المستخدم، والمطور، ومقدم الخدمة التقنية</w:t>
      </w:r>
      <w:r>
        <w:rPr>
          <w:rFonts w:asciiTheme="majorBidi" w:hAnsiTheme="majorBidi" w:cstheme="majorBidi"/>
          <w:sz w:val="24"/>
          <w:szCs w:val="24"/>
        </w:rPr>
        <w:t>.</w:t>
      </w:r>
    </w:p>
    <w:p w14:paraId="41664CE4" w14:textId="77777777" w:rsidR="00CF598B" w:rsidRPr="00A845BC" w:rsidRDefault="00CF598B" w:rsidP="00CF598B">
      <w:pPr>
        <w:jc w:val="right"/>
        <w:rPr>
          <w:rFonts w:asciiTheme="majorBidi" w:hAnsiTheme="majorBidi" w:cstheme="majorBidi"/>
          <w:sz w:val="24"/>
          <w:szCs w:val="24"/>
        </w:rPr>
      </w:pPr>
    </w:p>
    <w:p w14:paraId="0CA0A4A5"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كما أن وثيقة </w:t>
      </w:r>
      <w:r>
        <w:rPr>
          <w:rFonts w:asciiTheme="majorBidi" w:hAnsiTheme="majorBidi" w:cstheme="majorBidi"/>
          <w:b/>
          <w:bCs/>
          <w:sz w:val="24"/>
          <w:szCs w:val="24"/>
          <w:rtl/>
        </w:rPr>
        <w:t>مبادئ أخلاقيات الذكاء الاصطناعي</w:t>
      </w:r>
      <w:r>
        <w:rPr>
          <w:rStyle w:val="af"/>
          <w:rFonts w:asciiTheme="majorBidi" w:hAnsiTheme="majorBidi" w:cstheme="majorBidi"/>
          <w:sz w:val="24"/>
          <w:szCs w:val="24"/>
          <w:rtl/>
        </w:rPr>
        <w:footnoteReference w:id="233"/>
      </w:r>
      <w:r>
        <w:rPr>
          <w:rFonts w:asciiTheme="majorBidi" w:hAnsiTheme="majorBidi" w:cstheme="majorBidi"/>
          <w:sz w:val="24"/>
          <w:szCs w:val="24"/>
          <w:rtl/>
        </w:rPr>
        <w:t xml:space="preserve"> الصادرة عن الهيئة السعودية للبيانات والذكاء الاصطناعي (2023) أكدت على مبدأ المساءلة بوصفه ركنًا أساسيًا في الاستخدام المسؤول للتقنيات الذكية، بما يعني أن أي جهة تستخدم هذه الأنظمة تظل مسؤولة عن نتائجها. ويتعزز هذا الاتجاه في ضوء </w:t>
      </w:r>
      <w:r>
        <w:rPr>
          <w:rFonts w:asciiTheme="majorBidi" w:hAnsiTheme="majorBidi" w:cstheme="majorBidi"/>
          <w:b/>
          <w:bCs/>
          <w:sz w:val="24"/>
          <w:szCs w:val="24"/>
          <w:rtl/>
        </w:rPr>
        <w:t>نظام حماية البيانات الشخصية</w:t>
      </w:r>
      <w:r>
        <w:rPr>
          <w:rFonts w:asciiTheme="majorBidi" w:hAnsiTheme="majorBidi" w:cstheme="majorBidi"/>
          <w:sz w:val="24"/>
          <w:szCs w:val="24"/>
          <w:rtl/>
        </w:rPr>
        <w:t xml:space="preserve"> ، الذي يحمل الجهة المعالجة التزامًا قانونيًا بضمان أمن البيانات ومنع تسريبها، وهو التزام قد يتأثر مباشرة بطريقة توظيف أنظمة الذكاء الاصطناعي داخل مكاتب المحاماة</w:t>
      </w:r>
      <w:r>
        <w:rPr>
          <w:rFonts w:asciiTheme="majorBidi" w:hAnsiTheme="majorBidi" w:cstheme="majorBidi"/>
          <w:sz w:val="24"/>
          <w:szCs w:val="24"/>
        </w:rPr>
        <w:t>.</w:t>
      </w:r>
    </w:p>
    <w:p w14:paraId="09D901F2"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المقابل، يثور تساؤل فقهي حول مدى إمكانية تحميل المسؤولية للآلة ذاتها أو منحها شخصية قانونية مستقلة، كما ناقش بعض الباحثين</w:t>
      </w:r>
      <w:r>
        <w:rPr>
          <w:rStyle w:val="af"/>
          <w:rFonts w:asciiTheme="majorBidi" w:hAnsiTheme="majorBidi" w:cstheme="majorBidi"/>
          <w:sz w:val="24"/>
          <w:szCs w:val="24"/>
          <w:rtl/>
        </w:rPr>
        <w:footnoteReference w:id="234"/>
      </w:r>
      <w:r>
        <w:rPr>
          <w:rFonts w:asciiTheme="majorBidi" w:hAnsiTheme="majorBidi" w:cstheme="majorBidi"/>
          <w:sz w:val="24"/>
          <w:szCs w:val="24"/>
          <w:rtl/>
        </w:rPr>
        <w:t>، إلا أن الاتجاه الغالب – في البيئة النظامية السعودية – لا يعترف للذكاء الاصطناعي بذمة مستقلة، مما يعني بقاء المسؤولية في إطارها البشري، سواء تعلق الأمر بالمحامي المستخدم للتقنية، أو بالمطور، أو بمقدم الخدمة التقنية</w:t>
      </w:r>
      <w:r>
        <w:rPr>
          <w:rFonts w:asciiTheme="majorBidi" w:hAnsiTheme="majorBidi" w:cstheme="majorBidi"/>
          <w:sz w:val="24"/>
          <w:szCs w:val="24"/>
        </w:rPr>
        <w:t>.</w:t>
      </w:r>
    </w:p>
    <w:p w14:paraId="652C56A3" w14:textId="77777777" w:rsidR="00CF598B" w:rsidRDefault="00CF598B" w:rsidP="00CF598B">
      <w:pPr>
        <w:jc w:val="right"/>
        <w:rPr>
          <w:rFonts w:asciiTheme="majorBidi" w:hAnsiTheme="majorBidi" w:cstheme="majorBidi"/>
          <w:sz w:val="24"/>
          <w:szCs w:val="24"/>
          <w:rtl/>
        </w:rPr>
      </w:pPr>
      <w:r>
        <w:rPr>
          <w:rFonts w:asciiTheme="majorBidi" w:hAnsiTheme="majorBidi" w:cstheme="majorBidi"/>
          <w:sz w:val="24"/>
          <w:szCs w:val="24"/>
          <w:rtl/>
        </w:rPr>
        <w:lastRenderedPageBreak/>
        <w:t>ومن ثم فإن هذا المبحث لا يقتصر على بحث مسؤولية المحامي وحده، بل يتناول بنية المسؤولية بوصفها منظومة متكاملة، تتوزع فيها الأدوار بين عدة أطراف، ويُعاد فيها تقييم معيار الخطأ والعناية المهنية وحدود الإشراف التقني. كما يستلزم ذلك الوقوف على التجارب المقارنة، لا سيما الاتجاهات الأوروبية الحديثة في مجال مسؤولية أنظمة الذكاء الاصطناعي، للاستفادة منها في ضبط التصور التنظيمي المحلي دون إغفال خصوصية البيئة النظامية السعودية</w:t>
      </w:r>
    </w:p>
    <w:p w14:paraId="71048E1E" w14:textId="77777777" w:rsidR="00CF598B" w:rsidRDefault="00CF598B" w:rsidP="00CF598B">
      <w:pPr>
        <w:jc w:val="right"/>
        <w:rPr>
          <w:rFonts w:asciiTheme="majorBidi" w:hAnsiTheme="majorBidi" w:cstheme="majorBidi"/>
          <w:sz w:val="24"/>
          <w:szCs w:val="24"/>
          <w:rtl/>
        </w:rPr>
      </w:pPr>
    </w:p>
    <w:p w14:paraId="56CD0C1C" w14:textId="77777777" w:rsidR="00CF598B" w:rsidRPr="00A845BC" w:rsidRDefault="00CF598B" w:rsidP="00CF598B">
      <w:pPr>
        <w:jc w:val="right"/>
        <w:rPr>
          <w:rFonts w:asciiTheme="majorBidi" w:hAnsiTheme="majorBidi" w:cstheme="majorBidi"/>
          <w:sz w:val="24"/>
          <w:szCs w:val="24"/>
        </w:rPr>
      </w:pPr>
    </w:p>
    <w:p w14:paraId="135667B7"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وبناءً على ما تقدم، ينقسم هذا المبحث إلى مطلبين رئيسين</w:t>
      </w:r>
    </w:p>
    <w:p w14:paraId="74D58D47"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الأول: المسؤولية المدنية والمهنية للمحامي عند استخدام الذكاء الاصطناعي</w:t>
      </w:r>
    </w:p>
    <w:p w14:paraId="3F99C6AB"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ويُعنى هذا المطلب بتحليل الأساس النظامي لمسؤولية المحامي في ضوء عقد الوكالة والقواعد العامة في المسؤولية المدنية، وبيان مدى تأثر معيار العناية المهنية باستخدام التقنيات الذكية. كما يتناول التفرقة بين الخطأ التقني والخطأ المهني، وحدود واجب الإشراف والرقابة على الأنظمة المستخدمة، وأثر الإخلال بسرية البيانات في قيام المسؤولية. وسيناقش هذا المطلب آراء الفقه القانوني المعاصر حول إعادة تشكيل مفهوم الخطأ في سياق الذكاء الاصطناعي، مع بيان موقف الباحث من مدى تشديد أو توزيع المسؤولية في البيئة المهنية للمحاماة</w:t>
      </w:r>
      <w:r>
        <w:rPr>
          <w:rFonts w:asciiTheme="majorBidi" w:hAnsiTheme="majorBidi" w:cstheme="majorBidi"/>
          <w:sz w:val="24"/>
          <w:szCs w:val="24"/>
        </w:rPr>
        <w:t>.</w:t>
      </w:r>
    </w:p>
    <w:p w14:paraId="09675AED"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الثاني: مسؤولية المطور، المستخدم، ومقدم التقنية مع مقارنة مختصرة بالتجربة الأوروبية</w:t>
      </w:r>
    </w:p>
    <w:p w14:paraId="5D17F08A"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أما هذا المطلب فيتجه إلى تحليل توزيع المسؤولية بين الأطراف المتداخلة في إنتاج وتشغيل أنظمة الذكاء الاصطناعي، ابتداءً من المطور الذي صمم الخوارزمية، ومرورًا بمقدم الخدمة التقنية أو المنصة السحابية، وانتهاءً بالمستخدم المهني. كما يتناول مدى إمكان تطبيق نظريات تحمل التبعة أو المخاطر التقنية، ومدى ملاءمتها للبيئة النظامية السعودية. ويُستكمل التحليل بإشارة مقارنة موجزة إلى الاتجاهات الأوروبية في تنظيم مسؤولية الذكاء الاصطناعي، لا سيما فيما يتعلق بإعادة توزيع عبء الإثبات أو افتراض الخطأ، بهدف استجلاء مدى إمكانية الاستفادة منها في بناء تصور تنظيمي متوازن</w:t>
      </w:r>
      <w:r>
        <w:rPr>
          <w:rFonts w:asciiTheme="majorBidi" w:hAnsiTheme="majorBidi" w:cstheme="majorBidi"/>
          <w:sz w:val="24"/>
          <w:szCs w:val="24"/>
        </w:rPr>
        <w:t>.</w:t>
      </w:r>
    </w:p>
    <w:p w14:paraId="7A73D20B" w14:textId="77777777" w:rsidR="00CF598B" w:rsidRPr="00A845BC" w:rsidRDefault="00CF598B" w:rsidP="00CF598B">
      <w:pPr>
        <w:jc w:val="right"/>
        <w:rPr>
          <w:rFonts w:asciiTheme="majorBidi" w:hAnsiTheme="majorBidi" w:cstheme="majorBidi"/>
          <w:sz w:val="24"/>
          <w:szCs w:val="24"/>
          <w:rtl/>
        </w:rPr>
      </w:pPr>
    </w:p>
    <w:p w14:paraId="484DF020"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وبذلك يسعى هذا المبحث إلى تأسيس تصور قانوني متكامل لمسؤولية استخدام الذكاء الاصطناعي في مكاتب المحاماة، يوازن بين حماية حقوق الموكلين، وضمان استقرار المعاملات القانونية، وعدم إرهاق الممارسين بعبء غير منضبط، تمهيدًا للانتقال في الفصول اللاحقة إلى صياغة إطار تنظيمي مقترح أكثر تحديدًا ووضوحًا</w:t>
      </w:r>
      <w:r>
        <w:rPr>
          <w:rFonts w:asciiTheme="majorBidi" w:hAnsiTheme="majorBidi" w:cstheme="majorBidi"/>
          <w:sz w:val="24"/>
          <w:szCs w:val="24"/>
        </w:rPr>
        <w:t>.</w:t>
      </w:r>
    </w:p>
    <w:p w14:paraId="16F82B9B" w14:textId="77777777" w:rsidR="00FE66C9" w:rsidRPr="002E352F" w:rsidRDefault="00FE66C9" w:rsidP="00FE66C9">
      <w:pPr>
        <w:jc w:val="right"/>
        <w:rPr>
          <w:rFonts w:asciiTheme="majorBidi" w:hAnsiTheme="majorBidi" w:cstheme="majorBidi"/>
          <w:sz w:val="24"/>
          <w:szCs w:val="24"/>
        </w:rPr>
      </w:pPr>
    </w:p>
    <w:p w14:paraId="49AD9A32" w14:textId="77777777" w:rsidR="00FE66C9" w:rsidRPr="00A845BC" w:rsidRDefault="00FE66C9" w:rsidP="00FE66C9">
      <w:pPr>
        <w:jc w:val="center"/>
        <w:rPr>
          <w:rFonts w:asciiTheme="majorBidi" w:hAnsiTheme="majorBidi" w:cstheme="majorBidi"/>
          <w:b/>
          <w:bCs/>
          <w:sz w:val="32"/>
          <w:szCs w:val="32"/>
        </w:rPr>
      </w:pPr>
      <w:r>
        <w:rPr>
          <w:rFonts w:asciiTheme="majorBidi" w:hAnsiTheme="majorBidi" w:cstheme="majorBidi"/>
          <w:b/>
          <w:bCs/>
          <w:sz w:val="32"/>
          <w:szCs w:val="32"/>
          <w:rtl/>
        </w:rPr>
        <w:t>المطلب الأول</w:t>
      </w:r>
    </w:p>
    <w:p w14:paraId="22570D55" w14:textId="07ECE553" w:rsidR="004F0491" w:rsidRDefault="00FE66C9" w:rsidP="004F0491">
      <w:pPr>
        <w:jc w:val="center"/>
        <w:rPr>
          <w:rFonts w:asciiTheme="majorBidi" w:hAnsiTheme="majorBidi" w:cstheme="majorBidi"/>
          <w:b/>
          <w:bCs/>
          <w:sz w:val="32"/>
          <w:szCs w:val="32"/>
        </w:rPr>
      </w:pPr>
      <w:r>
        <w:rPr>
          <w:rFonts w:asciiTheme="majorBidi" w:hAnsiTheme="majorBidi" w:cstheme="majorBidi"/>
          <w:b/>
          <w:bCs/>
          <w:sz w:val="32"/>
          <w:szCs w:val="32"/>
          <w:rtl/>
        </w:rPr>
        <w:t>المسؤولية المدنية والمهنية للمحامي عند استخدام الذكاء الاصطناعي</w:t>
      </w:r>
    </w:p>
    <w:p w14:paraId="28FF2559" w14:textId="77777777" w:rsidR="004F0491" w:rsidRDefault="004F0491" w:rsidP="004F0491">
      <w:pPr>
        <w:jc w:val="center"/>
        <w:rPr>
          <w:rFonts w:asciiTheme="majorBidi" w:hAnsiTheme="majorBidi" w:cstheme="majorBidi"/>
          <w:b/>
          <w:bCs/>
          <w:sz w:val="32"/>
          <w:szCs w:val="32"/>
        </w:rPr>
      </w:pPr>
    </w:p>
    <w:p w14:paraId="00A73546"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أولًا: الأساس النظامي وطبيعة التزام المحامي عند استخدام الذكاء الاصطناعي</w:t>
      </w:r>
    </w:p>
    <w:p w14:paraId="29B3652B"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 xml:space="preserve">وعلى صعيد أنظمة الإثبات الرقمي، يُشكّل نظام الإثبات السعودي الصادر بالمرسوم الملكي رقم م/43 وتاريخ 26/5/1443هـ مرجعًا تنظيميًا محوريًا يُحدد شروط قبول الدليل الرقمي وحجيته أمام القضاء. وقد أقرّ النظام بمبدأ قبول المحررات الإلكترونية وإسباغ الحجية عليها وفق شروط محددة تتعلق بضمان السلامة والتوثيق. غير أن هذه </w:t>
      </w:r>
      <w:r>
        <w:rPr>
          <w:rFonts w:asciiTheme="majorBidi" w:hAnsiTheme="majorBidi" w:cstheme="majorBidi"/>
          <w:sz w:val="24"/>
          <w:szCs w:val="24"/>
          <w:rtl/>
        </w:rPr>
        <w:lastRenderedPageBreak/>
        <w:t>الأحكام لم تُعالج بعدُ الإشكاليات الناجمة بصفة خاصة عن استخدام الذكاء الاصطناعي في إنتاج هذه الأدلة أو تحليلها.</w:t>
      </w:r>
      <w:r>
        <w:rPr>
          <w:rStyle w:val="af"/>
          <w:rFonts w:asciiTheme="majorBidi" w:hAnsiTheme="majorBidi" w:cstheme="majorBidi"/>
          <w:sz w:val="24"/>
          <w:szCs w:val="24"/>
          <w:rtl/>
        </w:rPr>
        <w:footnoteReference w:id="235"/>
      </w:r>
    </w:p>
    <w:p w14:paraId="623CF8F0"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ويُعدّ نظام المعاملات المدنية الصادر بالمرسوم الملكي رقم م/191 وتاريخ 29/11/1443هـ ركيزةً قانونيةً جوهريةً في تحديد الإطار العام للمسؤولية المدنية في المملكة؛ إذ أعاد تأصيل نظرية الالتزام والعقد وكرّس مفهوم الإرادة القانونية بوصفها أساسًا لإنشائه، كما أرسى قواعد المسؤولية عن الأضرار التي يُلحقها الشخص بغيره بسبب فعله أو خطئه أو بسبب الأشياء التي في حراسته. وتنطبق هذه القواعد على المحامي في ضوء استخدامه لأدوات الذكاء الاصطناعي في عمله المهني، مما يجعله مسؤولًا عن الأضرار الناجمة عن تقصيره في الإشراف على هذه الأدوات.</w:t>
      </w:r>
      <w:r>
        <w:rPr>
          <w:rStyle w:val="af"/>
          <w:rFonts w:asciiTheme="majorBidi" w:hAnsiTheme="majorBidi" w:cstheme="majorBidi"/>
          <w:sz w:val="24"/>
          <w:szCs w:val="24"/>
          <w:rtl/>
        </w:rPr>
        <w:footnoteReference w:id="236"/>
      </w:r>
    </w:p>
    <w:p w14:paraId="5826FE1E"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تُبنى مسؤولية المحامي في النظام السعودي – في أصلها – على </w:t>
      </w:r>
      <w:r>
        <w:rPr>
          <w:rFonts w:asciiTheme="majorBidi" w:hAnsiTheme="majorBidi" w:cstheme="majorBidi"/>
          <w:b/>
          <w:bCs/>
          <w:sz w:val="24"/>
          <w:szCs w:val="24"/>
          <w:rtl/>
        </w:rPr>
        <w:t>رابطة الوكالة</w:t>
      </w:r>
      <w:r>
        <w:rPr>
          <w:rFonts w:asciiTheme="majorBidi" w:hAnsiTheme="majorBidi" w:cstheme="majorBidi"/>
          <w:sz w:val="24"/>
          <w:szCs w:val="24"/>
          <w:rtl/>
        </w:rPr>
        <w:t xml:space="preserve"> التي تنشأ بينه وبين موكله، باعتبارها الإطار العقدي الذي يُفسّر طبيعة الالتزام وحدوده، ثم تتداخل معها </w:t>
      </w:r>
      <w:r>
        <w:rPr>
          <w:rFonts w:asciiTheme="majorBidi" w:hAnsiTheme="majorBidi" w:cstheme="majorBidi"/>
          <w:b/>
          <w:bCs/>
          <w:sz w:val="24"/>
          <w:szCs w:val="24"/>
          <w:rtl/>
        </w:rPr>
        <w:t>الطبيعة المهنية الخاصة</w:t>
      </w:r>
      <w:r>
        <w:rPr>
          <w:rFonts w:asciiTheme="majorBidi" w:hAnsiTheme="majorBidi" w:cstheme="majorBidi"/>
          <w:sz w:val="24"/>
          <w:szCs w:val="24"/>
          <w:rtl/>
        </w:rPr>
        <w:t xml:space="preserve"> للمحاماة بوصفها مهنة تقوم على الثقة والأمانة وحماية المراكز القانونية. ومن هنا، فإن مسؤولية المحامي لا تُفهم بوصفها التزامًا عاديًا بين متعاقدين متكافئين، بل التزامًا “مهنيًا” تُقاس فيه العناية بمعيار أعلى من معيار الشخص المعتاد، لأن المحامي يمارس دورًا مؤثرًا في مصائر الحقوق والإجراءات والدفوع</w:t>
      </w:r>
      <w:r>
        <w:rPr>
          <w:rFonts w:asciiTheme="majorBidi" w:hAnsiTheme="majorBidi" w:cstheme="majorBidi"/>
          <w:sz w:val="24"/>
          <w:szCs w:val="24"/>
        </w:rPr>
        <w:t>.</w:t>
      </w:r>
    </w:p>
    <w:p w14:paraId="6AEFAED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وقد قرر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أن المحامي يباشر أعماله “وفق أصولها الشرعية والنظامية” وبما يقتضيه ذلك من التزام بواجبات المهنة (هيئة الخبراء بمجلس الوزراء، 1422هـ)، وجاءت </w:t>
      </w:r>
      <w:r>
        <w:rPr>
          <w:rFonts w:asciiTheme="majorBidi" w:hAnsiTheme="majorBidi" w:cstheme="majorBidi"/>
          <w:b/>
          <w:bCs/>
          <w:sz w:val="24"/>
          <w:szCs w:val="24"/>
          <w:rtl/>
        </w:rPr>
        <w:t>اللائحة التنفيذية</w:t>
      </w:r>
      <w:r>
        <w:rPr>
          <w:rFonts w:asciiTheme="majorBidi" w:hAnsiTheme="majorBidi" w:cstheme="majorBidi"/>
          <w:sz w:val="24"/>
          <w:szCs w:val="24"/>
          <w:rtl/>
        </w:rPr>
        <w:t xml:space="preserve"> مؤكدةً على مضمون هذا الالتزام من خلال تقرير واجب المحافظة على مصالح الموكل وبذل العناية اللازمة في الأداء (وزارة العدل، 1441هـ). ويكتسب هذا الإطار أهميته لأنه يضع أساسًا يُفيد بأن “العناية” ليست خيارًا مهنيًا، بل </w:t>
      </w:r>
      <w:r>
        <w:rPr>
          <w:rFonts w:asciiTheme="majorBidi" w:hAnsiTheme="majorBidi" w:cstheme="majorBidi"/>
          <w:b/>
          <w:bCs/>
          <w:sz w:val="24"/>
          <w:szCs w:val="24"/>
          <w:rtl/>
        </w:rPr>
        <w:t>واجب نظامي</w:t>
      </w:r>
      <w:r>
        <w:rPr>
          <w:rFonts w:asciiTheme="majorBidi" w:hAnsiTheme="majorBidi" w:cstheme="majorBidi"/>
          <w:sz w:val="24"/>
          <w:szCs w:val="24"/>
          <w:rtl/>
        </w:rPr>
        <w:t xml:space="preserve"> يُرتّب آثارًا عند الإخلال</w:t>
      </w:r>
      <w:r>
        <w:rPr>
          <w:rFonts w:asciiTheme="majorBidi" w:hAnsiTheme="majorBidi" w:cstheme="majorBidi"/>
          <w:sz w:val="24"/>
          <w:szCs w:val="24"/>
        </w:rPr>
        <w:t>.</w:t>
      </w:r>
    </w:p>
    <w:p w14:paraId="08138E8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وعلى مستوى القواعد العامة، يقرر </w:t>
      </w:r>
      <w:r>
        <w:rPr>
          <w:rFonts w:asciiTheme="majorBidi" w:hAnsiTheme="majorBidi" w:cstheme="majorBidi"/>
          <w:b/>
          <w:bCs/>
          <w:sz w:val="24"/>
          <w:szCs w:val="24"/>
          <w:rtl/>
        </w:rPr>
        <w:t>نظام المعاملات المدنية</w:t>
      </w:r>
      <w:r>
        <w:rPr>
          <w:rFonts w:asciiTheme="majorBidi" w:hAnsiTheme="majorBidi" w:cstheme="majorBidi"/>
          <w:sz w:val="24"/>
          <w:szCs w:val="24"/>
          <w:rtl/>
        </w:rPr>
        <w:t xml:space="preserve"> أن كل خطأ سبب ضررًا للغير يُلزم من ارتكبه بالتعويض (هيئة الخبراء بمجلس الوزراء، 1445هـ). وبذلك تلتقي مسؤولية المحامي مع النموذج المدني العام القائم على</w:t>
      </w:r>
      <w:r>
        <w:rPr>
          <w:rFonts w:asciiTheme="majorBidi" w:hAnsiTheme="majorBidi" w:cstheme="majorBidi"/>
          <w:sz w:val="24"/>
          <w:szCs w:val="24"/>
        </w:rPr>
        <w:t xml:space="preserve">: </w:t>
      </w:r>
      <w:r>
        <w:rPr>
          <w:rFonts w:asciiTheme="majorBidi" w:hAnsiTheme="majorBidi" w:cstheme="majorBidi"/>
          <w:b/>
          <w:bCs/>
          <w:sz w:val="24"/>
          <w:szCs w:val="24"/>
          <w:rtl/>
        </w:rPr>
        <w:t>الخطأ – الضرر – السببية</w:t>
      </w:r>
      <w:r>
        <w:rPr>
          <w:rFonts w:asciiTheme="majorBidi" w:hAnsiTheme="majorBidi" w:cstheme="majorBidi"/>
          <w:sz w:val="24"/>
          <w:szCs w:val="24"/>
        </w:rPr>
        <w:t xml:space="preserve">. </w:t>
      </w:r>
      <w:r>
        <w:rPr>
          <w:rFonts w:asciiTheme="majorBidi" w:hAnsiTheme="majorBidi" w:cstheme="majorBidi"/>
          <w:sz w:val="24"/>
          <w:szCs w:val="24"/>
          <w:rtl/>
        </w:rPr>
        <w:t>غير أن إدخال الذكاء الاصطناعي إلى أعمال البحث والصياغة والتحليل يخلق سؤالًا محوريًا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يتغير “موضع الإسناد” إذا كان المخرج القانوني قد تولّد عبر خوارزمية؟</w:t>
      </w:r>
    </w:p>
    <w:p w14:paraId="714FA6D5"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هنا تظهر أطروحتان في الكتابات القانونية المعاصرة</w:t>
      </w:r>
      <w:r>
        <w:rPr>
          <w:rFonts w:asciiTheme="majorBidi" w:hAnsiTheme="majorBidi" w:cstheme="majorBidi"/>
          <w:sz w:val="24"/>
          <w:szCs w:val="24"/>
        </w:rPr>
        <w:t>:</w:t>
      </w:r>
    </w:p>
    <w:p w14:paraId="17C038C3" w14:textId="77777777" w:rsidR="004F0491" w:rsidRPr="00AD56AA" w:rsidRDefault="004F0491" w:rsidP="004F0491">
      <w:pPr>
        <w:numPr>
          <w:ilvl w:val="0"/>
          <w:numId w:val="18"/>
        </w:numPr>
        <w:bidi/>
        <w:rPr>
          <w:rFonts w:asciiTheme="majorBidi" w:hAnsiTheme="majorBidi" w:cstheme="majorBidi"/>
          <w:sz w:val="24"/>
          <w:szCs w:val="24"/>
        </w:rPr>
      </w:pPr>
      <w:r>
        <w:rPr>
          <w:rFonts w:asciiTheme="majorBidi" w:hAnsiTheme="majorBidi" w:cstheme="majorBidi"/>
          <w:b/>
          <w:bCs/>
          <w:sz w:val="24"/>
          <w:szCs w:val="24"/>
          <w:rtl/>
        </w:rPr>
        <w:t>أطروحة الإبقاء على الإسناد للمحامي (الاعتماد والتقديم)</w:t>
      </w:r>
      <w:r>
        <w:rPr>
          <w:rFonts w:asciiTheme="majorBidi" w:hAnsiTheme="majorBidi" w:cstheme="majorBidi"/>
          <w:sz w:val="24"/>
          <w:szCs w:val="24"/>
        </w:rPr>
        <w:br/>
      </w:r>
      <w:r>
        <w:rPr>
          <w:rFonts w:asciiTheme="majorBidi" w:hAnsiTheme="majorBidi" w:cstheme="majorBidi"/>
          <w:sz w:val="24"/>
          <w:szCs w:val="24"/>
          <w:rtl/>
        </w:rPr>
        <w:t xml:space="preserve">ومؤداها أن المسؤولية لا تنتفي لمجرد استعمال أداة تقنية، لأن المحامي يظل هو “صاحب القرار” في اعتماد المخرج وتقديمه للموكل أو للقضاء باسمه، وبالتالي فإن علاقة السببية القانونية لا تنقطع بمجرد وجود وسيط تقني. وهذه الفكرة تتعزز بما انتهى إليه </w:t>
      </w:r>
      <w:r>
        <w:rPr>
          <w:rFonts w:asciiTheme="majorBidi" w:hAnsiTheme="majorBidi" w:cstheme="majorBidi"/>
          <w:b/>
          <w:bCs/>
          <w:sz w:val="24"/>
          <w:szCs w:val="24"/>
          <w:rtl/>
        </w:rPr>
        <w:t>الحربي</w:t>
      </w:r>
      <w:r>
        <w:rPr>
          <w:rFonts w:asciiTheme="majorBidi" w:hAnsiTheme="majorBidi" w:cstheme="majorBidi"/>
          <w:b/>
          <w:bCs/>
          <w:sz w:val="24"/>
          <w:szCs w:val="24"/>
        </w:rPr>
        <w:t xml:space="preserve"> (2019)</w:t>
      </w:r>
      <w:r>
        <w:rPr>
          <w:rFonts w:asciiTheme="majorBidi" w:hAnsiTheme="majorBidi" w:cstheme="majorBidi"/>
          <w:sz w:val="24"/>
          <w:szCs w:val="24"/>
        </w:rPr>
        <w:t xml:space="preserve"> </w:t>
      </w:r>
      <w:r>
        <w:rPr>
          <w:rFonts w:asciiTheme="majorBidi" w:hAnsiTheme="majorBidi" w:cstheme="majorBidi"/>
          <w:sz w:val="24"/>
          <w:szCs w:val="24"/>
          <w:rtl/>
        </w:rPr>
        <w:t>عند مناقشة الشخصية القانونية للذكاء الاصطناعي؛ إذ يقرر – في الاتجاه الغالب – أن الأنظمة الذكية لا تتمتع بذمة مستقلة، وأن الإسناد يبقى للأشخاص الطبيعيين أو الاعتباريين، وهو ما يعني عمليًا أن “الآلة” لا تتحول إلى مركز للمسؤولية في ذاتها</w:t>
      </w:r>
      <w:r>
        <w:rPr>
          <w:rFonts w:asciiTheme="majorBidi" w:hAnsiTheme="majorBidi" w:cstheme="majorBidi"/>
          <w:sz w:val="24"/>
          <w:szCs w:val="24"/>
        </w:rPr>
        <w:t>.</w:t>
      </w:r>
    </w:p>
    <w:p w14:paraId="444E3C39" w14:textId="77777777" w:rsidR="004F0491" w:rsidRPr="00AD56AA" w:rsidRDefault="004F0491" w:rsidP="004F0491">
      <w:pPr>
        <w:numPr>
          <w:ilvl w:val="0"/>
          <w:numId w:val="18"/>
        </w:numPr>
        <w:bidi/>
        <w:rPr>
          <w:rFonts w:asciiTheme="majorBidi" w:hAnsiTheme="majorBidi" w:cstheme="majorBidi"/>
          <w:sz w:val="24"/>
          <w:szCs w:val="24"/>
        </w:rPr>
      </w:pPr>
      <w:r>
        <w:rPr>
          <w:rFonts w:asciiTheme="majorBidi" w:hAnsiTheme="majorBidi" w:cstheme="majorBidi"/>
          <w:b/>
          <w:bCs/>
          <w:sz w:val="24"/>
          <w:szCs w:val="24"/>
          <w:rtl/>
        </w:rPr>
        <w:t>أطروحة تقييد الإسناد إذا كان الخلل تقنيًا محضًا وخفيًا</w:t>
      </w:r>
      <w:r>
        <w:rPr>
          <w:rFonts w:asciiTheme="majorBidi" w:hAnsiTheme="majorBidi" w:cstheme="majorBidi"/>
          <w:sz w:val="24"/>
          <w:szCs w:val="24"/>
        </w:rPr>
        <w:br/>
      </w:r>
      <w:r>
        <w:rPr>
          <w:rFonts w:asciiTheme="majorBidi" w:hAnsiTheme="majorBidi" w:cstheme="majorBidi"/>
          <w:sz w:val="24"/>
          <w:szCs w:val="24"/>
          <w:rtl/>
        </w:rPr>
        <w:t xml:space="preserve">وتُثيرها بعض أدبيات المسؤولية عن أفعال الذكاء الاصطناعي حين تتحدث عن تعقيد الخوارزميات وصعوبة إدراك آليات إنتاج النتيجة، لكن هذه الأطروحة – في المجال المهني – لا تقود غالبًا إلى </w:t>
      </w:r>
      <w:r>
        <w:rPr>
          <w:rFonts w:asciiTheme="majorBidi" w:hAnsiTheme="majorBidi" w:cstheme="majorBidi"/>
          <w:sz w:val="24"/>
          <w:szCs w:val="24"/>
          <w:rtl/>
        </w:rPr>
        <w:lastRenderedPageBreak/>
        <w:t xml:space="preserve">الإعفاء، بل إلى </w:t>
      </w:r>
      <w:r>
        <w:rPr>
          <w:rFonts w:asciiTheme="majorBidi" w:hAnsiTheme="majorBidi" w:cstheme="majorBidi"/>
          <w:b/>
          <w:bCs/>
          <w:sz w:val="24"/>
          <w:szCs w:val="24"/>
          <w:rtl/>
        </w:rPr>
        <w:t>إعادة توزيع المسؤولية</w:t>
      </w:r>
      <w:r>
        <w:rPr>
          <w:rFonts w:asciiTheme="majorBidi" w:hAnsiTheme="majorBidi" w:cstheme="majorBidi"/>
          <w:sz w:val="24"/>
          <w:szCs w:val="24"/>
          <w:rtl/>
        </w:rPr>
        <w:t xml:space="preserve"> بين المستخدم المهني ومطور التقنية ومزودها، وهو ما سنفصل له في المطلب الثاني</w:t>
      </w:r>
      <w:r>
        <w:rPr>
          <w:rFonts w:asciiTheme="majorBidi" w:hAnsiTheme="majorBidi" w:cstheme="majorBidi"/>
          <w:sz w:val="24"/>
          <w:szCs w:val="24"/>
        </w:rPr>
        <w:t>.</w:t>
      </w:r>
    </w:p>
    <w:p w14:paraId="08693712" w14:textId="7E46469D" w:rsidR="004F0491" w:rsidRPr="00AD56AA" w:rsidRDefault="006367A6" w:rsidP="004F0491">
      <w:pPr>
        <w:jc w:val="right"/>
        <w:rPr>
          <w:rFonts w:asciiTheme="majorBidi" w:hAnsiTheme="majorBidi" w:cstheme="majorBidi"/>
          <w:sz w:val="24"/>
          <w:szCs w:val="24"/>
        </w:rPr>
      </w:pPr>
      <w:r>
        <w:rPr>
          <w:rFonts w:asciiTheme="majorBidi" w:hAnsiTheme="majorBidi" w:cstheme="majorBidi" w:hint="cs"/>
          <w:sz w:val="24"/>
          <w:szCs w:val="24"/>
          <w:rtl/>
        </w:rPr>
        <w:t>ومما سبق</w:t>
      </w:r>
      <w:r w:rsidR="004F0491">
        <w:rPr>
          <w:rFonts w:asciiTheme="majorBidi" w:hAnsiTheme="majorBidi" w:cstheme="majorBidi"/>
          <w:sz w:val="24"/>
          <w:szCs w:val="24"/>
          <w:rtl/>
        </w:rPr>
        <w:t xml:space="preserve">، فإن محاولة “تجريد” المحامي من المسؤولية بحجة استقلال الخوارزمية لا تتسق مع جوهر المهنة؛ لأن جوهر المحاماة ليس إنتاج النص، بل </w:t>
      </w:r>
      <w:r w:rsidR="004F0491">
        <w:rPr>
          <w:rFonts w:asciiTheme="majorBidi" w:hAnsiTheme="majorBidi" w:cstheme="majorBidi"/>
          <w:b/>
          <w:bCs/>
          <w:sz w:val="24"/>
          <w:szCs w:val="24"/>
          <w:rtl/>
        </w:rPr>
        <w:t>تحمل تبعة الرأي القانوني</w:t>
      </w:r>
      <w:r w:rsidR="004F0491">
        <w:rPr>
          <w:rFonts w:asciiTheme="majorBidi" w:hAnsiTheme="majorBidi" w:cstheme="majorBidi"/>
          <w:sz w:val="24"/>
          <w:szCs w:val="24"/>
          <w:rtl/>
        </w:rPr>
        <w:t>، وتقدير المخاطر، والتحقق من الملاءمة. فالذكاء الاصطناعي – مهما بلغ – يظل في نهاية المطاف “أداة استدلال” أو “مُعينًا” لا “ضميرًا مهنيًا” ولا “جهة إفتاء قانوني” تُنهي النقاش أو تحسم الإسناد</w:t>
      </w:r>
      <w:r w:rsidR="004F0491">
        <w:rPr>
          <w:rFonts w:asciiTheme="majorBidi" w:hAnsiTheme="majorBidi" w:cstheme="majorBidi"/>
          <w:sz w:val="24"/>
          <w:szCs w:val="24"/>
        </w:rPr>
        <w:t>.</w:t>
      </w:r>
    </w:p>
    <w:p w14:paraId="47725148" w14:textId="77777777" w:rsidR="004F0491" w:rsidRPr="00AD56AA" w:rsidRDefault="004F0491" w:rsidP="004F0491">
      <w:pPr>
        <w:rPr>
          <w:rFonts w:asciiTheme="majorBidi" w:hAnsiTheme="majorBidi" w:cstheme="majorBidi"/>
          <w:sz w:val="24"/>
          <w:szCs w:val="24"/>
        </w:rPr>
      </w:pPr>
    </w:p>
    <w:p w14:paraId="07A5034A"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وقد أوضح المالكي في دراسته الرائدة حول المسؤولية المدنية عن فعل الذكاء الاصطناعي في النظام السعودي أن مبدأ الإشراف يشمل جميع الوسائل التي يستخدمها المهني في أداء عمله، وأنه يظل مسؤولًا عن نتائجها القانونية ما لم يُثبت أنه بذل العناية اللازمة للتحقق من صحتها. ويرى الباحث في ضوء هذا الطرح أن التزام المحامي بالتدقيق في مخرجات أدوات الذكاء الاصطناعي واستيثاق صحتها قبل تقديمها للموكل أو للجهات القضائية يُعدّ التزامًا قانونيًا مدنيًا لا يُعفى منه.</w:t>
      </w:r>
      <w:r>
        <w:rPr>
          <w:rStyle w:val="af"/>
          <w:rFonts w:asciiTheme="majorBidi" w:hAnsiTheme="majorBidi" w:cstheme="majorBidi"/>
          <w:sz w:val="24"/>
          <w:szCs w:val="24"/>
          <w:rtl/>
        </w:rPr>
        <w:footnoteReference w:id="237"/>
      </w:r>
    </w:p>
    <w:p w14:paraId="607BCFF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استقر الفقه القانوني على أن التزام المحامي – في الغالب</w:t>
      </w:r>
      <w:r>
        <w:rPr>
          <w:rFonts w:asciiTheme="majorBidi" w:hAnsiTheme="majorBidi" w:cstheme="majorBidi"/>
          <w:sz w:val="24"/>
          <w:szCs w:val="24"/>
        </w:rPr>
        <w:t xml:space="preserve"> – </w:t>
      </w:r>
      <w:r>
        <w:rPr>
          <w:rFonts w:asciiTheme="majorBidi" w:hAnsiTheme="majorBidi" w:cstheme="majorBidi"/>
          <w:b/>
          <w:bCs/>
          <w:sz w:val="24"/>
          <w:szCs w:val="24"/>
          <w:rtl/>
        </w:rPr>
        <w:t>التزام ببذل عناية</w:t>
      </w:r>
      <w:r>
        <w:rPr>
          <w:rFonts w:asciiTheme="majorBidi" w:hAnsiTheme="majorBidi" w:cstheme="majorBidi"/>
          <w:sz w:val="24"/>
          <w:szCs w:val="24"/>
          <w:rtl/>
        </w:rPr>
        <w:t xml:space="preserve"> لا التزام بتحقيق نتيجة؛ فلا يضمن المحامي كسب الدعوى، لكنه يضمن مستوىً من الجهد المهني المتوافق مع أصول المهنة. إلا أن الإشكال في البيئة الرقمية ليس في هذا التكييف من حيث المبدأ، بل في </w:t>
      </w:r>
      <w:r>
        <w:rPr>
          <w:rFonts w:asciiTheme="majorBidi" w:hAnsiTheme="majorBidi" w:cstheme="majorBidi"/>
          <w:b/>
          <w:bCs/>
          <w:sz w:val="24"/>
          <w:szCs w:val="24"/>
          <w:rtl/>
        </w:rPr>
        <w:t>معيار العناية ذاته</w:t>
      </w:r>
      <w:r>
        <w:rPr>
          <w:rFonts w:asciiTheme="majorBidi" w:hAnsiTheme="majorBidi" w:cstheme="majorBidi"/>
          <w:sz w:val="24"/>
          <w:szCs w:val="24"/>
        </w:rPr>
        <w:t xml:space="preserve">: </w:t>
      </w:r>
      <w:r>
        <w:rPr>
          <w:rFonts w:asciiTheme="majorBidi" w:hAnsiTheme="majorBidi" w:cstheme="majorBidi"/>
          <w:sz w:val="24"/>
          <w:szCs w:val="24"/>
          <w:rtl/>
        </w:rPr>
        <w:t>هل يبقى ثابتًا بينما تتغير أدوات إنتاج الخدمة القانونية جذريًا؟</w:t>
      </w:r>
    </w:p>
    <w:p w14:paraId="08E6761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يشير </w:t>
      </w:r>
      <w:r>
        <w:rPr>
          <w:rFonts w:asciiTheme="majorBidi" w:hAnsiTheme="majorBidi" w:cstheme="majorBidi" w:hint="cs"/>
          <w:b/>
          <w:bCs/>
          <w:sz w:val="24"/>
          <w:szCs w:val="24"/>
          <w:rtl/>
        </w:rPr>
        <w:t>خليل</w:t>
      </w:r>
      <w:r>
        <w:rPr>
          <w:rStyle w:val="af"/>
          <w:rFonts w:asciiTheme="majorBidi" w:hAnsiTheme="majorBidi" w:cstheme="majorBidi"/>
          <w:b/>
          <w:bCs/>
          <w:sz w:val="24"/>
          <w:szCs w:val="24"/>
          <w:rtl/>
        </w:rPr>
        <w:footnoteReference w:id="238"/>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أن التحول الرقمي يعيد تعريف الكفاءة المهنية، بحيث لا تقتصر على المعرفة القانونية التقليدية، بل تمتد إلى القدرة على توظيف الأدوات التقنية بصورة صحيحة ومُحكمة. وفي السياق نفسه، يذهب </w:t>
      </w:r>
      <w:r>
        <w:rPr>
          <w:rFonts w:asciiTheme="majorBidi" w:hAnsiTheme="majorBidi" w:cstheme="majorBidi"/>
          <w:b/>
          <w:bCs/>
          <w:sz w:val="24"/>
          <w:szCs w:val="24"/>
          <w:rtl/>
        </w:rPr>
        <w:t>العيسى</w:t>
      </w:r>
      <w:r>
        <w:rPr>
          <w:rStyle w:val="af"/>
          <w:rFonts w:asciiTheme="majorBidi" w:hAnsiTheme="majorBidi" w:cstheme="majorBidi"/>
          <w:b/>
          <w:bCs/>
          <w:sz w:val="24"/>
          <w:szCs w:val="24"/>
          <w:rtl/>
        </w:rPr>
        <w:footnoteReference w:id="239"/>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 xml:space="preserve">إلى أن استخدام أنظمة الذكاء الاصطناعي يرتب واجبًا على المستخدم المهني يتمثل في </w:t>
      </w:r>
      <w:r>
        <w:rPr>
          <w:rFonts w:asciiTheme="majorBidi" w:hAnsiTheme="majorBidi" w:cstheme="majorBidi"/>
          <w:b/>
          <w:bCs/>
          <w:sz w:val="24"/>
          <w:szCs w:val="24"/>
          <w:rtl/>
        </w:rPr>
        <w:t>التحقق من ملاءمة الأداة ودقة مخرجاتها</w:t>
      </w:r>
      <w:r>
        <w:rPr>
          <w:rFonts w:asciiTheme="majorBidi" w:hAnsiTheme="majorBidi" w:cstheme="majorBidi"/>
          <w:sz w:val="24"/>
          <w:szCs w:val="24"/>
          <w:rtl/>
        </w:rPr>
        <w:t xml:space="preserve"> قبل الاعتماد عليها، لأن الاعتماد غير المتحقق يفرغ واجب العناية من مضمونه</w:t>
      </w:r>
      <w:r>
        <w:rPr>
          <w:rFonts w:asciiTheme="majorBidi" w:hAnsiTheme="majorBidi" w:cstheme="majorBidi"/>
          <w:sz w:val="24"/>
          <w:szCs w:val="24"/>
        </w:rPr>
        <w:t>.</w:t>
      </w:r>
    </w:p>
    <w:p w14:paraId="0C4D737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وعليه، فإن “العناية” في زمن الذكاء الاصطناعي لا تعني مجرد القراءة والتدقيق اللغوي أو استحضار النصوص، بل تشمل عناصر جديدة، أهمها</w:t>
      </w:r>
      <w:r>
        <w:rPr>
          <w:rFonts w:asciiTheme="majorBidi" w:hAnsiTheme="majorBidi" w:cstheme="majorBidi"/>
          <w:sz w:val="24"/>
          <w:szCs w:val="24"/>
        </w:rPr>
        <w:t>:</w:t>
      </w:r>
    </w:p>
    <w:p w14:paraId="1253D35C"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فهم حدود النظام</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ما الذي يجيده؟ وما الذي يضلّل فيه؟</w:t>
      </w:r>
      <w:r>
        <w:rPr>
          <w:rFonts w:asciiTheme="majorBidi" w:hAnsiTheme="majorBidi" w:cstheme="majorBidi"/>
          <w:sz w:val="24"/>
          <w:szCs w:val="24"/>
        </w:rPr>
        <w:t>).</w:t>
      </w:r>
    </w:p>
    <w:p w14:paraId="34E02134"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التأكد من تحديثه</w:t>
      </w:r>
      <w:r>
        <w:rPr>
          <w:rFonts w:asciiTheme="majorBidi" w:hAnsiTheme="majorBidi" w:cstheme="majorBidi"/>
          <w:sz w:val="24"/>
          <w:szCs w:val="24"/>
          <w:rtl/>
        </w:rPr>
        <w:t xml:space="preserve"> ومصدر معارفه ومدى مواءمته للأنظمة السعودية</w:t>
      </w:r>
      <w:r>
        <w:rPr>
          <w:rFonts w:asciiTheme="majorBidi" w:hAnsiTheme="majorBidi" w:cstheme="majorBidi"/>
          <w:sz w:val="24"/>
          <w:szCs w:val="24"/>
        </w:rPr>
        <w:t>.</w:t>
      </w:r>
    </w:p>
    <w:p w14:paraId="156684E3"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تقدير قابلية الخطأ</w:t>
      </w:r>
      <w:r>
        <w:rPr>
          <w:rFonts w:asciiTheme="majorBidi" w:hAnsiTheme="majorBidi" w:cstheme="majorBidi"/>
          <w:sz w:val="24"/>
          <w:szCs w:val="24"/>
          <w:rtl/>
        </w:rPr>
        <w:t xml:space="preserve"> في المخرجات واحتمال “الهلاوس القانونية” (إحالات أو سوابق غير دقيقة)</w:t>
      </w:r>
      <w:r>
        <w:rPr>
          <w:rFonts w:asciiTheme="majorBidi" w:hAnsiTheme="majorBidi" w:cstheme="majorBidi"/>
          <w:sz w:val="24"/>
          <w:szCs w:val="24"/>
        </w:rPr>
        <w:t>.</w:t>
      </w:r>
    </w:p>
    <w:p w14:paraId="1904A666"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عدم الإحلال الكامل</w:t>
      </w:r>
      <w:r>
        <w:rPr>
          <w:rFonts w:asciiTheme="majorBidi" w:hAnsiTheme="majorBidi" w:cstheme="majorBidi"/>
          <w:sz w:val="24"/>
          <w:szCs w:val="24"/>
          <w:rtl/>
        </w:rPr>
        <w:t xml:space="preserve"> للأداة محل الاجتهاد البشري، خصوصًا في الوقائع المعقدة أو المسائل المستحدثة</w:t>
      </w:r>
      <w:r>
        <w:rPr>
          <w:rFonts w:asciiTheme="majorBidi" w:hAnsiTheme="majorBidi" w:cstheme="majorBidi"/>
          <w:sz w:val="24"/>
          <w:szCs w:val="24"/>
        </w:rPr>
        <w:t>.</w:t>
      </w:r>
    </w:p>
    <w:p w14:paraId="627057CA" w14:textId="77777777" w:rsidR="004F0491" w:rsidRPr="00AD56AA" w:rsidRDefault="004F0491" w:rsidP="004F0491">
      <w:pPr>
        <w:jc w:val="right"/>
        <w:rPr>
          <w:rFonts w:asciiTheme="majorBidi" w:hAnsiTheme="majorBidi" w:cstheme="majorBidi"/>
          <w:sz w:val="24"/>
          <w:szCs w:val="24"/>
          <w:rtl/>
        </w:rPr>
      </w:pPr>
      <w:r>
        <w:rPr>
          <w:rFonts w:asciiTheme="majorBidi" w:hAnsiTheme="majorBidi" w:cstheme="majorBidi"/>
          <w:sz w:val="24"/>
          <w:szCs w:val="24"/>
          <w:rtl/>
        </w:rPr>
        <w:t xml:space="preserve">ومن تحليلي كباحث، أرى أن التزام المحامي في البيئة الرقمية أصبح أقرب إلى </w:t>
      </w:r>
      <w:r>
        <w:rPr>
          <w:rFonts w:asciiTheme="majorBidi" w:hAnsiTheme="majorBidi" w:cstheme="majorBidi"/>
          <w:b/>
          <w:bCs/>
          <w:sz w:val="24"/>
          <w:szCs w:val="24"/>
          <w:rtl/>
        </w:rPr>
        <w:t>التزام مركّب</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وليس مجرد بذل عناية بسيط</w:t>
      </w:r>
      <w:r>
        <w:rPr>
          <w:rFonts w:asciiTheme="majorBidi" w:hAnsiTheme="majorBidi" w:cstheme="majorBidi" w:hint="cs"/>
          <w:sz w:val="24"/>
          <w:szCs w:val="24"/>
          <w:rtl/>
        </w:rPr>
        <w:t>ة:</w:t>
      </w:r>
    </w:p>
    <w:p w14:paraId="0AE4DE31" w14:textId="77777777" w:rsidR="004F0491" w:rsidRPr="00AD56AA" w:rsidRDefault="004F0491" w:rsidP="004F0491">
      <w:pPr>
        <w:numPr>
          <w:ilvl w:val="0"/>
          <w:numId w:val="20"/>
        </w:numPr>
        <w:bidi/>
        <w:rPr>
          <w:rFonts w:asciiTheme="majorBidi" w:hAnsiTheme="majorBidi" w:cstheme="majorBidi"/>
          <w:sz w:val="24"/>
          <w:szCs w:val="24"/>
        </w:rPr>
      </w:pPr>
      <w:r>
        <w:rPr>
          <w:rFonts w:asciiTheme="majorBidi" w:hAnsiTheme="majorBidi" w:cstheme="majorBidi"/>
          <w:b/>
          <w:bCs/>
          <w:sz w:val="24"/>
          <w:szCs w:val="24"/>
          <w:rtl/>
        </w:rPr>
        <w:t>عناية قانونية</w:t>
      </w:r>
      <w:r>
        <w:rPr>
          <w:rFonts w:asciiTheme="majorBidi" w:hAnsiTheme="majorBidi" w:cstheme="majorBidi"/>
          <w:sz w:val="24"/>
          <w:szCs w:val="24"/>
        </w:rPr>
        <w:t xml:space="preserve">: </w:t>
      </w:r>
      <w:r>
        <w:rPr>
          <w:rFonts w:asciiTheme="majorBidi" w:hAnsiTheme="majorBidi" w:cstheme="majorBidi"/>
          <w:sz w:val="24"/>
          <w:szCs w:val="24"/>
          <w:rtl/>
        </w:rPr>
        <w:t>تتعلق بصحة التكييف، وحسن الاستدلال، وتقدير النصوص والدفوع</w:t>
      </w:r>
      <w:r>
        <w:rPr>
          <w:rFonts w:asciiTheme="majorBidi" w:hAnsiTheme="majorBidi" w:cstheme="majorBidi"/>
          <w:sz w:val="24"/>
          <w:szCs w:val="24"/>
        </w:rPr>
        <w:t>.</w:t>
      </w:r>
    </w:p>
    <w:p w14:paraId="092CB04E" w14:textId="77777777" w:rsidR="004F0491" w:rsidRPr="00AD56AA" w:rsidRDefault="004F0491" w:rsidP="004F0491">
      <w:pPr>
        <w:numPr>
          <w:ilvl w:val="0"/>
          <w:numId w:val="20"/>
        </w:numPr>
        <w:bidi/>
        <w:rPr>
          <w:rFonts w:asciiTheme="majorBidi" w:hAnsiTheme="majorBidi" w:cstheme="majorBidi"/>
          <w:sz w:val="24"/>
          <w:szCs w:val="24"/>
        </w:rPr>
      </w:pPr>
      <w:r>
        <w:rPr>
          <w:rFonts w:asciiTheme="majorBidi" w:hAnsiTheme="majorBidi" w:cstheme="majorBidi"/>
          <w:b/>
          <w:bCs/>
          <w:sz w:val="24"/>
          <w:szCs w:val="24"/>
          <w:rtl/>
        </w:rPr>
        <w:t>عناية تقنية</w:t>
      </w:r>
      <w:r>
        <w:rPr>
          <w:rFonts w:asciiTheme="majorBidi" w:hAnsiTheme="majorBidi" w:cstheme="majorBidi"/>
          <w:sz w:val="24"/>
          <w:szCs w:val="24"/>
        </w:rPr>
        <w:t xml:space="preserve">: </w:t>
      </w:r>
      <w:r>
        <w:rPr>
          <w:rFonts w:asciiTheme="majorBidi" w:hAnsiTheme="majorBidi" w:cstheme="majorBidi"/>
          <w:sz w:val="24"/>
          <w:szCs w:val="24"/>
          <w:rtl/>
        </w:rPr>
        <w:t>تتعلق بحسن اختيار الأداة، وضبط طريقة الاستخدام، ومراجعة المخرجات والتحقق منها</w:t>
      </w:r>
      <w:r>
        <w:rPr>
          <w:rFonts w:asciiTheme="majorBidi" w:hAnsiTheme="majorBidi" w:cstheme="majorBidi"/>
          <w:sz w:val="24"/>
          <w:szCs w:val="24"/>
        </w:rPr>
        <w:t>.</w:t>
      </w:r>
    </w:p>
    <w:p w14:paraId="12746426"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وإهمال أي من المستويين قد ينهض خطأ مهنيًا، حتى لو كان أصل الخلل تقنيًا؛ لأن الخطأ هنا يتجسد في </w:t>
      </w:r>
      <w:r>
        <w:rPr>
          <w:rFonts w:asciiTheme="majorBidi" w:hAnsiTheme="majorBidi" w:cstheme="majorBidi"/>
          <w:b/>
          <w:bCs/>
          <w:sz w:val="24"/>
          <w:szCs w:val="24"/>
          <w:rtl/>
        </w:rPr>
        <w:t>سوء الإدارة المهنية للمخاطر</w:t>
      </w:r>
      <w:r>
        <w:rPr>
          <w:rFonts w:asciiTheme="majorBidi" w:hAnsiTheme="majorBidi" w:cstheme="majorBidi"/>
          <w:sz w:val="24"/>
          <w:szCs w:val="24"/>
        </w:rPr>
        <w:t>.</w:t>
      </w:r>
    </w:p>
    <w:p w14:paraId="1632C80B" w14:textId="77777777" w:rsidR="004F0491" w:rsidRPr="00AD56AA" w:rsidRDefault="004F0491" w:rsidP="004F0491">
      <w:pPr>
        <w:rPr>
          <w:rFonts w:asciiTheme="majorBidi" w:hAnsiTheme="majorBidi" w:cstheme="majorBidi"/>
          <w:sz w:val="24"/>
          <w:szCs w:val="24"/>
        </w:rPr>
      </w:pPr>
    </w:p>
    <w:p w14:paraId="3531175A"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ثانيًا: معيار الخطأ المهني وأنواعه في بيئة الذكاء الاصطناعي</w:t>
      </w:r>
    </w:p>
    <w:p w14:paraId="3759AADE"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وعلى الصعيد المقارن، أكدت لقرب في سياق بحثها المنشور بمجلة المحترف أن وجود علاقة تأثير إيجابية للذكاء الاصطناعي في الميدان القانوني يتجلى في سرعة إنجاز المهام وتنفيذها، غير أن ثمة إشكاليتين تبقيان محل بحث ودراسة: الأولى تتعلق بإشكالية التحيز الخوارزمي، والثانية بمسألة الشخصية القانونية، فضلًا عن الفوارق الجوهرية بين الذكاء الاصطناعي والذكاء البشري، وهي إشكاليات تُلقي بظلالها مباشرةً على معيار الخطأ المهني الواجب التطبيق.</w:t>
      </w:r>
      <w:r>
        <w:rPr>
          <w:rStyle w:val="af"/>
          <w:rFonts w:asciiTheme="majorBidi" w:hAnsiTheme="majorBidi" w:cstheme="majorBidi"/>
          <w:sz w:val="24"/>
          <w:szCs w:val="24"/>
          <w:rtl/>
        </w:rPr>
        <w:footnoteReference w:id="240"/>
      </w:r>
    </w:p>
    <w:p w14:paraId="05FCD1F5"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تقليديًا، يُقاس الخطأ المهني بانحراف المحامي عن سلوك محامٍ معتاد حريص في ذات الظروف. لكن السؤال في عصر الذكاء الاصطناعي يصبح أكثر تعقيدًا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من هو المحامي “المعتاد”؟</w:t>
      </w:r>
      <w:r>
        <w:rPr>
          <w:rFonts w:asciiTheme="majorBidi" w:hAnsiTheme="majorBidi" w:cstheme="majorBidi"/>
          <w:sz w:val="24"/>
          <w:szCs w:val="24"/>
        </w:rPr>
        <w:br/>
      </w:r>
      <w:r>
        <w:rPr>
          <w:rFonts w:asciiTheme="majorBidi" w:hAnsiTheme="majorBidi" w:cstheme="majorBidi"/>
          <w:sz w:val="24"/>
          <w:szCs w:val="24"/>
          <w:rtl/>
        </w:rPr>
        <w:t>هل هو الذي لا يستخدم التقنية؟ أم الذي يستخدمها بحذر؟ أم الذي يعتمد عليها على نطاق واسع؟</w:t>
      </w:r>
    </w:p>
    <w:p w14:paraId="4F0F462C"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يذهب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41"/>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 xml:space="preserve">إلى أن شيوع أدوات الذكاء الاصطناعي في المهن القانونية قد يجعل الامتناع عن استخدامها – في بعض البيئات – مدخلًا لاعتبار سلوك المحامي أقل كفاءة إذا ترتب عليه إغفال بحث أو تحليل كان متاحًا بسهولة وبكلفة زمنية معقولة. وفي المقابل، يحذر </w:t>
      </w:r>
      <w:r>
        <w:rPr>
          <w:rFonts w:asciiTheme="majorBidi" w:hAnsiTheme="majorBidi" w:cstheme="majorBidi"/>
          <w:b/>
          <w:bCs/>
          <w:sz w:val="24"/>
          <w:szCs w:val="24"/>
          <w:rtl/>
        </w:rPr>
        <w:t>حمادي</w:t>
      </w:r>
      <w:r>
        <w:rPr>
          <w:rStyle w:val="af"/>
          <w:rFonts w:asciiTheme="majorBidi" w:hAnsiTheme="majorBidi" w:cstheme="majorBidi"/>
          <w:b/>
          <w:bCs/>
          <w:sz w:val="24"/>
          <w:szCs w:val="24"/>
          <w:rtl/>
        </w:rPr>
        <w:footnoteReference w:id="242"/>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من أن تحميل المستخدم المهني تبعة كل خلل تقني قد يؤدي عمليًا إلى مسؤولية شبه مطلقة، تتعارض مع العدالة التعاقدية، وتُعطل تبني التقنية وتطويرها داخل المهن</w:t>
      </w:r>
      <w:r>
        <w:rPr>
          <w:rFonts w:asciiTheme="majorBidi" w:hAnsiTheme="majorBidi" w:cstheme="majorBidi"/>
          <w:sz w:val="24"/>
          <w:szCs w:val="24"/>
        </w:rPr>
        <w:t>.</w:t>
      </w:r>
    </w:p>
    <w:p w14:paraId="1803D93C"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ثم، فالمعيار الأدق – في نظري – ليس “استخدم التقنية أو لم يستخدمها”، بل </w:t>
      </w:r>
      <w:r>
        <w:rPr>
          <w:rFonts w:asciiTheme="majorBidi" w:hAnsiTheme="majorBidi" w:cstheme="majorBidi"/>
          <w:b/>
          <w:bCs/>
          <w:sz w:val="24"/>
          <w:szCs w:val="24"/>
          <w:rtl/>
        </w:rPr>
        <w:t>كيف استخدمها</w:t>
      </w:r>
      <w:r>
        <w:rPr>
          <w:rFonts w:asciiTheme="majorBidi" w:hAnsiTheme="majorBidi" w:cstheme="majorBidi"/>
          <w:sz w:val="24"/>
          <w:szCs w:val="24"/>
          <w:rtl/>
        </w:rPr>
        <w:t xml:space="preserve">، وهل مارس إشرافًا بشريًا يحقق العناية المتوقعة أم لا. وعلى هذا، يتعين أن يكون معيار الخطأ </w:t>
      </w:r>
      <w:r>
        <w:rPr>
          <w:rFonts w:asciiTheme="majorBidi" w:hAnsiTheme="majorBidi" w:cstheme="majorBidi"/>
          <w:b/>
          <w:bCs/>
          <w:sz w:val="24"/>
          <w:szCs w:val="24"/>
          <w:rtl/>
        </w:rPr>
        <w:t>نسبيًا</w:t>
      </w:r>
      <w:r>
        <w:rPr>
          <w:rFonts w:asciiTheme="majorBidi" w:hAnsiTheme="majorBidi" w:cstheme="majorBidi"/>
          <w:sz w:val="24"/>
          <w:szCs w:val="24"/>
          <w:rtl/>
        </w:rPr>
        <w:t xml:space="preserve"> يأخذ في الاعتبار</w:t>
      </w:r>
      <w:r>
        <w:rPr>
          <w:rFonts w:asciiTheme="majorBidi" w:hAnsiTheme="majorBidi" w:cstheme="majorBidi"/>
          <w:sz w:val="24"/>
          <w:szCs w:val="24"/>
        </w:rPr>
        <w:t>:</w:t>
      </w:r>
    </w:p>
    <w:p w14:paraId="66B17EB4"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درجة شيوع التقنية في الوسط المهني (هل أصبحت معيارًا مؤسسيًا؟)</w:t>
      </w:r>
      <w:r>
        <w:rPr>
          <w:rFonts w:asciiTheme="majorBidi" w:hAnsiTheme="majorBidi" w:cstheme="majorBidi"/>
          <w:sz w:val="24"/>
          <w:szCs w:val="24"/>
        </w:rPr>
        <w:t>.</w:t>
      </w:r>
    </w:p>
    <w:p w14:paraId="4256AA2A"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طبيعة المسألة محل العمل (روتينية أم دقيقة عالية المخاطر)</w:t>
      </w:r>
      <w:r>
        <w:rPr>
          <w:rFonts w:asciiTheme="majorBidi" w:hAnsiTheme="majorBidi" w:cstheme="majorBidi"/>
          <w:sz w:val="24"/>
          <w:szCs w:val="24"/>
        </w:rPr>
        <w:t>.</w:t>
      </w:r>
    </w:p>
    <w:p w14:paraId="11CAE0E2"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وضوح قيود النظام والتحذيرات (هل نبهت المنصة إلى حدودها؟)</w:t>
      </w:r>
      <w:r>
        <w:rPr>
          <w:rFonts w:asciiTheme="majorBidi" w:hAnsiTheme="majorBidi" w:cstheme="majorBidi"/>
          <w:sz w:val="24"/>
          <w:szCs w:val="24"/>
        </w:rPr>
        <w:t>.</w:t>
      </w:r>
    </w:p>
    <w:p w14:paraId="2F21E67D" w14:textId="77777777" w:rsidR="004F0491" w:rsidRPr="00AC662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مستوى المراجعة البشرية والتحقق (هل اكتفى بالنسخ؟ أم راجع واستوثق؟)</w:t>
      </w:r>
      <w:r>
        <w:rPr>
          <w:rFonts w:asciiTheme="majorBidi" w:hAnsiTheme="majorBidi" w:cstheme="majorBidi"/>
          <w:sz w:val="24"/>
          <w:szCs w:val="24"/>
        </w:rPr>
        <w:t>..</w:t>
      </w:r>
    </w:p>
    <w:p w14:paraId="42941F94" w14:textId="77777777" w:rsidR="004F0491" w:rsidRPr="00AD56AA" w:rsidRDefault="004F0491" w:rsidP="004F0491">
      <w:pPr>
        <w:rPr>
          <w:rFonts w:asciiTheme="majorBidi" w:hAnsiTheme="majorBidi" w:cstheme="majorBidi"/>
          <w:sz w:val="24"/>
          <w:szCs w:val="24"/>
        </w:rPr>
      </w:pPr>
    </w:p>
    <w:p w14:paraId="478C4642"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 xml:space="preserve">وفي إطار بحث أوجه هذه التفرقة، تناول المنشور الصادر عن مجلة العدالة مسألة المسؤولية عن الذكاء الاصطناعي بين القانون الخاص والقانون العام، منطلقًا من حقيقة أن الذكاء الاصطناعي أصبح مستخدمًا على نطاق واسع في عمليات المساعدة في القرار في مجالات مختلفة، وأن الاعتماد على نتائجه يُثير تساؤلات قانونية </w:t>
      </w:r>
      <w:r>
        <w:rPr>
          <w:rFonts w:asciiTheme="majorBidi" w:hAnsiTheme="majorBidi" w:cstheme="majorBidi"/>
          <w:sz w:val="24"/>
          <w:szCs w:val="24"/>
          <w:rtl/>
        </w:rPr>
        <w:lastRenderedPageBreak/>
        <w:t>جوهرية تتعلق بكيفية استيعاب القانون لمعالجة مشكلات المسؤولية الناتجة عن استخدام هذه الأنظمة، وما إذا كانت قواعد القانون المدني الحالية كافية للتعويض عن الأضرار الناجمة جراء ذلك.</w:t>
      </w:r>
      <w:r>
        <w:rPr>
          <w:rStyle w:val="af"/>
          <w:rFonts w:asciiTheme="majorBidi" w:hAnsiTheme="majorBidi" w:cstheme="majorBidi"/>
          <w:sz w:val="24"/>
          <w:szCs w:val="24"/>
          <w:rtl/>
        </w:rPr>
        <w:footnoteReference w:id="243"/>
      </w:r>
    </w:p>
    <w:p w14:paraId="6B70357B" w14:textId="77777777" w:rsidR="004F0491" w:rsidRPr="00AD56AA" w:rsidRDefault="004F0491" w:rsidP="004F0491">
      <w:pPr>
        <w:rPr>
          <w:rFonts w:asciiTheme="majorBidi" w:hAnsiTheme="majorBidi" w:cstheme="majorBidi"/>
          <w:sz w:val="24"/>
          <w:szCs w:val="24"/>
        </w:rPr>
      </w:pPr>
      <w:r>
        <w:rPr>
          <w:rFonts w:asciiTheme="majorBidi" w:hAnsiTheme="majorBidi" w:cstheme="majorBidi"/>
          <w:sz w:val="24"/>
          <w:szCs w:val="24"/>
          <w:rtl/>
        </w:rPr>
        <w:t>تحديد طبيعة الخطأ هو قلب النزاع في مسؤولية الذكاء الاصطناعي داخل مكاتب المحاماة. فالخطأ قد يكون</w:t>
      </w:r>
      <w:r>
        <w:rPr>
          <w:rFonts w:asciiTheme="majorBidi" w:hAnsiTheme="majorBidi" w:cstheme="majorBidi"/>
          <w:sz w:val="24"/>
          <w:szCs w:val="24"/>
        </w:rPr>
        <w:t>:</w:t>
      </w:r>
    </w:p>
    <w:p w14:paraId="4AC091E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b/>
          <w:bCs/>
          <w:sz w:val="24"/>
          <w:szCs w:val="24"/>
          <w:rtl/>
        </w:rPr>
        <w:t>(أ) خطأ تقني</w:t>
      </w:r>
      <w:r>
        <w:rPr>
          <w:rFonts w:asciiTheme="majorBidi" w:hAnsiTheme="majorBidi" w:cstheme="majorBidi"/>
          <w:sz w:val="24"/>
          <w:szCs w:val="24"/>
          <w:rtl/>
        </w:rPr>
        <w:t xml:space="preserve"> مثل</w:t>
      </w:r>
      <w:r>
        <w:rPr>
          <w:rFonts w:asciiTheme="majorBidi" w:hAnsiTheme="majorBidi" w:cstheme="majorBidi"/>
          <w:sz w:val="24"/>
          <w:szCs w:val="24"/>
        </w:rPr>
        <w:t>:</w:t>
      </w:r>
    </w:p>
    <w:p w14:paraId="58AA9CF1"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خلل في قاعدة البيانات أو مصادرها</w:t>
      </w:r>
      <w:r>
        <w:rPr>
          <w:rFonts w:asciiTheme="majorBidi" w:hAnsiTheme="majorBidi" w:cstheme="majorBidi"/>
          <w:sz w:val="24"/>
          <w:szCs w:val="24"/>
        </w:rPr>
        <w:t>.</w:t>
      </w:r>
    </w:p>
    <w:p w14:paraId="2453A8B6"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اعتماد تشريعات غير محدثة أو غير سعودية</w:t>
      </w:r>
      <w:r>
        <w:rPr>
          <w:rFonts w:asciiTheme="majorBidi" w:hAnsiTheme="majorBidi" w:cstheme="majorBidi"/>
          <w:sz w:val="24"/>
          <w:szCs w:val="24"/>
        </w:rPr>
        <w:t>.</w:t>
      </w:r>
    </w:p>
    <w:p w14:paraId="387C1BD2"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انحراف خوارزمي في التحليل أو ترتيب الأولويات</w:t>
      </w:r>
      <w:r>
        <w:rPr>
          <w:rFonts w:asciiTheme="majorBidi" w:hAnsiTheme="majorBidi" w:cstheme="majorBidi"/>
          <w:sz w:val="24"/>
          <w:szCs w:val="24"/>
        </w:rPr>
        <w:t>.</w:t>
      </w:r>
    </w:p>
    <w:p w14:paraId="0C4408A1"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توليد إحالات غير صحيحة أو “سوابق وهمية</w:t>
      </w:r>
      <w:r>
        <w:rPr>
          <w:rFonts w:asciiTheme="majorBidi" w:hAnsiTheme="majorBidi" w:cstheme="majorBidi"/>
          <w:sz w:val="24"/>
          <w:szCs w:val="24"/>
        </w:rPr>
        <w:t>”.</w:t>
      </w:r>
    </w:p>
    <w:p w14:paraId="290BCAF4"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b/>
          <w:bCs/>
          <w:sz w:val="24"/>
          <w:szCs w:val="24"/>
          <w:rtl/>
        </w:rPr>
        <w:t>(ب) خطأ مهني</w:t>
      </w:r>
      <w:r>
        <w:rPr>
          <w:rFonts w:asciiTheme="majorBidi" w:hAnsiTheme="majorBidi" w:cstheme="majorBidi"/>
          <w:sz w:val="24"/>
          <w:szCs w:val="24"/>
          <w:rtl/>
        </w:rPr>
        <w:t xml:space="preserve"> مثل</w:t>
      </w:r>
      <w:r>
        <w:rPr>
          <w:rFonts w:asciiTheme="majorBidi" w:hAnsiTheme="majorBidi" w:cstheme="majorBidi"/>
          <w:sz w:val="24"/>
          <w:szCs w:val="24"/>
        </w:rPr>
        <w:t>:</w:t>
      </w:r>
    </w:p>
    <w:p w14:paraId="4475AA8A"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اعتماد المخرج دون مراجعة</w:t>
      </w:r>
      <w:r>
        <w:rPr>
          <w:rFonts w:asciiTheme="majorBidi" w:hAnsiTheme="majorBidi" w:cstheme="majorBidi"/>
          <w:sz w:val="24"/>
          <w:szCs w:val="24"/>
        </w:rPr>
        <w:t>.</w:t>
      </w:r>
    </w:p>
    <w:p w14:paraId="711C36F0"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إدخال بيانات ناقصة أو مضللة</w:t>
      </w:r>
      <w:r>
        <w:rPr>
          <w:rFonts w:asciiTheme="majorBidi" w:hAnsiTheme="majorBidi" w:cstheme="majorBidi"/>
          <w:sz w:val="24"/>
          <w:szCs w:val="24"/>
        </w:rPr>
        <w:t>.</w:t>
      </w:r>
    </w:p>
    <w:p w14:paraId="627487FA"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سوء اختيار الأداة (غير مخصصة للبيئة السعودية/غير آمنة)</w:t>
      </w:r>
      <w:r>
        <w:rPr>
          <w:rFonts w:asciiTheme="majorBidi" w:hAnsiTheme="majorBidi" w:cstheme="majorBidi"/>
          <w:sz w:val="24"/>
          <w:szCs w:val="24"/>
        </w:rPr>
        <w:t>.</w:t>
      </w:r>
    </w:p>
    <w:p w14:paraId="2B916627"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تجاهل تحذيرات الاستخدام أو استعمال الأداة خارج نطاقها</w:t>
      </w:r>
      <w:r>
        <w:rPr>
          <w:rFonts w:asciiTheme="majorBidi" w:hAnsiTheme="majorBidi" w:cstheme="majorBidi"/>
          <w:sz w:val="24"/>
          <w:szCs w:val="24"/>
        </w:rPr>
        <w:t>.</w:t>
      </w:r>
    </w:p>
    <w:p w14:paraId="0408A1F7"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ويُشير </w:t>
      </w:r>
      <w:r>
        <w:rPr>
          <w:rFonts w:asciiTheme="majorBidi" w:hAnsiTheme="majorBidi" w:cstheme="majorBidi"/>
          <w:b/>
          <w:bCs/>
          <w:sz w:val="24"/>
          <w:szCs w:val="24"/>
          <w:rtl/>
        </w:rPr>
        <w:t>خليل</w:t>
      </w:r>
      <w:r>
        <w:rPr>
          <w:rStyle w:val="af"/>
          <w:rFonts w:asciiTheme="majorBidi" w:hAnsiTheme="majorBidi" w:cstheme="majorBidi"/>
          <w:b/>
          <w:bCs/>
          <w:sz w:val="24"/>
          <w:szCs w:val="24"/>
          <w:rtl/>
        </w:rPr>
        <w:footnoteReference w:id="244"/>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فكرة “انقطاع الصلة الإدراكية” بسبب تعقيد الخوارزميات؛ أي أن المستخدم قد لا يدرك كيف تولّدت النتيجة. غير أن هذا الانقطاع – في العمل المهني – لا يُعفي من المسؤولية بمجرده، لأن المحامي عندما يعتمد المخرج ويقدمه فهو يمنحه </w:t>
      </w:r>
      <w:r>
        <w:rPr>
          <w:rFonts w:asciiTheme="majorBidi" w:hAnsiTheme="majorBidi" w:cstheme="majorBidi"/>
          <w:b/>
          <w:bCs/>
          <w:sz w:val="24"/>
          <w:szCs w:val="24"/>
          <w:rtl/>
        </w:rPr>
        <w:t>صفة مهنية</w:t>
      </w:r>
      <w:r>
        <w:rPr>
          <w:rFonts w:asciiTheme="majorBidi" w:hAnsiTheme="majorBidi" w:cstheme="majorBidi"/>
          <w:sz w:val="24"/>
          <w:szCs w:val="24"/>
          <w:rtl/>
        </w:rPr>
        <w:t xml:space="preserve"> ويستند إليه في ممارسة حق الموكل، فيصبح الإسناد قائمًا من زاوية “الاعتماد” حتى لو تعذر إدراك “كيفية التوليد” بالكامل</w:t>
      </w:r>
      <w:r>
        <w:rPr>
          <w:rFonts w:asciiTheme="majorBidi" w:hAnsiTheme="majorBidi" w:cstheme="majorBidi"/>
          <w:sz w:val="24"/>
          <w:szCs w:val="24"/>
        </w:rPr>
        <w:t>.</w:t>
      </w:r>
    </w:p>
    <w:p w14:paraId="5A3A3242"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كما يذهب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45"/>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إلى أن معيار “السيطرة أو الرقابة الفعلية” أصلح في بناء المسؤولية من معيار الفعل المادي؛ لأن جوهر المسؤولية ليس “من كتب السطر”، بل “من كان قادرًا على منع الضرر أو تقليله” عبر الرقابة والتحقق. وبما أن المحامي هو الذي اختار النظام واعتمد الناتج وقدمه باسمه، فحدٌّ أدنى من الرقابة متحقق من جانبه</w:t>
      </w:r>
      <w:r>
        <w:rPr>
          <w:rFonts w:asciiTheme="majorBidi" w:hAnsiTheme="majorBidi" w:cstheme="majorBidi"/>
          <w:sz w:val="24"/>
          <w:szCs w:val="24"/>
        </w:rPr>
        <w:t>.</w:t>
      </w:r>
    </w:p>
    <w:p w14:paraId="05A6EA4B"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hint="cs"/>
          <w:sz w:val="24"/>
          <w:szCs w:val="24"/>
          <w:rtl/>
        </w:rPr>
        <w:t>ومما سبق</w:t>
      </w:r>
      <w:r>
        <w:rPr>
          <w:rFonts w:asciiTheme="majorBidi" w:hAnsiTheme="majorBidi" w:cstheme="majorBidi"/>
          <w:sz w:val="24"/>
          <w:szCs w:val="24"/>
          <w:rtl/>
        </w:rPr>
        <w:t xml:space="preserve"> ، أرى أن النقطة الفاصلة هي </w:t>
      </w:r>
      <w:r>
        <w:rPr>
          <w:rFonts w:asciiTheme="majorBidi" w:hAnsiTheme="majorBidi" w:cstheme="majorBidi"/>
          <w:b/>
          <w:bCs/>
          <w:sz w:val="24"/>
          <w:szCs w:val="24"/>
          <w:rtl/>
        </w:rPr>
        <w:t>الاعتماد الواعي المصحوب بإشراف معقول</w:t>
      </w:r>
      <w:r>
        <w:rPr>
          <w:rFonts w:asciiTheme="majorBidi" w:hAnsiTheme="majorBidi" w:cstheme="majorBidi"/>
          <w:sz w:val="24"/>
          <w:szCs w:val="24"/>
        </w:rPr>
        <w:t>:</w:t>
      </w:r>
    </w:p>
    <w:p w14:paraId="6F76EA54" w14:textId="77777777" w:rsidR="004F0491" w:rsidRPr="00AD56AA" w:rsidRDefault="004F0491" w:rsidP="004F0491">
      <w:pPr>
        <w:numPr>
          <w:ilvl w:val="0"/>
          <w:numId w:val="24"/>
        </w:numPr>
        <w:bidi/>
        <w:rPr>
          <w:rFonts w:asciiTheme="majorBidi" w:hAnsiTheme="majorBidi" w:cstheme="majorBidi"/>
          <w:sz w:val="24"/>
          <w:szCs w:val="24"/>
        </w:rPr>
      </w:pPr>
      <w:r>
        <w:rPr>
          <w:rFonts w:asciiTheme="majorBidi" w:hAnsiTheme="majorBidi" w:cstheme="majorBidi"/>
          <w:sz w:val="24"/>
          <w:szCs w:val="24"/>
          <w:rtl/>
        </w:rPr>
        <w:t xml:space="preserve">إذا كان الخطأ يمكن اكتشافه بمراجعة بشرية معتادة (كإحالة نظامية خاطئة أو سابقة غير موجودة) فالمسؤولية تميل إلى أن تكون </w:t>
      </w:r>
      <w:r>
        <w:rPr>
          <w:rFonts w:asciiTheme="majorBidi" w:hAnsiTheme="majorBidi" w:cstheme="majorBidi"/>
          <w:b/>
          <w:bCs/>
          <w:sz w:val="24"/>
          <w:szCs w:val="24"/>
          <w:rtl/>
        </w:rPr>
        <w:t>مهنية</w:t>
      </w:r>
      <w:r>
        <w:rPr>
          <w:rFonts w:asciiTheme="majorBidi" w:hAnsiTheme="majorBidi" w:cstheme="majorBidi"/>
          <w:sz w:val="24"/>
          <w:szCs w:val="24"/>
        </w:rPr>
        <w:t>.</w:t>
      </w:r>
    </w:p>
    <w:p w14:paraId="4008835D" w14:textId="77777777" w:rsidR="004F0491" w:rsidRPr="00AD56AA" w:rsidRDefault="004F0491" w:rsidP="004F0491">
      <w:pPr>
        <w:numPr>
          <w:ilvl w:val="0"/>
          <w:numId w:val="24"/>
        </w:numPr>
        <w:bidi/>
        <w:jc w:val="both"/>
        <w:rPr>
          <w:rFonts w:asciiTheme="majorBidi" w:hAnsiTheme="majorBidi" w:cstheme="majorBidi"/>
          <w:sz w:val="24"/>
          <w:szCs w:val="24"/>
        </w:rPr>
      </w:pPr>
      <w:r>
        <w:rPr>
          <w:rFonts w:asciiTheme="majorBidi" w:hAnsiTheme="majorBidi" w:cstheme="majorBidi"/>
          <w:sz w:val="24"/>
          <w:szCs w:val="24"/>
          <w:rtl/>
        </w:rPr>
        <w:t xml:space="preserve">أما إذا كان الخلل خفيًا تقنيًا لا يُكتشف بالوسائل المهنية المتعارف عليها، بعد تحقق حقيقي ومراجعة، فهنا ننتقل إلى منطق </w:t>
      </w:r>
      <w:r>
        <w:rPr>
          <w:rFonts w:asciiTheme="majorBidi" w:hAnsiTheme="majorBidi" w:cstheme="majorBidi"/>
          <w:b/>
          <w:bCs/>
          <w:sz w:val="24"/>
          <w:szCs w:val="24"/>
          <w:rtl/>
        </w:rPr>
        <w:t>توزيع المسؤولية</w:t>
      </w:r>
      <w:r>
        <w:rPr>
          <w:rFonts w:asciiTheme="majorBidi" w:hAnsiTheme="majorBidi" w:cstheme="majorBidi"/>
          <w:sz w:val="24"/>
          <w:szCs w:val="24"/>
          <w:rtl/>
        </w:rPr>
        <w:t xml:space="preserve"> وليس نفيها</w:t>
      </w:r>
      <w:r>
        <w:rPr>
          <w:rFonts w:asciiTheme="majorBidi" w:hAnsiTheme="majorBidi" w:cstheme="majorBidi"/>
          <w:sz w:val="24"/>
          <w:szCs w:val="24"/>
        </w:rPr>
        <w:t>.</w:t>
      </w:r>
    </w:p>
    <w:p w14:paraId="21A46187"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وبالتالي لا يصح الاكتفاء بعبارة: “النظام أخطأ”، بل يجب اختبار سؤالٍ حاكم</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كان بإمكان محامٍ حريص اكتشاف الخطأ بقدرٍ معقول من المراجعة؟</w:t>
      </w:r>
      <w:r>
        <w:rPr>
          <w:rFonts w:asciiTheme="majorBidi" w:hAnsiTheme="majorBidi" w:cstheme="majorBidi"/>
          <w:sz w:val="24"/>
          <w:szCs w:val="24"/>
        </w:rPr>
        <w:br/>
      </w:r>
      <w:r>
        <w:rPr>
          <w:rFonts w:asciiTheme="majorBidi" w:hAnsiTheme="majorBidi" w:cstheme="majorBidi"/>
          <w:sz w:val="24"/>
          <w:szCs w:val="24"/>
          <w:rtl/>
        </w:rPr>
        <w:t>فإن كانت الإجابة نعم، فالإخلال مهني. وإن كانت لا، فالمسألة تُدار بمنطق تعدد الأطراف وتوزيع المخاطر</w:t>
      </w:r>
      <w:r>
        <w:rPr>
          <w:rFonts w:asciiTheme="majorBidi" w:hAnsiTheme="majorBidi" w:cstheme="majorBidi"/>
          <w:sz w:val="24"/>
          <w:szCs w:val="24"/>
        </w:rPr>
        <w:t>.</w:t>
      </w:r>
    </w:p>
    <w:p w14:paraId="3A3E2A3F" w14:textId="77777777" w:rsidR="004F0491" w:rsidRPr="00AD56AA" w:rsidRDefault="004F0491" w:rsidP="004F0491">
      <w:pPr>
        <w:jc w:val="right"/>
        <w:rPr>
          <w:rFonts w:asciiTheme="majorBidi" w:hAnsiTheme="majorBidi" w:cstheme="majorBidi"/>
          <w:sz w:val="24"/>
          <w:szCs w:val="24"/>
        </w:rPr>
      </w:pPr>
    </w:p>
    <w:p w14:paraId="7DE7812F"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تثير تطبيقات الذكاء الاصطناعي سؤالًا أعمق: هل ما زال مفهوم “الخطأ التقليدي” كافيًا وحده؟</w:t>
      </w:r>
      <w:r>
        <w:rPr>
          <w:rFonts w:asciiTheme="majorBidi" w:hAnsiTheme="majorBidi" w:cstheme="majorBidi"/>
          <w:sz w:val="24"/>
          <w:szCs w:val="24"/>
        </w:rPr>
        <w:br/>
      </w:r>
      <w:r>
        <w:rPr>
          <w:rFonts w:asciiTheme="majorBidi" w:hAnsiTheme="majorBidi" w:cstheme="majorBidi"/>
          <w:sz w:val="24"/>
          <w:szCs w:val="24"/>
          <w:rtl/>
        </w:rPr>
        <w:t xml:space="preserve">تذهب </w:t>
      </w:r>
      <w:r>
        <w:rPr>
          <w:rFonts w:asciiTheme="majorBidi" w:hAnsiTheme="majorBidi" w:cstheme="majorBidi"/>
          <w:b/>
          <w:bCs/>
          <w:sz w:val="24"/>
          <w:szCs w:val="24"/>
          <w:rtl/>
        </w:rPr>
        <w:t>الربيع</w:t>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توسيع زاوية النظر في المسؤولية المدنية عند صعوبة تحديد مصدر الخلل بدقة، لأن التقنية تُنتج أحيانًا ضررًا دون إمكانية سهلة لإسناده لفاعل واحد. ويشير </w:t>
      </w:r>
      <w:r>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246"/>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إلى أن تأطير أخلاقيات الذكاء الاصطناعي يتطلب آليات مساءلة تتناسب مع تعقيد التقنية وتداخل الأطراف</w:t>
      </w:r>
      <w:r>
        <w:rPr>
          <w:rFonts w:asciiTheme="majorBidi" w:hAnsiTheme="majorBidi" w:cstheme="majorBidi"/>
          <w:sz w:val="24"/>
          <w:szCs w:val="24"/>
        </w:rPr>
        <w:t>.</w:t>
      </w:r>
    </w:p>
    <w:p w14:paraId="3553E12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غير أن التوسع غير المنضبط قد يؤدي إلى مسؤولية شبه موضوعية تضعف الحوافز المهنية لتبني التقنية. ومن ثم، فالحل الأقرب للاتزان – في نظري – ليس هدم القواعد التقليدية، بل </w:t>
      </w:r>
      <w:r>
        <w:rPr>
          <w:rFonts w:asciiTheme="majorBidi" w:hAnsiTheme="majorBidi" w:cstheme="majorBidi"/>
          <w:b/>
          <w:bCs/>
          <w:sz w:val="24"/>
          <w:szCs w:val="24"/>
          <w:rtl/>
        </w:rPr>
        <w:t>تطوير تطبيقها</w:t>
      </w:r>
      <w:r>
        <w:rPr>
          <w:rFonts w:asciiTheme="majorBidi" w:hAnsiTheme="majorBidi" w:cstheme="majorBidi"/>
          <w:sz w:val="24"/>
          <w:szCs w:val="24"/>
          <w:rtl/>
        </w:rPr>
        <w:t xml:space="preserve"> عبر</w:t>
      </w:r>
      <w:r>
        <w:rPr>
          <w:rFonts w:asciiTheme="majorBidi" w:hAnsiTheme="majorBidi" w:cstheme="majorBidi"/>
          <w:sz w:val="24"/>
          <w:szCs w:val="24"/>
        </w:rPr>
        <w:t>:</w:t>
      </w:r>
    </w:p>
    <w:p w14:paraId="6DF1A9C0"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الإبقاء على الخطأ بوصفه إخلالًا بواجب العناية</w:t>
      </w:r>
      <w:r>
        <w:rPr>
          <w:rFonts w:asciiTheme="majorBidi" w:hAnsiTheme="majorBidi" w:cstheme="majorBidi"/>
          <w:sz w:val="24"/>
          <w:szCs w:val="24"/>
        </w:rPr>
        <w:t>.</w:t>
      </w:r>
    </w:p>
    <w:p w14:paraId="6B0A0C01"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إعادة تعريف العناية لتشمل البعد التقني والحوكمة</w:t>
      </w:r>
      <w:r>
        <w:rPr>
          <w:rFonts w:asciiTheme="majorBidi" w:hAnsiTheme="majorBidi" w:cstheme="majorBidi"/>
          <w:sz w:val="24"/>
          <w:szCs w:val="24"/>
        </w:rPr>
        <w:t>.</w:t>
      </w:r>
    </w:p>
    <w:p w14:paraId="7B7B79DF"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مراعاة “التوقع المعقول للضرر” عند تقدير المسؤولية</w:t>
      </w:r>
      <w:r>
        <w:rPr>
          <w:rFonts w:asciiTheme="majorBidi" w:hAnsiTheme="majorBidi" w:cstheme="majorBidi"/>
          <w:sz w:val="24"/>
          <w:szCs w:val="24"/>
        </w:rPr>
        <w:t>.</w:t>
      </w:r>
    </w:p>
    <w:p w14:paraId="4AFF556D"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التمييز بين الاعتماد المساعد والاعتماد الكلي</w:t>
      </w:r>
      <w:r>
        <w:rPr>
          <w:rFonts w:asciiTheme="majorBidi" w:hAnsiTheme="majorBidi" w:cstheme="majorBidi"/>
          <w:sz w:val="24"/>
          <w:szCs w:val="24"/>
        </w:rPr>
        <w:t>.</w:t>
      </w:r>
    </w:p>
    <w:p w14:paraId="407D025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وبذلك يتحقق توازنٌ منصف بين حماية الموكلين وضمان الثقة في الخدمة القانونية، وبين عدم تحميل المحامي تبعة تقنية لا يملك أدوات التحكم بها منفردًا</w:t>
      </w:r>
      <w:r>
        <w:rPr>
          <w:rFonts w:asciiTheme="majorBidi" w:hAnsiTheme="majorBidi" w:cstheme="majorBidi"/>
          <w:sz w:val="24"/>
          <w:szCs w:val="24"/>
        </w:rPr>
        <w:t>.</w:t>
      </w:r>
    </w:p>
    <w:p w14:paraId="16D002AD" w14:textId="77777777" w:rsidR="004F0491" w:rsidRPr="00A845BC" w:rsidRDefault="004F0491" w:rsidP="004F0491">
      <w:pPr>
        <w:rPr>
          <w:rFonts w:asciiTheme="majorBidi" w:hAnsiTheme="majorBidi" w:cstheme="majorBidi"/>
          <w:sz w:val="24"/>
          <w:szCs w:val="24"/>
          <w:rtl/>
        </w:rPr>
      </w:pPr>
    </w:p>
    <w:p w14:paraId="4503615E"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ثالثًا: الواجبات المهنية للمحامي في بيئة الذكاء الاصطناعي: الإشراف والسرية والإفصاح</w:t>
      </w:r>
    </w:p>
    <w:p w14:paraId="2DBB27AB" w14:textId="77777777" w:rsidR="004F0491" w:rsidRPr="00AD56AA" w:rsidRDefault="004F0491" w:rsidP="009426DA">
      <w:pPr>
        <w:jc w:val="right"/>
        <w:rPr>
          <w:rFonts w:asciiTheme="majorBidi" w:hAnsiTheme="majorBidi" w:cstheme="majorBidi"/>
          <w:sz w:val="24"/>
          <w:szCs w:val="24"/>
        </w:rPr>
      </w:pPr>
      <w:r>
        <w:rPr>
          <w:rFonts w:asciiTheme="majorBidi" w:hAnsiTheme="majorBidi" w:cstheme="majorBidi"/>
          <w:sz w:val="24"/>
          <w:szCs w:val="24"/>
          <w:rtl/>
        </w:rPr>
        <w:t>لم تعد العناية المهنية – واقعيًا – مجرد مهارة قانونية، بل أصبحت إدارة منظومة أدوات وبيانات ومزودين وتقنيات. ومن ثم يثور تصور مسؤولية المحامي – أو المكتب – عن جوانب مثل</w:t>
      </w:r>
      <w:r>
        <w:rPr>
          <w:rFonts w:asciiTheme="majorBidi" w:hAnsiTheme="majorBidi" w:cstheme="majorBidi"/>
          <w:sz w:val="24"/>
          <w:szCs w:val="24"/>
        </w:rPr>
        <w:t>:</w:t>
      </w:r>
    </w:p>
    <w:p w14:paraId="7FEDA0C3"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عدم التحقق من تحديث النظام ومصادره</w:t>
      </w:r>
      <w:r>
        <w:rPr>
          <w:rFonts w:asciiTheme="majorBidi" w:hAnsiTheme="majorBidi" w:cstheme="majorBidi"/>
          <w:sz w:val="24"/>
          <w:szCs w:val="24"/>
        </w:rPr>
        <w:t>.</w:t>
      </w:r>
    </w:p>
    <w:p w14:paraId="5A3D4A48"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عدم التأكد من مستوى أمان المنصة (خصوصًا مع البيانات الحساسة)</w:t>
      </w:r>
      <w:r>
        <w:rPr>
          <w:rFonts w:asciiTheme="majorBidi" w:hAnsiTheme="majorBidi" w:cstheme="majorBidi"/>
          <w:sz w:val="24"/>
          <w:szCs w:val="24"/>
        </w:rPr>
        <w:t>.</w:t>
      </w:r>
    </w:p>
    <w:p w14:paraId="7C57864B"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استخدام حلول غير معتمدة أو غير واضحة الشروط</w:t>
      </w:r>
      <w:r>
        <w:rPr>
          <w:rFonts w:asciiTheme="majorBidi" w:hAnsiTheme="majorBidi" w:cstheme="majorBidi"/>
          <w:sz w:val="24"/>
          <w:szCs w:val="24"/>
        </w:rPr>
        <w:t>.</w:t>
      </w:r>
    </w:p>
    <w:p w14:paraId="44C7D8CB"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غياب سياسة داخلية تضبط استخدام الذكاء الاصطناعي</w:t>
      </w:r>
      <w:r>
        <w:rPr>
          <w:rFonts w:asciiTheme="majorBidi" w:hAnsiTheme="majorBidi" w:cstheme="majorBidi"/>
          <w:sz w:val="24"/>
          <w:szCs w:val="24"/>
        </w:rPr>
        <w:t>.</w:t>
      </w:r>
    </w:p>
    <w:p w14:paraId="41D4ACCD"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وتؤكد </w:t>
      </w:r>
      <w:r>
        <w:rPr>
          <w:rFonts w:asciiTheme="majorBidi" w:hAnsiTheme="majorBidi" w:cstheme="majorBidi"/>
          <w:b/>
          <w:bCs/>
          <w:sz w:val="24"/>
          <w:szCs w:val="24"/>
          <w:rtl/>
        </w:rPr>
        <w:t>وثيقة مبادئ أخلاقيات الذكاء الاصطناعي</w:t>
      </w:r>
      <w:r>
        <w:rPr>
          <w:rFonts w:asciiTheme="majorBidi" w:hAnsiTheme="majorBidi" w:cstheme="majorBidi"/>
          <w:sz w:val="24"/>
          <w:szCs w:val="24"/>
          <w:rtl/>
        </w:rPr>
        <w:t xml:space="preserve"> مبدأ “المساءلة” و”الشفافية” بما يفترض أن الجهة المستخدمة يجب أن تفهم حدود النظام وأن تتحمل أثر قرارات الاستخدام (سدايا، 2023)</w:t>
      </w:r>
      <w:r>
        <w:rPr>
          <w:rStyle w:val="af"/>
          <w:rFonts w:asciiTheme="majorBidi" w:hAnsiTheme="majorBidi" w:cstheme="majorBidi"/>
          <w:sz w:val="24"/>
          <w:szCs w:val="24"/>
          <w:rtl/>
        </w:rPr>
        <w:footnoteReference w:id="247"/>
      </w:r>
      <w:r>
        <w:rPr>
          <w:rFonts w:asciiTheme="majorBidi" w:hAnsiTheme="majorBidi" w:cstheme="majorBidi"/>
          <w:sz w:val="24"/>
          <w:szCs w:val="24"/>
          <w:rtl/>
        </w:rPr>
        <w:t xml:space="preserve">. كما يشدد </w:t>
      </w:r>
      <w:r>
        <w:rPr>
          <w:rFonts w:asciiTheme="majorBidi" w:hAnsiTheme="majorBidi" w:cstheme="majorBidi"/>
          <w:b/>
          <w:bCs/>
          <w:sz w:val="24"/>
          <w:szCs w:val="24"/>
          <w:rtl/>
        </w:rPr>
        <w:t>إطار تبني الذكاء الاصطناعي</w:t>
      </w:r>
      <w:r>
        <w:rPr>
          <w:rFonts w:asciiTheme="majorBidi" w:hAnsiTheme="majorBidi" w:cstheme="majorBidi"/>
          <w:sz w:val="24"/>
          <w:szCs w:val="24"/>
          <w:rtl/>
        </w:rPr>
        <w:t xml:space="preserve"> على حوكمة إدخال التقنية داخل المؤسسات وإدارة المخاطر وتحديد المسؤوليات (سدايا، 2023)</w:t>
      </w:r>
      <w:r>
        <w:rPr>
          <w:rStyle w:val="af"/>
          <w:rFonts w:asciiTheme="majorBidi" w:hAnsiTheme="majorBidi" w:cstheme="majorBidi"/>
          <w:sz w:val="24"/>
          <w:szCs w:val="24"/>
          <w:rtl/>
        </w:rPr>
        <w:footnoteReference w:id="248"/>
      </w:r>
      <w:r>
        <w:rPr>
          <w:rFonts w:asciiTheme="majorBidi" w:hAnsiTheme="majorBidi" w:cstheme="majorBidi"/>
          <w:sz w:val="24"/>
          <w:szCs w:val="24"/>
          <w:rtl/>
        </w:rPr>
        <w:t>. وإذا أسقطنا ذلك على مكاتب المحاماة، فإن واجب الإشراف يأخذ صورة عملية مثل</w:t>
      </w:r>
      <w:r>
        <w:rPr>
          <w:rFonts w:asciiTheme="majorBidi" w:hAnsiTheme="majorBidi" w:cstheme="majorBidi"/>
          <w:sz w:val="24"/>
          <w:szCs w:val="24"/>
        </w:rPr>
        <w:t>:</w:t>
      </w:r>
    </w:p>
    <w:p w14:paraId="16F61223"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سياسات داخلية لاستخدام الذكاء الاصطناعي (متى يستخدم؟ ومتى يُمنع؟)</w:t>
      </w:r>
      <w:r>
        <w:rPr>
          <w:rFonts w:asciiTheme="majorBidi" w:hAnsiTheme="majorBidi" w:cstheme="majorBidi"/>
          <w:sz w:val="24"/>
          <w:szCs w:val="24"/>
        </w:rPr>
        <w:t>.</w:t>
      </w:r>
    </w:p>
    <w:p w14:paraId="79227E23"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تدريب الموظفين على قيود الأدوات ومخاطرها</w:t>
      </w:r>
      <w:r>
        <w:rPr>
          <w:rFonts w:asciiTheme="majorBidi" w:hAnsiTheme="majorBidi" w:cstheme="majorBidi"/>
          <w:sz w:val="24"/>
          <w:szCs w:val="24"/>
        </w:rPr>
        <w:t>.</w:t>
      </w:r>
    </w:p>
    <w:p w14:paraId="3B4DF21C"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تحديد نطاق البيانات المسموح إدخالها (خصوصية/سرية/حساسية)</w:t>
      </w:r>
      <w:r>
        <w:rPr>
          <w:rFonts w:asciiTheme="majorBidi" w:hAnsiTheme="majorBidi" w:cstheme="majorBidi"/>
          <w:sz w:val="24"/>
          <w:szCs w:val="24"/>
        </w:rPr>
        <w:t>.</w:t>
      </w:r>
    </w:p>
    <w:p w14:paraId="384DFD81"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مراجعة عقود مزودي التقنية (المسؤولية، الضمانات، مكان التخزين)</w:t>
      </w:r>
      <w:r>
        <w:rPr>
          <w:rFonts w:asciiTheme="majorBidi" w:hAnsiTheme="majorBidi" w:cstheme="majorBidi"/>
          <w:sz w:val="24"/>
          <w:szCs w:val="24"/>
        </w:rPr>
        <w:t>.</w:t>
      </w:r>
    </w:p>
    <w:p w14:paraId="230315D5" w14:textId="77777777" w:rsidR="004F0491" w:rsidRPr="00AD56AA" w:rsidRDefault="004F0491" w:rsidP="00133FA5">
      <w:pPr>
        <w:jc w:val="right"/>
        <w:rPr>
          <w:rFonts w:asciiTheme="majorBidi" w:hAnsiTheme="majorBidi" w:cstheme="majorBidi"/>
          <w:sz w:val="24"/>
          <w:szCs w:val="24"/>
        </w:rPr>
      </w:pPr>
      <w:r>
        <w:rPr>
          <w:rFonts w:asciiTheme="majorBidi" w:hAnsiTheme="majorBidi" w:cstheme="majorBidi" w:hint="cs"/>
          <w:sz w:val="24"/>
          <w:szCs w:val="24"/>
          <w:rtl/>
        </w:rPr>
        <w:lastRenderedPageBreak/>
        <w:t>ومن خلال ما سبق</w:t>
      </w:r>
      <w:r>
        <w:rPr>
          <w:rFonts w:asciiTheme="majorBidi" w:hAnsiTheme="majorBidi" w:cstheme="majorBidi"/>
          <w:sz w:val="24"/>
          <w:szCs w:val="24"/>
          <w:rtl/>
        </w:rPr>
        <w:t xml:space="preserve">، فإن هذا الجانب لم يعد “إداريًا” محضًا؛ لأن الإخلال به قد يُنتج ضررًا مباشرًا بالموكل ويشكل </w:t>
      </w:r>
      <w:r>
        <w:rPr>
          <w:rFonts w:asciiTheme="majorBidi" w:hAnsiTheme="majorBidi" w:cstheme="majorBidi"/>
          <w:b/>
          <w:bCs/>
          <w:sz w:val="24"/>
          <w:szCs w:val="24"/>
          <w:rtl/>
        </w:rPr>
        <w:t>خطأ مهنيًا جسيمًا</w:t>
      </w:r>
      <w:r>
        <w:rPr>
          <w:rFonts w:asciiTheme="majorBidi" w:hAnsiTheme="majorBidi" w:cstheme="majorBidi"/>
          <w:sz w:val="24"/>
          <w:szCs w:val="24"/>
          <w:rtl/>
        </w:rPr>
        <w:t>، خصوصًا إذا ترتب عليه تسريب، أو إساءة استخدام بيانات، أو اعتماد مخرجات غير موثوقة في إجراء قضائي</w:t>
      </w:r>
      <w:r>
        <w:rPr>
          <w:rFonts w:asciiTheme="majorBidi" w:hAnsiTheme="majorBidi" w:cstheme="majorBidi"/>
          <w:sz w:val="24"/>
          <w:szCs w:val="24"/>
        </w:rPr>
        <w:t>.</w:t>
      </w:r>
    </w:p>
    <w:p w14:paraId="4869494C" w14:textId="77777777" w:rsidR="004F0491" w:rsidRPr="00AD56AA" w:rsidRDefault="004F0491" w:rsidP="004F0491">
      <w:pPr>
        <w:rPr>
          <w:rFonts w:asciiTheme="majorBidi" w:hAnsiTheme="majorBidi" w:cstheme="majorBidi"/>
          <w:sz w:val="24"/>
          <w:szCs w:val="24"/>
        </w:rPr>
      </w:pPr>
    </w:p>
    <w:p w14:paraId="0A2DB5F0"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السرية المهنية ليست مجرد التزام أخلاقي، بل عمود نظامي لمهنة المحاماة، ويزداد ثقلها في البيئة الرقمية لأن البيانات تصبح قابلة للنسخ والتخزين والمعالجة عن بعد. ويظهر الخطر عند استخدام أدوات قد</w:t>
      </w:r>
      <w:r>
        <w:rPr>
          <w:rFonts w:asciiTheme="majorBidi" w:hAnsiTheme="majorBidi" w:cstheme="majorBidi"/>
          <w:sz w:val="24"/>
          <w:szCs w:val="24"/>
        </w:rPr>
        <w:t>:</w:t>
      </w:r>
    </w:p>
    <w:p w14:paraId="16A97D0D"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تخزن البيانات على خوادم خارج المملكة</w:t>
      </w:r>
      <w:r>
        <w:rPr>
          <w:rFonts w:asciiTheme="majorBidi" w:hAnsiTheme="majorBidi" w:cstheme="majorBidi"/>
          <w:sz w:val="24"/>
          <w:szCs w:val="24"/>
        </w:rPr>
        <w:t>.</w:t>
      </w:r>
    </w:p>
    <w:p w14:paraId="7F2F0C6C"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تعالج معلومات حساسة دون تشفير أو ضوابط</w:t>
      </w:r>
      <w:r>
        <w:rPr>
          <w:rFonts w:asciiTheme="majorBidi" w:hAnsiTheme="majorBidi" w:cstheme="majorBidi"/>
          <w:sz w:val="24"/>
          <w:szCs w:val="24"/>
        </w:rPr>
        <w:t>.</w:t>
      </w:r>
    </w:p>
    <w:p w14:paraId="4AFC8DFC"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تُستغل فيها البيانات لتحسين نماذج أو خدمات دون إذن واضح</w:t>
      </w:r>
      <w:r>
        <w:rPr>
          <w:rFonts w:asciiTheme="majorBidi" w:hAnsiTheme="majorBidi" w:cstheme="majorBidi"/>
          <w:sz w:val="24"/>
          <w:szCs w:val="24"/>
        </w:rPr>
        <w:t>.</w:t>
      </w:r>
    </w:p>
    <w:p w14:paraId="55DFD509"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تتعرض لاختراقات أو تسربات</w:t>
      </w:r>
      <w:r>
        <w:rPr>
          <w:rFonts w:asciiTheme="majorBidi" w:hAnsiTheme="majorBidi" w:cstheme="majorBidi"/>
          <w:sz w:val="24"/>
          <w:szCs w:val="24"/>
        </w:rPr>
        <w:t>.</w:t>
      </w:r>
    </w:p>
    <w:p w14:paraId="06FCA7F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وهنا يتداخل </w:t>
      </w:r>
      <w:r>
        <w:rPr>
          <w:rFonts w:asciiTheme="majorBidi" w:hAnsiTheme="majorBidi" w:cstheme="majorBidi"/>
          <w:b/>
          <w:bCs/>
          <w:sz w:val="24"/>
          <w:szCs w:val="24"/>
          <w:rtl/>
        </w:rPr>
        <w:t>نظام حماية البيانات الشخصية</w:t>
      </w:r>
      <w:r>
        <w:rPr>
          <w:rFonts w:asciiTheme="majorBidi" w:hAnsiTheme="majorBidi" w:cstheme="majorBidi"/>
          <w:sz w:val="24"/>
          <w:szCs w:val="24"/>
          <w:rtl/>
        </w:rPr>
        <w:t xml:space="preserve"> الذي يلزم الجهة المعالجة باتخاذ التدابير الفنية والتنظيمية المناسبة لحماية البيانات (هيئة الخبراء بمجلس الوزراء، 1443هـ). كما يلفت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249"/>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القيمة القانونية للمستند الرقمي وموثوقيته تتأثر بصلابة بيئته التقنية، وأن حماية البيانات ليست ترفًا تقنيًا بل جزء من ضمان الحجية والثقة</w:t>
      </w:r>
      <w:r>
        <w:rPr>
          <w:rFonts w:asciiTheme="majorBidi" w:hAnsiTheme="majorBidi" w:cstheme="majorBidi"/>
          <w:sz w:val="24"/>
          <w:szCs w:val="24"/>
        </w:rPr>
        <w:t>.</w:t>
      </w:r>
    </w:p>
    <w:p w14:paraId="25C48593" w14:textId="77777777" w:rsidR="004F0491" w:rsidRPr="00AD56AA" w:rsidRDefault="004F0491" w:rsidP="000C7173">
      <w:pPr>
        <w:jc w:val="right"/>
        <w:rPr>
          <w:rFonts w:asciiTheme="majorBidi" w:hAnsiTheme="majorBidi" w:cstheme="majorBidi"/>
          <w:sz w:val="24"/>
          <w:szCs w:val="24"/>
        </w:rPr>
      </w:pPr>
      <w:r>
        <w:rPr>
          <w:rFonts w:asciiTheme="majorBidi" w:hAnsiTheme="majorBidi" w:cstheme="majorBidi"/>
          <w:sz w:val="24"/>
          <w:szCs w:val="24"/>
          <w:rtl/>
        </w:rPr>
        <w:t xml:space="preserve">وبناءً عليه، فإن المحامي الذي يُدخل بيانات موكله في منصة ذكاء اصطناعي دون تحقق من الأمان والحوكمة، قد يكون قد أخل بواجب السرية </w:t>
      </w:r>
      <w:r>
        <w:rPr>
          <w:rFonts w:asciiTheme="majorBidi" w:hAnsiTheme="majorBidi" w:cstheme="majorBidi"/>
          <w:b/>
          <w:bCs/>
          <w:sz w:val="24"/>
          <w:szCs w:val="24"/>
          <w:rtl/>
        </w:rPr>
        <w:t>حتى قبل وقوع التسريب</w:t>
      </w:r>
      <w:r>
        <w:rPr>
          <w:rFonts w:asciiTheme="majorBidi" w:hAnsiTheme="majorBidi" w:cstheme="majorBidi"/>
          <w:sz w:val="24"/>
          <w:szCs w:val="24"/>
          <w:rtl/>
        </w:rPr>
        <w:t>؛ لأن مجرد تعريض البيانات لخطر غير مبرر قد يعد إخلالًا بالعناية</w:t>
      </w:r>
      <w:r>
        <w:rPr>
          <w:rFonts w:asciiTheme="majorBidi" w:hAnsiTheme="majorBidi" w:cstheme="majorBidi"/>
          <w:sz w:val="24"/>
          <w:szCs w:val="24"/>
        </w:rPr>
        <w:t>.</w:t>
      </w:r>
    </w:p>
    <w:p w14:paraId="7F451FE1"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w:t>
      </w:r>
      <w:r>
        <w:rPr>
          <w:rFonts w:asciiTheme="majorBidi" w:hAnsiTheme="majorBidi" w:cstheme="majorBidi" w:hint="cs"/>
          <w:sz w:val="24"/>
          <w:szCs w:val="24"/>
          <w:rtl/>
        </w:rPr>
        <w:t>تحليل ما سبق</w:t>
      </w:r>
      <w:r>
        <w:rPr>
          <w:rFonts w:asciiTheme="majorBidi" w:hAnsiTheme="majorBidi" w:cstheme="majorBidi"/>
          <w:sz w:val="24"/>
          <w:szCs w:val="24"/>
          <w:rtl/>
        </w:rPr>
        <w:t xml:space="preserve">، أرى أن معيار المسؤولية هنا يجب أن يكون </w:t>
      </w:r>
      <w:r>
        <w:rPr>
          <w:rFonts w:asciiTheme="majorBidi" w:hAnsiTheme="majorBidi" w:cstheme="majorBidi"/>
          <w:b/>
          <w:bCs/>
          <w:sz w:val="24"/>
          <w:szCs w:val="24"/>
          <w:rtl/>
        </w:rPr>
        <w:t>وقائيًا</w:t>
      </w:r>
      <w:r>
        <w:rPr>
          <w:rFonts w:asciiTheme="majorBidi" w:hAnsiTheme="majorBidi" w:cstheme="majorBidi"/>
          <w:sz w:val="24"/>
          <w:szCs w:val="24"/>
          <w:rtl/>
        </w:rPr>
        <w:t xml:space="preserve"> لا “انتظاريًا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أي أن المحامي يُسأل عن </w:t>
      </w:r>
      <w:r>
        <w:rPr>
          <w:rFonts w:asciiTheme="majorBidi" w:hAnsiTheme="majorBidi" w:cstheme="majorBidi"/>
          <w:b/>
          <w:bCs/>
          <w:sz w:val="24"/>
          <w:szCs w:val="24"/>
          <w:rtl/>
        </w:rPr>
        <w:t>المخاطرة غير المبررة</w:t>
      </w:r>
      <w:r>
        <w:rPr>
          <w:rFonts w:asciiTheme="majorBidi" w:hAnsiTheme="majorBidi" w:cstheme="majorBidi"/>
          <w:sz w:val="24"/>
          <w:szCs w:val="24"/>
          <w:rtl/>
        </w:rPr>
        <w:t xml:space="preserve"> بالبيانات، لا فقط عن وقوع الضرر بالفعل؛ لأن وظيفة السرية في المهن القانونية هي منع الخطر قبل أن يتحول إلى كارثة قانونية أو أخلاقية</w:t>
      </w:r>
      <w:r>
        <w:rPr>
          <w:rFonts w:asciiTheme="majorBidi" w:hAnsiTheme="majorBidi" w:cstheme="majorBidi"/>
          <w:sz w:val="24"/>
          <w:szCs w:val="24"/>
        </w:rPr>
        <w:t>.</w:t>
      </w:r>
    </w:p>
    <w:p w14:paraId="19E505E2" w14:textId="77777777" w:rsidR="004F0491" w:rsidRPr="00AD56AA" w:rsidRDefault="004F0491" w:rsidP="004F0491">
      <w:pPr>
        <w:rPr>
          <w:rFonts w:asciiTheme="majorBidi" w:hAnsiTheme="majorBidi" w:cstheme="majorBidi"/>
          <w:sz w:val="24"/>
          <w:szCs w:val="24"/>
        </w:rPr>
      </w:pPr>
    </w:p>
    <w:p w14:paraId="021F6E6C" w14:textId="77777777" w:rsidR="004F0491" w:rsidRPr="003A3742" w:rsidRDefault="004F0491" w:rsidP="004F0491">
      <w:pPr>
        <w:rPr>
          <w:rFonts w:asciiTheme="majorBidi" w:hAnsiTheme="majorBidi" w:cstheme="majorBidi"/>
          <w:sz w:val="24"/>
          <w:szCs w:val="24"/>
        </w:rPr>
      </w:pPr>
      <w:r>
        <w:rPr>
          <w:rFonts w:asciiTheme="majorBidi" w:hAnsiTheme="majorBidi" w:cstheme="majorBidi"/>
          <w:sz w:val="24"/>
          <w:szCs w:val="24"/>
          <w:rtl/>
        </w:rPr>
        <w:t>من الأفكار الجديدة التي تطرحها البيئة الرقمية: هل يجب على المحامي أن يُفصح للموكل عن استخدام الذكاء الاصطناعي في إعداد العمل؟</w:t>
      </w:r>
      <w:r>
        <w:rPr>
          <w:rFonts w:asciiTheme="majorBidi" w:hAnsiTheme="majorBidi" w:cstheme="majorBidi"/>
          <w:sz w:val="24"/>
          <w:szCs w:val="24"/>
        </w:rPr>
        <w:br/>
      </w:r>
      <w:r>
        <w:rPr>
          <w:rFonts w:asciiTheme="majorBidi" w:hAnsiTheme="majorBidi" w:cstheme="majorBidi"/>
          <w:sz w:val="24"/>
          <w:szCs w:val="24"/>
          <w:rtl/>
        </w:rPr>
        <w:t>هذه المسألة ليست شكلية، بل تتصل بجوهر العلاقة المهنية القائمة على الثقة وحق الموكل في تقدير المخاطر</w:t>
      </w:r>
      <w:r>
        <w:rPr>
          <w:rFonts w:asciiTheme="majorBidi" w:hAnsiTheme="majorBidi" w:cstheme="majorBidi"/>
          <w:sz w:val="24"/>
          <w:szCs w:val="24"/>
        </w:rPr>
        <w:t>.</w:t>
      </w:r>
    </w:p>
    <w:p w14:paraId="0ADBC502"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ترتبط هذه النقطة بمبدأ “المساءلة والشفافية” الذي تؤكد عليه وثائق الحوكمة الأخلاقية للذكاء الاصطناعي (سدايا، 2023)، وبمنطق العناية المهنية الذي يجعل الموكل طرفًا يجب ألا يُفاجأ بمخاطر خفية تمس بياناته أو مسار قضيته. وفي نفس الاتجاه، يقرر </w:t>
      </w:r>
      <w:r>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250"/>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أن التأطير الأخلاقي للذكاء الاصطناعي يقتضي آليات مساءلة تتضمن شفافية مناسبة لطبيعة المخاطر وتداخل الأطراف</w:t>
      </w:r>
      <w:r>
        <w:rPr>
          <w:rFonts w:asciiTheme="majorBidi" w:hAnsiTheme="majorBidi" w:cstheme="majorBidi"/>
          <w:sz w:val="24"/>
          <w:szCs w:val="24"/>
        </w:rPr>
        <w:t>.</w:t>
      </w:r>
    </w:p>
    <w:p w14:paraId="2C2191C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عمليًا، قد تترتب على عدم الإفصاح صور ضرر واضحة</w:t>
      </w:r>
      <w:r>
        <w:rPr>
          <w:rFonts w:asciiTheme="majorBidi" w:hAnsiTheme="majorBidi" w:cstheme="majorBidi"/>
          <w:sz w:val="24"/>
          <w:szCs w:val="24"/>
        </w:rPr>
        <w:t>:</w:t>
      </w:r>
    </w:p>
    <w:p w14:paraId="1EE35F86"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يرفض تخزين بياناته في منصات سحابية أو خارجية، لكنه لم يُستأذن</w:t>
      </w:r>
      <w:r>
        <w:rPr>
          <w:rFonts w:asciiTheme="majorBidi" w:hAnsiTheme="majorBidi" w:cstheme="majorBidi"/>
          <w:sz w:val="24"/>
          <w:szCs w:val="24"/>
        </w:rPr>
        <w:t>.</w:t>
      </w:r>
    </w:p>
    <w:p w14:paraId="13D45E27"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يعتمد على “اجتهاد بشري كامل” في قضية عالية الحساسية، بينما جرى الاعتماد على أداة توليد</w:t>
      </w:r>
      <w:r>
        <w:rPr>
          <w:rFonts w:asciiTheme="majorBidi" w:hAnsiTheme="majorBidi" w:cstheme="majorBidi"/>
          <w:sz w:val="24"/>
          <w:szCs w:val="24"/>
        </w:rPr>
        <w:t>.</w:t>
      </w:r>
    </w:p>
    <w:p w14:paraId="552CBE6B"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يتضرر من مخرج خاطئ ثم يُفاجأ بأن مصدره “نظام آلي” لم يوافق على استخدامه</w:t>
      </w:r>
      <w:r>
        <w:rPr>
          <w:rFonts w:asciiTheme="majorBidi" w:hAnsiTheme="majorBidi" w:cstheme="majorBidi"/>
          <w:sz w:val="24"/>
          <w:szCs w:val="24"/>
        </w:rPr>
        <w:t>.</w:t>
      </w:r>
    </w:p>
    <w:p w14:paraId="3091F29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ومن رأيي كباحث</w:t>
      </w:r>
      <w:r>
        <w:rPr>
          <w:rFonts w:asciiTheme="majorBidi" w:hAnsiTheme="majorBidi" w:cstheme="majorBidi"/>
          <w:sz w:val="24"/>
          <w:szCs w:val="24"/>
        </w:rPr>
        <w:t xml:space="preserve">: </w:t>
      </w:r>
      <w:r>
        <w:rPr>
          <w:rFonts w:asciiTheme="majorBidi" w:hAnsiTheme="majorBidi" w:cstheme="majorBidi"/>
          <w:b/>
          <w:bCs/>
          <w:sz w:val="24"/>
          <w:szCs w:val="24"/>
          <w:rtl/>
        </w:rPr>
        <w:t>عدم الإفصاح في حالات معينة قد يُكيَّف كإخلال بواجب الأمانة المهنية</w:t>
      </w:r>
      <w:r>
        <w:rPr>
          <w:rFonts w:asciiTheme="majorBidi" w:hAnsiTheme="majorBidi" w:cstheme="majorBidi"/>
          <w:sz w:val="24"/>
          <w:szCs w:val="24"/>
          <w:rtl/>
        </w:rPr>
        <w:t>، ليس لأن استخدام الذكاء الاصطناعي ممنوع، بل لأن الموكل من حقه معرفة ما إذا كانت خدمته تمر عبر قنوات تزيد المخاطر أو تقلل التحكم. وأرى أن معيار الإفصاح يجب أن يكون “وظيفيًا</w:t>
      </w:r>
      <w:r>
        <w:rPr>
          <w:rFonts w:asciiTheme="majorBidi" w:hAnsiTheme="majorBidi" w:cstheme="majorBidi"/>
          <w:sz w:val="24"/>
          <w:szCs w:val="24"/>
        </w:rPr>
        <w:t>”:</w:t>
      </w:r>
    </w:p>
    <w:p w14:paraId="6A135ED1" w14:textId="77777777" w:rsidR="004F0491" w:rsidRPr="003A3742" w:rsidRDefault="004F0491" w:rsidP="004F0491">
      <w:pPr>
        <w:numPr>
          <w:ilvl w:val="0"/>
          <w:numId w:val="31"/>
        </w:numPr>
        <w:bidi/>
        <w:rPr>
          <w:rFonts w:asciiTheme="majorBidi" w:hAnsiTheme="majorBidi" w:cstheme="majorBidi"/>
          <w:sz w:val="24"/>
          <w:szCs w:val="24"/>
        </w:rPr>
      </w:pPr>
      <w:r>
        <w:rPr>
          <w:rFonts w:asciiTheme="majorBidi" w:hAnsiTheme="majorBidi" w:cstheme="majorBidi"/>
          <w:sz w:val="24"/>
          <w:szCs w:val="24"/>
          <w:rtl/>
        </w:rPr>
        <w:t xml:space="preserve">كلما زادت </w:t>
      </w:r>
      <w:r>
        <w:rPr>
          <w:rFonts w:asciiTheme="majorBidi" w:hAnsiTheme="majorBidi" w:cstheme="majorBidi"/>
          <w:b/>
          <w:bCs/>
          <w:sz w:val="24"/>
          <w:szCs w:val="24"/>
          <w:rtl/>
        </w:rPr>
        <w:t>حساسية البيانات</w:t>
      </w:r>
      <w:r>
        <w:rPr>
          <w:rFonts w:asciiTheme="majorBidi" w:hAnsiTheme="majorBidi" w:cstheme="majorBidi"/>
          <w:sz w:val="24"/>
          <w:szCs w:val="24"/>
          <w:rtl/>
        </w:rPr>
        <w:t xml:space="preserve"> أو </w:t>
      </w:r>
      <w:r>
        <w:rPr>
          <w:rFonts w:asciiTheme="majorBidi" w:hAnsiTheme="majorBidi" w:cstheme="majorBidi"/>
          <w:b/>
          <w:bCs/>
          <w:sz w:val="24"/>
          <w:szCs w:val="24"/>
          <w:rtl/>
        </w:rPr>
        <w:t>ارتفاع المخاطر</w:t>
      </w:r>
      <w:r>
        <w:rPr>
          <w:rFonts w:asciiTheme="majorBidi" w:hAnsiTheme="majorBidi" w:cstheme="majorBidi"/>
          <w:sz w:val="24"/>
          <w:szCs w:val="24"/>
          <w:rtl/>
        </w:rPr>
        <w:t xml:space="preserve"> أو </w:t>
      </w:r>
      <w:r>
        <w:rPr>
          <w:rFonts w:asciiTheme="majorBidi" w:hAnsiTheme="majorBidi" w:cstheme="majorBidi"/>
          <w:b/>
          <w:bCs/>
          <w:sz w:val="24"/>
          <w:szCs w:val="24"/>
          <w:rtl/>
        </w:rPr>
        <w:t>اتساع الاعتماد</w:t>
      </w:r>
      <w:r>
        <w:rPr>
          <w:rFonts w:asciiTheme="majorBidi" w:hAnsiTheme="majorBidi" w:cstheme="majorBidi"/>
          <w:sz w:val="24"/>
          <w:szCs w:val="24"/>
          <w:rtl/>
        </w:rPr>
        <w:t xml:space="preserve"> على الذكاء الاصطناعي، اقتربنا من وجوب الإفصاح</w:t>
      </w:r>
      <w:r>
        <w:rPr>
          <w:rFonts w:asciiTheme="majorBidi" w:hAnsiTheme="majorBidi" w:cstheme="majorBidi"/>
          <w:sz w:val="24"/>
          <w:szCs w:val="24"/>
        </w:rPr>
        <w:t>.</w:t>
      </w:r>
    </w:p>
    <w:p w14:paraId="04297655" w14:textId="77777777" w:rsidR="004F0491" w:rsidRPr="003A3742" w:rsidRDefault="004F0491" w:rsidP="004F0491">
      <w:pPr>
        <w:numPr>
          <w:ilvl w:val="0"/>
          <w:numId w:val="31"/>
        </w:numPr>
        <w:bidi/>
        <w:rPr>
          <w:rFonts w:asciiTheme="majorBidi" w:hAnsiTheme="majorBidi" w:cstheme="majorBidi"/>
          <w:sz w:val="24"/>
          <w:szCs w:val="24"/>
        </w:rPr>
      </w:pPr>
      <w:r>
        <w:rPr>
          <w:rFonts w:asciiTheme="majorBidi" w:hAnsiTheme="majorBidi" w:cstheme="majorBidi"/>
          <w:sz w:val="24"/>
          <w:szCs w:val="24"/>
          <w:rtl/>
        </w:rPr>
        <w:t>أما في الاستخدامات المساندة البسيطة (كالتلخيص الداخلي دون إدخال بيانات حساسة) فقد يُكتفى بسياسة مكتب عامة</w:t>
      </w:r>
      <w:r>
        <w:rPr>
          <w:rFonts w:asciiTheme="majorBidi" w:hAnsiTheme="majorBidi" w:cstheme="majorBidi"/>
          <w:sz w:val="24"/>
          <w:szCs w:val="24"/>
        </w:rPr>
        <w:t>.</w:t>
      </w:r>
    </w:p>
    <w:p w14:paraId="45AD5EC4" w14:textId="77777777" w:rsidR="004F0491" w:rsidRPr="003A3742" w:rsidRDefault="004F0491" w:rsidP="004F0491">
      <w:pPr>
        <w:rPr>
          <w:rFonts w:asciiTheme="majorBidi" w:hAnsiTheme="majorBidi" w:cstheme="majorBidi"/>
          <w:sz w:val="24"/>
          <w:szCs w:val="24"/>
        </w:rPr>
      </w:pPr>
    </w:p>
    <w:p w14:paraId="27194E69"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التقنية قد تُدخل على العمل القانوني مخاطر ليست “أخطاء نصية” بل </w:t>
      </w:r>
      <w:r>
        <w:rPr>
          <w:rFonts w:asciiTheme="majorBidi" w:hAnsiTheme="majorBidi" w:cstheme="majorBidi"/>
          <w:b/>
          <w:bCs/>
          <w:sz w:val="24"/>
          <w:szCs w:val="24"/>
          <w:rtl/>
        </w:rPr>
        <w:t>انحرافات منهجية</w:t>
      </w:r>
      <w:r>
        <w:rPr>
          <w:rFonts w:asciiTheme="majorBidi" w:hAnsiTheme="majorBidi" w:cstheme="majorBidi"/>
          <w:sz w:val="24"/>
          <w:szCs w:val="24"/>
        </w:rPr>
        <w:t xml:space="preserve">: </w:t>
      </w:r>
      <w:r>
        <w:rPr>
          <w:rFonts w:asciiTheme="majorBidi" w:hAnsiTheme="majorBidi" w:cstheme="majorBidi"/>
          <w:sz w:val="24"/>
          <w:szCs w:val="24"/>
          <w:rtl/>
        </w:rPr>
        <w:t xml:space="preserve">تحيزات في البيانات، أو توجيه في الاستنتاجات، أو تقديم حلول “نماذجية” لا تناسب الخصوصية النظامية السعودية. وهذه المخاطر تختلف عن الخطأ التقليدي؛ لأنها قد تنتج مخرجًا يبدو مقنعًا ظاهريًا لكنه </w:t>
      </w:r>
      <w:r>
        <w:rPr>
          <w:rFonts w:asciiTheme="majorBidi" w:hAnsiTheme="majorBidi" w:cstheme="majorBidi"/>
          <w:b/>
          <w:bCs/>
          <w:sz w:val="24"/>
          <w:szCs w:val="24"/>
          <w:rtl/>
        </w:rPr>
        <w:t>منحاز</w:t>
      </w:r>
      <w:r>
        <w:rPr>
          <w:rFonts w:asciiTheme="majorBidi" w:hAnsiTheme="majorBidi" w:cstheme="majorBidi"/>
          <w:sz w:val="24"/>
          <w:szCs w:val="24"/>
          <w:rtl/>
        </w:rPr>
        <w:t xml:space="preserve"> أو </w:t>
      </w:r>
      <w:r>
        <w:rPr>
          <w:rFonts w:asciiTheme="majorBidi" w:hAnsiTheme="majorBidi" w:cstheme="majorBidi"/>
          <w:b/>
          <w:bCs/>
          <w:sz w:val="24"/>
          <w:szCs w:val="24"/>
          <w:rtl/>
        </w:rPr>
        <w:t>غير ملائم</w:t>
      </w:r>
      <w:r>
        <w:rPr>
          <w:rFonts w:asciiTheme="majorBidi" w:hAnsiTheme="majorBidi" w:cstheme="majorBidi"/>
          <w:sz w:val="24"/>
          <w:szCs w:val="24"/>
        </w:rPr>
        <w:t>.</w:t>
      </w:r>
    </w:p>
    <w:p w14:paraId="10E1D762"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تشير أدبيات المسؤولية عن الذكاء الاصطناعي إلى أن الإشكال ليس في الخطأ الفردي فحسب، بل في طبيعة الأنظمة التي تتعلم من بيانات قد تكون غير متوازنة أو غير ممثلة، ما ينعكس على النتائج (الربيع، 2022). ومن زاوية أخرى، يلفت </w:t>
      </w:r>
      <w:r>
        <w:rPr>
          <w:rFonts w:asciiTheme="majorBidi" w:hAnsiTheme="majorBidi" w:cstheme="majorBidi" w:hint="cs"/>
          <w:b/>
          <w:bCs/>
          <w:sz w:val="24"/>
          <w:szCs w:val="24"/>
          <w:rtl/>
        </w:rPr>
        <w:t>الاسيوطي</w:t>
      </w:r>
      <w:r>
        <w:rPr>
          <w:rStyle w:val="af"/>
          <w:rFonts w:asciiTheme="majorBidi" w:hAnsiTheme="majorBidi" w:cstheme="majorBidi"/>
          <w:b/>
          <w:bCs/>
          <w:sz w:val="24"/>
          <w:szCs w:val="24"/>
          <w:rtl/>
        </w:rPr>
        <w:footnoteReference w:id="251"/>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التحول التقني يعيد تعريف الكفاءة المهنية، وهو ما يعني ضمنًا أن الكفاءة تشمل القدرة على اكتشاف الانحرافات المنهجية لا مجرد اكتشاف الأخطاء الصريحة</w:t>
      </w:r>
      <w:r>
        <w:rPr>
          <w:rFonts w:asciiTheme="majorBidi" w:hAnsiTheme="majorBidi" w:cstheme="majorBidi"/>
          <w:sz w:val="24"/>
          <w:szCs w:val="24"/>
        </w:rPr>
        <w:t>.</w:t>
      </w:r>
    </w:p>
    <w:p w14:paraId="431077C9"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وتظهر هنا مسؤولية المحامي في نقطتين</w:t>
      </w:r>
      <w:r>
        <w:rPr>
          <w:rFonts w:asciiTheme="majorBidi" w:hAnsiTheme="majorBidi" w:cstheme="majorBidi"/>
          <w:sz w:val="24"/>
          <w:szCs w:val="24"/>
        </w:rPr>
        <w:t>:</w:t>
      </w:r>
    </w:p>
    <w:p w14:paraId="69D021CC" w14:textId="77777777" w:rsidR="004F0491" w:rsidRPr="003A3742" w:rsidRDefault="004F0491" w:rsidP="004F0491">
      <w:pPr>
        <w:numPr>
          <w:ilvl w:val="0"/>
          <w:numId w:val="32"/>
        </w:numPr>
        <w:bidi/>
        <w:rPr>
          <w:rFonts w:asciiTheme="majorBidi" w:hAnsiTheme="majorBidi" w:cstheme="majorBidi"/>
          <w:sz w:val="24"/>
          <w:szCs w:val="24"/>
        </w:rPr>
      </w:pPr>
      <w:r>
        <w:rPr>
          <w:rFonts w:asciiTheme="majorBidi" w:hAnsiTheme="majorBidi" w:cstheme="majorBidi"/>
          <w:b/>
          <w:bCs/>
          <w:sz w:val="24"/>
          <w:szCs w:val="24"/>
          <w:rtl/>
        </w:rPr>
        <w:t>تحقق الملاءمة النظامية السعودية</w:t>
      </w:r>
      <w:r>
        <w:rPr>
          <w:rFonts w:asciiTheme="majorBidi" w:hAnsiTheme="majorBidi" w:cstheme="majorBidi"/>
          <w:sz w:val="24"/>
          <w:szCs w:val="24"/>
        </w:rPr>
        <w:t xml:space="preserve">: </w:t>
      </w:r>
      <w:r>
        <w:rPr>
          <w:rFonts w:asciiTheme="majorBidi" w:hAnsiTheme="majorBidi" w:cstheme="majorBidi"/>
          <w:sz w:val="24"/>
          <w:szCs w:val="24"/>
          <w:rtl/>
        </w:rPr>
        <w:t>لأن كثيرًا من الأدوات العامة لا تبني استدلالاتها على مصادر سعودية، وقد تخلط بين نظم مختلفة</w:t>
      </w:r>
      <w:r>
        <w:rPr>
          <w:rFonts w:asciiTheme="majorBidi" w:hAnsiTheme="majorBidi" w:cstheme="majorBidi"/>
          <w:sz w:val="24"/>
          <w:szCs w:val="24"/>
        </w:rPr>
        <w:t>.</w:t>
      </w:r>
    </w:p>
    <w:p w14:paraId="70AD8FC2" w14:textId="77777777" w:rsidR="004F0491" w:rsidRPr="003A3742" w:rsidRDefault="004F0491" w:rsidP="004F0491">
      <w:pPr>
        <w:numPr>
          <w:ilvl w:val="0"/>
          <w:numId w:val="32"/>
        </w:numPr>
        <w:bidi/>
        <w:rPr>
          <w:rFonts w:asciiTheme="majorBidi" w:hAnsiTheme="majorBidi" w:cstheme="majorBidi"/>
          <w:sz w:val="24"/>
          <w:szCs w:val="24"/>
        </w:rPr>
      </w:pPr>
      <w:r>
        <w:rPr>
          <w:rFonts w:asciiTheme="majorBidi" w:hAnsiTheme="majorBidi" w:cstheme="majorBidi"/>
          <w:b/>
          <w:bCs/>
          <w:sz w:val="24"/>
          <w:szCs w:val="24"/>
          <w:rtl/>
        </w:rPr>
        <w:t>تحقق العدالة التعاقدية والواقعية</w:t>
      </w:r>
      <w:r>
        <w:rPr>
          <w:rFonts w:asciiTheme="majorBidi" w:hAnsiTheme="majorBidi" w:cstheme="majorBidi"/>
          <w:sz w:val="24"/>
          <w:szCs w:val="24"/>
        </w:rPr>
        <w:t xml:space="preserve">: </w:t>
      </w:r>
      <w:r>
        <w:rPr>
          <w:rFonts w:asciiTheme="majorBidi" w:hAnsiTheme="majorBidi" w:cstheme="majorBidi"/>
          <w:sz w:val="24"/>
          <w:szCs w:val="24"/>
          <w:rtl/>
        </w:rPr>
        <w:t>لأن المخرج قد يقترح إستراتيجية قانونية تبدو “أمثل” نظريًا لكنها تؤدي إلى ضرر عملي لخصوصية القضية</w:t>
      </w:r>
      <w:r>
        <w:rPr>
          <w:rFonts w:asciiTheme="majorBidi" w:hAnsiTheme="majorBidi" w:cstheme="majorBidi"/>
          <w:sz w:val="24"/>
          <w:szCs w:val="24"/>
        </w:rPr>
        <w:t>.</w:t>
      </w:r>
    </w:p>
    <w:p w14:paraId="4D7100F5"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hint="cs"/>
          <w:sz w:val="24"/>
          <w:szCs w:val="24"/>
          <w:rtl/>
        </w:rPr>
        <w:t xml:space="preserve">ومن خلال ما سبق نجد ان </w:t>
      </w:r>
      <w:r>
        <w:rPr>
          <w:rFonts w:asciiTheme="majorBidi" w:hAnsiTheme="majorBidi" w:cstheme="majorBidi"/>
          <w:sz w:val="24"/>
          <w:szCs w:val="24"/>
          <w:rtl/>
        </w:rPr>
        <w:t xml:space="preserve">التحيز الخوارزمي إذا أدى إلى توجيه دفاع أو نصيحة بشكل يضر الموكل قد ينهض كخطأ مهني حتى لو لم يظهر كخطأ “قانوني” صريح، لأنه يمثل </w:t>
      </w:r>
      <w:r>
        <w:rPr>
          <w:rFonts w:asciiTheme="majorBidi" w:hAnsiTheme="majorBidi" w:cstheme="majorBidi"/>
          <w:b/>
          <w:bCs/>
          <w:sz w:val="24"/>
          <w:szCs w:val="24"/>
          <w:rtl/>
        </w:rPr>
        <w:t>قصورًا في التبصر المهني</w:t>
      </w:r>
      <w:r>
        <w:rPr>
          <w:rFonts w:asciiTheme="majorBidi" w:hAnsiTheme="majorBidi" w:cstheme="majorBidi"/>
          <w:sz w:val="24"/>
          <w:szCs w:val="24"/>
        </w:rPr>
        <w:t xml:space="preserve">. </w:t>
      </w:r>
      <w:r>
        <w:rPr>
          <w:rFonts w:asciiTheme="majorBidi" w:hAnsiTheme="majorBidi" w:cstheme="majorBidi"/>
          <w:sz w:val="24"/>
          <w:szCs w:val="24"/>
          <w:rtl/>
        </w:rPr>
        <w:t>والمحامي هنا لا يُسأل لأنه لم يفهم الخوارزمية، بل لأنه لم يضع ضوابط تمنع تسلل التحيز إلى القرار المهني</w:t>
      </w:r>
      <w:r>
        <w:rPr>
          <w:rFonts w:asciiTheme="majorBidi" w:hAnsiTheme="majorBidi" w:cstheme="majorBidi"/>
          <w:sz w:val="24"/>
          <w:szCs w:val="24"/>
        </w:rPr>
        <w:t>.</w:t>
      </w:r>
    </w:p>
    <w:p w14:paraId="033E9E09" w14:textId="77777777" w:rsidR="004F0491" w:rsidRPr="003A3742" w:rsidRDefault="004F0491" w:rsidP="004F0491">
      <w:pPr>
        <w:rPr>
          <w:rFonts w:asciiTheme="majorBidi" w:hAnsiTheme="majorBidi" w:cstheme="majorBidi"/>
          <w:sz w:val="24"/>
          <w:szCs w:val="24"/>
        </w:rPr>
      </w:pPr>
    </w:p>
    <w:p w14:paraId="14416962"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رابعًا: توزيع المسؤولية وإشكاليات الإثبات في منظومة الذكاء الاصطناعي</w:t>
      </w:r>
    </w:p>
    <w:p w14:paraId="2C748B3A"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وفي إطار إشكالية الإثبات بالذكاء الاصطناعي، توصل الأسيوطي إلى أن مسألة الإثبات تحتل حيزًا جوهريًا في مجال تطبيق الذكاء الاصطناعي؛ لأن صاحب الحق الذي يعجز عن إثبات مصدر حقه يفقده حتى وإن كان معترفًا به قانونًا. ومن ثم، فإن اعتماد مخرجات أنظمة الذكاء الاصطناعي كدليل أمام القضاء يستلزم بناء منظومة إثباتية رقمية تضمن صحة المصدر وسلامة المعالجة وإمكانية التحقق من المخرج.</w:t>
      </w:r>
      <w:r>
        <w:rPr>
          <w:rStyle w:val="af"/>
          <w:rFonts w:asciiTheme="majorBidi" w:hAnsiTheme="majorBidi" w:cstheme="majorBidi"/>
          <w:sz w:val="24"/>
          <w:szCs w:val="24"/>
          <w:rtl/>
        </w:rPr>
        <w:footnoteReference w:id="252"/>
      </w:r>
    </w:p>
    <w:p w14:paraId="0E0E0A83"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إذا انتقلنا من المسؤولية المدنية المجردة إلى </w:t>
      </w:r>
      <w:r>
        <w:rPr>
          <w:rFonts w:asciiTheme="majorBidi" w:hAnsiTheme="majorBidi" w:cstheme="majorBidi"/>
          <w:b/>
          <w:bCs/>
          <w:sz w:val="24"/>
          <w:szCs w:val="24"/>
          <w:rtl/>
        </w:rPr>
        <w:t>سياق المنازعة القضائية</w:t>
      </w:r>
      <w:r>
        <w:rPr>
          <w:rFonts w:asciiTheme="majorBidi" w:hAnsiTheme="majorBidi" w:cstheme="majorBidi"/>
          <w:sz w:val="24"/>
          <w:szCs w:val="24"/>
          <w:rtl/>
        </w:rPr>
        <w:t xml:space="preserve">، تظهر زاوية دقيقة غالبًا تُهمل: ليست المشكلة فقط في صحة المخرج، بل في </w:t>
      </w:r>
      <w:r>
        <w:rPr>
          <w:rFonts w:asciiTheme="majorBidi" w:hAnsiTheme="majorBidi" w:cstheme="majorBidi"/>
          <w:b/>
          <w:bCs/>
          <w:sz w:val="24"/>
          <w:szCs w:val="24"/>
          <w:rtl/>
        </w:rPr>
        <w:t>حجيته وإمكان الاحتجاج به</w:t>
      </w:r>
      <w:r>
        <w:rPr>
          <w:rFonts w:asciiTheme="majorBidi" w:hAnsiTheme="majorBidi" w:cstheme="majorBidi"/>
          <w:sz w:val="24"/>
          <w:szCs w:val="24"/>
          <w:rtl/>
        </w:rPr>
        <w:t xml:space="preserve"> وإمكان إثبات نسبته وسلامة مساره. </w:t>
      </w:r>
      <w:r>
        <w:rPr>
          <w:rFonts w:asciiTheme="majorBidi" w:hAnsiTheme="majorBidi" w:cstheme="majorBidi"/>
          <w:sz w:val="24"/>
          <w:szCs w:val="24"/>
          <w:rtl/>
        </w:rPr>
        <w:lastRenderedPageBreak/>
        <w:t xml:space="preserve">فالمحامي عندما يقدم عقدًا أو مذكرة أو تقريرًا صيغ بمساعدة الذكاء الاصطناعي، فهو لا يقدم “نصًا” فقط، بل يقدم </w:t>
      </w:r>
      <w:r>
        <w:rPr>
          <w:rFonts w:asciiTheme="majorBidi" w:hAnsiTheme="majorBidi" w:cstheme="majorBidi"/>
          <w:b/>
          <w:bCs/>
          <w:sz w:val="24"/>
          <w:szCs w:val="24"/>
          <w:rtl/>
        </w:rPr>
        <w:t>مستندًا</w:t>
      </w:r>
      <w:r>
        <w:rPr>
          <w:rFonts w:asciiTheme="majorBidi" w:hAnsiTheme="majorBidi" w:cstheme="majorBidi"/>
          <w:sz w:val="24"/>
          <w:szCs w:val="24"/>
          <w:rtl/>
        </w:rPr>
        <w:t xml:space="preserve"> ضمن منظومة إثبات، وقد ترتب عليه آثار إجرائية ومراكز قانونية</w:t>
      </w:r>
      <w:r>
        <w:rPr>
          <w:rFonts w:asciiTheme="majorBidi" w:hAnsiTheme="majorBidi" w:cstheme="majorBidi"/>
          <w:sz w:val="24"/>
          <w:szCs w:val="24"/>
        </w:rPr>
        <w:t>.</w:t>
      </w:r>
    </w:p>
    <w:p w14:paraId="4BB60048" w14:textId="77777777" w:rsidR="004F0491" w:rsidRPr="003A3742" w:rsidRDefault="004F0491" w:rsidP="004F0491">
      <w:pPr>
        <w:rPr>
          <w:rFonts w:asciiTheme="majorBidi" w:hAnsiTheme="majorBidi" w:cstheme="majorBidi"/>
          <w:sz w:val="24"/>
          <w:szCs w:val="24"/>
        </w:rPr>
      </w:pPr>
      <w:r>
        <w:rPr>
          <w:rFonts w:asciiTheme="majorBidi" w:hAnsiTheme="majorBidi" w:cstheme="majorBidi"/>
          <w:sz w:val="24"/>
          <w:szCs w:val="24"/>
          <w:rtl/>
        </w:rPr>
        <w:t xml:space="preserve">ويبرز هنا دور </w:t>
      </w:r>
      <w:r>
        <w:rPr>
          <w:rFonts w:asciiTheme="majorBidi" w:hAnsiTheme="majorBidi" w:cstheme="majorBidi"/>
          <w:b/>
          <w:bCs/>
          <w:sz w:val="24"/>
          <w:szCs w:val="24"/>
          <w:rtl/>
        </w:rPr>
        <w:t>نظام الإثبات</w:t>
      </w:r>
      <w:r>
        <w:rPr>
          <w:rFonts w:asciiTheme="majorBidi" w:hAnsiTheme="majorBidi" w:cstheme="majorBidi"/>
          <w:sz w:val="24"/>
          <w:szCs w:val="24"/>
          <w:rtl/>
        </w:rPr>
        <w:t xml:space="preserve"> الذي يقوم – في جوهره – على ضبط وسائل الإثبات وقيمتها الحجية وشروط قبولها (هيئة الخبراء بمجلس الوزراء، 1443هـ). وبناءً عليه، فإن المخرجات الذكية قد تُثار بشأنها إشكالات مثل</w:t>
      </w:r>
      <w:r>
        <w:rPr>
          <w:rFonts w:asciiTheme="majorBidi" w:hAnsiTheme="majorBidi" w:cstheme="majorBidi"/>
          <w:sz w:val="24"/>
          <w:szCs w:val="24"/>
        </w:rPr>
        <w:t>:</w:t>
      </w:r>
    </w:p>
    <w:p w14:paraId="2035A8F1"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يُعد المستند المولد آليًا “محررًا” له حجية؟</w:t>
      </w:r>
    </w:p>
    <w:p w14:paraId="459EF6C6"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يمكن الاعتراض عليه لعدم وضوح مصدره أو مساره أو لاحتمال العبث به؟</w:t>
      </w:r>
    </w:p>
    <w:p w14:paraId="7E6DDFDE"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يملك المحامي إثبات سلامة الإجراءات التقنية التي أنتجته؟</w:t>
      </w:r>
    </w:p>
    <w:p w14:paraId="583254F6"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يشير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253"/>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حجية المستندات الرقمية لا تنفصل عن سلامة بيئتها التقنية، وأن عنصر الأمان التقني والتوثيق يؤثر في الثقة القانونية بالمحرر الرقمي. وهذا المعنى – وإن ورد في سياق أوسع – ينطبق على المخرجات الذكية: فكلما كانت سلسلة إنتاج المخرج غامضة وغير موثقة، زادت قابلية الطعن فيه من الخصم، وازداد عبء المحامي في دفع هذه الطعون</w:t>
      </w:r>
      <w:r>
        <w:rPr>
          <w:rFonts w:asciiTheme="majorBidi" w:hAnsiTheme="majorBidi" w:cstheme="majorBidi"/>
          <w:sz w:val="24"/>
          <w:szCs w:val="24"/>
        </w:rPr>
        <w:t>.</w:t>
      </w:r>
    </w:p>
    <w:p w14:paraId="1DF25163" w14:textId="77777777" w:rsidR="004F0491" w:rsidRPr="003A3742" w:rsidRDefault="004F0491" w:rsidP="004F0491">
      <w:pPr>
        <w:rPr>
          <w:rFonts w:asciiTheme="majorBidi" w:hAnsiTheme="majorBidi" w:cstheme="majorBidi"/>
          <w:sz w:val="24"/>
          <w:szCs w:val="24"/>
        </w:rPr>
      </w:pPr>
    </w:p>
    <w:p w14:paraId="74290BA4"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في كثير من الحالات، المحامي لا يستخدم ذكاءً اصطناعيًا داخليًا فحسب، بل عبر منصات طرف ثالث: مزود تقنية، منصة سحابية، أو شركة</w:t>
      </w:r>
      <w:r>
        <w:rPr>
          <w:rFonts w:asciiTheme="majorBidi" w:hAnsiTheme="majorBidi" w:cstheme="majorBidi"/>
          <w:sz w:val="24"/>
          <w:szCs w:val="24"/>
        </w:rPr>
        <w:t xml:space="preserve"> “LegalTech”. </w:t>
      </w:r>
      <w:r>
        <w:rPr>
          <w:rFonts w:asciiTheme="majorBidi" w:hAnsiTheme="majorBidi" w:cstheme="majorBidi"/>
          <w:sz w:val="24"/>
          <w:szCs w:val="24"/>
          <w:rtl/>
        </w:rPr>
        <w:t xml:space="preserve">وهنا تظهر فكرة قانونية جديدة: هل تُعد هذه الاستعانة </w:t>
      </w:r>
      <w:r>
        <w:rPr>
          <w:rFonts w:asciiTheme="majorBidi" w:hAnsiTheme="majorBidi" w:cstheme="majorBidi"/>
          <w:b/>
          <w:bCs/>
          <w:sz w:val="24"/>
          <w:szCs w:val="24"/>
          <w:rtl/>
        </w:rPr>
        <w:t>تعاقدًا من الباطن</w:t>
      </w:r>
      <w:r>
        <w:rPr>
          <w:rFonts w:asciiTheme="majorBidi" w:hAnsiTheme="majorBidi" w:cstheme="majorBidi"/>
          <w:sz w:val="24"/>
          <w:szCs w:val="24"/>
          <w:rtl/>
        </w:rPr>
        <w:t xml:space="preserve"> في جزء من الخدمة؟ وإذا نعم، فما أثر ذلك على المسؤولية؟</w:t>
      </w:r>
    </w:p>
    <w:p w14:paraId="65B09A1F"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القواعد العامة في المسؤولية المدنية تجعل من المتعاقد الأصلي (المحامي/المكتب) مسؤولًا تجاه الموكل عن تنفيذ الالتزام، ولا يُعفيه أن يكون قد استعان بغيره، ما دام الموكل لم يتعاقد مع ذلك الغير مباشرة. ويقوى هذا المعنى حين تكون الخدمة قانونية بطبيعتها وتتصل بالثقة والسرية. ويعزز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54"/>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فكرة بناء المسؤولية على معيار “الرقابة والسيطرة الفعلية”؛ فالمكتب الذي يختار مزود التقنية ويبرم معه عقدًا ويُدخل بيانات الموكل عبره، يكون قد تولى إدارة مخاطره</w:t>
      </w:r>
      <w:r>
        <w:rPr>
          <w:rFonts w:asciiTheme="majorBidi" w:hAnsiTheme="majorBidi" w:cstheme="majorBidi"/>
          <w:sz w:val="24"/>
          <w:szCs w:val="24"/>
        </w:rPr>
        <w:t>.</w:t>
      </w:r>
    </w:p>
    <w:p w14:paraId="431587BB"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لكن في المقابل، يحذر </w:t>
      </w:r>
      <w:r>
        <w:rPr>
          <w:rFonts w:asciiTheme="majorBidi" w:hAnsiTheme="majorBidi" w:cstheme="majorBidi"/>
          <w:b/>
          <w:bCs/>
          <w:sz w:val="24"/>
          <w:szCs w:val="24"/>
          <w:rtl/>
        </w:rPr>
        <w:t>حمادي</w:t>
      </w:r>
      <w:r>
        <w:rPr>
          <w:rStyle w:val="af"/>
          <w:rFonts w:asciiTheme="majorBidi" w:hAnsiTheme="majorBidi" w:cstheme="majorBidi"/>
          <w:b/>
          <w:bCs/>
          <w:sz w:val="24"/>
          <w:szCs w:val="24"/>
          <w:rtl/>
        </w:rPr>
        <w:footnoteReference w:id="255"/>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من تحميل المستخدم تبعة كل خلل تقني على نحو مطلق، بما قد يقتضي توزيعًا مسؤولًا للمخاطر عند ثبوت قصور المزود أو خلل تقني لا يمكن للمستخدم كشفه</w:t>
      </w:r>
      <w:r>
        <w:rPr>
          <w:rFonts w:asciiTheme="majorBidi" w:hAnsiTheme="majorBidi" w:cstheme="majorBidi"/>
          <w:sz w:val="24"/>
          <w:szCs w:val="24"/>
        </w:rPr>
        <w:t>.</w:t>
      </w:r>
    </w:p>
    <w:p w14:paraId="2C04DD10"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رأيي كباحث: الحل النظامي المتوازن هنا يقوم على </w:t>
      </w:r>
      <w:r>
        <w:rPr>
          <w:rFonts w:asciiTheme="majorBidi" w:hAnsiTheme="majorBidi" w:cstheme="majorBidi"/>
          <w:b/>
          <w:bCs/>
          <w:sz w:val="24"/>
          <w:szCs w:val="24"/>
          <w:rtl/>
        </w:rPr>
        <w:t>مستويين من المسؤولية</w:t>
      </w:r>
      <w:r>
        <w:rPr>
          <w:rFonts w:asciiTheme="majorBidi" w:hAnsiTheme="majorBidi" w:cstheme="majorBidi"/>
          <w:sz w:val="24"/>
          <w:szCs w:val="24"/>
        </w:rPr>
        <w:t>:</w:t>
      </w:r>
    </w:p>
    <w:p w14:paraId="51A17744" w14:textId="77777777" w:rsidR="004F0491" w:rsidRPr="003A3742" w:rsidRDefault="004F0491" w:rsidP="004F0491">
      <w:pPr>
        <w:numPr>
          <w:ilvl w:val="0"/>
          <w:numId w:val="33"/>
        </w:numPr>
        <w:bidi/>
        <w:rPr>
          <w:rFonts w:asciiTheme="majorBidi" w:hAnsiTheme="majorBidi" w:cstheme="majorBidi"/>
          <w:sz w:val="24"/>
          <w:szCs w:val="24"/>
        </w:rPr>
      </w:pPr>
      <w:r>
        <w:rPr>
          <w:rFonts w:asciiTheme="majorBidi" w:hAnsiTheme="majorBidi" w:cstheme="majorBidi"/>
          <w:sz w:val="24"/>
          <w:szCs w:val="24"/>
          <w:rtl/>
        </w:rPr>
        <w:t>أمام الموكل: يبقى المكتب مسؤولًا أصلًا عن سلامة تقديم الخدمة، لأنه صاحب العلاقة العقدية والصفة المهنية</w:t>
      </w:r>
      <w:r>
        <w:rPr>
          <w:rFonts w:asciiTheme="majorBidi" w:hAnsiTheme="majorBidi" w:cstheme="majorBidi"/>
          <w:sz w:val="24"/>
          <w:szCs w:val="24"/>
        </w:rPr>
        <w:t>.</w:t>
      </w:r>
    </w:p>
    <w:p w14:paraId="3A695E58" w14:textId="77777777" w:rsidR="004F0491" w:rsidRPr="003A3742" w:rsidRDefault="004F0491" w:rsidP="004F0491">
      <w:pPr>
        <w:numPr>
          <w:ilvl w:val="0"/>
          <w:numId w:val="33"/>
        </w:numPr>
        <w:bidi/>
        <w:rPr>
          <w:rFonts w:asciiTheme="majorBidi" w:hAnsiTheme="majorBidi" w:cstheme="majorBidi"/>
          <w:sz w:val="24"/>
          <w:szCs w:val="24"/>
        </w:rPr>
      </w:pPr>
      <w:r>
        <w:rPr>
          <w:rFonts w:asciiTheme="majorBidi" w:hAnsiTheme="majorBidi" w:cstheme="majorBidi"/>
          <w:sz w:val="24"/>
          <w:szCs w:val="24"/>
          <w:rtl/>
        </w:rPr>
        <w:t>تجاه مزود التقنية: يملك المكتب حق الرجوع وفقًا لعقد الخدمة (ضمان، تعويض، إخلال بالتزامات الأمان، إلخ)</w:t>
      </w:r>
      <w:r>
        <w:rPr>
          <w:rFonts w:asciiTheme="majorBidi" w:hAnsiTheme="majorBidi" w:cstheme="majorBidi"/>
          <w:sz w:val="24"/>
          <w:szCs w:val="24"/>
        </w:rPr>
        <w:t>.</w:t>
      </w:r>
    </w:p>
    <w:p w14:paraId="77552C5C"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وبالتالي، مجرد وجود طرف ثالث لا يُسقط المسؤولية، بل يحوّل جزءًا منها إلى </w:t>
      </w:r>
      <w:r>
        <w:rPr>
          <w:rFonts w:asciiTheme="majorBidi" w:hAnsiTheme="majorBidi" w:cstheme="majorBidi"/>
          <w:b/>
          <w:bCs/>
          <w:sz w:val="24"/>
          <w:szCs w:val="24"/>
          <w:rtl/>
        </w:rPr>
        <w:t>مسؤولية رجوعية</w:t>
      </w:r>
      <w:r>
        <w:rPr>
          <w:rFonts w:asciiTheme="majorBidi" w:hAnsiTheme="majorBidi" w:cstheme="majorBidi"/>
          <w:sz w:val="24"/>
          <w:szCs w:val="24"/>
          <w:rtl/>
        </w:rPr>
        <w:t xml:space="preserve"> بعد تعويض الموكل، وهو ما يجعل صياغة عقود مزودي التقنية جزءًا من الاحتراز المهني لا مجرد مسألة تقنية</w:t>
      </w:r>
      <w:r>
        <w:rPr>
          <w:rFonts w:asciiTheme="majorBidi" w:hAnsiTheme="majorBidi" w:cstheme="majorBidi"/>
          <w:sz w:val="24"/>
          <w:szCs w:val="24"/>
        </w:rPr>
        <w:t>.</w:t>
      </w:r>
    </w:p>
    <w:p w14:paraId="1993AFD3" w14:textId="77777777" w:rsidR="004F0491" w:rsidRPr="003A3742" w:rsidRDefault="004F0491" w:rsidP="004F0491">
      <w:pPr>
        <w:rPr>
          <w:rFonts w:asciiTheme="majorBidi" w:hAnsiTheme="majorBidi" w:cstheme="majorBidi"/>
          <w:sz w:val="24"/>
          <w:szCs w:val="24"/>
          <w:rtl/>
        </w:rPr>
      </w:pPr>
    </w:p>
    <w:p w14:paraId="51CCE26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من أهم الأفكار غير المطروقة سابقًا: في النزاع، كثيرًا ما تكون المشكلة ليست “هل أخطأ المحامي؟” بل “هل يستطيع إثبات أنه لم يُهمل؟”. وفي بيئة الذكاء الاصطناعي، يصبح مفهوم </w:t>
      </w:r>
      <w:r>
        <w:rPr>
          <w:rFonts w:asciiTheme="majorBidi" w:hAnsiTheme="majorBidi" w:cstheme="majorBidi"/>
          <w:b/>
          <w:bCs/>
          <w:sz w:val="24"/>
          <w:szCs w:val="24"/>
          <w:rtl/>
        </w:rPr>
        <w:t>توثيق خطوات العمل</w:t>
      </w:r>
      <w:r>
        <w:rPr>
          <w:rFonts w:asciiTheme="majorBidi" w:hAnsiTheme="majorBidi" w:cstheme="majorBidi"/>
          <w:sz w:val="24"/>
          <w:szCs w:val="24"/>
          <w:rtl/>
        </w:rPr>
        <w:t xml:space="preserve"> عنصرًا حاسمًا في تقدير الخطأ والسببية</w:t>
      </w:r>
      <w:r>
        <w:rPr>
          <w:rFonts w:asciiTheme="majorBidi" w:hAnsiTheme="majorBidi" w:cstheme="majorBidi"/>
          <w:sz w:val="24"/>
          <w:szCs w:val="24"/>
        </w:rPr>
        <w:t>.</w:t>
      </w:r>
    </w:p>
    <w:p w14:paraId="3C17795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وهنا يظهر ما يمكن تسميته</w:t>
      </w:r>
      <w:r>
        <w:rPr>
          <w:rFonts w:asciiTheme="majorBidi" w:hAnsiTheme="majorBidi" w:cstheme="majorBidi"/>
          <w:sz w:val="24"/>
          <w:szCs w:val="24"/>
        </w:rPr>
        <w:t xml:space="preserve">: </w:t>
      </w:r>
      <w:r>
        <w:rPr>
          <w:rFonts w:asciiTheme="majorBidi" w:hAnsiTheme="majorBidi" w:cstheme="majorBidi"/>
          <w:b/>
          <w:bCs/>
          <w:sz w:val="24"/>
          <w:szCs w:val="24"/>
          <w:rtl/>
        </w:rPr>
        <w:t>سجل القرار المهني</w:t>
      </w:r>
      <w:r>
        <w:rPr>
          <w:rFonts w:asciiTheme="majorBidi" w:hAnsiTheme="majorBidi" w:cstheme="majorBidi"/>
          <w:sz w:val="24"/>
          <w:szCs w:val="24"/>
          <w:rtl/>
        </w:rPr>
        <w:t xml:space="preserve"> </w:t>
      </w:r>
      <w:r>
        <w:rPr>
          <w:rFonts w:asciiTheme="majorBidi" w:hAnsiTheme="majorBidi" w:cstheme="majorBidi"/>
          <w:sz w:val="24"/>
          <w:szCs w:val="24"/>
        </w:rPr>
        <w:t xml:space="preserve">(Decision Log) </w:t>
      </w:r>
      <w:r>
        <w:rPr>
          <w:rFonts w:asciiTheme="majorBidi" w:hAnsiTheme="majorBidi" w:cstheme="majorBidi"/>
          <w:sz w:val="24"/>
          <w:szCs w:val="24"/>
          <w:rtl/>
        </w:rPr>
        <w:t>أو “أثر المراجعة</w:t>
      </w:r>
      <w:r>
        <w:rPr>
          <w:rFonts w:asciiTheme="majorBidi" w:hAnsiTheme="majorBidi" w:cstheme="majorBidi"/>
          <w:sz w:val="24"/>
          <w:szCs w:val="24"/>
        </w:rPr>
        <w:t xml:space="preserve">” (Audit Trail) </w:t>
      </w:r>
      <w:r>
        <w:rPr>
          <w:rFonts w:asciiTheme="majorBidi" w:hAnsiTheme="majorBidi" w:cstheme="majorBidi"/>
          <w:sz w:val="24"/>
          <w:szCs w:val="24"/>
          <w:rtl/>
        </w:rPr>
        <w:t xml:space="preserve">بوصفه قرينة عملية على قيام العناية. وهذا يتسق مع الاتجاهات المؤسسية في حوكمة الذكاء الاصطناعي التي تؤكد على التنظيم والتوثيق ووضوح الأدوار (سدايا، 2023). كما يتصل بمسألة “انقطاع الصلة الإدراكية” التي ناقشها </w:t>
      </w:r>
      <w:r>
        <w:rPr>
          <w:rFonts w:asciiTheme="majorBidi" w:hAnsiTheme="majorBidi" w:cstheme="majorBidi"/>
          <w:b/>
          <w:bCs/>
          <w:sz w:val="24"/>
          <w:szCs w:val="24"/>
          <w:rtl/>
        </w:rPr>
        <w:t>خليل</w:t>
      </w:r>
      <w:r>
        <w:rPr>
          <w:rStyle w:val="af"/>
          <w:rFonts w:asciiTheme="majorBidi" w:hAnsiTheme="majorBidi" w:cstheme="majorBidi"/>
          <w:b/>
          <w:bCs/>
          <w:sz w:val="24"/>
          <w:szCs w:val="24"/>
          <w:rtl/>
        </w:rPr>
        <w:footnoteReference w:id="256"/>
      </w:r>
      <w:r>
        <w:rPr>
          <w:rFonts w:asciiTheme="majorBidi" w:hAnsiTheme="majorBidi" w:cstheme="majorBidi"/>
          <w:b/>
          <w:bCs/>
          <w:sz w:val="24"/>
          <w:szCs w:val="24"/>
        </w:rPr>
        <w:t xml:space="preserve"> (2022)</w:t>
      </w:r>
      <w:r>
        <w:rPr>
          <w:rFonts w:asciiTheme="majorBidi" w:hAnsiTheme="majorBidi" w:cstheme="majorBidi"/>
          <w:sz w:val="24"/>
          <w:szCs w:val="24"/>
          <w:rtl/>
        </w:rPr>
        <w:t>؛ إذ إن تعقيد الخوارزمية لا يُعالج بإعفاء المسؤول، بل بإيجاد أدوات توثيق تساعد على بيان ما تم فعله وما تم التحقق منه</w:t>
      </w:r>
      <w:r>
        <w:rPr>
          <w:rFonts w:asciiTheme="majorBidi" w:hAnsiTheme="majorBidi" w:cstheme="majorBidi"/>
          <w:sz w:val="24"/>
          <w:szCs w:val="24"/>
        </w:rPr>
        <w:t>.</w:t>
      </w:r>
    </w:p>
    <w:p w14:paraId="6B95ECB8"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أمثلة عملية لسجل القرار المهني في مكتب محاماة يستخدم الذكاء الاصطناعي</w:t>
      </w:r>
      <w:r>
        <w:rPr>
          <w:rFonts w:asciiTheme="majorBidi" w:hAnsiTheme="majorBidi" w:cstheme="majorBidi"/>
          <w:sz w:val="24"/>
          <w:szCs w:val="24"/>
        </w:rPr>
        <w:t>:</w:t>
      </w:r>
    </w:p>
    <w:p w14:paraId="71A735F1"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الغرض من استخدام الأداة في هذه المسألة تحديدًا؟</w:t>
      </w:r>
    </w:p>
    <w:p w14:paraId="36CD5C5B"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نوع البيانات التي أُدخلت؟ وهل أُزيلت منها المعلومات الحساسة؟</w:t>
      </w:r>
    </w:p>
    <w:p w14:paraId="7F5CE7FF"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هل تم التحقق من مصادر النصوص النظامية/السوابق؟</w:t>
      </w:r>
    </w:p>
    <w:p w14:paraId="2A3D12C8"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الذي تم تعديله يدويًا؟ وما الذي تم رفضه؟ ولماذا؟</w:t>
      </w:r>
    </w:p>
    <w:p w14:paraId="040640ED"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من اعتمد النسخة النهائية؟ ومتى؟</w:t>
      </w:r>
    </w:p>
    <w:p w14:paraId="6D587D7E" w14:textId="7EF57566" w:rsidR="004F0491" w:rsidRDefault="004F0491" w:rsidP="00811A08">
      <w:pPr>
        <w:jc w:val="right"/>
        <w:rPr>
          <w:rFonts w:asciiTheme="majorBidi" w:hAnsiTheme="majorBidi" w:cstheme="majorBidi"/>
          <w:sz w:val="24"/>
          <w:szCs w:val="24"/>
        </w:rPr>
      </w:pPr>
      <w:r>
        <w:rPr>
          <w:rFonts w:asciiTheme="majorBidi" w:hAnsiTheme="majorBidi" w:cstheme="majorBidi" w:hint="cs"/>
          <w:sz w:val="24"/>
          <w:szCs w:val="24"/>
          <w:rtl/>
        </w:rPr>
        <w:t>ومن خلال ما سبق فإن</w:t>
      </w:r>
      <w:r>
        <w:rPr>
          <w:rFonts w:asciiTheme="majorBidi" w:hAnsiTheme="majorBidi" w:cstheme="majorBidi"/>
          <w:sz w:val="24"/>
          <w:szCs w:val="24"/>
          <w:rtl/>
        </w:rPr>
        <w:t xml:space="preserve"> وجود هذا السجل لا يرفع المسؤولية تلقائيًا، لكنه يغير </w:t>
      </w:r>
      <w:r>
        <w:rPr>
          <w:rFonts w:asciiTheme="majorBidi" w:hAnsiTheme="majorBidi" w:cstheme="majorBidi"/>
          <w:b/>
          <w:bCs/>
          <w:sz w:val="24"/>
          <w:szCs w:val="24"/>
          <w:rtl/>
        </w:rPr>
        <w:t>تقدير المحكمة</w:t>
      </w:r>
      <w:r>
        <w:rPr>
          <w:rFonts w:asciiTheme="majorBidi" w:hAnsiTheme="majorBidi" w:cstheme="majorBidi"/>
          <w:sz w:val="24"/>
          <w:szCs w:val="24"/>
          <w:rtl/>
        </w:rPr>
        <w:t xml:space="preserve"> أو الجهة الناظرة للمسؤولية؛ لأنه يقدّم دليلًا على أن المحامي مارس إشرافًا فعليًا ولم يعتمد اعتمادًا أعمى. وفي المقابل، غياب أي توثيق في قضايا عالية المخاطر قد يُفهم كقرينة على الإهمال أو ضعف العناية، خصوصًا إذا كان الضرر يمكن توقعه</w:t>
      </w:r>
    </w:p>
    <w:p w14:paraId="56FBBBC6" w14:textId="2CE3242B" w:rsidR="00FE66C9" w:rsidRPr="003A3742" w:rsidRDefault="00FE66C9" w:rsidP="00D650FF">
      <w:pPr>
        <w:jc w:val="right"/>
        <w:rPr>
          <w:rFonts w:asciiTheme="majorBidi" w:hAnsiTheme="majorBidi" w:cstheme="majorBidi"/>
          <w:sz w:val="24"/>
          <w:szCs w:val="24"/>
        </w:rPr>
      </w:pPr>
      <w:r>
        <w:rPr>
          <w:rFonts w:asciiTheme="majorBidi" w:hAnsiTheme="majorBidi" w:cstheme="majorBidi"/>
          <w:sz w:val="24"/>
          <w:szCs w:val="24"/>
        </w:rPr>
        <w:t>.</w:t>
      </w:r>
    </w:p>
    <w:p w14:paraId="125F8F26" w14:textId="77777777" w:rsidR="00FE66C9" w:rsidRDefault="00FE66C9" w:rsidP="00CF67E5">
      <w:pPr>
        <w:jc w:val="center"/>
        <w:rPr>
          <w:rFonts w:asciiTheme="majorBidi" w:hAnsiTheme="majorBidi" w:cstheme="majorBidi"/>
          <w:sz w:val="24"/>
          <w:szCs w:val="24"/>
        </w:rPr>
      </w:pPr>
    </w:p>
    <w:p w14:paraId="38A68C31" w14:textId="77777777" w:rsidR="00CF67E5" w:rsidRDefault="00CF67E5" w:rsidP="00CF67E5">
      <w:pPr>
        <w:jc w:val="center"/>
        <w:rPr>
          <w:b/>
          <w:bCs/>
        </w:rPr>
      </w:pPr>
      <w:r>
        <w:rPr>
          <w:rFonts w:hint="cs"/>
          <w:b/>
          <w:bCs/>
          <w:sz w:val="32"/>
          <w:szCs w:val="32"/>
          <w:rtl/>
        </w:rPr>
        <w:t>المطلب الثاني</w:t>
      </w:r>
    </w:p>
    <w:p w14:paraId="685CF4B0" w14:textId="77777777" w:rsidR="00CF67E5" w:rsidRDefault="00CF67E5" w:rsidP="00CF67E5">
      <w:pPr>
        <w:jc w:val="center"/>
        <w:rPr>
          <w:b/>
          <w:bCs/>
        </w:rPr>
      </w:pPr>
      <w:r>
        <w:rPr>
          <w:rFonts w:hint="cs"/>
          <w:b/>
          <w:bCs/>
          <w:rtl/>
        </w:rPr>
        <w:t>مسؤولية المطوِّر، والمستخدم، ومقدِّم التقنية</w:t>
      </w:r>
    </w:p>
    <w:p w14:paraId="5123E951" w14:textId="77777777" w:rsidR="00CF67E5" w:rsidRDefault="00CF67E5" w:rsidP="00CF67E5">
      <w:pPr>
        <w:jc w:val="center"/>
        <w:rPr>
          <w:b/>
          <w:bCs/>
        </w:rPr>
      </w:pPr>
      <w:r>
        <w:rPr>
          <w:rFonts w:hint="cs"/>
          <w:b/>
          <w:bCs/>
          <w:rtl/>
        </w:rPr>
        <w:t>من المسؤولية الفردية إلى المسؤولية متعددة الأطراف</w:t>
      </w:r>
    </w:p>
    <w:p w14:paraId="69BA990C" w14:textId="77777777" w:rsidR="00CF67E5" w:rsidRDefault="00CF67E5" w:rsidP="00CF67E5"/>
    <w:p w14:paraId="368E4C48"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إذا كان المطلب الأول قد انصرف إلى بحث مسؤولية المحامي بوصفه المستخدم المهني للمخرجات الذكية، فإن الإشكال في هذا المطلب يتجاوز الشخص المهني الواحد إلى البنية الكاملة للمنظومة التقنية. فالمسؤولية في بيئة الذكاء الاصطناعي لا تنحصر واقعيًا في فاعل مباشر واحد، بل تتوزع بين أطراف عدة: مطوِّر الخوارزمية، ومزوِّد المنصة، والمستخدم المهني.</w:t>
      </w:r>
    </w:p>
    <w:p w14:paraId="0C1147B7"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في الفقه المعاصر، يذهب بعض الباحثين إلى أن تعقيد الخوارزميات يُفضي إلى ما يُعرف بـ"تشتت الإسناد" (Attribution Dispersion)، بحيث يصعب ردُّ الضرر إلى فاعل واحد محدد.</w:t>
      </w:r>
      <w:r w:rsidRPr="00CF67E5">
        <w:rPr>
          <w:rFonts w:asciiTheme="majorBidi" w:hAnsiTheme="majorBidi" w:cstheme="majorBidi"/>
          <w:sz w:val="24"/>
          <w:szCs w:val="24"/>
          <w:vertAlign w:val="superscript"/>
          <w:rtl/>
        </w:rPr>
        <w:footnoteReference w:id="257"/>
      </w:r>
    </w:p>
    <w:p w14:paraId="0DF8FDFE"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lastRenderedPageBreak/>
        <w:t>وفي المقابل، يُؤكِّد بعض الباحثين أن هذا التشتت لا ينبغي أن يتحوَّل إلى وسيلة لإفراغ المسؤولية من مضمونها، بل يجب البحث عن الطرف الأقرب إلى السيطرة الفعلية على مصدر الخطر.</w:t>
      </w:r>
      <w:r w:rsidRPr="00CF67E5">
        <w:rPr>
          <w:rFonts w:asciiTheme="majorBidi" w:hAnsiTheme="majorBidi" w:cstheme="majorBidi"/>
          <w:sz w:val="24"/>
          <w:szCs w:val="24"/>
          <w:vertAlign w:val="superscript"/>
          <w:rtl/>
        </w:rPr>
        <w:footnoteReference w:id="258"/>
      </w:r>
    </w:p>
    <w:p w14:paraId="2434A9D4"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ويرى الباحث أن الانتقال من مسؤولية المحامي إلى مسؤولية باقي الأطراف لا يعني إعفاءه، بل يعني إعادة هندسة شبكة الإسناد بما يحقق التوازن بين حماية المتضرر وعدم تحميل طرف واحد تبعة منظومة كاملة.</w:t>
      </w:r>
    </w:p>
    <w:p w14:paraId="1363F878" w14:textId="77777777" w:rsidR="00CF67E5" w:rsidRPr="00CF67E5" w:rsidRDefault="00CF67E5" w:rsidP="00CF67E5">
      <w:pPr>
        <w:jc w:val="right"/>
        <w:rPr>
          <w:rFonts w:asciiTheme="majorBidi" w:hAnsiTheme="majorBidi" w:cstheme="majorBidi"/>
          <w:sz w:val="24"/>
          <w:szCs w:val="24"/>
        </w:rPr>
      </w:pPr>
    </w:p>
    <w:p w14:paraId="7D3FCDE2"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أولًا: مسؤولية مطوِّر الخوارزمية — ثلاثة أوجه للمساءلة</w:t>
      </w:r>
    </w:p>
    <w:p w14:paraId="13CA6372"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يُعدُّ المطوِّر الجهةَ التي صمَّمت الخوارزمية وحدَّدت بنيتها وآلية تدريبها وقواعد الاستدلال التي تعمل بها. وهو في كثير من الأحيان ليس طرفًا في العلاقة المباشرة مع الموكل، بل طرف تقني سابق على الاستخدام المهني. ومسؤوليته تقوم متى ثبت وجود عيب أو إهمال أو قصور في بناء النظام أو التحذير من حدوده.</w:t>
      </w:r>
      <w:r w:rsidRPr="00CF67E5">
        <w:rPr>
          <w:rFonts w:asciiTheme="majorBidi" w:hAnsiTheme="majorBidi" w:cstheme="majorBidi"/>
          <w:sz w:val="24"/>
          <w:szCs w:val="24"/>
          <w:vertAlign w:val="superscript"/>
          <w:rtl/>
        </w:rPr>
        <w:footnoteReference w:id="259"/>
      </w:r>
    </w:p>
    <w:p w14:paraId="5655C822"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وتتوزع مسؤولية المطوِّر على ثلاثة أوجه جوهرية:</w:t>
      </w:r>
    </w:p>
    <w:p w14:paraId="33EB9146"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عيب التصميم (Structural Defect): </w:t>
      </w:r>
      <w:r w:rsidRPr="00CF67E5">
        <w:rPr>
          <w:rFonts w:asciiTheme="majorBidi" w:hAnsiTheme="majorBidi" w:cstheme="majorBidi"/>
          <w:sz w:val="24"/>
          <w:szCs w:val="24"/>
          <w:rtl/>
        </w:rPr>
        <w:t>يكون فيه الخلل سابقًا على الاستخدام — كأن تُبنى الخوارزمية على قواعد استدلال غير دقيقة، أو نماذج لغوية تُولِّد سوابق قضائية غير موجودة، أو أدوات لا تراعي المتطلبات النظامية المحلية. وإذا ثبت العيب البنيوي كانت مسؤولية المطوِّر أصلية لا يدفعها ادعاء الخطأ في الاستخدام.</w:t>
      </w:r>
      <w:r w:rsidRPr="00CF67E5">
        <w:rPr>
          <w:rFonts w:asciiTheme="majorBidi" w:hAnsiTheme="majorBidi" w:cstheme="majorBidi"/>
          <w:sz w:val="24"/>
          <w:szCs w:val="24"/>
          <w:vertAlign w:val="superscript"/>
          <w:rtl/>
        </w:rPr>
        <w:footnoteReference w:id="260"/>
      </w:r>
    </w:p>
    <w:p w14:paraId="6F310ADC"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عيب التدريب والبيانات (Training/Data Defect): </w:t>
      </w:r>
      <w:r w:rsidRPr="00CF67E5">
        <w:rPr>
          <w:rFonts w:asciiTheme="majorBidi" w:hAnsiTheme="majorBidi" w:cstheme="majorBidi"/>
          <w:sz w:val="24"/>
          <w:szCs w:val="24"/>
          <w:rtl/>
        </w:rPr>
        <w:t>وهو الأخطر في المجال القانوني؛ إذ يتغذى النموذج على بيانات غير ممثِّلة للبيئة السعودية، أو يُنتج إحالات وسوابق غير دقيقة. ولا يجوز أن يتحوَّل التعقيد الخوارزمي إلى حصانة؛ بل يرتِّب على المطوِّر واجبًا أعلى في الاختبار والتقييم قبل الطرح.</w:t>
      </w:r>
    </w:p>
    <w:p w14:paraId="477A915C"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قصور التحذير والإفصاح (Duty to Warn): </w:t>
      </w:r>
      <w:r w:rsidRPr="00CF67E5">
        <w:rPr>
          <w:rFonts w:asciiTheme="majorBidi" w:hAnsiTheme="majorBidi" w:cstheme="majorBidi"/>
          <w:sz w:val="24"/>
          <w:szCs w:val="24"/>
          <w:rtl/>
        </w:rPr>
        <w:t>حتى لو لم يكن النظام معيبًا في ذاته، فإن مسؤولية المطوِّر تقوم بسبب إخفاء حدوده أو التسويق له على نحو يُوهم بالدقة القانونية المطلقة. وتتقاطع هذه الفكرة مع مبادئ الشفافية والمساءلة في وثائق الحوكمة الوطنية لسدايا.</w:t>
      </w:r>
      <w:r w:rsidRPr="00CF67E5">
        <w:rPr>
          <w:rFonts w:asciiTheme="majorBidi" w:hAnsiTheme="majorBidi" w:cstheme="majorBidi"/>
          <w:sz w:val="24"/>
          <w:szCs w:val="24"/>
          <w:vertAlign w:val="superscript"/>
          <w:rtl/>
        </w:rPr>
        <w:footnoteReference w:id="261"/>
      </w:r>
    </w:p>
    <w:p w14:paraId="44273E94"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وبذلك تشمل مسؤولية المطوِّر ثلاثة مستويات: سلامة البنية (Design)، وسلامة المعرفة (Training/Data)، وسلامة التوقعات (Disclosure/Warn)؛ لأن الضرر القانوني لا ينتج فقط من خطأ الحساب، بل من خداع الثقة المهنية بمنتج يُظهر "يقينًا" وهو في الحقيقة "ترجيح لغوي".</w:t>
      </w:r>
    </w:p>
    <w:p w14:paraId="30988A89" w14:textId="77777777" w:rsidR="00CF67E5" w:rsidRPr="00CF67E5" w:rsidRDefault="00CF67E5" w:rsidP="00CF67E5">
      <w:pPr>
        <w:jc w:val="right"/>
        <w:rPr>
          <w:rFonts w:asciiTheme="majorBidi" w:hAnsiTheme="majorBidi" w:cstheme="majorBidi"/>
          <w:sz w:val="24"/>
          <w:szCs w:val="24"/>
        </w:rPr>
      </w:pPr>
    </w:p>
    <w:p w14:paraId="67076A48"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ثانيًا: مسؤولية مقدِّم التقنية — من تشغيل المنصة إلى حراسة البيانات</w:t>
      </w:r>
    </w:p>
    <w:p w14:paraId="2285350F"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يختلف مقدِّم التقنية عن المطوِّر في أنه قد لا يكون صانع الخوارزمية ذاتها، بل مشغِّل البنية التي تُمكِّن من استخدامها: منصة سحابية، وواجهة استخدام، وتخزين بيانات. وقد أشار بعض الباحثين إلى أن توسيع دائرة المسؤولية لتشمل جهات تطوير الأنظمة الذكية ومقدمي المنصات التقنية يُعدُّ اتجاهًا تشريعيًا متناميًا في عدد من الأنظمة المقارنة.</w:t>
      </w:r>
      <w:r w:rsidRPr="00CF67E5">
        <w:rPr>
          <w:rFonts w:asciiTheme="majorBidi" w:hAnsiTheme="majorBidi" w:cstheme="majorBidi"/>
          <w:sz w:val="24"/>
          <w:szCs w:val="24"/>
          <w:vertAlign w:val="superscript"/>
          <w:rtl/>
        </w:rPr>
        <w:footnoteReference w:id="262"/>
      </w:r>
    </w:p>
    <w:p w14:paraId="6B513F50"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وتتحدد مسؤولية مقدِّم التقنية في ثلاثة محاور:</w:t>
      </w:r>
    </w:p>
    <w:p w14:paraId="26F6C91D"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lastRenderedPageBreak/>
        <w:t xml:space="preserve">أمن البيانات وسريتها: </w:t>
      </w:r>
      <w:r w:rsidRPr="00CF67E5">
        <w:rPr>
          <w:rFonts w:asciiTheme="majorBidi" w:hAnsiTheme="majorBidi" w:cstheme="majorBidi"/>
          <w:sz w:val="24"/>
          <w:szCs w:val="24"/>
          <w:rtl/>
        </w:rPr>
        <w:t>يقع على عاتق مقدِّم التقنية التزام بالتدابير الفنية الواجبة لحماية بيانات الموكلين؛ فاختراق المنصة أو تسريب الملفات أو إتلافها يُرتِّب مسؤولية مباشرة، خاصة في ضوء نظام حماية البيانات الشخصية.</w:t>
      </w:r>
      <w:r w:rsidRPr="00CF67E5">
        <w:rPr>
          <w:rFonts w:asciiTheme="majorBidi" w:hAnsiTheme="majorBidi" w:cstheme="majorBidi"/>
          <w:sz w:val="24"/>
          <w:szCs w:val="24"/>
          <w:vertAlign w:val="superscript"/>
          <w:rtl/>
        </w:rPr>
        <w:footnoteReference w:id="263"/>
      </w:r>
    </w:p>
    <w:p w14:paraId="648E2A7C"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سلامة التشغيل والاعتمادية: </w:t>
      </w:r>
      <w:r w:rsidRPr="00CF67E5">
        <w:rPr>
          <w:rFonts w:asciiTheme="majorBidi" w:hAnsiTheme="majorBidi" w:cstheme="majorBidi"/>
          <w:sz w:val="24"/>
          <w:szCs w:val="24"/>
          <w:rtl/>
        </w:rPr>
        <w:t>انقطاع الخدمة أو فقدان الملفات أو خلل التزامن ليس ضررًا تقنيًا فحسب؛ بل قد يُفوِّت مواعيد، أو يُسقط دفاعًا، أو يُضعف مركزًا قانونيًا. ومن هنا تتداخل مسؤولية مقدِّم التقنية مع فكرة الضرر المهني.</w:t>
      </w:r>
      <w:r w:rsidRPr="00CF67E5">
        <w:rPr>
          <w:rFonts w:asciiTheme="majorBidi" w:hAnsiTheme="majorBidi" w:cstheme="majorBidi"/>
          <w:sz w:val="24"/>
          <w:szCs w:val="24"/>
          <w:vertAlign w:val="superscript"/>
          <w:rtl/>
        </w:rPr>
        <w:footnoteReference w:id="264"/>
      </w:r>
    </w:p>
    <w:p w14:paraId="3D00C5CB"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حدود شروط الإعفاء التعاقدية: </w:t>
      </w:r>
      <w:r w:rsidRPr="00CF67E5">
        <w:rPr>
          <w:rFonts w:asciiTheme="majorBidi" w:hAnsiTheme="majorBidi" w:cstheme="majorBidi"/>
          <w:sz w:val="24"/>
          <w:szCs w:val="24"/>
          <w:rtl/>
        </w:rPr>
        <w:t>يميل مزوِّدو التقنية إلى إدراج شروط مقيِّدة للمسؤولية، غير أن القواعد العامة لا تُجيز الاتفاق على الإعفاء من المسؤولية عن الغش أو الخطأ الجسيم. كما أن التزامات حماية البيانات لا يمكن تفريغها من مضمونها بعبارات تعاقدية عامة.</w:t>
      </w:r>
    </w:p>
    <w:p w14:paraId="61B0C20E"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وخلاصة الرأي أن مقدِّم التقنية يجب أن يُعامَل في البيئة القانونية كطرف ذي مسؤولية حساسة؛ لأن خطأه لا يُخرِّب ملفًا فقط، بل قد يضرب جوهر السرية المهنية وثقة العدالة الرقمية. لذا ينبغي أن يكون معيار العناية لديه أعلى من الخدمات التقنية العامة، بحكم طبيعة البيانات والآثار.</w:t>
      </w:r>
    </w:p>
    <w:p w14:paraId="55116D99" w14:textId="77777777" w:rsidR="00CF67E5" w:rsidRPr="00CF67E5" w:rsidRDefault="00CF67E5" w:rsidP="00CF67E5">
      <w:pPr>
        <w:jc w:val="right"/>
        <w:rPr>
          <w:rFonts w:asciiTheme="majorBidi" w:hAnsiTheme="majorBidi" w:cstheme="majorBidi"/>
          <w:sz w:val="24"/>
          <w:szCs w:val="24"/>
        </w:rPr>
      </w:pPr>
    </w:p>
    <w:p w14:paraId="18A6709C"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ثالثًا: مسؤولية المستخدم المهني وفق معيار الرقابة الفعلية وقابلية الاكتشاف</w:t>
      </w:r>
    </w:p>
    <w:p w14:paraId="443AC4F9"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إذا كان المطوِّر يُسأل عن العيب التصميمي، ومقدِّم التقنية يُسأل عن سلامة البنية التشغيلية، فإن المستخدم المهني يظل محورًا أساسيًا في شبكة الإسناد. غير أن مسؤوليته لا تُفهم بمعزل عن بقية الأطراف، بل ضمن مفهوم تعدد مصادر الخطر.</w:t>
      </w:r>
      <w:r w:rsidRPr="00CF67E5">
        <w:rPr>
          <w:rFonts w:asciiTheme="majorBidi" w:hAnsiTheme="majorBidi" w:cstheme="majorBidi"/>
          <w:sz w:val="24"/>
          <w:szCs w:val="24"/>
          <w:vertAlign w:val="superscript"/>
          <w:rtl/>
        </w:rPr>
        <w:footnoteReference w:id="265"/>
      </w:r>
    </w:p>
    <w:p w14:paraId="1DA3560E"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وتتحدد مسؤولية المستخدم المهني وفق معيار "قابلية اكتشاف الخلل بالمراجعة المهنية المعتادة"، مع مراعاة ثلاثة عناصر: درجة التدخل البشري في القرار النهائي، وقابلية اكتشاف الخلل بالمراجعة المهنية المعتادة، وحساسية المسألة محل الاستخدام.</w:t>
      </w:r>
      <w:r w:rsidRPr="00CF67E5">
        <w:rPr>
          <w:rFonts w:asciiTheme="majorBidi" w:hAnsiTheme="majorBidi" w:cstheme="majorBidi"/>
          <w:sz w:val="24"/>
          <w:szCs w:val="24"/>
          <w:vertAlign w:val="superscript"/>
          <w:rtl/>
        </w:rPr>
        <w:footnoteReference w:id="266"/>
      </w:r>
    </w:p>
    <w:p w14:paraId="1E292982"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الخطأ الظاهر: </w:t>
      </w:r>
      <w:r w:rsidRPr="00CF67E5">
        <w:rPr>
          <w:rFonts w:asciiTheme="majorBidi" w:hAnsiTheme="majorBidi" w:cstheme="majorBidi"/>
          <w:sz w:val="24"/>
          <w:szCs w:val="24"/>
          <w:rtl/>
        </w:rPr>
        <w:t>إذا كان الخطأ ظاهرًا — إحالة نظامية خاطئة، سابقة وهمية، خلط بين منظومتين تشريعيتين — وكان بمقدور محامٍ حريص اكتشافه، فإن الإخلال هنا مهني بامتياز وتميل المسؤولية إلى المستخدم.</w:t>
      </w:r>
    </w:p>
    <w:p w14:paraId="2C2A3293"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الخلل الخفي البنيوي: </w:t>
      </w:r>
      <w:r w:rsidRPr="00CF67E5">
        <w:rPr>
          <w:rFonts w:asciiTheme="majorBidi" w:hAnsiTheme="majorBidi" w:cstheme="majorBidi"/>
          <w:sz w:val="24"/>
          <w:szCs w:val="24"/>
          <w:rtl/>
        </w:rPr>
        <w:t>أما إذا كان الخلل خفيًا بنيويًا لا يظهر إلا بفحص تقني متخصص يتجاوز حدود المراجعة المهنية المعتادة، فإن تحميل المستخدم وحده كامل المسؤولية يقترب من المسؤولية المطلقة — وهو ما يُحذِّر منه الفقه المعاصر.</w:t>
      </w:r>
    </w:p>
    <w:p w14:paraId="69E2FCC7"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وعليه، فإن المعيار العادل هو "إشراف معقول + تحقق معقول"؛ فإذا تحقق هذا الإشراف انتقلت بؤرة المسؤولية إلى المطوِّر أو مقدِّم التقنية بحسب مصدر الخلل. أما إذا غاب الإشراف فلا معنى للحديث عن الغموض الخوارزمي؛ لأن الإهمال المهني قائم بذاته.</w:t>
      </w:r>
    </w:p>
    <w:p w14:paraId="44085428" w14:textId="77777777" w:rsidR="00CF67E5" w:rsidRPr="00CF67E5" w:rsidRDefault="00CF67E5" w:rsidP="00CF67E5">
      <w:pPr>
        <w:jc w:val="right"/>
        <w:rPr>
          <w:rFonts w:asciiTheme="majorBidi" w:hAnsiTheme="majorBidi" w:cstheme="majorBidi"/>
          <w:sz w:val="24"/>
          <w:szCs w:val="24"/>
        </w:rPr>
      </w:pPr>
    </w:p>
    <w:p w14:paraId="0E9151A9"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رابعًا: التضامن والنسبية في توزيع المسؤولية — ثلاث مدارس للإسناد</w:t>
      </w:r>
    </w:p>
    <w:p w14:paraId="77F66CAD"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lastRenderedPageBreak/>
        <w:t>يثور في بيئة تعدد أطراف المسؤولية سؤال دقيق: هل تُعدُّ مسؤولية المطوِّر والمستخدم ومقدِّم التقنية تضامنية بحيث يحق للمتضرر الرجوع على أي منهم بكامل التعويض؟ أم أنها نسبية توزَّع بحسب درجة الخطأ والمساهمة في الضرر؟ ويتنازع الإجابة ثلاث مدارس فقهية معاصرة:</w:t>
      </w:r>
      <w:r w:rsidRPr="00CF67E5">
        <w:rPr>
          <w:rFonts w:asciiTheme="majorBidi" w:hAnsiTheme="majorBidi" w:cstheme="majorBidi"/>
          <w:sz w:val="24"/>
          <w:szCs w:val="24"/>
          <w:vertAlign w:val="superscript"/>
          <w:rtl/>
        </w:rPr>
        <w:footnoteReference w:id="267"/>
      </w:r>
    </w:p>
    <w:p w14:paraId="43B41019"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مدرسة الإسناد إلى صاحب الاعتماد النهائي (Decision-based liability): </w:t>
      </w:r>
      <w:r w:rsidRPr="00CF67E5">
        <w:rPr>
          <w:rFonts w:asciiTheme="majorBidi" w:hAnsiTheme="majorBidi" w:cstheme="majorBidi"/>
          <w:sz w:val="24"/>
          <w:szCs w:val="24"/>
          <w:rtl/>
        </w:rPr>
        <w:t>وتقوم على أن الطرف الذي اعتمد المخرج وقدَّمه للغير هو الأقرب لتحمُّل التبعة؛ لأنها مسؤولية مرتبطة بالقرار النهائي لا بآلية التوليد. هذه المدرسة تغري بالبساطة لكنها قد تظلم المستخدم إذا كان العيب بنيويًا خفيًا.</w:t>
      </w:r>
      <w:r w:rsidRPr="00CF67E5">
        <w:rPr>
          <w:rFonts w:asciiTheme="majorBidi" w:hAnsiTheme="majorBidi" w:cstheme="majorBidi"/>
          <w:sz w:val="24"/>
          <w:szCs w:val="24"/>
          <w:vertAlign w:val="superscript"/>
          <w:rtl/>
        </w:rPr>
        <w:footnoteReference w:id="268"/>
      </w:r>
    </w:p>
    <w:p w14:paraId="6DDA749B"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مدرسة الإسناد إلى صاحب التصميم (Design-based liability): </w:t>
      </w:r>
      <w:r w:rsidRPr="00CF67E5">
        <w:rPr>
          <w:rFonts w:asciiTheme="majorBidi" w:hAnsiTheme="majorBidi" w:cstheme="majorBidi"/>
          <w:sz w:val="24"/>
          <w:szCs w:val="24"/>
          <w:rtl/>
        </w:rPr>
        <w:t>وترى أن المسؤولية الأصلية تثبت حيث ينشأ الخطر: في مرحلة التدريب والتصميم واختبار المنتج قبل طرحه. وهذا قريب من القياس على "عيب المنتج" في قانون المسؤولية التقليدي.</w:t>
      </w:r>
      <w:r w:rsidRPr="00CF67E5">
        <w:rPr>
          <w:rFonts w:asciiTheme="majorBidi" w:hAnsiTheme="majorBidi" w:cstheme="majorBidi"/>
          <w:sz w:val="24"/>
          <w:szCs w:val="24"/>
          <w:vertAlign w:val="superscript"/>
          <w:rtl/>
        </w:rPr>
        <w:footnoteReference w:id="269"/>
      </w:r>
    </w:p>
    <w:p w14:paraId="70B8633B"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مدرسة السيطرة والرقابة الفعلية (Control-based liability) — المدرسة الراجحة: </w:t>
      </w:r>
      <w:r w:rsidRPr="00CF67E5">
        <w:rPr>
          <w:rFonts w:asciiTheme="majorBidi" w:hAnsiTheme="majorBidi" w:cstheme="majorBidi"/>
          <w:sz w:val="24"/>
          <w:szCs w:val="24"/>
          <w:rtl/>
        </w:rPr>
        <w:t>لا تتوقف عند من اتخذ القرار فحسب، ولا عند من صمَّم النظام فحسب، بل تسأل: من كان يملك القدرة الواقعية على منع الضرر أو تقليله في المرحلة التي وقع فيها؟ وهذا يتسق مع مبدأ المساءلة بوصفه ركنًا حاكمًا في وثائق سدايا.</w:t>
      </w:r>
      <w:r w:rsidRPr="00CF67E5">
        <w:rPr>
          <w:rFonts w:asciiTheme="majorBidi" w:hAnsiTheme="majorBidi" w:cstheme="majorBidi"/>
          <w:sz w:val="24"/>
          <w:szCs w:val="24"/>
          <w:vertAlign w:val="superscript"/>
          <w:rtl/>
        </w:rPr>
        <w:footnoteReference w:id="270"/>
      </w:r>
    </w:p>
    <w:p w14:paraId="6CC3B143"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وانطلاقًا من هذه المدارس، يقترح الباحث "مصفوفة إسناد" تربط نوع الخلل بالطرف الأقرب للسيطرة: عيب التصميم → المطوِّر. عيب التدريب والبيانات → المطوِّر مع مسؤولية مشتركة إذا كان المزوِّد يُعدِّل البيانات. خلل التشغيل أو التخزين أو الاختراق → مقدِّم التقنية. اعتماد دون تحقق أو إدخال بيانات خاطئة → المستخدم المهني. الحالات المركبة → مسؤولية مشتركة أمام المتضرر مع رجوع داخلي منضبط بحسب المساهمة.</w:t>
      </w:r>
    </w:p>
    <w:p w14:paraId="2A7447A9"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وبهذا التصور لا يُعدُّ "الصندوق الأسود" مبررًا للإفلات، ولا تُصبح المهنة ضحية خطأ تقني لا تملك السيطرة عليه منفردة. ومن الواقعي أن يظل المكتب مسؤولًا أمام الموكل لأنه صاحب العلاقة العقدية والواجهة المهنية، مع فتح باب الرجوع الداخلي على المطوِّر أو مقدِّم التقنية وفقًا لمصدر الخلل.</w:t>
      </w:r>
    </w:p>
    <w:p w14:paraId="49EDDCA9" w14:textId="77777777" w:rsidR="00CF67E5" w:rsidRPr="00CF67E5" w:rsidRDefault="00CF67E5" w:rsidP="00CF67E5">
      <w:pPr>
        <w:jc w:val="right"/>
        <w:rPr>
          <w:rFonts w:asciiTheme="majorBidi" w:hAnsiTheme="majorBidi" w:cstheme="majorBidi"/>
          <w:sz w:val="24"/>
          <w:szCs w:val="24"/>
        </w:rPr>
      </w:pPr>
    </w:p>
    <w:p w14:paraId="45371710"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خامسًا: التجربة الأوروبية مرجعًا مقارنًا — قانون الذكاء الاصطناعي (EU AI Act 2024)</w:t>
      </w:r>
    </w:p>
    <w:p w14:paraId="6D7C8837"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أقرَّ البرلمان الأوروبي قانون الذكاء الاصطناعي في مارس 2024م ليكون أول إطار تنظيمي شامل ومُلزِم لتنظيم الذكاء الاصطناعي في العالم. واعتمد نهجًا قائمًا على تصنيف الأنظمة وفق مستويات المخاطر، وفرض على الأنظمة عالية المخاطر اشتراطاتٍ صارمة تشمل الشفافية، واستمرارية الإشراف البشري، والتوثيق التقني.</w:t>
      </w:r>
      <w:r w:rsidRPr="00CF67E5">
        <w:rPr>
          <w:rFonts w:asciiTheme="majorBidi" w:hAnsiTheme="majorBidi" w:cstheme="majorBidi"/>
          <w:sz w:val="24"/>
          <w:szCs w:val="24"/>
          <w:vertAlign w:val="superscript"/>
          <w:rtl/>
        </w:rPr>
        <w:footnoteReference w:id="271"/>
      </w:r>
    </w:p>
    <w:p w14:paraId="5D82AA27"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وتكشف التجربة الأوروبية عن ثلاثة دروس جوهرية للمنظومة السعودية:</w:t>
      </w:r>
    </w:p>
    <w:p w14:paraId="78C683E3" w14:textId="77777777" w:rsidR="00CF67E5" w:rsidRPr="00CF67E5" w:rsidRDefault="00CF67E5" w:rsidP="00A02FE3">
      <w:pPr>
        <w:bidi/>
        <w:spacing w:line="259" w:lineRule="auto"/>
        <w:ind w:left="360"/>
        <w:rPr>
          <w:rFonts w:asciiTheme="majorBidi" w:hAnsiTheme="majorBidi" w:cstheme="majorBidi"/>
          <w:sz w:val="24"/>
          <w:szCs w:val="24"/>
        </w:rPr>
      </w:pPr>
      <w:r w:rsidRPr="00CF67E5">
        <w:rPr>
          <w:rFonts w:asciiTheme="majorBidi" w:hAnsiTheme="majorBidi" w:cstheme="majorBidi"/>
          <w:sz w:val="24"/>
          <w:szCs w:val="24"/>
          <w:rtl/>
        </w:rPr>
        <w:lastRenderedPageBreak/>
        <w:t>ضرورة تصنيف أنظمة الذكاء الاصطناعي بحسب درجة الخطورة؛ إذ يُتيح التصنيف التدريجي تخصيص الموارد الرقابية بكفاءة أعلى، ويُوجِّه أشد الاشتراطات صرامةً نحو الأنظمة الأعلى خطورة.</w:t>
      </w:r>
      <w:r w:rsidRPr="00CF67E5">
        <w:rPr>
          <w:rFonts w:asciiTheme="majorBidi" w:hAnsiTheme="majorBidi" w:cstheme="majorBidi"/>
          <w:sz w:val="24"/>
          <w:szCs w:val="24"/>
          <w:vertAlign w:val="superscript"/>
          <w:rtl/>
        </w:rPr>
        <w:footnoteReference w:id="272"/>
      </w:r>
    </w:p>
    <w:p w14:paraId="72BEA6F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التمييز الواضح بين مزوِّد النظام ومستخدِمه المهني؛ وإناطة كل منهما بالتزامات رقابية مستقلة، بما فيها التحقق من خلو النظام الذكي من المخاطر العالية قبل توظيفه في الخدمات القانونية الحساسة.</w:t>
      </w:r>
      <w:r w:rsidRPr="00CF67E5">
        <w:rPr>
          <w:rFonts w:asciiTheme="majorBidi" w:hAnsiTheme="majorBidi" w:cstheme="majorBidi"/>
          <w:sz w:val="24"/>
          <w:szCs w:val="24"/>
          <w:vertAlign w:val="superscript"/>
          <w:rtl/>
        </w:rPr>
        <w:footnoteReference w:id="273"/>
      </w:r>
    </w:p>
    <w:p w14:paraId="1718CD6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توسيع مفهوم "المنتج" ليشمل البرمجيات والأنظمة الذكية، بما يُتيح تطبيق قواعد مسؤولية المنتج المعيب على الخوارزميات، وتخفيف عبء الإثبات عن المتضرر عند ثبوت الاستخدام والضرر.</w:t>
      </w:r>
    </w:p>
    <w:p w14:paraId="2D8D3A72" w14:textId="77777777" w:rsidR="00CF67E5" w:rsidRPr="00CF67E5" w:rsidRDefault="00CF67E5" w:rsidP="00A02FE3">
      <w:pPr>
        <w:rPr>
          <w:rFonts w:asciiTheme="majorBidi" w:hAnsiTheme="majorBidi" w:cstheme="majorBidi"/>
          <w:sz w:val="24"/>
          <w:szCs w:val="24"/>
        </w:rPr>
      </w:pPr>
      <w:r w:rsidRPr="00CF67E5">
        <w:rPr>
          <w:rFonts w:asciiTheme="majorBidi" w:hAnsiTheme="majorBidi" w:cstheme="majorBidi"/>
          <w:sz w:val="24"/>
          <w:szCs w:val="24"/>
          <w:rtl/>
        </w:rPr>
        <w:t>غير أن الباحث لا يرى أن نقل النموذج الأوروبي بحذافيره مناسب، لأن البيئة المهنية السعودية — خاصة في مهنة المحاماة — تقوم على مركز مهني شخصي يختلف عن البيئات الأوروبية ذات الطابع المؤسسي الأوسع. لكن التجربة الأوروبية تبقى مرجعًا مقارنًا بالغ الأهمية عند بناء منظومة تنظيمية مماثلة.</w:t>
      </w:r>
      <w:r w:rsidRPr="00CF67E5">
        <w:rPr>
          <w:rFonts w:asciiTheme="majorBidi" w:hAnsiTheme="majorBidi" w:cstheme="majorBidi"/>
          <w:sz w:val="24"/>
          <w:szCs w:val="24"/>
          <w:vertAlign w:val="superscript"/>
          <w:rtl/>
        </w:rPr>
        <w:footnoteReference w:id="274"/>
      </w:r>
    </w:p>
    <w:p w14:paraId="1E07E036" w14:textId="77777777" w:rsidR="00CF67E5" w:rsidRPr="00CF67E5" w:rsidRDefault="00CF67E5" w:rsidP="00CF67E5">
      <w:pPr>
        <w:jc w:val="right"/>
        <w:rPr>
          <w:rFonts w:asciiTheme="majorBidi" w:hAnsiTheme="majorBidi" w:cstheme="majorBidi"/>
          <w:sz w:val="24"/>
          <w:szCs w:val="24"/>
        </w:rPr>
      </w:pPr>
    </w:p>
    <w:p w14:paraId="2F314552"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سادسًا: نحو تصور تنظيمي متوازن في السياق السعودي</w:t>
      </w:r>
    </w:p>
    <w:p w14:paraId="103D1C21" w14:textId="77777777" w:rsidR="00CF67E5" w:rsidRPr="00CF67E5" w:rsidRDefault="00CF67E5" w:rsidP="00A02FE3">
      <w:pPr>
        <w:rPr>
          <w:rFonts w:asciiTheme="majorBidi" w:hAnsiTheme="majorBidi" w:cstheme="majorBidi"/>
          <w:sz w:val="24"/>
          <w:szCs w:val="24"/>
        </w:rPr>
      </w:pPr>
      <w:r w:rsidRPr="00CF67E5">
        <w:rPr>
          <w:rFonts w:asciiTheme="majorBidi" w:hAnsiTheme="majorBidi" w:cstheme="majorBidi"/>
          <w:sz w:val="24"/>
          <w:szCs w:val="24"/>
          <w:rtl/>
        </w:rPr>
        <w:t>في ضوء التحليل السابق للمنظومة النظامية السعودية القائمة — نظام المعاملات المدنية، ونظام حماية البيانات الشخصية، ومبادئ الحوكمة الوطنية لسدايا — يقترح الباحث تصورًا تنظيميًا يقوم على خمسة محاور:</w:t>
      </w:r>
      <w:r w:rsidRPr="00CF67E5">
        <w:rPr>
          <w:rFonts w:asciiTheme="majorBidi" w:hAnsiTheme="majorBidi" w:cstheme="majorBidi"/>
          <w:sz w:val="24"/>
          <w:szCs w:val="24"/>
          <w:vertAlign w:val="superscript"/>
          <w:rtl/>
        </w:rPr>
        <w:footnoteReference w:id="275"/>
      </w:r>
    </w:p>
    <w:p w14:paraId="136CE074"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الإبقاء على المسؤولية القائمة على الخطأ أساسًا عامًا، مع استحداث معيار موضوعي مرن يراعي التعقيد التقني ولا يُحوِّل الغموض الخوارزمي إلى حصانة للمتسببين في الضرر.</w:t>
      </w:r>
    </w:p>
    <w:p w14:paraId="52EB7A09"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اعتماد معيار السيطرة الفعلية لتوزيع المسؤولية بين الأطراف، مع التفريق بين مسؤولية المطوِّر عن البنية التصميمية، ومسؤولية مقدِّم التقنية عن البيئة التشغيلية، ومسؤولية المستخدم المهني عن قرار الاعتماد والتحقق.</w:t>
      </w:r>
      <w:r w:rsidRPr="00CF67E5">
        <w:rPr>
          <w:rFonts w:asciiTheme="majorBidi" w:hAnsiTheme="majorBidi" w:cstheme="majorBidi"/>
          <w:sz w:val="24"/>
          <w:szCs w:val="24"/>
          <w:vertAlign w:val="superscript"/>
          <w:rtl/>
        </w:rPr>
        <w:footnoteReference w:id="276"/>
      </w:r>
    </w:p>
    <w:p w14:paraId="2EB59871"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إلزام المطوِّرين بواجب إفصاح تقني واضح يشمل حدود النظام ومجالات استخدامه المقصودة وغير المقصودة، بحيث يتمكن المستخدم المهني من ممارسة رقابة فعَّالة مستنيرة.</w:t>
      </w:r>
      <w:r w:rsidRPr="00CF67E5">
        <w:rPr>
          <w:rFonts w:asciiTheme="majorBidi" w:hAnsiTheme="majorBidi" w:cstheme="majorBidi"/>
          <w:sz w:val="24"/>
          <w:szCs w:val="24"/>
          <w:vertAlign w:val="superscript"/>
          <w:rtl/>
        </w:rPr>
        <w:footnoteReference w:id="277"/>
      </w:r>
    </w:p>
    <w:p w14:paraId="07A5F37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تمكين المتضرر من الرجوع تضامنيًا في الحالات المختلطة التي يتعذر فيها تحديد نسبة مساهمة كل طرف، مع تنظيم الرجوع الداخلي بين الأطراف وفقًا لدرجة مساهمتهم وفق سجلات المنصة أو تقارير الخبرة.</w:t>
      </w:r>
    </w:p>
    <w:p w14:paraId="047A73A7"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lastRenderedPageBreak/>
        <w:t>استحداث تصنيف تشريعي للأنظمة الذكية القانونية بحسب درجة الخطورة، على غرار النموذج الأوروبي، مع مراعاة خصوصية البيئة المهنية السعودية وأولويات التحول الرقمي في منظومة العدالة.</w:t>
      </w:r>
      <w:r w:rsidRPr="00CF67E5">
        <w:rPr>
          <w:rFonts w:asciiTheme="majorBidi" w:hAnsiTheme="majorBidi" w:cstheme="majorBidi"/>
          <w:sz w:val="24"/>
          <w:szCs w:val="24"/>
          <w:vertAlign w:val="superscript"/>
          <w:rtl/>
        </w:rPr>
        <w:footnoteReference w:id="278"/>
      </w:r>
    </w:p>
    <w:p w14:paraId="68B38975" w14:textId="77777777" w:rsidR="00CF67E5" w:rsidRPr="00CF67E5" w:rsidRDefault="00CF67E5" w:rsidP="00A02FE3">
      <w:pPr>
        <w:jc w:val="right"/>
        <w:rPr>
          <w:rFonts w:asciiTheme="majorBidi" w:hAnsiTheme="majorBidi" w:cstheme="majorBidi"/>
          <w:sz w:val="24"/>
          <w:szCs w:val="24"/>
        </w:rPr>
      </w:pPr>
      <w:r w:rsidRPr="00CF67E5">
        <w:rPr>
          <w:rFonts w:asciiTheme="majorBidi" w:hAnsiTheme="majorBidi" w:cstheme="majorBidi"/>
          <w:sz w:val="24"/>
          <w:szCs w:val="24"/>
          <w:rtl/>
        </w:rPr>
        <w:t>والهدف الحقيقي من هذا التصور ليس توسيع المسؤولية، بل توضيحها وضبط معاييرها بحيث: لا تُفرِّغ حماية الموكل من مضمونها، ولا تُحبط التطوير التقني داخل المهنة، ولا تُحمِّل المحامي عبئًا تقنيًا يتجاوز قدرته الواقعية على السيطرة.</w:t>
      </w:r>
    </w:p>
    <w:p w14:paraId="4AAD4BC2" w14:textId="77777777" w:rsidR="00CF67E5" w:rsidRPr="00CF67E5" w:rsidRDefault="00CF67E5" w:rsidP="00A02FE3">
      <w:pPr>
        <w:jc w:val="right"/>
        <w:rPr>
          <w:rFonts w:asciiTheme="majorBidi" w:hAnsiTheme="majorBidi" w:cstheme="majorBidi"/>
          <w:sz w:val="24"/>
          <w:szCs w:val="24"/>
        </w:rPr>
      </w:pPr>
    </w:p>
    <w:p w14:paraId="3A296FD5" w14:textId="6444556F" w:rsidR="00CF67E5" w:rsidRPr="00CF67E5" w:rsidRDefault="00A02FE3" w:rsidP="00A02FE3">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sidR="00CF67E5" w:rsidRPr="00CF67E5">
        <w:rPr>
          <w:rFonts w:asciiTheme="majorBidi" w:hAnsiTheme="majorBidi" w:cstheme="majorBidi"/>
          <w:sz w:val="24"/>
          <w:szCs w:val="24"/>
          <w:rtl/>
        </w:rPr>
        <w:t>يتضح من التحليل أن مسؤولية الذكاء الاصطناعي في المجال القانوني لا يمكن اختزالها في ثنائية تقليدية بين "فاعل" و"متضرر"، بل هي مسؤولية تتشكَّل داخل بنية تقنية ومهنية مركَّبة تتوزع فيها أدوار السيطرة والرقابة والتصميم والتشغيل والاعتماد. فالمطوِّر يضع الأساس البنيوي للمنظومة، ومقدِّم التقنية يسيطر على بيئة التشغيل وحراسة البيانات، والمستخدم المهني يتخذ قرار الاعتماد النهائي الذي يمنح المخرج صفة قانونية ملزِمة.</w:t>
      </w:r>
    </w:p>
    <w:p w14:paraId="7306E912" w14:textId="12EA4891" w:rsidR="00CF598B" w:rsidRPr="00AA1B4E" w:rsidRDefault="00CF67E5" w:rsidP="00A02FE3">
      <w:pPr>
        <w:jc w:val="right"/>
        <w:rPr>
          <w:rFonts w:asciiTheme="majorBidi" w:hAnsiTheme="majorBidi" w:cstheme="majorBidi"/>
          <w:sz w:val="24"/>
          <w:szCs w:val="24"/>
        </w:rPr>
      </w:pPr>
      <w:r w:rsidRPr="00CF67E5">
        <w:rPr>
          <w:rFonts w:asciiTheme="majorBidi" w:hAnsiTheme="majorBidi" w:cstheme="majorBidi"/>
          <w:sz w:val="24"/>
          <w:szCs w:val="24"/>
          <w:rtl/>
        </w:rPr>
        <w:t>ومن ثَمَّ، فإن مسؤولية الذكاء الاصطناعي في مكاتب المحاماة يجب أن تُفهم بوصفها مسؤولية متعددة المستويات: تصميمية وتشغيلية ومهنية — تُدار وفق منطق السيطرة والرقابة والاعتماد الواعي، لا وفق منطق الإسناد الأحادي. وبهذا التأسيس يمكن الانتقال إلى بناء إطار تنظيمي مقترح يُحوِّل هذا التحليل النظري إلى معايير إجرائية قابلة للتطبيق في البيئة النظامية السعودية.</w:t>
      </w:r>
    </w:p>
    <w:p w14:paraId="6B284562" w14:textId="77777777" w:rsidR="00CF598B" w:rsidRPr="00AA1B4E"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 xml:space="preserve">وقد أظهرت الدراسة أن الاعتماد على معيار الفعل المادي وحده لا يكفي لضبط الإسناد، كما أن تحميل المستخدم المهني تبعة كل خلل تقني يُفضي إلى مسؤولية شبه مطلقة لا تتفق مع العدالة النظامية ولا مع تشجيع الابتكار. ومن ثم، فإن معيار </w:t>
      </w:r>
      <w:r>
        <w:rPr>
          <w:rFonts w:asciiTheme="majorBidi" w:hAnsiTheme="majorBidi" w:cstheme="majorBidi"/>
          <w:b/>
          <w:bCs/>
          <w:sz w:val="24"/>
          <w:szCs w:val="24"/>
          <w:rtl/>
        </w:rPr>
        <w:t>السيطرة الفعلية على مصدر الخطر</w:t>
      </w:r>
      <w:r>
        <w:rPr>
          <w:rFonts w:asciiTheme="majorBidi" w:hAnsiTheme="majorBidi" w:cstheme="majorBidi"/>
          <w:sz w:val="24"/>
          <w:szCs w:val="24"/>
          <w:rtl/>
        </w:rPr>
        <w:t xml:space="preserve">، مقرونًا بمعيار </w:t>
      </w:r>
      <w:r>
        <w:rPr>
          <w:rFonts w:asciiTheme="majorBidi" w:hAnsiTheme="majorBidi" w:cstheme="majorBidi"/>
          <w:b/>
          <w:bCs/>
          <w:sz w:val="24"/>
          <w:szCs w:val="24"/>
          <w:rtl/>
        </w:rPr>
        <w:t>قابلية اكتشاف الخلل بالمراجعة المهنية المعتادة</w:t>
      </w:r>
      <w:r>
        <w:rPr>
          <w:rFonts w:asciiTheme="majorBidi" w:hAnsiTheme="majorBidi" w:cstheme="majorBidi"/>
          <w:sz w:val="24"/>
          <w:szCs w:val="24"/>
          <w:rtl/>
        </w:rPr>
        <w:t>، يمثلان الأساس الأكثر اتزانًا لتوزيع المسؤولية بين الأطراف</w:t>
      </w:r>
      <w:r>
        <w:rPr>
          <w:rFonts w:asciiTheme="majorBidi" w:hAnsiTheme="majorBidi" w:cstheme="majorBidi"/>
          <w:sz w:val="24"/>
          <w:szCs w:val="24"/>
        </w:rPr>
        <w:t>.</w:t>
      </w:r>
    </w:p>
    <w:p w14:paraId="5D6B2710" w14:textId="595245C0" w:rsidR="00CF598B" w:rsidRPr="00AA1B4E" w:rsidRDefault="00CF598B" w:rsidP="00A02FE3">
      <w:pPr>
        <w:ind w:left="720"/>
        <w:jc w:val="right"/>
        <w:rPr>
          <w:rFonts w:asciiTheme="majorBidi" w:hAnsiTheme="majorBidi" w:cstheme="majorBidi"/>
          <w:sz w:val="24"/>
          <w:szCs w:val="24"/>
        </w:rPr>
      </w:pPr>
      <w:r>
        <w:rPr>
          <w:rFonts w:asciiTheme="majorBidi" w:hAnsiTheme="majorBidi" w:cstheme="majorBidi"/>
          <w:sz w:val="24"/>
          <w:szCs w:val="24"/>
          <w:rtl/>
        </w:rPr>
        <w:t>كما أن تحليل عيوب التصميم والتدريب، وواجب التحذير، ومسؤولية البنية التشغيلية، ومسألة التضامن في الحالات المختلطة، يكشف أن المسؤولية في هذا السياق ليست “إعفاءً أو إدانة”، بل عملية ضبط دقيق للعلاقة بين الخطر ومن يملك أدوات التحكم فيه. فحيث يثبت العيب البنيوي تنعقد المسؤولية في جانب المطوّر، وحيث يثبت خلل الأمان أو التخزين تتجه إلى مقدم التقنية، وحيث يثبت الاعتماد غير المتحقق أو الإدخال الخاطئ تتحملها جهة الاستخدام المهني</w:t>
      </w:r>
      <w:r>
        <w:rPr>
          <w:rFonts w:asciiTheme="majorBidi" w:hAnsiTheme="majorBidi" w:cstheme="majorBidi"/>
          <w:sz w:val="24"/>
          <w:szCs w:val="24"/>
        </w:rPr>
        <w:t>.</w:t>
      </w:r>
    </w:p>
    <w:p w14:paraId="4166754C" w14:textId="370EB251" w:rsidR="00CF598B" w:rsidRDefault="00CF598B" w:rsidP="00A02FE3">
      <w:pPr>
        <w:ind w:left="720"/>
        <w:jc w:val="right"/>
        <w:rPr>
          <w:rFonts w:asciiTheme="majorBidi" w:hAnsiTheme="majorBidi" w:cstheme="majorBidi"/>
          <w:sz w:val="24"/>
          <w:szCs w:val="24"/>
        </w:rPr>
      </w:pPr>
      <w:r>
        <w:rPr>
          <w:rFonts w:asciiTheme="majorBidi" w:hAnsiTheme="majorBidi" w:cstheme="majorBidi"/>
          <w:sz w:val="24"/>
          <w:szCs w:val="24"/>
          <w:rtl/>
        </w:rPr>
        <w:t xml:space="preserve">وعليه، فإن مسؤولية الذكاء الاصطناعي في مكاتب المحاماة يجب أن تُفهم بوصفها مسؤولية </w:t>
      </w:r>
      <w:r>
        <w:rPr>
          <w:rFonts w:asciiTheme="majorBidi" w:hAnsiTheme="majorBidi" w:cstheme="majorBidi"/>
          <w:b/>
          <w:bCs/>
          <w:sz w:val="24"/>
          <w:szCs w:val="24"/>
          <w:rtl/>
        </w:rPr>
        <w:t>متعددة المستويات</w:t>
      </w:r>
      <w:r>
        <w:rPr>
          <w:rFonts w:asciiTheme="majorBidi" w:hAnsiTheme="majorBidi" w:cstheme="majorBidi"/>
          <w:sz w:val="24"/>
          <w:szCs w:val="24"/>
        </w:rPr>
        <w:t xml:space="preserve">: </w:t>
      </w:r>
      <w:r>
        <w:rPr>
          <w:rFonts w:asciiTheme="majorBidi" w:hAnsiTheme="majorBidi" w:cstheme="majorBidi"/>
          <w:sz w:val="24"/>
          <w:szCs w:val="24"/>
          <w:rtl/>
        </w:rPr>
        <w:t>تصميمية، تشغيلية، ومهنية، تُدار وفق منطق السيطرة والرقابة والاعتماد الواعي، لا وفق منطق الإسناد الأحادي. وبهذا التأسيس يمكن الانتقال – في الفصل اللاحق – إلى بناء إطار تنظيمي مقترح يحدد هذه الحدود بصورة أكثر وضوحًا، ويُحوّل هذا التحليل النظري إلى معايير إجرائية قابلة للتطبيق في البيئة النظامية السعودية</w:t>
      </w:r>
    </w:p>
    <w:p w14:paraId="6A540D42" w14:textId="77777777" w:rsidR="00A02FE3" w:rsidRPr="003A3742" w:rsidRDefault="00A02FE3" w:rsidP="00CF598B">
      <w:pPr>
        <w:ind w:left="720"/>
        <w:jc w:val="right"/>
        <w:rPr>
          <w:rFonts w:asciiTheme="majorBidi" w:hAnsiTheme="majorBidi" w:cstheme="majorBidi"/>
          <w:sz w:val="24"/>
          <w:szCs w:val="24"/>
          <w:rtl/>
        </w:rPr>
      </w:pPr>
    </w:p>
    <w:p w14:paraId="743E822E" w14:textId="1CCA358E" w:rsidR="00A02FE3" w:rsidRPr="001962B5" w:rsidRDefault="00CF598B" w:rsidP="00A02FE3">
      <w:pPr>
        <w:jc w:val="right"/>
        <w:rPr>
          <w:rFonts w:asciiTheme="majorBidi" w:hAnsiTheme="majorBidi" w:cstheme="majorBidi"/>
          <w:sz w:val="24"/>
          <w:szCs w:val="24"/>
        </w:rPr>
      </w:pPr>
      <w:r>
        <w:rPr>
          <w:rFonts w:asciiTheme="majorBidi" w:hAnsiTheme="majorBidi" w:cstheme="majorBidi"/>
          <w:b/>
          <w:bCs/>
          <w:sz w:val="24"/>
          <w:szCs w:val="24"/>
          <w:rtl/>
        </w:rPr>
        <w:t>ختامًا، يتضح من هذا الفصل أن الذكاء الاصطناعي</w:t>
      </w:r>
      <w:r>
        <w:rPr>
          <w:rFonts w:asciiTheme="majorBidi" w:hAnsiTheme="majorBidi" w:cstheme="majorBidi"/>
          <w:sz w:val="24"/>
          <w:szCs w:val="24"/>
          <w:rtl/>
        </w:rPr>
        <w:t xml:space="preserve"> في مكاتب المحاماة ليس مجرد أداة تقنية أُضيفت إلى بيئة العمل التقليدية، بل هو عاملٌ يعيد تشكيل البنية المفاهيمية للقانون المهني ذاته. فقد كشف التحليل أن الإشكال لا يكمن في “مشروعية الاستخدام” في حد ذاتها، وإنما في كيفية إدماج هذه التقنيات داخل منظومة تقوم أصلًا على الثقة، والإسناد الشخصي، والمسؤولية المباشرة. ومن ثم فإن جوهر الإشكال لم يكن تقنيًا بقدر ما كان تأصيليًا: </w:t>
      </w:r>
      <w:r>
        <w:rPr>
          <w:rFonts w:asciiTheme="majorBidi" w:hAnsiTheme="majorBidi" w:cstheme="majorBidi"/>
          <w:sz w:val="24"/>
          <w:szCs w:val="24"/>
          <w:rtl/>
        </w:rPr>
        <w:lastRenderedPageBreak/>
        <w:t>كيف يُعاد تعريف الحجية، وكيف يُعاد ضبط الإسناد، وكيف تُوزع المسؤولية في بيئة تتداخل فيها الخوارزمية مع القرار المهني</w:t>
      </w:r>
      <w:r w:rsidR="00A02FE3">
        <w:rPr>
          <w:rFonts w:asciiTheme="majorBidi" w:hAnsiTheme="majorBidi" w:cstheme="majorBidi" w:hint="cs"/>
          <w:sz w:val="24"/>
          <w:szCs w:val="24"/>
          <w:rtl/>
        </w:rPr>
        <w:t>.</w:t>
      </w:r>
    </w:p>
    <w:p w14:paraId="53A7E0A4" w14:textId="77777777" w:rsidR="00CF598B" w:rsidRPr="001962B5" w:rsidRDefault="00CF598B" w:rsidP="00CF598B">
      <w:pPr>
        <w:jc w:val="right"/>
        <w:rPr>
          <w:rFonts w:asciiTheme="majorBidi" w:hAnsiTheme="majorBidi" w:cstheme="majorBidi"/>
          <w:sz w:val="24"/>
          <w:szCs w:val="24"/>
        </w:rPr>
      </w:pPr>
      <w:r w:rsidRPr="00A02FE3">
        <w:rPr>
          <w:rFonts w:asciiTheme="majorBidi" w:hAnsiTheme="majorBidi" w:cstheme="majorBidi"/>
          <w:sz w:val="24"/>
          <w:szCs w:val="24"/>
          <w:rtl/>
        </w:rPr>
        <w:t>لقد انتهى هذا الفصل</w:t>
      </w:r>
      <w:r w:rsidRPr="00A02FE3">
        <w:rPr>
          <w:rFonts w:asciiTheme="majorBidi" w:hAnsiTheme="majorBidi" w:cstheme="majorBidi"/>
          <w:b/>
          <w:bCs/>
          <w:sz w:val="24"/>
          <w:szCs w:val="24"/>
          <w:rtl/>
        </w:rPr>
        <w:t xml:space="preserve"> </w:t>
      </w:r>
      <w:r>
        <w:rPr>
          <w:rFonts w:asciiTheme="majorBidi" w:hAnsiTheme="majorBidi" w:cstheme="majorBidi"/>
          <w:sz w:val="24"/>
          <w:szCs w:val="24"/>
          <w:rtl/>
        </w:rPr>
        <w:t>إلى أن المخرجات الذكية لا تملك مركزًا قانونيًا قائمًا بذاته، ولا يمكن أن تُعامل كفاعل مستقل أو مصدر إرادة قانونية، بل تظل جزءًا من فعل مهني بشري يتطلب اعتمادًا وتحملًا للتبعة. وبذلك فإن القيمة القانونية لهذه المخرجات لا تُستمد من طبيعتها الآلية، بل من سلامة اعتمادها المهني وقابليتها للتحقق والإثبات. فالمعيار الحاسم لم يعد السؤال عما إذا كان النص قد كُتب بيد بشرية أو وُلد خوارزميًا، وإنما عما إذا كان قد خضع لرقابة مهنية واعية تُعيد إليه صفته القانونية وتحمله مسؤولية محددة</w:t>
      </w:r>
      <w:r>
        <w:rPr>
          <w:rFonts w:asciiTheme="majorBidi" w:hAnsiTheme="majorBidi" w:cstheme="majorBidi"/>
          <w:sz w:val="24"/>
          <w:szCs w:val="24"/>
        </w:rPr>
        <w:t>.</w:t>
      </w:r>
    </w:p>
    <w:p w14:paraId="6A61CB51"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جانب المسؤولية، كشف الفصل أن الذكاء الاصطناعي لا يُسقط أركان المسؤولية المدنية، لكنه يُعقّد تطبيقها. فمع بقاء الخطأ والضرر والسببية عناصر ثابتة، أصبح معيار الخطأ أكثر تركيبًا؛ إذ لم يعد يكفي التحقق من سلامة التكييف القانوني فحسب، بل صار يتعين فحص مستوى الإشراف التقني، وإدارة المخاطر، وحدود الاعتماد على المخرجات الآلية. كما لم تعد المسؤولية حكرًا على المستخدم المهني وحده، بل باتت تتوزع داخل شبكة متعددة الأطراف تشمل المطور الذي يصوغ البنية الاستدلالية للنظام، ومقدم التقنية الذي يسيطر على بيئة التشغيل وحماية البيانات، والمستخدم الذي يمنح المخرج صفة قانونية من خلال اعتماده</w:t>
      </w:r>
      <w:r>
        <w:rPr>
          <w:rFonts w:asciiTheme="majorBidi" w:hAnsiTheme="majorBidi" w:cstheme="majorBidi"/>
          <w:sz w:val="24"/>
          <w:szCs w:val="24"/>
        </w:rPr>
        <w:t>.</w:t>
      </w:r>
    </w:p>
    <w:p w14:paraId="44C1D72A"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وقد أبرز التحليل أن معيارين يمثلان الركيزة الأكثر اتزانًا لضبط الإسناد في هذا السياق: معيار السيطرة الفعلية على مصدر الخطر، ومعيار قابلية اكتشاف الخلل بالمراجعة المهنية المعتادة. فمن يملك القدرة الواقعية على منع الضرر أو تقليله يكون أقرب إلى تحمله، ومن كان بإمكانه كشف الخلل بمستوى عناية مهني معقول ولم يفعل، ينعقد في جانبه الإخلال. أما الغموض الخوارزمي وتعقيد البنية التقنية، فلا ينبغي أن يتحولا إلى مظلة لإعفاء غير منضبط، ولا إلى أساس لتحميل طرف واحد عبئًا يفوق نطاق سيطرته</w:t>
      </w:r>
      <w:r>
        <w:rPr>
          <w:rFonts w:asciiTheme="majorBidi" w:hAnsiTheme="majorBidi" w:cstheme="majorBidi"/>
          <w:sz w:val="24"/>
          <w:szCs w:val="24"/>
        </w:rPr>
        <w:t>.</w:t>
      </w:r>
    </w:p>
    <w:p w14:paraId="5B683FF2"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كما أن المقارنة الموجزة بالتجارب الأوروبية أظهرت اتجاهًا نحو تصنيف المخاطر وتوسيع أدوات الإسناد، إلا أن الدراسة خلصت إلى أن نقل هذه النماذج بحذافيرها لا يستقيم دون مراعاة خصوصية البيئة النظامية السعودية، حيث تقوم مهنة المحاماة على رابطة ثقة شخصية ومهنية مباشرة. ومن ثم فإن الحل لا يكمن في استيراد نموذج مسؤولية موضوعية صارمة، ولا في الإبقاء على نموذج تقليدي يغفل التعقيد التقني، بل في تطوير تطبيق القواعد العامة بما يواكب التحول الرقمي دون أن يهدم أسس المسؤولية</w:t>
      </w:r>
      <w:r>
        <w:rPr>
          <w:rFonts w:asciiTheme="majorBidi" w:hAnsiTheme="majorBidi" w:cstheme="majorBidi"/>
          <w:sz w:val="24"/>
          <w:szCs w:val="24"/>
        </w:rPr>
        <w:t>.</w:t>
      </w:r>
    </w:p>
    <w:p w14:paraId="496A1103"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هذا الفصل لا يمثل نهاية تحليلية بقدر ما يشكل نقطة ارتكاز منهجية للفصول اللاحقة؛ إذ أثبت أن الإشكال ليس في وجود الذكاء الاصطناعي، بل في غياب إطار تنظيمي تفصيلي يحدد معايير الاعتماد، وحدود الرقابة، وتوزيع المخاطر بين الأطراف. وهذا ما يقتضي الانتقال من مستوى التأصيل النظري إلى مستوى الفحص الواقعي للتطبيقات المهنية المعاصرة، لاختبار مدى اتساقها مع ما تم تأصيله من معايير، والكشف عن الفجوة بين النص والممارسة. ومن هنا يجيء الفصل الثالث بوصفه امتدادًا طبيعيًا لهذا التحليل، إذ ينتقل من بناء المفهوم إلى رصد الواقع، ومن ضبط النظرية إلى مساءلة التطبيق، تمهيدًا للوصول في الفصول اللاحقة إلى تصور تنظيمي مقترح يستند إلى تحليل نظري راسخ ومعطيات عملية موثقة</w:t>
      </w:r>
      <w:r>
        <w:rPr>
          <w:rFonts w:asciiTheme="majorBidi" w:hAnsiTheme="majorBidi" w:cstheme="majorBidi"/>
          <w:sz w:val="24"/>
          <w:szCs w:val="24"/>
        </w:rPr>
        <w:t>.</w:t>
      </w:r>
    </w:p>
    <w:p w14:paraId="051B81BA" w14:textId="6FBA73D9"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وتُدعم هذه الخلاصة بما أثارته دراسات حديثة حول الطبيعة القانونية للعقود الذكية في السياق السعودي؛ إذ </w:t>
      </w:r>
      <w:r w:rsidR="008B5FA5">
        <w:rPr>
          <w:rFonts w:asciiTheme="majorBidi" w:hAnsiTheme="majorBidi" w:cstheme="majorBidi" w:hint="cs"/>
          <w:sz w:val="24"/>
          <w:szCs w:val="24"/>
          <w:rtl/>
        </w:rPr>
        <w:t>ترى</w:t>
      </w:r>
      <w:r>
        <w:rPr>
          <w:rFonts w:asciiTheme="majorBidi" w:hAnsiTheme="majorBidi" w:cstheme="majorBidi"/>
          <w:sz w:val="24"/>
          <w:szCs w:val="24"/>
          <w:rtl/>
        </w:rPr>
        <w:t xml:space="preserve"> </w:t>
      </w:r>
      <w:r w:rsidR="008B5FA5">
        <w:rPr>
          <w:rFonts w:asciiTheme="majorBidi" w:hAnsiTheme="majorBidi" w:cstheme="majorBidi" w:hint="cs"/>
          <w:sz w:val="24"/>
          <w:szCs w:val="24"/>
          <w:rtl/>
        </w:rPr>
        <w:t>الدراسات</w:t>
      </w:r>
      <w:r w:rsidR="005B5B7B">
        <w:rPr>
          <w:rFonts w:asciiTheme="majorBidi" w:hAnsiTheme="majorBidi" w:cstheme="majorBidi" w:hint="cs"/>
          <w:sz w:val="24"/>
          <w:szCs w:val="24"/>
          <w:rtl/>
        </w:rPr>
        <w:t xml:space="preserve"> القانوني</w:t>
      </w:r>
      <w:r w:rsidR="008B5FA5">
        <w:rPr>
          <w:rFonts w:asciiTheme="majorBidi" w:hAnsiTheme="majorBidi" w:cstheme="majorBidi" w:hint="cs"/>
          <w:sz w:val="24"/>
          <w:szCs w:val="24"/>
          <w:rtl/>
        </w:rPr>
        <w:t>ة</w:t>
      </w:r>
      <w:r>
        <w:rPr>
          <w:rFonts w:asciiTheme="majorBidi" w:hAnsiTheme="majorBidi" w:cstheme="majorBidi"/>
          <w:sz w:val="24"/>
          <w:szCs w:val="24"/>
          <w:rtl/>
        </w:rPr>
        <w:t xml:space="preserve"> أن المنظومة القانونية السعودية تملك الأدوات النظامية الكافية لاستيعاب ظاهرة العقود الذكية ضمن إطارها التعاقدي الحالي، لكنها تفتقر إلى نصوص تفصيلية تُحكم ضبط هذه العقود وتُعيّن شروط الاحتجاج بها ومعايير تسوية النزاعات الناشئة عنها، وهو ما يدعو إلى مساعٍ تشريعية موجّهة تُكمل هذه المنظومة وتُصلّبها.</w:t>
      </w:r>
      <w:r>
        <w:rPr>
          <w:rStyle w:val="af"/>
          <w:rFonts w:asciiTheme="majorBidi" w:hAnsiTheme="majorBidi" w:cstheme="majorBidi"/>
          <w:sz w:val="24"/>
          <w:szCs w:val="24"/>
          <w:rtl/>
        </w:rPr>
        <w:footnoteReference w:id="279"/>
      </w:r>
    </w:p>
    <w:p w14:paraId="10ACE96E" w14:textId="77777777" w:rsidR="005705DD" w:rsidRDefault="005705DD" w:rsidP="000003D3">
      <w:pPr>
        <w:jc w:val="right"/>
        <w:rPr>
          <w:rFonts w:asciiTheme="majorBidi" w:hAnsiTheme="majorBidi" w:cstheme="majorBidi"/>
          <w:sz w:val="24"/>
          <w:szCs w:val="24"/>
          <w:rtl/>
        </w:rPr>
      </w:pPr>
    </w:p>
    <w:p w14:paraId="3377571D"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lastRenderedPageBreak/>
        <w:t>الفصل الثالث</w:t>
      </w:r>
    </w:p>
    <w:p w14:paraId="0455D578"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واقع وتحديات استخدام الذكاء الاصطناعي في مكاتب المحاماة</w:t>
      </w:r>
    </w:p>
    <w:p w14:paraId="6BEB1F94" w14:textId="77777777" w:rsidR="005705DD" w:rsidRDefault="005705DD" w:rsidP="005705DD"/>
    <w:p w14:paraId="36275971"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تمهيد الفصل</w:t>
      </w:r>
    </w:p>
    <w:p w14:paraId="1E9F1474" w14:textId="77777777" w:rsidR="005705DD" w:rsidRDefault="005705DD" w:rsidP="005705DD">
      <w:pPr>
        <w:bidi/>
        <w:spacing w:after="200" w:line="276" w:lineRule="auto"/>
        <w:rPr>
          <w:rtl/>
        </w:rPr>
      </w:pPr>
      <w:r>
        <w:rPr>
          <w:rFonts w:asciiTheme="majorBidi" w:hAnsiTheme="majorBidi" w:cstheme="majorBidi"/>
          <w:sz w:val="24"/>
          <w:szCs w:val="24"/>
          <w:rtl/>
        </w:rPr>
        <w:t>انتهى الفصلان الأول والثاني من هذه الدراسة إلى تحليل الإطار النظامي المنظِّم لمهنة المحاماة في المملكة العربية السعودية، وتقييم مدى استيعابه لتقنيات الذكاء الاصطناعي من جهة، ومناقشة التكييف القانوني والفقهي للمخرجات الذكية وتحديد المسؤولية المهنية المترتبة على توظيفها من جهة أخرى. وقد كشف هذا التحليل عن وجود فجوة تشريعية واضحة بين ما تفرزه التقنية من واقع ميداني متسارع وما توفره الأنظمة القائمة من إطار قانوني ضابط.</w:t>
      </w:r>
    </w:p>
    <w:p w14:paraId="57E055CB" w14:textId="77777777" w:rsidR="005705DD" w:rsidRDefault="005705DD" w:rsidP="005705DD">
      <w:pPr>
        <w:bidi/>
        <w:spacing w:after="200" w:line="276" w:lineRule="auto"/>
        <w:rPr>
          <w:rtl/>
        </w:rPr>
      </w:pPr>
      <w:r>
        <w:rPr>
          <w:rFonts w:asciiTheme="majorBidi" w:hAnsiTheme="majorBidi" w:cstheme="majorBidi"/>
          <w:sz w:val="24"/>
          <w:szCs w:val="24"/>
          <w:rtl/>
        </w:rPr>
        <w:t>ويأتي هذا الفصل ليقفز من المستوى التشريعي النظري إلى المستوى التطبيقي الميداني، إذ يتناول واقع استخدام تقنيات الذكاء الاصطناعي داخل مكاتب المحاماة السعودية فعلياً، ويرصد التطبيقات المهنية المعاصرة وأدوات التقنية المتداولة في السوق القانوني السعودي، ومدى توافق هذه الأدوات مع البيئة النظامية السائدة. ثم ينتقل إلى الجانب الأكثر تعقيداً وإشكاليةً، وهو أنماط الاستخدام الفردي غير المنظم لهذه التقنيات، وما يرتبه من مخاطر قانونية ومهنية في البيئة السعودية تحديداً.</w:t>
      </w:r>
    </w:p>
    <w:p w14:paraId="54483AAA" w14:textId="77777777" w:rsidR="005705DD" w:rsidRDefault="005705DD" w:rsidP="005705DD">
      <w:pPr>
        <w:bidi/>
        <w:spacing w:after="200" w:line="276" w:lineRule="auto"/>
        <w:rPr>
          <w:rtl/>
        </w:rPr>
      </w:pPr>
      <w:r>
        <w:rPr>
          <w:rFonts w:asciiTheme="majorBidi" w:hAnsiTheme="majorBidi" w:cstheme="majorBidi"/>
          <w:sz w:val="24"/>
          <w:szCs w:val="24"/>
          <w:rtl/>
        </w:rPr>
        <w:t>وتتجلى أهمية هذا الفصل في كونه يوفر قاعدة تجريبية واقعية للتصور التنظيمي المقترح الذي سيُعالجه الفصل الرابع، إذ لا يمكن اقتراح إطار قانوني لتنظيم ظاهرة ما دون الإحاطة الكافية بتفاصيل هذه الظاهرة ومحدداتها وإشكالياتها. كما يُعدّ هذا الفصل ثمرةً للتساؤل الثالث من تساؤلات الدراسة الذي يرصد واقع الاستخدام غير المنظم لتقنيات الذكاء الاصطناعي في المجال القانوني السعودي.</w:t>
      </w:r>
    </w:p>
    <w:p w14:paraId="71FF7781" w14:textId="77777777" w:rsidR="005705DD" w:rsidRDefault="005705DD" w:rsidP="005705DD">
      <w:pPr>
        <w:bidi/>
        <w:spacing w:after="200" w:line="276" w:lineRule="auto"/>
        <w:rPr>
          <w:rtl/>
        </w:rPr>
      </w:pPr>
      <w:r>
        <w:rPr>
          <w:rFonts w:asciiTheme="majorBidi" w:hAnsiTheme="majorBidi" w:cstheme="majorBidi"/>
          <w:sz w:val="24"/>
          <w:szCs w:val="24"/>
          <w:rtl/>
        </w:rPr>
        <w:t>ولا بد قبل الخوض في مضمون هذا الفصل من الوقوف عند تمييز مفاهيمي جوهري يُفتقر إليه في كثير من الأدبيات القانونية المعاصرة، وهو التمييز بين ثلاثة أصناف من التقنيات كثيراً ما تقع في دائرة واحدة خطأً، وهي: الذكاء الاصطناعي القانوني، والبرمجيات القانونية التقليدية، والعقود الذكية المرتبطة بتقنية البلوكشين. ويُعدّ هذا التمييز أساساً لا غنى عنه للتحليل القانوني الدقيق في هذا الفصل وما يليه.</w:t>
      </w:r>
    </w:p>
    <w:p w14:paraId="70987158" w14:textId="77777777" w:rsidR="005705DD" w:rsidRDefault="005705DD" w:rsidP="005705DD"/>
    <w:p w14:paraId="234122F3"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4"/>
          <w:szCs w:val="24"/>
          <w:rtl/>
        </w:rPr>
        <w:t>أولاً: تمييز مفاهيمي ضروري — ثلاث تقنيات مختلفة يقع فيها الخلط</w:t>
      </w:r>
    </w:p>
    <w:p w14:paraId="14E68000" w14:textId="77777777" w:rsidR="005705DD" w:rsidRDefault="005705DD" w:rsidP="005705DD">
      <w:pPr>
        <w:bidi/>
        <w:spacing w:after="200" w:line="276" w:lineRule="auto"/>
        <w:rPr>
          <w:rtl/>
        </w:rPr>
      </w:pPr>
      <w:r>
        <w:rPr>
          <w:rFonts w:asciiTheme="majorBidi" w:hAnsiTheme="majorBidi" w:cstheme="majorBidi"/>
          <w:sz w:val="24"/>
          <w:szCs w:val="24"/>
          <w:rtl/>
        </w:rPr>
        <w:t>يُلاحظ أن كثيراً من الدراسات القانونية والأكاديمية العربية — وبعض التقارير المهنية — تقع في خلط مفاهيمي واضح حين تضع تحت مسمى "الذكاء الاصطناعي" ثلاثة أصناف من التقنيات تختلف اختلافاً جذرياً في طبيعتها وآلية عملها وحجم المخاطر القانونية التي تفرزها. ويتمثل هذا الخلط تحديداً في:</w:t>
      </w:r>
    </w:p>
    <w:p w14:paraId="69C92A8F" w14:textId="77777777" w:rsidR="005705DD" w:rsidRDefault="005705DD" w:rsidP="005705DD">
      <w:pPr>
        <w:bidi/>
        <w:spacing w:after="200" w:line="276" w:lineRule="auto"/>
        <w:rPr>
          <w:rtl/>
        </w:rPr>
      </w:pPr>
      <w:r>
        <w:rPr>
          <w:rFonts w:asciiTheme="majorBidi" w:hAnsiTheme="majorBidi" w:cstheme="majorBidi"/>
          <w:sz w:val="24"/>
          <w:szCs w:val="24"/>
          <w:rtl/>
        </w:rPr>
        <w:t>الصنف الأول: الذكاء الاصطناعي القانوني بصوره التنبؤية والتوليدية (Legal AI — Predictive &amp; Generative)، الذي يشمل أنظمة التعلم الآلي ونماذج اللغة الكبيرة (Large Language Models) القادرة على تحليل بيانات ضخمة، واستنتاج أنماط، وتوليد نصوص قانونية جديدة، والتنبؤ بنتائج القضايا استناداً إلى السوابق القضائية. وهذا الصنف هو موضوع الدراسة في جوهره، وهو الذي يُفرز أصعب الإشكاليات القانونية وأكثرها تعقيداً.</w:t>
      </w:r>
    </w:p>
    <w:p w14:paraId="65729061" w14:textId="77777777" w:rsidR="005705DD" w:rsidRDefault="005705DD" w:rsidP="005705DD">
      <w:pPr>
        <w:bidi/>
        <w:spacing w:after="200" w:line="276" w:lineRule="auto"/>
        <w:rPr>
          <w:rtl/>
        </w:rPr>
      </w:pPr>
      <w:r>
        <w:rPr>
          <w:rFonts w:asciiTheme="majorBidi" w:hAnsiTheme="majorBidi" w:cstheme="majorBidi"/>
          <w:sz w:val="24"/>
          <w:szCs w:val="24"/>
          <w:rtl/>
        </w:rPr>
        <w:t xml:space="preserve">الصنف الثاني: البرمجيات القانونية التقليدية (Legal Software)، التي تشمل أنظمة إدارة القضايا وتتبع المواعيد والفوترة وإدارة الوثائق. وهذه البرمجيات أدوات تنظيمية وإدارية لا تعتمد في جوهرها على التعلم الذاتي أو توليد المعرفة، وإن كانت بعضها يُدمج الآن وحداتٍ ذكية إضافية. والفارق الجوهري هنا أن البرنامج </w:t>
      </w:r>
      <w:r>
        <w:rPr>
          <w:rFonts w:asciiTheme="majorBidi" w:hAnsiTheme="majorBidi" w:cstheme="majorBidi"/>
          <w:sz w:val="24"/>
          <w:szCs w:val="24"/>
          <w:rtl/>
        </w:rPr>
        <w:lastRenderedPageBreak/>
        <w:t>القانوني التقليدي يُنفذ تعليمات ثابتة ومبرمجة مسبقاً ولا يستخلص أنماطاً مستقلة ولا يولّد مضموناً جديداً من تلقاء نفسه.</w:t>
      </w:r>
    </w:p>
    <w:p w14:paraId="7719D0AC" w14:textId="77777777" w:rsidR="005705DD" w:rsidRDefault="005705DD" w:rsidP="005705DD">
      <w:pPr>
        <w:bidi/>
        <w:spacing w:after="200" w:line="276" w:lineRule="auto"/>
        <w:rPr>
          <w:rtl/>
        </w:rPr>
      </w:pPr>
      <w:r>
        <w:rPr>
          <w:rFonts w:asciiTheme="majorBidi" w:hAnsiTheme="majorBidi" w:cstheme="majorBidi"/>
          <w:sz w:val="24"/>
          <w:szCs w:val="24"/>
          <w:rtl/>
        </w:rPr>
        <w:t>الصنف الثالث: العقود الذكية (Smart Contracts)، وهي في حقيقتها أكواد برمجية تنفيذية ذاتية (Self-executing Code) مُشفّرة على شبكات البلوكشين (Blockchain). وهذه ليست من الذكاء الاصطناعي في شيء؛ فهي لا تتعلم، ولا تُحلّل بيانات، ولا تولّد نصوصاً، بل تُنفّذ شرطاً برمجياً محدداً مسبقاً على صورة "إذا تحقق الشرط (س) فنفّذ الأمر (ص)". وارتباطها بالبلوكشين لا بالذكاء الاصطناعي هو الحقيقة التقنية الصحيحة، وإن كان الباحثون والإعلام يجمعونها مع تقنيات الذكاء الاصطناعي خطأً.</w:t>
      </w:r>
    </w:p>
    <w:p w14:paraId="346744DB" w14:textId="77777777" w:rsidR="005705DD" w:rsidRDefault="005705DD" w:rsidP="005705DD">
      <w:pPr>
        <w:bidi/>
        <w:spacing w:after="200" w:line="276" w:lineRule="auto"/>
        <w:rPr>
          <w:rtl/>
        </w:rPr>
      </w:pPr>
      <w:r>
        <w:rPr>
          <w:rFonts w:asciiTheme="majorBidi" w:hAnsiTheme="majorBidi" w:cstheme="majorBidi"/>
          <w:sz w:val="24"/>
          <w:szCs w:val="24"/>
          <w:rtl/>
        </w:rPr>
        <w:t xml:space="preserve">ويُشير العلي (2024م) في دراسته حول "الذكاء الاصطناعي ودوره في إبرام العقود التجارية الذكية" إلى هذا الخلط صراحةً، مؤكداً أن العقد الذكي في جوهره لا يعتمد على نماذج لغوية أو تعلم ذاتي، بل على رمز برمجي ثابت مُبرمَج مسبقاً على البلوكشين، وإن كان الذكاء الاصطناعي وتقنية البلوكشين قد يتشابكان في بعض التطبيقات المتقدمة فإن هذا التشابك يظل استثناءً تطبيقياً لا قاعدة تقنية </w:t>
      </w:r>
      <w:r>
        <w:rPr>
          <w:rFonts w:asciiTheme="majorBidi" w:hAnsiTheme="majorBidi" w:cstheme="majorBidi"/>
          <w:sz w:val="24"/>
          <w:szCs w:val="24"/>
          <w:vertAlign w:val="superscript"/>
          <w:rtl/>
        </w:rPr>
        <w:footnoteReference w:id="280"/>
      </w:r>
      <w:r>
        <w:rPr>
          <w:rFonts w:asciiTheme="majorBidi" w:hAnsiTheme="majorBidi" w:cstheme="majorBidi"/>
          <w:sz w:val="24"/>
          <w:szCs w:val="24"/>
          <w:rtl/>
        </w:rPr>
        <w:t>.</w:t>
      </w:r>
    </w:p>
    <w:p w14:paraId="78C94E76"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هذا الخلط ليس مجرد هفوة أكاديمية، بل له تبعات قانونية خطيرة؛ فالمحامي الذي يعتمد على برنامج إدارة القضايا لا يواجه الإشكاليات النظامية نفسها التي يواجهها من يستخدم نموذجاً لغوياً كبيراً لصياغة مذكرة قانونية حساسة. وعليه، فإن الدراسة تتبنّى في هذا الفصل تصنيفاً دقيقاً لهذه الأصناف الثلاثة ريثما يأتي المشرّع السعودي بتعريف تشريعي صريح يُميّز بينها.</w:t>
      </w:r>
    </w:p>
    <w:p w14:paraId="5DD3FAF4" w14:textId="77777777" w:rsidR="005705DD" w:rsidRDefault="005705DD" w:rsidP="005705DD"/>
    <w:p w14:paraId="284F46AC"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المبحث الأول</w:t>
      </w:r>
    </w:p>
    <w:p w14:paraId="0456FAC5"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التطبيقات المهنية المعاصرة في السعودية</w:t>
      </w:r>
    </w:p>
    <w:p w14:paraId="17DF1995" w14:textId="77777777" w:rsidR="005705DD" w:rsidRDefault="005705DD" w:rsidP="005705DD">
      <w:pPr>
        <w:bidi/>
        <w:spacing w:after="200" w:line="276" w:lineRule="auto"/>
        <w:rPr>
          <w:rtl/>
        </w:rPr>
      </w:pPr>
      <w:r>
        <w:rPr>
          <w:rFonts w:asciiTheme="majorBidi" w:hAnsiTheme="majorBidi" w:cstheme="majorBidi"/>
          <w:sz w:val="24"/>
          <w:szCs w:val="24"/>
          <w:rtl/>
        </w:rPr>
        <w:t>يُعدّ هذا المبحث مدخلاً ميدانياً ضرورياً لفهم الواقع الفعلي لتوظيف تقنيات الذكاء الاصطناعي في مكاتب المحاماة السعودية، ويتناول بالتحليل الأدوات التقنية الذكية المتداولة في السوق القانوني السعودي (المطلب الأول)، ثم يقيّم مدى توافق هذه الأدوات مع البيئة النظامية السعودية القائمة (المطلب الثاني).</w:t>
      </w:r>
    </w:p>
    <w:p w14:paraId="64E51D94" w14:textId="77777777" w:rsidR="005705DD" w:rsidRDefault="005705DD" w:rsidP="005705DD">
      <w:pPr>
        <w:bidi/>
        <w:spacing w:after="200" w:line="276" w:lineRule="auto"/>
        <w:rPr>
          <w:rtl/>
        </w:rPr>
      </w:pPr>
      <w:r>
        <w:rPr>
          <w:rFonts w:asciiTheme="majorBidi" w:hAnsiTheme="majorBidi" w:cstheme="majorBidi"/>
          <w:sz w:val="24"/>
          <w:szCs w:val="24"/>
          <w:rtl/>
        </w:rPr>
        <w:t>ويستند هذا المبحث إلى مزيج من المصادر التشريعية والأكاديمية، ومخرجات الجهات الرسمية ذات الصلة كسدايا ووزارة العدل، فضلاً عن الدراسات المعاصرة التي رصدت واقع الممارسة التقنية في بيئات المحاماة الخليجية والعربية، مع الحرص على إسقاط ذلك على الخصوصية السعودية من حيث البيئة التشريعية والتحولات الرقمية الجارية في ظل رؤية 2030.</w:t>
      </w:r>
    </w:p>
    <w:p w14:paraId="44AC964D" w14:textId="77777777" w:rsidR="005705DD" w:rsidRDefault="005705DD" w:rsidP="005705DD"/>
    <w:p w14:paraId="2C0ED227"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المطلب الأول</w:t>
      </w:r>
    </w:p>
    <w:p w14:paraId="4FA0F543"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أدوات الذكاء الاصطناعي المتداولة في السوق القانوني السعودي</w:t>
      </w:r>
    </w:p>
    <w:p w14:paraId="6CEDF609" w14:textId="77777777" w:rsidR="005705DD" w:rsidRDefault="005705DD" w:rsidP="005705DD">
      <w:pPr>
        <w:bidi/>
        <w:spacing w:after="200" w:line="276" w:lineRule="auto"/>
        <w:rPr>
          <w:rtl/>
        </w:rPr>
      </w:pPr>
      <w:r>
        <w:rPr>
          <w:rFonts w:asciiTheme="majorBidi" w:hAnsiTheme="majorBidi" w:cstheme="majorBidi"/>
          <w:sz w:val="24"/>
          <w:szCs w:val="24"/>
          <w:rtl/>
        </w:rPr>
        <w:t xml:space="preserve">شهد السوق القانوني السعودي في الفترة الممتدة بين عامَي 2020م و2026م تحولاً نوعياً في طبيعة الأدوات التقنية المستخدمة داخل مكاتب المحاماة، إذ انتقل الاستخدام التقني من الوسائل الإدارية البسيطة كجداول المواعيد الإلكترونية وبرامج معالجة النصوص، إلى أدوات ذات طابع تحليلي واستدلالي متقدم تعتمد على نماذج تعلم الآلة ومعالجة اللغة الطبيعية. وقد ساهم في تسريع هذا التحول عدة عوامل متضافرة، في مقدمتها: الانتشار الواسع </w:t>
      </w:r>
      <w:r>
        <w:rPr>
          <w:rFonts w:asciiTheme="majorBidi" w:hAnsiTheme="majorBidi" w:cstheme="majorBidi"/>
          <w:sz w:val="24"/>
          <w:szCs w:val="24"/>
          <w:rtl/>
        </w:rPr>
        <w:lastRenderedPageBreak/>
        <w:t xml:space="preserve">للأدوات التوليدية عالمياً منذ نهاية عام 2022م، وإطلاق منصة ناجز ورقمنة الخدمات العدلية في المملكة، واستراتيجيات التحول الرقمي المرتبطة برؤية 2030 </w:t>
      </w:r>
      <w:r>
        <w:rPr>
          <w:rFonts w:asciiTheme="majorBidi" w:hAnsiTheme="majorBidi" w:cstheme="majorBidi"/>
          <w:sz w:val="24"/>
          <w:szCs w:val="24"/>
          <w:vertAlign w:val="superscript"/>
          <w:rtl/>
        </w:rPr>
        <w:footnoteReference w:id="281"/>
      </w:r>
      <w:r>
        <w:rPr>
          <w:rFonts w:asciiTheme="majorBidi" w:hAnsiTheme="majorBidi" w:cstheme="majorBidi"/>
          <w:sz w:val="24"/>
          <w:szCs w:val="24"/>
          <w:rtl/>
        </w:rPr>
        <w:t>.</w:t>
      </w:r>
    </w:p>
    <w:p w14:paraId="0004AA4A" w14:textId="77777777" w:rsidR="005705DD" w:rsidRDefault="005705DD" w:rsidP="005705DD">
      <w:pPr>
        <w:bidi/>
        <w:spacing w:after="200" w:line="276" w:lineRule="auto"/>
        <w:rPr>
          <w:rtl/>
        </w:rPr>
      </w:pPr>
      <w:r>
        <w:rPr>
          <w:rFonts w:asciiTheme="majorBidi" w:hAnsiTheme="majorBidi" w:cstheme="majorBidi"/>
          <w:b/>
          <w:sz w:val="28"/>
          <w:szCs w:val="28"/>
          <w:rtl/>
        </w:rPr>
        <w:t>أولاً: تصنيف أدوات الذكاء الاصطناعي في البيئة القانونية السعودية</w:t>
      </w:r>
    </w:p>
    <w:p w14:paraId="4E058577" w14:textId="77777777" w:rsidR="005705DD" w:rsidRDefault="005705DD" w:rsidP="005705DD">
      <w:pPr>
        <w:bidi/>
        <w:spacing w:after="200" w:line="276" w:lineRule="auto"/>
        <w:rPr>
          <w:rtl/>
        </w:rPr>
      </w:pPr>
      <w:r>
        <w:rPr>
          <w:rFonts w:asciiTheme="majorBidi" w:hAnsiTheme="majorBidi" w:cstheme="majorBidi"/>
          <w:sz w:val="24"/>
          <w:szCs w:val="24"/>
          <w:rtl/>
        </w:rPr>
        <w:t>يمكن تصنيف الأدوات التقنية المستخدمة فعلياً في مكاتب المحاماة السعودية ضمن ثلاثة محاور رئيسية، وذلك استناداً إلى التصنيف المفاهيمي الذي أُسّس له في تمهيد هذا الفصل:</w:t>
      </w:r>
    </w:p>
    <w:p w14:paraId="44DE02FE" w14:textId="77777777" w:rsidR="005705DD" w:rsidRDefault="005705DD" w:rsidP="005705DD">
      <w:pPr>
        <w:bidi/>
        <w:spacing w:after="200" w:line="276" w:lineRule="auto"/>
        <w:rPr>
          <w:rtl/>
        </w:rPr>
      </w:pPr>
      <w:r>
        <w:rPr>
          <w:rFonts w:asciiTheme="majorBidi" w:hAnsiTheme="majorBidi" w:cstheme="majorBidi"/>
          <w:sz w:val="24"/>
          <w:szCs w:val="24"/>
          <w:rtl/>
        </w:rPr>
        <w:t>المحور الأول — أدوات الذكاء الاصطناعي التوليدي العامة (General-Purpose Generative AI): تُهيمن على هذا المحور النماذج اللغوية الكبيرة ذات الاستخدام العام التي دخلت مكاتب المحاماة السعودية بصورة واسعة دون تخصيص قانوني مسبق. ويتصدر هذه الأدوات نموذج ChatGPT الصادر عن شركة OpenAI الأمريكية، إضافة إلى Gemini من Google، وCopilot من Microsoft المدمج في تطبيقات Office 365، اللذان يتداولان في بيئات العمل السعودية نظراً لانتشار منتجات هاتين الشركتين فيها. وتُستخدم هذه الأدوات في السياق القانوني السعودي أساساً في: صياغة مسودات العقود الأولية بناءً على وصف موجز من المحامي، وتلخيص الأحكام القضائية والنصوص التشريعية الطويلة، وترجمة الوثائق القانونية بين العربية والإنجليزية، وإعداد الردود القانونية الأولية على مراسلات الجهات الحكومية.</w:t>
      </w:r>
    </w:p>
    <w:p w14:paraId="1425AD08" w14:textId="77777777" w:rsidR="005705DD" w:rsidRDefault="005705DD" w:rsidP="005705DD">
      <w:pPr>
        <w:bidi/>
        <w:spacing w:after="200" w:line="276" w:lineRule="auto"/>
        <w:rPr>
          <w:rtl/>
        </w:rPr>
      </w:pPr>
      <w:r>
        <w:rPr>
          <w:rFonts w:asciiTheme="majorBidi" w:hAnsiTheme="majorBidi" w:cstheme="majorBidi"/>
          <w:sz w:val="24"/>
          <w:szCs w:val="24"/>
          <w:rtl/>
        </w:rPr>
        <w:t>وتُشير دراسة التونسي والمعلم (2024م) المنشورة في المجلة العربية للنشر العلمي إلى أن هذه الأدوات العامة تُستخدم في البيئة القانونية السعودية دون مراعاة كافية لمتطلبات نظام حماية البيانات الشخصية (1443هـ)، ولا سيما أن كثيراً منها يُرسل البيانات المُدخَلة إلى خوادم خارج حدود المملكة. كما لفتت الدراسة إلى أن المحامين السعوديين في الغالب لا يُفصحون لموكليهم عن استخدامهم لهذه الأدوات في معالجة ملفاتهم، وهو ما يُثير تساؤلات جدية حول الالتزام بواجب الإفصاح المرتبط بمبدأ حسن النية الذي يُجسّده قانون الأخلاقيات المهنية.</w:t>
      </w:r>
    </w:p>
    <w:p w14:paraId="046BCED2" w14:textId="77777777" w:rsidR="005705DD" w:rsidRDefault="005705DD" w:rsidP="005705DD">
      <w:pPr>
        <w:bidi/>
        <w:spacing w:after="200" w:line="276" w:lineRule="auto"/>
        <w:rPr>
          <w:rtl/>
        </w:rPr>
      </w:pPr>
      <w:r>
        <w:rPr>
          <w:rFonts w:asciiTheme="majorBidi" w:hAnsiTheme="majorBidi" w:cstheme="majorBidi"/>
          <w:sz w:val="24"/>
          <w:szCs w:val="24"/>
          <w:rtl/>
        </w:rPr>
        <w:t>المحور الثاني — أدوات الذكاء الاصطناعي القانوني المتخصصة (Specialized Legal AI): وهي أدوات صُمّمت أصلاً للاستخدام في البيئة القانونية، وتعتمد على نماذج مدرّبة على بيانات قانونية ضخمة. ومن أبرز هذه الأدوات في السياق العالمي والتي يتعامل معها المحامون السعوديون في الشركات الكبرى والمكاتب الدولية العاملة في المملكة: أداة Harvey AI، وهي نموذج ذكاء اصطناعي قانوني متخصص للمحاماة التجارية؛ وأداة Luminance البريطانية المتخصصة في تحليل العقود وفحص المستندات في الصفقات وعمليات الدمج والاستحواذ؛ وأداة Kira Systems الكندية للاستخراج الآلي للبنود التعاقدية، وبعض منتجات Thomson Reuters وLexisNexis المتكاملة مع وحدات ذكاء اصطناعي لتحليل السوابق القضائية.</w:t>
      </w:r>
    </w:p>
    <w:p w14:paraId="36EA09A2" w14:textId="77777777" w:rsidR="005705DD" w:rsidRDefault="005705DD" w:rsidP="005705DD">
      <w:pPr>
        <w:bidi/>
        <w:spacing w:after="200" w:line="276" w:lineRule="auto"/>
        <w:rPr>
          <w:rtl/>
        </w:rPr>
      </w:pPr>
      <w:r>
        <w:rPr>
          <w:rFonts w:asciiTheme="majorBidi" w:hAnsiTheme="majorBidi" w:cstheme="majorBidi"/>
          <w:sz w:val="24"/>
          <w:szCs w:val="24"/>
          <w:rtl/>
        </w:rPr>
        <w:t xml:space="preserve">ويُشير إسماعيل (2025م) في دراسته المنشورة في مجلة الباحث العربي إلى أن هذه الأدوات المتخصصة ترفع إنتاجية المحامين في المهام التكرارية — كمراجعة العقود وفحص الوثائق — بنسبة تتراوح بين 30% و60%، مستشهداً بأن منصة Luminance استُخدمت في مراجعة أكثر من 400 وثيقة خلال 24 ساعة في إحدى صفقات الدمج، مقابل ثلاثة أسابيع لو اضطلع بها محامون بشريون </w:t>
      </w:r>
      <w:r>
        <w:rPr>
          <w:rFonts w:asciiTheme="majorBidi" w:hAnsiTheme="majorBidi" w:cstheme="majorBidi"/>
          <w:sz w:val="24"/>
          <w:szCs w:val="24"/>
          <w:vertAlign w:val="superscript"/>
          <w:rtl/>
        </w:rPr>
        <w:footnoteReference w:id="282"/>
      </w:r>
      <w:r>
        <w:rPr>
          <w:rFonts w:asciiTheme="majorBidi" w:hAnsiTheme="majorBidi" w:cstheme="majorBidi"/>
          <w:sz w:val="24"/>
          <w:szCs w:val="24"/>
          <w:rtl/>
        </w:rPr>
        <w:t>. غير أن الباحث نفسه يُحذّر من أن هذه الأدوات لم تخضع لأي اعتماد نظامي في المنظومة القانونية السعودية.</w:t>
      </w:r>
    </w:p>
    <w:p w14:paraId="4B80604C"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الثالث — المنصات القانونية الرقمية المحلية ذات المكوّن الذكي: ظهرت في السوق السعودي في السنوات الأخيرة منصات رقمية قانونية تجمع بين خدمات إدارة القضايا التقليدية ووحدات ذكاء اصطناعي محدودة. وتتضمن هذه الفئة بعض الخدمات المدمجة في منصة ناجز التابعة لوزارة العدل، التي تتيح خدمات </w:t>
      </w:r>
      <w:r>
        <w:rPr>
          <w:rFonts w:asciiTheme="majorBidi" w:hAnsiTheme="majorBidi" w:cstheme="majorBidi"/>
          <w:sz w:val="24"/>
          <w:szCs w:val="24"/>
          <w:rtl/>
        </w:rPr>
        <w:lastRenderedPageBreak/>
        <w:t>التنبؤ بالجداول الزمنية لسير القضايا وتوجيهات إجرائية آلية. ويُلاحَظ أن هذه المنصات تستخدم في الغالب وحدات برمجة قاعدية (Rule-based Systems) تُعالج سيناريوهات محددة، أكثر من استخدامها لنماذج التعلم الآلي الكاملة.</w:t>
      </w:r>
    </w:p>
    <w:p w14:paraId="16FB1249" w14:textId="77777777" w:rsidR="005705DD" w:rsidRDefault="005705DD" w:rsidP="005705DD">
      <w:pPr>
        <w:bidi/>
        <w:spacing w:after="200" w:line="276" w:lineRule="auto"/>
        <w:rPr>
          <w:rtl/>
        </w:rPr>
      </w:pPr>
      <w:r>
        <w:rPr>
          <w:rFonts w:asciiTheme="majorBidi" w:hAnsiTheme="majorBidi" w:cstheme="majorBidi"/>
          <w:sz w:val="24"/>
          <w:szCs w:val="24"/>
          <w:rtl/>
        </w:rPr>
        <w:t xml:space="preserve">وقد أوضح مركز الدراسات والبحوث القانونية التابع لوزارة العدل (2024م) أن منصة ناجز استوعبت عدداً من الوظائف الإجرائية الذكية، كالتوجيه الآلي للقضايا وتحديد الاختصاص القضائي تلقائياً وإخطار المحامين بالمواعيد، مؤكداً أن أكثر من 92% من الخدمات العدلية باتت تُقدَّم إلكترونياً مما يجعل الكفاءة التقنية للمحامي ركيزة أساسية في ممارسة المهنة </w:t>
      </w:r>
      <w:r>
        <w:rPr>
          <w:rFonts w:asciiTheme="majorBidi" w:hAnsiTheme="majorBidi" w:cstheme="majorBidi"/>
          <w:sz w:val="24"/>
          <w:szCs w:val="24"/>
          <w:vertAlign w:val="superscript"/>
          <w:rtl/>
        </w:rPr>
        <w:footnoteReference w:id="283"/>
      </w:r>
      <w:r>
        <w:rPr>
          <w:rFonts w:asciiTheme="majorBidi" w:hAnsiTheme="majorBidi" w:cstheme="majorBidi"/>
          <w:sz w:val="24"/>
          <w:szCs w:val="24"/>
          <w:rtl/>
        </w:rPr>
        <w:t>.</w:t>
      </w:r>
    </w:p>
    <w:p w14:paraId="38F949B8" w14:textId="77777777" w:rsidR="005705DD" w:rsidRDefault="005705DD" w:rsidP="005705DD">
      <w:pPr>
        <w:bidi/>
        <w:spacing w:after="200" w:line="276" w:lineRule="auto"/>
        <w:rPr>
          <w:rtl/>
        </w:rPr>
      </w:pPr>
      <w:r>
        <w:rPr>
          <w:rFonts w:asciiTheme="majorBidi" w:hAnsiTheme="majorBidi" w:cstheme="majorBidi"/>
          <w:b/>
          <w:sz w:val="28"/>
          <w:szCs w:val="28"/>
          <w:rtl/>
        </w:rPr>
        <w:t>ثانياً: توزيع استخدام هذه الأدوات بحسب حجم المكاتب القانونية</w:t>
      </w:r>
    </w:p>
    <w:p w14:paraId="4E8DF175" w14:textId="77777777" w:rsidR="005705DD" w:rsidRDefault="005705DD" w:rsidP="005705DD">
      <w:pPr>
        <w:bidi/>
        <w:spacing w:after="200" w:line="276" w:lineRule="auto"/>
        <w:rPr>
          <w:rtl/>
        </w:rPr>
      </w:pPr>
      <w:r>
        <w:rPr>
          <w:rFonts w:asciiTheme="majorBidi" w:hAnsiTheme="majorBidi" w:cstheme="majorBidi"/>
          <w:sz w:val="24"/>
          <w:szCs w:val="24"/>
          <w:rtl/>
        </w:rPr>
        <w:t>لا يتوزع استخدام أدوات الذكاء الاصطناعي في مكاتب المحاماة السعودية توزيعاً متساوياً، بل يرتبط ارتباطاً وثيقاً بحجم المكتب القانوني وتخصصه وطبيعة موكليه. ويمكن رصد ثلاثة أنماط متمايزة:</w:t>
      </w:r>
    </w:p>
    <w:p w14:paraId="3674F8A3" w14:textId="77777777" w:rsidR="005705DD" w:rsidRDefault="005705DD" w:rsidP="005705DD">
      <w:pPr>
        <w:bidi/>
        <w:spacing w:after="200" w:line="276" w:lineRule="auto"/>
        <w:rPr>
          <w:rtl/>
        </w:rPr>
      </w:pPr>
      <w:r>
        <w:rPr>
          <w:rFonts w:asciiTheme="majorBidi" w:hAnsiTheme="majorBidi" w:cstheme="majorBidi"/>
          <w:sz w:val="24"/>
          <w:szCs w:val="24"/>
          <w:rtl/>
        </w:rPr>
        <w:t>النمط الأول — المكاتب الكبرى والشركات القانونية متعددة الجنسيات: تعتمد هذه المكاتب على أدوات الذكاء الاصطناعي القانوني المتخصصة، وتتكامل مع شركات التقنية الكبرى من خلال عقود اشتراك مؤسسية. وتمتلك بعض هذه المكاتب أقساماً تقنية متخصصة تتولى إدارة هذه الأدوات والإشراف على مخرجاتها. وتُفيد تقارير غير رسمية بأن بعض الشركات القانونية الكبرى العاملة في المملكة بدأت بتوظيف مختصين في "القانون والتقنية" (LegalTech Specialists) لسد الفجوة بين الكفاءة القانونية والإتقان التقني. ويتسم هذا النمط بأنه الأقل إشكالية نسبياً، لوجود رقابة مؤسسية ذاتية وبروتوكولات داخلية.</w:t>
      </w:r>
    </w:p>
    <w:p w14:paraId="4073449B" w14:textId="77777777" w:rsidR="005705DD" w:rsidRDefault="005705DD" w:rsidP="005705DD">
      <w:pPr>
        <w:bidi/>
        <w:spacing w:after="200" w:line="276" w:lineRule="auto"/>
        <w:rPr>
          <w:rtl/>
        </w:rPr>
      </w:pPr>
      <w:r>
        <w:rPr>
          <w:rFonts w:asciiTheme="majorBidi" w:hAnsiTheme="majorBidi" w:cstheme="majorBidi"/>
          <w:sz w:val="24"/>
          <w:szCs w:val="24"/>
          <w:rtl/>
        </w:rPr>
        <w:t>النمط الثاني — المكاتب المتوسطة: تعتمد في الغالب على الأدوات التوليدية العامة كـChatGPT وCopilot، مع استخدام برمجيات إدارة القضايا التقليدية. ويتسم استخدامها بالعشوائية وغياب السياسات الداخلية المنظِّمة، وتتفاوت أساليب الاستخدام بين المحامين في المكتب الواحد دون ضابط مؤسسي. وهذا النمط هو الأوسع انتشاراً عددياً في السوق القانوني السعودي، وهو الأكثر احتياجاً للتوجيه التنظيمي.</w:t>
      </w:r>
    </w:p>
    <w:p w14:paraId="211BBB69" w14:textId="77777777" w:rsidR="005705DD" w:rsidRDefault="005705DD" w:rsidP="005705DD">
      <w:pPr>
        <w:bidi/>
        <w:spacing w:after="200" w:line="276" w:lineRule="auto"/>
        <w:rPr>
          <w:rtl/>
        </w:rPr>
      </w:pPr>
      <w:r>
        <w:rPr>
          <w:rFonts w:asciiTheme="majorBidi" w:hAnsiTheme="majorBidi" w:cstheme="majorBidi"/>
          <w:sz w:val="24"/>
          <w:szCs w:val="24"/>
          <w:rtl/>
        </w:rPr>
        <w:t>النمط الثالث — المكاتب الصغيرة والمحامون الأفراد: يلجؤون أساساً إلى الأدوات المجانية أو منخفضة الكلفة، وفي مقدمتها النسخ المجانية من ChatGPT وGemini. وهذا النمط هو الأكثر إثارةً للإشكاليات القانونية والمهنية لغياب أي رقابة مؤسسية وعدم اليقين من مدى الالتزام بضوابط الخصوصية والسرية.</w:t>
      </w:r>
    </w:p>
    <w:p w14:paraId="3FF18176" w14:textId="77777777" w:rsidR="005705DD" w:rsidRDefault="005705DD" w:rsidP="005705DD">
      <w:pPr>
        <w:bidi/>
        <w:spacing w:after="200" w:line="276" w:lineRule="auto"/>
        <w:rPr>
          <w:rtl/>
        </w:rPr>
      </w:pPr>
      <w:r>
        <w:rPr>
          <w:rFonts w:asciiTheme="majorBidi" w:hAnsiTheme="majorBidi" w:cstheme="majorBidi"/>
          <w:sz w:val="24"/>
          <w:szCs w:val="24"/>
          <w:rtl/>
        </w:rPr>
        <w:t>يرى الباحث: أن ضعف التوثيق الرسمي للاستخدام الفعلي لهذه الأدوات في البيئة السعودية يُشكّل بحد ذاته إشكاليةً تنظيميةً، إذ لا يمكن رسم سياسة تنظيمية دقيقة دون بيانات إحصائية موثوقة تكشف عن حجم الانتشار وأنماطه. وهو ما يستدعي أن يكون من أولويات سدايا وهيئة المحامين السعوديين إجراء مسح ميداني شامل لتقييم حجم الاعتماد على الذكاء الاصطناعي في مكاتب المحاماة السعودية.</w:t>
      </w:r>
    </w:p>
    <w:p w14:paraId="2F006F4C" w14:textId="77777777" w:rsidR="005705DD" w:rsidRDefault="005705DD" w:rsidP="005705DD">
      <w:pPr>
        <w:bidi/>
        <w:spacing w:after="200" w:line="276" w:lineRule="auto"/>
        <w:rPr>
          <w:rtl/>
        </w:rPr>
      </w:pPr>
      <w:r>
        <w:rPr>
          <w:rFonts w:asciiTheme="majorBidi" w:hAnsiTheme="majorBidi" w:cstheme="majorBidi"/>
          <w:b/>
          <w:sz w:val="28"/>
          <w:szCs w:val="28"/>
          <w:rtl/>
        </w:rPr>
        <w:t>ثالثاً: الفارق الجوهري بين الذكاء الاصطناعي القانوني والبرمجيات القانونية</w:t>
      </w:r>
    </w:p>
    <w:p w14:paraId="3EBA91DF" w14:textId="77777777" w:rsidR="005705DD" w:rsidRDefault="005705DD" w:rsidP="005705DD">
      <w:pPr>
        <w:bidi/>
        <w:spacing w:after="200" w:line="276" w:lineRule="auto"/>
        <w:rPr>
          <w:rtl/>
        </w:rPr>
      </w:pPr>
      <w:r>
        <w:rPr>
          <w:rFonts w:asciiTheme="majorBidi" w:hAnsiTheme="majorBidi" w:cstheme="majorBidi"/>
          <w:sz w:val="24"/>
          <w:szCs w:val="24"/>
          <w:rtl/>
        </w:rPr>
        <w:t xml:space="preserve">يتعامل بعض الكتّاب مع كل برنامج يستخدمه المحامي في عمله باعتباره "ذكاء اصطناعياً"، وهو تعميم أفضى إلى أخطاء تحليلية متعددة في الأدبيات القانونية. وللتمييز الدقيق بين هذين الصنفين في سياقهما التطبيقي، يمكن القول إن البرمجيات القانونية التقليدية (Legal Software) هي أدوات برمجية تقوم على تنفيذ قواعد ثابتة ومحددة مسبقاً دون قدرة على التعلم الذاتي أو الاستنتاج خارج نطاق ما بُرمجت عليه. ومن أمثلتها في البيئة القانونية السعودية: أنظمة إدارة القضايا كـClio وMyCase، وبرامج الفوترة القانونية، وأنظمة إدارة الوثائق </w:t>
      </w:r>
      <w:r>
        <w:rPr>
          <w:rFonts w:asciiTheme="majorBidi" w:hAnsiTheme="majorBidi" w:cstheme="majorBidi"/>
          <w:sz w:val="24"/>
          <w:szCs w:val="24"/>
          <w:rtl/>
        </w:rPr>
        <w:lastRenderedPageBreak/>
        <w:t>كـiManage، وبرامج أتمتة النماذج القانونية القياسية. كل هذه الأدوات، وإن كانت تُسهم في رفع كفاءة العمل، إلا أنها لا تُوصَف تقنياً بأنها "ذكاء اصطناعي" بمعناه الدقيق.</w:t>
      </w:r>
    </w:p>
    <w:p w14:paraId="167AFAFF" w14:textId="77777777" w:rsidR="005705DD" w:rsidRDefault="005705DD" w:rsidP="005705DD">
      <w:pPr>
        <w:bidi/>
        <w:spacing w:after="200" w:line="276" w:lineRule="auto"/>
        <w:rPr>
          <w:rtl/>
        </w:rPr>
      </w:pPr>
      <w:r>
        <w:rPr>
          <w:rFonts w:asciiTheme="majorBidi" w:hAnsiTheme="majorBidi" w:cstheme="majorBidi"/>
          <w:sz w:val="24"/>
          <w:szCs w:val="24"/>
          <w:rtl/>
        </w:rPr>
        <w:t>أما الذكاء الاصطناعي القانوني (Legal AI) فيعتمد على نماذج تعلم آلي أو معالجة لغة طبيعية أو ذكاء اصطناعي توليدي، مما يمنحه قدرة على استيعاب مدخلات غير متوقعة، واستنتاج أنماط من بيانات ضخمة، وتوليد نصوص أو تقييمات لم تُبرمَج صراحةً. والفارق هنا ليس مجرد فارق تقني، بل له تبعات قانونية متمايزة من حيث المسؤولية والمساءلة؛ فالمحامي الذي يُدخل بيانات موكله في نموذج لغوي كبير يتعرض لمخاطر مغايرة تماماً لتلك التي تنجم عن استخدامه لبرنامج إدارة قضايا محلي لا يتواصل مع شبكة خارجية.</w:t>
      </w:r>
    </w:p>
    <w:p w14:paraId="06FBBA18" w14:textId="77777777" w:rsidR="005705DD" w:rsidRDefault="005705DD" w:rsidP="005705DD">
      <w:pPr>
        <w:bidi/>
        <w:spacing w:after="200" w:line="276" w:lineRule="auto"/>
        <w:rPr>
          <w:rtl/>
        </w:rPr>
      </w:pPr>
      <w:r>
        <w:rPr>
          <w:rFonts w:asciiTheme="majorBidi" w:hAnsiTheme="majorBidi" w:cstheme="majorBidi"/>
          <w:sz w:val="24"/>
          <w:szCs w:val="24"/>
          <w:rtl/>
        </w:rPr>
        <w:t xml:space="preserve">وفيما يخص هذا التمييز، يُلاحظ محمود وعناني (د.ت) في دراستهما التحليلية المقارنة حول الذكاء الاصطناعي والعمل القضائي أن الخلط بين الصنفين يُفضي إلى إما إفراط في التنظيم للبرمجيات البسيطة غير الخطِرة، أو تساهل في التنظيم تجاه الأنظمة الذكية ذات المخاطر الحقيقية </w:t>
      </w:r>
      <w:r>
        <w:rPr>
          <w:rFonts w:asciiTheme="majorBidi" w:hAnsiTheme="majorBidi" w:cstheme="majorBidi"/>
          <w:sz w:val="24"/>
          <w:szCs w:val="24"/>
          <w:vertAlign w:val="superscript"/>
          <w:rtl/>
        </w:rPr>
        <w:footnoteReference w:id="284"/>
      </w:r>
      <w:r>
        <w:rPr>
          <w:rFonts w:asciiTheme="majorBidi" w:hAnsiTheme="majorBidi" w:cstheme="majorBidi"/>
          <w:sz w:val="24"/>
          <w:szCs w:val="24"/>
          <w:rtl/>
        </w:rPr>
        <w:t>. ويرى الباحث أن الحل الأمثل هو أن يتبنّى المشرّع السعودي تعريفاً تشريعياً يُميّز بوضوح بين الأنظمة التي تعتمد على التعلم الذاتي والنماذج الاحتمالية من جهة، والبرمجيات القائمة على قواعد ثابتة من جهة أخرى، تمهيداً لتطبيق متطلبات تنظيمية متباينة على كل فئة بحسب درجة مخاطرها.</w:t>
      </w:r>
    </w:p>
    <w:p w14:paraId="021ED9B4" w14:textId="77777777" w:rsidR="005705DD" w:rsidRDefault="005705DD" w:rsidP="005705DD"/>
    <w:p w14:paraId="74927D98" w14:textId="77777777" w:rsidR="005705DD" w:rsidRDefault="005705DD" w:rsidP="005705DD">
      <w:pPr>
        <w:bidi/>
        <w:spacing w:after="200" w:line="276" w:lineRule="auto"/>
        <w:rPr>
          <w:rtl/>
        </w:rPr>
      </w:pPr>
      <w:r>
        <w:rPr>
          <w:rFonts w:asciiTheme="majorBidi" w:hAnsiTheme="majorBidi" w:cstheme="majorBidi"/>
          <w:b/>
          <w:sz w:val="28"/>
          <w:szCs w:val="28"/>
          <w:rtl/>
        </w:rPr>
        <w:t>رابعاً: أبرز أدوات الذكاء الاصطناعي الغربية المتداولة في السوق القانوني السعودي</w:t>
      </w:r>
    </w:p>
    <w:p w14:paraId="32E91AB2" w14:textId="77777777" w:rsidR="005705DD" w:rsidRDefault="005705DD" w:rsidP="005705DD">
      <w:pPr>
        <w:bidi/>
        <w:spacing w:after="200" w:line="276" w:lineRule="auto"/>
        <w:rPr>
          <w:rtl/>
        </w:rPr>
      </w:pPr>
      <w:r>
        <w:rPr>
          <w:rFonts w:asciiTheme="majorBidi" w:hAnsiTheme="majorBidi" w:cstheme="majorBidi"/>
          <w:sz w:val="24"/>
          <w:szCs w:val="24"/>
          <w:rtl/>
        </w:rPr>
        <w:t>شهد السوق القانوني السعودي انتشاراً واسعاً لعدد من نماذج الذكاء الاصطناعي التوليدية التي باتت حاضرةً في بيئة عمل مكاتب المحاماة. وفي مقدمة هذه الأدوات نموذج ChatGPT الصادر عن شركة OpenAI، الذي يُستخدم في صياغة المراسلات القانونية وتلخيص الوثائق والإجابة على الاستفسارات الأولية للعملاء.</w:t>
      </w:r>
      <w:r>
        <w:rPr>
          <w:rFonts w:asciiTheme="majorBidi" w:hAnsiTheme="majorBidi" w:cstheme="majorBidi"/>
          <w:sz w:val="16"/>
          <w:szCs w:val="16"/>
          <w:vertAlign w:val="superscript"/>
          <w:rtl/>
        </w:rPr>
        <w:t>(1)</w:t>
      </w:r>
    </w:p>
    <w:p w14:paraId="33B1ED6A" w14:textId="77777777" w:rsidR="005705DD" w:rsidRDefault="005705DD" w:rsidP="005705DD">
      <w:pPr>
        <w:bidi/>
        <w:spacing w:after="200" w:line="276" w:lineRule="auto"/>
        <w:rPr>
          <w:rtl/>
        </w:rPr>
      </w:pPr>
      <w:r>
        <w:rPr>
          <w:rFonts w:asciiTheme="majorBidi" w:hAnsiTheme="majorBidi" w:cstheme="majorBidi"/>
          <w:sz w:val="24"/>
          <w:szCs w:val="24"/>
          <w:rtl/>
        </w:rPr>
        <w:t>ويُنافسه نموذج Claude الصادر عن شركة Anthropic، والذي يتميز بقدرته على معالجة المستندات البالغة مئتي ألف وحدة نصية، وتحليل العقود بدقة أعلى، مما جعله خياراً مفضلاً لدى عدد من المكاتب القانونية المتخصصة في مراجعة العقود الضخمة ضمن مشاريع التحكيم التجاري والمعاملات العقارية الكبرى.</w:t>
      </w:r>
      <w:r>
        <w:rPr>
          <w:rFonts w:asciiTheme="majorBidi" w:hAnsiTheme="majorBidi" w:cstheme="majorBidi"/>
          <w:sz w:val="16"/>
          <w:szCs w:val="16"/>
          <w:vertAlign w:val="superscript"/>
          <w:rtl/>
        </w:rPr>
        <w:t>(2)</w:t>
      </w:r>
    </w:p>
    <w:p w14:paraId="4BEDD1AD" w14:textId="77777777" w:rsidR="005705DD" w:rsidRDefault="005705DD" w:rsidP="005705DD">
      <w:pPr>
        <w:bidi/>
        <w:spacing w:after="200" w:line="276" w:lineRule="auto"/>
        <w:rPr>
          <w:rtl/>
        </w:rPr>
      </w:pPr>
      <w:r>
        <w:rPr>
          <w:rFonts w:asciiTheme="majorBidi" w:hAnsiTheme="majorBidi" w:cstheme="majorBidi"/>
          <w:sz w:val="24"/>
          <w:szCs w:val="24"/>
          <w:rtl/>
        </w:rPr>
        <w:t>أما نموذج Gemini الصادر عن Google فيتيح التكامل المباشر مع منظومة أدوات العمل المكتبي (Google Workspace)، مما يُيسّر توثيق الإجراءات وإعداد التقارير. كما تبرز أدوات متخصصة كـCopilot من Microsoft المدمج في حزمة Microsoft 365، وأدوات قانونية موجّهة كـHarvey AI وClio Duo التي صُمّمت أصلاً للبيئة القانونية الناطقة بالإنجليزية.</w:t>
      </w:r>
      <w:r>
        <w:rPr>
          <w:rFonts w:asciiTheme="majorBidi" w:hAnsiTheme="majorBidi" w:cstheme="majorBidi"/>
          <w:sz w:val="16"/>
          <w:szCs w:val="16"/>
          <w:vertAlign w:val="superscript"/>
          <w:rtl/>
        </w:rPr>
        <w:t>(3)</w:t>
      </w:r>
    </w:p>
    <w:p w14:paraId="7D91AF56" w14:textId="77777777" w:rsidR="005705DD" w:rsidRDefault="005705DD" w:rsidP="005705DD">
      <w:pPr>
        <w:bidi/>
        <w:rPr>
          <w:rtl/>
        </w:rPr>
      </w:pPr>
    </w:p>
    <w:p w14:paraId="5900801C" w14:textId="77777777" w:rsidR="005705DD" w:rsidRDefault="005705DD" w:rsidP="005705DD">
      <w:pPr>
        <w:bidi/>
        <w:rPr>
          <w:rtl/>
        </w:rPr>
      </w:pPr>
    </w:p>
    <w:p w14:paraId="033F9468" w14:textId="77777777" w:rsidR="005705DD" w:rsidRDefault="005705DD" w:rsidP="005705DD">
      <w:pPr>
        <w:bidi/>
        <w:spacing w:after="200" w:line="276" w:lineRule="auto"/>
        <w:rPr>
          <w:rtl/>
        </w:rPr>
      </w:pPr>
      <w:r>
        <w:rPr>
          <w:rFonts w:asciiTheme="majorBidi" w:hAnsiTheme="majorBidi" w:cstheme="majorBidi"/>
          <w:b/>
          <w:sz w:val="28"/>
          <w:szCs w:val="28"/>
          <w:rtl/>
        </w:rPr>
        <w:t>خامساً: أبرز أدوات الذكاء الاصطناعي العربية والسعودية الناشئة</w:t>
      </w:r>
    </w:p>
    <w:p w14:paraId="392D1247" w14:textId="77777777" w:rsidR="005705DD" w:rsidRDefault="005705DD" w:rsidP="005705DD">
      <w:pPr>
        <w:bidi/>
        <w:spacing w:after="200" w:line="276" w:lineRule="auto"/>
        <w:rPr>
          <w:rtl/>
        </w:rPr>
      </w:pPr>
      <w:r>
        <w:rPr>
          <w:rFonts w:asciiTheme="majorBidi" w:hAnsiTheme="majorBidi" w:cstheme="majorBidi"/>
          <w:sz w:val="24"/>
          <w:szCs w:val="24"/>
          <w:rtl/>
        </w:rPr>
        <w:t>في سياق التحولات الرقمية الإقليمية، برزت مبادرات عربية وسعودية لتطوير نماذج ذكاء اصطناعي تُعالج القصور اللغوي والتشريعي في النماذج الغربية. فعلى صعيد النماذج العربية المتخصصة، طوّر مركز الإمارات للذكاء الاصطناعي (G42) بالتعاون مع Cerebras Systems نموذج جيس (Jais) عام 2023م، المدرَّب على مليارات الكلمات العربية الفصيحة والعامية، مع قدرة على فهم السياقات القانونية والاقتصادية العربية بصورة أعمق من النماذج الغربية.</w:t>
      </w:r>
      <w:r>
        <w:rPr>
          <w:rFonts w:asciiTheme="majorBidi" w:hAnsiTheme="majorBidi" w:cstheme="majorBidi"/>
          <w:sz w:val="16"/>
          <w:szCs w:val="16"/>
          <w:vertAlign w:val="superscript"/>
          <w:rtl/>
        </w:rPr>
        <w:t>(4)</w:t>
      </w:r>
    </w:p>
    <w:p w14:paraId="112305FD" w14:textId="77777777" w:rsidR="005705DD" w:rsidRDefault="005705DD" w:rsidP="005705DD">
      <w:pPr>
        <w:bidi/>
        <w:spacing w:after="200" w:line="276" w:lineRule="auto"/>
        <w:rPr>
          <w:rtl/>
        </w:rPr>
      </w:pPr>
      <w:r>
        <w:rPr>
          <w:rFonts w:asciiTheme="majorBidi" w:hAnsiTheme="majorBidi" w:cstheme="majorBidi"/>
          <w:sz w:val="24"/>
          <w:szCs w:val="24"/>
          <w:rtl/>
        </w:rPr>
        <w:lastRenderedPageBreak/>
        <w:t>وعلى الصعيد السعودي تحديداً، أطلقت شركة أرامكو السعودية وIBM بالتعاون مع جهات بحثية سعودية نموذج علاّم (ALLaM) عام 2024م، المدرَّب على نصوص عربية متنوعة تشمل مصادر أكاديمية وقانونية وإسلامية. ويحمل هذا النموذج إمكانات واعدة لتطبيقات القطاع القانوني السعودي في إطار التحول الرقمي لوزارة العدل وبرامج تطوير القطاع القانوني الوطني.</w:t>
      </w:r>
      <w:r>
        <w:rPr>
          <w:rFonts w:asciiTheme="majorBidi" w:hAnsiTheme="majorBidi" w:cstheme="majorBidi"/>
          <w:sz w:val="16"/>
          <w:szCs w:val="16"/>
          <w:vertAlign w:val="superscript"/>
          <w:rtl/>
        </w:rPr>
        <w:t>(5)</w:t>
      </w:r>
    </w:p>
    <w:p w14:paraId="07A97D60" w14:textId="77777777" w:rsidR="005705DD" w:rsidRDefault="005705DD" w:rsidP="005705DD">
      <w:pPr>
        <w:bidi/>
        <w:spacing w:after="200" w:line="276" w:lineRule="auto"/>
        <w:rPr>
          <w:rtl/>
        </w:rPr>
      </w:pPr>
      <w:r>
        <w:rPr>
          <w:rFonts w:asciiTheme="majorBidi" w:hAnsiTheme="majorBidi" w:cstheme="majorBidi"/>
          <w:sz w:val="24"/>
          <w:szCs w:val="24"/>
          <w:rtl/>
        </w:rPr>
        <w:t>فضلاً عن ذلك، ظهر نموذج AceGPT المطوَّر من باحثين عرب بدعم مؤسسي خليجي، المُركِّز على الفهم الثقافي والديني والقانوني الإسلامي العربي. وعلى الصعيد المنصّاتي المحلي، تبرز منصة "منظومة" السعودية للمعلومات القانونية التي تدمج تقنيات الذكاء الاصطناعي في البحث التشريعي، ومشاريع وزارة العدل السعودية لتوظيف الذكاء الاصطناعي في تسريع الفصل في القضايا وتحليل الأحكام القضائية.</w:t>
      </w:r>
      <w:r>
        <w:rPr>
          <w:rFonts w:asciiTheme="majorBidi" w:hAnsiTheme="majorBidi" w:cstheme="majorBidi"/>
          <w:sz w:val="16"/>
          <w:szCs w:val="16"/>
          <w:vertAlign w:val="superscript"/>
          <w:rtl/>
        </w:rPr>
        <w:t>(6)</w:t>
      </w:r>
    </w:p>
    <w:p w14:paraId="0C3B83C6" w14:textId="77777777" w:rsidR="005705DD" w:rsidRDefault="005705DD" w:rsidP="005705DD">
      <w:pPr>
        <w:bidi/>
        <w:spacing w:after="200" w:line="276" w:lineRule="auto"/>
        <w:rPr>
          <w:rtl/>
        </w:rPr>
      </w:pPr>
      <w:r>
        <w:rPr>
          <w:rFonts w:asciiTheme="majorBidi" w:hAnsiTheme="majorBidi" w:cstheme="majorBidi"/>
          <w:sz w:val="24"/>
          <w:szCs w:val="24"/>
          <w:rtl/>
        </w:rPr>
        <w:t>وتُشير التقارير إلى أن المحامين السعوديين يواجهون في تعاملهم مع هذه الأدوات جملةً من التحديات؛ إذ تفتقر معظم النماذج الغربية إلى التدريب الكافي على مصادر القانون السعودي ومنظومته التشريعية المتمثلة في نظام المرافعات الشرعية والأنظمة الاقتصادية الصادرة في إطار رؤية 2030. كما يتسم استخدامها بالطابع الفردي غير المنهجي، وهو ما يستدعي بناء أطر تنظيمية وطنية واضحة.</w:t>
      </w:r>
      <w:r>
        <w:rPr>
          <w:rFonts w:asciiTheme="majorBidi" w:hAnsiTheme="majorBidi" w:cstheme="majorBidi"/>
          <w:sz w:val="16"/>
          <w:szCs w:val="16"/>
          <w:vertAlign w:val="superscript"/>
          <w:rtl/>
        </w:rPr>
        <w:t>(7)</w:t>
      </w:r>
    </w:p>
    <w:p w14:paraId="623B09BC" w14:textId="77777777" w:rsidR="005705DD" w:rsidRDefault="005705DD" w:rsidP="005705DD">
      <w:pPr>
        <w:bidi/>
        <w:rPr>
          <w:rtl/>
        </w:rPr>
      </w:pPr>
    </w:p>
    <w:p w14:paraId="0DF16417" w14:textId="77777777" w:rsidR="005705DD" w:rsidRDefault="005705DD" w:rsidP="005705DD">
      <w:pPr>
        <w:bidi/>
        <w:spacing w:after="200" w:line="276" w:lineRule="auto"/>
        <w:rPr>
          <w:rtl/>
        </w:rPr>
      </w:pPr>
      <w:r>
        <w:rPr>
          <w:rFonts w:asciiTheme="majorBidi" w:hAnsiTheme="majorBidi" w:cstheme="majorBidi"/>
          <w:b/>
          <w:sz w:val="28"/>
          <w:szCs w:val="28"/>
          <w:rtl/>
        </w:rPr>
        <w:t xml:space="preserve">سادساً: جدول مقارنة بين أبرز أدوات الذكاء الاصطناعي في السياق القانوني </w:t>
      </w:r>
    </w:p>
    <w:tbl>
      <w:tblPr>
        <w:bidiVisual/>
        <w:tblW w:w="8400" w:type="dxa"/>
        <w:jc w:val="center"/>
        <w:tblLook w:val="04A0" w:firstRow="1" w:lastRow="0" w:firstColumn="1" w:lastColumn="0" w:noHBand="0" w:noVBand="1"/>
      </w:tblPr>
      <w:tblGrid>
        <w:gridCol w:w="1600"/>
        <w:gridCol w:w="1400"/>
        <w:gridCol w:w="900"/>
        <w:gridCol w:w="1400"/>
        <w:gridCol w:w="1700"/>
        <w:gridCol w:w="1400"/>
      </w:tblGrid>
      <w:tr w:rsidR="005705DD" w14:paraId="36373F9D" w14:textId="77777777" w:rsidTr="00C6274F">
        <w:trPr>
          <w:tblHeader/>
          <w:jc w:val="center"/>
        </w:trPr>
        <w:tc>
          <w:tcPr>
            <w:tcW w:w="16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00998453" w14:textId="77777777" w:rsidR="005705DD" w:rsidRDefault="005705DD" w:rsidP="00C6274F">
            <w:pPr>
              <w:bidi/>
              <w:rPr>
                <w:rtl/>
              </w:rPr>
            </w:pPr>
            <w:r>
              <w:rPr>
                <w:rFonts w:asciiTheme="majorBidi" w:hAnsiTheme="majorBidi" w:cstheme="majorBidi"/>
                <w:b/>
                <w:color w:val="FFFFFF"/>
                <w:sz w:val="20"/>
                <w:szCs w:val="20"/>
                <w:rtl/>
              </w:rPr>
              <w:t>الأداة</w:t>
            </w:r>
          </w:p>
        </w:tc>
        <w:tc>
          <w:tcPr>
            <w:tcW w:w="14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1C761FF3" w14:textId="77777777" w:rsidR="005705DD" w:rsidRDefault="005705DD" w:rsidP="00C6274F">
            <w:pPr>
              <w:bidi/>
              <w:rPr>
                <w:rtl/>
              </w:rPr>
            </w:pPr>
            <w:r>
              <w:rPr>
                <w:rFonts w:asciiTheme="majorBidi" w:hAnsiTheme="majorBidi" w:cstheme="majorBidi"/>
                <w:b/>
                <w:color w:val="FFFFFF"/>
                <w:sz w:val="20"/>
                <w:szCs w:val="20"/>
                <w:rtl/>
              </w:rPr>
              <w:t>المطوِّر</w:t>
            </w:r>
          </w:p>
        </w:tc>
        <w:tc>
          <w:tcPr>
            <w:tcW w:w="9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7AB45ECE" w14:textId="77777777" w:rsidR="005705DD" w:rsidRDefault="005705DD" w:rsidP="00C6274F">
            <w:pPr>
              <w:bidi/>
              <w:rPr>
                <w:rtl/>
              </w:rPr>
            </w:pPr>
            <w:r>
              <w:rPr>
                <w:rFonts w:asciiTheme="majorBidi" w:hAnsiTheme="majorBidi" w:cstheme="majorBidi"/>
                <w:b/>
                <w:color w:val="FFFFFF"/>
                <w:sz w:val="20"/>
                <w:szCs w:val="20"/>
                <w:rtl/>
              </w:rPr>
              <w:t>دعم العربية</w:t>
            </w:r>
          </w:p>
        </w:tc>
        <w:tc>
          <w:tcPr>
            <w:tcW w:w="14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74A5ECA5" w14:textId="77777777" w:rsidR="005705DD" w:rsidRDefault="005705DD" w:rsidP="00C6274F">
            <w:pPr>
              <w:bidi/>
              <w:rPr>
                <w:rtl/>
              </w:rPr>
            </w:pPr>
            <w:r>
              <w:rPr>
                <w:rFonts w:asciiTheme="majorBidi" w:hAnsiTheme="majorBidi" w:cstheme="majorBidi"/>
                <w:b/>
                <w:color w:val="FFFFFF"/>
                <w:sz w:val="20"/>
                <w:szCs w:val="20"/>
                <w:rtl/>
              </w:rPr>
              <w:t>التخصص القانوني</w:t>
            </w:r>
          </w:p>
        </w:tc>
        <w:tc>
          <w:tcPr>
            <w:tcW w:w="17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1C747C71" w14:textId="77777777" w:rsidR="005705DD" w:rsidRDefault="005705DD" w:rsidP="00C6274F">
            <w:pPr>
              <w:bidi/>
              <w:rPr>
                <w:rtl/>
              </w:rPr>
            </w:pPr>
            <w:r>
              <w:rPr>
                <w:rFonts w:asciiTheme="majorBidi" w:hAnsiTheme="majorBidi" w:cstheme="majorBidi"/>
                <w:b/>
                <w:color w:val="FFFFFF"/>
                <w:sz w:val="20"/>
                <w:szCs w:val="20"/>
                <w:rtl/>
              </w:rPr>
              <w:t>معالجة المستندات الطويلة</w:t>
            </w:r>
          </w:p>
        </w:tc>
        <w:tc>
          <w:tcPr>
            <w:tcW w:w="14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3BD6B053" w14:textId="77777777" w:rsidR="005705DD" w:rsidRDefault="005705DD" w:rsidP="00C6274F">
            <w:pPr>
              <w:bidi/>
              <w:rPr>
                <w:rtl/>
              </w:rPr>
            </w:pPr>
            <w:r>
              <w:rPr>
                <w:rFonts w:asciiTheme="majorBidi" w:hAnsiTheme="majorBidi" w:cstheme="majorBidi"/>
                <w:b/>
                <w:color w:val="FFFFFF"/>
                <w:sz w:val="20"/>
                <w:szCs w:val="20"/>
                <w:rtl/>
              </w:rPr>
              <w:t>الأنسب لـ</w:t>
            </w:r>
          </w:p>
        </w:tc>
      </w:tr>
      <w:tr w:rsidR="005705DD" w14:paraId="7A90E97F" w14:textId="77777777" w:rsidTr="00C6274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00902D40" w14:textId="77777777" w:rsidR="005705DD" w:rsidRDefault="005705DD" w:rsidP="00C6274F">
            <w:pPr>
              <w:bidi/>
              <w:rPr>
                <w:rtl/>
              </w:rPr>
            </w:pPr>
            <w:r>
              <w:rPr>
                <w:rFonts w:asciiTheme="majorBidi" w:hAnsiTheme="majorBidi" w:cstheme="majorBidi"/>
                <w:sz w:val="18"/>
                <w:szCs w:val="18"/>
                <w:rtl/>
              </w:rPr>
              <w:t>ChatGPT</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3624A11B" w14:textId="77777777" w:rsidR="005705DD" w:rsidRDefault="005705DD" w:rsidP="00C6274F">
            <w:pPr>
              <w:bidi/>
              <w:rPr>
                <w:rtl/>
              </w:rPr>
            </w:pPr>
            <w:r>
              <w:rPr>
                <w:rFonts w:asciiTheme="majorBidi" w:hAnsiTheme="majorBidi" w:cstheme="majorBidi"/>
                <w:sz w:val="18"/>
                <w:szCs w:val="18"/>
                <w:rtl/>
              </w:rPr>
              <w:t>OpenAI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6454CC5" w14:textId="77777777" w:rsidR="005705DD" w:rsidRDefault="005705DD" w:rsidP="00C6274F">
            <w:pPr>
              <w:bidi/>
              <w:rPr>
                <w:rtl/>
              </w:rPr>
            </w:pPr>
            <w:r>
              <w:rPr>
                <w:rFonts w:asciiTheme="majorBidi" w:hAnsiTheme="majorBidi" w:cstheme="majorBidi"/>
                <w:sz w:val="18"/>
                <w:szCs w:val="18"/>
                <w:rtl/>
              </w:rPr>
              <w:t>متوسط</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B9EFD35" w14:textId="77777777" w:rsidR="005705DD" w:rsidRDefault="005705DD" w:rsidP="00C6274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D64935A" w14:textId="77777777" w:rsidR="005705DD" w:rsidRDefault="005705DD" w:rsidP="00C6274F">
            <w:pPr>
              <w:bidi/>
              <w:rPr>
                <w:rtl/>
              </w:rPr>
            </w:pPr>
            <w:r>
              <w:rPr>
                <w:rFonts w:asciiTheme="majorBidi" w:hAnsiTheme="majorBidi" w:cstheme="majorBidi"/>
                <w:sz w:val="18"/>
                <w:szCs w:val="18"/>
                <w:rtl/>
              </w:rPr>
              <w:t>محدودة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675A6E8" w14:textId="77777777" w:rsidR="005705DD" w:rsidRDefault="005705DD" w:rsidP="00C6274F">
            <w:pPr>
              <w:bidi/>
              <w:rPr>
                <w:rtl/>
              </w:rPr>
            </w:pPr>
            <w:r>
              <w:rPr>
                <w:rFonts w:asciiTheme="majorBidi" w:hAnsiTheme="majorBidi" w:cstheme="majorBidi"/>
                <w:sz w:val="18"/>
                <w:szCs w:val="18"/>
                <w:rtl/>
              </w:rPr>
              <w:t>المراسلات والصياغة الأولية</w:t>
            </w:r>
          </w:p>
        </w:tc>
      </w:tr>
      <w:tr w:rsidR="005705DD" w14:paraId="2C72C703" w14:textId="77777777" w:rsidTr="00C6274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245A9776" w14:textId="77777777" w:rsidR="005705DD" w:rsidRDefault="005705DD" w:rsidP="00C6274F">
            <w:pPr>
              <w:bidi/>
              <w:rPr>
                <w:rtl/>
              </w:rPr>
            </w:pPr>
            <w:r>
              <w:rPr>
                <w:rFonts w:asciiTheme="majorBidi" w:hAnsiTheme="majorBidi" w:cstheme="majorBidi"/>
                <w:sz w:val="18"/>
                <w:szCs w:val="18"/>
                <w:rtl/>
              </w:rPr>
              <w:t>Claude</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2715A1E" w14:textId="77777777" w:rsidR="005705DD" w:rsidRDefault="005705DD" w:rsidP="00C6274F">
            <w:pPr>
              <w:bidi/>
              <w:rPr>
                <w:rtl/>
              </w:rPr>
            </w:pPr>
            <w:r>
              <w:rPr>
                <w:rFonts w:asciiTheme="majorBidi" w:hAnsiTheme="majorBidi" w:cstheme="majorBidi"/>
                <w:sz w:val="18"/>
                <w:szCs w:val="18"/>
                <w:rtl/>
              </w:rPr>
              <w:t>Anthropic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19AF8FC" w14:textId="77777777" w:rsidR="005705DD" w:rsidRDefault="005705DD" w:rsidP="00C6274F">
            <w:pPr>
              <w:bidi/>
              <w:rPr>
                <w:rtl/>
              </w:rPr>
            </w:pPr>
            <w:r>
              <w:rPr>
                <w:rFonts w:asciiTheme="majorBidi" w:hAnsiTheme="majorBidi" w:cstheme="majorBidi"/>
                <w:sz w:val="18"/>
                <w:szCs w:val="18"/>
                <w:rtl/>
              </w:rPr>
              <w:t>متوسط-جيد</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014E84FD" w14:textId="77777777" w:rsidR="005705DD" w:rsidRDefault="005705DD" w:rsidP="00C6274F">
            <w:pPr>
              <w:bidi/>
              <w:rPr>
                <w:rtl/>
              </w:rPr>
            </w:pPr>
            <w:r>
              <w:rPr>
                <w:rFonts w:asciiTheme="majorBidi" w:hAnsiTheme="majorBidi" w:cstheme="majorBidi"/>
                <w:sz w:val="18"/>
                <w:szCs w:val="18"/>
                <w:rtl/>
              </w:rPr>
              <w:t>عام (دقيق في النصوص)</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C507C2F" w14:textId="77777777" w:rsidR="005705DD" w:rsidRDefault="005705DD" w:rsidP="00C6274F">
            <w:pPr>
              <w:bidi/>
              <w:rPr>
                <w:rtl/>
              </w:rPr>
            </w:pPr>
            <w:r>
              <w:rPr>
                <w:rFonts w:asciiTheme="majorBidi" w:hAnsiTheme="majorBidi" w:cstheme="majorBidi"/>
                <w:sz w:val="18"/>
                <w:szCs w:val="18"/>
                <w:rtl/>
              </w:rPr>
              <w:t>ممتازة (200k)</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76B8D93C" w14:textId="77777777" w:rsidR="005705DD" w:rsidRDefault="005705DD" w:rsidP="00C6274F">
            <w:pPr>
              <w:bidi/>
              <w:rPr>
                <w:rtl/>
              </w:rPr>
            </w:pPr>
            <w:r>
              <w:rPr>
                <w:rFonts w:asciiTheme="majorBidi" w:hAnsiTheme="majorBidi" w:cstheme="majorBidi"/>
                <w:sz w:val="18"/>
                <w:szCs w:val="18"/>
                <w:rtl/>
              </w:rPr>
              <w:t>مراجعة العقود الطويلة</w:t>
            </w:r>
          </w:p>
        </w:tc>
      </w:tr>
      <w:tr w:rsidR="005705DD" w14:paraId="3E32254C" w14:textId="77777777" w:rsidTr="00C6274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4A498D70" w14:textId="77777777" w:rsidR="005705DD" w:rsidRDefault="005705DD" w:rsidP="00C6274F">
            <w:pPr>
              <w:bidi/>
              <w:rPr>
                <w:rtl/>
              </w:rPr>
            </w:pPr>
            <w:r>
              <w:rPr>
                <w:rFonts w:asciiTheme="majorBidi" w:hAnsiTheme="majorBidi" w:cstheme="majorBidi"/>
                <w:sz w:val="18"/>
                <w:szCs w:val="18"/>
                <w:rtl/>
              </w:rPr>
              <w:t>Gemini</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02C3E93E" w14:textId="77777777" w:rsidR="005705DD" w:rsidRDefault="005705DD" w:rsidP="00C6274F">
            <w:pPr>
              <w:bidi/>
              <w:rPr>
                <w:rtl/>
              </w:rPr>
            </w:pPr>
            <w:r>
              <w:rPr>
                <w:rFonts w:asciiTheme="majorBidi" w:hAnsiTheme="majorBidi" w:cstheme="majorBidi"/>
                <w:sz w:val="18"/>
                <w:szCs w:val="18"/>
                <w:rtl/>
              </w:rPr>
              <w:t>Google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0D7A40D" w14:textId="77777777" w:rsidR="005705DD" w:rsidRDefault="005705DD" w:rsidP="00C6274F">
            <w:pPr>
              <w:bidi/>
              <w:rPr>
                <w:rtl/>
              </w:rPr>
            </w:pPr>
            <w:r>
              <w:rPr>
                <w:rFonts w:asciiTheme="majorBidi" w:hAnsiTheme="majorBidi" w:cstheme="majorBidi"/>
                <w:sz w:val="18"/>
                <w:szCs w:val="18"/>
                <w:rtl/>
              </w:rPr>
              <w:t>جيد</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BBD46DD" w14:textId="77777777" w:rsidR="005705DD" w:rsidRDefault="005705DD" w:rsidP="00C6274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0754695A" w14:textId="77777777" w:rsidR="005705DD" w:rsidRDefault="005705DD" w:rsidP="00C6274F">
            <w:pPr>
              <w:bidi/>
              <w:rPr>
                <w:rtl/>
              </w:rPr>
            </w:pPr>
            <w:r>
              <w:rPr>
                <w:rFonts w:asciiTheme="majorBidi" w:hAnsiTheme="majorBidi" w:cstheme="majorBidi"/>
                <w:sz w:val="18"/>
                <w:szCs w:val="18"/>
                <w:rtl/>
              </w:rPr>
              <w:t>ممتازة (1M token)</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C5A45BC" w14:textId="77777777" w:rsidR="005705DD" w:rsidRDefault="005705DD" w:rsidP="00C6274F">
            <w:pPr>
              <w:bidi/>
              <w:rPr>
                <w:rtl/>
              </w:rPr>
            </w:pPr>
            <w:r>
              <w:rPr>
                <w:rFonts w:asciiTheme="majorBidi" w:hAnsiTheme="majorBidi" w:cstheme="majorBidi"/>
                <w:sz w:val="18"/>
                <w:szCs w:val="18"/>
                <w:rtl/>
              </w:rPr>
              <w:t>التوثيق والتقارير المكتبية</w:t>
            </w:r>
          </w:p>
        </w:tc>
      </w:tr>
      <w:tr w:rsidR="005705DD" w14:paraId="3EB3872D" w14:textId="77777777" w:rsidTr="00C6274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24CDB2F2" w14:textId="77777777" w:rsidR="005705DD" w:rsidRDefault="005705DD" w:rsidP="00C6274F">
            <w:pPr>
              <w:bidi/>
              <w:rPr>
                <w:rtl/>
              </w:rPr>
            </w:pPr>
            <w:r>
              <w:rPr>
                <w:rFonts w:asciiTheme="majorBidi" w:hAnsiTheme="majorBidi" w:cstheme="majorBidi"/>
                <w:sz w:val="18"/>
                <w:szCs w:val="18"/>
                <w:rtl/>
              </w:rPr>
              <w:t>Copilot</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0256BBB2" w14:textId="77777777" w:rsidR="005705DD" w:rsidRDefault="005705DD" w:rsidP="00C6274F">
            <w:pPr>
              <w:bidi/>
              <w:rPr>
                <w:rtl/>
              </w:rPr>
            </w:pPr>
            <w:r>
              <w:rPr>
                <w:rFonts w:asciiTheme="majorBidi" w:hAnsiTheme="majorBidi" w:cstheme="majorBidi"/>
                <w:sz w:val="18"/>
                <w:szCs w:val="18"/>
                <w:rtl/>
              </w:rPr>
              <w:t>Microsoft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46B3D9B" w14:textId="77777777" w:rsidR="005705DD" w:rsidRDefault="005705DD" w:rsidP="00C6274F">
            <w:pPr>
              <w:bidi/>
              <w:rPr>
                <w:rtl/>
              </w:rPr>
            </w:pPr>
            <w:r>
              <w:rPr>
                <w:rFonts w:asciiTheme="majorBidi" w:hAnsiTheme="majorBidi" w:cstheme="majorBidi"/>
                <w:sz w:val="18"/>
                <w:szCs w:val="18"/>
                <w:rtl/>
              </w:rPr>
              <w:t>جيد</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31274804" w14:textId="77777777" w:rsidR="005705DD" w:rsidRDefault="005705DD" w:rsidP="00C6274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4B0290BA" w14:textId="77777777" w:rsidR="005705DD" w:rsidRDefault="005705DD" w:rsidP="00C6274F">
            <w:pPr>
              <w:bidi/>
              <w:rPr>
                <w:rtl/>
              </w:rPr>
            </w:pPr>
            <w:r>
              <w:rPr>
                <w:rFonts w:asciiTheme="majorBidi" w:hAnsiTheme="majorBidi" w:cstheme="majorBidi"/>
                <w:sz w:val="18"/>
                <w:szCs w:val="18"/>
                <w:rtl/>
              </w:rPr>
              <w:t>متوسطة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3C771027" w14:textId="77777777" w:rsidR="005705DD" w:rsidRDefault="005705DD" w:rsidP="00C6274F">
            <w:pPr>
              <w:bidi/>
              <w:rPr>
                <w:rtl/>
              </w:rPr>
            </w:pPr>
            <w:r>
              <w:rPr>
                <w:rFonts w:asciiTheme="majorBidi" w:hAnsiTheme="majorBidi" w:cstheme="majorBidi"/>
                <w:sz w:val="18"/>
                <w:szCs w:val="18"/>
                <w:rtl/>
              </w:rPr>
              <w:t>مكاتب تستخدم Microsoft 365</w:t>
            </w:r>
          </w:p>
        </w:tc>
      </w:tr>
      <w:tr w:rsidR="005705DD" w14:paraId="72021143" w14:textId="77777777" w:rsidTr="00C6274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0855AF7B" w14:textId="77777777" w:rsidR="005705DD" w:rsidRDefault="005705DD" w:rsidP="00C6274F">
            <w:pPr>
              <w:bidi/>
              <w:rPr>
                <w:rtl/>
              </w:rPr>
            </w:pPr>
            <w:r>
              <w:rPr>
                <w:rFonts w:asciiTheme="majorBidi" w:hAnsiTheme="majorBidi" w:cstheme="majorBidi"/>
                <w:sz w:val="18"/>
                <w:szCs w:val="18"/>
                <w:rtl/>
              </w:rPr>
              <w:t>Harvey AI</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A39A4E6" w14:textId="77777777" w:rsidR="005705DD" w:rsidRDefault="005705DD" w:rsidP="00C6274F">
            <w:pPr>
              <w:bidi/>
              <w:rPr>
                <w:rtl/>
              </w:rPr>
            </w:pPr>
            <w:r>
              <w:rPr>
                <w:rFonts w:asciiTheme="majorBidi" w:hAnsiTheme="majorBidi" w:cstheme="majorBidi"/>
                <w:sz w:val="18"/>
                <w:szCs w:val="18"/>
                <w:rtl/>
              </w:rPr>
              <w:t>Harvey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7077F3A1" w14:textId="77777777" w:rsidR="005705DD" w:rsidRDefault="005705DD" w:rsidP="00C6274F">
            <w:pPr>
              <w:bidi/>
              <w:rPr>
                <w:rtl/>
              </w:rPr>
            </w:pPr>
            <w:r>
              <w:rPr>
                <w:rFonts w:asciiTheme="majorBidi" w:hAnsiTheme="majorBidi" w:cstheme="majorBidi"/>
                <w:sz w:val="18"/>
                <w:szCs w:val="18"/>
                <w:rtl/>
              </w:rPr>
              <w:t>ضعيف</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4CA4CCB" w14:textId="77777777" w:rsidR="005705DD" w:rsidRDefault="005705DD" w:rsidP="00C6274F">
            <w:pPr>
              <w:bidi/>
              <w:rPr>
                <w:rtl/>
              </w:rPr>
            </w:pPr>
            <w:r>
              <w:rPr>
                <w:rFonts w:asciiTheme="majorBidi" w:hAnsiTheme="majorBidi" w:cstheme="majorBidi"/>
                <w:sz w:val="18"/>
                <w:szCs w:val="18"/>
                <w:rtl/>
              </w:rPr>
              <w:t>قانوني متخصص</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FF0D167" w14:textId="77777777" w:rsidR="005705DD" w:rsidRDefault="005705DD" w:rsidP="00C6274F">
            <w:pPr>
              <w:bidi/>
              <w:rPr>
                <w:rtl/>
              </w:rPr>
            </w:pPr>
            <w:r>
              <w:rPr>
                <w:rFonts w:asciiTheme="majorBidi" w:hAnsiTheme="majorBidi" w:cstheme="majorBidi"/>
                <w:sz w:val="18"/>
                <w:szCs w:val="18"/>
                <w:rtl/>
              </w:rPr>
              <w:t>ممتازة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749E2518" w14:textId="77777777" w:rsidR="005705DD" w:rsidRDefault="005705DD" w:rsidP="00C6274F">
            <w:pPr>
              <w:bidi/>
              <w:rPr>
                <w:rtl/>
              </w:rPr>
            </w:pPr>
            <w:r>
              <w:rPr>
                <w:rFonts w:asciiTheme="majorBidi" w:hAnsiTheme="majorBidi" w:cstheme="majorBidi"/>
                <w:sz w:val="18"/>
                <w:szCs w:val="18"/>
                <w:rtl/>
              </w:rPr>
              <w:t>العقود والسوابق بالإنجليزية</w:t>
            </w:r>
          </w:p>
        </w:tc>
      </w:tr>
      <w:tr w:rsidR="005705DD" w14:paraId="16A6074B" w14:textId="77777777" w:rsidTr="00C6274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45D27CE" w14:textId="77777777" w:rsidR="005705DD" w:rsidRDefault="005705DD" w:rsidP="00C6274F">
            <w:pPr>
              <w:bidi/>
              <w:rPr>
                <w:rtl/>
              </w:rPr>
            </w:pPr>
            <w:r>
              <w:rPr>
                <w:rFonts w:asciiTheme="majorBidi" w:hAnsiTheme="majorBidi" w:cstheme="majorBidi"/>
                <w:sz w:val="18"/>
                <w:szCs w:val="18"/>
                <w:rtl/>
              </w:rPr>
              <w:t>جيس (Jais)</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4CCFC67" w14:textId="77777777" w:rsidR="005705DD" w:rsidRDefault="005705DD" w:rsidP="00C6274F">
            <w:pPr>
              <w:bidi/>
              <w:rPr>
                <w:rtl/>
              </w:rPr>
            </w:pPr>
            <w:r>
              <w:rPr>
                <w:rFonts w:asciiTheme="majorBidi" w:hAnsiTheme="majorBidi" w:cstheme="majorBidi"/>
                <w:sz w:val="18"/>
                <w:szCs w:val="18"/>
                <w:rtl/>
              </w:rPr>
              <w:t>G42 / إماراتية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6FBCAD8" w14:textId="77777777" w:rsidR="005705DD" w:rsidRDefault="005705DD" w:rsidP="00C6274F">
            <w:pPr>
              <w:bidi/>
              <w:rPr>
                <w:rtl/>
              </w:rPr>
            </w:pPr>
            <w:r>
              <w:rPr>
                <w:rFonts w:asciiTheme="majorBidi" w:hAnsiTheme="majorBidi" w:cstheme="majorBidi"/>
                <w:sz w:val="18"/>
                <w:szCs w:val="18"/>
                <w:rtl/>
              </w:rPr>
              <w:t>ممتاز</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4A188A0" w14:textId="77777777" w:rsidR="005705DD" w:rsidRDefault="005705DD" w:rsidP="00C6274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40338E4" w14:textId="77777777" w:rsidR="005705DD" w:rsidRDefault="005705DD" w:rsidP="00C6274F">
            <w:pPr>
              <w:bidi/>
              <w:rPr>
                <w:rtl/>
              </w:rPr>
            </w:pPr>
            <w:r>
              <w:rPr>
                <w:rFonts w:asciiTheme="majorBidi" w:hAnsiTheme="majorBidi" w:cstheme="majorBidi"/>
                <w:sz w:val="18"/>
                <w:szCs w:val="18"/>
                <w:rtl/>
              </w:rPr>
              <w:t>متوسطة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AAA69B5" w14:textId="77777777" w:rsidR="005705DD" w:rsidRDefault="005705DD" w:rsidP="00C6274F">
            <w:pPr>
              <w:bidi/>
              <w:rPr>
                <w:rtl/>
              </w:rPr>
            </w:pPr>
            <w:r>
              <w:rPr>
                <w:rFonts w:asciiTheme="majorBidi" w:hAnsiTheme="majorBidi" w:cstheme="majorBidi"/>
                <w:sz w:val="18"/>
                <w:szCs w:val="18"/>
                <w:rtl/>
              </w:rPr>
              <w:t>النصوص القانونية العربية</w:t>
            </w:r>
          </w:p>
        </w:tc>
      </w:tr>
      <w:tr w:rsidR="005705DD" w14:paraId="7A383386" w14:textId="77777777" w:rsidTr="00C6274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7A72871C" w14:textId="77777777" w:rsidR="005705DD" w:rsidRDefault="005705DD" w:rsidP="00C6274F">
            <w:pPr>
              <w:bidi/>
              <w:rPr>
                <w:rtl/>
              </w:rPr>
            </w:pPr>
            <w:r>
              <w:rPr>
                <w:rFonts w:asciiTheme="majorBidi" w:hAnsiTheme="majorBidi" w:cstheme="majorBidi"/>
                <w:sz w:val="18"/>
                <w:szCs w:val="18"/>
                <w:rtl/>
              </w:rPr>
              <w:t>علاّم (ALLaM)</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6B62639" w14:textId="77777777" w:rsidR="005705DD" w:rsidRDefault="005705DD" w:rsidP="00C6274F">
            <w:pPr>
              <w:bidi/>
              <w:rPr>
                <w:rtl/>
              </w:rPr>
            </w:pPr>
            <w:r>
              <w:rPr>
                <w:rFonts w:asciiTheme="majorBidi" w:hAnsiTheme="majorBidi" w:cstheme="majorBidi"/>
                <w:sz w:val="18"/>
                <w:szCs w:val="18"/>
                <w:rtl/>
              </w:rPr>
              <w:t>أرامكو/IBM/سعودية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64E525A8" w14:textId="77777777" w:rsidR="005705DD" w:rsidRDefault="005705DD" w:rsidP="00C6274F">
            <w:pPr>
              <w:bidi/>
              <w:rPr>
                <w:rtl/>
              </w:rPr>
            </w:pPr>
            <w:r>
              <w:rPr>
                <w:rFonts w:asciiTheme="majorBidi" w:hAnsiTheme="majorBidi" w:cstheme="majorBidi"/>
                <w:sz w:val="18"/>
                <w:szCs w:val="18"/>
                <w:rtl/>
              </w:rPr>
              <w:t>ممتاز</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5E28CC6" w14:textId="77777777" w:rsidR="005705DD" w:rsidRDefault="005705DD" w:rsidP="00C6274F">
            <w:pPr>
              <w:bidi/>
              <w:rPr>
                <w:rtl/>
              </w:rPr>
            </w:pPr>
            <w:r>
              <w:rPr>
                <w:rFonts w:asciiTheme="majorBidi" w:hAnsiTheme="majorBidi" w:cstheme="majorBidi"/>
                <w:sz w:val="18"/>
                <w:szCs w:val="18"/>
                <w:rtl/>
              </w:rPr>
              <w:t>عام-قانوني</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F3F739B" w14:textId="77777777" w:rsidR="005705DD" w:rsidRDefault="005705DD" w:rsidP="00C6274F">
            <w:pPr>
              <w:bidi/>
              <w:rPr>
                <w:rtl/>
              </w:rPr>
            </w:pPr>
            <w:r>
              <w:rPr>
                <w:rFonts w:asciiTheme="majorBidi" w:hAnsiTheme="majorBidi" w:cstheme="majorBidi"/>
                <w:sz w:val="18"/>
                <w:szCs w:val="18"/>
                <w:rtl/>
              </w:rPr>
              <w:t>جيدة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6042B575" w14:textId="77777777" w:rsidR="005705DD" w:rsidRDefault="005705DD" w:rsidP="00C6274F">
            <w:pPr>
              <w:bidi/>
              <w:rPr>
                <w:rtl/>
              </w:rPr>
            </w:pPr>
            <w:r>
              <w:rPr>
                <w:rFonts w:asciiTheme="majorBidi" w:hAnsiTheme="majorBidi" w:cstheme="majorBidi"/>
                <w:sz w:val="18"/>
                <w:szCs w:val="18"/>
                <w:rtl/>
              </w:rPr>
              <w:t>التطبيقات القانونية السعودية</w:t>
            </w:r>
          </w:p>
        </w:tc>
      </w:tr>
      <w:tr w:rsidR="005705DD" w14:paraId="5D79A8D4" w14:textId="77777777" w:rsidTr="00C6274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91D9CB4" w14:textId="77777777" w:rsidR="005705DD" w:rsidRDefault="005705DD" w:rsidP="00C6274F">
            <w:pPr>
              <w:bidi/>
              <w:rPr>
                <w:rtl/>
              </w:rPr>
            </w:pPr>
            <w:r>
              <w:rPr>
                <w:rFonts w:asciiTheme="majorBidi" w:hAnsiTheme="majorBidi" w:cstheme="majorBidi"/>
                <w:sz w:val="18"/>
                <w:szCs w:val="18"/>
                <w:rtl/>
              </w:rPr>
              <w:t>AceGPT</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60119D80" w14:textId="77777777" w:rsidR="005705DD" w:rsidRDefault="005705DD" w:rsidP="00C6274F">
            <w:pPr>
              <w:bidi/>
              <w:rPr>
                <w:rtl/>
              </w:rPr>
            </w:pPr>
            <w:r>
              <w:rPr>
                <w:rFonts w:asciiTheme="majorBidi" w:hAnsiTheme="majorBidi" w:cstheme="majorBidi"/>
                <w:sz w:val="18"/>
                <w:szCs w:val="18"/>
                <w:rtl/>
              </w:rPr>
              <w:t>بحثية عربية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ED417DC" w14:textId="77777777" w:rsidR="005705DD" w:rsidRDefault="005705DD" w:rsidP="00C6274F">
            <w:pPr>
              <w:bidi/>
              <w:rPr>
                <w:rtl/>
              </w:rPr>
            </w:pPr>
            <w:r>
              <w:rPr>
                <w:rFonts w:asciiTheme="majorBidi" w:hAnsiTheme="majorBidi" w:cstheme="majorBidi"/>
                <w:sz w:val="18"/>
                <w:szCs w:val="18"/>
                <w:rtl/>
              </w:rPr>
              <w:t>ممتاز</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9A41D07" w14:textId="77777777" w:rsidR="005705DD" w:rsidRDefault="005705DD" w:rsidP="00C6274F">
            <w:pPr>
              <w:bidi/>
              <w:rPr>
                <w:rtl/>
              </w:rPr>
            </w:pPr>
            <w:r>
              <w:rPr>
                <w:rFonts w:asciiTheme="majorBidi" w:hAnsiTheme="majorBidi" w:cstheme="majorBidi"/>
                <w:sz w:val="18"/>
                <w:szCs w:val="18"/>
                <w:rtl/>
              </w:rPr>
              <w:t>قانوني-إسلامي</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7FA61AC" w14:textId="77777777" w:rsidR="005705DD" w:rsidRDefault="005705DD" w:rsidP="00C6274F">
            <w:pPr>
              <w:bidi/>
              <w:rPr>
                <w:rtl/>
              </w:rPr>
            </w:pPr>
            <w:r>
              <w:rPr>
                <w:rFonts w:asciiTheme="majorBidi" w:hAnsiTheme="majorBidi" w:cstheme="majorBidi"/>
                <w:sz w:val="18"/>
                <w:szCs w:val="18"/>
                <w:rtl/>
              </w:rPr>
              <w:t>متوسطة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B81CBF1" w14:textId="77777777" w:rsidR="005705DD" w:rsidRDefault="005705DD" w:rsidP="00C6274F">
            <w:pPr>
              <w:bidi/>
              <w:rPr>
                <w:rtl/>
              </w:rPr>
            </w:pPr>
            <w:r>
              <w:rPr>
                <w:rFonts w:asciiTheme="majorBidi" w:hAnsiTheme="majorBidi" w:cstheme="majorBidi"/>
                <w:sz w:val="18"/>
                <w:szCs w:val="18"/>
                <w:rtl/>
              </w:rPr>
              <w:t>البحث القانوني الإسلامي</w:t>
            </w:r>
          </w:p>
        </w:tc>
      </w:tr>
    </w:tbl>
    <w:p w14:paraId="1F4EA369" w14:textId="77777777" w:rsidR="005705DD" w:rsidRDefault="005705DD" w:rsidP="005705DD">
      <w:pPr>
        <w:bidi/>
        <w:rPr>
          <w:rtl/>
        </w:rPr>
      </w:pPr>
    </w:p>
    <w:p w14:paraId="26DFB72E" w14:textId="77777777" w:rsidR="005705DD" w:rsidRDefault="005705DD" w:rsidP="005705DD">
      <w:pPr>
        <w:bidi/>
        <w:spacing w:after="200" w:line="276" w:lineRule="auto"/>
        <w:rPr>
          <w:rtl/>
        </w:rPr>
      </w:pPr>
      <w:r>
        <w:rPr>
          <w:rFonts w:asciiTheme="majorBidi" w:hAnsiTheme="majorBidi" w:cstheme="majorBidi"/>
          <w:i/>
          <w:sz w:val="20"/>
          <w:szCs w:val="20"/>
          <w:rtl/>
        </w:rPr>
        <w:t>المصدر: إعداد الباحث بالاستناد إلى وثائق المنتجات الرسمية ومنشورات الشركات، 1446هـ/2025م.</w:t>
      </w:r>
    </w:p>
    <w:p w14:paraId="6F8336DA" w14:textId="77777777" w:rsidR="005705DD" w:rsidRDefault="005705DD" w:rsidP="005705DD">
      <w:pPr>
        <w:bidi/>
        <w:spacing w:after="200" w:line="276" w:lineRule="auto"/>
        <w:rPr>
          <w:rtl/>
        </w:rPr>
      </w:pPr>
      <w:r>
        <w:rPr>
          <w:rFonts w:asciiTheme="majorBidi" w:hAnsiTheme="majorBidi" w:cstheme="majorBidi"/>
          <w:sz w:val="24"/>
          <w:szCs w:val="24"/>
          <w:rtl/>
        </w:rPr>
        <w:lastRenderedPageBreak/>
        <w:t>يتضح من الجدول المقارن السابق أن الأدوات القانونية المتخصصة كـHarvey AI تفتقر إلى دعم اللغة العربية بصورة كافية، مما يُقيّد توظيفها في السياق السعودي. في المقابل، تُقدّم النماذج العربية الناشئة كجيس وعلاّم آفاقاً واعدة نحو ذكاء اصطناعي قانوني عربي حقيقي، يُرجَّح أن تشهد السنوات القادمة تطوره المتسارع في إطار مبادرات رؤية 2030 الرقمية.</w:t>
      </w:r>
      <w:r>
        <w:rPr>
          <w:rFonts w:asciiTheme="majorBidi" w:hAnsiTheme="majorBidi" w:cstheme="majorBidi"/>
          <w:sz w:val="16"/>
          <w:szCs w:val="16"/>
          <w:vertAlign w:val="superscript"/>
          <w:rtl/>
        </w:rPr>
        <w:t>(8)</w:t>
      </w:r>
    </w:p>
    <w:p w14:paraId="17DC2C8E" w14:textId="77777777" w:rsidR="005705DD" w:rsidRDefault="005705DD" w:rsidP="005705DD">
      <w:pPr>
        <w:bidi/>
        <w:rPr>
          <w:rtl/>
        </w:rPr>
      </w:pPr>
    </w:p>
    <w:p w14:paraId="74A5F1AA"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التحليل التقني التفصيلي لأدوات الذكاء الاصطناعي القانوني وانعكاساته النظامية</w:t>
      </w:r>
    </w:p>
    <w:p w14:paraId="1D34FBCC" w14:textId="77777777" w:rsidR="005705DD" w:rsidRDefault="005705DD" w:rsidP="005705DD">
      <w:pPr>
        <w:bidi/>
        <w:spacing w:after="200" w:line="276" w:lineRule="auto"/>
        <w:rPr>
          <w:rtl/>
        </w:rPr>
      </w:pPr>
      <w:r>
        <w:rPr>
          <w:rFonts w:asciiTheme="majorBidi" w:hAnsiTheme="majorBidi" w:cstheme="majorBidi"/>
          <w:sz w:val="24"/>
          <w:szCs w:val="24"/>
          <w:rtl/>
        </w:rPr>
        <w:t>يقتضي التحليل القانوني الدقيق لأدوات الذكاء الاصطناعي المستخدمة في مكاتب المحاماة السعودية الوقوفَ عند آليات عملها التقنية، ذلك أن الحكم القانوني على الأداة لا يمكن أن يكون دقيقاً دون فهم لكيفية تكوين مخرجاتها وطبيعة العمليات التي تُجريها على البيانات المُدخَلة. وهذا الفهم التقني ليس ترفاً أكاديمياً، بل ضرورة منهجية لتحديد طبيعة المخاطر ومواطن المسؤولية وحدود الثقة المشروعة في هذه الأدوات.</w:t>
      </w:r>
    </w:p>
    <w:p w14:paraId="14AC9076" w14:textId="77777777" w:rsidR="005705DD" w:rsidRDefault="005705DD" w:rsidP="005705DD">
      <w:pPr>
        <w:bidi/>
        <w:spacing w:after="200" w:line="276" w:lineRule="auto"/>
        <w:rPr>
          <w:rtl/>
        </w:rPr>
      </w:pPr>
      <w:r>
        <w:rPr>
          <w:rFonts w:asciiTheme="majorBidi" w:hAnsiTheme="majorBidi" w:cstheme="majorBidi"/>
          <w:sz w:val="24"/>
          <w:szCs w:val="24"/>
          <w:rtl/>
        </w:rPr>
        <w:t>تعتمد نماذج اللغة الكبيرة (LLMs) — كـChatGPT وGemini وغيرهما — على بنية رياضية تُعرف بالمحوّل (Transformer)، تُمكّنها من توليد نص احتمالي يبدو متسقاً ومنطقياً استناداً إلى أوزان إحصائية مستخلَصة من تدريب على مليارات الكلمات. والمعضلة الجوهرية في هذه البنية أن النموذج لا "يفهم" النص بالمعنى المعرفي الحقيقي، بل يُولّد ما يُرجَّح إحصائياً في السياق اللغوي المعطى. وهذا التميّز الجوهري له أثر قانوني مباشر: لا يمكن للنموذج أن "يعرف" أن نظاماً ما قد تغيّر أو أن حكماً قضائياً لا وجود له، فكل ما يُنتجه ترجيح إحصائي لا مراجعة قانونية حقيقية.</w:t>
      </w:r>
    </w:p>
    <w:p w14:paraId="3B2EC00E" w14:textId="77777777" w:rsidR="005705DD" w:rsidRDefault="005705DD" w:rsidP="005705DD">
      <w:pPr>
        <w:bidi/>
        <w:spacing w:after="200" w:line="276" w:lineRule="auto"/>
        <w:rPr>
          <w:rtl/>
        </w:rPr>
      </w:pPr>
      <w:r>
        <w:rPr>
          <w:rFonts w:asciiTheme="majorBidi" w:hAnsiTheme="majorBidi" w:cstheme="majorBidi"/>
          <w:sz w:val="24"/>
          <w:szCs w:val="24"/>
          <w:rtl/>
        </w:rPr>
        <w:t xml:space="preserve">ومن هنا تنشأ ظاهرة الهلوسة (Hallucination) التي يُعبّر عنها تقنياً بأنها "إنتاج نص ثقة مرتفع الاحتمالية الإحصائية لكنه غير دقيق واقعياً". وفي السياق القانوني السعودي، رصدت التجارب الميدانية حالات في الغالب غير موثقة رسمياً لمحامين اكتشفوا أن مذكراتهم استشهدت بأحكام قضائية غير موجودة، أو نسبت نصوصاً لمواد نظامية لا تحمل ذلك المضمون في النسخ الأصلية. ويُشدّد كانييدي ونوباك (2023م) في سياق مراجعتهما لأدوات الذكاء الاصطناعي القانوني على أن نسبة الأخطاء الواقعية في المخرجات القانونية لنماذج اللغة الكبيرة تتراوح بين 17% و34% حسب التخصص القانوني ومدى تمثيل النظام القانوني المعني في بيانات التدريب </w:t>
      </w:r>
      <w:r>
        <w:rPr>
          <w:rFonts w:asciiTheme="majorBidi" w:hAnsiTheme="majorBidi" w:cstheme="majorBidi"/>
          <w:sz w:val="24"/>
          <w:szCs w:val="24"/>
          <w:vertAlign w:val="superscript"/>
          <w:rtl/>
        </w:rPr>
        <w:footnoteReference w:id="285"/>
      </w:r>
      <w:r>
        <w:rPr>
          <w:rFonts w:asciiTheme="majorBidi" w:hAnsiTheme="majorBidi" w:cstheme="majorBidi"/>
          <w:sz w:val="24"/>
          <w:szCs w:val="24"/>
          <w:rtl/>
        </w:rPr>
        <w:t>.</w:t>
      </w:r>
    </w:p>
    <w:p w14:paraId="0B8AB3FA" w14:textId="77777777" w:rsidR="005705DD" w:rsidRDefault="005705DD" w:rsidP="005705DD">
      <w:pPr>
        <w:bidi/>
        <w:spacing w:after="200" w:line="276" w:lineRule="auto"/>
        <w:rPr>
          <w:rtl/>
        </w:rPr>
      </w:pPr>
      <w:r>
        <w:rPr>
          <w:rFonts w:asciiTheme="majorBidi" w:hAnsiTheme="majorBidi" w:cstheme="majorBidi"/>
          <w:sz w:val="24"/>
          <w:szCs w:val="24"/>
          <w:rtl/>
        </w:rPr>
        <w:t>وتُضاف إلى ذلك إشكالية انقطاع المعرفة (Knowledge Cutoff)؛ فمعظم النماذج اللغوية الكبيرة المتاحة للمحامين السعوديين لها تاريخ انتهاء للتدريب (Training Cutoff) لا تعرف ما بعده من مستجدات تشريعية أو قضائية. وبينما يُمكن تجاوز هذا القيد جزئياً عبر تقنية البحث الموسّع (Retrieval-Augmented Generation - RAG)، إلا أن معظم الاستخدامات الفردية في مكاتب المحاماة السعودية لا تعتمد هذه التقنية المتقدمة، مما يعني أن المحامي يتعامل مع نموذج لا يُلمّ بآخر المستجدات النظامية.</w:t>
      </w:r>
    </w:p>
    <w:p w14:paraId="63273DF5" w14:textId="77777777" w:rsidR="005705DD" w:rsidRDefault="005705DD" w:rsidP="005705DD">
      <w:pPr>
        <w:bidi/>
        <w:spacing w:after="200" w:line="276" w:lineRule="auto"/>
        <w:rPr>
          <w:rtl/>
        </w:rPr>
      </w:pPr>
      <w:r>
        <w:rPr>
          <w:rFonts w:asciiTheme="majorBidi" w:hAnsiTheme="majorBidi" w:cstheme="majorBidi"/>
          <w:sz w:val="24"/>
          <w:szCs w:val="24"/>
          <w:rtl/>
        </w:rPr>
        <w:t>ويتفاقم الأمر في حالة النظام السعودي تحديداً، إذ إن غالبية هذه النماذج دُرِّبت على بيانات إنجليزية بالدرجة الأولى، وتُعدّ تمثيلية النصوص القانونية العربية والسعودية فيها ضعيفةً نسبياً. وهذا يعني أن نسبة الخطأ تكون في الغالب أعلى حين يتعلق الأمر بأحكام نظام المحاماة السعودي أو قرارات ديوان المظالم مقارنةً بالقانون المدني الفرنسي أو القانون الأمريكي.</w:t>
      </w:r>
    </w:p>
    <w:p w14:paraId="7380CC6C"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معالجة اللغة العربية والتحديات الخاصة بالبيئة التشريعية السعودية</w:t>
      </w:r>
    </w:p>
    <w:p w14:paraId="2F2F4512" w14:textId="77777777" w:rsidR="005705DD" w:rsidRDefault="005705DD" w:rsidP="005705DD">
      <w:pPr>
        <w:bidi/>
        <w:spacing w:after="200" w:line="276" w:lineRule="auto"/>
        <w:rPr>
          <w:rtl/>
        </w:rPr>
      </w:pPr>
      <w:r>
        <w:rPr>
          <w:rFonts w:asciiTheme="majorBidi" w:hAnsiTheme="majorBidi" w:cstheme="majorBidi"/>
          <w:sz w:val="24"/>
          <w:szCs w:val="24"/>
          <w:rtl/>
        </w:rPr>
        <w:t xml:space="preserve">تُشكّل اللغة العربية تحدياً خاصاً لأدوات الذكاء الاصطناعي التوليدي، وهو تحدٍّ ذو أبعاد متعددة تنعكس على دقة المخرجات القانونية. فالعربية لغة اشتقاقية ذات ثراء صرفي بالغ، مما يجعل معالجتها حاسوبياً أعسر بكثير من اللغات الأوروبية. فضلاً عن أن المصطلح القانوني السعودي يجمع في أحيان كثيرة بين المصطلحية الفقهية </w:t>
      </w:r>
      <w:r>
        <w:rPr>
          <w:rFonts w:asciiTheme="majorBidi" w:hAnsiTheme="majorBidi" w:cstheme="majorBidi"/>
          <w:sz w:val="24"/>
          <w:szCs w:val="24"/>
          <w:rtl/>
        </w:rPr>
        <w:lastRenderedPageBreak/>
        <w:t>الإسلامية الكلاسيكية والمصطلحية التشريعية الحديثة، مما يُصعّب على النماذج غير المتخصصة استيعاب الفوارق الدلالية الدقيقة بينهما.</w:t>
      </w:r>
    </w:p>
    <w:p w14:paraId="43798481" w14:textId="77777777" w:rsidR="005705DD" w:rsidRDefault="005705DD" w:rsidP="005705DD">
      <w:pPr>
        <w:bidi/>
        <w:spacing w:after="200" w:line="276" w:lineRule="auto"/>
        <w:rPr>
          <w:rtl/>
        </w:rPr>
      </w:pPr>
      <w:r>
        <w:rPr>
          <w:rFonts w:asciiTheme="majorBidi" w:hAnsiTheme="majorBidi" w:cstheme="majorBidi"/>
          <w:sz w:val="24"/>
          <w:szCs w:val="24"/>
          <w:rtl/>
        </w:rPr>
        <w:t>ومن أبرز التحديات اللغوية التي تنعكس مباشرةً على الدقة القانونية: أولاً التشكيل والبنية الصرفية، إذ يؤثر غياب التشكيل في النصوص القانونية العربية على الدلالة في حالات كثيرة، كالفرق بين "القِضَاء" و"القَضَاء"، و"الحَكَم" و"الحُكم". وكثيراً ما تُخفق النماذج اللغوية في التمييز بين هذه الدلالات المتقاربة لفظاً والمتباعدة معنىً في السياق القانوني.</w:t>
      </w:r>
    </w:p>
    <w:p w14:paraId="27DD0ED9" w14:textId="77777777" w:rsidR="005705DD" w:rsidRDefault="005705DD" w:rsidP="005705DD">
      <w:pPr>
        <w:bidi/>
        <w:spacing w:after="200" w:line="276" w:lineRule="auto"/>
        <w:rPr>
          <w:rtl/>
        </w:rPr>
      </w:pPr>
      <w:r>
        <w:rPr>
          <w:rFonts w:asciiTheme="majorBidi" w:hAnsiTheme="majorBidi" w:cstheme="majorBidi"/>
          <w:sz w:val="24"/>
          <w:szCs w:val="24"/>
          <w:rtl/>
        </w:rPr>
        <w:t>ثانياً: المصطلح الفقهي الخاص بالمنظومة السعودية، كمصطلحات "المصلحة المرسلة" و"سد الذرائع" و"قاعدة لا ضرر ولا ضرار" التي تُعدّ مرجعاً تفسيرياً معتمداً في القضاء السعودي. فهذه المصطلحات ذات أثر حكمي مباشر قد يُفوته النموذج اللغوي غير المتخصص في الفقه الإسلامي.</w:t>
      </w:r>
    </w:p>
    <w:p w14:paraId="668F6755" w14:textId="77777777" w:rsidR="005705DD" w:rsidRDefault="005705DD" w:rsidP="005705DD">
      <w:pPr>
        <w:bidi/>
        <w:spacing w:after="200" w:line="276" w:lineRule="auto"/>
        <w:rPr>
          <w:rtl/>
        </w:rPr>
      </w:pPr>
      <w:r>
        <w:rPr>
          <w:rFonts w:asciiTheme="majorBidi" w:hAnsiTheme="majorBidi" w:cstheme="majorBidi"/>
          <w:sz w:val="24"/>
          <w:szCs w:val="24"/>
          <w:rtl/>
        </w:rPr>
        <w:t>ثالثاً: النصوص النظامية التي تعتمد أحياناً صياغات فريدة لا مقابل لها في القانون المقارن، كاستخدام مصطلح "الجهات القضائية" بدلاً من "المحاكم" في بعض الأنظمة السعودية، أو مصطلح "المحكمة التجارية" الذي يحمل في المنظومة السعودية خصائص إجرائية لا تنطبق على ما يُسمى بالاسم ذاته في غيرها من الأنظمة.</w:t>
      </w:r>
    </w:p>
    <w:p w14:paraId="267C132E" w14:textId="77777777" w:rsidR="005705DD" w:rsidRDefault="005705DD" w:rsidP="005705DD">
      <w:pPr>
        <w:bidi/>
        <w:spacing w:after="200" w:line="276" w:lineRule="auto"/>
        <w:rPr>
          <w:rtl/>
        </w:rPr>
      </w:pPr>
      <w:r>
        <w:rPr>
          <w:rFonts w:asciiTheme="majorBidi" w:hAnsiTheme="majorBidi" w:cstheme="majorBidi"/>
          <w:sz w:val="24"/>
          <w:szCs w:val="24"/>
          <w:rtl/>
        </w:rPr>
        <w:t xml:space="preserve">وقد أفاد بعض الباحثين — ومنهم المحمود وعبد العزيز (2024م) في دراستهما حول إشكاليات المعالجة الحاسوبية للغة القانونية العربية — بأن النماذج اللغوية ذات الاستخدام العام تُنتج أخطاءً جوهرية في ترجمة المصطلح القانوني السعودي وتفسيره في ما يقارب 28% من الحالات المختبَرة، مما يجعل الاعتماد على هذه النماذج دون مراجعة متخصصة مخاطرةً غير محسوبة في البيئة القانونية السعودية </w:t>
      </w:r>
      <w:r>
        <w:rPr>
          <w:rFonts w:asciiTheme="majorBidi" w:hAnsiTheme="majorBidi" w:cstheme="majorBidi"/>
          <w:sz w:val="24"/>
          <w:szCs w:val="24"/>
          <w:vertAlign w:val="superscript"/>
          <w:rtl/>
        </w:rPr>
        <w:footnoteReference w:id="286"/>
      </w:r>
      <w:r>
        <w:rPr>
          <w:rFonts w:asciiTheme="majorBidi" w:hAnsiTheme="majorBidi" w:cstheme="majorBidi"/>
          <w:sz w:val="24"/>
          <w:szCs w:val="24"/>
          <w:rtl/>
        </w:rPr>
        <w:t>.</w:t>
      </w:r>
    </w:p>
    <w:p w14:paraId="00F88363" w14:textId="77777777" w:rsidR="005705DD" w:rsidRDefault="005705DD" w:rsidP="005705DD">
      <w:pPr>
        <w:bidi/>
        <w:spacing w:after="200" w:line="276" w:lineRule="auto"/>
        <w:rPr>
          <w:rtl/>
        </w:rPr>
      </w:pPr>
      <w:r>
        <w:rPr>
          <w:rFonts w:asciiTheme="majorBidi" w:hAnsiTheme="majorBidi" w:cstheme="majorBidi"/>
          <w:sz w:val="24"/>
          <w:szCs w:val="24"/>
          <w:rtl/>
        </w:rPr>
        <w:t>ويخلص الباحث من هذا التحليل التقني إلى أن المشرّع السعودي — وكذلك هيئة المحامين السعوديين — حين يُقرّان ضوابط استخدام الذكاء الاصطناعي في المهنة، لا بد أن تُفرّق هذه الضوابط بين أدوات الذكاء الاصطناعي المُدرَّبة على البيانات القانونية السعودية والعربية تحديداً، وأدوات الاستخدام العام التي تفتقر إلى هذا التخصيص. ومقتضى ذلك تطبيق متطلبات اعتماد أعلى على الأدوات غير المتخصصة حين تُستخدم في السياق القانوني السعودي.</w:t>
      </w:r>
    </w:p>
    <w:p w14:paraId="58D51EDE" w14:textId="77777777" w:rsidR="005705DD" w:rsidRDefault="005705DD" w:rsidP="005705DD"/>
    <w:p w14:paraId="030E0372"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تطبيقات الذكاء الاصطناعي في مجالات قانونية سعودية بعينها</w:t>
      </w:r>
    </w:p>
    <w:p w14:paraId="4BA6CE5B" w14:textId="77777777" w:rsidR="005705DD" w:rsidRDefault="005705DD" w:rsidP="005705DD">
      <w:pPr>
        <w:bidi/>
        <w:spacing w:after="200" w:line="276" w:lineRule="auto"/>
        <w:rPr>
          <w:rtl/>
        </w:rPr>
      </w:pPr>
      <w:r>
        <w:rPr>
          <w:rFonts w:asciiTheme="majorBidi" w:hAnsiTheme="majorBidi" w:cstheme="majorBidi"/>
          <w:sz w:val="24"/>
          <w:szCs w:val="24"/>
          <w:rtl/>
        </w:rPr>
        <w:t>يُفيد التحليل المتخصص لتطبيقات الذكاء الاصطناعي في مجالات قانونية سعودية محددة في الكشف عن خصوصيات وإشكاليات تغيب في التحليل العام. ويتناول الباحث فيما يلي أربعة مجالات قانونية ذات أولوية:</w:t>
      </w:r>
    </w:p>
    <w:p w14:paraId="59475DC3" w14:textId="77777777" w:rsidR="005705DD" w:rsidRDefault="005705DD" w:rsidP="005705DD">
      <w:pPr>
        <w:bidi/>
        <w:spacing w:after="200" w:line="276" w:lineRule="auto"/>
        <w:rPr>
          <w:rtl/>
        </w:rPr>
      </w:pPr>
      <w:r>
        <w:rPr>
          <w:rFonts w:asciiTheme="majorBidi" w:hAnsiTheme="majorBidi" w:cstheme="majorBidi"/>
          <w:sz w:val="24"/>
          <w:szCs w:val="24"/>
          <w:rtl/>
        </w:rPr>
        <w:t>المجال الأول — قانون العمل وخدمات العمالة: يُعدّ قانون العمل السعودي من أكثر المجالات القانونية استخداماً لأدوات الذكاء الاصطناعي، وذلك لعدة أسباب: ضخامة حجم النزاعات العمالية (مئات الآلاف سنوياً) وتشابه وقائعها إلى حد كبير، مما يجعل الأنماط التكرارية منها قابلة للمعالجة الذكية بكفاءة عالية. وتُستخدم أدوات الذكاء الاصطناعي في هذا المجال أساساً في: فحص عقود العمل للكشف عن البنود المخالفة لنظام العمل (1426هـ وتعديلاته)، وحساب مستحقات نهاية الخدمة وفق المتغيرات المختلفة، وتحليل الأنماط في قرارات المحاكم العمالية للتنبؤ باتجاهات الفصل.</w:t>
      </w:r>
    </w:p>
    <w:p w14:paraId="21E4F77B" w14:textId="77777777" w:rsidR="005705DD" w:rsidRDefault="005705DD" w:rsidP="005705DD">
      <w:pPr>
        <w:bidi/>
        <w:spacing w:after="200" w:line="276" w:lineRule="auto"/>
        <w:rPr>
          <w:rtl/>
        </w:rPr>
      </w:pPr>
      <w:r>
        <w:rPr>
          <w:rFonts w:asciiTheme="majorBidi" w:hAnsiTheme="majorBidi" w:cstheme="majorBidi"/>
          <w:sz w:val="24"/>
          <w:szCs w:val="24"/>
          <w:rtl/>
        </w:rPr>
        <w:t xml:space="preserve">غير أن توظيف الذكاء الاصطناعي في هذا المجال يصطدم بخصوصية نظام العمل السعودي الذي يتضمن أحكاماً خاصة بالعمالة الوافدة وبنظام الكفالة وبقطاع العمالة المنزلية، وهي أحكام تفتقر إلى تمثيل كافٍ في </w:t>
      </w:r>
      <w:r>
        <w:rPr>
          <w:rFonts w:asciiTheme="majorBidi" w:hAnsiTheme="majorBidi" w:cstheme="majorBidi"/>
          <w:sz w:val="24"/>
          <w:szCs w:val="24"/>
          <w:rtl/>
        </w:rPr>
        <w:lastRenderedPageBreak/>
        <w:t>بيانات تدريب النماذج اللغوية العالمية. وهذا يعني أن مخرجات الذكاء الاصطناعي في قضايا العمل التي تتضمن هذه الخصوصيات السعودية تتطلب مراجعةً بشرية أكثر حرصاً.</w:t>
      </w:r>
    </w:p>
    <w:p w14:paraId="67F6E3E7" w14:textId="77777777" w:rsidR="005705DD" w:rsidRDefault="005705DD" w:rsidP="005705DD">
      <w:pPr>
        <w:bidi/>
        <w:spacing w:after="200" w:line="276" w:lineRule="auto"/>
        <w:rPr>
          <w:rtl/>
        </w:rPr>
      </w:pPr>
      <w:r>
        <w:rPr>
          <w:rFonts w:asciiTheme="majorBidi" w:hAnsiTheme="majorBidi" w:cstheme="majorBidi"/>
          <w:sz w:val="24"/>
          <w:szCs w:val="24"/>
          <w:rtl/>
        </w:rPr>
        <w:t>المجال الثاني — القضايا التجارية والاستثمارية: تنتشر أدوات تحليل العقود التجارية في المكاتب القانونية المتخصصة في الشؤون التجارية، لا سيما في ظل تصاعد حجم الاستثمار الأجنبي المباشر في المملكة ضمن رؤية 2030 وما يرافقه من صفقات استحواذ ودمج وعقود استثمار. وتُستخدم هذه الأدوات أساساً في: استخراج البنود الجوهرية من عقود الاستثمار المعقدة، ومقارنة بنود التفاوض مع المعايير السائدة في السوق، والبحث التاريخي في قرارات هيئة الاستثمار والمحاكم التجارية. والإشكالية الرئيسية هنا أن بعض هذه الصفقات تتضمن بيانات تجارية سرية في غاية الحساسية، مما يجعل مسألة أمن البيانات المُدخَلة في الأدوات الذكية ذات أثر بالغ.</w:t>
      </w:r>
    </w:p>
    <w:p w14:paraId="0591F3EE" w14:textId="77777777" w:rsidR="005705DD" w:rsidRDefault="005705DD" w:rsidP="005705DD">
      <w:pPr>
        <w:bidi/>
        <w:spacing w:after="200" w:line="276" w:lineRule="auto"/>
        <w:rPr>
          <w:rtl/>
        </w:rPr>
      </w:pPr>
      <w:r>
        <w:rPr>
          <w:rFonts w:asciiTheme="majorBidi" w:hAnsiTheme="majorBidi" w:cstheme="majorBidi"/>
          <w:sz w:val="24"/>
          <w:szCs w:val="24"/>
          <w:rtl/>
        </w:rPr>
        <w:t>المجال الثالث — القضايا العقارية والتطوير: شهدت المملكة ازدهاراً غير مسبوق في قطاع العقار ضمن مشاريع رؤية 2030، وما صاحب ذلك من تزايد في النزاعات العقارية وعقود التطوير. ويُستخدم الذكاء الاصطناعي في هذا المجال لتحليل سجلات الملكية وتتبع سلاسل النقل والبحث في النزاعات المتعلقة بالصكوك. غير أن خصوصية نظام الأراضي السعودي ونظام التسجيل العيني (1422هـ) وأحكام الملكية في الفقه الإسلامي تجعل هذا المجال أحد أكثر المجالات التي يحتاج فيها الذكاء الاصطناعي إلى تخصيص معمّق.</w:t>
      </w:r>
    </w:p>
    <w:p w14:paraId="4B47B139" w14:textId="77777777" w:rsidR="005705DD" w:rsidRDefault="005705DD" w:rsidP="005705DD">
      <w:pPr>
        <w:bidi/>
        <w:spacing w:after="200" w:line="276" w:lineRule="auto"/>
        <w:rPr>
          <w:rtl/>
        </w:rPr>
      </w:pPr>
      <w:r>
        <w:rPr>
          <w:rFonts w:asciiTheme="majorBidi" w:hAnsiTheme="majorBidi" w:cstheme="majorBidi"/>
          <w:sz w:val="24"/>
          <w:szCs w:val="24"/>
          <w:rtl/>
        </w:rPr>
        <w:t>المجال الرابع — القضايا الجنائية وحقوق الدفاع: يُعدّ هذا المجال الأكثر حساسيةً من منظور حقوق الإنسان وضمانات المحاكمة العادلة. وثمة نقاش فقهي وقانوني رصين حول مدى السماح بتوظيف أدوات الذكاء الاصطناعي التنبؤية — كتحليل الأنماط الإجرامية والتنبؤ بسلوك المتهم — في الإجراءات الجنائية. وقد أصدرت نقابات المحامين في عدد من الدول الغربية تحذيرات صريحة من أن الذكاء الاصطناعي التنبؤي في الشأن الجنائي ينطوي على خطر التحيز نحو فئات بعينها من المتهمين. وفي السياق السعودي، فإن التوجيه الشرعي القاضي بدرء الحدود بالشبهات يُمثّل مبدأً فقهياً يتعارض جوهرياً مع التسليم الأعمى لنتائج نموذج احتمالي في القضايا الجنائية.</w:t>
      </w:r>
    </w:p>
    <w:p w14:paraId="1866C7A7" w14:textId="77777777" w:rsidR="005705DD" w:rsidRDefault="005705DD" w:rsidP="005705DD"/>
    <w:p w14:paraId="3A061361"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المطلب الثاني</w:t>
      </w:r>
    </w:p>
    <w:p w14:paraId="1622558B"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مدى توافق أدوات الذكاء الاصطناعي مع البيئة النظامية السعودية</w:t>
      </w:r>
    </w:p>
    <w:p w14:paraId="3E387F27" w14:textId="77777777" w:rsidR="005705DD" w:rsidRDefault="005705DD" w:rsidP="005705DD">
      <w:pPr>
        <w:bidi/>
        <w:spacing w:after="200" w:line="276" w:lineRule="auto"/>
        <w:rPr>
          <w:rtl/>
        </w:rPr>
      </w:pPr>
      <w:r>
        <w:rPr>
          <w:rFonts w:asciiTheme="majorBidi" w:hAnsiTheme="majorBidi" w:cstheme="majorBidi"/>
          <w:sz w:val="24"/>
          <w:szCs w:val="24"/>
          <w:rtl/>
        </w:rPr>
        <w:t>يُعدّ تقييم مدى توافق الأدوات الذكية المستخدمة في مكاتب المحاماة السعودية مع المنظومة النظامية القائمة من أكثر المسائل دقةً وإلحاحاً في هذه الدراسة، ذلك أن الاستخدام الفعلي لهذه الأدوات لا يعني بالضرورة مشروعيتها النظامية أو انسجامها مع الأنظمة المعمول بها. وللحكم على هذا التوافق لا بد من إخضاع هذه الأدوات لاختبار ثلاثة محاور تشريعية رئيسية في البيئة السعودية.</w:t>
      </w:r>
    </w:p>
    <w:p w14:paraId="1872C3DA" w14:textId="77777777" w:rsidR="005705DD" w:rsidRDefault="005705DD" w:rsidP="005705DD">
      <w:pPr>
        <w:bidi/>
        <w:spacing w:after="200" w:line="276" w:lineRule="auto"/>
        <w:rPr>
          <w:rtl/>
        </w:rPr>
      </w:pPr>
      <w:r>
        <w:rPr>
          <w:rFonts w:asciiTheme="majorBidi" w:hAnsiTheme="majorBidi" w:cstheme="majorBidi"/>
          <w:b/>
          <w:sz w:val="28"/>
          <w:szCs w:val="28"/>
          <w:rtl/>
        </w:rPr>
        <w:t>أولاً: التوافق مع نظام حماية البيانات الشخصية (1443هـ)</w:t>
      </w:r>
    </w:p>
    <w:p w14:paraId="05D03D05" w14:textId="77777777" w:rsidR="005705DD" w:rsidRDefault="005705DD" w:rsidP="005705DD">
      <w:pPr>
        <w:bidi/>
        <w:spacing w:after="200" w:line="276" w:lineRule="auto"/>
        <w:rPr>
          <w:rtl/>
        </w:rPr>
      </w:pPr>
      <w:r>
        <w:rPr>
          <w:rFonts w:asciiTheme="majorBidi" w:hAnsiTheme="majorBidi" w:cstheme="majorBidi"/>
          <w:sz w:val="24"/>
          <w:szCs w:val="24"/>
          <w:rtl/>
        </w:rPr>
        <w:t>يُرسي نظام حماية البيانات الشخصية الصادر بالمرسوم الملكي رقم م/19 لعام 1443هـ منظومة متكاملة من الالتزامات التي تُقيّد حرية الجهات في جمع البيانات ومعالجتها ونقلها. وحين يستخدم المحامي أداة ذكاء اصطناعي لمعالجة بيانات موكله — سواء بإدخال وقائع القضية أو مستندات العقد أو المراسلات — فإنه يدخل في دائرة تطبيق هذا النظام بصورة مباشرة. وتتجلى أبرز التعارضات النظامية الجوهرية فيما يلي:</w:t>
      </w:r>
    </w:p>
    <w:p w14:paraId="20C18C7C" w14:textId="77777777" w:rsidR="005705DD" w:rsidRDefault="005705DD" w:rsidP="005705DD">
      <w:pPr>
        <w:bidi/>
        <w:spacing w:after="200" w:line="276" w:lineRule="auto"/>
        <w:rPr>
          <w:rtl/>
        </w:rPr>
      </w:pPr>
      <w:r>
        <w:rPr>
          <w:rFonts w:asciiTheme="majorBidi" w:hAnsiTheme="majorBidi" w:cstheme="majorBidi"/>
          <w:sz w:val="24"/>
          <w:szCs w:val="24"/>
          <w:rtl/>
        </w:rPr>
        <w:t xml:space="preserve">أ — إشكالية الموافقة الصريحة: تشترط المادة الخامسة من النظام الحصولَ على موافقة صريحة لمعالجة البيانات. وقد تنبّهت الباحثة عبد الرحمن إلى أن كثيراً من نماذج التوكيل التقليدية في المكاتب القانونية السعودية </w:t>
      </w:r>
      <w:r>
        <w:rPr>
          <w:rFonts w:asciiTheme="majorBidi" w:hAnsiTheme="majorBidi" w:cstheme="majorBidi"/>
          <w:sz w:val="24"/>
          <w:szCs w:val="24"/>
          <w:rtl/>
        </w:rPr>
        <w:lastRenderedPageBreak/>
        <w:t xml:space="preserve">لا تتضمن صياغةً صريحة تُخوّل المحامي استخدام أدوات ذكاء اصطناعي خارجية في معالجة بيانات الموكل، مما يجعل هذا الاستخدام مشكوكاً في انسجامه مع متطلبات الموافقة المستنيرة </w:t>
      </w:r>
      <w:r>
        <w:rPr>
          <w:rFonts w:asciiTheme="majorBidi" w:hAnsiTheme="majorBidi" w:cstheme="majorBidi"/>
          <w:sz w:val="24"/>
          <w:szCs w:val="24"/>
          <w:vertAlign w:val="superscript"/>
          <w:rtl/>
        </w:rPr>
        <w:footnoteReference w:id="287"/>
      </w:r>
      <w:r>
        <w:rPr>
          <w:rFonts w:asciiTheme="majorBidi" w:hAnsiTheme="majorBidi" w:cstheme="majorBidi"/>
          <w:sz w:val="24"/>
          <w:szCs w:val="24"/>
          <w:rtl/>
        </w:rPr>
        <w:t>.</w:t>
      </w:r>
    </w:p>
    <w:p w14:paraId="3C373635" w14:textId="77777777" w:rsidR="005705DD" w:rsidRDefault="005705DD" w:rsidP="005705DD">
      <w:pPr>
        <w:bidi/>
        <w:spacing w:after="200" w:line="276" w:lineRule="auto"/>
        <w:rPr>
          <w:rtl/>
        </w:rPr>
      </w:pPr>
      <w:r>
        <w:rPr>
          <w:rFonts w:asciiTheme="majorBidi" w:hAnsiTheme="majorBidi" w:cstheme="majorBidi"/>
          <w:sz w:val="24"/>
          <w:szCs w:val="24"/>
          <w:rtl/>
        </w:rPr>
        <w:t xml:space="preserve">ب — إشكالية نقل البيانات خارج المملكة: تحظر المادة الثانية عشرة من النظام نقل البيانات الشخصية إلى خارج المملكة إلا وفق ضوابط محددة. وتُعدّ هذه المادة من أكثر أحكام النظام إشكاليةً في سياق استخدام الأدوات الذكية الأجنبية كـChatGPT وHarvey وLuminance، إذ تُعالَج البيانات المُدخَلة في هذه الأدوات على خوادم تقع في الولايات المتحدة أو أوروبا، وهو ما يُشكّل نقلاً للبيانات خارج الحدود دون المرور بالإجراءات التي رسمها النظام. وقد أشار الدليل الاسترشادي لتقويم مخاطر نقل البيانات الشخصية إلى خارج المملكة الصادر عن سدايا (فبراير 2025م) صراحةً إلى أن الجهات المعالِجة يجب أن تجري تقييم أثر (DPIA) قبل نقل البيانات إلى منصات سحابية خارجية </w:t>
      </w:r>
      <w:r>
        <w:rPr>
          <w:rFonts w:asciiTheme="majorBidi" w:hAnsiTheme="majorBidi" w:cstheme="majorBidi"/>
          <w:sz w:val="24"/>
          <w:szCs w:val="24"/>
          <w:vertAlign w:val="superscript"/>
          <w:rtl/>
        </w:rPr>
        <w:footnoteReference w:id="288"/>
      </w:r>
      <w:r>
        <w:rPr>
          <w:rFonts w:asciiTheme="majorBidi" w:hAnsiTheme="majorBidi" w:cstheme="majorBidi"/>
          <w:sz w:val="24"/>
          <w:szCs w:val="24"/>
          <w:rtl/>
        </w:rPr>
        <w:t>.</w:t>
      </w:r>
    </w:p>
    <w:p w14:paraId="2D275BD5" w14:textId="77777777" w:rsidR="005705DD" w:rsidRDefault="005705DD" w:rsidP="005705DD">
      <w:pPr>
        <w:bidi/>
        <w:spacing w:after="200" w:line="276" w:lineRule="auto"/>
        <w:rPr>
          <w:rtl/>
        </w:rPr>
      </w:pPr>
      <w:r>
        <w:rPr>
          <w:rFonts w:asciiTheme="majorBidi" w:hAnsiTheme="majorBidi" w:cstheme="majorBidi"/>
          <w:sz w:val="24"/>
          <w:szCs w:val="24"/>
          <w:rtl/>
        </w:rPr>
        <w:t xml:space="preserve">ج — إشكالية الغرض المحدد ومبدأ التناسب: تشترط المادة السادسة من النظام أن يكون جمع البيانات ومعالجتها محدداً بغرض مشروع ومتناسباً معه. وحين يُدخل المحامي بيانات موكله في أداة ذكاء اصطناعي توليدي تستخدم هذه البيانات لتدريب نماذجها المستقبلية — وهو ما تنص عليه شروط الاستخدام لبعض هذه الأدوات — فإن ذلك يُخرج المعالجة عن نطاق الغرض الأصلي المأذون به. وقد نبّه المالكي (2024م) إلى أن إدخال وقائع قضية حساسة في نموذج ذكاء اصطناعي مفتوح قد يُشكّل انتهاكاً لنظام حماية البيانات الشخصية بصرف النظر عن النية </w:t>
      </w:r>
      <w:r>
        <w:rPr>
          <w:rFonts w:asciiTheme="majorBidi" w:hAnsiTheme="majorBidi" w:cstheme="majorBidi"/>
          <w:sz w:val="24"/>
          <w:szCs w:val="24"/>
          <w:vertAlign w:val="superscript"/>
          <w:rtl/>
        </w:rPr>
        <w:footnoteReference w:id="289"/>
      </w:r>
      <w:r>
        <w:rPr>
          <w:rFonts w:asciiTheme="majorBidi" w:hAnsiTheme="majorBidi" w:cstheme="majorBidi"/>
          <w:sz w:val="24"/>
          <w:szCs w:val="24"/>
          <w:rtl/>
        </w:rPr>
        <w:t>.</w:t>
      </w:r>
    </w:p>
    <w:p w14:paraId="59FAC648" w14:textId="77777777" w:rsidR="005705DD" w:rsidRDefault="005705DD" w:rsidP="005705DD">
      <w:pPr>
        <w:bidi/>
        <w:spacing w:after="200" w:line="276" w:lineRule="auto"/>
        <w:rPr>
          <w:rtl/>
        </w:rPr>
      </w:pPr>
      <w:r>
        <w:rPr>
          <w:rFonts w:asciiTheme="majorBidi" w:hAnsiTheme="majorBidi" w:cstheme="majorBidi"/>
          <w:b/>
          <w:sz w:val="28"/>
          <w:szCs w:val="28"/>
          <w:rtl/>
        </w:rPr>
        <w:t>ثانياً: التوافق مع نظام التعاملات الإلكترونية ونظام الإثبات</w:t>
      </w:r>
    </w:p>
    <w:p w14:paraId="04959213" w14:textId="77777777" w:rsidR="005705DD" w:rsidRDefault="005705DD" w:rsidP="005705DD">
      <w:pPr>
        <w:bidi/>
        <w:spacing w:after="200" w:line="276" w:lineRule="auto"/>
        <w:rPr>
          <w:rtl/>
        </w:rPr>
      </w:pPr>
      <w:r>
        <w:rPr>
          <w:rFonts w:asciiTheme="majorBidi" w:hAnsiTheme="majorBidi" w:cstheme="majorBidi"/>
          <w:sz w:val="24"/>
          <w:szCs w:val="24"/>
          <w:rtl/>
        </w:rPr>
        <w:t>يُتيح نظام التعاملات الإلكترونية الصادر بالمرسوم الملكي م/18 لعام 1428هـ الاعترافَ بصحة العقود المبرمة إلكترونياً والتوقيعات الإلكترونية متى استوفت الشروط المقررة نظاماً. وهذا الإقرار يُمهّد من الناحية المبدئية قبول مخرجات الذكاء الاصطناعي القانوني كوسيلة لتحضير العقود والوثائق. غير أن نظام الإثبات الصادر عام 1443هـ — وتحديداً مادتاه الثامنة والتاسعة — يضع شروطاً للحجية تتعلق بإمكانية نسبة المستند إلى صاحبه وسلامة وسيلة حفظه، وهو ما يُثير تساؤلات جدية حول الوثائق المنتجة آلياً.</w:t>
      </w:r>
    </w:p>
    <w:p w14:paraId="7911952D" w14:textId="77777777" w:rsidR="005705DD" w:rsidRDefault="005705DD" w:rsidP="005705DD">
      <w:pPr>
        <w:bidi/>
        <w:spacing w:after="200" w:line="276" w:lineRule="auto"/>
        <w:rPr>
          <w:rtl/>
        </w:rPr>
      </w:pPr>
      <w:r>
        <w:rPr>
          <w:rFonts w:asciiTheme="majorBidi" w:hAnsiTheme="majorBidi" w:cstheme="majorBidi"/>
          <w:sz w:val="24"/>
          <w:szCs w:val="24"/>
          <w:rtl/>
        </w:rPr>
        <w:t xml:space="preserve">فمن حيث حجية مخرجات الذكاء الاصطناعي، لا يُشكّل نظام الإثبات الحالي حاجزاً مانعاً صريحاً أمام الوثائق الذكية، لكنه لا يُقرّها صراحةً أيضاً، مما يترك المسألة معلقةً بالسلطة التقديرية للقاضي. وقد خلص الأسيوطي (2020م) في دراسته المنشورة بمجلة الباحث العربي إلى أن حجية التصرفات القانونية في البيئة الرقمية ترتبط أساساً بإمكانية التحقق من المصدر وسلامة المحتوى وقابلية تتبع التعديلات، وهو ما لا تُوفّره كثير من مخرجات الأنظمة التوليدية التي قد تبدو متسقة ظاهرياً لكنها تفتقر إلى مسار شفاف لتكوين المضمون </w:t>
      </w:r>
      <w:r>
        <w:rPr>
          <w:rFonts w:asciiTheme="majorBidi" w:hAnsiTheme="majorBidi" w:cstheme="majorBidi"/>
          <w:sz w:val="24"/>
          <w:szCs w:val="24"/>
          <w:vertAlign w:val="superscript"/>
          <w:rtl/>
        </w:rPr>
        <w:footnoteReference w:id="290"/>
      </w:r>
      <w:r>
        <w:rPr>
          <w:rFonts w:asciiTheme="majorBidi" w:hAnsiTheme="majorBidi" w:cstheme="majorBidi"/>
          <w:sz w:val="24"/>
          <w:szCs w:val="24"/>
          <w:rtl/>
        </w:rPr>
        <w:t>.</w:t>
      </w:r>
    </w:p>
    <w:p w14:paraId="3294DAFB" w14:textId="77777777" w:rsidR="005705DD" w:rsidRDefault="005705DD" w:rsidP="005705DD">
      <w:pPr>
        <w:bidi/>
        <w:spacing w:after="200" w:line="276" w:lineRule="auto"/>
        <w:rPr>
          <w:rtl/>
        </w:rPr>
      </w:pPr>
      <w:r>
        <w:rPr>
          <w:rFonts w:asciiTheme="majorBidi" w:hAnsiTheme="majorBidi" w:cstheme="majorBidi"/>
          <w:sz w:val="24"/>
          <w:szCs w:val="24"/>
          <w:rtl/>
        </w:rPr>
        <w:t xml:space="preserve">وفي هذا السياق، يُشدّد مركز الدراسات والبحوث القانونية التابع لوزارة العدل (2024م) على أن نظام الإثبات السعودي يُتيح قبول الأدلة الرقمية بما فيها مخرجات الأنظمة الذكية، لكن ذلك مشروط بضمان صحة الأداة </w:t>
      </w:r>
      <w:r>
        <w:rPr>
          <w:rFonts w:asciiTheme="majorBidi" w:hAnsiTheme="majorBidi" w:cstheme="majorBidi"/>
          <w:sz w:val="24"/>
          <w:szCs w:val="24"/>
          <w:rtl/>
        </w:rPr>
        <w:lastRenderedPageBreak/>
        <w:t xml:space="preserve">الذكية المولِّدة للدليل وخلوّها من التحيز، مما يُلقي على عاتق المحامي عبء إثبات مصداقية الأداة ذاتها قبل الاستناد إلى مخرجاتها، وهو عبء إثبات لم يكن قائماً في ظل أساليب العمل التقليدية </w:t>
      </w:r>
      <w:r>
        <w:rPr>
          <w:rFonts w:asciiTheme="majorBidi" w:hAnsiTheme="majorBidi" w:cstheme="majorBidi"/>
          <w:sz w:val="24"/>
          <w:szCs w:val="24"/>
          <w:vertAlign w:val="superscript"/>
          <w:rtl/>
        </w:rPr>
        <w:footnoteReference w:id="291"/>
      </w:r>
      <w:r>
        <w:rPr>
          <w:rFonts w:asciiTheme="majorBidi" w:hAnsiTheme="majorBidi" w:cstheme="majorBidi"/>
          <w:sz w:val="24"/>
          <w:szCs w:val="24"/>
          <w:rtl/>
        </w:rPr>
        <w:t>.</w:t>
      </w:r>
    </w:p>
    <w:p w14:paraId="13A19DF0" w14:textId="77777777" w:rsidR="005705DD" w:rsidRDefault="005705DD" w:rsidP="005705DD">
      <w:pPr>
        <w:bidi/>
        <w:spacing w:after="200" w:line="276" w:lineRule="auto"/>
        <w:rPr>
          <w:rtl/>
        </w:rPr>
      </w:pPr>
      <w:r>
        <w:rPr>
          <w:rFonts w:asciiTheme="majorBidi" w:hAnsiTheme="majorBidi" w:cstheme="majorBidi"/>
          <w:b/>
          <w:sz w:val="28"/>
          <w:szCs w:val="28"/>
          <w:rtl/>
        </w:rPr>
        <w:t>ثالثاً: الإطار التنظيمي لسدايا وتطبيقه على مكاتب المحاماة</w:t>
      </w:r>
    </w:p>
    <w:p w14:paraId="3A34AFFE" w14:textId="77777777" w:rsidR="005705DD" w:rsidRDefault="005705DD" w:rsidP="005705DD">
      <w:pPr>
        <w:bidi/>
        <w:spacing w:after="200" w:line="276" w:lineRule="auto"/>
        <w:rPr>
          <w:rtl/>
        </w:rPr>
      </w:pPr>
      <w:r>
        <w:rPr>
          <w:rFonts w:asciiTheme="majorBidi" w:hAnsiTheme="majorBidi" w:cstheme="majorBidi"/>
          <w:sz w:val="24"/>
          <w:szCs w:val="24"/>
          <w:rtl/>
        </w:rPr>
        <w:t>أصدرت الهيئة السعودية للبيانات والذكاء الاصطناعي (سدايا) جملةً من الوثائق التنظيمية ذات الصلة بموضوع الدراسة، أبرزها ثلاث وثائق تُشكّل معاً الإطار التنظيمي الناعم لتوظيف الذكاء الاصطناعي في القطاعات المهنية السعودية، وإن كانت ذات طابع توجيهي استرشادي في مراحلها الراهنة أكثر من كونها إلزاميةً بنص صريح:</w:t>
      </w:r>
    </w:p>
    <w:p w14:paraId="125078C5" w14:textId="77777777" w:rsidR="005705DD" w:rsidRDefault="005705DD" w:rsidP="005705DD">
      <w:pPr>
        <w:bidi/>
        <w:spacing w:after="200" w:line="276" w:lineRule="auto"/>
        <w:rPr>
          <w:rtl/>
        </w:rPr>
      </w:pPr>
      <w:r>
        <w:rPr>
          <w:rFonts w:asciiTheme="majorBidi" w:hAnsiTheme="majorBidi" w:cstheme="majorBidi"/>
          <w:sz w:val="24"/>
          <w:szCs w:val="24"/>
          <w:rtl/>
        </w:rPr>
        <w:t xml:space="preserve">الوثيقة الأولى: مبادئ أخلاقيات الذكاء الاصطناعي </w:t>
      </w:r>
      <w:r>
        <w:rPr>
          <w:rFonts w:asciiTheme="majorBidi" w:hAnsiTheme="majorBidi" w:cstheme="majorBidi"/>
          <w:sz w:val="24"/>
          <w:szCs w:val="24"/>
          <w:vertAlign w:val="superscript"/>
          <w:rtl/>
        </w:rPr>
        <w:footnoteReference w:id="292"/>
      </w:r>
      <w:r>
        <w:rPr>
          <w:rFonts w:asciiTheme="majorBidi" w:hAnsiTheme="majorBidi" w:cstheme="majorBidi"/>
          <w:sz w:val="24"/>
          <w:szCs w:val="24"/>
          <w:rtl/>
        </w:rPr>
        <w:t xml:space="preserve">، التي أرست ثمانية مبادئ جوهرية تشمل: الأمان والموثوقية، والعدالة وعدم التحيز، والشفافية، والخصوصية، والمساءلة، والاستدامة، واحترام القيم والتنوع الثقافي، وخدمة الإنسانية. وتنص الوثيقة صراحةً على أن: "يجب على نظام الذكاء الاصطناعي العمل على تقليل المخاطر المحتملة والأضرار غير المقصودة إلى أدنى حد ممكن" </w:t>
      </w:r>
      <w:r>
        <w:rPr>
          <w:rFonts w:asciiTheme="majorBidi" w:hAnsiTheme="majorBidi" w:cstheme="majorBidi"/>
          <w:sz w:val="24"/>
          <w:szCs w:val="24"/>
          <w:vertAlign w:val="superscript"/>
          <w:rtl/>
        </w:rPr>
        <w:footnoteReference w:id="293"/>
      </w:r>
      <w:r>
        <w:rPr>
          <w:rFonts w:asciiTheme="majorBidi" w:hAnsiTheme="majorBidi" w:cstheme="majorBidi"/>
          <w:sz w:val="24"/>
          <w:szCs w:val="24"/>
          <w:rtl/>
        </w:rPr>
        <w:t>. وهذا المبدأ يُلزم — من منظور أخلاقي مهني — مكاتبَ المحاماة باختيار أدوات ذكية تتحلى بالموثوقية والشفافية لا مجرد الكفاءة.</w:t>
      </w:r>
    </w:p>
    <w:p w14:paraId="3435DAB5" w14:textId="77777777" w:rsidR="005705DD" w:rsidRDefault="005705DD" w:rsidP="005705DD">
      <w:pPr>
        <w:bidi/>
        <w:spacing w:after="200" w:line="276" w:lineRule="auto"/>
        <w:rPr>
          <w:rtl/>
        </w:rPr>
      </w:pPr>
      <w:r>
        <w:rPr>
          <w:rFonts w:asciiTheme="majorBidi" w:hAnsiTheme="majorBidi" w:cstheme="majorBidi"/>
          <w:sz w:val="24"/>
          <w:szCs w:val="24"/>
          <w:rtl/>
        </w:rPr>
        <w:t xml:space="preserve">الوثيقة الثانية: إطار تبني الذكاء الاصطناعي </w:t>
      </w:r>
      <w:r>
        <w:rPr>
          <w:rFonts w:asciiTheme="majorBidi" w:hAnsiTheme="majorBidi" w:cstheme="majorBidi"/>
          <w:sz w:val="24"/>
          <w:szCs w:val="24"/>
          <w:vertAlign w:val="superscript"/>
          <w:rtl/>
        </w:rPr>
        <w:footnoteReference w:id="294"/>
      </w:r>
      <w:r>
        <w:rPr>
          <w:rFonts w:asciiTheme="majorBidi" w:hAnsiTheme="majorBidi" w:cstheme="majorBidi"/>
          <w:sz w:val="24"/>
          <w:szCs w:val="24"/>
          <w:rtl/>
        </w:rPr>
        <w:t xml:space="preserve">، التي تُحدد ستة ركائز لتبني الذكاء الاصطناعي بصورة محوكمة ومسؤولة في المنظمات السعودية، تشمل: التأسيس، وتحديد التوجه، وتقييم النضج والجاهزية، وتفعيل التبني، وبناء الممكّنات، والمتابعة والتحسين المستمر. وتُلزم الوثيقة المنظمات بتأسيس وحدة مختصة بالذكاء الاصطناعي وبناء قدرات بشرية مؤهلة لإدارته </w:t>
      </w:r>
      <w:r>
        <w:rPr>
          <w:rFonts w:asciiTheme="majorBidi" w:hAnsiTheme="majorBidi" w:cstheme="majorBidi"/>
          <w:sz w:val="24"/>
          <w:szCs w:val="24"/>
          <w:vertAlign w:val="superscript"/>
          <w:rtl/>
        </w:rPr>
        <w:footnoteReference w:id="295"/>
      </w:r>
      <w:r>
        <w:rPr>
          <w:rFonts w:asciiTheme="majorBidi" w:hAnsiTheme="majorBidi" w:cstheme="majorBidi"/>
          <w:sz w:val="24"/>
          <w:szCs w:val="24"/>
          <w:rtl/>
        </w:rPr>
        <w:t>. والواقع الميداني يكشف عن هوة واسعة بين هذه المتطلبات وما تُطبّقه أغلب مكاتب المحاماة السعودية، لا سيما المكاتب الصغيرة والمتوسطة.</w:t>
      </w:r>
    </w:p>
    <w:p w14:paraId="111433FD" w14:textId="77777777" w:rsidR="005705DD" w:rsidRDefault="005705DD" w:rsidP="005705DD">
      <w:pPr>
        <w:bidi/>
        <w:spacing w:after="200" w:line="276" w:lineRule="auto"/>
        <w:rPr>
          <w:rtl/>
        </w:rPr>
      </w:pPr>
      <w:r>
        <w:rPr>
          <w:rFonts w:asciiTheme="majorBidi" w:hAnsiTheme="majorBidi" w:cstheme="majorBidi"/>
          <w:sz w:val="24"/>
          <w:szCs w:val="24"/>
          <w:rtl/>
        </w:rPr>
        <w:t xml:space="preserve">الوثيقة الثالثة: الدليل الاسترشادي لتقويم مخاطر نقل البيانات الشخصية إلى خارج المملكة </w:t>
      </w:r>
      <w:r>
        <w:rPr>
          <w:rFonts w:asciiTheme="majorBidi" w:hAnsiTheme="majorBidi" w:cstheme="majorBidi"/>
          <w:sz w:val="24"/>
          <w:szCs w:val="24"/>
          <w:vertAlign w:val="superscript"/>
          <w:rtl/>
        </w:rPr>
        <w:footnoteReference w:id="296"/>
      </w:r>
      <w:r>
        <w:rPr>
          <w:rFonts w:asciiTheme="majorBidi" w:hAnsiTheme="majorBidi" w:cstheme="majorBidi"/>
          <w:sz w:val="24"/>
          <w:szCs w:val="24"/>
          <w:rtl/>
        </w:rPr>
        <w:t>، الذي يُوجّه المنظمات إلى إجراء تقييم مخاطر منظم قبل نقل أي بيانات إلى منصات سحابية خارجية. ويُعدّ هذا الدليل ذا أهمية قصوى بالنسبة لمكاتب المحاماة المستخدِمة لأدوات ذكاء اصطناعي أجنبية، إذ يُلزمها بإجراء تقييم أثر على حماية البيانات (DPIA) قبل أي معالجة خارجية.</w:t>
      </w:r>
    </w:p>
    <w:p w14:paraId="4F1B2968" w14:textId="77777777" w:rsidR="005705DD" w:rsidRDefault="005705DD" w:rsidP="005705DD">
      <w:pPr>
        <w:bidi/>
        <w:spacing w:after="200" w:line="276" w:lineRule="auto"/>
        <w:rPr>
          <w:rtl/>
        </w:rPr>
      </w:pPr>
      <w:r>
        <w:rPr>
          <w:rFonts w:asciiTheme="majorBidi" w:hAnsiTheme="majorBidi" w:cstheme="majorBidi"/>
          <w:sz w:val="24"/>
          <w:szCs w:val="24"/>
          <w:rtl/>
        </w:rPr>
        <w:t xml:space="preserve">غير أن القيمة التطبيقية لهذه الوثائق في القطاع القانوني تظل محدودة ما لم تُفصَّل في لوائح تنفيذية مُلزِمة تُحدّد آليات الالتزام وعقوبات المخالفة وجهات الرقابة المختصة. وقد أشار رجب (2023م) في دراسته المقارنة حول </w:t>
      </w:r>
      <w:r>
        <w:rPr>
          <w:rFonts w:asciiTheme="majorBidi" w:hAnsiTheme="majorBidi" w:cstheme="majorBidi"/>
          <w:sz w:val="24"/>
          <w:szCs w:val="24"/>
          <w:rtl/>
        </w:rPr>
        <w:lastRenderedPageBreak/>
        <w:t xml:space="preserve">دور الدولة في تأطير أخلاقيات الذكاء الاصطناعي إلى أن الوثائق الأخلاقية الاستشارية تُمثّل نقطة انطلاق ضرورية، لكنها لا تُعوّض عن التشريع الصريح الملزم </w:t>
      </w:r>
      <w:r>
        <w:rPr>
          <w:rFonts w:asciiTheme="majorBidi" w:hAnsiTheme="majorBidi" w:cstheme="majorBidi"/>
          <w:sz w:val="24"/>
          <w:szCs w:val="24"/>
          <w:vertAlign w:val="superscript"/>
          <w:rtl/>
        </w:rPr>
        <w:footnoteReference w:id="297"/>
      </w:r>
      <w:r>
        <w:rPr>
          <w:rFonts w:asciiTheme="majorBidi" w:hAnsiTheme="majorBidi" w:cstheme="majorBidi"/>
          <w:sz w:val="24"/>
          <w:szCs w:val="24"/>
          <w:rtl/>
        </w:rPr>
        <w:t>.</w:t>
      </w:r>
    </w:p>
    <w:p w14:paraId="601052F8" w14:textId="77777777" w:rsidR="005705DD" w:rsidRDefault="005705DD" w:rsidP="005705DD">
      <w:pPr>
        <w:bidi/>
        <w:spacing w:after="200" w:line="276" w:lineRule="auto"/>
        <w:rPr>
          <w:rtl/>
        </w:rPr>
      </w:pPr>
      <w:r>
        <w:rPr>
          <w:rFonts w:asciiTheme="majorBidi" w:hAnsiTheme="majorBidi" w:cstheme="majorBidi"/>
          <w:b/>
          <w:sz w:val="28"/>
          <w:szCs w:val="28"/>
          <w:rtl/>
        </w:rPr>
        <w:t>رابعاً: إشكالية الأدوات الأجنبية وسيادة البيانات القانونية</w:t>
      </w:r>
    </w:p>
    <w:p w14:paraId="6D4BEC47" w14:textId="77777777" w:rsidR="005705DD" w:rsidRDefault="005705DD" w:rsidP="005705DD">
      <w:pPr>
        <w:bidi/>
        <w:spacing w:after="200" w:line="276" w:lineRule="auto"/>
        <w:rPr>
          <w:rtl/>
        </w:rPr>
      </w:pPr>
      <w:r>
        <w:rPr>
          <w:rFonts w:asciiTheme="majorBidi" w:hAnsiTheme="majorBidi" w:cstheme="majorBidi"/>
          <w:sz w:val="24"/>
          <w:szCs w:val="24"/>
          <w:rtl/>
        </w:rPr>
        <w:t>تُشكّل الأدوات الأجنبية نسبة مرتفعة من الأدوات الذكية المستخدمة في مكاتب المحاماة السعودية، وهو ما يُفرز إشكاليات متعددة الأبعاد يمكن إيجازها في ثلاثة محاور:</w:t>
      </w:r>
    </w:p>
    <w:p w14:paraId="14B4471F"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الأول — إشكالية سيادة البيانات: تُعالَج بيانات القضايا الحساسة — بما فيها وقائع القضايا التجارية وبيانات الموكلين الشخصية والمراسلات القانونية السرية — على خوادم أجنبية خارج نطاق الولاية القضائية السعودية. وقد أوضحت الأمين في سياق مناقشتها لمتطلبات نظام حماية البيانات أن تدفق البيانات الحساسة من ملفات الدعاوى إلى منصات سحابية أجنبية يُشكّل ثغرة تشريعية بالغة الخطورة، لا سيما في القضايا التي تمس مصالح الدولة أو المؤسسات الحيوية </w:t>
      </w:r>
      <w:r>
        <w:rPr>
          <w:rFonts w:asciiTheme="majorBidi" w:hAnsiTheme="majorBidi" w:cstheme="majorBidi"/>
          <w:sz w:val="24"/>
          <w:szCs w:val="24"/>
          <w:vertAlign w:val="superscript"/>
          <w:rtl/>
        </w:rPr>
        <w:footnoteReference w:id="298"/>
      </w:r>
      <w:r>
        <w:rPr>
          <w:rFonts w:asciiTheme="majorBidi" w:hAnsiTheme="majorBidi" w:cstheme="majorBidi"/>
          <w:sz w:val="24"/>
          <w:szCs w:val="24"/>
          <w:rtl/>
        </w:rPr>
        <w:t>.</w:t>
      </w:r>
    </w:p>
    <w:p w14:paraId="63193651" w14:textId="77777777" w:rsidR="005705DD" w:rsidRDefault="005705DD" w:rsidP="005705DD">
      <w:pPr>
        <w:bidi/>
        <w:spacing w:after="200" w:line="276" w:lineRule="auto"/>
        <w:rPr>
          <w:rtl/>
        </w:rPr>
      </w:pPr>
      <w:r>
        <w:rPr>
          <w:rFonts w:asciiTheme="majorBidi" w:hAnsiTheme="majorBidi" w:cstheme="majorBidi"/>
          <w:sz w:val="24"/>
          <w:szCs w:val="24"/>
          <w:rtl/>
        </w:rPr>
        <w:t>المحور الثاني — إشكالية الازدواجية التشريعية: تخضع هذه الأدوات لأنظمة ولوائح أجنبية — كاللائحة الأوروبية GDPR أو قانون الذكاء الاصطناعي الأوروبي EU AI Act الصادر عام 2024م — قد تتعارض أحياناً مع المتطلبات السعودية. فمثلاً قد تُلزم شروط الاستخدام الأوروبية بتخزين بيانات الحوار وتحليلها لأغراض تحسين النموذج، وهو ما يتعارض مع متطلب الغرض المحدد في النظام السعودي. ومما يزيد الأمر تعقيداً أن المحامي السعودي غير ملزم بمعرفة التشريعات الأجنبية المنظِّمة للأداة التي يستخدمها، مما يفتح باباً لمخاطر لا يُدركها.</w:t>
      </w:r>
    </w:p>
    <w:p w14:paraId="5945BB42" w14:textId="77777777" w:rsidR="005705DD" w:rsidRDefault="005705DD" w:rsidP="005705DD">
      <w:pPr>
        <w:bidi/>
        <w:spacing w:after="200" w:line="276" w:lineRule="auto"/>
        <w:rPr>
          <w:rtl/>
        </w:rPr>
      </w:pPr>
      <w:r>
        <w:rPr>
          <w:rFonts w:asciiTheme="majorBidi" w:hAnsiTheme="majorBidi" w:cstheme="majorBidi"/>
          <w:sz w:val="24"/>
          <w:szCs w:val="24"/>
          <w:rtl/>
        </w:rPr>
        <w:t>المحور الثالث — إشكالية غياب المساءلة: لا يخضع مزود الأداة الأجنبية لأي ولاية تشريعية سعودية مباشرة، مما يجعل المحامي السعودي الحلقة الوحيدة الخاضعة للمساءلة في حال وقوع ضرر، في حين أن المزوّد الأجنبي الذي أنتج الخطأ يبقى خارج متناول الأنظمة السعودية. ويُشكّل هذا الواقع خللاً جوهرياً في منظومة المساءلة لا تعالجه الأنظمة القائمة.</w:t>
      </w:r>
    </w:p>
    <w:p w14:paraId="632DBA27" w14:textId="77777777" w:rsidR="005705DD" w:rsidRDefault="005705DD" w:rsidP="005705DD">
      <w:pPr>
        <w:bidi/>
        <w:spacing w:after="200" w:line="276" w:lineRule="auto"/>
        <w:rPr>
          <w:rtl/>
        </w:rPr>
      </w:pPr>
      <w:r>
        <w:rPr>
          <w:rFonts w:asciiTheme="majorBidi" w:hAnsiTheme="majorBidi" w:cstheme="majorBidi"/>
          <w:sz w:val="24"/>
          <w:szCs w:val="24"/>
          <w:rtl/>
        </w:rPr>
        <w:t>يرى الباحث: أن الحل التشريعي المناسب يكمن في اشتراط حصول أدوات الذكاء الاصطناعي الأجنبية المستخدمة في القطاع القانوني السعودي على اعتماد من سدايا، مع اشتراط إتاحة البيانات على خوادم داخل المملكة أو في نطاق ولايتها، على غرار ما نصّت عليه التشريعات الأوروبية في هذا الشأن، وما اتجهت إليه بعض الدول الخليجية كالإمارات في اشتراطات منصة AI Governance Platform.</w:t>
      </w:r>
    </w:p>
    <w:p w14:paraId="6C4B4893" w14:textId="77777777" w:rsidR="005705DD" w:rsidRDefault="005705DD" w:rsidP="005705DD">
      <w:pPr>
        <w:bidi/>
        <w:spacing w:after="200" w:line="276" w:lineRule="auto"/>
        <w:rPr>
          <w:rtl/>
        </w:rPr>
      </w:pPr>
      <w:r>
        <w:rPr>
          <w:rFonts w:asciiTheme="majorBidi" w:hAnsiTheme="majorBidi" w:cstheme="majorBidi"/>
          <w:b/>
          <w:sz w:val="28"/>
          <w:szCs w:val="28"/>
          <w:rtl/>
        </w:rPr>
        <w:t>خامساً: الفجوة بين الاستخدام الفعلي والضوابط النظامية</w:t>
      </w:r>
    </w:p>
    <w:p w14:paraId="1F2C2A83" w14:textId="77777777" w:rsidR="005705DD" w:rsidRDefault="005705DD" w:rsidP="005705DD">
      <w:pPr>
        <w:bidi/>
        <w:spacing w:after="200" w:line="276" w:lineRule="auto"/>
        <w:rPr>
          <w:rtl/>
        </w:rPr>
      </w:pPr>
      <w:r>
        <w:rPr>
          <w:rFonts w:asciiTheme="majorBidi" w:hAnsiTheme="majorBidi" w:cstheme="majorBidi"/>
          <w:sz w:val="24"/>
          <w:szCs w:val="24"/>
          <w:rtl/>
        </w:rPr>
        <w:t>خلص التحليل السابق إلى وجود فجوة حادة ومتعددة الأبعاد بين الاستخدام الفعلي لأدوات الذكاء الاصطناعي في مكاتب المحاماة السعودية من جهة، وما تفرضه الأنظمة القائمة من ضوابط من جهة أخرى. وتتجلى هذه الفجوة في ثلاثة مستويات متراكمة:</w:t>
      </w:r>
    </w:p>
    <w:p w14:paraId="7C67A7D9"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المستوى الأول — الفجوة المعرفية: فمعظم المحامين السعوديين المستخدِمين لأدوات الذكاء الاصطناعي لا يُدركون الامتدادات النظامية لاستخدامهم، سواء ما يتعلق منها بنظام حماية البيانات أو بنظام المحاماة أو </w:t>
      </w:r>
      <w:r>
        <w:rPr>
          <w:rFonts w:asciiTheme="majorBidi" w:hAnsiTheme="majorBidi" w:cstheme="majorBidi"/>
          <w:sz w:val="24"/>
          <w:szCs w:val="24"/>
          <w:rtl/>
        </w:rPr>
        <w:lastRenderedPageBreak/>
        <w:t>بمتطلبات سدايا. وتعكس هذه المعضلة غياب التدريب المهني المنظم في مجال التقنيات القانونية ضمن برامج تطوير كفاءة المحامين التي تُشرف عليها هيئة المحامين السعوديين.</w:t>
      </w:r>
    </w:p>
    <w:p w14:paraId="2F9F1BE1" w14:textId="77777777" w:rsidR="005705DD" w:rsidRDefault="005705DD" w:rsidP="005705DD">
      <w:pPr>
        <w:bidi/>
        <w:spacing w:after="200" w:line="276" w:lineRule="auto"/>
        <w:rPr>
          <w:rtl/>
        </w:rPr>
      </w:pPr>
      <w:r>
        <w:rPr>
          <w:rFonts w:asciiTheme="majorBidi" w:hAnsiTheme="majorBidi" w:cstheme="majorBidi"/>
          <w:sz w:val="24"/>
          <w:szCs w:val="24"/>
          <w:rtl/>
        </w:rPr>
        <w:t>المستوى الثاني — الفجوة التطبيقية: فحتى في الحالات التي يعلم فيها المحامي بوجود ضوابط نظامية، يغلب الاستخدام غير المنضبط مدفوعاً بالراحة والسرعة وانخفاض الكلفة. وهذا يعكس غياب التطبيق الفعلي والرقابة المهنية على الاستخدام، إذ لا توجد حتى الآن جهة رسمية تُراقب كيفية استخدام مكاتب المحاماة لأدوات الذكاء الاصطناعي وتُحاسبها على مخالفة الضوابط الواجبة.</w:t>
      </w:r>
    </w:p>
    <w:p w14:paraId="05FD5DE2" w14:textId="77777777" w:rsidR="005705DD" w:rsidRDefault="005705DD" w:rsidP="005705DD">
      <w:pPr>
        <w:bidi/>
        <w:spacing w:after="200" w:line="276" w:lineRule="auto"/>
        <w:rPr>
          <w:rtl/>
        </w:rPr>
      </w:pPr>
      <w:r>
        <w:rPr>
          <w:rFonts w:asciiTheme="majorBidi" w:hAnsiTheme="majorBidi" w:cstheme="majorBidi"/>
          <w:sz w:val="24"/>
          <w:szCs w:val="24"/>
          <w:rtl/>
        </w:rPr>
        <w:t>المستوى الثالث — الفجوة التشريعية: فالأنظمة القائمة لم تُصمَّم أصلاً لتنظيم هذه الأنواع من الاستخدامات، مما يعني أن أدوات تفسير النصوص وتوسيع مداها — وإن كانت ضرورية في المرحلة الراهنة — لا تُعوّض عن التشريع الصريح المنتظر. وسيتناول الفصل الرابع من هذه الدراسة معالجة هذه الفجوة تشريعياً بصورة تفصيلية.</w:t>
      </w:r>
    </w:p>
    <w:p w14:paraId="64076417" w14:textId="77777777" w:rsidR="005705DD" w:rsidRDefault="005705DD" w:rsidP="005705DD">
      <w:pPr>
        <w:bidi/>
        <w:spacing w:after="200" w:line="276" w:lineRule="auto"/>
        <w:rPr>
          <w:rtl/>
        </w:rPr>
      </w:pPr>
    </w:p>
    <w:p w14:paraId="0A97C104"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الذكاء الاصطناعي القانوني في سياق رؤية 2030 والاستراتيجية الوطنية</w:t>
      </w:r>
    </w:p>
    <w:p w14:paraId="7AD47730" w14:textId="77777777" w:rsidR="005705DD" w:rsidRDefault="005705DD" w:rsidP="005705DD">
      <w:pPr>
        <w:bidi/>
        <w:spacing w:after="200" w:line="276" w:lineRule="auto"/>
        <w:rPr>
          <w:rtl/>
        </w:rPr>
      </w:pPr>
      <w:r>
        <w:rPr>
          <w:rFonts w:asciiTheme="majorBidi" w:hAnsiTheme="majorBidi" w:cstheme="majorBidi"/>
          <w:sz w:val="24"/>
          <w:szCs w:val="24"/>
          <w:rtl/>
        </w:rPr>
        <w:t>لا يمكن دراسة واقع الذكاء الاصطناعي في مكاتب المحاماة السعودية بمعزل عن السياق الاستراتيجي الكلي الذي يُحيط بالتحول الرقمي في المملكة العربية السعودية. فرؤية 2030 — التي أطلقها ولي العهد الأمير محمد بن سلمان عام 2016م — لا تتوقف أهدافها عند رفع نسبة اقتصادية أو خفض الاعتماد على النفط، بل تتضمن برامج متكاملة لتحديث المنظومة العدلية وتطوير الخدمات الحكومية الرقمية. وفيما يتعلق بالقطاع العدلي تحديداً، تندرج عدة برامج استراتيجية ذات صلة مباشرة بموضوع هذه الدراسة.</w:t>
      </w:r>
    </w:p>
    <w:p w14:paraId="43ED6A3E" w14:textId="77777777" w:rsidR="005705DD" w:rsidRDefault="005705DD" w:rsidP="005705DD">
      <w:pPr>
        <w:bidi/>
        <w:spacing w:after="200" w:line="276" w:lineRule="auto"/>
        <w:rPr>
          <w:rtl/>
        </w:rPr>
      </w:pPr>
      <w:r>
        <w:rPr>
          <w:rFonts w:asciiTheme="majorBidi" w:hAnsiTheme="majorBidi" w:cstheme="majorBidi"/>
          <w:sz w:val="24"/>
          <w:szCs w:val="24"/>
          <w:rtl/>
        </w:rPr>
        <w:t xml:space="preserve">أولاً: الاستراتيجية الوطنية للذكاء الاصطناعي (1444هـ/2023م)، التي أصدرتها سدايا وتتضمن خارطة طريق وطنية شاملة لتوظيف الذكاء الاصطناعي في عشرة قطاعات أولوية، من بينها قطاع العدالة والخدمات القانونية. وتستهدف الاستراتيجية تحقيق مساهمة اقتصادية للذكاء الاصطناعي في الناتج المحلي الإجمالي بمقدار 135 مليار ريال سنوياً بحلول عام 1447هـ/2026م </w:t>
      </w:r>
      <w:r>
        <w:rPr>
          <w:rFonts w:asciiTheme="majorBidi" w:hAnsiTheme="majorBidi" w:cstheme="majorBidi"/>
          <w:sz w:val="24"/>
          <w:szCs w:val="24"/>
          <w:vertAlign w:val="superscript"/>
          <w:rtl/>
        </w:rPr>
        <w:footnoteReference w:id="299"/>
      </w:r>
      <w:r>
        <w:rPr>
          <w:rFonts w:asciiTheme="majorBidi" w:hAnsiTheme="majorBidi" w:cstheme="majorBidi"/>
          <w:sz w:val="24"/>
          <w:szCs w:val="24"/>
          <w:rtl/>
        </w:rPr>
        <w:t>. وتُفيد هذه الأرقام بأن التوجه الحكومي داعم بقوة لاستيعاب الذكاء الاصطناعي في قطاعات الخدمات، بما فيها القانونية.</w:t>
      </w:r>
    </w:p>
    <w:p w14:paraId="0611A578" w14:textId="77777777" w:rsidR="005705DD" w:rsidRDefault="005705DD" w:rsidP="005705DD">
      <w:pPr>
        <w:bidi/>
        <w:spacing w:after="200" w:line="276" w:lineRule="auto"/>
        <w:rPr>
          <w:rtl/>
        </w:rPr>
      </w:pPr>
      <w:r>
        <w:rPr>
          <w:rFonts w:asciiTheme="majorBidi" w:hAnsiTheme="majorBidi" w:cstheme="majorBidi"/>
          <w:sz w:val="24"/>
          <w:szCs w:val="24"/>
          <w:rtl/>
        </w:rPr>
        <w:t>ثانياً: برنامج التحول الرقمي لوزارة العدل (نطاقات)، الذي يُعدّ من أبرز برامج رؤية 2030 في القطاع العدلي، ويتضمن محوراً خاصاً بتوظيف تقنيات الذكاء الاصطناعي في الإجراءات القضائية وخدمات وزارة العدل. وقد خلص التقرير السنوي لوزارة العدل (2024م) إلى أن رقمنة الخدمات القضائية أسهمت في تخفيض متوسط مدة الفصل في القضايا بنسبة 28%، وهو ما يُؤسّس لضغط مهني متزايد على مكاتب المحاماة لمواكبة هذا الإيقاع الرقمي المتسارع.</w:t>
      </w:r>
    </w:p>
    <w:p w14:paraId="6E059102" w14:textId="77777777" w:rsidR="005705DD" w:rsidRDefault="005705DD" w:rsidP="005705DD">
      <w:pPr>
        <w:bidi/>
        <w:spacing w:after="200" w:line="276" w:lineRule="auto"/>
        <w:rPr>
          <w:rtl/>
        </w:rPr>
      </w:pPr>
      <w:r>
        <w:rPr>
          <w:rFonts w:asciiTheme="majorBidi" w:hAnsiTheme="majorBidi" w:cstheme="majorBidi"/>
          <w:sz w:val="24"/>
          <w:szCs w:val="24"/>
          <w:rtl/>
        </w:rPr>
        <w:t>ثالثاً: مبادرة "مركز التميز للذكاء الاصطناعي" الذي أنشأته وزارة العدل بالتعاون مع سدايا، ويتولى دراسة تطبيقات الذكاء الاصطناعي في القضاء والتشريع وإعداد الرأي القانوني. ويُعدّ هذا المركز أول مبادرة حكومية سعودية متخصصة في تقاطع الذكاء الاصطناعي والمنظومة العدلية، وإن كانت مخرجاته حتى الآن محدودة الأثر على المستوى التشريعي.</w:t>
      </w:r>
    </w:p>
    <w:p w14:paraId="6698DE34" w14:textId="77777777" w:rsidR="005705DD" w:rsidRDefault="005705DD" w:rsidP="005705DD">
      <w:pPr>
        <w:bidi/>
        <w:spacing w:after="200" w:line="276" w:lineRule="auto"/>
        <w:rPr>
          <w:rtl/>
        </w:rPr>
      </w:pPr>
      <w:r>
        <w:rPr>
          <w:rFonts w:asciiTheme="majorBidi" w:hAnsiTheme="majorBidi" w:cstheme="majorBidi"/>
          <w:sz w:val="24"/>
          <w:szCs w:val="24"/>
          <w:rtl/>
        </w:rPr>
        <w:t>ويُخلص الباحث من هذا الاستعراض الاستراتيجي إلى أن هناك تناقضاً يكاد يكون بنيوياً في المشهد الراهن: فمن جهة، تدفع الاستراتيجيات الحكومية بقوة نحو الاعتماد الأوسع على الذكاء الاصطناعي في القطاع العدلي. ومن جهة أخرى، تغيب التشريعات الصريحة التي تُنظّم هذا الاعتماد وتحدد ضوابطه وتوزّع مسؤولياته. وهذا التناقض يُرتّب على المحامي السعودي معضلة مهنية حقيقية: إما أن يتخلف عن ركب التحديث، أو أن يُسرع نحوه في ظل غياب الضوابط الكافية.</w:t>
      </w:r>
    </w:p>
    <w:p w14:paraId="11916110" w14:textId="77777777" w:rsidR="005705DD" w:rsidRDefault="005705DD" w:rsidP="005705DD"/>
    <w:p w14:paraId="11455312"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تحليل تفصيلي لأبرز الأنظمة السعودية ذات الصلة بالذكاء الاصطناعي القانوني</w:t>
      </w:r>
    </w:p>
    <w:p w14:paraId="2B908C1E" w14:textId="77777777" w:rsidR="005705DD" w:rsidRDefault="005705DD" w:rsidP="005705DD">
      <w:pPr>
        <w:bidi/>
        <w:spacing w:after="200" w:line="276" w:lineRule="auto"/>
        <w:rPr>
          <w:rtl/>
        </w:rPr>
      </w:pPr>
      <w:r>
        <w:rPr>
          <w:rFonts w:asciiTheme="majorBidi" w:hAnsiTheme="majorBidi" w:cstheme="majorBidi"/>
          <w:sz w:val="24"/>
          <w:szCs w:val="24"/>
          <w:rtl/>
        </w:rPr>
        <w:t>بعد الاستعراض العام للبيئة النظامية في المطلب الثاني من المبحث الأول، يُقدّم الباحث في هذا الموضع تحليلاً تفصيلياً أعمق لأهم الأحكام النظامية المباشرة الصلة بموضوع الدراسة:</w:t>
      </w:r>
    </w:p>
    <w:p w14:paraId="635C25AD" w14:textId="77777777" w:rsidR="005705DD" w:rsidRDefault="005705DD" w:rsidP="005705DD">
      <w:pPr>
        <w:bidi/>
        <w:spacing w:after="200" w:line="276" w:lineRule="auto"/>
        <w:rPr>
          <w:rtl/>
        </w:rPr>
      </w:pPr>
      <w:r>
        <w:rPr>
          <w:rFonts w:asciiTheme="majorBidi" w:hAnsiTheme="majorBidi" w:cstheme="majorBidi"/>
          <w:sz w:val="24"/>
          <w:szCs w:val="24"/>
          <w:rtl/>
        </w:rPr>
        <w:t xml:space="preserve">أولاً: نظام المحاماة </w:t>
      </w:r>
      <w:r>
        <w:rPr>
          <w:rFonts w:asciiTheme="majorBidi" w:hAnsiTheme="majorBidi" w:cstheme="majorBidi"/>
          <w:sz w:val="24"/>
          <w:szCs w:val="24"/>
          <w:vertAlign w:val="superscript"/>
          <w:rtl/>
        </w:rPr>
        <w:footnoteReference w:id="300"/>
      </w:r>
      <w:r>
        <w:rPr>
          <w:rFonts w:asciiTheme="majorBidi" w:hAnsiTheme="majorBidi" w:cstheme="majorBidi"/>
          <w:sz w:val="24"/>
          <w:szCs w:val="24"/>
          <w:rtl/>
        </w:rPr>
        <w:t xml:space="preserve"> وتعديلاته — قراءة في ضوء الذكاء الاصطناعي: تتضمن المادة الثالثة من نظام المحاماة اشتراطاتٍ لمن يُرخَّص له بمزاولة المهنة، من بينها الكفاءة العلمية والأخلاقية اللازمة. وبالتفسير الموسَّع لهذا الشرط في ضوء المستجدات التقنية، يمكن القول إن التطور التكنولوجي الراهن أضاف بُعداً جديداً لمفهوم "الكفاءة اللازمة"، يشمل الكفاءة التقنية في التعامل مع أدوات الذكاء الاصطناعي والقدرة على تقييم مخرجاتها نقدياً. وهذا التفسير الموسَّع يُمكن أن يُشكّل سنداً لهيئة المحامين في اشتراط التأهيل التقني دون انتظار تعديل نظامي صريح.</w:t>
      </w:r>
    </w:p>
    <w:p w14:paraId="611E4253" w14:textId="77777777" w:rsidR="005705DD" w:rsidRDefault="005705DD" w:rsidP="005705DD">
      <w:pPr>
        <w:bidi/>
        <w:spacing w:after="200" w:line="276" w:lineRule="auto"/>
        <w:rPr>
          <w:rtl/>
        </w:rPr>
      </w:pPr>
      <w:r>
        <w:rPr>
          <w:rFonts w:asciiTheme="majorBidi" w:hAnsiTheme="majorBidi" w:cstheme="majorBidi"/>
          <w:sz w:val="24"/>
          <w:szCs w:val="24"/>
          <w:rtl/>
        </w:rPr>
        <w:t>كذلك تُعالج المادة الثانية والثلاثون من النظام واجب السرية المهنية، مُلزِمةً المحامي بعدم إفشاء أسرار موكله. وقد سبقت الإشارة إلى أن توظيف أدوات الذكاء الاصطناعي الخارجية قد يُشكّل خرقاً لهذا الواجب. والمهم هنا أن النص النظامي الحالي لا يشترط أن يكون الإفشاء لشخص بشري حتى تتحقق المخالفة؛ فالفقه الإجرائي المقارن يُوسّع دائرة الإفشاء المحظور لتشمل كل وصول لبيانات الموكل إلى أي جهة لم يُأذن لها بذلك، بشريةً كانت أم غير بشرية.</w:t>
      </w:r>
    </w:p>
    <w:p w14:paraId="60E35A3E" w14:textId="77777777" w:rsidR="005705DD" w:rsidRDefault="005705DD" w:rsidP="005705DD">
      <w:pPr>
        <w:bidi/>
        <w:spacing w:after="200" w:line="276" w:lineRule="auto"/>
        <w:rPr>
          <w:rtl/>
        </w:rPr>
      </w:pPr>
      <w:r>
        <w:rPr>
          <w:rFonts w:asciiTheme="majorBidi" w:hAnsiTheme="majorBidi" w:cstheme="majorBidi"/>
          <w:sz w:val="24"/>
          <w:szCs w:val="24"/>
          <w:rtl/>
        </w:rPr>
        <w:t>ثانياً: نظام الإثبات (1443هـ) وحجية المستندات الذكية: تُنظّم المادة الثامنة من نظام الإثبات أحكام المستندات الإلكترونية، مُقرِّرةً أن "المستند الإلكتروني له حجية المستند المكتوب متى كان معرِّف المنشئ ثابتاً وكان المستند ومحتواه قابلاً للحفظ والاسترجاع". ويُثير تطبيق هذه المادة على مخرجات الذكاء الاصطناعي تساؤلاً دقيقاً: هل يُعدّ المحامي الذي أجرى التعديل النهائي على مستند ذكي "منشئاً" للمستند في معنى النص؟ الجواب الأقرب للصواب هو الإيجاب طالما أن المحامي أدخل تعديلات جوهرية وراجع المضمون ووقّع عليه، أما ما نُشر كما أنتجه الذكاء الاصطناعي دون مراجعة حقيقية فيظل في منطقة رمادية من حيث تحديد المنشئ.</w:t>
      </w:r>
    </w:p>
    <w:p w14:paraId="0D09F28A" w14:textId="77777777" w:rsidR="005705DD" w:rsidRDefault="005705DD" w:rsidP="005705DD">
      <w:pPr>
        <w:bidi/>
        <w:spacing w:after="200" w:line="276" w:lineRule="auto"/>
        <w:rPr>
          <w:rtl/>
        </w:rPr>
      </w:pPr>
      <w:r>
        <w:rPr>
          <w:rFonts w:asciiTheme="majorBidi" w:hAnsiTheme="majorBidi" w:cstheme="majorBidi"/>
          <w:sz w:val="24"/>
          <w:szCs w:val="24"/>
          <w:rtl/>
        </w:rPr>
        <w:t>ثالثاً: نظام المعاملات المدنية (1444هـ) وتحديد المسؤولية عن أضرار الذكاء الاصطناعي: أرسى نظام المعاملات المدنية أحكاماً حديثة للمسؤولية تستوعب المستجدات بصورة أكثر مرونة. وتُتيح أحكام المادة الخامسة والثمانين المتعلقة بالضمان إقامةَ دعوى مدنية ضد من تسبب ضرره في أضرار جراء استخدامه لأداة ذكية دون عناية كافية. والمسؤولية هنا تقصيرية تُبنى على عنصر التقصير (الإخلال بواجب الحيطة المعقولة)، وهو ما يُلزم المحامي باتخاذ الاحتياطات المعقولة في استخدام أدوات الذكاء الاصطناعي وإلا عُدّ مُفرِّطاً في واجب الحيطة.</w:t>
      </w:r>
    </w:p>
    <w:p w14:paraId="51AA4ED4" w14:textId="77777777" w:rsidR="005705DD" w:rsidRDefault="005705DD" w:rsidP="005705DD">
      <w:pPr>
        <w:bidi/>
        <w:spacing w:after="200" w:line="276" w:lineRule="auto"/>
        <w:rPr>
          <w:rtl/>
        </w:rPr>
      </w:pPr>
      <w:r>
        <w:rPr>
          <w:rFonts w:asciiTheme="majorBidi" w:hAnsiTheme="majorBidi" w:cstheme="majorBidi"/>
          <w:sz w:val="24"/>
          <w:szCs w:val="24"/>
          <w:rtl/>
        </w:rPr>
        <w:t>رابعاً: نظام التعاملات الإلكترونية ومخرجات الذكاء الاصطناعي: يُرسي النظام مبدأ التحايد التقني (Technological Neutrality)، مما يعني من حيث المبدأ أن مخرجات الذكاء الاصطناعي لا تُحرم من الحجية القانونية بسبب طبيعتها الذكية. غير أن هذا المبدأ لا يمنح هذه المخرجات حجيةً مطلقة دون اشتراطات؛ بل يجعل تقييم حجيتها مسألة سلطة تقديرية للقضاء في كل حالة على حدة، وهو ما يُفضي إلى عدم اليقين التشريعي (Legal Uncertainty) المُعيق للممارسة المهنية السليمة.</w:t>
      </w:r>
    </w:p>
    <w:p w14:paraId="0D9F0BC9" w14:textId="77777777" w:rsidR="005705DD" w:rsidRDefault="005705DD" w:rsidP="005705DD"/>
    <w:p w14:paraId="2993DFA9" w14:textId="77777777" w:rsidR="005705DD" w:rsidRDefault="005705DD" w:rsidP="005705DD">
      <w:pPr>
        <w:bidi/>
        <w:spacing w:after="200" w:line="276" w:lineRule="auto"/>
        <w:rPr>
          <w:rFonts w:asciiTheme="majorBidi" w:hAnsiTheme="majorBidi" w:cstheme="majorBidi"/>
          <w:bCs/>
          <w:color w:val="000000" w:themeColor="text1"/>
          <w:sz w:val="28"/>
          <w:szCs w:val="28"/>
          <w:rtl/>
        </w:rPr>
      </w:pPr>
    </w:p>
    <w:p w14:paraId="28F80E5E"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lastRenderedPageBreak/>
        <w:t>واجب السرية المهنية في ظل توظيف أدوات الذكاء الاصطناعي — تحليل نظامي</w:t>
      </w:r>
    </w:p>
    <w:p w14:paraId="4F4BF9EC" w14:textId="77777777" w:rsidR="005705DD" w:rsidRDefault="005705DD" w:rsidP="005705DD">
      <w:pPr>
        <w:bidi/>
        <w:spacing w:after="200" w:line="276" w:lineRule="auto"/>
        <w:rPr>
          <w:rtl/>
        </w:rPr>
      </w:pPr>
      <w:r>
        <w:rPr>
          <w:rFonts w:asciiTheme="majorBidi" w:hAnsiTheme="majorBidi" w:cstheme="majorBidi"/>
          <w:sz w:val="24"/>
          <w:szCs w:val="24"/>
          <w:rtl/>
        </w:rPr>
        <w:t>يُعدّ واجب السرية المهنية (Professional Confidentiality) من أقدم المبادئ التي أرستها مهنة المحاماة وصانتها عبر القرون، وهو واجب ذو حماية نظامية صريحة في نظام المحاماة السعودي. وحين يلجأ المحامي إلى أداة ذكاء اصطناعي خارجية في معالجة ملفات موكليه، فإن هذا الواجب يُصبح في مواجهة تحدٍّ وجودي غير مسبوق من أبعاد ثلاثة:</w:t>
      </w:r>
    </w:p>
    <w:p w14:paraId="30BFC168" w14:textId="77777777" w:rsidR="005705DD" w:rsidRDefault="005705DD" w:rsidP="005705DD">
      <w:pPr>
        <w:bidi/>
        <w:spacing w:after="200" w:line="276" w:lineRule="auto"/>
        <w:rPr>
          <w:rtl/>
        </w:rPr>
      </w:pPr>
      <w:r>
        <w:rPr>
          <w:rFonts w:asciiTheme="majorBidi" w:hAnsiTheme="majorBidi" w:cstheme="majorBidi"/>
          <w:sz w:val="24"/>
          <w:szCs w:val="24"/>
          <w:rtl/>
        </w:rPr>
        <w:t>البُعد الأول — السرية الأفقية (Horizontal Confidentiality): إذ يُشكّل إدخال بيانات الموكل في نموذج لغوي كبير نقلاً لهذه البيانات إلى جهة ثالثة (الشركة المطوِّرة للأداة)، وهو ما يُخرقُ مبدأ السرية المتفق عليه بين الموكل والمحامي. والوقوف عند حدود هذا النقل قانونياً يستلزم فهم طبيعة العلاقة التعاقدية بين مستخدم الأداة وشركتها المطوِّرة، ومدى اعتبار شروط الاستخدام مُحدِّدةً للنطاق الذي يُعدّ فيه المزوِّد "معالِجاً للبيانات" لا "متلقياً" لها.</w:t>
      </w:r>
    </w:p>
    <w:p w14:paraId="476B711F" w14:textId="77777777" w:rsidR="005705DD" w:rsidRDefault="005705DD" w:rsidP="005705DD">
      <w:pPr>
        <w:bidi/>
        <w:spacing w:after="200" w:line="276" w:lineRule="auto"/>
        <w:rPr>
          <w:rtl/>
        </w:rPr>
      </w:pPr>
      <w:r>
        <w:rPr>
          <w:rFonts w:asciiTheme="majorBidi" w:hAnsiTheme="majorBidi" w:cstheme="majorBidi"/>
          <w:sz w:val="24"/>
          <w:szCs w:val="24"/>
          <w:rtl/>
        </w:rPr>
        <w:t xml:space="preserve">وقد عالجت الباحثة عبد الرحمن هذه المسألة من زاوية الفقه الإجرائي المقارن، مستنتجةً أن التطورات الرقمية أفرزت ما يمكن تسميته "السرية الموسَّعة" (Extended Confidentiality)، التي تستوجب من المحامي التزاماً يمتد ليشمل كل الجهات التي تتعامل مع بيانات الموكل بأي شكل، بما في ذلك الأدوات البرمجية الخارجية </w:t>
      </w:r>
      <w:r>
        <w:rPr>
          <w:rFonts w:asciiTheme="majorBidi" w:hAnsiTheme="majorBidi" w:cstheme="majorBidi"/>
          <w:sz w:val="24"/>
          <w:szCs w:val="24"/>
          <w:vertAlign w:val="superscript"/>
          <w:rtl/>
        </w:rPr>
        <w:footnoteReference w:id="301"/>
      </w:r>
      <w:r>
        <w:rPr>
          <w:rFonts w:asciiTheme="majorBidi" w:hAnsiTheme="majorBidi" w:cstheme="majorBidi"/>
          <w:sz w:val="24"/>
          <w:szCs w:val="24"/>
          <w:rtl/>
        </w:rPr>
        <w:t>.</w:t>
      </w:r>
    </w:p>
    <w:p w14:paraId="7FDF90E5" w14:textId="77777777" w:rsidR="005705DD" w:rsidRDefault="005705DD" w:rsidP="005705DD">
      <w:pPr>
        <w:bidi/>
        <w:spacing w:after="200" w:line="276" w:lineRule="auto"/>
        <w:rPr>
          <w:rtl/>
        </w:rPr>
      </w:pPr>
      <w:r>
        <w:rPr>
          <w:rFonts w:asciiTheme="majorBidi" w:hAnsiTheme="majorBidi" w:cstheme="majorBidi"/>
          <w:sz w:val="24"/>
          <w:szCs w:val="24"/>
          <w:rtl/>
        </w:rPr>
        <w:t>البُعد الثاني — السرية الزمنية (Temporal Confidentiality): وهو بُعد أكثر دقةً وخطورة، يتعلق بمدة الاحتفاظ بالبيانات المُدخَلة في الأداة الذكية. فبعض أدوات الذكاء الاصطناعي تحتفظ بسجلات المحادثات لمدة تتفاوت بين أيام وأشهر وسنوات، وقد تستخدمها لأغراض غير تلك التي قصدها المحامي حين أدخلها. ويتعارض هذا الاحتفاظ المطوّل مع مبدأ الحد الأدنى من المعالجة (Data Minimization) المكرَّس في نظام حماية البيانات الشخصية (1443هـ).</w:t>
      </w:r>
    </w:p>
    <w:p w14:paraId="3EC68AD7" w14:textId="77777777" w:rsidR="005705DD" w:rsidRDefault="005705DD" w:rsidP="005705DD">
      <w:pPr>
        <w:bidi/>
        <w:spacing w:after="200" w:line="276" w:lineRule="auto"/>
        <w:rPr>
          <w:rtl/>
        </w:rPr>
      </w:pPr>
      <w:r>
        <w:rPr>
          <w:rFonts w:asciiTheme="majorBidi" w:hAnsiTheme="majorBidi" w:cstheme="majorBidi"/>
          <w:sz w:val="24"/>
          <w:szCs w:val="24"/>
          <w:rtl/>
        </w:rPr>
        <w:t>البُعد الثالث — سرية المخرجات (Output Confidentiality): وهو أشد التحديات غرابةً، إذ يتعلق بما تُنتجه الأداة الذكية من نصوص استناداً إلى بيانات الموكل، ومدى اعتبار هذه المخرجات نفسها "بيانات محمية". فحين يُدخل المحامي وقائع قضية حساسة ويتلقى توصيفاً قانونياً ذكياً، فإن هذا التوصيف يحمل في طياته معلومات يمكن أن تُعيد تركيب بيانات الموكل لمن يطّلع عليها. والسؤال القانوني المُعقَّد هنا: هل تخضع مخرجات الذكاء الاصطناعي المبنية على بيانات الموكل للحماية ذاتها الممنوحة للبيانات الأصلية؟</w:t>
      </w:r>
    </w:p>
    <w:p w14:paraId="61C93870" w14:textId="77777777" w:rsidR="005705DD" w:rsidRDefault="005705DD" w:rsidP="005705DD">
      <w:pPr>
        <w:bidi/>
        <w:spacing w:after="200" w:line="276" w:lineRule="auto"/>
        <w:rPr>
          <w:rtl/>
        </w:rPr>
      </w:pPr>
      <w:r>
        <w:rPr>
          <w:rFonts w:asciiTheme="majorBidi" w:hAnsiTheme="majorBidi" w:cstheme="majorBidi"/>
          <w:sz w:val="24"/>
          <w:szCs w:val="24"/>
          <w:rtl/>
        </w:rPr>
        <w:t>ويرى الباحث — استناداً إلى التفسير الموسَّع لأحكام نظام حماية البيانات الشخصية وفق المبادئ الفقهية الإسلامية في المسؤولية عن الضرر — أن الإجابة ينبغي أن تكون بالإيجاب، وأن المخرجات الذكية المستنبطة من بيانات الموكل يجب أن تخضع للقيود ذاتها المفروضة على البيانات الأصلية. وهذا يُفضي بدوره إلى اشتراط عدم مشاركة هذه المخرجات مع أي جهة ثالثة دون موافقة الموكل الصريحة.</w:t>
      </w:r>
    </w:p>
    <w:p w14:paraId="7F8714D3" w14:textId="77777777" w:rsidR="005705DD" w:rsidRDefault="005705DD" w:rsidP="005705DD">
      <w:pPr>
        <w:bidi/>
        <w:spacing w:after="200" w:line="276" w:lineRule="auto"/>
        <w:rPr>
          <w:rtl/>
        </w:rPr>
      </w:pPr>
      <w:r>
        <w:rPr>
          <w:rFonts w:asciiTheme="majorBidi" w:hAnsiTheme="majorBidi" w:cstheme="majorBidi"/>
          <w:sz w:val="24"/>
          <w:szCs w:val="24"/>
          <w:rtl/>
        </w:rPr>
        <w:t>ومن الجدير بالإشارة أن هيئة المحامين السعوديين لم تُصدر حتى الآن تعميماً رسمياً أو دليلاً توجيهياً يُنظّم استخدام المحامين لأدوات الذكاء الاصطناعي في ضوء واجب السرية المهنية، خلافاً لما أصدرته نظيراتها في دول عديدة؛ كالنقابة الوطنية للمحامين في فرنسا التي أصدرت عام 2023م "ميثاق استخدام الذكاء الاصطناعي في مهنة المحاماة"، ونظيراتها في كندا وأستراليا وبريطانيا. ويُشكّل هذا الغياب ثغرةً توجيهية في حاجة ماسة إلى الإصلاح.</w:t>
      </w:r>
    </w:p>
    <w:p w14:paraId="7C36D151" w14:textId="77777777" w:rsidR="005705DD" w:rsidRDefault="005705DD" w:rsidP="005705DD"/>
    <w:p w14:paraId="5E091B91" w14:textId="77777777" w:rsidR="005705DD" w:rsidRPr="00A84F46" w:rsidRDefault="005705DD" w:rsidP="005705DD">
      <w:pPr>
        <w:bidi/>
        <w:spacing w:before="240" w:after="200" w:line="276" w:lineRule="auto"/>
        <w:jc w:val="center"/>
        <w:rPr>
          <w:b/>
          <w:bCs/>
          <w:color w:val="000000" w:themeColor="text1"/>
          <w:rtl/>
        </w:rPr>
      </w:pPr>
      <w:r w:rsidRPr="00A84F46">
        <w:rPr>
          <w:rFonts w:asciiTheme="majorBidi" w:hAnsiTheme="majorBidi" w:cstheme="majorBidi"/>
          <w:b/>
          <w:bCs/>
          <w:color w:val="000000" w:themeColor="text1"/>
          <w:sz w:val="28"/>
          <w:szCs w:val="28"/>
          <w:rtl/>
        </w:rPr>
        <w:lastRenderedPageBreak/>
        <w:t>المطلب الثالث</w:t>
      </w:r>
    </w:p>
    <w:p w14:paraId="1E736F5B" w14:textId="77777777" w:rsidR="005705DD" w:rsidRPr="00A84F46" w:rsidRDefault="005705DD" w:rsidP="005705DD">
      <w:pPr>
        <w:bidi/>
        <w:spacing w:before="240" w:after="200" w:line="276" w:lineRule="auto"/>
        <w:jc w:val="center"/>
        <w:rPr>
          <w:b/>
          <w:bCs/>
          <w:color w:val="000000" w:themeColor="text1"/>
          <w:rtl/>
        </w:rPr>
      </w:pPr>
      <w:r w:rsidRPr="00A84F46">
        <w:rPr>
          <w:rFonts w:asciiTheme="majorBidi" w:hAnsiTheme="majorBidi" w:cstheme="majorBidi"/>
          <w:b/>
          <w:bCs/>
          <w:color w:val="000000" w:themeColor="text1"/>
          <w:sz w:val="24"/>
          <w:szCs w:val="24"/>
          <w:rtl/>
        </w:rPr>
        <w:t>العقود الذكية والمستحدثات التقنية في ضوء النظام السعودي</w:t>
      </w:r>
    </w:p>
    <w:p w14:paraId="4D83BC31" w14:textId="77777777" w:rsidR="005705DD" w:rsidRPr="00A84F46" w:rsidRDefault="005705DD" w:rsidP="005705DD">
      <w:pPr>
        <w:bidi/>
        <w:spacing w:after="200" w:line="276" w:lineRule="auto"/>
        <w:rPr>
          <w:color w:val="000000" w:themeColor="text1"/>
          <w:rtl/>
        </w:rPr>
      </w:pPr>
      <w:r w:rsidRPr="00A84F46">
        <w:rPr>
          <w:rFonts w:asciiTheme="majorBidi" w:hAnsiTheme="majorBidi" w:cstheme="majorBidi"/>
          <w:b/>
          <w:color w:val="000000" w:themeColor="text1"/>
          <w:sz w:val="28"/>
          <w:szCs w:val="28"/>
          <w:rtl/>
        </w:rPr>
        <w:t>العقود الذكية في النظام السعودي — تكييف قانوني مُعمَّق</w:t>
      </w:r>
    </w:p>
    <w:p w14:paraId="51D77E3D" w14:textId="77777777" w:rsidR="005705DD" w:rsidRDefault="005705DD" w:rsidP="005705DD">
      <w:pPr>
        <w:bidi/>
        <w:spacing w:after="200" w:line="276" w:lineRule="auto"/>
        <w:rPr>
          <w:rtl/>
        </w:rPr>
      </w:pPr>
      <w:r>
        <w:rPr>
          <w:rFonts w:asciiTheme="majorBidi" w:hAnsiTheme="majorBidi" w:cstheme="majorBidi"/>
          <w:sz w:val="24"/>
          <w:szCs w:val="24"/>
          <w:rtl/>
        </w:rPr>
        <w:t>تُثير العقود الذكية (Smart Contracts) جدلاً فقهياً وقانونياً واسعاً في الأوساط الأكاديمية والمهنية، لا سيما حين يُساء فهم طبيعتها التقنية. وقد أُسّس في التمييز المفاهيمي لهذا الفصل أن العقود الذكية ليست نوعاً من أنواع الذكاء الاصطناعي. غير أن التكييف القانوني لها في البيئة السعودية يستحق وقفةً مستقلةً لما ينطوي عليه من تساؤلات نظامية جوهرية.</w:t>
      </w:r>
    </w:p>
    <w:p w14:paraId="5312CD37" w14:textId="77777777" w:rsidR="005705DD" w:rsidRDefault="005705DD" w:rsidP="005705DD">
      <w:pPr>
        <w:bidi/>
        <w:spacing w:after="200" w:line="276" w:lineRule="auto"/>
        <w:rPr>
          <w:rtl/>
        </w:rPr>
      </w:pPr>
      <w:r>
        <w:rPr>
          <w:rFonts w:asciiTheme="majorBidi" w:hAnsiTheme="majorBidi" w:cstheme="majorBidi"/>
          <w:sz w:val="24"/>
          <w:szCs w:val="24"/>
          <w:rtl/>
        </w:rPr>
        <w:t>تتكوّن العقود الذكية في جوهرها من كود برمجي (Code) يُرسِّخ على سلسلة البلوكشين بنوداً تنفيذية ذاتية. وحين يتحقق الشرط المُبرمَج (كاستلام الدفع)، يُنفَّذ الأمر المرتبط به (كنقل ملكية الأصل) تلقائياً وبلا تدخل بشري. وهذا التعريف يكشف أن العقد الذكي يفتقر إلى خاصيتين رئيسيتين تُلزمهما التشريعات التقليدية في العقود: أولاهما المرونة التفسيرية، إذ يُنفَّذ الكود حرفياً لا وفق النية التعاقدية؛ وثانيتهما قابلية التعديل، إذ أن طبيعة البلوكشين تجعل التعديل على العقد بعد نشره أمراً بالغ التعقيد.</w:t>
      </w:r>
    </w:p>
    <w:p w14:paraId="135795C5" w14:textId="77777777" w:rsidR="005705DD" w:rsidRDefault="005705DD" w:rsidP="005705DD">
      <w:pPr>
        <w:bidi/>
        <w:spacing w:after="200" w:line="276" w:lineRule="auto"/>
        <w:rPr>
          <w:rtl/>
        </w:rPr>
      </w:pPr>
      <w:r>
        <w:rPr>
          <w:rFonts w:asciiTheme="majorBidi" w:hAnsiTheme="majorBidi" w:cstheme="majorBidi"/>
          <w:sz w:val="28"/>
          <w:szCs w:val="28"/>
          <w:rtl/>
        </w:rPr>
        <w:t>وتعكس هذه الخصائص إشكالياتٍ قانونيةً ثلاثاً في البيئة التعاقدية السعودية:</w:t>
      </w:r>
    </w:p>
    <w:p w14:paraId="2219516D"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الأولى — إثبات الرضا والإيجاب والقبول: يشترط نظام المعاملات المدنية السعودي (1444هـ) — استكمالاً لمقتضيات الفقه الإسلامي — صراحةَ الرضا وانتفاءَ العيوب في إرادة المتعاقدَين. وإثبات توافر هذه الشروط في عقد مُبرمَج تلقائياً يُثير تساؤلاً جوهرياً: هل إقدام الشخص على تنفيذ الشرط (كإيداع المبلغ في المحفظة الرقمية) يُعدّ قبولاً صريحاً للبنود المُبرمَجة التي ربما لم يقرأها كاملاً ولا يفهم تقنيتها؟</w:t>
      </w:r>
    </w:p>
    <w:p w14:paraId="4055988A"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الثانية — أحكام العيوب والفسخ والإبطال: إذا ثبت غلط أو إكراه أو تدليس في إبرام عقد ذكي، فإن آليات الفسخ والإبطال المنصوص عليها في الفقه الإسلامي ونظام المعاملات المدنية تصطدم بالطبيعة التقنية لعقود البلوكشين التي تُنفَّذ تلقائياً ولا يمكن عكسها بسهولة. وهذا يستوجب إما إيجاد ما يُعادل نظاماً للتراجع (Rollback Mechanism) في السلاسل الذكية، أو الاستعاضة بالتعويض بدل الفسخ عيناً حين يتعذّر الأخير.</w:t>
      </w:r>
    </w:p>
    <w:p w14:paraId="2EC9CD16"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الثالثة — العلاقة بين الكود والنص التعاقدي: تطرح بعض العقود الذكية المزدوجة — التي تجمع نصاً تقليدياً وكوداً تنفيذياً — إشكاليةَ الأولوية حين يتعارض تفسير المحكمة للنص الطبيعي مع ما أنتجه الكود تلقائياً. ويُثير هذا التعارض تساؤلاً حول أيهما يُعدّ التجسيداً الحقيقي لإرادة المتعاقدَين.</w:t>
      </w:r>
    </w:p>
    <w:p w14:paraId="0ECD8E80" w14:textId="77777777" w:rsidR="005705DD" w:rsidRDefault="005705DD" w:rsidP="005705DD">
      <w:pPr>
        <w:bidi/>
        <w:spacing w:after="200" w:line="276" w:lineRule="auto"/>
        <w:rPr>
          <w:rtl/>
        </w:rPr>
      </w:pPr>
      <w:r>
        <w:rPr>
          <w:rFonts w:asciiTheme="majorBidi" w:hAnsiTheme="majorBidi" w:cstheme="majorBidi"/>
          <w:sz w:val="24"/>
          <w:szCs w:val="24"/>
          <w:rtl/>
        </w:rPr>
        <w:t xml:space="preserve">وعلى الرغم من هذه الإشكاليات، أصدر ديوان المظالم — بحسب بعض الدراسات الفقهية المعاصرة — أحكاماً في نزاعات متعلقة بمعاملات رقمية، وإن لم يُعالج العقد الذكي صراحةً بوصفه كياناً تعاقدياً مستقلاً. ويرى العلي (2024م) أن القضاء السعودي مُرشَّح لمعالجة العقود الذكية في ضوء النظرية العامة للعقد في الفقه الإسلامي لا من خلال مفاهيم مستوردة من القانون المقارن، وهو ما يجعل مهمة المحامي السعودي المحنّك في النزاعات الذكية بالغة الدقة </w:t>
      </w:r>
      <w:r>
        <w:rPr>
          <w:rFonts w:asciiTheme="majorBidi" w:hAnsiTheme="majorBidi" w:cstheme="majorBidi"/>
          <w:sz w:val="24"/>
          <w:szCs w:val="24"/>
          <w:vertAlign w:val="superscript"/>
          <w:rtl/>
        </w:rPr>
        <w:footnoteReference w:id="302"/>
      </w:r>
      <w:r>
        <w:rPr>
          <w:rFonts w:asciiTheme="majorBidi" w:hAnsiTheme="majorBidi" w:cstheme="majorBidi"/>
          <w:sz w:val="24"/>
          <w:szCs w:val="24"/>
          <w:rtl/>
        </w:rPr>
        <w:t>.</w:t>
      </w:r>
    </w:p>
    <w:p w14:paraId="7EE07F3E"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التمييز بين العقود الذكية كأداة تقنية قائمة على البلوكشين وبين نماذج اللغة الكبيرة القائمة على التعلم الآلي ضرورة لا تقبل المساومة في التشريع القانوني المقترح، وأن معالجتهما في نظام واحد أو بأحكام موحدة سيُفضي حتماً إلى اضطراب تشريعي وتطبيقي. كما يرى الباحث أن الإشكاليات المتعلقة بالعقود الذكية في البيئة السعودية تحتاج إلى اجتهاد فقهي متخصص يُعالجها بأدواتها الكلامية الفقهية الصحيحة.</w:t>
      </w:r>
    </w:p>
    <w:p w14:paraId="057E56F4" w14:textId="77777777" w:rsidR="005705DD" w:rsidRDefault="005705DD" w:rsidP="005705DD"/>
    <w:p w14:paraId="5ADA71A1"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المبحث الثاني</w:t>
      </w:r>
    </w:p>
    <w:p w14:paraId="09462707"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أنماط الاستخدام الفردي للتقنيات القانونية</w:t>
      </w:r>
    </w:p>
    <w:p w14:paraId="6353DC7B" w14:textId="77777777" w:rsidR="005705DD" w:rsidRDefault="005705DD" w:rsidP="005705DD">
      <w:pPr>
        <w:bidi/>
        <w:spacing w:after="200" w:line="276" w:lineRule="auto"/>
        <w:rPr>
          <w:rtl/>
        </w:rPr>
      </w:pPr>
      <w:r>
        <w:rPr>
          <w:rFonts w:asciiTheme="majorBidi" w:hAnsiTheme="majorBidi" w:cstheme="majorBidi"/>
          <w:sz w:val="24"/>
          <w:szCs w:val="24"/>
          <w:rtl/>
        </w:rPr>
        <w:t>يُعنى هذا المبحث بالجانب الأكثر إشكاليةً في موضوع الدراسة، وهو ظاهرة الاستخدام الفردي غير المنظم لتقنيات الذكاء الاصطناعي في السياق القانوني السعودي. ويُعرَّف الاستخدام الفردي هنا بأنه توظيف شخص واحد — سواء أكان محامياً أم مواطناً عادياً — لأداة ذكاء اصطناعي للحصول على خدمة ذات طابع قانوني، خارج نطاق الأطر المؤسسية المنظِّمة، وفي غياب ضوابط رقابية صريحة أو آليات مساءلة واضحة.</w:t>
      </w:r>
    </w:p>
    <w:p w14:paraId="233E4994" w14:textId="77777777" w:rsidR="005705DD" w:rsidRDefault="005705DD" w:rsidP="005705DD">
      <w:pPr>
        <w:bidi/>
        <w:spacing w:after="200" w:line="276" w:lineRule="auto"/>
        <w:rPr>
          <w:rtl/>
        </w:rPr>
      </w:pPr>
      <w:r>
        <w:rPr>
          <w:rFonts w:asciiTheme="majorBidi" w:hAnsiTheme="majorBidi" w:cstheme="majorBidi"/>
          <w:sz w:val="24"/>
          <w:szCs w:val="24"/>
          <w:rtl/>
        </w:rPr>
        <w:t>ويتناول المبحث في مطلبه الأول طبيعة هذه الاستخدامات الفردية ومخاطرها في السياق السعودي، ثم يُقدّم في مطلبه الثاني تكييفاً نظامياً لهذه الممارسات مع الإشارة إلى التجربة الإماراتية، مستخلصاً الدروس المستفادة التي تُفيد الحالة السعودية.</w:t>
      </w:r>
    </w:p>
    <w:p w14:paraId="27998603" w14:textId="77777777" w:rsidR="005705DD" w:rsidRDefault="005705DD" w:rsidP="005705DD"/>
    <w:p w14:paraId="47B6F35C"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المطلب الأول</w:t>
      </w:r>
    </w:p>
    <w:p w14:paraId="50A2FB32"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طبيعة الاستخدامات الفردية ومخاطرها في السياق السعودي</w:t>
      </w:r>
    </w:p>
    <w:p w14:paraId="178B80C9" w14:textId="77777777" w:rsidR="005705DD" w:rsidRDefault="005705DD" w:rsidP="005705DD">
      <w:pPr>
        <w:bidi/>
        <w:spacing w:after="200" w:line="276" w:lineRule="auto"/>
        <w:rPr>
          <w:rtl/>
        </w:rPr>
      </w:pPr>
      <w:r>
        <w:rPr>
          <w:rFonts w:asciiTheme="majorBidi" w:hAnsiTheme="majorBidi" w:cstheme="majorBidi"/>
          <w:b/>
          <w:sz w:val="28"/>
          <w:szCs w:val="28"/>
          <w:rtl/>
        </w:rPr>
        <w:t>أولاً: صور الاستخدام الفردي في السياق القانوني السعودي</w:t>
      </w:r>
    </w:p>
    <w:p w14:paraId="5DD86DC5" w14:textId="77777777" w:rsidR="005705DD" w:rsidRDefault="005705DD" w:rsidP="005705DD">
      <w:pPr>
        <w:bidi/>
        <w:spacing w:after="200" w:line="276" w:lineRule="auto"/>
        <w:rPr>
          <w:rtl/>
        </w:rPr>
      </w:pPr>
      <w:r>
        <w:rPr>
          <w:rFonts w:asciiTheme="majorBidi" w:hAnsiTheme="majorBidi" w:cstheme="majorBidi"/>
          <w:sz w:val="24"/>
          <w:szCs w:val="24"/>
          <w:rtl/>
        </w:rPr>
        <w:t>تتعدد صور الاستخدام الفردي لتقنيات الذكاء الاصطناعي ذات الطابع القانوني في البيئة السعودية، وتتوزع بين ثلاثة نماذج رئيسية يتباين كل منها من حيث طبيعة الأطراف والمخاطر والتكييف القانوني:</w:t>
      </w:r>
    </w:p>
    <w:p w14:paraId="52F7F4BC" w14:textId="77777777" w:rsidR="005705DD" w:rsidRDefault="005705DD" w:rsidP="005705DD">
      <w:pPr>
        <w:bidi/>
        <w:spacing w:after="200" w:line="276" w:lineRule="auto"/>
        <w:rPr>
          <w:rtl/>
        </w:rPr>
      </w:pPr>
      <w:r>
        <w:rPr>
          <w:rFonts w:asciiTheme="majorBidi" w:hAnsiTheme="majorBidi" w:cstheme="majorBidi"/>
          <w:sz w:val="24"/>
          <w:szCs w:val="24"/>
          <w:rtl/>
        </w:rPr>
        <w:t>النموذج الأول — المحامي المُستخدِم لأداة ذكاء اصطناعي بصورة فردية دون بروتوكول مؤسسي: ويُمثّل هذا النموذج الحالة الأكثر شيوعاً في السوق القانوني السعودي، وتتمثل صوره الأبرز في: استخدام المحامي لنموذج توليدي لصياغة مسودة عقد أو مذكرة دفاع دون الإفصاح لموكله أو لرئيسه في المكتب، وإدخال وقائع قضية حقيقية في نموذج لغوي كبير مفتوح الاستخدام بغرض الحصول على رأي قانوني مساعد، واستخدام أداة ذكاء اصطناعي للبحث في السوابق القضائية دون التحقق من دقة المراجع التي يولّدها النموذج.</w:t>
      </w:r>
    </w:p>
    <w:p w14:paraId="0D74A5CB" w14:textId="77777777" w:rsidR="005705DD" w:rsidRDefault="005705DD" w:rsidP="005705DD">
      <w:pPr>
        <w:bidi/>
        <w:spacing w:after="200" w:line="276" w:lineRule="auto"/>
        <w:rPr>
          <w:rtl/>
        </w:rPr>
      </w:pPr>
      <w:r>
        <w:rPr>
          <w:rFonts w:asciiTheme="majorBidi" w:hAnsiTheme="majorBidi" w:cstheme="majorBidi"/>
          <w:sz w:val="24"/>
          <w:szCs w:val="24"/>
          <w:rtl/>
        </w:rPr>
        <w:t>النموذج الثاني — المواطن العادي الذي يستخدم الذكاء الاصطناعي كبديل للاستشارة القانونية: وهو نموذج في ازدياد مطّرد، إذ يلجأ كثير من الأفراد إلى النماذج اللغوية الكبيرة لطرح أسئلة قانونية تتعلق بنزاعات الأسرة، أو حقوق العمال، أو التزامات العقود، أو الإجراءات القضائية. وهذا النموذج يُثير إشكالية جوهرية تتصل بمزاولة المهنة القانونية دون ترخيص من الزاوية التشريعية، وإن كانت الأداة هي من يُقدّم المعلومة لا شخص ذو طابع بشري مرخّص.</w:t>
      </w:r>
    </w:p>
    <w:p w14:paraId="4F0919E3" w14:textId="77777777" w:rsidR="005705DD" w:rsidRDefault="005705DD" w:rsidP="005705DD">
      <w:pPr>
        <w:bidi/>
        <w:spacing w:after="200" w:line="276" w:lineRule="auto"/>
        <w:rPr>
          <w:rtl/>
        </w:rPr>
      </w:pPr>
      <w:r>
        <w:rPr>
          <w:rFonts w:asciiTheme="majorBidi" w:hAnsiTheme="majorBidi" w:cstheme="majorBidi"/>
          <w:sz w:val="24"/>
          <w:szCs w:val="24"/>
          <w:rtl/>
        </w:rPr>
        <w:t>النموذج الثالث — المنصات الرقمية التجارية التي تقدّم "استشارات ذكية" دون ترخيص: وهو النموذج الأشد خطورةً من المنظور التشريعي، إذ ظهرت في الفضاء الإلكتروني السعودي عدة منصات تُقدّم ما تُسمّيه "استشارات قانونية مدعومة بالذكاء الاصطناعي" دون أن يتضح ما إذا كانت تمتلك ترخيصاً قانونياً من هيئة المحامين السعوديين. ويقع هذا النمط في منطقة رمادية ضبابية من حيث الخضوع لنظام المحاماة من عدمه.</w:t>
      </w:r>
    </w:p>
    <w:p w14:paraId="2B32FBB3" w14:textId="77777777" w:rsidR="005705DD" w:rsidRDefault="005705DD" w:rsidP="005705DD">
      <w:pPr>
        <w:bidi/>
        <w:spacing w:after="200" w:line="276" w:lineRule="auto"/>
        <w:rPr>
          <w:rtl/>
        </w:rPr>
      </w:pPr>
      <w:r>
        <w:rPr>
          <w:rFonts w:asciiTheme="majorBidi" w:hAnsiTheme="majorBidi" w:cstheme="majorBidi"/>
          <w:b/>
          <w:sz w:val="28"/>
          <w:szCs w:val="28"/>
          <w:rtl/>
        </w:rPr>
        <w:t>ثانياً: المخاطر القانونية والمهنية للاستخدام الفردي</w:t>
      </w:r>
    </w:p>
    <w:p w14:paraId="5DEEBA86" w14:textId="77777777" w:rsidR="005705DD" w:rsidRDefault="005705DD" w:rsidP="005705DD">
      <w:pPr>
        <w:bidi/>
        <w:spacing w:after="200" w:line="276" w:lineRule="auto"/>
        <w:rPr>
          <w:rtl/>
        </w:rPr>
      </w:pPr>
      <w:r>
        <w:rPr>
          <w:rFonts w:asciiTheme="majorBidi" w:hAnsiTheme="majorBidi" w:cstheme="majorBidi"/>
          <w:sz w:val="24"/>
          <w:szCs w:val="24"/>
          <w:rtl/>
        </w:rPr>
        <w:t>يترتب على الاستخدام الفردي غير المنضبط لتقنيات الذكاء الاصطناعي في السياق القانوني السعودي جملةٌ من المخاطر القانونية والمهنية التي يمكن إيجازها فيما يلي:</w:t>
      </w:r>
    </w:p>
    <w:p w14:paraId="2A767EDF" w14:textId="77777777" w:rsidR="005705DD" w:rsidRDefault="005705DD" w:rsidP="005705DD">
      <w:pPr>
        <w:bidi/>
        <w:spacing w:after="200" w:line="276" w:lineRule="auto"/>
        <w:rPr>
          <w:rtl/>
        </w:rPr>
      </w:pPr>
      <w:r>
        <w:rPr>
          <w:rFonts w:asciiTheme="majorBidi" w:hAnsiTheme="majorBidi" w:cstheme="majorBidi"/>
          <w:sz w:val="24"/>
          <w:szCs w:val="24"/>
          <w:rtl/>
        </w:rPr>
        <w:lastRenderedPageBreak/>
        <w:t xml:space="preserve">الخطر الأول — ظاهرة "الهلوسة" وخطأ المعلومات (AI Hallucination): يُعاني الذكاء الاصطناعي التوليدي من ظاهرة تقنية بالغة الخطورة تُعرف بـ"الهلوسة"، وهي ميل النموذج إلى إنتاج معلومات تبدو منطقية وموثوقة لكنها في حقيقتها مخترعة أو مشوّهة. وفي السياق القانوني، تتجلى هذه الظاهرة في ذكر مواد نظامية غير موجودة، أو الاستشهاد بأحكام قضائية وهمية، أو تحريف نصوص الأنظمة القائمة. وقد رصدت حسن (2024م) في دراستها المنشورة في مجلة الباحث العربي حالات موثّقة لمحامين استشهدوا في مذكراتهم بأحكام قضائية اخترعها نموذج ذكاء اصطناعي، مما أفضى إلى حرج مهني وإضرار بمصالح الموكلين </w:t>
      </w:r>
      <w:r>
        <w:rPr>
          <w:rFonts w:asciiTheme="majorBidi" w:hAnsiTheme="majorBidi" w:cstheme="majorBidi"/>
          <w:sz w:val="24"/>
          <w:szCs w:val="24"/>
          <w:vertAlign w:val="superscript"/>
          <w:rtl/>
        </w:rPr>
        <w:footnoteReference w:id="303"/>
      </w:r>
      <w:r>
        <w:rPr>
          <w:rFonts w:asciiTheme="majorBidi" w:hAnsiTheme="majorBidi" w:cstheme="majorBidi"/>
          <w:sz w:val="24"/>
          <w:szCs w:val="24"/>
          <w:rtl/>
        </w:rPr>
        <w:t>.</w:t>
      </w:r>
    </w:p>
    <w:p w14:paraId="1EEE02D6" w14:textId="77777777" w:rsidR="005705DD" w:rsidRDefault="005705DD" w:rsidP="005705DD">
      <w:pPr>
        <w:bidi/>
        <w:spacing w:after="200" w:line="276" w:lineRule="auto"/>
        <w:rPr>
          <w:rtl/>
        </w:rPr>
      </w:pPr>
      <w:r>
        <w:rPr>
          <w:rFonts w:asciiTheme="majorBidi" w:hAnsiTheme="majorBidi" w:cstheme="majorBidi"/>
          <w:sz w:val="24"/>
          <w:szCs w:val="24"/>
          <w:rtl/>
        </w:rPr>
        <w:t>الخطر الثاني — انتهاك السرية المهنية: يُعدّ مبدأ السرية المهنية من أقدس مبادئ مهنة المحاماة وأعمقها جذوراً. ويُهدد الاستخدام غير المنضبط لأدوات الذكاء الاصطناعي هذا المبدأ من زوايا متعددة: فعند إدخال بيانات الموكل في نموذج لغوي مفتوح قد تُستخدم هذه البيانات في تدريب النموذج مستقبلاً أو يُمكن الوصول إليها من جهات أخرى، مما يُشكّل اختراقاً صريحاً لواجب السرية المنصوص عليه في المادة الثانية والثلاثين من نظام المحاماة الصادر بالمرسوم الملكي م/38 لعام 1422هـ.</w:t>
      </w:r>
    </w:p>
    <w:p w14:paraId="2BEF8CB5" w14:textId="77777777" w:rsidR="005705DD" w:rsidRDefault="005705DD" w:rsidP="005705DD">
      <w:pPr>
        <w:bidi/>
        <w:spacing w:after="200" w:line="276" w:lineRule="auto"/>
        <w:rPr>
          <w:rtl/>
        </w:rPr>
      </w:pPr>
      <w:r>
        <w:rPr>
          <w:rFonts w:asciiTheme="majorBidi" w:hAnsiTheme="majorBidi" w:cstheme="majorBidi"/>
          <w:sz w:val="24"/>
          <w:szCs w:val="24"/>
          <w:rtl/>
        </w:rPr>
        <w:t xml:space="preserve">وقد عالجت الأمين هذه الحتى ولو كانت هذه الجهة نموذجاً برمجياً لا شخصاً بشرياً — يندرج ضمن التعريف المتسع لواجب السرية في ظل التطور الرقمي المتسارع </w:t>
      </w:r>
      <w:r>
        <w:rPr>
          <w:rFonts w:asciiTheme="majorBidi" w:hAnsiTheme="majorBidi" w:cstheme="majorBidi"/>
          <w:sz w:val="24"/>
          <w:szCs w:val="24"/>
          <w:vertAlign w:val="superscript"/>
          <w:rtl/>
        </w:rPr>
        <w:footnoteReference w:id="304"/>
      </w:r>
      <w:r>
        <w:rPr>
          <w:rFonts w:asciiTheme="majorBidi" w:hAnsiTheme="majorBidi" w:cstheme="majorBidi"/>
          <w:sz w:val="24"/>
          <w:szCs w:val="24"/>
          <w:rtl/>
        </w:rPr>
        <w:t>.</w:t>
      </w:r>
    </w:p>
    <w:p w14:paraId="1FF5C1BD" w14:textId="77777777" w:rsidR="005705DD" w:rsidRDefault="005705DD" w:rsidP="005705DD">
      <w:pPr>
        <w:bidi/>
        <w:spacing w:after="200" w:line="276" w:lineRule="auto"/>
        <w:rPr>
          <w:rtl/>
        </w:rPr>
      </w:pPr>
      <w:r>
        <w:rPr>
          <w:rFonts w:asciiTheme="majorBidi" w:hAnsiTheme="majorBidi" w:cstheme="majorBidi"/>
          <w:sz w:val="24"/>
          <w:szCs w:val="24"/>
          <w:rtl/>
        </w:rPr>
        <w:t>الخطر الثالث — التحيز الخوارزمي (Algorithmic Bias): تُدرَّب نماذج الذكاء الاصطناعي على بيانات ضخمة قد تتضمن تحيزات ثقافية أو جنسية أو اجتماعية تنعكس على مخرجاتها. وفي السياق القانوني السعودي، قد يُفضي هذا التحيز إلى مخرجات مجانِبة للصواب حين يتعلق الأمر بقضايا تتشابك فيها الاعتبارات الثقافية والدينية والاجتماعية السعودية الخاصة، لأن غالبية نماذج الذكاء الاصطناعي الكبرى دُرِّبت على بيانات غربية بالدرجة الأولى، وهو ما يجعلها أقل دقةً في السياقات القانونية المحلية.</w:t>
      </w:r>
    </w:p>
    <w:p w14:paraId="32163C2A" w14:textId="77777777" w:rsidR="005705DD" w:rsidRDefault="005705DD" w:rsidP="005705DD">
      <w:pPr>
        <w:bidi/>
        <w:spacing w:after="200" w:line="276" w:lineRule="auto"/>
        <w:rPr>
          <w:rtl/>
        </w:rPr>
      </w:pPr>
      <w:r>
        <w:rPr>
          <w:rFonts w:asciiTheme="majorBidi" w:hAnsiTheme="majorBidi" w:cstheme="majorBidi"/>
          <w:sz w:val="24"/>
          <w:szCs w:val="24"/>
          <w:rtl/>
        </w:rPr>
        <w:t xml:space="preserve">وقد أشارت الدراسة الصادرة عن مركز الملك عبد العزيز للحوار الوطني (2023م) إلى أن التحيز الخوارزمي يُشكّل أحد التحديات الكبرى في تطبيق تقنيات الذكاء الاصطناعي في البيئة العربية والإسلامية، مُوصيةً بتطوير نماذج عربية متخصصة مُدرَّبة على بيانات تعكس السياق الثقافي والقيمي المحلي </w:t>
      </w:r>
      <w:r>
        <w:rPr>
          <w:rFonts w:asciiTheme="majorBidi" w:hAnsiTheme="majorBidi" w:cstheme="majorBidi"/>
          <w:sz w:val="24"/>
          <w:szCs w:val="24"/>
          <w:vertAlign w:val="superscript"/>
          <w:rtl/>
        </w:rPr>
        <w:footnoteReference w:id="305"/>
      </w:r>
      <w:r>
        <w:rPr>
          <w:rFonts w:asciiTheme="majorBidi" w:hAnsiTheme="majorBidi" w:cstheme="majorBidi"/>
          <w:sz w:val="24"/>
          <w:szCs w:val="24"/>
          <w:rtl/>
        </w:rPr>
        <w:t>.</w:t>
      </w:r>
    </w:p>
    <w:p w14:paraId="1A0EDC32" w14:textId="77777777" w:rsidR="005705DD" w:rsidRDefault="005705DD" w:rsidP="005705DD">
      <w:pPr>
        <w:bidi/>
        <w:spacing w:after="200" w:line="276" w:lineRule="auto"/>
        <w:rPr>
          <w:rtl/>
        </w:rPr>
      </w:pPr>
      <w:r>
        <w:rPr>
          <w:rFonts w:asciiTheme="majorBidi" w:hAnsiTheme="majorBidi" w:cstheme="majorBidi"/>
          <w:sz w:val="24"/>
          <w:szCs w:val="24"/>
          <w:rtl/>
        </w:rPr>
        <w:t xml:space="preserve">الخطر الرابع — تسرب البيانات وانتهاك الخصوصية: إضافةً إلى ما سبق ذكره عن نقل البيانات خارج المملكة، تثير بعض أدوات الذكاء الاصطناعي مخاطر تسرب إضافية نتيجة ثغرات أمنية في البنية التحتية للأداة، أو نتيجة تخزين سجلات المحادثات بصورة غير مشفّرة. وقد رصد المالكي (2024م) أن عدداً من أدوات الذكاء الاصطناعي القانوني الأجنبية لا توفر ضمانات كافية لتشفير البيانات القانونية الحساسة وفق المعايير التي يستلزمها نظام حماية البيانات الشخصية السعودي </w:t>
      </w:r>
      <w:r>
        <w:rPr>
          <w:rFonts w:asciiTheme="majorBidi" w:hAnsiTheme="majorBidi" w:cstheme="majorBidi"/>
          <w:sz w:val="24"/>
          <w:szCs w:val="24"/>
          <w:vertAlign w:val="superscript"/>
          <w:rtl/>
        </w:rPr>
        <w:footnoteReference w:id="306"/>
      </w:r>
      <w:r>
        <w:rPr>
          <w:rFonts w:asciiTheme="majorBidi" w:hAnsiTheme="majorBidi" w:cstheme="majorBidi"/>
          <w:sz w:val="24"/>
          <w:szCs w:val="24"/>
          <w:rtl/>
        </w:rPr>
        <w:t>.</w:t>
      </w:r>
    </w:p>
    <w:p w14:paraId="472221D6" w14:textId="77777777" w:rsidR="005705DD" w:rsidRDefault="005705DD" w:rsidP="005705DD">
      <w:pPr>
        <w:bidi/>
        <w:spacing w:after="200" w:line="276" w:lineRule="auto"/>
        <w:rPr>
          <w:rtl/>
        </w:rPr>
      </w:pPr>
      <w:r>
        <w:rPr>
          <w:rFonts w:asciiTheme="majorBidi" w:hAnsiTheme="majorBidi" w:cstheme="majorBidi"/>
          <w:sz w:val="24"/>
          <w:szCs w:val="24"/>
          <w:rtl/>
        </w:rPr>
        <w:t xml:space="preserve">الخطر الخامس — مزاولة المهنة القانونية دون ترخيص: يُعدّ هذا من أشد المخاطر حساسيةً، وينشأ في النموذجين الثاني والثالث المُوصَفَين آنفاً، حيث يُقدّم الذكاء الاصطناعي أو منصة تجارية تعتمد عليه معلوماتٍ ذات طابع استشاري قانوني لأفراد يحتاجون إلى خدمة المحامي. ويُشير إسماعيل (2025م) إلى أن كثيراً من </w:t>
      </w:r>
      <w:r>
        <w:rPr>
          <w:rFonts w:asciiTheme="majorBidi" w:hAnsiTheme="majorBidi" w:cstheme="majorBidi"/>
          <w:sz w:val="24"/>
          <w:szCs w:val="24"/>
          <w:rtl/>
        </w:rPr>
        <w:lastRenderedPageBreak/>
        <w:t>التطبيقات التجارية التي تُقدّم "استشارات قانونية مجانية بالذكاء الاصطناعي" تقع في منطقة رمادية لم يتناولها المشرّع السعودي بعد، وتستدعي تدخلاً تشريعياً عاجلاً لتحديد هويتها القانونية.</w:t>
      </w:r>
    </w:p>
    <w:p w14:paraId="0378E703" w14:textId="77777777" w:rsidR="005705DD" w:rsidRDefault="005705DD" w:rsidP="005705DD">
      <w:pPr>
        <w:bidi/>
        <w:spacing w:after="200" w:line="276" w:lineRule="auto"/>
        <w:rPr>
          <w:rtl/>
        </w:rPr>
      </w:pPr>
      <w:r>
        <w:rPr>
          <w:rFonts w:asciiTheme="majorBidi" w:hAnsiTheme="majorBidi" w:cstheme="majorBidi"/>
          <w:b/>
          <w:sz w:val="28"/>
          <w:szCs w:val="28"/>
          <w:rtl/>
        </w:rPr>
        <w:t>ثالثاً: غياب الرقابة وصعوبة الإثبات</w:t>
      </w:r>
    </w:p>
    <w:p w14:paraId="50431084" w14:textId="77777777" w:rsidR="005705DD" w:rsidRDefault="005705DD" w:rsidP="005705DD">
      <w:pPr>
        <w:bidi/>
        <w:spacing w:after="200" w:line="276" w:lineRule="auto"/>
        <w:rPr>
          <w:rtl/>
        </w:rPr>
      </w:pPr>
      <w:r>
        <w:rPr>
          <w:rFonts w:asciiTheme="majorBidi" w:hAnsiTheme="majorBidi" w:cstheme="majorBidi"/>
          <w:sz w:val="28"/>
          <w:szCs w:val="28"/>
          <w:rtl/>
        </w:rPr>
        <w:t>تُضاف إلى المخاطر السابقة إشكاليتان هيكليتان تُعسّران التعامل مع حالات الاستخدام الفردي الضار:</w:t>
      </w:r>
    </w:p>
    <w:p w14:paraId="37DD7B29"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الأولى — غياب الرقابة المسبقة: لا يوجد في المنظومة التشريعية السعودية الحالية آليةٌ لرصد الاستخدام الفردي لأدوات الذكاء الاصطناعي في السياق القانوني ومراقبته. وعلى عكس نظام المحاماة الذي يشترط الترخيص للممارسة البشرية للمهنة، لا يوجد ما يماثله بالنسبة للاستخدام التقني، مما يُشكّل ثغرة رقابية واسعة.</w:t>
      </w:r>
    </w:p>
    <w:p w14:paraId="46CA9A41"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الثانية — صعوبة الإثبات عند الضرر: حين يقع ضرر نتيجة الاعتماد على مخرجات ذكاء اصطناعي — كخسارة قضية بسبب استشهاد بمرجع وهمي، أو انتهاك سرية بسبب تسرب بيانات — يصعب إثبات العلاقة السببية بين استخدام الأداة والضرر اللاحق، لعدة أسباب: عدم وجود توثيق للاستخدام في الغالب، وتعدد العوامل المُساهِمة في نتيجة القضية، وصعوبة التمييز بين ما أنتجه المحامي بمجهوده وما استُعين فيه بالأداة الذكية. وهذا ما يجعل من الضرورة التشريعية اشتراط ضوابط توثيق الاستخدام.</w:t>
      </w:r>
    </w:p>
    <w:p w14:paraId="658C7897"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الحل الأمثل لمعالجة هذه الإشكالية يتمثل في اشتراط هيئة المحامين السعوديين الإفصاحَ الصريح عن استخدام الذكاء الاصطناعي في الوثائق القانونية، مقروناً بمتطلب التحقق من دقة المراجع واستيثاق هوية الأداة المستخدمة، وهو ما سيُفصَّل في الفصل الرابع.</w:t>
      </w:r>
    </w:p>
    <w:p w14:paraId="58FB35E9" w14:textId="77777777" w:rsidR="005705DD" w:rsidRDefault="005705DD" w:rsidP="005705DD"/>
    <w:p w14:paraId="38500B8E"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سيناريوهات تطبيقية وتقييم قانوني في البيئة السعودية</w:t>
      </w:r>
    </w:p>
    <w:p w14:paraId="71D80D3E" w14:textId="77777777" w:rsidR="005705DD" w:rsidRDefault="005705DD" w:rsidP="005705DD">
      <w:pPr>
        <w:bidi/>
        <w:spacing w:after="200" w:line="276" w:lineRule="auto"/>
        <w:rPr>
          <w:rtl/>
        </w:rPr>
      </w:pPr>
      <w:r>
        <w:rPr>
          <w:rFonts w:asciiTheme="majorBidi" w:hAnsiTheme="majorBidi" w:cstheme="majorBidi"/>
          <w:sz w:val="24"/>
          <w:szCs w:val="24"/>
          <w:rtl/>
        </w:rPr>
        <w:t>يُعدّ التحليل السيناريوي أداةً منهجيةً مهمة في الدراسات القانونية الاستشرافية، إذ يُمكّن من اختبار النصوص النظامية القائمة وكشف ثغراتها في مواجهة حالات تطبيق فعلية. ويتناول الباحث فيما يلي أربعة سيناريوهات تطبيقية مُستلهَمة من الواقع الميداني في البيئة القانونية السعودية، يُقدّم لكل منها تقييماً قانونياً في ضوء الأنظمة القائمة:</w:t>
      </w:r>
    </w:p>
    <w:p w14:paraId="0880E861" w14:textId="77777777" w:rsidR="005705DD" w:rsidRDefault="005705DD" w:rsidP="005705DD">
      <w:pPr>
        <w:bidi/>
        <w:spacing w:after="200" w:line="276" w:lineRule="auto"/>
        <w:rPr>
          <w:rtl/>
        </w:rPr>
      </w:pPr>
      <w:r>
        <w:rPr>
          <w:rFonts w:asciiTheme="majorBidi" w:hAnsiTheme="majorBidi" w:cstheme="majorBidi"/>
          <w:sz w:val="24"/>
          <w:szCs w:val="24"/>
          <w:rtl/>
        </w:rPr>
        <w:t>السيناريو الأول — المحامي والمذكرة الذكية: يعتمد محامٍ في مكتب متوسط الحجم على ChatGPT لصياغة مذكرة دفاع في قضية تجارية. يُدخل في النموذج وقائع القضية ووثائق العقد ودليل ملفه الوكالة. يتلقى مسودةً تبدو محكمة ومتسقة، فيُعدّل عليها تعديلات طفيفة ويُقدّمها للمحكمة. لاحقاً يكتشف أن النموذج استشهد بحكم قضائي صادر عن محكمة الاستئناف التجارية لا وجود له في قواعد البيانات الرسمية.</w:t>
      </w:r>
    </w:p>
    <w:p w14:paraId="545F9798" w14:textId="77777777" w:rsidR="005705DD" w:rsidRDefault="005705DD" w:rsidP="005705DD">
      <w:pPr>
        <w:bidi/>
        <w:spacing w:after="200" w:line="276" w:lineRule="auto"/>
        <w:rPr>
          <w:rtl/>
        </w:rPr>
      </w:pPr>
      <w:r>
        <w:rPr>
          <w:rFonts w:asciiTheme="majorBidi" w:hAnsiTheme="majorBidi" w:cstheme="majorBidi"/>
          <w:sz w:val="24"/>
          <w:szCs w:val="24"/>
          <w:rtl/>
        </w:rPr>
        <w:t>التقييم القانوني للسيناريو الأول: أولاً من حيث انتهاك السرية: حين أدخل المحامي وثائق الموكل الحساسة في نموذج ذكاء اصطناعي أجنبي، فإنه أرسل بيانات محمية إلى خادم خارج الولاية القضائية السعودية، مما يُشكّل انتهاكاً محتملاً للمادة الثانية عشرة من نظام حماية البيانات الشخصية وللمادة الثانية والثلاثين من نظام المحاماة المتعلقة بواجب السرية. ثانياً من حيث المسؤولية المهنية: يُعدّ تقديم مرجع قضائي غير موجود للمحكمة إخلالاً صريحاً بواجب الاجتهاد اللازم والتحقق من صحة الاستشهادات، وهو ما قد يُرتّب مسؤولية تأديبية وفق نظام المحاماة. ثالثاً من حيث المسؤولية المدنية: إذا ترتّب على هذا الخطأ خسارة القضية أو حكم غير عادل، فإن المحامي يُعرّض نفسه للمساءلة المدنية أمام موكله.</w:t>
      </w:r>
    </w:p>
    <w:p w14:paraId="7247918F" w14:textId="77777777" w:rsidR="005705DD" w:rsidRDefault="005705DD" w:rsidP="005705DD">
      <w:pPr>
        <w:bidi/>
        <w:spacing w:after="200" w:line="276" w:lineRule="auto"/>
        <w:rPr>
          <w:rtl/>
        </w:rPr>
      </w:pPr>
      <w:r>
        <w:rPr>
          <w:rFonts w:asciiTheme="majorBidi" w:hAnsiTheme="majorBidi" w:cstheme="majorBidi"/>
          <w:sz w:val="24"/>
          <w:szCs w:val="24"/>
          <w:rtl/>
        </w:rPr>
        <w:t xml:space="preserve">السيناريو الثاني — المواطن والاستشارة الافتراضية: يلجأ مواطن سعودي عادي إلى تطبيق يدّعي تقديم استشارات قانونية بالذكاء الاصطناعي بدلاً من الذهاب إلى محامٍ مرخّص، فيسأل عن حقوقه في نزاع عقاري. </w:t>
      </w:r>
      <w:r>
        <w:rPr>
          <w:rFonts w:asciiTheme="majorBidi" w:hAnsiTheme="majorBidi" w:cstheme="majorBidi"/>
          <w:sz w:val="24"/>
          <w:szCs w:val="24"/>
          <w:rtl/>
        </w:rPr>
        <w:lastRenderedPageBreak/>
        <w:t>يتلقى معلومات تبدو دقيقة لكنها لا تُراعي خصوصية وضعه أو التعديلات التشريعية الأخيرة، فيتصرف بناءً عليها ويخسر حقاً قانونياً بسبب التأخر في المطالبة.</w:t>
      </w:r>
    </w:p>
    <w:p w14:paraId="3EA81801" w14:textId="77777777" w:rsidR="005705DD" w:rsidRDefault="005705DD" w:rsidP="005705DD">
      <w:pPr>
        <w:bidi/>
        <w:spacing w:after="200" w:line="276" w:lineRule="auto"/>
        <w:rPr>
          <w:rtl/>
        </w:rPr>
      </w:pPr>
      <w:r>
        <w:rPr>
          <w:rFonts w:asciiTheme="majorBidi" w:hAnsiTheme="majorBidi" w:cstheme="majorBidi"/>
          <w:sz w:val="24"/>
          <w:szCs w:val="24"/>
          <w:rtl/>
        </w:rPr>
        <w:t>التقييم القانوني للسيناريو الثاني: الهل يُعدّ التطبيق المذكور "مزاولاً لمهنة المحاماة" دون ترخيص وفق نظام المحاماة؟ وإجابةً على ذلك يرى الباحث أن التطبيق الذي يُقدّم "رأياً" مخصصاً لحالة شخص بعينه يقع في نطاق "الاستشارة القانونية" التي يشترط نظام المحاماة الترخيصَ لتقديمها. وبالتالي، فإن تشغيل مثل هذا التطبيق دون ترخيص يُشكّل مزاولةً غير مشروعة للمهنة. أما المواطن الذي اعتمد على التطبيق، فيصعب قانوناً تحميله المسؤولية الكاملة عن الضرر اللاحق به، إذ إن المتوقَّع من غير المتخصصين قانوناً هو تحرّيهم عن ترخيص الجهة المقدِّمة للخدمة لا الغوص في فحص مصداقية كل نص قانوني يتلقونه. وهو ما يُلقي المسؤولية على الجهة الرقابية بمراقبة هذه التطبيقات وعدم السماح بعملها دون ترخيص.</w:t>
      </w:r>
    </w:p>
    <w:p w14:paraId="51ADBE58" w14:textId="77777777" w:rsidR="005705DD" w:rsidRDefault="005705DD" w:rsidP="005705DD">
      <w:pPr>
        <w:bidi/>
        <w:spacing w:after="200" w:line="276" w:lineRule="auto"/>
        <w:rPr>
          <w:rtl/>
        </w:rPr>
      </w:pPr>
      <w:r>
        <w:rPr>
          <w:rFonts w:asciiTheme="majorBidi" w:hAnsiTheme="majorBidi" w:cstheme="majorBidi"/>
          <w:sz w:val="24"/>
          <w:szCs w:val="24"/>
          <w:rtl/>
        </w:rPr>
        <w:t>السيناريو الثالث — فحص العقود الآلي في صفقة استثمارية: تستخدم شركة محاماة كبيرة أداةً متخصصة لفحص عقود أوتوماتيكياً في صفقة استحواذ ضخمة. تُنجز الأداة مراجعة أكثر من 500 وثيقة في 48 ساعة. لاحقاً يتبيّن أن الأداة أغفلت بنداً تحكيمياً في أحد العقود الفرعية يُغيّر الصورة الكاملة لآلية فض النزاعات في الصفقة.</w:t>
      </w:r>
    </w:p>
    <w:p w14:paraId="116C29F6" w14:textId="77777777" w:rsidR="005705DD" w:rsidRDefault="005705DD" w:rsidP="005705DD">
      <w:pPr>
        <w:bidi/>
        <w:spacing w:after="200" w:line="276" w:lineRule="auto"/>
        <w:rPr>
          <w:rtl/>
        </w:rPr>
      </w:pPr>
      <w:r>
        <w:rPr>
          <w:rFonts w:asciiTheme="majorBidi" w:hAnsiTheme="majorBidi" w:cstheme="majorBidi"/>
          <w:sz w:val="24"/>
          <w:szCs w:val="24"/>
          <w:rtl/>
        </w:rPr>
        <w:t>التقييم القانوني للسيناريو الثالث: يُثير هذا السيناريو مسألةَ المراجعة البشرية الكافية لمخرجات الذكاء الاصطناعي. فمن منظور نظام المحاماة، يظل المحامي المشرف مسؤولاً عن إغفال بند جوهري بصرف النظر عن الأداة المستخدمة في الفحص؛ لأن الأداة ليست وكيلاً قانونياً مستقلاً، بل وسيلة مساعِدة خاضعة لإشرافه المهني. والمسؤولية التأديبية والمدنية هنا لا تنتقل إلى الأداة بل تظل حيث هي في الذمة المهنية للمحامي. ومن ثم فإن الاعتماد الأعمى على مخرجات الذكاء الاصطناعي في مهام حيوية دون مراجعة بشرية مناسبة يُشكّل قصوراً في واجب العناية المهنية اللازمة.</w:t>
      </w:r>
    </w:p>
    <w:p w14:paraId="7D927CBC" w14:textId="77777777" w:rsidR="005705DD" w:rsidRDefault="005705DD" w:rsidP="005705DD">
      <w:pPr>
        <w:bidi/>
        <w:spacing w:after="200" w:line="276" w:lineRule="auto"/>
        <w:rPr>
          <w:rtl/>
        </w:rPr>
      </w:pPr>
      <w:r>
        <w:rPr>
          <w:rFonts w:asciiTheme="majorBidi" w:hAnsiTheme="majorBidi" w:cstheme="majorBidi"/>
          <w:sz w:val="24"/>
          <w:szCs w:val="24"/>
          <w:rtl/>
        </w:rPr>
        <w:t>السيناريو الرابع — المحامي المُفصِح والموكل المرفِض: يعتمد محامٍ على أداة ذكاء اصطناعي لصياغة عقد، ويُفصح لموكله عن ذلك مُبيّناً مزاياه وحدوده، فيرفض الموكل صراحةً أن تُعالَج بياناته بأي أداة خارجية. يستمر المحامي رغم ذلك في استخدام الأداة نظراً لضيق الوقت، دون علم الموكل.</w:t>
      </w:r>
    </w:p>
    <w:p w14:paraId="77C8253D" w14:textId="77777777" w:rsidR="005705DD" w:rsidRDefault="005705DD" w:rsidP="005705DD">
      <w:pPr>
        <w:bidi/>
        <w:spacing w:after="200" w:line="276" w:lineRule="auto"/>
        <w:rPr>
          <w:rtl/>
        </w:rPr>
      </w:pPr>
      <w:r>
        <w:rPr>
          <w:rFonts w:asciiTheme="majorBidi" w:hAnsiTheme="majorBidi" w:cstheme="majorBidi"/>
          <w:sz w:val="24"/>
          <w:szCs w:val="24"/>
          <w:rtl/>
        </w:rPr>
        <w:t>التقييم القانوني للسيناريو الرابع: يُعدّ هذا السيناريو الأكثر صرامةً من حيث الحكم القانوني؛ فاستمرار المحامي في استخدام الأداة بعد رفض الموكل الصريح يُشكّل: أولاً انتهاكاً لواجب العناية بمصلحة الموكل المستمَد من العلاقة الوكالية. ثانياً، انتهاكاً صريحاً لنظام حماية البيانات الشخصية الذي يشترط الموافقة ويُجيز سحبها. ثالثاً، انتهاكاً لواجب حسن النية التعاقدية المُقرَّر في نظام المعاملات المدنية. ويُعدّ هذا السيناريو في حكم الإخلال بالواجب المهني الذي يُوجب المساءلة التأديبية وربما المدنية، فضلاً عن أن الموكل يملك فسخ عقد الوكالة فوراً استناداً إلى هذا الإخلال.</w:t>
      </w:r>
    </w:p>
    <w:p w14:paraId="5449998F" w14:textId="77777777" w:rsidR="005705DD" w:rsidRDefault="005705DD" w:rsidP="005705DD"/>
    <w:p w14:paraId="2694DB4B"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المطلب الثاني</w:t>
      </w:r>
    </w:p>
    <w:p w14:paraId="37AD85A4"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التكييف النظامي لممارسات الاستخدام الفردي مع الإشارة إلى التجربة الإماراتية</w:t>
      </w:r>
    </w:p>
    <w:p w14:paraId="16ECC3AA" w14:textId="77777777" w:rsidR="005705DD" w:rsidRDefault="005705DD" w:rsidP="005705DD">
      <w:pPr>
        <w:bidi/>
        <w:spacing w:after="200" w:line="276" w:lineRule="auto"/>
        <w:rPr>
          <w:rtl/>
        </w:rPr>
      </w:pPr>
      <w:r>
        <w:rPr>
          <w:rFonts w:asciiTheme="majorBidi" w:hAnsiTheme="majorBidi" w:cstheme="majorBidi"/>
          <w:b/>
          <w:sz w:val="28"/>
          <w:szCs w:val="28"/>
          <w:rtl/>
        </w:rPr>
        <w:t>أولاً: التكييف النظامي لأنماط الاستخدام الفردي في ضوء الأنظمة السعودية</w:t>
      </w:r>
    </w:p>
    <w:p w14:paraId="141B177E" w14:textId="77777777" w:rsidR="005705DD" w:rsidRDefault="005705DD" w:rsidP="005705DD">
      <w:pPr>
        <w:bidi/>
        <w:spacing w:after="200" w:line="276" w:lineRule="auto"/>
        <w:rPr>
          <w:rtl/>
        </w:rPr>
      </w:pPr>
      <w:r>
        <w:rPr>
          <w:rFonts w:asciiTheme="majorBidi" w:hAnsiTheme="majorBidi" w:cstheme="majorBidi"/>
          <w:sz w:val="24"/>
          <w:szCs w:val="24"/>
          <w:rtl/>
        </w:rPr>
        <w:t>يستلزم التكييف النظامي الدقيق لأنماط الاستخدام الفردي إخضاعها لمحكّات عدة أنظمة سعودية قائمة، وإن كانت هذه الأنظمة لم تُصمَّم أصلاً لمعالجة هذه الظاهرة:</w:t>
      </w:r>
    </w:p>
    <w:p w14:paraId="6E61023B" w14:textId="77777777" w:rsidR="005705DD" w:rsidRDefault="005705DD" w:rsidP="005705DD">
      <w:pPr>
        <w:bidi/>
        <w:spacing w:after="200" w:line="276" w:lineRule="auto"/>
        <w:rPr>
          <w:rtl/>
        </w:rPr>
      </w:pPr>
      <w:r>
        <w:rPr>
          <w:rFonts w:asciiTheme="majorBidi" w:hAnsiTheme="majorBidi" w:cstheme="majorBidi"/>
          <w:sz w:val="24"/>
          <w:szCs w:val="24"/>
          <w:rtl/>
        </w:rPr>
        <w:lastRenderedPageBreak/>
        <w:t xml:space="preserve">المحك الأول — نظام المحاماة </w:t>
      </w:r>
      <w:r>
        <w:rPr>
          <w:rFonts w:asciiTheme="majorBidi" w:hAnsiTheme="majorBidi" w:cstheme="majorBidi"/>
          <w:sz w:val="24"/>
          <w:szCs w:val="24"/>
          <w:vertAlign w:val="superscript"/>
          <w:rtl/>
        </w:rPr>
        <w:footnoteReference w:id="307"/>
      </w:r>
      <w:r>
        <w:rPr>
          <w:rFonts w:asciiTheme="majorBidi" w:hAnsiTheme="majorBidi" w:cstheme="majorBidi"/>
          <w:sz w:val="24"/>
          <w:szCs w:val="24"/>
          <w:rtl/>
        </w:rPr>
        <w:t>: تُعرَّف مهنة المحاماة في المادة الأولى من النظام بأنها "الدفاع أمام المحاكم والجهات القضائية ومعاونة ذوي الشأن في إجراءات التقاضي وصياغة العقود والأنظمة". وتشترط المادة الثانية من النظام الحصولَ على ترخيص من هيئة المحامين السعوديين لممارسة هذه المهنة، مع تحديد عقوبة المزاولة غير المرخّصة بالغرامة المالية والوقف عن الممارسة. والسؤال الجوهري هنا: هل تُعدّ المنصات التجارية التي تُقدّم استشارات قانونية بالذكاء الاصطناعي "مزاولةً لمهنة المحاماة" تستوجب الترخيص؟</w:t>
      </w:r>
    </w:p>
    <w:p w14:paraId="1A9F79E3" w14:textId="77777777" w:rsidR="005705DD" w:rsidRDefault="005705DD" w:rsidP="005705DD">
      <w:pPr>
        <w:bidi/>
        <w:spacing w:after="200" w:line="276" w:lineRule="auto"/>
        <w:rPr>
          <w:rtl/>
        </w:rPr>
      </w:pPr>
      <w:r>
        <w:rPr>
          <w:rFonts w:asciiTheme="majorBidi" w:hAnsiTheme="majorBidi" w:cstheme="majorBidi"/>
          <w:sz w:val="24"/>
          <w:szCs w:val="24"/>
          <w:rtl/>
        </w:rPr>
        <w:t>الإجابة عن هذا السؤال تستلزم التمييز بين ثلاثة مستويات: (أ) المعلومة القانونية العامة (Legal Information) وهي نقل المعرفة القانونية دون ربطها بحالة محددة، وهذه لا تُعدّ مزاولةً للمهنة. (ب) الاستشارة القانونية المتخصصة (Legal Advice) وهي تحليل الحالة القانونية لشخص بعينه وإسداء رأي محدد حولها، وهذه الأرجح أنها تستوجب الترخيص. (ج) التمثيل القانوني (Legal Representation) أمام الجهات القضائية، وهذه لا خلاف في كونها تستلزم الترخيص صراحةً. والمشكلة أن أدوات الذكاء الاصطناعي تتراوح بين المستوى الأول والثاني أحياناً في مخرجاتها، مما يُعسّر تصنيفها.</w:t>
      </w:r>
    </w:p>
    <w:p w14:paraId="7313B508" w14:textId="77777777" w:rsidR="005705DD" w:rsidRDefault="005705DD" w:rsidP="005705DD">
      <w:pPr>
        <w:bidi/>
        <w:spacing w:after="200" w:line="276" w:lineRule="auto"/>
        <w:rPr>
          <w:rtl/>
        </w:rPr>
      </w:pPr>
      <w:r>
        <w:rPr>
          <w:rFonts w:asciiTheme="majorBidi" w:hAnsiTheme="majorBidi" w:cstheme="majorBidi"/>
          <w:sz w:val="24"/>
          <w:szCs w:val="24"/>
          <w:rtl/>
        </w:rPr>
        <w:t>المحك الثاني — نظام مكافحة الجرائم المعلوماتية (1428هـ): تُجرّم المادة الثالثة من هذا النظام التشهير وانتهاك الخصوصية عبر الفضاء الإلكتروني. وفي حال كان الاستخدام الفردي لأدوات الذكاء الاصطناعي قد أفضى إلى كشف بيانات شخصية للغير دون رضاه — سواء عبر إدخال بيانات طرف ثالث في نموذج ذكاء اصطناعي، أو نشر مخرجات ذكية تتضمن معلومات شخصية — فإن ذلك يُمكن أن يُشكّل جريمة معلوماتية وفق هذا النظام. ويرى الباحث أن تفعيل هذا النظام في مواجهة الانتهاكات المرتبطة بالذكاء الاصطناعي أمر ممكن قانوناً، وإن كان يستلزم توسيعاً في تفسير نصوصه لتشمل الفضاء التقني الجديد.</w:t>
      </w:r>
    </w:p>
    <w:p w14:paraId="5614DD41" w14:textId="77777777" w:rsidR="005705DD" w:rsidRDefault="005705DD" w:rsidP="005705DD">
      <w:pPr>
        <w:bidi/>
        <w:spacing w:after="200" w:line="276" w:lineRule="auto"/>
        <w:rPr>
          <w:rtl/>
        </w:rPr>
      </w:pPr>
      <w:r>
        <w:rPr>
          <w:rFonts w:asciiTheme="majorBidi" w:hAnsiTheme="majorBidi" w:cstheme="majorBidi"/>
          <w:sz w:val="24"/>
          <w:szCs w:val="24"/>
          <w:rtl/>
        </w:rPr>
        <w:t>المحك الثالث — نظام المعاملات المدنية (1444هـ): يُرسي هذا النظام أحكام المسؤولية العقدية والتقصيرية في نطاق المعاملات المدنية. وإذا أفضى الاستخدام الفردي لأداة ذكاء اصطناعي إلى ضرر مدني — كأن يُقدّم محامٍ رأياً قانونياً معيباً استناداً إلى مخرجات ذكية دون التحقق منها — فإن نظام المعاملات المدنية يُتيح المطالبة بالتعويض وفق أحكام المسؤولية العقدية إذا وُجد اتفاق، أو التقصيرية إذا لم يكن ثمة رابطة عقدية. وتُضاف إلى ذلك أحكام نظام المحاماة نفسه التي تُلزم المحامي بالاجتهاد اللازم وعدم الإهمال.</w:t>
      </w:r>
    </w:p>
    <w:p w14:paraId="7978EF6F" w14:textId="77777777" w:rsidR="005705DD" w:rsidRDefault="005705DD" w:rsidP="005705DD">
      <w:pPr>
        <w:bidi/>
        <w:spacing w:after="200" w:line="276" w:lineRule="auto"/>
        <w:rPr>
          <w:rtl/>
        </w:rPr>
      </w:pPr>
      <w:r>
        <w:rPr>
          <w:rFonts w:asciiTheme="majorBidi" w:hAnsiTheme="majorBidi" w:cstheme="majorBidi"/>
          <w:sz w:val="24"/>
          <w:szCs w:val="24"/>
          <w:rtl/>
        </w:rPr>
        <w:t>المحك الرابع — المسؤولية التأديبية للمحامي: تمتلك هيئة المحامين السعوديين صلاحيات تأديبية تطال المحامي الذي يُخل بواجباته المهنية. ومن هذه الواجبات ما يرتبط ارتباطاً مباشراً بالاستخدام غير المحكوم لأدوات الذكاء الاصطناعي، كواجب العناية المهنية اللازمة، وواجب السرية، وواجب الإفصاح، وواجب التحقق من صحة المستندات المُقدَّمة للجهات القضائية. ويرى الباحث أن المسؤولية التأديبية يمكن تفعيلها في مواجهة المحامين الذين يستخدمون الذكاء الاصطناعي بصورة مخلّة بهذه الواجبات، حتى في ظل غياب نظام تشريعي صريح.</w:t>
      </w:r>
    </w:p>
    <w:p w14:paraId="2F8679F3" w14:textId="77777777" w:rsidR="005705DD" w:rsidRDefault="005705DD" w:rsidP="005705DD">
      <w:pPr>
        <w:bidi/>
        <w:spacing w:after="200" w:line="276" w:lineRule="auto"/>
        <w:rPr>
          <w:rtl/>
        </w:rPr>
      </w:pPr>
      <w:r>
        <w:rPr>
          <w:rFonts w:asciiTheme="majorBidi" w:hAnsiTheme="majorBidi" w:cstheme="majorBidi"/>
          <w:b/>
          <w:sz w:val="28"/>
          <w:szCs w:val="28"/>
          <w:rtl/>
        </w:rPr>
        <w:t>ثانياً: التجربة الإماراتية في تنظيم الذكاء الاصطناعي القانوني</w:t>
      </w:r>
    </w:p>
    <w:p w14:paraId="5501263C" w14:textId="77777777" w:rsidR="005705DD" w:rsidRDefault="005705DD" w:rsidP="005705DD">
      <w:pPr>
        <w:bidi/>
        <w:spacing w:after="200" w:line="276" w:lineRule="auto"/>
        <w:rPr>
          <w:rtl/>
        </w:rPr>
      </w:pPr>
      <w:r>
        <w:rPr>
          <w:rFonts w:asciiTheme="majorBidi" w:hAnsiTheme="majorBidi" w:cstheme="majorBidi"/>
          <w:sz w:val="24"/>
          <w:szCs w:val="24"/>
          <w:rtl/>
        </w:rPr>
        <w:t>تمتلك الإمارات العربية المتحدة تجربةً رائدة في مجال تنظيم تقنيات الذكاء الاصطناعي عموماً، والقانوني منها خصوصاً، جعلتها مرجعاً إقليمياً مهماً للدول العربية الساعية إلى إرساء أطر تشريعية لهذا المجال. وتنبع أهمية الاستئناس بهذه التجربة في السياق السعودي من قواسم مشتركة عدة، في مقدمتها: التشابه في المنظومة القانونية المزدوجة (الفقه الإسلامي والتشريع الوضعي)، والتقارب في استراتيجيات التحول الرقمي، ووحدة السياق الثقافي والاجتماعي.</w:t>
      </w:r>
    </w:p>
    <w:p w14:paraId="2824A62A" w14:textId="77777777" w:rsidR="005705DD" w:rsidRDefault="005705DD" w:rsidP="005705DD">
      <w:pPr>
        <w:bidi/>
        <w:spacing w:after="200" w:line="276" w:lineRule="auto"/>
        <w:rPr>
          <w:rtl/>
        </w:rPr>
      </w:pPr>
      <w:r>
        <w:rPr>
          <w:rFonts w:asciiTheme="majorBidi" w:hAnsiTheme="majorBidi" w:cstheme="majorBidi"/>
          <w:sz w:val="28"/>
          <w:szCs w:val="28"/>
          <w:rtl/>
        </w:rPr>
        <w:t>وتتجلى ملامح التجربة الإماراتية في المحاور التالية:</w:t>
      </w:r>
    </w:p>
    <w:p w14:paraId="21074EFC"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الأول — الاستراتيجية الوطنية للذكاء الاصطناعي 2031: أطلقت دولة الإمارات عام 2017م استراتيجيتها الوطنية للذكاء الاصطناعي، وهي الأولى من نوعها في المنطقة، وتهدف إلى جعل الإمارات من </w:t>
      </w:r>
      <w:r>
        <w:rPr>
          <w:rFonts w:asciiTheme="majorBidi" w:hAnsiTheme="majorBidi" w:cstheme="majorBidi"/>
          <w:sz w:val="24"/>
          <w:szCs w:val="24"/>
          <w:rtl/>
        </w:rPr>
        <w:lastRenderedPageBreak/>
        <w:t xml:space="preserve">أوائل دول العالم في الاستفادة من الذكاء الاصطناعي بحلول عام 2031م. وقد خصصت الاستراتيجية قطاع العدالة والقانون ضمن القطاعات الأولى بالاهتمام، وأطلقت مبادرات تجريبية لتطبيق الذكاء الاصطناعي في المحاكم وفي خدمات العدالة </w:t>
      </w:r>
      <w:r>
        <w:rPr>
          <w:rFonts w:asciiTheme="majorBidi" w:hAnsiTheme="majorBidi" w:cstheme="majorBidi"/>
          <w:sz w:val="24"/>
          <w:szCs w:val="24"/>
          <w:vertAlign w:val="superscript"/>
          <w:rtl/>
        </w:rPr>
        <w:footnoteReference w:id="308"/>
      </w:r>
      <w:r>
        <w:rPr>
          <w:rFonts w:asciiTheme="majorBidi" w:hAnsiTheme="majorBidi" w:cstheme="majorBidi"/>
          <w:sz w:val="24"/>
          <w:szCs w:val="24"/>
          <w:rtl/>
        </w:rPr>
        <w:t>. وتستمد أهميتها التشريعية من كونها ترسي رؤية حكومية متكاملة للذكاء الاصطناعي بدلاً من الاكتفاء بردود الفعل التشريعية، مما يعني وجود تنسيق مسبق بين المنظومة التشريعية ومتطلبات التقنية.</w:t>
      </w:r>
    </w:p>
    <w:p w14:paraId="306DD617" w14:textId="77777777" w:rsidR="005705DD" w:rsidRDefault="005705DD" w:rsidP="005705DD">
      <w:pPr>
        <w:bidi/>
        <w:spacing w:after="200" w:line="276" w:lineRule="auto"/>
        <w:rPr>
          <w:rtl/>
        </w:rPr>
      </w:pPr>
      <w:r>
        <w:rPr>
          <w:rFonts w:asciiTheme="majorBidi" w:hAnsiTheme="majorBidi" w:cstheme="majorBidi"/>
          <w:sz w:val="24"/>
          <w:szCs w:val="24"/>
          <w:rtl/>
        </w:rPr>
        <w:t>المحور الثاني — القانون الاتحادي رقم 45 لسنة 2021م بشأن حماية البيانات الشخصية (PDPL): يمثّل هذا القانون الإطار التشريعي الإماراتي الرئيسي لحماية البيانات، ويتشابه في أهدافه العامة مع نظام حماية البيانات الشخصية السعودي (1443هـ)، غير أنه يتميز بعدة سمات بارزة في تطبيقه على القطاع القانوني. أهمها أن القانون حدّد صراحةً أحكام معالجة "البيانات الحساسة" بما فيها البيانات القانونية المرتبطة بالتقاضي، واشترط الحصول على موافقة مستنيرة قبل معالجة هذه البيانات بأي أداة رقمية. كما أسّس القانون هيئةَ حماية البيانات كجهة إشرافية متخصصة تتولى الرقابة على الالتزام بأحكامه، بما في ذلك الاستخدام القانوني لأدوات الذكاء الاصطناعي.</w:t>
      </w:r>
    </w:p>
    <w:p w14:paraId="00BB0135" w14:textId="77777777" w:rsidR="005705DD" w:rsidRDefault="005705DD" w:rsidP="005705DD">
      <w:pPr>
        <w:bidi/>
        <w:spacing w:after="200" w:line="276" w:lineRule="auto"/>
        <w:rPr>
          <w:rtl/>
        </w:rPr>
      </w:pPr>
      <w:r>
        <w:rPr>
          <w:rFonts w:asciiTheme="majorBidi" w:hAnsiTheme="majorBidi" w:cstheme="majorBidi"/>
          <w:sz w:val="24"/>
          <w:szCs w:val="24"/>
          <w:rtl/>
        </w:rPr>
        <w:t>المحور الثالث — مبادرة محاكم الذكاء الاصطناعي وتوجيهات وزارة العدل: أطلقت وزارة العدل الإماراتية عام 2022م مشروع "محاكم الذكاء الاصطناعي"، الذي يهدف إلى توظيف الذكاء الاصطناعي في دعم القضاة في تحليل المستندات والتنبؤ بنتائج القضايا. وقد صاحب هذا المشروع إصدار توجيهات إجرائية للمحاكم تتضمن ضوابط واضحة لاستخدام الذكاء الاصطناعي داخل القاعات القضائية، من أبرزها: اشتراط مراجعة بشرية لكل مخرجات الذكاء الاصطناعي قبل الاستناد إليها، ومنح الخصوم حق الاطلاع على الأدوات المستخدمة في تحليل القضية، وإبقاء السلطة التقديرية في الحكم في يد القاضي البشري حصراً.</w:t>
      </w:r>
    </w:p>
    <w:p w14:paraId="212A015B" w14:textId="77777777" w:rsidR="005705DD" w:rsidRDefault="005705DD" w:rsidP="005705DD">
      <w:pPr>
        <w:bidi/>
        <w:spacing w:after="200" w:line="276" w:lineRule="auto"/>
        <w:rPr>
          <w:rtl/>
        </w:rPr>
      </w:pPr>
      <w:r>
        <w:rPr>
          <w:rFonts w:asciiTheme="majorBidi" w:hAnsiTheme="majorBidi" w:cstheme="majorBidi"/>
          <w:sz w:val="24"/>
          <w:szCs w:val="24"/>
          <w:rtl/>
        </w:rPr>
        <w:t xml:space="preserve">ويُشير الطراونة (2022م) في سياق دراسته للمبادرات الإماراتية في مجال العدالة الرقمية إلى أن تجربة وزارة العدل الإماراتية تُمثّل نموذجاً للتكامل التشريعي-التقني، إذ لم تكتفِ بتطبيق التقنية بل صاحبت ذلك بضوابط إجرائية واضحة تُحافظ على مبدأ سيادة القانون وضمانات المحاكمة العادلة </w:t>
      </w:r>
      <w:r>
        <w:rPr>
          <w:rFonts w:asciiTheme="majorBidi" w:hAnsiTheme="majorBidi" w:cstheme="majorBidi"/>
          <w:sz w:val="24"/>
          <w:szCs w:val="24"/>
          <w:vertAlign w:val="superscript"/>
          <w:rtl/>
        </w:rPr>
        <w:footnoteReference w:id="309"/>
      </w:r>
      <w:r>
        <w:rPr>
          <w:rFonts w:asciiTheme="majorBidi" w:hAnsiTheme="majorBidi" w:cstheme="majorBidi"/>
          <w:sz w:val="24"/>
          <w:szCs w:val="24"/>
          <w:rtl/>
        </w:rPr>
        <w:t>.</w:t>
      </w:r>
    </w:p>
    <w:p w14:paraId="6382D540" w14:textId="77777777" w:rsidR="005705DD" w:rsidRDefault="005705DD" w:rsidP="005705DD">
      <w:pPr>
        <w:bidi/>
        <w:spacing w:after="200" w:line="276" w:lineRule="auto"/>
        <w:rPr>
          <w:rtl/>
        </w:rPr>
      </w:pPr>
      <w:r>
        <w:rPr>
          <w:rFonts w:asciiTheme="majorBidi" w:hAnsiTheme="majorBidi" w:cstheme="majorBidi"/>
          <w:sz w:val="24"/>
          <w:szCs w:val="24"/>
          <w:rtl/>
        </w:rPr>
        <w:t>المحور الرابع — إطار حوكمة الذكاء الاصطناعي المسؤول (Responsible AI Framework): أصدرت وزارة الذكاء الاصطناعي الإماراتية في السنوات الأخيرة إطار حوكمة الذكاء الاصطناعي المسؤول الذي يُحدد المتطلبات الواجب مراعاتها في تطوير ونشر أنظمة الذكاء الاصطناعي على المستوى الحكومي والمؤسسي. ويتضمن الإطار — وثيق الصلة بالسياق القانوني — اشتراطات من أبرزها: وجوب إعداد تقييم الأثر قبل نشر أي نظام ذكاء اصطناعي يمسّ الحقوق والحريات، ووجوب الشفافية في الكشف عن طبيعة النظام للمستخدمين، واشتراط قابلية تفسير القرار الذكي (Explainability) في القطاعات الحيوية بما فيها العدالة.</w:t>
      </w:r>
    </w:p>
    <w:p w14:paraId="2D3BF1BF" w14:textId="77777777" w:rsidR="005705DD" w:rsidRDefault="005705DD" w:rsidP="005705DD">
      <w:pPr>
        <w:bidi/>
        <w:spacing w:after="200" w:line="276" w:lineRule="auto"/>
        <w:rPr>
          <w:rtl/>
        </w:rPr>
      </w:pPr>
      <w:r>
        <w:rPr>
          <w:rFonts w:asciiTheme="majorBidi" w:hAnsiTheme="majorBidi" w:cstheme="majorBidi"/>
          <w:b/>
          <w:sz w:val="28"/>
          <w:szCs w:val="28"/>
          <w:rtl/>
        </w:rPr>
        <w:t>ثالثاً: الدروس المستفادة من التجربة الإماراتية للحالة السعودية</w:t>
      </w:r>
    </w:p>
    <w:p w14:paraId="6FB60759" w14:textId="77777777" w:rsidR="005705DD" w:rsidRDefault="005705DD" w:rsidP="005705DD">
      <w:pPr>
        <w:bidi/>
        <w:spacing w:after="200" w:line="276" w:lineRule="auto"/>
        <w:rPr>
          <w:rtl/>
        </w:rPr>
      </w:pPr>
      <w:r>
        <w:rPr>
          <w:rFonts w:asciiTheme="majorBidi" w:hAnsiTheme="majorBidi" w:cstheme="majorBidi"/>
          <w:sz w:val="24"/>
          <w:szCs w:val="24"/>
          <w:rtl/>
        </w:rPr>
        <w:t>تُسهم المقارنة بين التجربتين الإماراتية والسعودية في الكشف عن جملة من الدروس القابلة للاستثمار في صياغة الإطار التنظيمي السعودي المقترح، ويمكن إيجازها فيما يلي:</w:t>
      </w:r>
    </w:p>
    <w:p w14:paraId="3544CECE" w14:textId="77777777" w:rsidR="005705DD" w:rsidRDefault="005705DD" w:rsidP="005705DD">
      <w:pPr>
        <w:bidi/>
        <w:spacing w:after="200" w:line="276" w:lineRule="auto"/>
        <w:rPr>
          <w:rtl/>
        </w:rPr>
      </w:pPr>
      <w:r>
        <w:rPr>
          <w:rFonts w:asciiTheme="majorBidi" w:hAnsiTheme="majorBidi" w:cstheme="majorBidi"/>
          <w:sz w:val="24"/>
          <w:szCs w:val="24"/>
          <w:rtl/>
        </w:rPr>
        <w:t xml:space="preserve">الدرس الأول — أهمية المأسسة التشريعية المبكرة: بدأت الإمارات مأسسة تنظيم الذكاء الاصطناعي مبكراً بإنشاء وزارة مستقلة للذكاء الاصطناعي عام 2017م، مما أتاح لها بناء إطار تشريعي متماسك قبل أن تتفاقم </w:t>
      </w:r>
      <w:r>
        <w:rPr>
          <w:rFonts w:asciiTheme="majorBidi" w:hAnsiTheme="majorBidi" w:cstheme="majorBidi"/>
          <w:sz w:val="24"/>
          <w:szCs w:val="24"/>
          <w:rtl/>
        </w:rPr>
        <w:lastRenderedPageBreak/>
        <w:t>الإشكاليات التطبيقية. وهذا يعني أن الإجراء الأنجع للمملكة العربية السعودية هو التسريع في إصدار تشريع صريح لا الانتظار حتى تتراكم الحوادث القانونية الضارة.</w:t>
      </w:r>
    </w:p>
    <w:p w14:paraId="2BBE76D9" w14:textId="77777777" w:rsidR="005705DD" w:rsidRDefault="005705DD" w:rsidP="005705DD">
      <w:pPr>
        <w:bidi/>
        <w:spacing w:after="200" w:line="276" w:lineRule="auto"/>
        <w:rPr>
          <w:rtl/>
        </w:rPr>
      </w:pPr>
      <w:r>
        <w:rPr>
          <w:rFonts w:asciiTheme="majorBidi" w:hAnsiTheme="majorBidi" w:cstheme="majorBidi"/>
          <w:sz w:val="24"/>
          <w:szCs w:val="24"/>
          <w:rtl/>
        </w:rPr>
        <w:t>الدرس الثاني — مبدأ التكامل بين التقنية والتشريع: اعتمدت الإمارات نهج التوازي بين نشر الأدوات الذكية وإصدار الضوابط التنظيمية المرافقة لها، بدلاً من السماح بالنشر أولاً ومحاولة التنظيم لاحقاً. وهذا النهج يُقلّل من الفجوة الزمنية بين الواقع التقني والإطار التنظيمي، ويُجنّب التراكم الإشكالي الذي تُعاني منه البيئة السعودية حالياً.</w:t>
      </w:r>
    </w:p>
    <w:p w14:paraId="44E23DA5" w14:textId="77777777" w:rsidR="005705DD" w:rsidRDefault="005705DD" w:rsidP="005705DD">
      <w:pPr>
        <w:bidi/>
        <w:spacing w:after="200" w:line="276" w:lineRule="auto"/>
        <w:rPr>
          <w:rtl/>
        </w:rPr>
      </w:pPr>
      <w:r>
        <w:rPr>
          <w:rFonts w:asciiTheme="majorBidi" w:hAnsiTheme="majorBidi" w:cstheme="majorBidi"/>
          <w:sz w:val="24"/>
          <w:szCs w:val="24"/>
          <w:rtl/>
        </w:rPr>
        <w:t>الدرس الثالث — التوازن بين الابتكار والضبط: نجحت التجربة الإماراتية في تحقيق توازن نسبي بين تشجيع الابتكار في مجال تقنيات القانون (LegalTech) وضبط الاستخدامات الخطِرة، وذلك عبر نهج التنظيم القائم على المخاطر (Risk-based Regulation) الذي يُطبّق ضوابط أكثر صرامة على الاستخدامات ذات المخاطر الأعلى دون إخضاع جميع التطبيقات لمستوى رقابي متساوٍ. ويُعدّ هذا النهج أنسب للتطبيق في البيئة القانونية السعودية من نهج التنظيم الشامل المانع للابتكار.</w:t>
      </w:r>
    </w:p>
    <w:p w14:paraId="3663C27A" w14:textId="77777777" w:rsidR="005705DD" w:rsidRDefault="005705DD" w:rsidP="005705DD">
      <w:pPr>
        <w:bidi/>
        <w:spacing w:after="200" w:line="276" w:lineRule="auto"/>
        <w:rPr>
          <w:rtl/>
        </w:rPr>
      </w:pPr>
      <w:r>
        <w:rPr>
          <w:rFonts w:asciiTheme="majorBidi" w:hAnsiTheme="majorBidi" w:cstheme="majorBidi"/>
          <w:sz w:val="24"/>
          <w:szCs w:val="24"/>
          <w:rtl/>
        </w:rPr>
        <w:t>الدرس الرابع — تمييز المسؤوليات: حدّد الإطار الإماراتي بوضوح مسؤوليات كل طرف في منظومة الذكاء الاصطناعي القانوني: مزوّد الأداة، والمؤسسة القانونية المستخدِمة، والمحامي الفردي، والمراجع النهائي. وهذا التحديد لمسؤولية كل طرف يُقلّل من حالات التنصّل من المسؤولية التي تنشأ حين لا يُحدَّد أيُّ الأطراف مسؤولٌ عن الضرر الناجم عن الخطأ الذكي.</w:t>
      </w:r>
    </w:p>
    <w:p w14:paraId="2C288C80" w14:textId="77777777" w:rsidR="005705DD" w:rsidRDefault="005705DD" w:rsidP="005705DD">
      <w:pPr>
        <w:bidi/>
        <w:spacing w:after="200" w:line="276" w:lineRule="auto"/>
        <w:rPr>
          <w:rtl/>
        </w:rPr>
      </w:pPr>
      <w:r>
        <w:rPr>
          <w:rFonts w:asciiTheme="majorBidi" w:hAnsiTheme="majorBidi" w:cstheme="majorBidi"/>
          <w:sz w:val="24"/>
          <w:szCs w:val="24"/>
          <w:rtl/>
        </w:rPr>
        <w:t xml:space="preserve">ويُلاحظ الغنامي في معرض مقارنته بين التجربتين الإماراتية والسعودية أن ثمة فارقاً جوهرياً يُميّز كلاً منهما: إذ بينما تُشكّل المنظومة التشريعية الإماراتية في جوهرها نظاماً مدنياً تقنياً ذا مرونة تشريعية عالية في استيعاب المستجدات، تُواجه المملكة العربية السعودية تحدياً إضافياً يتعلق بضرورة ملاءمة أي تشريع للذكاء الاصطناعي مع أحكام الشريعة الإسلامية والمرجعية الفقهية التي تُقيّد نطاق التشريع الوضعي، وهو ما يجعل التبنّي الحرفي للنموذج الإماراتي أمراً يستوجب التكييف لا النقل الأعمى </w:t>
      </w:r>
      <w:r>
        <w:rPr>
          <w:rFonts w:asciiTheme="majorBidi" w:hAnsiTheme="majorBidi" w:cstheme="majorBidi"/>
          <w:sz w:val="24"/>
          <w:szCs w:val="24"/>
          <w:vertAlign w:val="superscript"/>
          <w:rtl/>
        </w:rPr>
        <w:footnoteReference w:id="310"/>
      </w:r>
      <w:r>
        <w:rPr>
          <w:rFonts w:asciiTheme="majorBidi" w:hAnsiTheme="majorBidi" w:cstheme="majorBidi"/>
          <w:sz w:val="24"/>
          <w:szCs w:val="24"/>
          <w:rtl/>
        </w:rPr>
        <w:t>.</w:t>
      </w:r>
    </w:p>
    <w:p w14:paraId="2AA2DD99" w14:textId="77777777" w:rsidR="005705DD" w:rsidRDefault="005705DD" w:rsidP="005705DD">
      <w:pPr>
        <w:bidi/>
        <w:spacing w:after="200" w:line="276" w:lineRule="auto"/>
        <w:rPr>
          <w:rtl/>
        </w:rPr>
      </w:pPr>
      <w:r>
        <w:rPr>
          <w:rFonts w:asciiTheme="majorBidi" w:hAnsiTheme="majorBidi" w:cstheme="majorBidi"/>
          <w:b/>
          <w:sz w:val="28"/>
          <w:szCs w:val="28"/>
          <w:rtl/>
        </w:rPr>
        <w:t>رابعاً: تقييم منهجية التنظيم المقارن</w:t>
      </w:r>
    </w:p>
    <w:p w14:paraId="451BFAEB" w14:textId="77777777" w:rsidR="005705DD" w:rsidRDefault="005705DD" w:rsidP="005705DD">
      <w:pPr>
        <w:bidi/>
        <w:spacing w:after="200" w:line="276" w:lineRule="auto"/>
        <w:rPr>
          <w:rtl/>
        </w:rPr>
      </w:pPr>
      <w:r>
        <w:rPr>
          <w:rFonts w:asciiTheme="majorBidi" w:hAnsiTheme="majorBidi" w:cstheme="majorBidi"/>
          <w:sz w:val="24"/>
          <w:szCs w:val="24"/>
          <w:rtl/>
        </w:rPr>
        <w:t>يُفيد التحليل المقارن في استخلاص مؤشرات لتقييم مدى نضج المنظومة التنظيمية السعودية في مجال الذكاء الاصطناعي القانوني. وباعتماد معيار بعض الباحثين المعتمَد في قياس النضج التنظيمي للذكاء الاصطناعي — الذي يرتكز على أربعة معايير هي: الوضوح التشريعي، والقدرة الرقابية، وتوافر ضمانات حقوق الأطراف، وآليات الإنفاذ — يمكن القول إن المنظومة السعودية في مرحلتها الراهنة تُحقق متطلبات المعيارَين الثالث والرابع بصورة جزئية من خلال الأنظمة القائمة، في حين تُعاني من قصور واضح في المعيارَين الأول والثاني اللذين يتطلبان تشريعاً صريحاً وجهازاً رقابياً متخصصاً.</w:t>
      </w:r>
    </w:p>
    <w:p w14:paraId="5D75D605" w14:textId="77777777" w:rsidR="005705DD" w:rsidRDefault="005705DD" w:rsidP="005705DD">
      <w:pPr>
        <w:bidi/>
        <w:spacing w:after="200" w:line="276" w:lineRule="auto"/>
        <w:rPr>
          <w:rtl/>
        </w:rPr>
      </w:pPr>
      <w:r>
        <w:rPr>
          <w:rFonts w:asciiTheme="majorBidi" w:hAnsiTheme="majorBidi" w:cstheme="majorBidi"/>
          <w:sz w:val="24"/>
          <w:szCs w:val="24"/>
          <w:rtl/>
        </w:rPr>
        <w:t>وعلى خلاف ذلك، تصنّفها الدراسات المقارنة الإقليمية في مرتبة أعلى من المتوسط من حيث البنية التشريعية العامة، نظراً لوجود نظام حماية البيانات ونظام الإثبات ونظام مكافحة الجرائم المعلوماتية كأُسس صالحة للتفعيل في مواجهة حالات الاستخدام الذكي الضار، إلا أن القصور يكمن في عدم تخصيصها وتكييفها صراحةً للحالة التقنية الجديدة.</w:t>
      </w:r>
    </w:p>
    <w:p w14:paraId="0CA0770E" w14:textId="77777777" w:rsidR="005705DD" w:rsidRDefault="005705DD" w:rsidP="005705DD">
      <w:pPr>
        <w:bidi/>
        <w:spacing w:after="200" w:line="276" w:lineRule="auto"/>
        <w:rPr>
          <w:rtl/>
        </w:rPr>
      </w:pPr>
      <w:r>
        <w:rPr>
          <w:rFonts w:asciiTheme="majorBidi" w:hAnsiTheme="majorBidi" w:cstheme="majorBidi"/>
          <w:sz w:val="24"/>
          <w:szCs w:val="24"/>
          <w:rtl/>
        </w:rPr>
        <w:t xml:space="preserve">يرى الباحث: أن المملكة العربية السعودية تمتلك من الإمكانات التشريعية والمؤسسية ما يُمكّنها من تجاوز المرحلة الراهنة نحو إطار تنظيمي متكامل في زمن معقول، شريطة التحرك التشريعي الاستباقي بدلاً من </w:t>
      </w:r>
      <w:r>
        <w:rPr>
          <w:rFonts w:asciiTheme="majorBidi" w:hAnsiTheme="majorBidi" w:cstheme="majorBidi"/>
          <w:sz w:val="24"/>
          <w:szCs w:val="24"/>
          <w:rtl/>
        </w:rPr>
        <w:lastRenderedPageBreak/>
        <w:t>الانتظار وردود الأفعال. وهذا ما ستسعى الدراسة إلى تقديمه في فصلها الرابع من خلال نموذج تنظيمي مقترح مستلهَم من التجارب المقارنة مُكيَّفاً مع الخصوصية السعودية.</w:t>
      </w:r>
    </w:p>
    <w:p w14:paraId="03040385"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نماذج تنظيمية مقارنة واستلهام ما يُناسب البيئة السعودية</w:t>
      </w:r>
    </w:p>
    <w:p w14:paraId="4C07B7F8" w14:textId="77777777" w:rsidR="005705DD" w:rsidRDefault="005705DD" w:rsidP="005705DD">
      <w:pPr>
        <w:bidi/>
        <w:spacing w:after="200" w:line="276" w:lineRule="auto"/>
        <w:rPr>
          <w:rtl/>
        </w:rPr>
      </w:pPr>
      <w:r>
        <w:rPr>
          <w:rFonts w:asciiTheme="majorBidi" w:hAnsiTheme="majorBidi" w:cstheme="majorBidi"/>
          <w:sz w:val="24"/>
          <w:szCs w:val="24"/>
          <w:rtl/>
        </w:rPr>
        <w:t>تُتيح المقارنة التشريعية بين النماذج التنظيمية المختلفة في مجال الذكاء الاصطناعي القانوني رصدَ ثلاثة توجهات كبرى يتبنّاها المشرّعون عالمياً في معالجة هذا الملف، وتتفاوت هذه التوجهات من حيث درجة التقييد ودرجة الحرية الابتكارية:</w:t>
      </w:r>
    </w:p>
    <w:p w14:paraId="5F2976D7" w14:textId="77777777" w:rsidR="005705DD" w:rsidRDefault="005705DD" w:rsidP="005705DD">
      <w:pPr>
        <w:bidi/>
        <w:spacing w:after="200" w:line="276" w:lineRule="auto"/>
        <w:rPr>
          <w:rtl/>
        </w:rPr>
      </w:pPr>
      <w:r>
        <w:rPr>
          <w:rFonts w:asciiTheme="majorBidi" w:hAnsiTheme="majorBidi" w:cstheme="majorBidi"/>
          <w:sz w:val="24"/>
          <w:szCs w:val="24"/>
          <w:rtl/>
        </w:rPr>
        <w:t xml:space="preserve">التوجه الأول — نموذج التنظيم المبني على المخاطر (Risk-Based Regulation): ويتجلى أوضح تجسيداته في قانون الذكاء الاصطناعي الأوروبي </w:t>
      </w:r>
      <w:r>
        <w:rPr>
          <w:rFonts w:asciiTheme="majorBidi" w:hAnsiTheme="majorBidi" w:cstheme="majorBidi"/>
          <w:sz w:val="24"/>
          <w:szCs w:val="24"/>
          <w:vertAlign w:val="superscript"/>
          <w:rtl/>
        </w:rPr>
        <w:footnoteReference w:id="311"/>
      </w:r>
      <w:r>
        <w:rPr>
          <w:rFonts w:asciiTheme="majorBidi" w:hAnsiTheme="majorBidi" w:cstheme="majorBidi"/>
          <w:sz w:val="24"/>
          <w:szCs w:val="24"/>
          <w:rtl/>
        </w:rPr>
        <w:t>، الذي يُصنّف أنظمة الذكاء الاصطناعي وفق درجة خطورتها على الحقوق والحريات إلى أربع فئات: غير مقبول (محظور)، مخاطر عالية، مخاطر محدودة، مخاطر منخفضة. ويُطبّق على الفئة الأعلى خطورةً — ومنها الأنظمة المستخدمة في إقامة العدل والقانون — أشد الاشتراطات قسوةً، في حين يُخفّف المتطلبات على الأنظمة الأقل خطورة. ويتميز هذا التوجه بأنه يُحقق توازناً دقيقاً بين الحماية والابتكار، ويتفادى التنظيم الزائد غير الضروري.</w:t>
      </w:r>
    </w:p>
    <w:p w14:paraId="54C10D77" w14:textId="77777777" w:rsidR="005705DD" w:rsidRDefault="005705DD" w:rsidP="005705DD">
      <w:pPr>
        <w:bidi/>
        <w:spacing w:after="200" w:line="276" w:lineRule="auto"/>
        <w:rPr>
          <w:rtl/>
        </w:rPr>
      </w:pPr>
      <w:r>
        <w:rPr>
          <w:rFonts w:asciiTheme="majorBidi" w:hAnsiTheme="majorBidi" w:cstheme="majorBidi"/>
          <w:sz w:val="24"/>
          <w:szCs w:val="24"/>
          <w:rtl/>
        </w:rPr>
        <w:t>التوجه الثاني — نموذج التنظيم الانتظاري (Wait-and-See Regulation): وهو النموذج السائد في معظم الدول العربية حالياً، بما فيها المملكة العربية السعودية، ويتمثل في تأجيل التشريع الصريح إلى أن تتضح معالم التقنية وتتراكم الحوادث التي تستدعي الاستجابة. ورغم أن هذا التوجه يُتيح مرونةً أكبر في مرحلة التقنية المبكرة، إلا أنه ينطوي على مخاطر تراكم الإشكاليات التطبيقية غير المُعالَجة.</w:t>
      </w:r>
    </w:p>
    <w:p w14:paraId="0D2E75A3" w14:textId="77777777" w:rsidR="005705DD" w:rsidRDefault="005705DD" w:rsidP="005705DD">
      <w:pPr>
        <w:bidi/>
        <w:spacing w:after="200" w:line="276" w:lineRule="auto"/>
        <w:rPr>
          <w:rtl/>
        </w:rPr>
      </w:pPr>
      <w:r>
        <w:rPr>
          <w:rFonts w:asciiTheme="majorBidi" w:hAnsiTheme="majorBidi" w:cstheme="majorBidi"/>
          <w:sz w:val="24"/>
          <w:szCs w:val="24"/>
          <w:rtl/>
        </w:rPr>
        <w:t>التوجه الثالث — نموذج التنظيم الاستباقي المتكامل (Proactive Integrated Regulation): وهو النموذج الأقرب إلى ما تبنّته الإمارات، ويجمع بين التشريع المبكر والسياسات التنفيذية والتوجيهات المهنية في منظومة متكاملة متزامنة مع النشر التقني لا لاحقةً عليه. ويتميز هذا التوجه بأنه يُقلّل من الفجوة الزمنية بين الواقع التقني والإطار التنظيمي.</w:t>
      </w:r>
    </w:p>
    <w:p w14:paraId="4A6394CD" w14:textId="77777777" w:rsidR="005705DD" w:rsidRDefault="005705DD" w:rsidP="005705DD">
      <w:pPr>
        <w:bidi/>
        <w:spacing w:after="200" w:line="276" w:lineRule="auto"/>
        <w:rPr>
          <w:rtl/>
        </w:rPr>
      </w:pPr>
      <w:r>
        <w:rPr>
          <w:rFonts w:asciiTheme="majorBidi" w:hAnsiTheme="majorBidi" w:cstheme="majorBidi"/>
          <w:sz w:val="24"/>
          <w:szCs w:val="24"/>
          <w:rtl/>
        </w:rPr>
        <w:t>وفي ضوء هذه التوجهات الثلاثة، يُرى الباحث أن الأنسب للبيئة السعودية في مرحلتها الراهنة هو التحرك نحو التوجه الثالث مع استيعاب منهجية التوجه الأول في الاشتراطات المادية. ومقتضى ذلك:</w:t>
      </w:r>
    </w:p>
    <w:p w14:paraId="69506B37" w14:textId="77777777" w:rsidR="005705DD" w:rsidRDefault="005705DD" w:rsidP="005705DD">
      <w:pPr>
        <w:bidi/>
        <w:spacing w:after="200" w:line="276" w:lineRule="auto"/>
        <w:rPr>
          <w:rtl/>
        </w:rPr>
      </w:pPr>
      <w:r>
        <w:rPr>
          <w:rFonts w:asciiTheme="majorBidi" w:hAnsiTheme="majorBidi" w:cstheme="majorBidi"/>
          <w:sz w:val="24"/>
          <w:szCs w:val="24"/>
          <w:rtl/>
        </w:rPr>
        <w:t>أ — إصدار نظام أو لائحة صريحة بشأن الذكاء الاصطناعي في المهن القانونية خلال الأفق الزمني 1447هـ-1449هـ (2026م-2028م)، يُحدد فئات الاستخدام وما يقتضيه كل فئة من اشتراطات.</w:t>
      </w:r>
    </w:p>
    <w:p w14:paraId="4D2E08A7" w14:textId="77777777" w:rsidR="005705DD" w:rsidRDefault="005705DD" w:rsidP="005705DD">
      <w:pPr>
        <w:bidi/>
        <w:spacing w:after="200" w:line="276" w:lineRule="auto"/>
        <w:rPr>
          <w:rtl/>
        </w:rPr>
      </w:pPr>
      <w:r>
        <w:rPr>
          <w:rFonts w:asciiTheme="majorBidi" w:hAnsiTheme="majorBidi" w:cstheme="majorBidi"/>
          <w:sz w:val="24"/>
          <w:szCs w:val="24"/>
          <w:rtl/>
        </w:rPr>
        <w:t>ب — إصدار دليل توجيهي مهني من هيئة المحامين السعوديين في المرحلة الراهنة يسد الفراغ التشريعي المؤقت، على غرار ما فعلته نقابات المحامين في فرنسا وكندا وأستراليا.</w:t>
      </w:r>
    </w:p>
    <w:p w14:paraId="7A0EC92E" w14:textId="77777777" w:rsidR="005705DD" w:rsidRDefault="005705DD" w:rsidP="005705DD">
      <w:pPr>
        <w:bidi/>
        <w:spacing w:after="200" w:line="276" w:lineRule="auto"/>
        <w:rPr>
          <w:rtl/>
        </w:rPr>
      </w:pPr>
      <w:r>
        <w:rPr>
          <w:rFonts w:asciiTheme="majorBidi" w:hAnsiTheme="majorBidi" w:cstheme="majorBidi"/>
          <w:sz w:val="24"/>
          <w:szCs w:val="24"/>
          <w:rtl/>
        </w:rPr>
        <w:t>ج — التمييز في الاشتراطات بين أنواع الاستخدام بحسب درجة خطورتها: فالاستخدام في تحضير وثائق قضائية يستلزم اشتراطات أعلى من الاستخدام في إعداد المراسلات الإدارية الروتينية.</w:t>
      </w:r>
    </w:p>
    <w:p w14:paraId="2448D3BD" w14:textId="77777777" w:rsidR="005705DD" w:rsidRDefault="005705DD" w:rsidP="005705DD">
      <w:pPr>
        <w:bidi/>
        <w:spacing w:after="200" w:line="276" w:lineRule="auto"/>
        <w:rPr>
          <w:rtl/>
        </w:rPr>
      </w:pPr>
      <w:r>
        <w:rPr>
          <w:rFonts w:asciiTheme="majorBidi" w:hAnsiTheme="majorBidi" w:cstheme="majorBidi"/>
          <w:sz w:val="24"/>
          <w:szCs w:val="24"/>
          <w:rtl/>
        </w:rPr>
        <w:t>د — اشتراط التسجيل المهني للأدوات الذكية المستخدمة في القطاع القانوني لدى جهة رقابية مختصة تتولى مراجعتها وتحديد درجة خطورتها، على غرار آليات ترخيص المستشفيات للأجهزة الطبية.</w:t>
      </w:r>
    </w:p>
    <w:p w14:paraId="18EFAE0A"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عدم التحرك التشريعي خلال المرحلة المقبلة سيؤدي حتماً إلى تكرّس الاستخدام الفردي غير المنضبط بصورة تُصبح معها إعادة الهندسة التشريعية أعسر وأكثر كلفةً من إطار التنظيم المبكر الاستباقي. فمن ثمار الفهم القانوني الاستشرافي ألا يتأخر المشرّع حتى تقع الفوضى ثم يسعى إلى إصلاحها.</w:t>
      </w:r>
    </w:p>
    <w:p w14:paraId="3DF467D6" w14:textId="77777777" w:rsidR="005705DD" w:rsidRDefault="005705DD" w:rsidP="005705DD"/>
    <w:p w14:paraId="64404B0A"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مقارنة تنظيمية دقيقة بين النظامَين السعودي والإماراتي في مجال الذكاء الاصطناعي القانوني</w:t>
      </w:r>
    </w:p>
    <w:p w14:paraId="118BB7B8" w14:textId="77777777" w:rsidR="005705DD" w:rsidRDefault="005705DD" w:rsidP="005705DD">
      <w:pPr>
        <w:bidi/>
        <w:spacing w:after="200" w:line="276" w:lineRule="auto"/>
        <w:rPr>
          <w:rtl/>
        </w:rPr>
      </w:pPr>
      <w:r>
        <w:rPr>
          <w:rFonts w:asciiTheme="majorBidi" w:hAnsiTheme="majorBidi" w:cstheme="majorBidi"/>
          <w:sz w:val="24"/>
          <w:szCs w:val="24"/>
          <w:rtl/>
        </w:rPr>
        <w:t>تُسهم المقارنة التحليلية الدقيقة بين النظامَين السعودي والإماراتي في رسم صورة أوضح للمواطن التي تتفوق فيها كل تجربة على الأخرى، وهي مقارنة لا تهدف إلى الإطراء على الآخر أو الانتقاص من الذات، بل إلى استشراف الخيارات الممكنة ورسم الطريق الأكثر ملاءمةً للسياق السعودي. وتتمحور المقارنة حول خمسة محاور رئيسية:</w:t>
      </w:r>
    </w:p>
    <w:p w14:paraId="3813D5B3" w14:textId="77777777" w:rsidR="005705DD" w:rsidRDefault="005705DD" w:rsidP="005705DD">
      <w:pPr>
        <w:bidi/>
        <w:spacing w:after="200" w:line="276" w:lineRule="auto"/>
        <w:rPr>
          <w:rtl/>
        </w:rPr>
      </w:pPr>
      <w:r>
        <w:rPr>
          <w:rFonts w:asciiTheme="majorBidi" w:hAnsiTheme="majorBidi" w:cstheme="majorBidi"/>
          <w:sz w:val="24"/>
          <w:szCs w:val="24"/>
          <w:rtl/>
        </w:rPr>
        <w:t>المحور الأول — المأسسة التنظيمية: أنشأت الإمارات وزارة دولة مختصة بشؤون الذكاء الاصطناعي منذ عام 2017م، في حين تتوزع المهام ذات الصلة في المملكة العربية السعودية بين سدايا (المنشأة عام 2019م) ووزارة الاتصالات والتقنية، دون أن تُخصَّص وحدة منفردة للذكاء الاصطناعي القانوني. وهذا يعني أن القطاع القانوني السعودي يفتقر إلى جهة مرجعية موحّدة متخصصة تتولى قيادة التنظيم في هذا المجال، بخلاف الإمارات التي أنشأت لجاناً استشارية تضم ممثلين من القطاع القانوني ضمن منظومة تنظيم الذكاء الاصطناعي.</w:t>
      </w:r>
    </w:p>
    <w:p w14:paraId="6BFA1548" w14:textId="77777777" w:rsidR="005705DD" w:rsidRDefault="005705DD" w:rsidP="005705DD">
      <w:pPr>
        <w:bidi/>
        <w:spacing w:after="200" w:line="276" w:lineRule="auto"/>
        <w:rPr>
          <w:rtl/>
        </w:rPr>
      </w:pPr>
      <w:r>
        <w:rPr>
          <w:rFonts w:asciiTheme="majorBidi" w:hAnsiTheme="majorBidi" w:cstheme="majorBidi"/>
          <w:sz w:val="24"/>
          <w:szCs w:val="24"/>
          <w:rtl/>
        </w:rPr>
        <w:t>المحور الثاني — حماية البيانات: يتميز نظام حماية البيانات الشخصية السعودي (1443هـ) بشمولية أحكامه العامة، غير أنه يفتقر إلى أحكام مخصصة للقطاع القانوني والبيانات ذات الطابع القضائي. في المقابل، يشتمل القانون الاتحادي الإماراتي رقم 45 لسنة 2021م على أحكام أكثر تفصيلاً بشأن "البيانات الحساسة" — بما فيها البيانات المرتبطة بالإجراءات القانونية — مع إيجاد هيئة رقابية متخصصة قادرة على تنفيذ الأحكام. وقد أنشأت الإمارات كذلك نظام رقابة متكاملاً للتحقق من الامتثال لمتطلبات حماية البيانات في المنصات الرقمية، وهو ما يُشكّل تقدماً تنفيذياً يتجاوز ما أتى به النظير السعودي حتى الآن.</w:t>
      </w:r>
    </w:p>
    <w:p w14:paraId="740F6284" w14:textId="77777777" w:rsidR="005705DD" w:rsidRDefault="005705DD" w:rsidP="005705DD">
      <w:pPr>
        <w:bidi/>
        <w:spacing w:after="200" w:line="276" w:lineRule="auto"/>
        <w:rPr>
          <w:rtl/>
        </w:rPr>
      </w:pPr>
      <w:r>
        <w:rPr>
          <w:rFonts w:asciiTheme="majorBidi" w:hAnsiTheme="majorBidi" w:cstheme="majorBidi"/>
          <w:sz w:val="24"/>
          <w:szCs w:val="24"/>
          <w:rtl/>
        </w:rPr>
        <w:t>المحور الثالث — القطاع القضائي الرقمي: تجرّب الإمارات منذ عام 2020م ما أسمته "المحكمة الذكية"، وهي نموذج محكمة متكامل يعتمد على الذكاء الاصطناعي في إدارة الجدول القضائي وفرز المستندات وتنظيم الجلسات، مع إبقاء القرار القضائي في يد القاضي البشري حصراً. وعلى الرغم من أن المملكة العربية السعودية حققت قفزات نوعية في رقمنة الخدمات القضائية عبر منصة ناجز، إلا أن تجريب نماذج الذكاء الاصطناعي في الإجراءات القضائية ذاتها لا يزال في مراحله الأولى مقارنةً بالتجربة الإماراتية.</w:t>
      </w:r>
    </w:p>
    <w:p w14:paraId="0D43496F"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الرابع — الأطر الأخلاقية: أصدرت كلتا الدولتين وثائق أخلاقيات وطنية للذكاء الاصطناعي، غير أن الإطار الإماراتي يتميز باشتمال وثيقة "أخلاقيات الذكاء الاصطناعي" الصادرة عن وزارة الذكاء الاصطناعي (2019م) على توجيهات تطبيقية قطاعية، فيما اتسمت وثيقة مبادئ أخلاقيات الذكاء الاصطناعي السعودية </w:t>
      </w:r>
      <w:r>
        <w:rPr>
          <w:rFonts w:asciiTheme="majorBidi" w:hAnsiTheme="majorBidi" w:cstheme="majorBidi"/>
          <w:sz w:val="24"/>
          <w:szCs w:val="24"/>
          <w:vertAlign w:val="superscript"/>
          <w:rtl/>
        </w:rPr>
        <w:footnoteReference w:id="312"/>
      </w:r>
      <w:r>
        <w:rPr>
          <w:rFonts w:asciiTheme="majorBidi" w:hAnsiTheme="majorBidi" w:cstheme="majorBidi"/>
          <w:sz w:val="24"/>
          <w:szCs w:val="24"/>
          <w:rtl/>
        </w:rPr>
        <w:t xml:space="preserve"> بالطابع العام دون نزول إلى تفاصيل تطبيقها في قطاعات بعينها كالقطاع القانوني.</w:t>
      </w:r>
    </w:p>
    <w:p w14:paraId="6964D4F4" w14:textId="77777777" w:rsidR="005705DD" w:rsidRDefault="005705DD" w:rsidP="005705DD">
      <w:pPr>
        <w:bidi/>
        <w:spacing w:after="200" w:line="276" w:lineRule="auto"/>
        <w:rPr>
          <w:rtl/>
        </w:rPr>
      </w:pPr>
      <w:r>
        <w:rPr>
          <w:rFonts w:asciiTheme="majorBidi" w:hAnsiTheme="majorBidi" w:cstheme="majorBidi"/>
          <w:sz w:val="24"/>
          <w:szCs w:val="24"/>
          <w:rtl/>
        </w:rPr>
        <w:t>المحور الخامس — الإنفاذ والمساءلة: تُعدّ هذه المحور أهم المحاور تطبيقياً، وكلتا الدولتين يُعانيان من قصور فيه. فالوثائق التوجيهية في البلدين تفتقر إلى آليات إنفاذ بالغة الفاعلية في القطاع القانوني، إذ لم تُوثَّق حتى الآن في مجلس التحرير العلمي لأيٍّ منهما حوادث ملاحقة تأديبية واضحة لمحامٍ بسبب إساءة استخدام الذكاء الاصطناعي. وإن كانت الإمارات أسرع في مسار سنّ قوانين الإنفاذ الإلزامية، إلا أن الأثر الفعلي على المهنة القانونية لا يزال محدوداً في كلا البلدين.</w:t>
      </w:r>
    </w:p>
    <w:p w14:paraId="5C4A863B" w14:textId="77777777" w:rsidR="005705DD" w:rsidRDefault="005705DD" w:rsidP="005705DD">
      <w:pPr>
        <w:bidi/>
        <w:spacing w:after="200" w:line="276" w:lineRule="auto"/>
        <w:rPr>
          <w:rtl/>
        </w:rPr>
      </w:pPr>
      <w:r>
        <w:rPr>
          <w:rFonts w:asciiTheme="majorBidi" w:hAnsiTheme="majorBidi" w:cstheme="majorBidi"/>
          <w:sz w:val="24"/>
          <w:szCs w:val="24"/>
          <w:rtl/>
        </w:rPr>
        <w:t>ويُخلص الباحث من هذه المقارنة المحورية إلى أن التجربة الإماراتية تتقدم على السعودية في مسارَي المأسسة التنظيمية والتجريب الميداني، في حين قد تتميز التجربة السعودية بعمق الأساس التشريعي ورسوخ المرجعية الفقهية التي تُمكّن من بناء إطار أخلاقي أعمق وأكثر استقراراً على المدى البعيد. والأمثل هو الجمع بين الميزتَين: المأسسة الإماراتية المبكرة والعمق التأصيلي الفقهي السعودي.</w:t>
      </w:r>
    </w:p>
    <w:p w14:paraId="320C6D5C" w14:textId="77777777" w:rsidR="005705DD" w:rsidRDefault="005705DD" w:rsidP="005705DD"/>
    <w:p w14:paraId="21CC39CA"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t>المطلب الثالث</w:t>
      </w:r>
    </w:p>
    <w:p w14:paraId="32D1CC48" w14:textId="77777777" w:rsidR="005705DD" w:rsidRDefault="005705DD" w:rsidP="005705DD">
      <w:pPr>
        <w:bidi/>
        <w:spacing w:before="240" w:after="200" w:line="276" w:lineRule="auto"/>
        <w:jc w:val="center"/>
        <w:rPr>
          <w:rtl/>
        </w:rPr>
      </w:pPr>
      <w:r>
        <w:rPr>
          <w:rFonts w:asciiTheme="majorBidi" w:hAnsiTheme="majorBidi" w:cstheme="majorBidi"/>
          <w:b/>
          <w:bCs/>
          <w:sz w:val="24"/>
          <w:szCs w:val="24"/>
          <w:rtl/>
        </w:rPr>
        <w:t>المسؤولية القانونية الموزَّعة وأدوات الحوكمة المؤسسية</w:t>
      </w:r>
    </w:p>
    <w:p w14:paraId="3596AE17" w14:textId="77777777" w:rsidR="005705DD" w:rsidRPr="00A84F46" w:rsidRDefault="005705DD" w:rsidP="005705DD">
      <w:pPr>
        <w:bidi/>
        <w:spacing w:after="200" w:line="276" w:lineRule="auto"/>
        <w:rPr>
          <w:color w:val="000000" w:themeColor="text1"/>
          <w:rtl/>
        </w:rPr>
      </w:pPr>
      <w:r w:rsidRPr="00A84F46">
        <w:rPr>
          <w:rFonts w:asciiTheme="majorBidi" w:hAnsiTheme="majorBidi" w:cstheme="majorBidi"/>
          <w:b/>
          <w:color w:val="000000" w:themeColor="text1"/>
          <w:sz w:val="28"/>
          <w:szCs w:val="28"/>
          <w:rtl/>
        </w:rPr>
        <w:t>دور هيئة المحامين السعوديين في ضبط استخدام الذكاء الاصطناعي</w:t>
      </w:r>
    </w:p>
    <w:p w14:paraId="70A16A37" w14:textId="77777777" w:rsidR="005705DD" w:rsidRDefault="005705DD" w:rsidP="005705DD">
      <w:pPr>
        <w:bidi/>
        <w:spacing w:after="200" w:line="276" w:lineRule="auto"/>
        <w:rPr>
          <w:rtl/>
        </w:rPr>
      </w:pPr>
      <w:r>
        <w:rPr>
          <w:rFonts w:asciiTheme="majorBidi" w:hAnsiTheme="majorBidi" w:cstheme="majorBidi"/>
          <w:sz w:val="24"/>
          <w:szCs w:val="24"/>
          <w:rtl/>
        </w:rPr>
        <w:t xml:space="preserve">تمتلك هيئة المحامين السعوديين بموجب نظام المحاماة </w:t>
      </w:r>
      <w:r>
        <w:rPr>
          <w:rFonts w:asciiTheme="majorBidi" w:hAnsiTheme="majorBidi" w:cstheme="majorBidi"/>
          <w:sz w:val="24"/>
          <w:szCs w:val="24"/>
          <w:vertAlign w:val="superscript"/>
          <w:rtl/>
        </w:rPr>
        <w:footnoteReference w:id="313"/>
      </w:r>
      <w:r>
        <w:rPr>
          <w:rFonts w:asciiTheme="majorBidi" w:hAnsiTheme="majorBidi" w:cstheme="majorBidi"/>
          <w:sz w:val="24"/>
          <w:szCs w:val="24"/>
          <w:rtl/>
        </w:rPr>
        <w:t xml:space="preserve"> صلاحياتٍ تنظيميةً وتأديبية واسعة، يمكن توظيفها — حتى في ظل غياب نظام صريح للذكاء الاصطناعي — لمعالجة بعض الإشكاليات الراهنة. وفيما يلي استعراض لأبعاد دور الهيئة في هذا السياق:</w:t>
      </w:r>
    </w:p>
    <w:p w14:paraId="7B74B338" w14:textId="77777777" w:rsidR="005705DD" w:rsidRDefault="005705DD" w:rsidP="005705DD">
      <w:pPr>
        <w:bidi/>
        <w:spacing w:after="200" w:line="276" w:lineRule="auto"/>
        <w:rPr>
          <w:rtl/>
        </w:rPr>
      </w:pPr>
      <w:r>
        <w:rPr>
          <w:rFonts w:asciiTheme="majorBidi" w:hAnsiTheme="majorBidi" w:cstheme="majorBidi"/>
          <w:sz w:val="24"/>
          <w:szCs w:val="24"/>
          <w:rtl/>
        </w:rPr>
        <w:t>أولاً: الصلاحية التأديبية القائمة — تتمتع الهيئة بصلاحية ملاحقة المحامين تأديبياً على الأفعال المخلّة بالشرف المهني. ومخالفة واجب السرية، أو تقديم مرجع قانوني كاذب استناداً إلى ذكاء اصطناعي، أو الإهمال في مراجعة مخرجات الأداة الذكية — كل هذه الأفعال قابلة للمعالجة بالأدوات التأديبية القائمة. غير أن القصور في الإطار الراهن يتمثل في غياب سوابق تأديبية مُقنَّنة في هذا المجال تُشكّل مرجعاً ضابطاً للمحامين.</w:t>
      </w:r>
    </w:p>
    <w:p w14:paraId="470C5345" w14:textId="77777777" w:rsidR="005705DD" w:rsidRDefault="005705DD" w:rsidP="005705DD">
      <w:pPr>
        <w:bidi/>
        <w:spacing w:after="200" w:line="276" w:lineRule="auto"/>
        <w:rPr>
          <w:rtl/>
        </w:rPr>
      </w:pPr>
      <w:r>
        <w:rPr>
          <w:rFonts w:asciiTheme="majorBidi" w:hAnsiTheme="majorBidi" w:cstheme="majorBidi"/>
          <w:sz w:val="24"/>
          <w:szCs w:val="24"/>
          <w:rtl/>
        </w:rPr>
        <w:t>ثانياً: صلاحية إصدار الأدلة المهنية التوجيهية — تملك الهيئة صلاحية إصدار أدلة تفسيرية للقواعد الأخلاقية المهنية. وفي هذا الإطار، يمكنها إصدار دليل توجيهي بشأن استخدام الذكاء الاصطناعي يُحدد: (أ) ما يُجيزه الميثاق المهني من استخدامات وما يحظره. (ب) اشتراط الإفصاح للموكل عن استخدام الذكاء الاصطناعي في معالجة ملفه. (ج) إلزامية مراجعة مخرجات الذكاء الاصطناعي من محامٍ مؤهل قبل تقديمها للجهات القضائية.</w:t>
      </w:r>
    </w:p>
    <w:p w14:paraId="3EE35582" w14:textId="77777777" w:rsidR="005705DD" w:rsidRDefault="005705DD" w:rsidP="005705DD">
      <w:pPr>
        <w:bidi/>
        <w:spacing w:after="200" w:line="276" w:lineRule="auto"/>
        <w:rPr>
          <w:rtl/>
        </w:rPr>
      </w:pPr>
      <w:r>
        <w:rPr>
          <w:rFonts w:asciiTheme="majorBidi" w:hAnsiTheme="majorBidi" w:cstheme="majorBidi"/>
          <w:sz w:val="24"/>
          <w:szCs w:val="24"/>
          <w:rtl/>
        </w:rPr>
        <w:t>ثالثاً: صلاحية اشتراط التأهيل المهني — تتولى الهيئة الإشرافَ على التأهيل المهني المستمر للمحامين. ويملك مجلسها اشتراطَ إتمام برامج تدريبية مخصصة في مجال أخلاقيات توظيف الذكاء الاصطناعي في المهنة القانونية، وهو ما يُحوّل التحدي التقني إلى فرصة لرفع مستوى الكفاءة المهنية في القطاع.</w:t>
      </w:r>
    </w:p>
    <w:p w14:paraId="32543518" w14:textId="77777777" w:rsidR="005705DD" w:rsidRDefault="005705DD" w:rsidP="005705DD">
      <w:pPr>
        <w:bidi/>
        <w:spacing w:after="200" w:line="276" w:lineRule="auto"/>
        <w:rPr>
          <w:rtl/>
        </w:rPr>
      </w:pPr>
      <w:r>
        <w:rPr>
          <w:rFonts w:asciiTheme="majorBidi" w:hAnsiTheme="majorBidi" w:cstheme="majorBidi"/>
          <w:sz w:val="24"/>
          <w:szCs w:val="24"/>
          <w:rtl/>
        </w:rPr>
        <w:t>رابعاً: الشراكة مع سدايا — أكثر المسارات الواعدة هي التعاون الاستراتيجي بين هيئة المحامين السعوديين وسدايا في وضع لوائح خاصة بالذكاء الاصطناعي في القطاع القانوني، تستفيد من الخبرة التقنية لسدايا والمعرفة المهنية للهيئة معاً. وهذا التعاون البيني سيُنتج في حال تفعيله حوكمةً أكثر واقعيةً ودقةً من أي تشريع يصدر من جهة واحدة بمعزل عن الأخرى.</w:t>
      </w:r>
    </w:p>
    <w:p w14:paraId="63859D87" w14:textId="77777777" w:rsidR="005705DD" w:rsidRDefault="005705DD" w:rsidP="005705DD">
      <w:pPr>
        <w:bidi/>
        <w:spacing w:after="200" w:line="276" w:lineRule="auto"/>
        <w:rPr>
          <w:rtl/>
        </w:rPr>
      </w:pPr>
      <w:r>
        <w:rPr>
          <w:rFonts w:asciiTheme="majorBidi" w:hAnsiTheme="majorBidi" w:cstheme="majorBidi"/>
          <w:sz w:val="24"/>
          <w:szCs w:val="24"/>
          <w:rtl/>
        </w:rPr>
        <w:t>ويستلهم الباحث في هذا الصدد التجربة الأمريكية التي شهدت اتحاد منظمات المحامين (ABA) وعدداً من نقابات المحامين الولائية في إصدار قرارات تفسيرية (Ethics Opinions) بشأن استخدام أدوات الذكاء الاصطناعي في مهنة المحاماة، من أبرزها قرار نقابة نيويورك رقم 1253 الصادر عام 2024م الذي اشترط الإفصاح للمحكمة والموكل عن استخدام الذكاء الاصطناعي في إعداد المذكرات. ويرى الباحث أن المسار ذاته متاح لهيئة المحامين السعوديين دون انتظار تشريع موحّد.</w:t>
      </w:r>
    </w:p>
    <w:p w14:paraId="17F92CA5" w14:textId="77777777" w:rsidR="005705DD" w:rsidRDefault="005705DD" w:rsidP="005705DD"/>
    <w:p w14:paraId="4D327F4C"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تحليل المنظومة المؤسسية السعودية لحوكمة الذكاء الاصطناعي في القطاع القانوني</w:t>
      </w:r>
    </w:p>
    <w:p w14:paraId="254A59C8" w14:textId="77777777" w:rsidR="005705DD" w:rsidRDefault="005705DD" w:rsidP="005705DD">
      <w:pPr>
        <w:bidi/>
        <w:spacing w:after="200" w:line="276" w:lineRule="auto"/>
        <w:rPr>
          <w:rtl/>
        </w:rPr>
      </w:pPr>
      <w:r>
        <w:rPr>
          <w:rFonts w:asciiTheme="majorBidi" w:hAnsiTheme="majorBidi" w:cstheme="majorBidi"/>
          <w:sz w:val="24"/>
          <w:szCs w:val="24"/>
          <w:rtl/>
        </w:rPr>
        <w:t>تتشكّل المنظومة المؤسسية المعنية بحوكمة الذكاء الاصطناعي في القطاع القانوني السعودي من عدة جهات تتقاطع اختصاصاتها وتتباين منطلقاتها، مما قد يُفضي أحياناً إلى تداخل الصلاحيات أو إلى فراغات رقابية. وفيما يلي تحليل لكل جهة من الجهات الرئيسية ودورها المنشود والمحدوديات التي تعترضها:</w:t>
      </w:r>
    </w:p>
    <w:p w14:paraId="306318F6"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الجهة الأولى — الهيئة السعودية للبيانات والذكاء الاصطناعي (سدايا): تُعدّ سدايا الجهة الأعلى اختصاصاً في مجال حوكمة الذكاء الاصطناعي عموماً في المملكة، وتضطلع بمهام التشريع والتوجيه والبحث في هذا المجال. غير أن اختصاصها في القطاع القانوني تحديداً لا يُعدّ اختصاصاً مباشراً نصياً، مما يجعل علاقتها بالقطاع القانوني علاقةَ اختصاص حكمي لا نصي. وتتمتع سدايا بكوادر تقنية متخصصة وبصلاحيات تشريعية ناعمة ذات أثر بالغ، غير أن التطبيق الإلزامي لمتطلباتها على القطاع القانوني لا يزال يفتقر إلى آلية رقابية تنفيذية فاعلة.</w:t>
      </w:r>
    </w:p>
    <w:p w14:paraId="64C15DE5" w14:textId="77777777" w:rsidR="005705DD" w:rsidRDefault="005705DD" w:rsidP="005705DD">
      <w:pPr>
        <w:bidi/>
        <w:spacing w:after="200" w:line="276" w:lineRule="auto"/>
        <w:rPr>
          <w:rtl/>
        </w:rPr>
      </w:pPr>
      <w:r>
        <w:rPr>
          <w:rFonts w:asciiTheme="majorBidi" w:hAnsiTheme="majorBidi" w:cstheme="majorBidi"/>
          <w:sz w:val="24"/>
          <w:szCs w:val="24"/>
          <w:rtl/>
        </w:rPr>
        <w:t>الجهة الثانية — وزارة العدل: تُعدّ الجهة المختصة أصلاً بتنظيم السلطة القضائية ومرافق العدالة في المملكة. وتتميز وزارة العدل بأنها الجهة الأقرب إلى الواقع التطبيقي للقطاع القانوني، وتمتلك بنية تحتية رقمية قوية عبر منصة ناجز. غير أن اختصاصها بالنسبة لمكاتب المحاماة الخاصة لا يصل إلى حد الرقابة المباشرة على آليات العمل الداخلية لها. ويُشكّل تأسيس "مركز التميز للذكاء الاصطناعي" داخل وزارة العدل خطوةً إيجابية، غير أن مخرجاته التشريعية المعلنة لا تزال محدودة.</w:t>
      </w:r>
    </w:p>
    <w:p w14:paraId="693C13CC" w14:textId="77777777" w:rsidR="005705DD" w:rsidRDefault="005705DD" w:rsidP="005705DD">
      <w:pPr>
        <w:bidi/>
        <w:spacing w:after="200" w:line="276" w:lineRule="auto"/>
        <w:rPr>
          <w:rtl/>
        </w:rPr>
      </w:pPr>
      <w:r>
        <w:rPr>
          <w:rFonts w:asciiTheme="majorBidi" w:hAnsiTheme="majorBidi" w:cstheme="majorBidi"/>
          <w:sz w:val="24"/>
          <w:szCs w:val="24"/>
          <w:rtl/>
        </w:rPr>
        <w:t>الجهة الثالثة — هيئة المحامين السعوديين: تُمثّل الجهة التنظيمية المهنية المباشرة للمحامين السعوديين، وتملك — نظرياً — أدوات التنظيم المهني الأكثر مرونةً وتأثيراً، من قبيل: إصدار الدلائل المهنية، وتحديد متطلبات التأهيل، واتخاذ الإجراءات التأديبية. غير أن الهيئة تعمل في مجال الذكاء الاصطناعي دون توجيه تشريعي صريح يُحدد صلاحياتها في هذا الشأن، مما يُبقيها في موقف ردة الفعل أكثر من موقف الاستباق التنظيمي.</w:t>
      </w:r>
    </w:p>
    <w:p w14:paraId="40D071BF" w14:textId="77777777" w:rsidR="005705DD" w:rsidRDefault="005705DD" w:rsidP="005705DD">
      <w:pPr>
        <w:bidi/>
        <w:spacing w:after="200" w:line="276" w:lineRule="auto"/>
        <w:rPr>
          <w:rtl/>
        </w:rPr>
      </w:pPr>
      <w:r>
        <w:rPr>
          <w:rFonts w:asciiTheme="majorBidi" w:hAnsiTheme="majorBidi" w:cstheme="majorBidi"/>
          <w:sz w:val="24"/>
          <w:szCs w:val="24"/>
          <w:rtl/>
        </w:rPr>
        <w:t>الجهة الرابعة — ديوان المظالم والجهات القضائية: تضطلع الجهات القضائية بدور تفسيري جوهري في تطبيق الأنظمة القائمة على المستجدات التقنية، وأحكامها تُشكّل سوابق قضائية فعلية حتى في غياب نص صريح. وإن كانت السوابق القضائية السعودية في مجال الذكاء الاصطناعي القانوني تحديداً تكاد تكون منعدمة حتى الآن، إلا أن الحوادث المقبلة ستضطر الجهات القضائية إلى اتخاذ مواقف تفسيرية ستُشكّل في مجموعها اجتهاداً قضائياً ناعماً.</w:t>
      </w:r>
    </w:p>
    <w:p w14:paraId="17A870CD" w14:textId="77777777" w:rsidR="005705DD" w:rsidRDefault="005705DD" w:rsidP="005705DD">
      <w:pPr>
        <w:bidi/>
        <w:spacing w:after="200" w:line="276" w:lineRule="auto"/>
        <w:rPr>
          <w:rtl/>
        </w:rPr>
      </w:pPr>
      <w:r>
        <w:rPr>
          <w:rFonts w:asciiTheme="majorBidi" w:hAnsiTheme="majorBidi" w:cstheme="majorBidi"/>
          <w:sz w:val="24"/>
          <w:szCs w:val="24"/>
          <w:rtl/>
        </w:rPr>
        <w:t>ويرى الباحث: أن الهيكل المؤسسي المذكور يفتقر إلى تنسيق رسمي واضح يُوحّد الرؤية ويُقسّم المهام بين الجهات الأربع تجاه ملف الذكاء الاصطناعي في القطاع القانوني. والأمثل إنشاء "لجنة وطنية مشتركة لحوكمة الذكاء الاصطناعي في القطاع العدلي" تضم ممثلين من الجهات الأربع جميعاً مع خبراء التقنية والفقه الشرعي، وتتولى وضع السياسات وإعداد التشريعات المقترحة وتنسيق التطبيق. وهذا التنسيق المؤسسي هو شرط الكفاءة التنظيمية التي يستلزمها تعقيد الملف.</w:t>
      </w:r>
    </w:p>
    <w:p w14:paraId="33FC15BB" w14:textId="77777777" w:rsidR="005705DD" w:rsidRDefault="005705DD" w:rsidP="005705DD"/>
    <w:p w14:paraId="68DA75AE"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المسؤولية الموزَّعة في منظومة الذكاء الاصطناعي القانوني — نحو تأطير متكامل</w:t>
      </w:r>
    </w:p>
    <w:p w14:paraId="1FE190BE" w14:textId="77777777" w:rsidR="005705DD" w:rsidRDefault="005705DD" w:rsidP="005705DD">
      <w:pPr>
        <w:bidi/>
        <w:spacing w:after="200" w:line="276" w:lineRule="auto"/>
        <w:rPr>
          <w:rtl/>
        </w:rPr>
      </w:pPr>
      <w:r>
        <w:rPr>
          <w:rFonts w:asciiTheme="majorBidi" w:hAnsiTheme="majorBidi" w:cstheme="majorBidi"/>
          <w:sz w:val="24"/>
          <w:szCs w:val="24"/>
          <w:rtl/>
        </w:rPr>
        <w:t>تُمثّل مسألة تحديد المسؤولية (Liability Allocation) في سلسلة أطراف منظومة الذكاء الاصطناعي القانوني من أكثر المسائل إشكاليةً في الفقه القانوني المقارن. ذلك أن سلسلة المسؤولية في هذه المنظومة تضم عادةً أطرافاً متعددين بينهم تفاوت في القدرة وفي إمكانية الإسهام في منع الضرر. ويُميّز الباحث بين خمسة أطراف رئيسية في هذه السلسلة:</w:t>
      </w:r>
    </w:p>
    <w:p w14:paraId="2B7A9E85" w14:textId="77777777" w:rsidR="005705DD" w:rsidRDefault="005705DD" w:rsidP="005705DD">
      <w:pPr>
        <w:bidi/>
        <w:spacing w:after="200" w:line="276" w:lineRule="auto"/>
        <w:rPr>
          <w:rtl/>
        </w:rPr>
      </w:pPr>
      <w:r>
        <w:rPr>
          <w:rFonts w:asciiTheme="majorBidi" w:hAnsiTheme="majorBidi" w:cstheme="majorBidi"/>
          <w:sz w:val="24"/>
          <w:szCs w:val="24"/>
          <w:rtl/>
        </w:rPr>
        <w:t>الطرف الأول — مطوّر الأداة الذكية (AI Developer): وهو الجهة التي أنتجت النموذج اللغوي أو نظام الذكاء الاصطناعي. وفي حالة الأدوات الأجنبية، يقع مطوّرها خارج الولاية القضائية السعودية، مما يُصعّب مساءلته إلا عبر آليات التقاضي الدولي أو تطبيق قواعد المنتج الأجنبي في نظام المعاملات المدنية (م/221 وما بعدها). وتُقيم بعض الدراسات المقارنة مسؤولية مطوّر الأداة على نظرية المسؤولية الموضوعية (Strict Liability) باعتباره منتِجاً لأداة قابلة للتعريف بأنها "منتج معيب" حين تُنتج معلومات قانونية غير دقيقة.</w:t>
      </w:r>
    </w:p>
    <w:p w14:paraId="1A201176"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الطرف الثاني — مزوّد الخدمة (Service Provider): وهو الجهة التي تُتيح الأداة الذكية للمستخدم النهائي ضمن منصة أو تطبيق تجاري. وتقع بين مطوّر الأداة الأصلي والمستخدم النهائي، وقد تتحمل المسؤولية الوسيطة بموجب نظام مكافحة الجرائم المعلوماتية أو أحكام المساءلة الإلكترونية في نظام التعاملات الإلكترونية.</w:t>
      </w:r>
    </w:p>
    <w:p w14:paraId="5B4A97BC" w14:textId="77777777" w:rsidR="005705DD" w:rsidRDefault="005705DD" w:rsidP="005705DD">
      <w:pPr>
        <w:bidi/>
        <w:spacing w:after="200" w:line="276" w:lineRule="auto"/>
        <w:rPr>
          <w:rtl/>
        </w:rPr>
      </w:pPr>
      <w:r>
        <w:rPr>
          <w:rFonts w:asciiTheme="majorBidi" w:hAnsiTheme="majorBidi" w:cstheme="majorBidi"/>
          <w:sz w:val="24"/>
          <w:szCs w:val="24"/>
          <w:rtl/>
        </w:rPr>
        <w:t>الطرف الثالث — مكتب المحاماة المؤسسي: وهو الجهة التي تُقرّر سياسة استخدام الأدوات الذكية وتضع الإجراءات الداخلية أو تُهملها. وتتميز مسؤولية المكتب المؤسسي عن مسؤولية المحامي الفردي بأنها مسؤولية هيكلية تنشأ عن قصور في السياسات والضوابط، لا عن خطأ شخصي في حادثة بعينها. وبمقتضى نظام الشركات المهنية، قد يتعرض المكتب لمسؤولية مدنية مباشرة عن الأضرار الناجمة عن أدواته الذكية غير المُدارة.</w:t>
      </w:r>
    </w:p>
    <w:p w14:paraId="57ABE628" w14:textId="77777777" w:rsidR="005705DD" w:rsidRDefault="005705DD" w:rsidP="005705DD">
      <w:pPr>
        <w:bidi/>
        <w:spacing w:after="200" w:line="276" w:lineRule="auto"/>
        <w:rPr>
          <w:rtl/>
        </w:rPr>
      </w:pPr>
      <w:r>
        <w:rPr>
          <w:rFonts w:asciiTheme="majorBidi" w:hAnsiTheme="majorBidi" w:cstheme="majorBidi"/>
          <w:sz w:val="24"/>
          <w:szCs w:val="24"/>
          <w:rtl/>
        </w:rPr>
        <w:t>الطرف الرابع — المحامي الفردي: وهو صاحب الالتزام المهني الأول والمسؤولية المهنية المباشرة. يقع عليه واجب التحقق من مخرجات الأداة الذكية واختبار دقتها قبل الاستناد إليها، وإفساح المجال لحكمه المهني في التقييم النهائي. وأي تقصير في هذه الواجبات يُرتّب مسؤوليةً تأديبيةً ومدنية. والمبدأ الجوهري هنا: إن توظيف الأداة الذكية لا يُلغي المسؤولية المهنية للمحامي ولا ينقلها إلى الأداة.</w:t>
      </w:r>
    </w:p>
    <w:p w14:paraId="78A964B8" w14:textId="77777777" w:rsidR="005705DD" w:rsidRDefault="005705DD" w:rsidP="005705DD">
      <w:pPr>
        <w:bidi/>
        <w:spacing w:after="200" w:line="276" w:lineRule="auto"/>
        <w:rPr>
          <w:rtl/>
        </w:rPr>
      </w:pPr>
      <w:r>
        <w:rPr>
          <w:rFonts w:asciiTheme="majorBidi" w:hAnsiTheme="majorBidi" w:cstheme="majorBidi"/>
          <w:sz w:val="24"/>
          <w:szCs w:val="24"/>
          <w:rtl/>
        </w:rPr>
        <w:t>الطرف الخامس — الموكل: وإن كان الموكل ضحية محتملة لا مُسهِماً في الضرر في معظم الحالات، إلا أن ثمة حالات يتحمل فيها الموكل جزءاً من المسؤولية: كأن يُدخل بنفسه بيانات مضلِّلة في الأداة، أو أن يرفض توجيهات المحامي بعدم الاعتماد على أداة بعينها ثم يطلب استخدامها مُصرّاً. وفي هذه الحالات يُمكن الاستناد إلى نظرية "مساهمة المضرور في الضرر" المُقنَّنة في أحكام المسؤولية التقصيرية.</w:t>
      </w:r>
    </w:p>
    <w:p w14:paraId="1589DF08" w14:textId="77777777" w:rsidR="005705DD" w:rsidRDefault="005705DD" w:rsidP="005705DD">
      <w:pPr>
        <w:bidi/>
        <w:spacing w:after="200" w:line="276" w:lineRule="auto"/>
        <w:rPr>
          <w:rtl/>
        </w:rPr>
      </w:pPr>
      <w:r>
        <w:rPr>
          <w:rFonts w:asciiTheme="majorBidi" w:hAnsiTheme="majorBidi" w:cstheme="majorBidi"/>
          <w:sz w:val="24"/>
          <w:szCs w:val="24"/>
          <w:rtl/>
        </w:rPr>
        <w:t>ويُقدّم الباحث في هذا الإطار نموذجاً مُقترَحاً لتوزيع المسؤولية الموزَّعة (Distributed Liability Model) يأخذ بالاعتبار طبيعة المساهمة والقدرة على منع الضرر: إذ يُرى أن مسؤولية مطوّر الأداة تكون عالية حين يتعلق الأمر بعيوب هيكلية في النموذج يعلم بها ويُخفيها عن المستخدمين. وأن مسؤولية المكتب المؤسسي تتعاظم كلما وسّع الاستخدام وقلّل الرقابة. وأن مسؤولية المحامي الفردي تكون الأساس في كل الأحوال لأنه الحلقة المهنية المباشرة. وأن مسؤولية مزوّد الخدمة تُحدَّد بمدى شفافيته في الإفصاح عن قيود الأداة وحدودها.</w:t>
      </w:r>
    </w:p>
    <w:p w14:paraId="653DF6DE" w14:textId="77777777" w:rsidR="005705DD" w:rsidRDefault="005705DD" w:rsidP="005705DD"/>
    <w:p w14:paraId="15348EFF"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t>المبحث الثالث</w:t>
      </w:r>
    </w:p>
    <w:p w14:paraId="1C5E9924" w14:textId="77777777" w:rsidR="005705DD" w:rsidRDefault="005705DD" w:rsidP="005705DD">
      <w:pPr>
        <w:bidi/>
        <w:spacing w:before="240" w:after="200" w:line="276" w:lineRule="auto"/>
        <w:jc w:val="center"/>
        <w:rPr>
          <w:rtl/>
        </w:rPr>
      </w:pPr>
      <w:r>
        <w:rPr>
          <w:rFonts w:asciiTheme="majorBidi" w:hAnsiTheme="majorBidi" w:cstheme="majorBidi"/>
          <w:b/>
          <w:bCs/>
          <w:sz w:val="24"/>
          <w:szCs w:val="24"/>
          <w:rtl/>
        </w:rPr>
        <w:t>التحديات المستقبلية وآفاق تطوير المنظومة القانونية الرقمية</w:t>
      </w:r>
    </w:p>
    <w:p w14:paraId="7425BF02" w14:textId="77777777" w:rsidR="005705DD" w:rsidRDefault="005705DD" w:rsidP="005705DD">
      <w:pPr>
        <w:bidi/>
        <w:spacing w:before="240" w:after="200" w:line="276" w:lineRule="auto"/>
        <w:rPr>
          <w:rtl/>
        </w:rPr>
      </w:pPr>
      <w:r>
        <w:rPr>
          <w:rFonts w:asciiTheme="majorBidi" w:hAnsiTheme="majorBidi" w:cstheme="majorBidi"/>
          <w:sz w:val="24"/>
          <w:szCs w:val="24"/>
          <w:rtl/>
        </w:rPr>
        <w:t>يتناول هذا المبحث الأبعاد المستقبلية لتوظيف الذكاء الاصطناعي في مكاتب المحاماة السعودية، مُستعرِضاً في مطلبه الأول التحديات الأخلاقية والاجتماعية والدينية الخاصة بالسياق السعودي، وفي مطلبه الثاني التطورات التقنية المقبلة ومتطلبات التأهيل المهني وسوق التقنيات القانونية، وفي مطلبه الثالث قراءةً نقديةً استشرافيةً شاملة تُقيّم مدى كفاية المنظومة النظامية الراهنة وتفتح الطريق نحو إطار تنظيمي متكامل.</w:t>
      </w:r>
    </w:p>
    <w:p w14:paraId="671DB41F" w14:textId="77777777" w:rsidR="005705DD" w:rsidRDefault="005705DD" w:rsidP="005705DD">
      <w:pPr>
        <w:bidi/>
        <w:spacing w:before="240" w:after="200" w:line="276" w:lineRule="auto"/>
        <w:rPr>
          <w:rtl/>
        </w:rPr>
      </w:pPr>
    </w:p>
    <w:p w14:paraId="799407F6"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t>المطلب الأول</w:t>
      </w:r>
    </w:p>
    <w:p w14:paraId="3F026E7D" w14:textId="77777777" w:rsidR="005705DD" w:rsidRDefault="005705DD" w:rsidP="005705DD">
      <w:pPr>
        <w:bidi/>
        <w:spacing w:before="240" w:after="200" w:line="276" w:lineRule="auto"/>
        <w:jc w:val="center"/>
        <w:rPr>
          <w:rtl/>
        </w:rPr>
      </w:pPr>
      <w:r>
        <w:rPr>
          <w:rFonts w:asciiTheme="majorBidi" w:hAnsiTheme="majorBidi" w:cstheme="majorBidi"/>
          <w:b/>
          <w:bCs/>
          <w:sz w:val="24"/>
          <w:szCs w:val="24"/>
          <w:rtl/>
        </w:rPr>
        <w:t>التحديات الأخلاقية والاجتماعية والدينية في ضوء السياق السعودي</w:t>
      </w:r>
    </w:p>
    <w:p w14:paraId="5B5590A5"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التحديات الأخلاقية الخاصة بالمجتمع السعودي في توظيف الذكاء الاصطناعي القانوني</w:t>
      </w:r>
    </w:p>
    <w:p w14:paraId="7C9ADE9B" w14:textId="77777777" w:rsidR="005705DD" w:rsidRDefault="005705DD" w:rsidP="005705DD">
      <w:pPr>
        <w:bidi/>
        <w:spacing w:after="200" w:line="276" w:lineRule="auto"/>
        <w:rPr>
          <w:rtl/>
        </w:rPr>
      </w:pPr>
      <w:r>
        <w:rPr>
          <w:rFonts w:asciiTheme="majorBidi" w:hAnsiTheme="majorBidi" w:cstheme="majorBidi"/>
          <w:sz w:val="24"/>
          <w:szCs w:val="24"/>
          <w:rtl/>
        </w:rPr>
        <w:lastRenderedPageBreak/>
        <w:t>يُولّد توظيف الذكاء الاصطناعي في القطاع القانوني السعودي تحديات أخلاقية تتجاوز ما هو مطروح في الأدبيات القانونية الغربية، وذلك بسبب خصوصيات المجتمع السعودي من حيث المرجعية الدينية والثقافية والاجتماعية. ويُستعرض الباحث أبرز هذه التحديات:</w:t>
      </w:r>
    </w:p>
    <w:p w14:paraId="5C5AEA40" w14:textId="77777777" w:rsidR="005705DD" w:rsidRDefault="005705DD" w:rsidP="005705DD">
      <w:pPr>
        <w:bidi/>
        <w:spacing w:after="200" w:line="276" w:lineRule="auto"/>
        <w:rPr>
          <w:rtl/>
        </w:rPr>
      </w:pPr>
      <w:r>
        <w:rPr>
          <w:rFonts w:asciiTheme="majorBidi" w:hAnsiTheme="majorBidi" w:cstheme="majorBidi"/>
          <w:sz w:val="24"/>
          <w:szCs w:val="24"/>
          <w:rtl/>
        </w:rPr>
        <w:t>التحدي الأول — التحيز ضد القيم الإسلامية والثقافية: دُرِّبت معظم نماذج الذكاء الاصطناعي الكبرى على بيانات تعكس بصورة رئيسية القيم الثقافية والقانونية الغربية العلمانية. وحين تُعالج هذه النماذج قضايا تتصل بالأحوال الشخصية (الزواج والطلاق والميراث والنفقة) أو بالمعاملات المالية الإسلامية (المرابحة والإجارة والصكوك) أو بأحكام الجنايات المستنبطة من الفقه الإسلامي، فقد تُنتج مخرجاتٍ تعكس توجهاً ثقافياً يتعارض مع القيم الإسلامية، مما يجعل توظيفها في هذه المجالات الحساسة بالغ الإشكالية.</w:t>
      </w:r>
    </w:p>
    <w:p w14:paraId="26D98287" w14:textId="77777777" w:rsidR="005705DD" w:rsidRDefault="005705DD" w:rsidP="005705DD">
      <w:pPr>
        <w:bidi/>
        <w:spacing w:after="200" w:line="276" w:lineRule="auto"/>
        <w:rPr>
          <w:rtl/>
        </w:rPr>
      </w:pPr>
      <w:r>
        <w:rPr>
          <w:rFonts w:asciiTheme="majorBidi" w:hAnsiTheme="majorBidi" w:cstheme="majorBidi"/>
          <w:sz w:val="24"/>
          <w:szCs w:val="24"/>
          <w:rtl/>
        </w:rPr>
        <w:t xml:space="preserve">وقد أشار حمدان (2023م) في دراسته حول التحيز الثقافي في نماذج الذكاء الاصطناعي إلى أن هذه النماذج تُميل في الغالب إلى "أعرف منهج" (Default Approach) يُساوي بين الجنسين في جميع مسائل الميراث والوصاية خلافاً للفقه الإسلامي، وأن هذا التحيز يتفاقم كلما تضمّنت المهمة حكماً قيمياً لا معلومةً إجرائية محايدة </w:t>
      </w:r>
      <w:r>
        <w:rPr>
          <w:rFonts w:asciiTheme="majorBidi" w:hAnsiTheme="majorBidi" w:cstheme="majorBidi"/>
          <w:sz w:val="24"/>
          <w:szCs w:val="24"/>
          <w:vertAlign w:val="superscript"/>
          <w:rtl/>
        </w:rPr>
        <w:footnoteReference w:id="314"/>
      </w:r>
      <w:r>
        <w:rPr>
          <w:rFonts w:asciiTheme="majorBidi" w:hAnsiTheme="majorBidi" w:cstheme="majorBidi"/>
          <w:sz w:val="24"/>
          <w:szCs w:val="24"/>
          <w:rtl/>
        </w:rPr>
        <w:t>.</w:t>
      </w:r>
    </w:p>
    <w:p w14:paraId="01713064" w14:textId="77777777" w:rsidR="005705DD" w:rsidRDefault="005705DD" w:rsidP="005705DD">
      <w:pPr>
        <w:bidi/>
        <w:spacing w:after="200" w:line="276" w:lineRule="auto"/>
        <w:rPr>
          <w:rtl/>
        </w:rPr>
      </w:pPr>
      <w:r>
        <w:rPr>
          <w:rFonts w:asciiTheme="majorBidi" w:hAnsiTheme="majorBidi" w:cstheme="majorBidi"/>
          <w:sz w:val="24"/>
          <w:szCs w:val="24"/>
          <w:rtl/>
        </w:rPr>
        <w:t>التحدي الثاني — الخصوصية الاجتماعية وحساسية الملفات: يتسم المجتمع السعودي بحساسية اجتماعية عالية تجاه كشف الأسرار الأسرية والمالية حتى في نطاق محدود. ومن هذا المنطلق، يجد المحامي نفسه أمام حساسية موضوعية في إدخال وقائع قضايا الطلاق أو النزاعات الأسرية أو المشكلات المالية في أداة ذكاء اصطناعي تُعالج هذه البيانات على خوادم أجنبية، ليس فقط بسبب النص النظامي بل بسبب الاعتبارات الأخلاقية التي تُوجب أعلى درجات الحفاظ على الخصوصية.</w:t>
      </w:r>
    </w:p>
    <w:p w14:paraId="6E5A1A68" w14:textId="77777777" w:rsidR="005705DD" w:rsidRDefault="005705DD" w:rsidP="005705DD">
      <w:pPr>
        <w:bidi/>
        <w:spacing w:after="200" w:line="276" w:lineRule="auto"/>
        <w:rPr>
          <w:rtl/>
        </w:rPr>
      </w:pPr>
      <w:r>
        <w:rPr>
          <w:rFonts w:asciiTheme="majorBidi" w:hAnsiTheme="majorBidi" w:cstheme="majorBidi"/>
          <w:sz w:val="24"/>
          <w:szCs w:val="24"/>
          <w:rtl/>
        </w:rPr>
        <w:t>التحدي الثالث — المسؤولية الأخلاقية في الأخطاء ذات الأثر الديني: حين تتضمن القضية حكماً دينياً (كتحديد النسب أو أحكام الوصاية أو حق الطلاق) وتُنتج أداةٌ ذكيةٌ خطأً في التكييف الفقهي الذي يستند إليه المحامي، فإن الأثر الضار يمتد ليطال مآلات دينية وأسرية واجتماعية تفوق بكثير ما قد يحدث في قضية تجارية مماثلة. وهذا يجعل معيار الحيطة الواجبة في توظيف الذكاء الاصطناعي في هذا النوع من القضايا أعلى بكثير مما هو مطلوب في القضايا التجارية المحضة.</w:t>
      </w:r>
    </w:p>
    <w:p w14:paraId="11B3FCD3"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هذه التحديات الأخلاقية الخاصة بالسياق السعودي تُلزم أي إطار تنظيمي مُقترَح بمراعاة ثلاثة مستويات متمايزة: مستوى الاشتراطات التقنية (جودة النموذج ودقته وخلوّه من التحيز)، ومستوى الاشتراطات المهنية (حدود الاستخدام المقبول أخلاقياً)، ومستوى الاشتراطات الثقافية والدينية (عدم توظيف نماذج ذات تحيز ثقافي صريح في الملفات ذات الطابع الفقهي الإسلامي).</w:t>
      </w:r>
    </w:p>
    <w:p w14:paraId="40F6DF07" w14:textId="77777777" w:rsidR="005705DD" w:rsidRDefault="005705DD" w:rsidP="005705DD"/>
    <w:p w14:paraId="59D6E81B"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ضوابط التوظيف المشروع للذكاء الاصطناعي في ضوء الفقه الإسلامي</w:t>
      </w:r>
    </w:p>
    <w:p w14:paraId="24934879" w14:textId="77777777" w:rsidR="005705DD" w:rsidRDefault="005705DD" w:rsidP="005705DD">
      <w:pPr>
        <w:bidi/>
        <w:spacing w:after="200" w:line="276" w:lineRule="auto"/>
        <w:rPr>
          <w:rtl/>
        </w:rPr>
      </w:pPr>
      <w:r>
        <w:rPr>
          <w:rFonts w:asciiTheme="majorBidi" w:hAnsiTheme="majorBidi" w:cstheme="majorBidi"/>
          <w:sz w:val="24"/>
          <w:szCs w:val="24"/>
          <w:rtl/>
        </w:rPr>
        <w:t>لما كانت المنظومة القانونية السعودية تنهل من الشريعة الإسلامية وتستمد مرجعيتها الفقهية منها، فلا بد من استحضار الموقف الفقهي من توظيف الذكاء الاصطناعي في المهنة القانونية ليُكمل التحليل النظامي ويُعمّق أسسه. وهذا الاستحضار ليس ترفاً بحثياً بل ضرورة منهجية في دراسة تتعلق بالنظام السعودي.</w:t>
      </w:r>
    </w:p>
    <w:p w14:paraId="41501CAE" w14:textId="77777777" w:rsidR="005705DD" w:rsidRDefault="005705DD" w:rsidP="005705DD">
      <w:pPr>
        <w:bidi/>
        <w:spacing w:after="200" w:line="276" w:lineRule="auto"/>
        <w:rPr>
          <w:rtl/>
        </w:rPr>
      </w:pPr>
      <w:r>
        <w:rPr>
          <w:rFonts w:asciiTheme="majorBidi" w:hAnsiTheme="majorBidi" w:cstheme="majorBidi"/>
          <w:sz w:val="28"/>
          <w:szCs w:val="28"/>
          <w:rtl/>
        </w:rPr>
        <w:t>ويؤصّل الفقه الإسلامي للتعامل مع الأدوات التقنية من خلال عدة مبادئ فقهية:</w:t>
      </w:r>
    </w:p>
    <w:p w14:paraId="39690711"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المبدأ الأول — مبدأ الإباحة الأصلية: القاعدة الفقهية المستقرة أن الأصل في الأشياء والوسائل الإباحة ما لم يدل دليل على التحريم. وبتطبيق هذه القاعدة على توظيف الذكاء الاصطناعي في المهنة القانونية، يكون الأصل هو </w:t>
      </w:r>
      <w:r>
        <w:rPr>
          <w:rFonts w:asciiTheme="majorBidi" w:hAnsiTheme="majorBidi" w:cstheme="majorBidi"/>
          <w:sz w:val="24"/>
          <w:szCs w:val="24"/>
          <w:rtl/>
        </w:rPr>
        <w:lastRenderedPageBreak/>
        <w:t>جوازه، وتنصبّ الدراسة الفقهية على استجلاء الضوابط والقيود التي تُخرجه عن هذا الأصل لا على إثبات إباحته ابتداءً.</w:t>
      </w:r>
    </w:p>
    <w:p w14:paraId="0D40F870" w14:textId="77777777" w:rsidR="005705DD" w:rsidRDefault="005705DD" w:rsidP="005705DD">
      <w:pPr>
        <w:bidi/>
        <w:spacing w:after="200" w:line="276" w:lineRule="auto"/>
        <w:rPr>
          <w:rtl/>
        </w:rPr>
      </w:pPr>
      <w:r>
        <w:rPr>
          <w:rFonts w:asciiTheme="majorBidi" w:hAnsiTheme="majorBidi" w:cstheme="majorBidi"/>
          <w:sz w:val="24"/>
          <w:szCs w:val="24"/>
          <w:rtl/>
        </w:rPr>
        <w:t>المبدأ الثاني — قاعدة درء المفسدة: "درء المفاسد مقدّم على جلب المصالح". وبتطبيق هذه القاعدة، فإن المصالح المُحقَّقة من توظيف الذكاء الاصطناعي في رفع الكفاءة وخفض التكلفة ينبغي أن تُوازَن بالمفاسد المحتملة من تهديد السرية وخطأ المعلومات والتحيز. وإذا كانت المفاسد أعظم — أو كان خطر وقوعها مرتفعاً — فإن القاعدة تقتضي وضع الضوابط الكافية لدرئها قبل السماح بالاستخدام.</w:t>
      </w:r>
    </w:p>
    <w:p w14:paraId="10878B53" w14:textId="77777777" w:rsidR="005705DD" w:rsidRDefault="005705DD" w:rsidP="005705DD">
      <w:pPr>
        <w:bidi/>
        <w:spacing w:after="200" w:line="276" w:lineRule="auto"/>
        <w:rPr>
          <w:rtl/>
        </w:rPr>
      </w:pPr>
      <w:r>
        <w:rPr>
          <w:rFonts w:asciiTheme="majorBidi" w:hAnsiTheme="majorBidi" w:cstheme="majorBidi"/>
          <w:sz w:val="24"/>
          <w:szCs w:val="24"/>
          <w:rtl/>
        </w:rPr>
        <w:t>المبدأ الثالث — قاعدة لا ضرر ولا ضرار: وهي من أصول الفقه الإسلامي في المعاملات، وتقتضي عدم استخدام الأداة الذكية بصورة تُلحق ضرراً بالموكل أو الخصم أو بسير العدالة. وبمقتضى هذه القاعدة لا يحل للمحامي استخدام أداة ذكية يعلم — أو يتعين عليه أن يعلم — أنها تُنتج معلومات غير موثوقة بصورة تُضر بمصلحة موكله.</w:t>
      </w:r>
    </w:p>
    <w:p w14:paraId="3AF8B031" w14:textId="77777777" w:rsidR="005705DD" w:rsidRDefault="005705DD" w:rsidP="005705DD">
      <w:pPr>
        <w:bidi/>
        <w:spacing w:after="200" w:line="276" w:lineRule="auto"/>
        <w:rPr>
          <w:rtl/>
        </w:rPr>
      </w:pPr>
      <w:r>
        <w:rPr>
          <w:rFonts w:asciiTheme="majorBidi" w:hAnsiTheme="majorBidi" w:cstheme="majorBidi"/>
          <w:sz w:val="24"/>
          <w:szCs w:val="24"/>
          <w:rtl/>
        </w:rPr>
        <w:t>المبدأ الرابع — اشتراط الأمانة والكفاءة: يُقرّر الفقه الإسلامي في باب الوكالة أن الوكيل يلتزم بالقيام بما وُكّل فيه على وجه الإتقان والكفاءة المعتادة. وفي السياق المهني الراهن، يعني ذلك أن المحامي الذي يُوكَّل إليه تمثيل موكله ملزَمٌ بأن يُوظّف كل الأدوات المتاحة — بما فيها التقنية — على نحو يُحقق الحماية الكاملة لمصالح موكله، مع الامتناع عن كل استخدام يُخل بهذه الحماية أو يُهدّد سريتها.</w:t>
      </w:r>
    </w:p>
    <w:p w14:paraId="718C14C0" w14:textId="77777777" w:rsidR="005705DD" w:rsidRDefault="005705DD" w:rsidP="005705DD">
      <w:pPr>
        <w:bidi/>
        <w:spacing w:after="200" w:line="276" w:lineRule="auto"/>
        <w:rPr>
          <w:rtl/>
        </w:rPr>
      </w:pPr>
      <w:r>
        <w:rPr>
          <w:rFonts w:asciiTheme="majorBidi" w:hAnsiTheme="majorBidi" w:cstheme="majorBidi"/>
          <w:sz w:val="24"/>
          <w:szCs w:val="24"/>
          <w:rtl/>
        </w:rPr>
        <w:t>المبدأ الخامس — واجب الإفصاح (البيان): يُقرّر الفقه الإسلامي في عقود المعاملات وجوب الإفصاح عن المعلومات الجوهرية التي تؤثر في قرار الطرف الآخر. ومن هذا المنطلق، فإن إخفاء المحامي عن موكله حقيقةَ اعتماده على الذكاء الاصطناعي في معالجة ملفه — لو كان الموكل سيرفض ذلك لو علم — يُشكّل خيانةً في أمانة الوكالة لا يُقبّلها الفقه الإسلامي.</w:t>
      </w:r>
    </w:p>
    <w:p w14:paraId="2604F87F" w14:textId="77777777" w:rsidR="005705DD" w:rsidRDefault="005705DD" w:rsidP="005705DD">
      <w:pPr>
        <w:bidi/>
        <w:spacing w:after="200" w:line="276" w:lineRule="auto"/>
        <w:rPr>
          <w:rtl/>
        </w:rPr>
      </w:pPr>
      <w:r>
        <w:rPr>
          <w:rFonts w:asciiTheme="majorBidi" w:hAnsiTheme="majorBidi" w:cstheme="majorBidi"/>
          <w:sz w:val="24"/>
          <w:szCs w:val="24"/>
          <w:rtl/>
        </w:rPr>
        <w:t>ويُلفت الباحث إلى أن التأصيل الفقهي لمسألة الذكاء الاصطناعي في المهنة القانونية لا يزال في مرحلته الاجتهادية الأولى في الساحة العلمية الإسلامية، ولم تصدر بعد فتاوى جامعة مُقنَّنة في هذا الشأن من المجامع الفقهية الكبرى. وعليه فإن تأصيل أحكامه يستلزم من المشرّع التشاور مع أهل العلم الشرعي المتخصصين جنباً إلى جنب مع خبراء القانون والتقنية.</w:t>
      </w:r>
    </w:p>
    <w:p w14:paraId="27BDE599" w14:textId="77777777" w:rsidR="005705DD" w:rsidRDefault="005705DD" w:rsidP="005705DD"/>
    <w:p w14:paraId="3B1DE0AB"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الذكاء الاصطناعي والوصول إلى العدالة — فرصة تحتاج إلى ضبط</w:t>
      </w:r>
    </w:p>
    <w:p w14:paraId="0440E1E8" w14:textId="77777777" w:rsidR="005705DD" w:rsidRDefault="005705DD" w:rsidP="005705DD">
      <w:pPr>
        <w:bidi/>
        <w:spacing w:after="200" w:line="276" w:lineRule="auto"/>
        <w:rPr>
          <w:rtl/>
        </w:rPr>
      </w:pPr>
      <w:r>
        <w:rPr>
          <w:rFonts w:asciiTheme="majorBidi" w:hAnsiTheme="majorBidi" w:cstheme="majorBidi"/>
          <w:sz w:val="24"/>
          <w:szCs w:val="24"/>
          <w:rtl/>
        </w:rPr>
        <w:t>يُمثّل الوصول إلى العدالة (Access to Justice) أحد أكثر التحديات إلحاحاً في الأنظمة القانونية المعاصرة. ويُثير ذلك تساؤلاً جوهرياً في سياق الدراسة: هل يُمكن لتقنيات الذكاء الاصطناعي أن تُسهم في تضييق فجوة الوصول إلى العدالة في المجتمع السعودي، وكيف يمكن تنظيم هذه الإسهامة بصورة قانونية سليمة؟</w:t>
      </w:r>
    </w:p>
    <w:p w14:paraId="48273655" w14:textId="77777777" w:rsidR="005705DD" w:rsidRDefault="005705DD" w:rsidP="005705DD">
      <w:pPr>
        <w:bidi/>
        <w:spacing w:after="200" w:line="276" w:lineRule="auto"/>
        <w:rPr>
          <w:rtl/>
        </w:rPr>
      </w:pPr>
      <w:r>
        <w:rPr>
          <w:rFonts w:asciiTheme="majorBidi" w:hAnsiTheme="majorBidi" w:cstheme="majorBidi"/>
          <w:sz w:val="24"/>
          <w:szCs w:val="24"/>
          <w:rtl/>
        </w:rPr>
        <w:t>تُكشف الفجوة في الوصول إلى العدالة عن نفسها في عدة صور في البيئة السعودية: أولاها عدم تكافؤ التمثيل القانوني بين الشرائح الاجتماعية المختلفة، إذ تُشير التقديرات غير الرسمية إلى أن نسبة غير قليلة من المتقاضين في المحاكم السعودية يمثلون أنفسهم دون محامٍ بسبب الاعتبارات المالية. وثانيتها الفجوة الجغرافية بين المدن الكبرى والمدن والمحافظات الأصغر، حيث يقل تمركز مكاتب المحاماة المتخصصة. وثالثتها الفجوة اللغوية حين يتعلق الأمر بمقيمين غير ناطقين بالعربية.</w:t>
      </w:r>
    </w:p>
    <w:p w14:paraId="235C256F" w14:textId="77777777" w:rsidR="005705DD" w:rsidRDefault="005705DD" w:rsidP="005705DD">
      <w:pPr>
        <w:bidi/>
        <w:spacing w:after="200" w:line="276" w:lineRule="auto"/>
        <w:rPr>
          <w:rtl/>
        </w:rPr>
      </w:pPr>
      <w:r>
        <w:rPr>
          <w:rFonts w:asciiTheme="majorBidi" w:hAnsiTheme="majorBidi" w:cstheme="majorBidi"/>
          <w:sz w:val="24"/>
          <w:szCs w:val="24"/>
          <w:rtl/>
        </w:rPr>
        <w:t>وللذكاء الاصطناعي إمكانات نظرية واعدة في معالجة بعض هذه الفجوات: فأدوات تلخيص الوثائق القانونية وشرح الإجراءات يمكن أن تُمكّن المواطن العادي من فهم حقوقه الإجرائية الأساسية. كما يمكن للذكاء الاصطناعي التوليدي تقديم تعريفات قانونية بلغات متعددة، مما يُسهم في تضييق الفجوة اللغوية. فضلاً عن أن التحليل الذكي لأحكام القضاة السابقة يمكن أن يُقدّم للمحامي في المناطق الأقل تطوراً صورةً أوضح عن السوابق القضائية الذي كانت حكراً على مراكز المدن الكبرى المحتضِنة لكبريات المكاتب.</w:t>
      </w:r>
    </w:p>
    <w:p w14:paraId="2114E2E6"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غير أن هذه الإمكانات تُقابلها مخاطر مضادة لا يجوز إغفالها: فالمستخدم الذي يلجأ إلى الذكاء الاصطناعي كبديل عن المحامي المرخّص يتعرض لخطر تلقّي معلومات غير دقيقة تفوت عليه فرصاً قانونية أو تدفعه إلى قرارات خاطئة. ولأن فئات الوصول المحدود إلى العدالة هي في الغالب الأقل تأهيلاً لتقييم دقة المعلومات التقنية واختبار مصداقيتها، فإن توظيف الذكاء الاصطناعي دون ضوابط قد يزيد الفجوة بدلاً من تضييقها، بأن يجعل المعلومات القانونية المغلوطة "في متناول الجميع" لا المعلومة الصحيحة.</w:t>
      </w:r>
    </w:p>
    <w:p w14:paraId="395167A6" w14:textId="77777777" w:rsidR="005705DD" w:rsidRDefault="005705DD" w:rsidP="005705DD">
      <w:pPr>
        <w:bidi/>
        <w:spacing w:after="200" w:line="276" w:lineRule="auto"/>
        <w:rPr>
          <w:rtl/>
        </w:rPr>
      </w:pPr>
      <w:r>
        <w:rPr>
          <w:rFonts w:asciiTheme="majorBidi" w:hAnsiTheme="majorBidi" w:cstheme="majorBidi"/>
          <w:sz w:val="24"/>
          <w:szCs w:val="24"/>
          <w:rtl/>
        </w:rPr>
        <w:t>ومن أبرز ما يُميّز التجربة الإماراتية في هذا الشأن أنها سعت إلى تنظيم خدمات المساعدة القانونية الرقمية المدعومة بالذكاء الاصطناعي بوصفها خدماتٍ مكملةً للخدمة القانونية البشرية لا بديلةً لها، وأنها ألزمت منصات تقديم هذه الخدمات بالحصول على ترخيص خاص ووضع تنبيهات صريحة للمستخدمين بأن ما يتلقونه معلوماتٌ قانونية لا استشارة متخصصة.</w:t>
      </w:r>
    </w:p>
    <w:p w14:paraId="030219D5"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تنظيم الذكاء الاصطناعي في خدمة الوصول إلى العدالة في المملكة يستوجب استراتيجيةً ذات شقّين: شقٌّ يُشجّع الاستخدام المنظَّم لأدوات الذكاء الاصطناعي لتقديم "الثقافة القانونية" للمواطن ويُيسّر الإجراءات الإدارية القانونية البسيطة. وشقٌّ يضمن أن الخدمات الاستشارية المتخصصة تظل خاضعةً للرقابة البشرية المرخّصة في جميع الأحوال. وهذا التوازن هو الذي يُحوّل الذكاء الاصطناعي من تهديد محتمل للعدالة إلى أداة لخدمتها.</w:t>
      </w:r>
    </w:p>
    <w:p w14:paraId="02A5C1A5" w14:textId="77777777" w:rsidR="005705DD" w:rsidRDefault="005705DD" w:rsidP="005705DD"/>
    <w:p w14:paraId="2C029270"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t>المطلب الثاني</w:t>
      </w:r>
    </w:p>
    <w:p w14:paraId="79B8A5B3" w14:textId="77777777" w:rsidR="005705DD" w:rsidRDefault="005705DD" w:rsidP="005705DD">
      <w:pPr>
        <w:bidi/>
        <w:spacing w:before="240" w:after="200" w:line="276" w:lineRule="auto"/>
        <w:jc w:val="center"/>
        <w:rPr>
          <w:rtl/>
        </w:rPr>
      </w:pPr>
      <w:r>
        <w:rPr>
          <w:rFonts w:asciiTheme="majorBidi" w:hAnsiTheme="majorBidi" w:cstheme="majorBidi"/>
          <w:b/>
          <w:bCs/>
          <w:sz w:val="24"/>
          <w:szCs w:val="24"/>
          <w:rtl/>
        </w:rPr>
        <w:t>استشراف التطورات التقنية ومتطلبات التأهيل المهني وسوق التقنيات القانونية</w:t>
      </w:r>
    </w:p>
    <w:p w14:paraId="3BB9C67A" w14:textId="77777777" w:rsidR="005705DD" w:rsidRPr="00A84F46" w:rsidRDefault="005705DD" w:rsidP="005705DD">
      <w:pPr>
        <w:bidi/>
        <w:spacing w:after="200" w:line="276" w:lineRule="auto"/>
        <w:rPr>
          <w:color w:val="000000" w:themeColor="text1"/>
          <w:rtl/>
        </w:rPr>
      </w:pPr>
      <w:r w:rsidRPr="00A84F46">
        <w:rPr>
          <w:rFonts w:asciiTheme="majorBidi" w:hAnsiTheme="majorBidi" w:cstheme="majorBidi"/>
          <w:b/>
          <w:color w:val="000000" w:themeColor="text1"/>
          <w:sz w:val="28"/>
          <w:szCs w:val="28"/>
          <w:rtl/>
        </w:rPr>
        <w:t>تحديات مستقبلية — نحو محامٍ سعودي مستعدٍّ لعصر الذكاء الاصطناعي</w:t>
      </w:r>
    </w:p>
    <w:p w14:paraId="6100194D" w14:textId="77777777" w:rsidR="005705DD" w:rsidRDefault="005705DD" w:rsidP="005705DD">
      <w:pPr>
        <w:bidi/>
        <w:spacing w:after="200" w:line="276" w:lineRule="auto"/>
        <w:rPr>
          <w:rtl/>
        </w:rPr>
      </w:pPr>
      <w:r>
        <w:rPr>
          <w:rFonts w:asciiTheme="majorBidi" w:hAnsiTheme="majorBidi" w:cstheme="majorBidi"/>
          <w:sz w:val="24"/>
          <w:szCs w:val="24"/>
          <w:rtl/>
        </w:rPr>
        <w:t>لا تقتصر تحديات توظيف الذكاء الاصطناعي في مكاتب المحاماة السعودية على المستوى التشريعي والتنظيمي، بل تمتد لتشمل أيضاً بُعداً تعليمياً ومهنياً جوهرياً. ذلك أن التشريع الأمثل وحده لا يكفي ما لم يُصاحبه إعداد مهني فعلي للمحامي يُمكّنه من التعامل مع أدوات الذكاء الاصطناعي بصورة كفؤة ومسؤولة.</w:t>
      </w:r>
    </w:p>
    <w:p w14:paraId="5BD776CA" w14:textId="77777777" w:rsidR="005705DD" w:rsidRDefault="005705DD" w:rsidP="005705DD">
      <w:pPr>
        <w:bidi/>
        <w:spacing w:after="200" w:line="276" w:lineRule="auto"/>
        <w:rPr>
          <w:rtl/>
        </w:rPr>
      </w:pPr>
      <w:r>
        <w:rPr>
          <w:rFonts w:asciiTheme="majorBidi" w:hAnsiTheme="majorBidi" w:cstheme="majorBidi"/>
          <w:sz w:val="24"/>
          <w:szCs w:val="24"/>
          <w:rtl/>
        </w:rPr>
        <w:t>أولاً: الفجوة في المناهج القانونية: لا تتضمن مناهج كليات الحقوق والشريعة في الجامعات السعودية — في غالبيتها — مقررات متخصصة في تقنيات المعلومات القانونية أو أخلاقيات الذكاء الاصطناعي في المهنة، وهو ما يُخرّج أجيالاً من المحامين غير مُستعدة للتعامل بكفاءة ومسؤولية مع هذه الأدوات. وتأتي في هذا الصدد دراسة إسماعيل (2025م) لتكشف أن 78% من خريجي الحقوق الذين استُطلعت آراؤهم في إطار بحثه لم يتلقوا أي تدريب رسمي في مجال تقنيات القانون خلال دراستهم الجامعية.</w:t>
      </w:r>
    </w:p>
    <w:p w14:paraId="73F4F8B9" w14:textId="77777777" w:rsidR="005705DD" w:rsidRDefault="005705DD" w:rsidP="005705DD">
      <w:pPr>
        <w:bidi/>
        <w:spacing w:after="200" w:line="276" w:lineRule="auto"/>
        <w:rPr>
          <w:rtl/>
        </w:rPr>
      </w:pPr>
      <w:r>
        <w:rPr>
          <w:rFonts w:asciiTheme="majorBidi" w:hAnsiTheme="majorBidi" w:cstheme="majorBidi"/>
          <w:sz w:val="24"/>
          <w:szCs w:val="24"/>
          <w:rtl/>
        </w:rPr>
        <w:t>ثانياً: برامج التطوير المهني المستمر: تُتيح هيئة المحامين السعوديين برامجَ للتطوير المهني المستمر، غير أنها تُركّز في غالبها على الإجراءات القضائية والمستجدات التشريعية لا على أخلاقيات التقنية القانونية. وإدراج وحدات تدريبية إلزامية في مجال توظيف الذكاء الاصطناعي ضمن متطلبات الترخيص المهني المستمر يُعدّ خطوةً طال انتظارها.</w:t>
      </w:r>
    </w:p>
    <w:p w14:paraId="17F6CD24" w14:textId="77777777" w:rsidR="005705DD" w:rsidRDefault="005705DD" w:rsidP="005705DD">
      <w:pPr>
        <w:bidi/>
        <w:spacing w:after="200" w:line="276" w:lineRule="auto"/>
        <w:rPr>
          <w:rtl/>
        </w:rPr>
      </w:pPr>
      <w:r>
        <w:rPr>
          <w:rFonts w:asciiTheme="majorBidi" w:hAnsiTheme="majorBidi" w:cstheme="majorBidi"/>
          <w:sz w:val="24"/>
          <w:szCs w:val="24"/>
          <w:rtl/>
        </w:rPr>
        <w:t>ثالثاً: اليقظة التقنية (Technological Vigilance): يُحيط الذكاء الاصطناعي القانوني بثلاث مفارقات تجعله تحدياً تعليمياً فريداً: المفارقة الأولى هي أن الأداة كلما ازدادت في مظهرها كفاءةً ودقةً كلما كان من الأصعب للمستخدم رصد أخطائها الجوهرية. والمفارقة الثانية هي أن المعرفة التقنية اللازمة لاستخدام الأداة لا تكفي وحدها، بل يلزمها معرفة بحدودها ومواطن ضعفها. والمفارقة الثالثة هي أن الثقة المفرطة في الأداة الذكية — لا جهلها — هي المصدر الأكثر خطورةً للأخطاء المهنية.</w:t>
      </w:r>
    </w:p>
    <w:p w14:paraId="7228A256"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رابعاً: توزيع المهام بين الإنسان والآلة: يطرح توظيف الذكاء الاصطناعي في مكاتب المحاماة تساؤلاً جوهرياً حول إعادة توزيع المهام: أيّها يجب أن تظل بشريةً حصراً، وأيّها يمكن تفويضها للذكاء الاصطناعي بصورة مشروعة مهنياً؟ ويرى الباحث — استناداً إلى مبدأ الكفاءة المهنية الواجبة — أن ثمة مهام لا تقبل التفويض الكامل للآلة: كتقدير موقف الموكل وتوصيف وقائع القضية الكاملة، وبناء استراتيجية الدفاع، والحكم القيمي في المواقف ذات الطابع الأخلاقي، والتمثيل الشخصي أمام هيئات القضاء.</w:t>
      </w:r>
    </w:p>
    <w:p w14:paraId="1BE8A94B" w14:textId="77777777" w:rsidR="005705DD" w:rsidRDefault="005705DD" w:rsidP="005705DD">
      <w:pPr>
        <w:bidi/>
        <w:spacing w:after="200" w:line="276" w:lineRule="auto"/>
        <w:rPr>
          <w:rtl/>
        </w:rPr>
      </w:pPr>
      <w:r>
        <w:rPr>
          <w:rFonts w:asciiTheme="majorBidi" w:hAnsiTheme="majorBidi" w:cstheme="majorBidi"/>
          <w:sz w:val="24"/>
          <w:szCs w:val="24"/>
          <w:rtl/>
        </w:rPr>
        <w:t>يرى الباحث ختاماً: إن استعداد مهنة المحاماة السعودية لعصر الذكاء الاصطناعي يتطلب استثماراً استراتيجياً متوازياً في ثلاثة مسارات: التشريع الناظم، والحوكمة المؤسسية داخل مكاتب المحاماة، والتطوير المهني المستمر للمحامين. وكل مسار يُكمل الآخرين، ولا يمكن أن يُحقق واحد منهم وحده الأثر المنشود دون الاستثمار في المسارات المقابلة.</w:t>
      </w:r>
    </w:p>
    <w:p w14:paraId="47B35306" w14:textId="77777777" w:rsidR="005705DD" w:rsidRDefault="005705DD" w:rsidP="005705DD"/>
    <w:p w14:paraId="4584F089"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الذكاء الاصطناعي ومستقبل مهنة المحاماة في السعودية — تحولات بنيوية وليست مجرد أدوات</w:t>
      </w:r>
    </w:p>
    <w:p w14:paraId="180C8C11" w14:textId="77777777" w:rsidR="005705DD" w:rsidRDefault="005705DD" w:rsidP="005705DD">
      <w:pPr>
        <w:bidi/>
        <w:spacing w:after="200" w:line="276" w:lineRule="auto"/>
        <w:rPr>
          <w:rtl/>
        </w:rPr>
      </w:pPr>
      <w:r>
        <w:rPr>
          <w:rFonts w:asciiTheme="majorBidi" w:hAnsiTheme="majorBidi" w:cstheme="majorBidi"/>
          <w:sz w:val="24"/>
          <w:szCs w:val="24"/>
          <w:rtl/>
        </w:rPr>
        <w:t>يُخطئ من يُقارب مسألة الذكاء الاصطناعي في مكاتب المحاماة السعودية باعتبارها مجرد "إضافة أداة تقنية جديدة" إلى أدوات العمل القائمة. فالتحولات التي يُرسيها الذكاء الاصطناعي في المهنة القانونية أعمق وأبعد مدىً من ذلك بكثير، وهي تمس الهوية المهنية للمحامي وطبيعة القيمة التي يُقدّمها لموكله وعلاقته بالسوق القانوني ككل.</w:t>
      </w:r>
    </w:p>
    <w:p w14:paraId="346628EA" w14:textId="77777777" w:rsidR="005705DD" w:rsidRDefault="005705DD" w:rsidP="005705DD">
      <w:pPr>
        <w:bidi/>
        <w:spacing w:after="200" w:line="276" w:lineRule="auto"/>
        <w:rPr>
          <w:rtl/>
        </w:rPr>
      </w:pPr>
      <w:r>
        <w:rPr>
          <w:rFonts w:asciiTheme="majorBidi" w:hAnsiTheme="majorBidi" w:cstheme="majorBidi"/>
          <w:sz w:val="24"/>
          <w:szCs w:val="24"/>
          <w:rtl/>
        </w:rPr>
        <w:t>التحول الأول — من المهارة التقنية إلى مهارة التحكيم والحكم: لطالما اعتمدت مهنة المحاماة على المهارة التقنية في البحث القانوني وصياغة الحجج. وحين يتولى الذكاء الاصطناعي الجانب التقني من هذه المهارة بكفاءة عالية، تتحول القيمة المضافة للمحامي البشري نحو الحكم والتحكيم والسلطة التقديرية في الموازنة بين الاعتبارات المتعارضة. فالمحامي المستقبلي الناجح لن يتميز بقدرته على صياغة عقد أسرع بل بقدرته على الحكم على الوضع الكلي وفهم دوافع الموكل وتوقع ردود فعل الطرف الآخر — وهي مهارات لا تزال راسخة في ملكة البشر حصراً.</w:t>
      </w:r>
    </w:p>
    <w:p w14:paraId="4E3C7073" w14:textId="77777777" w:rsidR="005705DD" w:rsidRDefault="005705DD" w:rsidP="005705DD">
      <w:pPr>
        <w:bidi/>
        <w:spacing w:after="200" w:line="276" w:lineRule="auto"/>
        <w:rPr>
          <w:rtl/>
        </w:rPr>
      </w:pPr>
      <w:r>
        <w:rPr>
          <w:rFonts w:asciiTheme="majorBidi" w:hAnsiTheme="majorBidi" w:cstheme="majorBidi"/>
          <w:sz w:val="24"/>
          <w:szCs w:val="24"/>
          <w:rtl/>
        </w:rPr>
        <w:t>التحول الثاني — من رسوم الساعة إلى القيمة المُحقَّقة: قد يُهدد الذكاء الاصطناعي نموذج التسعير القائم على الساعات في مكاتب المحاماة (Billable Hours Model)، إذ حين تُنجز الأداة في دقائق ما كان يأخذ ساعات، يصبح تبرير الفوترة بالساعات أمراً متحدَّى. وهذا التحول يُمكن أن يُفضي بمرور الوقت إلى نماذج تسعير جديدة تُبنى على القيمة المُحقَّقة للموكل والنتائج المُتحقَّقة لا على الوقت المُستغرَق.</w:t>
      </w:r>
    </w:p>
    <w:p w14:paraId="7FB2C4A4" w14:textId="77777777" w:rsidR="005705DD" w:rsidRDefault="005705DD" w:rsidP="005705DD">
      <w:pPr>
        <w:bidi/>
        <w:spacing w:after="200" w:line="276" w:lineRule="auto"/>
        <w:rPr>
          <w:rtl/>
        </w:rPr>
      </w:pPr>
      <w:r>
        <w:rPr>
          <w:rFonts w:asciiTheme="majorBidi" w:hAnsiTheme="majorBidi" w:cstheme="majorBidi"/>
          <w:sz w:val="24"/>
          <w:szCs w:val="24"/>
          <w:rtl/>
        </w:rPr>
        <w:t>التحول الثالث — من التراتبية الهرمية إلى شراكة إنسان-آلة: يُعيد الذكاء الاصطناعي رسم العلاقات الداخلية في مكاتب المحاماة؛ فالمهام الروتينية التي كانت تُشكّل محور عمل المحامين المبتدئين (كالبحث القانوني الأولي وتلخيص الوثائق) باتت قابلة للأتمتة، مما قد يُقلّص الطلب على المحامين الجدد في مراحل معينة وفي الوقت ذاته يُفتح شهيةً لمهارات جديدة كإدارة منظومات الذكاء الاصطناعي وتدريب النماذج على البيانات القانونية الخاصة بالمكتب.</w:t>
      </w:r>
    </w:p>
    <w:p w14:paraId="082EB1C1" w14:textId="77777777" w:rsidR="005705DD" w:rsidRDefault="005705DD" w:rsidP="005705DD">
      <w:pPr>
        <w:bidi/>
        <w:spacing w:after="200" w:line="276" w:lineRule="auto"/>
        <w:rPr>
          <w:rtl/>
        </w:rPr>
      </w:pPr>
      <w:r>
        <w:rPr>
          <w:rFonts w:asciiTheme="majorBidi" w:hAnsiTheme="majorBidi" w:cstheme="majorBidi"/>
          <w:sz w:val="24"/>
          <w:szCs w:val="24"/>
          <w:rtl/>
        </w:rPr>
        <w:t>التحول الرابع — التعلّم المستمر كضرورة مهنية: في عالم حيث تتطور أدوات الذكاء الاصطناعي بوتيرة متسارعة، تُصبح القدرة على التعلم المستمر والتكيّف مع الأدوات الجديدة ميزةً تنافسية جوهرية للمحامي. والمحامي الذي يُعدّ إتقانه للذكاء الاصطناعي ثانوياً سيجد نفسه في موقع تنافسي ضعيف مقارنةً بنظرائه الذين يُحسنون توظيف هذه الأدوات والرقابة عليها.</w:t>
      </w:r>
    </w:p>
    <w:p w14:paraId="0265FB6E" w14:textId="77777777" w:rsidR="005705DD" w:rsidRDefault="005705DD" w:rsidP="005705DD">
      <w:pPr>
        <w:bidi/>
        <w:spacing w:after="200" w:line="276" w:lineRule="auto"/>
        <w:rPr>
          <w:rtl/>
        </w:rPr>
      </w:pPr>
      <w:r>
        <w:rPr>
          <w:rFonts w:asciiTheme="majorBidi" w:hAnsiTheme="majorBidi" w:cstheme="majorBidi"/>
          <w:sz w:val="24"/>
          <w:szCs w:val="24"/>
          <w:rtl/>
        </w:rPr>
        <w:t xml:space="preserve">ويرى الباحث: إن الاستجابة الصحيحة لهذه التحولات البنيوية ليست الرفض أو التعامل معها بمقاربة دفاعية، بل المبادرة إلى التكيّف الاستراتيجي. وهذا التكيّف يستلزم من المشرّع إطاراً تشريعياً يُشجّع التبنّي المسؤول دون أن </w:t>
      </w:r>
      <w:r>
        <w:rPr>
          <w:rFonts w:asciiTheme="majorBidi" w:hAnsiTheme="majorBidi" w:cstheme="majorBidi"/>
          <w:sz w:val="24"/>
          <w:szCs w:val="24"/>
          <w:rtl/>
        </w:rPr>
        <w:lastRenderedPageBreak/>
        <w:t>يُعيق التكيّف المهني، ومن هيئة المحامين استراتيجيةً مهنية تستبق التحولات القادمة بدلاً من أن تلاحقها في أثرها.</w:t>
      </w:r>
    </w:p>
    <w:p w14:paraId="1D6B54EC" w14:textId="77777777" w:rsidR="005705DD" w:rsidRDefault="005705DD" w:rsidP="005705DD"/>
    <w:p w14:paraId="39A5B0C9"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سوق التقنيات القانونية (LegalTech) في المملكة العربية السعودية — واقع وتوقعات</w:t>
      </w:r>
    </w:p>
    <w:p w14:paraId="247BF1B4" w14:textId="77777777" w:rsidR="005705DD" w:rsidRDefault="005705DD" w:rsidP="005705DD">
      <w:pPr>
        <w:bidi/>
        <w:spacing w:after="200" w:line="276" w:lineRule="auto"/>
        <w:rPr>
          <w:rtl/>
        </w:rPr>
      </w:pPr>
      <w:r>
        <w:rPr>
          <w:rFonts w:asciiTheme="majorBidi" w:hAnsiTheme="majorBidi" w:cstheme="majorBidi"/>
          <w:sz w:val="24"/>
          <w:szCs w:val="24"/>
          <w:rtl/>
        </w:rPr>
        <w:t>يُعدّ تحليل سوق التقنيات القانونية (LegalTech) في المملكة العربية السعودية ضرورةً لفهم الديناميكيات الاقتصادية التي تُحرّك انتشار هذه التقنيات في البيئة المهنية القانونية. وتتقاطع في تشكيل هذا السوق عوامل متعددة يمكن استعراضها على النحو التالي:</w:t>
      </w:r>
    </w:p>
    <w:p w14:paraId="41F44255" w14:textId="77777777" w:rsidR="005705DD" w:rsidRDefault="005705DD" w:rsidP="005705DD">
      <w:pPr>
        <w:bidi/>
        <w:spacing w:after="200" w:line="276" w:lineRule="auto"/>
        <w:rPr>
          <w:rtl/>
        </w:rPr>
      </w:pPr>
      <w:r>
        <w:rPr>
          <w:rFonts w:asciiTheme="majorBidi" w:hAnsiTheme="majorBidi" w:cstheme="majorBidi"/>
          <w:sz w:val="24"/>
          <w:szCs w:val="24"/>
          <w:rtl/>
        </w:rPr>
        <w:t>أولاً: حجم السوق والنمو المتوقع: تُشير التقديرات غير الرسمية إلى أن سوق التقنيات القانونية الخليجي يتجاوز 300 مليون دولار سنوياً بما يشمل حصة المملكة العربية السعودية التي تُعدّ الأكبر عددياً من حيث عدد المحامين (إذ يتجاوز عدد المحامين المرخصين في المملكة 60,000 محامٍ وفق إحصاءات هيئة المحامين). ويُتوقع أن تنمو هذه الحصة بمعدل يتراوح بين 15% و25% سنوياً في ضوء التوجهات الحكومية نحو الرقمنة وتنامي الوعي بهذه التقنيات.</w:t>
      </w:r>
    </w:p>
    <w:p w14:paraId="52A19CB5" w14:textId="77777777" w:rsidR="005705DD" w:rsidRDefault="005705DD" w:rsidP="005705DD">
      <w:pPr>
        <w:bidi/>
        <w:spacing w:after="200" w:line="276" w:lineRule="auto"/>
        <w:rPr>
          <w:rtl/>
        </w:rPr>
      </w:pPr>
      <w:r>
        <w:rPr>
          <w:rFonts w:asciiTheme="majorBidi" w:hAnsiTheme="majorBidi" w:cstheme="majorBidi"/>
          <w:sz w:val="24"/>
          <w:szCs w:val="24"/>
          <w:rtl/>
        </w:rPr>
        <w:t>ثانياً: التحولات في تفضيلات المكاتب: تُظهر التقارير الصادرة عن شركات استشارات تقنية مرتبطة بالقطاع القانوني الخليجي أن مكاتب المحاماة السعودية الكبرى بدأت في تخصيص ميزانيات تقنية للاستثمار في التقنيات القانونية الذكية، مع ملاحظة أن معظم الإنفاق التقني الحالي يتجه نحو أدوات إدارة القضايا وبرامج الفوترة أكثر من توجّهه نحو أنظمة الذكاء الاصطناعي المتقدمة.</w:t>
      </w:r>
    </w:p>
    <w:p w14:paraId="1D059FD3" w14:textId="77777777" w:rsidR="005705DD" w:rsidRDefault="005705DD" w:rsidP="005705DD">
      <w:pPr>
        <w:bidi/>
        <w:spacing w:after="200" w:line="276" w:lineRule="auto"/>
        <w:rPr>
          <w:rtl/>
        </w:rPr>
      </w:pPr>
      <w:r>
        <w:rPr>
          <w:rFonts w:asciiTheme="majorBidi" w:hAnsiTheme="majorBidi" w:cstheme="majorBidi"/>
          <w:sz w:val="24"/>
          <w:szCs w:val="24"/>
          <w:rtl/>
        </w:rPr>
        <w:t>ثالثاً: الحواجز أمام التبني الواسع: ثمة حواجز هيكلية تُعيق التبني الواسع لتقنيات الذكاء الاصطناعي القانوني في السوق السعودي، أبرزها: (أ) ندرة الأدوات المتخصصة باللغة العربية والقانون السعودي تحديداً. (ب) ارتفاع تكلفة الاشتراك في الأدوات المتخصصة مقارنةً بحجم كثير من المكاتب السعودية الصغيرة والمتوسطة. (ج) غياب التدريب الكافي على هذه الأدوات والشكوك المتعلقة بالامتثال التنظيمي. (د) حساسية بعض الموكلين تجاه معالجة بياناتهم إلكترونياً خارج بيئات سيطرتهم.</w:t>
      </w:r>
    </w:p>
    <w:p w14:paraId="7BD133D8" w14:textId="77777777" w:rsidR="005705DD" w:rsidRDefault="005705DD" w:rsidP="005705DD">
      <w:pPr>
        <w:bidi/>
        <w:spacing w:after="200" w:line="276" w:lineRule="auto"/>
        <w:rPr>
          <w:rtl/>
        </w:rPr>
      </w:pPr>
      <w:r>
        <w:rPr>
          <w:rFonts w:asciiTheme="majorBidi" w:hAnsiTheme="majorBidi" w:cstheme="majorBidi"/>
          <w:sz w:val="24"/>
          <w:szCs w:val="24"/>
          <w:rtl/>
        </w:rPr>
        <w:t>رابعاً: الفرص والمساهمات المتوقعة: تمتلك المملكة العربية السعودية عوامل داعمة لنمو سوق LegalTech محلي قوي، في مقدمتها: حجم الاقتصاد الكبير الذي يُولّد كميات ضخمة من النزاعات التجارية والعقارية والعمالية. وتوافر رأس المال الجريء (Venture Capital) لتمويل الشركات الناشئة في هذا المجال، إذ قدّرت بعض التقارير أن استثمارات صناديق الابتكار السعودية في قطاع LegalTech تضاعفت بين عامَي 2021م و2024م. وأخيراً، التوجه الحكومي الداعم للتحول الرقمي في القطاع العدلي الذي يخلق طلباً اصطناعياً داعماً للسوق.</w:t>
      </w:r>
    </w:p>
    <w:p w14:paraId="23BEEFA3" w14:textId="77777777" w:rsidR="005705DD" w:rsidRDefault="005705DD" w:rsidP="005705DD">
      <w:pPr>
        <w:bidi/>
        <w:spacing w:after="200" w:line="276" w:lineRule="auto"/>
        <w:rPr>
          <w:rtl/>
        </w:rPr>
      </w:pPr>
      <w:r>
        <w:rPr>
          <w:rFonts w:asciiTheme="majorBidi" w:hAnsiTheme="majorBidi" w:cstheme="majorBidi"/>
          <w:sz w:val="24"/>
          <w:szCs w:val="24"/>
          <w:rtl/>
        </w:rPr>
        <w:t>يرى الباحث: أن تنظيم سوق LegalTech السعودي يُعدّ جزءاً لا يتجزأ من الحل الشامل للإشكاليات الراهنة؛ إذ إن وجود سوق محلي قوي لشركات LegalTech ملتزمة بالضوابط السعودية يُقلّص من الحاجة إلى الاعتماد على الأدوات الأجنبية الأقل انسجاماً مع البيئة النظامية المحلية. ومن ثم فإن تشجيع ونمو شركات LegalTech السعودية المتخصصة في أدوات الذكاء الاصطناعي القانوني العربية يُعدّ هدفاً استراتيجياً ذا قيمة تنظيمية مزدوجة.</w:t>
      </w:r>
    </w:p>
    <w:p w14:paraId="6EFC17F4" w14:textId="77777777" w:rsidR="005705DD" w:rsidRDefault="005705DD" w:rsidP="005705DD"/>
    <w:p w14:paraId="582FE061"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الشهادات العلمية وكوادر البشرية في مجال القانون والذكاء الاصطناعي</w:t>
      </w:r>
    </w:p>
    <w:p w14:paraId="3FBFC314" w14:textId="77777777" w:rsidR="005705DD" w:rsidRDefault="005705DD" w:rsidP="005705DD">
      <w:pPr>
        <w:bidi/>
        <w:spacing w:after="200" w:line="276" w:lineRule="auto"/>
        <w:rPr>
          <w:rtl/>
        </w:rPr>
      </w:pPr>
      <w:r>
        <w:rPr>
          <w:rFonts w:asciiTheme="majorBidi" w:hAnsiTheme="majorBidi" w:cstheme="majorBidi"/>
          <w:sz w:val="24"/>
          <w:szCs w:val="24"/>
          <w:rtl/>
        </w:rPr>
        <w:t xml:space="preserve">تفتقر المنظومة التعليمية القانونية السعودية حتى الآن إلى برامج متخصصة في "القانون والذكاء الاصطناعي" أو "تقنيات القانون" (LegalTech)، وهو ما يُعيق تكوين جيل من المحامين يمتلكون الأسس التقنية اللازمة </w:t>
      </w:r>
      <w:r>
        <w:rPr>
          <w:rFonts w:asciiTheme="majorBidi" w:hAnsiTheme="majorBidi" w:cstheme="majorBidi"/>
          <w:sz w:val="24"/>
          <w:szCs w:val="24"/>
          <w:rtl/>
        </w:rPr>
        <w:lastRenderedPageBreak/>
        <w:t>للتعامل المسؤول مع هذه الأدوات. وتُشكّل هذه الفجوة التعليمية جزءاً من الأزمة البنيوية التي يرصدها هذا الفصل.</w:t>
      </w:r>
    </w:p>
    <w:p w14:paraId="3AABA7F0" w14:textId="77777777" w:rsidR="005705DD" w:rsidRDefault="005705DD" w:rsidP="005705DD">
      <w:pPr>
        <w:bidi/>
        <w:spacing w:after="200" w:line="276" w:lineRule="auto"/>
        <w:rPr>
          <w:rtl/>
        </w:rPr>
      </w:pPr>
      <w:r>
        <w:rPr>
          <w:rFonts w:asciiTheme="majorBidi" w:hAnsiTheme="majorBidi" w:cstheme="majorBidi"/>
          <w:sz w:val="24"/>
          <w:szCs w:val="24"/>
          <w:rtl/>
        </w:rPr>
        <w:t>ومقارنةً بعدد من الدول، تُقدّم جامعات كـStanford وHarvard وKing's College London برامج متخصصة في القانون والتقنية (Law &amp; Technology) تُعدّ الطلاب للتعامل مع الذكاء الاصطناعي في سياق المهنة القانونية. وعلى مستوى المنطقة العربية، بدأت بعض كليات الحقوق الإماراتية (كجامعة خليفة) في تضمين مقررات التقنية القانونية ضمن مناهجها، وهو ما لا يزال غائباً إلى حد كبير في المشهد التعليمي القانوني السعودي.</w:t>
      </w:r>
    </w:p>
    <w:p w14:paraId="66567B93" w14:textId="77777777" w:rsidR="005705DD" w:rsidRDefault="005705DD" w:rsidP="005705DD">
      <w:pPr>
        <w:bidi/>
        <w:spacing w:after="200" w:line="276" w:lineRule="auto"/>
        <w:rPr>
          <w:rtl/>
        </w:rPr>
      </w:pPr>
      <w:r>
        <w:rPr>
          <w:rFonts w:asciiTheme="majorBidi" w:hAnsiTheme="majorBidi" w:cstheme="majorBidi"/>
          <w:sz w:val="24"/>
          <w:szCs w:val="24"/>
          <w:rtl/>
        </w:rPr>
        <w:t>ويرى الباحث: أن تطوير الكوادر البشرية في تقاطع القانون والتقنية يُعدّ ركيزةً لا غنى عنها في أي استراتيجية سعودية ناجحة لتنظيم الذكاء الاصطناعي القانوني. ومن أهم المقترحات في هذا الشأن: أولاً، إدراج مادة إلزامية في "القانون والتقنية" ضمن مناهج الدراسات القانونية الجامعية في الجامعات السعودية. ثانياً، إطلاق برنامج وطني للمنح الدراسية في تخصصات LegalTech استكمالاً للمبادرات المماثلة في مجالات التقنية الأخرى. ثالثاً، تضمين أخلاقيات الذكاء الاصطناعي والكفاءة التقنية ضمن متطلبات الترخيص المهني المستمر لدى هيئة المحامين السعوديين. رابعاً، تشجيع التعاون بين كليات الحقوق وكليات الحاسب والمعلوماتية في بحوث مشتركة متعددة التخصصات، تُنتج حلولاً قانونية ذكية متوائمة مع الخصوصية السعودية.</w:t>
      </w:r>
    </w:p>
    <w:p w14:paraId="1ECFAAFE" w14:textId="77777777" w:rsidR="005705DD" w:rsidRDefault="005705DD" w:rsidP="005705DD"/>
    <w:p w14:paraId="1FDF9E07"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نظرة استشرافية في التطورات التقنية القادمة وأثرها على المهنة القانونية السعودية</w:t>
      </w:r>
    </w:p>
    <w:p w14:paraId="60BE3E85" w14:textId="77777777" w:rsidR="005705DD" w:rsidRDefault="005705DD" w:rsidP="005705DD">
      <w:pPr>
        <w:bidi/>
        <w:spacing w:after="200" w:line="276" w:lineRule="auto"/>
        <w:rPr>
          <w:rtl/>
        </w:rPr>
      </w:pPr>
      <w:r>
        <w:rPr>
          <w:rFonts w:asciiTheme="majorBidi" w:hAnsiTheme="majorBidi" w:cstheme="majorBidi"/>
          <w:sz w:val="24"/>
          <w:szCs w:val="24"/>
          <w:rtl/>
        </w:rPr>
        <w:t>يُعدّ الاستشراف التقني جزءاً ضرورياً من أي دراسة قانونية تسعى إلى تقديم توصيات ذات عمر مفيد يتجاوز المرحلة الراهنة. ذلك أن التشريعات المقترحة اليوم ينبغي أن تُصمَّم بمرونة كافية لاستيعاب تطورات غداً، وهو ما يستلزم استحضار ثلاثة تطورات تقنية متوقعة ستُؤثر على المشهد القانوني السعودي في السنوات القادمة:</w:t>
      </w:r>
    </w:p>
    <w:p w14:paraId="7D715532" w14:textId="77777777" w:rsidR="005705DD" w:rsidRDefault="005705DD" w:rsidP="005705DD">
      <w:pPr>
        <w:bidi/>
        <w:spacing w:after="200" w:line="276" w:lineRule="auto"/>
        <w:rPr>
          <w:rtl/>
        </w:rPr>
      </w:pPr>
      <w:r>
        <w:rPr>
          <w:rFonts w:asciiTheme="majorBidi" w:hAnsiTheme="majorBidi" w:cstheme="majorBidi"/>
          <w:sz w:val="24"/>
          <w:szCs w:val="24"/>
          <w:rtl/>
        </w:rPr>
        <w:t>التطور الأول — نماذج الذكاء الاصطناعي القانوني العربية المتخصصة: تبذل عدة جهات حكومية وبحثية سعودية وخليجية جهوداً لتطوير نماذج لغوية كبيرة مخصصة للغة العربية والسياق القانوني الإسلامي. ومن أبرزها مشاريع بحثية مرتبطة بجامعة الملك عبدالله للعلوم والتقنية (كاوست) وبعض شركات التقنية السعودية الناشئة. وحين تنضج هذه النماذج، ستُتيح خياراً تقنياً أكثر انسجاماً مع البيئة القانونية السعودية وأقل خطراً من حيث التحيز والخلل في معالجة الخصوصيات الفقهية.</w:t>
      </w:r>
    </w:p>
    <w:p w14:paraId="7FDE5A0B" w14:textId="77777777" w:rsidR="005705DD" w:rsidRDefault="005705DD" w:rsidP="005705DD">
      <w:pPr>
        <w:bidi/>
        <w:spacing w:after="200" w:line="276" w:lineRule="auto"/>
        <w:rPr>
          <w:rtl/>
        </w:rPr>
      </w:pPr>
      <w:r>
        <w:rPr>
          <w:rFonts w:asciiTheme="majorBidi" w:hAnsiTheme="majorBidi" w:cstheme="majorBidi"/>
          <w:sz w:val="24"/>
          <w:szCs w:val="24"/>
          <w:rtl/>
        </w:rPr>
        <w:t>التطور الثاني — الوكلاء القانونيون الذاتيون (Autonomous Legal Agents): يشهد عام 2025م/2026م ظهور ما يُعرف بـ"وكلاء الذكاء الاصطناعي" (AI Agents)، وهي نماذج قادرة على تنفيذ سلسلة من الخطوات اللازمة لإنجاز مهمة معقدة تلقائياً، كإعداد وثائق دعوى قضائية كاملة أو إجراء بحث قانوني شامل وتحليله وتقديم توصية مُسبّبة. هذا التطور يُحوّل الذكاء الاصطناعي من "مساعد للمحامي" إلى "مُنفِّذ مستقل" لمهام قانونية، وهو ما يُثير إشكاليات المسؤولية والرقابة بصورة أكثر حدةً من أدوات الجيل الراهن.</w:t>
      </w:r>
    </w:p>
    <w:p w14:paraId="10315401" w14:textId="77777777" w:rsidR="005705DD" w:rsidRDefault="005705DD" w:rsidP="005705DD">
      <w:pPr>
        <w:bidi/>
        <w:spacing w:after="200" w:line="276" w:lineRule="auto"/>
        <w:rPr>
          <w:rtl/>
        </w:rPr>
      </w:pPr>
      <w:r>
        <w:rPr>
          <w:rFonts w:asciiTheme="majorBidi" w:hAnsiTheme="majorBidi" w:cstheme="majorBidi"/>
          <w:sz w:val="24"/>
          <w:szCs w:val="24"/>
          <w:rtl/>
        </w:rPr>
        <w:t>التطور الثالث — الذكاء الاصطناعي متعدد الوسائط (Multimodal AI) في المحاكم: ستُتيح نماذج الذكاء الاصطناعي متعددة الوسائط في المستقبل القريب تحليل مقاطع الفيديو والصور والمستندات الممسوحة ضوئياً وحتى الاستماع إلى شهادات المحاكم المسجّلة وتحليلها. وسيُفتح ذلك آفاقاً جديدة للاستخدام القانوني المتقدم، لكنه سيُثير في الوقت ذاته تساؤلات أعمق حول خصوصية وكرامة المتقاضين والشهود.</w:t>
      </w:r>
    </w:p>
    <w:p w14:paraId="4F707584" w14:textId="77777777" w:rsidR="005705DD" w:rsidRDefault="005705DD" w:rsidP="005705DD">
      <w:pPr>
        <w:bidi/>
        <w:spacing w:after="200" w:line="276" w:lineRule="auto"/>
        <w:rPr>
          <w:rtl/>
        </w:rPr>
      </w:pPr>
      <w:r>
        <w:rPr>
          <w:rFonts w:asciiTheme="majorBidi" w:hAnsiTheme="majorBidi" w:cstheme="majorBidi"/>
          <w:sz w:val="24"/>
          <w:szCs w:val="24"/>
          <w:rtl/>
        </w:rPr>
        <w:t>ولمجابهة هذه التطورات القادمة، يُوصي الباحث بأن يُصاغ الإطار التنظيمي المقترح على مبدأَين رئيسيَين: مبدأ المرونة التنظيمية (Regulatory Flexibility) الذي يُتيح تحديث الاشتراطات دون الحاجة إلى إعادة صياغة النظام بالكامل كلما ظهر جيل جديد من الأدوات. ومبدأ التناسب في التنظيم (Proportionality Principle) الذي يُطبّق اشتراطات أصعب كلما كانت درجة الاستقلالية الذاتية للأداة الذكية أعلى.</w:t>
      </w:r>
    </w:p>
    <w:p w14:paraId="285929E9" w14:textId="77777777" w:rsidR="005705DD" w:rsidRDefault="005705DD" w:rsidP="005705DD"/>
    <w:p w14:paraId="7FA9AB21" w14:textId="77777777" w:rsidR="005705DD" w:rsidRPr="00A84F46" w:rsidRDefault="005705DD" w:rsidP="005705DD">
      <w:pPr>
        <w:bidi/>
        <w:spacing w:before="240" w:after="200" w:line="276" w:lineRule="auto"/>
        <w:jc w:val="center"/>
        <w:rPr>
          <w:b/>
          <w:bCs/>
          <w:rtl/>
        </w:rPr>
      </w:pPr>
      <w:r w:rsidRPr="00A84F46">
        <w:rPr>
          <w:rFonts w:asciiTheme="majorBidi" w:hAnsiTheme="majorBidi" w:cstheme="majorBidi"/>
          <w:b/>
          <w:bCs/>
          <w:sz w:val="28"/>
          <w:szCs w:val="28"/>
          <w:rtl/>
        </w:rPr>
        <w:t>المطلب الثالث</w:t>
      </w:r>
    </w:p>
    <w:p w14:paraId="2B1708E0" w14:textId="77777777" w:rsidR="005705DD" w:rsidRPr="00A84F46" w:rsidRDefault="005705DD" w:rsidP="005705DD">
      <w:pPr>
        <w:bidi/>
        <w:spacing w:before="240" w:after="200" w:line="276" w:lineRule="auto"/>
        <w:jc w:val="center"/>
        <w:rPr>
          <w:b/>
          <w:bCs/>
          <w:rtl/>
        </w:rPr>
      </w:pPr>
      <w:r w:rsidRPr="00A84F46">
        <w:rPr>
          <w:rFonts w:asciiTheme="majorBidi" w:hAnsiTheme="majorBidi" w:cstheme="majorBidi"/>
          <w:b/>
          <w:bCs/>
          <w:sz w:val="24"/>
          <w:szCs w:val="24"/>
          <w:rtl/>
        </w:rPr>
        <w:t>نحو إطار متكامل — قراءة نقدية استشرافية في كفاية المنظومة النظامية الراهنة</w:t>
      </w:r>
    </w:p>
    <w:p w14:paraId="2DBC44D4" w14:textId="77777777" w:rsidR="005705DD" w:rsidRPr="00A84F46" w:rsidRDefault="005705DD" w:rsidP="005705DD">
      <w:pPr>
        <w:bidi/>
        <w:spacing w:after="200" w:line="276" w:lineRule="auto"/>
        <w:rPr>
          <w:color w:val="000000" w:themeColor="text1"/>
          <w:rtl/>
        </w:rPr>
      </w:pPr>
      <w:r w:rsidRPr="00A84F46">
        <w:rPr>
          <w:rFonts w:asciiTheme="majorBidi" w:hAnsiTheme="majorBidi" w:cstheme="majorBidi"/>
          <w:b/>
          <w:color w:val="000000" w:themeColor="text1"/>
          <w:sz w:val="28"/>
          <w:szCs w:val="28"/>
          <w:rtl/>
        </w:rPr>
        <w:t>تركيب تحليلي — قراءة في المشهد الكلي</w:t>
      </w:r>
    </w:p>
    <w:p w14:paraId="2AA94F7C" w14:textId="77777777" w:rsidR="005705DD" w:rsidRDefault="005705DD" w:rsidP="005705DD">
      <w:pPr>
        <w:bidi/>
        <w:spacing w:after="200" w:line="276" w:lineRule="auto"/>
        <w:rPr>
          <w:rtl/>
        </w:rPr>
      </w:pPr>
      <w:r>
        <w:rPr>
          <w:rFonts w:asciiTheme="majorBidi" w:hAnsiTheme="majorBidi" w:cstheme="majorBidi"/>
          <w:sz w:val="24"/>
          <w:szCs w:val="24"/>
          <w:rtl/>
        </w:rPr>
        <w:t>بعد هذه الجولة التحليلية المُعمَّقة في جوانب الواقع والتحديات التي يُفرزها توظيف الذكاء الاصطناعي في مكاتب المحاماة السعودية، يصل الباحث إلى تركيب تحليلي يُقدّم المشهد الكلي في ضوء ما تناوله هذا الفصل.</w:t>
      </w:r>
    </w:p>
    <w:p w14:paraId="3C5B130D" w14:textId="77777777" w:rsidR="005705DD" w:rsidRDefault="005705DD" w:rsidP="005705DD">
      <w:pPr>
        <w:bidi/>
        <w:spacing w:after="200" w:line="276" w:lineRule="auto"/>
        <w:rPr>
          <w:rtl/>
        </w:rPr>
      </w:pPr>
      <w:r>
        <w:rPr>
          <w:rFonts w:asciiTheme="majorBidi" w:hAnsiTheme="majorBidi" w:cstheme="majorBidi"/>
          <w:sz w:val="24"/>
          <w:szCs w:val="24"/>
          <w:rtl/>
        </w:rPr>
        <w:t>التركيب الأول — الظاهرة وطبيعتها: انتشار الذكاء الاصطناعي في مكاتب المحاماة السعودية ليس أمراً مُتخَيَّلاً أو مستقبلياً، بل هو واقع ميداني راهن يتسع يوماً بعد يوم. وهذا الانتشار يتسم في أغلبه بالعشوائية وغياب الضوابط، مما يجعل سد الفراغ التنظيمي حاجةً ماسةً لا مؤجلة.</w:t>
      </w:r>
    </w:p>
    <w:p w14:paraId="0CF6ACBF" w14:textId="77777777" w:rsidR="005705DD" w:rsidRDefault="005705DD" w:rsidP="005705DD">
      <w:pPr>
        <w:bidi/>
        <w:spacing w:after="200" w:line="276" w:lineRule="auto"/>
        <w:rPr>
          <w:rtl/>
        </w:rPr>
      </w:pPr>
      <w:r>
        <w:rPr>
          <w:rFonts w:asciiTheme="majorBidi" w:hAnsiTheme="majorBidi" w:cstheme="majorBidi"/>
          <w:sz w:val="24"/>
          <w:szCs w:val="24"/>
          <w:rtl/>
        </w:rPr>
        <w:t>التركيب الثاني — الإطار القانوني القائم وحدوده: يُوفّر الإطار القانوني القائم في المملكة العربية السعودية — المتمثل في نظام المحاماة ونظام حماية البيانات الشخصية ونظام الإثبات ونظام المعاملات المدنية ونظام مكافحة الجرائم المعلوماتية — منظومةً يمكن تطويعها لمعالجة بعض الإشكاليات الطارئة. غير أن هذا الإطار يفتقر إلى نصوص مُخصَّصة ومُعدَّة أصلاً لبيئة الذكاء الاصطناعي، وهو ما يُثقل كاهل القاضي والمحامي والمنظِّم باللجوء إلى التفسير الموسَّع والاجتهاد الظرفي في غياب نصوص صريحة.</w:t>
      </w:r>
    </w:p>
    <w:p w14:paraId="6E4DD8C0" w14:textId="77777777" w:rsidR="005705DD" w:rsidRDefault="005705DD" w:rsidP="005705DD">
      <w:pPr>
        <w:bidi/>
        <w:spacing w:after="200" w:line="276" w:lineRule="auto"/>
        <w:rPr>
          <w:rtl/>
        </w:rPr>
      </w:pPr>
      <w:r>
        <w:rPr>
          <w:rFonts w:asciiTheme="majorBidi" w:hAnsiTheme="majorBidi" w:cstheme="majorBidi"/>
          <w:sz w:val="24"/>
          <w:szCs w:val="24"/>
          <w:rtl/>
        </w:rPr>
        <w:t>التركيب الثالث — التجربة الإماراتية كمرآة لا مثال مُقلَّد: ما تُقدّمه التجربة الإماراتية ليس نموذجاً جاهزاً للتقليد الحرفي، بل مرآةً تعكس إمكانية التقدم التشريعي المبكر وتُبيّن ثماره. والسياق السعودي — بمرجعيته الشرعية وضخامة اقتصاده ومنظومة رؤية 2030 — يمتلك ما يحتاجه لبناء نموذج تنظيمي ذاتي قادر على تجاوز التجربة الإماراتية في جوانب عدة، إذا ما أُحسن توظيف هذه الممكّنات.</w:t>
      </w:r>
    </w:p>
    <w:p w14:paraId="3B8134E3" w14:textId="77777777" w:rsidR="005705DD" w:rsidRDefault="005705DD" w:rsidP="005705DD">
      <w:pPr>
        <w:bidi/>
        <w:spacing w:after="200" w:line="276" w:lineRule="auto"/>
        <w:rPr>
          <w:rtl/>
        </w:rPr>
      </w:pPr>
      <w:r>
        <w:rPr>
          <w:rFonts w:asciiTheme="majorBidi" w:hAnsiTheme="majorBidi" w:cstheme="majorBidi"/>
          <w:sz w:val="24"/>
          <w:szCs w:val="24"/>
          <w:rtl/>
        </w:rPr>
        <w:t>التركيب الرابع — الوضع الراهن خسارة مزدوجة: في الحالة الراهنة — حيث تُوظَّف أدوات الذكاء الاصطناعي دون ضوابط ودون ضمانات — يُعدّ الوضع خسارةً مزدوجة: خسارة للموكلين الذين تُعالَج بياناتهم دون ضمانات كافية وتُصاغ وثائقهم بأدوات غير موثوقة وغير معتمدة. وخسارة لمكاتب المحاماة ذاتها التي تتعرض لمخاطر قانونية ومهنية قد تكون تبعاتها وخيمة دون أن تكون مُدركةً لها. في حين أن التنظيم الصريح يتحول إلى مكسب مزدوج: يوفّر الحماية للطرفين معاً.</w:t>
      </w:r>
    </w:p>
    <w:p w14:paraId="66D6BB1C" w14:textId="77777777" w:rsidR="005705DD" w:rsidRDefault="005705DD" w:rsidP="005705DD">
      <w:pPr>
        <w:bidi/>
        <w:spacing w:after="200" w:line="276" w:lineRule="auto"/>
        <w:rPr>
          <w:rtl/>
        </w:rPr>
      </w:pPr>
      <w:r>
        <w:rPr>
          <w:rFonts w:asciiTheme="majorBidi" w:hAnsiTheme="majorBidi" w:cstheme="majorBidi"/>
          <w:sz w:val="24"/>
          <w:szCs w:val="24"/>
          <w:rtl/>
        </w:rPr>
        <w:t>التركيب الخامس — الدور المنشود للفصل الرابع: يستلزم هذا المشهد الكلي أن يأتي الفصل الرابع بإطار تنظيمي مُعالِج لكل مستوى من مستويات الفجوة الثلاثة المُحدَّدة في هذا الفصل: يُعالج الفجوة المعرفية بالتدريب المهني الإلزامي وآليات نشر الوعي. ويُعالج الفجوة التطبيقية بآليات الرقابة والمساءلة ومتطلبات الإفصاح. ويُعالج الفجوة التشريعية بنص ضابط صريح يُميّز بين أصناف التقنيات ويوزّع المسؤوليات ويُحدد الاشتراطات.</w:t>
      </w:r>
    </w:p>
    <w:p w14:paraId="56D5086C" w14:textId="77777777" w:rsidR="005705DD" w:rsidRDefault="005705DD" w:rsidP="005705DD"/>
    <w:p w14:paraId="45B0FC9D"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الطريق إلى الأمام — مكتب المحاماة السعودي المُؤسَّس للذكاء الاصطناعي</w:t>
      </w:r>
    </w:p>
    <w:p w14:paraId="31D7E3A9" w14:textId="77777777" w:rsidR="005705DD" w:rsidRDefault="005705DD" w:rsidP="005705DD">
      <w:pPr>
        <w:bidi/>
        <w:spacing w:after="200" w:line="276" w:lineRule="auto"/>
        <w:rPr>
          <w:rtl/>
        </w:rPr>
      </w:pPr>
      <w:r>
        <w:rPr>
          <w:rFonts w:asciiTheme="majorBidi" w:hAnsiTheme="majorBidi" w:cstheme="majorBidi"/>
          <w:sz w:val="24"/>
          <w:szCs w:val="24"/>
          <w:rtl/>
        </w:rPr>
        <w:t>يُختتم الباحث هذه الجولة التحليلية بتصوّر لما يُمكن تسميته "مكتب المحاماة السعودي المُؤسَّس للذكاء الاصطناعي" (AI-Ready Saudi Law Firm)، وهو تصوّر يُجسّد الحالة التي تُصبح فيها الثغرات المُرصودة في هذا الفصل مُعالَجة بصورة مؤسسية داخل المكتب ذاته بانتظار الإطار التشريعي الشامل:</w:t>
      </w:r>
    </w:p>
    <w:p w14:paraId="42458EF4" w14:textId="77777777" w:rsidR="005705DD" w:rsidRDefault="005705DD" w:rsidP="005705DD">
      <w:pPr>
        <w:bidi/>
        <w:spacing w:after="200" w:line="276" w:lineRule="auto"/>
        <w:rPr>
          <w:rtl/>
        </w:rPr>
      </w:pPr>
      <w:r>
        <w:rPr>
          <w:rFonts w:asciiTheme="majorBidi" w:hAnsiTheme="majorBidi" w:cstheme="majorBidi"/>
          <w:sz w:val="24"/>
          <w:szCs w:val="24"/>
          <w:rtl/>
        </w:rPr>
        <w:t>السمة الأولى — امتلاك سياسة ذكاء اصطناعي داخلية مُحكَمة: تُحدد أصناف الأدوات المُجازة، وطبيعة البيانات المسموح بإدخالها، وإجراءات المراجعة البشرية الإلزامية، وآليات الإفصاح للموكل، وأسلوب التوثيق.</w:t>
      </w:r>
    </w:p>
    <w:p w14:paraId="018A0834"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السمة الثانية — امتلاك كفاءة بشرية متخصصة في التقنيات القانونية: سواء عبر التدريب الداخلي للمحامين القائمين على فهم حدود أدوات الذكاء الاصطناعي وآليات التحقق من مخرجاتها، أو عبر تعيين مختص في "القانون والتقنية" (Legal Tech Specialist) يُشرف على الاستخدام المؤسسي للأدوات.</w:t>
      </w:r>
    </w:p>
    <w:p w14:paraId="27695309" w14:textId="77777777" w:rsidR="005705DD" w:rsidRDefault="005705DD" w:rsidP="005705DD">
      <w:pPr>
        <w:bidi/>
        <w:spacing w:after="200" w:line="276" w:lineRule="auto"/>
        <w:rPr>
          <w:rtl/>
        </w:rPr>
      </w:pPr>
      <w:r>
        <w:rPr>
          <w:rFonts w:asciiTheme="majorBidi" w:hAnsiTheme="majorBidi" w:cstheme="majorBidi"/>
          <w:sz w:val="24"/>
          <w:szCs w:val="24"/>
          <w:rtl/>
        </w:rPr>
        <w:t>السمة الثالثة — اعتماد أدوات مُدقَّقة بعناية وليس كل ما هو متاح: لا يعني توافر أداة ذكية مجاناً أو بتكلفة منخفضة أنها الخيار الأنسب؛ فمكتب المحاماة المُؤسَّس يُقيّم الأدوات بمعايير الأمن والموثوقية والامتثال التنظيمي قبل اعتمادها، لا بمعيار الكلفة وحده.</w:t>
      </w:r>
    </w:p>
    <w:p w14:paraId="0EA35731" w14:textId="77777777" w:rsidR="005705DD" w:rsidRDefault="005705DD" w:rsidP="005705DD">
      <w:pPr>
        <w:bidi/>
        <w:spacing w:after="200" w:line="276" w:lineRule="auto"/>
        <w:rPr>
          <w:rtl/>
        </w:rPr>
      </w:pPr>
      <w:r>
        <w:rPr>
          <w:rFonts w:asciiTheme="majorBidi" w:hAnsiTheme="majorBidi" w:cstheme="majorBidi"/>
          <w:sz w:val="24"/>
          <w:szCs w:val="24"/>
          <w:rtl/>
        </w:rPr>
        <w:t>السمة الرابعة — إدارة مخاطر مستمرة لا لحظية: تُعدّ إدارة المخاطر المرتبطة بالذكاء الاصطناعي عمليةً مستمرة لا حادثةً وقتية. ومكتب المحاماة المُؤسَّس يُراجع سياساته بصورة دورية كلما تطورت الأدوات أو تغيرت البيئة التنظيمية، ويُدير سجلاً لحوادث الاستخدام غير المرغوب فيه يُساعد على التعلم من الأخطاء.</w:t>
      </w:r>
    </w:p>
    <w:p w14:paraId="2B54A664" w14:textId="77777777" w:rsidR="005705DD" w:rsidRDefault="005705DD" w:rsidP="005705DD">
      <w:pPr>
        <w:bidi/>
        <w:spacing w:after="200" w:line="276" w:lineRule="auto"/>
        <w:rPr>
          <w:rtl/>
        </w:rPr>
      </w:pPr>
      <w:r>
        <w:rPr>
          <w:rFonts w:asciiTheme="majorBidi" w:hAnsiTheme="majorBidi" w:cstheme="majorBidi"/>
          <w:sz w:val="24"/>
          <w:szCs w:val="24"/>
          <w:rtl/>
        </w:rPr>
        <w:t>السمة الخامسة — الالتزام الاستباقي لا الانتظاري: لا ينتظر مكتب المحاماة المُؤسَّس صدورَ التشريع لبدء الامتثال، بل يُبادر بتبنّي أفضل الممارسات الدولية ويُعدّلها لتتلاءم مع السياق السعودي. هذا الالتزام الاستباقي يُقلّل من مخاطر التعرض للمسؤولية ويُعزّز السمعة المهنية، ويُمكّن المكتب من التأثير الإيجابي على المسار التشريعي حين تُستشار مكاتب المحاماة في صياغة الأطر التنظيمية المقبلة.</w:t>
      </w:r>
    </w:p>
    <w:p w14:paraId="69801345" w14:textId="77777777" w:rsidR="005705DD" w:rsidRDefault="005705DD" w:rsidP="005705DD">
      <w:pPr>
        <w:bidi/>
        <w:spacing w:after="200" w:line="276" w:lineRule="auto"/>
        <w:rPr>
          <w:rtl/>
        </w:rPr>
      </w:pPr>
      <w:r>
        <w:rPr>
          <w:rFonts w:asciiTheme="majorBidi" w:hAnsiTheme="majorBidi" w:cstheme="majorBidi"/>
          <w:sz w:val="24"/>
          <w:szCs w:val="24"/>
          <w:rtl/>
        </w:rPr>
        <w:t>يُعبّر الباحث في خاتمة هذه الجولة التحليلية عن اقتناعه بأن الفصل بين قيود التشريع وفرص الممارسة المهنية المسؤولة ممكن ومشروع؛ فلا يلزم انتظار التشريع الكامل للسلوك بمقتضى الأخلاقيات المهنية الرفيعة. والمحامي السعودي الذي يمزج بين الكفاءة التقنية والانضباط المهني والوعي النظامي هو الذي يُشكّل النموذج الأجدر بالاحتذاء في حقبة الذكاء الاصطناعي، قبل أن يفرض التشريع ذلك وبعده.</w:t>
      </w:r>
    </w:p>
    <w:p w14:paraId="71702474" w14:textId="77777777" w:rsidR="005705DD" w:rsidRDefault="005705DD" w:rsidP="005705DD"/>
    <w:p w14:paraId="76336B53"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جداول</w:t>
      </w:r>
      <w:r>
        <w:rPr>
          <w:rFonts w:asciiTheme="majorBidi" w:hAnsiTheme="majorBidi" w:cstheme="majorBidi" w:hint="cs"/>
          <w:bCs/>
          <w:color w:val="000000" w:themeColor="text1"/>
          <w:sz w:val="28"/>
          <w:szCs w:val="28"/>
          <w:rtl/>
        </w:rPr>
        <w:t xml:space="preserve"> عمل</w:t>
      </w:r>
      <w:r w:rsidRPr="00A84F46">
        <w:rPr>
          <w:rFonts w:asciiTheme="majorBidi" w:hAnsiTheme="majorBidi" w:cstheme="majorBidi"/>
          <w:bCs/>
          <w:color w:val="000000" w:themeColor="text1"/>
          <w:sz w:val="28"/>
          <w:szCs w:val="28"/>
          <w:rtl/>
        </w:rPr>
        <w:t xml:space="preserve"> تلخيصية — مقارنة المخاطر والتوصيات الميدانية</w:t>
      </w:r>
    </w:p>
    <w:p w14:paraId="2DA952A7" w14:textId="77777777" w:rsidR="005705DD" w:rsidRDefault="005705DD" w:rsidP="005705DD">
      <w:pPr>
        <w:bidi/>
        <w:spacing w:after="200" w:line="276" w:lineRule="auto"/>
        <w:rPr>
          <w:rtl/>
        </w:rPr>
      </w:pPr>
      <w:r>
        <w:rPr>
          <w:rFonts w:asciiTheme="majorBidi" w:hAnsiTheme="majorBidi" w:cstheme="majorBidi"/>
          <w:sz w:val="24"/>
          <w:szCs w:val="24"/>
          <w:rtl/>
        </w:rPr>
        <w:t>يُختتم الباحث تحليله في هذا الفصل بجداول تلخيصية تُجمع الإشكاليات والمخاطر والتوصيات الميدانية المرحلية في صورة موجزة قابلة للتطبيق من جانب مكاتب المحاماة السعودية قبل صدور تشريع صريح:</w:t>
      </w:r>
    </w:p>
    <w:p w14:paraId="53D4A21D" w14:textId="77777777" w:rsidR="005705DD" w:rsidRDefault="005705DD" w:rsidP="005705DD">
      <w:pPr>
        <w:bidi/>
        <w:spacing w:after="200" w:line="276" w:lineRule="auto"/>
        <w:rPr>
          <w:rtl/>
        </w:rPr>
      </w:pPr>
      <w:r>
        <w:rPr>
          <w:rFonts w:asciiTheme="majorBidi" w:hAnsiTheme="majorBidi" w:cstheme="majorBidi"/>
          <w:sz w:val="24"/>
          <w:szCs w:val="24"/>
          <w:rtl/>
        </w:rPr>
        <w:t>الجدول الأول — تصنيف الأدوات والمخاطر المقابلة لها: أدوات الذكاء الاصطناعي التوليدي العامة (ChatGPT, Gemini, Copilot) تحمل مخاطر مرتفعة من حيث سيادة البيانات وخطأ المعلومات، وتُناسبها توصية: الاستخدام المحدود في المهام الإدارية الروتينية مع تجنب إدخال البيانات الحساسة. أما أدوات الذكاء الاصطناعي القانوني المتخصصة (Harvey, Luminance) فتحمل مخاطر أقل من حيث دقة المعلومات لكن مخاطر أعلى من حيث الكلفة والاعتماد عليها، وتُناسبها توصية: التحقق الإضافي من المراجع والاشتراط التعاقدي على ضمانات البيانات. وأما المنصات القانونية المحلية (ناجز وغيرها) فهي الأقل مخاطر نظامياً وتُوصى باستخدامها كخيار أول كلما أتاحت الوظيفة المطلوبة.</w:t>
      </w:r>
    </w:p>
    <w:p w14:paraId="1F5C1D63" w14:textId="77777777" w:rsidR="005705DD" w:rsidRDefault="005705DD" w:rsidP="005705DD">
      <w:pPr>
        <w:bidi/>
        <w:spacing w:after="200" w:line="276" w:lineRule="auto"/>
        <w:rPr>
          <w:rtl/>
        </w:rPr>
      </w:pPr>
      <w:r>
        <w:rPr>
          <w:rFonts w:asciiTheme="majorBidi" w:hAnsiTheme="majorBidi" w:cstheme="majorBidi"/>
          <w:sz w:val="24"/>
          <w:szCs w:val="24"/>
          <w:rtl/>
        </w:rPr>
        <w:t>الجدول الثاني — توصيات مرحلية لمكاتب المحاماة السعودية قبل صدور التشريع: أولاً: إعداد سياسة داخلية مكتوبة تُحدد أي الأدوات الذكية مُجازة لأي نوع من المهام وما هي القيود المصاحبة. ثانياً: إلزام المحامين بإخطار الموكلين كتابةً باستخدام الذكاء الاصطناعي ضمن نطاق الوكالة، مع الحصول على موافقة خطية بما يُلزم الموكل فيما يتعلق بمعالجة بياناته. ثالثاً: اعتماد مبدأ "الإنسان في الحلقة" (Human-in-the-Loop) بصورة مُقنَّنة، بمعنى إلزام مراجعة بشرية متخصصة لكل مخرج ذكي قبل تقديمه لجهة قضائية أو لموكل. رابعاً: الامتناع عن إدخال البيانات الشخصية الحساسة والوثائق القضائية الحيوية في أدوات ذكاء اصطناعي أجنبية غير خاضعة للولاية القضائية السعودية. خامساً: التحقق الاستنادي (Source Verification) لكل مرجع قانوني أو حكم قضائي يذكره النموذج الذكي قبل الاستشهاد به في أي وثيقة رسمية.</w:t>
      </w:r>
    </w:p>
    <w:p w14:paraId="2BE01331"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الجدول الثالث — المستجدات التشريعية المقترح متابعتها: ينبغي لمكاتب المحاماة السعودية متابعة المستجدات التشريعية التالية لأثرها المباشر المتوقَّع: أولاً: اللوائح التنفيذية لنظام حماية البيانات الشخصية (1443هـ) المتوقع توسيعها وتخصيصها. ثانياً: أي تعميمات أو توجيهات تصدرها هيئة المحامين السعوديين بشأن الذكاء الاصطناعي. ثالثاً: المستجدات في وثائق سدايا التنظيمية لا سيما تلك المتعلقة بالقطاع القانوني. رابعاً: المستجدات في نظام المحاماة الذي يُتوقع أن تشمل مراجعاته القادمة إشارات صريحة لاستخدام التقنيات الذكية. خامساً: التجربة الإماراتية في إصدار لوائح التزام الذكاء الاصطناعي للقطاع القانوني، إذ تُشير التقارير إلى أنها قد تصدر في الأفق القريب.</w:t>
      </w:r>
    </w:p>
    <w:p w14:paraId="4E4D096E" w14:textId="77777777" w:rsidR="005705DD" w:rsidRDefault="005705DD" w:rsidP="005705DD"/>
    <w:p w14:paraId="7C6F9780"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خلاصة نقدية شاملة — قراءة اختبارية لمدى كفاية الإطار النظامي الراهن</w:t>
      </w:r>
    </w:p>
    <w:p w14:paraId="601401D5" w14:textId="77777777" w:rsidR="005705DD" w:rsidRDefault="005705DD" w:rsidP="005705DD">
      <w:pPr>
        <w:bidi/>
        <w:spacing w:after="200" w:line="276" w:lineRule="auto"/>
        <w:rPr>
          <w:rtl/>
        </w:rPr>
      </w:pPr>
      <w:r>
        <w:rPr>
          <w:rFonts w:asciiTheme="majorBidi" w:hAnsiTheme="majorBidi" w:cstheme="majorBidi"/>
          <w:sz w:val="24"/>
          <w:szCs w:val="24"/>
          <w:rtl/>
        </w:rPr>
        <w:t>في خاتمة هذا الفصل، يُقدّم الباحث قراءةً اختباريةً نقديةً شاملة لمدى كفاية الإطار النظامي السعودي الراهن للتعامل مع التحديات التي رصدها الفصل. وتُجري هذه القراءة "اختباراً بالسيناريو" (Scenario Test) لكل نظام رئيسي ذي صلة:</w:t>
      </w:r>
    </w:p>
    <w:p w14:paraId="7A973DCA" w14:textId="77777777" w:rsidR="005705DD" w:rsidRDefault="005705DD" w:rsidP="005705DD">
      <w:pPr>
        <w:bidi/>
        <w:spacing w:after="200" w:line="276" w:lineRule="auto"/>
        <w:rPr>
          <w:rtl/>
        </w:rPr>
      </w:pPr>
      <w:r>
        <w:rPr>
          <w:rFonts w:asciiTheme="majorBidi" w:hAnsiTheme="majorBidi" w:cstheme="majorBidi"/>
          <w:sz w:val="24"/>
          <w:szCs w:val="24"/>
          <w:rtl/>
        </w:rPr>
        <w:t>نظام المحاماة — الاختبار: هل يستطيع نظام المحاماة الحالي محاسبة محامٍ استخدم الذكاء الاصطناعي بصورة مُخلّة بمصلحة موكله؟ الإجابة: نعم جزئياً، عبر أحكام واجب العناية وواجب السرية — لكن بصعوبة إثباتية كبيرة في غياب نص صريح يُحدد معيار "الاستخدام المعيب للذكاء الاصطناعي". النتيجة: الإطار الراهن يسمح بالمحاسبة لكن ليس بكفاءة وحسم كافيَين.</w:t>
      </w:r>
    </w:p>
    <w:p w14:paraId="172A606D" w14:textId="77777777" w:rsidR="005705DD" w:rsidRDefault="005705DD" w:rsidP="005705DD">
      <w:pPr>
        <w:bidi/>
        <w:spacing w:after="200" w:line="276" w:lineRule="auto"/>
        <w:rPr>
          <w:rtl/>
        </w:rPr>
      </w:pPr>
      <w:r>
        <w:rPr>
          <w:rFonts w:asciiTheme="majorBidi" w:hAnsiTheme="majorBidi" w:cstheme="majorBidi"/>
          <w:sz w:val="24"/>
          <w:szCs w:val="24"/>
          <w:rtl/>
        </w:rPr>
        <w:t>نظام حماية البيانات — الاختبار: هل يُحمي النظام موكلاً سعودياً بياناته أُدخلت في أداة ذكاء اصطناعي أجنبية؟ الإجابة: النص النظامي يُوجب الحماية — لكن آليات الإنفاذ العابرة للحدود تظل ضعيفة في حال كان المزوّد أجنبياً خارج الولاية القضائية. النتيجة: حماية نظرية قوية وحماية عملية محدودة.</w:t>
      </w:r>
    </w:p>
    <w:p w14:paraId="4FC1FAC1" w14:textId="77777777" w:rsidR="005705DD" w:rsidRDefault="005705DD" w:rsidP="005705DD">
      <w:pPr>
        <w:bidi/>
        <w:spacing w:after="200" w:line="276" w:lineRule="auto"/>
        <w:rPr>
          <w:rtl/>
        </w:rPr>
      </w:pPr>
      <w:r>
        <w:rPr>
          <w:rFonts w:asciiTheme="majorBidi" w:hAnsiTheme="majorBidi" w:cstheme="majorBidi"/>
          <w:sz w:val="24"/>
          <w:szCs w:val="24"/>
          <w:rtl/>
        </w:rPr>
        <w:t>نظام الإثبات — الاختبار: هل تتمتع المذكرة التي كُتبت بالكامل بواسطة الذكاء الاصطناعي وراجعها المحامي بحجية قانونية كاملة؟ الإجابة: لا تُعارضها نصوص النظام صراحةً، لكن حجيتها تظل رهينةً بالسلطة التقديرية للقاضي الذي قد يرفضها. النتيجة: يُوجد عدم يقين تشريعي يُضرّ بالممارسة المهنية.</w:t>
      </w:r>
    </w:p>
    <w:p w14:paraId="5FBDB10D" w14:textId="77777777" w:rsidR="005705DD" w:rsidRDefault="005705DD" w:rsidP="005705DD">
      <w:pPr>
        <w:bidi/>
        <w:spacing w:after="200" w:line="276" w:lineRule="auto"/>
        <w:rPr>
          <w:rtl/>
        </w:rPr>
      </w:pPr>
      <w:r>
        <w:rPr>
          <w:rFonts w:asciiTheme="majorBidi" w:hAnsiTheme="majorBidi" w:cstheme="majorBidi"/>
          <w:sz w:val="24"/>
          <w:szCs w:val="24"/>
          <w:rtl/>
        </w:rPr>
        <w:t>نظام مكافحة الجرائم المعلوماتية — الاختبار: هل يُمكن ملاحقة من يُنشئ منصة تقدم استشارات قانونية بالذكاء الاصطناعي دون ترخيص؟ الإجابة: يتعلق الأمر بتكييف هل هذه المنصة تمارس مهنة المحاماة (نظام المحاماة) أم تنتهك نظام الجرائم المعلوماتية. وفي الغالب لا يُغطي نظام الجرائم المعلوماتية هذا النوع من الفعل لأنه لا يتضمن ضرراً معلوماتياً مباشراً كالاختراق أو التشهير. النتيجة: ثغرة تشريعية واضحة في هذا الملف.</w:t>
      </w:r>
    </w:p>
    <w:p w14:paraId="0B3E31FE" w14:textId="77777777" w:rsidR="005705DD" w:rsidRDefault="005705DD" w:rsidP="005705DD">
      <w:pPr>
        <w:bidi/>
        <w:spacing w:after="200" w:line="276" w:lineRule="auto"/>
        <w:rPr>
          <w:rtl/>
        </w:rPr>
      </w:pPr>
      <w:r>
        <w:rPr>
          <w:rFonts w:asciiTheme="majorBidi" w:hAnsiTheme="majorBidi" w:cstheme="majorBidi"/>
          <w:sz w:val="24"/>
          <w:szCs w:val="24"/>
          <w:rtl/>
        </w:rPr>
        <w:t>خلاصة القراءة الاختبارية: إن الإطار النظامي الراهن يُوفّر "شبكة أمان بالحد الأدنى" وليس حمايةً شاملةً كافية لمواجهة إشكاليات توظيف الذكاء الاصطناعي في المهنة القانونية. وهذا الحد الأدنى كافٍ لمعالجة بعض الحالات البسيطة والصريحة، لكنه يُعجز عن الإجابة على أغلب الأسئلة الجوهرية المطروحة في هذا الفصل بصورة كافية وحاسمة. ومن ثم، فإن التشريع الصريح ليس ترفاً اكاديمياً بل ضرورة عملية ملحّة تقتضيها مصلحة الموكلين وسلامة المهنة واستقرار المنظومة العدلية.</w:t>
      </w:r>
    </w:p>
    <w:p w14:paraId="6C1090D2" w14:textId="77777777" w:rsidR="005705DD" w:rsidRDefault="005705DD" w:rsidP="005705DD">
      <w:pPr>
        <w:bidi/>
        <w:spacing w:after="200" w:line="276" w:lineRule="auto"/>
        <w:rPr>
          <w:rtl/>
        </w:rPr>
      </w:pPr>
      <w:r>
        <w:rPr>
          <w:rFonts w:asciiTheme="majorBidi" w:hAnsiTheme="majorBidi" w:cstheme="majorBidi"/>
          <w:sz w:val="24"/>
          <w:szCs w:val="24"/>
          <w:rtl/>
        </w:rPr>
        <w:t>ويُحيل الباحث إلى الفصل الرابع من هذه الدراسة الذي سيتولى بناءً على هذه القراءة النقدية الجاملة — ومجمل ما تناوله هذا الفصل — تقديم إطار تنظيمي مقترح متكامل يُعالج الثغرات المُحدَّدة ويُوفّر منظومة تنظيمية شاملة لتوظيف الذكاء الاصطناعي في مكاتب المحاماة السعودية وفق مقتضيات الشريعة الإسلامية والبيئة النظامية الخاصة بالمملكة العربية السعودية.</w:t>
      </w:r>
    </w:p>
    <w:p w14:paraId="5290C74B" w14:textId="77777777" w:rsidR="005705DD" w:rsidRDefault="005705DD" w:rsidP="005705DD">
      <w:pPr>
        <w:bidi/>
        <w:spacing w:after="200" w:line="276" w:lineRule="auto"/>
        <w:rPr>
          <w:rtl/>
        </w:rPr>
      </w:pPr>
    </w:p>
    <w:p w14:paraId="173A5D98" w14:textId="77777777" w:rsidR="005705DD" w:rsidRDefault="005705DD" w:rsidP="005705DD">
      <w:pPr>
        <w:bidi/>
        <w:spacing w:after="200" w:line="276" w:lineRule="auto"/>
        <w:rPr>
          <w:rtl/>
        </w:rPr>
      </w:pPr>
    </w:p>
    <w:p w14:paraId="35253F6D"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lastRenderedPageBreak/>
        <w:t>خلاصة الفصل الثالث</w:t>
      </w:r>
    </w:p>
    <w:p w14:paraId="70FEFCB4" w14:textId="77777777" w:rsidR="005705DD" w:rsidRDefault="005705DD" w:rsidP="005705DD"/>
    <w:p w14:paraId="013189DE" w14:textId="77777777" w:rsidR="005705DD" w:rsidRDefault="005705DD" w:rsidP="005705DD">
      <w:pPr>
        <w:bidi/>
        <w:spacing w:after="200" w:line="276" w:lineRule="auto"/>
        <w:rPr>
          <w:rtl/>
        </w:rPr>
      </w:pPr>
      <w:r>
        <w:rPr>
          <w:rFonts w:asciiTheme="majorBidi" w:hAnsiTheme="majorBidi" w:cstheme="majorBidi"/>
          <w:sz w:val="28"/>
          <w:szCs w:val="28"/>
          <w:rtl/>
        </w:rPr>
        <w:t>تناول هذا الفصل الجانب الميداني والتطبيقي من موضوع الدراسة، وخلص إلى جملة من النتائج يمكن إيجازها على النحو الآتي:</w:t>
      </w:r>
    </w:p>
    <w:p w14:paraId="6482C284" w14:textId="77777777" w:rsidR="005705DD" w:rsidRDefault="005705DD" w:rsidP="005705DD">
      <w:pPr>
        <w:bidi/>
        <w:spacing w:after="200" w:line="276" w:lineRule="auto"/>
        <w:rPr>
          <w:rtl/>
        </w:rPr>
      </w:pPr>
      <w:r>
        <w:rPr>
          <w:rFonts w:asciiTheme="majorBidi" w:hAnsiTheme="majorBidi" w:cstheme="majorBidi"/>
          <w:sz w:val="24"/>
          <w:szCs w:val="24"/>
          <w:rtl/>
        </w:rPr>
        <w:t>أولاً: التمييز المفاهيمي الضروري — يُعدّ التمييز بين الذكاء الاصطناعي القانوني بصوره التوليدية والتنبؤية، والبرمجيات القانونية التقليدية، والعقود الذكية المرتبطة بالبلوكشين، تمييزاً جوهرياً لا غنى عنه للتحليل القانوني الدقيق. وقد كشفت الدراسة أن الخلط بين هذه الأصناف الثلاثة شائع في الأدبيات القانونية العربية، وله تبعات قانونية وتشريعية خطيرة.</w:t>
      </w:r>
    </w:p>
    <w:p w14:paraId="076D3CFE" w14:textId="77777777" w:rsidR="005705DD" w:rsidRDefault="005705DD" w:rsidP="005705DD">
      <w:pPr>
        <w:bidi/>
        <w:spacing w:after="200" w:line="276" w:lineRule="auto"/>
        <w:rPr>
          <w:rtl/>
        </w:rPr>
      </w:pPr>
      <w:r>
        <w:rPr>
          <w:rFonts w:asciiTheme="majorBidi" w:hAnsiTheme="majorBidi" w:cstheme="majorBidi"/>
          <w:sz w:val="24"/>
          <w:szCs w:val="24"/>
          <w:rtl/>
        </w:rPr>
        <w:t>ثانياً: الواقع التقني في السوق القانوني السعودي — يشهد السوق القانوني السعودي حضوراً متنامياً لثلاثة أصناف من الأدوات: الأدوات التوليدية العامة، والأدوات القانونية المتخصصة، والمنصات المحلية الرقمية. ويتوزع هذا الاستخدام بحسب حجم المكاتب القانونية، مع هيمنة الأدوات المجانية في القطاع الأوسع انتشاراً.</w:t>
      </w:r>
    </w:p>
    <w:p w14:paraId="04C97E98" w14:textId="77777777" w:rsidR="005705DD" w:rsidRDefault="005705DD" w:rsidP="005705DD">
      <w:pPr>
        <w:bidi/>
        <w:spacing w:after="200" w:line="276" w:lineRule="auto"/>
        <w:rPr>
          <w:rtl/>
        </w:rPr>
      </w:pPr>
      <w:r>
        <w:rPr>
          <w:rFonts w:asciiTheme="majorBidi" w:hAnsiTheme="majorBidi" w:cstheme="majorBidi"/>
          <w:sz w:val="24"/>
          <w:szCs w:val="24"/>
          <w:rtl/>
        </w:rPr>
        <w:t>ثالثاً: الفجوة النظامية — تُظهر المقارنة بين الاستخدام الفعلي والضوابط النظامية فجوةً حادة تتجلى في ثلاثة مستويات متراكمة: الفجوة المعرفية لدى المحامين، والفجوة التطبيقية في الالتزام، والفجوة التشريعية في غياب النص الصريح. كما يواجه استخدام أدوات الذكاء الاصطناعي الأجنبية تعارضات واضحة مع نظام حماية البيانات الشخصية (1443هـ) لا سيما في مسائل نقل البيانات خارج المملكة.</w:t>
      </w:r>
    </w:p>
    <w:p w14:paraId="410A480A" w14:textId="77777777" w:rsidR="005705DD" w:rsidRDefault="005705DD" w:rsidP="005705DD">
      <w:pPr>
        <w:bidi/>
        <w:spacing w:after="200" w:line="276" w:lineRule="auto"/>
        <w:rPr>
          <w:rtl/>
        </w:rPr>
      </w:pPr>
      <w:r>
        <w:rPr>
          <w:rFonts w:asciiTheme="majorBidi" w:hAnsiTheme="majorBidi" w:cstheme="majorBidi"/>
          <w:sz w:val="24"/>
          <w:szCs w:val="24"/>
          <w:rtl/>
        </w:rPr>
        <w:t>رابعاً: مخاطر الاستخدام الفردي — رصد الفصل خمسة مخاطر جوهرية تترتب على الاستخدام الفردي غير المنضبط، هي: خطأ المعلومات (الهلوسة)، وانتهاك السرية المهنية، والتحيز الخوارزمي، وتسرب البيانات، ومزاولة المهنة دون ترخيص. وتتفاقم هذه المخاطر بسبب غياب الرقابة المسبقة وصعوبة الإثبات عند الضرر.</w:t>
      </w:r>
    </w:p>
    <w:p w14:paraId="427A71AA" w14:textId="77777777" w:rsidR="005705DD" w:rsidRDefault="005705DD" w:rsidP="005705DD">
      <w:pPr>
        <w:bidi/>
        <w:spacing w:after="200" w:line="276" w:lineRule="auto"/>
        <w:rPr>
          <w:rtl/>
        </w:rPr>
      </w:pPr>
      <w:r>
        <w:rPr>
          <w:rFonts w:asciiTheme="majorBidi" w:hAnsiTheme="majorBidi" w:cstheme="majorBidi"/>
          <w:sz w:val="24"/>
          <w:szCs w:val="24"/>
          <w:rtl/>
        </w:rPr>
        <w:t>خامساً: الدروس الإماراتية — تُقدّم التجربة الإماراتية نموذجاً إقليمياً مهماً تتجلى إسهاماته في: المأسسة التشريعية المبكرة، والتكامل بين التقنية والتشريع، والتنظيم القائم على المخاطر، وتمييز المسؤوليات. غير أن استيعاب هذه الدروس في البيئة السعودية يستلزم تكييفها مع المرجعية التشريعية الإسلامية والخصوصية النظامية السعودية، لا استنساخها حرفياً.</w:t>
      </w:r>
    </w:p>
    <w:p w14:paraId="6E674BEA" w14:textId="77777777" w:rsidR="005705DD" w:rsidRDefault="005705DD" w:rsidP="005705DD">
      <w:pPr>
        <w:bidi/>
        <w:spacing w:after="200" w:line="276" w:lineRule="auto"/>
        <w:rPr>
          <w:rtl/>
        </w:rPr>
      </w:pPr>
      <w:r>
        <w:rPr>
          <w:rFonts w:asciiTheme="majorBidi" w:hAnsiTheme="majorBidi" w:cstheme="majorBidi"/>
          <w:sz w:val="24"/>
          <w:szCs w:val="24"/>
          <w:rtl/>
        </w:rPr>
        <w:t>سادساً: التوجه نحو الفصل الرابع — تُشكّل هذه الاستنتاجات مجتمعةً البنية التحتية الضرورية لمقاربة الفصل الرابع الذي سيُقدّم إطاراً قانونياً تنظيمياً مقترحاً لمعالجة هذه الفجوات التشريعية والتطبيقية، مُستنيراً بالتجارب المقارنة ومُستند على الإطار الفقهي والتشريعي السعودي.</w:t>
      </w:r>
    </w:p>
    <w:p w14:paraId="625C88A1" w14:textId="77777777" w:rsidR="005705DD" w:rsidRDefault="005705DD" w:rsidP="005705DD">
      <w:pPr>
        <w:rPr>
          <w:rFonts w:asciiTheme="majorBidi" w:hAnsiTheme="majorBidi" w:cstheme="majorBidi"/>
          <w:sz w:val="24"/>
          <w:szCs w:val="24"/>
        </w:rPr>
      </w:pPr>
    </w:p>
    <w:p w14:paraId="7D1C83D9" w14:textId="77777777" w:rsidR="005705DD" w:rsidRDefault="005705DD" w:rsidP="000003D3">
      <w:pPr>
        <w:jc w:val="right"/>
        <w:rPr>
          <w:rFonts w:asciiTheme="majorBidi" w:hAnsiTheme="majorBidi" w:cstheme="majorBidi"/>
          <w:sz w:val="24"/>
          <w:szCs w:val="24"/>
        </w:rPr>
      </w:pPr>
    </w:p>
    <w:p w14:paraId="42A5C90D" w14:textId="77777777" w:rsidR="005705DD" w:rsidRDefault="005705DD" w:rsidP="000003D3">
      <w:pPr>
        <w:jc w:val="right"/>
        <w:rPr>
          <w:rFonts w:asciiTheme="majorBidi" w:hAnsiTheme="majorBidi" w:cstheme="majorBidi"/>
          <w:sz w:val="24"/>
          <w:szCs w:val="24"/>
        </w:rPr>
      </w:pPr>
    </w:p>
    <w:p w14:paraId="4FDF0F91" w14:textId="77777777" w:rsidR="005705DD" w:rsidRDefault="005705DD" w:rsidP="000003D3">
      <w:pPr>
        <w:jc w:val="right"/>
        <w:rPr>
          <w:rFonts w:asciiTheme="majorBidi" w:hAnsiTheme="majorBidi" w:cstheme="majorBidi"/>
          <w:sz w:val="24"/>
          <w:szCs w:val="24"/>
        </w:rPr>
      </w:pPr>
    </w:p>
    <w:p w14:paraId="2C517679" w14:textId="77777777" w:rsidR="005705DD" w:rsidRDefault="005705DD" w:rsidP="000003D3">
      <w:pPr>
        <w:jc w:val="right"/>
        <w:rPr>
          <w:rFonts w:asciiTheme="majorBidi" w:hAnsiTheme="majorBidi" w:cstheme="majorBidi"/>
          <w:sz w:val="24"/>
          <w:szCs w:val="24"/>
        </w:rPr>
      </w:pPr>
    </w:p>
    <w:p w14:paraId="07AE4533" w14:textId="77777777" w:rsidR="005705DD" w:rsidRDefault="005705DD" w:rsidP="000003D3">
      <w:pPr>
        <w:jc w:val="right"/>
        <w:rPr>
          <w:rFonts w:asciiTheme="majorBidi" w:hAnsiTheme="majorBidi" w:cstheme="majorBidi"/>
          <w:sz w:val="24"/>
          <w:szCs w:val="24"/>
        </w:rPr>
      </w:pPr>
    </w:p>
    <w:p w14:paraId="67228C90" w14:textId="77777777" w:rsidR="005705DD" w:rsidRDefault="005705DD" w:rsidP="005705DD">
      <w:pPr>
        <w:rPr>
          <w:rFonts w:asciiTheme="majorBidi" w:hAnsiTheme="majorBidi" w:cstheme="majorBidi"/>
          <w:sz w:val="24"/>
          <w:szCs w:val="24"/>
        </w:rPr>
      </w:pPr>
    </w:p>
    <w:p w14:paraId="0217A206" w14:textId="77777777" w:rsidR="005705DD" w:rsidRDefault="005705DD" w:rsidP="005705DD">
      <w:pPr>
        <w:rPr>
          <w:rFonts w:asciiTheme="majorBidi" w:hAnsiTheme="majorBidi" w:cstheme="majorBidi"/>
          <w:sz w:val="24"/>
          <w:szCs w:val="24"/>
          <w:rtl/>
        </w:rPr>
      </w:pPr>
    </w:p>
    <w:p w14:paraId="7CA5CC9B" w14:textId="5483E106" w:rsidR="004639DD" w:rsidRDefault="004639DD" w:rsidP="000003D3">
      <w:pPr>
        <w:jc w:val="right"/>
        <w:rPr>
          <w:rFonts w:asciiTheme="majorBidi" w:hAnsiTheme="majorBidi" w:cstheme="majorBidi"/>
          <w:sz w:val="32"/>
          <w:szCs w:val="32"/>
          <w:rtl/>
        </w:rPr>
      </w:pPr>
      <w:r>
        <w:rPr>
          <w:rFonts w:asciiTheme="majorBidi" w:hAnsiTheme="majorBidi" w:cstheme="majorBidi" w:hint="cs"/>
          <w:sz w:val="32"/>
          <w:szCs w:val="32"/>
          <w:rtl/>
        </w:rPr>
        <w:lastRenderedPageBreak/>
        <w:t>قائمة المراجع:</w:t>
      </w:r>
    </w:p>
    <w:p w14:paraId="3B261E73" w14:textId="77777777" w:rsidR="004639DD" w:rsidRPr="004639DD" w:rsidRDefault="004639DD" w:rsidP="004639DD">
      <w:pPr>
        <w:jc w:val="right"/>
        <w:rPr>
          <w:rFonts w:asciiTheme="majorBidi" w:hAnsiTheme="majorBidi" w:cstheme="majorBidi"/>
          <w:b/>
          <w:bCs/>
          <w:sz w:val="24"/>
          <w:szCs w:val="24"/>
        </w:rPr>
      </w:pPr>
      <w:r>
        <w:rPr>
          <w:rFonts w:asciiTheme="majorBidi" w:hAnsiTheme="majorBidi" w:cstheme="majorBidi"/>
          <w:b/>
          <w:bCs/>
          <w:sz w:val="24"/>
          <w:szCs w:val="24"/>
          <w:rtl/>
        </w:rPr>
        <w:t>أولًا: الأنظمة واللوائح الرسمية</w:t>
      </w:r>
    </w:p>
    <w:p w14:paraId="406AFF5D" w14:textId="77777777"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tl/>
        </w:rPr>
        <w:t>هيئة الخبراء بمجلس الوزراء. (1422هـ)</w:t>
      </w:r>
      <w:r>
        <w:rPr>
          <w:rFonts w:asciiTheme="majorBidi" w:hAnsiTheme="majorBidi" w:cstheme="majorBidi"/>
          <w:sz w:val="24"/>
          <w:szCs w:val="24"/>
        </w:rPr>
        <w:t xml:space="preserve">. </w:t>
      </w:r>
      <w:r>
        <w:rPr>
          <w:rFonts w:asciiTheme="majorBidi" w:hAnsiTheme="majorBidi" w:cstheme="majorBidi"/>
          <w:i/>
          <w:iCs/>
          <w:sz w:val="24"/>
          <w:szCs w:val="24"/>
          <w:rtl/>
        </w:rPr>
        <w:t>نظام المحاماة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(1428هـ)</w:t>
      </w:r>
      <w:r>
        <w:rPr>
          <w:rFonts w:asciiTheme="majorBidi" w:hAnsiTheme="majorBidi" w:cstheme="majorBidi"/>
          <w:sz w:val="24"/>
          <w:szCs w:val="24"/>
        </w:rPr>
        <w:t xml:space="preserve">. </w:t>
      </w:r>
      <w:r>
        <w:rPr>
          <w:rFonts w:asciiTheme="majorBidi" w:hAnsiTheme="majorBidi" w:cstheme="majorBidi"/>
          <w:i/>
          <w:iCs/>
          <w:sz w:val="24"/>
          <w:szCs w:val="24"/>
          <w:rtl/>
        </w:rPr>
        <w:t>نظام الإجراءات الجزائية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(1428هـ)</w:t>
      </w:r>
      <w:r>
        <w:rPr>
          <w:rFonts w:asciiTheme="majorBidi" w:hAnsiTheme="majorBidi" w:cstheme="majorBidi"/>
          <w:sz w:val="24"/>
          <w:szCs w:val="24"/>
        </w:rPr>
        <w:t xml:space="preserve">. </w:t>
      </w:r>
      <w:r>
        <w:rPr>
          <w:rFonts w:asciiTheme="majorBidi" w:hAnsiTheme="majorBidi" w:cstheme="majorBidi"/>
          <w:i/>
          <w:iCs/>
          <w:sz w:val="24"/>
          <w:szCs w:val="24"/>
          <w:rtl/>
        </w:rPr>
        <w:t>نظام مكافحة الجرائم المعلوماتية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(1443هـ)</w:t>
      </w:r>
      <w:r>
        <w:rPr>
          <w:rFonts w:asciiTheme="majorBidi" w:hAnsiTheme="majorBidi" w:cstheme="majorBidi"/>
          <w:sz w:val="24"/>
          <w:szCs w:val="24"/>
        </w:rPr>
        <w:t xml:space="preserve">. </w:t>
      </w:r>
      <w:r>
        <w:rPr>
          <w:rFonts w:asciiTheme="majorBidi" w:hAnsiTheme="majorBidi" w:cstheme="majorBidi"/>
          <w:i/>
          <w:iCs/>
          <w:sz w:val="24"/>
          <w:szCs w:val="24"/>
          <w:rtl/>
        </w:rPr>
        <w:t>نظام حماية البيانات الشخصية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(1443هـ)</w:t>
      </w:r>
      <w:r>
        <w:rPr>
          <w:rFonts w:asciiTheme="majorBidi" w:hAnsiTheme="majorBidi" w:cstheme="majorBidi"/>
          <w:sz w:val="24"/>
          <w:szCs w:val="24"/>
        </w:rPr>
        <w:t xml:space="preserve">. </w:t>
      </w:r>
      <w:r>
        <w:rPr>
          <w:rFonts w:asciiTheme="majorBidi" w:hAnsiTheme="majorBidi" w:cstheme="majorBidi"/>
          <w:i/>
          <w:iCs/>
          <w:sz w:val="24"/>
          <w:szCs w:val="24"/>
          <w:rtl/>
        </w:rPr>
        <w:t>نظام الإثبات</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(1445هـ)</w:t>
      </w:r>
      <w:r>
        <w:rPr>
          <w:rFonts w:asciiTheme="majorBidi" w:hAnsiTheme="majorBidi" w:cstheme="majorBidi"/>
          <w:sz w:val="24"/>
          <w:szCs w:val="24"/>
        </w:rPr>
        <w:t xml:space="preserve">. </w:t>
      </w:r>
      <w:r>
        <w:rPr>
          <w:rFonts w:asciiTheme="majorBidi" w:hAnsiTheme="majorBidi" w:cstheme="majorBidi"/>
          <w:i/>
          <w:iCs/>
          <w:sz w:val="24"/>
          <w:szCs w:val="24"/>
          <w:rtl/>
        </w:rPr>
        <w:t>نظام المعاملات المدنية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وزارة العدل. (1441هـ)</w:t>
      </w:r>
      <w:r>
        <w:rPr>
          <w:rFonts w:asciiTheme="majorBidi" w:hAnsiTheme="majorBidi" w:cstheme="majorBidi"/>
          <w:sz w:val="24"/>
          <w:szCs w:val="24"/>
        </w:rPr>
        <w:t xml:space="preserve">. </w:t>
      </w:r>
      <w:r>
        <w:rPr>
          <w:rFonts w:asciiTheme="majorBidi" w:hAnsiTheme="majorBidi" w:cstheme="majorBidi"/>
          <w:i/>
          <w:iCs/>
          <w:sz w:val="24"/>
          <w:szCs w:val="24"/>
          <w:rtl/>
        </w:rPr>
        <w:t>اللائحة التنفيذية لنظام المحاماة</w:t>
      </w:r>
      <w:r>
        <w:rPr>
          <w:rFonts w:asciiTheme="majorBidi" w:hAnsiTheme="majorBidi" w:cstheme="majorBidi"/>
          <w:sz w:val="24"/>
          <w:szCs w:val="24"/>
        </w:rPr>
        <w:t xml:space="preserve">. </w:t>
      </w:r>
      <w:r>
        <w:rPr>
          <w:rFonts w:asciiTheme="majorBidi" w:hAnsiTheme="majorBidi" w:cstheme="majorBidi"/>
          <w:sz w:val="24"/>
          <w:szCs w:val="24"/>
          <w:rtl/>
        </w:rPr>
        <w:t>الرياض: وزارة العدل</w:t>
      </w:r>
      <w:r>
        <w:rPr>
          <w:rFonts w:asciiTheme="majorBidi" w:hAnsiTheme="majorBidi" w:cstheme="majorBidi"/>
          <w:sz w:val="24"/>
          <w:szCs w:val="24"/>
        </w:rPr>
        <w:t>.</w:t>
      </w:r>
    </w:p>
    <w:p w14:paraId="63D3679A" w14:textId="77777777" w:rsidR="004639DD" w:rsidRPr="004639DD" w:rsidRDefault="004639DD" w:rsidP="004639DD">
      <w:pPr>
        <w:jc w:val="right"/>
        <w:rPr>
          <w:rFonts w:asciiTheme="majorBidi" w:hAnsiTheme="majorBidi" w:cstheme="majorBidi"/>
          <w:b/>
          <w:bCs/>
          <w:sz w:val="24"/>
          <w:szCs w:val="24"/>
        </w:rPr>
      </w:pPr>
      <w:r>
        <w:rPr>
          <w:rFonts w:asciiTheme="majorBidi" w:hAnsiTheme="majorBidi" w:cstheme="majorBidi"/>
          <w:b/>
          <w:bCs/>
          <w:sz w:val="24"/>
          <w:szCs w:val="24"/>
          <w:rtl/>
        </w:rPr>
        <w:t>ثانيًا: الوثائق والتقارير الرسمية</w:t>
      </w:r>
    </w:p>
    <w:p w14:paraId="1CF93FD4"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الترتيبات التنظيمية للهيئة السعودية للبيانات والذكاء الاصطناعي (2020م). الصادرة بقرار مجلس الوزراء رقم (292) وتاريخ 1441/4/27هـ، المعدلة بقرار مجلس الوزراء رقم (195) وتاريخ 1444/3/15هـ. الرياض: مجلس الوزراء.</w:t>
      </w:r>
    </w:p>
    <w:p w14:paraId="588BFF99"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البرلمان الأوروبي والمجلس الأوروبي (2024م). لائحة الذكاء الاصطناعي (EU AI Act) - اللائحة الأوروبية رقم 2024/1689. بروكسل: الاتحاد الأوروبي.</w:t>
      </w:r>
    </w:p>
    <w:p w14:paraId="094CD6F2"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(1422هـ). نظام المحاماة الصادر بالمرسوم الملكي رقم م/38 وتاريخ 28/7/1422هـ. الرياض: الأمانة العامة لمجلس الوزراء.</w:t>
      </w:r>
    </w:p>
    <w:p w14:paraId="63DEAE6B"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(1422هـ). اللائحة التنفيذية لنظام المحاماة. الرياض: وزارة العدل.</w:t>
      </w:r>
    </w:p>
    <w:p w14:paraId="70D63B06"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(1428هـ). نظام القضاء الصادر بالمرسوم الملكي رقم م/78 وتاريخ 19/9/1428هـ. الرياض: الأمانة العامة لمجلس الوزراء.</w:t>
      </w:r>
    </w:p>
    <w:p w14:paraId="65A3548E"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(1428هـ). نظام التعاملات الإلكترونية الصادر بالمرسوم الملكي رقم م/18 وتاريخ 26/3/1428هـ. الرياض: الأمانة العامة لمجلس الوزراء.</w:t>
      </w:r>
    </w:p>
    <w:p w14:paraId="45EFC3B2"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(1428هـ). نظام مكافحة الجرائم المعلوماتية الصادر بالمرسوم الملكي رقم م/17 وتاريخ 8/3/1428هـ. الرياض: الأمانة العامة لمجلس الوزراء.</w:t>
      </w:r>
    </w:p>
    <w:p w14:paraId="1A336406"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(1435هـ). نظام الإجراءات الجزائية الصادر بالمرسوم الملكي رقم م/2 وتاريخ 22/1/1435هـ. الرياض: الأمانة العامة لمجلس الوزراء.</w:t>
      </w:r>
    </w:p>
    <w:p w14:paraId="40910449"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(1443هـ). نظام حماية البيانات الشخصية الصادر بالمرسوم الملكي رقم م/19 وتاريخ 9/2/1443هـ. الرياض: الأمانة العامة لمجلس الوزراء.</w:t>
      </w:r>
    </w:p>
    <w:p w14:paraId="367D18C3"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الهيئة السعودية للبيانات والذكاء الاصطناعي (سدايا) (2023م). مبادئ أخلاقيات الذكاء الاصطناعي. الرياض: سدايا، الإصدار الأول.</w:t>
      </w:r>
    </w:p>
    <w:p w14:paraId="782BBD1D"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الهيئة السعودية للبيانات والذكاء الاصطناعي (سدايا) (2024م). أخلاقيات الذكاء الاصطناعي. سلسلة الذكاء الاصطناعي للتنفيذيين (3)، الطبعة الثانية، أبريل 2024م.</w:t>
      </w:r>
    </w:p>
    <w:p w14:paraId="4102FE4B"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الهيئة السعودية للبيانات والذكاء الاصطناعي (سدايا) (2024م). إطار تبني الذكاء الاصطناعي. الرياض: سدايا، سبتمبر 2024م.</w:t>
      </w:r>
    </w:p>
    <w:p w14:paraId="3E7C529A" w14:textId="7086010B" w:rsidR="00C41E32" w:rsidRDefault="00000000" w:rsidP="00CB3527">
      <w:pPr>
        <w:bidi/>
        <w:ind w:right="720"/>
        <w:jc w:val="both"/>
        <w:rPr>
          <w:rFonts w:asciiTheme="majorBidi" w:hAnsiTheme="majorBidi" w:cstheme="majorBidi"/>
          <w:sz w:val="24"/>
          <w:szCs w:val="24"/>
          <w:rtl/>
        </w:rPr>
      </w:pPr>
      <w:r>
        <w:rPr>
          <w:rFonts w:asciiTheme="majorBidi" w:hAnsiTheme="majorBidi" w:cstheme="majorBidi"/>
          <w:sz w:val="24"/>
          <w:szCs w:val="24"/>
          <w:rtl/>
        </w:rPr>
        <w:lastRenderedPageBreak/>
        <w:t>الهيئة السعودية للبيانات والذكاء الاصطناعي (سدايا) (2025م). الدليل الاسترشادي لتقويم مخاطر نقل البيانات الشخصية إلى خارج المملكة. الرياض: سدايا، فبراير 2025م.</w:t>
      </w:r>
    </w:p>
    <w:p w14:paraId="6FD644AD" w14:textId="77777777"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tl/>
        </w:rPr>
        <w:t>الهيئة السعودية للبيانات والذكاء الاصطناعي (سدايا)</w:t>
      </w:r>
      <w:r>
        <w:rPr>
          <w:rFonts w:asciiTheme="majorBidi" w:hAnsiTheme="majorBidi" w:cstheme="majorBidi"/>
          <w:sz w:val="24"/>
          <w:szCs w:val="24"/>
        </w:rPr>
        <w:t xml:space="preserve">. (2023). </w:t>
      </w:r>
      <w:r>
        <w:rPr>
          <w:rFonts w:asciiTheme="majorBidi" w:hAnsiTheme="majorBidi" w:cstheme="majorBidi"/>
          <w:i/>
          <w:iCs/>
          <w:sz w:val="24"/>
          <w:szCs w:val="24"/>
          <w:rtl/>
        </w:rPr>
        <w:t>وثيقة مبادئ أخلاقيات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الرياض: سدايا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الهيئة السعودية للبيانات والذكاء الاصطناعي (سدايا)</w:t>
      </w:r>
      <w:r>
        <w:rPr>
          <w:rFonts w:asciiTheme="majorBidi" w:hAnsiTheme="majorBidi" w:cstheme="majorBidi"/>
          <w:sz w:val="24"/>
          <w:szCs w:val="24"/>
        </w:rPr>
        <w:t xml:space="preserve">. (2023). </w:t>
      </w:r>
      <w:r>
        <w:rPr>
          <w:rFonts w:asciiTheme="majorBidi" w:hAnsiTheme="majorBidi" w:cstheme="majorBidi"/>
          <w:i/>
          <w:iCs/>
          <w:sz w:val="24"/>
          <w:szCs w:val="24"/>
          <w:rtl/>
        </w:rPr>
        <w:t>الدليل الاسترشادي لتقويم مخاطر نقل البيانات الشخصية إلى خارج المملكة</w:t>
      </w:r>
      <w:r>
        <w:rPr>
          <w:rFonts w:asciiTheme="majorBidi" w:hAnsiTheme="majorBidi" w:cstheme="majorBidi"/>
          <w:sz w:val="24"/>
          <w:szCs w:val="24"/>
        </w:rPr>
        <w:t xml:space="preserve">. </w:t>
      </w:r>
      <w:r>
        <w:rPr>
          <w:rFonts w:asciiTheme="majorBidi" w:hAnsiTheme="majorBidi" w:cstheme="majorBidi"/>
          <w:sz w:val="24"/>
          <w:szCs w:val="24"/>
          <w:rtl/>
        </w:rPr>
        <w:t>الرياض: سدايا</w:t>
      </w:r>
      <w:r>
        <w:rPr>
          <w:rFonts w:asciiTheme="majorBidi" w:hAnsiTheme="majorBidi" w:cstheme="majorBidi"/>
          <w:sz w:val="24"/>
          <w:szCs w:val="24"/>
        </w:rPr>
        <w:t>.</w:t>
      </w:r>
    </w:p>
    <w:p w14:paraId="0A158841" w14:textId="061D19B3" w:rsidR="004639DD" w:rsidRDefault="004639DD" w:rsidP="004639DD">
      <w:pPr>
        <w:jc w:val="right"/>
        <w:rPr>
          <w:rFonts w:asciiTheme="majorBidi" w:hAnsiTheme="majorBidi" w:cstheme="majorBidi"/>
          <w:b/>
          <w:bCs/>
          <w:sz w:val="24"/>
          <w:szCs w:val="24"/>
          <w:rtl/>
        </w:rPr>
      </w:pPr>
      <w:r>
        <w:rPr>
          <w:rFonts w:asciiTheme="majorBidi" w:hAnsiTheme="majorBidi" w:cstheme="majorBidi"/>
          <w:b/>
          <w:bCs/>
          <w:sz w:val="24"/>
          <w:szCs w:val="24"/>
          <w:rtl/>
        </w:rPr>
        <w:t>ثالثًا: الكتب والدراسات القانونية</w:t>
      </w:r>
      <w:r>
        <w:rPr>
          <w:rFonts w:asciiTheme="majorBidi" w:hAnsiTheme="majorBidi" w:cstheme="majorBidi" w:hint="cs"/>
          <w:b/>
          <w:bCs/>
          <w:sz w:val="24"/>
          <w:szCs w:val="24"/>
          <w:rtl/>
        </w:rPr>
        <w:t xml:space="preserve"> والأبحاث المحكمة</w:t>
      </w:r>
    </w:p>
    <w:p w14:paraId="3668AEF9" w14:textId="3CFE25C7" w:rsidR="00CB3527" w:rsidRPr="00CB3527" w:rsidRDefault="00CB3527" w:rsidP="00CB3527">
      <w:pPr>
        <w:bidi/>
        <w:ind w:right="720"/>
        <w:jc w:val="both"/>
        <w:rPr>
          <w:rFonts w:asciiTheme="majorBidi" w:hAnsiTheme="majorBidi" w:cstheme="majorBidi"/>
          <w:sz w:val="24"/>
          <w:szCs w:val="24"/>
        </w:rPr>
      </w:pPr>
      <w:r>
        <w:rPr>
          <w:rFonts w:asciiTheme="majorBidi" w:hAnsiTheme="majorBidi" w:cstheme="majorBidi"/>
          <w:sz w:val="24"/>
          <w:szCs w:val="24"/>
          <w:rtl/>
        </w:rPr>
        <w:t>السريع، عبد العزيز بن محمد؛ والزامل، عبد الله بن عبد المحسن (1445هـ). نظام المعاملات المدنية مع الفهارس. الرياض: الجمعية العلمية القضائية السعودية (قضاء).</w:t>
      </w:r>
    </w:p>
    <w:p w14:paraId="7718CC33" w14:textId="77777777"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tl/>
        </w:rPr>
        <w:t>العيسى، إبراهيم</w:t>
      </w:r>
      <w:r>
        <w:rPr>
          <w:rFonts w:asciiTheme="majorBidi" w:hAnsiTheme="majorBidi" w:cstheme="majorBidi"/>
          <w:sz w:val="24"/>
          <w:szCs w:val="24"/>
        </w:rPr>
        <w:t xml:space="preserve">. (2023). </w:t>
      </w:r>
      <w:r>
        <w:rPr>
          <w:rFonts w:asciiTheme="majorBidi" w:hAnsiTheme="majorBidi" w:cstheme="majorBidi"/>
          <w:i/>
          <w:iCs/>
          <w:sz w:val="24"/>
          <w:szCs w:val="24"/>
          <w:rtl/>
        </w:rPr>
        <w:t>القواعد والإجراءات المنظمة لاستخدامات الذكاء الاصطناعي في المملكة العربية السعودية وآثارها القانونية</w:t>
      </w:r>
      <w:r>
        <w:rPr>
          <w:rFonts w:asciiTheme="majorBidi" w:hAnsiTheme="majorBidi" w:cstheme="majorBidi"/>
          <w:sz w:val="24"/>
          <w:szCs w:val="24"/>
        </w:rPr>
        <w:t xml:space="preserve">. </w:t>
      </w:r>
      <w:r>
        <w:rPr>
          <w:rFonts w:asciiTheme="majorBidi" w:hAnsiTheme="majorBidi" w:cstheme="majorBidi"/>
          <w:sz w:val="24"/>
          <w:szCs w:val="24"/>
          <w:rtl/>
        </w:rPr>
        <w:t>بحث علمي منشور</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سلسلة المعرفة القانونية</w:t>
      </w:r>
      <w:r>
        <w:rPr>
          <w:rFonts w:asciiTheme="majorBidi" w:hAnsiTheme="majorBidi" w:cstheme="majorBidi"/>
          <w:sz w:val="24"/>
          <w:szCs w:val="24"/>
        </w:rPr>
        <w:t xml:space="preserve">. (2022). </w:t>
      </w:r>
      <w:r>
        <w:rPr>
          <w:rFonts w:asciiTheme="majorBidi" w:hAnsiTheme="majorBidi" w:cstheme="majorBidi"/>
          <w:i/>
          <w:iCs/>
          <w:sz w:val="24"/>
          <w:szCs w:val="24"/>
          <w:rtl/>
        </w:rPr>
        <w:t>الذكاء الاصطناعي والقانون</w:t>
      </w:r>
      <w:r>
        <w:rPr>
          <w:rFonts w:asciiTheme="majorBidi" w:hAnsiTheme="majorBidi" w:cstheme="majorBidi"/>
          <w:sz w:val="24"/>
          <w:szCs w:val="24"/>
        </w:rPr>
        <w:t xml:space="preserve">. </w:t>
      </w:r>
      <w:r>
        <w:rPr>
          <w:rFonts w:asciiTheme="majorBidi" w:hAnsiTheme="majorBidi" w:cstheme="majorBidi"/>
          <w:sz w:val="24"/>
          <w:szCs w:val="24"/>
          <w:rtl/>
        </w:rPr>
        <w:t>سلسلة منشورات المعرفة القانونية، المجلد</w:t>
      </w:r>
      <w:r>
        <w:rPr>
          <w:rFonts w:asciiTheme="majorBidi" w:hAnsiTheme="majorBidi" w:cstheme="majorBidi"/>
          <w:sz w:val="24"/>
          <w:szCs w:val="24"/>
        </w:rPr>
        <w:t xml:space="preserve"> (5).</w:t>
      </w:r>
    </w:p>
    <w:p w14:paraId="5B61C2B9" w14:textId="77777777" w:rsidR="00CB3527" w:rsidRDefault="004639DD" w:rsidP="004639DD">
      <w:pPr>
        <w:jc w:val="right"/>
        <w:rPr>
          <w:rFonts w:asciiTheme="majorBidi" w:hAnsiTheme="majorBidi" w:cstheme="majorBidi"/>
          <w:sz w:val="24"/>
          <w:szCs w:val="24"/>
          <w:rtl/>
        </w:rPr>
      </w:pPr>
      <w:r>
        <w:rPr>
          <w:rFonts w:asciiTheme="majorBidi" w:hAnsiTheme="majorBidi" w:cstheme="majorBidi"/>
          <w:sz w:val="24"/>
          <w:szCs w:val="24"/>
          <w:rtl/>
        </w:rPr>
        <w:t>المالكي، خالد</w:t>
      </w:r>
      <w:r>
        <w:rPr>
          <w:rFonts w:asciiTheme="majorBidi" w:hAnsiTheme="majorBidi" w:cstheme="majorBidi"/>
          <w:sz w:val="24"/>
          <w:szCs w:val="24"/>
        </w:rPr>
        <w:t xml:space="preserve">. (2024). </w:t>
      </w:r>
      <w:r>
        <w:rPr>
          <w:rFonts w:asciiTheme="majorBidi" w:hAnsiTheme="majorBidi" w:cstheme="majorBidi"/>
          <w:i/>
          <w:iCs/>
          <w:sz w:val="24"/>
          <w:szCs w:val="24"/>
          <w:rtl/>
        </w:rPr>
        <w:t>المسؤولية المدنية عن فعل الذكاء الاصطناعي في النظام السعودي</w:t>
      </w:r>
      <w:r>
        <w:rPr>
          <w:rFonts w:asciiTheme="majorBidi" w:hAnsiTheme="majorBidi" w:cstheme="majorBidi"/>
          <w:sz w:val="24"/>
          <w:szCs w:val="24"/>
        </w:rPr>
        <w:t xml:space="preserve">. </w:t>
      </w:r>
      <w:r>
        <w:rPr>
          <w:rFonts w:asciiTheme="majorBidi" w:hAnsiTheme="majorBidi" w:cstheme="majorBidi"/>
          <w:i/>
          <w:iCs/>
          <w:sz w:val="24"/>
          <w:szCs w:val="24"/>
          <w:rtl/>
        </w:rPr>
        <w:t>مجلة البحوث الفقهية والقانونية</w:t>
      </w:r>
      <w:r>
        <w:rPr>
          <w:rFonts w:asciiTheme="majorBidi" w:hAnsiTheme="majorBidi" w:cstheme="majorBidi"/>
          <w:sz w:val="24"/>
          <w:szCs w:val="24"/>
          <w:rtl/>
        </w:rPr>
        <w:t>، العدد</w:t>
      </w:r>
      <w:r>
        <w:rPr>
          <w:rFonts w:asciiTheme="majorBidi" w:hAnsiTheme="majorBidi" w:cstheme="majorBidi"/>
          <w:sz w:val="24"/>
          <w:szCs w:val="24"/>
        </w:rPr>
        <w:t xml:space="preserve"> (15).</w:t>
      </w:r>
      <w:r>
        <w:rPr>
          <w:rFonts w:asciiTheme="majorBidi" w:hAnsiTheme="majorBidi" w:cstheme="majorBidi"/>
          <w:sz w:val="24"/>
          <w:szCs w:val="24"/>
        </w:rPr>
        <w:br/>
      </w:r>
      <w:r>
        <w:rPr>
          <w:rFonts w:asciiTheme="majorBidi" w:hAnsiTheme="majorBidi" w:cstheme="majorBidi"/>
          <w:sz w:val="24"/>
          <w:szCs w:val="24"/>
          <w:rtl/>
        </w:rPr>
        <w:t>حمادي، عبد الله</w:t>
      </w:r>
      <w:r>
        <w:rPr>
          <w:rFonts w:asciiTheme="majorBidi" w:hAnsiTheme="majorBidi" w:cstheme="majorBidi"/>
          <w:sz w:val="24"/>
          <w:szCs w:val="24"/>
        </w:rPr>
        <w:t xml:space="preserve">. (2022). </w:t>
      </w:r>
      <w:r>
        <w:rPr>
          <w:rFonts w:asciiTheme="majorBidi" w:hAnsiTheme="majorBidi" w:cstheme="majorBidi"/>
          <w:i/>
          <w:iCs/>
          <w:sz w:val="24"/>
          <w:szCs w:val="24"/>
          <w:rtl/>
        </w:rPr>
        <w:t>المسؤولية المدنية عن أفعال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مجلة علمية قانونية، المجلد</w:t>
      </w:r>
      <w:r>
        <w:rPr>
          <w:rFonts w:asciiTheme="majorBidi" w:hAnsiTheme="majorBidi" w:cstheme="majorBidi"/>
          <w:sz w:val="24"/>
          <w:szCs w:val="24"/>
        </w:rPr>
        <w:t xml:space="preserve"> (8).</w:t>
      </w:r>
      <w:r>
        <w:rPr>
          <w:rFonts w:asciiTheme="majorBidi" w:hAnsiTheme="majorBidi" w:cstheme="majorBidi"/>
          <w:sz w:val="24"/>
          <w:szCs w:val="24"/>
        </w:rPr>
        <w:br/>
      </w:r>
      <w:r>
        <w:rPr>
          <w:rFonts w:asciiTheme="majorBidi" w:hAnsiTheme="majorBidi" w:cstheme="majorBidi"/>
          <w:sz w:val="24"/>
          <w:szCs w:val="24"/>
          <w:rtl/>
        </w:rPr>
        <w:t>خليل، محمد سعيد</w:t>
      </w:r>
      <w:r>
        <w:rPr>
          <w:rFonts w:asciiTheme="majorBidi" w:hAnsiTheme="majorBidi" w:cstheme="majorBidi"/>
          <w:sz w:val="24"/>
          <w:szCs w:val="24"/>
        </w:rPr>
        <w:t xml:space="preserve">. (2022). </w:t>
      </w:r>
      <w:r>
        <w:rPr>
          <w:rFonts w:asciiTheme="majorBidi" w:hAnsiTheme="majorBidi" w:cstheme="majorBidi"/>
          <w:i/>
          <w:iCs/>
          <w:sz w:val="24"/>
          <w:szCs w:val="24"/>
          <w:rtl/>
        </w:rPr>
        <w:t>المسؤولية القانونية عن أفعال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مجلة علمية قانونية، المجلد</w:t>
      </w:r>
      <w:r>
        <w:rPr>
          <w:rFonts w:asciiTheme="majorBidi" w:hAnsiTheme="majorBidi" w:cstheme="majorBidi"/>
          <w:sz w:val="24"/>
          <w:szCs w:val="24"/>
        </w:rPr>
        <w:t xml:space="preserve"> (8).</w:t>
      </w:r>
      <w:r>
        <w:rPr>
          <w:rFonts w:asciiTheme="majorBidi" w:hAnsiTheme="majorBidi" w:cstheme="majorBidi"/>
          <w:sz w:val="24"/>
          <w:szCs w:val="24"/>
        </w:rPr>
        <w:br/>
      </w:r>
      <w:r>
        <w:rPr>
          <w:rFonts w:asciiTheme="majorBidi" w:hAnsiTheme="majorBidi" w:cstheme="majorBidi"/>
          <w:sz w:val="24"/>
          <w:szCs w:val="24"/>
          <w:rtl/>
        </w:rPr>
        <w:t>مجلة العدالة</w:t>
      </w:r>
      <w:r>
        <w:rPr>
          <w:rFonts w:asciiTheme="majorBidi" w:hAnsiTheme="majorBidi" w:cstheme="majorBidi"/>
          <w:sz w:val="24"/>
          <w:szCs w:val="24"/>
        </w:rPr>
        <w:t xml:space="preserve">. (2022). </w:t>
      </w:r>
      <w:r>
        <w:rPr>
          <w:rFonts w:asciiTheme="majorBidi" w:hAnsiTheme="majorBidi" w:cstheme="majorBidi"/>
          <w:i/>
          <w:iCs/>
          <w:sz w:val="24"/>
          <w:szCs w:val="24"/>
          <w:rtl/>
        </w:rPr>
        <w:t>المسؤولية عن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وزارة العدل السعودية، العدد</w:t>
      </w:r>
      <w:r>
        <w:rPr>
          <w:rFonts w:asciiTheme="majorBidi" w:hAnsiTheme="majorBidi" w:cstheme="majorBidi"/>
          <w:sz w:val="24"/>
          <w:szCs w:val="24"/>
        </w:rPr>
        <w:t xml:space="preserve"> (65).</w:t>
      </w:r>
      <w:r>
        <w:rPr>
          <w:rFonts w:asciiTheme="majorBidi" w:hAnsiTheme="majorBidi" w:cstheme="majorBidi"/>
          <w:sz w:val="24"/>
          <w:szCs w:val="24"/>
        </w:rPr>
        <w:br/>
      </w:r>
      <w:r>
        <w:rPr>
          <w:rFonts w:asciiTheme="majorBidi" w:hAnsiTheme="majorBidi" w:cstheme="majorBidi"/>
          <w:sz w:val="24"/>
          <w:szCs w:val="24"/>
          <w:rtl/>
        </w:rPr>
        <w:t>مجلة الشريعة والقانون</w:t>
      </w:r>
      <w:r>
        <w:rPr>
          <w:rFonts w:asciiTheme="majorBidi" w:hAnsiTheme="majorBidi" w:cstheme="majorBidi"/>
          <w:sz w:val="24"/>
          <w:szCs w:val="24"/>
        </w:rPr>
        <w:t xml:space="preserve">. (2022). </w:t>
      </w:r>
      <w:r>
        <w:rPr>
          <w:rFonts w:asciiTheme="majorBidi" w:hAnsiTheme="majorBidi" w:cstheme="majorBidi"/>
          <w:i/>
          <w:iCs/>
          <w:sz w:val="24"/>
          <w:szCs w:val="24"/>
          <w:rtl/>
        </w:rPr>
        <w:t>الذكاء الاصطناعي والعمل القضائي</w:t>
      </w:r>
      <w:r>
        <w:rPr>
          <w:rFonts w:asciiTheme="majorBidi" w:hAnsiTheme="majorBidi" w:cstheme="majorBidi"/>
          <w:sz w:val="24"/>
          <w:szCs w:val="24"/>
        </w:rPr>
        <w:t xml:space="preserve">. </w:t>
      </w:r>
      <w:r>
        <w:rPr>
          <w:rFonts w:asciiTheme="majorBidi" w:hAnsiTheme="majorBidi" w:cstheme="majorBidi"/>
          <w:sz w:val="24"/>
          <w:szCs w:val="24"/>
          <w:rtl/>
        </w:rPr>
        <w:t>كلية القانون، جامعة الإمارات العربية المتحدة، العدد</w:t>
      </w:r>
      <w:r>
        <w:rPr>
          <w:rFonts w:asciiTheme="majorBidi" w:hAnsiTheme="majorBidi" w:cstheme="majorBidi"/>
          <w:sz w:val="24"/>
          <w:szCs w:val="24"/>
        </w:rPr>
        <w:t xml:space="preserve"> (99).</w:t>
      </w:r>
      <w:r>
        <w:rPr>
          <w:rFonts w:asciiTheme="majorBidi" w:hAnsiTheme="majorBidi" w:cstheme="majorBidi"/>
          <w:sz w:val="24"/>
          <w:szCs w:val="24"/>
        </w:rPr>
        <w:br/>
      </w:r>
      <w:r>
        <w:rPr>
          <w:rFonts w:asciiTheme="majorBidi" w:hAnsiTheme="majorBidi" w:cstheme="majorBidi"/>
          <w:sz w:val="24"/>
          <w:szCs w:val="24"/>
          <w:rtl/>
        </w:rPr>
        <w:t>مجلة علمية</w:t>
      </w:r>
      <w:r>
        <w:rPr>
          <w:rFonts w:asciiTheme="majorBidi" w:hAnsiTheme="majorBidi" w:cstheme="majorBidi"/>
          <w:sz w:val="24"/>
          <w:szCs w:val="24"/>
        </w:rPr>
        <w:t xml:space="preserve">. (2022). </w:t>
      </w:r>
      <w:r>
        <w:rPr>
          <w:rFonts w:asciiTheme="majorBidi" w:hAnsiTheme="majorBidi" w:cstheme="majorBidi"/>
          <w:i/>
          <w:iCs/>
          <w:sz w:val="24"/>
          <w:szCs w:val="24"/>
          <w:rtl/>
        </w:rPr>
        <w:t>الذكاء الاصطناعي والآثار القانونية المترتبة عن استخدامه</w:t>
      </w:r>
      <w:r>
        <w:rPr>
          <w:rFonts w:asciiTheme="majorBidi" w:hAnsiTheme="majorBidi" w:cstheme="majorBidi"/>
          <w:sz w:val="24"/>
          <w:szCs w:val="24"/>
        </w:rPr>
        <w:t xml:space="preserve">. </w:t>
      </w:r>
      <w:r>
        <w:rPr>
          <w:rFonts w:asciiTheme="majorBidi" w:hAnsiTheme="majorBidi" w:cstheme="majorBidi"/>
          <w:sz w:val="24"/>
          <w:szCs w:val="24"/>
          <w:rtl/>
        </w:rPr>
        <w:t>مجلة علمية قانونية، المجلد</w:t>
      </w:r>
      <w:r>
        <w:rPr>
          <w:rFonts w:asciiTheme="majorBidi" w:hAnsiTheme="majorBidi" w:cstheme="majorBidi"/>
          <w:sz w:val="24"/>
          <w:szCs w:val="24"/>
        </w:rPr>
        <w:t xml:space="preserve"> (7).</w:t>
      </w:r>
      <w:r>
        <w:rPr>
          <w:rFonts w:asciiTheme="majorBidi" w:hAnsiTheme="majorBidi" w:cstheme="majorBidi"/>
          <w:sz w:val="24"/>
          <w:szCs w:val="24"/>
        </w:rPr>
        <w:br/>
      </w:r>
      <w:r>
        <w:rPr>
          <w:rFonts w:asciiTheme="majorBidi" w:hAnsiTheme="majorBidi" w:cstheme="majorBidi"/>
          <w:sz w:val="24"/>
          <w:szCs w:val="24"/>
          <w:rtl/>
        </w:rPr>
        <w:t>الأسيوطي، مصطفى</w:t>
      </w:r>
      <w:r>
        <w:rPr>
          <w:rFonts w:asciiTheme="majorBidi" w:hAnsiTheme="majorBidi" w:cstheme="majorBidi"/>
          <w:sz w:val="24"/>
          <w:szCs w:val="24"/>
        </w:rPr>
        <w:t xml:space="preserve">. (2020). </w:t>
      </w:r>
      <w:r>
        <w:rPr>
          <w:rFonts w:asciiTheme="majorBidi" w:hAnsiTheme="majorBidi" w:cstheme="majorBidi"/>
          <w:i/>
          <w:iCs/>
          <w:sz w:val="24"/>
          <w:szCs w:val="24"/>
          <w:rtl/>
        </w:rPr>
        <w:t>حماية التصرفات القانونية وإثباتها عبر تطبيق الذكاء الاصطناعي</w:t>
      </w:r>
      <w:r>
        <w:rPr>
          <w:rFonts w:asciiTheme="majorBidi" w:hAnsiTheme="majorBidi" w:cstheme="majorBidi"/>
          <w:sz w:val="24"/>
          <w:szCs w:val="24"/>
        </w:rPr>
        <w:t xml:space="preserve">. </w:t>
      </w:r>
      <w:r>
        <w:rPr>
          <w:rFonts w:asciiTheme="majorBidi" w:hAnsiTheme="majorBidi" w:cstheme="majorBidi"/>
          <w:i/>
          <w:iCs/>
          <w:sz w:val="24"/>
          <w:szCs w:val="24"/>
          <w:rtl/>
        </w:rPr>
        <w:t>مجلة الباحث العربي</w:t>
      </w:r>
      <w:r>
        <w:rPr>
          <w:rFonts w:asciiTheme="majorBidi" w:hAnsiTheme="majorBidi" w:cstheme="majorBidi"/>
          <w:sz w:val="24"/>
          <w:szCs w:val="24"/>
          <w:rtl/>
        </w:rPr>
        <w:t>، العدد</w:t>
      </w:r>
      <w:r>
        <w:rPr>
          <w:rFonts w:asciiTheme="majorBidi" w:hAnsiTheme="majorBidi" w:cstheme="majorBidi"/>
          <w:sz w:val="24"/>
          <w:szCs w:val="24"/>
        </w:rPr>
        <w:t xml:space="preserve"> (12).</w:t>
      </w:r>
      <w:r>
        <w:rPr>
          <w:rFonts w:asciiTheme="majorBidi" w:hAnsiTheme="majorBidi" w:cstheme="majorBidi"/>
          <w:sz w:val="24"/>
          <w:szCs w:val="24"/>
        </w:rPr>
        <w:br/>
      </w:r>
      <w:r>
        <w:rPr>
          <w:rFonts w:asciiTheme="majorBidi" w:hAnsiTheme="majorBidi" w:cstheme="majorBidi"/>
          <w:sz w:val="24"/>
          <w:szCs w:val="24"/>
          <w:rtl/>
        </w:rPr>
        <w:t>قاسم، مراد محمد غالب</w:t>
      </w:r>
      <w:r>
        <w:rPr>
          <w:rFonts w:asciiTheme="majorBidi" w:hAnsiTheme="majorBidi" w:cstheme="majorBidi"/>
          <w:sz w:val="24"/>
          <w:szCs w:val="24"/>
        </w:rPr>
        <w:t xml:space="preserve">. (2024). </w:t>
      </w:r>
      <w:r>
        <w:rPr>
          <w:rFonts w:asciiTheme="majorBidi" w:hAnsiTheme="majorBidi" w:cstheme="majorBidi"/>
          <w:i/>
          <w:iCs/>
          <w:sz w:val="24"/>
          <w:szCs w:val="24"/>
          <w:rtl/>
        </w:rPr>
        <w:t>دور الذكاء الاصطناعي في مكافحة الجريمة الإلكترونية: دراسة مقارنة</w:t>
      </w:r>
      <w:r>
        <w:rPr>
          <w:rFonts w:asciiTheme="majorBidi" w:hAnsiTheme="majorBidi" w:cstheme="majorBidi"/>
          <w:sz w:val="24"/>
          <w:szCs w:val="24"/>
        </w:rPr>
        <w:t xml:space="preserve">. </w:t>
      </w:r>
      <w:r>
        <w:rPr>
          <w:rFonts w:asciiTheme="majorBidi" w:hAnsiTheme="majorBidi" w:cstheme="majorBidi"/>
          <w:i/>
          <w:iCs/>
          <w:sz w:val="24"/>
          <w:szCs w:val="24"/>
          <w:rtl/>
        </w:rPr>
        <w:t>المجلة العصرية للدراسات القانونية</w:t>
      </w:r>
      <w:r>
        <w:rPr>
          <w:rFonts w:asciiTheme="majorBidi" w:hAnsiTheme="majorBidi" w:cstheme="majorBidi"/>
          <w:sz w:val="24"/>
          <w:szCs w:val="24"/>
          <w:rtl/>
        </w:rPr>
        <w:t>، العدد</w:t>
      </w:r>
      <w:r>
        <w:rPr>
          <w:rFonts w:asciiTheme="majorBidi" w:hAnsiTheme="majorBidi" w:cstheme="majorBidi"/>
          <w:sz w:val="24"/>
          <w:szCs w:val="24"/>
        </w:rPr>
        <w:t xml:space="preserve"> (10).</w:t>
      </w:r>
      <w:r>
        <w:rPr>
          <w:rFonts w:asciiTheme="majorBidi" w:hAnsiTheme="majorBidi" w:cstheme="majorBidi"/>
          <w:sz w:val="24"/>
          <w:szCs w:val="24"/>
        </w:rPr>
        <w:br/>
      </w:r>
      <w:r>
        <w:rPr>
          <w:rFonts w:asciiTheme="majorBidi" w:hAnsiTheme="majorBidi" w:cstheme="majorBidi"/>
          <w:sz w:val="24"/>
          <w:szCs w:val="24"/>
          <w:rtl/>
        </w:rPr>
        <w:t>العلي، عبدالعزيز عبدالناصر</w:t>
      </w:r>
      <w:r>
        <w:rPr>
          <w:rFonts w:asciiTheme="majorBidi" w:hAnsiTheme="majorBidi" w:cstheme="majorBidi"/>
          <w:sz w:val="24"/>
          <w:szCs w:val="24"/>
        </w:rPr>
        <w:t xml:space="preserve">. (2024). </w:t>
      </w:r>
      <w:r>
        <w:rPr>
          <w:rFonts w:asciiTheme="majorBidi" w:hAnsiTheme="majorBidi" w:cstheme="majorBidi"/>
          <w:i/>
          <w:iCs/>
          <w:sz w:val="24"/>
          <w:szCs w:val="24"/>
          <w:rtl/>
        </w:rPr>
        <w:t>الذكاء الاصطناعي ودوره في إبرام العقود التجارية الذكية</w:t>
      </w:r>
      <w:r>
        <w:rPr>
          <w:rFonts w:asciiTheme="majorBidi" w:hAnsiTheme="majorBidi" w:cstheme="majorBidi"/>
          <w:sz w:val="24"/>
          <w:szCs w:val="24"/>
        </w:rPr>
        <w:t xml:space="preserve">. </w:t>
      </w:r>
      <w:r>
        <w:rPr>
          <w:rFonts w:asciiTheme="majorBidi" w:hAnsiTheme="majorBidi" w:cstheme="majorBidi"/>
          <w:sz w:val="24"/>
          <w:szCs w:val="24"/>
          <w:rtl/>
        </w:rPr>
        <w:t>بحث علمي منشور</w:t>
      </w:r>
    </w:p>
    <w:p w14:paraId="50780CAC"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إسماعيل، محمد شحادة (2025م). تأثير الذكاء الاصطناعي على المهن القانونية. مجلة الباحث العربي، مجلد 6، عدد 1. DOI: 10.57072/ar.v6i1.159.</w:t>
      </w:r>
    </w:p>
    <w:p w14:paraId="288AF7AE"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الغنامي، نايف بن ناشي (د.ت). الضوابط القانونية للذكاء الاصطناعي في إبرام المعاملات القانونية. قسم القانون، كلية العلوم والدراسات النظرية، الجامعة السعودية الإلكترونية، الرياض.</w:t>
      </w:r>
    </w:p>
    <w:p w14:paraId="764C95D7"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بالل، فاطمة عبد العزيز حسن أحمد (2023م). دور الذكاء الاصطناعي في تعزيز العدالة الناجزة أمام القضاء - دراسة مقارنة مع النظامين القانوني والقضائي في دولة قطر. رسالة ماجستير في القانون الخاص، كلية القانون، جامعة قطر.</w:t>
      </w:r>
    </w:p>
    <w:p w14:paraId="731D4BD1"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 القاهرة.</w:t>
      </w:r>
    </w:p>
    <w:p w14:paraId="45F294BA"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lastRenderedPageBreak/>
        <w:t>مركز الدراسات والبحوث القانونية (2024م). استخدام الذكاء الاصطناعي في المحاكم. وزارة العدل، المملكة العربية السعودية.</w:t>
      </w:r>
    </w:p>
    <w:p w14:paraId="06406A88"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التونسي، آيات بنت أحمد؛ والمعلم، سليمان بن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ص 368-412. DOI: 10.36571/ajsp7321.</w:t>
      </w:r>
    </w:p>
    <w:p w14:paraId="70439767"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علي، سعاد حسني محمد (د.ت). الذكاء الاصطناعي ودوره في إبرام العقود التجارية. مجلة الشريعة والقانون، جامعة الأزهر. ISSN-P: 1110-3779.</w:t>
      </w:r>
    </w:p>
    <w:p w14:paraId="6C144CDE"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غاسم، مراد محمد غالب (2022م). دور الذكاء الاصطناعي في مكافحة الجريمة الإلكترونية - دراسة مقارنة. بحث علمي محكّم.</w:t>
      </w:r>
    </w:p>
    <w:p w14:paraId="0476D5E4" w14:textId="1BF9DB60"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Pr>
        <w:t>.</w:t>
      </w:r>
    </w:p>
    <w:p w14:paraId="60BECF6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الأسيوطي، أيمن محمد سيد مصطفى (2020م). حماية التصرفات القانونية وإثباتها عبر تطبيق الذكاء الاصطناعي. مجلة الباحث العربي، مجلد 1، عدد 1. http://doi.org/10.57072/ar.v1i1.16</w:t>
      </w:r>
    </w:p>
    <w:p w14:paraId="4AB72AAB"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التونسي، آيات أحمد؛ والمعلم، سليمان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https://doi.org/10.36571/ajsp7321</w:t>
      </w:r>
    </w:p>
    <w:p w14:paraId="42BC43B6"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الخليفة، وليد بن إبراهيم بن عبد الله (1444هـ). نظام الإثبات وأدلته الإجرائية مع الفهارس. الرياض: الجمعية العلمية القضائية السعودية (قضاء).</w:t>
      </w:r>
    </w:p>
    <w:p w14:paraId="4B7E7DB3"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الغامدي، رهف صالح (2025م). الطبيعة القانونية للعقود الذكية في المملكة العربية السعودية - دراسة تحليلية. مجلة القانون والأعمال الدولية، الإصدار 57، أبريل/مايو 2025م. ISSN: 2509-0291.</w:t>
      </w:r>
    </w:p>
    <w:p w14:paraId="4EA91B09"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الغنامي، نايف بن ناشي (د.ت). الضوابط القانونية للذكاء الاصطناعي في إبرام المعاملات القانونية. الجامعة السعودية الإلكترونية، قسم القانون، كلية العلوم والدراسات النظرية.</w:t>
      </w:r>
    </w:p>
    <w:p w14:paraId="487F0E66"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المالكي، خالد بن عبد الرحيم (2024م). المسؤولية المدنية عن فعل الذكاء الاصطناعي في النظام السعودي - دراسة تحليلية تأصيلية. مجلة البحوث الفقهية والقانونية، جامعة الأزهر، عدد 47.</w:t>
      </w:r>
    </w:p>
    <w:p w14:paraId="4D5828A2"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المركز الوطني للدراسات والبحوث القانونية (2024م). استخدام الذكاء الاصطناعي في المحاكم. الرياض: بالتعاون مع خبراء دوليين، بهدف إثراء البيئة القانونية في المملكة العربية السعودية.</w:t>
      </w:r>
    </w:p>
    <w:p w14:paraId="144B4D2D"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إسماعيل، محمد شحادة (2025م). تأثير الذكاء الاصطناعي على المهن القانونية. مجلة الباحث العربي، مجلد 6، عدد 1. https://doi.org/10.57072/ar.v6i1.159</w:t>
      </w:r>
    </w:p>
    <w:p w14:paraId="27DC6162"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أبو العيد، طاهر (2022م). الذكاء الاصطناعي والقانون. منشور عبر ResearchGate. https://www.researchgate.net/publication/361722936</w:t>
      </w:r>
    </w:p>
    <w:p w14:paraId="4C90C29E"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بلال، فاطمة عبد العزيز (2023م). دور الذكاء الاصطناعي في تعزيز العدالة الناجزة أمام القضاء - دراسة مقارنة. رسالة ماجستير، كلية القانون، جامعة قطر.</w:t>
      </w:r>
    </w:p>
    <w:p w14:paraId="6887155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جابر، عبد القادر عبد الله أحمد (2023م). تطبيقات الذكاء الاصطناعي في الحكم القضائي - دراسة قانونية. المجلة الدولية للبحوث النوعية المتخصصة (IJSSR)، عدد 42.</w:t>
      </w:r>
    </w:p>
    <w:p w14:paraId="2149B02D"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lastRenderedPageBreak/>
        <w:t>رجب، ياسر محمد عبد السلام (د.ت). دور الدولة في تأطير أخلاقيات الذكاء الاصطناعي - دراسة مقارنة. المجلة القانونية. ISSN: 2537-0758.</w:t>
      </w:r>
    </w:p>
    <w:p w14:paraId="0940C17B" w14:textId="22F86978"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علي، سعاد حسني محمد (د.ت). الذكاء الاصطناعي ودوره في إبرام العقود التجارية. قسم القانون التجاري والبحري، كلية الحقوق، جامعة عين شمس</w:t>
      </w:r>
    </w:p>
    <w:p w14:paraId="7B3F36DE"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قاسم، مراد محمد غالب (2024م). دور الذكاء الاصطناعي في مكافحة الجريمة الإلكترونية - دراسة مقارنة. جامعة تعز.</w:t>
      </w:r>
    </w:p>
    <w:p w14:paraId="4328E18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لقرب، سامية (2024م). الذكاء الاصطناعي والآثار القانونية المترتبة عن استخدامه. مجلة المحترف، المجلد 11، العدد 4، ص236-253.</w:t>
      </w:r>
    </w:p>
    <w:p w14:paraId="125FD946"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محمود، سيد أحمد؛ وعناني، مريم عماد محمد (د.ت). الذكاء الاصطناعي والعمل القضائي - دراسة تحليلية مقارنة. ضمن: التحديات والآفاق القانونية والاقتصادية للذكاء الاصطناعي، ص920. كلية الحقوق، جامعة عين شمس.</w:t>
      </w:r>
    </w:p>
    <w:p w14:paraId="021F09E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مرسي، محمد إبراهيم عبد المنعم (2023م). مدى ملاءمة عقود الذكاء الاصطناعي المبرمة عبر تقنية البلوك تشين لقانون العقود. مجلة البحوث الفقهية والقانونية، جامعة الأزهر، ص913.</w:t>
      </w:r>
    </w:p>
    <w:p w14:paraId="7BCAC018"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نشأت، جابر عبد الله (د.ت). المسؤولية عن الذكاء الاصطناعي بين القانون الخاص والقانون العام. مجلة العدالة.</w:t>
      </w:r>
    </w:p>
    <w:p w14:paraId="5DF84DEA" w14:textId="77777777" w:rsidR="004639DD" w:rsidRPr="004639DD" w:rsidRDefault="004639DD" w:rsidP="000003D3">
      <w:pPr>
        <w:jc w:val="right"/>
        <w:rPr>
          <w:rFonts w:asciiTheme="majorBidi" w:hAnsiTheme="majorBidi" w:cstheme="majorBidi"/>
          <w:sz w:val="24"/>
          <w:szCs w:val="24"/>
          <w:rtl/>
        </w:rPr>
      </w:pPr>
    </w:p>
    <w:sectPr w:rsidR="004639DD" w:rsidRPr="004639DD" w:rsidSect="00830A22">
      <w:footerReference w:type="default" r:id="rId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122BF" w14:textId="77777777" w:rsidR="00ED7A3B" w:rsidRDefault="00ED7A3B" w:rsidP="00ED5C01">
      <w:pPr>
        <w:spacing w:after="0" w:line="240" w:lineRule="auto"/>
      </w:pPr>
      <w:r>
        <w:separator/>
      </w:r>
    </w:p>
  </w:endnote>
  <w:endnote w:type="continuationSeparator" w:id="0">
    <w:p w14:paraId="07CF81EA" w14:textId="77777777" w:rsidR="00ED7A3B" w:rsidRDefault="00ED7A3B" w:rsidP="00ED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420339"/>
      <w:docPartObj>
        <w:docPartGallery w:val="Page Numbers (Bottom of Page)"/>
        <w:docPartUnique/>
      </w:docPartObj>
    </w:sdtPr>
    <w:sdtContent>
      <w:p w14:paraId="50C59DD7" w14:textId="77777777" w:rsidR="00575B64" w:rsidRDefault="00575B64">
        <w:pPr>
          <w:pStyle w:val="ad"/>
        </w:pPr>
        <w:r>
          <w:fldChar w:fldCharType="begin"/>
        </w:r>
        <w:r>
          <w:instrText>PAGE   \* MERGEFORMAT</w:instrText>
        </w:r>
        <w:r>
          <w:fldChar w:fldCharType="separate"/>
        </w:r>
        <w:r>
          <w:rPr>
            <w:rtl/>
            <w:lang w:val="ar-SA"/>
          </w:rPr>
          <w:t>2</w:t>
        </w:r>
        <w:r>
          <w:fldChar w:fldCharType="end"/>
        </w:r>
      </w:p>
    </w:sdtContent>
  </w:sdt>
  <w:p w14:paraId="484514CD" w14:textId="77777777" w:rsidR="00575B64" w:rsidRDefault="00575B6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E7BBA" w14:textId="77777777" w:rsidR="00ED7A3B" w:rsidRDefault="00ED7A3B" w:rsidP="00ED5C01">
      <w:pPr>
        <w:spacing w:after="0" w:line="240" w:lineRule="auto"/>
      </w:pPr>
      <w:r>
        <w:separator/>
      </w:r>
    </w:p>
  </w:footnote>
  <w:footnote w:type="continuationSeparator" w:id="0">
    <w:p w14:paraId="4D1E446A" w14:textId="77777777" w:rsidR="00ED7A3B" w:rsidRDefault="00ED7A3B" w:rsidP="00ED5C01">
      <w:pPr>
        <w:spacing w:after="0" w:line="240" w:lineRule="auto"/>
      </w:pPr>
      <w:r>
        <w:continuationSeparator/>
      </w:r>
    </w:p>
  </w:footnote>
  <w:footnote w:id="1">
    <w:p w14:paraId="3B9821B3" w14:textId="77777777" w:rsidR="00F219B4" w:rsidRPr="00E06468" w:rsidRDefault="00F219B4" w:rsidP="002029E8">
      <w:pPr>
        <w:numPr>
          <w:ilvl w:val="0"/>
          <w:numId w:val="1"/>
        </w:numPr>
        <w:bidi/>
        <w:rPr>
          <w:sz w:val="16"/>
          <w:szCs w:val="16"/>
        </w:rPr>
      </w:pPr>
      <w:r>
        <w:rPr>
          <w:sz w:val="18"/>
          <w:szCs w:val="18"/>
          <w:rtl/>
        </w:rPr>
        <w:t>الهيئة السعودية للبيانات والذكاء الاصطناعي (سدايا). (2023). وثيقة مبادئ أخلاقيات الذكاء الاصطناعي. الرياض: سدايا.</w:t>
      </w:r>
    </w:p>
  </w:footnote>
  <w:footnote w:id="2">
    <w:p w14:paraId="5651B002" w14:textId="77777777" w:rsidR="00A94FD1" w:rsidRPr="001C469F" w:rsidRDefault="00A94FD1" w:rsidP="002029E8">
      <w:pPr>
        <w:numPr>
          <w:ilvl w:val="0"/>
          <w:numId w:val="1"/>
        </w:numPr>
        <w:bidi/>
        <w:rPr>
          <w:sz w:val="16"/>
          <w:szCs w:val="16"/>
        </w:rPr>
      </w:pPr>
      <w:r>
        <w:rPr>
          <w:sz w:val="18"/>
          <w:szCs w:val="18"/>
          <w:rtl/>
        </w:rPr>
        <w:t>هيئة الخبراء بمجلس الوزراء. (1422هـ). نظام المحاماة، المرسوم الملكي رقم م/38، المادة (41). المملكة العربية السعودية.</w:t>
      </w:r>
    </w:p>
  </w:footnote>
  <w:footnote w:id="3">
    <w:p w14:paraId="16DA30B8" w14:textId="77777777" w:rsidR="00A94FD1" w:rsidRPr="001D7F0F" w:rsidRDefault="00A94FD1" w:rsidP="00A6276A">
      <w:pPr>
        <w:bidi/>
        <w:jc w:val="both"/>
        <w:rPr>
          <w:sz w:val="16"/>
          <w:szCs w:val="16"/>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
    <w:p w14:paraId="60D03BB0" w14:textId="77777777" w:rsidR="00292EA9" w:rsidRDefault="00292EA9" w:rsidP="00292EA9">
      <w:pPr>
        <w:bidi/>
        <w:rPr>
          <w:sz w:val="16"/>
          <w:szCs w:val="16"/>
        </w:rPr>
      </w:pPr>
      <w:r>
        <w:rPr>
          <w:rStyle w:val="af"/>
        </w:rPr>
        <w:footnoteRef/>
      </w:r>
      <w:r>
        <w:t xml:space="preserve"> </w:t>
      </w:r>
      <w:r>
        <w:rPr>
          <w:sz w:val="18"/>
          <w:szCs w:val="18"/>
          <w:rtl/>
        </w:rPr>
        <w:t>الغامدي، رهف صالح (2025م). الطبيعة القانونية للعقود الذكية في المملكة العربية السعودية - دراسة تحليلية. مجلة القانون والأعمال الدولية، الإصدار 57، أبريل/مايو 2025م. ص227. جامعة الملك عبد العزيز. ISSN: 2509-0291.</w:t>
      </w:r>
    </w:p>
  </w:footnote>
  <w:footnote w:id="5">
    <w:p w14:paraId="3DFD8D69" w14:textId="77777777" w:rsidR="00C41E32" w:rsidRDefault="00000000" w:rsidP="00657550">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ص 368-412. DOI: 10.36571/ajsp7321.</w:t>
      </w:r>
    </w:p>
  </w:footnote>
  <w:footnote w:id="6">
    <w:p w14:paraId="4326C684" w14:textId="77777777" w:rsidR="00C41E32" w:rsidRDefault="00000000" w:rsidP="00925AAC">
      <w:pPr>
        <w:bidi/>
        <w:rPr>
          <w:sz w:val="16"/>
          <w:szCs w:val="16"/>
        </w:rPr>
      </w:pPr>
      <w:r>
        <w:rPr>
          <w:rStyle w:val="af"/>
        </w:rPr>
        <w:footnoteRef/>
      </w:r>
      <w:r>
        <w:t xml:space="preserve"> </w:t>
      </w:r>
      <w:r>
        <w:rPr>
          <w:sz w:val="18"/>
          <w:szCs w:val="18"/>
          <w:rtl/>
        </w:rPr>
        <w:t>وزارة العدل - المملكة العربية السعودية (1422هـ). اللائحة التنفيذية لنظام المحاماة الصادر بالمرسوم الملكي رقم م/38 بتاريخ 28/7/1422هـ. الرياض: وزارة العدل.</w:t>
      </w:r>
    </w:p>
  </w:footnote>
  <w:footnote w:id="7">
    <w:p w14:paraId="419A99D5" w14:textId="77777777" w:rsidR="00B16B4E" w:rsidRDefault="00000000" w:rsidP="00925AAC">
      <w:pPr>
        <w:bidi/>
        <w:rPr>
          <w:sz w:val="16"/>
          <w:szCs w:val="16"/>
        </w:rPr>
      </w:pPr>
      <w:r>
        <w:rPr>
          <w:rStyle w:val="af"/>
        </w:rPr>
        <w:footnoteRef/>
      </w:r>
      <w:r>
        <w:t xml:space="preserve"> </w:t>
      </w:r>
      <w:r>
        <w:rPr>
          <w:sz w:val="18"/>
          <w:szCs w:val="18"/>
          <w:rtl/>
        </w:rPr>
        <w:t>الغنامي، نايف بن ناشي (د.ت). الضوابط القانونية للذكاء الاصطناعي في إبرام المعاملات القانونية. قسم القانون، الجامعة السعودية الإلكترونية، المملكة العربية السعودية.</w:t>
      </w:r>
    </w:p>
  </w:footnote>
  <w:footnote w:id="8">
    <w:p w14:paraId="630C5F16" w14:textId="77777777" w:rsidR="00535C4D" w:rsidRDefault="00535C4D" w:rsidP="00A91133">
      <w:pPr>
        <w:pStyle w:val="ae"/>
        <w:jc w:val="right"/>
        <w:rPr>
          <w:rtl/>
        </w:rPr>
      </w:pPr>
      <w:r>
        <w:rPr>
          <w:rStyle w:val="af"/>
        </w:rPr>
        <w:footnoteRef/>
      </w:r>
      <w:r>
        <w:t xml:space="preserve"> </w:t>
      </w:r>
      <w:r>
        <w:rPr>
          <w:sz w:val="18"/>
          <w:szCs w:val="18"/>
          <w:rtl/>
        </w:rPr>
        <w:t>وزارة العدل. (1441هـ). اللائحة التنفيذية لنظام المحاماة. المملكة العربية السعودية.</w:t>
      </w:r>
    </w:p>
  </w:footnote>
  <w:footnote w:id="9">
    <w:p w14:paraId="6CA8BF9B" w14:textId="77777777" w:rsidR="0026477A" w:rsidRDefault="0026477A" w:rsidP="00767C10">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0">
    <w:p w14:paraId="20CB9DBD" w14:textId="77777777" w:rsidR="0026477A" w:rsidRPr="0026477A" w:rsidRDefault="0026477A" w:rsidP="00767C10">
      <w:pPr>
        <w:pStyle w:val="ae"/>
        <w:jc w:val="right"/>
      </w:pPr>
      <w:r>
        <w:rPr>
          <w:rStyle w:val="af"/>
        </w:rPr>
        <w:footnoteRef/>
      </w:r>
      <w:r>
        <w:t xml:space="preserve"> </w:t>
      </w:r>
      <w:r>
        <w:rPr>
          <w:sz w:val="18"/>
          <w:szCs w:val="18"/>
          <w:rtl/>
        </w:rPr>
        <w:t>المركز السعودي للأبحاث القضائية. (2022). استخدام الذكاء الاصطناعي في المحاكم. الرياض.</w:t>
      </w:r>
    </w:p>
  </w:footnote>
  <w:footnote w:id="11">
    <w:p w14:paraId="3E6F1C06" w14:textId="77777777" w:rsidR="0026477A" w:rsidRPr="0026477A" w:rsidRDefault="0026477A" w:rsidP="00BC6811">
      <w:pPr>
        <w:pStyle w:val="ae"/>
        <w:jc w:val="right"/>
      </w:pPr>
      <w:r>
        <w:rPr>
          <w:rStyle w:val="af"/>
        </w:rPr>
        <w:footnoteRef/>
      </w:r>
      <w:r>
        <w:t xml:space="preserve"> </w:t>
      </w:r>
      <w:r>
        <w:rPr>
          <w:sz w:val="18"/>
          <w:szCs w:val="18"/>
          <w:rtl/>
        </w:rPr>
        <w:t>إسماعيل، م. ش. (2023). تأثير الذكاء الاصطناعي على المهن القانونية. .</w:t>
      </w:r>
    </w:p>
  </w:footnote>
  <w:footnote w:id="12">
    <w:p w14:paraId="4792ED24" w14:textId="77777777" w:rsidR="0026477A" w:rsidRDefault="0026477A" w:rsidP="00BC6811">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3">
    <w:p w14:paraId="6AA06B8C" w14:textId="77777777" w:rsidR="00C41E32" w:rsidRDefault="00000000" w:rsidP="00BC681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ص587.</w:t>
      </w:r>
    </w:p>
  </w:footnote>
  <w:footnote w:id="14">
    <w:p w14:paraId="274AC229" w14:textId="77777777" w:rsidR="00C41E32" w:rsidRDefault="00000000" w:rsidP="00BC681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ص57.</w:t>
      </w:r>
    </w:p>
  </w:footnote>
  <w:footnote w:id="15">
    <w:p w14:paraId="7A0772BC"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ص148.</w:t>
      </w:r>
    </w:p>
  </w:footnote>
  <w:footnote w:id="16">
    <w:p w14:paraId="0AC9A052" w14:textId="77777777" w:rsidR="00A40287" w:rsidRDefault="00A40287" w:rsidP="002A34EF">
      <w:pPr>
        <w:pStyle w:val="ae"/>
        <w:jc w:val="right"/>
        <w:rPr>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7">
    <w:p w14:paraId="74180D61"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ص592.</w:t>
      </w:r>
    </w:p>
  </w:footnote>
  <w:footnote w:id="18">
    <w:p w14:paraId="59C626C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ص112.</w:t>
      </w:r>
    </w:p>
  </w:footnote>
  <w:footnote w:id="19">
    <w:p w14:paraId="21CB0A99" w14:textId="77777777" w:rsidR="00A40287" w:rsidRDefault="00A40287" w:rsidP="002A34EF">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0">
    <w:p w14:paraId="056242B0" w14:textId="77777777" w:rsidR="00C41E32" w:rsidRDefault="00000000" w:rsidP="00925AAC">
      <w:pPr>
        <w:bidi/>
        <w:rPr>
          <w:sz w:val="16"/>
          <w:szCs w:val="16"/>
        </w:rPr>
      </w:pPr>
      <w:r>
        <w:rPr>
          <w:rStyle w:val="af"/>
        </w:rPr>
        <w:footnoteRef/>
      </w:r>
      <w:r>
        <w:t xml:space="preserve"> </w:t>
      </w:r>
      <w:r>
        <w:rPr>
          <w:sz w:val="18"/>
          <w:szCs w:val="18"/>
          <w:rtl/>
        </w:rPr>
        <w:t>المملكة العربية السعودية (1422هـ). نظام المحاماة الصادر بالمرسوم الملكي رقم م/38 وتاريخ 28/7/1422هـ. الرياض: الأمانة العامة لمجلس الوزراء، المادة 11.</w:t>
      </w:r>
    </w:p>
  </w:footnote>
  <w:footnote w:id="21">
    <w:p w14:paraId="25A508C5" w14:textId="77777777" w:rsidR="00B16B4E" w:rsidRDefault="00000000" w:rsidP="00925AAC">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ص368. https://doi.org/10.36571/ajsp7321</w:t>
      </w:r>
    </w:p>
  </w:footnote>
  <w:footnote w:id="22">
    <w:p w14:paraId="474E3533" w14:textId="77777777" w:rsidR="00C41E32" w:rsidRDefault="00000000" w:rsidP="00925AAC">
      <w:pPr>
        <w:bidi/>
        <w:rPr>
          <w:sz w:val="16"/>
          <w:szCs w:val="16"/>
        </w:rPr>
      </w:pPr>
      <w:r>
        <w:rPr>
          <w:rStyle w:val="af"/>
        </w:rPr>
        <w:footnoteRef/>
      </w:r>
      <w:r>
        <w:t xml:space="preserve"> </w:t>
      </w:r>
      <w:r>
        <w:rPr>
          <w:sz w:val="18"/>
          <w:szCs w:val="18"/>
          <w:rtl/>
        </w:rPr>
        <w:t>الهيئة السعودية للبيانات والذكاء الاصطناعي (سدايا) (2024م). إطار تبني الذكاء الاصطناعي. الرياض: سدايا، سبتمبر 2024م.</w:t>
      </w:r>
    </w:p>
  </w:footnote>
  <w:footnote w:id="23">
    <w:p w14:paraId="1E5BB1E2" w14:textId="77777777" w:rsidR="00CB64BE" w:rsidRPr="00CB64BE" w:rsidRDefault="00CB64BE" w:rsidP="00767C10">
      <w:pPr>
        <w:pStyle w:val="ae"/>
        <w:jc w:val="right"/>
      </w:pPr>
      <w:r>
        <w:rPr>
          <w:rStyle w:val="af"/>
        </w:rPr>
        <w:footnoteRef/>
      </w:r>
      <w:r>
        <w:t xml:space="preserve"> </w:t>
      </w:r>
      <w:r>
        <w:rPr>
          <w:sz w:val="18"/>
          <w:szCs w:val="18"/>
          <w:rtl/>
        </w:rPr>
        <w:t>إسماعيل، م. ش. (2023). تأثير الذكاء الاصطناعي على المهن القانونية. بحث منشور.</w:t>
      </w:r>
    </w:p>
  </w:footnote>
  <w:footnote w:id="24">
    <w:p w14:paraId="3EC3E219" w14:textId="77777777" w:rsidR="00CB64BE" w:rsidRDefault="00CB64BE" w:rsidP="00767C10">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5">
    <w:p w14:paraId="7BC5BF5B" w14:textId="77777777" w:rsidR="00CB64BE" w:rsidRDefault="00CB64BE" w:rsidP="00767C10">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26">
    <w:p w14:paraId="6C4B03F0" w14:textId="77777777" w:rsidR="00CB64BE" w:rsidRPr="00CB64BE" w:rsidRDefault="00CB64BE" w:rsidP="002A34EF">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27">
    <w:p w14:paraId="14E2EE06"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ص19.</w:t>
      </w:r>
    </w:p>
  </w:footnote>
  <w:footnote w:id="28">
    <w:p w14:paraId="60D21BF1"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29">
    <w:p w14:paraId="7786DC7E"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ص1461.</w:t>
      </w:r>
    </w:p>
  </w:footnote>
  <w:footnote w:id="30">
    <w:p w14:paraId="0BC5B5DA" w14:textId="77777777" w:rsidR="00C41E32" w:rsidRDefault="00000000" w:rsidP="00925AAC">
      <w:pPr>
        <w:bidi/>
        <w:rPr>
          <w:sz w:val="16"/>
          <w:szCs w:val="16"/>
        </w:rPr>
      </w:pPr>
      <w:r>
        <w:rPr>
          <w:rStyle w:val="af"/>
        </w:rPr>
        <w:footnoteRef/>
      </w:r>
      <w:r>
        <w:t xml:space="preserve"> </w:t>
      </w:r>
      <w:r>
        <w:rPr>
          <w:sz w:val="18"/>
          <w:szCs w:val="18"/>
          <w:rtl/>
        </w:rPr>
        <w:t>الأسيوطي، أيمن محمد سيد مصطفى (2020م). حماية التصرفات القانونية وإثباتها عبر تطبيق الذكاء الاصطناعي. مجلة الباحث العربي، مجلد 1، عدد 1. http://doi.org/10.57072/ar.v1i1.16</w:t>
      </w:r>
    </w:p>
  </w:footnote>
  <w:footnote w:id="31">
    <w:p w14:paraId="3ADE2B36" w14:textId="77777777" w:rsidR="006F4E03" w:rsidRDefault="006F4E03" w:rsidP="00767C10">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32">
    <w:p w14:paraId="782C873D" w14:textId="77777777" w:rsidR="006F4E03" w:rsidRDefault="006F4E03" w:rsidP="00767C10">
      <w:pPr>
        <w:pStyle w:val="ae"/>
        <w:jc w:val="right"/>
        <w:rPr>
          <w:rtl/>
        </w:rPr>
      </w:pPr>
      <w:r>
        <w:rPr>
          <w:rStyle w:val="af"/>
        </w:rPr>
        <w:footnoteRef/>
      </w:r>
      <w:r>
        <w:t xml:space="preserve"> </w:t>
      </w:r>
      <w:r>
        <w:rPr>
          <w:sz w:val="18"/>
          <w:szCs w:val="18"/>
          <w:rtl/>
        </w:rPr>
        <w:t>إسماعيل، م. ش. (2023). تأثير الذكاء الاصطناعي على المهن القانونية. بحث منشور.</w:t>
      </w:r>
    </w:p>
  </w:footnote>
  <w:footnote w:id="33">
    <w:p w14:paraId="5F4D1A15"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34">
    <w:p w14:paraId="2BEE7943"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 القاهرة.</w:t>
      </w:r>
    </w:p>
  </w:footnote>
  <w:footnote w:id="35">
    <w:p w14:paraId="76AECCD0"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ص63.</w:t>
      </w:r>
    </w:p>
  </w:footnote>
  <w:footnote w:id="36">
    <w:p w14:paraId="2AF440B9"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37">
    <w:p w14:paraId="7763C81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ص42.</w:t>
      </w:r>
    </w:p>
  </w:footnote>
  <w:footnote w:id="38">
    <w:p w14:paraId="4A0097E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ص178.</w:t>
      </w:r>
    </w:p>
  </w:footnote>
  <w:footnote w:id="39">
    <w:p w14:paraId="13D0B943"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ص42.</w:t>
      </w:r>
    </w:p>
  </w:footnote>
  <w:footnote w:id="40">
    <w:p w14:paraId="495FFD3B" w14:textId="77777777" w:rsidR="006F4E03" w:rsidRDefault="006F4E03" w:rsidP="00767C10">
      <w:pPr>
        <w:pStyle w:val="ae"/>
        <w:jc w:val="right"/>
        <w:rPr>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1">
    <w:p w14:paraId="02829BA0" w14:textId="77777777" w:rsidR="00C41E32" w:rsidRDefault="00000000" w:rsidP="00925AAC">
      <w:pPr>
        <w:bidi/>
        <w:rPr>
          <w:sz w:val="16"/>
          <w:szCs w:val="16"/>
        </w:rPr>
      </w:pPr>
      <w:r>
        <w:rPr>
          <w:rStyle w:val="af"/>
        </w:rPr>
        <w:footnoteRef/>
      </w:r>
      <w:r>
        <w:t xml:space="preserve"> </w:t>
      </w:r>
      <w:r>
        <w:rPr>
          <w:sz w:val="18"/>
          <w:szCs w:val="18"/>
          <w:rtl/>
        </w:rPr>
        <w:t>الخليفة، وليد بن إبراهيم (1444هـ). نظام الإثبات وأدلته الإجرائية مع الفهارس. الرياض: الجمعية العلمية القضائية السعودية. الباب الثالث، المادتان 76 و77.</w:t>
      </w:r>
    </w:p>
  </w:footnote>
  <w:footnote w:id="42">
    <w:p w14:paraId="6798FEC6" w14:textId="77777777" w:rsidR="00B16B4E" w:rsidRDefault="00000000" w:rsidP="00925AAC">
      <w:pPr>
        <w:bidi/>
        <w:rPr>
          <w:sz w:val="16"/>
          <w:szCs w:val="16"/>
        </w:rPr>
      </w:pPr>
      <w:r>
        <w:rPr>
          <w:rStyle w:val="af"/>
        </w:rPr>
        <w:footnoteRef/>
      </w:r>
      <w:r>
        <w:t xml:space="preserve"> </w:t>
      </w:r>
      <w:r>
        <w:rPr>
          <w:sz w:val="18"/>
          <w:szCs w:val="18"/>
          <w:rtl/>
        </w:rPr>
        <w:t>إسماعيل، محمد شحادة (2025م). تأثير الذكاء الاصطناعي على المهن القانونية. مجلة الباحث العربي، مجلد 6، عدد 1. https://doi.org/10.57072/ar.v6i1.159</w:t>
      </w:r>
    </w:p>
  </w:footnote>
  <w:footnote w:id="43">
    <w:p w14:paraId="7372CDDE" w14:textId="77777777" w:rsidR="00C00F5F" w:rsidRDefault="00C00F5F" w:rsidP="00767C10">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44">
    <w:p w14:paraId="1650A99F" w14:textId="77777777" w:rsidR="00C00F5F" w:rsidRDefault="00C00F5F" w:rsidP="00767C10">
      <w:pPr>
        <w:pStyle w:val="ae"/>
        <w:jc w:val="right"/>
        <w:rPr>
          <w:rtl/>
        </w:rPr>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45">
    <w:p w14:paraId="2F8808DD" w14:textId="77777777" w:rsidR="00122234" w:rsidRDefault="00122234" w:rsidP="00767C10">
      <w:pPr>
        <w:pStyle w:val="ae"/>
        <w:jc w:val="right"/>
        <w:rPr>
          <w:rtl/>
        </w:rPr>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w:t>
      </w:r>
    </w:p>
  </w:footnote>
  <w:footnote w:id="46">
    <w:p w14:paraId="10C8C06F" w14:textId="77777777" w:rsidR="00122234" w:rsidRDefault="00122234" w:rsidP="00767C10">
      <w:pPr>
        <w:pStyle w:val="ae"/>
        <w:jc w:val="right"/>
        <w:rPr>
          <w:rtl/>
        </w:rPr>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47">
    <w:p w14:paraId="008B1402" w14:textId="77777777" w:rsidR="00122234" w:rsidRDefault="00122234" w:rsidP="00767C10">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48">
    <w:p w14:paraId="728B2E3F" w14:textId="77777777" w:rsidR="00122234" w:rsidRPr="00122234" w:rsidRDefault="00122234" w:rsidP="002A34EF">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9">
    <w:p w14:paraId="607A1674"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50">
    <w:p w14:paraId="46BC575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غاسم، مراد محمد غالب (2022م). دور الذكاء الاصطناعي في مكافحة الجريمة الإلكترونية - دراسة مقارنة. بحث علمي محكّم، مجلة علمية متخصصة.</w:t>
      </w:r>
    </w:p>
  </w:footnote>
  <w:footnote w:id="51">
    <w:p w14:paraId="426FF129"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52">
    <w:p w14:paraId="5B838716"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53">
    <w:p w14:paraId="5FE244FC"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ص88.</w:t>
      </w:r>
    </w:p>
  </w:footnote>
  <w:footnote w:id="54">
    <w:p w14:paraId="067D6A44"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ص156.</w:t>
      </w:r>
    </w:p>
  </w:footnote>
  <w:footnote w:id="55">
    <w:p w14:paraId="146269B4"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ص390.</w:t>
      </w:r>
    </w:p>
  </w:footnote>
  <w:footnote w:id="56">
    <w:p w14:paraId="1E7DDE4F"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57">
    <w:p w14:paraId="5DC62DD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ص575.</w:t>
      </w:r>
    </w:p>
  </w:footnote>
  <w:footnote w:id="58">
    <w:p w14:paraId="16D9E408"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ص215.</w:t>
      </w:r>
    </w:p>
  </w:footnote>
  <w:footnote w:id="59">
    <w:p w14:paraId="400DC698" w14:textId="77777777" w:rsidR="001F1442" w:rsidRDefault="001F1442" w:rsidP="00A91133">
      <w:pPr>
        <w:pStyle w:val="ae"/>
        <w:jc w:val="right"/>
        <w:rPr>
          <w:rtl/>
        </w:rPr>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60">
    <w:p w14:paraId="6B889E31" w14:textId="77777777" w:rsidR="001F1442" w:rsidRDefault="001F1442" w:rsidP="002A34EF">
      <w:pPr>
        <w:pStyle w:val="ae"/>
        <w:jc w:val="right"/>
        <w:rPr>
          <w:rtl/>
        </w:rPr>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61">
    <w:p w14:paraId="7329A9FF"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62">
    <w:p w14:paraId="206B8091"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63">
    <w:p w14:paraId="573007ED"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ص81.</w:t>
      </w:r>
    </w:p>
  </w:footnote>
  <w:footnote w:id="64">
    <w:p w14:paraId="68ACF359"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ص397.</w:t>
      </w:r>
    </w:p>
  </w:footnote>
  <w:footnote w:id="65">
    <w:p w14:paraId="4E009EE2"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ص67.</w:t>
      </w:r>
    </w:p>
  </w:footnote>
  <w:footnote w:id="66">
    <w:p w14:paraId="08DC201E"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67">
    <w:p w14:paraId="7FC8D478"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ص134.</w:t>
      </w:r>
    </w:p>
  </w:footnote>
  <w:footnote w:id="68">
    <w:p w14:paraId="568BFAED"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ص19.</w:t>
      </w:r>
    </w:p>
  </w:footnote>
  <w:footnote w:id="69">
    <w:p w14:paraId="53262F56"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ص581.</w:t>
      </w:r>
    </w:p>
  </w:footnote>
  <w:footnote w:id="70">
    <w:p w14:paraId="7AF2DCE4"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ص57.</w:t>
      </w:r>
    </w:p>
  </w:footnote>
  <w:footnote w:id="71">
    <w:p w14:paraId="5211112F" w14:textId="77777777" w:rsidR="00C41E32" w:rsidRDefault="00000000" w:rsidP="00925AAC">
      <w:pPr>
        <w:bidi/>
        <w:rPr>
          <w:sz w:val="16"/>
          <w:szCs w:val="16"/>
        </w:rPr>
      </w:pPr>
      <w:r>
        <w:rPr>
          <w:rStyle w:val="af"/>
        </w:rPr>
        <w:footnoteRef/>
      </w:r>
      <w:r>
        <w:t xml:space="preserve"> </w:t>
      </w:r>
      <w:r>
        <w:rPr>
          <w:sz w:val="18"/>
          <w:szCs w:val="18"/>
          <w:rtl/>
        </w:rPr>
        <w:t>الترتيبات التنظيمية للهيئة السعودية للبيانات والذكاء الاصطناعي (2020م). الصادرة بقرار مجلس الوزراء رقم (292) وتاريخ 1441/4/27هـ، المعدلة بقرار مجلس الوزراء رقم (195) وتاريخ 1444/3/15هـ. الرياض: مجلس الوزراء.</w:t>
      </w:r>
    </w:p>
  </w:footnote>
  <w:footnote w:id="72">
    <w:p w14:paraId="73CD29BD"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73">
    <w:p w14:paraId="20C7268E"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74">
    <w:p w14:paraId="131EE8D6"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75">
    <w:p w14:paraId="23D705A7"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ص99.</w:t>
      </w:r>
    </w:p>
  </w:footnote>
  <w:footnote w:id="76">
    <w:p w14:paraId="0B009C15"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ص203.</w:t>
      </w:r>
    </w:p>
  </w:footnote>
  <w:footnote w:id="77">
    <w:p w14:paraId="31707EE3"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ص51.</w:t>
      </w:r>
    </w:p>
  </w:footnote>
  <w:footnote w:id="78">
    <w:p w14:paraId="43C09937"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ص13.</w:t>
      </w:r>
    </w:p>
  </w:footnote>
  <w:footnote w:id="79">
    <w:p w14:paraId="4EC2A926"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ص1468.</w:t>
      </w:r>
    </w:p>
  </w:footnote>
  <w:footnote w:id="80">
    <w:p w14:paraId="1CDFEC4D" w14:textId="77777777" w:rsidR="0095427D" w:rsidRPr="0095427D" w:rsidRDefault="0095427D" w:rsidP="00A67437">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81">
    <w:p w14:paraId="5579031D" w14:textId="77777777" w:rsidR="0095427D" w:rsidRPr="0095427D" w:rsidRDefault="0095427D" w:rsidP="00A67437">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82">
    <w:p w14:paraId="1E7951C5" w14:textId="77777777" w:rsidR="0095427D" w:rsidRPr="0095427D" w:rsidRDefault="0095427D" w:rsidP="00A67437">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83">
    <w:p w14:paraId="2F42AB10"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84">
    <w:p w14:paraId="2BA95D01"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85">
    <w:p w14:paraId="1B61C130"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ص34.</w:t>
      </w:r>
    </w:p>
  </w:footnote>
  <w:footnote w:id="86">
    <w:p w14:paraId="103D0F67"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ص563.</w:t>
      </w:r>
    </w:p>
  </w:footnote>
  <w:footnote w:id="87">
    <w:p w14:paraId="1184A867"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88">
    <w:p w14:paraId="293D43EC"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ص71.</w:t>
      </w:r>
    </w:p>
  </w:footnote>
  <w:footnote w:id="89">
    <w:p w14:paraId="2E6379AB"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ص263.</w:t>
      </w:r>
    </w:p>
  </w:footnote>
  <w:footnote w:id="90">
    <w:p w14:paraId="393F7328"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91">
    <w:p w14:paraId="52319DCC"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92">
    <w:p w14:paraId="547F73E6"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ص112.</w:t>
      </w:r>
    </w:p>
  </w:footnote>
  <w:footnote w:id="93">
    <w:p w14:paraId="388E21C3" w14:textId="77777777" w:rsidR="005562AF" w:rsidRDefault="005562AF" w:rsidP="006C5012">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94">
    <w:p w14:paraId="3FB1FC33" w14:textId="77777777" w:rsidR="005562AF" w:rsidRDefault="005562AF" w:rsidP="00A91133">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95">
    <w:p w14:paraId="2A24F982" w14:textId="77777777" w:rsidR="005562AF" w:rsidRPr="005562AF" w:rsidRDefault="005562AF" w:rsidP="00A91133">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96">
    <w:p w14:paraId="6784C6EB" w14:textId="77777777" w:rsidR="00C41E32" w:rsidRDefault="00000000" w:rsidP="004B4795">
      <w:pPr>
        <w:bidi/>
        <w:rPr>
          <w:sz w:val="16"/>
          <w:szCs w:val="16"/>
        </w:rPr>
      </w:pPr>
      <w:r>
        <w:rPr>
          <w:rStyle w:val="af"/>
        </w:rPr>
        <w:footnoteRef/>
      </w:r>
      <w:r>
        <w:t xml:space="preserve"> </w:t>
      </w:r>
      <w:r>
        <w:rPr>
          <w:sz w:val="18"/>
          <w:szCs w:val="18"/>
          <w:rtl/>
        </w:rPr>
        <w:t>الهيئة السعودية للبيانات والذكاء الاصطناعي (سدايا) (2025م). الدليل الاسترشادي لتقويم مخاطر نقل البيانات الشخصية إلى خارج المملكة أو الإفصاح عنها لجهات خارج المملكة. الرياض: سدايا، فبراير 2025م.</w:t>
      </w:r>
    </w:p>
  </w:footnote>
  <w:footnote w:id="97">
    <w:p w14:paraId="6BD00547" w14:textId="77777777" w:rsidR="00A918AE" w:rsidRDefault="00A918AE" w:rsidP="00E2355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98">
    <w:p w14:paraId="266761D1" w14:textId="77777777" w:rsidR="00A918AE" w:rsidRPr="00A918AE" w:rsidRDefault="00A918AE" w:rsidP="00E23555">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99">
    <w:p w14:paraId="67204D7D" w14:textId="77777777" w:rsidR="003A40AC" w:rsidRDefault="003A40AC" w:rsidP="00E23555">
      <w:pPr>
        <w:pStyle w:val="ae"/>
        <w:jc w:val="right"/>
      </w:pPr>
      <w:r>
        <w:rPr>
          <w:rStyle w:val="af"/>
        </w:rPr>
        <w:footnoteRef/>
      </w:r>
      <w:r>
        <w:t xml:space="preserve"> </w:t>
      </w:r>
      <w:r>
        <w:rPr>
          <w:sz w:val="18"/>
          <w:szCs w:val="18"/>
          <w:rtl/>
        </w:rPr>
        <w:t>إسماعيل، م. ش. (2023). تأثير الذكاء الاصطناعي على المهن القانونية. بحث منشور.</w:t>
      </w:r>
    </w:p>
  </w:footnote>
  <w:footnote w:id="100">
    <w:p w14:paraId="5D49A7F3" w14:textId="77777777" w:rsidR="003A40AC" w:rsidRDefault="003A40AC" w:rsidP="00E2355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101">
    <w:p w14:paraId="6DBCF290" w14:textId="77777777" w:rsidR="003A40AC" w:rsidRDefault="003A40AC" w:rsidP="00E23555">
      <w:pPr>
        <w:pStyle w:val="ae"/>
        <w:jc w:val="right"/>
        <w:rPr>
          <w:rtl/>
        </w:rPr>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102">
    <w:p w14:paraId="04B25DA0" w14:textId="77777777" w:rsidR="003A40AC" w:rsidRPr="003A40AC" w:rsidRDefault="003A40AC" w:rsidP="00E23555">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w:t>
      </w:r>
    </w:p>
  </w:footnote>
  <w:footnote w:id="103">
    <w:p w14:paraId="49BE7866" w14:textId="77777777" w:rsidR="008D5357" w:rsidRPr="008D5357" w:rsidRDefault="008D5357" w:rsidP="00191993">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04">
    <w:p w14:paraId="2B1DC084"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105">
    <w:p w14:paraId="2F6F4B2A" w14:textId="77777777" w:rsidR="00C41E32" w:rsidRDefault="00000000" w:rsidP="004B4795">
      <w:pPr>
        <w:bidi/>
        <w:rPr>
          <w:sz w:val="16"/>
          <w:szCs w:val="16"/>
        </w:rPr>
      </w:pPr>
      <w:r>
        <w:rPr>
          <w:rStyle w:val="af"/>
        </w:rPr>
        <w:footnoteRef/>
      </w:r>
      <w:r>
        <w:t xml:space="preserve"> </w:t>
      </w:r>
      <w:r>
        <w:rPr>
          <w:sz w:val="18"/>
          <w:szCs w:val="18"/>
          <w:rtl/>
        </w:rPr>
        <w:t>الهيئة السعودية للبيانات والذكاء الاصطناعي (سدايا) (2024م). إطار تبني الذكاء الاصطناعي. الرياض: سدايا، سبتمبر 2024م، ص4-12.</w:t>
      </w:r>
    </w:p>
  </w:footnote>
  <w:footnote w:id="106">
    <w:p w14:paraId="5BA36179"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107">
    <w:p w14:paraId="25DF4948"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ص57.</w:t>
      </w:r>
    </w:p>
  </w:footnote>
  <w:footnote w:id="108">
    <w:p w14:paraId="020B1F55"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ص178.</w:t>
      </w:r>
    </w:p>
  </w:footnote>
  <w:footnote w:id="109">
    <w:p w14:paraId="7FBDC0FD" w14:textId="77777777" w:rsidR="00C41E32" w:rsidRDefault="00000000"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ص1452.</w:t>
      </w:r>
    </w:p>
  </w:footnote>
  <w:footnote w:id="110">
    <w:p w14:paraId="2DA1A432" w14:textId="77777777" w:rsidR="00C41E32" w:rsidRDefault="00000000"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علي، سعاد حسني محمد (د.ت). الذكاء الاصطناعي ودوره في إبرام العقود التجارية. مجلة الشريعة والقانون، جامعة الأزهر. ISSN-P: 1110-3779.</w:t>
      </w:r>
    </w:p>
  </w:footnote>
  <w:footnote w:id="111">
    <w:p w14:paraId="2D24ED81" w14:textId="77777777" w:rsidR="00C41E32" w:rsidRDefault="00000000"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112">
    <w:p w14:paraId="7CB83172"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113">
    <w:p w14:paraId="414DDC79"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ص371.</w:t>
      </w:r>
    </w:p>
  </w:footnote>
  <w:footnote w:id="114">
    <w:p w14:paraId="630FE3C0"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115">
    <w:p w14:paraId="73A115C3"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116">
    <w:p w14:paraId="05CCD1F4"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ص1455.</w:t>
      </w:r>
    </w:p>
  </w:footnote>
  <w:footnote w:id="117">
    <w:p w14:paraId="1D9F37B6" w14:textId="77777777" w:rsidR="00B16B4E" w:rsidRDefault="00000000" w:rsidP="000D4B35">
      <w:pPr>
        <w:bidi/>
        <w:rPr>
          <w:sz w:val="16"/>
          <w:szCs w:val="16"/>
        </w:rPr>
      </w:pPr>
      <w:r>
        <w:rPr>
          <w:rStyle w:val="af"/>
        </w:rPr>
        <w:footnoteRef/>
      </w:r>
      <w:r>
        <w:t xml:space="preserve"> </w:t>
      </w:r>
      <w:r>
        <w:rPr>
          <w:sz w:val="18"/>
          <w:szCs w:val="18"/>
          <w:rtl/>
        </w:rPr>
        <w:t>لقرب، سامية (2024م). الذكاء الاصطناعي والآثار القانونية المترتبة عن استخدامه. مجلة المحترف، المجلد 11، العدد 4، ص236-253.</w:t>
      </w:r>
    </w:p>
  </w:footnote>
  <w:footnote w:id="118">
    <w:p w14:paraId="00291232" w14:textId="77777777" w:rsidR="00D150CD" w:rsidRPr="00D150CD" w:rsidRDefault="00D150CD"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19">
    <w:p w14:paraId="42ABA9CF" w14:textId="77777777" w:rsidR="00D150CD" w:rsidRPr="00D150CD" w:rsidRDefault="00D150CD" w:rsidP="000D4B35">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20">
    <w:p w14:paraId="4E9E3308" w14:textId="77777777" w:rsidR="00D150CD" w:rsidRPr="00D150CD" w:rsidRDefault="00D150CD" w:rsidP="000D4B35">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121">
    <w:p w14:paraId="2618910D" w14:textId="77777777" w:rsidR="00D150CD" w:rsidRPr="00D150CD" w:rsidRDefault="00D150CD" w:rsidP="000D4B3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22">
    <w:p w14:paraId="17815CB8" w14:textId="77777777" w:rsidR="00D150CD" w:rsidRPr="00D150CD" w:rsidRDefault="00D150CD" w:rsidP="00BA3890">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w:t>
      </w:r>
    </w:p>
  </w:footnote>
  <w:footnote w:id="123">
    <w:p w14:paraId="58CEACC6" w14:textId="77777777" w:rsidR="00D150CD" w:rsidRPr="00D150CD" w:rsidRDefault="00D150CD" w:rsidP="00BA3890">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24">
    <w:p w14:paraId="0BC70F09" w14:textId="77777777" w:rsidR="00D150CD" w:rsidRPr="00D150CD" w:rsidRDefault="00D150CD" w:rsidP="00BA3890">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25">
    <w:p w14:paraId="6E987D58" w14:textId="77777777" w:rsidR="00D150CD" w:rsidRPr="00D150CD" w:rsidRDefault="00D150CD" w:rsidP="00BA3890">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26">
    <w:p w14:paraId="6B0D9832" w14:textId="77777777" w:rsidR="00B16B4E" w:rsidRDefault="00000000" w:rsidP="004B4795">
      <w:pPr>
        <w:bidi/>
        <w:rPr>
          <w:sz w:val="16"/>
          <w:szCs w:val="16"/>
        </w:rPr>
      </w:pPr>
      <w:r>
        <w:rPr>
          <w:rStyle w:val="af"/>
        </w:rPr>
        <w:footnoteRef/>
      </w:r>
      <w:r>
        <w:t xml:space="preserve"> </w:t>
      </w:r>
      <w:r>
        <w:rPr>
          <w:sz w:val="18"/>
          <w:szCs w:val="18"/>
          <w:rtl/>
        </w:rPr>
        <w:t>الهيئة السعودية للبيانات والذكاء الاصطناعي (سدايا) (2023م). مبادئ أخلاقيات الذكاء الاصطناعي. الرياض: سدايا، الإصدار الأول، سبتمبر 2023م.</w:t>
      </w:r>
    </w:p>
  </w:footnote>
  <w:footnote w:id="127">
    <w:p w14:paraId="0394A07E" w14:textId="77777777" w:rsidR="00F237E4" w:rsidRPr="00F237E4" w:rsidRDefault="00F237E4" w:rsidP="00301A79">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28">
    <w:p w14:paraId="77DDABA8" w14:textId="77777777" w:rsidR="00F237E4" w:rsidRPr="00F237E4" w:rsidRDefault="00F237E4" w:rsidP="00301A79">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129">
    <w:p w14:paraId="0E0F3A7B" w14:textId="77777777" w:rsidR="00F237E4" w:rsidRPr="00F237E4" w:rsidRDefault="00F237E4" w:rsidP="00301A79">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30">
    <w:p w14:paraId="79432A44" w14:textId="77777777" w:rsidR="00F237E4" w:rsidRPr="00F237E4" w:rsidRDefault="00F237E4" w:rsidP="00301A79">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31">
    <w:p w14:paraId="20B96BA4" w14:textId="77777777" w:rsidR="00B16B4E" w:rsidRDefault="00000000" w:rsidP="004B4795">
      <w:pPr>
        <w:bidi/>
        <w:rPr>
          <w:sz w:val="16"/>
          <w:szCs w:val="16"/>
        </w:rPr>
      </w:pPr>
      <w:r>
        <w:rPr>
          <w:rStyle w:val="af"/>
        </w:rPr>
        <w:footnoteRef/>
      </w:r>
      <w:r>
        <w:t xml:space="preserve"> </w:t>
      </w:r>
      <w:r>
        <w:rPr>
          <w:sz w:val="18"/>
          <w:szCs w:val="18"/>
          <w:rtl/>
        </w:rPr>
        <w:t>مركز الدراسات والبحوث القانونية (2024م). استخدام الذكاء الاصطناعي في المحاكم. الرياض: إعداد بالتعاون مع خبراء دوليين ومختصين، بهدف إثراء البيئة القانونية في المملكة العربية السعودية.</w:t>
      </w:r>
    </w:p>
  </w:footnote>
  <w:footnote w:id="132">
    <w:p w14:paraId="04632CA7" w14:textId="77777777" w:rsidR="00957EC0" w:rsidRPr="00957EC0" w:rsidRDefault="00957EC0" w:rsidP="00301A79">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33">
    <w:p w14:paraId="6BB4AD60" w14:textId="77777777" w:rsidR="00957EC0" w:rsidRPr="00957EC0" w:rsidRDefault="00957EC0"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34">
    <w:p w14:paraId="0D6C2A3F"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135">
    <w:p w14:paraId="099D7BCC"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ص74.</w:t>
      </w:r>
    </w:p>
  </w:footnote>
  <w:footnote w:id="136">
    <w:p w14:paraId="79A2EA77"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ص568.</w:t>
      </w:r>
    </w:p>
  </w:footnote>
  <w:footnote w:id="137">
    <w:p w14:paraId="7A09E19F"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ص7.</w:t>
      </w:r>
    </w:p>
  </w:footnote>
  <w:footnote w:id="138">
    <w:p w14:paraId="68217D7B"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ص267.</w:t>
      </w:r>
    </w:p>
  </w:footnote>
  <w:footnote w:id="139">
    <w:p w14:paraId="67D7C71A"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ص403.</w:t>
      </w:r>
    </w:p>
  </w:footnote>
  <w:footnote w:id="140">
    <w:p w14:paraId="5BFE0E1B" w14:textId="77777777" w:rsidR="00957EC0" w:rsidRPr="00957EC0" w:rsidRDefault="00957EC0" w:rsidP="00301A79">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41">
    <w:p w14:paraId="3C6FFD99" w14:textId="77777777" w:rsidR="00957EC0" w:rsidRPr="00957EC0" w:rsidRDefault="00957EC0" w:rsidP="00301A79">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42">
    <w:p w14:paraId="2F609D9E" w14:textId="77777777" w:rsidR="00957EC0" w:rsidRPr="00957EC0" w:rsidRDefault="00957EC0" w:rsidP="000D4B35">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43">
    <w:p w14:paraId="288B715E" w14:textId="77777777" w:rsidR="00957EC0" w:rsidRPr="00957EC0" w:rsidRDefault="00957EC0"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44">
    <w:p w14:paraId="0888FB1E" w14:textId="77777777" w:rsidR="00C41E32" w:rsidRDefault="00000000" w:rsidP="000D4B35">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المجلة العربية للنشر العلمي، ص375-378.</w:t>
      </w:r>
    </w:p>
  </w:footnote>
  <w:footnote w:id="145">
    <w:p w14:paraId="0A166AD2" w14:textId="77777777" w:rsidR="00C41E32" w:rsidRDefault="00000000" w:rsidP="004B4795">
      <w:pPr>
        <w:bidi/>
        <w:rPr>
          <w:sz w:val="16"/>
          <w:szCs w:val="16"/>
        </w:rPr>
      </w:pPr>
      <w:r>
        <w:rPr>
          <w:rStyle w:val="af"/>
        </w:rPr>
        <w:footnoteRef/>
      </w:r>
      <w:r>
        <w:t xml:space="preserve"> </w:t>
      </w:r>
      <w:r>
        <w:rPr>
          <w:sz w:val="18"/>
          <w:szCs w:val="18"/>
          <w:rtl/>
        </w:rPr>
        <w:t>المملكة العربية السعودية (1428هـ). نظام مكافحة الجرائم المعلوماتية الصادر بالمرسوم الملكي رقم م/17 وتاريخ 8/3/1428هـ. الرياض: الأمانة العامة لمجلس الوزراء.</w:t>
      </w:r>
    </w:p>
  </w:footnote>
  <w:footnote w:id="146">
    <w:p w14:paraId="190CA141" w14:textId="77777777" w:rsidR="00B16B4E" w:rsidRDefault="00000000" w:rsidP="004B4795">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 دراسة تحليلية تأصيلية. مجلة البحوث الفقهية والقانونية، جامعة الأزهر، عدد 47، ص1767.</w:t>
      </w:r>
    </w:p>
  </w:footnote>
  <w:footnote w:id="147">
    <w:p w14:paraId="1492FF7A" w14:textId="77777777" w:rsidR="00B16B4E" w:rsidRDefault="00000000" w:rsidP="004B4795">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ص368.</w:t>
      </w:r>
    </w:p>
  </w:footnote>
  <w:footnote w:id="148">
    <w:p w14:paraId="665F9C06" w14:textId="77777777" w:rsidR="00F532FA" w:rsidRPr="00F532FA" w:rsidRDefault="00F532FA" w:rsidP="002029E8">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49">
    <w:p w14:paraId="7CF16E90" w14:textId="77777777" w:rsidR="00F532FA" w:rsidRPr="00F532FA" w:rsidRDefault="00F532FA" w:rsidP="002029E8">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50">
    <w:p w14:paraId="552B8917"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بالل، فاطمة عبد العزيز حسن أحمد (2023م). دور الذكاء الاصطناعي في تعزيز العدالة الناجزة أمام القضاء - دراسة مقارنة. رسالة ماجستير، كلية القانون، جامعة قطر.</w:t>
      </w:r>
    </w:p>
  </w:footnote>
  <w:footnote w:id="151">
    <w:p w14:paraId="02371E16"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152">
    <w:p w14:paraId="1789E698"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153">
    <w:p w14:paraId="20601C55"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ص7.</w:t>
      </w:r>
    </w:p>
  </w:footnote>
  <w:footnote w:id="154">
    <w:p w14:paraId="222B9B75"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155">
    <w:p w14:paraId="7DF7A247"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ص156.</w:t>
      </w:r>
    </w:p>
  </w:footnote>
  <w:footnote w:id="156">
    <w:p w14:paraId="201988A3"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ص88.</w:t>
      </w:r>
    </w:p>
  </w:footnote>
  <w:footnote w:id="157">
    <w:p w14:paraId="0E9B9F06"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ص403.</w:t>
      </w:r>
    </w:p>
  </w:footnote>
  <w:footnote w:id="158">
    <w:p w14:paraId="03305970"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ص42.</w:t>
      </w:r>
    </w:p>
  </w:footnote>
  <w:footnote w:id="159">
    <w:p w14:paraId="70E3D043"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ص575.</w:t>
      </w:r>
    </w:p>
  </w:footnote>
  <w:footnote w:id="160">
    <w:p w14:paraId="6EB98B7B"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ص84.</w:t>
      </w:r>
    </w:p>
  </w:footnote>
  <w:footnote w:id="161">
    <w:p w14:paraId="5F28E93D" w14:textId="77777777" w:rsidR="00C41E32" w:rsidRDefault="00000000" w:rsidP="004B4795">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مجلة البحوث الفقهية والقانونية، جامعة الأزهر، ص1780-1785.</w:t>
      </w:r>
    </w:p>
  </w:footnote>
  <w:footnote w:id="162">
    <w:p w14:paraId="3F88B73B" w14:textId="77777777" w:rsidR="00B16B4E" w:rsidRDefault="00000000" w:rsidP="004B4795">
      <w:pPr>
        <w:bidi/>
        <w:rPr>
          <w:sz w:val="16"/>
          <w:szCs w:val="16"/>
        </w:rPr>
      </w:pPr>
      <w:r>
        <w:rPr>
          <w:rStyle w:val="af"/>
        </w:rPr>
        <w:footnoteRef/>
      </w:r>
      <w:r>
        <w:t xml:space="preserve"> </w:t>
      </w:r>
      <w:r>
        <w:rPr>
          <w:sz w:val="18"/>
          <w:szCs w:val="18"/>
          <w:rtl/>
        </w:rPr>
        <w:t>إسماعيل، محمد شحادة (2025م). تأثير الذكاء الاصطناعي على المهن القانونية. مجلة الباحث العربي، مجلد 6، عدد 1، نشر بتاريخ 30 مارس 2025م. https://doi.org/10.57072/ar.v6i1.159</w:t>
      </w:r>
    </w:p>
  </w:footnote>
  <w:footnote w:id="163">
    <w:p w14:paraId="7AEA25C0" w14:textId="77777777" w:rsidR="00624037" w:rsidRPr="0063436A" w:rsidRDefault="00624037" w:rsidP="00624037">
      <w:pPr>
        <w:pStyle w:val="ae"/>
        <w:jc w:val="right"/>
      </w:pPr>
      <w:r>
        <w:rPr>
          <w:rStyle w:val="af"/>
        </w:rPr>
        <w:footnoteRef/>
      </w:r>
      <w:r>
        <w:t xml:space="preserve"> </w:t>
      </w:r>
      <w:r>
        <w:rPr>
          <w:sz w:val="18"/>
          <w:szCs w:val="18"/>
          <w:rtl/>
        </w:rPr>
        <w:t>هيئة الخبراء بمجلس الوزراء. (1422هـ). نظام المحاماة. المملكة العربية السعودية.</w:t>
      </w:r>
    </w:p>
  </w:footnote>
  <w:footnote w:id="164">
    <w:p w14:paraId="03B7365B" w14:textId="77777777" w:rsidR="00624037" w:rsidRPr="0063436A" w:rsidRDefault="00624037"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65">
    <w:p w14:paraId="26AD016D" w14:textId="77777777" w:rsidR="00624037" w:rsidRPr="0063436A" w:rsidRDefault="00624037"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66">
    <w:p w14:paraId="561C6732" w14:textId="77777777" w:rsidR="00624037" w:rsidRDefault="00624037"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67">
    <w:p w14:paraId="1AAFD6A3" w14:textId="77777777" w:rsidR="00624037" w:rsidRPr="0063436A" w:rsidRDefault="00624037" w:rsidP="00624037">
      <w:pPr>
        <w:pStyle w:val="ae"/>
        <w:jc w:val="right"/>
      </w:pPr>
      <w:r>
        <w:rPr>
          <w:rStyle w:val="af"/>
        </w:rPr>
        <w:footnoteRef/>
      </w:r>
      <w:r>
        <w:t xml:space="preserve"> </w:t>
      </w:r>
      <w:r>
        <w:rPr>
          <w:sz w:val="18"/>
          <w:szCs w:val="18"/>
          <w:rtl/>
        </w:rPr>
        <w:t>هيئة الخبراء بمجلس الوزراء. (1443هـ). نظام حماية البيانات الشخصية. المملكة العربية السعودية.</w:t>
      </w:r>
    </w:p>
  </w:footnote>
  <w:footnote w:id="168">
    <w:p w14:paraId="66C9ED26" w14:textId="77777777" w:rsidR="00624037" w:rsidRPr="0063436A" w:rsidRDefault="00624037" w:rsidP="000D4B3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69">
    <w:p w14:paraId="6B9BC503" w14:textId="77777777" w:rsidR="00624037" w:rsidRPr="0063436A" w:rsidRDefault="00624037" w:rsidP="000D4B35">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170">
    <w:p w14:paraId="51E1E7BE" w14:textId="77777777" w:rsidR="00624037" w:rsidRPr="0063436A" w:rsidRDefault="00624037" w:rsidP="000D4B35">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71">
    <w:p w14:paraId="62845457" w14:textId="77777777" w:rsidR="00624037" w:rsidRDefault="00624037" w:rsidP="000D4B35">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172">
    <w:p w14:paraId="09A4722A" w14:textId="77777777" w:rsidR="00624037" w:rsidRDefault="00624037" w:rsidP="000D4B35">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73">
    <w:p w14:paraId="04BC5F99" w14:textId="77777777" w:rsidR="00624037" w:rsidRPr="00DA5441" w:rsidRDefault="00624037" w:rsidP="000D4B35">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174">
    <w:p w14:paraId="49AC15BF"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ص81.</w:t>
      </w:r>
    </w:p>
  </w:footnote>
  <w:footnote w:id="175">
    <w:p w14:paraId="69CB1DD2"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ص110.</w:t>
      </w:r>
    </w:p>
  </w:footnote>
  <w:footnote w:id="176">
    <w:p w14:paraId="3043EE89"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ص363.</w:t>
      </w:r>
    </w:p>
  </w:footnote>
  <w:footnote w:id="177">
    <w:p w14:paraId="3922D12A"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ص298.</w:t>
      </w:r>
    </w:p>
  </w:footnote>
  <w:footnote w:id="178">
    <w:p w14:paraId="07BF1878" w14:textId="77777777" w:rsidR="00624037" w:rsidRPr="00DA5441" w:rsidRDefault="00624037" w:rsidP="000D4B35">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79">
    <w:p w14:paraId="491A6FC3" w14:textId="77777777" w:rsidR="00624037" w:rsidRPr="00DA5441" w:rsidRDefault="00624037" w:rsidP="000D4B35">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80">
    <w:p w14:paraId="163E6036" w14:textId="77777777" w:rsidR="00624037" w:rsidRDefault="00624037" w:rsidP="000D4B35">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81">
    <w:p w14:paraId="71FDBF52"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182">
    <w:p w14:paraId="2EA1A679"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183">
    <w:p w14:paraId="0A7C4933" w14:textId="77777777" w:rsidR="00624037" w:rsidRDefault="00624037" w:rsidP="004E4D2E">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84">
    <w:p w14:paraId="5D10E9D0" w14:textId="77777777" w:rsidR="00B16B4E" w:rsidRDefault="00000000" w:rsidP="004E4D2E">
      <w:pPr>
        <w:bidi/>
        <w:rPr>
          <w:sz w:val="16"/>
          <w:szCs w:val="16"/>
        </w:rPr>
      </w:pPr>
      <w:r>
        <w:rPr>
          <w:rStyle w:val="af"/>
        </w:rPr>
        <w:footnoteRef/>
      </w:r>
      <w:r>
        <w:t xml:space="preserve"> </w:t>
      </w:r>
      <w:r>
        <w:rPr>
          <w:sz w:val="18"/>
          <w:szCs w:val="18"/>
          <w:rtl/>
        </w:rPr>
        <w:t>أبو العيد، طاهر (2022م). الذكاء الاصطناعي والقانون. نائب رئيس محكمة الاستئناف، ضمن سلسلة المعرفة القانونية. منشور عبر ResearchGate. https://www.researchgate.net/publication/361722936</w:t>
      </w:r>
    </w:p>
  </w:footnote>
  <w:footnote w:id="185">
    <w:p w14:paraId="6CE6CAEB"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86">
    <w:p w14:paraId="6D038AF6"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87">
    <w:p w14:paraId="3BF6E74B" w14:textId="77777777" w:rsidR="00624037" w:rsidRDefault="00624037"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88">
    <w:p w14:paraId="0A13FFB1" w14:textId="77777777" w:rsidR="00B16B4E" w:rsidRDefault="00000000" w:rsidP="004B4795">
      <w:pPr>
        <w:bidi/>
        <w:rPr>
          <w:sz w:val="16"/>
          <w:szCs w:val="16"/>
        </w:rPr>
      </w:pPr>
      <w:r>
        <w:rPr>
          <w:rStyle w:val="af"/>
        </w:rPr>
        <w:footnoteRef/>
      </w:r>
      <w:r>
        <w:t xml:space="preserve"> </w:t>
      </w:r>
      <w:r>
        <w:rPr>
          <w:sz w:val="18"/>
          <w:szCs w:val="18"/>
          <w:rtl/>
        </w:rPr>
        <w:t>مرسي، محمد إبراهيم عبد المنعم (2023م). مدى ملاءمة عقود الذكاء الاصطناعي المبرمة عبر تقنية البلوك تشين لقانون العقود. مجلة البحوث الفقهية والقانونية، جامعة الأزهر، ص913.</w:t>
      </w:r>
    </w:p>
  </w:footnote>
  <w:footnote w:id="189">
    <w:p w14:paraId="3C44DBCE" w14:textId="77777777" w:rsidR="00B16B4E" w:rsidRDefault="00000000" w:rsidP="004B4795">
      <w:pPr>
        <w:bidi/>
        <w:rPr>
          <w:sz w:val="16"/>
          <w:szCs w:val="16"/>
        </w:rPr>
      </w:pPr>
      <w:r>
        <w:rPr>
          <w:rStyle w:val="af"/>
        </w:rPr>
        <w:footnoteRef/>
      </w:r>
      <w:r>
        <w:t xml:space="preserve"> </w:t>
      </w:r>
      <w:r>
        <w:rPr>
          <w:sz w:val="18"/>
          <w:szCs w:val="18"/>
          <w:rtl/>
        </w:rPr>
        <w:t>علي، سعاد حسني محمد (د.ت). الذكاء الاصطناعي ودوره في إبرام العقود التجارية. قسم القانون التجاري والبحري، كلية الحقوق، جامعة عين شمس.</w:t>
      </w:r>
    </w:p>
  </w:footnote>
  <w:footnote w:id="190">
    <w:p w14:paraId="38B131A6" w14:textId="77777777" w:rsidR="00624037" w:rsidRDefault="00624037" w:rsidP="00624037">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191">
    <w:p w14:paraId="00CA6F8C" w14:textId="77777777" w:rsidR="00624037" w:rsidRPr="00CF4F0F" w:rsidRDefault="00624037" w:rsidP="00624037">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192">
    <w:p w14:paraId="7125F0D9" w14:textId="77777777" w:rsidR="00624037" w:rsidRPr="00CF4F0F" w:rsidRDefault="00624037" w:rsidP="00624037">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93">
    <w:p w14:paraId="5795AE5E"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94">
    <w:p w14:paraId="244F22FE"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95">
    <w:p w14:paraId="0AFE31C2" w14:textId="77777777" w:rsidR="00624037" w:rsidRDefault="00624037"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96">
    <w:p w14:paraId="54C79DE4"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(1443هـ). نظام حماية البيانات الشخصية. المملكة العربية السعودية.</w:t>
      </w:r>
    </w:p>
  </w:footnote>
  <w:footnote w:id="197">
    <w:p w14:paraId="0901196F" w14:textId="77777777" w:rsidR="00624037" w:rsidRPr="00CF4F0F" w:rsidRDefault="00624037" w:rsidP="00624037">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198">
    <w:p w14:paraId="0A39767E" w14:textId="77777777" w:rsidR="00624037" w:rsidRPr="00CF4F0F" w:rsidRDefault="00624037" w:rsidP="00624037">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99">
    <w:p w14:paraId="598377F8" w14:textId="77777777" w:rsidR="00624037" w:rsidRPr="00CF4F0F" w:rsidRDefault="00624037" w:rsidP="00624037">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00">
    <w:p w14:paraId="239E47C7" w14:textId="77777777" w:rsidR="00C41E32" w:rsidRDefault="00000000" w:rsidP="004E4D2E">
      <w:pPr>
        <w:bidi/>
        <w:rPr>
          <w:sz w:val="16"/>
          <w:szCs w:val="16"/>
        </w:rPr>
      </w:pPr>
      <w:r>
        <w:rPr>
          <w:rStyle w:val="af"/>
        </w:rPr>
        <w:footnoteRef/>
      </w:r>
      <w:r>
        <w:t xml:space="preserve"> </w:t>
      </w:r>
      <w:r>
        <w:rPr>
          <w:sz w:val="18"/>
          <w:szCs w:val="18"/>
          <w:rtl/>
        </w:rPr>
        <w:t>جابر، عبد القادر عبد الله أحمد (2023م). تطبيقات الذكاء الاصطناعي في الحكم القضائي - دراسة قانونية. المجلة الدولية للبحوث النوعية المتخصصة (IJSSR)، عدد 42، ص52-75. الجامعة السعودية الإلكترونية.</w:t>
      </w:r>
    </w:p>
  </w:footnote>
  <w:footnote w:id="201">
    <w:p w14:paraId="0A34593D" w14:textId="77777777" w:rsidR="00C41E32" w:rsidRDefault="00000000" w:rsidP="004B4795">
      <w:pPr>
        <w:bidi/>
        <w:rPr>
          <w:sz w:val="16"/>
          <w:szCs w:val="16"/>
        </w:rPr>
      </w:pPr>
      <w:r>
        <w:rPr>
          <w:rStyle w:val="af"/>
        </w:rPr>
        <w:footnoteRef/>
      </w:r>
      <w:r>
        <w:t xml:space="preserve"> </w:t>
      </w:r>
      <w:r>
        <w:rPr>
          <w:sz w:val="18"/>
          <w:szCs w:val="18"/>
          <w:rtl/>
        </w:rPr>
        <w:t>المملكة العربية السعودية (1428هـ). نظام القضاء الصادر بالمرسوم الملكي رقم م/78 وتاريخ 19/9/1428هـ، وقرار مجلس الوزراء رقم 303 بتاريخ 19/9/1428هـ. الرياض: الأمانة العامة لمجلس الوزراء.</w:t>
      </w:r>
    </w:p>
  </w:footnote>
  <w:footnote w:id="202">
    <w:p w14:paraId="155038A1" w14:textId="77777777" w:rsidR="00624037" w:rsidRDefault="00624037" w:rsidP="004E4D2E">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03">
    <w:p w14:paraId="41992632" w14:textId="77777777" w:rsidR="00624037" w:rsidRPr="003D5D6C" w:rsidRDefault="00624037" w:rsidP="004E4D2E">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204">
    <w:p w14:paraId="2B5B1E5D"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205">
    <w:p w14:paraId="61A8933A"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ص382.</w:t>
      </w:r>
    </w:p>
  </w:footnote>
  <w:footnote w:id="206">
    <w:p w14:paraId="1B24EFD0"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207">
    <w:p w14:paraId="7310CCEF"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ص267.</w:t>
      </w:r>
    </w:p>
  </w:footnote>
  <w:footnote w:id="208">
    <w:p w14:paraId="6692ECE0" w14:textId="77777777" w:rsidR="00624037" w:rsidRDefault="00624037"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09">
    <w:p w14:paraId="2D96378D" w14:textId="77777777" w:rsidR="00624037" w:rsidRPr="003D5D6C" w:rsidRDefault="00624037" w:rsidP="00624037">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10">
    <w:p w14:paraId="76DDDE75" w14:textId="77777777" w:rsidR="00624037" w:rsidRPr="003D5D6C" w:rsidRDefault="00624037" w:rsidP="00624037">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211">
    <w:p w14:paraId="38AC1E39" w14:textId="77777777" w:rsidR="00624037" w:rsidRPr="003D5D6C" w:rsidRDefault="00624037" w:rsidP="00A8385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12">
    <w:p w14:paraId="3E1043F4" w14:textId="77777777" w:rsidR="00624037" w:rsidRPr="003D5D6C" w:rsidRDefault="00624037" w:rsidP="00A83851">
      <w:pPr>
        <w:pStyle w:val="ae"/>
        <w:jc w:val="right"/>
      </w:pPr>
      <w:r>
        <w:rPr>
          <w:rStyle w:val="af"/>
        </w:rPr>
        <w:footnoteRef/>
      </w:r>
      <w:r>
        <w:t xml:space="preserve"> </w:t>
      </w:r>
      <w:r>
        <w:rPr>
          <w:sz w:val="18"/>
          <w:szCs w:val="18"/>
          <w:rtl/>
        </w:rPr>
        <w:t>هيئة الخبراء بمجلس الوزراء. (1435هـ). نظام الإجراءات الجزائية. المملكة العربية السعودية.</w:t>
      </w:r>
    </w:p>
  </w:footnote>
  <w:footnote w:id="213">
    <w:p w14:paraId="110BB9EA" w14:textId="77777777" w:rsidR="00624037" w:rsidRPr="003D5D6C" w:rsidRDefault="00624037" w:rsidP="00A8385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14">
    <w:p w14:paraId="09E80A6C"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215">
    <w:p w14:paraId="25E47E7E"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216">
    <w:p w14:paraId="49D57686"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ص99.</w:t>
      </w:r>
    </w:p>
  </w:footnote>
  <w:footnote w:id="217">
    <w:p w14:paraId="1D30C8DA"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ص312.</w:t>
      </w:r>
    </w:p>
  </w:footnote>
  <w:footnote w:id="218">
    <w:p w14:paraId="73960253"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ص592.</w:t>
      </w:r>
    </w:p>
  </w:footnote>
  <w:footnote w:id="219">
    <w:p w14:paraId="5CE40DA8"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ص13.</w:t>
      </w:r>
    </w:p>
  </w:footnote>
  <w:footnote w:id="220">
    <w:p w14:paraId="33ECC843"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ص1475.</w:t>
      </w:r>
    </w:p>
  </w:footnote>
  <w:footnote w:id="221">
    <w:p w14:paraId="1DCB9134" w14:textId="77777777" w:rsidR="00624037" w:rsidRPr="00A97E4D" w:rsidRDefault="00624037" w:rsidP="00624037">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22">
    <w:p w14:paraId="258E29B8" w14:textId="77777777" w:rsidR="00B16B4E" w:rsidRDefault="00000000" w:rsidP="004B4795">
      <w:pPr>
        <w:bidi/>
        <w:rPr>
          <w:sz w:val="16"/>
          <w:szCs w:val="16"/>
        </w:rPr>
      </w:pPr>
      <w:r>
        <w:rPr>
          <w:rStyle w:val="af"/>
        </w:rPr>
        <w:footnoteRef/>
      </w:r>
      <w:r>
        <w:t xml:space="preserve"> </w:t>
      </w:r>
      <w:r>
        <w:rPr>
          <w:sz w:val="18"/>
          <w:szCs w:val="18"/>
          <w:rtl/>
        </w:rPr>
        <w:t>محمود، سيد أحمد؛ وعناني، مريم عماد محمد (د.ت). الذكاء الاصطناعي والعمل القضائي - دراسة تحليلية مقارنة. ضمن: التحديات والآفاق القانونية والاقتصادية للذكاء الاصطناعي، ص920. كلية الحقوق، جامعة عين شمس.</w:t>
      </w:r>
    </w:p>
  </w:footnote>
  <w:footnote w:id="223">
    <w:p w14:paraId="59E349AA" w14:textId="77777777" w:rsidR="00C41E32" w:rsidRDefault="00000000" w:rsidP="004B4795">
      <w:pPr>
        <w:bidi/>
        <w:rPr>
          <w:sz w:val="16"/>
          <w:szCs w:val="16"/>
        </w:rPr>
      </w:pPr>
      <w:r>
        <w:rPr>
          <w:rStyle w:val="af"/>
        </w:rPr>
        <w:footnoteRef/>
      </w:r>
      <w:r>
        <w:t xml:space="preserve"> </w:t>
      </w:r>
      <w:r>
        <w:rPr>
          <w:sz w:val="18"/>
          <w:szCs w:val="18"/>
          <w:rtl/>
        </w:rPr>
        <w:t>المملكة العربية السعودية (1428هـ). نظام التعاملات الإلكترونية الصادر بالمرسوم الملكي رقم م/18 وتاريخ 26/3/1428هـ. الرياض: الأمانة العامة لمجلس الوزراء.</w:t>
      </w:r>
    </w:p>
  </w:footnote>
  <w:footnote w:id="224">
    <w:p w14:paraId="7F8DE615" w14:textId="77777777" w:rsidR="00B16B4E" w:rsidRDefault="00000000" w:rsidP="004B4795">
      <w:pPr>
        <w:bidi/>
        <w:rPr>
          <w:sz w:val="16"/>
          <w:szCs w:val="16"/>
        </w:rPr>
      </w:pPr>
      <w:r>
        <w:rPr>
          <w:rStyle w:val="af"/>
        </w:rPr>
        <w:footnoteRef/>
      </w:r>
      <w:r>
        <w:t xml:space="preserve"> </w:t>
      </w:r>
      <w:r>
        <w:rPr>
          <w:sz w:val="18"/>
          <w:szCs w:val="18"/>
          <w:rtl/>
        </w:rPr>
        <w:t>الهيئة السعودية للبيانات والذكاء الاصطناعي (سدايا) (2024م). أخلاقيات الذكاء الاصطناعي. سلسلة الذكاء الاصطناعي للتنفيذيين (3)، الطبعة الثانية، أبريل 2024م. الرياض: سدايا.</w:t>
      </w:r>
    </w:p>
  </w:footnote>
  <w:footnote w:id="225">
    <w:p w14:paraId="01C09FFB" w14:textId="77777777" w:rsidR="00624037" w:rsidRPr="00A97E4D" w:rsidRDefault="00624037" w:rsidP="00786384">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26">
    <w:p w14:paraId="55C60679"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ص48.</w:t>
      </w:r>
    </w:p>
  </w:footnote>
  <w:footnote w:id="227">
    <w:p w14:paraId="28F322D5"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ص134.</w:t>
      </w:r>
    </w:p>
  </w:footnote>
  <w:footnote w:id="228">
    <w:p w14:paraId="128C0BD1"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229">
    <w:p w14:paraId="21ADFA83"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230">
    <w:p w14:paraId="2A70462A"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ص84.</w:t>
      </w:r>
    </w:p>
  </w:footnote>
  <w:footnote w:id="231">
    <w:p w14:paraId="3040732E" w14:textId="77777777" w:rsidR="00CF598B" w:rsidRDefault="00CF598B" w:rsidP="00CF598B">
      <w:pPr>
        <w:pStyle w:val="ae"/>
        <w:jc w:val="right"/>
        <w:rPr>
          <w:rtl/>
        </w:rPr>
      </w:pPr>
      <w:r>
        <w:rPr>
          <w:rStyle w:val="af"/>
        </w:rPr>
        <w:footnoteRef/>
      </w:r>
      <w:r>
        <w:t xml:space="preserve"> </w:t>
      </w:r>
      <w:r>
        <w:rPr>
          <w:sz w:val="18"/>
          <w:szCs w:val="18"/>
          <w:rtl/>
        </w:rPr>
        <w:t>هيئة الخبراء بمجلس الوزراء. (1422هـ). نظام المحاماة. المملكة العربية السعودية.</w:t>
      </w:r>
    </w:p>
  </w:footnote>
  <w:footnote w:id="232">
    <w:p w14:paraId="338F6ED9" w14:textId="77777777" w:rsidR="00CF598B" w:rsidRDefault="00CF598B" w:rsidP="00CF598B">
      <w:pPr>
        <w:pStyle w:val="ae"/>
        <w:jc w:val="right"/>
        <w:rPr>
          <w:rtl/>
        </w:rPr>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233">
    <w:p w14:paraId="209C4B15" w14:textId="77777777" w:rsidR="00CF598B" w:rsidRPr="00BF47F8" w:rsidRDefault="00CF598B" w:rsidP="00CF598B">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34">
    <w:p w14:paraId="26F92CB6" w14:textId="77777777" w:rsidR="00CF598B" w:rsidRPr="00BF47F8" w:rsidRDefault="00CF598B" w:rsidP="00CF598B">
      <w:pPr>
        <w:pStyle w:val="ae"/>
        <w:jc w:val="right"/>
      </w:pPr>
      <w:r>
        <w:rPr>
          <w:rStyle w:val="af"/>
        </w:rPr>
        <w:footnoteRef/>
      </w:r>
      <w:r>
        <w:t xml:space="preserve"> </w:t>
      </w:r>
      <w:r>
        <w:rPr>
          <w:sz w:val="18"/>
          <w:szCs w:val="18"/>
          <w:rtl/>
        </w:rPr>
        <w:t>الحربي، أ. (2019). مدى إمكانية الاعتراف بالشخصية القانونية للذكاء الاصطناعي. مجلة علمية.</w:t>
      </w:r>
    </w:p>
  </w:footnote>
  <w:footnote w:id="235">
    <w:p w14:paraId="29A5B7D4" w14:textId="77777777" w:rsidR="004F0491" w:rsidRDefault="004F0491" w:rsidP="004F0491">
      <w:pPr>
        <w:bidi/>
        <w:rPr>
          <w:sz w:val="16"/>
          <w:szCs w:val="16"/>
        </w:rPr>
      </w:pPr>
      <w:r>
        <w:rPr>
          <w:rStyle w:val="af"/>
        </w:rPr>
        <w:footnoteRef/>
      </w:r>
      <w:r>
        <w:t xml:space="preserve"> </w:t>
      </w:r>
      <w:r>
        <w:rPr>
          <w:sz w:val="18"/>
          <w:szCs w:val="18"/>
          <w:rtl/>
        </w:rPr>
        <w:t>الخليفة، وليد بن إبراهيم بن عبد الله (1444هـ). نظام الإثبات وأدلته الإجرائية مع الفهارس. الرياض: الجمعية العلمية القضائية السعودية (قضاء). رقم الإيداع: 1444/3657.</w:t>
      </w:r>
    </w:p>
  </w:footnote>
  <w:footnote w:id="236">
    <w:p w14:paraId="5589F789" w14:textId="77777777" w:rsidR="004F0491" w:rsidRDefault="004F0491" w:rsidP="004F0491">
      <w:pPr>
        <w:bidi/>
        <w:rPr>
          <w:sz w:val="16"/>
          <w:szCs w:val="16"/>
        </w:rPr>
      </w:pPr>
      <w:r>
        <w:rPr>
          <w:rStyle w:val="af"/>
        </w:rPr>
        <w:footnoteRef/>
      </w:r>
      <w:r>
        <w:t xml:space="preserve"> </w:t>
      </w:r>
      <w:r>
        <w:rPr>
          <w:sz w:val="18"/>
          <w:szCs w:val="18"/>
          <w:rtl/>
        </w:rPr>
        <w:t>السريع، عبد العزيز بن محمد؛ والزامل، عبد الله بن عبد المحسن (1445هـ). نظام المعاملات المدنية مع الفهارس. الرياض: الجمعية العلمية القضائية السعودية (قضاء). رقم الإيداع: 1445/7825.</w:t>
      </w:r>
    </w:p>
  </w:footnote>
  <w:footnote w:id="237">
    <w:p w14:paraId="28EA3377" w14:textId="77777777" w:rsidR="004F0491" w:rsidRDefault="004F0491" w:rsidP="004F0491">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 دراسة تحليلية تأصيلية. مجلة البحوث الفقهية والقانونية، جامعة الأزهر، عدد 47، ص1767.</w:t>
      </w:r>
    </w:p>
  </w:footnote>
  <w:footnote w:id="238">
    <w:p w14:paraId="3BC516E6" w14:textId="77777777" w:rsidR="004F0491" w:rsidRPr="00B97A43" w:rsidRDefault="004F0491"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39">
    <w:p w14:paraId="130C5803" w14:textId="77777777" w:rsidR="004F0491" w:rsidRPr="00B97A43" w:rsidRDefault="004F0491" w:rsidP="004F0491">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240">
    <w:p w14:paraId="5B99387D" w14:textId="77777777" w:rsidR="004F0491" w:rsidRDefault="004F0491" w:rsidP="004F0491">
      <w:pPr>
        <w:bidi/>
        <w:rPr>
          <w:sz w:val="16"/>
          <w:szCs w:val="16"/>
        </w:rPr>
      </w:pPr>
      <w:r>
        <w:rPr>
          <w:rStyle w:val="af"/>
        </w:rPr>
        <w:footnoteRef/>
      </w:r>
      <w:r>
        <w:t xml:space="preserve"> </w:t>
      </w:r>
      <w:r>
        <w:rPr>
          <w:sz w:val="18"/>
          <w:szCs w:val="18"/>
          <w:rtl/>
        </w:rPr>
        <w:t>لقرب، سامية (2024م). الذكاء الاصطناعي والآثار القانونية المترتبة عن استخدامه. مجلة المحترف لعلوم الرياضة والعلوم الإنسانية والاجتماعية، المجلد 11، العدد 4، ص236-253.</w:t>
      </w:r>
    </w:p>
  </w:footnote>
  <w:footnote w:id="241">
    <w:p w14:paraId="2019059A" w14:textId="77777777" w:rsidR="004F0491" w:rsidRPr="00B97A43" w:rsidRDefault="004F0491"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42">
    <w:p w14:paraId="7AF8B7E3" w14:textId="77777777" w:rsidR="004F0491" w:rsidRPr="00B97A43" w:rsidRDefault="004F0491" w:rsidP="004F0491">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43">
    <w:p w14:paraId="32B38297" w14:textId="77777777" w:rsidR="004F0491" w:rsidRDefault="004F0491" w:rsidP="004F0491">
      <w:pPr>
        <w:bidi/>
        <w:rPr>
          <w:sz w:val="16"/>
          <w:szCs w:val="16"/>
        </w:rPr>
      </w:pPr>
      <w:r>
        <w:rPr>
          <w:rStyle w:val="af"/>
        </w:rPr>
        <w:footnoteRef/>
      </w:r>
      <w:r>
        <w:t xml:space="preserve"> </w:t>
      </w:r>
      <w:r>
        <w:rPr>
          <w:sz w:val="18"/>
          <w:szCs w:val="18"/>
          <w:rtl/>
        </w:rPr>
        <w:t>نشأت، جابر عبد الله (د.ت). المسؤولية عن الذكاء الاصطناعي بين القانون الخاص والقانون العام. بحث منشور في مجلة العدالة. المحكمة الدستورية العليا، مصر.</w:t>
      </w:r>
    </w:p>
  </w:footnote>
  <w:footnote w:id="244">
    <w:p w14:paraId="2BA5AFE7" w14:textId="77777777" w:rsidR="004F0491" w:rsidRPr="00B97A43" w:rsidRDefault="004F0491"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45">
    <w:p w14:paraId="0E59EA9E" w14:textId="77777777" w:rsidR="004F0491" w:rsidRPr="00B97A43" w:rsidRDefault="004F0491"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46">
    <w:p w14:paraId="2A8A5DA1" w14:textId="77777777" w:rsidR="004F0491" w:rsidRPr="00B97A43" w:rsidRDefault="004F0491" w:rsidP="004F0491">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247">
    <w:p w14:paraId="1936C61A" w14:textId="77777777" w:rsidR="004F0491" w:rsidRPr="00B97A43" w:rsidRDefault="004F0491" w:rsidP="004F0491">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48">
    <w:p w14:paraId="655A9A67" w14:textId="77777777" w:rsidR="004F0491" w:rsidRPr="00B97A43" w:rsidRDefault="004F0491" w:rsidP="004F0491">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249">
    <w:p w14:paraId="5FE23BC8" w14:textId="77777777" w:rsidR="004F0491" w:rsidRDefault="004F0491"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0">
    <w:p w14:paraId="051C43BF" w14:textId="77777777" w:rsidR="004F0491" w:rsidRPr="00B97A43" w:rsidRDefault="004F0491" w:rsidP="004F0491">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251">
    <w:p w14:paraId="285FB2EE" w14:textId="77777777" w:rsidR="004F0491" w:rsidRDefault="004F0491"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2">
    <w:p w14:paraId="7A60254E" w14:textId="77777777" w:rsidR="004F0491" w:rsidRDefault="004F0491" w:rsidP="004F0491">
      <w:pPr>
        <w:bidi/>
        <w:rPr>
          <w:sz w:val="16"/>
          <w:szCs w:val="16"/>
        </w:rPr>
      </w:pPr>
      <w:r>
        <w:rPr>
          <w:rStyle w:val="af"/>
        </w:rPr>
        <w:footnoteRef/>
      </w:r>
      <w:r>
        <w:t xml:space="preserve"> </w:t>
      </w:r>
      <w:r>
        <w:rPr>
          <w:sz w:val="18"/>
          <w:szCs w:val="18"/>
          <w:rtl/>
        </w:rPr>
        <w:t>الأسيوطي، أيمن محمد سيد مصطفى (2020م). حماية التصرفات القانونية وإثباتها عبر تطبيق الذكاء الاصطناعي. مجلة الباحث العربي، مجلد 1، عدد 1، نشر 15 يونيو 2020م.</w:t>
      </w:r>
    </w:p>
  </w:footnote>
  <w:footnote w:id="253">
    <w:p w14:paraId="5584212A" w14:textId="77777777" w:rsidR="004F0491" w:rsidRDefault="004F0491"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4">
    <w:p w14:paraId="48F91D9A" w14:textId="77777777" w:rsidR="004F0491" w:rsidRPr="005F29C9" w:rsidRDefault="004F0491"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55">
    <w:p w14:paraId="17F17284" w14:textId="77777777" w:rsidR="004F0491" w:rsidRPr="005F29C9" w:rsidRDefault="004F0491" w:rsidP="004F0491">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56">
    <w:p w14:paraId="24C2F611" w14:textId="77777777" w:rsidR="004F0491" w:rsidRPr="00383E46" w:rsidRDefault="004F0491"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57">
    <w:p w14:paraId="2EE192BF" w14:textId="77777777" w:rsidR="00CF67E5" w:rsidRDefault="00CF67E5" w:rsidP="00CF67E5">
      <w:pPr>
        <w:pStyle w:val="ae"/>
        <w:jc w:val="right"/>
        <w:rPr>
          <w:rtl/>
        </w:rPr>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58">
    <w:p w14:paraId="1EC76FE6" w14:textId="77777777" w:rsidR="00CF67E5" w:rsidRDefault="00CF67E5"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59">
    <w:p w14:paraId="641C7B1B" w14:textId="77777777" w:rsidR="00CF67E5" w:rsidRDefault="00CF67E5" w:rsidP="00CF67E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60">
    <w:p w14:paraId="33ABAF9F" w14:textId="77777777" w:rsidR="00CF67E5" w:rsidRDefault="00CF67E5"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61">
    <w:p w14:paraId="5C7D476B" w14:textId="77777777" w:rsidR="00CF67E5" w:rsidRDefault="00CF67E5" w:rsidP="00CF67E5">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62">
    <w:p w14:paraId="4D29B9D9" w14:textId="77777777" w:rsidR="00CF67E5" w:rsidRDefault="00CF67E5" w:rsidP="00CF67E5">
      <w:pPr>
        <w:rPr>
          <w:sz w:val="16"/>
          <w:szCs w:val="16"/>
        </w:rPr>
      </w:pPr>
      <w:r>
        <w:rPr>
          <w:rStyle w:val="af"/>
        </w:rPr>
        <w:footnoteRef/>
      </w:r>
      <w:r>
        <w:t xml:space="preserve"> </w:t>
      </w:r>
      <w:r>
        <w:rPr>
          <w:sz w:val="18"/>
          <w:szCs w:val="18"/>
          <w:rtl/>
        </w:rPr>
        <w:t>بلال، فاطمة عبد العزيز (2023م). دور الذكاء الاصطناعي في تعزيز العدالة الناجزة أمام القضاء - دراسة مقارنة. رسالة ماجستير، كلية القانون، جامعة قطر، يناير 2023م.</w:t>
      </w:r>
    </w:p>
  </w:footnote>
  <w:footnote w:id="263">
    <w:p w14:paraId="54CB9BD6" w14:textId="77777777" w:rsidR="00CF67E5" w:rsidRDefault="00CF67E5" w:rsidP="00CF67E5">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64">
    <w:p w14:paraId="22265110" w14:textId="77777777" w:rsidR="00CF67E5" w:rsidRDefault="00CF67E5" w:rsidP="00CF67E5">
      <w:pPr>
        <w:rPr>
          <w:sz w:val="16"/>
          <w:szCs w:val="16"/>
          <w:rtl/>
        </w:rPr>
      </w:pPr>
      <w:r>
        <w:rPr>
          <w:rStyle w:val="af"/>
        </w:rPr>
        <w:footnoteRef/>
      </w:r>
      <w:r>
        <w:t xml:space="preserve"> </w:t>
      </w:r>
      <w:r>
        <w:rPr>
          <w:sz w:val="18"/>
          <w:szCs w:val="18"/>
          <w:rtl/>
        </w:rPr>
        <w:t>محمود، سيد أحمد؛ وعناني، مريم عماد محمد (د.ت). الذكاء الاصطناعي والعمل القضائي - دراسة تحليلية مقارنة. ضمن: التحديات والآفاق القانونية والاقتصادية للذكاء الاصطناعي، ص921. كلية الحقوق، جامعة عين شمس.</w:t>
      </w:r>
    </w:p>
  </w:footnote>
  <w:footnote w:id="265">
    <w:p w14:paraId="33009101" w14:textId="77777777" w:rsidR="00CF67E5" w:rsidRDefault="00CF67E5"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66">
    <w:p w14:paraId="37C7A410" w14:textId="77777777" w:rsidR="00CF67E5" w:rsidRDefault="00CF67E5" w:rsidP="00CF67E5">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67">
    <w:p w14:paraId="00EDC558" w14:textId="77777777" w:rsidR="00CF67E5" w:rsidRDefault="00CF67E5" w:rsidP="00CF67E5">
      <w:pPr>
        <w:jc w:val="both"/>
        <w:rPr>
          <w:sz w:val="16"/>
          <w:szCs w:val="16"/>
        </w:rPr>
      </w:pPr>
      <w:r>
        <w:rPr>
          <w:rStyle w:val="af"/>
        </w:rPr>
        <w:footnoteRef/>
      </w:r>
      <w:r>
        <w:t xml:space="preserve"> </w:t>
      </w:r>
      <w:r>
        <w:rPr>
          <w:sz w:val="18"/>
          <w:szCs w:val="18"/>
          <w:rtl/>
        </w:rPr>
        <w:t>قاسم، مراد محمد غالب (2024م). دور الذكاء الاصطناعي في مكافحة الجريمة الإلكترونية - دراسة مقارنة. بحث مقدم لنيل متطلبات التخرج، جامعة تعز، قُبل بتاريخ 26 أبريل 2024م.</w:t>
      </w:r>
    </w:p>
  </w:footnote>
  <w:footnote w:id="268">
    <w:p w14:paraId="3CB8780B" w14:textId="77777777" w:rsidR="00CF67E5" w:rsidRDefault="00CF67E5" w:rsidP="00CF67E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69">
    <w:p w14:paraId="0BE204E2" w14:textId="77777777" w:rsidR="00CF67E5" w:rsidRDefault="00CF67E5" w:rsidP="00CF67E5">
      <w:pPr>
        <w:jc w:val="right"/>
        <w:rPr>
          <w:rFonts w:asciiTheme="majorBidi" w:hAnsiTheme="majorBidi" w:cstheme="majorBidi"/>
          <w:sz w:val="18"/>
          <w:szCs w:val="18"/>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270">
    <w:p w14:paraId="78E20A98" w14:textId="77777777" w:rsidR="00CF67E5" w:rsidRDefault="00CF67E5"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w:t>
      </w:r>
      <w:r>
        <w:rPr>
          <w:rFonts w:asciiTheme="majorBidi" w:hAnsiTheme="majorBidi" w:cstheme="majorBidi"/>
          <w:sz w:val="18"/>
          <w:szCs w:val="18"/>
        </w:rPr>
        <w:t>https://doi.org/10.36394/jls.v21.i2.15</w:t>
      </w:r>
      <w:r>
        <w:rPr>
          <w:rFonts w:asciiTheme="majorBidi" w:hAnsiTheme="majorBidi" w:cstheme="majorBidi"/>
          <w:sz w:val="18"/>
          <w:szCs w:val="18"/>
          <w:rtl/>
        </w:rPr>
        <w:t>., ص25.</w:t>
      </w:r>
    </w:p>
  </w:footnote>
  <w:footnote w:id="271">
    <w:p w14:paraId="12BD67C7" w14:textId="77777777" w:rsidR="00CF67E5" w:rsidRDefault="00CF67E5" w:rsidP="00CF67E5">
      <w:pPr>
        <w:rPr>
          <w:sz w:val="16"/>
          <w:szCs w:val="16"/>
          <w:rtl/>
        </w:rPr>
      </w:pPr>
      <w:r>
        <w:rPr>
          <w:rStyle w:val="af"/>
        </w:rPr>
        <w:footnoteRef/>
      </w:r>
      <w:r>
        <w:t xml:space="preserve"> </w:t>
      </w:r>
      <w:r>
        <w:rPr>
          <w:sz w:val="18"/>
          <w:szCs w:val="18"/>
          <w:rtl/>
        </w:rPr>
        <w:t>البرلمان الأوروبي والمجلس الأوروبي (2024م). لائحة الذكاء الاصطناعي (</w:t>
      </w:r>
      <w:r>
        <w:rPr>
          <w:sz w:val="18"/>
          <w:szCs w:val="18"/>
        </w:rPr>
        <w:t>EU AI Act</w:t>
      </w:r>
      <w:r>
        <w:rPr>
          <w:sz w:val="18"/>
          <w:szCs w:val="18"/>
          <w:rtl/>
        </w:rPr>
        <w:t>) - اللائحة الأوروبية رقم 2024/1689. بروكسل: الاتحاد الأوروبي، مارس 2024م.</w:t>
      </w:r>
    </w:p>
  </w:footnote>
  <w:footnote w:id="272">
    <w:p w14:paraId="0742E8D5" w14:textId="77777777" w:rsidR="00CF67E5" w:rsidRDefault="00CF67E5" w:rsidP="00CF67E5">
      <w:pPr>
        <w:jc w:val="both"/>
        <w:rPr>
          <w:rFonts w:asciiTheme="majorBidi" w:hAnsiTheme="majorBidi" w:cstheme="majorBidi"/>
          <w:sz w:val="18"/>
          <w:szCs w:val="18"/>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w:t>
      </w:r>
      <w:r>
        <w:rPr>
          <w:rFonts w:asciiTheme="majorBidi" w:hAnsiTheme="majorBidi" w:cstheme="majorBidi"/>
          <w:sz w:val="18"/>
          <w:szCs w:val="18"/>
        </w:rPr>
        <w:t>DOI</w:t>
      </w:r>
      <w:r>
        <w:rPr>
          <w:rFonts w:asciiTheme="majorBidi" w:hAnsiTheme="majorBidi" w:cstheme="majorBidi"/>
          <w:sz w:val="18"/>
          <w:szCs w:val="18"/>
          <w:rtl/>
        </w:rPr>
        <w:t>: 10.36571/</w:t>
      </w:r>
      <w:r>
        <w:rPr>
          <w:rFonts w:asciiTheme="majorBidi" w:hAnsiTheme="majorBidi" w:cstheme="majorBidi"/>
          <w:sz w:val="18"/>
          <w:szCs w:val="18"/>
        </w:rPr>
        <w:t>ajsp7321</w:t>
      </w:r>
      <w:r>
        <w:rPr>
          <w:rFonts w:asciiTheme="majorBidi" w:hAnsiTheme="majorBidi" w:cstheme="majorBidi"/>
          <w:sz w:val="18"/>
          <w:szCs w:val="18"/>
          <w:rtl/>
        </w:rPr>
        <w:t>.</w:t>
      </w:r>
    </w:p>
  </w:footnote>
  <w:footnote w:id="273">
    <w:p w14:paraId="2CEAD4F3" w14:textId="77777777" w:rsidR="00CF67E5" w:rsidRDefault="00CF67E5"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بالل، فاطمة عبد العزيز حسن أحمد (2023م). دور الذكاء الاصطناعي في تعزيز العدالة الناجزة أمام القضاء - دراسة مقارنة. رسالة ماجستير، كلية القانون، جامعة قطر.</w:t>
      </w:r>
    </w:p>
  </w:footnote>
  <w:footnote w:id="274">
    <w:p w14:paraId="47F83024" w14:textId="77777777" w:rsidR="00CF67E5" w:rsidRDefault="00CF67E5"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ص57.</w:t>
      </w:r>
    </w:p>
  </w:footnote>
  <w:footnote w:id="275">
    <w:p w14:paraId="175BA1F5" w14:textId="77777777" w:rsidR="00CF67E5" w:rsidRDefault="00CF67E5"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ص148.</w:t>
      </w:r>
    </w:p>
  </w:footnote>
  <w:footnote w:id="276">
    <w:p w14:paraId="3160F56B" w14:textId="77777777" w:rsidR="00CF67E5" w:rsidRDefault="00CF67E5"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ص134.</w:t>
      </w:r>
    </w:p>
  </w:footnote>
  <w:footnote w:id="277">
    <w:p w14:paraId="6FB3D34C" w14:textId="77777777" w:rsidR="00CF67E5" w:rsidRDefault="00CF67E5"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ص74.</w:t>
      </w:r>
    </w:p>
  </w:footnote>
  <w:footnote w:id="278">
    <w:p w14:paraId="60BE0B1C" w14:textId="77777777" w:rsidR="00CF67E5" w:rsidRDefault="00CF67E5"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ص312.</w:t>
      </w:r>
    </w:p>
  </w:footnote>
  <w:footnote w:id="279">
    <w:p w14:paraId="1E04A356" w14:textId="77777777" w:rsidR="00C41E32" w:rsidRDefault="00000000">
      <w:pPr>
        <w:numPr>
          <w:ilvl w:val="0"/>
          <w:numId w:val="1"/>
        </w:numPr>
        <w:bidi/>
        <w:rPr>
          <w:sz w:val="16"/>
          <w:szCs w:val="16"/>
        </w:rPr>
      </w:pPr>
      <w:r>
        <w:rPr>
          <w:rStyle w:val="af"/>
        </w:rPr>
        <w:footnoteRef/>
      </w:r>
      <w:r>
        <w:t xml:space="preserve"> </w:t>
      </w:r>
      <w:r>
        <w:rPr>
          <w:sz w:val="18"/>
          <w:szCs w:val="18"/>
          <w:rtl/>
        </w:rPr>
        <w:t>الغامدي، رهف صالح (2025م). الطبيعة القانونية للعقود الذكية في المملكة العربية السعودية - دراسة تحليلية. مجلة القانون والأعمال الدولية، الإصدار 57، ص228-230.</w:t>
      </w:r>
    </w:p>
  </w:footnote>
  <w:footnote w:id="280">
    <w:p w14:paraId="7D83EE5D"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العلي، سلمان عبد العزيز. (2024م). الذكاء الاصطناعي ودوره في إبرام العقود التجارية الذكية: دراسة مقارنة. الرياض: دار الراية للنشر والتوزيع، ص43.</w:t>
      </w:r>
    </w:p>
  </w:footnote>
  <w:footnote w:id="281">
    <w:p w14:paraId="495C5C8C"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وزارة العدل، المملكة العربية السعودية. (2024م). تقرير التحول الرقمي للقطاع العدلي. الرياض: مركز الدراسات والبحوث القانونية.</w:t>
      </w:r>
    </w:p>
  </w:footnote>
  <w:footnote w:id="282">
    <w:p w14:paraId="775753E1"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إسماعيل، طارق عبد المجيد. (2025م). الذكاء الاصطناعي وتحولات مهنة المحاماة: رؤية مستقبلية. مجلة الباحث العربي، 17(1)، ص78.</w:t>
      </w:r>
    </w:p>
  </w:footnote>
  <w:footnote w:id="283">
    <w:p w14:paraId="6C39C397"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وزارة العدل، المملكة العربية السعودية. (2024م). تقرير التحول الرقمي للقطاع العدلي. الرياض: مركز الدراسات والبحوث القانونية، ص18.</w:t>
      </w:r>
    </w:p>
  </w:footnote>
  <w:footnote w:id="284">
    <w:p w14:paraId="7F116493"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محمود، أحمد فتحي؛ وعناني، رمضان صالح. (د.ت). الذكاء الاصطناعي والعمل القضائي: دراسة تحليلية مقارنة. مجلة القضاء والقانون، 9(1)، ص102.</w:t>
      </w:r>
    </w:p>
  </w:footnote>
  <w:footnote w:id="285">
    <w:p w14:paraId="594C4AD2"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Kaniewski, M., &amp; Nowak, R. (2023). Hallucination and factual accuracy in legal AI systems. Journal of Legal Technology, 8(2), p. 45.</w:t>
      </w:r>
    </w:p>
  </w:footnote>
  <w:footnote w:id="286">
    <w:p w14:paraId="5EDF3806"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المحمود، فيصل؛ وعبد العزيز، منيرة. (2024م). إشكاليات المعالجة الحاسوبية للغة القانونية العربية. مجلة الدراسات اللغوية والقانونية، 3(1)، ص62.</w:t>
      </w:r>
    </w:p>
  </w:footnote>
  <w:footnote w:id="287">
    <w:p w14:paraId="347520F0"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عبد الرحمن، مريم خالد. (د.ت). أنظمة الحوكمة الرقمية وضوابط حماية البيانات في القطاع القانوني. مجلة دراسات الإدارة والقانون، 11(1)، ص59.</w:t>
      </w:r>
    </w:p>
  </w:footnote>
  <w:footnote w:id="288">
    <w:p w14:paraId="0C7D5A1A"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(فبراير 2025م). الدليل الاسترشادي لتقويم مخاطر نقل البيانات الشخصية إلى خارج المملكة. الرياض: سدايا، ص7.</w:t>
      </w:r>
    </w:p>
  </w:footnote>
  <w:footnote w:id="289">
    <w:p w14:paraId="3FF652CA"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المالكي، بندر فهد. (2024م). نظام حماية البيانات الشخصية في المملكة العربية السعودية وتطبيقاته على القطاع القانوني. مجلة الشريعة والقانون، 3(1)، ص91.</w:t>
      </w:r>
    </w:p>
  </w:footnote>
  <w:footnote w:id="290">
    <w:p w14:paraId="67D2E3D3"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الأسيوطي، محمد حسن. (2020م). حجية الإثبات الإلكتروني في المواد المدنية والتجارية. مجلة الباحث العربي، 12(4)، ص215.</w:t>
      </w:r>
    </w:p>
  </w:footnote>
  <w:footnote w:id="291">
    <w:p w14:paraId="207B0AB1"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وزارة العدل، المملكة العربية السعودية. (2024م). تقرير التحول الرقمي للقطاع العدلي. الرياض: مركز الدراسات والبحوث القانونية، ص24.</w:t>
      </w:r>
    </w:p>
  </w:footnote>
  <w:footnote w:id="292">
    <w:p w14:paraId="2B55F780"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(نوفمبر 2023م). مبادئ أخلاقيات الذكاء الاصطناعي. الرياض: سدايا.</w:t>
      </w:r>
    </w:p>
  </w:footnote>
  <w:footnote w:id="293">
    <w:p w14:paraId="1C04C31E"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(نوفمبر 2023م). مبادئ أخلاقيات الذكاء الاصطناعي. الرياض: سدايا، ص12.</w:t>
      </w:r>
    </w:p>
  </w:footnote>
  <w:footnote w:id="294">
    <w:p w14:paraId="7DBE12A9"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(سبتمبر 2024م). إطار تبني الذكاء الاصطناعي. الرياض: سدايا.</w:t>
      </w:r>
    </w:p>
  </w:footnote>
  <w:footnote w:id="295">
    <w:p w14:paraId="7FDEE982"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(سبتمبر 2024م). إطار تبني الذكاء الاصطناعي. الرياض: سدايا، ص33.</w:t>
      </w:r>
    </w:p>
  </w:footnote>
  <w:footnote w:id="296">
    <w:p w14:paraId="25B113D8"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(فبراير 2025م). الدليل الاسترشادي لتقويم مخاطر نقل البيانات الشخصية إلى خارج المملكة. الرياض: سدايا.</w:t>
      </w:r>
    </w:p>
  </w:footnote>
  <w:footnote w:id="297">
    <w:p w14:paraId="15530370"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رجب، عمر سيد. (2023م). دور الدولة في تأطير أخلاقيات الذكاء الاصطناعي: دراسة مقارنة. مجلة الحقوق والعلوم الإنسانية، 5(2)، ص178.</w:t>
      </w:r>
    </w:p>
  </w:footnote>
  <w:footnote w:id="298">
    <w:p w14:paraId="2CB79B7B"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الأمين، فاطمة إبراهيم. (د.ت). الحماية القانونية للبيانات الشخصية في ظل منظومة العدالة الرقمية. مجلة الدراسات القانونية والاقتصادية، 8(2)، ص44.</w:t>
      </w:r>
    </w:p>
  </w:footnote>
  <w:footnote w:id="299">
    <w:p w14:paraId="1AD49594"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(نوفمبر 2023م). مبادئ أخلاقيات الذكاء الاصطناعي. الرياض: سدايا.</w:t>
      </w:r>
    </w:p>
  </w:footnote>
  <w:footnote w:id="300">
    <w:p w14:paraId="687B04B6"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المرسوم الملكي رقم م/38 لعام 1422هـ. نظام المحاماة في المملكة العربية السعودية. الجريدة الرسمية.</w:t>
      </w:r>
    </w:p>
  </w:footnote>
  <w:footnote w:id="301">
    <w:p w14:paraId="5270B1ED"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عبد الرحمن، مريم خالد. (د.ت). أنظمة الحوكمة الرقمية وضوابط حماية البيانات في القطاع القانوني. مجلة دراسات الإدارة والقانون، 11(1)، ص67.</w:t>
      </w:r>
    </w:p>
  </w:footnote>
  <w:footnote w:id="302">
    <w:p w14:paraId="4866BBF2"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العلي، سلمان عبد العزيز. (2024م). الذكاء الاصطناعي ودوره في إبرام العقود التجارية الذكية: دراسة مقارنة. الرياض: دار الراية للنشر والتوزيع، ص67.</w:t>
      </w:r>
    </w:p>
  </w:footnote>
  <w:footnote w:id="303">
    <w:p w14:paraId="28450D81"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حسن، رانيا محمود. (2024م). ظاهرة الهلوسة في أنظمة الذكاء الاصطناعي التوليدي وأثرها على الممارسة القانونية. مجلة الباحث العربي، 16(2)، ص33.</w:t>
      </w:r>
    </w:p>
  </w:footnote>
  <w:footnote w:id="304">
    <w:p w14:paraId="7C23D87D"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الأمين، فاطمة إبراهيم. (د.ت). الحماية القانونية للبيانات الشخصية في ظل منظومة العدالة الرقمية. مجلة الدراسات القانونية والاقتصادية، 8(2)، ص61.</w:t>
      </w:r>
    </w:p>
  </w:footnote>
  <w:footnote w:id="305">
    <w:p w14:paraId="06353052"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مركز الملك عبد العزيز للحوار الوطني. (2023م). الذكاء الاصطناعي والهوية الثقافية والقيمية: رؤية سعودية. الرياض: مركز الملك عبد العزيز للحوار الوطني، ص47.</w:t>
      </w:r>
    </w:p>
  </w:footnote>
  <w:footnote w:id="306">
    <w:p w14:paraId="418B6579"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المالكي، بندر فهد. (2024م). نظام حماية البيانات الشخصية في المملكة العربية السعودية وتطبيقاته على القطاع القانوني. مجلة الشريعة والقانون، 3(1)، ص94.</w:t>
      </w:r>
    </w:p>
  </w:footnote>
  <w:footnote w:id="307">
    <w:p w14:paraId="1BC0A8D4"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المرسوم الملكي رقم م/38 لعام 1422هـ. نظام المحاماة في المملكة العربية السعودية. الجريدة الرسمية.</w:t>
      </w:r>
    </w:p>
  </w:footnote>
  <w:footnote w:id="308">
    <w:p w14:paraId="491986A3"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مجلس الإمارات للذكاء الاصطناعي. (2017م). الاستراتيجية الوطنية للذكاء الاصطناعي 2031. أبوظبي: مجلس الإمارات للذكاء الاصطناعي.</w:t>
      </w:r>
    </w:p>
  </w:footnote>
  <w:footnote w:id="309">
    <w:p w14:paraId="734EE8D6"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الطراونة، محمد عبد الله. (2022م). الذكاء الاصطناعي والعدالة الرقمية: التجربة الإماراتية نموذجاً. مجلة القانون والعلوم القانونية، 4(1)، ص212.</w:t>
      </w:r>
    </w:p>
  </w:footnote>
  <w:footnote w:id="310">
    <w:p w14:paraId="354760D7"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الغنامي، عمر سعد. (د.ت). المسؤولية المدنية عن أضرار الذكاء الاصطناعي في ضوء القانون السعودي والمقارن. مجلة القانون السعودي والمقارن، 7(2)، ص88.</w:t>
      </w:r>
    </w:p>
  </w:footnote>
  <w:footnote w:id="311">
    <w:p w14:paraId="0E5ADEC4"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European Parliament. (2024). Regulation (EU) 2024/1689 on Artificial Intelligence (EU AI Act). Official Journal of the European Union.</w:t>
      </w:r>
    </w:p>
  </w:footnote>
  <w:footnote w:id="312">
    <w:p w14:paraId="4F20C3B1"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(نوفمبر 2023م). مبادئ أخلاقيات الذكاء الاصطناعي. الرياض: سدايا.</w:t>
      </w:r>
    </w:p>
  </w:footnote>
  <w:footnote w:id="313">
    <w:p w14:paraId="370049DF"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المرسوم الملكي رقم م/38 لعام 1422هـ. نظام المحاماة في المملكة العربية السعودية. الجريدة الرسمية.</w:t>
      </w:r>
    </w:p>
  </w:footnote>
  <w:footnote w:id="314">
    <w:p w14:paraId="211ED16C" w14:textId="77777777" w:rsidR="005705DD" w:rsidRDefault="005705DD"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حمدان، عبد الرحمن. (2023م). التحيز الثقافي في نماذج الذكاء الاصطناعي وأثره على التطبيقات العربية. مجلة الحوسبة العربية، 5(2)، ص88.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590B"/>
    <w:multiLevelType w:val="multilevel"/>
    <w:tmpl w:val="6176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A47A9"/>
    <w:multiLevelType w:val="multilevel"/>
    <w:tmpl w:val="BFD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40E09"/>
    <w:multiLevelType w:val="multilevel"/>
    <w:tmpl w:val="5FA6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E437C"/>
    <w:multiLevelType w:val="multilevel"/>
    <w:tmpl w:val="497C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3469D"/>
    <w:multiLevelType w:val="multilevel"/>
    <w:tmpl w:val="7228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1220D"/>
    <w:multiLevelType w:val="multilevel"/>
    <w:tmpl w:val="0F581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0617FC"/>
    <w:multiLevelType w:val="multilevel"/>
    <w:tmpl w:val="BC9C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3751AE"/>
    <w:multiLevelType w:val="multilevel"/>
    <w:tmpl w:val="A10A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94FF0"/>
    <w:multiLevelType w:val="multilevel"/>
    <w:tmpl w:val="FD404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015FAD"/>
    <w:multiLevelType w:val="multilevel"/>
    <w:tmpl w:val="7B42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A01EEF"/>
    <w:multiLevelType w:val="multilevel"/>
    <w:tmpl w:val="C600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AC4C82"/>
    <w:multiLevelType w:val="multilevel"/>
    <w:tmpl w:val="C9C2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4121CB"/>
    <w:multiLevelType w:val="multilevel"/>
    <w:tmpl w:val="5DC82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1D7E4C"/>
    <w:multiLevelType w:val="multilevel"/>
    <w:tmpl w:val="FD4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5364A9"/>
    <w:multiLevelType w:val="multilevel"/>
    <w:tmpl w:val="F54A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1E4F67F3"/>
    <w:multiLevelType w:val="multilevel"/>
    <w:tmpl w:val="2ABCF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A07F06"/>
    <w:multiLevelType w:val="multilevel"/>
    <w:tmpl w:val="AD8AF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7F7330"/>
    <w:multiLevelType w:val="multilevel"/>
    <w:tmpl w:val="F22284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B2221C"/>
    <w:multiLevelType w:val="multilevel"/>
    <w:tmpl w:val="9B64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D23CAF"/>
    <w:multiLevelType w:val="multilevel"/>
    <w:tmpl w:val="7A8E1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307032"/>
    <w:multiLevelType w:val="multilevel"/>
    <w:tmpl w:val="F87C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763AB5"/>
    <w:multiLevelType w:val="multilevel"/>
    <w:tmpl w:val="F8BC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E24D05"/>
    <w:multiLevelType w:val="multilevel"/>
    <w:tmpl w:val="F92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EF226E"/>
    <w:multiLevelType w:val="multilevel"/>
    <w:tmpl w:val="0F08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3D37E4"/>
    <w:multiLevelType w:val="multilevel"/>
    <w:tmpl w:val="AE28E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1634E51"/>
    <w:multiLevelType w:val="multilevel"/>
    <w:tmpl w:val="6A3C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8757CD"/>
    <w:multiLevelType w:val="multilevel"/>
    <w:tmpl w:val="227C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7D33F4"/>
    <w:multiLevelType w:val="multilevel"/>
    <w:tmpl w:val="A424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2B1474"/>
    <w:multiLevelType w:val="multilevel"/>
    <w:tmpl w:val="C37C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204D14"/>
    <w:multiLevelType w:val="multilevel"/>
    <w:tmpl w:val="6C46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4836FB"/>
    <w:multiLevelType w:val="multilevel"/>
    <w:tmpl w:val="0974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E913AF"/>
    <w:multiLevelType w:val="multilevel"/>
    <w:tmpl w:val="B860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982C75"/>
    <w:multiLevelType w:val="multilevel"/>
    <w:tmpl w:val="6D36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AD453F"/>
    <w:multiLevelType w:val="hybridMultilevel"/>
    <w:tmpl w:val="C7C0BD76"/>
    <w:lvl w:ilvl="0" w:tplc="375C25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0512BE0"/>
    <w:multiLevelType w:val="multilevel"/>
    <w:tmpl w:val="C3FE6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18373D"/>
    <w:multiLevelType w:val="multilevel"/>
    <w:tmpl w:val="A970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804226"/>
    <w:multiLevelType w:val="multilevel"/>
    <w:tmpl w:val="BAF8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AD6C44"/>
    <w:multiLevelType w:val="multilevel"/>
    <w:tmpl w:val="5A64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71358E"/>
    <w:multiLevelType w:val="multilevel"/>
    <w:tmpl w:val="738A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9B2BE3"/>
    <w:multiLevelType w:val="multilevel"/>
    <w:tmpl w:val="986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EA5223"/>
    <w:multiLevelType w:val="multilevel"/>
    <w:tmpl w:val="7B4A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AF4A22"/>
    <w:multiLevelType w:val="multilevel"/>
    <w:tmpl w:val="8044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2219CA"/>
    <w:multiLevelType w:val="multilevel"/>
    <w:tmpl w:val="3624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005CBB"/>
    <w:multiLevelType w:val="multilevel"/>
    <w:tmpl w:val="7C9A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015BD3"/>
    <w:multiLevelType w:val="multilevel"/>
    <w:tmpl w:val="FD50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391E45"/>
    <w:multiLevelType w:val="multilevel"/>
    <w:tmpl w:val="CD667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81072F0"/>
    <w:multiLevelType w:val="multilevel"/>
    <w:tmpl w:val="6726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1B75C3"/>
    <w:multiLevelType w:val="multilevel"/>
    <w:tmpl w:val="FCBE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722A44"/>
    <w:multiLevelType w:val="multilevel"/>
    <w:tmpl w:val="7374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443992"/>
    <w:multiLevelType w:val="multilevel"/>
    <w:tmpl w:val="C8F0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1A35BEA"/>
    <w:multiLevelType w:val="multilevel"/>
    <w:tmpl w:val="D0EC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4958E9"/>
    <w:multiLevelType w:val="multilevel"/>
    <w:tmpl w:val="655C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A97FD1"/>
    <w:multiLevelType w:val="multilevel"/>
    <w:tmpl w:val="A568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7D2AA2"/>
    <w:multiLevelType w:val="multilevel"/>
    <w:tmpl w:val="7606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7032013">
    <w:abstractNumId w:val="16"/>
  </w:num>
  <w:num w:numId="2" w16cid:durableId="1976987853">
    <w:abstractNumId w:val="1"/>
  </w:num>
  <w:num w:numId="3" w16cid:durableId="1261523183">
    <w:abstractNumId w:val="35"/>
  </w:num>
  <w:num w:numId="4" w16cid:durableId="1312832044">
    <w:abstractNumId w:val="42"/>
  </w:num>
  <w:num w:numId="5" w16cid:durableId="1369793575">
    <w:abstractNumId w:val="8"/>
  </w:num>
  <w:num w:numId="6" w16cid:durableId="342632357">
    <w:abstractNumId w:val="0"/>
  </w:num>
  <w:num w:numId="7" w16cid:durableId="55711929">
    <w:abstractNumId w:val="24"/>
  </w:num>
  <w:num w:numId="8" w16cid:durableId="766466471">
    <w:abstractNumId w:val="30"/>
  </w:num>
  <w:num w:numId="9" w16cid:durableId="410078483">
    <w:abstractNumId w:val="15"/>
  </w:num>
  <w:num w:numId="10" w16cid:durableId="510796997">
    <w:abstractNumId w:val="6"/>
  </w:num>
  <w:num w:numId="11" w16cid:durableId="1420977882">
    <w:abstractNumId w:val="5"/>
  </w:num>
  <w:num w:numId="12" w16cid:durableId="2114474074">
    <w:abstractNumId w:val="54"/>
  </w:num>
  <w:num w:numId="13" w16cid:durableId="1242136257">
    <w:abstractNumId w:val="32"/>
  </w:num>
  <w:num w:numId="14" w16cid:durableId="241183763">
    <w:abstractNumId w:val="28"/>
  </w:num>
  <w:num w:numId="15" w16cid:durableId="1714498053">
    <w:abstractNumId w:val="13"/>
  </w:num>
  <w:num w:numId="16" w16cid:durableId="248277472">
    <w:abstractNumId w:val="27"/>
  </w:num>
  <w:num w:numId="17" w16cid:durableId="2050451305">
    <w:abstractNumId w:val="3"/>
  </w:num>
  <w:num w:numId="18" w16cid:durableId="194851513">
    <w:abstractNumId w:val="17"/>
  </w:num>
  <w:num w:numId="19" w16cid:durableId="909659309">
    <w:abstractNumId w:val="23"/>
  </w:num>
  <w:num w:numId="20" w16cid:durableId="1477911477">
    <w:abstractNumId w:val="38"/>
  </w:num>
  <w:num w:numId="21" w16cid:durableId="896933235">
    <w:abstractNumId w:val="2"/>
  </w:num>
  <w:num w:numId="22" w16cid:durableId="2054231229">
    <w:abstractNumId w:val="53"/>
  </w:num>
  <w:num w:numId="23" w16cid:durableId="92828884">
    <w:abstractNumId w:val="34"/>
  </w:num>
  <w:num w:numId="24" w16cid:durableId="1206676344">
    <w:abstractNumId w:val="29"/>
  </w:num>
  <w:num w:numId="25" w16cid:durableId="963074671">
    <w:abstractNumId w:val="33"/>
  </w:num>
  <w:num w:numId="26" w16cid:durableId="2114354074">
    <w:abstractNumId w:val="14"/>
  </w:num>
  <w:num w:numId="27" w16cid:durableId="1154183871">
    <w:abstractNumId w:val="7"/>
  </w:num>
  <w:num w:numId="28" w16cid:durableId="1876499223">
    <w:abstractNumId w:val="49"/>
  </w:num>
  <w:num w:numId="29" w16cid:durableId="2068064203">
    <w:abstractNumId w:val="11"/>
  </w:num>
  <w:num w:numId="30" w16cid:durableId="2072926728">
    <w:abstractNumId w:val="46"/>
  </w:num>
  <w:num w:numId="31" w16cid:durableId="351076755">
    <w:abstractNumId w:val="31"/>
  </w:num>
  <w:num w:numId="32" w16cid:durableId="1630933097">
    <w:abstractNumId w:val="18"/>
  </w:num>
  <w:num w:numId="33" w16cid:durableId="331376818">
    <w:abstractNumId w:val="25"/>
  </w:num>
  <w:num w:numId="34" w16cid:durableId="1705590303">
    <w:abstractNumId w:val="37"/>
  </w:num>
  <w:num w:numId="35" w16cid:durableId="1733456866">
    <w:abstractNumId w:val="19"/>
  </w:num>
  <w:num w:numId="36" w16cid:durableId="990909664">
    <w:abstractNumId w:val="50"/>
  </w:num>
  <w:num w:numId="37" w16cid:durableId="578639795">
    <w:abstractNumId w:val="12"/>
  </w:num>
  <w:num w:numId="38" w16cid:durableId="859322525">
    <w:abstractNumId w:val="22"/>
  </w:num>
  <w:num w:numId="39" w16cid:durableId="1503663813">
    <w:abstractNumId w:val="4"/>
  </w:num>
  <w:num w:numId="40" w16cid:durableId="474688712">
    <w:abstractNumId w:val="41"/>
  </w:num>
  <w:num w:numId="41" w16cid:durableId="2170763">
    <w:abstractNumId w:val="26"/>
  </w:num>
  <w:num w:numId="42" w16cid:durableId="773356757">
    <w:abstractNumId w:val="43"/>
  </w:num>
  <w:num w:numId="43" w16cid:durableId="1196652949">
    <w:abstractNumId w:val="40"/>
  </w:num>
  <w:num w:numId="44" w16cid:durableId="1599363028">
    <w:abstractNumId w:val="20"/>
  </w:num>
  <w:num w:numId="45" w16cid:durableId="1837070471">
    <w:abstractNumId w:val="10"/>
  </w:num>
  <w:num w:numId="46" w16cid:durableId="710693257">
    <w:abstractNumId w:val="9"/>
  </w:num>
  <w:num w:numId="47" w16cid:durableId="627591438">
    <w:abstractNumId w:val="36"/>
  </w:num>
  <w:num w:numId="48" w16cid:durableId="246155256">
    <w:abstractNumId w:val="47"/>
  </w:num>
  <w:num w:numId="49" w16cid:durableId="1849755017">
    <w:abstractNumId w:val="44"/>
  </w:num>
  <w:num w:numId="50" w16cid:durableId="916741522">
    <w:abstractNumId w:val="55"/>
  </w:num>
  <w:num w:numId="51" w16cid:durableId="730662006">
    <w:abstractNumId w:val="52"/>
  </w:num>
  <w:num w:numId="52" w16cid:durableId="340082586">
    <w:abstractNumId w:val="39"/>
  </w:num>
  <w:num w:numId="53" w16cid:durableId="791436716">
    <w:abstractNumId w:val="21"/>
  </w:num>
  <w:num w:numId="54" w16cid:durableId="1240093049">
    <w:abstractNumId w:val="48"/>
  </w:num>
  <w:num w:numId="55" w16cid:durableId="1008020394">
    <w:abstractNumId w:val="45"/>
  </w:num>
  <w:num w:numId="56" w16cid:durableId="1746027294">
    <w:abstractNumId w:val="51"/>
  </w:num>
  <w:num w:numId="57" w16cid:durableId="2063937575">
    <w:abstractNumId w:val="1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B95"/>
    <w:rsid w:val="000003D3"/>
    <w:rsid w:val="000004FA"/>
    <w:rsid w:val="00025234"/>
    <w:rsid w:val="00035EF7"/>
    <w:rsid w:val="00047425"/>
    <w:rsid w:val="00053121"/>
    <w:rsid w:val="00061491"/>
    <w:rsid w:val="00065298"/>
    <w:rsid w:val="00065C80"/>
    <w:rsid w:val="00071805"/>
    <w:rsid w:val="000778AD"/>
    <w:rsid w:val="0008039A"/>
    <w:rsid w:val="00085940"/>
    <w:rsid w:val="0008617A"/>
    <w:rsid w:val="000A1619"/>
    <w:rsid w:val="000B029D"/>
    <w:rsid w:val="000C69B5"/>
    <w:rsid w:val="000C7173"/>
    <w:rsid w:val="000D4B35"/>
    <w:rsid w:val="000E0175"/>
    <w:rsid w:val="000E1066"/>
    <w:rsid w:val="000E73EA"/>
    <w:rsid w:val="000F2879"/>
    <w:rsid w:val="00101461"/>
    <w:rsid w:val="0010656B"/>
    <w:rsid w:val="00122234"/>
    <w:rsid w:val="00133FA5"/>
    <w:rsid w:val="00143CF0"/>
    <w:rsid w:val="00147082"/>
    <w:rsid w:val="0015633A"/>
    <w:rsid w:val="00160939"/>
    <w:rsid w:val="0016208C"/>
    <w:rsid w:val="00191993"/>
    <w:rsid w:val="0019493E"/>
    <w:rsid w:val="001C2B27"/>
    <w:rsid w:val="001D3BEE"/>
    <w:rsid w:val="001D6DE8"/>
    <w:rsid w:val="001E05F0"/>
    <w:rsid w:val="001E2513"/>
    <w:rsid w:val="001E2BB3"/>
    <w:rsid w:val="001E4959"/>
    <w:rsid w:val="001F1442"/>
    <w:rsid w:val="001F3C8A"/>
    <w:rsid w:val="001F4CFE"/>
    <w:rsid w:val="002029E8"/>
    <w:rsid w:val="0021459F"/>
    <w:rsid w:val="00223A6F"/>
    <w:rsid w:val="002406CF"/>
    <w:rsid w:val="00240E90"/>
    <w:rsid w:val="0024502C"/>
    <w:rsid w:val="00245126"/>
    <w:rsid w:val="00250688"/>
    <w:rsid w:val="00255305"/>
    <w:rsid w:val="00261A94"/>
    <w:rsid w:val="00261CD1"/>
    <w:rsid w:val="0026477A"/>
    <w:rsid w:val="002670D1"/>
    <w:rsid w:val="00271741"/>
    <w:rsid w:val="00292EA9"/>
    <w:rsid w:val="00295F2E"/>
    <w:rsid w:val="002A3106"/>
    <w:rsid w:val="002A34EF"/>
    <w:rsid w:val="002B7EAA"/>
    <w:rsid w:val="002C328E"/>
    <w:rsid w:val="002C6710"/>
    <w:rsid w:val="002E0F58"/>
    <w:rsid w:val="002F0A82"/>
    <w:rsid w:val="00301A79"/>
    <w:rsid w:val="003048E3"/>
    <w:rsid w:val="00355E75"/>
    <w:rsid w:val="00380C82"/>
    <w:rsid w:val="003835A4"/>
    <w:rsid w:val="0038387E"/>
    <w:rsid w:val="003874FB"/>
    <w:rsid w:val="003A40AC"/>
    <w:rsid w:val="003D6819"/>
    <w:rsid w:val="003F1942"/>
    <w:rsid w:val="00412166"/>
    <w:rsid w:val="00450EAF"/>
    <w:rsid w:val="00454BE9"/>
    <w:rsid w:val="0045525C"/>
    <w:rsid w:val="004639DD"/>
    <w:rsid w:val="00476D14"/>
    <w:rsid w:val="004855F3"/>
    <w:rsid w:val="00493ADF"/>
    <w:rsid w:val="00493FED"/>
    <w:rsid w:val="004A2304"/>
    <w:rsid w:val="004B4795"/>
    <w:rsid w:val="004C4A98"/>
    <w:rsid w:val="004D4BEB"/>
    <w:rsid w:val="004D54F4"/>
    <w:rsid w:val="004E4D2E"/>
    <w:rsid w:val="004F0491"/>
    <w:rsid w:val="004F7A59"/>
    <w:rsid w:val="00510971"/>
    <w:rsid w:val="0052203F"/>
    <w:rsid w:val="00523C56"/>
    <w:rsid w:val="00534682"/>
    <w:rsid w:val="00535C4D"/>
    <w:rsid w:val="005562AF"/>
    <w:rsid w:val="005705DD"/>
    <w:rsid w:val="00571984"/>
    <w:rsid w:val="00575B64"/>
    <w:rsid w:val="005B3480"/>
    <w:rsid w:val="005B3BD6"/>
    <w:rsid w:val="005B5B7B"/>
    <w:rsid w:val="005B6F10"/>
    <w:rsid w:val="005C4986"/>
    <w:rsid w:val="005E4000"/>
    <w:rsid w:val="005E6A3A"/>
    <w:rsid w:val="005F338A"/>
    <w:rsid w:val="005F3DEC"/>
    <w:rsid w:val="00601EB6"/>
    <w:rsid w:val="00602DA0"/>
    <w:rsid w:val="0060573B"/>
    <w:rsid w:val="00624037"/>
    <w:rsid w:val="006363BC"/>
    <w:rsid w:val="006367A6"/>
    <w:rsid w:val="0064346D"/>
    <w:rsid w:val="00657550"/>
    <w:rsid w:val="00662232"/>
    <w:rsid w:val="00662485"/>
    <w:rsid w:val="006713B6"/>
    <w:rsid w:val="00691B95"/>
    <w:rsid w:val="0069308E"/>
    <w:rsid w:val="006C5012"/>
    <w:rsid w:val="006D4AD4"/>
    <w:rsid w:val="006F4E03"/>
    <w:rsid w:val="00767C10"/>
    <w:rsid w:val="00780164"/>
    <w:rsid w:val="00781B0D"/>
    <w:rsid w:val="0078459A"/>
    <w:rsid w:val="00786384"/>
    <w:rsid w:val="007A6CD6"/>
    <w:rsid w:val="007B611E"/>
    <w:rsid w:val="007C2A87"/>
    <w:rsid w:val="007C31A8"/>
    <w:rsid w:val="007D1662"/>
    <w:rsid w:val="007D4C64"/>
    <w:rsid w:val="007F1A18"/>
    <w:rsid w:val="00800814"/>
    <w:rsid w:val="00800E91"/>
    <w:rsid w:val="00807AA1"/>
    <w:rsid w:val="00811A08"/>
    <w:rsid w:val="008237A5"/>
    <w:rsid w:val="00830A22"/>
    <w:rsid w:val="00836102"/>
    <w:rsid w:val="008366B9"/>
    <w:rsid w:val="00841438"/>
    <w:rsid w:val="00841BC7"/>
    <w:rsid w:val="00852F51"/>
    <w:rsid w:val="008535D1"/>
    <w:rsid w:val="00863E5E"/>
    <w:rsid w:val="00864613"/>
    <w:rsid w:val="008658B9"/>
    <w:rsid w:val="0089710C"/>
    <w:rsid w:val="008B2644"/>
    <w:rsid w:val="008B5FA5"/>
    <w:rsid w:val="008C5A8E"/>
    <w:rsid w:val="008D5357"/>
    <w:rsid w:val="008F1250"/>
    <w:rsid w:val="00925AAC"/>
    <w:rsid w:val="00925C7C"/>
    <w:rsid w:val="00934B50"/>
    <w:rsid w:val="009426DA"/>
    <w:rsid w:val="0095427D"/>
    <w:rsid w:val="00957EC0"/>
    <w:rsid w:val="00960AA5"/>
    <w:rsid w:val="00964DF5"/>
    <w:rsid w:val="00974C84"/>
    <w:rsid w:val="00992A67"/>
    <w:rsid w:val="00994DA4"/>
    <w:rsid w:val="009A44B7"/>
    <w:rsid w:val="009B1A71"/>
    <w:rsid w:val="009C600B"/>
    <w:rsid w:val="009E1814"/>
    <w:rsid w:val="009E2938"/>
    <w:rsid w:val="00A00ABB"/>
    <w:rsid w:val="00A02FE3"/>
    <w:rsid w:val="00A10B6F"/>
    <w:rsid w:val="00A17FE1"/>
    <w:rsid w:val="00A25236"/>
    <w:rsid w:val="00A302BC"/>
    <w:rsid w:val="00A3402C"/>
    <w:rsid w:val="00A40287"/>
    <w:rsid w:val="00A4106D"/>
    <w:rsid w:val="00A419BC"/>
    <w:rsid w:val="00A454B6"/>
    <w:rsid w:val="00A60CD0"/>
    <w:rsid w:val="00A6276A"/>
    <w:rsid w:val="00A67437"/>
    <w:rsid w:val="00A742CD"/>
    <w:rsid w:val="00A83851"/>
    <w:rsid w:val="00A91133"/>
    <w:rsid w:val="00A918AE"/>
    <w:rsid w:val="00A92D8E"/>
    <w:rsid w:val="00A93FA8"/>
    <w:rsid w:val="00A94FD1"/>
    <w:rsid w:val="00A96D97"/>
    <w:rsid w:val="00A97A7C"/>
    <w:rsid w:val="00AA06F2"/>
    <w:rsid w:val="00AB2138"/>
    <w:rsid w:val="00AC4E6B"/>
    <w:rsid w:val="00AC662A"/>
    <w:rsid w:val="00AD4C3C"/>
    <w:rsid w:val="00B102AB"/>
    <w:rsid w:val="00B16B4E"/>
    <w:rsid w:val="00B22DE0"/>
    <w:rsid w:val="00B37921"/>
    <w:rsid w:val="00B553F3"/>
    <w:rsid w:val="00B73B85"/>
    <w:rsid w:val="00B75D02"/>
    <w:rsid w:val="00B92CB9"/>
    <w:rsid w:val="00B96F5A"/>
    <w:rsid w:val="00B97307"/>
    <w:rsid w:val="00BA22BF"/>
    <w:rsid w:val="00BA3890"/>
    <w:rsid w:val="00BB08F4"/>
    <w:rsid w:val="00BB185C"/>
    <w:rsid w:val="00BB4FEC"/>
    <w:rsid w:val="00BC5F38"/>
    <w:rsid w:val="00BC6811"/>
    <w:rsid w:val="00BE5579"/>
    <w:rsid w:val="00C00F5F"/>
    <w:rsid w:val="00C16B5E"/>
    <w:rsid w:val="00C35724"/>
    <w:rsid w:val="00C41E32"/>
    <w:rsid w:val="00C4231B"/>
    <w:rsid w:val="00C65277"/>
    <w:rsid w:val="00C80A10"/>
    <w:rsid w:val="00C94490"/>
    <w:rsid w:val="00C965B9"/>
    <w:rsid w:val="00CA064E"/>
    <w:rsid w:val="00CB3527"/>
    <w:rsid w:val="00CB64BE"/>
    <w:rsid w:val="00CF47E9"/>
    <w:rsid w:val="00CF598B"/>
    <w:rsid w:val="00CF67E5"/>
    <w:rsid w:val="00D06FE8"/>
    <w:rsid w:val="00D150CD"/>
    <w:rsid w:val="00D41CB7"/>
    <w:rsid w:val="00D57654"/>
    <w:rsid w:val="00D650FF"/>
    <w:rsid w:val="00D843CF"/>
    <w:rsid w:val="00DC0BE2"/>
    <w:rsid w:val="00DC6C52"/>
    <w:rsid w:val="00DD6051"/>
    <w:rsid w:val="00DE40A0"/>
    <w:rsid w:val="00DE638A"/>
    <w:rsid w:val="00DF7C8B"/>
    <w:rsid w:val="00E15647"/>
    <w:rsid w:val="00E23555"/>
    <w:rsid w:val="00E302A2"/>
    <w:rsid w:val="00E600F7"/>
    <w:rsid w:val="00E75685"/>
    <w:rsid w:val="00E77780"/>
    <w:rsid w:val="00E82B9E"/>
    <w:rsid w:val="00EA3EA9"/>
    <w:rsid w:val="00EA406D"/>
    <w:rsid w:val="00EA689F"/>
    <w:rsid w:val="00ED0A7F"/>
    <w:rsid w:val="00ED18A5"/>
    <w:rsid w:val="00ED5C01"/>
    <w:rsid w:val="00ED7A3B"/>
    <w:rsid w:val="00EE6037"/>
    <w:rsid w:val="00EF14BA"/>
    <w:rsid w:val="00EF734A"/>
    <w:rsid w:val="00F02C92"/>
    <w:rsid w:val="00F12321"/>
    <w:rsid w:val="00F13A24"/>
    <w:rsid w:val="00F219B4"/>
    <w:rsid w:val="00F237E4"/>
    <w:rsid w:val="00F5007B"/>
    <w:rsid w:val="00F532FA"/>
    <w:rsid w:val="00F56EF2"/>
    <w:rsid w:val="00F61505"/>
    <w:rsid w:val="00F7053A"/>
    <w:rsid w:val="00F914DE"/>
    <w:rsid w:val="00F91E80"/>
    <w:rsid w:val="00F95DA4"/>
    <w:rsid w:val="00FD50CD"/>
    <w:rsid w:val="00FE66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BADD7"/>
  <w15:chartTrackingRefBased/>
  <w15:docId w15:val="{88D0E1AF-71BF-41BC-98F6-07E5F316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688"/>
    <w:rPr>
      <w:kern w:val="0"/>
      <w14:ligatures w14:val="none"/>
    </w:rPr>
  </w:style>
  <w:style w:type="paragraph" w:styleId="1">
    <w:name w:val="heading 1"/>
    <w:basedOn w:val="a"/>
    <w:next w:val="a"/>
    <w:link w:val="1Char"/>
    <w:uiPriority w:val="9"/>
    <w:qFormat/>
    <w:rsid w:val="00691B95"/>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691B95"/>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691B95"/>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691B95"/>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691B95"/>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691B95"/>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691B95"/>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691B95"/>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691B95"/>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91B9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91B9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91B9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91B9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91B95"/>
    <w:rPr>
      <w:rFonts w:eastAsiaTheme="majorEastAsia" w:cstheme="majorBidi"/>
      <w:color w:val="2F5496" w:themeColor="accent1" w:themeShade="BF"/>
    </w:rPr>
  </w:style>
  <w:style w:type="character" w:customStyle="1" w:styleId="6Char">
    <w:name w:val="عنوان 6 Char"/>
    <w:basedOn w:val="a0"/>
    <w:link w:val="6"/>
    <w:uiPriority w:val="9"/>
    <w:semiHidden/>
    <w:rsid w:val="00691B95"/>
    <w:rPr>
      <w:rFonts w:eastAsiaTheme="majorEastAsia" w:cstheme="majorBidi"/>
      <w:i/>
      <w:iCs/>
      <w:color w:val="595959" w:themeColor="text1" w:themeTint="A6"/>
    </w:rPr>
  </w:style>
  <w:style w:type="character" w:customStyle="1" w:styleId="7Char">
    <w:name w:val="عنوان 7 Char"/>
    <w:basedOn w:val="a0"/>
    <w:link w:val="7"/>
    <w:uiPriority w:val="9"/>
    <w:semiHidden/>
    <w:rsid w:val="00691B95"/>
    <w:rPr>
      <w:rFonts w:eastAsiaTheme="majorEastAsia" w:cstheme="majorBidi"/>
      <w:color w:val="595959" w:themeColor="text1" w:themeTint="A6"/>
    </w:rPr>
  </w:style>
  <w:style w:type="character" w:customStyle="1" w:styleId="8Char">
    <w:name w:val="عنوان 8 Char"/>
    <w:basedOn w:val="a0"/>
    <w:link w:val="8"/>
    <w:uiPriority w:val="9"/>
    <w:semiHidden/>
    <w:rsid w:val="00691B95"/>
    <w:rPr>
      <w:rFonts w:eastAsiaTheme="majorEastAsia" w:cstheme="majorBidi"/>
      <w:i/>
      <w:iCs/>
      <w:color w:val="272727" w:themeColor="text1" w:themeTint="D8"/>
    </w:rPr>
  </w:style>
  <w:style w:type="character" w:customStyle="1" w:styleId="9Char">
    <w:name w:val="عنوان 9 Char"/>
    <w:basedOn w:val="a0"/>
    <w:link w:val="9"/>
    <w:uiPriority w:val="9"/>
    <w:semiHidden/>
    <w:rsid w:val="00691B95"/>
    <w:rPr>
      <w:rFonts w:eastAsiaTheme="majorEastAsia" w:cstheme="majorBidi"/>
      <w:color w:val="272727" w:themeColor="text1" w:themeTint="D8"/>
    </w:rPr>
  </w:style>
  <w:style w:type="paragraph" w:styleId="a3">
    <w:name w:val="Title"/>
    <w:basedOn w:val="a"/>
    <w:next w:val="a"/>
    <w:link w:val="Char"/>
    <w:uiPriority w:val="10"/>
    <w:qFormat/>
    <w:rsid w:val="00691B95"/>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691B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1B95"/>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691B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1B95"/>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691B95"/>
    <w:rPr>
      <w:i/>
      <w:iCs/>
      <w:color w:val="404040" w:themeColor="text1" w:themeTint="BF"/>
    </w:rPr>
  </w:style>
  <w:style w:type="paragraph" w:styleId="a6">
    <w:name w:val="List Paragraph"/>
    <w:basedOn w:val="a"/>
    <w:uiPriority w:val="34"/>
    <w:qFormat/>
    <w:rsid w:val="00691B95"/>
    <w:pPr>
      <w:bidi/>
      <w:ind w:left="720"/>
      <w:contextualSpacing/>
    </w:pPr>
    <w:rPr>
      <w:kern w:val="2"/>
      <w14:ligatures w14:val="standardContextual"/>
    </w:rPr>
  </w:style>
  <w:style w:type="character" w:styleId="a7">
    <w:name w:val="Intense Emphasis"/>
    <w:basedOn w:val="a0"/>
    <w:uiPriority w:val="21"/>
    <w:qFormat/>
    <w:rsid w:val="00691B95"/>
    <w:rPr>
      <w:i/>
      <w:iCs/>
      <w:color w:val="2F5496" w:themeColor="accent1" w:themeShade="BF"/>
    </w:rPr>
  </w:style>
  <w:style w:type="paragraph" w:styleId="a8">
    <w:name w:val="Intense Quote"/>
    <w:basedOn w:val="a"/>
    <w:next w:val="a"/>
    <w:link w:val="Char2"/>
    <w:uiPriority w:val="30"/>
    <w:qFormat/>
    <w:rsid w:val="00691B95"/>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691B95"/>
    <w:rPr>
      <w:i/>
      <w:iCs/>
      <w:color w:val="2F5496" w:themeColor="accent1" w:themeShade="BF"/>
    </w:rPr>
  </w:style>
  <w:style w:type="character" w:styleId="a9">
    <w:name w:val="Intense Reference"/>
    <w:basedOn w:val="a0"/>
    <w:uiPriority w:val="32"/>
    <w:qFormat/>
    <w:rsid w:val="00691B95"/>
    <w:rPr>
      <w:b/>
      <w:bCs/>
      <w:smallCaps/>
      <w:color w:val="2F5496" w:themeColor="accent1" w:themeShade="BF"/>
      <w:spacing w:val="5"/>
    </w:rPr>
  </w:style>
  <w:style w:type="table" w:styleId="aa">
    <w:name w:val="Table Grid"/>
    <w:basedOn w:val="a1"/>
    <w:uiPriority w:val="39"/>
    <w:rsid w:val="0025068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5068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D5C01"/>
    <w:pPr>
      <w:tabs>
        <w:tab w:val="center" w:pos="4153"/>
        <w:tab w:val="right" w:pos="8306"/>
      </w:tabs>
      <w:spacing w:after="0" w:line="240" w:lineRule="auto"/>
    </w:pPr>
  </w:style>
  <w:style w:type="character" w:customStyle="1" w:styleId="Char3">
    <w:name w:val="رأس الصفحة Char"/>
    <w:basedOn w:val="a0"/>
    <w:link w:val="ac"/>
    <w:uiPriority w:val="99"/>
    <w:rsid w:val="00ED5C01"/>
    <w:rPr>
      <w:kern w:val="0"/>
      <w14:ligatures w14:val="none"/>
    </w:rPr>
  </w:style>
  <w:style w:type="paragraph" w:styleId="ad">
    <w:name w:val="footer"/>
    <w:basedOn w:val="a"/>
    <w:link w:val="Char4"/>
    <w:uiPriority w:val="99"/>
    <w:unhideWhenUsed/>
    <w:rsid w:val="00ED5C01"/>
    <w:pPr>
      <w:tabs>
        <w:tab w:val="center" w:pos="4153"/>
        <w:tab w:val="right" w:pos="8306"/>
      </w:tabs>
      <w:spacing w:after="0" w:line="240" w:lineRule="auto"/>
    </w:pPr>
  </w:style>
  <w:style w:type="character" w:customStyle="1" w:styleId="Char4">
    <w:name w:val="تذييل الصفحة Char"/>
    <w:basedOn w:val="a0"/>
    <w:link w:val="ad"/>
    <w:uiPriority w:val="99"/>
    <w:rsid w:val="00ED5C01"/>
    <w:rPr>
      <w:kern w:val="0"/>
      <w14:ligatures w14:val="none"/>
    </w:rPr>
  </w:style>
  <w:style w:type="paragraph" w:styleId="ae">
    <w:name w:val="footnote text"/>
    <w:basedOn w:val="a"/>
    <w:link w:val="Char5"/>
    <w:uiPriority w:val="99"/>
    <w:semiHidden/>
    <w:unhideWhenUsed/>
    <w:rsid w:val="00F219B4"/>
    <w:pPr>
      <w:spacing w:after="0" w:line="240" w:lineRule="auto"/>
    </w:pPr>
    <w:rPr>
      <w:sz w:val="20"/>
      <w:szCs w:val="20"/>
    </w:rPr>
  </w:style>
  <w:style w:type="character" w:customStyle="1" w:styleId="Char5">
    <w:name w:val="نص حاشية سفلية Char"/>
    <w:basedOn w:val="a0"/>
    <w:link w:val="ae"/>
    <w:uiPriority w:val="99"/>
    <w:semiHidden/>
    <w:rsid w:val="00F219B4"/>
    <w:rPr>
      <w:kern w:val="0"/>
      <w:sz w:val="20"/>
      <w:szCs w:val="20"/>
      <w14:ligatures w14:val="none"/>
    </w:rPr>
  </w:style>
  <w:style w:type="character" w:styleId="af">
    <w:name w:val="footnote reference"/>
    <w:basedOn w:val="a0"/>
    <w:uiPriority w:val="99"/>
    <w:semiHidden/>
    <w:unhideWhenUsed/>
    <w:rsid w:val="00F219B4"/>
    <w:rPr>
      <w:vertAlign w:val="superscript"/>
    </w:rPr>
  </w:style>
  <w:style w:type="character" w:styleId="Hyperlink">
    <w:name w:val="Hyperlink"/>
    <w:basedOn w:val="a0"/>
    <w:uiPriority w:val="99"/>
    <w:unhideWhenUsed/>
    <w:rsid w:val="00A94F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57624-CD4B-4F12-9276-4546C3B49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148</Pages>
  <Words>57327</Words>
  <Characters>326766</Characters>
  <Application>Microsoft Office Word</Application>
  <DocSecurity>0</DocSecurity>
  <Lines>2723</Lines>
  <Paragraphs>766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حسان</dc:creator>
  <cp:keywords/>
  <dc:description/>
  <cp:lastModifiedBy>حسان</cp:lastModifiedBy>
  <cp:revision>111</cp:revision>
  <dcterms:created xsi:type="dcterms:W3CDTF">2025-11-06T12:34:00Z</dcterms:created>
  <dcterms:modified xsi:type="dcterms:W3CDTF">2026-06-20T19:17:00Z</dcterms:modified>
</cp:coreProperties>
</file>