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9C2EDE" w14:textId="77777777" w:rsidR="00576A8E" w:rsidRPr="00A5088B" w:rsidRDefault="00576A8E" w:rsidP="009E285B">
      <w:pPr>
        <w:pStyle w:val="Heading2"/>
        <w:bidi/>
        <w:spacing w:line="360" w:lineRule="auto"/>
        <w:rPr>
          <w:rFonts w:eastAsia="Times New Roman"/>
          <w:color w:val="000000" w:themeColor="text1"/>
          <w:sz w:val="36"/>
          <w:szCs w:val="36"/>
        </w:rPr>
      </w:pPr>
      <w:r w:rsidRPr="00A5088B">
        <w:rPr>
          <w:rFonts w:eastAsia="Times New Roman"/>
          <w:color w:val="000000" w:themeColor="text1"/>
          <w:rtl/>
        </w:rPr>
        <w:t>أولاً: نواقص مجتمع الدراسة والعينة</w:t>
      </w:r>
    </w:p>
    <w:p w14:paraId="3BBEA97B" w14:textId="77777777" w:rsidR="00576A8E" w:rsidRPr="00A5088B" w:rsidRDefault="00576A8E" w:rsidP="009E285B">
      <w:pPr>
        <w:pStyle w:val="NormalWeb"/>
        <w:bidi/>
        <w:spacing w:line="360" w:lineRule="auto"/>
        <w:rPr>
          <w:rFonts w:eastAsiaTheme="minorHAnsi"/>
          <w:color w:val="000000" w:themeColor="text1"/>
        </w:rPr>
      </w:pPr>
      <w:r w:rsidRPr="00A5088B">
        <w:rPr>
          <w:rStyle w:val="Strong"/>
          <w:rFonts w:eastAsiaTheme="majorEastAsia"/>
          <w:color w:val="000000" w:themeColor="text1"/>
          <w:rtl/>
        </w:rPr>
        <w:t>الأولى: عدم تحديد مجتمع الدراسة بصورة دقيقة</w:t>
      </w:r>
      <w:r w:rsidRPr="00A5088B">
        <w:rPr>
          <w:color w:val="000000" w:themeColor="text1"/>
        </w:rPr>
        <w:br/>
      </w:r>
      <w:r w:rsidRPr="00A5088B">
        <w:rPr>
          <w:color w:val="000000" w:themeColor="text1"/>
          <w:rtl/>
        </w:rPr>
        <w:t>ورد أن مجتمع الدراسة يشمل جميع العاملين في قطاع التأمين، ثم جرى توجيه الاستبانة إلى موظفي إدارات المطالبات والتدقيق والمخاطر والامتثال فقط. يجب تحديد المجتمع المستهدف النهائي وتوحيده في جميع أجزاء الفصل</w:t>
      </w:r>
      <w:r w:rsidRPr="00A5088B">
        <w:rPr>
          <w:color w:val="000000" w:themeColor="text1"/>
        </w:rPr>
        <w:t>.</w:t>
      </w:r>
    </w:p>
    <w:p w14:paraId="1C78A6D2"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الثانية: الخلط بين مجتمع الشركات ومجتمع الموظفين</w:t>
      </w:r>
      <w:r w:rsidRPr="00A5088B">
        <w:rPr>
          <w:color w:val="000000" w:themeColor="text1"/>
        </w:rPr>
        <w:br/>
      </w:r>
      <w:r w:rsidRPr="00A5088B">
        <w:rPr>
          <w:color w:val="000000" w:themeColor="text1"/>
          <w:rtl/>
        </w:rPr>
        <w:t>ذُكر أحياناً أن مجتمع الدراسة هو شركات التأمين المرخصة، وأحياناً أنه جميع العاملين فيها. يجب التمييز بين الشركات بوصفها وحدات تنظيمية والموظفين بوصفهم وحدات استجابة</w:t>
      </w:r>
      <w:r w:rsidRPr="00A5088B">
        <w:rPr>
          <w:color w:val="000000" w:themeColor="text1"/>
        </w:rPr>
        <w:t>.</w:t>
      </w:r>
    </w:p>
    <w:p w14:paraId="5BA47AE3"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الثالثة: عدم تحديد وحدة التحليل</w:t>
      </w:r>
      <w:r w:rsidRPr="00A5088B">
        <w:rPr>
          <w:color w:val="000000" w:themeColor="text1"/>
        </w:rPr>
        <w:br/>
      </w:r>
      <w:r w:rsidRPr="00A5088B">
        <w:rPr>
          <w:color w:val="000000" w:themeColor="text1"/>
          <w:rtl/>
        </w:rPr>
        <w:t>لم يتضح بصورة مباشرة هل وحدة التحليل هي الموظف أم الشركة. يجب النص على ذلك صراحة وبيان أن حجم العينة يحسب وفق وحدة التحليل المعتمدة</w:t>
      </w:r>
      <w:r w:rsidRPr="00A5088B">
        <w:rPr>
          <w:color w:val="000000" w:themeColor="text1"/>
        </w:rPr>
        <w:t>.</w:t>
      </w:r>
    </w:p>
    <w:p w14:paraId="500B43EF"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الرابعة: عدم توثيق عدد العاملين البالغ 11.7 ألف موظف بمصدر رسمي</w:t>
      </w:r>
      <w:r w:rsidRPr="00A5088B">
        <w:rPr>
          <w:color w:val="000000" w:themeColor="text1"/>
        </w:rPr>
        <w:br/>
      </w:r>
      <w:r w:rsidRPr="00A5088B">
        <w:rPr>
          <w:color w:val="000000" w:themeColor="text1"/>
          <w:rtl/>
        </w:rPr>
        <w:t>استُخدم رابط لموقع</w:t>
      </w:r>
      <w:r w:rsidRPr="00A5088B">
        <w:rPr>
          <w:color w:val="000000" w:themeColor="text1"/>
        </w:rPr>
        <w:t xml:space="preserve"> Investing.com </w:t>
      </w:r>
      <w:r w:rsidRPr="00A5088B">
        <w:rPr>
          <w:color w:val="000000" w:themeColor="text1"/>
          <w:rtl/>
        </w:rPr>
        <w:t>ونُسب الرقم إلى مؤسسة النقد العربي السعودي. يجب الرجوع إلى التقرير الرسمي للجهة التنظيمية المختصة، وذكر اسم التقرير وسنته ورقم الصفحة أو الرابط المباشر</w:t>
      </w:r>
      <w:r w:rsidRPr="00A5088B">
        <w:rPr>
          <w:color w:val="000000" w:themeColor="text1"/>
        </w:rPr>
        <w:t>.</w:t>
      </w:r>
    </w:p>
    <w:p w14:paraId="5B3A1020"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الخامسة: استخدام بيانات قديمة أو غير محددة السنة بدقة</w:t>
      </w:r>
      <w:r w:rsidRPr="00A5088B">
        <w:rPr>
          <w:color w:val="000000" w:themeColor="text1"/>
        </w:rPr>
        <w:br/>
      </w:r>
      <w:r w:rsidRPr="00A5088B">
        <w:rPr>
          <w:color w:val="000000" w:themeColor="text1"/>
          <w:rtl/>
        </w:rPr>
        <w:t>لم يتضح تاريخ الإحصائية التي تشير إلى 11.7 ألف موظف ونسبة السعوديين البالغة 74%. يجب التأكد من حداثة البيانات وملاءمتها لفترة إجراء الدراسة</w:t>
      </w:r>
      <w:r w:rsidRPr="00A5088B">
        <w:rPr>
          <w:color w:val="000000" w:themeColor="text1"/>
        </w:rPr>
        <w:t>.</w:t>
      </w:r>
    </w:p>
    <w:p w14:paraId="5D896F78"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السادسة: عدم توثيق عدد شركات التأمين بصورة دقيقة</w:t>
      </w:r>
      <w:r w:rsidRPr="00A5088B">
        <w:rPr>
          <w:color w:val="000000" w:themeColor="text1"/>
        </w:rPr>
        <w:br/>
      </w:r>
      <w:r w:rsidRPr="00A5088B">
        <w:rPr>
          <w:color w:val="000000" w:themeColor="text1"/>
          <w:rtl/>
        </w:rPr>
        <w:t>ذُكر وجود 29 شركة تأمين وإعادة تأمين، منها خمس شركات لإعادة التأمين، دون إرفاق تقرير رسمي أو قائمة بأسماء الشركات. يجب توثيق العدد من هيئة التأمين وتحديد تاريخ السجل</w:t>
      </w:r>
      <w:r w:rsidRPr="00A5088B">
        <w:rPr>
          <w:color w:val="000000" w:themeColor="text1"/>
        </w:rPr>
        <w:t>.</w:t>
      </w:r>
    </w:p>
    <w:p w14:paraId="7C86323F"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السابعة: عدم تحديد الشركات المشمولة في التطبيق</w:t>
      </w:r>
      <w:r w:rsidRPr="00A5088B">
        <w:rPr>
          <w:color w:val="000000" w:themeColor="text1"/>
        </w:rPr>
        <w:br/>
      </w:r>
      <w:r w:rsidRPr="00A5088B">
        <w:rPr>
          <w:color w:val="000000" w:themeColor="text1"/>
          <w:rtl/>
        </w:rPr>
        <w:t>لم يوضح الفصل هل ستشمل الدراسة جميع الشركات المرخصة أم عدداً محدداً منها. يجب إعداد قائمة بالشركات المستهدفة أو توضيح معايير إدراجها</w:t>
      </w:r>
      <w:r w:rsidRPr="00A5088B">
        <w:rPr>
          <w:color w:val="000000" w:themeColor="text1"/>
        </w:rPr>
        <w:t>.</w:t>
      </w:r>
    </w:p>
    <w:p w14:paraId="43428B0E"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الثامنة: عدم تحديد النطاق الجغرافي للعينة</w:t>
      </w:r>
      <w:r w:rsidRPr="00A5088B">
        <w:rPr>
          <w:color w:val="000000" w:themeColor="text1"/>
        </w:rPr>
        <w:br/>
      </w:r>
      <w:r w:rsidRPr="00A5088B">
        <w:rPr>
          <w:color w:val="000000" w:themeColor="text1"/>
          <w:rtl/>
        </w:rPr>
        <w:t>رغم أن المجتمع يشمل المملكة العربية السعودية، لم يوضح الفصل مواقع الشركات أو الفروع التي ستُجمع منها البيانات. يجب تحديد المدن أو المناطق أو بيان أن التطبيق يشمل الفروع كافة</w:t>
      </w:r>
      <w:r w:rsidRPr="00A5088B">
        <w:rPr>
          <w:color w:val="000000" w:themeColor="text1"/>
        </w:rPr>
        <w:t>.</w:t>
      </w:r>
    </w:p>
    <w:p w14:paraId="6ADD6EC7"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التاسعة: عدم عرض توزيع المجتمع وفق الإدارات المستهدفة</w:t>
      </w:r>
      <w:r w:rsidRPr="00A5088B">
        <w:rPr>
          <w:color w:val="000000" w:themeColor="text1"/>
        </w:rPr>
        <w:br/>
      </w:r>
      <w:r w:rsidRPr="00A5088B">
        <w:rPr>
          <w:color w:val="000000" w:themeColor="text1"/>
          <w:rtl/>
        </w:rPr>
        <w:t>لا توجد بيانات عن أعداد العاملين في إدارات المطالبات والتدقيق والمخاطر والامتثال. يجب تحديد حجم كل فئة قبل اختيار العينة منها</w:t>
      </w:r>
      <w:r w:rsidRPr="00A5088B">
        <w:rPr>
          <w:color w:val="000000" w:themeColor="text1"/>
        </w:rPr>
        <w:t>.</w:t>
      </w:r>
    </w:p>
    <w:p w14:paraId="4BEFA833"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العاشرة: التناقض في طريقة اختيار العينة</w:t>
      </w:r>
      <w:r w:rsidRPr="00A5088B">
        <w:rPr>
          <w:color w:val="000000" w:themeColor="text1"/>
        </w:rPr>
        <w:br/>
      </w:r>
      <w:r w:rsidRPr="00A5088B">
        <w:rPr>
          <w:color w:val="000000" w:themeColor="text1"/>
          <w:rtl/>
        </w:rPr>
        <w:t>ذُكر أولاً استخدام العينة العشوائية البسيطة، ثم ذُكر لاحقاً استخدام عينة ميسرة موجهة. يجب اختيار طريقة واحدة ووصفها بدقة</w:t>
      </w:r>
      <w:r w:rsidRPr="00A5088B">
        <w:rPr>
          <w:color w:val="000000" w:themeColor="text1"/>
        </w:rPr>
        <w:t>.</w:t>
      </w:r>
    </w:p>
    <w:p w14:paraId="4414998C"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الحادية عشرة: عدم إمكانية وصف العينة الميسرة بأنها عشوائية</w:t>
      </w:r>
      <w:r w:rsidRPr="00A5088B">
        <w:rPr>
          <w:color w:val="000000" w:themeColor="text1"/>
        </w:rPr>
        <w:br/>
      </w:r>
      <w:r w:rsidRPr="00A5088B">
        <w:rPr>
          <w:color w:val="000000" w:themeColor="text1"/>
          <w:rtl/>
        </w:rPr>
        <w:t>العينة الميسرة الموجهة عينة غير احتمالية، ولا تمنح جميع أفراد المجتمع فرصة متساوية للاختيار. يجب حذف وصف العشوائية إذا استُخدمت العينة الميسرة</w:t>
      </w:r>
      <w:r w:rsidRPr="00A5088B">
        <w:rPr>
          <w:color w:val="000000" w:themeColor="text1"/>
        </w:rPr>
        <w:t>.</w:t>
      </w:r>
    </w:p>
    <w:p w14:paraId="655374B6"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الثانية عشرة: عدم توافر إطار معاينة للعينة العشوائية</w:t>
      </w:r>
      <w:r w:rsidRPr="00A5088B">
        <w:rPr>
          <w:color w:val="000000" w:themeColor="text1"/>
        </w:rPr>
        <w:br/>
      </w:r>
      <w:r w:rsidRPr="00A5088B">
        <w:rPr>
          <w:color w:val="000000" w:themeColor="text1"/>
          <w:rtl/>
        </w:rPr>
        <w:t>تطبيق العينة العشوائية البسيطة يتطلب قائمة كاملة بأسماء العاملين المؤهلين للمشاركة. لم يوضح الفصل مصدر هذه القائمة أو كيفية الحصول عليها</w:t>
      </w:r>
      <w:r w:rsidRPr="00A5088B">
        <w:rPr>
          <w:color w:val="000000" w:themeColor="text1"/>
        </w:rPr>
        <w:t>.</w:t>
      </w:r>
    </w:p>
    <w:p w14:paraId="4DB156B0"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الثالثة عشرة: عدم توضيح آلية الوصول إلى الموظفين</w:t>
      </w:r>
      <w:r w:rsidRPr="00A5088B">
        <w:rPr>
          <w:color w:val="000000" w:themeColor="text1"/>
        </w:rPr>
        <w:br/>
      </w:r>
      <w:r w:rsidRPr="00A5088B">
        <w:rPr>
          <w:color w:val="000000" w:themeColor="text1"/>
          <w:rtl/>
        </w:rPr>
        <w:t>ذُكر إرسال الاستبانة عبر البريد الإلكتروني، دون تحديد ما إذا كانت عناوين الموظفين ستوفرها الشركات أو الإدارات أو جهة تنظيمية</w:t>
      </w:r>
      <w:r w:rsidRPr="00A5088B">
        <w:rPr>
          <w:color w:val="000000" w:themeColor="text1"/>
        </w:rPr>
        <w:t>.</w:t>
      </w:r>
    </w:p>
    <w:p w14:paraId="27577F59"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الرابعة عشرة: عدم عرض توزيع العينة على الشركات</w:t>
      </w:r>
      <w:r w:rsidRPr="00A5088B">
        <w:rPr>
          <w:color w:val="000000" w:themeColor="text1"/>
        </w:rPr>
        <w:br/>
      </w:r>
      <w:r w:rsidRPr="00A5088B">
        <w:rPr>
          <w:color w:val="000000" w:themeColor="text1"/>
          <w:rtl/>
        </w:rPr>
        <w:t>يجب تحديد عدد المشاركين المستهدف من كل شركة، حتى لا تتركز الاستجابات في عدد محدود من الشركات</w:t>
      </w:r>
      <w:r w:rsidRPr="00A5088B">
        <w:rPr>
          <w:color w:val="000000" w:themeColor="text1"/>
        </w:rPr>
        <w:t>.</w:t>
      </w:r>
    </w:p>
    <w:p w14:paraId="62BD31E7"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الخامسة عشرة: عدم عرض توزيع العينة على الإدارات</w:t>
      </w:r>
      <w:r w:rsidRPr="00A5088B">
        <w:rPr>
          <w:color w:val="000000" w:themeColor="text1"/>
        </w:rPr>
        <w:br/>
      </w:r>
      <w:r w:rsidRPr="00A5088B">
        <w:rPr>
          <w:color w:val="000000" w:themeColor="text1"/>
          <w:rtl/>
        </w:rPr>
        <w:t>يجب إعداد جدول يوضح عدد المشاركين المتوقع من إدارات المطالبات والتدقيق والمخاطر والامتثال وغيرها</w:t>
      </w:r>
      <w:r w:rsidRPr="00A5088B">
        <w:rPr>
          <w:color w:val="000000" w:themeColor="text1"/>
        </w:rPr>
        <w:t>.</w:t>
      </w:r>
    </w:p>
    <w:p w14:paraId="0F304A15"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السادسة عشرة: عدم توضيح توزيع العينة وفق حجم الشركات</w:t>
      </w:r>
      <w:r w:rsidRPr="00A5088B">
        <w:rPr>
          <w:color w:val="000000" w:themeColor="text1"/>
        </w:rPr>
        <w:br/>
      </w:r>
      <w:r w:rsidRPr="00A5088B">
        <w:rPr>
          <w:color w:val="000000" w:themeColor="text1"/>
          <w:rtl/>
        </w:rPr>
        <w:t>قد تختلف الشركات الكبرى عن الشركات الصغيرة في عدد العاملين والإجراءات التنظيمية. يجب مراعاة حجم الشركة عند توزيع العينة أو توضيح حدود ذلك</w:t>
      </w:r>
      <w:r w:rsidRPr="00A5088B">
        <w:rPr>
          <w:color w:val="000000" w:themeColor="text1"/>
        </w:rPr>
        <w:t>.</w:t>
      </w:r>
    </w:p>
    <w:p w14:paraId="4A96AEF7"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السابعة عشرة: استخدام مصطلح مستوى الدلالة بصورة خاطئة</w:t>
      </w:r>
      <w:r w:rsidRPr="00A5088B">
        <w:rPr>
          <w:color w:val="000000" w:themeColor="text1"/>
        </w:rPr>
        <w:br/>
      </w:r>
      <w:r w:rsidRPr="00A5088B">
        <w:rPr>
          <w:color w:val="000000" w:themeColor="text1"/>
          <w:rtl/>
        </w:rPr>
        <w:t>وردت عبارة «مستوى دلالة 0.95 ونسبة خطأ 0.05»، والصحيح هو</w:t>
      </w:r>
      <w:r w:rsidRPr="00A5088B">
        <w:rPr>
          <w:rStyle w:val="apple-converted-space"/>
          <w:rFonts w:eastAsiaTheme="majorEastAsia"/>
          <w:color w:val="000000" w:themeColor="text1"/>
          <w:rtl/>
        </w:rPr>
        <w:t> </w:t>
      </w:r>
      <w:r w:rsidRPr="00A5088B">
        <w:rPr>
          <w:rStyle w:val="Strong"/>
          <w:rFonts w:eastAsiaTheme="majorEastAsia"/>
          <w:color w:val="000000" w:themeColor="text1"/>
          <w:rtl/>
        </w:rPr>
        <w:t>مستوى ثقة 95% وهامش خطأ 5</w:t>
      </w:r>
      <w:r w:rsidRPr="00A5088B">
        <w:rPr>
          <w:rStyle w:val="Strong"/>
          <w:rFonts w:eastAsiaTheme="majorEastAsia"/>
          <w:color w:val="000000" w:themeColor="text1"/>
        </w:rPr>
        <w:t>%</w:t>
      </w:r>
      <w:r w:rsidRPr="00A5088B">
        <w:rPr>
          <w:color w:val="000000" w:themeColor="text1"/>
        </w:rPr>
        <w:t>.</w:t>
      </w:r>
    </w:p>
    <w:p w14:paraId="11C3216F"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 xml:space="preserve">الثامنة عشرة: عدم دقة حجم العينة المستخرج من جدول </w:t>
      </w:r>
      <w:proofErr w:type="spellStart"/>
      <w:r w:rsidRPr="00A5088B">
        <w:rPr>
          <w:rStyle w:val="Strong"/>
          <w:rFonts w:eastAsiaTheme="majorEastAsia"/>
          <w:color w:val="000000" w:themeColor="text1"/>
          <w:rtl/>
        </w:rPr>
        <w:t>كريجسي</w:t>
      </w:r>
      <w:proofErr w:type="spellEnd"/>
      <w:r w:rsidRPr="00A5088B">
        <w:rPr>
          <w:rStyle w:val="Strong"/>
          <w:rFonts w:eastAsiaTheme="majorEastAsia"/>
          <w:color w:val="000000" w:themeColor="text1"/>
          <w:rtl/>
        </w:rPr>
        <w:t xml:space="preserve"> ومورغان</w:t>
      </w:r>
      <w:r w:rsidRPr="00A5088B">
        <w:rPr>
          <w:color w:val="000000" w:themeColor="text1"/>
        </w:rPr>
        <w:br/>
      </w:r>
      <w:r w:rsidRPr="00A5088B">
        <w:rPr>
          <w:color w:val="000000" w:themeColor="text1"/>
          <w:rtl/>
        </w:rPr>
        <w:t>ذُكر أن حجم المجتمع 11.7 ألف وأن حجم العينة 374، بينما الجدول المرفق يعرض قيماً تقريبية مختلفة وفق أحجام المجتمع. يجب مراجعة الرقم من الجدول الأصلي أو حسابه بمعادلة واضحة</w:t>
      </w:r>
      <w:r w:rsidRPr="00A5088B">
        <w:rPr>
          <w:color w:val="000000" w:themeColor="text1"/>
        </w:rPr>
        <w:t>.</w:t>
      </w:r>
    </w:p>
    <w:p w14:paraId="05E661CA"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التاسعة عشرة: المعادلة الحسابية لحجم العينة غير مكتملة</w:t>
      </w:r>
      <w:r w:rsidRPr="00A5088B">
        <w:rPr>
          <w:color w:val="000000" w:themeColor="text1"/>
        </w:rPr>
        <w:br/>
      </w:r>
      <w:r w:rsidRPr="00A5088B">
        <w:rPr>
          <w:color w:val="000000" w:themeColor="text1"/>
          <w:rtl/>
        </w:rPr>
        <w:t>ورد شرح رموز المعادلة دون عرض المعادلة نفسها بصورة صحيحة. يجب كتابة الصيغة كاملة وتعويض القيم داخلها وعرض الناتج</w:t>
      </w:r>
      <w:r w:rsidRPr="00A5088B">
        <w:rPr>
          <w:color w:val="000000" w:themeColor="text1"/>
        </w:rPr>
        <w:t>.</w:t>
      </w:r>
    </w:p>
    <w:p w14:paraId="72423A47"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العشرون: عدم الاتساق بين حجم العينة وعدد الاستبانات الموزعة</w:t>
      </w:r>
      <w:r w:rsidRPr="00A5088B">
        <w:rPr>
          <w:color w:val="000000" w:themeColor="text1"/>
        </w:rPr>
        <w:br/>
      </w:r>
      <w:r w:rsidRPr="00A5088B">
        <w:rPr>
          <w:color w:val="000000" w:themeColor="text1"/>
          <w:rtl/>
        </w:rPr>
        <w:t>ذُكر أن الحجم المطلوب 374، بينما جدول التوزيع يشير إلى توزيع 375 واستلام 374. يجب توضيح هل هذه أرقام فعلية أم مقترحة</w:t>
      </w:r>
      <w:r w:rsidRPr="00A5088B">
        <w:rPr>
          <w:color w:val="000000" w:themeColor="text1"/>
        </w:rPr>
        <w:t>.</w:t>
      </w:r>
    </w:p>
    <w:p w14:paraId="71C2A2F6"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الحادية والعشرون: جدول توزيع الاستبانة غير مكتمل</w:t>
      </w:r>
      <w:r w:rsidRPr="00A5088B">
        <w:rPr>
          <w:color w:val="000000" w:themeColor="text1"/>
        </w:rPr>
        <w:br/>
      </w:r>
      <w:r w:rsidRPr="00A5088B">
        <w:rPr>
          <w:color w:val="000000" w:themeColor="text1"/>
          <w:rtl/>
        </w:rPr>
        <w:t>لم تُملأ خانات المسترد والفـاقد والمستبعد بصورة واضحة، مع وجود نسبة 99% فقط. يجب استكمال الجدول وفق العدد الموزع والمسترد والمستبعد والنهائي</w:t>
      </w:r>
      <w:r w:rsidRPr="00A5088B">
        <w:rPr>
          <w:color w:val="000000" w:themeColor="text1"/>
        </w:rPr>
        <w:t>.</w:t>
      </w:r>
    </w:p>
    <w:p w14:paraId="52F2AA3B"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والعشرون: عرض نتائج مستقبلية قبل تنفيذ الدراسة</w:t>
      </w:r>
      <w:r w:rsidRPr="00A5088B">
        <w:rPr>
          <w:color w:val="000000" w:themeColor="text1"/>
        </w:rPr>
        <w:br/>
      </w:r>
      <w:r w:rsidRPr="00A5088B">
        <w:rPr>
          <w:color w:val="000000" w:themeColor="text1"/>
          <w:rtl/>
        </w:rPr>
        <w:t>إذا كان الفصل مكتوباً بصيغة المقترح، فلا يجوز إدراج عدد نهائي مستلم يبلغ 374 قبل جمع البيانات. يجب استخدام صيغة مستقبلية أو عرض الأرقام الفعلية مع تاريخ الجمع</w:t>
      </w:r>
      <w:r w:rsidRPr="00A5088B">
        <w:rPr>
          <w:color w:val="000000" w:themeColor="text1"/>
        </w:rPr>
        <w:t>.</w:t>
      </w:r>
    </w:p>
    <w:p w14:paraId="427984CE"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والعشرون: عدم مراعاة عدم الاستجابة والاستبعاد</w:t>
      </w:r>
      <w:r w:rsidRPr="00A5088B">
        <w:rPr>
          <w:color w:val="000000" w:themeColor="text1"/>
        </w:rPr>
        <w:br/>
      </w:r>
      <w:r w:rsidRPr="00A5088B">
        <w:rPr>
          <w:color w:val="000000" w:themeColor="text1"/>
          <w:rtl/>
        </w:rPr>
        <w:t>توزيع 375 استبانة للحصول على 374 استجابة صالحة يفترض معدل استجابة شبه كامل. يجب توزيع عدد أكبر لمواجهة عدم الاستجابة والاستبانات غير المكتملة</w:t>
      </w:r>
      <w:r w:rsidRPr="00A5088B">
        <w:rPr>
          <w:color w:val="000000" w:themeColor="text1"/>
        </w:rPr>
        <w:t>.</w:t>
      </w:r>
    </w:p>
    <w:p w14:paraId="4AE8B7D7"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والعشرون: غياب معايير إدراج المشاركين</w:t>
      </w:r>
      <w:r w:rsidRPr="00A5088B">
        <w:rPr>
          <w:color w:val="000000" w:themeColor="text1"/>
        </w:rPr>
        <w:br/>
      </w:r>
      <w:r w:rsidRPr="00A5088B">
        <w:rPr>
          <w:color w:val="000000" w:themeColor="text1"/>
          <w:rtl/>
        </w:rPr>
        <w:t>يجب تحديد شروط المشاركة، مثل العمل الحالي في شركة تأمين مرخصة، والانتماء إلى إدارة ذات صلة، وامتلاك مدة خبرة مناسبة</w:t>
      </w:r>
      <w:r w:rsidRPr="00A5088B">
        <w:rPr>
          <w:color w:val="000000" w:themeColor="text1"/>
        </w:rPr>
        <w:t>.</w:t>
      </w:r>
    </w:p>
    <w:p w14:paraId="5CE18740"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والعشرون: غياب معايير استبعاد المشاركين</w:t>
      </w:r>
      <w:r w:rsidRPr="00A5088B">
        <w:rPr>
          <w:color w:val="000000" w:themeColor="text1"/>
        </w:rPr>
        <w:br/>
      </w:r>
      <w:r w:rsidRPr="00A5088B">
        <w:rPr>
          <w:color w:val="000000" w:themeColor="text1"/>
          <w:rtl/>
        </w:rPr>
        <w:t>يجب تحديد الفئات المستبعدة، مثل المتدربين، والعاملين المؤقتين، والموظفين الذين لا ترتبط أعمالهم بموضوع الدراسة، والاستجابات الناقصة أو المتكررة</w:t>
      </w:r>
      <w:r w:rsidRPr="00A5088B">
        <w:rPr>
          <w:color w:val="000000" w:themeColor="text1"/>
        </w:rPr>
        <w:t>.</w:t>
      </w:r>
    </w:p>
    <w:p w14:paraId="530E7B6A"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السادسة والعشرون: عدم تحديد الحد الأدنى لمدة الخبرة</w:t>
      </w:r>
      <w:r w:rsidRPr="00A5088B">
        <w:rPr>
          <w:color w:val="000000" w:themeColor="text1"/>
        </w:rPr>
        <w:br/>
      </w:r>
      <w:r w:rsidRPr="00A5088B">
        <w:rPr>
          <w:color w:val="000000" w:themeColor="text1"/>
          <w:rtl/>
        </w:rPr>
        <w:t>لم يُحدد مقدار الخبرة اللازمة حتى يكون الموظف قادراً على تقديم إجابة تستند إلى معرفة فعلية ببيئة العمل</w:t>
      </w:r>
      <w:r w:rsidRPr="00A5088B">
        <w:rPr>
          <w:color w:val="000000" w:themeColor="text1"/>
        </w:rPr>
        <w:t>.</w:t>
      </w:r>
    </w:p>
    <w:p w14:paraId="6DA17130"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السابعة والعشرون: عدم تقديم تبرير لتوجيه العينة إلى إدارات محددة</w:t>
      </w:r>
      <w:r w:rsidRPr="00A5088B">
        <w:rPr>
          <w:color w:val="000000" w:themeColor="text1"/>
        </w:rPr>
        <w:br/>
      </w:r>
      <w:r w:rsidRPr="00A5088B">
        <w:rPr>
          <w:color w:val="000000" w:themeColor="text1"/>
          <w:rtl/>
        </w:rPr>
        <w:t>يجب بيان الأساس الذي استندت إليه الباحثة في اختيار إدارات المطالبات والتدقيق والمخاطر والامتثال، وعدم إدراج جميع موظفي القطاع</w:t>
      </w:r>
      <w:r w:rsidRPr="00A5088B">
        <w:rPr>
          <w:color w:val="000000" w:themeColor="text1"/>
        </w:rPr>
        <w:t>.</w:t>
      </w:r>
    </w:p>
    <w:p w14:paraId="65803CEA" w14:textId="77777777" w:rsidR="00576A8E" w:rsidRPr="00A5088B" w:rsidRDefault="00576A8E" w:rsidP="009E285B">
      <w:pPr>
        <w:pStyle w:val="NormalWeb"/>
        <w:bidi/>
        <w:spacing w:line="360" w:lineRule="auto"/>
        <w:rPr>
          <w:color w:val="000000" w:themeColor="text1"/>
        </w:rPr>
      </w:pPr>
      <w:r w:rsidRPr="00A5088B">
        <w:rPr>
          <w:rStyle w:val="Strong"/>
          <w:rFonts w:eastAsiaTheme="majorEastAsia"/>
          <w:color w:val="000000" w:themeColor="text1"/>
          <w:rtl/>
        </w:rPr>
        <w:t>الثامنة والعشرون: عدم تحديد العدد النهائي المطلوب للتحليل</w:t>
      </w:r>
      <w:r w:rsidRPr="00A5088B">
        <w:rPr>
          <w:color w:val="000000" w:themeColor="text1"/>
        </w:rPr>
        <w:br/>
      </w:r>
      <w:r w:rsidRPr="00A5088B">
        <w:rPr>
          <w:color w:val="000000" w:themeColor="text1"/>
          <w:rtl/>
        </w:rPr>
        <w:t>يجب الفصل بين العدد الذي ستوزع عليه الاستبانة والعدد الأدنى من الاستجابات الصالحة الذي يجب تحقيقه</w:t>
      </w:r>
      <w:r w:rsidRPr="00A5088B">
        <w:rPr>
          <w:color w:val="000000" w:themeColor="text1"/>
        </w:rPr>
        <w:t>.</w:t>
      </w:r>
    </w:p>
    <w:p w14:paraId="03ADCE3A" w14:textId="77777777" w:rsidR="00576A8E" w:rsidRPr="00A5088B" w:rsidRDefault="00576A8E" w:rsidP="009E285B">
      <w:pPr>
        <w:pStyle w:val="Heading2"/>
        <w:bidi/>
        <w:spacing w:line="360" w:lineRule="auto"/>
        <w:rPr>
          <w:rFonts w:eastAsia="Times New Roman"/>
          <w:color w:val="000000" w:themeColor="text1"/>
        </w:rPr>
      </w:pPr>
      <w:r w:rsidRPr="00A5088B">
        <w:rPr>
          <w:rFonts w:eastAsia="Times New Roman"/>
          <w:color w:val="000000" w:themeColor="text1"/>
          <w:rtl/>
        </w:rPr>
        <w:t>ثانياً: نواقص تصميم الدراسة وإجراءات التنفيذ</w:t>
      </w:r>
    </w:p>
    <w:p w14:paraId="3DCD4C28" w14:textId="77777777" w:rsidR="00576A8E" w:rsidRPr="00A5088B" w:rsidRDefault="00576A8E" w:rsidP="009E285B">
      <w:pPr>
        <w:pStyle w:val="NormalWeb"/>
        <w:bidi/>
        <w:spacing w:line="360" w:lineRule="auto"/>
        <w:rPr>
          <w:rFonts w:eastAsiaTheme="minorHAnsi"/>
          <w:color w:val="000000" w:themeColor="text1"/>
        </w:rPr>
      </w:pPr>
      <w:r w:rsidRPr="00A5088B">
        <w:rPr>
          <w:rStyle w:val="Strong"/>
          <w:rFonts w:eastAsiaTheme="majorEastAsia"/>
          <w:color w:val="000000" w:themeColor="text1"/>
          <w:rtl/>
        </w:rPr>
        <w:t>التاسعة والعشرون: التناقض في نوع المنهج المستخدم</w:t>
      </w:r>
      <w:r w:rsidRPr="00A5088B">
        <w:rPr>
          <w:color w:val="000000" w:themeColor="text1"/>
        </w:rPr>
        <w:br/>
      </w:r>
      <w:r w:rsidRPr="00A5088B">
        <w:rPr>
          <w:color w:val="000000" w:themeColor="text1"/>
          <w:rtl/>
        </w:rPr>
        <w:t>ذُكر أن الدراسة تجمع بين الأساليب الكمية والنوعية، بينما تعتمد الإجراءات على استبانة وتحليل إحصائي فقط. يجب وصفها بأنها دراسة كمية أو إضافة إجراءات نوعية فعلية</w:t>
      </w:r>
      <w:r w:rsidRPr="00A5088B">
        <w:rPr>
          <w:color w:val="000000" w:themeColor="text1"/>
        </w:rPr>
        <w:t>.</w:t>
      </w:r>
    </w:p>
    <w:p w14:paraId="3B94DB2D"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الثلاثون: عدم وجود أدوات أو إجراءات للمنهج النوعي</w:t>
      </w:r>
      <w:r w:rsidRPr="00A5088B">
        <w:rPr>
          <w:color w:val="000000" w:themeColor="text1"/>
        </w:rPr>
        <w:br/>
      </w:r>
      <w:r w:rsidRPr="00A5088B">
        <w:rPr>
          <w:color w:val="000000" w:themeColor="text1"/>
          <w:rtl/>
        </w:rPr>
        <w:t>لا توجد مقابلات أو مجموعات تركيز أو طريقة تحليل نوعي. لذلك لا يصح وصف الدراسة بأنها ذات منهج مختلط دون تنفيذ مكون نوعي واضح</w:t>
      </w:r>
      <w:r w:rsidRPr="00A5088B">
        <w:rPr>
          <w:color w:val="000000" w:themeColor="text1"/>
        </w:rPr>
        <w:t>.</w:t>
      </w:r>
    </w:p>
    <w:p w14:paraId="58A918B9"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الحادية والثلاثون: الخلط بين المنهج الوصفي التحليلي والمنهج المختلط</w:t>
      </w:r>
      <w:r w:rsidRPr="00A5088B">
        <w:rPr>
          <w:color w:val="000000" w:themeColor="text1"/>
        </w:rPr>
        <w:br/>
      </w:r>
      <w:r w:rsidRPr="00A5088B">
        <w:rPr>
          <w:color w:val="000000" w:themeColor="text1"/>
          <w:rtl/>
        </w:rPr>
        <w:t>المنهج الوصفي التحليلي لا يعني تلقائياً الجمع بين المناهج الكمية والنوعية. يجب إعادة صياغة هذا الجزء بصورة منهجية سليمة</w:t>
      </w:r>
      <w:r w:rsidRPr="00A5088B">
        <w:rPr>
          <w:color w:val="000000" w:themeColor="text1"/>
        </w:rPr>
        <w:t>.</w:t>
      </w:r>
    </w:p>
    <w:p w14:paraId="6A266711"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والثلاثون: مقدمة الفصل طويلة ومكررة</w:t>
      </w:r>
      <w:r w:rsidRPr="00A5088B">
        <w:rPr>
          <w:color w:val="000000" w:themeColor="text1"/>
        </w:rPr>
        <w:br/>
      </w:r>
      <w:r w:rsidRPr="00A5088B">
        <w:rPr>
          <w:color w:val="000000" w:themeColor="text1"/>
          <w:rtl/>
        </w:rPr>
        <w:t>تتكرر عبارات مصادر البيانات ومقارنة الدراسات السابقة وخطوات البحث في أكثر من موضع. يجب اختصار المقدمة لتوضح محتويات الفصل فقط</w:t>
      </w:r>
      <w:r w:rsidRPr="00A5088B">
        <w:rPr>
          <w:color w:val="000000" w:themeColor="text1"/>
        </w:rPr>
        <w:t>.</w:t>
      </w:r>
    </w:p>
    <w:p w14:paraId="5E4CECA9"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والثلاثون: التركيز على مقارنة الدراسات السابقة داخل فصل المنهجية</w:t>
      </w:r>
      <w:r w:rsidRPr="00A5088B">
        <w:rPr>
          <w:color w:val="000000" w:themeColor="text1"/>
        </w:rPr>
        <w:br/>
      </w:r>
      <w:r w:rsidRPr="00A5088B">
        <w:rPr>
          <w:color w:val="000000" w:themeColor="text1"/>
          <w:rtl/>
        </w:rPr>
        <w:t>مقارنة الدراسات السابقة من مهام الفصل النظري، وليست هدفاً رئيسياً للفصل المنهجي. يجب التركيز على التطبيق الميداني وإجراءات جمع البيانات</w:t>
      </w:r>
      <w:r w:rsidRPr="00A5088B">
        <w:rPr>
          <w:color w:val="000000" w:themeColor="text1"/>
        </w:rPr>
        <w:t>.</w:t>
      </w:r>
    </w:p>
    <w:p w14:paraId="48200867"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والثلاثون: عدم تحديد التصميم الزمني للدراسة</w:t>
      </w:r>
      <w:r w:rsidRPr="00A5088B">
        <w:rPr>
          <w:color w:val="000000" w:themeColor="text1"/>
        </w:rPr>
        <w:br/>
      </w:r>
      <w:r w:rsidRPr="00A5088B">
        <w:rPr>
          <w:color w:val="000000" w:themeColor="text1"/>
          <w:rtl/>
        </w:rPr>
        <w:t>لم يوضح الفصل هل الدراسة مقطعية تجمع البيانات مرة واحدة أم طولية. يجب تحديد التصميم بوضوح</w:t>
      </w:r>
      <w:r w:rsidRPr="00A5088B">
        <w:rPr>
          <w:color w:val="000000" w:themeColor="text1"/>
        </w:rPr>
        <w:t>.</w:t>
      </w:r>
    </w:p>
    <w:p w14:paraId="0FEF3EAC"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والثلاثون: عدم تحديد الفترة الزمنية لجمع البيانات</w:t>
      </w:r>
      <w:r w:rsidRPr="00A5088B">
        <w:rPr>
          <w:color w:val="000000" w:themeColor="text1"/>
        </w:rPr>
        <w:br/>
      </w:r>
      <w:r w:rsidRPr="00A5088B">
        <w:rPr>
          <w:color w:val="000000" w:themeColor="text1"/>
          <w:rtl/>
        </w:rPr>
        <w:t>يجب ذكر تاريخ بداية ونهاية توزيع الاستبانة أو الفترة المتوقعة للتطبيق</w:t>
      </w:r>
      <w:r w:rsidRPr="00A5088B">
        <w:rPr>
          <w:color w:val="000000" w:themeColor="text1"/>
        </w:rPr>
        <w:t>.</w:t>
      </w:r>
    </w:p>
    <w:p w14:paraId="68440B7F"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السادسة والثلاثون: عدم تحديد جهة الموافقة الميدانية</w:t>
      </w:r>
      <w:r w:rsidRPr="00A5088B">
        <w:rPr>
          <w:color w:val="000000" w:themeColor="text1"/>
        </w:rPr>
        <w:br/>
      </w:r>
      <w:r w:rsidRPr="00A5088B">
        <w:rPr>
          <w:color w:val="000000" w:themeColor="text1"/>
          <w:rtl/>
        </w:rPr>
        <w:t>لم يوضح الفصل كيف ستُحصل الموافقات من شركات التأمين أو هيئة التأمين قبل التواصل مع الموظفين</w:t>
      </w:r>
      <w:r w:rsidRPr="00A5088B">
        <w:rPr>
          <w:color w:val="000000" w:themeColor="text1"/>
        </w:rPr>
        <w:t>.</w:t>
      </w:r>
    </w:p>
    <w:p w14:paraId="1579FE20"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السابعة والثلاثون: عدم توضيح طريقة التواصل مع الشركات</w:t>
      </w:r>
      <w:r w:rsidRPr="00A5088B">
        <w:rPr>
          <w:color w:val="000000" w:themeColor="text1"/>
        </w:rPr>
        <w:br/>
      </w:r>
      <w:r w:rsidRPr="00A5088B">
        <w:rPr>
          <w:color w:val="000000" w:themeColor="text1"/>
          <w:rtl/>
        </w:rPr>
        <w:t>يجب بيان هل سيكون التواصل عبر إدارات الموارد البشرية أو إدارات الامتثال أو مسؤولي التدريب أو البريد الرسمي للشركات</w:t>
      </w:r>
      <w:r w:rsidRPr="00A5088B">
        <w:rPr>
          <w:color w:val="000000" w:themeColor="text1"/>
        </w:rPr>
        <w:t>.</w:t>
      </w:r>
    </w:p>
    <w:p w14:paraId="0416D630"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الثامنة والثلاثون: عدم حسم طريقة توزيع الاستبانة</w:t>
      </w:r>
      <w:r w:rsidRPr="00A5088B">
        <w:rPr>
          <w:color w:val="000000" w:themeColor="text1"/>
        </w:rPr>
        <w:br/>
      </w:r>
      <w:r w:rsidRPr="00A5088B">
        <w:rPr>
          <w:color w:val="000000" w:themeColor="text1"/>
          <w:rtl/>
        </w:rPr>
        <w:t>ورد أنها ستوزع إلكترونياً عبر البريد، ثم ذُكر أنها ستوزع إلكترونياً وورقياً. يجب تحديد الطريقة النهائية أو شرح توزيعها بين الطريقتين</w:t>
      </w:r>
      <w:r w:rsidRPr="00A5088B">
        <w:rPr>
          <w:color w:val="000000" w:themeColor="text1"/>
        </w:rPr>
        <w:t>.</w:t>
      </w:r>
    </w:p>
    <w:p w14:paraId="7B23AAA1"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التاسعة والثلاثون: عدم تحديد منصة الاستبانة بصورة متسقة</w:t>
      </w:r>
      <w:r w:rsidRPr="00A5088B">
        <w:rPr>
          <w:color w:val="000000" w:themeColor="text1"/>
        </w:rPr>
        <w:br/>
      </w:r>
      <w:r w:rsidRPr="00A5088B">
        <w:rPr>
          <w:color w:val="000000" w:themeColor="text1"/>
          <w:rtl/>
        </w:rPr>
        <w:t>ذُكر</w:t>
      </w:r>
      <w:r w:rsidRPr="00A5088B">
        <w:rPr>
          <w:color w:val="000000" w:themeColor="text1"/>
        </w:rPr>
        <w:t xml:space="preserve"> Google Forms</w:t>
      </w:r>
      <w:r w:rsidRPr="00A5088B">
        <w:rPr>
          <w:color w:val="000000" w:themeColor="text1"/>
          <w:rtl/>
        </w:rPr>
        <w:t>، لكن لم توضح إعدادات الخصوصية ومنع تكرار الاستجابة وعدم تسجيل البريد تلقائياً</w:t>
      </w:r>
      <w:r w:rsidRPr="00A5088B">
        <w:rPr>
          <w:color w:val="000000" w:themeColor="text1"/>
        </w:rPr>
        <w:t>.</w:t>
      </w:r>
    </w:p>
    <w:p w14:paraId="2255CF5C"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الأربعون: عدم توضيح مدة فتح الاستبانة</w:t>
      </w:r>
      <w:r w:rsidRPr="00A5088B">
        <w:rPr>
          <w:color w:val="000000" w:themeColor="text1"/>
        </w:rPr>
        <w:br/>
      </w:r>
      <w:r w:rsidRPr="00A5088B">
        <w:rPr>
          <w:color w:val="000000" w:themeColor="text1"/>
          <w:rtl/>
        </w:rPr>
        <w:t>يجب تحديد عدد الأسابيع التي سيظل فيها الرابط متاحاً وعدد رسائل التذكير</w:t>
      </w:r>
      <w:r w:rsidRPr="00A5088B">
        <w:rPr>
          <w:color w:val="000000" w:themeColor="text1"/>
        </w:rPr>
        <w:t>.</w:t>
      </w:r>
    </w:p>
    <w:p w14:paraId="5100D36A"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الحادية والأربعون: غياب آلية منع الاستجابات المكررة</w:t>
      </w:r>
      <w:r w:rsidRPr="00A5088B">
        <w:rPr>
          <w:color w:val="000000" w:themeColor="text1"/>
        </w:rPr>
        <w:br/>
      </w:r>
      <w:r w:rsidRPr="00A5088B">
        <w:rPr>
          <w:color w:val="000000" w:themeColor="text1"/>
          <w:rtl/>
        </w:rPr>
        <w:t>يجب بيان كيفية منع الموظف نفسه من الاستجابة أكثر من مرة، مع المحافظة على عدم كشف الهوية</w:t>
      </w:r>
      <w:r w:rsidRPr="00A5088B">
        <w:rPr>
          <w:color w:val="000000" w:themeColor="text1"/>
        </w:rPr>
        <w:t>.</w:t>
      </w:r>
    </w:p>
    <w:p w14:paraId="27BB5EEE"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والأربعون: عدم توضيح إجراءات متابعة الاستجابة</w:t>
      </w:r>
      <w:r w:rsidRPr="00A5088B">
        <w:rPr>
          <w:color w:val="000000" w:themeColor="text1"/>
        </w:rPr>
        <w:br/>
      </w:r>
      <w:r w:rsidRPr="00A5088B">
        <w:rPr>
          <w:color w:val="000000" w:themeColor="text1"/>
          <w:rtl/>
        </w:rPr>
        <w:t>يجب بيان كيفية متابعة الشركات والإدارات ذات معدل الاستجابة المنخفض دون ممارسة ضغط على المشاركين</w:t>
      </w:r>
      <w:r w:rsidRPr="00A5088B">
        <w:rPr>
          <w:color w:val="000000" w:themeColor="text1"/>
        </w:rPr>
        <w:t>.</w:t>
      </w:r>
    </w:p>
    <w:p w14:paraId="5A3586A2"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والأربعون: جمع الوثائق مذكور دون خطة تحليل</w:t>
      </w:r>
      <w:r w:rsidRPr="00A5088B">
        <w:rPr>
          <w:color w:val="000000" w:themeColor="text1"/>
        </w:rPr>
        <w:br/>
      </w:r>
      <w:r w:rsidRPr="00A5088B">
        <w:rPr>
          <w:color w:val="000000" w:themeColor="text1"/>
          <w:rtl/>
        </w:rPr>
        <w:t>ورد أن الباحثة ستجمع وثائق شركات التأمين وتحللها، لكن لم تحدد أنواع الوثائق أو طريقة تحليلها أو دورها في النتائج. يجب حذف الإجراء أو تفصيله</w:t>
      </w:r>
      <w:r w:rsidRPr="00A5088B">
        <w:rPr>
          <w:color w:val="000000" w:themeColor="text1"/>
        </w:rPr>
        <w:t>.</w:t>
      </w:r>
    </w:p>
    <w:p w14:paraId="527ADB34"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والأربعون: عدم تحديد المسؤول عن توزيع وجمع الاستبانات</w:t>
      </w:r>
      <w:r w:rsidRPr="00A5088B">
        <w:rPr>
          <w:color w:val="000000" w:themeColor="text1"/>
        </w:rPr>
        <w:br/>
      </w:r>
      <w:r w:rsidRPr="00A5088B">
        <w:rPr>
          <w:color w:val="000000" w:themeColor="text1"/>
          <w:rtl/>
        </w:rPr>
        <w:t>يجب توضيح هل ستتولى الباحثة ذلك بنفسها أم سيقوم موظفون داخل الشركات بالمهمة</w:t>
      </w:r>
      <w:r w:rsidRPr="00A5088B">
        <w:rPr>
          <w:color w:val="000000" w:themeColor="text1"/>
        </w:rPr>
        <w:t>.</w:t>
      </w:r>
    </w:p>
    <w:p w14:paraId="4E383860"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والأربعون: غياب خطة لتنظيف البيانات</w:t>
      </w:r>
      <w:r w:rsidRPr="00A5088B">
        <w:rPr>
          <w:color w:val="000000" w:themeColor="text1"/>
        </w:rPr>
        <w:br/>
      </w:r>
      <w:r w:rsidRPr="00A5088B">
        <w:rPr>
          <w:color w:val="000000" w:themeColor="text1"/>
          <w:rtl/>
        </w:rPr>
        <w:t>لم يوضح الفصل خطوات اكتشاف الاستجابات الناقصة والمكررة وغير الجادة قبل التحليل</w:t>
      </w:r>
      <w:r w:rsidRPr="00A5088B">
        <w:rPr>
          <w:color w:val="000000" w:themeColor="text1"/>
        </w:rPr>
        <w:t>.</w:t>
      </w:r>
    </w:p>
    <w:p w14:paraId="5DD79696"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السادسة والأربعون: عدم تحديد معايير استبعاد الاستجابات</w:t>
      </w:r>
      <w:r w:rsidRPr="00A5088B">
        <w:rPr>
          <w:color w:val="000000" w:themeColor="text1"/>
        </w:rPr>
        <w:br/>
      </w:r>
      <w:r w:rsidRPr="00A5088B">
        <w:rPr>
          <w:color w:val="000000" w:themeColor="text1"/>
          <w:rtl/>
        </w:rPr>
        <w:t>يجب وضع قواعد واضحة لنسبة النقص المقبولة، وزمن الإجابة، والاستجابات النمطية أو المتناقضة</w:t>
      </w:r>
      <w:r w:rsidRPr="00A5088B">
        <w:rPr>
          <w:color w:val="000000" w:themeColor="text1"/>
        </w:rPr>
        <w:t>.</w:t>
      </w:r>
    </w:p>
    <w:p w14:paraId="32B8DEEC" w14:textId="77777777" w:rsidR="00891023" w:rsidRPr="00A5088B" w:rsidRDefault="00891023" w:rsidP="009E285B">
      <w:pPr>
        <w:pStyle w:val="Heading2"/>
        <w:bidi/>
        <w:spacing w:line="360" w:lineRule="auto"/>
        <w:rPr>
          <w:rFonts w:eastAsia="Times New Roman"/>
          <w:color w:val="000000" w:themeColor="text1"/>
        </w:rPr>
      </w:pPr>
      <w:r w:rsidRPr="00A5088B">
        <w:rPr>
          <w:rFonts w:eastAsia="Times New Roman"/>
          <w:color w:val="000000" w:themeColor="text1"/>
          <w:rtl/>
        </w:rPr>
        <w:t>ثالثاً: نواقص أداة الدراسة والاستبانة</w:t>
      </w:r>
    </w:p>
    <w:p w14:paraId="794CC2D2" w14:textId="77777777" w:rsidR="00891023" w:rsidRPr="00A5088B" w:rsidRDefault="00891023" w:rsidP="009E285B">
      <w:pPr>
        <w:pStyle w:val="NormalWeb"/>
        <w:bidi/>
        <w:spacing w:line="360" w:lineRule="auto"/>
        <w:rPr>
          <w:rFonts w:eastAsiaTheme="minorHAnsi"/>
          <w:color w:val="000000" w:themeColor="text1"/>
        </w:rPr>
      </w:pPr>
      <w:r w:rsidRPr="00A5088B">
        <w:rPr>
          <w:rStyle w:val="Strong"/>
          <w:rFonts w:eastAsiaTheme="majorEastAsia"/>
          <w:color w:val="000000" w:themeColor="text1"/>
          <w:rtl/>
        </w:rPr>
        <w:t>السابعة والأربعون: عدم إرفاق الاستبانة كاملة</w:t>
      </w:r>
      <w:r w:rsidRPr="00A5088B">
        <w:rPr>
          <w:color w:val="000000" w:themeColor="text1"/>
        </w:rPr>
        <w:br/>
      </w:r>
      <w:r w:rsidRPr="00A5088B">
        <w:rPr>
          <w:color w:val="000000" w:themeColor="text1"/>
          <w:rtl/>
        </w:rPr>
        <w:t>تم عرض عدد الفقرات والأقسام فقط، دون إظهار جميع العبارات. يجب إرفاق النسخة الكاملة في الملاحق</w:t>
      </w:r>
      <w:r w:rsidRPr="00A5088B">
        <w:rPr>
          <w:color w:val="000000" w:themeColor="text1"/>
        </w:rPr>
        <w:t>.</w:t>
      </w:r>
    </w:p>
    <w:p w14:paraId="10DAF03F"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الثامنة والأربعون: عدم عرض خطاب تقديم الاستبانة</w:t>
      </w:r>
      <w:r w:rsidRPr="00A5088B">
        <w:rPr>
          <w:color w:val="000000" w:themeColor="text1"/>
        </w:rPr>
        <w:br/>
      </w:r>
      <w:r w:rsidRPr="00A5088B">
        <w:rPr>
          <w:color w:val="000000" w:themeColor="text1"/>
          <w:rtl/>
        </w:rPr>
        <w:t>يجب أن تتضمن الاستبانة مقدمة توضح هدف الدراسة، وطوعية المشاركة، ومدة الإجابة، والسرية، ومعلومات التواصل</w:t>
      </w:r>
      <w:r w:rsidRPr="00A5088B">
        <w:rPr>
          <w:color w:val="000000" w:themeColor="text1"/>
        </w:rPr>
        <w:t>.</w:t>
      </w:r>
    </w:p>
    <w:p w14:paraId="3A3F6167"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التاسعة والأربعون: مصادر الفقرات غير موثقة بصورة سليمة</w:t>
      </w:r>
      <w:r w:rsidRPr="00A5088B">
        <w:rPr>
          <w:color w:val="000000" w:themeColor="text1"/>
        </w:rPr>
        <w:br/>
      </w:r>
      <w:r w:rsidRPr="00A5088B">
        <w:rPr>
          <w:color w:val="000000" w:themeColor="text1"/>
          <w:rtl/>
        </w:rPr>
        <w:t>وردت أسماء مثل</w:t>
      </w:r>
      <w:r w:rsidRPr="00A5088B">
        <w:rPr>
          <w:color w:val="000000" w:themeColor="text1"/>
        </w:rPr>
        <w:t xml:space="preserve"> Elusory </w:t>
      </w:r>
      <w:r w:rsidRPr="00A5088B">
        <w:rPr>
          <w:color w:val="000000" w:themeColor="text1"/>
          <w:rtl/>
        </w:rPr>
        <w:t>و</w:t>
      </w:r>
      <w:proofErr w:type="spellStart"/>
      <w:r w:rsidRPr="00A5088B">
        <w:rPr>
          <w:color w:val="000000" w:themeColor="text1"/>
        </w:rPr>
        <w:t>Mutalib</w:t>
      </w:r>
      <w:proofErr w:type="spellEnd"/>
      <w:r w:rsidRPr="00A5088B">
        <w:rPr>
          <w:color w:val="000000" w:themeColor="text1"/>
        </w:rPr>
        <w:t xml:space="preserve"> </w:t>
      </w:r>
      <w:r w:rsidRPr="00A5088B">
        <w:rPr>
          <w:color w:val="000000" w:themeColor="text1"/>
          <w:rtl/>
        </w:rPr>
        <w:t>و</w:t>
      </w:r>
      <w:r w:rsidRPr="00A5088B">
        <w:rPr>
          <w:color w:val="000000" w:themeColor="text1"/>
        </w:rPr>
        <w:t xml:space="preserve">Bernardino </w:t>
      </w:r>
      <w:r w:rsidRPr="00A5088B">
        <w:rPr>
          <w:color w:val="000000" w:themeColor="text1"/>
          <w:rtl/>
        </w:rPr>
        <w:t>و</w:t>
      </w:r>
      <w:r w:rsidRPr="00A5088B">
        <w:rPr>
          <w:color w:val="000000" w:themeColor="text1"/>
        </w:rPr>
        <w:t xml:space="preserve">Ramallah </w:t>
      </w:r>
      <w:r w:rsidRPr="00A5088B">
        <w:rPr>
          <w:color w:val="000000" w:themeColor="text1"/>
          <w:rtl/>
        </w:rPr>
        <w:t>بصيغ غير دقيقة، ولم يتضح أن الدراسات تتضمن مقاييس مناسبة. يجب مراجعة المصادر الأصلية وتوثيقها كاملاً</w:t>
      </w:r>
      <w:r w:rsidRPr="00A5088B">
        <w:rPr>
          <w:color w:val="000000" w:themeColor="text1"/>
        </w:rPr>
        <w:t>.</w:t>
      </w:r>
    </w:p>
    <w:p w14:paraId="2C886EF5"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الخمسون: عدم ربط كل فقرة بمصدرها المباشر</w:t>
      </w:r>
      <w:r w:rsidRPr="00A5088B">
        <w:rPr>
          <w:color w:val="000000" w:themeColor="text1"/>
        </w:rPr>
        <w:br/>
      </w:r>
      <w:r w:rsidRPr="00A5088B">
        <w:rPr>
          <w:color w:val="000000" w:themeColor="text1"/>
          <w:rtl/>
        </w:rPr>
        <w:t>يجب إعداد جدول يوضح رقم كل فقرة ومصدرها الأصلي وكيفية تعديلها لتناسب قطاع التأمين السعودي</w:t>
      </w:r>
      <w:r w:rsidRPr="00A5088B">
        <w:rPr>
          <w:color w:val="000000" w:themeColor="text1"/>
        </w:rPr>
        <w:t>.</w:t>
      </w:r>
    </w:p>
    <w:p w14:paraId="09156BDF"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الحادية والخمسون: عدم توضيح الفقرات المطورة من الباحثة</w:t>
      </w:r>
      <w:r w:rsidRPr="00A5088B">
        <w:rPr>
          <w:color w:val="000000" w:themeColor="text1"/>
        </w:rPr>
        <w:br/>
      </w:r>
      <w:r w:rsidRPr="00A5088B">
        <w:rPr>
          <w:color w:val="000000" w:themeColor="text1"/>
          <w:rtl/>
        </w:rPr>
        <w:t>يجب بيان الفقرات المقتبسة والفقرات المعدلة والفقرات التي صيغت حديثاً</w:t>
      </w:r>
      <w:r w:rsidRPr="00A5088B">
        <w:rPr>
          <w:color w:val="000000" w:themeColor="text1"/>
        </w:rPr>
        <w:t>.</w:t>
      </w:r>
    </w:p>
    <w:p w14:paraId="15D80CB3"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والخمسون: غياب إجراءات ترجمة المقاييس الأجنبية</w:t>
      </w:r>
      <w:r w:rsidRPr="00A5088B">
        <w:rPr>
          <w:color w:val="000000" w:themeColor="text1"/>
        </w:rPr>
        <w:br/>
      </w:r>
      <w:r w:rsidRPr="00A5088B">
        <w:rPr>
          <w:color w:val="000000" w:themeColor="text1"/>
          <w:rtl/>
        </w:rPr>
        <w:t>إذا كانت الفقرات أصلها باللغة الإنجليزية، فيجب توضيح الترجمة إلى العربية والمراجعة اللغوية والترجمة العكسية</w:t>
      </w:r>
      <w:r w:rsidRPr="00A5088B">
        <w:rPr>
          <w:color w:val="000000" w:themeColor="text1"/>
        </w:rPr>
        <w:t>.</w:t>
      </w:r>
    </w:p>
    <w:p w14:paraId="1C6BFBD5"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والخمسون: عدم توضيح حقوق استخدام المقاييس</w:t>
      </w:r>
      <w:r w:rsidRPr="00A5088B">
        <w:rPr>
          <w:color w:val="000000" w:themeColor="text1"/>
        </w:rPr>
        <w:br/>
      </w:r>
      <w:r w:rsidRPr="00A5088B">
        <w:rPr>
          <w:color w:val="000000" w:themeColor="text1"/>
          <w:rtl/>
        </w:rPr>
        <w:t>يجب التحقق من وجود شروط أو تراخيص لاستخدام المقاييس المنشورة والحصول على موافقة عند الحاجة</w:t>
      </w:r>
      <w:r w:rsidRPr="00A5088B">
        <w:rPr>
          <w:color w:val="000000" w:themeColor="text1"/>
        </w:rPr>
        <w:t>.</w:t>
      </w:r>
    </w:p>
    <w:p w14:paraId="75A8D4D2"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والخمسون: عدم توضيح أرقام الفقرات</w:t>
      </w:r>
      <w:r w:rsidRPr="00A5088B">
        <w:rPr>
          <w:color w:val="000000" w:themeColor="text1"/>
        </w:rPr>
        <w:br/>
      </w:r>
      <w:r w:rsidRPr="00A5088B">
        <w:rPr>
          <w:color w:val="000000" w:themeColor="text1"/>
          <w:rtl/>
        </w:rPr>
        <w:t>يجب ترميز الفقرات وترقيمها وربط كل مجموعة بالقسم الذي تنتمي إليه، بما يسهل التحليل والمراجعة</w:t>
      </w:r>
      <w:r w:rsidRPr="00A5088B">
        <w:rPr>
          <w:color w:val="000000" w:themeColor="text1"/>
        </w:rPr>
        <w:t>.</w:t>
      </w:r>
    </w:p>
    <w:p w14:paraId="68F97033"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والخمسون: عدم عرض العدد الكلي لفقرات الاستبانة</w:t>
      </w:r>
      <w:r w:rsidRPr="00A5088B">
        <w:rPr>
          <w:color w:val="000000" w:themeColor="text1"/>
        </w:rPr>
        <w:br/>
      </w:r>
      <w:r w:rsidRPr="00A5088B">
        <w:rPr>
          <w:color w:val="000000" w:themeColor="text1"/>
          <w:rtl/>
        </w:rPr>
        <w:t>بحسب الجدول، يبلغ العدد 35 فقرة موضوعية، لكن لم يذكر المجموع النهائي بصورة واضحة</w:t>
      </w:r>
      <w:r w:rsidRPr="00A5088B">
        <w:rPr>
          <w:color w:val="000000" w:themeColor="text1"/>
        </w:rPr>
        <w:t>.</w:t>
      </w:r>
    </w:p>
    <w:p w14:paraId="445254BB"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السادسة والخمسون: عدم توحيد البيانات الشخصية</w:t>
      </w:r>
      <w:r w:rsidRPr="00A5088B">
        <w:rPr>
          <w:color w:val="000000" w:themeColor="text1"/>
        </w:rPr>
        <w:br/>
      </w:r>
      <w:r w:rsidRPr="00A5088B">
        <w:rPr>
          <w:color w:val="000000" w:themeColor="text1"/>
          <w:rtl/>
        </w:rPr>
        <w:t>وردت بيانات مثل العمر والنوع وسنوات الخبرة والوظيفة والمسمى الوظيفي، لكن لم تُعرض خيارات الإجابة أو طريقة ترميزها</w:t>
      </w:r>
      <w:r w:rsidRPr="00A5088B">
        <w:rPr>
          <w:color w:val="000000" w:themeColor="text1"/>
        </w:rPr>
        <w:t>.</w:t>
      </w:r>
    </w:p>
    <w:p w14:paraId="25895B9B"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السابعة والخمسون: وجود خطأ لغوي في البيانات الشخصية</w:t>
      </w:r>
      <w:r w:rsidRPr="00A5088B">
        <w:rPr>
          <w:color w:val="000000" w:themeColor="text1"/>
        </w:rPr>
        <w:br/>
      </w:r>
      <w:r w:rsidRPr="00A5088B">
        <w:rPr>
          <w:color w:val="000000" w:themeColor="text1"/>
          <w:rtl/>
        </w:rPr>
        <w:t>وردت عبارة «سنوات الخبرة – الوظيفية – المسمى الوظيفي» بصورة مضطربة. يجب إعادة صياغة القسم وعرض كل متغير بصورة مستقلة</w:t>
      </w:r>
      <w:r w:rsidRPr="00A5088B">
        <w:rPr>
          <w:color w:val="000000" w:themeColor="text1"/>
        </w:rPr>
        <w:t>.</w:t>
      </w:r>
    </w:p>
    <w:p w14:paraId="218C22B3"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الثامنة والخمسون: عدم إضافة بيانات وصفية مرتبطة بالشركات</w:t>
      </w:r>
      <w:r w:rsidRPr="00A5088B">
        <w:rPr>
          <w:color w:val="000000" w:themeColor="text1"/>
        </w:rPr>
        <w:br/>
      </w:r>
      <w:r w:rsidRPr="00A5088B">
        <w:rPr>
          <w:color w:val="000000" w:themeColor="text1"/>
          <w:rtl/>
        </w:rPr>
        <w:t>يفضل إضافة اسم القطاع الفرعي، وحجم الشركة، وموقعها، ونوع الإدارة، مع عدم جمع اسم الشركة إذا كان ذلك يهدد السرية</w:t>
      </w:r>
      <w:r w:rsidRPr="00A5088B">
        <w:rPr>
          <w:color w:val="000000" w:themeColor="text1"/>
        </w:rPr>
        <w:t>.</w:t>
      </w:r>
    </w:p>
    <w:p w14:paraId="181BFB41"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التاسعة والخمسون: عدم تحديد الفقرات العكسية</w:t>
      </w:r>
      <w:r w:rsidRPr="00A5088B">
        <w:rPr>
          <w:color w:val="000000" w:themeColor="text1"/>
        </w:rPr>
        <w:br/>
      </w:r>
      <w:r w:rsidRPr="00A5088B">
        <w:rPr>
          <w:color w:val="000000" w:themeColor="text1"/>
          <w:rtl/>
        </w:rPr>
        <w:t>يجب بيان ما إذا كانت هناك فقرات سالبة تحتاج إلى إعادة ترميز قبل التحليل</w:t>
      </w:r>
      <w:r w:rsidRPr="00A5088B">
        <w:rPr>
          <w:color w:val="000000" w:themeColor="text1"/>
        </w:rPr>
        <w:t>.</w:t>
      </w:r>
    </w:p>
    <w:p w14:paraId="0482B85F" w14:textId="77777777" w:rsidR="00891023" w:rsidRPr="00A5088B" w:rsidRDefault="00891023" w:rsidP="009E285B">
      <w:pPr>
        <w:pStyle w:val="NormalWeb"/>
        <w:bidi/>
        <w:spacing w:line="360" w:lineRule="auto"/>
        <w:rPr>
          <w:color w:val="000000" w:themeColor="text1"/>
        </w:rPr>
      </w:pPr>
      <w:proofErr w:type="spellStart"/>
      <w:r w:rsidRPr="00A5088B">
        <w:rPr>
          <w:rStyle w:val="Strong"/>
          <w:rFonts w:eastAsiaTheme="majorEastAsia"/>
          <w:color w:val="000000" w:themeColor="text1"/>
          <w:rtl/>
        </w:rPr>
        <w:t>الستون</w:t>
      </w:r>
      <w:proofErr w:type="spellEnd"/>
      <w:r w:rsidRPr="00A5088B">
        <w:rPr>
          <w:rStyle w:val="Strong"/>
          <w:rFonts w:eastAsiaTheme="majorEastAsia"/>
          <w:color w:val="000000" w:themeColor="text1"/>
          <w:rtl/>
        </w:rPr>
        <w:t>: عدم توضيح كيفية حساب الدرجات</w:t>
      </w:r>
      <w:r w:rsidRPr="00A5088B">
        <w:rPr>
          <w:color w:val="000000" w:themeColor="text1"/>
        </w:rPr>
        <w:br/>
      </w:r>
      <w:r w:rsidRPr="00A5088B">
        <w:rPr>
          <w:color w:val="000000" w:themeColor="text1"/>
          <w:rtl/>
        </w:rPr>
        <w:t>يجب بيان هل ستُحسب الدرجات باستخدام المتوسط أو المجموع، وكيف ستُعالج القيم المفقودة</w:t>
      </w:r>
      <w:r w:rsidRPr="00A5088B">
        <w:rPr>
          <w:color w:val="000000" w:themeColor="text1"/>
        </w:rPr>
        <w:t>.</w:t>
      </w:r>
    </w:p>
    <w:p w14:paraId="25E7BA21"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الحادية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xml:space="preserve">: خطأ في وصف مقياس </w:t>
      </w:r>
      <w:proofErr w:type="spellStart"/>
      <w:r w:rsidRPr="00A5088B">
        <w:rPr>
          <w:rStyle w:val="Strong"/>
          <w:rFonts w:eastAsiaTheme="majorEastAsia"/>
          <w:color w:val="000000" w:themeColor="text1"/>
          <w:rtl/>
        </w:rPr>
        <w:t>ليكرت</w:t>
      </w:r>
      <w:proofErr w:type="spellEnd"/>
      <w:r w:rsidRPr="00A5088B">
        <w:rPr>
          <w:color w:val="000000" w:themeColor="text1"/>
        </w:rPr>
        <w:br/>
      </w:r>
      <w:r w:rsidRPr="00A5088B">
        <w:rPr>
          <w:color w:val="000000" w:themeColor="text1"/>
          <w:rtl/>
        </w:rPr>
        <w:t xml:space="preserve">ورد أن كل فرضية أعطيت </w:t>
      </w:r>
      <w:proofErr w:type="gramStart"/>
      <w:r w:rsidRPr="00A5088B">
        <w:rPr>
          <w:color w:val="000000" w:themeColor="text1"/>
          <w:rtl/>
        </w:rPr>
        <w:t>خمس اختيارات</w:t>
      </w:r>
      <w:proofErr w:type="gramEnd"/>
      <w:r w:rsidRPr="00A5088B">
        <w:rPr>
          <w:color w:val="000000" w:themeColor="text1"/>
          <w:rtl/>
        </w:rPr>
        <w:t>، بينما الاختيارات تُمنح لكل فقرة، وليس لكل فرضية. يجب تصحيح الصياغة</w:t>
      </w:r>
      <w:r w:rsidRPr="00A5088B">
        <w:rPr>
          <w:color w:val="000000" w:themeColor="text1"/>
        </w:rPr>
        <w:t>.</w:t>
      </w:r>
    </w:p>
    <w:p w14:paraId="45DC3E82"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الثانية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xml:space="preserve">: عدم الاتساق في ترتيب درجات </w:t>
      </w:r>
      <w:proofErr w:type="spellStart"/>
      <w:r w:rsidRPr="00A5088B">
        <w:rPr>
          <w:rStyle w:val="Strong"/>
          <w:rFonts w:eastAsiaTheme="majorEastAsia"/>
          <w:color w:val="000000" w:themeColor="text1"/>
          <w:rtl/>
        </w:rPr>
        <w:t>ليكرت</w:t>
      </w:r>
      <w:proofErr w:type="spellEnd"/>
      <w:r w:rsidRPr="00A5088B">
        <w:rPr>
          <w:color w:val="000000" w:themeColor="text1"/>
        </w:rPr>
        <w:br/>
      </w:r>
      <w:r w:rsidRPr="00A5088B">
        <w:rPr>
          <w:color w:val="000000" w:themeColor="text1"/>
          <w:rtl/>
        </w:rPr>
        <w:t xml:space="preserve">يجب التأكد من أن «موافق بشدة» تقابل الدرجة 5 و«غير موافق بشدة» تقابل الدرجة 1 في النص والجدول </w:t>
      </w:r>
      <w:proofErr w:type="gramStart"/>
      <w:r w:rsidRPr="00A5088B">
        <w:rPr>
          <w:color w:val="000000" w:themeColor="text1"/>
          <w:rtl/>
        </w:rPr>
        <w:t>جميعهما</w:t>
      </w:r>
      <w:proofErr w:type="gramEnd"/>
      <w:r w:rsidRPr="00A5088B">
        <w:rPr>
          <w:color w:val="000000" w:themeColor="text1"/>
        </w:rPr>
        <w:t>.</w:t>
      </w:r>
    </w:p>
    <w:p w14:paraId="2D56D5BF"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الثالثة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xml:space="preserve">: كتابة اسم </w:t>
      </w:r>
      <w:proofErr w:type="spellStart"/>
      <w:r w:rsidRPr="00A5088B">
        <w:rPr>
          <w:rStyle w:val="Strong"/>
          <w:rFonts w:eastAsiaTheme="majorEastAsia"/>
          <w:color w:val="000000" w:themeColor="text1"/>
          <w:rtl/>
        </w:rPr>
        <w:t>ليكرت</w:t>
      </w:r>
      <w:proofErr w:type="spellEnd"/>
      <w:r w:rsidRPr="00A5088B">
        <w:rPr>
          <w:rStyle w:val="Strong"/>
          <w:rFonts w:eastAsiaTheme="majorEastAsia"/>
          <w:color w:val="000000" w:themeColor="text1"/>
          <w:rtl/>
        </w:rPr>
        <w:t xml:space="preserve"> بصورة خاطئة</w:t>
      </w:r>
      <w:r w:rsidRPr="00A5088B">
        <w:rPr>
          <w:color w:val="000000" w:themeColor="text1"/>
        </w:rPr>
        <w:br/>
      </w:r>
      <w:r w:rsidRPr="00A5088B">
        <w:rPr>
          <w:color w:val="000000" w:themeColor="text1"/>
          <w:rtl/>
        </w:rPr>
        <w:t>وردت صيغة «ليكر ث» و«ليكرث». يجب اعتماد الكتابة الصحيحة «</w:t>
      </w:r>
      <w:proofErr w:type="spellStart"/>
      <w:r w:rsidRPr="00A5088B">
        <w:rPr>
          <w:color w:val="000000" w:themeColor="text1"/>
          <w:rtl/>
        </w:rPr>
        <w:t>ليكرت</w:t>
      </w:r>
      <w:proofErr w:type="spellEnd"/>
      <w:r w:rsidRPr="00A5088B">
        <w:rPr>
          <w:color w:val="000000" w:themeColor="text1"/>
        </w:rPr>
        <w:t>».</w:t>
      </w:r>
    </w:p>
    <w:p w14:paraId="7752D607"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الرابعة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عدم تحديد الزمن المتوقع للإجابة</w:t>
      </w:r>
      <w:r w:rsidRPr="00A5088B">
        <w:rPr>
          <w:color w:val="000000" w:themeColor="text1"/>
        </w:rPr>
        <w:br/>
      </w:r>
      <w:r w:rsidRPr="00A5088B">
        <w:rPr>
          <w:color w:val="000000" w:themeColor="text1"/>
          <w:rtl/>
        </w:rPr>
        <w:t>يجب تحديد الوقت التقريبي الذي تحتاج إليه الاستبانة، وإدراجه في مقدمتها</w:t>
      </w:r>
      <w:r w:rsidRPr="00A5088B">
        <w:rPr>
          <w:color w:val="000000" w:themeColor="text1"/>
        </w:rPr>
        <w:t>.</w:t>
      </w:r>
    </w:p>
    <w:p w14:paraId="3FE9BBFC"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الخامسة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عدم تنفيذ اختبار قبلي واضح</w:t>
      </w:r>
      <w:r w:rsidRPr="00A5088B">
        <w:rPr>
          <w:color w:val="000000" w:themeColor="text1"/>
        </w:rPr>
        <w:br/>
      </w:r>
      <w:r w:rsidRPr="00A5088B">
        <w:rPr>
          <w:color w:val="000000" w:themeColor="text1"/>
          <w:rtl/>
        </w:rPr>
        <w:t>لم يذكر الفصل اختبار الاستبانة على عدد محدود من الموظفين للتأكد من وضوح الأسئلة ومدة الإجابة</w:t>
      </w:r>
      <w:r w:rsidRPr="00A5088B">
        <w:rPr>
          <w:color w:val="000000" w:themeColor="text1"/>
        </w:rPr>
        <w:t>.</w:t>
      </w:r>
    </w:p>
    <w:p w14:paraId="04DD8CB1"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السادسة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غياب أسئلة التصفية</w:t>
      </w:r>
      <w:r w:rsidRPr="00A5088B">
        <w:rPr>
          <w:color w:val="000000" w:themeColor="text1"/>
        </w:rPr>
        <w:br/>
      </w:r>
      <w:r w:rsidRPr="00A5088B">
        <w:rPr>
          <w:color w:val="000000" w:themeColor="text1"/>
          <w:rtl/>
        </w:rPr>
        <w:t>يجب إضافة أسئلة تتحقق من أن المشارك يعمل فعلياً في شركة تأمين مرخصة وفي إدارة مرتبطة بموضوع الدراسة</w:t>
      </w:r>
      <w:r w:rsidRPr="00A5088B">
        <w:rPr>
          <w:color w:val="000000" w:themeColor="text1"/>
        </w:rPr>
        <w:t>.</w:t>
      </w:r>
    </w:p>
    <w:p w14:paraId="426B031F" w14:textId="77777777" w:rsidR="00891023" w:rsidRPr="00A5088B" w:rsidRDefault="00891023" w:rsidP="009E285B">
      <w:pPr>
        <w:pStyle w:val="Heading2"/>
        <w:bidi/>
        <w:spacing w:line="360" w:lineRule="auto"/>
        <w:rPr>
          <w:rFonts w:eastAsia="Times New Roman"/>
          <w:color w:val="000000" w:themeColor="text1"/>
        </w:rPr>
      </w:pPr>
      <w:r w:rsidRPr="00A5088B">
        <w:rPr>
          <w:rFonts w:eastAsia="Times New Roman"/>
          <w:color w:val="000000" w:themeColor="text1"/>
          <w:rtl/>
        </w:rPr>
        <w:lastRenderedPageBreak/>
        <w:t>رابعاً: نواقص الصدق والثبات</w:t>
      </w:r>
    </w:p>
    <w:p w14:paraId="1E63852B" w14:textId="77777777" w:rsidR="00891023" w:rsidRPr="00A5088B" w:rsidRDefault="00891023" w:rsidP="009E285B">
      <w:pPr>
        <w:pStyle w:val="NormalWeb"/>
        <w:bidi/>
        <w:spacing w:line="360" w:lineRule="auto"/>
        <w:rPr>
          <w:rFonts w:eastAsiaTheme="minorHAnsi"/>
          <w:color w:val="000000" w:themeColor="text1"/>
        </w:rPr>
      </w:pPr>
      <w:r w:rsidRPr="00A5088B">
        <w:rPr>
          <w:rStyle w:val="Strong"/>
          <w:rFonts w:eastAsiaTheme="majorEastAsia"/>
          <w:color w:val="000000" w:themeColor="text1"/>
          <w:rtl/>
        </w:rPr>
        <w:t xml:space="preserve">السابعة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عدم ذكر عدد المحكمين</w:t>
      </w:r>
      <w:r w:rsidRPr="00A5088B">
        <w:rPr>
          <w:color w:val="000000" w:themeColor="text1"/>
        </w:rPr>
        <w:br/>
      </w:r>
      <w:r w:rsidRPr="00A5088B">
        <w:rPr>
          <w:color w:val="000000" w:themeColor="text1"/>
          <w:rtl/>
        </w:rPr>
        <w:t>ذُكرت مجموعة من المتخصصين دون تحديد عددهم أو أسمائهم أو تخصصاتهم. يجب ذكر العدد والخبرات ذات الصلة</w:t>
      </w:r>
      <w:r w:rsidRPr="00A5088B">
        <w:rPr>
          <w:color w:val="000000" w:themeColor="text1"/>
        </w:rPr>
        <w:t>.</w:t>
      </w:r>
    </w:p>
    <w:p w14:paraId="6AF89258"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الثامنة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عدم توضيح معايير اختيار المحكمين</w:t>
      </w:r>
      <w:r w:rsidRPr="00A5088B">
        <w:rPr>
          <w:color w:val="000000" w:themeColor="text1"/>
        </w:rPr>
        <w:br/>
      </w:r>
      <w:r w:rsidRPr="00A5088B">
        <w:rPr>
          <w:color w:val="000000" w:themeColor="text1"/>
          <w:rtl/>
        </w:rPr>
        <w:t>يجب بيان المؤهلات العلمية والمهنية المطلوبة للمحكمين في مجالات الإدارة والتأمين وتقنية المعلومات والمنهجية</w:t>
      </w:r>
      <w:r w:rsidRPr="00A5088B">
        <w:rPr>
          <w:color w:val="000000" w:themeColor="text1"/>
        </w:rPr>
        <w:t>.</w:t>
      </w:r>
    </w:p>
    <w:p w14:paraId="5D131DFF"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 xml:space="preserve">التاسعة </w:t>
      </w:r>
      <w:proofErr w:type="spellStart"/>
      <w:r w:rsidRPr="00A5088B">
        <w:rPr>
          <w:rStyle w:val="Strong"/>
          <w:rFonts w:eastAsiaTheme="majorEastAsia"/>
          <w:color w:val="000000" w:themeColor="text1"/>
          <w:rtl/>
        </w:rPr>
        <w:t>والستون</w:t>
      </w:r>
      <w:proofErr w:type="spellEnd"/>
      <w:r w:rsidRPr="00A5088B">
        <w:rPr>
          <w:rStyle w:val="Strong"/>
          <w:rFonts w:eastAsiaTheme="majorEastAsia"/>
          <w:color w:val="000000" w:themeColor="text1"/>
          <w:rtl/>
        </w:rPr>
        <w:t>: عدم إرفاق نموذج التحكيم</w:t>
      </w:r>
      <w:r w:rsidRPr="00A5088B">
        <w:rPr>
          <w:color w:val="000000" w:themeColor="text1"/>
        </w:rPr>
        <w:br/>
      </w:r>
      <w:r w:rsidRPr="00A5088B">
        <w:rPr>
          <w:color w:val="000000" w:themeColor="text1"/>
          <w:rtl/>
        </w:rPr>
        <w:t>يجب إرفاق نموذج يوضح تقييم وضوح الفقرة وملاءمتها وسلامتها اللغوية وانتماءها للقسم</w:t>
      </w:r>
      <w:r w:rsidRPr="00A5088B">
        <w:rPr>
          <w:color w:val="000000" w:themeColor="text1"/>
        </w:rPr>
        <w:t>.</w:t>
      </w:r>
    </w:p>
    <w:p w14:paraId="4172AC5C"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السبعون: عدم توضيح حساب نسبة الاتفاق البالغة 85</w:t>
      </w:r>
      <w:r w:rsidRPr="00A5088B">
        <w:rPr>
          <w:rStyle w:val="Strong"/>
          <w:rFonts w:eastAsiaTheme="majorEastAsia"/>
          <w:color w:val="000000" w:themeColor="text1"/>
        </w:rPr>
        <w:t>%</w:t>
      </w:r>
      <w:r w:rsidRPr="00A5088B">
        <w:rPr>
          <w:color w:val="000000" w:themeColor="text1"/>
        </w:rPr>
        <w:br/>
      </w:r>
      <w:r w:rsidRPr="00A5088B">
        <w:rPr>
          <w:color w:val="000000" w:themeColor="text1"/>
          <w:rtl/>
        </w:rPr>
        <w:t>يجب بيان المعادلة المستخدمة، وطريقة التعامل مع الفقرات التي تقل نسبة الاتفاق عليها عن الحد المحدد</w:t>
      </w:r>
      <w:r w:rsidRPr="00A5088B">
        <w:rPr>
          <w:color w:val="000000" w:themeColor="text1"/>
        </w:rPr>
        <w:t>.</w:t>
      </w:r>
    </w:p>
    <w:p w14:paraId="674B0E66"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الحادية والسبعون: الخلط بين صدق المحتوى والاتساق الداخلي</w:t>
      </w:r>
      <w:r w:rsidRPr="00A5088B">
        <w:rPr>
          <w:color w:val="000000" w:themeColor="text1"/>
        </w:rPr>
        <w:br/>
      </w:r>
      <w:r w:rsidRPr="00A5088B">
        <w:rPr>
          <w:color w:val="000000" w:themeColor="text1"/>
          <w:rtl/>
        </w:rPr>
        <w:t>حساب ارتباط الفقرة بالدرجة الكلية يمثل دليلاً على الاتساق الداخلي، وليس صدق المحتوى. يجب تصحيح المصطلحات</w:t>
      </w:r>
      <w:r w:rsidRPr="00A5088B">
        <w:rPr>
          <w:color w:val="000000" w:themeColor="text1"/>
        </w:rPr>
        <w:t>.</w:t>
      </w:r>
    </w:p>
    <w:p w14:paraId="45745C1C"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والسبعون: عدم ذكر الدراسة الاستطلاعية</w:t>
      </w:r>
      <w:r w:rsidRPr="00A5088B">
        <w:rPr>
          <w:color w:val="000000" w:themeColor="text1"/>
        </w:rPr>
        <w:br/>
      </w:r>
      <w:r w:rsidRPr="00A5088B">
        <w:rPr>
          <w:color w:val="000000" w:themeColor="text1"/>
          <w:rtl/>
        </w:rPr>
        <w:t>يجب تحديد عينة استطلاعية تُستخدم لفحص وضوح الاستبانة والاتساق الأولي قبل التطبيق الأساسي</w:t>
      </w:r>
      <w:r w:rsidRPr="00A5088B">
        <w:rPr>
          <w:color w:val="000000" w:themeColor="text1"/>
        </w:rPr>
        <w:t>.</w:t>
      </w:r>
    </w:p>
    <w:p w14:paraId="1BFE7E15"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والسبعون: عدم تحديد حجم العينة الاستطلاعية</w:t>
      </w:r>
      <w:r w:rsidRPr="00A5088B">
        <w:rPr>
          <w:color w:val="000000" w:themeColor="text1"/>
        </w:rPr>
        <w:br/>
      </w:r>
      <w:r w:rsidRPr="00A5088B">
        <w:rPr>
          <w:color w:val="000000" w:themeColor="text1"/>
          <w:rtl/>
        </w:rPr>
        <w:t>يجب ذكر العدد وطريقة الاختيار وتوزيع المشاركين على الإدارات المستهدفة</w:t>
      </w:r>
      <w:r w:rsidRPr="00A5088B">
        <w:rPr>
          <w:color w:val="000000" w:themeColor="text1"/>
        </w:rPr>
        <w:t>.</w:t>
      </w:r>
    </w:p>
    <w:p w14:paraId="0D37B24A"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والسبعون: عدم بيان استبعاد العينة الاستطلاعية</w:t>
      </w:r>
      <w:r w:rsidRPr="00A5088B">
        <w:rPr>
          <w:color w:val="000000" w:themeColor="text1"/>
        </w:rPr>
        <w:br/>
      </w:r>
      <w:r w:rsidRPr="00A5088B">
        <w:rPr>
          <w:color w:val="000000" w:themeColor="text1"/>
          <w:rtl/>
        </w:rPr>
        <w:t>يجب توضيح ما إذا كان أفراد الدراسة الاستطلاعية سيستبعدون من العينة الأساسية</w:t>
      </w:r>
      <w:r w:rsidRPr="00A5088B">
        <w:rPr>
          <w:color w:val="000000" w:themeColor="text1"/>
        </w:rPr>
        <w:t>.</w:t>
      </w:r>
    </w:p>
    <w:p w14:paraId="2CBF7F60" w14:textId="77777777" w:rsidR="00891023" w:rsidRPr="00A5088B" w:rsidRDefault="00891023"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والسبعون: عدم تحديد معايير قبول الفقرات</w:t>
      </w:r>
      <w:r w:rsidRPr="00A5088B">
        <w:rPr>
          <w:color w:val="000000" w:themeColor="text1"/>
        </w:rPr>
        <w:br/>
      </w:r>
      <w:r w:rsidRPr="00A5088B">
        <w:rPr>
          <w:color w:val="000000" w:themeColor="text1"/>
          <w:rtl/>
        </w:rPr>
        <w:t>يجب تحديد الحد الأدنى المقبول لارتباط الفقرة، والإجراء المتبع عند ظهور فقرة ضعيفة</w:t>
      </w:r>
      <w:r w:rsidRPr="00A5088B">
        <w:rPr>
          <w:color w:val="000000" w:themeColor="text1"/>
        </w:rPr>
        <w:t>.</w:t>
      </w:r>
    </w:p>
    <w:p w14:paraId="7EF0CABD"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السادسة والسبعون: وصف الثبات غير مكتمل</w:t>
      </w:r>
      <w:r w:rsidRPr="00A5088B">
        <w:rPr>
          <w:color w:val="000000" w:themeColor="text1"/>
        </w:rPr>
        <w:br/>
      </w:r>
      <w:r w:rsidRPr="00A5088B">
        <w:rPr>
          <w:color w:val="000000" w:themeColor="text1"/>
          <w:rtl/>
        </w:rPr>
        <w:t>وردت عبارة «حساب معامل الارتباط بين نتائج التطبيق العملي» دون توضيح هل المقصود إعادة الاختبار أم التجزئة النصفية أم إجراء آخر</w:t>
      </w:r>
      <w:r w:rsidRPr="00A5088B">
        <w:rPr>
          <w:color w:val="000000" w:themeColor="text1"/>
        </w:rPr>
        <w:t>.</w:t>
      </w:r>
    </w:p>
    <w:p w14:paraId="769EAF2A"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السابعة والسبعون: عدم توضيح طريقة إعادة الاختبار</w:t>
      </w:r>
      <w:r w:rsidRPr="00A5088B">
        <w:rPr>
          <w:color w:val="000000" w:themeColor="text1"/>
        </w:rPr>
        <w:br/>
      </w:r>
      <w:r w:rsidRPr="00A5088B">
        <w:rPr>
          <w:color w:val="000000" w:themeColor="text1"/>
          <w:rtl/>
        </w:rPr>
        <w:t>إذا كان المقصود</w:t>
      </w:r>
      <w:r w:rsidRPr="00A5088B">
        <w:rPr>
          <w:color w:val="000000" w:themeColor="text1"/>
        </w:rPr>
        <w:t xml:space="preserve"> Test–Retest</w:t>
      </w:r>
      <w:r w:rsidRPr="00A5088B">
        <w:rPr>
          <w:color w:val="000000" w:themeColor="text1"/>
          <w:rtl/>
        </w:rPr>
        <w:t>، فيجب تحديد الفاصل الزمني بين التطبيقين وحجم العينة المستخدمة</w:t>
      </w:r>
      <w:r w:rsidRPr="00A5088B">
        <w:rPr>
          <w:color w:val="000000" w:themeColor="text1"/>
        </w:rPr>
        <w:t>.</w:t>
      </w:r>
    </w:p>
    <w:p w14:paraId="40B2DDDC"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 xml:space="preserve">الثامنة والسبعون: الاكتفاء بألفا </w:t>
      </w:r>
      <w:proofErr w:type="spellStart"/>
      <w:r w:rsidRPr="00A5088B">
        <w:rPr>
          <w:rStyle w:val="Strong"/>
          <w:rFonts w:eastAsiaTheme="majorEastAsia"/>
          <w:color w:val="000000" w:themeColor="text1"/>
          <w:rtl/>
        </w:rPr>
        <w:t>كرونباخ</w:t>
      </w:r>
      <w:proofErr w:type="spellEnd"/>
      <w:r w:rsidRPr="00A5088B">
        <w:rPr>
          <w:rStyle w:val="Strong"/>
          <w:rFonts w:eastAsiaTheme="majorEastAsia"/>
          <w:color w:val="000000" w:themeColor="text1"/>
          <w:rtl/>
        </w:rPr>
        <w:t xml:space="preserve"> دون نتائج فعلية</w:t>
      </w:r>
      <w:r w:rsidRPr="00A5088B">
        <w:rPr>
          <w:color w:val="000000" w:themeColor="text1"/>
        </w:rPr>
        <w:br/>
      </w:r>
      <w:r w:rsidRPr="00A5088B">
        <w:rPr>
          <w:color w:val="000000" w:themeColor="text1"/>
          <w:rtl/>
        </w:rPr>
        <w:t>إذا كانت الدراسة الاستطلاعية قد أُجريت، فيجب عرض قيم ألفا لكل قسم. وإذا لم تُجر بعد، فيجب الإبقاء على صيغة المستقبل دون عرض نتائج</w:t>
      </w:r>
      <w:r w:rsidRPr="00A5088B">
        <w:rPr>
          <w:color w:val="000000" w:themeColor="text1"/>
        </w:rPr>
        <w:t>.</w:t>
      </w:r>
    </w:p>
    <w:p w14:paraId="28F627A6"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التاسعة والسبعون: عدم عرض جداول الارتباط والثبات</w:t>
      </w:r>
      <w:r w:rsidRPr="00A5088B">
        <w:rPr>
          <w:color w:val="000000" w:themeColor="text1"/>
        </w:rPr>
        <w:br/>
      </w:r>
      <w:r w:rsidRPr="00A5088B">
        <w:rPr>
          <w:color w:val="000000" w:themeColor="text1"/>
          <w:rtl/>
        </w:rPr>
        <w:t xml:space="preserve">يجب إضافة جداول تبين ارتباطات الفقرات والدرجات وقيم ألفا </w:t>
      </w:r>
      <w:proofErr w:type="spellStart"/>
      <w:r w:rsidRPr="00A5088B">
        <w:rPr>
          <w:color w:val="000000" w:themeColor="text1"/>
          <w:rtl/>
        </w:rPr>
        <w:t>كرونباخ</w:t>
      </w:r>
      <w:proofErr w:type="spellEnd"/>
      <w:r w:rsidRPr="00A5088B">
        <w:rPr>
          <w:color w:val="000000" w:themeColor="text1"/>
          <w:rtl/>
        </w:rPr>
        <w:t xml:space="preserve"> لكل قسم</w:t>
      </w:r>
      <w:r w:rsidRPr="00A5088B">
        <w:rPr>
          <w:color w:val="000000" w:themeColor="text1"/>
        </w:rPr>
        <w:t>.</w:t>
      </w:r>
    </w:p>
    <w:p w14:paraId="065BE645"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الثمانون: عدم توضيح القرارات الناتجة عن التحكيم والاستطلاع</w:t>
      </w:r>
      <w:r w:rsidRPr="00A5088B">
        <w:rPr>
          <w:color w:val="000000" w:themeColor="text1"/>
        </w:rPr>
        <w:br/>
      </w:r>
      <w:r w:rsidRPr="00A5088B">
        <w:rPr>
          <w:color w:val="000000" w:themeColor="text1"/>
          <w:rtl/>
        </w:rPr>
        <w:t>يجب بيان الفقرات التي حُذفت أو عُدلت أو أضيفت، وأسباب كل قرار</w:t>
      </w:r>
      <w:r w:rsidRPr="00A5088B">
        <w:rPr>
          <w:color w:val="000000" w:themeColor="text1"/>
        </w:rPr>
        <w:t>.</w:t>
      </w:r>
    </w:p>
    <w:p w14:paraId="0E9DAC2D" w14:textId="77777777" w:rsidR="00A5088B" w:rsidRPr="00A5088B" w:rsidRDefault="00A5088B" w:rsidP="009E285B">
      <w:pPr>
        <w:pStyle w:val="Heading2"/>
        <w:bidi/>
        <w:spacing w:line="360" w:lineRule="auto"/>
        <w:rPr>
          <w:rFonts w:eastAsia="Times New Roman"/>
          <w:color w:val="000000" w:themeColor="text1"/>
        </w:rPr>
      </w:pPr>
      <w:r w:rsidRPr="00A5088B">
        <w:rPr>
          <w:rFonts w:eastAsia="Times New Roman"/>
          <w:color w:val="000000" w:themeColor="text1"/>
          <w:rtl/>
        </w:rPr>
        <w:t>خامساً: نواقص المعالجة والتحليل الإحصائي</w:t>
      </w:r>
    </w:p>
    <w:p w14:paraId="51E2FC49" w14:textId="77777777" w:rsidR="00A5088B" w:rsidRPr="00A5088B" w:rsidRDefault="00A5088B" w:rsidP="009E285B">
      <w:pPr>
        <w:pStyle w:val="NormalWeb"/>
        <w:bidi/>
        <w:spacing w:line="360" w:lineRule="auto"/>
        <w:rPr>
          <w:rFonts w:eastAsiaTheme="minorHAnsi"/>
          <w:color w:val="000000" w:themeColor="text1"/>
        </w:rPr>
      </w:pPr>
      <w:r w:rsidRPr="00A5088B">
        <w:rPr>
          <w:rStyle w:val="Strong"/>
          <w:rFonts w:eastAsiaTheme="majorEastAsia"/>
          <w:color w:val="000000" w:themeColor="text1"/>
          <w:rtl/>
        </w:rPr>
        <w:t>الحادية والثمانون: عدم ذكر إصدار برنامج</w:t>
      </w:r>
      <w:r w:rsidRPr="00A5088B">
        <w:rPr>
          <w:rStyle w:val="Strong"/>
          <w:rFonts w:eastAsiaTheme="majorEastAsia"/>
          <w:color w:val="000000" w:themeColor="text1"/>
        </w:rPr>
        <w:t xml:space="preserve"> SPSS</w:t>
      </w:r>
      <w:r w:rsidRPr="00A5088B">
        <w:rPr>
          <w:color w:val="000000" w:themeColor="text1"/>
        </w:rPr>
        <w:br/>
      </w:r>
      <w:r w:rsidRPr="00A5088B">
        <w:rPr>
          <w:color w:val="000000" w:themeColor="text1"/>
          <w:rtl/>
        </w:rPr>
        <w:t>يجب تحديد الإصدار المستخدم في التحليل</w:t>
      </w:r>
      <w:r w:rsidRPr="00A5088B">
        <w:rPr>
          <w:color w:val="000000" w:themeColor="text1"/>
        </w:rPr>
        <w:t>.</w:t>
      </w:r>
    </w:p>
    <w:p w14:paraId="0BF5505E"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والثمانون: عدم توضيح مراحل إدخال وترميز البيانات</w:t>
      </w:r>
      <w:r w:rsidRPr="00A5088B">
        <w:rPr>
          <w:color w:val="000000" w:themeColor="text1"/>
        </w:rPr>
        <w:br/>
      </w:r>
      <w:r w:rsidRPr="00A5088B">
        <w:rPr>
          <w:color w:val="000000" w:themeColor="text1"/>
          <w:rtl/>
        </w:rPr>
        <w:t>يجب إعداد دليل ترميز يوضح رموز الأسئلة وقيم الإجابات والمتغيرات الشخصية</w:t>
      </w:r>
      <w:r w:rsidRPr="00A5088B">
        <w:rPr>
          <w:color w:val="000000" w:themeColor="text1"/>
        </w:rPr>
        <w:t>.</w:t>
      </w:r>
    </w:p>
    <w:p w14:paraId="5D18E370"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والثمانون: غياب معالجة البيانات المفقودة</w:t>
      </w:r>
      <w:r w:rsidRPr="00A5088B">
        <w:rPr>
          <w:color w:val="000000" w:themeColor="text1"/>
        </w:rPr>
        <w:br/>
      </w:r>
      <w:r w:rsidRPr="00A5088B">
        <w:rPr>
          <w:color w:val="000000" w:themeColor="text1"/>
          <w:rtl/>
        </w:rPr>
        <w:t>يجب تحديد نسبة القيم المفقودة المقبولة، ومتى تستبعد الاستبانة، وكيف يعالج النقص المحدود</w:t>
      </w:r>
      <w:r w:rsidRPr="00A5088B">
        <w:rPr>
          <w:color w:val="000000" w:themeColor="text1"/>
        </w:rPr>
        <w:t>.</w:t>
      </w:r>
    </w:p>
    <w:p w14:paraId="1EDA2FDC"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والثمانون: عدم فحص القيم المتطرفة</w:t>
      </w:r>
      <w:r w:rsidRPr="00A5088B">
        <w:rPr>
          <w:color w:val="000000" w:themeColor="text1"/>
        </w:rPr>
        <w:br/>
      </w:r>
      <w:r w:rsidRPr="00A5088B">
        <w:rPr>
          <w:color w:val="000000" w:themeColor="text1"/>
          <w:rtl/>
        </w:rPr>
        <w:t>يجب إضافة أساليب اكتشاف القيم المتطرفة والاستجابات المؤثرة قبل التحليل</w:t>
      </w:r>
      <w:r w:rsidRPr="00A5088B">
        <w:rPr>
          <w:color w:val="000000" w:themeColor="text1"/>
        </w:rPr>
        <w:t>.</w:t>
      </w:r>
    </w:p>
    <w:p w14:paraId="336ABB2D"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والثمانون: عدم فحص الاستجابات غير الجادة</w:t>
      </w:r>
      <w:r w:rsidRPr="00A5088B">
        <w:rPr>
          <w:color w:val="000000" w:themeColor="text1"/>
        </w:rPr>
        <w:br/>
      </w:r>
      <w:r w:rsidRPr="00A5088B">
        <w:rPr>
          <w:color w:val="000000" w:themeColor="text1"/>
          <w:rtl/>
        </w:rPr>
        <w:t>يجب فحص زمن الإجابة، والنمط الموحد، والتناقض بين الإجابات، والتكرار المحتمل</w:t>
      </w:r>
      <w:r w:rsidRPr="00A5088B">
        <w:rPr>
          <w:color w:val="000000" w:themeColor="text1"/>
        </w:rPr>
        <w:t>.</w:t>
      </w:r>
    </w:p>
    <w:p w14:paraId="209B864A"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السادسة والثمانون: عدم ذكر فحص افتراضات الانحدار</w:t>
      </w:r>
      <w:r w:rsidRPr="00A5088B">
        <w:rPr>
          <w:color w:val="000000" w:themeColor="text1"/>
        </w:rPr>
        <w:br/>
      </w:r>
      <w:r w:rsidRPr="00A5088B">
        <w:rPr>
          <w:color w:val="000000" w:themeColor="text1"/>
          <w:rtl/>
        </w:rPr>
        <w:t>يجب توضيح فحص التوزيع الطبيعي، وخطية العلاقات، واستقلال الأخطاء، وتجانس التباين، والتعدد الخطي</w:t>
      </w:r>
      <w:r w:rsidRPr="00A5088B">
        <w:rPr>
          <w:color w:val="000000" w:themeColor="text1"/>
        </w:rPr>
        <w:t>.</w:t>
      </w:r>
    </w:p>
    <w:p w14:paraId="097B8FAA"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السابعة والثمانون: عدم تحديد حدود</w:t>
      </w:r>
      <w:r w:rsidRPr="00A5088B">
        <w:rPr>
          <w:rStyle w:val="Strong"/>
          <w:rFonts w:eastAsiaTheme="majorEastAsia"/>
          <w:color w:val="000000" w:themeColor="text1"/>
        </w:rPr>
        <w:t xml:space="preserve"> VIF </w:t>
      </w:r>
      <w:r w:rsidRPr="00A5088B">
        <w:rPr>
          <w:rStyle w:val="Strong"/>
          <w:rFonts w:eastAsiaTheme="majorEastAsia"/>
          <w:color w:val="000000" w:themeColor="text1"/>
          <w:rtl/>
        </w:rPr>
        <w:t>و</w:t>
      </w:r>
      <w:r w:rsidRPr="00A5088B">
        <w:rPr>
          <w:rStyle w:val="Strong"/>
          <w:rFonts w:eastAsiaTheme="majorEastAsia"/>
          <w:color w:val="000000" w:themeColor="text1"/>
        </w:rPr>
        <w:t>Tolerance</w:t>
      </w:r>
      <w:r w:rsidRPr="00A5088B">
        <w:rPr>
          <w:color w:val="000000" w:themeColor="text1"/>
        </w:rPr>
        <w:br/>
      </w:r>
      <w:r w:rsidRPr="00A5088B">
        <w:rPr>
          <w:color w:val="000000" w:themeColor="text1"/>
          <w:rtl/>
        </w:rPr>
        <w:t>عند استخدام الانحدار المتعدد، يجب تحديد القيم المقبولة لهذه المؤشرات</w:t>
      </w:r>
      <w:r w:rsidRPr="00A5088B">
        <w:rPr>
          <w:color w:val="000000" w:themeColor="text1"/>
        </w:rPr>
        <w:t>.</w:t>
      </w:r>
    </w:p>
    <w:p w14:paraId="64432ADF"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الثامنة والثمانون: استخدام الارتباط لفحص التأثير</w:t>
      </w:r>
      <w:r w:rsidRPr="00A5088B">
        <w:rPr>
          <w:color w:val="000000" w:themeColor="text1"/>
        </w:rPr>
        <w:br/>
      </w:r>
      <w:r w:rsidRPr="00A5088B">
        <w:rPr>
          <w:color w:val="000000" w:themeColor="text1"/>
          <w:rtl/>
        </w:rPr>
        <w:t>معامل الارتباط يقيس قوة واتجاه العلاقة ولا يثبت التأثير. يجب استخدام وصف إحصائي دقيق لوظيفة الاختبار</w:t>
      </w:r>
      <w:r w:rsidRPr="00A5088B">
        <w:rPr>
          <w:color w:val="000000" w:themeColor="text1"/>
        </w:rPr>
        <w:t>.</w:t>
      </w:r>
    </w:p>
    <w:p w14:paraId="7FD09D1A"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التاسعة والثمانون: عدم توضيح أي نموذج انحدار سيستخدم</w:t>
      </w:r>
      <w:r w:rsidRPr="00A5088B">
        <w:rPr>
          <w:color w:val="000000" w:themeColor="text1"/>
        </w:rPr>
        <w:br/>
      </w:r>
      <w:r w:rsidRPr="00A5088B">
        <w:rPr>
          <w:color w:val="000000" w:themeColor="text1"/>
          <w:rtl/>
        </w:rPr>
        <w:t>يجب بيان المتغيرات التي تدخل في الانحدار البسيط والمتعدد، وطريقة إدخالها في النموذج</w:t>
      </w:r>
      <w:r w:rsidRPr="00A5088B">
        <w:rPr>
          <w:color w:val="000000" w:themeColor="text1"/>
        </w:rPr>
        <w:t>.</w:t>
      </w:r>
    </w:p>
    <w:p w14:paraId="0127E476"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التسعون: عدم تحديد مستوى الدلالة الإحصائية</w:t>
      </w:r>
      <w:r w:rsidRPr="00A5088B">
        <w:rPr>
          <w:color w:val="000000" w:themeColor="text1"/>
        </w:rPr>
        <w:br/>
      </w:r>
      <w:r w:rsidRPr="00A5088B">
        <w:rPr>
          <w:color w:val="000000" w:themeColor="text1"/>
          <w:rtl/>
        </w:rPr>
        <w:t>يجب النص صراحة على مستوى الدلالة المعتمد، مثل 0.05</w:t>
      </w:r>
      <w:r w:rsidRPr="00A5088B">
        <w:rPr>
          <w:color w:val="000000" w:themeColor="text1"/>
        </w:rPr>
        <w:t>.</w:t>
      </w:r>
    </w:p>
    <w:p w14:paraId="727439A3"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الحادية والتسعون: عدم تحديد فترات الثقة</w:t>
      </w:r>
      <w:r w:rsidRPr="00A5088B">
        <w:rPr>
          <w:color w:val="000000" w:themeColor="text1"/>
        </w:rPr>
        <w:br/>
      </w:r>
      <w:r w:rsidRPr="00A5088B">
        <w:rPr>
          <w:color w:val="000000" w:themeColor="text1"/>
          <w:rtl/>
        </w:rPr>
        <w:t>يجب تحديد مستوى فترات الثقة المستخدمة عند عرض معاملات الانحدار والتقديرات</w:t>
      </w:r>
      <w:r w:rsidRPr="00A5088B">
        <w:rPr>
          <w:color w:val="000000" w:themeColor="text1"/>
        </w:rPr>
        <w:t>.</w:t>
      </w:r>
    </w:p>
    <w:p w14:paraId="6FD419F3"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الثانية والتسعون: عدم ربط اختبار</w:t>
      </w:r>
      <w:r w:rsidRPr="00A5088B">
        <w:rPr>
          <w:rStyle w:val="Strong"/>
          <w:rFonts w:eastAsiaTheme="majorEastAsia"/>
          <w:color w:val="000000" w:themeColor="text1"/>
        </w:rPr>
        <w:t xml:space="preserve"> T </w:t>
      </w:r>
      <w:r w:rsidRPr="00A5088B">
        <w:rPr>
          <w:rStyle w:val="Strong"/>
          <w:rFonts w:eastAsiaTheme="majorEastAsia"/>
          <w:color w:val="000000" w:themeColor="text1"/>
          <w:rtl/>
        </w:rPr>
        <w:t>و</w:t>
      </w:r>
      <w:r w:rsidRPr="00A5088B">
        <w:rPr>
          <w:rStyle w:val="Strong"/>
          <w:rFonts w:eastAsiaTheme="majorEastAsia"/>
          <w:color w:val="000000" w:themeColor="text1"/>
        </w:rPr>
        <w:t xml:space="preserve">ANOVA </w:t>
      </w:r>
      <w:r w:rsidRPr="00A5088B">
        <w:rPr>
          <w:rStyle w:val="Strong"/>
          <w:rFonts w:eastAsiaTheme="majorEastAsia"/>
          <w:color w:val="000000" w:themeColor="text1"/>
          <w:rtl/>
        </w:rPr>
        <w:t>بالبيانات الوصفية</w:t>
      </w:r>
      <w:r w:rsidRPr="00A5088B">
        <w:rPr>
          <w:color w:val="000000" w:themeColor="text1"/>
        </w:rPr>
        <w:br/>
      </w:r>
      <w:r w:rsidRPr="00A5088B">
        <w:rPr>
          <w:color w:val="000000" w:themeColor="text1"/>
          <w:rtl/>
        </w:rPr>
        <w:t>لم يوضح الفصل المجموعات الفعلية التي ستتم المقارنة بينها. يجب تحديدها أو حذف الاختبارات غير اللازمة</w:t>
      </w:r>
      <w:r w:rsidRPr="00A5088B">
        <w:rPr>
          <w:color w:val="000000" w:themeColor="text1"/>
        </w:rPr>
        <w:t>.</w:t>
      </w:r>
    </w:p>
    <w:p w14:paraId="36F46EB2"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الثالثة والتسعون: استخدام الأطراف الأول والثاني والثالث بوصفها مجموعات للمقارنة غير واضح</w:t>
      </w:r>
      <w:r w:rsidRPr="00A5088B">
        <w:rPr>
          <w:color w:val="000000" w:themeColor="text1"/>
        </w:rPr>
        <w:br/>
      </w:r>
      <w:r w:rsidRPr="00A5088B">
        <w:rPr>
          <w:color w:val="000000" w:themeColor="text1"/>
          <w:rtl/>
        </w:rPr>
        <w:t>هذه الفئات وردت في أقسام الاستبانة وليست بالضرورة مجموعات مستقلة من المشاركين. يجب عدم استخدامها في اختبار الفروق دون تعريف مجموعة العضوية لكل مشارك</w:t>
      </w:r>
      <w:r w:rsidRPr="00A5088B">
        <w:rPr>
          <w:color w:val="000000" w:themeColor="text1"/>
        </w:rPr>
        <w:t>.</w:t>
      </w:r>
    </w:p>
    <w:p w14:paraId="5A478066"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الرابعة والتسعون: عدم توضيح اختبارات المقارنات البعدية</w:t>
      </w:r>
      <w:r w:rsidRPr="00A5088B">
        <w:rPr>
          <w:color w:val="000000" w:themeColor="text1"/>
        </w:rPr>
        <w:br/>
      </w:r>
      <w:r w:rsidRPr="00A5088B">
        <w:rPr>
          <w:color w:val="000000" w:themeColor="text1"/>
          <w:rtl/>
        </w:rPr>
        <w:t>عند استخدام</w:t>
      </w:r>
      <w:r w:rsidRPr="00A5088B">
        <w:rPr>
          <w:color w:val="000000" w:themeColor="text1"/>
        </w:rPr>
        <w:t xml:space="preserve"> ANOVA </w:t>
      </w:r>
      <w:r w:rsidRPr="00A5088B">
        <w:rPr>
          <w:color w:val="000000" w:themeColor="text1"/>
          <w:rtl/>
        </w:rPr>
        <w:t>يجب تحديد الاختبار اللاحق المستخدم إذا ظهرت فروق ذات دلالة</w:t>
      </w:r>
      <w:r w:rsidRPr="00A5088B">
        <w:rPr>
          <w:color w:val="000000" w:themeColor="text1"/>
        </w:rPr>
        <w:t>.</w:t>
      </w:r>
    </w:p>
    <w:p w14:paraId="0415ABD0"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الخامسة والتسعون: غياب اختبار تجانس التباين</w:t>
      </w:r>
      <w:r w:rsidRPr="00A5088B">
        <w:rPr>
          <w:color w:val="000000" w:themeColor="text1"/>
        </w:rPr>
        <w:br/>
      </w:r>
      <w:r w:rsidRPr="00A5088B">
        <w:rPr>
          <w:color w:val="000000" w:themeColor="text1"/>
          <w:rtl/>
        </w:rPr>
        <w:t>يجب فحص شرط تجانس التباين قبل استخدام اختبار</w:t>
      </w:r>
      <w:r w:rsidRPr="00A5088B">
        <w:rPr>
          <w:color w:val="000000" w:themeColor="text1"/>
        </w:rPr>
        <w:t xml:space="preserve"> T </w:t>
      </w:r>
      <w:r w:rsidRPr="00A5088B">
        <w:rPr>
          <w:color w:val="000000" w:themeColor="text1"/>
          <w:rtl/>
        </w:rPr>
        <w:t>و</w:t>
      </w:r>
      <w:r w:rsidRPr="00A5088B">
        <w:rPr>
          <w:color w:val="000000" w:themeColor="text1"/>
        </w:rPr>
        <w:t xml:space="preserve">ANOVA </w:t>
      </w:r>
      <w:r w:rsidRPr="00A5088B">
        <w:rPr>
          <w:color w:val="000000" w:themeColor="text1"/>
          <w:rtl/>
        </w:rPr>
        <w:t>وتحديد البديل عند عدم تحققه</w:t>
      </w:r>
      <w:r w:rsidRPr="00A5088B">
        <w:rPr>
          <w:color w:val="000000" w:themeColor="text1"/>
        </w:rPr>
        <w:t>.</w:t>
      </w:r>
    </w:p>
    <w:p w14:paraId="4E6D0D79"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السادسة والتسعون: عدم تضمين اختبار تحيز عدم الاستجابة</w:t>
      </w:r>
      <w:r w:rsidRPr="00A5088B">
        <w:rPr>
          <w:color w:val="000000" w:themeColor="text1"/>
        </w:rPr>
        <w:br/>
      </w:r>
      <w:r w:rsidRPr="00A5088B">
        <w:rPr>
          <w:color w:val="000000" w:themeColor="text1"/>
          <w:rtl/>
        </w:rPr>
        <w:t>يفضل مقارنة المستجيبين المبكرين والمتأخرين لتقدير أثر عدم الاستجابة</w:t>
      </w:r>
      <w:r w:rsidRPr="00A5088B">
        <w:rPr>
          <w:color w:val="000000" w:themeColor="text1"/>
        </w:rPr>
        <w:t>.</w:t>
      </w:r>
    </w:p>
    <w:p w14:paraId="48AABCAA"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السابعة والتسعون: عدم توضيح وظيفة تحليل الوثائق في المعالجة</w:t>
      </w:r>
      <w:r w:rsidRPr="00A5088B">
        <w:rPr>
          <w:color w:val="000000" w:themeColor="text1"/>
        </w:rPr>
        <w:br/>
      </w:r>
      <w:r w:rsidRPr="00A5088B">
        <w:rPr>
          <w:color w:val="000000" w:themeColor="text1"/>
          <w:rtl/>
        </w:rPr>
        <w:t>إذا كانت الوثائق جزءاً من البيانات، فيجب وضع طريقة تحليل مستقلة لها، وإلا يجب حذفها من منهجية الجمع</w:t>
      </w:r>
      <w:r w:rsidRPr="00A5088B">
        <w:rPr>
          <w:color w:val="000000" w:themeColor="text1"/>
        </w:rPr>
        <w:t>.</w:t>
      </w:r>
    </w:p>
    <w:p w14:paraId="59149A33" w14:textId="77777777" w:rsidR="00A5088B" w:rsidRPr="00A5088B" w:rsidRDefault="00A5088B" w:rsidP="009E285B">
      <w:pPr>
        <w:pStyle w:val="Heading2"/>
        <w:bidi/>
        <w:spacing w:line="360" w:lineRule="auto"/>
        <w:rPr>
          <w:rFonts w:eastAsia="Times New Roman"/>
          <w:color w:val="000000" w:themeColor="text1"/>
        </w:rPr>
      </w:pPr>
      <w:r w:rsidRPr="00A5088B">
        <w:rPr>
          <w:rFonts w:eastAsia="Times New Roman"/>
          <w:color w:val="000000" w:themeColor="text1"/>
          <w:rtl/>
        </w:rPr>
        <w:t>سادساً: نواقص الاعتبارات الأخلاقية</w:t>
      </w:r>
    </w:p>
    <w:p w14:paraId="066C8B92" w14:textId="77777777" w:rsidR="00A5088B" w:rsidRPr="00A5088B" w:rsidRDefault="00A5088B" w:rsidP="009E285B">
      <w:pPr>
        <w:pStyle w:val="NormalWeb"/>
        <w:bidi/>
        <w:spacing w:line="360" w:lineRule="auto"/>
        <w:rPr>
          <w:rFonts w:eastAsiaTheme="minorHAnsi"/>
          <w:color w:val="000000" w:themeColor="text1"/>
        </w:rPr>
      </w:pPr>
      <w:r w:rsidRPr="00A5088B">
        <w:rPr>
          <w:rStyle w:val="Strong"/>
          <w:rFonts w:eastAsiaTheme="majorEastAsia"/>
          <w:color w:val="000000" w:themeColor="text1"/>
          <w:rtl/>
        </w:rPr>
        <w:t>الثامنة والتسعون: غياب قسم مستقل للاعتبارات الأخلاقية</w:t>
      </w:r>
      <w:r w:rsidRPr="00A5088B">
        <w:rPr>
          <w:color w:val="000000" w:themeColor="text1"/>
        </w:rPr>
        <w:br/>
      </w:r>
      <w:r w:rsidRPr="00A5088B">
        <w:rPr>
          <w:color w:val="000000" w:themeColor="text1"/>
          <w:rtl/>
        </w:rPr>
        <w:t>لا يحتوي الفصل على قسم واضح يبين الإجراءات الأخلاقية للدراسة. يجب إضافته قبل ملخص الفصل</w:t>
      </w:r>
      <w:r w:rsidRPr="00A5088B">
        <w:rPr>
          <w:color w:val="000000" w:themeColor="text1"/>
        </w:rPr>
        <w:t>.</w:t>
      </w:r>
    </w:p>
    <w:p w14:paraId="0D3308E1"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التاسعة والتسعون: عدم ذكر موافقة لجنة الأخلاقيات</w:t>
      </w:r>
      <w:r w:rsidRPr="00A5088B">
        <w:rPr>
          <w:color w:val="000000" w:themeColor="text1"/>
        </w:rPr>
        <w:br/>
      </w:r>
      <w:r w:rsidRPr="00A5088B">
        <w:rPr>
          <w:color w:val="000000" w:themeColor="text1"/>
          <w:rtl/>
        </w:rPr>
        <w:t>يجب ذكر اسم الجهة الأكاديمية التي ستراجع الدراسة ورقم الموافقة وتاريخها بعد صدورها</w:t>
      </w:r>
      <w:r w:rsidRPr="00A5088B">
        <w:rPr>
          <w:color w:val="000000" w:themeColor="text1"/>
        </w:rPr>
        <w:t>.</w:t>
      </w:r>
    </w:p>
    <w:p w14:paraId="79E852FC"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lastRenderedPageBreak/>
        <w:t>المائة: عدم ذكر الموافقات الرسمية من شركات التأمين</w:t>
      </w:r>
      <w:r w:rsidRPr="00A5088B">
        <w:rPr>
          <w:color w:val="000000" w:themeColor="text1"/>
        </w:rPr>
        <w:br/>
      </w:r>
      <w:r w:rsidRPr="00A5088B">
        <w:rPr>
          <w:color w:val="000000" w:themeColor="text1"/>
          <w:rtl/>
        </w:rPr>
        <w:t>يجب الحصول على إذن رسمي لتوزيع الاستبانة على الموظفين، وإرفاق الخطابات في الملاحق</w:t>
      </w:r>
      <w:r w:rsidRPr="00A5088B">
        <w:rPr>
          <w:color w:val="000000" w:themeColor="text1"/>
        </w:rPr>
        <w:t>.</w:t>
      </w:r>
    </w:p>
    <w:p w14:paraId="60C4970A" w14:textId="77777777" w:rsidR="00A5088B" w:rsidRPr="00A5088B" w:rsidRDefault="00A5088B" w:rsidP="009E285B">
      <w:pPr>
        <w:pStyle w:val="NormalWeb"/>
        <w:bidi/>
        <w:spacing w:line="360" w:lineRule="auto"/>
        <w:rPr>
          <w:color w:val="000000" w:themeColor="text1"/>
        </w:rPr>
      </w:pPr>
      <w:r w:rsidRPr="00A5088B">
        <w:rPr>
          <w:rStyle w:val="Strong"/>
          <w:rFonts w:eastAsiaTheme="majorEastAsia"/>
          <w:color w:val="000000" w:themeColor="text1"/>
          <w:rtl/>
        </w:rPr>
        <w:t>الحادية بعد المائة: عدم إرفاق الموافقة المستنيرة</w:t>
      </w:r>
      <w:r w:rsidRPr="00A5088B">
        <w:rPr>
          <w:color w:val="000000" w:themeColor="text1"/>
        </w:rPr>
        <w:br/>
      </w:r>
      <w:r w:rsidRPr="00A5088B">
        <w:rPr>
          <w:color w:val="000000" w:themeColor="text1"/>
          <w:rtl/>
        </w:rPr>
        <w:t>يجب أن تبدأ الاستبانة بنص يوضح طوعية المشاركة، وحق الانسحاب، والسرية، وعدم وجود آثار وظيفية لرفض المشاركة</w:t>
      </w:r>
      <w:r w:rsidRPr="00A5088B">
        <w:rPr>
          <w:color w:val="000000" w:themeColor="text1"/>
        </w:rPr>
        <w:t>.</w:t>
      </w:r>
    </w:p>
    <w:p w14:paraId="66BEA093" w14:textId="77777777" w:rsidR="009E285B" w:rsidRPr="009E285B" w:rsidRDefault="009E285B" w:rsidP="009E285B">
      <w:pPr>
        <w:bidi/>
        <w:spacing w:before="100" w:beforeAutospacing="1" w:after="100" w:afterAutospacing="1" w:line="240" w:lineRule="auto"/>
        <w:rPr>
          <w:rFonts w:ascii="Times New Roman" w:hAnsi="Times New Roman" w:cs="Times New Roman"/>
          <w:color w:val="000000"/>
          <w:sz w:val="24"/>
          <w:szCs w:val="24"/>
        </w:rPr>
      </w:pPr>
      <w:r w:rsidRPr="009E285B">
        <w:rPr>
          <w:rFonts w:ascii="Times New Roman" w:hAnsi="Times New Roman" w:cs="Times New Roman"/>
          <w:b/>
          <w:bCs/>
          <w:color w:val="000000"/>
          <w:sz w:val="24"/>
          <w:szCs w:val="24"/>
          <w:rtl/>
        </w:rPr>
        <w:t>أخطاء لغوية وإملائية كثيرة</w:t>
      </w:r>
      <w:r w:rsidRPr="009E285B">
        <w:rPr>
          <w:rFonts w:ascii="Times New Roman" w:hAnsi="Times New Roman" w:cs="Times New Roman"/>
          <w:color w:val="000000"/>
          <w:sz w:val="24"/>
          <w:szCs w:val="24"/>
        </w:rPr>
        <w:br/>
      </w:r>
      <w:r w:rsidRPr="009E285B">
        <w:rPr>
          <w:rFonts w:ascii="Times New Roman" w:hAnsi="Times New Roman" w:cs="Times New Roman"/>
          <w:color w:val="000000"/>
          <w:sz w:val="24"/>
          <w:szCs w:val="24"/>
          <w:rtl/>
        </w:rPr>
        <w:t>من الأمثلة: «</w:t>
      </w:r>
      <w:proofErr w:type="spellStart"/>
      <w:r w:rsidRPr="009E285B">
        <w:rPr>
          <w:rFonts w:ascii="Times New Roman" w:hAnsi="Times New Roman" w:cs="Times New Roman"/>
          <w:color w:val="000000"/>
          <w:sz w:val="24"/>
          <w:szCs w:val="24"/>
          <w:rtl/>
        </w:rPr>
        <w:t>االحتيال</w:t>
      </w:r>
      <w:proofErr w:type="spellEnd"/>
      <w:r w:rsidRPr="009E285B">
        <w:rPr>
          <w:rFonts w:ascii="Times New Roman" w:hAnsi="Times New Roman" w:cs="Times New Roman"/>
          <w:color w:val="000000"/>
          <w:sz w:val="24"/>
          <w:szCs w:val="24"/>
          <w:rtl/>
        </w:rPr>
        <w:t>»، و«التامين»، و«</w:t>
      </w:r>
      <w:proofErr w:type="spellStart"/>
      <w:r w:rsidRPr="009E285B">
        <w:rPr>
          <w:rFonts w:ascii="Times New Roman" w:hAnsi="Times New Roman" w:cs="Times New Roman"/>
          <w:color w:val="000000"/>
          <w:sz w:val="24"/>
          <w:szCs w:val="24"/>
          <w:rtl/>
        </w:rPr>
        <w:t>االستبيان</w:t>
      </w:r>
      <w:proofErr w:type="spellEnd"/>
      <w:r w:rsidRPr="009E285B">
        <w:rPr>
          <w:rFonts w:ascii="Times New Roman" w:hAnsi="Times New Roman" w:cs="Times New Roman"/>
          <w:color w:val="000000"/>
          <w:sz w:val="24"/>
          <w:szCs w:val="24"/>
          <w:rtl/>
        </w:rPr>
        <w:t>»، و«ليكرث»، و«البحص». يجب إجراء تدقيق لغوي شامل</w:t>
      </w:r>
      <w:r w:rsidRPr="009E285B">
        <w:rPr>
          <w:rFonts w:ascii="Times New Roman" w:hAnsi="Times New Roman" w:cs="Times New Roman"/>
          <w:color w:val="000000"/>
          <w:sz w:val="24"/>
          <w:szCs w:val="24"/>
        </w:rPr>
        <w:t>.</w:t>
      </w:r>
    </w:p>
    <w:p w14:paraId="3A231CD1" w14:textId="7DA1FC80" w:rsidR="009E285B" w:rsidRPr="009E285B" w:rsidRDefault="009E285B" w:rsidP="009E285B">
      <w:pPr>
        <w:bidi/>
        <w:spacing w:before="100" w:beforeAutospacing="1" w:after="100" w:afterAutospacing="1" w:line="240" w:lineRule="auto"/>
        <w:rPr>
          <w:rFonts w:ascii="Times New Roman" w:hAnsi="Times New Roman" w:cs="Times New Roman"/>
          <w:color w:val="000000"/>
          <w:sz w:val="24"/>
          <w:szCs w:val="24"/>
        </w:rPr>
      </w:pPr>
      <w:r w:rsidRPr="009E285B">
        <w:rPr>
          <w:rFonts w:ascii="Times New Roman" w:hAnsi="Times New Roman" w:cs="Times New Roman"/>
          <w:b/>
          <w:bCs/>
          <w:color w:val="000000"/>
          <w:sz w:val="24"/>
          <w:szCs w:val="24"/>
          <w:rtl/>
        </w:rPr>
        <w:t>وجود تكرار كبير في الفصل</w:t>
      </w:r>
      <w:r w:rsidRPr="009E285B">
        <w:rPr>
          <w:rFonts w:ascii="Times New Roman" w:hAnsi="Times New Roman" w:cs="Times New Roman"/>
          <w:color w:val="000000"/>
          <w:sz w:val="24"/>
          <w:szCs w:val="24"/>
        </w:rPr>
        <w:br/>
      </w:r>
      <w:r w:rsidRPr="009E285B">
        <w:rPr>
          <w:rFonts w:ascii="Times New Roman" w:hAnsi="Times New Roman" w:cs="Times New Roman"/>
          <w:color w:val="000000"/>
          <w:sz w:val="24"/>
          <w:szCs w:val="24"/>
          <w:rtl/>
        </w:rPr>
        <w:t>تكرر عنوان الدراسة وشرح الاستبانة والمصادر الأولية والثانوية في مواضع متعددة. يجب حذف الحشو وتحسين ترابط الفقرات</w:t>
      </w:r>
      <w:r w:rsidRPr="009E285B">
        <w:rPr>
          <w:rFonts w:ascii="Times New Roman" w:hAnsi="Times New Roman" w:cs="Times New Roman"/>
          <w:color w:val="000000"/>
          <w:sz w:val="24"/>
          <w:szCs w:val="24"/>
        </w:rPr>
        <w:t>.</w:t>
      </w:r>
    </w:p>
    <w:p w14:paraId="7015499A" w14:textId="4A60BC0D" w:rsidR="009E285B" w:rsidRPr="009E285B" w:rsidRDefault="009E285B" w:rsidP="009E285B">
      <w:pPr>
        <w:bidi/>
        <w:spacing w:before="100" w:beforeAutospacing="1" w:after="100" w:afterAutospacing="1" w:line="240" w:lineRule="auto"/>
        <w:rPr>
          <w:rFonts w:ascii="Times New Roman" w:hAnsi="Times New Roman" w:cs="Times New Roman"/>
          <w:color w:val="000000"/>
          <w:sz w:val="24"/>
          <w:szCs w:val="24"/>
        </w:rPr>
      </w:pPr>
      <w:r w:rsidRPr="009E285B">
        <w:rPr>
          <w:rFonts w:ascii="Times New Roman" w:hAnsi="Times New Roman" w:cs="Times New Roman"/>
          <w:b/>
          <w:bCs/>
          <w:color w:val="000000"/>
          <w:sz w:val="24"/>
          <w:szCs w:val="24"/>
          <w:rtl/>
        </w:rPr>
        <w:t>ضعف صياغة ملخص الفصل</w:t>
      </w:r>
      <w:r w:rsidRPr="009E285B">
        <w:rPr>
          <w:rFonts w:ascii="Times New Roman" w:hAnsi="Times New Roman" w:cs="Times New Roman"/>
          <w:color w:val="000000"/>
          <w:sz w:val="24"/>
          <w:szCs w:val="24"/>
        </w:rPr>
        <w:br/>
      </w:r>
      <w:r w:rsidRPr="009E285B">
        <w:rPr>
          <w:rFonts w:ascii="Times New Roman" w:hAnsi="Times New Roman" w:cs="Times New Roman"/>
          <w:color w:val="000000"/>
          <w:sz w:val="24"/>
          <w:szCs w:val="24"/>
          <w:rtl/>
        </w:rPr>
        <w:t>الملخص طويل ويكرر فقرات سابقة ولا يقدم خلاصة مركزة. يجب إعادة صياغته في فقرة موجزة</w:t>
      </w:r>
      <w:r w:rsidRPr="009E285B">
        <w:rPr>
          <w:rFonts w:ascii="Times New Roman" w:hAnsi="Times New Roman" w:cs="Times New Roman"/>
          <w:color w:val="000000"/>
          <w:sz w:val="24"/>
          <w:szCs w:val="24"/>
        </w:rPr>
        <w:t>.</w:t>
      </w:r>
    </w:p>
    <w:p w14:paraId="7BB58450" w14:textId="7C1B1ACE" w:rsidR="009E285B" w:rsidRPr="009E285B" w:rsidRDefault="009E285B" w:rsidP="009E285B">
      <w:pPr>
        <w:bidi/>
        <w:spacing w:before="100" w:beforeAutospacing="1" w:after="100" w:afterAutospacing="1" w:line="240" w:lineRule="auto"/>
        <w:rPr>
          <w:rFonts w:ascii="Times New Roman" w:hAnsi="Times New Roman" w:cs="Times New Roman"/>
          <w:color w:val="000000"/>
          <w:sz w:val="24"/>
          <w:szCs w:val="24"/>
        </w:rPr>
      </w:pPr>
      <w:bookmarkStart w:id="0" w:name="_GoBack"/>
      <w:bookmarkEnd w:id="0"/>
      <w:r w:rsidRPr="009E285B">
        <w:rPr>
          <w:rFonts w:ascii="Times New Roman" w:hAnsi="Times New Roman" w:cs="Times New Roman"/>
          <w:b/>
          <w:bCs/>
          <w:color w:val="000000"/>
          <w:sz w:val="24"/>
          <w:szCs w:val="24"/>
          <w:rtl/>
        </w:rPr>
        <w:t>تناقض ملخص الفصل مع الإجراءات الفعلية</w:t>
      </w:r>
      <w:r w:rsidRPr="009E285B">
        <w:rPr>
          <w:rFonts w:ascii="Times New Roman" w:hAnsi="Times New Roman" w:cs="Times New Roman"/>
          <w:color w:val="000000"/>
          <w:sz w:val="24"/>
          <w:szCs w:val="24"/>
        </w:rPr>
        <w:br/>
      </w:r>
      <w:r w:rsidRPr="009E285B">
        <w:rPr>
          <w:rFonts w:ascii="Times New Roman" w:hAnsi="Times New Roman" w:cs="Times New Roman"/>
          <w:color w:val="000000"/>
          <w:sz w:val="24"/>
          <w:szCs w:val="24"/>
          <w:rtl/>
        </w:rPr>
        <w:t>ذكر الملخص استخدام منهج مختلط ودراسة استكشافية، بينما لا توجد إجراءات نوعية أو وصف واضح لدراسة استطلاعية. يجب توحيد الملخص مع المنهج الفعلي</w:t>
      </w:r>
      <w:r w:rsidRPr="009E285B">
        <w:rPr>
          <w:rFonts w:ascii="Times New Roman" w:hAnsi="Times New Roman" w:cs="Times New Roman"/>
          <w:color w:val="000000"/>
          <w:sz w:val="24"/>
          <w:szCs w:val="24"/>
        </w:rPr>
        <w:t>.</w:t>
      </w:r>
    </w:p>
    <w:p w14:paraId="627CC4B5" w14:textId="77777777" w:rsidR="000B3546" w:rsidRPr="009E285B" w:rsidRDefault="000B3546" w:rsidP="009E285B">
      <w:pPr>
        <w:bidi/>
        <w:spacing w:line="360" w:lineRule="auto"/>
        <w:rPr>
          <w:rFonts w:hint="cs"/>
          <w:color w:val="000000" w:themeColor="text1"/>
        </w:rPr>
      </w:pPr>
    </w:p>
    <w:sectPr w:rsidR="000B3546" w:rsidRPr="009E285B">
      <w:headerReference w:type="even" r:id="rId7"/>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C617AF" w14:textId="77777777" w:rsidR="00563DAB" w:rsidRDefault="00563DAB">
      <w:pPr>
        <w:spacing w:after="0" w:line="240" w:lineRule="auto"/>
      </w:pPr>
      <w:r>
        <w:separator/>
      </w:r>
    </w:p>
  </w:endnote>
  <w:endnote w:type="continuationSeparator" w:id="0">
    <w:p w14:paraId="0B289246" w14:textId="77777777" w:rsidR="00563DAB" w:rsidRDefault="00563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1C80A447" w14:textId="77777777" w:rsidR="00372F6A" w:rsidRDefault="00372F6A">
        <w:pPr>
          <w:pStyle w:val="Footer"/>
          <w:jc w:val="center"/>
        </w:pPr>
        <w:r>
          <w:fldChar w:fldCharType="begin"/>
        </w:r>
        <w:r>
          <w:instrText xml:space="preserve"> PAGE   \* MERGEFORMAT </w:instrText>
        </w:r>
        <w:r>
          <w:fldChar w:fldCharType="separate"/>
        </w:r>
        <w:r w:rsidR="009E285B">
          <w:rPr>
            <w:noProof/>
          </w:rPr>
          <w:t>11</w:t>
        </w:r>
        <w:r>
          <w:rPr>
            <w:noProof/>
          </w:rPr>
          <w:fldChar w:fldCharType="end"/>
        </w:r>
      </w:p>
    </w:sdtContent>
  </w:sdt>
  <w:p w14:paraId="0E2AF5D6" w14:textId="77777777" w:rsidR="00372F6A" w:rsidRDefault="00372F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93E4EA" w14:textId="77777777" w:rsidR="00563DAB" w:rsidRDefault="00563DAB">
      <w:pPr>
        <w:spacing w:after="0" w:line="240" w:lineRule="auto"/>
      </w:pPr>
      <w:r>
        <w:separator/>
      </w:r>
    </w:p>
  </w:footnote>
  <w:footnote w:type="continuationSeparator" w:id="0">
    <w:p w14:paraId="1BE0C941" w14:textId="77777777" w:rsidR="00563DAB" w:rsidRDefault="00563DA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AEE00D6" w14:textId="77777777" w:rsidR="00372F6A" w:rsidRDefault="00563DAB">
    <w:pPr>
      <w:pStyle w:val="Header"/>
    </w:pPr>
    <w:r>
      <w:rPr>
        <w:noProof/>
      </w:rPr>
      <w:pict w14:anchorId="4E1749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A60A7EB" w14:textId="77777777" w:rsidR="00372F6A" w:rsidRDefault="00563DAB">
    <w:pPr>
      <w:pStyle w:val="Header"/>
    </w:pPr>
    <w:r>
      <w:rPr>
        <w:noProof/>
      </w:rPr>
      <w:pict w14:anchorId="6E72E7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437C89A2" w14:textId="77777777" w:rsidR="00372F6A" w:rsidRDefault="00563DAB">
        <w:pPr>
          <w:pStyle w:val="Header"/>
        </w:pPr>
        <w:r>
          <w:rPr>
            <w:noProof/>
          </w:rPr>
          <w:pict w14:anchorId="49320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9">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B0D76E1"/>
    <w:multiLevelType w:val="hybridMultilevel"/>
    <w:tmpl w:val="72C46724"/>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start w:val="5"/>
      <w:numFmt w:val="bullet"/>
      <w:lvlText w:val="-"/>
      <w:lvlJc w:val="left"/>
      <w:pPr>
        <w:ind w:left="216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2">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6">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2"/>
  </w:num>
  <w:num w:numId="3">
    <w:abstractNumId w:val="60"/>
  </w:num>
  <w:num w:numId="4">
    <w:abstractNumId w:val="51"/>
  </w:num>
  <w:num w:numId="5">
    <w:abstractNumId w:val="78"/>
  </w:num>
  <w:num w:numId="6">
    <w:abstractNumId w:val="25"/>
  </w:num>
  <w:num w:numId="7">
    <w:abstractNumId w:val="36"/>
  </w:num>
  <w:num w:numId="8">
    <w:abstractNumId w:val="72"/>
  </w:num>
  <w:num w:numId="9">
    <w:abstractNumId w:val="21"/>
  </w:num>
  <w:num w:numId="10">
    <w:abstractNumId w:val="50"/>
  </w:num>
  <w:num w:numId="11">
    <w:abstractNumId w:val="18"/>
  </w:num>
  <w:num w:numId="12">
    <w:abstractNumId w:val="43"/>
  </w:num>
  <w:num w:numId="13">
    <w:abstractNumId w:val="19"/>
  </w:num>
  <w:num w:numId="14">
    <w:abstractNumId w:val="29"/>
  </w:num>
  <w:num w:numId="15">
    <w:abstractNumId w:val="10"/>
  </w:num>
  <w:num w:numId="16">
    <w:abstractNumId w:val="34"/>
  </w:num>
  <w:num w:numId="17">
    <w:abstractNumId w:val="77"/>
  </w:num>
  <w:num w:numId="18">
    <w:abstractNumId w:val="84"/>
  </w:num>
  <w:num w:numId="19">
    <w:abstractNumId w:val="26"/>
  </w:num>
  <w:num w:numId="20">
    <w:abstractNumId w:val="55"/>
  </w:num>
  <w:num w:numId="21">
    <w:abstractNumId w:val="48"/>
  </w:num>
  <w:num w:numId="22">
    <w:abstractNumId w:val="44"/>
  </w:num>
  <w:num w:numId="23">
    <w:abstractNumId w:val="30"/>
  </w:num>
  <w:num w:numId="24">
    <w:abstractNumId w:val="39"/>
  </w:num>
  <w:num w:numId="25">
    <w:abstractNumId w:val="46"/>
  </w:num>
  <w:num w:numId="26">
    <w:abstractNumId w:val="14"/>
  </w:num>
  <w:num w:numId="27">
    <w:abstractNumId w:val="33"/>
  </w:num>
  <w:num w:numId="28">
    <w:abstractNumId w:val="3"/>
  </w:num>
  <w:num w:numId="29">
    <w:abstractNumId w:val="16"/>
  </w:num>
  <w:num w:numId="30">
    <w:abstractNumId w:val="49"/>
  </w:num>
  <w:num w:numId="31">
    <w:abstractNumId w:val="59"/>
  </w:num>
  <w:num w:numId="32">
    <w:abstractNumId w:val="9"/>
  </w:num>
  <w:num w:numId="33">
    <w:abstractNumId w:val="8"/>
  </w:num>
  <w:num w:numId="34">
    <w:abstractNumId w:val="75"/>
  </w:num>
  <w:num w:numId="35">
    <w:abstractNumId w:val="85"/>
  </w:num>
  <w:num w:numId="36">
    <w:abstractNumId w:val="68"/>
  </w:num>
  <w:num w:numId="37">
    <w:abstractNumId w:val="83"/>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42"/>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1"/>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4"/>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1"/>
  </w:num>
  <w:num w:numId="43">
    <w:abstractNumId w:val="0"/>
  </w:num>
  <w:num w:numId="44">
    <w:abstractNumId w:val="32"/>
  </w:num>
  <w:num w:numId="45">
    <w:abstractNumId w:val="69"/>
  </w:num>
  <w:num w:numId="46">
    <w:abstractNumId w:val="79"/>
  </w:num>
  <w:num w:numId="47">
    <w:abstractNumId w:val="63"/>
  </w:num>
  <w:num w:numId="48">
    <w:abstractNumId w:val="70"/>
  </w:num>
  <w:num w:numId="49">
    <w:abstractNumId w:val="54"/>
  </w:num>
  <w:num w:numId="50">
    <w:abstractNumId w:val="80"/>
  </w:num>
  <w:num w:numId="51">
    <w:abstractNumId w:val="73"/>
  </w:num>
  <w:num w:numId="52">
    <w:abstractNumId w:val="47"/>
  </w:num>
  <w:num w:numId="53">
    <w:abstractNumId w:val="13"/>
  </w:num>
  <w:num w:numId="54">
    <w:abstractNumId w:val="28"/>
  </w:num>
  <w:num w:numId="55">
    <w:abstractNumId w:val="31"/>
  </w:num>
  <w:num w:numId="56">
    <w:abstractNumId w:val="56"/>
  </w:num>
  <w:num w:numId="57">
    <w:abstractNumId w:val="24"/>
  </w:num>
  <w:num w:numId="58">
    <w:abstractNumId w:val="57"/>
  </w:num>
  <w:num w:numId="59">
    <w:abstractNumId w:val="17"/>
  </w:num>
  <w:num w:numId="60">
    <w:abstractNumId w:val="37"/>
  </w:num>
  <w:num w:numId="61">
    <w:abstractNumId w:val="52"/>
  </w:num>
  <w:num w:numId="62">
    <w:abstractNumId w:val="6"/>
  </w:num>
  <w:num w:numId="63">
    <w:abstractNumId w:val="62"/>
  </w:num>
  <w:num w:numId="64">
    <w:abstractNumId w:val="64"/>
  </w:num>
  <w:num w:numId="65">
    <w:abstractNumId w:val="65"/>
  </w:num>
  <w:num w:numId="66">
    <w:abstractNumId w:val="38"/>
  </w:num>
  <w:num w:numId="67">
    <w:abstractNumId w:val="81"/>
  </w:num>
  <w:num w:numId="68">
    <w:abstractNumId w:val="35"/>
  </w:num>
  <w:num w:numId="69">
    <w:abstractNumId w:val="4"/>
  </w:num>
  <w:num w:numId="70">
    <w:abstractNumId w:val="66"/>
  </w:num>
  <w:num w:numId="71">
    <w:abstractNumId w:val="58"/>
  </w:num>
  <w:num w:numId="72">
    <w:abstractNumId w:val="76"/>
  </w:num>
  <w:num w:numId="73">
    <w:abstractNumId w:val="12"/>
  </w:num>
  <w:num w:numId="74">
    <w:abstractNumId w:val="1"/>
  </w:num>
  <w:num w:numId="75">
    <w:abstractNumId w:val="61"/>
  </w:num>
  <w:num w:numId="76">
    <w:abstractNumId w:val="27"/>
  </w:num>
  <w:num w:numId="77">
    <w:abstractNumId w:val="67"/>
  </w:num>
  <w:num w:numId="78">
    <w:abstractNumId w:val="5"/>
  </w:num>
  <w:num w:numId="79">
    <w:abstractNumId w:val="40"/>
  </w:num>
  <w:num w:numId="80">
    <w:abstractNumId w:val="7"/>
  </w:num>
  <w:num w:numId="81">
    <w:abstractNumId w:val="53"/>
  </w:num>
  <w:num w:numId="82">
    <w:abstractNumId w:val="22"/>
  </w:num>
  <w:num w:numId="83">
    <w:abstractNumId w:val="20"/>
  </w:num>
  <w:num w:numId="84">
    <w:abstractNumId w:val="45"/>
  </w:num>
  <w:num w:numId="85">
    <w:abstractNumId w:val="41"/>
  </w:num>
  <w:num w:numId="86">
    <w:abstractNumId w:val="2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FD"/>
    <w:rsid w:val="000469A0"/>
    <w:rsid w:val="00070528"/>
    <w:rsid w:val="000815E5"/>
    <w:rsid w:val="0009545F"/>
    <w:rsid w:val="000B3546"/>
    <w:rsid w:val="000E6FC3"/>
    <w:rsid w:val="00164478"/>
    <w:rsid w:val="001B59BE"/>
    <w:rsid w:val="001C5F09"/>
    <w:rsid w:val="001F3A0A"/>
    <w:rsid w:val="00201153"/>
    <w:rsid w:val="00237E33"/>
    <w:rsid w:val="002432B7"/>
    <w:rsid w:val="00372F6A"/>
    <w:rsid w:val="003D66B3"/>
    <w:rsid w:val="003E1319"/>
    <w:rsid w:val="003F2849"/>
    <w:rsid w:val="00436043"/>
    <w:rsid w:val="004C6512"/>
    <w:rsid w:val="004E6AA6"/>
    <w:rsid w:val="005044B0"/>
    <w:rsid w:val="00563DAB"/>
    <w:rsid w:val="00576A8E"/>
    <w:rsid w:val="005E3E77"/>
    <w:rsid w:val="005F054E"/>
    <w:rsid w:val="00657D29"/>
    <w:rsid w:val="00683F9E"/>
    <w:rsid w:val="006B2400"/>
    <w:rsid w:val="006B3370"/>
    <w:rsid w:val="006D7CB0"/>
    <w:rsid w:val="0073000A"/>
    <w:rsid w:val="007E0CF2"/>
    <w:rsid w:val="008646BD"/>
    <w:rsid w:val="00891023"/>
    <w:rsid w:val="008C7817"/>
    <w:rsid w:val="008E043A"/>
    <w:rsid w:val="008E211F"/>
    <w:rsid w:val="009113C7"/>
    <w:rsid w:val="009B4346"/>
    <w:rsid w:val="009D736D"/>
    <w:rsid w:val="009E285B"/>
    <w:rsid w:val="00A00E2F"/>
    <w:rsid w:val="00A5088B"/>
    <w:rsid w:val="00A622D5"/>
    <w:rsid w:val="00A7370F"/>
    <w:rsid w:val="00AA2DC1"/>
    <w:rsid w:val="00AA704C"/>
    <w:rsid w:val="00AC1F53"/>
    <w:rsid w:val="00AF4B87"/>
    <w:rsid w:val="00B84438"/>
    <w:rsid w:val="00BB1191"/>
    <w:rsid w:val="00BC578B"/>
    <w:rsid w:val="00BF4E05"/>
    <w:rsid w:val="00C3132C"/>
    <w:rsid w:val="00D24750"/>
    <w:rsid w:val="00D662CD"/>
    <w:rsid w:val="00D7045C"/>
    <w:rsid w:val="00D919FC"/>
    <w:rsid w:val="00DD3C9D"/>
    <w:rsid w:val="00E15E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49BDD37"/>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5EFD"/>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w:basedOn w:val="Normal"/>
    <w:link w:val="ListParagraphChar"/>
    <w:uiPriority w:val="34"/>
    <w:qFormat/>
    <w:rsid w:val="00E15EFD"/>
    <w:pPr>
      <w:ind w:left="720"/>
      <w:contextualSpacing/>
    </w:pPr>
  </w:style>
  <w:style w:type="paragraph" w:styleId="Header">
    <w:name w:val="header"/>
    <w:basedOn w:val="Normal"/>
    <w:link w:val="HeaderChar"/>
    <w:uiPriority w:val="99"/>
    <w:unhideWhenUsed/>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5EFD"/>
  </w:style>
  <w:style w:type="paragraph" w:styleId="Footer">
    <w:name w:val="footer"/>
    <w:basedOn w:val="Normal"/>
    <w:link w:val="FooterChar"/>
    <w:uiPriority w:val="99"/>
    <w:unhideWhenUsed/>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E15EFD"/>
    <w:rPr>
      <w:color w:val="0563C1" w:themeColor="hyperlink"/>
      <w:u w:val="single"/>
    </w:rPr>
  </w:style>
  <w:style w:type="character" w:customStyle="1" w:styleId="UnresolvedMention">
    <w:name w:val="Unresolved Mention"/>
    <w:basedOn w:val="DefaultParagraphFont"/>
    <w:uiPriority w:val="99"/>
    <w:semiHidden/>
    <w:unhideWhenUsed/>
    <w:rsid w:val="00E15EFD"/>
    <w:rPr>
      <w:color w:val="605E5C"/>
      <w:shd w:val="clear" w:color="auto" w:fill="E1DFDD"/>
    </w:rPr>
  </w:style>
  <w:style w:type="character" w:customStyle="1" w:styleId="apple-converted-space">
    <w:name w:val="apple-converted-space"/>
    <w:basedOn w:val="DefaultParagraphFont"/>
    <w:rsid w:val="00576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314121">
      <w:bodyDiv w:val="1"/>
      <w:marLeft w:val="0"/>
      <w:marRight w:val="0"/>
      <w:marTop w:val="0"/>
      <w:marBottom w:val="0"/>
      <w:divBdr>
        <w:top w:val="none" w:sz="0" w:space="0" w:color="auto"/>
        <w:left w:val="none" w:sz="0" w:space="0" w:color="auto"/>
        <w:bottom w:val="none" w:sz="0" w:space="0" w:color="auto"/>
        <w:right w:val="none" w:sz="0" w:space="0" w:color="auto"/>
      </w:divBdr>
    </w:div>
    <w:div w:id="564219814">
      <w:bodyDiv w:val="1"/>
      <w:marLeft w:val="0"/>
      <w:marRight w:val="0"/>
      <w:marTop w:val="0"/>
      <w:marBottom w:val="0"/>
      <w:divBdr>
        <w:top w:val="none" w:sz="0" w:space="0" w:color="auto"/>
        <w:left w:val="none" w:sz="0" w:space="0" w:color="auto"/>
        <w:bottom w:val="none" w:sz="0" w:space="0" w:color="auto"/>
        <w:right w:val="none" w:sz="0" w:space="0" w:color="auto"/>
      </w:divBdr>
    </w:div>
    <w:div w:id="862984942">
      <w:bodyDiv w:val="1"/>
      <w:marLeft w:val="0"/>
      <w:marRight w:val="0"/>
      <w:marTop w:val="0"/>
      <w:marBottom w:val="0"/>
      <w:divBdr>
        <w:top w:val="none" w:sz="0" w:space="0" w:color="auto"/>
        <w:left w:val="none" w:sz="0" w:space="0" w:color="auto"/>
        <w:bottom w:val="none" w:sz="0" w:space="0" w:color="auto"/>
        <w:right w:val="none" w:sz="0" w:space="0" w:color="auto"/>
      </w:divBdr>
    </w:div>
    <w:div w:id="211212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2485</Words>
  <Characters>14167</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Microsoft Office User</cp:lastModifiedBy>
  <cp:revision>4</cp:revision>
  <dcterms:created xsi:type="dcterms:W3CDTF">2026-07-26T17:58:00Z</dcterms:created>
  <dcterms:modified xsi:type="dcterms:W3CDTF">2026-07-29T10:26:00Z</dcterms:modified>
</cp:coreProperties>
</file>