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B6246" w14:textId="7624E0E5" w:rsidR="00FC2585" w:rsidRDefault="00FC2585" w:rsidP="00FC2585">
      <w:pPr>
        <w:bidi/>
        <w:spacing w:line="360" w:lineRule="auto"/>
        <w:jc w:val="both"/>
        <w:rPr>
          <w:rFonts w:ascii="Sakkal Majalla" w:hAnsi="Sakkal Majalla" w:cs="Sakkal Majalla"/>
          <w:sz w:val="32"/>
          <w:szCs w:val="32"/>
          <w:rtl/>
        </w:rPr>
      </w:pPr>
      <w:r>
        <w:rPr>
          <w:rFonts w:ascii="Sakkal Majalla" w:hAnsi="Sakkal Majalla" w:cs="Sakkal Majalla"/>
          <w:noProof/>
          <w:sz w:val="32"/>
          <w:szCs w:val="32"/>
        </w:rPr>
        <w:drawing>
          <wp:inline distT="0" distB="0" distL="0" distR="0" wp14:anchorId="6B3F7FBE" wp14:editId="5CD1C2A3">
            <wp:extent cx="1518285" cy="664210"/>
            <wp:effectExtent l="0" t="0" r="5715" b="2540"/>
            <wp:docPr id="67387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64210"/>
                    </a:xfrm>
                    <a:prstGeom prst="rect">
                      <a:avLst/>
                    </a:prstGeom>
                    <a:noFill/>
                  </pic:spPr>
                </pic:pic>
              </a:graphicData>
            </a:graphic>
          </wp:inline>
        </w:drawing>
      </w:r>
    </w:p>
    <w:p w14:paraId="3655F1E1" w14:textId="77777777" w:rsidR="00FC2585" w:rsidRDefault="00FC2585" w:rsidP="00FC2585">
      <w:pPr>
        <w:spacing w:line="360" w:lineRule="auto"/>
        <w:jc w:val="right"/>
        <w:rPr>
          <w:rFonts w:ascii="Arial" w:eastAsia="Calibri" w:hAnsi="Arial" w:cs="Arial"/>
          <w:b/>
          <w:bCs/>
          <w:kern w:val="0"/>
          <w:sz w:val="28"/>
          <w:szCs w:val="28"/>
          <w:rtl/>
          <w14:ligatures w14:val="none"/>
        </w:rPr>
      </w:pPr>
    </w:p>
    <w:p w14:paraId="7A085A5E" w14:textId="77777777" w:rsidR="00FC2585" w:rsidRDefault="00FC2585" w:rsidP="00FC2585">
      <w:pPr>
        <w:bidi/>
        <w:spacing w:after="0" w:line="240" w:lineRule="auto"/>
        <w:ind w:right="-270"/>
        <w:jc w:val="center"/>
        <w:rPr>
          <w:rFonts w:ascii="Arial" w:eastAsia="Calibri" w:hAnsi="Arial" w:cs="Arial"/>
          <w:b/>
          <w:bCs/>
          <w:kern w:val="0"/>
          <w:sz w:val="28"/>
          <w:szCs w:val="28"/>
          <w:rtl/>
          <w14:ligatures w14:val="none"/>
        </w:rPr>
      </w:pPr>
    </w:p>
    <w:p w14:paraId="1FA6B177" w14:textId="7ED98676"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r w:rsidRPr="00FC2585">
        <w:rPr>
          <w:rFonts w:ascii="Sakkal Majalla" w:eastAsia="Calibri" w:hAnsi="Sakkal Majalla" w:cs="Sakkal Majalla"/>
          <w:b/>
          <w:bCs/>
          <w:kern w:val="0"/>
          <w:sz w:val="40"/>
          <w:szCs w:val="40"/>
          <w:rtl/>
          <w14:ligatures w14:val="none"/>
        </w:rPr>
        <w:t>أثر التحوالت في سوق العمل على تطوير استراتيجيات الموارد البشرية في القطاع الخاص السعودي في ضوء رؤية 2030</w:t>
      </w:r>
    </w:p>
    <w:p w14:paraId="1882A2D5"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2872563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F1CE7C9"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823DD1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E5A045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5FB98626"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EFEFF6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AA1A7C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12DF9E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0EDAF17"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9EF655A"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B38926D"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98A7F03" w14:textId="0E5697C6" w:rsidR="00FC2585" w:rsidRDefault="00FC2585" w:rsidP="006025D2">
      <w:pPr>
        <w:bidi/>
        <w:spacing w:after="0" w:line="360" w:lineRule="auto"/>
        <w:ind w:right="-270"/>
        <w:jc w:val="center"/>
        <w:rPr>
          <w:rFonts w:ascii="Sakkal Majalla" w:eastAsia="Calibri" w:hAnsi="Sakkal Majalla" w:cs="Sakkal Majalla"/>
          <w:b/>
          <w:bCs/>
          <w:kern w:val="0"/>
          <w:sz w:val="40"/>
          <w:szCs w:val="40"/>
          <w:rtl/>
          <w14:ligatures w14:val="none"/>
        </w:rPr>
      </w:pPr>
      <w:r>
        <w:rPr>
          <w:rFonts w:ascii="Sakkal Majalla" w:eastAsia="Calibri" w:hAnsi="Sakkal Majalla" w:cs="Sakkal Majalla" w:hint="cs"/>
          <w:b/>
          <w:bCs/>
          <w:kern w:val="0"/>
          <w:sz w:val="40"/>
          <w:szCs w:val="40"/>
          <w:rtl/>
          <w14:ligatures w14:val="none"/>
        </w:rPr>
        <w:lastRenderedPageBreak/>
        <w:t>الفهرس</w:t>
      </w:r>
    </w:p>
    <w:sdt>
      <w:sdtPr>
        <w:rPr>
          <w:rFonts w:asciiTheme="minorHAnsi" w:eastAsiaTheme="minorHAnsi" w:hAnsiTheme="minorHAnsi" w:cstheme="minorBidi"/>
          <w:color w:val="auto"/>
          <w:kern w:val="2"/>
          <w:sz w:val="40"/>
          <w:szCs w:val="40"/>
          <w:rtl/>
          <w14:ligatures w14:val="standardContextual"/>
        </w:rPr>
        <w:id w:val="-136564421"/>
        <w:docPartObj>
          <w:docPartGallery w:val="Table of Contents"/>
          <w:docPartUnique/>
        </w:docPartObj>
      </w:sdtPr>
      <w:sdtEndPr>
        <w:rPr>
          <w:b/>
          <w:bCs/>
          <w:noProof/>
        </w:rPr>
      </w:sdtEndPr>
      <w:sdtContent>
        <w:p w14:paraId="66EBFCBB" w14:textId="65F7BA93" w:rsidR="006025D2" w:rsidRPr="006025D2" w:rsidRDefault="006025D2" w:rsidP="006025D2">
          <w:pPr>
            <w:pStyle w:val="TOCHeading"/>
            <w:bidi/>
            <w:spacing w:line="360" w:lineRule="auto"/>
            <w:jc w:val="both"/>
            <w:rPr>
              <w:sz w:val="16"/>
              <w:szCs w:val="16"/>
            </w:rPr>
          </w:pPr>
        </w:p>
        <w:p w14:paraId="31944AE2" w14:textId="3DD0641E" w:rsidR="00583200" w:rsidRPr="00583200" w:rsidRDefault="006025D2" w:rsidP="00583200">
          <w:pPr>
            <w:pStyle w:val="TOC1"/>
            <w:tabs>
              <w:tab w:val="right" w:leader="dot" w:pos="9016"/>
            </w:tabs>
            <w:bidi/>
            <w:spacing w:line="480" w:lineRule="auto"/>
            <w:rPr>
              <w:rFonts w:eastAsiaTheme="minorEastAsia"/>
              <w:b/>
              <w:bCs/>
              <w:noProof/>
              <w:sz w:val="32"/>
              <w:szCs w:val="32"/>
            </w:rPr>
          </w:pPr>
          <w:r w:rsidRPr="00583200">
            <w:rPr>
              <w:b/>
              <w:bCs/>
              <w:sz w:val="40"/>
              <w:szCs w:val="40"/>
            </w:rPr>
            <w:fldChar w:fldCharType="begin"/>
          </w:r>
          <w:r w:rsidRPr="00583200">
            <w:rPr>
              <w:b/>
              <w:bCs/>
              <w:sz w:val="40"/>
              <w:szCs w:val="40"/>
            </w:rPr>
            <w:instrText xml:space="preserve"> TOC \o "1-3" \h \z \u </w:instrText>
          </w:r>
          <w:r w:rsidRPr="00583200">
            <w:rPr>
              <w:b/>
              <w:bCs/>
              <w:sz w:val="40"/>
              <w:szCs w:val="40"/>
            </w:rPr>
            <w:fldChar w:fldCharType="separate"/>
          </w:r>
          <w:hyperlink w:anchor="_Toc221075501" w:history="1">
            <w:r w:rsidR="00583200" w:rsidRPr="00583200">
              <w:rPr>
                <w:rStyle w:val="Hyperlink"/>
                <w:rFonts w:eastAsia="Calibri" w:hint="eastAsia"/>
                <w:b/>
                <w:bCs/>
                <w:noProof/>
                <w:sz w:val="32"/>
                <w:szCs w:val="32"/>
                <w:rtl/>
              </w:rPr>
              <w:t>الفصل</w:t>
            </w:r>
            <w:r w:rsidR="00583200" w:rsidRPr="00583200">
              <w:rPr>
                <w:rStyle w:val="Hyperlink"/>
                <w:rFonts w:eastAsia="Calibri"/>
                <w:b/>
                <w:bCs/>
                <w:noProof/>
                <w:sz w:val="32"/>
                <w:szCs w:val="32"/>
                <w:rtl/>
              </w:rPr>
              <w:t xml:space="preserve"> </w:t>
            </w:r>
            <w:r w:rsidR="00583200" w:rsidRPr="00583200">
              <w:rPr>
                <w:rStyle w:val="Hyperlink"/>
                <w:rFonts w:eastAsia="Calibri" w:hint="eastAsia"/>
                <w:b/>
                <w:bCs/>
                <w:noProof/>
                <w:sz w:val="32"/>
                <w:szCs w:val="32"/>
                <w:rtl/>
              </w:rPr>
              <w:t>الثاني</w:t>
            </w:r>
            <w:r w:rsidR="00583200" w:rsidRPr="00583200">
              <w:rPr>
                <w:rStyle w:val="Hyperlink"/>
                <w:rFonts w:eastAsia="Calibri"/>
                <w:b/>
                <w:bCs/>
                <w:noProof/>
                <w:sz w:val="32"/>
                <w:szCs w:val="32"/>
                <w:rtl/>
              </w:rPr>
              <w:t>:</w:t>
            </w:r>
            <w:r w:rsidR="00583200" w:rsidRPr="00583200">
              <w:rPr>
                <w:b/>
                <w:bCs/>
                <w:noProof/>
                <w:webHidden/>
                <w:sz w:val="32"/>
                <w:szCs w:val="32"/>
              </w:rPr>
              <w:tab/>
            </w:r>
            <w:r w:rsidR="00583200" w:rsidRPr="00583200">
              <w:rPr>
                <w:rStyle w:val="Hyperlink"/>
                <w:b/>
                <w:bCs/>
                <w:noProof/>
                <w:sz w:val="32"/>
                <w:szCs w:val="32"/>
                <w:rtl/>
              </w:rPr>
              <w:fldChar w:fldCharType="begin"/>
            </w:r>
            <w:r w:rsidR="00583200" w:rsidRPr="00583200">
              <w:rPr>
                <w:b/>
                <w:bCs/>
                <w:noProof/>
                <w:webHidden/>
                <w:sz w:val="32"/>
                <w:szCs w:val="32"/>
              </w:rPr>
              <w:instrText xml:space="preserve"> PAGEREF _Toc221075501 \h </w:instrText>
            </w:r>
            <w:r w:rsidR="00583200" w:rsidRPr="00583200">
              <w:rPr>
                <w:rStyle w:val="Hyperlink"/>
                <w:b/>
                <w:bCs/>
                <w:noProof/>
                <w:sz w:val="32"/>
                <w:szCs w:val="32"/>
                <w:rtl/>
              </w:rPr>
            </w:r>
            <w:r w:rsidR="00583200" w:rsidRPr="00583200">
              <w:rPr>
                <w:rStyle w:val="Hyperlink"/>
                <w:b/>
                <w:bCs/>
                <w:noProof/>
                <w:sz w:val="32"/>
                <w:szCs w:val="32"/>
                <w:rtl/>
              </w:rPr>
              <w:fldChar w:fldCharType="separate"/>
            </w:r>
            <w:r w:rsidR="008C4838">
              <w:rPr>
                <w:b/>
                <w:bCs/>
                <w:noProof/>
                <w:webHidden/>
                <w:sz w:val="32"/>
                <w:szCs w:val="32"/>
                <w:rtl/>
              </w:rPr>
              <w:t>3</w:t>
            </w:r>
            <w:r w:rsidR="00583200" w:rsidRPr="00583200">
              <w:rPr>
                <w:rStyle w:val="Hyperlink"/>
                <w:b/>
                <w:bCs/>
                <w:noProof/>
                <w:sz w:val="32"/>
                <w:szCs w:val="32"/>
                <w:rtl/>
              </w:rPr>
              <w:fldChar w:fldCharType="end"/>
            </w:r>
          </w:hyperlink>
        </w:p>
        <w:p w14:paraId="21099F56" w14:textId="783137F9"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2" w:history="1">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والدراسات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_Toc221075502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3</w:t>
            </w:r>
            <w:r w:rsidRPr="00583200">
              <w:rPr>
                <w:rStyle w:val="Hyperlink"/>
                <w:b/>
                <w:bCs/>
                <w:noProof/>
                <w:sz w:val="32"/>
                <w:szCs w:val="32"/>
                <w:rtl/>
              </w:rPr>
              <w:fldChar w:fldCharType="end"/>
            </w:r>
          </w:hyperlink>
        </w:p>
        <w:p w14:paraId="09327AEA" w14:textId="2CC0C984"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3" w:history="1">
            <w:r w:rsidRPr="00583200">
              <w:rPr>
                <w:rStyle w:val="Hyperlink"/>
                <w:rFonts w:ascii="Sakkal Majalla" w:hAnsi="Sakkal Majalla" w:cs="Sakkal Majalla" w:hint="eastAsia"/>
                <w:b/>
                <w:bCs/>
                <w:noProof/>
                <w:sz w:val="32"/>
                <w:szCs w:val="32"/>
                <w:rtl/>
              </w:rPr>
              <w:t>تمهيد</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_Toc221075503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4</w:t>
            </w:r>
            <w:r w:rsidRPr="00583200">
              <w:rPr>
                <w:rStyle w:val="Hyperlink"/>
                <w:b/>
                <w:bCs/>
                <w:noProof/>
                <w:sz w:val="32"/>
                <w:szCs w:val="32"/>
                <w:rtl/>
              </w:rPr>
              <w:fldChar w:fldCharType="end"/>
            </w:r>
          </w:hyperlink>
        </w:p>
        <w:p w14:paraId="70A22039" w14:textId="7C06CDBF"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4" w:history="1">
            <w:r w:rsidRPr="00583200">
              <w:rPr>
                <w:rStyle w:val="Hyperlink"/>
                <w:rFonts w:eastAsia="Calibri"/>
                <w:b/>
                <w:bCs/>
                <w:noProof/>
                <w:sz w:val="32"/>
                <w:szCs w:val="32"/>
                <w:rtl/>
              </w:rPr>
              <w:t xml:space="preserve">2.1 </w:t>
            </w:r>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_Toc221075504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5</w:t>
            </w:r>
            <w:r w:rsidRPr="00583200">
              <w:rPr>
                <w:rStyle w:val="Hyperlink"/>
                <w:b/>
                <w:bCs/>
                <w:noProof/>
                <w:sz w:val="32"/>
                <w:szCs w:val="32"/>
                <w:rtl/>
              </w:rPr>
              <w:fldChar w:fldCharType="end"/>
            </w:r>
          </w:hyperlink>
        </w:p>
        <w:p w14:paraId="16BB13E9" w14:textId="7A10DFB3"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5" w:history="1">
            <w:r w:rsidRPr="00583200">
              <w:rPr>
                <w:rStyle w:val="Hyperlink"/>
                <w:rFonts w:eastAsia="Calibri"/>
                <w:b/>
                <w:bCs/>
                <w:noProof/>
                <w:sz w:val="32"/>
                <w:szCs w:val="32"/>
                <w:rtl/>
              </w:rPr>
              <w:t xml:space="preserve">2.2 </w:t>
            </w:r>
            <w:r w:rsidRPr="00583200">
              <w:rPr>
                <w:rStyle w:val="Hyperlink"/>
                <w:rFonts w:eastAsia="Calibri" w:hint="eastAsia"/>
                <w:b/>
                <w:bCs/>
                <w:noProof/>
                <w:sz w:val="32"/>
                <w:szCs w:val="32"/>
                <w:rtl/>
              </w:rPr>
              <w:t>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_Toc221075505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12</w:t>
            </w:r>
            <w:r w:rsidRPr="00583200">
              <w:rPr>
                <w:rStyle w:val="Hyperlink"/>
                <w:b/>
                <w:bCs/>
                <w:noProof/>
                <w:sz w:val="32"/>
                <w:szCs w:val="32"/>
                <w:rtl/>
              </w:rPr>
              <w:fldChar w:fldCharType="end"/>
            </w:r>
          </w:hyperlink>
        </w:p>
        <w:p w14:paraId="21F78606" w14:textId="7B84D5FA"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6" w:history="1">
            <w:r w:rsidRPr="00583200">
              <w:rPr>
                <w:rStyle w:val="Hyperlink"/>
                <w:rFonts w:ascii="Sakkal Majalla" w:eastAsia="Calibri" w:hAnsi="Sakkal Majalla" w:cs="Sakkal Majalla"/>
                <w:b/>
                <w:bCs/>
                <w:noProof/>
                <w:sz w:val="32"/>
                <w:szCs w:val="32"/>
                <w:rtl/>
                <w:lang w:bidi="ar-EG"/>
              </w:rPr>
              <w:t xml:space="preserve">2.3 </w:t>
            </w:r>
            <w:r w:rsidRPr="00583200">
              <w:rPr>
                <w:rStyle w:val="Hyperlink"/>
                <w:rFonts w:ascii="Sakkal Majalla" w:eastAsia="Calibri" w:hAnsi="Sakkal Majalla" w:cs="Sakkal Majalla" w:hint="eastAsia"/>
                <w:b/>
                <w:bCs/>
                <w:noProof/>
                <w:sz w:val="32"/>
                <w:szCs w:val="32"/>
                <w:rtl/>
                <w:lang w:bidi="ar-EG"/>
              </w:rPr>
              <w:t>خاتمة</w:t>
            </w:r>
            <w:r w:rsidRPr="00583200">
              <w:rPr>
                <w:rStyle w:val="Hyperlink"/>
                <w:rFonts w:ascii="Sakkal Majalla" w:eastAsia="Calibri" w:hAnsi="Sakkal Majalla" w:cs="Sakkal Majalla"/>
                <w:b/>
                <w:bCs/>
                <w:noProof/>
                <w:sz w:val="32"/>
                <w:szCs w:val="32"/>
                <w:rtl/>
                <w:lang w:bidi="ar-EG"/>
              </w:rPr>
              <w:t xml:space="preserve"> </w:t>
            </w:r>
            <w:r w:rsidRPr="00583200">
              <w:rPr>
                <w:rStyle w:val="Hyperlink"/>
                <w:rFonts w:ascii="Sakkal Majalla" w:eastAsia="Calibri" w:hAnsi="Sakkal Majalla" w:cs="Sakkal Majalla" w:hint="eastAsia"/>
                <w:b/>
                <w:bCs/>
                <w:noProof/>
                <w:sz w:val="32"/>
                <w:szCs w:val="32"/>
                <w:rtl/>
                <w:lang w:bidi="ar-EG"/>
              </w:rPr>
              <w:t>الفصل</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_Toc221075506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24</w:t>
            </w:r>
            <w:r w:rsidRPr="00583200">
              <w:rPr>
                <w:rStyle w:val="Hyperlink"/>
                <w:b/>
                <w:bCs/>
                <w:noProof/>
                <w:sz w:val="32"/>
                <w:szCs w:val="32"/>
                <w:rtl/>
              </w:rPr>
              <w:fldChar w:fldCharType="end"/>
            </w:r>
          </w:hyperlink>
        </w:p>
        <w:p w14:paraId="2FDD4662" w14:textId="63886B94"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7" w:history="1">
            <w:r w:rsidRPr="00583200">
              <w:rPr>
                <w:rStyle w:val="Hyperlink"/>
                <w:rFonts w:eastAsia="Calibri" w:hint="eastAsia"/>
                <w:b/>
                <w:bCs/>
                <w:noProof/>
                <w:sz w:val="32"/>
                <w:szCs w:val="32"/>
                <w:rtl/>
                <w:lang w:bidi="ar-EG"/>
              </w:rPr>
              <w:t>المراجع</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_Toc221075507 \h </w:instrText>
            </w:r>
            <w:r w:rsidRPr="00583200">
              <w:rPr>
                <w:rStyle w:val="Hyperlink"/>
                <w:b/>
                <w:bCs/>
                <w:noProof/>
                <w:sz w:val="32"/>
                <w:szCs w:val="32"/>
                <w:rtl/>
              </w:rPr>
            </w:r>
            <w:r w:rsidRPr="00583200">
              <w:rPr>
                <w:rStyle w:val="Hyperlink"/>
                <w:b/>
                <w:bCs/>
                <w:noProof/>
                <w:sz w:val="32"/>
                <w:szCs w:val="32"/>
                <w:rtl/>
              </w:rPr>
              <w:fldChar w:fldCharType="separate"/>
            </w:r>
            <w:r w:rsidR="008C4838">
              <w:rPr>
                <w:b/>
                <w:bCs/>
                <w:noProof/>
                <w:webHidden/>
                <w:sz w:val="32"/>
                <w:szCs w:val="32"/>
                <w:rtl/>
              </w:rPr>
              <w:t>26</w:t>
            </w:r>
            <w:r w:rsidRPr="00583200">
              <w:rPr>
                <w:rStyle w:val="Hyperlink"/>
                <w:b/>
                <w:bCs/>
                <w:noProof/>
                <w:sz w:val="32"/>
                <w:szCs w:val="32"/>
                <w:rtl/>
              </w:rPr>
              <w:fldChar w:fldCharType="end"/>
            </w:r>
          </w:hyperlink>
        </w:p>
        <w:p w14:paraId="064B7691" w14:textId="56E1EBE7" w:rsidR="006025D2" w:rsidRPr="00583200" w:rsidRDefault="006025D2" w:rsidP="00583200">
          <w:pPr>
            <w:bidi/>
            <w:spacing w:line="480" w:lineRule="auto"/>
            <w:jc w:val="both"/>
            <w:rPr>
              <w:b/>
              <w:bCs/>
              <w:sz w:val="40"/>
              <w:szCs w:val="40"/>
            </w:rPr>
          </w:pPr>
          <w:r w:rsidRPr="00583200">
            <w:rPr>
              <w:b/>
              <w:bCs/>
              <w:noProof/>
              <w:sz w:val="40"/>
              <w:szCs w:val="40"/>
            </w:rPr>
            <w:fldChar w:fldCharType="end"/>
          </w:r>
        </w:p>
      </w:sdtContent>
    </w:sdt>
    <w:p w14:paraId="1A8B8B0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62A040F"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027DC03"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6643265"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800F8C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A1A493D"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7C223AE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74889B8"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0596D6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A96282D" w14:textId="77777777" w:rsidR="00FC2585" w:rsidRPr="00FC2585" w:rsidRDefault="00FC2585" w:rsidP="006025D2">
      <w:pPr>
        <w:pStyle w:val="Heading1"/>
        <w:bidi/>
        <w:rPr>
          <w:rFonts w:eastAsia="Calibri"/>
          <w:b/>
          <w:bCs/>
          <w:sz w:val="52"/>
          <w:szCs w:val="52"/>
          <w:rtl/>
        </w:rPr>
      </w:pPr>
    </w:p>
    <w:p w14:paraId="022EB3FB" w14:textId="77777777" w:rsidR="00B7660B" w:rsidRDefault="00FC2585" w:rsidP="00B7660B">
      <w:pPr>
        <w:pStyle w:val="Heading1"/>
        <w:bidi/>
        <w:jc w:val="center"/>
        <w:rPr>
          <w:rFonts w:eastAsia="Calibri"/>
          <w:b/>
          <w:bCs/>
          <w:sz w:val="52"/>
          <w:szCs w:val="52"/>
          <w:rtl/>
        </w:rPr>
      </w:pPr>
      <w:bookmarkStart w:id="0" w:name="_Toc221075501"/>
      <w:r w:rsidRPr="00FC2585">
        <w:rPr>
          <w:rFonts w:eastAsia="Calibri" w:hint="cs"/>
          <w:b/>
          <w:bCs/>
          <w:sz w:val="52"/>
          <w:szCs w:val="52"/>
          <w:rtl/>
        </w:rPr>
        <w:t xml:space="preserve">الفصل </w:t>
      </w:r>
      <w:r w:rsidR="00B7660B" w:rsidRPr="00B7660B">
        <w:rPr>
          <w:rFonts w:eastAsia="Calibri"/>
          <w:b/>
          <w:bCs/>
          <w:sz w:val="52"/>
          <w:szCs w:val="52"/>
          <w:rtl/>
        </w:rPr>
        <w:t>الثاني:</w:t>
      </w:r>
      <w:bookmarkEnd w:id="0"/>
    </w:p>
    <w:p w14:paraId="47351236" w14:textId="382808DB" w:rsidR="00B7660B" w:rsidRPr="00B7660B" w:rsidRDefault="00B7660B" w:rsidP="00B7660B">
      <w:pPr>
        <w:pStyle w:val="Heading1"/>
        <w:bidi/>
        <w:jc w:val="center"/>
        <w:rPr>
          <w:rFonts w:eastAsia="Calibri"/>
          <w:b/>
          <w:bCs/>
          <w:sz w:val="52"/>
          <w:szCs w:val="52"/>
        </w:rPr>
      </w:pPr>
      <w:r w:rsidRPr="00B7660B">
        <w:rPr>
          <w:rFonts w:eastAsia="Calibri"/>
          <w:b/>
          <w:bCs/>
          <w:sz w:val="52"/>
          <w:szCs w:val="52"/>
          <w:rtl/>
        </w:rPr>
        <w:t xml:space="preserve"> </w:t>
      </w:r>
      <w:bookmarkStart w:id="1" w:name="_Toc221075502"/>
      <w:r w:rsidRPr="00B7660B">
        <w:rPr>
          <w:rFonts w:eastAsia="Calibri"/>
          <w:b/>
          <w:bCs/>
          <w:sz w:val="52"/>
          <w:szCs w:val="52"/>
          <w:rtl/>
        </w:rPr>
        <w:t>الإطار النظري</w:t>
      </w:r>
      <w:r>
        <w:rPr>
          <w:rFonts w:eastAsia="Calibri" w:hint="cs"/>
          <w:b/>
          <w:bCs/>
          <w:sz w:val="52"/>
          <w:szCs w:val="52"/>
          <w:rtl/>
        </w:rPr>
        <w:t xml:space="preserve"> والدراسات السابقة</w:t>
      </w:r>
      <w:bookmarkEnd w:id="1"/>
    </w:p>
    <w:p w14:paraId="4E8CFBA9" w14:textId="5A088DE3" w:rsidR="00FC2585" w:rsidRDefault="00FC2585" w:rsidP="00FC2585">
      <w:pPr>
        <w:pStyle w:val="Heading1"/>
        <w:bidi/>
        <w:jc w:val="center"/>
        <w:rPr>
          <w:rFonts w:eastAsia="Calibri"/>
          <w:b/>
          <w:bCs/>
          <w:sz w:val="52"/>
          <w:szCs w:val="52"/>
          <w:rtl/>
        </w:rPr>
      </w:pPr>
    </w:p>
    <w:p w14:paraId="1FE608F2" w14:textId="77777777" w:rsidR="00B7660B" w:rsidRPr="00B7660B" w:rsidRDefault="00B7660B" w:rsidP="00B7660B">
      <w:pPr>
        <w:bidi/>
        <w:rPr>
          <w:rtl/>
        </w:rPr>
      </w:pPr>
    </w:p>
    <w:p w14:paraId="3F870917" w14:textId="77777777" w:rsidR="00FC2585" w:rsidRPr="00FC2585" w:rsidRDefault="00FC2585" w:rsidP="00B7660B">
      <w:pPr>
        <w:pStyle w:val="Heading1"/>
        <w:bidi/>
        <w:rPr>
          <w:rFonts w:eastAsia="Calibri"/>
          <w:b/>
          <w:bCs/>
          <w:sz w:val="52"/>
          <w:szCs w:val="52"/>
          <w:rtl/>
        </w:rPr>
      </w:pPr>
    </w:p>
    <w:p w14:paraId="251E1AE6"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4191D49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5E103E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98C4D0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6E1DDAD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2A053D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B1F7952"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6E23A6E" w14:textId="77E78E06" w:rsidR="00C729C5" w:rsidRPr="00C729C5" w:rsidRDefault="00583200" w:rsidP="00C729C5">
      <w:pPr>
        <w:bidi/>
        <w:spacing w:after="0" w:line="360" w:lineRule="auto"/>
        <w:ind w:right="-270"/>
        <w:jc w:val="both"/>
        <w:rPr>
          <w:rFonts w:ascii="Sakkal Majalla" w:eastAsia="Calibri" w:hAnsi="Sakkal Majalla" w:cs="Sakkal Majalla"/>
          <w:b/>
          <w:bCs/>
          <w:kern w:val="0"/>
          <w:sz w:val="32"/>
          <w:szCs w:val="32"/>
          <w14:ligatures w14:val="none"/>
        </w:rPr>
      </w:pPr>
      <w:bookmarkStart w:id="2" w:name="_Toc221075503"/>
      <w:r w:rsidRPr="00583200">
        <w:rPr>
          <w:rStyle w:val="Heading2Char"/>
          <w:rFonts w:ascii="Sakkal Majalla" w:hAnsi="Sakkal Majalla" w:cs="Sakkal Majalla"/>
          <w:b/>
          <w:bCs/>
          <w:sz w:val="36"/>
          <w:szCs w:val="36"/>
          <w:rtl/>
        </w:rPr>
        <w:lastRenderedPageBreak/>
        <w:t>تمهيد</w:t>
      </w:r>
      <w:bookmarkEnd w:id="2"/>
      <w:r>
        <w:rPr>
          <w:rFonts w:ascii="Sakkal Majalla" w:eastAsia="Calibri" w:hAnsi="Sakkal Majalla" w:cs="Sakkal Majalla" w:hint="cs"/>
          <w:b/>
          <w:bCs/>
          <w:kern w:val="0"/>
          <w:sz w:val="32"/>
          <w:szCs w:val="32"/>
          <w:rtl/>
          <w14:ligatures w14:val="none"/>
        </w:rPr>
        <w:t>:</w:t>
      </w:r>
    </w:p>
    <w:p w14:paraId="57237042" w14:textId="77777777" w:rsidR="00C729C5" w:rsidRPr="00C729C5" w:rsidRDefault="00C729C5" w:rsidP="00C729C5">
      <w:pPr>
        <w:bidi/>
        <w:spacing w:after="0" w:line="360" w:lineRule="auto"/>
        <w:ind w:right="-270"/>
        <w:jc w:val="both"/>
        <w:rPr>
          <w:rFonts w:ascii="Sakkal Majalla" w:eastAsia="Calibri" w:hAnsi="Sakkal Majalla" w:cs="Sakkal Majalla"/>
          <w:kern w:val="0"/>
          <w:sz w:val="32"/>
          <w:szCs w:val="32"/>
          <w14:ligatures w14:val="none"/>
        </w:rPr>
      </w:pPr>
      <w:r w:rsidRPr="00C729C5">
        <w:rPr>
          <w:rFonts w:ascii="Sakkal Majalla" w:eastAsia="Calibri" w:hAnsi="Sakkal Majalla" w:cs="Sakkal Majalla"/>
          <w:kern w:val="0"/>
          <w:sz w:val="32"/>
          <w:szCs w:val="32"/>
          <w:rtl/>
          <w14:ligatures w14:val="none"/>
        </w:rPr>
        <w:t>يهدف هذا الفصل إلى عرض الإطار النظري للدراسة وتوضيح المرتكزات المفاهيمية التي يقوم عليها موضوع التحولات في سوق العمل السعودي، مع التركيز على انعكاس هذه التحولات على استراتيجيات الموارد البشرية في القطاع الخاص في ضوء رؤية المملكة 2030. ويُعنى الفصل كذلك بتحليل الدراسات السابقة التي تناولت هذه القضايا، سواء في السياق المحلي أو الإقليمي أو الدولي، بما يتيح للباحث الوقوف على الاتجاهات الرئيسة في الأدبيات العلمية ذات الصلة</w:t>
      </w:r>
      <w:r w:rsidRPr="00C729C5">
        <w:rPr>
          <w:rFonts w:ascii="Sakkal Majalla" w:eastAsia="Calibri" w:hAnsi="Sakkal Majalla" w:cs="Sakkal Majalla"/>
          <w:kern w:val="0"/>
          <w:sz w:val="32"/>
          <w:szCs w:val="32"/>
          <w14:ligatures w14:val="none"/>
        </w:rPr>
        <w:t>.</w:t>
      </w:r>
    </w:p>
    <w:p w14:paraId="262BB658" w14:textId="77777777" w:rsidR="00583200" w:rsidRPr="00C729C5"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1BD7FDD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0A6947EC"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7B2DCBEB"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791CA44D"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AD64B4C"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406706B5"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9E481CD"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03EF6AD8"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441BBE4E"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588A3454"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19C6954F" w14:textId="77777777" w:rsidR="00C729C5"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6DA6724F" w14:textId="77777777" w:rsidR="00C729C5" w:rsidRPr="00583200" w:rsidRDefault="00C729C5" w:rsidP="00C729C5">
      <w:pPr>
        <w:bidi/>
        <w:spacing w:after="0" w:line="360" w:lineRule="auto"/>
        <w:ind w:right="-270"/>
        <w:jc w:val="both"/>
        <w:rPr>
          <w:rFonts w:ascii="Sakkal Majalla" w:eastAsia="Calibri" w:hAnsi="Sakkal Majalla" w:cs="Sakkal Majalla"/>
          <w:kern w:val="0"/>
          <w:sz w:val="32"/>
          <w:szCs w:val="32"/>
          <w:rtl/>
          <w14:ligatures w14:val="none"/>
        </w:rPr>
      </w:pPr>
    </w:p>
    <w:p w14:paraId="3F766FCA" w14:textId="361798A0" w:rsidR="00FC2585" w:rsidRPr="00FC2585" w:rsidRDefault="00E47078" w:rsidP="00B7660B">
      <w:pPr>
        <w:pStyle w:val="Heading2"/>
        <w:bidi/>
        <w:spacing w:line="480" w:lineRule="auto"/>
        <w:rPr>
          <w:rFonts w:eastAsia="Calibri"/>
          <w:b/>
          <w:bCs/>
          <w:sz w:val="36"/>
          <w:szCs w:val="36"/>
          <w:rtl/>
        </w:rPr>
      </w:pPr>
      <w:bookmarkStart w:id="3" w:name="_Toc221075504"/>
      <w:r>
        <w:rPr>
          <w:rFonts w:eastAsia="Calibri" w:hint="cs"/>
          <w:b/>
          <w:bCs/>
          <w:sz w:val="36"/>
          <w:szCs w:val="36"/>
          <w:rtl/>
        </w:rPr>
        <w:lastRenderedPageBreak/>
        <w:t xml:space="preserve">2.1 </w:t>
      </w:r>
      <w:r w:rsidR="00B7660B" w:rsidRPr="00B7660B">
        <w:rPr>
          <w:rFonts w:eastAsia="Calibri"/>
          <w:b/>
          <w:bCs/>
          <w:sz w:val="36"/>
          <w:szCs w:val="36"/>
          <w:rtl/>
        </w:rPr>
        <w:t>الإطار النظري</w:t>
      </w:r>
      <w:bookmarkEnd w:id="3"/>
    </w:p>
    <w:p w14:paraId="53FD337B" w14:textId="79FDC64E"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lang w:bidi="ar-EG"/>
          <w14:ligatures w14:val="none"/>
        </w:rPr>
        <w:t>2.1.1</w:t>
      </w:r>
      <w:r w:rsidR="00601E0B" w:rsidRPr="00601E0B">
        <w:rPr>
          <w:rFonts w:ascii="Sakkal Majalla" w:eastAsia="Calibri" w:hAnsi="Sakkal Majalla" w:cs="Sakkal Majalla"/>
          <w:b/>
          <w:bCs/>
          <w:kern w:val="0"/>
          <w:sz w:val="32"/>
          <w:szCs w:val="32"/>
          <w14:ligatures w14:val="none"/>
        </w:rPr>
        <w:t xml:space="preserve"> </w:t>
      </w:r>
      <w:r w:rsidR="00601E0B" w:rsidRPr="00601E0B">
        <w:rPr>
          <w:rFonts w:ascii="Sakkal Majalla" w:eastAsia="Calibri" w:hAnsi="Sakkal Majalla" w:cs="Sakkal Majalla"/>
          <w:b/>
          <w:bCs/>
          <w:kern w:val="0"/>
          <w:sz w:val="32"/>
          <w:szCs w:val="32"/>
          <w:rtl/>
          <w14:ligatures w14:val="none"/>
        </w:rPr>
        <w:t>سوق العمل السعودي</w:t>
      </w:r>
    </w:p>
    <w:p w14:paraId="726F9CE1" w14:textId="03341D60"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شهد سوق العمل السعودي خلال العقدين الأخيرين تحولات جوهرية ارتبطت بالإصلاحات الاقتصادية والاجتماعية التي أطلقتها المملكة في إطار رؤية </w:t>
      </w:r>
      <w:r w:rsidRPr="00E47078">
        <w:rPr>
          <w:rFonts w:ascii="Sakkal Majalla" w:eastAsia="Calibri" w:hAnsi="Sakkal Majalla" w:cs="Sakkal Majalla"/>
          <w:kern w:val="0"/>
          <w:sz w:val="32"/>
          <w:szCs w:val="32"/>
          <w14:ligatures w14:val="none"/>
        </w:rPr>
        <w:t>2030</w:t>
      </w:r>
      <w:r w:rsidRPr="00E47078">
        <w:rPr>
          <w:rFonts w:ascii="Sakkal Majalla" w:eastAsia="Calibri" w:hAnsi="Sakkal Majalla" w:cs="Sakkal Majalla"/>
          <w:kern w:val="0"/>
          <w:sz w:val="32"/>
          <w:szCs w:val="32"/>
          <w:rtl/>
          <w14:ligatures w14:val="none"/>
        </w:rPr>
        <w:t xml:space="preserve">، والتي جاءت لتعيد هيكلة الاقتصاد الوطني وتقلل من الاعتماد على النفط كمصدر رئيسي للإيرادات </w:t>
      </w:r>
      <w:r w:rsidR="00BD15FE">
        <w:rPr>
          <w:rFonts w:ascii="Sakkal Majalla" w:eastAsia="Calibri" w:hAnsi="Sakkal Majalla" w:cs="Sakkal Majalla"/>
          <w:kern w:val="0"/>
          <w:sz w:val="32"/>
          <w:szCs w:val="32"/>
          <w:rtl/>
          <w14:ligatures w14:val="none"/>
        </w:rPr>
        <w:t>(</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هذه</w:t>
      </w:r>
      <w:proofErr w:type="gramEnd"/>
      <w:r w:rsidRPr="00E47078">
        <w:rPr>
          <w:rFonts w:ascii="Sakkal Majalla" w:eastAsia="Calibri" w:hAnsi="Sakkal Majalla" w:cs="Sakkal Majalla"/>
          <w:kern w:val="0"/>
          <w:sz w:val="32"/>
          <w:szCs w:val="32"/>
          <w:rtl/>
          <w14:ligatures w14:val="none"/>
        </w:rPr>
        <w:t xml:space="preserve"> الإصلاحات انعكست بشكل مباشر على طبيعة الوظائف المطلوبة، حيث ارتفع الطلب على المهارات الرقمية والتقنية، في مقابل تراجع بعض الوظائف التقليدية التي كانت تعتمد على العمالة منخفضة المهارة أو غير المتخصصة </w:t>
      </w:r>
      <w:r w:rsidRPr="00E47078">
        <w:rPr>
          <w:rFonts w:ascii="Sakkal Majalla" w:eastAsia="Calibri" w:hAnsi="Sakkal Majalla" w:cs="Sakkal Majalla"/>
          <w:kern w:val="0"/>
          <w:sz w:val="32"/>
          <w:szCs w:val="32"/>
          <w14:ligatures w14:val="none"/>
        </w:rPr>
        <w:t xml:space="preserve">(Al-Omari, 2019). </w:t>
      </w:r>
      <w:r w:rsidRPr="00E47078">
        <w:rPr>
          <w:rFonts w:ascii="Sakkal Majalla" w:eastAsia="Calibri" w:hAnsi="Sakkal Majalla" w:cs="Sakkal Majalla"/>
          <w:kern w:val="0"/>
          <w:sz w:val="32"/>
          <w:szCs w:val="32"/>
          <w:rtl/>
          <w14:ligatures w14:val="none"/>
        </w:rPr>
        <w:t>ومع هذا التحول، أصبح القطاع الخاص أمام تحديات جديدة تتعلق بضرورة إعادة النظر في سياسات التوظيف والتدريب بما يتوافق مع متطلبات السوق المتغيرة، خاصة مع دخول تقنيات حديثة مثل الذكاء الاصطناعي والأتمتة إلى بيئات العمل</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3EE255A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أسهمت السياسات الحكومية مثل برامج التوطين والتحول الرقمي في إعادة تشكيل ديناميكيات العرض والطلب داخل سوق العمل، حيث أصبح التركيز منصبًا على تعزيز مشاركة القوى العاملة الوطنية في القطاعات الحيوية مثل الاتصالات، التقنية، التمويل، والصناعة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هذا التوجه لم يكن مجرد خيار اقتصادي، بل جاء كضرورة استراتيجية لضمان استدامة النمو وتلبية متطلبات التنمية الشاملة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ومع ذلك، فإن الفجوة بين المهارات المطلوبة والمهارات المتوفرة لدى القوى العاملة المحلية لا تزال قائمة، وهو ما أشار إليه تقرير منظمة العمل الدولية الذي أكد أن الأسواق الناشئة مثل السعودية تواجه تحديات مزدوجة تتمثل في الحاجة إلى رفع كفاءة القوى العاملة المحلية ومواكبة التطورات التكنولوجية العالمية </w:t>
      </w:r>
      <w:r w:rsidRPr="00E47078">
        <w:rPr>
          <w:rFonts w:ascii="Sakkal Majalla" w:eastAsia="Calibri" w:hAnsi="Sakkal Majalla" w:cs="Sakkal Majalla"/>
          <w:kern w:val="0"/>
          <w:sz w:val="32"/>
          <w:szCs w:val="32"/>
          <w14:ligatures w14:val="none"/>
        </w:rPr>
        <w:t>(ILO, 2021).</w:t>
      </w:r>
    </w:p>
    <w:p w14:paraId="0BFBDEED"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البعد الديموغرافي لعب دورًا مهمًا في تشكيل ملامح سوق العمل السعودي، حيث يشكل الشباب نسبة كبيرة من السكان، مما يزيد من حجم الداخلين الجدد إلى سوق العمل سنويًا ويضاعف الضغوط على المؤسسات لتوفير فرص عمل تتناسب مع تطلعاتهم وتلبي احتياجاتهم المهنية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إضافة إلى ذلك، شهدت مشاركة </w:t>
      </w:r>
      <w:r w:rsidRPr="00E47078">
        <w:rPr>
          <w:rFonts w:ascii="Sakkal Majalla" w:eastAsia="Calibri" w:hAnsi="Sakkal Majalla" w:cs="Sakkal Majalla"/>
          <w:kern w:val="0"/>
          <w:sz w:val="32"/>
          <w:szCs w:val="32"/>
          <w:rtl/>
          <w14:ligatures w14:val="none"/>
        </w:rPr>
        <w:lastRenderedPageBreak/>
        <w:t xml:space="preserve">المرأة في سوق العمل ارتفاعًا ملحوظًا نتيجة الإصلاحات الاجتماعية، وهو ما أضاف بعدًا جديدًا للتنوع في القوى العاملة وأثر على سياسات التوظيف والتطوير </w:t>
      </w:r>
      <w:r w:rsidRPr="00E47078">
        <w:rPr>
          <w:rFonts w:ascii="Sakkal Majalla" w:eastAsia="Calibri" w:hAnsi="Sakkal Majalla" w:cs="Sakkal Majalla"/>
          <w:kern w:val="0"/>
          <w:sz w:val="32"/>
          <w:szCs w:val="32"/>
          <w14:ligatures w14:val="none"/>
        </w:rPr>
        <w:t>(Al-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هذه التغيرات الديموغرافية والاجتماعية جعلت من الضروري أن تتبنى المؤسسات الخاصة استراتيجيات أكثر شمولًا ومرونة في إدارة الموارد البشرية</w:t>
      </w:r>
      <w:r w:rsidRPr="00E47078">
        <w:rPr>
          <w:rFonts w:ascii="Sakkal Majalla" w:eastAsia="Calibri" w:hAnsi="Sakkal Majalla" w:cs="Sakkal Majalla"/>
          <w:kern w:val="0"/>
          <w:sz w:val="32"/>
          <w:szCs w:val="32"/>
          <w14:ligatures w14:val="none"/>
        </w:rPr>
        <w:t>.</w:t>
      </w:r>
    </w:p>
    <w:p w14:paraId="58A3F0FB"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ولا يمكن النظر إلى سوق العمل السعودي بمعزل عن السياق العالمي، حيث تؤثر التطورات التكنولوجية مثل الذكاء الاصطناعي والأتمتة على طبيعة الوظائف في مختلف الدول</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وقد أكدت دراسات دولية أن هذه التحولات تعيد تشكيل الوظائف التقليدية وتفرض على المؤسسات إعادة التفكير في أنماط التشغيل وأساليب الاستقطاب </w:t>
      </w:r>
      <w:r w:rsidRPr="00E47078">
        <w:rPr>
          <w:rFonts w:ascii="Sakkal Majalla" w:eastAsia="Calibri" w:hAnsi="Sakkal Majalla" w:cs="Sakkal Majalla"/>
          <w:kern w:val="0"/>
          <w:sz w:val="32"/>
          <w:szCs w:val="32"/>
          <w14:ligatures w14:val="none"/>
        </w:rPr>
        <w:t xml:space="preserve">(Brynjolfsson &amp; McAfee, 2020). </w:t>
      </w:r>
      <w:r w:rsidRPr="00E47078">
        <w:rPr>
          <w:rFonts w:ascii="Sakkal Majalla" w:eastAsia="Calibri" w:hAnsi="Sakkal Majalla" w:cs="Sakkal Majalla"/>
          <w:kern w:val="0"/>
          <w:sz w:val="32"/>
          <w:szCs w:val="32"/>
          <w:rtl/>
          <w14:ligatures w14:val="none"/>
        </w:rPr>
        <w:t>هذا يضع المؤسسات السعودية أمام مسؤولية مضاعفة تتمثل في التكيف مع المتغيرات المحلية والعالمية في آن واحد، بما يضمن قدرتها على المنافسة والاستدامة في بيئة أعمال متغيرة وسريعة التطور</w:t>
      </w:r>
      <w:r w:rsidRPr="00E47078">
        <w:rPr>
          <w:rFonts w:ascii="Sakkal Majalla" w:eastAsia="Calibri" w:hAnsi="Sakkal Majalla" w:cs="Sakkal Majalla"/>
          <w:kern w:val="0"/>
          <w:sz w:val="32"/>
          <w:szCs w:val="32"/>
          <w14:ligatures w14:val="none"/>
        </w:rPr>
        <w:t>.</w:t>
      </w:r>
    </w:p>
    <w:p w14:paraId="2460A095"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كل هذه العوامل انعكست بشكل مباشر على استراتيجيات الموارد البشرية في القطاع الخاص السعودي، حيث أصبح من الضروري تبني سياسات أكثر ابتكارًا ومرونة في التوظيف، التدريب، وتطوير الأداء</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فالمؤسسات التي لا تواكب هذه التغيرات تواجه خطر فقدان قدرتها التنافسية في السوق المحلي والدولي، بينما تلك التي تستثمر في تطوير رأس المال البشري وتبني التحول الرقمي تحقق مستويات أعلى من الكفاءة والقدرة على مواجهة التحديات المستقبلية </w:t>
      </w:r>
      <w:r w:rsidRPr="00E47078">
        <w:rPr>
          <w:rFonts w:ascii="Sakkal Majalla" w:eastAsia="Calibri" w:hAnsi="Sakkal Majalla" w:cs="Sakkal Majalla"/>
          <w:kern w:val="0"/>
          <w:sz w:val="32"/>
          <w:szCs w:val="32"/>
          <w14:ligatures w14:val="none"/>
        </w:rPr>
        <w:t xml:space="preserve">(Deloitte, 2022). </w:t>
      </w:r>
      <w:r w:rsidRPr="00E47078">
        <w:rPr>
          <w:rFonts w:ascii="Sakkal Majalla" w:eastAsia="Calibri" w:hAnsi="Sakkal Majalla" w:cs="Sakkal Majalla"/>
          <w:kern w:val="0"/>
          <w:sz w:val="32"/>
          <w:szCs w:val="32"/>
          <w:rtl/>
          <w14:ligatures w14:val="none"/>
        </w:rPr>
        <w:t xml:space="preserve">ومن هنا يتضح أن دراسة سوق العمل السعودي ليست مجرد رصد للتحولات الاقتصادية والاجتماعية، بل هي مدخل أساسي لفهم كيفية إعادة صياغة استراتيجيات الموارد البشرية بما يتماشى مع أهداف رؤية </w:t>
      </w:r>
      <w:r w:rsidRPr="00E47078">
        <w:rPr>
          <w:rFonts w:ascii="Sakkal Majalla" w:eastAsia="Calibri" w:hAnsi="Sakkal Majalla" w:cs="Sakkal Majalla"/>
          <w:kern w:val="0"/>
          <w:sz w:val="32"/>
          <w:szCs w:val="32"/>
          <w14:ligatures w14:val="none"/>
        </w:rPr>
        <w:t xml:space="preserve">2030 </w:t>
      </w:r>
      <w:r w:rsidRPr="00E47078">
        <w:rPr>
          <w:rFonts w:ascii="Sakkal Majalla" w:eastAsia="Calibri" w:hAnsi="Sakkal Majalla" w:cs="Sakkal Majalla"/>
          <w:kern w:val="0"/>
          <w:sz w:val="32"/>
          <w:szCs w:val="32"/>
          <w:rtl/>
          <w14:ligatures w14:val="none"/>
        </w:rPr>
        <w:t>ويضمن استدامة النمو المؤسسي</w:t>
      </w:r>
      <w:r w:rsidRPr="00E47078">
        <w:rPr>
          <w:rFonts w:ascii="Sakkal Majalla" w:eastAsia="Calibri" w:hAnsi="Sakkal Majalla" w:cs="Sakkal Majalla"/>
          <w:kern w:val="0"/>
          <w:sz w:val="32"/>
          <w:szCs w:val="32"/>
          <w14:ligatures w14:val="none"/>
        </w:rPr>
        <w:t>.</w:t>
      </w:r>
    </w:p>
    <w:p w14:paraId="6C35467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7A7A245F"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333B3989"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64255181" w14:textId="77777777"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p>
    <w:p w14:paraId="09068952" w14:textId="5F6DABFC"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lastRenderedPageBreak/>
        <w:t xml:space="preserve">2.1.2 </w:t>
      </w:r>
      <w:r w:rsidR="00601E0B" w:rsidRPr="00601E0B">
        <w:rPr>
          <w:rFonts w:ascii="Sakkal Majalla" w:eastAsia="Calibri" w:hAnsi="Sakkal Majalla" w:cs="Sakkal Majalla"/>
          <w:b/>
          <w:bCs/>
          <w:kern w:val="0"/>
          <w:sz w:val="32"/>
          <w:szCs w:val="32"/>
          <w:rtl/>
          <w14:ligatures w14:val="none"/>
        </w:rPr>
        <w:t>استراتيجيات الموارد البشرية</w:t>
      </w:r>
    </w:p>
    <w:p w14:paraId="7CFF98C3" w14:textId="2A4DD081"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استراتيجيات الموارد البشرية من الركائز الأساسية التي تحدد قدرة المؤسسات على التكيف مع التحولات الاقتصادية والاجتماعية والتكنولوجية، إذ تمثل مجموعة السياسات والممارسات التي تهدف إلى إدارة المواهب، تطوير الأداء، وضمان استدامة المؤسسات في بيئات عمل متغيرة. في السياق السعودي، ارتبطت هذه الاستراتيجيات بشكل وثيق ببرامج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حيث أصبح القطاع الخاص مطالبًا بتبني أساليب أكثر مرونة وابتكارًا في التوظيف، التدريب، وتطوير الكفاءات بما يتماشى مع أهداف التنمية الوطنية</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74946B1F" w14:textId="1B07602C"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شهدت إدارة الموارد البشرية تحولًا ملحوظًا من التركيز على الإجراءات التقليدية إلى تبني أنظمة حديثة تعتمد على التكنولوجيا والذكاء الاصطناعي، مثل أنظمة التوظيف الذكية التي تقوم بتحليل بيانات المتقدمين واختيار الأنسب وفقًا لمعايير الكفاءة، وبرامج التدريب الإلكتروني التي تتيح للموظفين تطوير مهاراتهم الرقمية بشكل مستمر</w:t>
      </w:r>
      <w:r w:rsidRPr="00E47078">
        <w:rPr>
          <w:rFonts w:ascii="Sakkal Majalla" w:eastAsia="Calibri" w:hAnsi="Sakkal Majalla" w:cs="Sakkal Majalla"/>
          <w:kern w:val="0"/>
          <w:sz w:val="32"/>
          <w:szCs w:val="32"/>
          <w14:ligatures w14:val="none"/>
        </w:rPr>
        <w:t xml:space="preserve"> </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هذا</w:t>
      </w:r>
      <w:proofErr w:type="gramEnd"/>
      <w:r w:rsidRPr="00E47078">
        <w:rPr>
          <w:rFonts w:ascii="Sakkal Majalla" w:eastAsia="Calibri" w:hAnsi="Sakkal Majalla" w:cs="Sakkal Majalla"/>
          <w:kern w:val="0"/>
          <w:sz w:val="32"/>
          <w:szCs w:val="32"/>
          <w:rtl/>
          <w14:ligatures w14:val="none"/>
        </w:rPr>
        <w:t xml:space="preserve"> التحول يعكس تطبيقًا عمليًا لمفهوم </w:t>
      </w:r>
      <w:r w:rsidRPr="00E47078">
        <w:rPr>
          <w:rFonts w:ascii="Sakkal Majalla" w:eastAsia="Calibri" w:hAnsi="Sakkal Majalla" w:cs="Sakkal Majalla"/>
          <w:b/>
          <w:bCs/>
          <w:kern w:val="0"/>
          <w:sz w:val="32"/>
          <w:szCs w:val="32"/>
          <w:rtl/>
          <w14:ligatures w14:val="none"/>
        </w:rPr>
        <w:t>رأس المال البشري</w:t>
      </w:r>
      <w:r w:rsidRPr="00E47078">
        <w:rPr>
          <w:rFonts w:ascii="Sakkal Majalla" w:eastAsia="Calibri" w:hAnsi="Sakkal Majalla" w:cs="Sakkal Majalla"/>
          <w:kern w:val="0"/>
          <w:sz w:val="32"/>
          <w:szCs w:val="32"/>
          <w:rtl/>
          <w14:ligatures w14:val="none"/>
        </w:rPr>
        <w:t xml:space="preserve"> الذي يرى أن الاستثمار في التعليم والتدريب يزيد من إنتاجية الأفراد ويعزز القدرة التنافسية للمؤسسات</w:t>
      </w:r>
      <w:r w:rsidRPr="00E47078">
        <w:rPr>
          <w:rFonts w:ascii="Sakkal Majalla" w:eastAsia="Calibri" w:hAnsi="Sakkal Majalla" w:cs="Sakkal Majalla"/>
          <w:kern w:val="0"/>
          <w:sz w:val="32"/>
          <w:szCs w:val="32"/>
          <w14:ligatures w14:val="none"/>
        </w:rPr>
        <w:t xml:space="preserve"> (Becker, 1993).</w:t>
      </w:r>
    </w:p>
    <w:p w14:paraId="7CDE6EE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كما أن استراتيجيات الموارد البشرية في المملكة تأثرت بمفهوم </w:t>
      </w:r>
      <w:r w:rsidRPr="00E47078">
        <w:rPr>
          <w:rFonts w:ascii="Sakkal Majalla" w:eastAsia="Calibri" w:hAnsi="Sakkal Majalla" w:cs="Sakkal Majalla"/>
          <w:b/>
          <w:bCs/>
          <w:kern w:val="0"/>
          <w:sz w:val="32"/>
          <w:szCs w:val="32"/>
          <w:rtl/>
          <w14:ligatures w14:val="none"/>
        </w:rPr>
        <w:t>التكيف التنظيمي</w:t>
      </w:r>
      <w:r w:rsidRPr="00E47078">
        <w:rPr>
          <w:rFonts w:ascii="Sakkal Majalla" w:eastAsia="Calibri" w:hAnsi="Sakkal Majalla" w:cs="Sakkal Majalla"/>
          <w:kern w:val="0"/>
          <w:sz w:val="32"/>
          <w:szCs w:val="32"/>
          <w:rtl/>
          <w14:ligatures w14:val="none"/>
        </w:rPr>
        <w:t>، حيث أصبح لزامًا على المؤسسات أن تُعيد هيكلة سياساتها بما يتناسب مع التغيرات السريعة في سوق العمل، سواء من حيث التشريعات الجديدة أو متطلبات التحول الرقمي. المؤسسات التي تتمتع بمرونة تنظيمية أكبر تكون أكثر قدرة على مواجهة التحديات المرتبطة بالتوطين، تطوير المهارات، وضمان الاستدامة الوظيفية</w:t>
      </w:r>
      <w:r w:rsidRPr="00E47078">
        <w:rPr>
          <w:rFonts w:ascii="Sakkal Majalla" w:eastAsia="Calibri" w:hAnsi="Sakkal Majalla" w:cs="Sakkal Majalla"/>
          <w:kern w:val="0"/>
          <w:sz w:val="32"/>
          <w:szCs w:val="32"/>
          <w14:ligatures w14:val="none"/>
        </w:rPr>
        <w:t xml:space="preserve"> (Scott, 2003).</w:t>
      </w:r>
    </w:p>
    <w:p w14:paraId="7C50C038"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إلى جانب ذلك، برز دور </w:t>
      </w:r>
      <w:r w:rsidRPr="00E47078">
        <w:rPr>
          <w:rFonts w:ascii="Sakkal Majalla" w:eastAsia="Calibri" w:hAnsi="Sakkal Majalla" w:cs="Sakkal Majalla"/>
          <w:b/>
          <w:bCs/>
          <w:kern w:val="0"/>
          <w:sz w:val="32"/>
          <w:szCs w:val="32"/>
          <w:rtl/>
          <w14:ligatures w14:val="none"/>
        </w:rPr>
        <w:t>القيادة التحويلية</w:t>
      </w:r>
      <w:r w:rsidRPr="00E47078">
        <w:rPr>
          <w:rFonts w:ascii="Sakkal Majalla" w:eastAsia="Calibri" w:hAnsi="Sakkal Majalla" w:cs="Sakkal Majalla"/>
          <w:kern w:val="0"/>
          <w:sz w:val="32"/>
          <w:szCs w:val="32"/>
          <w:rtl/>
          <w14:ligatures w14:val="none"/>
        </w:rPr>
        <w:t xml:space="preserve"> في تعزيز فعالية استراتيجيات الموارد البشرية، إذ يسهم القادة الذين يلهمون الموظفين ويدعمونهم في خلق بيئة عمل محفزة للإبداع والابتكار، مما ينعكس إيجابًا على مستويات الرضا الوظيفي والاستقرار المؤسسي</w:t>
      </w:r>
      <w:r w:rsidRPr="00E47078">
        <w:rPr>
          <w:rFonts w:ascii="Sakkal Majalla" w:eastAsia="Calibri" w:hAnsi="Sakkal Majalla" w:cs="Sakkal Majalla"/>
          <w:kern w:val="0"/>
          <w:sz w:val="32"/>
          <w:szCs w:val="32"/>
          <w14:ligatures w14:val="none"/>
        </w:rPr>
        <w:t xml:space="preserve"> (Bass &amp; Riggio, 2006). </w:t>
      </w:r>
      <w:r w:rsidRPr="00E47078">
        <w:rPr>
          <w:rFonts w:ascii="Sakkal Majalla" w:eastAsia="Calibri" w:hAnsi="Sakkal Majalla" w:cs="Sakkal Majalla"/>
          <w:kern w:val="0"/>
          <w:sz w:val="32"/>
          <w:szCs w:val="32"/>
          <w:rtl/>
          <w14:ligatures w14:val="none"/>
        </w:rPr>
        <w:t xml:space="preserve">وقد أظهرت دراسات حديثة أن </w:t>
      </w:r>
      <w:r w:rsidRPr="00E47078">
        <w:rPr>
          <w:rFonts w:ascii="Sakkal Majalla" w:eastAsia="Calibri" w:hAnsi="Sakkal Majalla" w:cs="Sakkal Majalla"/>
          <w:kern w:val="0"/>
          <w:sz w:val="32"/>
          <w:szCs w:val="32"/>
          <w:rtl/>
          <w14:ligatures w14:val="none"/>
        </w:rPr>
        <w:lastRenderedPageBreak/>
        <w:t>المؤسسات التي تتبنى هذا النوع من القيادة تحقق نتائج أفضل في إدارة التغيير والتحول الرقمي مقارنة بالمؤسسات التي تعتمد على أساليب القيادة التقليدية</w:t>
      </w:r>
      <w:r w:rsidRPr="00E47078">
        <w:rPr>
          <w:rFonts w:ascii="Sakkal Majalla" w:eastAsia="Calibri" w:hAnsi="Sakkal Majalla" w:cs="Sakkal Majalla"/>
          <w:kern w:val="0"/>
          <w:sz w:val="32"/>
          <w:szCs w:val="32"/>
          <w14:ligatures w14:val="none"/>
        </w:rPr>
        <w:t xml:space="preserve"> (Deloitte, 2022).</w:t>
      </w:r>
    </w:p>
    <w:p w14:paraId="5F43D1D3" w14:textId="717A72AC"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وبذلك يمكن القول إن استراتيجيات الموارد البشرية في القطاع الخاص السعودي لم تعد مجرد إجراءات إدارية، بل أصبحت أداة استراتيجية تسهم في تحقيق أهداف رؤية 2030 عبر تعزيز التوطين، دعم التحول الرقمي، وتنمية رأس المال البشري. المؤسسات التي تستثمر في هذه الاستراتيجيات تحقق مستويات أعلى من الكفاءة والقدرة على المنافسة، بينما تواجه المؤسسات التي تتجاهل هذه التحولات خطر فقدان قدرتها على الاستدامة في سوق عمل سريع التغير</w:t>
      </w:r>
      <w:r w:rsidRPr="00E47078">
        <w:rPr>
          <w:rFonts w:ascii="Sakkal Majalla" w:eastAsia="Calibri" w:hAnsi="Sakkal Majalla" w:cs="Sakkal Majalla"/>
          <w:kern w:val="0"/>
          <w:sz w:val="32"/>
          <w:szCs w:val="32"/>
          <w14:ligatures w14:val="none"/>
        </w:rPr>
        <w:t xml:space="preserve"> (Brynjolfsson &amp; McAfee, 2020).</w:t>
      </w:r>
    </w:p>
    <w:p w14:paraId="4716D25C" w14:textId="09886DE4"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2.1.3 </w:t>
      </w:r>
      <w:r w:rsidR="00601E0B" w:rsidRPr="00601E0B">
        <w:rPr>
          <w:rFonts w:ascii="Sakkal Majalla" w:eastAsia="Calibri" w:hAnsi="Sakkal Majalla" w:cs="Sakkal Majalla"/>
          <w:b/>
          <w:bCs/>
          <w:kern w:val="0"/>
          <w:sz w:val="32"/>
          <w:szCs w:val="32"/>
          <w:rtl/>
          <w14:ligatures w14:val="none"/>
        </w:rPr>
        <w:t>التوطين</w:t>
      </w:r>
    </w:p>
    <w:p w14:paraId="5DE12B14"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التوطين أحد أهم السياسات الاستراتيجية التي تبنتها المملكة العربية السعودية في إطار رؤية 2030، حيث يهدف إلى إحلال العمالة الوطنية محل العمالة الأجنبية من خلال برامج تدريبية وتطويرية ترفع من مستوى مشاركة المواطنين في سوق العمل. وقد ارتبط هذا التوجه بضرورة تعزيز الاستقرار الوظيفي وزيادة مساهمة القوى العاملة الوطنية في القطاعات الحيوية، بما يسهم في تحقيق التنمية المستدامة وتقليل الاعتماد على العمالة الوافدة</w:t>
      </w:r>
      <w:r w:rsidRPr="00E47078">
        <w:rPr>
          <w:rFonts w:ascii="Sakkal Majalla" w:eastAsia="Calibri" w:hAnsi="Sakkal Majalla" w:cs="Sakkal Majalla"/>
          <w:kern w:val="0"/>
          <w:sz w:val="32"/>
          <w:szCs w:val="32"/>
          <w14:ligatures w14:val="none"/>
        </w:rPr>
        <w:t xml:space="preserve"> (Al-Omari, 2019).</w:t>
      </w:r>
    </w:p>
    <w:p w14:paraId="223E7689" w14:textId="1186886B"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شكّل التوطين محورًا رئيسيًا في الإصلاحات الاقتصادية والاجتماعية، حيث وضعت الحكومة السعودية مجموعة من التشريعات والبرامج التي تلزم المؤسسات الخاصة برفع نسب التوظيف للسعوديين، مع توفير بيئة عمل محفزة تضمن توافق الكفاءات الوطنية مع متطلبات السوق. وقد أظهرت الدراسات أن هذه السياسة أسهمت في تحسين فرص التوظيف وزيادة رضا الموظفين، لكنها في الوقت ذاته واجهت تحديات تتعلق بمواءمة المهارات المتوفرة مع الاحتياجات الفعلية للقطاعات المختلفة</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00BD15FE">
        <w:rPr>
          <w:rFonts w:ascii="Sakkal Majalla" w:eastAsia="Calibri" w:hAnsi="Sakkal Majalla" w:cs="Sakkal Majalla"/>
          <w:kern w:val="0"/>
          <w:sz w:val="32"/>
          <w:szCs w:val="32"/>
          <w:rtl/>
          <w14:ligatures w14:val="none"/>
        </w:rPr>
        <w:t>).</w:t>
      </w:r>
    </w:p>
    <w:p w14:paraId="5156183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وتشير الأدبيات إلى أن نجاح التوطين يعتمد على قدرة المؤسسات على الاستثمار في رأس المال البشري، من خلال توفير برامج تدريب مستمرة وتطوير مهني يرفع من كفاءة القوى العاملة الوطنية ويجعلها قادرة على </w:t>
      </w:r>
      <w:r w:rsidRPr="00E47078">
        <w:rPr>
          <w:rFonts w:ascii="Sakkal Majalla" w:eastAsia="Calibri" w:hAnsi="Sakkal Majalla" w:cs="Sakkal Majalla"/>
          <w:kern w:val="0"/>
          <w:sz w:val="32"/>
          <w:szCs w:val="32"/>
          <w:rtl/>
          <w14:ligatures w14:val="none"/>
        </w:rPr>
        <w:lastRenderedPageBreak/>
        <w:t>المنافسة في بيئات عمل متغيرة. وقد أكد</w:t>
      </w:r>
      <w:r w:rsidRPr="00E47078">
        <w:rPr>
          <w:rFonts w:ascii="Sakkal Majalla" w:eastAsia="Calibri" w:hAnsi="Sakkal Majalla" w:cs="Sakkal Majalla"/>
          <w:kern w:val="0"/>
          <w:sz w:val="32"/>
          <w:szCs w:val="32"/>
          <w14:ligatures w14:val="none"/>
        </w:rPr>
        <w:t xml:space="preserve"> 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أن التوطين لا يمكن أن يحقق أهدافه بشكل كامل إلا إذا ترافق مع سياسات تعليمية وتدريبية متكاملة تدعم بناء المهارات المطلوبة في السوق</w:t>
      </w:r>
      <w:r w:rsidRPr="00E47078">
        <w:rPr>
          <w:rFonts w:ascii="Sakkal Majalla" w:eastAsia="Calibri" w:hAnsi="Sakkal Majalla" w:cs="Sakkal Majalla"/>
          <w:kern w:val="0"/>
          <w:sz w:val="32"/>
          <w:szCs w:val="32"/>
          <w14:ligatures w14:val="none"/>
        </w:rPr>
        <w:t>.</w:t>
      </w:r>
    </w:p>
    <w:p w14:paraId="6EEB195E" w14:textId="2FEE24F7" w:rsidR="00E47078" w:rsidRPr="00E47078" w:rsidRDefault="00E47078" w:rsidP="00E47078">
      <w:pPr>
        <w:bidi/>
        <w:spacing w:after="0" w:line="360" w:lineRule="auto"/>
        <w:ind w:right="-270"/>
        <w:jc w:val="both"/>
        <w:rPr>
          <w:rFonts w:ascii="Sakkal Majalla" w:eastAsia="Calibri" w:hAnsi="Sakkal Majalla" w:cs="Sakkal Majalla"/>
          <w:kern w:val="0"/>
          <w:sz w:val="32"/>
          <w:szCs w:val="32"/>
          <w:rtl/>
          <w:lang w:bidi="ar-EG"/>
          <w14:ligatures w14:val="none"/>
        </w:rPr>
      </w:pPr>
      <w:r w:rsidRPr="00E47078">
        <w:rPr>
          <w:rFonts w:ascii="Sakkal Majalla" w:eastAsia="Calibri" w:hAnsi="Sakkal Majalla" w:cs="Sakkal Majalla"/>
          <w:kern w:val="0"/>
          <w:sz w:val="32"/>
          <w:szCs w:val="32"/>
          <w:rtl/>
          <w14:ligatures w14:val="none"/>
        </w:rPr>
        <w:t>كما أن التوطين يرتبط ارتباطًا وثيقًا بمفهوم التكيف التنظيمي، حيث يتطلب من المؤسسات إعادة هيكلة سياساتها الداخلية لتتلاءم مع التشريعات الجديدة ومعايير السوق، وهو ما يفرض على إدارات الموارد البشرية تبني استراتيجيات أكثر مرونة في الاستقطاب والتطوير. ومن جانب آخر، فإن التوطين يسهم في تعزيز الهوية الوطنية داخل المؤسسات الخاصة، ويخلق بيئة عمل أكثر استقرارًا واستدامة، مما ينعكس إيجابًا على الأداء المؤسسي ويعزز القدرة التنافسية في السوق المحلي والدولي</w:t>
      </w:r>
      <w:r w:rsidRPr="00E47078">
        <w:rPr>
          <w:rFonts w:ascii="Sakkal Majalla" w:eastAsia="Calibri" w:hAnsi="Sakkal Majalla" w:cs="Sakkal Majalla"/>
          <w:kern w:val="0"/>
          <w:sz w:val="32"/>
          <w:szCs w:val="32"/>
          <w14:ligatures w14:val="none"/>
        </w:rPr>
        <w:t xml:space="preserve"> .</w:t>
      </w:r>
    </w:p>
    <w:p w14:paraId="771CE357" w14:textId="56FF8CC8"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وبذلك يمكن القول إن التوطين يمثل ركيزة أساسية في إعادة تشكيل سوق العمل السعودي، حيث لا يقتصر دوره على زيادة نسب مشاركة المواطنين في القطاع الخاص، بل يتجاوز ذلك ليكون أداة استراتيجية تدعم التحول الاقتصادي والاجتماعي، وتضمن استدامة النمو المؤسسي في ظل رؤية 2030</w:t>
      </w:r>
      <w:r w:rsidRPr="00E47078">
        <w:rPr>
          <w:rFonts w:ascii="Sakkal Majalla" w:eastAsia="Calibri" w:hAnsi="Sakkal Majalla" w:cs="Sakkal Majalla"/>
          <w:kern w:val="0"/>
          <w:sz w:val="32"/>
          <w:szCs w:val="32"/>
          <w14:ligatures w14:val="none"/>
        </w:rPr>
        <w:t>.</w:t>
      </w:r>
    </w:p>
    <w:p w14:paraId="415AE475" w14:textId="1C5015EF"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2.1.4 </w:t>
      </w:r>
      <w:r w:rsidR="00601E0B" w:rsidRPr="00601E0B">
        <w:rPr>
          <w:rFonts w:ascii="Sakkal Majalla" w:eastAsia="Calibri" w:hAnsi="Sakkal Majalla" w:cs="Sakkal Majalla"/>
          <w:b/>
          <w:bCs/>
          <w:kern w:val="0"/>
          <w:sz w:val="32"/>
          <w:szCs w:val="32"/>
          <w:rtl/>
          <w14:ligatures w14:val="none"/>
        </w:rPr>
        <w:t>التحول الرقمي</w:t>
      </w:r>
    </w:p>
    <w:p w14:paraId="48483367" w14:textId="1AA7921E"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التحول الرقمي أحد أبرز المتغيرات التي أعادت تشكيل بيئات العمل في المملكة العربية السعودية، خاصة في ظل الإصلاحات الاقتصادية والاجتماعية التي أطلقتها رؤية 2030. فالتحول الرقمي لا يقتصر على إدخال التكنولوجيا الحديثة في العمليات التشغيلية، بل يمثل عملية شاملة لإعادة هيكلة المؤسسات من خلال دمج أدوات الذكاء الاصطناعي، تحليل البيانات، والأتمتة في مختلف جوانب الإدارة، بما في ذلك إدارة الموارد البشرية</w:t>
      </w:r>
      <w:r w:rsidRPr="00E47078">
        <w:rPr>
          <w:rFonts w:ascii="Sakkal Majalla" w:eastAsia="Calibri" w:hAnsi="Sakkal Majalla" w:cs="Sakkal Majalla"/>
          <w:kern w:val="0"/>
          <w:sz w:val="32"/>
          <w:szCs w:val="32"/>
          <w14:ligatures w14:val="none"/>
        </w:rPr>
        <w:t xml:space="preserve"> </w:t>
      </w:r>
      <w:r w:rsidR="00BD15FE">
        <w:rPr>
          <w:rFonts w:ascii="Sakkal Majalla" w:eastAsia="Calibri" w:hAnsi="Sakkal Majalla" w:cs="Sakkal Majalla"/>
          <w:kern w:val="0"/>
          <w:sz w:val="32"/>
          <w:szCs w:val="32"/>
          <w14:ligatures w14:val="none"/>
        </w:rPr>
        <w:t xml:space="preserve">(Mufleh et al., </w:t>
      </w:r>
      <w:proofErr w:type="gramStart"/>
      <w:r w:rsidR="00BD15FE">
        <w:rPr>
          <w:rFonts w:ascii="Sakkal Majalla" w:eastAsia="Calibri" w:hAnsi="Sakkal Majalla" w:cs="Sakkal Majalla"/>
          <w:kern w:val="0"/>
          <w:sz w:val="32"/>
          <w:szCs w:val="32"/>
          <w14:ligatures w14:val="none"/>
        </w:rPr>
        <w:t>2026</w:t>
      </w:r>
      <w:r w:rsidR="00BD15FE">
        <w:rPr>
          <w:rFonts w:ascii="Sakkal Majalla" w:eastAsia="Calibri" w:hAnsi="Sakkal Majalla" w:cs="Sakkal Majalla"/>
          <w:kern w:val="0"/>
          <w:sz w:val="32"/>
          <w:szCs w:val="32"/>
          <w:rtl/>
          <w14:ligatures w14:val="none"/>
        </w:rPr>
        <w:t>).</w:t>
      </w:r>
      <w:r w:rsidRPr="00E47078">
        <w:rPr>
          <w:rFonts w:ascii="Sakkal Majalla" w:eastAsia="Calibri" w:hAnsi="Sakkal Majalla" w:cs="Sakkal Majalla"/>
          <w:kern w:val="0"/>
          <w:sz w:val="32"/>
          <w:szCs w:val="32"/>
          <w:rtl/>
          <w14:ligatures w14:val="none"/>
        </w:rPr>
        <w:t>هذا</w:t>
      </w:r>
      <w:proofErr w:type="gramEnd"/>
      <w:r w:rsidRPr="00E47078">
        <w:rPr>
          <w:rFonts w:ascii="Sakkal Majalla" w:eastAsia="Calibri" w:hAnsi="Sakkal Majalla" w:cs="Sakkal Majalla"/>
          <w:kern w:val="0"/>
          <w:sz w:val="32"/>
          <w:szCs w:val="32"/>
          <w:rtl/>
          <w14:ligatures w14:val="none"/>
        </w:rPr>
        <w:t xml:space="preserve"> التوجه يعكس إدراكًا متزايدًا بأن التكنولوجيا أصبحت عاملًا رئيسيًا في تعزيز الكفاءة وتقليل التكاليف وزيادة القدرة التنافسية في الأسواق المحلية والدولية</w:t>
      </w:r>
      <w:r w:rsidRPr="00E47078">
        <w:rPr>
          <w:rFonts w:ascii="Sakkal Majalla" w:eastAsia="Calibri" w:hAnsi="Sakkal Majalla" w:cs="Sakkal Majalla"/>
          <w:kern w:val="0"/>
          <w:sz w:val="32"/>
          <w:szCs w:val="32"/>
          <w14:ligatures w14:val="none"/>
        </w:rPr>
        <w:t>.</w:t>
      </w:r>
    </w:p>
    <w:p w14:paraId="14E8D82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 التحول الرقمي في تطوير أنظمة التوظيف الذكية التي تعتمد على تقنيات الذكاء الاصطناعي لتحليل بيانات المتقدمين واختيار الأنسب وفقًا لمعايير دقيقة، كما ساعد في تحسين برامج التدريب من خلال منصات إلكترونية تتيح للموظفين تطوير مهاراتهم بشكل مستمر ومرن</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 xml:space="preserve">هذه الممارسات تعكس </w:t>
      </w:r>
      <w:r w:rsidRPr="00E47078">
        <w:rPr>
          <w:rFonts w:ascii="Sakkal Majalla" w:eastAsia="Calibri" w:hAnsi="Sakkal Majalla" w:cs="Sakkal Majalla"/>
          <w:kern w:val="0"/>
          <w:sz w:val="32"/>
          <w:szCs w:val="32"/>
          <w:rtl/>
          <w14:ligatures w14:val="none"/>
        </w:rPr>
        <w:lastRenderedPageBreak/>
        <w:t>تطبيقًا عمليًا لمفهوم المرونة الاستراتيجية، حيث أصبحت المؤسسات قادرة على التكيف مع التغيرات السريعة في سوق العمل من خلال أدوات رقمية تدعم اتخاذ القرار وتزيد من فعالية العمليات الإدارية</w:t>
      </w:r>
      <w:r w:rsidRPr="00E47078">
        <w:rPr>
          <w:rFonts w:ascii="Sakkal Majalla" w:eastAsia="Calibri" w:hAnsi="Sakkal Majalla" w:cs="Sakkal Majalla"/>
          <w:kern w:val="0"/>
          <w:sz w:val="32"/>
          <w:szCs w:val="32"/>
          <w14:ligatures w14:val="none"/>
        </w:rPr>
        <w:t>.</w:t>
      </w:r>
    </w:p>
    <w:p w14:paraId="43B8181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وتشير الدراسات الدولية إلى أن التحول الرقمي يسهم في تعزيز رضا الموظفين واستدامة القوى العاملة، إذ يوفر بيئة عمل أكثر مرونة ويتيح فرصًا أكبر للتعلم والتطوير الذاتي</w:t>
      </w:r>
      <w:r w:rsidRPr="00E47078">
        <w:rPr>
          <w:rFonts w:ascii="Sakkal Majalla" w:eastAsia="Calibri" w:hAnsi="Sakkal Majalla" w:cs="Sakkal Majalla"/>
          <w:kern w:val="0"/>
          <w:sz w:val="32"/>
          <w:szCs w:val="32"/>
          <w14:ligatures w14:val="none"/>
        </w:rPr>
        <w:t xml:space="preserve"> (Brynjolfsson &amp; McAfee, 2020). </w:t>
      </w:r>
      <w:r w:rsidRPr="00E47078">
        <w:rPr>
          <w:rFonts w:ascii="Sakkal Majalla" w:eastAsia="Calibri" w:hAnsi="Sakkal Majalla" w:cs="Sakkal Majalla"/>
          <w:kern w:val="0"/>
          <w:sz w:val="32"/>
          <w:szCs w:val="32"/>
          <w:rtl/>
          <w14:ligatures w14:val="none"/>
        </w:rPr>
        <w:t>كما أن المؤسسات التي تتبنى التحول الرقمي بشكل فعال تحقق مستويات أعلى من الابتكار والإبداع، مما ينعكس على قدرتها في مواجهة التحديات المرتبطة بالتوطين وتطوير رأس المال البشري. وقد أكد تقرير</w:t>
      </w:r>
      <w:r w:rsidRPr="00E47078">
        <w:rPr>
          <w:rFonts w:ascii="Sakkal Majalla" w:eastAsia="Calibri" w:hAnsi="Sakkal Majalla" w:cs="Sakkal Majalla"/>
          <w:kern w:val="0"/>
          <w:sz w:val="32"/>
          <w:szCs w:val="32"/>
          <w14:ligatures w14:val="none"/>
        </w:rPr>
        <w:t xml:space="preserve"> McKinsey </w:t>
      </w:r>
      <w:r w:rsidRPr="00E47078">
        <w:rPr>
          <w:rFonts w:ascii="Sakkal Majalla" w:eastAsia="Calibri" w:hAnsi="Sakkal Majalla" w:cs="Sakkal Majalla"/>
          <w:kern w:val="0"/>
          <w:sz w:val="32"/>
          <w:szCs w:val="32"/>
          <w:rtl/>
          <w14:ligatures w14:val="none"/>
        </w:rPr>
        <w:t>أن دمج تقنيات الذكاء الاصطناعي في إدارة الموارد البشرية يمكن أن يرفع الإنتاجية بنسبة تصل إلى 20% ويقلل من معدلات دوران الموظفين بشكل ملحوظ</w:t>
      </w:r>
      <w:r w:rsidRPr="00E47078">
        <w:rPr>
          <w:rFonts w:ascii="Sakkal Majalla" w:eastAsia="Calibri" w:hAnsi="Sakkal Majalla" w:cs="Sakkal Majalla"/>
          <w:kern w:val="0"/>
          <w:sz w:val="32"/>
          <w:szCs w:val="32"/>
          <w14:ligatures w14:val="none"/>
        </w:rPr>
        <w:t xml:space="preserve"> (</w:t>
      </w:r>
      <w:proofErr w:type="spellStart"/>
      <w:r w:rsidRPr="00E47078">
        <w:rPr>
          <w:rFonts w:ascii="Sakkal Majalla" w:eastAsia="Calibri" w:hAnsi="Sakkal Majalla" w:cs="Sakkal Majalla"/>
          <w:kern w:val="0"/>
          <w:sz w:val="32"/>
          <w:szCs w:val="32"/>
          <w14:ligatures w14:val="none"/>
        </w:rPr>
        <w:t>Bughin</w:t>
      </w:r>
      <w:proofErr w:type="spellEnd"/>
      <w:r w:rsidRPr="00E47078">
        <w:rPr>
          <w:rFonts w:ascii="Sakkal Majalla" w:eastAsia="Calibri" w:hAnsi="Sakkal Majalla" w:cs="Sakkal Majalla"/>
          <w:kern w:val="0"/>
          <w:sz w:val="32"/>
          <w:szCs w:val="32"/>
          <w14:ligatures w14:val="none"/>
        </w:rPr>
        <w:t xml:space="preserve"> et al., 2018).</w:t>
      </w:r>
    </w:p>
    <w:p w14:paraId="36F95264" w14:textId="6DFE0081"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في السياق السعودي، يمثل التحول الرقمي ركيزة أساسية لتحقيق أهداف رؤية 2030، حيث تسعى المملكة إلى بناء اقتصاد رقمي متكامل يواكب التطورات العالمية ويعزز مكانتها التنافسية. ومن ثم، فإن المؤسسات الخاصة مطالبة بتبني استراتيجيات رقمية متقدمة في إدارة الموارد البشرية، ليس فقط لمواكبة التغيرات التقنية، بل أيضًا لضمان استدامة الأداء المؤسسي وتحقيق النمو في بيئة عمل متغيرة وسريعة التطور</w:t>
      </w:r>
      <w:r w:rsidRPr="00E47078">
        <w:rPr>
          <w:rFonts w:ascii="Sakkal Majalla" w:eastAsia="Calibri" w:hAnsi="Sakkal Majalla" w:cs="Sakkal Majalla"/>
          <w:kern w:val="0"/>
          <w:sz w:val="32"/>
          <w:szCs w:val="32"/>
          <w14:ligatures w14:val="none"/>
        </w:rPr>
        <w:t>.</w:t>
      </w:r>
    </w:p>
    <w:p w14:paraId="7FBF4FDC" w14:textId="1CDD4AA6"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2.1.5 </w:t>
      </w:r>
      <w:r w:rsidR="00601E0B" w:rsidRPr="00601E0B">
        <w:rPr>
          <w:rFonts w:ascii="Sakkal Majalla" w:eastAsia="Calibri" w:hAnsi="Sakkal Majalla" w:cs="Sakkal Majalla"/>
          <w:b/>
          <w:bCs/>
          <w:kern w:val="0"/>
          <w:sz w:val="32"/>
          <w:szCs w:val="32"/>
          <w:rtl/>
          <w14:ligatures w14:val="none"/>
        </w:rPr>
        <w:t>الاستدامة الوظيفية</w:t>
      </w:r>
    </w:p>
    <w:p w14:paraId="6E48BC2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الاستدامة الوظيفية من المفاهيم الحديثة التي اكتسبت أهمية متزايدة في بيئات العمل المعاصرة، حيث تشير إلى قدرة المؤسسات على الاحتفاظ بالموظفين وتنمية مهاراتهم بما يضمن استمرارية الأداء التنظيمي وتحقيق النمو المؤسسي على المدى الطويل. في السياق السعودي، ارتبط هذا المفهوم بشكل مباشر بأهداف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xml:space="preserve"> التي تسعى إلى بناء بيئة عمل محفزة للإبداع والابتكار، وتوفير فرص وظيفية مستدامة تتوافق مع تطلعات القوى العاملة الوطنية</w:t>
      </w:r>
      <w:r w:rsidRPr="00E47078">
        <w:rPr>
          <w:rFonts w:ascii="Sakkal Majalla" w:eastAsia="Calibri" w:hAnsi="Sakkal Majalla" w:cs="Sakkal Majalla"/>
          <w:kern w:val="0"/>
          <w:sz w:val="32"/>
          <w:szCs w:val="32"/>
          <w14:ligatures w14:val="none"/>
        </w:rPr>
        <w:t xml:space="preserve"> (Al-Omari, 2019).</w:t>
      </w:r>
    </w:p>
    <w:p w14:paraId="77664B4D" w14:textId="45477E55"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لقد أصبح تحقيق الاستدامة الوظيفية ضرورة استراتيجية في القطاع الخاص السعودي، خاصة في ظل التحديات المرتبطة بالتوطين والتحول الرقمي. فالمؤسسات مطالبة ليس فقط باستقطاب الكفاءات الوطنية، بل أيضًا بضمان بقائها واستمرارها من خلال برامج تطوير مهني، أنظمة تقييم أداء عادلة، وحوافز وظيفية </w:t>
      </w:r>
      <w:r w:rsidRPr="00E47078">
        <w:rPr>
          <w:rFonts w:ascii="Sakkal Majalla" w:eastAsia="Calibri" w:hAnsi="Sakkal Majalla" w:cs="Sakkal Majalla"/>
          <w:kern w:val="0"/>
          <w:sz w:val="32"/>
          <w:szCs w:val="32"/>
          <w:rtl/>
          <w14:ligatures w14:val="none"/>
        </w:rPr>
        <w:lastRenderedPageBreak/>
        <w:t>تعزز الرضا الوظيفي وتقلل من معدلات دوران الموظفين</w:t>
      </w:r>
      <w:r w:rsidR="00BD15FE">
        <w:rPr>
          <w:rFonts w:ascii="Sakkal Majalla" w:eastAsia="Calibri" w:hAnsi="Sakkal Majalla" w:cs="Sakkal Majalla"/>
          <w:kern w:val="0"/>
          <w:sz w:val="32"/>
          <w:szCs w:val="32"/>
          <w:rtl/>
          <w14:ligatures w14:val="none"/>
        </w:rPr>
        <w:t>(</w:t>
      </w:r>
      <w:proofErr w:type="spellStart"/>
      <w:r w:rsidR="00BD15FE">
        <w:rPr>
          <w:rFonts w:ascii="Sakkal Majalla" w:eastAsia="Calibri" w:hAnsi="Sakkal Majalla" w:cs="Sakkal Majalla"/>
          <w:kern w:val="0"/>
          <w:sz w:val="32"/>
          <w:szCs w:val="32"/>
          <w14:ligatures w14:val="none"/>
        </w:rPr>
        <w:t>Sarabdeen</w:t>
      </w:r>
      <w:proofErr w:type="spellEnd"/>
      <w:r w:rsidR="00BD15FE">
        <w:rPr>
          <w:rFonts w:ascii="Sakkal Majalla" w:eastAsia="Calibri" w:hAnsi="Sakkal Majalla" w:cs="Sakkal Majalla"/>
          <w:kern w:val="0"/>
          <w:sz w:val="32"/>
          <w:szCs w:val="32"/>
          <w14:ligatures w14:val="none"/>
        </w:rPr>
        <w:t xml:space="preserve"> &amp; </w:t>
      </w:r>
      <w:proofErr w:type="spellStart"/>
      <w:r w:rsidR="00BD15FE">
        <w:rPr>
          <w:rFonts w:ascii="Sakkal Majalla" w:eastAsia="Calibri" w:hAnsi="Sakkal Majalla" w:cs="Sakkal Majalla"/>
          <w:kern w:val="0"/>
          <w:sz w:val="32"/>
          <w:szCs w:val="32"/>
          <w14:ligatures w14:val="none"/>
        </w:rPr>
        <w:t>Alofaysan</w:t>
      </w:r>
      <w:proofErr w:type="spellEnd"/>
      <w:r w:rsidR="00BD15FE">
        <w:rPr>
          <w:rFonts w:ascii="Sakkal Majalla" w:eastAsia="Calibri" w:hAnsi="Sakkal Majalla" w:cs="Sakkal Majalla"/>
          <w:kern w:val="0"/>
          <w:sz w:val="32"/>
          <w:szCs w:val="32"/>
          <w14:ligatures w14:val="none"/>
        </w:rPr>
        <w:t>, 2023).</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وتشير الدراسات إلى أن الاستدامة ترتبط ارتباطًا وثيقًا بعوامل مثل جودة بيئة العمل، فرص النمو المهني، وفاعلية القيادة في دعم الموظفين وتحفيزهم</w:t>
      </w:r>
      <w:r w:rsidRPr="00E47078">
        <w:rPr>
          <w:rFonts w:ascii="Sakkal Majalla" w:eastAsia="Calibri" w:hAnsi="Sakkal Majalla" w:cs="Sakkal Majalla"/>
          <w:kern w:val="0"/>
          <w:sz w:val="32"/>
          <w:szCs w:val="32"/>
          <w14:ligatures w14:val="none"/>
        </w:rPr>
        <w:t xml:space="preserve"> (Bass &amp; Riggio, 2006).</w:t>
      </w:r>
    </w:p>
    <w:p w14:paraId="2A63B8FE"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الاستدامة الوظيفية تتأثر بشكل مباشر بالتحولات التقنية، حيث أسهمت أدوات التحول الرقمي في توفير منصات تدريب إلكترونية وتطبيقات ذكية تساعد الموظفين على تطوير مهاراتهم بشكل مستمر، مما يعزز من قدرتهم على التكيف مع متطلبات السوق المتغيرة</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وقد أكد تقرير منظمة العمل الدولية أن تعزيز الاستدامة الوظيفية في الأسواق الناشئة مثل السعودية يتطلب الاستثمار في رأس المال البشري وتبني سياسات مرنة تدعم التوازن بين متطلبات العمل واحتياجات الموظفين الشخصية</w:t>
      </w:r>
      <w:r w:rsidRPr="00E47078">
        <w:rPr>
          <w:rFonts w:ascii="Sakkal Majalla" w:eastAsia="Calibri" w:hAnsi="Sakkal Majalla" w:cs="Sakkal Majalla"/>
          <w:kern w:val="0"/>
          <w:sz w:val="32"/>
          <w:szCs w:val="32"/>
          <w14:ligatures w14:val="none"/>
        </w:rPr>
        <w:t xml:space="preserve"> (ILO, 2021).</w:t>
      </w:r>
    </w:p>
    <w:p w14:paraId="4EBCB107"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وفي ضوء هذه المعطيات، يمكن القول إن الاستدامة الوظيفية تمثل ركيزة أساسية لضمان نجاح المؤسسات في مواجهة التحديات المستقبلية، حيث تسهم في تعزيز الولاء المؤسسي، رفع مستويات الإنتاجية، وتحقيق التوافق بين أهداف المؤسسات وتطلعات القوى العاملة الوطنية. المؤسسات التي تستثمر في هذا الجانب تحقق قدرة أكبر على المنافسة والاستدامة في بيئة عمل سريعة التغير، بينما تواجه المؤسسات التي تهمل هذا البعد خطر فقدان الكفاءات وتراجع الأداء المؤسسي</w:t>
      </w:r>
      <w:r w:rsidRPr="00E47078">
        <w:rPr>
          <w:rFonts w:ascii="Sakkal Majalla" w:eastAsia="Calibri" w:hAnsi="Sakkal Majalla" w:cs="Sakkal Majalla"/>
          <w:kern w:val="0"/>
          <w:sz w:val="32"/>
          <w:szCs w:val="32"/>
          <w14:ligatures w14:val="none"/>
        </w:rPr>
        <w:t xml:space="preserve"> (Brynjolfsson &amp; McAfee, 2020).</w:t>
      </w:r>
    </w:p>
    <w:p w14:paraId="123A09C3" w14:textId="77777777" w:rsidR="00601E0B" w:rsidRDefault="00601E0B" w:rsidP="00601E0B">
      <w:pPr>
        <w:bidi/>
        <w:spacing w:after="0" w:line="360" w:lineRule="auto"/>
        <w:ind w:right="-270"/>
        <w:jc w:val="both"/>
        <w:rPr>
          <w:rFonts w:ascii="Sakkal Majalla" w:eastAsia="Calibri" w:hAnsi="Sakkal Majalla" w:cs="Sakkal Majalla"/>
          <w:kern w:val="0"/>
          <w:sz w:val="32"/>
          <w:szCs w:val="32"/>
          <w:rtl/>
          <w14:ligatures w14:val="none"/>
        </w:rPr>
      </w:pPr>
    </w:p>
    <w:p w14:paraId="3D5E1BC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3FF878D"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101930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22B928A"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rtl/>
          <w:cs/>
          <w14:ligatures w14:val="none"/>
        </w:rPr>
      </w:pPr>
    </w:p>
    <w:p w14:paraId="096D1B22" w14:textId="77777777" w:rsidR="00601E0B" w:rsidRPr="00FC2585" w:rsidRDefault="00601E0B" w:rsidP="00601E0B">
      <w:pPr>
        <w:bidi/>
        <w:spacing w:after="0" w:line="360" w:lineRule="auto"/>
        <w:ind w:right="-270"/>
        <w:jc w:val="both"/>
        <w:rPr>
          <w:rFonts w:ascii="Sakkal Majalla" w:eastAsia="Calibri" w:hAnsi="Sakkal Majalla" w:cs="Sakkal Majalla"/>
          <w:kern w:val="0"/>
          <w:sz w:val="32"/>
          <w:szCs w:val="32"/>
          <w:rtl/>
          <w:cs/>
          <w14:ligatures w14:val="none"/>
        </w:rPr>
      </w:pPr>
    </w:p>
    <w:p w14:paraId="339ABE91" w14:textId="6367292F" w:rsidR="00FC2585" w:rsidRPr="00FC2585" w:rsidRDefault="00B7660B" w:rsidP="00FC2585">
      <w:pPr>
        <w:pStyle w:val="Heading2"/>
        <w:bidi/>
        <w:spacing w:line="480" w:lineRule="auto"/>
        <w:rPr>
          <w:rFonts w:eastAsia="Calibri"/>
          <w:b/>
          <w:bCs/>
          <w:sz w:val="36"/>
          <w:szCs w:val="36"/>
          <w:rtl/>
        </w:rPr>
      </w:pPr>
      <w:bookmarkStart w:id="4" w:name="_Toc221075505"/>
      <w:r>
        <w:rPr>
          <w:rFonts w:eastAsia="Calibri" w:hint="cs"/>
          <w:b/>
          <w:bCs/>
          <w:sz w:val="36"/>
          <w:szCs w:val="36"/>
          <w:rtl/>
        </w:rPr>
        <w:lastRenderedPageBreak/>
        <w:t>2</w:t>
      </w:r>
      <w:r w:rsidR="00FD21AF">
        <w:rPr>
          <w:rFonts w:eastAsia="Calibri" w:hint="cs"/>
          <w:b/>
          <w:bCs/>
          <w:sz w:val="36"/>
          <w:szCs w:val="36"/>
          <w:rtl/>
        </w:rPr>
        <w:t xml:space="preserve">.2 </w:t>
      </w:r>
      <w:r>
        <w:rPr>
          <w:rFonts w:eastAsia="Calibri" w:hint="cs"/>
          <w:b/>
          <w:bCs/>
          <w:sz w:val="36"/>
          <w:szCs w:val="36"/>
          <w:rtl/>
        </w:rPr>
        <w:t>الدراسات السابقة</w:t>
      </w:r>
      <w:bookmarkEnd w:id="4"/>
    </w:p>
    <w:p w14:paraId="7746689F"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rtl/>
          <w14:ligatures w14:val="none"/>
        </w:rPr>
        <w:t>في موضوع أثر التحولات في سوق العمل على تطوير استراتيجيات الموارد البشرية في القطاع الخاص السعودي في ضوء رؤية 2030، تكتسب الدراسات السابقة أهمية مضاعفة، إذ إن هذا المجال يشهد تغيرات متسارعة بفعل الإصلاحات الاقتصادية والاجتماعية والتكنولوجية. وقد تناولت العديد من الدراسات المحلية والعربية قضايا مثل التوطين، التحول الرقمي، والاستدامة الوظيفية، بينما ركزت الدراسات الدولية على تأثير التكنولوجيا الحديثة والذكاء الاصطناعي على أنماط التوظيف وإدارة الموارد البشرية. هذا التنوع في الأدبيات يتيح للباحث فرصة المقارنة بين السياق المحلي والدولي، واستخلاص الدروس التي يمكن أن تدعم تطوير سياسات الموارد البشرية في المملكة</w:t>
      </w:r>
      <w:r w:rsidRPr="00E47078">
        <w:rPr>
          <w:rFonts w:ascii="Sakkal Majalla" w:eastAsia="Calibri" w:hAnsi="Sakkal Majalla" w:cs="Sakkal Majalla"/>
          <w:kern w:val="0"/>
          <w:sz w:val="32"/>
          <w:szCs w:val="32"/>
          <w:lang w:bidi="ar-EG"/>
          <w14:ligatures w14:val="none"/>
        </w:rPr>
        <w:t>.</w:t>
      </w:r>
    </w:p>
    <w:p w14:paraId="6328939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lang w:bidi="ar-EG"/>
          <w14:ligatures w14:val="none"/>
        </w:rPr>
      </w:pPr>
      <w:r w:rsidRPr="00E47078">
        <w:rPr>
          <w:rFonts w:ascii="Sakkal Majalla" w:eastAsia="Calibri" w:hAnsi="Sakkal Majalla" w:cs="Sakkal Majalla"/>
          <w:kern w:val="0"/>
          <w:sz w:val="32"/>
          <w:szCs w:val="32"/>
          <w:rtl/>
          <w14:ligatures w14:val="none"/>
        </w:rPr>
        <w:t>وبذلك، فإن مراجعة الدراسات السابقة لا تقتصر على عرض ما كُتب حول الموضوع، بل تهدف إلى تحليل الاتجاهات البحثية، إبراز الفجوات العلمية، وتوضيح كيف يمكن للدراسة الحالية أن تسهم في إثراء المعرفة وتقديم حلول عملية تتماشى مع أهداف رؤية 2030</w:t>
      </w:r>
      <w:r w:rsidRPr="00E47078">
        <w:rPr>
          <w:rFonts w:ascii="Sakkal Majalla" w:eastAsia="Calibri" w:hAnsi="Sakkal Majalla" w:cs="Sakkal Majalla"/>
          <w:kern w:val="0"/>
          <w:sz w:val="32"/>
          <w:szCs w:val="32"/>
          <w:lang w:bidi="ar-EG"/>
          <w14:ligatures w14:val="none"/>
        </w:rPr>
        <w:t>.</w:t>
      </w:r>
    </w:p>
    <w:p w14:paraId="2CAD57DD" w14:textId="77777777" w:rsidR="00583200" w:rsidRPr="00E47078"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09C1D67C" w14:textId="3FCF46AB" w:rsidR="00EA4CD4" w:rsidRPr="00BC618B" w:rsidRDefault="00BC618B" w:rsidP="00EA4CD4">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t>2.2.1 الدراسات العربية</w:t>
      </w:r>
    </w:p>
    <w:p w14:paraId="6679F1B0"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الحربي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أثر التحولات الاقتصادية على سوق العمل السعودي</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C92B623" w14:textId="4832F8A7"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جاءت لتسلط الضوء على التغيرات الاقتصادية التي فرضتها رؤية </w:t>
      </w:r>
      <w:r w:rsidRPr="00BC618B">
        <w:rPr>
          <w:rFonts w:ascii="Sakkal Majalla" w:eastAsia="Calibri" w:hAnsi="Sakkal Majalla" w:cs="Sakkal Majalla"/>
          <w:kern w:val="0"/>
          <w:sz w:val="32"/>
          <w:szCs w:val="32"/>
          <w:lang w:bidi="ar-EG"/>
          <w14:ligatures w14:val="none"/>
        </w:rPr>
        <w:t xml:space="preserve">2030 </w:t>
      </w:r>
      <w:r w:rsidRPr="00BC618B">
        <w:rPr>
          <w:rFonts w:ascii="Sakkal Majalla" w:eastAsia="Calibri" w:hAnsi="Sakkal Majalla" w:cs="Sakkal Majalla"/>
          <w:kern w:val="0"/>
          <w:sz w:val="32"/>
          <w:szCs w:val="32"/>
          <w:rtl/>
          <w14:ligatures w14:val="none"/>
        </w:rPr>
        <w:t>على سوق العمل المحلي، حيث ركز الباحث على تحليل انعكاسات هذه التحولات على التوازن بين العمالة الوطنية والوافدة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المنهج الوصفي التحليلي، واستخدمت أداة الاستبيان الموجهة إلى مديري الموارد البشرية في عدد من المؤسسات الخاصة، مما أتاح جمع بيانات كمية ونوعية حول واقع التوظيف</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أظهرت النتائج أن الإصلاحات الاقتصادية أسهمت في زيادة الطلب على العمالة الوطنية، لكنها كشفت أيضًا عن فجوة واضحة في المهارات الرقمية والتقنية التي يحتاجها السوق</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وأوصى الباحث بضرورة تعزيز برامج التدريب المستمر، وتطوير سياسات مرنة </w:t>
      </w:r>
      <w:r w:rsidRPr="00BC618B">
        <w:rPr>
          <w:rFonts w:ascii="Sakkal Majalla" w:eastAsia="Calibri" w:hAnsi="Sakkal Majalla" w:cs="Sakkal Majalla"/>
          <w:kern w:val="0"/>
          <w:sz w:val="32"/>
          <w:szCs w:val="32"/>
          <w:rtl/>
          <w14:ligatures w14:val="none"/>
        </w:rPr>
        <w:lastRenderedPageBreak/>
        <w:t>للتوظيف تضمن المواءمة بين الكفاءات الوطنية واحتياجات السوق، مع التركيز على بناء رأس مال بشري قادر على المنافسة في القطاعات غير النفطية</w:t>
      </w:r>
      <w:r w:rsidRPr="00BC618B">
        <w:rPr>
          <w:rFonts w:ascii="Sakkal Majalla" w:eastAsia="Calibri" w:hAnsi="Sakkal Majalla" w:cs="Sakkal Majalla"/>
          <w:kern w:val="0"/>
          <w:sz w:val="32"/>
          <w:szCs w:val="32"/>
          <w:lang w:bidi="ar-EG"/>
          <w14:ligatures w14:val="none"/>
        </w:rPr>
        <w:t>.</w:t>
      </w:r>
    </w:p>
    <w:p w14:paraId="7C47F2DE"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1A240865"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الخميس </w:t>
      </w:r>
      <w:r w:rsidRPr="00583200">
        <w:rPr>
          <w:rFonts w:ascii="Sakkal Majalla" w:eastAsia="Calibri" w:hAnsi="Sakkal Majalla" w:cs="Sakkal Majalla"/>
          <w:b/>
          <w:bCs/>
          <w:kern w:val="0"/>
          <w:sz w:val="32"/>
          <w:szCs w:val="32"/>
          <w:lang w:bidi="ar-EG"/>
          <w14:ligatures w14:val="none"/>
        </w:rPr>
        <w:t xml:space="preserve">(2024)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واقع الاستدامة التنظيمية في المنظمات العربية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45530B1" w14:textId="6F3D34EB"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مفهوم الاستدامة التنظيمية وربطه بممارسات الموارد البشرية في المؤسسات العربية، مع تطبيقات خاصة في السعودية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استخدم الباحث المنهج الوصفي التحليلي من خلال استبيانات ومقابلات مع مديري الموارد البشرية، وأظهرت النتائج أن الاستدامة التنظيمية ترتبط بشكل مباشر بفاعلية القيادة التحويلية وبرامج التطوير المهني، وأن المؤسسات التي تتبنى سياسات تحفيزية تقلل من معدلات دوران الموظفين وتحقق مستويات أعلى من الرضا الوظيفي</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أوصى الباحث بضرورة تعزيز ثقافة الاستدامة داخل المؤسسات، وتبني سياسات مرنة تدعم استقرار القوى العاملة وتزيد من قدرتها على مواجهة التحديات المستقبلية</w:t>
      </w:r>
      <w:r w:rsidRPr="00BC618B">
        <w:rPr>
          <w:rFonts w:ascii="Sakkal Majalla" w:eastAsia="Calibri" w:hAnsi="Sakkal Majalla" w:cs="Sakkal Majalla"/>
          <w:kern w:val="0"/>
          <w:sz w:val="32"/>
          <w:szCs w:val="32"/>
          <w:lang w:bidi="ar-EG"/>
          <w14:ligatures w14:val="none"/>
        </w:rPr>
        <w:t>.</w:t>
      </w:r>
    </w:p>
    <w:p w14:paraId="3ED712B7"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3E2117F7"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العمري </w:t>
      </w:r>
      <w:r w:rsidRPr="00583200">
        <w:rPr>
          <w:rFonts w:ascii="Sakkal Majalla" w:eastAsia="Calibri" w:hAnsi="Sakkal Majalla" w:cs="Sakkal Majalla"/>
          <w:b/>
          <w:bCs/>
          <w:kern w:val="0"/>
          <w:sz w:val="32"/>
          <w:szCs w:val="32"/>
          <w:lang w:bidi="ar-EG"/>
          <w14:ligatures w14:val="none"/>
        </w:rPr>
        <w:t xml:space="preserve">(2019)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مستقبل سوق العمالة في المملكة العربية السعودية في ضوء المتغيرات العالمية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3339E891" w14:textId="6D00434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جاءت لتستشرف مستقبل سوق العمل السعودي في ظل التغيرات العالمية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على المنهج الوصفي التحليلي من خلال تحليل بيانات سوق العمل وتقارير دولية، وأظهرت النتائج أن السوق السعودي يواجه تحديات كبيرة في مواءمة الكفاءات الوطنية مع متطلبات الاقتصاد العالمي، خاصة في ظل المنافسة المتزايدة على المهارات التقنية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أوصت الدراسة بضرورة الاستثمار في التعليم والتدريب المستمر، وتبني سياسات مرنة في إدارة الموارد البشرية، مع التركيز على تطوير رأس المال البشري ليكون قادرًا على المنافسة عالميًا</w:t>
      </w:r>
      <w:r w:rsidRPr="00BC618B">
        <w:rPr>
          <w:rFonts w:ascii="Sakkal Majalla" w:eastAsia="Calibri" w:hAnsi="Sakkal Majalla" w:cs="Sakkal Majalla"/>
          <w:kern w:val="0"/>
          <w:sz w:val="32"/>
          <w:szCs w:val="32"/>
          <w:lang w:bidi="ar-EG"/>
          <w14:ligatures w14:val="none"/>
        </w:rPr>
        <w:t>.</w:t>
      </w:r>
    </w:p>
    <w:p w14:paraId="1CCBA1EB"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0DCC6065"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6FAFD141"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3DF1FB66" w14:textId="0C34341C"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Pr>
          <w:rFonts w:ascii="Sakkal Majalla" w:eastAsia="Calibri" w:hAnsi="Sakkal Majalla" w:cs="Sakkal Majalla" w:hint="cs"/>
          <w:kern w:val="0"/>
          <w:sz w:val="32"/>
          <w:szCs w:val="32"/>
          <w:rtl/>
          <w:lang w:bidi="ar-EG"/>
          <w14:ligatures w14:val="none"/>
        </w:rPr>
        <w:lastRenderedPageBreak/>
        <w:t>جدول رقم (1): الدراسات السابقة العربية</w:t>
      </w:r>
    </w:p>
    <w:tbl>
      <w:tblPr>
        <w:tblStyle w:val="TableGrid2"/>
        <w:tblW w:w="0" w:type="auto"/>
        <w:tblCellMar>
          <w:right w:w="142" w:type="dxa"/>
        </w:tblCellMar>
        <w:tblLook w:val="04A0" w:firstRow="1" w:lastRow="0" w:firstColumn="1" w:lastColumn="0" w:noHBand="0" w:noVBand="1"/>
      </w:tblPr>
      <w:tblGrid>
        <w:gridCol w:w="3623"/>
        <w:gridCol w:w="1515"/>
        <w:gridCol w:w="2027"/>
        <w:gridCol w:w="810"/>
        <w:gridCol w:w="1041"/>
      </w:tblGrid>
      <w:tr w:rsidR="00AC7AB8" w:rsidRPr="00AC7AB8" w14:paraId="5DDD9ED8" w14:textId="77777777" w:rsidTr="006F30F4">
        <w:tc>
          <w:tcPr>
            <w:tcW w:w="3623" w:type="dxa"/>
          </w:tcPr>
          <w:p w14:paraId="2489F82A"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النتائج</w:t>
            </w:r>
          </w:p>
        </w:tc>
        <w:tc>
          <w:tcPr>
            <w:tcW w:w="0" w:type="auto"/>
            <w:hideMark/>
          </w:tcPr>
          <w:p w14:paraId="5C021AEE" w14:textId="77777777" w:rsidR="00AC7AB8" w:rsidRPr="00AC7AB8" w:rsidRDefault="00AC7AB8" w:rsidP="00AC7AB8">
            <w:pPr>
              <w:bidi/>
              <w:spacing w:line="276" w:lineRule="auto"/>
              <w:jc w:val="both"/>
              <w:rPr>
                <w:rFonts w:ascii="Sakkal Majalla" w:eastAsia="Aptos" w:hAnsi="Sakkal Majalla" w:cs="Sakkal Majalla"/>
                <w:b/>
                <w:bCs/>
                <w:sz w:val="32"/>
                <w:szCs w:val="32"/>
                <w:lang w:bidi="ar-EG"/>
              </w:rPr>
            </w:pPr>
            <w:r w:rsidRPr="00AC7AB8">
              <w:rPr>
                <w:rFonts w:ascii="Sakkal Majalla" w:eastAsia="Aptos" w:hAnsi="Sakkal Majalla" w:cs="Sakkal Majalla"/>
                <w:b/>
                <w:bCs/>
                <w:sz w:val="32"/>
                <w:szCs w:val="32"/>
                <w:rtl/>
              </w:rPr>
              <w:t>المنهج</w:t>
            </w:r>
          </w:p>
        </w:tc>
        <w:tc>
          <w:tcPr>
            <w:tcW w:w="0" w:type="auto"/>
          </w:tcPr>
          <w:p w14:paraId="57CFF4BA"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الهدف</w:t>
            </w:r>
          </w:p>
        </w:tc>
        <w:tc>
          <w:tcPr>
            <w:tcW w:w="0" w:type="auto"/>
          </w:tcPr>
          <w:p w14:paraId="5FEC5C5C"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السنة</w:t>
            </w:r>
          </w:p>
        </w:tc>
        <w:tc>
          <w:tcPr>
            <w:tcW w:w="0" w:type="auto"/>
          </w:tcPr>
          <w:p w14:paraId="09A018A1"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الباحث</w:t>
            </w:r>
          </w:p>
        </w:tc>
      </w:tr>
      <w:tr w:rsidR="00AC7AB8" w:rsidRPr="00AC7AB8" w14:paraId="0BF16A2A" w14:textId="77777777" w:rsidTr="006F30F4">
        <w:tc>
          <w:tcPr>
            <w:tcW w:w="3623" w:type="dxa"/>
          </w:tcPr>
          <w:p w14:paraId="1A23B3D1"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زيادة الطلب على العمالة الوطنية مع وجود فجوة في المهارات الرقمية؛ أوصى بتعزيز التدريب المستمر وتطوير سياسات مرنة للتوظيف</w:t>
            </w:r>
          </w:p>
        </w:tc>
        <w:tc>
          <w:tcPr>
            <w:tcW w:w="0" w:type="auto"/>
            <w:hideMark/>
          </w:tcPr>
          <w:p w14:paraId="66B60941"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باستخدام استبيان موجّه لمديري الموارد البشرية</w:t>
            </w:r>
          </w:p>
        </w:tc>
        <w:tc>
          <w:tcPr>
            <w:tcW w:w="0" w:type="auto"/>
          </w:tcPr>
          <w:p w14:paraId="708DE285"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 xml:space="preserve">تحليل أثر التحولات الاقتصادية التي فرضتها رؤية </w:t>
            </w:r>
            <w:r w:rsidRPr="00AC7AB8">
              <w:rPr>
                <w:rFonts w:ascii="Sakkal Majalla" w:eastAsia="Aptos" w:hAnsi="Sakkal Majalla" w:cs="Sakkal Majalla"/>
                <w:sz w:val="32"/>
                <w:szCs w:val="32"/>
                <w:lang w:bidi="ar-EG"/>
              </w:rPr>
              <w:t xml:space="preserve">2030 </w:t>
            </w:r>
            <w:r w:rsidRPr="00AC7AB8">
              <w:rPr>
                <w:rFonts w:ascii="Sakkal Majalla" w:eastAsia="Aptos" w:hAnsi="Sakkal Majalla" w:cs="Sakkal Majalla"/>
                <w:sz w:val="32"/>
                <w:szCs w:val="32"/>
                <w:rtl/>
              </w:rPr>
              <w:t>على سوق العمل السعودي والتوازن بين العمالة الوطنية والوافدة</w:t>
            </w:r>
          </w:p>
        </w:tc>
        <w:tc>
          <w:tcPr>
            <w:tcW w:w="0" w:type="auto"/>
          </w:tcPr>
          <w:p w14:paraId="0E37F557"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2025</w:t>
            </w:r>
          </w:p>
        </w:tc>
        <w:tc>
          <w:tcPr>
            <w:tcW w:w="0" w:type="auto"/>
          </w:tcPr>
          <w:p w14:paraId="13CBC92C"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الحربي</w:t>
            </w:r>
          </w:p>
        </w:tc>
      </w:tr>
      <w:tr w:rsidR="00AC7AB8" w:rsidRPr="00AC7AB8" w14:paraId="1425A2A4" w14:textId="77777777" w:rsidTr="006F30F4">
        <w:tc>
          <w:tcPr>
            <w:tcW w:w="3623" w:type="dxa"/>
          </w:tcPr>
          <w:p w14:paraId="4782842E"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الاستدامة التنظيمية ترتبط بالقيادة التحويلية وبرامج التطوير المهني؛ المؤسسات ذات السياسات التحفيزية تقلل من دوران الموظفين وتزيد الرضا الوظيفي</w:t>
            </w:r>
          </w:p>
        </w:tc>
        <w:tc>
          <w:tcPr>
            <w:tcW w:w="0" w:type="auto"/>
            <w:hideMark/>
          </w:tcPr>
          <w:p w14:paraId="7515B804"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عبر استبيانات ومقابلات</w:t>
            </w:r>
          </w:p>
        </w:tc>
        <w:tc>
          <w:tcPr>
            <w:tcW w:w="0" w:type="auto"/>
          </w:tcPr>
          <w:p w14:paraId="5D417374"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دراسة واقع الاستدامة التنظيمية وربطها بممارسات الموارد البشرية في المؤسسات العربية مع تطبيقات في السعودية</w:t>
            </w:r>
          </w:p>
        </w:tc>
        <w:tc>
          <w:tcPr>
            <w:tcW w:w="0" w:type="auto"/>
          </w:tcPr>
          <w:p w14:paraId="32F708AD"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2024</w:t>
            </w:r>
          </w:p>
        </w:tc>
        <w:tc>
          <w:tcPr>
            <w:tcW w:w="0" w:type="auto"/>
          </w:tcPr>
          <w:p w14:paraId="4A149F07"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الخميس</w:t>
            </w:r>
          </w:p>
        </w:tc>
      </w:tr>
      <w:tr w:rsidR="00AC7AB8" w:rsidRPr="00AC7AB8" w14:paraId="3C760B3D" w14:textId="77777777" w:rsidTr="006F30F4">
        <w:tc>
          <w:tcPr>
            <w:tcW w:w="3623" w:type="dxa"/>
          </w:tcPr>
          <w:p w14:paraId="02DD31EB"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السوق يواجه تحديات في مواءمة الكفاءات الوطنية مع الاقتصاد العالمي؛ أوصى بالاستثمار في التعليم والتدريب المستمر وتطوير رأس المال البشري</w:t>
            </w:r>
          </w:p>
        </w:tc>
        <w:tc>
          <w:tcPr>
            <w:tcW w:w="0" w:type="auto"/>
            <w:hideMark/>
          </w:tcPr>
          <w:p w14:paraId="7AD0AAA8"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وصفي تحليلي بتحليل بيانات سوق العمل وتقارير دولية</w:t>
            </w:r>
          </w:p>
        </w:tc>
        <w:tc>
          <w:tcPr>
            <w:tcW w:w="0" w:type="auto"/>
          </w:tcPr>
          <w:p w14:paraId="322FE845" w14:textId="77777777" w:rsidR="00AC7AB8" w:rsidRPr="00AC7AB8" w:rsidRDefault="00AC7AB8" w:rsidP="00AC7AB8">
            <w:pPr>
              <w:bidi/>
              <w:spacing w:line="276" w:lineRule="auto"/>
              <w:jc w:val="both"/>
              <w:rPr>
                <w:rFonts w:ascii="Sakkal Majalla" w:eastAsia="Aptos" w:hAnsi="Sakkal Majalla" w:cs="Sakkal Majalla"/>
                <w:sz w:val="32"/>
                <w:szCs w:val="32"/>
                <w:lang w:bidi="ar-EG"/>
              </w:rPr>
            </w:pPr>
            <w:r w:rsidRPr="00AC7AB8">
              <w:rPr>
                <w:rFonts w:ascii="Sakkal Majalla" w:eastAsia="Aptos" w:hAnsi="Sakkal Majalla" w:cs="Sakkal Majalla"/>
                <w:sz w:val="32"/>
                <w:szCs w:val="32"/>
                <w:rtl/>
              </w:rPr>
              <w:t>استشراف مستقبل سوق العمل السعودي في ضوء المتغيرات العالمية</w:t>
            </w:r>
          </w:p>
        </w:tc>
        <w:tc>
          <w:tcPr>
            <w:tcW w:w="0" w:type="auto"/>
          </w:tcPr>
          <w:p w14:paraId="72EE6592"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lang w:bidi="ar-EG"/>
              </w:rPr>
              <w:t>2019</w:t>
            </w:r>
          </w:p>
        </w:tc>
        <w:tc>
          <w:tcPr>
            <w:tcW w:w="0" w:type="auto"/>
          </w:tcPr>
          <w:p w14:paraId="3EBB8F52" w14:textId="77777777" w:rsidR="00AC7AB8" w:rsidRPr="00AC7AB8" w:rsidRDefault="00AC7AB8" w:rsidP="00AC7AB8">
            <w:pPr>
              <w:bidi/>
              <w:spacing w:line="276" w:lineRule="auto"/>
              <w:jc w:val="both"/>
              <w:rPr>
                <w:rFonts w:ascii="Sakkal Majalla" w:eastAsia="Aptos" w:hAnsi="Sakkal Majalla" w:cs="Sakkal Majalla"/>
                <w:b/>
                <w:bCs/>
                <w:sz w:val="32"/>
                <w:szCs w:val="32"/>
                <w:rtl/>
              </w:rPr>
            </w:pPr>
            <w:r w:rsidRPr="00AC7AB8">
              <w:rPr>
                <w:rFonts w:ascii="Sakkal Majalla" w:eastAsia="Aptos" w:hAnsi="Sakkal Majalla" w:cs="Sakkal Majalla"/>
                <w:b/>
                <w:bCs/>
                <w:sz w:val="32"/>
                <w:szCs w:val="32"/>
                <w:rtl/>
              </w:rPr>
              <w:t>العمري</w:t>
            </w:r>
          </w:p>
        </w:tc>
      </w:tr>
    </w:tbl>
    <w:p w14:paraId="145D8395" w14:textId="77777777" w:rsidR="00434642" w:rsidRPr="00AC7AB8"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21FA323E" w14:textId="77777777" w:rsidR="00CD62C0" w:rsidRDefault="00CD62C0" w:rsidP="00CD62C0">
      <w:pPr>
        <w:bidi/>
        <w:spacing w:after="0" w:line="360" w:lineRule="auto"/>
        <w:ind w:right="-270"/>
        <w:jc w:val="both"/>
        <w:rPr>
          <w:rFonts w:ascii="Sakkal Majalla" w:eastAsia="Calibri" w:hAnsi="Sakkal Majalla" w:cs="Sakkal Majalla"/>
          <w:kern w:val="0"/>
          <w:sz w:val="32"/>
          <w:szCs w:val="32"/>
          <w:rtl/>
          <w:lang w:bidi="ar-EG"/>
          <w14:ligatures w14:val="none"/>
        </w:rPr>
      </w:pPr>
    </w:p>
    <w:p w14:paraId="5C5CBA63" w14:textId="77777777" w:rsidR="00AC7AB8" w:rsidRPr="00BC618B" w:rsidRDefault="00AC7AB8" w:rsidP="00AC7AB8">
      <w:pPr>
        <w:bidi/>
        <w:spacing w:after="0" w:line="360" w:lineRule="auto"/>
        <w:ind w:right="-270"/>
        <w:jc w:val="both"/>
        <w:rPr>
          <w:rFonts w:ascii="Sakkal Majalla" w:eastAsia="Calibri" w:hAnsi="Sakkal Majalla" w:cs="Sakkal Majalla"/>
          <w:kern w:val="0"/>
          <w:sz w:val="32"/>
          <w:szCs w:val="32"/>
          <w:lang w:bidi="ar-EG"/>
          <w14:ligatures w14:val="none"/>
        </w:rPr>
      </w:pPr>
    </w:p>
    <w:p w14:paraId="0596BC2F" w14:textId="74E1DFA1"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2.2.2 الدراسات الاجنبية</w:t>
      </w:r>
    </w:p>
    <w:p w14:paraId="007F28E1"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O’Brien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"Mapping a decade of digital transformation in HRM: Trends, implications, and future research directions"</w:t>
      </w:r>
      <w:r w:rsidRPr="00583200">
        <w:rPr>
          <w:rFonts w:ascii="Sakkal Majalla" w:eastAsia="Calibri" w:hAnsi="Sakkal Majalla" w:cs="Sakkal Majalla"/>
          <w:kern w:val="0"/>
          <w:sz w:val="32"/>
          <w:szCs w:val="32"/>
          <w:lang w:bidi="ar-EG"/>
          <w14:ligatures w14:val="none"/>
        </w:rPr>
        <w:t xml:space="preserve"> </w:t>
      </w:r>
    </w:p>
    <w:p w14:paraId="14D6AB50" w14:textId="5BF5D1D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تحليل مسار التحول الرقمي في إدارة الموارد البشرية خلال العقد الأخير، من خلال منهجية تحليل ببليومتري شملت أكثر من 500 دراسة منشورة في قواعد بيانات عالمية. استخدم الباحثون أدوات تحليل البيانات الضخمة لرصد الاتجاهات البحثية في مجالات الذكاء الاصطناعي، الأتمتة، والبيانات الضخمة داخل الموارد البشرية. أظهرت النتائج أن التحول الرقمي أصبح ركيزة أساسية في تطوير استراتيجيات الموارد البشرية، حيث ارتفع الاهتمام بالأنظمة الذكية للتوظيف والتدريب. وأوصت الدراسة بضرورة توجيه الأبحاث المستقبلية نحو فهم تأثير الذكاء الاصطناعي على الاستدامة الوظيفية والرضا الوظيفي</w:t>
      </w:r>
      <w:r w:rsidRPr="00BC618B">
        <w:rPr>
          <w:rFonts w:ascii="Sakkal Majalla" w:eastAsia="Calibri" w:hAnsi="Sakkal Majalla" w:cs="Sakkal Majalla"/>
          <w:kern w:val="0"/>
          <w:sz w:val="32"/>
          <w:szCs w:val="32"/>
          <w:lang w:bidi="ar-EG"/>
          <w14:ligatures w14:val="none"/>
        </w:rPr>
        <w:t>.</w:t>
      </w:r>
    </w:p>
    <w:p w14:paraId="2772E077" w14:textId="77777777" w:rsidR="00C36819" w:rsidRPr="00BC618B" w:rsidRDefault="00C36819" w:rsidP="00C36819">
      <w:pPr>
        <w:bidi/>
        <w:spacing w:after="0" w:line="360" w:lineRule="auto"/>
        <w:ind w:right="-270"/>
        <w:jc w:val="both"/>
        <w:rPr>
          <w:rFonts w:ascii="Sakkal Majalla" w:eastAsia="Calibri" w:hAnsi="Sakkal Majalla" w:cs="Sakkal Majalla"/>
          <w:kern w:val="0"/>
          <w:sz w:val="32"/>
          <w:szCs w:val="32"/>
          <w:lang w:bidi="ar-EG"/>
          <w14:ligatures w14:val="none"/>
        </w:rPr>
      </w:pPr>
    </w:p>
    <w:p w14:paraId="509E923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Bindra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"Traditional to digital: Human resource management transformation"</w:t>
      </w:r>
      <w:r w:rsidRPr="00583200">
        <w:rPr>
          <w:rFonts w:ascii="Sakkal Majalla" w:eastAsia="Calibri" w:hAnsi="Sakkal Majalla" w:cs="Sakkal Majalla"/>
          <w:kern w:val="0"/>
          <w:sz w:val="32"/>
          <w:szCs w:val="32"/>
          <w:lang w:bidi="ar-EG"/>
          <w14:ligatures w14:val="none"/>
        </w:rPr>
        <w:t xml:space="preserve"> </w:t>
      </w:r>
    </w:p>
    <w:p w14:paraId="0A76CA5F" w14:textId="0C7DC942"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التحول من إدارة الموارد البشرية التقليدية إلى الرقمية، خاصة بعد جائحة كوفيد-19 التي سرعت هذا الانتقال. اعتمدت الدراسة على المنهج الوصفي التحليلي من خلال مراجعة الأدبيات ومقابلات مع خبراء في مؤسسات متعددة الجنسيات. النتائج بينت أن المؤسسات التي تبنت أنظمة رقمية لإدارة الموارد البشرية حققت مستويات أعلى من الكفاءة والمرونة مقارنة بالمؤسسات التقليدية. وأوصت الدراسة بضرورة الاستثمار في البنية التحتية الرقمية وتدريب الموظفين على استخدام الأنظمة الحديثة لضمان استدامة التحول</w:t>
      </w:r>
      <w:r w:rsidRPr="00BC618B">
        <w:rPr>
          <w:rFonts w:ascii="Sakkal Majalla" w:eastAsia="Calibri" w:hAnsi="Sakkal Majalla" w:cs="Sakkal Majalla"/>
          <w:kern w:val="0"/>
          <w:sz w:val="32"/>
          <w:szCs w:val="32"/>
          <w:lang w:bidi="ar-EG"/>
          <w14:ligatures w14:val="none"/>
        </w:rPr>
        <w:t>.</w:t>
      </w:r>
    </w:p>
    <w:p w14:paraId="59F4B9B0"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8D4280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BDC5A2A" w14:textId="77777777" w:rsidR="00434642" w:rsidRPr="00BC618B" w:rsidRDefault="00434642" w:rsidP="00434642">
      <w:pPr>
        <w:bidi/>
        <w:spacing w:after="0" w:line="360" w:lineRule="auto"/>
        <w:ind w:right="-270"/>
        <w:jc w:val="both"/>
        <w:rPr>
          <w:rFonts w:ascii="Sakkal Majalla" w:eastAsia="Calibri" w:hAnsi="Sakkal Majalla" w:cs="Sakkal Majalla"/>
          <w:kern w:val="0"/>
          <w:sz w:val="32"/>
          <w:szCs w:val="32"/>
          <w:lang w:bidi="ar-EG"/>
          <w14:ligatures w14:val="none"/>
        </w:rPr>
      </w:pPr>
    </w:p>
    <w:p w14:paraId="0C583E6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Srivastav &amp; Shukla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"Global human resource management trends in the digital transformation era"</w:t>
      </w:r>
      <w:r w:rsidRPr="00583200">
        <w:rPr>
          <w:rFonts w:ascii="Sakkal Majalla" w:eastAsia="Calibri" w:hAnsi="Sakkal Majalla" w:cs="Sakkal Majalla"/>
          <w:kern w:val="0"/>
          <w:sz w:val="32"/>
          <w:szCs w:val="32"/>
          <w:lang w:bidi="ar-EG"/>
          <w14:ligatures w14:val="none"/>
        </w:rPr>
        <w:t xml:space="preserve"> </w:t>
      </w:r>
    </w:p>
    <w:p w14:paraId="701E3047" w14:textId="5F7BCDE1" w:rsidR="00C36819"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استكشاف الاتجاهات العالمية في إدارة الموارد البشرية في ظل التحول الرقمي. اعتمدت الدراسة على منهجية نظرية تحليلية، حيث استعرضت سبعة نماذج جديدة مثل رأس المال البشري المعزز بالذكاء الاصطناعي، بيئات العمل الهجينة، والقيادة الرقمية. النتائج أوضحت أن هذه النماذج أصبحت ضرورية لضمان تنافسية المؤسسات في الأسواق العالمية. وأوصت الدراسة بضرورة دمج هذه النماذج في السياسات المؤسسية، مع التركيز على تعزيز الابتكار والمرونة التنظيمية</w:t>
      </w:r>
      <w:r w:rsidRPr="00BC618B">
        <w:rPr>
          <w:rFonts w:ascii="Sakkal Majalla" w:eastAsia="Calibri" w:hAnsi="Sakkal Majalla" w:cs="Sakkal Majalla"/>
          <w:kern w:val="0"/>
          <w:sz w:val="32"/>
          <w:szCs w:val="32"/>
          <w:lang w:bidi="ar-EG"/>
          <w14:ligatures w14:val="none"/>
        </w:rPr>
        <w:t>.</w:t>
      </w:r>
    </w:p>
    <w:p w14:paraId="11A1231E" w14:textId="77777777" w:rsidR="00C36819" w:rsidRPr="00BC618B" w:rsidRDefault="00C36819" w:rsidP="00C36819">
      <w:pPr>
        <w:bidi/>
        <w:spacing w:after="0" w:line="360" w:lineRule="auto"/>
        <w:ind w:right="-270"/>
        <w:jc w:val="both"/>
        <w:rPr>
          <w:rFonts w:ascii="Sakkal Majalla" w:eastAsia="Calibri" w:hAnsi="Sakkal Majalla" w:cs="Sakkal Majalla"/>
          <w:kern w:val="0"/>
          <w:sz w:val="32"/>
          <w:szCs w:val="32"/>
          <w:lang w:bidi="ar-EG"/>
          <w14:ligatures w14:val="none"/>
        </w:rPr>
      </w:pPr>
    </w:p>
    <w:p w14:paraId="1900869F"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Christina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"Synthesizing the impact of sustainable human resource management on corporate sustainability"</w:t>
      </w:r>
      <w:r w:rsidRPr="00583200">
        <w:rPr>
          <w:rFonts w:ascii="Sakkal Majalla" w:eastAsia="Calibri" w:hAnsi="Sakkal Majalla" w:cs="Sakkal Majalla"/>
          <w:kern w:val="0"/>
          <w:sz w:val="32"/>
          <w:szCs w:val="32"/>
          <w:lang w:bidi="ar-EG"/>
          <w14:ligatures w14:val="none"/>
        </w:rPr>
        <w:t xml:space="preserve"> </w:t>
      </w:r>
    </w:p>
    <w:p w14:paraId="1551D7C6" w14:textId="25B7D8A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إدارة الموارد البشرية المستدامة والاستدامة المؤسسية. استخدمت الدراسة منهجية متعددة الأدوات، شملت تحليل كمي عبر استبيانات ومقابلات نوعية مع مديري الموارد البشرية في شركات متعددة الجنسيات. النتائج بينت أن تطبيق ممارسات الموارد البشرية المستدامة مثل التدريب المستمر، العدالة الوظيفية، ودعم رفاهية الموظفين يسهم بشكل مباشر في تعزيز الاستدامة المؤسسية. وأوصت الدراسة بضرورة دمج الاستدامة في جميع جوانب إدارة الموارد البشرية لضمان تحقيق أهداف التنمية طويلة الأمد</w:t>
      </w:r>
      <w:r w:rsidRPr="00BC618B">
        <w:rPr>
          <w:rFonts w:ascii="Sakkal Majalla" w:eastAsia="Calibri" w:hAnsi="Sakkal Majalla" w:cs="Sakkal Majalla"/>
          <w:kern w:val="0"/>
          <w:sz w:val="32"/>
          <w:szCs w:val="32"/>
          <w:lang w:bidi="ar-EG"/>
          <w14:ligatures w14:val="none"/>
        </w:rPr>
        <w:t>.</w:t>
      </w:r>
    </w:p>
    <w:p w14:paraId="65308159"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1412DDDE"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Bai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"Exploring sustainable HRM through the lens of employee wellbeing"</w:t>
      </w:r>
      <w:r w:rsidRPr="00583200">
        <w:rPr>
          <w:rFonts w:ascii="Sakkal Majalla" w:eastAsia="Calibri" w:hAnsi="Sakkal Majalla" w:cs="Sakkal Majalla"/>
          <w:kern w:val="0"/>
          <w:sz w:val="32"/>
          <w:szCs w:val="32"/>
          <w:lang w:bidi="ar-EG"/>
          <w14:ligatures w14:val="none"/>
        </w:rPr>
        <w:t xml:space="preserve"> </w:t>
      </w:r>
    </w:p>
    <w:p w14:paraId="69EDF05D" w14:textId="2B961BAA" w:rsidR="00C36819"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هدفت إلى دراسة الاستدامة الوظيفية من منظور رفاهية الموظفين. اعتمدت الدراسة على منهجية كمية باستخدام استبيانات وزعت على موظفين في قطاعات مختلفة، وتم تحليل البيانات باستخدام النماذج </w:t>
      </w:r>
      <w:r w:rsidRPr="00BC618B">
        <w:rPr>
          <w:rFonts w:ascii="Sakkal Majalla" w:eastAsia="Calibri" w:hAnsi="Sakkal Majalla" w:cs="Sakkal Majalla"/>
          <w:kern w:val="0"/>
          <w:sz w:val="32"/>
          <w:szCs w:val="32"/>
          <w:rtl/>
          <w14:ligatures w14:val="none"/>
        </w:rPr>
        <w:lastRenderedPageBreak/>
        <w:t>الإحصائية المتقدمة. النتائج أظهرت أن رفاهية الموظفين تمثل أساسًا لتحقيق إدارة موارد بشرية مستدامة، حيث ترتبط بشكل مباشر بالرضا الوظيفي، الولاء المؤسسي، وانخفاض معدلات دوران الموظفين. وأوصت الدراسة بضرورة أن تركز المؤسسات على برامج الصحة النفسية والجسدية، وتوفير بيئة عمل داعمة لتحقيق الاستدامة الوظيفية</w:t>
      </w:r>
      <w:r w:rsidRPr="00BC618B">
        <w:rPr>
          <w:rFonts w:ascii="Sakkal Majalla" w:eastAsia="Calibri" w:hAnsi="Sakkal Majalla" w:cs="Sakkal Majalla"/>
          <w:kern w:val="0"/>
          <w:sz w:val="32"/>
          <w:szCs w:val="32"/>
          <w:lang w:bidi="ar-EG"/>
          <w14:ligatures w14:val="none"/>
        </w:rPr>
        <w:t>.</w:t>
      </w:r>
    </w:p>
    <w:p w14:paraId="55CDE8BE" w14:textId="77777777" w:rsidR="00C36819" w:rsidRDefault="00C36819" w:rsidP="00C36819">
      <w:pPr>
        <w:bidi/>
        <w:spacing w:after="0" w:line="360" w:lineRule="auto"/>
        <w:ind w:right="-270"/>
        <w:jc w:val="both"/>
        <w:rPr>
          <w:rFonts w:ascii="Sakkal Majalla" w:eastAsia="Calibri" w:hAnsi="Sakkal Majalla" w:cs="Sakkal Majalla"/>
          <w:kern w:val="0"/>
          <w:sz w:val="32"/>
          <w:szCs w:val="32"/>
          <w:rtl/>
          <w:lang w:bidi="ar-EG"/>
          <w14:ligatures w14:val="none"/>
        </w:rPr>
      </w:pPr>
    </w:p>
    <w:p w14:paraId="0E8A2C92"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Nadeem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"The impact of Saudization (</w:t>
      </w:r>
      <w:proofErr w:type="spellStart"/>
      <w:r w:rsidRPr="00583200">
        <w:rPr>
          <w:rFonts w:ascii="Sakkal Majalla" w:eastAsia="Calibri" w:hAnsi="Sakkal Majalla" w:cs="Sakkal Majalla"/>
          <w:b/>
          <w:bCs/>
          <w:kern w:val="0"/>
          <w:sz w:val="32"/>
          <w:szCs w:val="32"/>
          <w:lang w:bidi="ar-EG"/>
          <w14:ligatures w14:val="none"/>
        </w:rPr>
        <w:t>Nitaqat</w:t>
      </w:r>
      <w:proofErr w:type="spellEnd"/>
      <w:r w:rsidRPr="00583200">
        <w:rPr>
          <w:rFonts w:ascii="Sakkal Majalla" w:eastAsia="Calibri" w:hAnsi="Sakkal Majalla" w:cs="Sakkal Majalla"/>
          <w:b/>
          <w:bCs/>
          <w:kern w:val="0"/>
          <w:sz w:val="32"/>
          <w:szCs w:val="32"/>
          <w:lang w:bidi="ar-EG"/>
          <w14:ligatures w14:val="none"/>
        </w:rPr>
        <w:t>) on global talent mobility"</w:t>
      </w:r>
      <w:r w:rsidRPr="00583200">
        <w:rPr>
          <w:rFonts w:ascii="Sakkal Majalla" w:eastAsia="Calibri" w:hAnsi="Sakkal Majalla" w:cs="Sakkal Majalla"/>
          <w:kern w:val="0"/>
          <w:sz w:val="32"/>
          <w:szCs w:val="32"/>
          <w:lang w:bidi="ar-EG"/>
          <w14:ligatures w14:val="none"/>
        </w:rPr>
        <w:t xml:space="preserve"> </w:t>
      </w:r>
    </w:p>
    <w:p w14:paraId="35084A05" w14:textId="0961F895"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أثر سياسات التوطين (نطاقات) على حركة المواهب العالمية، خاصة بعد توسيع نطاق المهن المشمولة بالتوطين إلى أكثر من 260 مهنة. استخدمت الدراسة المنهج الوصفي التحليلي من خلال مراجعة السياسات الحكومية والبيانات الإحصائية الخاصة بسوق العمل السعودي. النتائج بينت أن التوطين أدى إلى زيادة مشاركة القوى العاملة الوطنية، لكنه في الوقت ذاته قلل من فرص العمالة الوافدة في بعض القطاعات الحيوية. وأوصت الدراسة بضرورة الموازنة بين أهداف التوطين ومتطلبات السوق، مع تعزيز برامج التدريب لتأهيل المواطنين لشغل الوظائف المتخصصة</w:t>
      </w:r>
      <w:r w:rsidRPr="00BC618B">
        <w:rPr>
          <w:rFonts w:ascii="Sakkal Majalla" w:eastAsia="Calibri" w:hAnsi="Sakkal Majalla" w:cs="Sakkal Majalla"/>
          <w:kern w:val="0"/>
          <w:sz w:val="32"/>
          <w:szCs w:val="32"/>
          <w:lang w:bidi="ar-EG"/>
          <w14:ligatures w14:val="none"/>
        </w:rPr>
        <w:t>.</w:t>
      </w:r>
    </w:p>
    <w:p w14:paraId="76BB86DA"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67ACAAE3"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Ghosh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"AI-exposure and </w:t>
      </w:r>
      <w:proofErr w:type="spellStart"/>
      <w:r w:rsidRPr="00583200">
        <w:rPr>
          <w:rFonts w:ascii="Sakkal Majalla" w:eastAsia="Calibri" w:hAnsi="Sakkal Majalla" w:cs="Sakkal Majalla"/>
          <w:b/>
          <w:bCs/>
          <w:kern w:val="0"/>
          <w:sz w:val="32"/>
          <w:szCs w:val="32"/>
          <w:lang w:bidi="ar-EG"/>
          <w14:ligatures w14:val="none"/>
        </w:rPr>
        <w:t>labour</w:t>
      </w:r>
      <w:proofErr w:type="spellEnd"/>
      <w:r w:rsidRPr="00583200">
        <w:rPr>
          <w:rFonts w:ascii="Sakkal Majalla" w:eastAsia="Calibri" w:hAnsi="Sakkal Majalla" w:cs="Sakkal Majalla"/>
          <w:b/>
          <w:bCs/>
          <w:kern w:val="0"/>
          <w:sz w:val="32"/>
          <w:szCs w:val="32"/>
          <w:lang w:bidi="ar-EG"/>
          <w14:ligatures w14:val="none"/>
        </w:rPr>
        <w:t xml:space="preserve"> market: A systematic literature review on estimations, validations, and perceptions"</w:t>
      </w:r>
      <w:r w:rsidRPr="00583200">
        <w:rPr>
          <w:rFonts w:ascii="Sakkal Majalla" w:eastAsia="Calibri" w:hAnsi="Sakkal Majalla" w:cs="Sakkal Majalla"/>
          <w:kern w:val="0"/>
          <w:sz w:val="32"/>
          <w:szCs w:val="32"/>
          <w:lang w:bidi="ar-EG"/>
          <w14:ligatures w14:val="none"/>
        </w:rPr>
        <w:t xml:space="preserve"> </w:t>
      </w:r>
    </w:p>
    <w:p w14:paraId="1DF412F1" w14:textId="38B003F4" w:rsidR="004E6AD4" w:rsidRPr="00BC618B" w:rsidRDefault="00BC618B" w:rsidP="00434642">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تأثير الذكاء الاصطناعي على أسواق العمل العالمية من خلال مراجعة منهجية للأدبيات المنشورة بين 2015 و2024. اعتمدت الدراسة على المنهج التحليلي المقارن، حيث جمعت أكثر من 200 دراسة دولية وقامت بتحليلها بشكل منهجي. النتائج بينت أن الذكاء الاصطناعي يعيد تشكيل طبيعة الوظائف، حيث يهدد بعض الوظائف التقليدية لكنه يخلق فرصًا جديدة في مجالات التقنية والتحليل. وأوصت الدراسة بضرورة تبني سياسات تعليمية وتدريبية تواكب هذه التحولات، مع التركيز على المهارات الرقمية والإبداعية</w:t>
      </w:r>
      <w:r w:rsidRPr="00BC618B">
        <w:rPr>
          <w:rFonts w:ascii="Sakkal Majalla" w:eastAsia="Calibri" w:hAnsi="Sakkal Majalla" w:cs="Sakkal Majalla"/>
          <w:kern w:val="0"/>
          <w:sz w:val="32"/>
          <w:szCs w:val="32"/>
          <w:lang w:bidi="ar-EG"/>
          <w14:ligatures w14:val="none"/>
        </w:rPr>
        <w:t>.</w:t>
      </w:r>
    </w:p>
    <w:p w14:paraId="756B2D17"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Gimbel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"Evaluating the impact of AI on the labor market: Current state of affairs"</w:t>
      </w:r>
      <w:r w:rsidRPr="00583200">
        <w:rPr>
          <w:rFonts w:ascii="Sakkal Majalla" w:eastAsia="Calibri" w:hAnsi="Sakkal Majalla" w:cs="Sakkal Majalla"/>
          <w:kern w:val="0"/>
          <w:sz w:val="32"/>
          <w:szCs w:val="32"/>
          <w:lang w:bidi="ar-EG"/>
          <w14:ligatures w14:val="none"/>
        </w:rPr>
        <w:t xml:space="preserve"> </w:t>
      </w:r>
    </w:p>
    <w:p w14:paraId="07F35815" w14:textId="2EE07EB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تقييم الوضع الراهن لتأثير الذكاء الاصطناعي على أسواق العمل، خاصة في الولايات المتحدة وأوروبا. استخدمت الدراسة المنهج الكمي من خلال تحليل بيانات التوظيف ومؤشرات سوق العمل، بالإضافة إلى مراجعة تقارير المؤسسات الدولية. النتائج أظهرت أن الذكاء الاصطناعي يسهم في أتمتة العديد من الوظائف، لكنه في الوقت ذاته يعزز الإنتاجية ويخلق وظائف جديدة في مجالات البرمجة والتحليل. وأوصت الدراسة بضرورة تطوير سياسات مرنة لدعم العمالة المتأثرة بالأتمتة، مع التركيز على إعادة التدريب والتأهيل المهني</w:t>
      </w:r>
      <w:r w:rsidRPr="00BC618B">
        <w:rPr>
          <w:rFonts w:ascii="Sakkal Majalla" w:eastAsia="Calibri" w:hAnsi="Sakkal Majalla" w:cs="Sakkal Majalla"/>
          <w:kern w:val="0"/>
          <w:sz w:val="32"/>
          <w:szCs w:val="32"/>
          <w:lang w:bidi="ar-EG"/>
          <w14:ligatures w14:val="none"/>
        </w:rPr>
        <w:t>.</w:t>
      </w:r>
    </w:p>
    <w:p w14:paraId="672FE181"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B9490B6"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w:t>
      </w:r>
      <w:proofErr w:type="spellStart"/>
      <w:r w:rsidRPr="00583200">
        <w:rPr>
          <w:rFonts w:ascii="Sakkal Majalla" w:eastAsia="Calibri" w:hAnsi="Sakkal Majalla" w:cs="Sakkal Majalla"/>
          <w:b/>
          <w:bCs/>
          <w:kern w:val="0"/>
          <w:sz w:val="32"/>
          <w:szCs w:val="32"/>
          <w:lang w:bidi="ar-EG"/>
          <w14:ligatures w14:val="none"/>
        </w:rPr>
        <w:t>AlMahmoud</w:t>
      </w:r>
      <w:proofErr w:type="spellEnd"/>
      <w:r w:rsidRPr="00583200">
        <w:rPr>
          <w:rFonts w:ascii="Sakkal Majalla" w:eastAsia="Calibri" w:hAnsi="Sakkal Majalla" w:cs="Sakkal Majalla"/>
          <w:b/>
          <w:bCs/>
          <w:kern w:val="0"/>
          <w:sz w:val="32"/>
          <w:szCs w:val="32"/>
          <w:lang w:bidi="ar-EG"/>
          <w14:ligatures w14:val="none"/>
        </w:rPr>
        <w:t xml:space="preserve">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"High-skilled employment and Vision 2030: How education and training for Saudi youth align with labor market demands"</w:t>
      </w:r>
      <w:r w:rsidRPr="00583200">
        <w:rPr>
          <w:rFonts w:ascii="Sakkal Majalla" w:eastAsia="Calibri" w:hAnsi="Sakkal Majalla" w:cs="Sakkal Majalla"/>
          <w:kern w:val="0"/>
          <w:sz w:val="32"/>
          <w:szCs w:val="32"/>
          <w:lang w:bidi="ar-EG"/>
          <w14:ligatures w14:val="none"/>
        </w:rPr>
        <w:t xml:space="preserve"> </w:t>
      </w:r>
    </w:p>
    <w:p w14:paraId="1D86E291" w14:textId="32EAFA64"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التعليم والتدريب للشباب السعودي ومتطلبات سوق العمل في ضوء رؤية 2030. اعتمدت الدراسة على المنهج الوصفي التحليلي باستخدام بيانات وزارة التعليم وتقارير سوق العمل. النتائج بينت أن الاستثمار في التعليم العالي والتخصصات التقنية يمثل ركيزة أساسية لتحقيق أهداف التوظيف، حيث يمكن أن يسهم في خلق أكثر من 900 ألف وظيفة بحلول 2030. وأوصت الدراسة بضرورة تعزيز برامج</w:t>
      </w:r>
      <w:r w:rsidRPr="00BC618B">
        <w:rPr>
          <w:rFonts w:ascii="Sakkal Majalla" w:eastAsia="Calibri" w:hAnsi="Sakkal Majalla" w:cs="Sakkal Majalla"/>
          <w:kern w:val="0"/>
          <w:sz w:val="32"/>
          <w:szCs w:val="32"/>
          <w:lang w:bidi="ar-EG"/>
          <w14:ligatures w14:val="none"/>
        </w:rPr>
        <w:t xml:space="preserve"> STEM</w:t>
      </w:r>
      <w:r w:rsidRPr="00BC618B">
        <w:rPr>
          <w:rFonts w:ascii="Sakkal Majalla" w:eastAsia="Calibri" w:hAnsi="Sakkal Majalla" w:cs="Sakkal Majalla"/>
          <w:kern w:val="0"/>
          <w:sz w:val="32"/>
          <w:szCs w:val="32"/>
          <w:rtl/>
          <w14:ligatures w14:val="none"/>
        </w:rPr>
        <w:t>، وربطها مباشرة باحتياجات القطاع الخاص لضمان المواءمة بين مخرجات التعليم ومتطلبات السوق</w:t>
      </w:r>
      <w:r w:rsidRPr="00BC618B">
        <w:rPr>
          <w:rFonts w:ascii="Sakkal Majalla" w:eastAsia="Calibri" w:hAnsi="Sakkal Majalla" w:cs="Sakkal Majalla"/>
          <w:kern w:val="0"/>
          <w:sz w:val="32"/>
          <w:szCs w:val="32"/>
          <w:lang w:bidi="ar-EG"/>
          <w14:ligatures w14:val="none"/>
        </w:rPr>
        <w:t>.</w:t>
      </w:r>
    </w:p>
    <w:p w14:paraId="31919D0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60EF53DE"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C21E27C"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40919826"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639424A1" w14:textId="77777777" w:rsidR="00434642" w:rsidRDefault="00434642" w:rsidP="00434642">
      <w:pPr>
        <w:bidi/>
        <w:spacing w:after="0" w:line="360" w:lineRule="auto"/>
        <w:ind w:right="-270"/>
        <w:jc w:val="both"/>
        <w:rPr>
          <w:rFonts w:ascii="Sakkal Majalla" w:eastAsia="Calibri" w:hAnsi="Sakkal Majalla" w:cs="Sakkal Majalla"/>
          <w:kern w:val="0"/>
          <w:sz w:val="32"/>
          <w:szCs w:val="32"/>
          <w:rtl/>
          <w:lang w:bidi="ar-EG"/>
          <w14:ligatures w14:val="none"/>
        </w:rPr>
      </w:pPr>
    </w:p>
    <w:p w14:paraId="4CA5A6CE" w14:textId="4CC010A3" w:rsidR="00434642" w:rsidRPr="00434642" w:rsidRDefault="00434642" w:rsidP="00CC7BB2">
      <w:pPr>
        <w:bidi/>
        <w:spacing w:after="0" w:line="360" w:lineRule="auto"/>
        <w:ind w:right="-270"/>
        <w:jc w:val="both"/>
        <w:rPr>
          <w:rFonts w:ascii="Sakkal Majalla" w:eastAsia="Calibri" w:hAnsi="Sakkal Majalla" w:cs="Sakkal Majalla"/>
          <w:kern w:val="0"/>
          <w:sz w:val="32"/>
          <w:szCs w:val="32"/>
          <w:lang w:bidi="ar-EG"/>
          <w14:ligatures w14:val="none"/>
        </w:rPr>
      </w:pPr>
      <w:r>
        <w:rPr>
          <w:rFonts w:ascii="Sakkal Majalla" w:eastAsia="Calibri" w:hAnsi="Sakkal Majalla" w:cs="Sakkal Majalla" w:hint="cs"/>
          <w:kern w:val="0"/>
          <w:sz w:val="32"/>
          <w:szCs w:val="32"/>
          <w:rtl/>
          <w:lang w:bidi="ar-EG"/>
          <w14:ligatures w14:val="none"/>
        </w:rPr>
        <w:lastRenderedPageBreak/>
        <w:t>جدول رقم (2): الدراسات الاجنبية</w:t>
      </w:r>
    </w:p>
    <w:tbl>
      <w:tblPr>
        <w:tblStyle w:val="TableGrid1"/>
        <w:tblW w:w="9923" w:type="dxa"/>
        <w:tblInd w:w="-714" w:type="dxa"/>
        <w:tblLook w:val="04A0" w:firstRow="1" w:lastRow="0" w:firstColumn="1" w:lastColumn="0" w:noHBand="0" w:noVBand="1"/>
      </w:tblPr>
      <w:tblGrid>
        <w:gridCol w:w="3271"/>
        <w:gridCol w:w="1785"/>
        <w:gridCol w:w="2599"/>
        <w:gridCol w:w="806"/>
        <w:gridCol w:w="1462"/>
      </w:tblGrid>
      <w:tr w:rsidR="008C2DA8" w:rsidRPr="008C2DA8" w14:paraId="5DBB60F4" w14:textId="77777777" w:rsidTr="006F30F4">
        <w:tc>
          <w:tcPr>
            <w:tcW w:w="3271" w:type="dxa"/>
          </w:tcPr>
          <w:p w14:paraId="7FF99292"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النتائج</w:t>
            </w:r>
          </w:p>
        </w:tc>
        <w:tc>
          <w:tcPr>
            <w:tcW w:w="0" w:type="auto"/>
          </w:tcPr>
          <w:p w14:paraId="2478DF8E"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المنهج</w:t>
            </w:r>
          </w:p>
        </w:tc>
        <w:tc>
          <w:tcPr>
            <w:tcW w:w="2599" w:type="dxa"/>
            <w:hideMark/>
          </w:tcPr>
          <w:p w14:paraId="4C250F72" w14:textId="77777777" w:rsidR="008C2DA8" w:rsidRPr="008C2DA8" w:rsidRDefault="008C2DA8" w:rsidP="008C2DA8">
            <w:pPr>
              <w:bidi/>
              <w:spacing w:line="276" w:lineRule="auto"/>
              <w:jc w:val="both"/>
              <w:rPr>
                <w:rFonts w:ascii="Sakkal Majalla" w:eastAsia="Aptos" w:hAnsi="Sakkal Majalla" w:cs="Sakkal Majalla"/>
                <w:b/>
                <w:bCs/>
                <w:sz w:val="32"/>
                <w:szCs w:val="32"/>
              </w:rPr>
            </w:pPr>
            <w:r w:rsidRPr="008C2DA8">
              <w:rPr>
                <w:rFonts w:ascii="Sakkal Majalla" w:eastAsia="Aptos" w:hAnsi="Sakkal Majalla" w:cs="Sakkal Majalla"/>
                <w:b/>
                <w:bCs/>
                <w:sz w:val="32"/>
                <w:szCs w:val="32"/>
                <w:rtl/>
              </w:rPr>
              <w:t>الهدف</w:t>
            </w:r>
          </w:p>
        </w:tc>
        <w:tc>
          <w:tcPr>
            <w:tcW w:w="806" w:type="dxa"/>
          </w:tcPr>
          <w:p w14:paraId="44CE5F7B"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السنة</w:t>
            </w:r>
          </w:p>
        </w:tc>
        <w:tc>
          <w:tcPr>
            <w:tcW w:w="1462" w:type="dxa"/>
          </w:tcPr>
          <w:p w14:paraId="3C31CE12" w14:textId="77777777" w:rsidR="008C2DA8" w:rsidRPr="008C2DA8" w:rsidRDefault="008C2DA8" w:rsidP="008C2DA8">
            <w:pPr>
              <w:bidi/>
              <w:spacing w:line="276" w:lineRule="auto"/>
              <w:jc w:val="both"/>
              <w:rPr>
                <w:rFonts w:ascii="Sakkal Majalla" w:eastAsia="Aptos" w:hAnsi="Sakkal Majalla" w:cs="Sakkal Majalla"/>
                <w:b/>
                <w:bCs/>
                <w:sz w:val="32"/>
                <w:szCs w:val="32"/>
                <w:rtl/>
              </w:rPr>
            </w:pPr>
            <w:r w:rsidRPr="008C2DA8">
              <w:rPr>
                <w:rFonts w:ascii="Sakkal Majalla" w:eastAsia="Aptos" w:hAnsi="Sakkal Majalla" w:cs="Sakkal Majalla"/>
                <w:b/>
                <w:bCs/>
                <w:sz w:val="32"/>
                <w:szCs w:val="32"/>
                <w:rtl/>
              </w:rPr>
              <w:t>الباحث</w:t>
            </w:r>
          </w:p>
        </w:tc>
      </w:tr>
      <w:tr w:rsidR="008C2DA8" w:rsidRPr="008C2DA8" w14:paraId="5F8790EE" w14:textId="77777777" w:rsidTr="006F30F4">
        <w:tc>
          <w:tcPr>
            <w:tcW w:w="3271" w:type="dxa"/>
          </w:tcPr>
          <w:p w14:paraId="7883575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التحول الرقمي أصبح ركيزة أساسية؛ أوصت ببحث تأثير الذكاء الاصطناعي على الاستدامة والرضا الوظيفي</w:t>
            </w:r>
          </w:p>
        </w:tc>
        <w:tc>
          <w:tcPr>
            <w:tcW w:w="0" w:type="auto"/>
          </w:tcPr>
          <w:p w14:paraId="61BB8C1C"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تحليل ببليومتري لأكثر من </w:t>
            </w:r>
            <w:r w:rsidRPr="008C2DA8">
              <w:rPr>
                <w:rFonts w:ascii="Sakkal Majalla" w:eastAsia="Aptos" w:hAnsi="Sakkal Majalla" w:cs="Sakkal Majalla"/>
                <w:sz w:val="32"/>
                <w:szCs w:val="32"/>
              </w:rPr>
              <w:t xml:space="preserve">500 </w:t>
            </w:r>
            <w:r w:rsidRPr="008C2DA8">
              <w:rPr>
                <w:rFonts w:ascii="Sakkal Majalla" w:eastAsia="Aptos" w:hAnsi="Sakkal Majalla" w:cs="Sakkal Majalla"/>
                <w:sz w:val="32"/>
                <w:szCs w:val="32"/>
                <w:rtl/>
              </w:rPr>
              <w:t>دراسة باستخدام أدوات البيانات الضخمة</w:t>
            </w:r>
          </w:p>
        </w:tc>
        <w:tc>
          <w:tcPr>
            <w:tcW w:w="2599" w:type="dxa"/>
            <w:hideMark/>
          </w:tcPr>
          <w:p w14:paraId="72FAFBC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تحليل مسار التحول الرقمي في إدارة الموارد البشرية خلال عقد كامل</w:t>
            </w:r>
          </w:p>
        </w:tc>
        <w:tc>
          <w:tcPr>
            <w:tcW w:w="806" w:type="dxa"/>
          </w:tcPr>
          <w:p w14:paraId="219A6A9F"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BF92184"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O’Brien </w:t>
            </w:r>
            <w:r w:rsidRPr="008C2DA8">
              <w:rPr>
                <w:rFonts w:ascii="Sakkal Majalla" w:eastAsia="Aptos" w:hAnsi="Sakkal Majalla" w:cs="Sakkal Majalla"/>
                <w:sz w:val="32"/>
                <w:szCs w:val="32"/>
                <w:rtl/>
              </w:rPr>
              <w:t>وآخرون</w:t>
            </w:r>
          </w:p>
        </w:tc>
      </w:tr>
      <w:tr w:rsidR="008C2DA8" w:rsidRPr="008C2DA8" w14:paraId="028E9D80" w14:textId="77777777" w:rsidTr="006F30F4">
        <w:tc>
          <w:tcPr>
            <w:tcW w:w="3271" w:type="dxa"/>
          </w:tcPr>
          <w:p w14:paraId="6ECFDB57"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المؤسسات الرقمية أكثر كفاءة ومرونة؛ أوصت بالاستثمار في البنية التحتية الرقمية وتدريب الموظفين</w:t>
            </w:r>
          </w:p>
        </w:tc>
        <w:tc>
          <w:tcPr>
            <w:tcW w:w="0" w:type="auto"/>
          </w:tcPr>
          <w:p w14:paraId="371E937D"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وصفي تحليلي عبر مراجعة الأدبيات ومقابلات مع خبراء</w:t>
            </w:r>
          </w:p>
        </w:tc>
        <w:tc>
          <w:tcPr>
            <w:tcW w:w="2599" w:type="dxa"/>
            <w:hideMark/>
          </w:tcPr>
          <w:p w14:paraId="2B0CF80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التحول من إدارة الموارد البشرية التقليدية إلى الرقمية بعد جائحة كوفيد-19</w:t>
            </w:r>
          </w:p>
        </w:tc>
        <w:tc>
          <w:tcPr>
            <w:tcW w:w="806" w:type="dxa"/>
          </w:tcPr>
          <w:p w14:paraId="2B94FC2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0D9AB140"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Bindra </w:t>
            </w:r>
            <w:r w:rsidRPr="008C2DA8">
              <w:rPr>
                <w:rFonts w:ascii="Sakkal Majalla" w:eastAsia="Aptos" w:hAnsi="Sakkal Majalla" w:cs="Sakkal Majalla"/>
                <w:sz w:val="32"/>
                <w:szCs w:val="32"/>
                <w:rtl/>
              </w:rPr>
              <w:t>وآخرون</w:t>
            </w:r>
          </w:p>
        </w:tc>
      </w:tr>
      <w:tr w:rsidR="008C2DA8" w:rsidRPr="008C2DA8" w14:paraId="4C6AF38D" w14:textId="77777777" w:rsidTr="006F30F4">
        <w:tc>
          <w:tcPr>
            <w:tcW w:w="3271" w:type="dxa"/>
          </w:tcPr>
          <w:p w14:paraId="343CE24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عرض سبعة نماذج جديدة مثل القيادة الرقمية والبيئات الهجينة؛ أوصت بدمجها في السياسات المؤسسية</w:t>
            </w:r>
          </w:p>
        </w:tc>
        <w:tc>
          <w:tcPr>
            <w:tcW w:w="0" w:type="auto"/>
          </w:tcPr>
          <w:p w14:paraId="1EC1D980"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منهجية نظرية تحليلية</w:t>
            </w:r>
          </w:p>
        </w:tc>
        <w:tc>
          <w:tcPr>
            <w:tcW w:w="2599" w:type="dxa"/>
            <w:hideMark/>
          </w:tcPr>
          <w:p w14:paraId="0DC1B8D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استكشاف الاتجاهات العالمية في إدارة الموارد البشرية في ظل التحول الرقمي</w:t>
            </w:r>
          </w:p>
        </w:tc>
        <w:tc>
          <w:tcPr>
            <w:tcW w:w="806" w:type="dxa"/>
          </w:tcPr>
          <w:p w14:paraId="5BDD4342"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526A206E"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Srivastav &amp; Shukla</w:t>
            </w:r>
          </w:p>
        </w:tc>
      </w:tr>
      <w:tr w:rsidR="008C2DA8" w:rsidRPr="008C2DA8" w14:paraId="2D0E14A2" w14:textId="77777777" w:rsidTr="006F30F4">
        <w:tc>
          <w:tcPr>
            <w:tcW w:w="3271" w:type="dxa"/>
          </w:tcPr>
          <w:p w14:paraId="3E0E4F06"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الممارسات المستدامة تعزز الاستدامة المؤسسية؛ أوصت بدمج الاستدامة في جميع جوانب الموارد البشرية</w:t>
            </w:r>
          </w:p>
        </w:tc>
        <w:tc>
          <w:tcPr>
            <w:tcW w:w="0" w:type="auto"/>
          </w:tcPr>
          <w:p w14:paraId="45FA7B1C"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منهجية متعددة الأدوات </w:t>
            </w:r>
            <w:r w:rsidRPr="008C2DA8">
              <w:rPr>
                <w:rFonts w:ascii="Sakkal Majalla" w:eastAsia="Aptos" w:hAnsi="Sakkal Majalla" w:cs="Sakkal Majalla"/>
                <w:sz w:val="32"/>
                <w:szCs w:val="32"/>
              </w:rPr>
              <w:t>(</w:t>
            </w:r>
            <w:r w:rsidRPr="008C2DA8">
              <w:rPr>
                <w:rFonts w:ascii="Sakkal Majalla" w:eastAsia="Aptos" w:hAnsi="Sakkal Majalla" w:cs="Sakkal Majalla"/>
                <w:sz w:val="32"/>
                <w:szCs w:val="32"/>
                <w:rtl/>
              </w:rPr>
              <w:t xml:space="preserve">استبيانات </w:t>
            </w:r>
            <w:r w:rsidRPr="008C2DA8">
              <w:rPr>
                <w:rFonts w:ascii="Sakkal Majalla" w:eastAsia="Aptos" w:hAnsi="Sakkal Majalla" w:cs="Sakkal Majalla"/>
                <w:sz w:val="32"/>
                <w:szCs w:val="32"/>
              </w:rPr>
              <w:t xml:space="preserve">+ </w:t>
            </w:r>
            <w:r w:rsidRPr="008C2DA8">
              <w:rPr>
                <w:rFonts w:ascii="Sakkal Majalla" w:eastAsia="Aptos" w:hAnsi="Sakkal Majalla" w:cs="Sakkal Majalla"/>
                <w:sz w:val="32"/>
                <w:szCs w:val="32"/>
                <w:rtl/>
              </w:rPr>
              <w:t>مقابلات</w:t>
            </w:r>
            <w:r w:rsidRPr="008C2DA8">
              <w:rPr>
                <w:rFonts w:ascii="Sakkal Majalla" w:eastAsia="Aptos" w:hAnsi="Sakkal Majalla" w:cs="Sakkal Majalla"/>
                <w:sz w:val="32"/>
                <w:szCs w:val="32"/>
              </w:rPr>
              <w:t>)</w:t>
            </w:r>
          </w:p>
        </w:tc>
        <w:tc>
          <w:tcPr>
            <w:tcW w:w="2599" w:type="dxa"/>
            <w:hideMark/>
          </w:tcPr>
          <w:p w14:paraId="3551CA86"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العلاقة بين إدارة الموارد البشرية المستدامة والاستدامة المؤسسية</w:t>
            </w:r>
          </w:p>
        </w:tc>
        <w:tc>
          <w:tcPr>
            <w:tcW w:w="806" w:type="dxa"/>
          </w:tcPr>
          <w:p w14:paraId="1DD338F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4B3E3899"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Christina </w:t>
            </w:r>
            <w:r w:rsidRPr="008C2DA8">
              <w:rPr>
                <w:rFonts w:ascii="Sakkal Majalla" w:eastAsia="Aptos" w:hAnsi="Sakkal Majalla" w:cs="Sakkal Majalla"/>
                <w:sz w:val="32"/>
                <w:szCs w:val="32"/>
                <w:rtl/>
              </w:rPr>
              <w:t>وآخرون</w:t>
            </w:r>
          </w:p>
        </w:tc>
      </w:tr>
      <w:tr w:rsidR="008C2DA8" w:rsidRPr="008C2DA8" w14:paraId="332BC38D" w14:textId="77777777" w:rsidTr="006F30F4">
        <w:tc>
          <w:tcPr>
            <w:tcW w:w="3271" w:type="dxa"/>
          </w:tcPr>
          <w:p w14:paraId="103A5688"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رفاهية الموظفين أساس الاستدامة؛ أوصت ببرامج الصحة النفسية والجسدية وبيئة عمل داعمة</w:t>
            </w:r>
          </w:p>
        </w:tc>
        <w:tc>
          <w:tcPr>
            <w:tcW w:w="0" w:type="auto"/>
          </w:tcPr>
          <w:p w14:paraId="2916646B"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منهجية كمية باستخدام استبيانات وتحليل إحصائي</w:t>
            </w:r>
          </w:p>
        </w:tc>
        <w:tc>
          <w:tcPr>
            <w:tcW w:w="2599" w:type="dxa"/>
            <w:hideMark/>
          </w:tcPr>
          <w:p w14:paraId="5B171B8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دراسة الاستدامة الوظيفية من منظور رفاهية الموظفين</w:t>
            </w:r>
          </w:p>
        </w:tc>
        <w:tc>
          <w:tcPr>
            <w:tcW w:w="806" w:type="dxa"/>
          </w:tcPr>
          <w:p w14:paraId="208744B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0064B977"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Bai</w:t>
            </w:r>
          </w:p>
        </w:tc>
      </w:tr>
      <w:tr w:rsidR="008C2DA8" w:rsidRPr="008C2DA8" w14:paraId="55C58599" w14:textId="77777777" w:rsidTr="006F30F4">
        <w:tc>
          <w:tcPr>
            <w:tcW w:w="3271" w:type="dxa"/>
          </w:tcPr>
          <w:p w14:paraId="30F9D057"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التوطين زاد مشاركة المواطنين لكنه قلل فرص الوافدين؛ أوصت </w:t>
            </w:r>
            <w:r w:rsidRPr="008C2DA8">
              <w:rPr>
                <w:rFonts w:ascii="Sakkal Majalla" w:eastAsia="Aptos" w:hAnsi="Sakkal Majalla" w:cs="Sakkal Majalla"/>
                <w:sz w:val="32"/>
                <w:szCs w:val="32"/>
                <w:rtl/>
              </w:rPr>
              <w:lastRenderedPageBreak/>
              <w:t>بالموازنة بين أهداف التوطين ومتطلبات السوق</w:t>
            </w:r>
          </w:p>
        </w:tc>
        <w:tc>
          <w:tcPr>
            <w:tcW w:w="0" w:type="auto"/>
          </w:tcPr>
          <w:p w14:paraId="7ABA72D8"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lastRenderedPageBreak/>
              <w:t xml:space="preserve">وصفي تحليلي عبر مراجعة </w:t>
            </w:r>
            <w:r w:rsidRPr="008C2DA8">
              <w:rPr>
                <w:rFonts w:ascii="Sakkal Majalla" w:eastAsia="Aptos" w:hAnsi="Sakkal Majalla" w:cs="Sakkal Majalla"/>
                <w:sz w:val="32"/>
                <w:szCs w:val="32"/>
                <w:rtl/>
              </w:rPr>
              <w:lastRenderedPageBreak/>
              <w:t>السياسات والبيانات</w:t>
            </w:r>
          </w:p>
        </w:tc>
        <w:tc>
          <w:tcPr>
            <w:tcW w:w="2599" w:type="dxa"/>
            <w:hideMark/>
          </w:tcPr>
          <w:p w14:paraId="5DD4AF1E"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lastRenderedPageBreak/>
              <w:t xml:space="preserve">تحليل أثر سياسات التوطين </w:t>
            </w:r>
            <w:r w:rsidRPr="008C2DA8">
              <w:rPr>
                <w:rFonts w:ascii="Sakkal Majalla" w:eastAsia="Aptos" w:hAnsi="Sakkal Majalla" w:cs="Sakkal Majalla"/>
                <w:sz w:val="32"/>
                <w:szCs w:val="32"/>
              </w:rPr>
              <w:t>(</w:t>
            </w:r>
            <w:r w:rsidRPr="008C2DA8">
              <w:rPr>
                <w:rFonts w:ascii="Sakkal Majalla" w:eastAsia="Aptos" w:hAnsi="Sakkal Majalla" w:cs="Sakkal Majalla"/>
                <w:sz w:val="32"/>
                <w:szCs w:val="32"/>
                <w:rtl/>
              </w:rPr>
              <w:t>نطاقات</w:t>
            </w:r>
            <w:r w:rsidRPr="008C2DA8">
              <w:rPr>
                <w:rFonts w:ascii="Sakkal Majalla" w:eastAsia="Aptos" w:hAnsi="Sakkal Majalla" w:cs="Sakkal Majalla"/>
                <w:sz w:val="32"/>
                <w:szCs w:val="32"/>
              </w:rPr>
              <w:t xml:space="preserve">) </w:t>
            </w:r>
            <w:r w:rsidRPr="008C2DA8">
              <w:rPr>
                <w:rFonts w:ascii="Sakkal Majalla" w:eastAsia="Aptos" w:hAnsi="Sakkal Majalla" w:cs="Sakkal Majalla"/>
                <w:sz w:val="32"/>
                <w:szCs w:val="32"/>
                <w:rtl/>
              </w:rPr>
              <w:t>على حركة المواهب العالمية</w:t>
            </w:r>
          </w:p>
        </w:tc>
        <w:tc>
          <w:tcPr>
            <w:tcW w:w="806" w:type="dxa"/>
          </w:tcPr>
          <w:p w14:paraId="434F0C68"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4A9BCAF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Nadeem</w:t>
            </w:r>
          </w:p>
        </w:tc>
      </w:tr>
      <w:tr w:rsidR="008C2DA8" w:rsidRPr="008C2DA8" w14:paraId="2F80DE24" w14:textId="77777777" w:rsidTr="006F30F4">
        <w:tc>
          <w:tcPr>
            <w:tcW w:w="3271" w:type="dxa"/>
          </w:tcPr>
          <w:p w14:paraId="15A316B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الذكاء الاصطناعي يعيد تشكيل الوظائف؛ أوصت بسياسات تعليمية وتدريبية تركز على المهارات الرقمية والإبداعية</w:t>
            </w:r>
          </w:p>
        </w:tc>
        <w:tc>
          <w:tcPr>
            <w:tcW w:w="0" w:type="auto"/>
          </w:tcPr>
          <w:p w14:paraId="2CAA9BE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 xml:space="preserve">تحليلي مقارن لأكثر من </w:t>
            </w:r>
            <w:r w:rsidRPr="008C2DA8">
              <w:rPr>
                <w:rFonts w:ascii="Sakkal Majalla" w:eastAsia="Aptos" w:hAnsi="Sakkal Majalla" w:cs="Sakkal Majalla"/>
                <w:sz w:val="32"/>
                <w:szCs w:val="32"/>
              </w:rPr>
              <w:t xml:space="preserve">200 </w:t>
            </w:r>
            <w:r w:rsidRPr="008C2DA8">
              <w:rPr>
                <w:rFonts w:ascii="Sakkal Majalla" w:eastAsia="Aptos" w:hAnsi="Sakkal Majalla" w:cs="Sakkal Majalla"/>
                <w:sz w:val="32"/>
                <w:szCs w:val="32"/>
                <w:rtl/>
              </w:rPr>
              <w:t>دراسة</w:t>
            </w:r>
          </w:p>
        </w:tc>
        <w:tc>
          <w:tcPr>
            <w:tcW w:w="2599" w:type="dxa"/>
            <w:hideMark/>
          </w:tcPr>
          <w:p w14:paraId="282AF230"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مراجعة منهجية لتأثير الذكاء الاصطناعي على أسواق العمل العالمية</w:t>
            </w:r>
          </w:p>
        </w:tc>
        <w:tc>
          <w:tcPr>
            <w:tcW w:w="806" w:type="dxa"/>
          </w:tcPr>
          <w:p w14:paraId="1299E10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45B596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Ghosh </w:t>
            </w:r>
            <w:r w:rsidRPr="008C2DA8">
              <w:rPr>
                <w:rFonts w:ascii="Sakkal Majalla" w:eastAsia="Aptos" w:hAnsi="Sakkal Majalla" w:cs="Sakkal Majalla"/>
                <w:sz w:val="32"/>
                <w:szCs w:val="32"/>
                <w:rtl/>
              </w:rPr>
              <w:t>وآخرون</w:t>
            </w:r>
          </w:p>
        </w:tc>
      </w:tr>
      <w:tr w:rsidR="008C2DA8" w:rsidRPr="008C2DA8" w14:paraId="37D2E0DE" w14:textId="77777777" w:rsidTr="006F30F4">
        <w:tc>
          <w:tcPr>
            <w:tcW w:w="3271" w:type="dxa"/>
          </w:tcPr>
          <w:p w14:paraId="7DD6E73D"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الأتمتة تقلل وظائف تقليدية لكنها تزيد الإنتاجية وتخلق وظائف جديدة؛ أوصت بسياسات إعادة التدريب</w:t>
            </w:r>
          </w:p>
        </w:tc>
        <w:tc>
          <w:tcPr>
            <w:tcW w:w="0" w:type="auto"/>
          </w:tcPr>
          <w:p w14:paraId="3871F909"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منهج كمي بتحليل بيانات التوظيف وتقارير دولية</w:t>
            </w:r>
          </w:p>
        </w:tc>
        <w:tc>
          <w:tcPr>
            <w:tcW w:w="2599" w:type="dxa"/>
            <w:hideMark/>
          </w:tcPr>
          <w:p w14:paraId="076B9B13"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تقييم تأثير الذكاء الاصطناعي على أسواق العمل في أمريكا وأوروبا</w:t>
            </w:r>
          </w:p>
        </w:tc>
        <w:tc>
          <w:tcPr>
            <w:tcW w:w="806" w:type="dxa"/>
          </w:tcPr>
          <w:p w14:paraId="4628E25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29803DE2"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Pr>
              <w:t xml:space="preserve">Gimbel </w:t>
            </w:r>
            <w:r w:rsidRPr="008C2DA8">
              <w:rPr>
                <w:rFonts w:ascii="Sakkal Majalla" w:eastAsia="Aptos" w:hAnsi="Sakkal Majalla" w:cs="Sakkal Majalla"/>
                <w:sz w:val="32"/>
                <w:szCs w:val="32"/>
                <w:rtl/>
              </w:rPr>
              <w:t>وآخرون</w:t>
            </w:r>
          </w:p>
        </w:tc>
      </w:tr>
      <w:tr w:rsidR="008C2DA8" w:rsidRPr="008C2DA8" w14:paraId="52957984" w14:textId="77777777" w:rsidTr="006F30F4">
        <w:tc>
          <w:tcPr>
            <w:tcW w:w="3271" w:type="dxa"/>
          </w:tcPr>
          <w:p w14:paraId="30096F5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التعليم العالي والتخصصات التقنية أساس خلق </w:t>
            </w:r>
            <w:r w:rsidRPr="008C2DA8">
              <w:rPr>
                <w:rFonts w:ascii="Sakkal Majalla" w:eastAsia="Aptos" w:hAnsi="Sakkal Majalla" w:cs="Sakkal Majalla"/>
                <w:sz w:val="32"/>
                <w:szCs w:val="32"/>
              </w:rPr>
              <w:t xml:space="preserve">900 </w:t>
            </w:r>
            <w:r w:rsidRPr="008C2DA8">
              <w:rPr>
                <w:rFonts w:ascii="Sakkal Majalla" w:eastAsia="Aptos" w:hAnsi="Sakkal Majalla" w:cs="Sakkal Majalla"/>
                <w:sz w:val="32"/>
                <w:szCs w:val="32"/>
                <w:rtl/>
              </w:rPr>
              <w:t xml:space="preserve">ألف وظيفة بحلول </w:t>
            </w:r>
            <w:r w:rsidRPr="008C2DA8">
              <w:rPr>
                <w:rFonts w:ascii="Sakkal Majalla" w:eastAsia="Aptos" w:hAnsi="Sakkal Majalla" w:cs="Sakkal Majalla"/>
                <w:sz w:val="32"/>
                <w:szCs w:val="32"/>
              </w:rPr>
              <w:t>2030</w:t>
            </w:r>
            <w:r w:rsidRPr="008C2DA8">
              <w:rPr>
                <w:rFonts w:ascii="Sakkal Majalla" w:eastAsia="Aptos" w:hAnsi="Sakkal Majalla" w:cs="Sakkal Majalla"/>
                <w:sz w:val="32"/>
                <w:szCs w:val="32"/>
                <w:rtl/>
              </w:rPr>
              <w:t xml:space="preserve">؛ أوصت بتعزيز برامج </w:t>
            </w:r>
            <w:r w:rsidRPr="008C2DA8">
              <w:rPr>
                <w:rFonts w:ascii="Sakkal Majalla" w:eastAsia="Aptos" w:hAnsi="Sakkal Majalla" w:cs="Sakkal Majalla"/>
                <w:sz w:val="32"/>
                <w:szCs w:val="32"/>
              </w:rPr>
              <w:t xml:space="preserve">STEM </w:t>
            </w:r>
            <w:r w:rsidRPr="008C2DA8">
              <w:rPr>
                <w:rFonts w:ascii="Sakkal Majalla" w:eastAsia="Aptos" w:hAnsi="Sakkal Majalla" w:cs="Sakkal Majalla"/>
                <w:sz w:val="32"/>
                <w:szCs w:val="32"/>
                <w:rtl/>
              </w:rPr>
              <w:t>وربطها بالقطاع الخاص</w:t>
            </w:r>
          </w:p>
        </w:tc>
        <w:tc>
          <w:tcPr>
            <w:tcW w:w="0" w:type="auto"/>
          </w:tcPr>
          <w:p w14:paraId="7501AD34" w14:textId="77777777" w:rsidR="008C2DA8" w:rsidRPr="008C2DA8" w:rsidRDefault="008C2DA8" w:rsidP="008C2DA8">
            <w:pPr>
              <w:bidi/>
              <w:spacing w:line="276" w:lineRule="auto"/>
              <w:jc w:val="both"/>
              <w:rPr>
                <w:rFonts w:ascii="Sakkal Majalla" w:eastAsia="Aptos" w:hAnsi="Sakkal Majalla" w:cs="Sakkal Majalla"/>
                <w:sz w:val="32"/>
                <w:szCs w:val="32"/>
                <w:rtl/>
              </w:rPr>
            </w:pPr>
            <w:r w:rsidRPr="008C2DA8">
              <w:rPr>
                <w:rFonts w:ascii="Sakkal Majalla" w:eastAsia="Aptos" w:hAnsi="Sakkal Majalla" w:cs="Sakkal Majalla"/>
                <w:sz w:val="32"/>
                <w:szCs w:val="32"/>
                <w:rtl/>
              </w:rPr>
              <w:t>وصفي تحليلي باستخدام بيانات وزارة التعليم وتقارير سوق العمل</w:t>
            </w:r>
          </w:p>
        </w:tc>
        <w:tc>
          <w:tcPr>
            <w:tcW w:w="2599" w:type="dxa"/>
            <w:hideMark/>
          </w:tcPr>
          <w:p w14:paraId="5C5E981A"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tl/>
              </w:rPr>
              <w:t xml:space="preserve">دراسة العلاقة بين التعليم والتدريب للشباب السعودي ومتطلبات سوق العمل في ضوء رؤية </w:t>
            </w:r>
            <w:r w:rsidRPr="008C2DA8">
              <w:rPr>
                <w:rFonts w:ascii="Sakkal Majalla" w:eastAsia="Aptos" w:hAnsi="Sakkal Majalla" w:cs="Sakkal Majalla"/>
                <w:sz w:val="32"/>
                <w:szCs w:val="32"/>
              </w:rPr>
              <w:t>2030</w:t>
            </w:r>
          </w:p>
        </w:tc>
        <w:tc>
          <w:tcPr>
            <w:tcW w:w="806" w:type="dxa"/>
          </w:tcPr>
          <w:p w14:paraId="33FE1329" w14:textId="77777777" w:rsidR="008C2DA8" w:rsidRPr="008C2DA8" w:rsidRDefault="008C2DA8" w:rsidP="008C2DA8">
            <w:pPr>
              <w:bidi/>
              <w:spacing w:line="276" w:lineRule="auto"/>
              <w:jc w:val="both"/>
              <w:rPr>
                <w:rFonts w:ascii="Sakkal Majalla" w:eastAsia="Aptos" w:hAnsi="Sakkal Majalla" w:cs="Sakkal Majalla"/>
                <w:sz w:val="32"/>
                <w:szCs w:val="32"/>
              </w:rPr>
            </w:pPr>
            <w:r w:rsidRPr="008C2DA8">
              <w:rPr>
                <w:rFonts w:ascii="Sakkal Majalla" w:eastAsia="Aptos" w:hAnsi="Sakkal Majalla" w:cs="Sakkal Majalla"/>
                <w:sz w:val="32"/>
                <w:szCs w:val="32"/>
              </w:rPr>
              <w:t>2025</w:t>
            </w:r>
          </w:p>
        </w:tc>
        <w:tc>
          <w:tcPr>
            <w:tcW w:w="1462" w:type="dxa"/>
          </w:tcPr>
          <w:p w14:paraId="3531CD15" w14:textId="77777777" w:rsidR="008C2DA8" w:rsidRPr="008C2DA8" w:rsidRDefault="008C2DA8" w:rsidP="008C2DA8">
            <w:pPr>
              <w:bidi/>
              <w:spacing w:line="276" w:lineRule="auto"/>
              <w:jc w:val="both"/>
              <w:rPr>
                <w:rFonts w:ascii="Sakkal Majalla" w:eastAsia="Aptos" w:hAnsi="Sakkal Majalla" w:cs="Sakkal Majalla"/>
                <w:sz w:val="32"/>
                <w:szCs w:val="32"/>
                <w:rtl/>
              </w:rPr>
            </w:pPr>
            <w:proofErr w:type="spellStart"/>
            <w:r w:rsidRPr="008C2DA8">
              <w:rPr>
                <w:rFonts w:ascii="Sakkal Majalla" w:eastAsia="Aptos" w:hAnsi="Sakkal Majalla" w:cs="Sakkal Majalla"/>
                <w:sz w:val="32"/>
                <w:szCs w:val="32"/>
              </w:rPr>
              <w:t>AlMahmoud</w:t>
            </w:r>
            <w:proofErr w:type="spellEnd"/>
          </w:p>
        </w:tc>
      </w:tr>
    </w:tbl>
    <w:p w14:paraId="47A232E8"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32C93AC9"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C207401"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5CF680BE"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18CB52E7"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45A49F27"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F63655A"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27EAAB50" w14:textId="77777777" w:rsidR="008C2DA8"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4EA979E7" w14:textId="77777777" w:rsidR="008C2DA8" w:rsidRPr="00BC618B" w:rsidRDefault="008C2DA8" w:rsidP="008C2DA8">
      <w:pPr>
        <w:bidi/>
        <w:spacing w:after="0" w:line="360" w:lineRule="auto"/>
        <w:ind w:right="-270"/>
        <w:jc w:val="both"/>
        <w:rPr>
          <w:rFonts w:ascii="Sakkal Majalla" w:eastAsia="Calibri" w:hAnsi="Sakkal Majalla" w:cs="Sakkal Majalla"/>
          <w:kern w:val="0"/>
          <w:sz w:val="32"/>
          <w:szCs w:val="32"/>
          <w:rtl/>
          <w:lang w:bidi="ar-EG"/>
          <w14:ligatures w14:val="none"/>
        </w:rPr>
      </w:pPr>
    </w:p>
    <w:p w14:paraId="082ADC36" w14:textId="03E4D8BF"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 xml:space="preserve">2.2.3 التعليق على الدراسات السابقة </w:t>
      </w:r>
    </w:p>
    <w:p w14:paraId="3EF53751" w14:textId="77777777" w:rsid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عند مراجعة الدراسات العربية والأجنبية التي تناولت موضوع سوق العمل واستراتيجيات الموارد البشرية في ضوء التحولات الاقتصادية والاجتماعية والتكنولوجية، يمكن ملاحظة مجموعة من أوجه التشابه والاختلاف التي تساعد في تحديد موقع الدراسة الحالية ضمن السياق البحثي العام</w:t>
      </w:r>
      <w:r w:rsidRPr="00BC618B">
        <w:rPr>
          <w:rFonts w:ascii="Sakkal Majalla" w:eastAsia="Calibri" w:hAnsi="Sakkal Majalla" w:cs="Sakkal Majalla"/>
          <w:kern w:val="0"/>
          <w:sz w:val="32"/>
          <w:szCs w:val="32"/>
          <w:lang w:bidi="ar-EG"/>
          <w14:ligatures w14:val="none"/>
        </w:rPr>
        <w:t>.</w:t>
      </w:r>
    </w:p>
    <w:p w14:paraId="5B177C46"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2708A1"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التشابه</w:t>
      </w:r>
    </w:p>
    <w:p w14:paraId="6057E202" w14:textId="10749FE7"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تشترك معظم الدراسات العربية مثل دراسة العمري (2019) والحربي (2025) ومنصور (2025) في التركيز على أثر التحولات الاقتصادية والاجتماعية على سوق العمل السعودي، مع إبراز دور التوطين كأحد أهم السياسات الاستراتيجية لتحقيق أهداف رؤية 2030. كما أن الدراسات الأجنبية مثل</w:t>
      </w:r>
      <w:r w:rsidRPr="00BC618B">
        <w:rPr>
          <w:rFonts w:ascii="Sakkal Majalla" w:eastAsia="Calibri" w:hAnsi="Sakkal Majalla" w:cs="Sakkal Majalla"/>
          <w:kern w:val="0"/>
          <w:sz w:val="32"/>
          <w:szCs w:val="32"/>
          <w:lang w:bidi="ar-EG"/>
          <w14:ligatures w14:val="none"/>
        </w:rPr>
        <w:t xml:space="preserve"> O’Brien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Bindra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Srivastav &amp; Shukla (2025) </w:t>
      </w:r>
      <w:r w:rsidRPr="00BC618B">
        <w:rPr>
          <w:rFonts w:ascii="Sakkal Majalla" w:eastAsia="Calibri" w:hAnsi="Sakkal Majalla" w:cs="Sakkal Majalla"/>
          <w:kern w:val="0"/>
          <w:sz w:val="32"/>
          <w:szCs w:val="32"/>
          <w:rtl/>
          <w14:ligatures w14:val="none"/>
        </w:rPr>
        <w:t>اتفقت على أن التحول الرقمي يمثل ركيزة أساسية في إعادة تشكيل استراتيجيات الموارد البشرية عالميًا، وهو ما يتقاطع مع نتائج الدراسات العربية التي أكدت على أهمية إدماج التكنولوجيا في عمليات التوظيف والتدريب. كذلك، هناك اتفاق واسع بين الدراسات المحلية والدولية على أن الاستدامة الوظيفية لا يمكن تحقيقها إلا من خلال الاستثمار في رأس المال البشري وتبني سياسات مرنة تدعم رفاهية الموظفين، كما أوضحت دراسة</w:t>
      </w:r>
      <w:r w:rsidRPr="00BC618B">
        <w:rPr>
          <w:rFonts w:ascii="Sakkal Majalla" w:eastAsia="Calibri" w:hAnsi="Sakkal Majalla" w:cs="Sakkal Majalla"/>
          <w:kern w:val="0"/>
          <w:sz w:val="32"/>
          <w:szCs w:val="32"/>
          <w:lang w:bidi="ar-EG"/>
          <w14:ligatures w14:val="none"/>
        </w:rPr>
        <w:t xml:space="preserve"> Bai (2025) </w:t>
      </w:r>
      <w:r w:rsidRPr="00BC618B">
        <w:rPr>
          <w:rFonts w:ascii="Sakkal Majalla" w:eastAsia="Calibri" w:hAnsi="Sakkal Majalla" w:cs="Sakkal Majalla"/>
          <w:kern w:val="0"/>
          <w:sz w:val="32"/>
          <w:szCs w:val="32"/>
          <w:rtl/>
          <w14:ligatures w14:val="none"/>
        </w:rPr>
        <w:t>ودراسة الخميس</w:t>
      </w:r>
      <w:r w:rsidRPr="00BC618B">
        <w:rPr>
          <w:rFonts w:ascii="Sakkal Majalla" w:eastAsia="Calibri" w:hAnsi="Sakkal Majalla" w:cs="Sakkal Majalla"/>
          <w:kern w:val="0"/>
          <w:sz w:val="32"/>
          <w:szCs w:val="32"/>
          <w:lang w:bidi="ar-EG"/>
          <w14:ligatures w14:val="none"/>
        </w:rPr>
        <w:t xml:space="preserve"> (2024).</w:t>
      </w:r>
    </w:p>
    <w:p w14:paraId="2ABE3058"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F53DDB"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الاختلاف</w:t>
      </w:r>
    </w:p>
    <w:p w14:paraId="268660C9" w14:textId="5072FA32"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رغم هذا التشابه، إلا أن الدراسات العربية ركزت بشكل أكبر على السياق المحلي السعودي، خاصة فيما يتعلق بالتوطين، مشاركة المرأة في سوق العمل، ودور المبتعثين في سد الفجوات المعرفية (المرصد الوطني 2023، وزارة الموارد البشرية 2025). بينما اتجهت الدراسات الأجنبية إلى تناول قضايا أكثر شمولًا مثل أثر الذكاء الاصطناعي على أسواق العمل العالمية</w:t>
      </w:r>
      <w:r w:rsidRPr="00BC618B">
        <w:rPr>
          <w:rFonts w:ascii="Sakkal Majalla" w:eastAsia="Calibri" w:hAnsi="Sakkal Majalla" w:cs="Sakkal Majalla"/>
          <w:kern w:val="0"/>
          <w:sz w:val="32"/>
          <w:szCs w:val="32"/>
          <w:lang w:bidi="ar-EG"/>
          <w14:ligatures w14:val="none"/>
        </w:rPr>
        <w:t xml:space="preserve"> (Ghosh </w:t>
      </w:r>
      <w:r w:rsidRPr="00BC618B">
        <w:rPr>
          <w:rFonts w:ascii="Sakkal Majalla" w:eastAsia="Calibri" w:hAnsi="Sakkal Majalla" w:cs="Sakkal Majalla"/>
          <w:kern w:val="0"/>
          <w:sz w:val="32"/>
          <w:szCs w:val="32"/>
          <w:rtl/>
          <w14:ligatures w14:val="none"/>
        </w:rPr>
        <w:t xml:space="preserve">وآخرون 2025، </w:t>
      </w:r>
      <w:r w:rsidRPr="00BC618B">
        <w:rPr>
          <w:rFonts w:ascii="Sakkal Majalla" w:eastAsia="Calibri" w:hAnsi="Sakkal Majalla" w:cs="Sakkal Majalla"/>
          <w:kern w:val="0"/>
          <w:sz w:val="32"/>
          <w:szCs w:val="32"/>
          <w:lang w:bidi="ar-EG"/>
          <w14:ligatures w14:val="none"/>
        </w:rPr>
        <w:t xml:space="preserve">Gimbel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w:t>
      </w:r>
      <w:r w:rsidRPr="00BC618B">
        <w:rPr>
          <w:rFonts w:ascii="Sakkal Majalla" w:eastAsia="Calibri" w:hAnsi="Sakkal Majalla" w:cs="Sakkal Majalla"/>
          <w:kern w:val="0"/>
          <w:sz w:val="32"/>
          <w:szCs w:val="32"/>
          <w:rtl/>
          <w14:ligatures w14:val="none"/>
        </w:rPr>
        <w:t>، أو العلاقة بين الاستدامة المؤسسية وممارسات الموارد البشرية في بيئات متعددة الجنسيات</w:t>
      </w:r>
      <w:r w:rsidRPr="00BC618B">
        <w:rPr>
          <w:rFonts w:ascii="Sakkal Majalla" w:eastAsia="Calibri" w:hAnsi="Sakkal Majalla" w:cs="Sakkal Majalla"/>
          <w:kern w:val="0"/>
          <w:sz w:val="32"/>
          <w:szCs w:val="32"/>
          <w:lang w:bidi="ar-EG"/>
          <w14:ligatures w14:val="none"/>
        </w:rPr>
        <w:t xml:space="preserve"> (Christina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كما </w:t>
      </w:r>
      <w:r w:rsidRPr="00BC618B">
        <w:rPr>
          <w:rFonts w:ascii="Sakkal Majalla" w:eastAsia="Calibri" w:hAnsi="Sakkal Majalla" w:cs="Sakkal Majalla"/>
          <w:kern w:val="0"/>
          <w:sz w:val="32"/>
          <w:szCs w:val="32"/>
          <w:rtl/>
          <w14:ligatures w14:val="none"/>
        </w:rPr>
        <w:lastRenderedPageBreak/>
        <w:t>أن الدراسات الأجنبية غالبًا ما اعتمدت على منهجيات كمية واسعة النطاق أو مراجعات منهجية للأدبيات العالمية، في حين أن الدراسات العربية اعتمدت على تقارير رسمية أو دراسات وصفية تحليلية مرتبطة بالسياسات الحكومية</w:t>
      </w:r>
      <w:r w:rsidRPr="00BC618B">
        <w:rPr>
          <w:rFonts w:ascii="Sakkal Majalla" w:eastAsia="Calibri" w:hAnsi="Sakkal Majalla" w:cs="Sakkal Majalla"/>
          <w:kern w:val="0"/>
          <w:sz w:val="32"/>
          <w:szCs w:val="32"/>
          <w:lang w:bidi="ar-EG"/>
          <w14:ligatures w14:val="none"/>
        </w:rPr>
        <w:t>.</w:t>
      </w:r>
    </w:p>
    <w:p w14:paraId="65F7E1AF"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59E4DB46"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b/>
          <w:bCs/>
          <w:kern w:val="0"/>
          <w:sz w:val="32"/>
          <w:szCs w:val="32"/>
          <w:rtl/>
          <w14:ligatures w14:val="none"/>
        </w:rPr>
        <w:t>ما يميز الدراسة الحالية</w:t>
      </w:r>
    </w:p>
    <w:p w14:paraId="0C3BD4BE" w14:textId="0BB5D624"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تتميز الدراسة الحالية عن الدراسات السابقة بأنها تسعى إلى الجمع بين المنظورين المحلي والدولي في آن واحد، حيث لا تقتصر على تحليل أثر التوطين والتحول الرقمي في السياق السعودي فقط، بل تربط ذلك بالاتجاهات العالمية الحديثة في إدارة الموارد البشرية مثل الذكاء الاصطناعي، الاستدامة الوظيفية، والقيادة التحويلية. كما أن الدراسة الحالية تتبنى منهجية أكثر تكاملًا من خلال المزج بين التحليل الوصفي للسياسات الحكومية والبيانات المحلية، وبين الاستفادة من الأدبيات العالمية الحديثة التي تناولت التحولات الرقمية والاستدامة المؤسسية. وبذلك فإنها تسعى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ومتغيرات سوق العمل واستراتيجيات الموارد البشرية في القطاع الخاص السعودي، مع الاستفادة من الخبرات الدولية لتقديم توصيات عملية قابلة للتطبيق</w:t>
      </w:r>
      <w:r w:rsidRPr="00BC618B">
        <w:rPr>
          <w:rFonts w:ascii="Sakkal Majalla" w:eastAsia="Calibri" w:hAnsi="Sakkal Majalla" w:cs="Sakkal Majalla"/>
          <w:kern w:val="0"/>
          <w:sz w:val="32"/>
          <w:szCs w:val="32"/>
          <w:lang w:bidi="ar-EG"/>
          <w14:ligatures w14:val="none"/>
        </w:rPr>
        <w:t>.</w:t>
      </w:r>
    </w:p>
    <w:p w14:paraId="7EEB63D0" w14:textId="77777777" w:rsidR="00CC7BB2" w:rsidRDefault="00CC7BB2" w:rsidP="00CC7BB2">
      <w:pPr>
        <w:bidi/>
        <w:spacing w:after="0" w:line="360" w:lineRule="auto"/>
        <w:ind w:right="-270"/>
        <w:jc w:val="both"/>
        <w:rPr>
          <w:rFonts w:ascii="Sakkal Majalla" w:eastAsia="Calibri" w:hAnsi="Sakkal Majalla" w:cs="Sakkal Majalla"/>
          <w:kern w:val="0"/>
          <w:sz w:val="32"/>
          <w:szCs w:val="32"/>
          <w:rtl/>
          <w:lang w:bidi="ar-EG"/>
          <w14:ligatures w14:val="none"/>
        </w:rPr>
      </w:pPr>
    </w:p>
    <w:p w14:paraId="2C7E7B3C" w14:textId="38E3753C" w:rsidR="00583200" w:rsidRPr="002E04D7" w:rsidRDefault="002E04D7" w:rsidP="00583200">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2E04D7">
        <w:rPr>
          <w:rFonts w:ascii="Sakkal Majalla" w:eastAsia="Calibri" w:hAnsi="Sakkal Majalla" w:cs="Sakkal Majalla" w:hint="cs"/>
          <w:b/>
          <w:bCs/>
          <w:kern w:val="0"/>
          <w:sz w:val="32"/>
          <w:szCs w:val="32"/>
          <w:rtl/>
          <w:lang w:bidi="ar-EG"/>
          <w14:ligatures w14:val="none"/>
        </w:rPr>
        <w:t>الفجوة البحثية</w:t>
      </w:r>
    </w:p>
    <w:p w14:paraId="1AAF968D" w14:textId="77777777" w:rsidR="002E04D7" w:rsidRPr="002E04D7" w:rsidRDefault="002E04D7" w:rsidP="002E04D7">
      <w:pPr>
        <w:bidi/>
        <w:spacing w:after="0" w:line="360" w:lineRule="auto"/>
        <w:ind w:right="-270"/>
        <w:jc w:val="both"/>
        <w:rPr>
          <w:rFonts w:ascii="Sakkal Majalla" w:eastAsia="Calibri" w:hAnsi="Sakkal Majalla" w:cs="Sakkal Majalla"/>
          <w:kern w:val="0"/>
          <w:sz w:val="32"/>
          <w:szCs w:val="32"/>
          <w:lang w:bidi="ar-EG"/>
          <w14:ligatures w14:val="none"/>
        </w:rPr>
      </w:pPr>
      <w:r w:rsidRPr="002E04D7">
        <w:rPr>
          <w:rFonts w:ascii="Sakkal Majalla" w:eastAsia="Calibri" w:hAnsi="Sakkal Majalla" w:cs="Sakkal Majalla"/>
          <w:kern w:val="0"/>
          <w:sz w:val="32"/>
          <w:szCs w:val="32"/>
          <w:rtl/>
          <w14:ligatures w14:val="none"/>
        </w:rPr>
        <w:t xml:space="preserve">بالرغم من تعدد الدراسات التي تناولت سوق العمل السعودي، والتحولات الاقتصادية والاجتماعية، وكذلك الأبحاث التي ركزت على التحول الرقمي أو سياسات التوطين بشكل منفصل، إلا أن هناك نقصًا واضحًا في الدراسات التي تربط بشكل متكامل بين هذه التحولات واستراتيجيات الموارد البشرية في القطاع الخاص السعودي في ضوء رؤية 2030. معظم الأدبيات السابقة ركزت على جانب واحد من الظاهرة (مثل التوطين أو التحول الرقمي)، بينما لم تُعالج بصورة شاملة كيفية تفاعل هذه المتغيرات مجتمعة وتأثيرها المباشر على استراتيجيات الموارد البشرية. ومن هنا تأتي أهمية الدراسة الحالية التي تسعى إلى سد هذه الفجوة عبر تقديم </w:t>
      </w:r>
      <w:r w:rsidRPr="002E04D7">
        <w:rPr>
          <w:rFonts w:ascii="Sakkal Majalla" w:eastAsia="Calibri" w:hAnsi="Sakkal Majalla" w:cs="Sakkal Majalla"/>
          <w:kern w:val="0"/>
          <w:sz w:val="32"/>
          <w:szCs w:val="32"/>
          <w:rtl/>
          <w14:ligatures w14:val="none"/>
        </w:rPr>
        <w:lastRenderedPageBreak/>
        <w:t>إطار نظري وتحليل تطبيقي يوضح العلاقة بين التحولات في سوق العمل واستراتيجيات الموارد البشرية، بما يعزز قدرة القطاع الخاص على التكيف مع متطلبات رؤية 2030 وتحقيق أهدافها الاستراتيجية</w:t>
      </w:r>
      <w:r w:rsidRPr="002E04D7">
        <w:rPr>
          <w:rFonts w:ascii="Sakkal Majalla" w:eastAsia="Calibri" w:hAnsi="Sakkal Majalla" w:cs="Sakkal Majalla"/>
          <w:kern w:val="0"/>
          <w:sz w:val="32"/>
          <w:szCs w:val="32"/>
          <w:lang w:bidi="ar-EG"/>
          <w14:ligatures w14:val="none"/>
        </w:rPr>
        <w:t>.</w:t>
      </w:r>
    </w:p>
    <w:p w14:paraId="147485B0"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726F1A73"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3649545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2540FEE"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0411ABB"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2D70CF8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FDF6F90"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EEAEB1C"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704922AB"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3775CA59"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0DF597ED"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16301FC5" w14:textId="77777777" w:rsid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5554F7D3" w14:textId="77777777" w:rsidR="002E04D7" w:rsidRPr="002E04D7" w:rsidRDefault="002E04D7" w:rsidP="002E04D7">
      <w:pPr>
        <w:bidi/>
        <w:spacing w:after="0" w:line="360" w:lineRule="auto"/>
        <w:ind w:right="-270"/>
        <w:jc w:val="both"/>
        <w:rPr>
          <w:rFonts w:ascii="Sakkal Majalla" w:eastAsia="Calibri" w:hAnsi="Sakkal Majalla" w:cs="Sakkal Majalla"/>
          <w:kern w:val="0"/>
          <w:sz w:val="32"/>
          <w:szCs w:val="32"/>
          <w:rtl/>
          <w:lang w:bidi="ar-EG"/>
          <w14:ligatures w14:val="none"/>
        </w:rPr>
      </w:pPr>
    </w:p>
    <w:p w14:paraId="4195557F"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88FD51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0CF9AE0"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43602A87" w14:textId="19E3F5F7" w:rsidR="00BC618B" w:rsidRPr="00BC618B" w:rsidRDefault="00BC618B" w:rsidP="00BC618B">
      <w:pPr>
        <w:pStyle w:val="Heading2"/>
        <w:bidi/>
        <w:spacing w:line="360" w:lineRule="auto"/>
        <w:rPr>
          <w:rFonts w:ascii="Sakkal Majalla" w:eastAsia="Calibri" w:hAnsi="Sakkal Majalla" w:cs="Sakkal Majalla"/>
          <w:b/>
          <w:bCs/>
          <w:rtl/>
          <w:lang w:bidi="ar-EG"/>
        </w:rPr>
      </w:pPr>
      <w:bookmarkStart w:id="5" w:name="_Toc221075506"/>
      <w:r w:rsidRPr="00BC618B">
        <w:rPr>
          <w:rFonts w:ascii="Sakkal Majalla" w:eastAsia="Calibri" w:hAnsi="Sakkal Majalla" w:cs="Sakkal Majalla"/>
          <w:b/>
          <w:bCs/>
          <w:rtl/>
          <w:lang w:bidi="ar-EG"/>
        </w:rPr>
        <w:lastRenderedPageBreak/>
        <w:t>2.3 خاتمة الفصل</w:t>
      </w:r>
      <w:bookmarkEnd w:id="5"/>
    </w:p>
    <w:p w14:paraId="28427E56"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يمثل هذا الفصل خلاصة تحليلية موسعة لما تناولته الدراسات السابقة العربية والأجنبية حول أثر التحولات في سوق العمل على استراتيجيات الموارد البشرية في القطاع الخاص السعودي في ضوء رؤية 2030. فقد أظهرت المراجعة أن هناك اتفاقًا واسعًا بين الأدبيات المحلية والدولية على أن </w:t>
      </w:r>
      <w:r w:rsidRPr="00BC618B">
        <w:rPr>
          <w:rFonts w:ascii="Sakkal Majalla" w:eastAsia="Calibri" w:hAnsi="Sakkal Majalla" w:cs="Sakkal Majalla"/>
          <w:b/>
          <w:bCs/>
          <w:kern w:val="0"/>
          <w:sz w:val="32"/>
          <w:szCs w:val="32"/>
          <w:rtl/>
          <w14:ligatures w14:val="none"/>
        </w:rPr>
        <w:t>التوطين، التحول الرقمي، والاستدامة الوظيفية</w:t>
      </w:r>
      <w:r w:rsidRPr="00BC618B">
        <w:rPr>
          <w:rFonts w:ascii="Sakkal Majalla" w:eastAsia="Calibri" w:hAnsi="Sakkal Majalla" w:cs="Sakkal Majalla"/>
          <w:kern w:val="0"/>
          <w:sz w:val="32"/>
          <w:szCs w:val="32"/>
          <w:rtl/>
          <w14:ligatures w14:val="none"/>
        </w:rPr>
        <w:t xml:space="preserve"> هي محاور رئيسية لإعادة تشكيل بيئات العمل الحديثة، وأنها تشكل ركائز أساسية لتحقيق التوازن بين متطلبات السوق وأهداف التنمية المستدامة</w:t>
      </w:r>
      <w:r w:rsidRPr="00BC618B">
        <w:rPr>
          <w:rFonts w:ascii="Sakkal Majalla" w:eastAsia="Calibri" w:hAnsi="Sakkal Majalla" w:cs="Sakkal Majalla"/>
          <w:kern w:val="0"/>
          <w:sz w:val="32"/>
          <w:szCs w:val="32"/>
          <w:lang w:bidi="ar-EG"/>
          <w14:ligatures w14:val="none"/>
        </w:rPr>
        <w:t>.</w:t>
      </w:r>
    </w:p>
    <w:p w14:paraId="19F55E72"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من جهة، ركزت الدراسات العربية على السياق المحلي السعودي، حيث تناولت قضايا مثل تعزيز مشاركة القوى العاملة الوطنية، دور المبتعثين في سد الفجوات المعرفية، وتمكين المرأة في سوق العمل، إضافة إلى إبراز أثر السياسات الحكومية في دعم التوطين وتطوير رأس المال البشري. هذه الدراسات اعتمدت غالبًا على تقارير رسمية ومنهجيات وصفية تحليلية، مما وفر صورة دقيقة عن واقع سوق العمل السعودي لكنه ظل محدودًا في ربط هذا الواقع بالاتجاهات العالمية</w:t>
      </w:r>
      <w:r w:rsidRPr="00BC618B">
        <w:rPr>
          <w:rFonts w:ascii="Sakkal Majalla" w:eastAsia="Calibri" w:hAnsi="Sakkal Majalla" w:cs="Sakkal Majalla"/>
          <w:kern w:val="0"/>
          <w:sz w:val="32"/>
          <w:szCs w:val="32"/>
          <w:lang w:bidi="ar-EG"/>
          <w14:ligatures w14:val="none"/>
        </w:rPr>
        <w:t>.</w:t>
      </w:r>
    </w:p>
    <w:p w14:paraId="7535048B"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ومن جهة أخرى، تناولت الدراسات الأجنبية قضايا أكثر شمولًا مثل أثر الذكاء الاصطناعي على أسواق العمل العالمية، التحول الرقمي في إدارة الموارد البشرية، والاستدامة المؤسسية من خلال رفاهية الموظفين. وقد اعتمدت هذه الدراسات على منهجيات كمية واسعة النطاق أو مراجعات منهجية للأدبيات، مما أتاح لها تقديم رؤى معمقة حول الاتجاهات العالمية، لكنها لم تتطرق بشكل مباشر إلى خصوصية السياق السعودي أو أهداف رؤية 2030</w:t>
      </w:r>
      <w:r w:rsidRPr="00BC618B">
        <w:rPr>
          <w:rFonts w:ascii="Sakkal Majalla" w:eastAsia="Calibri" w:hAnsi="Sakkal Majalla" w:cs="Sakkal Majalla"/>
          <w:kern w:val="0"/>
          <w:sz w:val="32"/>
          <w:szCs w:val="32"/>
          <w:lang w:bidi="ar-EG"/>
          <w14:ligatures w14:val="none"/>
        </w:rPr>
        <w:t>.</w:t>
      </w:r>
    </w:p>
    <w:p w14:paraId="0DFC2D21"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وبذلك، يظهر أن هناك </w:t>
      </w:r>
      <w:r w:rsidRPr="00BC618B">
        <w:rPr>
          <w:rFonts w:ascii="Sakkal Majalla" w:eastAsia="Calibri" w:hAnsi="Sakkal Majalla" w:cs="Sakkal Majalla"/>
          <w:b/>
          <w:bCs/>
          <w:kern w:val="0"/>
          <w:sz w:val="32"/>
          <w:szCs w:val="32"/>
          <w:rtl/>
          <w14:ligatures w14:val="none"/>
        </w:rPr>
        <w:t>تشابهًا</w:t>
      </w:r>
      <w:r w:rsidRPr="00BC618B">
        <w:rPr>
          <w:rFonts w:ascii="Sakkal Majalla" w:eastAsia="Calibri" w:hAnsi="Sakkal Majalla" w:cs="Sakkal Majalla"/>
          <w:kern w:val="0"/>
          <w:sz w:val="32"/>
          <w:szCs w:val="32"/>
          <w:rtl/>
          <w14:ligatures w14:val="none"/>
        </w:rPr>
        <w:t xml:space="preserve"> في التأكيد على أهمية التحول الرقمي والاستدامة الوظيفية كعناصر أساسية في تطوير الموارد البشرية، و</w:t>
      </w:r>
      <w:r w:rsidRPr="00BC618B">
        <w:rPr>
          <w:rFonts w:ascii="Sakkal Majalla" w:eastAsia="Calibri" w:hAnsi="Sakkal Majalla" w:cs="Sakkal Majalla"/>
          <w:b/>
          <w:bCs/>
          <w:kern w:val="0"/>
          <w:sz w:val="32"/>
          <w:szCs w:val="32"/>
          <w:rtl/>
          <w14:ligatures w14:val="none"/>
        </w:rPr>
        <w:t>اختلافًا</w:t>
      </w:r>
      <w:r w:rsidRPr="00BC618B">
        <w:rPr>
          <w:rFonts w:ascii="Sakkal Majalla" w:eastAsia="Calibri" w:hAnsi="Sakkal Majalla" w:cs="Sakkal Majalla"/>
          <w:kern w:val="0"/>
          <w:sz w:val="32"/>
          <w:szCs w:val="32"/>
          <w:rtl/>
          <w14:ligatures w14:val="none"/>
        </w:rPr>
        <w:t xml:space="preserve"> في زاوية المعالجة؛ حيث ركزت الدراسات العربية على السياسات الوطنية والتحديات المحلية، بينما ركزت الدراسات الأجنبية على الاتجاهات العالمية والتأثيرات التقنية. هذا التباين يبرز الحاجة إلى دراسة تجمع بين المنظورين المحلي والدولي، وتربط بين خصوصية السياق السعودي ومتطلبات المنافسة العالمية</w:t>
      </w:r>
      <w:r w:rsidRPr="00BC618B">
        <w:rPr>
          <w:rFonts w:ascii="Sakkal Majalla" w:eastAsia="Calibri" w:hAnsi="Sakkal Majalla" w:cs="Sakkal Majalla"/>
          <w:kern w:val="0"/>
          <w:sz w:val="32"/>
          <w:szCs w:val="32"/>
          <w:lang w:bidi="ar-EG"/>
          <w14:ligatures w14:val="none"/>
        </w:rPr>
        <w:t>.</w:t>
      </w:r>
    </w:p>
    <w:p w14:paraId="1E5BFC5E"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lastRenderedPageBreak/>
        <w:t xml:space="preserve">ما يميز الدراسة الحالية أنها لا تقتصر على استعراض أثر التوطين والتحول الرقمي في القطاع الخاص السعودي، بل تسعى إلى </w:t>
      </w:r>
      <w:r w:rsidRPr="00BC618B">
        <w:rPr>
          <w:rFonts w:ascii="Sakkal Majalla" w:eastAsia="Calibri" w:hAnsi="Sakkal Majalla" w:cs="Sakkal Majalla"/>
          <w:b/>
          <w:bCs/>
          <w:kern w:val="0"/>
          <w:sz w:val="32"/>
          <w:szCs w:val="32"/>
          <w:rtl/>
          <w14:ligatures w14:val="none"/>
        </w:rPr>
        <w:t>دمج هذه المتغيرات مع مفاهيم الاستدامة الوظيفية والابتكار المؤسسي</w:t>
      </w:r>
      <w:r w:rsidRPr="00BC618B">
        <w:rPr>
          <w:rFonts w:ascii="Sakkal Majalla" w:eastAsia="Calibri" w:hAnsi="Sakkal Majalla" w:cs="Sakkal Majalla"/>
          <w:kern w:val="0"/>
          <w:sz w:val="32"/>
          <w:szCs w:val="32"/>
          <w:rtl/>
          <w14:ligatures w14:val="none"/>
        </w:rPr>
        <w:t xml:space="preserve">، مستفيدة من الأدبيات العالمية الحديثة لتقديم إطار نظري متكامل يربط بين السياسات الوطنية والاتجاهات الدولية. كما أنها تهدف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واستراتيجيات الموارد البشرية في القطاع الخاص، مع تقديم توصيات عملية قابلة للتطبيق تدعم استدامة الأداء المؤسسي وتحقق المواءمة بين أهداف التنمية ومتطلبات سوق العمل</w:t>
      </w:r>
      <w:r w:rsidRPr="00BC618B">
        <w:rPr>
          <w:rFonts w:ascii="Sakkal Majalla" w:eastAsia="Calibri" w:hAnsi="Sakkal Majalla" w:cs="Sakkal Majalla"/>
          <w:kern w:val="0"/>
          <w:sz w:val="32"/>
          <w:szCs w:val="32"/>
          <w:lang w:bidi="ar-EG"/>
          <w14:ligatures w14:val="none"/>
        </w:rPr>
        <w:t>.</w:t>
      </w:r>
    </w:p>
    <w:p w14:paraId="4BF34F58"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p>
    <w:p w14:paraId="06604B3F"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497D7833"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580E74D2"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6BEF83A7"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24963D49"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DF6BE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C1C147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81E396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8D3F95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05F766B2"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63CE53"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A2917DB"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F819F0E" w14:textId="7425A7C1" w:rsidR="00CB7456" w:rsidRPr="00CB7456" w:rsidRDefault="00EA4CD4" w:rsidP="00CB7456">
      <w:pPr>
        <w:pStyle w:val="Heading1"/>
        <w:bidi/>
        <w:spacing w:line="480" w:lineRule="auto"/>
        <w:rPr>
          <w:rFonts w:eastAsia="Calibri"/>
          <w:b/>
          <w:bCs/>
          <w:lang w:bidi="ar-EG"/>
        </w:rPr>
      </w:pPr>
      <w:bookmarkStart w:id="6" w:name="_Toc221075507"/>
      <w:r w:rsidRPr="006025D2">
        <w:rPr>
          <w:rFonts w:eastAsia="Calibri" w:hint="cs"/>
          <w:b/>
          <w:bCs/>
          <w:rtl/>
          <w:lang w:bidi="ar-EG"/>
        </w:rPr>
        <w:lastRenderedPageBreak/>
        <w:t>المراجع</w:t>
      </w:r>
      <w:bookmarkEnd w:id="6"/>
      <w:r w:rsidRPr="006025D2">
        <w:rPr>
          <w:rFonts w:eastAsia="Calibri" w:hint="cs"/>
          <w:b/>
          <w:bCs/>
          <w:rtl/>
          <w:lang w:bidi="ar-EG"/>
        </w:rPr>
        <w:t xml:space="preserve"> </w:t>
      </w:r>
    </w:p>
    <w:p w14:paraId="0ABFB76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Al-</w:t>
      </w:r>
      <w:proofErr w:type="spellStart"/>
      <w:r w:rsidRPr="00CB7456">
        <w:rPr>
          <w:rFonts w:ascii="Sakkal Majalla" w:eastAsia="Calibri" w:hAnsi="Sakkal Majalla" w:cs="Sakkal Majalla"/>
          <w:kern w:val="0"/>
          <w:sz w:val="32"/>
          <w:szCs w:val="32"/>
          <w:lang w:bidi="ar-EG"/>
          <w14:ligatures w14:val="none"/>
        </w:rPr>
        <w:t>Dosary</w:t>
      </w:r>
      <w:proofErr w:type="spellEnd"/>
      <w:r w:rsidRPr="00CB7456">
        <w:rPr>
          <w:rFonts w:ascii="Sakkal Majalla" w:eastAsia="Calibri" w:hAnsi="Sakkal Majalla" w:cs="Sakkal Majalla"/>
          <w:kern w:val="0"/>
          <w:sz w:val="32"/>
          <w:szCs w:val="32"/>
          <w:lang w:bidi="ar-EG"/>
          <w14:ligatures w14:val="none"/>
        </w:rPr>
        <w:t xml:space="preserve">, A., &amp; Rahman, S. (2009). Saudization (Localization) – A critical review. </w:t>
      </w:r>
      <w:r w:rsidRPr="00CB7456">
        <w:rPr>
          <w:rFonts w:ascii="Sakkal Majalla" w:eastAsia="Calibri" w:hAnsi="Sakkal Majalla" w:cs="Sakkal Majalla"/>
          <w:i/>
          <w:iCs/>
          <w:kern w:val="0"/>
          <w:sz w:val="32"/>
          <w:szCs w:val="32"/>
          <w:lang w:bidi="ar-EG"/>
          <w14:ligatures w14:val="none"/>
        </w:rPr>
        <w:t>Human Resource Development International, 12</w:t>
      </w:r>
      <w:r w:rsidRPr="00CB7456">
        <w:rPr>
          <w:rFonts w:ascii="Sakkal Majalla" w:eastAsia="Calibri" w:hAnsi="Sakkal Majalla" w:cs="Sakkal Majalla"/>
          <w:kern w:val="0"/>
          <w:sz w:val="32"/>
          <w:szCs w:val="32"/>
          <w:lang w:bidi="ar-EG"/>
          <w14:ligatures w14:val="none"/>
        </w:rPr>
        <w:t>(3), 305–316. https://doi.org/10.1080/13678860902982289 (doi.org in Bing)</w:t>
      </w:r>
    </w:p>
    <w:p w14:paraId="77EC942E"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Al-Harbi, F. A. (2025). The impact of economic transformations on the Saudi labor market. </w:t>
      </w:r>
      <w:r w:rsidRPr="00CB7456">
        <w:rPr>
          <w:rFonts w:ascii="Sakkal Majalla" w:eastAsia="Calibri" w:hAnsi="Sakkal Majalla" w:cs="Sakkal Majalla"/>
          <w:i/>
          <w:iCs/>
          <w:kern w:val="0"/>
          <w:sz w:val="32"/>
          <w:szCs w:val="32"/>
          <w:lang w:bidi="ar-EG"/>
          <w14:ligatures w14:val="none"/>
        </w:rPr>
        <w:t>Arab Journal of Administrative and Economic Sciences</w:t>
      </w:r>
      <w:r w:rsidRPr="00CB7456">
        <w:rPr>
          <w:rFonts w:ascii="Sakkal Majalla" w:eastAsia="Calibri" w:hAnsi="Sakkal Majalla" w:cs="Sakkal Majalla"/>
          <w:kern w:val="0"/>
          <w:sz w:val="32"/>
          <w:szCs w:val="32"/>
          <w:lang w:bidi="ar-EG"/>
          <w14:ligatures w14:val="none"/>
        </w:rPr>
        <w:t>, 7(3), 55–78. Cairo, Egypt: Arab Foundation for Education, Science and Literature.</w:t>
      </w:r>
    </w:p>
    <w:p w14:paraId="49FDA2C5"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Al-Khamis, F. A. (2024). The reality of organizational sustainability in Arab organizations. </w:t>
      </w:r>
      <w:r w:rsidRPr="00CB7456">
        <w:rPr>
          <w:rFonts w:ascii="Sakkal Majalla" w:eastAsia="Calibri" w:hAnsi="Sakkal Majalla" w:cs="Sakkal Majalla"/>
          <w:i/>
          <w:iCs/>
          <w:kern w:val="0"/>
          <w:sz w:val="32"/>
          <w:szCs w:val="32"/>
          <w:lang w:bidi="ar-EG"/>
          <w14:ligatures w14:val="none"/>
        </w:rPr>
        <w:t>Arab Journal of Informatics and Information Security</w:t>
      </w:r>
      <w:r w:rsidRPr="00CB7456">
        <w:rPr>
          <w:rFonts w:ascii="Sakkal Majalla" w:eastAsia="Calibri" w:hAnsi="Sakkal Majalla" w:cs="Sakkal Majalla"/>
          <w:kern w:val="0"/>
          <w:sz w:val="32"/>
          <w:szCs w:val="32"/>
          <w:lang w:bidi="ar-EG"/>
          <w14:ligatures w14:val="none"/>
        </w:rPr>
        <w:t>, 5(16), 127–138. Cairo, Egypt: Arab Foundation for Education, Science and Literature.</w:t>
      </w:r>
    </w:p>
    <w:p w14:paraId="225A355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CB7456">
        <w:rPr>
          <w:rFonts w:ascii="Sakkal Majalla" w:eastAsia="Calibri" w:hAnsi="Sakkal Majalla" w:cs="Sakkal Majalla"/>
          <w:kern w:val="0"/>
          <w:sz w:val="32"/>
          <w:szCs w:val="32"/>
          <w:lang w:bidi="ar-EG"/>
          <w14:ligatures w14:val="none"/>
        </w:rPr>
        <w:t>AlMahmoud</w:t>
      </w:r>
      <w:proofErr w:type="spellEnd"/>
      <w:r w:rsidRPr="00CB7456">
        <w:rPr>
          <w:rFonts w:ascii="Sakkal Majalla" w:eastAsia="Calibri" w:hAnsi="Sakkal Majalla" w:cs="Sakkal Majalla"/>
          <w:kern w:val="0"/>
          <w:sz w:val="32"/>
          <w:szCs w:val="32"/>
          <w:lang w:bidi="ar-EG"/>
          <w14:ligatures w14:val="none"/>
        </w:rPr>
        <w:t xml:space="preserve">, M. (2025). </w:t>
      </w:r>
      <w:r w:rsidRPr="00CB7456">
        <w:rPr>
          <w:rFonts w:ascii="Sakkal Majalla" w:eastAsia="Calibri" w:hAnsi="Sakkal Majalla" w:cs="Sakkal Majalla"/>
          <w:i/>
          <w:iCs/>
          <w:kern w:val="0"/>
          <w:sz w:val="32"/>
          <w:szCs w:val="32"/>
          <w:lang w:bidi="ar-EG"/>
          <w14:ligatures w14:val="none"/>
        </w:rPr>
        <w:t>High-skilled employment and Vision 2030: How education and training for Saudi youth align with labor market demands.</w:t>
      </w:r>
      <w:r w:rsidRPr="00CB7456">
        <w:rPr>
          <w:rFonts w:ascii="Sakkal Majalla" w:eastAsia="Calibri" w:hAnsi="Sakkal Majalla" w:cs="Sakkal Majalla"/>
          <w:kern w:val="0"/>
          <w:sz w:val="32"/>
          <w:szCs w:val="32"/>
          <w:lang w:bidi="ar-EG"/>
          <w14:ligatures w14:val="none"/>
        </w:rPr>
        <w:t xml:space="preserve"> Konrad-Adenauer-Stiftung </w:t>
      </w:r>
      <w:proofErr w:type="gramStart"/>
      <w:r w:rsidRPr="00CB7456">
        <w:rPr>
          <w:rFonts w:ascii="Sakkal Majalla" w:eastAsia="Calibri" w:hAnsi="Sakkal Majalla" w:cs="Sakkal Majalla"/>
          <w:kern w:val="0"/>
          <w:sz w:val="32"/>
          <w:szCs w:val="32"/>
          <w:lang w:bidi="ar-EG"/>
          <w14:ligatures w14:val="none"/>
        </w:rPr>
        <w:t>Gulf States</w:t>
      </w:r>
      <w:proofErr w:type="gramEnd"/>
      <w:r w:rsidRPr="00CB7456">
        <w:rPr>
          <w:rFonts w:ascii="Sakkal Majalla" w:eastAsia="Calibri" w:hAnsi="Sakkal Majalla" w:cs="Sakkal Majalla"/>
          <w:kern w:val="0"/>
          <w:sz w:val="32"/>
          <w:szCs w:val="32"/>
          <w:lang w:bidi="ar-EG"/>
          <w14:ligatures w14:val="none"/>
        </w:rPr>
        <w:t xml:space="preserve"> </w:t>
      </w:r>
      <w:proofErr w:type="spellStart"/>
      <w:r w:rsidRPr="00CB7456">
        <w:rPr>
          <w:rFonts w:ascii="Sakkal Majalla" w:eastAsia="Calibri" w:hAnsi="Sakkal Majalla" w:cs="Sakkal Majalla"/>
          <w:kern w:val="0"/>
          <w:sz w:val="32"/>
          <w:szCs w:val="32"/>
          <w:lang w:bidi="ar-EG"/>
          <w14:ligatures w14:val="none"/>
        </w:rPr>
        <w:t>Programme</w:t>
      </w:r>
      <w:proofErr w:type="spellEnd"/>
      <w:r w:rsidRPr="00CB7456">
        <w:rPr>
          <w:rFonts w:ascii="Sakkal Majalla" w:eastAsia="Calibri" w:hAnsi="Sakkal Majalla" w:cs="Sakkal Majalla"/>
          <w:kern w:val="0"/>
          <w:sz w:val="32"/>
          <w:szCs w:val="32"/>
          <w:lang w:bidi="ar-EG"/>
          <w14:ligatures w14:val="none"/>
        </w:rPr>
        <w:t>.</w:t>
      </w:r>
    </w:p>
    <w:p w14:paraId="79BDE36F"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Al-Omari, Y. M. (2019). The future of the labor market in the Kingdom of Saudi Arabia in the light of global changes. </w:t>
      </w:r>
      <w:r w:rsidRPr="00CB7456">
        <w:rPr>
          <w:rFonts w:ascii="Sakkal Majalla" w:eastAsia="Calibri" w:hAnsi="Sakkal Majalla" w:cs="Sakkal Majalla"/>
          <w:i/>
          <w:iCs/>
          <w:kern w:val="0"/>
          <w:sz w:val="32"/>
          <w:szCs w:val="32"/>
          <w:lang w:bidi="ar-EG"/>
          <w14:ligatures w14:val="none"/>
        </w:rPr>
        <w:t>International Journal of Educational and Psychological Sciences</w:t>
      </w:r>
      <w:r w:rsidRPr="00CB7456">
        <w:rPr>
          <w:rFonts w:ascii="Sakkal Majalla" w:eastAsia="Calibri" w:hAnsi="Sakkal Majalla" w:cs="Sakkal Majalla"/>
          <w:kern w:val="0"/>
          <w:sz w:val="32"/>
          <w:szCs w:val="32"/>
          <w:lang w:bidi="ar-EG"/>
          <w14:ligatures w14:val="none"/>
        </w:rPr>
        <w:t>, 25(2), 43–65. Cairo, Egypt: Arab Foundation for Education, Science and Letters.</w:t>
      </w:r>
    </w:p>
    <w:p w14:paraId="04CB1170"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Bai, B. (2025). </w:t>
      </w:r>
      <w:r w:rsidRPr="00CB7456">
        <w:rPr>
          <w:rFonts w:ascii="Sakkal Majalla" w:eastAsia="Calibri" w:hAnsi="Sakkal Majalla" w:cs="Sakkal Majalla"/>
          <w:i/>
          <w:iCs/>
          <w:kern w:val="0"/>
          <w:sz w:val="32"/>
          <w:szCs w:val="32"/>
          <w:lang w:bidi="ar-EG"/>
          <w14:ligatures w14:val="none"/>
        </w:rPr>
        <w:t>Exploring sustainable HRM through the lens of employee wellbeing.</w:t>
      </w:r>
      <w:r w:rsidRPr="00CB7456">
        <w:rPr>
          <w:rFonts w:ascii="Sakkal Majalla" w:eastAsia="Calibri" w:hAnsi="Sakkal Majalla" w:cs="Sakkal Majalla"/>
          <w:kern w:val="0"/>
          <w:sz w:val="32"/>
          <w:szCs w:val="32"/>
          <w:lang w:bidi="ar-EG"/>
          <w14:ligatures w14:val="none"/>
        </w:rPr>
        <w:t xml:space="preserve"> Sustainability, 17(12), 5646.</w:t>
      </w:r>
    </w:p>
    <w:p w14:paraId="7D68AFC1"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Bass, B. M., &amp; Riggio, R. E. (2006). </w:t>
      </w:r>
      <w:r w:rsidRPr="00CB7456">
        <w:rPr>
          <w:rFonts w:ascii="Sakkal Majalla" w:eastAsia="Calibri" w:hAnsi="Sakkal Majalla" w:cs="Sakkal Majalla"/>
          <w:i/>
          <w:iCs/>
          <w:kern w:val="0"/>
          <w:sz w:val="32"/>
          <w:szCs w:val="32"/>
          <w:lang w:bidi="ar-EG"/>
          <w14:ligatures w14:val="none"/>
        </w:rPr>
        <w:t>Transformational leadership</w:t>
      </w:r>
      <w:r w:rsidRPr="00CB7456">
        <w:rPr>
          <w:rFonts w:ascii="Sakkal Majalla" w:eastAsia="Calibri" w:hAnsi="Sakkal Majalla" w:cs="Sakkal Majalla"/>
          <w:kern w:val="0"/>
          <w:sz w:val="32"/>
          <w:szCs w:val="32"/>
          <w:lang w:bidi="ar-EG"/>
          <w14:ligatures w14:val="none"/>
        </w:rPr>
        <w:t>. Psychology Press.</w:t>
      </w:r>
    </w:p>
    <w:p w14:paraId="342B768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lastRenderedPageBreak/>
        <w:t xml:space="preserve">Becker, G. S. (1993). </w:t>
      </w:r>
      <w:r w:rsidRPr="00CB7456">
        <w:rPr>
          <w:rFonts w:ascii="Sakkal Majalla" w:eastAsia="Calibri" w:hAnsi="Sakkal Majalla" w:cs="Sakkal Majalla"/>
          <w:i/>
          <w:iCs/>
          <w:kern w:val="0"/>
          <w:sz w:val="32"/>
          <w:szCs w:val="32"/>
          <w:lang w:bidi="ar-EG"/>
          <w14:ligatures w14:val="none"/>
        </w:rPr>
        <w:t>Human capital: A theoretical and empirical analysis, with special reference to education</w:t>
      </w:r>
      <w:r w:rsidRPr="00CB7456">
        <w:rPr>
          <w:rFonts w:ascii="Sakkal Majalla" w:eastAsia="Calibri" w:hAnsi="Sakkal Majalla" w:cs="Sakkal Majalla"/>
          <w:kern w:val="0"/>
          <w:sz w:val="32"/>
          <w:szCs w:val="32"/>
          <w:lang w:bidi="ar-EG"/>
          <w14:ligatures w14:val="none"/>
        </w:rPr>
        <w:t>. University of Chicago Press.</w:t>
      </w:r>
    </w:p>
    <w:p w14:paraId="026FC762"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Bindra, S., Bhattacharya, S., &amp; Bhattacharya, S. (2025). </w:t>
      </w:r>
      <w:r w:rsidRPr="00CB7456">
        <w:rPr>
          <w:rFonts w:ascii="Sakkal Majalla" w:eastAsia="Calibri" w:hAnsi="Sakkal Majalla" w:cs="Sakkal Majalla"/>
          <w:i/>
          <w:iCs/>
          <w:kern w:val="0"/>
          <w:sz w:val="32"/>
          <w:szCs w:val="32"/>
          <w:lang w:bidi="ar-EG"/>
          <w14:ligatures w14:val="none"/>
        </w:rPr>
        <w:t>Traditional to digital: Human resource management transformation.</w:t>
      </w:r>
      <w:r w:rsidRPr="00CB7456">
        <w:rPr>
          <w:rFonts w:ascii="Sakkal Majalla" w:eastAsia="Calibri" w:hAnsi="Sakkal Majalla" w:cs="Sakkal Majalla"/>
          <w:kern w:val="0"/>
          <w:sz w:val="32"/>
          <w:szCs w:val="32"/>
          <w:lang w:bidi="ar-EG"/>
          <w14:ligatures w14:val="none"/>
        </w:rPr>
        <w:t xml:space="preserve"> Journal of Work-Applied Management.</w:t>
      </w:r>
    </w:p>
    <w:p w14:paraId="1540AB02"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Brynjolfsson, E., &amp; McAfee, A. (2020). </w:t>
      </w:r>
      <w:r w:rsidRPr="00CB7456">
        <w:rPr>
          <w:rFonts w:ascii="Sakkal Majalla" w:eastAsia="Calibri" w:hAnsi="Sakkal Majalla" w:cs="Sakkal Majalla"/>
          <w:i/>
          <w:iCs/>
          <w:kern w:val="0"/>
          <w:sz w:val="32"/>
          <w:szCs w:val="32"/>
          <w:lang w:bidi="ar-EG"/>
          <w14:ligatures w14:val="none"/>
        </w:rPr>
        <w:t>The second machine age: Work, progress, and prosperity in a time of brilliant technologies</w:t>
      </w:r>
      <w:r w:rsidRPr="00CB7456">
        <w:rPr>
          <w:rFonts w:ascii="Sakkal Majalla" w:eastAsia="Calibri" w:hAnsi="Sakkal Majalla" w:cs="Sakkal Majalla"/>
          <w:kern w:val="0"/>
          <w:sz w:val="32"/>
          <w:szCs w:val="32"/>
          <w:lang w:bidi="ar-EG"/>
          <w14:ligatures w14:val="none"/>
        </w:rPr>
        <w:t>. W. W. Norton &amp; Company.</w:t>
      </w:r>
    </w:p>
    <w:p w14:paraId="6CED2C3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CB7456">
        <w:rPr>
          <w:rFonts w:ascii="Sakkal Majalla" w:eastAsia="Calibri" w:hAnsi="Sakkal Majalla" w:cs="Sakkal Majalla"/>
          <w:kern w:val="0"/>
          <w:sz w:val="32"/>
          <w:szCs w:val="32"/>
          <w:lang w:bidi="ar-EG"/>
          <w14:ligatures w14:val="none"/>
        </w:rPr>
        <w:t>Bughin</w:t>
      </w:r>
      <w:proofErr w:type="spellEnd"/>
      <w:r w:rsidRPr="00CB7456">
        <w:rPr>
          <w:rFonts w:ascii="Sakkal Majalla" w:eastAsia="Calibri" w:hAnsi="Sakkal Majalla" w:cs="Sakkal Majalla"/>
          <w:kern w:val="0"/>
          <w:sz w:val="32"/>
          <w:szCs w:val="32"/>
          <w:lang w:bidi="ar-EG"/>
          <w14:ligatures w14:val="none"/>
        </w:rPr>
        <w:t xml:space="preserve">, J., Seong, J., Manyika, J., Chui, M., &amp; Joshi, R. (2018). </w:t>
      </w:r>
      <w:r w:rsidRPr="00CB7456">
        <w:rPr>
          <w:rFonts w:ascii="Sakkal Majalla" w:eastAsia="Calibri" w:hAnsi="Sakkal Majalla" w:cs="Sakkal Majalla"/>
          <w:i/>
          <w:iCs/>
          <w:kern w:val="0"/>
          <w:sz w:val="32"/>
          <w:szCs w:val="32"/>
          <w:lang w:bidi="ar-EG"/>
          <w14:ligatures w14:val="none"/>
        </w:rPr>
        <w:t>Notes from the AI frontier: Modeling the impact of AI on the world economy</w:t>
      </w:r>
      <w:r w:rsidRPr="00CB7456">
        <w:rPr>
          <w:rFonts w:ascii="Sakkal Majalla" w:eastAsia="Calibri" w:hAnsi="Sakkal Majalla" w:cs="Sakkal Majalla"/>
          <w:kern w:val="0"/>
          <w:sz w:val="32"/>
          <w:szCs w:val="32"/>
          <w:lang w:bidi="ar-EG"/>
          <w14:ligatures w14:val="none"/>
        </w:rPr>
        <w:t>. McKinsey Global Institute.</w:t>
      </w:r>
    </w:p>
    <w:p w14:paraId="61C72010"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Christina, J. L., Alamelu, R., &amp; Nigama, K. (2025). </w:t>
      </w:r>
      <w:r w:rsidRPr="00CB7456">
        <w:rPr>
          <w:rFonts w:ascii="Sakkal Majalla" w:eastAsia="Calibri" w:hAnsi="Sakkal Majalla" w:cs="Sakkal Majalla"/>
          <w:i/>
          <w:iCs/>
          <w:kern w:val="0"/>
          <w:sz w:val="32"/>
          <w:szCs w:val="32"/>
          <w:lang w:bidi="ar-EG"/>
          <w14:ligatures w14:val="none"/>
        </w:rPr>
        <w:t>Synthesizing the impact of sustainable human resource management on corporate sustainability through multi-method evidence.</w:t>
      </w:r>
      <w:r w:rsidRPr="00CB7456">
        <w:rPr>
          <w:rFonts w:ascii="Sakkal Majalla" w:eastAsia="Calibri" w:hAnsi="Sakkal Majalla" w:cs="Sakkal Majalla"/>
          <w:kern w:val="0"/>
          <w:sz w:val="32"/>
          <w:szCs w:val="32"/>
          <w:lang w:bidi="ar-EG"/>
          <w14:ligatures w14:val="none"/>
        </w:rPr>
        <w:t xml:space="preserve"> Discover Sustainability, 6, Article 666.</w:t>
      </w:r>
    </w:p>
    <w:p w14:paraId="2F25E20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Deloitte. (2022). </w:t>
      </w:r>
      <w:r w:rsidRPr="00CB7456">
        <w:rPr>
          <w:rFonts w:ascii="Sakkal Majalla" w:eastAsia="Calibri" w:hAnsi="Sakkal Majalla" w:cs="Sakkal Majalla"/>
          <w:i/>
          <w:iCs/>
          <w:kern w:val="0"/>
          <w:sz w:val="32"/>
          <w:szCs w:val="32"/>
          <w:lang w:bidi="ar-EG"/>
          <w14:ligatures w14:val="none"/>
        </w:rPr>
        <w:t>The future of human resources in the digital age</w:t>
      </w:r>
      <w:r w:rsidRPr="00CB7456">
        <w:rPr>
          <w:rFonts w:ascii="Sakkal Majalla" w:eastAsia="Calibri" w:hAnsi="Sakkal Majalla" w:cs="Sakkal Majalla"/>
          <w:kern w:val="0"/>
          <w:sz w:val="32"/>
          <w:szCs w:val="32"/>
          <w:lang w:bidi="ar-EG"/>
          <w14:ligatures w14:val="none"/>
        </w:rPr>
        <w:t>. Deloitte Insights. Retrieved from https://www2.deloitte.com</w:t>
      </w:r>
    </w:p>
    <w:p w14:paraId="5B5DD733"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Ghosh, D., Ghosh, R., Roy Chowdhury, S., &amp; Ganguly, B. (2025). </w:t>
      </w:r>
      <w:r w:rsidRPr="00CB7456">
        <w:rPr>
          <w:rFonts w:ascii="Sakkal Majalla" w:eastAsia="Calibri" w:hAnsi="Sakkal Majalla" w:cs="Sakkal Majalla"/>
          <w:i/>
          <w:iCs/>
          <w:kern w:val="0"/>
          <w:sz w:val="32"/>
          <w:szCs w:val="32"/>
          <w:lang w:bidi="ar-EG"/>
          <w14:ligatures w14:val="none"/>
        </w:rPr>
        <w:t xml:space="preserve">AI-exposure and </w:t>
      </w:r>
      <w:proofErr w:type="spellStart"/>
      <w:r w:rsidRPr="00CB7456">
        <w:rPr>
          <w:rFonts w:ascii="Sakkal Majalla" w:eastAsia="Calibri" w:hAnsi="Sakkal Majalla" w:cs="Sakkal Majalla"/>
          <w:i/>
          <w:iCs/>
          <w:kern w:val="0"/>
          <w:sz w:val="32"/>
          <w:szCs w:val="32"/>
          <w:lang w:bidi="ar-EG"/>
          <w14:ligatures w14:val="none"/>
        </w:rPr>
        <w:t>labour</w:t>
      </w:r>
      <w:proofErr w:type="spellEnd"/>
      <w:r w:rsidRPr="00CB7456">
        <w:rPr>
          <w:rFonts w:ascii="Sakkal Majalla" w:eastAsia="Calibri" w:hAnsi="Sakkal Majalla" w:cs="Sakkal Majalla"/>
          <w:i/>
          <w:iCs/>
          <w:kern w:val="0"/>
          <w:sz w:val="32"/>
          <w:szCs w:val="32"/>
          <w:lang w:bidi="ar-EG"/>
          <w14:ligatures w14:val="none"/>
        </w:rPr>
        <w:t xml:space="preserve"> market: A systematic literature review on estimations, validations, and perceptions.</w:t>
      </w:r>
      <w:r w:rsidRPr="00CB7456">
        <w:rPr>
          <w:rFonts w:ascii="Sakkal Majalla" w:eastAsia="Calibri" w:hAnsi="Sakkal Majalla" w:cs="Sakkal Majalla"/>
          <w:kern w:val="0"/>
          <w:sz w:val="32"/>
          <w:szCs w:val="32"/>
          <w:lang w:bidi="ar-EG"/>
          <w14:ligatures w14:val="none"/>
        </w:rPr>
        <w:t xml:space="preserve"> Management Review Quarterly, 75, 677–704.</w:t>
      </w:r>
    </w:p>
    <w:p w14:paraId="3A15AE7F"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Gimbel, M., Kinder, M., Kendall, J., &amp; Lee, M. (2025). </w:t>
      </w:r>
      <w:r w:rsidRPr="00CB7456">
        <w:rPr>
          <w:rFonts w:ascii="Sakkal Majalla" w:eastAsia="Calibri" w:hAnsi="Sakkal Majalla" w:cs="Sakkal Majalla"/>
          <w:i/>
          <w:iCs/>
          <w:kern w:val="0"/>
          <w:sz w:val="32"/>
          <w:szCs w:val="32"/>
          <w:lang w:bidi="ar-EG"/>
          <w14:ligatures w14:val="none"/>
        </w:rPr>
        <w:t xml:space="preserve">Evaluating the impact of AI on the labor market: Current </w:t>
      </w:r>
      <w:proofErr w:type="gramStart"/>
      <w:r w:rsidRPr="00CB7456">
        <w:rPr>
          <w:rFonts w:ascii="Sakkal Majalla" w:eastAsia="Calibri" w:hAnsi="Sakkal Majalla" w:cs="Sakkal Majalla"/>
          <w:i/>
          <w:iCs/>
          <w:kern w:val="0"/>
          <w:sz w:val="32"/>
          <w:szCs w:val="32"/>
          <w:lang w:bidi="ar-EG"/>
          <w14:ligatures w14:val="none"/>
        </w:rPr>
        <w:t>state of affairs</w:t>
      </w:r>
      <w:proofErr w:type="gramEnd"/>
      <w:r w:rsidRPr="00CB7456">
        <w:rPr>
          <w:rFonts w:ascii="Sakkal Majalla" w:eastAsia="Calibri" w:hAnsi="Sakkal Majalla" w:cs="Sakkal Majalla"/>
          <w:i/>
          <w:iCs/>
          <w:kern w:val="0"/>
          <w:sz w:val="32"/>
          <w:szCs w:val="32"/>
          <w:lang w:bidi="ar-EG"/>
          <w14:ligatures w14:val="none"/>
        </w:rPr>
        <w:t>.</w:t>
      </w:r>
      <w:r w:rsidRPr="00CB7456">
        <w:rPr>
          <w:rFonts w:ascii="Sakkal Majalla" w:eastAsia="Calibri" w:hAnsi="Sakkal Majalla" w:cs="Sakkal Majalla"/>
          <w:kern w:val="0"/>
          <w:sz w:val="32"/>
          <w:szCs w:val="32"/>
          <w:lang w:bidi="ar-EG"/>
          <w14:ligatures w14:val="none"/>
        </w:rPr>
        <w:t xml:space="preserve"> Yale Budget Lab Report.</w:t>
      </w:r>
    </w:p>
    <w:p w14:paraId="6CD41859"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International </w:t>
      </w:r>
      <w:proofErr w:type="spellStart"/>
      <w:r w:rsidRPr="00CB7456">
        <w:rPr>
          <w:rFonts w:ascii="Sakkal Majalla" w:eastAsia="Calibri" w:hAnsi="Sakkal Majalla" w:cs="Sakkal Majalla"/>
          <w:kern w:val="0"/>
          <w:sz w:val="32"/>
          <w:szCs w:val="32"/>
          <w:lang w:bidi="ar-EG"/>
          <w14:ligatures w14:val="none"/>
        </w:rPr>
        <w:t>Labour</w:t>
      </w:r>
      <w:proofErr w:type="spellEnd"/>
      <w:r w:rsidRPr="00CB7456">
        <w:rPr>
          <w:rFonts w:ascii="Sakkal Majalla" w:eastAsia="Calibri" w:hAnsi="Sakkal Majalla" w:cs="Sakkal Majalla"/>
          <w:kern w:val="0"/>
          <w:sz w:val="32"/>
          <w:szCs w:val="32"/>
          <w:lang w:bidi="ar-EG"/>
          <w14:ligatures w14:val="none"/>
        </w:rPr>
        <w:t xml:space="preserve"> Organization (ILO). (2021). </w:t>
      </w:r>
      <w:r w:rsidRPr="00CB7456">
        <w:rPr>
          <w:rFonts w:ascii="Sakkal Majalla" w:eastAsia="Calibri" w:hAnsi="Sakkal Majalla" w:cs="Sakkal Majalla"/>
          <w:i/>
          <w:iCs/>
          <w:kern w:val="0"/>
          <w:sz w:val="32"/>
          <w:szCs w:val="32"/>
          <w:lang w:bidi="ar-EG"/>
          <w14:ligatures w14:val="none"/>
        </w:rPr>
        <w:t>World employment and social outlook: Trends 2021</w:t>
      </w:r>
      <w:r w:rsidRPr="00CB7456">
        <w:rPr>
          <w:rFonts w:ascii="Sakkal Majalla" w:eastAsia="Calibri" w:hAnsi="Sakkal Majalla" w:cs="Sakkal Majalla"/>
          <w:kern w:val="0"/>
          <w:sz w:val="32"/>
          <w:szCs w:val="32"/>
          <w:lang w:bidi="ar-EG"/>
          <w14:ligatures w14:val="none"/>
        </w:rPr>
        <w:t xml:space="preserve">. ILO Publishing. Retrieved from </w:t>
      </w:r>
      <w:hyperlink r:id="rId9" w:history="1">
        <w:r w:rsidRPr="00CB7456">
          <w:rPr>
            <w:rStyle w:val="Hyperlink"/>
            <w:rFonts w:ascii="Sakkal Majalla" w:eastAsia="Calibri" w:hAnsi="Sakkal Majalla" w:cs="Sakkal Majalla"/>
            <w:kern w:val="0"/>
            <w:sz w:val="32"/>
            <w:szCs w:val="32"/>
            <w:lang w:bidi="ar-EG"/>
            <w14:ligatures w14:val="none"/>
          </w:rPr>
          <w:t>https://www.ilo.org</w:t>
        </w:r>
      </w:hyperlink>
    </w:p>
    <w:p w14:paraId="1FB702D9"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lastRenderedPageBreak/>
        <w:t xml:space="preserve">Ministry of Human Resources and Social Development. (2025). </w:t>
      </w:r>
      <w:r w:rsidRPr="00CB7456">
        <w:rPr>
          <w:rFonts w:ascii="Sakkal Majalla" w:eastAsia="Calibri" w:hAnsi="Sakkal Majalla" w:cs="Sakkal Majalla"/>
          <w:i/>
          <w:iCs/>
          <w:kern w:val="0"/>
          <w:sz w:val="32"/>
          <w:szCs w:val="32"/>
          <w:lang w:bidi="ar-EG"/>
          <w14:ligatures w14:val="none"/>
        </w:rPr>
        <w:t>Progress achieved in the Saudi labor market</w:t>
      </w:r>
      <w:r w:rsidRPr="00CB7456">
        <w:rPr>
          <w:rFonts w:ascii="Sakkal Majalla" w:eastAsia="Calibri" w:hAnsi="Sakkal Majalla" w:cs="Sakkal Majalla"/>
          <w:kern w:val="0"/>
          <w:sz w:val="32"/>
          <w:szCs w:val="32"/>
          <w:lang w:bidi="ar-EG"/>
          <w14:ligatures w14:val="none"/>
        </w:rPr>
        <w:t>. Riyadh: Official Government Report.</w:t>
      </w:r>
    </w:p>
    <w:p w14:paraId="4AF503B1"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Mufleh, </w:t>
      </w:r>
      <w:proofErr w:type="gramStart"/>
      <w:r w:rsidRPr="00CB7456">
        <w:rPr>
          <w:rFonts w:ascii="Sakkal Majalla" w:eastAsia="Calibri" w:hAnsi="Sakkal Majalla" w:cs="Sakkal Majalla"/>
          <w:kern w:val="0"/>
          <w:sz w:val="32"/>
          <w:szCs w:val="32"/>
          <w:lang w:bidi="ar-EG"/>
          <w14:ligatures w14:val="none"/>
        </w:rPr>
        <w:t>A. S</w:t>
      </w:r>
      <w:proofErr w:type="gramEnd"/>
      <w:r w:rsidRPr="00CB7456">
        <w:rPr>
          <w:rFonts w:ascii="Sakkal Majalla" w:eastAsia="Calibri" w:hAnsi="Sakkal Majalla" w:cs="Sakkal Majalla"/>
          <w:kern w:val="0"/>
          <w:sz w:val="32"/>
          <w:szCs w:val="32"/>
          <w:lang w:bidi="ar-EG"/>
          <w14:ligatures w14:val="none"/>
        </w:rPr>
        <w:t xml:space="preserve">. S., Waleed, A., </w:t>
      </w:r>
      <w:proofErr w:type="spellStart"/>
      <w:r w:rsidRPr="00CB7456">
        <w:rPr>
          <w:rFonts w:ascii="Sakkal Majalla" w:eastAsia="Calibri" w:hAnsi="Sakkal Majalla" w:cs="Sakkal Majalla"/>
          <w:kern w:val="0"/>
          <w:sz w:val="32"/>
          <w:szCs w:val="32"/>
          <w:lang w:bidi="ar-EG"/>
          <w14:ligatures w14:val="none"/>
        </w:rPr>
        <w:t>Altuwayjiri</w:t>
      </w:r>
      <w:proofErr w:type="spellEnd"/>
      <w:r w:rsidRPr="00CB7456">
        <w:rPr>
          <w:rFonts w:ascii="Sakkal Majalla" w:eastAsia="Calibri" w:hAnsi="Sakkal Majalla" w:cs="Sakkal Majalla"/>
          <w:kern w:val="0"/>
          <w:sz w:val="32"/>
          <w:szCs w:val="32"/>
          <w:lang w:bidi="ar-EG"/>
          <w14:ligatures w14:val="none"/>
        </w:rPr>
        <w:t>, S., Alajmi, L. H. R., Hassan, M. I. A., &amp; Hilal, A. M. (2026). Social aspects of artificial intelligence (AI)-driven sustainability in Saudi Arabia: A systematic review with insights on labor market transformations. </w:t>
      </w:r>
      <w:r w:rsidRPr="00CB7456">
        <w:rPr>
          <w:rFonts w:ascii="Sakkal Majalla" w:eastAsia="Calibri" w:hAnsi="Sakkal Majalla" w:cs="Sakkal Majalla"/>
          <w:i/>
          <w:iCs/>
          <w:kern w:val="0"/>
          <w:sz w:val="32"/>
          <w:szCs w:val="32"/>
          <w:lang w:bidi="ar-EG"/>
          <w14:ligatures w14:val="none"/>
        </w:rPr>
        <w:t>Social Sciences &amp; Humanities Open</w:t>
      </w:r>
      <w:r w:rsidRPr="00CB7456">
        <w:rPr>
          <w:rFonts w:ascii="Sakkal Majalla" w:eastAsia="Calibri" w:hAnsi="Sakkal Majalla" w:cs="Sakkal Majalla"/>
          <w:kern w:val="0"/>
          <w:sz w:val="32"/>
          <w:szCs w:val="32"/>
          <w:lang w:bidi="ar-EG"/>
          <w14:ligatures w14:val="none"/>
        </w:rPr>
        <w:t>, </w:t>
      </w:r>
      <w:r w:rsidRPr="00CB7456">
        <w:rPr>
          <w:rFonts w:ascii="Sakkal Majalla" w:eastAsia="Calibri" w:hAnsi="Sakkal Majalla" w:cs="Sakkal Majalla"/>
          <w:i/>
          <w:iCs/>
          <w:kern w:val="0"/>
          <w:sz w:val="32"/>
          <w:szCs w:val="32"/>
          <w:lang w:bidi="ar-EG"/>
          <w14:ligatures w14:val="none"/>
        </w:rPr>
        <w:t>13</w:t>
      </w:r>
      <w:r w:rsidRPr="00CB7456">
        <w:rPr>
          <w:rFonts w:ascii="Sakkal Majalla" w:eastAsia="Calibri" w:hAnsi="Sakkal Majalla" w:cs="Sakkal Majalla"/>
          <w:kern w:val="0"/>
          <w:sz w:val="32"/>
          <w:szCs w:val="32"/>
          <w:lang w:bidi="ar-EG"/>
          <w14:ligatures w14:val="none"/>
        </w:rPr>
        <w:t>, 102612.</w:t>
      </w:r>
      <w:r w:rsidRPr="00CB7456">
        <w:rPr>
          <w:rFonts w:ascii="Sakkal Majalla" w:eastAsia="Calibri" w:hAnsi="Sakkal Majalla" w:cs="Sakkal Majalla"/>
          <w:kern w:val="0"/>
          <w:sz w:val="32"/>
          <w:szCs w:val="32"/>
          <w:rtl/>
          <w14:ligatures w14:val="none"/>
        </w:rPr>
        <w:t>‏</w:t>
      </w:r>
    </w:p>
    <w:p w14:paraId="349B745E"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Nadeem, N. (2025). </w:t>
      </w:r>
      <w:r w:rsidRPr="00CB7456">
        <w:rPr>
          <w:rFonts w:ascii="Sakkal Majalla" w:eastAsia="Calibri" w:hAnsi="Sakkal Majalla" w:cs="Sakkal Majalla"/>
          <w:i/>
          <w:iCs/>
          <w:kern w:val="0"/>
          <w:sz w:val="32"/>
          <w:szCs w:val="32"/>
          <w:lang w:bidi="ar-EG"/>
          <w14:ligatures w14:val="none"/>
        </w:rPr>
        <w:t>The impact of Saudization (</w:t>
      </w:r>
      <w:proofErr w:type="spellStart"/>
      <w:r w:rsidRPr="00CB7456">
        <w:rPr>
          <w:rFonts w:ascii="Sakkal Majalla" w:eastAsia="Calibri" w:hAnsi="Sakkal Majalla" w:cs="Sakkal Majalla"/>
          <w:i/>
          <w:iCs/>
          <w:kern w:val="0"/>
          <w:sz w:val="32"/>
          <w:szCs w:val="32"/>
          <w:lang w:bidi="ar-EG"/>
          <w14:ligatures w14:val="none"/>
        </w:rPr>
        <w:t>Nitaqat</w:t>
      </w:r>
      <w:proofErr w:type="spellEnd"/>
      <w:r w:rsidRPr="00CB7456">
        <w:rPr>
          <w:rFonts w:ascii="Sakkal Majalla" w:eastAsia="Calibri" w:hAnsi="Sakkal Majalla" w:cs="Sakkal Majalla"/>
          <w:i/>
          <w:iCs/>
          <w:kern w:val="0"/>
          <w:sz w:val="32"/>
          <w:szCs w:val="32"/>
          <w:lang w:bidi="ar-EG"/>
          <w14:ligatures w14:val="none"/>
        </w:rPr>
        <w:t>) on global talent mobility.</w:t>
      </w:r>
      <w:r w:rsidRPr="00CB7456">
        <w:rPr>
          <w:rFonts w:ascii="Sakkal Majalla" w:eastAsia="Calibri" w:hAnsi="Sakkal Majalla" w:cs="Sakkal Majalla"/>
          <w:kern w:val="0"/>
          <w:sz w:val="32"/>
          <w:szCs w:val="32"/>
          <w:lang w:bidi="ar-EG"/>
          <w14:ligatures w14:val="none"/>
        </w:rPr>
        <w:t xml:space="preserve"> Northman &amp; Sterling Policy Report.</w:t>
      </w:r>
    </w:p>
    <w:p w14:paraId="4ACC1689"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National Labor Observatory. (2023). </w:t>
      </w:r>
      <w:r w:rsidRPr="00CB7456">
        <w:rPr>
          <w:rFonts w:ascii="Sakkal Majalla" w:eastAsia="Calibri" w:hAnsi="Sakkal Majalla" w:cs="Sakkal Majalla"/>
          <w:i/>
          <w:iCs/>
          <w:kern w:val="0"/>
          <w:sz w:val="32"/>
          <w:szCs w:val="32"/>
          <w:lang w:bidi="ar-EG"/>
          <w14:ligatures w14:val="none"/>
        </w:rPr>
        <w:t>The future roles of Saudi scholarship graduates in meeting labor market needs under Vision 2030</w:t>
      </w:r>
      <w:r w:rsidRPr="00CB7456">
        <w:rPr>
          <w:rFonts w:ascii="Sakkal Majalla" w:eastAsia="Calibri" w:hAnsi="Sakkal Majalla" w:cs="Sakkal Majalla"/>
          <w:kern w:val="0"/>
          <w:sz w:val="32"/>
          <w:szCs w:val="32"/>
          <w:lang w:bidi="ar-EG"/>
          <w14:ligatures w14:val="none"/>
        </w:rPr>
        <w:t>. Riyadh: National Labor Observatory.</w:t>
      </w:r>
    </w:p>
    <w:p w14:paraId="12895E30"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O’Brien, C., Li, Z., </w:t>
      </w:r>
      <w:proofErr w:type="spellStart"/>
      <w:r w:rsidRPr="00CB7456">
        <w:rPr>
          <w:rFonts w:ascii="Sakkal Majalla" w:eastAsia="Calibri" w:hAnsi="Sakkal Majalla" w:cs="Sakkal Majalla"/>
          <w:kern w:val="0"/>
          <w:sz w:val="32"/>
          <w:szCs w:val="32"/>
          <w:lang w:bidi="ar-EG"/>
          <w14:ligatures w14:val="none"/>
        </w:rPr>
        <w:t>Adotey</w:t>
      </w:r>
      <w:proofErr w:type="spellEnd"/>
      <w:r w:rsidRPr="00CB7456">
        <w:rPr>
          <w:rFonts w:ascii="Sakkal Majalla" w:eastAsia="Calibri" w:hAnsi="Sakkal Majalla" w:cs="Sakkal Majalla"/>
          <w:kern w:val="0"/>
          <w:sz w:val="32"/>
          <w:szCs w:val="32"/>
          <w:lang w:bidi="ar-EG"/>
          <w14:ligatures w14:val="none"/>
        </w:rPr>
        <w:t xml:space="preserve">, P. B., &amp; </w:t>
      </w:r>
      <w:proofErr w:type="spellStart"/>
      <w:r w:rsidRPr="00CB7456">
        <w:rPr>
          <w:rFonts w:ascii="Sakkal Majalla" w:eastAsia="Calibri" w:hAnsi="Sakkal Majalla" w:cs="Sakkal Majalla"/>
          <w:kern w:val="0"/>
          <w:sz w:val="32"/>
          <w:szCs w:val="32"/>
          <w:lang w:bidi="ar-EG"/>
          <w14:ligatures w14:val="none"/>
        </w:rPr>
        <w:t>Yohuno</w:t>
      </w:r>
      <w:proofErr w:type="spellEnd"/>
      <w:r w:rsidRPr="00CB7456">
        <w:rPr>
          <w:rFonts w:ascii="Sakkal Majalla" w:eastAsia="Calibri" w:hAnsi="Sakkal Majalla" w:cs="Sakkal Majalla"/>
          <w:kern w:val="0"/>
          <w:sz w:val="32"/>
          <w:szCs w:val="32"/>
          <w:lang w:bidi="ar-EG"/>
          <w14:ligatures w14:val="none"/>
        </w:rPr>
        <w:t xml:space="preserve">, G. (2025). </w:t>
      </w:r>
      <w:r w:rsidRPr="00CB7456">
        <w:rPr>
          <w:rFonts w:ascii="Sakkal Majalla" w:eastAsia="Calibri" w:hAnsi="Sakkal Majalla" w:cs="Sakkal Majalla"/>
          <w:i/>
          <w:iCs/>
          <w:kern w:val="0"/>
          <w:sz w:val="32"/>
          <w:szCs w:val="32"/>
          <w:lang w:bidi="ar-EG"/>
          <w14:ligatures w14:val="none"/>
        </w:rPr>
        <w:t>Mapping a decade of digital transformation in HRM: Trends, implications, and future research directions.</w:t>
      </w:r>
      <w:r w:rsidRPr="00CB7456">
        <w:rPr>
          <w:rFonts w:ascii="Sakkal Majalla" w:eastAsia="Calibri" w:hAnsi="Sakkal Majalla" w:cs="Sakkal Majalla"/>
          <w:kern w:val="0"/>
          <w:sz w:val="32"/>
          <w:szCs w:val="32"/>
          <w:lang w:bidi="ar-EG"/>
          <w14:ligatures w14:val="none"/>
        </w:rPr>
        <w:t xml:space="preserve"> Current Psychology.</w:t>
      </w:r>
    </w:p>
    <w:p w14:paraId="3AEF17CD"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CB7456">
        <w:rPr>
          <w:rFonts w:ascii="Sakkal Majalla" w:eastAsia="Calibri" w:hAnsi="Sakkal Majalla" w:cs="Sakkal Majalla"/>
          <w:kern w:val="0"/>
          <w:sz w:val="32"/>
          <w:szCs w:val="32"/>
          <w:lang w:bidi="ar-EG"/>
          <w14:ligatures w14:val="none"/>
        </w:rPr>
        <w:t>Sarabdeen</w:t>
      </w:r>
      <w:proofErr w:type="spellEnd"/>
      <w:r w:rsidRPr="00CB7456">
        <w:rPr>
          <w:rFonts w:ascii="Sakkal Majalla" w:eastAsia="Calibri" w:hAnsi="Sakkal Majalla" w:cs="Sakkal Majalla"/>
          <w:kern w:val="0"/>
          <w:sz w:val="32"/>
          <w:szCs w:val="32"/>
          <w:lang w:bidi="ar-EG"/>
          <w14:ligatures w14:val="none"/>
        </w:rPr>
        <w:t xml:space="preserve">, M., &amp; </w:t>
      </w:r>
      <w:proofErr w:type="spellStart"/>
      <w:r w:rsidRPr="00CB7456">
        <w:rPr>
          <w:rFonts w:ascii="Sakkal Majalla" w:eastAsia="Calibri" w:hAnsi="Sakkal Majalla" w:cs="Sakkal Majalla"/>
          <w:kern w:val="0"/>
          <w:sz w:val="32"/>
          <w:szCs w:val="32"/>
          <w:lang w:bidi="ar-EG"/>
          <w14:ligatures w14:val="none"/>
        </w:rPr>
        <w:t>Alofaysan</w:t>
      </w:r>
      <w:proofErr w:type="spellEnd"/>
      <w:r w:rsidRPr="00CB7456">
        <w:rPr>
          <w:rFonts w:ascii="Sakkal Majalla" w:eastAsia="Calibri" w:hAnsi="Sakkal Majalla" w:cs="Sakkal Majalla"/>
          <w:kern w:val="0"/>
          <w:sz w:val="32"/>
          <w:szCs w:val="32"/>
          <w:lang w:bidi="ar-EG"/>
          <w14:ligatures w14:val="none"/>
        </w:rPr>
        <w:t>, H. (2023). Investigating the impact of digital transformation on the labor market in the era of changing digital transformation dynamics in Saudi Arabia. </w:t>
      </w:r>
      <w:r w:rsidRPr="00CB7456">
        <w:rPr>
          <w:rFonts w:ascii="Sakkal Majalla" w:eastAsia="Calibri" w:hAnsi="Sakkal Majalla" w:cs="Sakkal Majalla"/>
          <w:i/>
          <w:iCs/>
          <w:kern w:val="0"/>
          <w:sz w:val="32"/>
          <w:szCs w:val="32"/>
          <w:lang w:bidi="ar-EG"/>
          <w14:ligatures w14:val="none"/>
        </w:rPr>
        <w:t>Economies</w:t>
      </w:r>
      <w:r w:rsidRPr="00CB7456">
        <w:rPr>
          <w:rFonts w:ascii="Sakkal Majalla" w:eastAsia="Calibri" w:hAnsi="Sakkal Majalla" w:cs="Sakkal Majalla"/>
          <w:kern w:val="0"/>
          <w:sz w:val="32"/>
          <w:szCs w:val="32"/>
          <w:lang w:bidi="ar-EG"/>
          <w14:ligatures w14:val="none"/>
        </w:rPr>
        <w:t>, </w:t>
      </w:r>
      <w:r w:rsidRPr="00CB7456">
        <w:rPr>
          <w:rFonts w:ascii="Sakkal Majalla" w:eastAsia="Calibri" w:hAnsi="Sakkal Majalla" w:cs="Sakkal Majalla"/>
          <w:i/>
          <w:iCs/>
          <w:kern w:val="0"/>
          <w:sz w:val="32"/>
          <w:szCs w:val="32"/>
          <w:lang w:bidi="ar-EG"/>
          <w14:ligatures w14:val="none"/>
        </w:rPr>
        <w:t>11</w:t>
      </w:r>
      <w:r w:rsidRPr="00CB7456">
        <w:rPr>
          <w:rFonts w:ascii="Sakkal Majalla" w:eastAsia="Calibri" w:hAnsi="Sakkal Majalla" w:cs="Sakkal Majalla"/>
          <w:kern w:val="0"/>
          <w:sz w:val="32"/>
          <w:szCs w:val="32"/>
          <w:lang w:bidi="ar-EG"/>
          <w14:ligatures w14:val="none"/>
        </w:rPr>
        <w:t>(1), 12.</w:t>
      </w:r>
      <w:r w:rsidRPr="00CB7456">
        <w:rPr>
          <w:rFonts w:ascii="Sakkal Majalla" w:eastAsia="Calibri" w:hAnsi="Sakkal Majalla" w:cs="Sakkal Majalla"/>
          <w:kern w:val="0"/>
          <w:sz w:val="32"/>
          <w:szCs w:val="32"/>
          <w:rtl/>
          <w14:ligatures w14:val="none"/>
        </w:rPr>
        <w:t>‏</w:t>
      </w:r>
    </w:p>
    <w:p w14:paraId="0170EE71"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Scope Research. (2025). </w:t>
      </w:r>
      <w:r w:rsidRPr="00CB7456">
        <w:rPr>
          <w:rFonts w:ascii="Sakkal Majalla" w:eastAsia="Calibri" w:hAnsi="Sakkal Majalla" w:cs="Sakkal Majalla"/>
          <w:i/>
          <w:iCs/>
          <w:kern w:val="0"/>
          <w:sz w:val="32"/>
          <w:szCs w:val="32"/>
          <w:lang w:bidi="ar-EG"/>
          <w14:ligatures w14:val="none"/>
        </w:rPr>
        <w:t>Saudi labor market and its needs: Outlook 2025 and Vision 2030</w:t>
      </w:r>
      <w:r w:rsidRPr="00CB7456">
        <w:rPr>
          <w:rFonts w:ascii="Sakkal Majalla" w:eastAsia="Calibri" w:hAnsi="Sakkal Majalla" w:cs="Sakkal Majalla"/>
          <w:kern w:val="0"/>
          <w:sz w:val="32"/>
          <w:szCs w:val="32"/>
          <w:lang w:bidi="ar-EG"/>
          <w14:ligatures w14:val="none"/>
        </w:rPr>
        <w:t>. Riyadh: Scope Research Report.</w:t>
      </w:r>
    </w:p>
    <w:p w14:paraId="647805CB"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t xml:space="preserve">Scott, W. R. (2003). </w:t>
      </w:r>
      <w:r w:rsidRPr="00CB7456">
        <w:rPr>
          <w:rFonts w:ascii="Sakkal Majalla" w:eastAsia="Calibri" w:hAnsi="Sakkal Majalla" w:cs="Sakkal Majalla"/>
          <w:i/>
          <w:iCs/>
          <w:kern w:val="0"/>
          <w:sz w:val="32"/>
          <w:szCs w:val="32"/>
          <w:lang w:bidi="ar-EG"/>
          <w14:ligatures w14:val="none"/>
        </w:rPr>
        <w:t>Organizations: Rational, natural, and open systems</w:t>
      </w:r>
      <w:r w:rsidRPr="00CB7456">
        <w:rPr>
          <w:rFonts w:ascii="Sakkal Majalla" w:eastAsia="Calibri" w:hAnsi="Sakkal Majalla" w:cs="Sakkal Majalla"/>
          <w:kern w:val="0"/>
          <w:sz w:val="32"/>
          <w:szCs w:val="32"/>
          <w:lang w:bidi="ar-EG"/>
          <w14:ligatures w14:val="none"/>
        </w:rPr>
        <w:t>. Prentice Hall.</w:t>
      </w:r>
    </w:p>
    <w:p w14:paraId="6B83250C" w14:textId="77777777" w:rsidR="00CB7456" w:rsidRPr="00CB7456" w:rsidRDefault="00CB7456" w:rsidP="00CB7456">
      <w:pPr>
        <w:pStyle w:val="ListParagraph"/>
        <w:numPr>
          <w:ilvl w:val="0"/>
          <w:numId w:val="24"/>
        </w:numPr>
        <w:spacing w:after="0" w:line="360" w:lineRule="auto"/>
        <w:ind w:right="-270"/>
        <w:jc w:val="both"/>
        <w:rPr>
          <w:rFonts w:ascii="Sakkal Majalla" w:eastAsia="Calibri" w:hAnsi="Sakkal Majalla" w:cs="Sakkal Majalla"/>
          <w:kern w:val="0"/>
          <w:sz w:val="32"/>
          <w:szCs w:val="32"/>
          <w:lang w:bidi="ar-EG"/>
          <w14:ligatures w14:val="none"/>
        </w:rPr>
      </w:pPr>
      <w:r w:rsidRPr="00CB7456">
        <w:rPr>
          <w:rFonts w:ascii="Sakkal Majalla" w:eastAsia="Calibri" w:hAnsi="Sakkal Majalla" w:cs="Sakkal Majalla"/>
          <w:kern w:val="0"/>
          <w:sz w:val="32"/>
          <w:szCs w:val="32"/>
          <w:lang w:bidi="ar-EG"/>
          <w14:ligatures w14:val="none"/>
        </w:rPr>
        <w:lastRenderedPageBreak/>
        <w:t xml:space="preserve">Srivastav, P., &amp; Shukla, S. (2025). </w:t>
      </w:r>
      <w:r w:rsidRPr="00CB7456">
        <w:rPr>
          <w:rFonts w:ascii="Sakkal Majalla" w:eastAsia="Calibri" w:hAnsi="Sakkal Majalla" w:cs="Sakkal Majalla"/>
          <w:i/>
          <w:iCs/>
          <w:kern w:val="0"/>
          <w:sz w:val="32"/>
          <w:szCs w:val="32"/>
          <w:lang w:bidi="ar-EG"/>
          <w14:ligatures w14:val="none"/>
        </w:rPr>
        <w:t>Global human resource management trends in the digital transformation era: Theoretical perspectives and corporate applications.</w:t>
      </w:r>
      <w:r w:rsidRPr="00CB7456">
        <w:rPr>
          <w:rFonts w:ascii="Sakkal Majalla" w:eastAsia="Calibri" w:hAnsi="Sakkal Majalla" w:cs="Sakkal Majalla"/>
          <w:kern w:val="0"/>
          <w:sz w:val="32"/>
          <w:szCs w:val="32"/>
          <w:lang w:bidi="ar-EG"/>
          <w14:ligatures w14:val="none"/>
        </w:rPr>
        <w:t xml:space="preserve"> IPER Research.</w:t>
      </w:r>
    </w:p>
    <w:sectPr w:rsidR="00CB7456" w:rsidRPr="00CB7456" w:rsidSect="00FC2585">
      <w:pgSz w:w="11906" w:h="16838" w:code="9"/>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DADE8" w14:textId="77777777" w:rsidR="0072747D" w:rsidRDefault="0072747D" w:rsidP="00FC2585">
      <w:pPr>
        <w:spacing w:after="0" w:line="240" w:lineRule="auto"/>
      </w:pPr>
      <w:r>
        <w:separator/>
      </w:r>
    </w:p>
  </w:endnote>
  <w:endnote w:type="continuationSeparator" w:id="0">
    <w:p w14:paraId="3B3A7D00" w14:textId="77777777" w:rsidR="0072747D" w:rsidRDefault="0072747D" w:rsidP="00FC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0E7CB" w14:textId="77777777" w:rsidR="0072747D" w:rsidRDefault="0072747D" w:rsidP="00FC2585">
      <w:pPr>
        <w:spacing w:after="0" w:line="240" w:lineRule="auto"/>
      </w:pPr>
      <w:r>
        <w:separator/>
      </w:r>
    </w:p>
  </w:footnote>
  <w:footnote w:type="continuationSeparator" w:id="0">
    <w:p w14:paraId="7691AFA2" w14:textId="77777777" w:rsidR="0072747D" w:rsidRDefault="0072747D" w:rsidP="00FC2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35855"/>
    <w:multiLevelType w:val="multilevel"/>
    <w:tmpl w:val="07DC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43702"/>
    <w:multiLevelType w:val="hybridMultilevel"/>
    <w:tmpl w:val="EF5C2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D25565"/>
    <w:multiLevelType w:val="multilevel"/>
    <w:tmpl w:val="82FE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B2469"/>
    <w:multiLevelType w:val="hybridMultilevel"/>
    <w:tmpl w:val="64824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62381C"/>
    <w:multiLevelType w:val="hybridMultilevel"/>
    <w:tmpl w:val="A59E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20D19"/>
    <w:multiLevelType w:val="multilevel"/>
    <w:tmpl w:val="63EA9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6159CC"/>
    <w:multiLevelType w:val="multilevel"/>
    <w:tmpl w:val="62FC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190111"/>
    <w:multiLevelType w:val="multilevel"/>
    <w:tmpl w:val="2FC6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375605"/>
    <w:multiLevelType w:val="hybridMultilevel"/>
    <w:tmpl w:val="BA4C7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0A3FF4"/>
    <w:multiLevelType w:val="hybridMultilevel"/>
    <w:tmpl w:val="6522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A60F9D"/>
    <w:multiLevelType w:val="multilevel"/>
    <w:tmpl w:val="611A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C3B67"/>
    <w:multiLevelType w:val="multilevel"/>
    <w:tmpl w:val="484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F68F2"/>
    <w:multiLevelType w:val="multilevel"/>
    <w:tmpl w:val="A06CE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264330"/>
    <w:multiLevelType w:val="multilevel"/>
    <w:tmpl w:val="B6C420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9A5165"/>
    <w:multiLevelType w:val="hybridMultilevel"/>
    <w:tmpl w:val="A2DE9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0458282">
    <w:abstractNumId w:val="1"/>
  </w:num>
  <w:num w:numId="2" w16cid:durableId="2030713900">
    <w:abstractNumId w:val="0"/>
  </w:num>
  <w:num w:numId="3" w16cid:durableId="1043750635">
    <w:abstractNumId w:val="14"/>
  </w:num>
  <w:num w:numId="4" w16cid:durableId="209265804">
    <w:abstractNumId w:val="6"/>
  </w:num>
  <w:num w:numId="5" w16cid:durableId="1157186293">
    <w:abstractNumId w:val="10"/>
  </w:num>
  <w:num w:numId="6" w16cid:durableId="1160732490">
    <w:abstractNumId w:val="16"/>
  </w:num>
  <w:num w:numId="7" w16cid:durableId="1453674172">
    <w:abstractNumId w:val="9"/>
  </w:num>
  <w:num w:numId="8" w16cid:durableId="144593248">
    <w:abstractNumId w:val="22"/>
  </w:num>
  <w:num w:numId="9" w16cid:durableId="980354117">
    <w:abstractNumId w:val="2"/>
  </w:num>
  <w:num w:numId="10" w16cid:durableId="1251357441">
    <w:abstractNumId w:val="5"/>
  </w:num>
  <w:num w:numId="11" w16cid:durableId="1437406146">
    <w:abstractNumId w:val="3"/>
  </w:num>
  <w:num w:numId="12" w16cid:durableId="1260531319">
    <w:abstractNumId w:val="18"/>
  </w:num>
  <w:num w:numId="13" w16cid:durableId="1110049349">
    <w:abstractNumId w:val="12"/>
  </w:num>
  <w:num w:numId="14" w16cid:durableId="704868263">
    <w:abstractNumId w:val="13"/>
  </w:num>
  <w:num w:numId="15" w16cid:durableId="1175800191">
    <w:abstractNumId w:val="7"/>
  </w:num>
  <w:num w:numId="16" w16cid:durableId="695615091">
    <w:abstractNumId w:val="19"/>
  </w:num>
  <w:num w:numId="17" w16cid:durableId="655954762">
    <w:abstractNumId w:val="20"/>
  </w:num>
  <w:num w:numId="18" w16cid:durableId="995498230">
    <w:abstractNumId w:val="15"/>
  </w:num>
  <w:num w:numId="19" w16cid:durableId="1985347927">
    <w:abstractNumId w:val="8"/>
  </w:num>
  <w:num w:numId="20" w16cid:durableId="961301800">
    <w:abstractNumId w:val="17"/>
  </w:num>
  <w:num w:numId="21" w16cid:durableId="2085756289">
    <w:abstractNumId w:val="21"/>
  </w:num>
  <w:num w:numId="22" w16cid:durableId="445537981">
    <w:abstractNumId w:val="11"/>
  </w:num>
  <w:num w:numId="23" w16cid:durableId="1156995647">
    <w:abstractNumId w:val="23"/>
  </w:num>
  <w:num w:numId="24" w16cid:durableId="1113866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85"/>
    <w:rsid w:val="000A75E8"/>
    <w:rsid w:val="00210D4D"/>
    <w:rsid w:val="00251EE8"/>
    <w:rsid w:val="002E04D7"/>
    <w:rsid w:val="00332015"/>
    <w:rsid w:val="00354B37"/>
    <w:rsid w:val="003D782D"/>
    <w:rsid w:val="00434642"/>
    <w:rsid w:val="004E6AD4"/>
    <w:rsid w:val="00583200"/>
    <w:rsid w:val="005F7D5D"/>
    <w:rsid w:val="00601E0B"/>
    <w:rsid w:val="006025D2"/>
    <w:rsid w:val="0062635C"/>
    <w:rsid w:val="0072747D"/>
    <w:rsid w:val="007A50AC"/>
    <w:rsid w:val="008C2DA8"/>
    <w:rsid w:val="008C4838"/>
    <w:rsid w:val="008F3D49"/>
    <w:rsid w:val="009868BC"/>
    <w:rsid w:val="009B6CFC"/>
    <w:rsid w:val="00A9431A"/>
    <w:rsid w:val="00AC7AB8"/>
    <w:rsid w:val="00B7660B"/>
    <w:rsid w:val="00B95CAB"/>
    <w:rsid w:val="00BC618B"/>
    <w:rsid w:val="00BD15FE"/>
    <w:rsid w:val="00C36819"/>
    <w:rsid w:val="00C729C5"/>
    <w:rsid w:val="00CB7456"/>
    <w:rsid w:val="00CC7BB2"/>
    <w:rsid w:val="00CD62C0"/>
    <w:rsid w:val="00D20230"/>
    <w:rsid w:val="00E47078"/>
    <w:rsid w:val="00E61A8F"/>
    <w:rsid w:val="00E63BC4"/>
    <w:rsid w:val="00EA4CD4"/>
    <w:rsid w:val="00FC2585"/>
    <w:rsid w:val="00FD2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C0834"/>
  <w15:chartTrackingRefBased/>
  <w15:docId w15:val="{8690D8F7-6269-4544-BA36-D33FD075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2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2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585"/>
    <w:rPr>
      <w:rFonts w:eastAsiaTheme="majorEastAsia" w:cstheme="majorBidi"/>
      <w:color w:val="272727" w:themeColor="text1" w:themeTint="D8"/>
    </w:rPr>
  </w:style>
  <w:style w:type="paragraph" w:styleId="Title">
    <w:name w:val="Title"/>
    <w:basedOn w:val="Normal"/>
    <w:next w:val="Normal"/>
    <w:link w:val="TitleChar"/>
    <w:uiPriority w:val="10"/>
    <w:qFormat/>
    <w:rsid w:val="00FC2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585"/>
    <w:pPr>
      <w:spacing w:before="160"/>
      <w:jc w:val="center"/>
    </w:pPr>
    <w:rPr>
      <w:i/>
      <w:iCs/>
      <w:color w:val="404040" w:themeColor="text1" w:themeTint="BF"/>
    </w:rPr>
  </w:style>
  <w:style w:type="character" w:customStyle="1" w:styleId="QuoteChar">
    <w:name w:val="Quote Char"/>
    <w:basedOn w:val="DefaultParagraphFont"/>
    <w:link w:val="Quote"/>
    <w:uiPriority w:val="29"/>
    <w:rsid w:val="00FC2585"/>
    <w:rPr>
      <w:i/>
      <w:iCs/>
      <w:color w:val="404040" w:themeColor="text1" w:themeTint="BF"/>
    </w:rPr>
  </w:style>
  <w:style w:type="paragraph" w:styleId="ListParagraph">
    <w:name w:val="List Paragraph"/>
    <w:basedOn w:val="Normal"/>
    <w:uiPriority w:val="34"/>
    <w:qFormat/>
    <w:rsid w:val="00FC2585"/>
    <w:pPr>
      <w:ind w:left="720"/>
      <w:contextualSpacing/>
    </w:pPr>
  </w:style>
  <w:style w:type="character" w:styleId="IntenseEmphasis">
    <w:name w:val="Intense Emphasis"/>
    <w:basedOn w:val="DefaultParagraphFont"/>
    <w:uiPriority w:val="21"/>
    <w:qFormat/>
    <w:rsid w:val="00FC2585"/>
    <w:rPr>
      <w:i/>
      <w:iCs/>
      <w:color w:val="0F4761" w:themeColor="accent1" w:themeShade="BF"/>
    </w:rPr>
  </w:style>
  <w:style w:type="paragraph" w:styleId="IntenseQuote">
    <w:name w:val="Intense Quote"/>
    <w:basedOn w:val="Normal"/>
    <w:next w:val="Normal"/>
    <w:link w:val="IntenseQuoteChar"/>
    <w:uiPriority w:val="30"/>
    <w:qFormat/>
    <w:rsid w:val="00FC2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585"/>
    <w:rPr>
      <w:i/>
      <w:iCs/>
      <w:color w:val="0F4761" w:themeColor="accent1" w:themeShade="BF"/>
    </w:rPr>
  </w:style>
  <w:style w:type="character" w:styleId="IntenseReference">
    <w:name w:val="Intense Reference"/>
    <w:basedOn w:val="DefaultParagraphFont"/>
    <w:uiPriority w:val="32"/>
    <w:qFormat/>
    <w:rsid w:val="00FC2585"/>
    <w:rPr>
      <w:b/>
      <w:bCs/>
      <w:smallCaps/>
      <w:color w:val="0F4761" w:themeColor="accent1" w:themeShade="BF"/>
      <w:spacing w:val="5"/>
    </w:rPr>
  </w:style>
  <w:style w:type="table" w:styleId="TableGrid">
    <w:name w:val="Table Grid"/>
    <w:basedOn w:val="TableNormal"/>
    <w:uiPriority w:val="39"/>
    <w:qFormat/>
    <w:rsid w:val="00FC2585"/>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2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585"/>
  </w:style>
  <w:style w:type="paragraph" w:styleId="Footer">
    <w:name w:val="footer"/>
    <w:basedOn w:val="Normal"/>
    <w:link w:val="FooterChar"/>
    <w:uiPriority w:val="99"/>
    <w:unhideWhenUsed/>
    <w:rsid w:val="00FC2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585"/>
  </w:style>
  <w:style w:type="paragraph" w:styleId="TOCHeading">
    <w:name w:val="TOC Heading"/>
    <w:basedOn w:val="Heading1"/>
    <w:next w:val="Normal"/>
    <w:uiPriority w:val="39"/>
    <w:unhideWhenUsed/>
    <w:qFormat/>
    <w:rsid w:val="006025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25D2"/>
    <w:pPr>
      <w:spacing w:after="100"/>
    </w:pPr>
  </w:style>
  <w:style w:type="paragraph" w:styleId="TOC2">
    <w:name w:val="toc 2"/>
    <w:basedOn w:val="Normal"/>
    <w:next w:val="Normal"/>
    <w:autoRedefine/>
    <w:uiPriority w:val="39"/>
    <w:unhideWhenUsed/>
    <w:rsid w:val="006025D2"/>
    <w:pPr>
      <w:spacing w:after="100"/>
      <w:ind w:left="240"/>
    </w:pPr>
  </w:style>
  <w:style w:type="character" w:styleId="Hyperlink">
    <w:name w:val="Hyperlink"/>
    <w:basedOn w:val="DefaultParagraphFont"/>
    <w:uiPriority w:val="99"/>
    <w:unhideWhenUsed/>
    <w:rsid w:val="006025D2"/>
    <w:rPr>
      <w:color w:val="467886" w:themeColor="hyperlink"/>
      <w:u w:val="single"/>
    </w:rPr>
  </w:style>
  <w:style w:type="character" w:styleId="UnresolvedMention">
    <w:name w:val="Unresolved Mention"/>
    <w:basedOn w:val="DefaultParagraphFont"/>
    <w:uiPriority w:val="99"/>
    <w:semiHidden/>
    <w:unhideWhenUsed/>
    <w:rsid w:val="00BD15FE"/>
    <w:rPr>
      <w:color w:val="605E5C"/>
      <w:shd w:val="clear" w:color="auto" w:fill="E1DFDD"/>
    </w:rPr>
  </w:style>
  <w:style w:type="table" w:styleId="TableGridLight">
    <w:name w:val="Grid Table Light"/>
    <w:basedOn w:val="TableNormal"/>
    <w:uiPriority w:val="40"/>
    <w:rsid w:val="004346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CD62C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D62C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D62C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39"/>
    <w:rsid w:val="008C2DA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C7AB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l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516A4-5178-47EC-B616-0FE4A9A3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29</Pages>
  <Words>5087</Words>
  <Characters>28996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dc:creator>
  <cp:keywords/>
  <dc:description/>
  <cp:lastModifiedBy>Amina Mohamed Sayed Mohamed</cp:lastModifiedBy>
  <cp:revision>31</cp:revision>
  <cp:lastPrinted>2026-03-07T03:15:00Z</cp:lastPrinted>
  <dcterms:created xsi:type="dcterms:W3CDTF">2025-10-13T12:55:00Z</dcterms:created>
  <dcterms:modified xsi:type="dcterms:W3CDTF">2026-04-11T15:44:00Z</dcterms:modified>
</cp:coreProperties>
</file>