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4B3D3C2E">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proofErr w:type="gramStart"/>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14</w:t>
      </w:r>
      <w:proofErr w:type="gramEnd"/>
      <w:r w:rsidR="00883E09" w:rsidRPr="007E6130">
        <w:rPr>
          <w:rFonts w:ascii="Calibri" w:hAnsi="Calibri" w:cs="Calibri" w:hint="cs"/>
          <w:b/>
          <w:bCs/>
          <w:color w:val="000000" w:themeColor="text1"/>
          <w:sz w:val="28"/>
          <w:szCs w:val="28"/>
          <w:rtl/>
        </w:rPr>
        <w:t xml:space="preserve">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xml:space="preserve">) التي طرحها جنسن </w:t>
      </w:r>
      <w:proofErr w:type="spellStart"/>
      <w:r w:rsidRPr="00003848">
        <w:rPr>
          <w:rFonts w:ascii="Sakkal Majalla" w:hAnsi="Sakkal Majalla" w:cs="Sakkal Majalla"/>
          <w:color w:val="000000" w:themeColor="text1"/>
          <w:sz w:val="28"/>
          <w:szCs w:val="28"/>
          <w:rtl/>
        </w:rPr>
        <w:t>ومكلينج</w:t>
      </w:r>
      <w:proofErr w:type="spellEnd"/>
      <w:r w:rsidRPr="00003848">
        <w:rPr>
          <w:rFonts w:ascii="Sakkal Majalla" w:hAnsi="Sakkal Majalla" w:cs="Sakkal Majalla"/>
          <w:color w:val="000000" w:themeColor="text1"/>
          <w:sz w:val="28"/>
          <w:szCs w:val="28"/>
          <w:rtl/>
        </w:rPr>
        <w:t xml:space="preserve">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proofErr w:type="spellStart"/>
      <w:r w:rsidRPr="00003848">
        <w:rPr>
          <w:rFonts w:ascii="Sakkal Majalla" w:hAnsi="Sakkal Majalla" w:cs="Sakkal Majalla"/>
          <w:color w:val="000000" w:themeColor="text1"/>
          <w:sz w:val="28"/>
          <w:szCs w:val="28"/>
        </w:rPr>
        <w:t>Guluma</w:t>
      </w:r>
      <w:proofErr w:type="spellEnd"/>
      <w:r w:rsidRPr="00003848">
        <w:rPr>
          <w:rFonts w:ascii="Sakkal Majalla" w:hAnsi="Sakkal Majalla" w:cs="Sakkal Majalla"/>
          <w:color w:val="000000" w:themeColor="text1"/>
          <w:sz w:val="28"/>
          <w:szCs w:val="28"/>
        </w:rPr>
        <w:t>,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w:t>
      </w:r>
      <w:proofErr w:type="spellStart"/>
      <w:r w:rsidRPr="00003848">
        <w:rPr>
          <w:rFonts w:ascii="Sakkal Majalla" w:hAnsi="Sakkal Majalla" w:cs="Sakkal Majalla"/>
          <w:color w:val="000000" w:themeColor="text1"/>
          <w:sz w:val="28"/>
          <w:szCs w:val="28"/>
          <w:rtl/>
        </w:rPr>
        <w:t>الاسترشادي</w:t>
      </w:r>
      <w:proofErr w:type="spellEnd"/>
      <w:r w:rsidRPr="00003848">
        <w:rPr>
          <w:rFonts w:ascii="Sakkal Majalla" w:hAnsi="Sakkal Majalla" w:cs="Sakkal Majalla"/>
          <w:color w:val="000000" w:themeColor="text1"/>
          <w:sz w:val="28"/>
          <w:szCs w:val="28"/>
          <w:rtl/>
        </w:rPr>
        <w:t xml:space="preserve">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proofErr w:type="spellStart"/>
      <w:r w:rsidRPr="00003848">
        <w:rPr>
          <w:rFonts w:ascii="Sakkal Majalla" w:hAnsi="Sakkal Majalla" w:cs="Sakkal Majalla"/>
          <w:color w:val="000000" w:themeColor="text1"/>
          <w:sz w:val="28"/>
          <w:szCs w:val="28"/>
        </w:rPr>
        <w:t>Buallay</w:t>
      </w:r>
      <w:proofErr w:type="spellEnd"/>
      <w:r w:rsidRPr="00003848">
        <w:rPr>
          <w:rFonts w:ascii="Sakkal Majalla" w:hAnsi="Sakkal Majalla" w:cs="Sakkal Majalla"/>
          <w:color w:val="000000" w:themeColor="text1"/>
          <w:sz w:val="28"/>
          <w:szCs w:val="28"/>
        </w:rPr>
        <w:t>, Hamdan</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Zureigat</w:t>
      </w:r>
      <w:proofErr w:type="spellEnd"/>
      <w:r w:rsidRPr="00003848">
        <w:rPr>
          <w:rFonts w:ascii="Sakkal Majalla" w:hAnsi="Sakkal Majalla" w:cs="Sakkal Majalla"/>
          <w:color w:val="000000" w:themeColor="text1"/>
          <w:sz w:val="28"/>
          <w:szCs w:val="28"/>
        </w:rPr>
        <w: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proofErr w:type="spellStart"/>
      <w:r w:rsidRPr="00003848">
        <w:rPr>
          <w:rFonts w:ascii="Sakkal Majalla" w:hAnsi="Sakkal Majalla" w:cs="Sakkal Majalla"/>
          <w:color w:val="000000" w:themeColor="text1"/>
          <w:sz w:val="28"/>
          <w:szCs w:val="28"/>
        </w:rPr>
        <w:t>Alhamoudi</w:t>
      </w:r>
      <w:proofErr w:type="spellEnd"/>
      <w:r w:rsidRPr="00003848">
        <w:rPr>
          <w:rFonts w:ascii="Sakkal Majalla" w:hAnsi="Sakkal Majalla" w:cs="Sakkal Majalla"/>
          <w:color w:val="000000" w:themeColor="text1"/>
          <w:sz w:val="28"/>
          <w:szCs w:val="28"/>
        </w:rPr>
        <w:t>,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Younies</w:t>
      </w:r>
      <w:proofErr w:type="spellEnd"/>
      <w:r w:rsidRPr="00003848">
        <w:rPr>
          <w:rFonts w:ascii="Sakkal Majalla" w:hAnsi="Sakkal Majalla" w:cs="Sakkal Majalla"/>
          <w:color w:val="000000" w:themeColor="text1"/>
          <w:sz w:val="28"/>
          <w:szCs w:val="28"/>
        </w:rPr>
        <w:t>,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proofErr w:type="spellStart"/>
      <w:r w:rsidRPr="00003848">
        <w:rPr>
          <w:rFonts w:ascii="Sakkal Majalla" w:hAnsi="Sakkal Majalla" w:cs="Sakkal Majalla"/>
          <w:color w:val="000000" w:themeColor="text1"/>
          <w:sz w:val="28"/>
          <w:szCs w:val="28"/>
        </w:rPr>
        <w:t>Jerab</w:t>
      </w:r>
      <w:proofErr w:type="spellEnd"/>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rsidP="00E2701F">
      <w:pPr>
        <w:numPr>
          <w:ilvl w:val="0"/>
          <w:numId w:val="20"/>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14D97B76"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المستوى الفعلي لتطبيق الحوكمة في المنظمات السعودية (عينة الدراسة)؟</w:t>
      </w:r>
    </w:p>
    <w:p w14:paraId="49876BB9"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7777777"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وإيجابي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77777777"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وإيجابي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proofErr w:type="gramStart"/>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w:t>
      </w:r>
      <w:proofErr w:type="gramEnd"/>
      <w:r w:rsidRPr="002C2B31">
        <w:rPr>
          <w:rFonts w:ascii="Sakkal Majalla" w:hAnsi="Sakkal Majalla" w:cs="Sakkal Majalla"/>
          <w:b/>
          <w:bCs/>
          <w:color w:val="000000" w:themeColor="text1"/>
          <w:sz w:val="28"/>
          <w:szCs w:val="28"/>
        </w:rPr>
        <w:t xml:space="preserve">-Otaibi,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rsidP="00EF6C62">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rsidP="00F97CDC">
      <w:pPr>
        <w:numPr>
          <w:ilvl w:val="0"/>
          <w:numId w:val="26"/>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rsidP="002D76E9">
      <w:pPr>
        <w:pStyle w:val="NormalWeb"/>
        <w:numPr>
          <w:ilvl w:val="0"/>
          <w:numId w:val="1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rsidP="00F97CDC">
      <w:pPr>
        <w:numPr>
          <w:ilvl w:val="1"/>
          <w:numId w:val="1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rsidP="00F97CDC">
      <w:pPr>
        <w:numPr>
          <w:ilvl w:val="1"/>
          <w:numId w:val="1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rsidP="00F97CDC">
      <w:pPr>
        <w:numPr>
          <w:ilvl w:val="1"/>
          <w:numId w:val="1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5EB5AEA1" w14:textId="0B1E1059"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 xml:space="preserve">إجراءات الدراسة: </w:t>
      </w:r>
    </w:p>
    <w:p w14:paraId="704F8076" w14:textId="77777777"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منهج الدراسة وأدواته</w:t>
      </w:r>
    </w:p>
    <w:p w14:paraId="350019CA" w14:textId="29AA65AA" w:rsidR="00F97CDC" w:rsidRPr="00F97CDC" w:rsidRDefault="00F97CDC" w:rsidP="00F97CDC">
      <w:pPr>
        <w:numPr>
          <w:ilvl w:val="0"/>
          <w:numId w:val="116"/>
        </w:numPr>
        <w:tabs>
          <w:tab w:val="clear" w:pos="720"/>
          <w:tab w:val="num" w:pos="423"/>
        </w:tabs>
        <w:bidi/>
        <w:spacing w:after="200" w:line="276" w:lineRule="auto"/>
        <w:ind w:left="565"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منهج الدراسة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استخدمت الدراسة المنهج الوصفي التحليلي (كمي بشكل أساسي) بهدف استكشاف العلاقة بين الحوكمة المؤسسية والتميز التشغيلي والاستراتيجي في المنظمات السعودية، واختبار الفرضيات المتعلقة بتأثير المتغير المستقل على المتغيرات التابعة</w:t>
      </w:r>
      <w:r w:rsidRPr="00F97CDC">
        <w:rPr>
          <w:rFonts w:ascii="Sakkal Majalla" w:hAnsi="Sakkal Majalla" w:cs="Sakkal Majalla"/>
          <w:color w:val="000000" w:themeColor="text1"/>
          <w:sz w:val="28"/>
          <w:szCs w:val="28"/>
        </w:rPr>
        <w:t>.</w:t>
      </w:r>
    </w:p>
    <w:p w14:paraId="5FEA3C03" w14:textId="77777777" w:rsidR="00F97CDC" w:rsidRPr="00F97CDC" w:rsidRDefault="00F97CDC" w:rsidP="00F97CDC">
      <w:pPr>
        <w:numPr>
          <w:ilvl w:val="0"/>
          <w:numId w:val="116"/>
        </w:numPr>
        <w:tabs>
          <w:tab w:val="clear" w:pos="720"/>
          <w:tab w:val="num" w:pos="423"/>
        </w:tabs>
        <w:bidi/>
        <w:spacing w:after="200" w:line="276" w:lineRule="auto"/>
        <w:ind w:left="565"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أداة جمع البيانات</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تمثل الأداة الرئيسية في استبيان مصمم لقياس المتغيرات الرئيسية، ويتكون من جزأين: البيانات الديموغرافية، ومحاور القياس التي تنقسم إلى</w:t>
      </w:r>
      <w:r w:rsidRPr="00F97CDC">
        <w:rPr>
          <w:rFonts w:ascii="Sakkal Majalla" w:hAnsi="Sakkal Majalla" w:cs="Sakkal Majalla"/>
          <w:color w:val="000000" w:themeColor="text1"/>
          <w:sz w:val="28"/>
          <w:szCs w:val="28"/>
        </w:rPr>
        <w:t>:</w:t>
      </w:r>
    </w:p>
    <w:p w14:paraId="380D32EE" w14:textId="090AF16B" w:rsidR="00F97CDC" w:rsidRPr="00F97CDC" w:rsidRDefault="00F97CDC" w:rsidP="00F97CDC">
      <w:pPr>
        <w:numPr>
          <w:ilvl w:val="1"/>
          <w:numId w:val="116"/>
        </w:numPr>
        <w:tabs>
          <w:tab w:val="clear" w:pos="1440"/>
        </w:tabs>
        <w:bidi/>
        <w:spacing w:after="200" w:line="276" w:lineRule="auto"/>
        <w:ind w:left="848"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محور المتغير المستقل</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الحوكمة المؤسسية (يُقاس من خلال أبعاد فرعية)</w:t>
      </w:r>
      <w:r w:rsidRPr="00F97CDC">
        <w:rPr>
          <w:rFonts w:ascii="Sakkal Majalla" w:hAnsi="Sakkal Majalla" w:cs="Sakkal Majalla"/>
          <w:color w:val="000000" w:themeColor="text1"/>
          <w:sz w:val="28"/>
          <w:szCs w:val="28"/>
        </w:rPr>
        <w:t>.</w:t>
      </w:r>
    </w:p>
    <w:p w14:paraId="6D67A741" w14:textId="77777777" w:rsidR="00F97CDC" w:rsidRPr="00F97CDC" w:rsidRDefault="00F97CDC" w:rsidP="00F97CDC">
      <w:pPr>
        <w:numPr>
          <w:ilvl w:val="1"/>
          <w:numId w:val="116"/>
        </w:numPr>
        <w:tabs>
          <w:tab w:val="clear" w:pos="1440"/>
        </w:tabs>
        <w:bidi/>
        <w:spacing w:after="200" w:line="276" w:lineRule="auto"/>
        <w:ind w:left="848"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محور المتغيرات التابعة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التميز التشغيلي والتميز الاستراتيجي</w:t>
      </w:r>
      <w:r w:rsidRPr="00F97CDC">
        <w:rPr>
          <w:rFonts w:ascii="Sakkal Majalla" w:hAnsi="Sakkal Majalla" w:cs="Sakkal Majalla"/>
          <w:color w:val="000000" w:themeColor="text1"/>
          <w:sz w:val="28"/>
          <w:szCs w:val="28"/>
        </w:rPr>
        <w:t>.</w:t>
      </w:r>
    </w:p>
    <w:p w14:paraId="3C885DCD" w14:textId="77777777" w:rsidR="00F97CDC" w:rsidRPr="00F97CDC" w:rsidRDefault="00F97CDC" w:rsidP="00F97CDC">
      <w:pPr>
        <w:numPr>
          <w:ilvl w:val="0"/>
          <w:numId w:val="116"/>
        </w:numPr>
        <w:tabs>
          <w:tab w:val="clear" w:pos="720"/>
          <w:tab w:val="num" w:pos="423"/>
        </w:tabs>
        <w:bidi/>
        <w:spacing w:after="200" w:line="276" w:lineRule="auto"/>
        <w:ind w:left="706"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lastRenderedPageBreak/>
        <w:t>إجراءات التحقق من الأداة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 xml:space="preserve">سيتم التحقق من الصدق الظاهري </w:t>
      </w:r>
      <w:r w:rsidRPr="00F97CDC">
        <w:rPr>
          <w:rFonts w:ascii="Sakkal Majalla" w:hAnsi="Sakkal Majalla" w:cs="Sakkal Majalla"/>
          <w:color w:val="000000" w:themeColor="text1"/>
          <w:sz w:val="28"/>
          <w:szCs w:val="28"/>
        </w:rPr>
        <w:t xml:space="preserve">(Validity) </w:t>
      </w:r>
      <w:r w:rsidRPr="00F97CDC">
        <w:rPr>
          <w:rFonts w:ascii="Sakkal Majalla" w:hAnsi="Sakkal Majalla" w:cs="Sakkal Majalla"/>
          <w:color w:val="000000" w:themeColor="text1"/>
          <w:sz w:val="28"/>
          <w:szCs w:val="28"/>
          <w:rtl/>
        </w:rPr>
        <w:t xml:space="preserve">من خلال عرض الاستبيان على مجموعة من المحكمين المختصين لضمان قياس الأداة لما وضعت لقياسه، والتحقق من الثبات </w:t>
      </w:r>
      <w:r w:rsidRPr="00F97CDC">
        <w:rPr>
          <w:rFonts w:ascii="Sakkal Majalla" w:hAnsi="Sakkal Majalla" w:cs="Sakkal Majalla"/>
          <w:color w:val="000000" w:themeColor="text1"/>
          <w:sz w:val="28"/>
          <w:szCs w:val="28"/>
        </w:rPr>
        <w:t xml:space="preserve">(Reliability) </w:t>
      </w:r>
      <w:r w:rsidRPr="00F97CDC">
        <w:rPr>
          <w:rFonts w:ascii="Sakkal Majalla" w:hAnsi="Sakkal Majalla" w:cs="Sakkal Majalla"/>
          <w:color w:val="000000" w:themeColor="text1"/>
          <w:sz w:val="28"/>
          <w:szCs w:val="28"/>
          <w:rtl/>
        </w:rPr>
        <w:t xml:space="preserve">باستخدام معامل ألفا </w:t>
      </w:r>
      <w:proofErr w:type="spellStart"/>
      <w:r w:rsidRPr="00F97CDC">
        <w:rPr>
          <w:rFonts w:ascii="Sakkal Majalla" w:hAnsi="Sakkal Majalla" w:cs="Sakkal Majalla"/>
          <w:color w:val="000000" w:themeColor="text1"/>
          <w:sz w:val="28"/>
          <w:szCs w:val="28"/>
          <w:rtl/>
        </w:rPr>
        <w:t>كرونباخ</w:t>
      </w:r>
      <w:proofErr w:type="spellEnd"/>
      <w:r w:rsidRPr="00F97CDC">
        <w:rPr>
          <w:rFonts w:ascii="Sakkal Majalla" w:hAnsi="Sakkal Majalla" w:cs="Sakkal Majalla"/>
          <w:color w:val="000000" w:themeColor="text1"/>
          <w:sz w:val="28"/>
          <w:szCs w:val="28"/>
          <w:rtl/>
        </w:rPr>
        <w:t xml:space="preserve"> </w:t>
      </w:r>
      <w:r w:rsidRPr="00F97CDC">
        <w:rPr>
          <w:rFonts w:ascii="Sakkal Majalla" w:hAnsi="Sakkal Majalla" w:cs="Sakkal Majalla"/>
          <w:color w:val="000000" w:themeColor="text1"/>
          <w:sz w:val="28"/>
          <w:szCs w:val="28"/>
        </w:rPr>
        <w:t xml:space="preserve">($\alpha$) </w:t>
      </w:r>
      <w:r w:rsidRPr="00F97CDC">
        <w:rPr>
          <w:rFonts w:ascii="Sakkal Majalla" w:hAnsi="Sakkal Majalla" w:cs="Sakkal Majalla"/>
          <w:color w:val="000000" w:themeColor="text1"/>
          <w:sz w:val="28"/>
          <w:szCs w:val="28"/>
          <w:rtl/>
        </w:rPr>
        <w:t>لضمان اتساق النتائج</w:t>
      </w:r>
      <w:r w:rsidRPr="00F97CDC">
        <w:rPr>
          <w:rFonts w:ascii="Sakkal Majalla" w:hAnsi="Sakkal Majalla" w:cs="Sakkal Majalla"/>
          <w:color w:val="000000" w:themeColor="text1"/>
          <w:sz w:val="28"/>
          <w:szCs w:val="28"/>
        </w:rPr>
        <w:t>.</w:t>
      </w:r>
    </w:p>
    <w:p w14:paraId="56FF37A3" w14:textId="4A75B45E"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مجتمع وعينة الدراسة</w:t>
      </w:r>
    </w:p>
    <w:p w14:paraId="1806425B" w14:textId="77777777" w:rsidR="00EE13A9" w:rsidRPr="00EE13A9" w:rsidRDefault="00EE13A9" w:rsidP="00F97CDC">
      <w:pPr>
        <w:numPr>
          <w:ilvl w:val="0"/>
          <w:numId w:val="6"/>
        </w:numPr>
        <w:bidi/>
        <w:spacing w:after="200" w:line="276" w:lineRule="auto"/>
        <w:ind w:left="423" w:right="-567" w:hanging="284"/>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يشمل مجتمع الدراسة جميع المنظمات الحكومية والخاصة العاملة في المملكة العربية السعودية، بما في ذلك الوزارات والهيئات الحكومية، والشركات شبه الحكومية، والبنوك والمؤسسات المالية، إضافةً إلى الشركات الكبرى والمؤسسات الصغيرة والمتوسطة. ويتميز هذا المجتمع بتنوعه الكبير من حيث الحجم، والنشاط، والقطاع الاقتصادي، وهو ما يعكس البيئة التنظيمية الثرية والمتنوعة في المملكة</w:t>
      </w:r>
      <w:r w:rsidRPr="00EE13A9">
        <w:rPr>
          <w:rFonts w:ascii="Sakkal Majalla" w:hAnsi="Sakkal Majalla" w:cs="Sakkal Majalla"/>
          <w:color w:val="000000" w:themeColor="text1"/>
          <w:sz w:val="28"/>
          <w:szCs w:val="28"/>
        </w:rPr>
        <w:t>.</w:t>
      </w:r>
    </w:p>
    <w:p w14:paraId="432C643E" w14:textId="77777777" w:rsidR="00EE13A9" w:rsidRPr="00EE13A9" w:rsidRDefault="00EE13A9" w:rsidP="00F97CDC">
      <w:pPr>
        <w:numPr>
          <w:ilvl w:val="0"/>
          <w:numId w:val="6"/>
        </w:numPr>
        <w:bidi/>
        <w:spacing w:after="200" w:line="276" w:lineRule="auto"/>
        <w:ind w:left="423" w:right="-567" w:hanging="284"/>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نظرًا لاتساع حجم مجتمع الدراسة وتعدد قطاعاته، فقد تم اختيار عينة قصدية طبقية تتكون من</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Pr>
        <w:t xml:space="preserve">(30) </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tl/>
        </w:rPr>
        <w:t>منظمة، بحيث تُمثل مختلف القطاعات الاقتصادية الرئيسة (القطاع الحكومي، شبه الحكومي، والقطاع الخاص بما يشمله من مؤسسات مالية، صناعية، تجارية وخدمية). ويهدف هذا التوزيع إلى ضمان تمثيل واقعي للتنوع القائم في المجتمع السعودي، بما يمكّن من دراسة أثر الحوكمة المؤسسية على التميز التشغيلي والتميز الاستراتيجي في سياقات تنظيمية متعددة</w:t>
      </w:r>
      <w:r w:rsidRPr="00EE13A9">
        <w:rPr>
          <w:rFonts w:ascii="Sakkal Majalla" w:hAnsi="Sakkal Majalla" w:cs="Sakkal Majalla"/>
          <w:color w:val="000000" w:themeColor="text1"/>
          <w:sz w:val="28"/>
          <w:szCs w:val="28"/>
        </w:rPr>
        <w:t>.</w:t>
      </w:r>
    </w:p>
    <w:p w14:paraId="75473B9A" w14:textId="3B4E61D9" w:rsidR="00EE13A9" w:rsidRPr="00EE13A9" w:rsidRDefault="00EE13A9" w:rsidP="00951EB3">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تتضمن العينة المنظمات من قطاعات </w:t>
      </w:r>
      <w:r w:rsidRPr="00EE13A9">
        <w:rPr>
          <w:rFonts w:ascii="Sakkal Majalla" w:hAnsi="Sakkal Majalla" w:cs="Sakkal Majalla" w:hint="cs"/>
          <w:b/>
          <w:bCs/>
          <w:color w:val="000000" w:themeColor="text1"/>
          <w:sz w:val="28"/>
          <w:szCs w:val="28"/>
          <w:rtl/>
        </w:rPr>
        <w:t>متعددة</w:t>
      </w:r>
      <w:r w:rsidRPr="00EE13A9">
        <w:rPr>
          <w:rFonts w:ascii="Sakkal Majalla" w:hAnsi="Sakkal Majalla" w:cs="Sakkal Majalla"/>
          <w:b/>
          <w:bCs/>
          <w:color w:val="000000" w:themeColor="text1"/>
          <w:sz w:val="28"/>
          <w:szCs w:val="28"/>
          <w:rtl/>
        </w:rPr>
        <w:t xml:space="preserve"> مما يتيح دراسة تطبيقات الحوكمة المؤسسية عبر سياقات متنوعة.</w:t>
      </w:r>
    </w:p>
    <w:p w14:paraId="48C66F97" w14:textId="38E75340"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حدود الدراسة (</w:t>
      </w:r>
      <w:r w:rsidR="00F97CDC" w:rsidRPr="00F97CDC">
        <w:rPr>
          <w:rFonts w:ascii="Sakkal Majalla" w:hAnsi="Sakkal Majalla" w:cs="Sakkal Majalla" w:hint="cs"/>
          <w:b/>
          <w:bCs/>
          <w:color w:val="000000" w:themeColor="text1"/>
          <w:sz w:val="28"/>
          <w:szCs w:val="28"/>
          <w:rtl/>
        </w:rPr>
        <w:t>المكانية</w:t>
      </w:r>
      <w:r w:rsidR="00F97CDC" w:rsidRPr="00F97CDC">
        <w:rPr>
          <w:rFonts w:ascii="Sakkal Majalla" w:hAnsi="Sakkal Majalla" w:cs="Sakkal Majalla"/>
          <w:b/>
          <w:bCs/>
          <w:color w:val="000000" w:themeColor="text1"/>
          <w:sz w:val="28"/>
          <w:szCs w:val="28"/>
        </w:rPr>
        <w:t xml:space="preserve"> </w:t>
      </w:r>
      <w:r w:rsidR="00F97CDC" w:rsidRPr="00F97CDC">
        <w:rPr>
          <w:rFonts w:ascii="Sakkal Majalla" w:hAnsi="Sakkal Majalla" w:cs="Sakkal Majalla" w:hint="cs"/>
          <w:b/>
          <w:bCs/>
          <w:color w:val="000000" w:themeColor="text1"/>
          <w:sz w:val="28"/>
          <w:szCs w:val="28"/>
          <w:rtl/>
        </w:rPr>
        <w:t>والزمانية</w:t>
      </w:r>
      <w:r w:rsidRPr="00F97CDC">
        <w:rPr>
          <w:rFonts w:ascii="Sakkal Majalla" w:hAnsi="Sakkal Majalla" w:cs="Sakkal Majalla"/>
          <w:b/>
          <w:bCs/>
          <w:color w:val="000000" w:themeColor="text1"/>
          <w:sz w:val="28"/>
          <w:szCs w:val="28"/>
          <w:rtl/>
        </w:rPr>
        <w:t>)</w:t>
      </w:r>
    </w:p>
    <w:p w14:paraId="321A5DFD" w14:textId="0AD8EBF5" w:rsidR="00EE13A9" w:rsidRPr="004849CE" w:rsidRDefault="00EE13A9" w:rsidP="004849CE">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المكانية: </w:t>
      </w:r>
      <w:r w:rsidRPr="00EE13A9">
        <w:rPr>
          <w:rFonts w:ascii="Sakkal Majalla" w:hAnsi="Sakkal Majalla" w:cs="Sakkal Majalla"/>
          <w:color w:val="000000" w:themeColor="text1"/>
          <w:sz w:val="28"/>
          <w:szCs w:val="28"/>
          <w:rtl/>
        </w:rPr>
        <w:t>تقتصر الدراسة على المنظمات الواقعة ضمن حدود المملكة العربية السعودية، مع التركيز على المدن الكبرى مثل الرياض، جدة، والدمام، التي تمثل المراكز الاقتصادية الرئيسية في المملكة العربية السعودية</w:t>
      </w:r>
      <w:r w:rsidRPr="00EE13A9">
        <w:rPr>
          <w:rFonts w:ascii="Sakkal Majalla" w:hAnsi="Sakkal Majalla" w:cs="Sakkal Majalla"/>
          <w:color w:val="000000" w:themeColor="text1"/>
          <w:sz w:val="28"/>
          <w:szCs w:val="28"/>
        </w:rPr>
        <w:t>.</w:t>
      </w:r>
    </w:p>
    <w:p w14:paraId="38948A5A" w14:textId="77777777" w:rsid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الزمانية: </w:t>
      </w:r>
      <w:r w:rsidRPr="00EE13A9">
        <w:rPr>
          <w:rFonts w:ascii="Sakkal Majalla" w:hAnsi="Sakkal Majalla" w:cs="Sakkal Majalla"/>
          <w:color w:val="000000" w:themeColor="text1"/>
          <w:sz w:val="28"/>
          <w:szCs w:val="28"/>
          <w:rtl/>
        </w:rPr>
        <w:t>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EE13A9">
        <w:rPr>
          <w:rFonts w:ascii="Sakkal Majalla" w:hAnsi="Sakkal Majalla" w:cs="Sakkal Majalla"/>
          <w:color w:val="000000" w:themeColor="text1"/>
          <w:sz w:val="28"/>
          <w:szCs w:val="28"/>
        </w:rPr>
        <w:t>.</w:t>
      </w:r>
    </w:p>
    <w:p w14:paraId="52EB8AD8" w14:textId="77777777" w:rsidR="004849CE" w:rsidRPr="00EE13A9" w:rsidRDefault="004849CE" w:rsidP="004849CE">
      <w:pPr>
        <w:bidi/>
        <w:spacing w:after="200" w:line="276" w:lineRule="auto"/>
        <w:ind w:right="-567"/>
        <w:jc w:val="both"/>
        <w:rPr>
          <w:rFonts w:ascii="Sakkal Majalla" w:hAnsi="Sakkal Majalla" w:cs="Sakkal Majalla"/>
          <w:color w:val="000000" w:themeColor="text1"/>
          <w:sz w:val="28"/>
          <w:szCs w:val="28"/>
          <w:rtl/>
        </w:rPr>
      </w:pPr>
    </w:p>
    <w:p w14:paraId="68D3931F"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المعالجات الإحصائية </w:t>
      </w:r>
    </w:p>
    <w:p w14:paraId="17BFF4DD"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التحليل الوصفي</w:t>
      </w:r>
      <w:r w:rsidRPr="00EE13A9">
        <w:rPr>
          <w:rFonts w:ascii="Sakkal Majalla" w:hAnsi="Sakkal Majalla" w:cs="Sakkal Majalla"/>
          <w:color w:val="000000" w:themeColor="text1"/>
          <w:sz w:val="28"/>
          <w:szCs w:val="28"/>
        </w:rPr>
        <w:t xml:space="preserve"> (Descriptive Statistics)</w:t>
      </w:r>
      <w:r w:rsidRPr="00EE13A9">
        <w:rPr>
          <w:rFonts w:ascii="Sakkal Majalla" w:hAnsi="Sakkal Majalla" w:cs="Sakkal Majalla"/>
          <w:color w:val="000000" w:themeColor="text1"/>
          <w:sz w:val="28"/>
          <w:szCs w:val="28"/>
          <w:rtl/>
        </w:rPr>
        <w:t xml:space="preserve"> لتقديم وصف شامل للبيانات الأولية وفهم السمات الرئيسية للمجتمع المدروس</w:t>
      </w:r>
      <w:r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tl/>
        </w:rPr>
        <w:t xml:space="preserve"> وذلك باستخدام الجداول التكرارية، الانحراف المعياري، والرسوم البيانية لتقديم عرض مرئي للبيانات</w:t>
      </w:r>
      <w:r w:rsidRPr="00EE13A9">
        <w:rPr>
          <w:rFonts w:ascii="Sakkal Majalla" w:hAnsi="Sakkal Majalla" w:cs="Sakkal Majalla"/>
          <w:color w:val="000000" w:themeColor="text1"/>
          <w:sz w:val="28"/>
          <w:szCs w:val="28"/>
        </w:rPr>
        <w:t>.</w:t>
      </w:r>
    </w:p>
    <w:p w14:paraId="3A218BA4"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lastRenderedPageBreak/>
        <w:t>معامل الارتباط</w:t>
      </w:r>
      <w:r w:rsidRPr="00EE13A9">
        <w:rPr>
          <w:rFonts w:ascii="Sakkal Majalla" w:hAnsi="Sakkal Majalla" w:cs="Sakkal Majalla"/>
          <w:color w:val="000000" w:themeColor="text1"/>
          <w:sz w:val="28"/>
          <w:szCs w:val="28"/>
        </w:rPr>
        <w:t xml:space="preserve"> (Pearson Correlation)</w:t>
      </w:r>
      <w:r w:rsidRPr="00EE13A9">
        <w:rPr>
          <w:rFonts w:ascii="Sakkal Majalla" w:hAnsi="Sakkal Majalla" w:cs="Sakkal Majalla"/>
          <w:color w:val="000000" w:themeColor="text1"/>
          <w:sz w:val="28"/>
          <w:szCs w:val="28"/>
          <w:rtl/>
        </w:rPr>
        <w:t xml:space="preserve"> وذلك لقياس العلاقة الخطية بين متغيرين مستمرين باستخدام معامل بيرسون للارتباط لتحديد اتجاه العلاقة بين المتغيرات</w:t>
      </w:r>
      <w:r w:rsidRPr="00EE13A9">
        <w:rPr>
          <w:rFonts w:ascii="Sakkal Majalla" w:hAnsi="Sakkal Majalla" w:cs="Sakkal Majalla"/>
          <w:color w:val="000000" w:themeColor="text1"/>
          <w:sz w:val="28"/>
          <w:szCs w:val="28"/>
        </w:rPr>
        <w:t>.</w:t>
      </w:r>
    </w:p>
    <w:p w14:paraId="33F6E5C0" w14:textId="3E18809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 xml:space="preserve">تحليل </w:t>
      </w:r>
      <w:r w:rsidR="00B31D9A" w:rsidRPr="00EE13A9">
        <w:rPr>
          <w:rFonts w:ascii="Sakkal Majalla" w:hAnsi="Sakkal Majalla" w:cs="Sakkal Majalla" w:hint="cs"/>
          <w:color w:val="000000" w:themeColor="text1"/>
          <w:sz w:val="28"/>
          <w:szCs w:val="28"/>
          <w:rtl/>
        </w:rPr>
        <w:t xml:space="preserve">الانحدار </w:t>
      </w:r>
      <w:r w:rsidR="00B31D9A"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Pr>
        <w:t>Regression Analysis)</w:t>
      </w:r>
      <w:r w:rsidRPr="00EE13A9">
        <w:rPr>
          <w:rFonts w:ascii="Sakkal Majalla" w:hAnsi="Sakkal Majalla" w:cs="Sakkal Majalla"/>
          <w:color w:val="000000" w:themeColor="text1"/>
          <w:sz w:val="28"/>
          <w:szCs w:val="28"/>
          <w:rtl/>
        </w:rPr>
        <w:t xml:space="preserve"> لاختبار العلاقة السببية بين المتغيرات المستقلة والتابعة وذلك باستخدام</w:t>
      </w:r>
      <w:r w:rsidRPr="00EE13A9">
        <w:rPr>
          <w:rFonts w:ascii="Sakkal Majalla" w:hAnsi="Sakkal Majalla" w:cs="Sakkal Majalla"/>
          <w:color w:val="000000" w:themeColor="text1"/>
          <w:sz w:val="28"/>
          <w:szCs w:val="28"/>
        </w:rPr>
        <w:t xml:space="preserve"> </w:t>
      </w:r>
      <w:r w:rsidRPr="00EE13A9">
        <w:rPr>
          <w:rFonts w:ascii="Sakkal Majalla" w:hAnsi="Sakkal Majalla" w:cs="Sakkal Majalla"/>
          <w:color w:val="000000" w:themeColor="text1"/>
          <w:sz w:val="28"/>
          <w:szCs w:val="28"/>
          <w:rtl/>
        </w:rPr>
        <w:t>الانحدار الخطي المتعدد لاختبار تأثير ممارسات الحوكمة على الأداء المؤسسي، مع مراعاة العوامل المتداخلة مثل الحجم والقطاع</w:t>
      </w:r>
      <w:r w:rsidRPr="00EE13A9">
        <w:rPr>
          <w:rFonts w:ascii="Sakkal Majalla" w:hAnsi="Sakkal Majalla" w:cs="Sakkal Majalla"/>
          <w:color w:val="000000" w:themeColor="text1"/>
          <w:sz w:val="28"/>
          <w:szCs w:val="28"/>
        </w:rPr>
        <w:t>.</w:t>
      </w:r>
    </w:p>
    <w:p w14:paraId="21D8C20E"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تحليل العوامل</w:t>
      </w:r>
      <w:r w:rsidRPr="00EE13A9">
        <w:rPr>
          <w:rFonts w:ascii="Sakkal Majalla" w:hAnsi="Sakkal Majalla" w:cs="Sakkal Majalla"/>
          <w:color w:val="000000" w:themeColor="text1"/>
          <w:sz w:val="28"/>
          <w:szCs w:val="28"/>
        </w:rPr>
        <w:t xml:space="preserve"> (Factor Analysis)</w:t>
      </w:r>
      <w:r w:rsidRPr="00EE13A9">
        <w:rPr>
          <w:rFonts w:ascii="Sakkal Majalla" w:hAnsi="Sakkal Majalla" w:cs="Sakkal Majalla"/>
          <w:color w:val="000000" w:themeColor="text1"/>
          <w:sz w:val="28"/>
          <w:szCs w:val="28"/>
          <w:rtl/>
        </w:rPr>
        <w:t xml:space="preserve"> سيتم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EE13A9">
        <w:rPr>
          <w:rFonts w:ascii="Sakkal Majalla" w:hAnsi="Sakkal Majalla" w:cs="Sakkal Majalla"/>
          <w:color w:val="000000" w:themeColor="text1"/>
          <w:sz w:val="28"/>
          <w:szCs w:val="28"/>
        </w:rPr>
        <w:t>.</w:t>
      </w:r>
    </w:p>
    <w:p w14:paraId="13995B9F"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hint="cs"/>
          <w:color w:val="000000" w:themeColor="text1"/>
          <w:sz w:val="28"/>
          <w:szCs w:val="28"/>
          <w:rtl/>
        </w:rPr>
        <w:t xml:space="preserve">استبيان بعنوان </w:t>
      </w:r>
      <w:r w:rsidRPr="00EE13A9">
        <w:rPr>
          <w:rFonts w:ascii="Sakkal Majalla" w:hAnsi="Sakkal Majalla" w:cs="Sakkal Majalla"/>
          <w:color w:val="000000" w:themeColor="text1"/>
          <w:sz w:val="28"/>
          <w:szCs w:val="28"/>
          <w:rtl/>
        </w:rPr>
        <w:t>أثر الحوكمة المؤسسية على كل من التميز التشغيلي والتميز الاستراتيجي– دراسة ميدانية في المنظمات السعودية</w:t>
      </w:r>
    </w:p>
    <w:p w14:paraId="62FF7F36" w14:textId="647DF6A7"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1</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 المستقل</w:t>
      </w:r>
      <w:r w:rsidR="00742379">
        <w:rPr>
          <w:rFonts w:ascii="Sakkal Majalla" w:hAnsi="Sakkal Majalla" w:cs="Sakkal Majalla" w:hint="cs"/>
          <w:b/>
          <w:bCs/>
          <w:color w:val="000000" w:themeColor="text1"/>
          <w:sz w:val="28"/>
          <w:szCs w:val="28"/>
          <w:rtl/>
        </w:rPr>
        <w:t xml:space="preserve">: </w:t>
      </w:r>
      <w:r w:rsidRPr="00EE13A9">
        <w:rPr>
          <w:rFonts w:ascii="Sakkal Majalla" w:hAnsi="Sakkal Majalla" w:cs="Sakkal Majalla"/>
          <w:color w:val="000000" w:themeColor="text1"/>
          <w:sz w:val="28"/>
          <w:szCs w:val="28"/>
          <w:rtl/>
        </w:rPr>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EE13A9">
        <w:rPr>
          <w:rFonts w:ascii="Sakkal Majalla" w:hAnsi="Sakkal Majalla" w:cs="Sakkal Majalla"/>
          <w:color w:val="000000" w:themeColor="text1"/>
          <w:sz w:val="28"/>
          <w:szCs w:val="28"/>
        </w:rPr>
        <w:t>.</w:t>
      </w:r>
    </w:p>
    <w:p w14:paraId="2C6D00B1" w14:textId="08153824"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2</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w:t>
      </w:r>
      <w:r w:rsidR="00742379">
        <w:rPr>
          <w:rFonts w:ascii="Sakkal Majalla" w:hAnsi="Sakkal Majalla" w:cs="Sakkal Majalla" w:hint="cs"/>
          <w:b/>
          <w:bCs/>
          <w:color w:val="000000" w:themeColor="text1"/>
          <w:sz w:val="28"/>
          <w:szCs w:val="28"/>
          <w:rtl/>
        </w:rPr>
        <w:t>ين</w:t>
      </w:r>
      <w:r w:rsidRPr="00EE13A9">
        <w:rPr>
          <w:rFonts w:ascii="Sakkal Majalla" w:hAnsi="Sakkal Majalla" w:cs="Sakkal Majalla"/>
          <w:b/>
          <w:bCs/>
          <w:color w:val="000000" w:themeColor="text1"/>
          <w:sz w:val="28"/>
          <w:szCs w:val="28"/>
          <w:rtl/>
        </w:rPr>
        <w:t xml:space="preserve"> </w:t>
      </w:r>
      <w:r w:rsidR="00742379" w:rsidRPr="00EE13A9">
        <w:rPr>
          <w:rFonts w:ascii="Sakkal Majalla" w:hAnsi="Sakkal Majalla" w:cs="Sakkal Majalla" w:hint="cs"/>
          <w:b/>
          <w:bCs/>
          <w:color w:val="000000" w:themeColor="text1"/>
          <w:sz w:val="28"/>
          <w:szCs w:val="28"/>
          <w:rtl/>
        </w:rPr>
        <w:t>التابع</w:t>
      </w:r>
      <w:r w:rsidR="00742379">
        <w:rPr>
          <w:rFonts w:ascii="Sakkal Majalla" w:hAnsi="Sakkal Majalla" w:cs="Sakkal Majalla" w:hint="cs"/>
          <w:b/>
          <w:bCs/>
          <w:color w:val="000000" w:themeColor="text1"/>
          <w:sz w:val="28"/>
          <w:szCs w:val="28"/>
          <w:rtl/>
        </w:rPr>
        <w:t xml:space="preserve">ين: </w:t>
      </w:r>
      <w:r w:rsidR="00742379" w:rsidRPr="00742379">
        <w:rPr>
          <w:rFonts w:ascii="Sakkal Majalla" w:hAnsi="Sakkal Majalla" w:cs="Sakkal Majalla" w:hint="cs"/>
          <w:color w:val="000000" w:themeColor="text1"/>
          <w:sz w:val="28"/>
          <w:szCs w:val="28"/>
          <w:rtl/>
        </w:rPr>
        <w:t>التميز</w:t>
      </w:r>
      <w:r w:rsidRPr="00EE13A9">
        <w:rPr>
          <w:rFonts w:ascii="Sakkal Majalla" w:hAnsi="Sakkal Majalla" w:cs="Sakkal Majalla"/>
          <w:color w:val="000000" w:themeColor="text1"/>
          <w:sz w:val="28"/>
          <w:szCs w:val="28"/>
          <w:rtl/>
        </w:rPr>
        <w:t xml:space="preserve"> التشغيلي والاستراتيجي هما المتغيران التابعان.</w:t>
      </w:r>
      <w:r w:rsidRPr="00EE13A9">
        <w:rPr>
          <w:rFonts w:ascii="Sakkal Majalla" w:hAnsi="Sakkal Majalla" w:cs="Sakkal Majalla"/>
          <w:b/>
          <w:bCs/>
          <w:color w:val="000000" w:themeColor="text1"/>
          <w:sz w:val="28"/>
          <w:szCs w:val="28"/>
          <w:rtl/>
        </w:rPr>
        <w:t xml:space="preserve"> </w:t>
      </w: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199BD19A" w14:textId="77777777" w:rsidR="00F97CDC" w:rsidRPr="00F97CDC"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r w:rsidRPr="00F97CDC">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الحوكمة المؤسسية، والتميز التشغيلي، والتميز الاستراتيجي</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F97CDC">
        <w:rPr>
          <w:rFonts w:ascii="Sakkal Majalla" w:eastAsia="Times New Roman" w:hAnsi="Sakkal Majalla" w:cs="Sakkal Majalla"/>
          <w:sz w:val="28"/>
          <w:szCs w:val="28"/>
        </w:rPr>
        <w:t>.</w:t>
      </w:r>
    </w:p>
    <w:p w14:paraId="09C4BCAB" w14:textId="77777777" w:rsidR="00F97CDC" w:rsidRPr="00F97CDC"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r w:rsidRPr="00F97CDC">
        <w:rPr>
          <w:rFonts w:ascii="Sakkal Majalla" w:eastAsia="Times New Roman" w:hAnsi="Sakkal Majalla" w:cs="Sakkal Majalla"/>
          <w:sz w:val="28"/>
          <w:szCs w:val="28"/>
          <w:rtl/>
        </w:rPr>
        <w:t>ينقسم هذا الفصل إلى أربعة محاور رئيسية</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المحور الأول</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التأصيل النظري للحوكمة المؤسسية</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المحور الثاني</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أثر الحوكمة كممكن أساسي للتميز التشغيلي</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المحور الثالث</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التميز الاستراتيجي والتميز المؤسسي</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المحور الرابع</w:t>
      </w:r>
      <w:r w:rsidRPr="00F97CDC">
        <w:rPr>
          <w:rFonts w:ascii="Sakkal Majalla" w:eastAsia="Times New Roman" w:hAnsi="Sakkal Majalla" w:cs="Sakkal Majalla"/>
          <w:sz w:val="28"/>
          <w:szCs w:val="28"/>
        </w:rPr>
        <w:t xml:space="preserve">: </w:t>
      </w:r>
      <w:r w:rsidRPr="00F97CDC">
        <w:rPr>
          <w:rFonts w:ascii="Sakkal Majalla" w:eastAsia="Times New Roman" w:hAnsi="Sakkal Majalla" w:cs="Sakkal Majalla"/>
          <w:sz w:val="28"/>
          <w:szCs w:val="28"/>
          <w:rtl/>
        </w:rPr>
        <w:t>الدراسات السابقة والتعقيب عليها ونموذج الدراسة المقترح</w:t>
      </w:r>
      <w:r w:rsidRPr="00F97CDC">
        <w:rPr>
          <w:rFonts w:ascii="Sakkal Majalla" w:eastAsia="Times New Roman" w:hAnsi="Sakkal Majalla" w:cs="Sakkal Majalla"/>
          <w:sz w:val="28"/>
          <w:szCs w:val="28"/>
        </w:rPr>
        <w:t>.</w:t>
      </w:r>
    </w:p>
    <w:p w14:paraId="12C40E81" w14:textId="77777777" w:rsidR="00F97CDC"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22ACD12" w14:textId="4EACE2D5" w:rsidR="003A34A3" w:rsidRPr="003A34A3" w:rsidRDefault="003A34A3" w:rsidP="002D76E9">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3A34A3">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w:t>
      </w:r>
      <w:r w:rsidR="005C7C30">
        <w:rPr>
          <w:rFonts w:ascii="Sakkal Majalla" w:eastAsia="Times New Roman" w:hAnsi="Sakkal Majalla" w:cs="Sakkal Majalla" w:hint="cs"/>
          <w:sz w:val="28"/>
          <w:szCs w:val="28"/>
          <w:rtl/>
        </w:rPr>
        <w:t>و</w:t>
      </w:r>
      <w:r w:rsidRPr="003A34A3">
        <w:rPr>
          <w:rFonts w:ascii="Sakkal Majalla" w:eastAsia="Times New Roman" w:hAnsi="Sakkal Majalla" w:cs="Sakkal Majalla"/>
          <w:sz w:val="28"/>
          <w:szCs w:val="28"/>
          <w:rtl/>
        </w:rPr>
        <w:t xml:space="preserve">يعرّف الدليل </w:t>
      </w:r>
      <w:proofErr w:type="spellStart"/>
      <w:r w:rsidRPr="003A34A3">
        <w:rPr>
          <w:rFonts w:ascii="Sakkal Majalla" w:eastAsia="Times New Roman" w:hAnsi="Sakkal Majalla" w:cs="Sakkal Majalla"/>
          <w:sz w:val="28"/>
          <w:szCs w:val="28"/>
          <w:rtl/>
        </w:rPr>
        <w:t>الاسترشادي</w:t>
      </w:r>
      <w:proofErr w:type="spellEnd"/>
      <w:r w:rsidRPr="003A34A3">
        <w:rPr>
          <w:rFonts w:ascii="Sakkal Majalla" w:eastAsia="Times New Roman" w:hAnsi="Sakkal Majalla" w:cs="Sakkal Majalla"/>
          <w:b/>
          <w:bCs/>
          <w:sz w:val="28"/>
          <w:szCs w:val="28"/>
          <w:rtl/>
        </w:rPr>
        <w:t xml:space="preserve"> </w:t>
      </w:r>
      <w:r w:rsidRPr="003A34A3">
        <w:rPr>
          <w:rFonts w:ascii="Sakkal Majalla" w:eastAsia="Times New Roman" w:hAnsi="Sakkal Majalla" w:cs="Sakkal Majalla"/>
          <w:sz w:val="28"/>
          <w:szCs w:val="28"/>
          <w:rtl/>
        </w:rPr>
        <w:t>لحوكمة الجهات العامة الحوكمة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3A34A3">
        <w:rPr>
          <w:rFonts w:ascii="Sakkal Majalla" w:eastAsia="Times New Roman" w:hAnsi="Sakkal Majalla" w:cs="Sakkal Majalla"/>
          <w:sz w:val="28"/>
          <w:szCs w:val="28"/>
        </w:rPr>
        <w:t xml:space="preserve"> </w:t>
      </w:r>
      <w:r w:rsidRPr="003A34A3">
        <w:rPr>
          <w:rFonts w:ascii="Sakkal Majalla" w:eastAsia="Times New Roman" w:hAnsi="Sakkal Majalla" w:cs="Sakkal Majalla"/>
          <w:b/>
          <w:bCs/>
          <w:sz w:val="28"/>
          <w:szCs w:val="28"/>
        </w:rPr>
        <w:t>(CMA, 2023)</w:t>
      </w:r>
      <w:r w:rsidRPr="003A34A3">
        <w:rPr>
          <w:rFonts w:ascii="Sakkal Majalla" w:eastAsia="Times New Roman" w:hAnsi="Sakkal Majalla" w:cs="Sakkal Majalla"/>
          <w:sz w:val="28"/>
          <w:szCs w:val="28"/>
        </w:rPr>
        <w:t xml:space="preserve"> </w:t>
      </w:r>
      <w:r w:rsidRPr="003A34A3">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 المصلحة، بهدف حماية الحقوق وتعزيز ثقة المستثمرين وكفاءة السوق</w:t>
      </w:r>
      <w:r w:rsidRPr="003A34A3">
        <w:rPr>
          <w:rFonts w:ascii="Sakkal Majalla" w:eastAsia="Times New Roman" w:hAnsi="Sakkal Majalla" w:cs="Sakkal Majalla"/>
          <w:sz w:val="28"/>
          <w:szCs w:val="28"/>
        </w:rPr>
        <w:t>.</w:t>
      </w:r>
    </w:p>
    <w:p w14:paraId="5F09EF6C" w14:textId="3E6F13A8" w:rsidR="003A34A3" w:rsidRPr="003A34A3" w:rsidRDefault="003A34A3" w:rsidP="002D76E9">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3A34A3">
        <w:rPr>
          <w:rFonts w:ascii="Sakkal Majalla" w:eastAsia="Times New Roman" w:hAnsi="Sakkal Majalla" w:cs="Sakkal Majalla"/>
          <w:sz w:val="28"/>
          <w:szCs w:val="28"/>
          <w:rtl/>
        </w:rPr>
        <w:t>ويتوافق هذا الفهم مع الإجماع العالمي على الدور المحوري للحوكمة. فمن منظور اقتصادي، تعرّفها منظمة التعاون</w:t>
      </w:r>
      <w:r w:rsidRPr="003A34A3">
        <w:rPr>
          <w:rFonts w:ascii="Sakkal Majalla" w:eastAsia="Times New Roman" w:hAnsi="Sakkal Majalla" w:cs="Sakkal Majalla"/>
          <w:b/>
          <w:bCs/>
          <w:sz w:val="28"/>
          <w:szCs w:val="28"/>
          <w:rtl/>
        </w:rPr>
        <w:t xml:space="preserve"> </w:t>
      </w:r>
      <w:r w:rsidRPr="003A34A3">
        <w:rPr>
          <w:rFonts w:ascii="Sakkal Majalla" w:eastAsia="Times New Roman" w:hAnsi="Sakkal Majalla" w:cs="Sakkal Majalla"/>
          <w:sz w:val="28"/>
          <w:szCs w:val="28"/>
          <w:rtl/>
        </w:rPr>
        <w:t>والتنمية الاقتصادية</w:t>
      </w:r>
      <w:r w:rsidRPr="003A34A3">
        <w:rPr>
          <w:rFonts w:ascii="Sakkal Majalla" w:eastAsia="Times New Roman" w:hAnsi="Sakkal Majalla" w:cs="Sakkal Majalla"/>
          <w:sz w:val="28"/>
          <w:szCs w:val="28"/>
        </w:rPr>
        <w:t xml:space="preserve"> </w:t>
      </w:r>
      <w:r w:rsidRPr="003A34A3">
        <w:rPr>
          <w:rFonts w:ascii="Sakkal Majalla" w:eastAsia="Times New Roman" w:hAnsi="Sakkal Majalla" w:cs="Sakkal Majalla"/>
          <w:b/>
          <w:bCs/>
          <w:sz w:val="28"/>
          <w:szCs w:val="28"/>
        </w:rPr>
        <w:t>(OECD, 2015)</w:t>
      </w:r>
      <w:r w:rsidRPr="003A34A3">
        <w:rPr>
          <w:rFonts w:ascii="Sakkal Majalla" w:eastAsia="Times New Roman" w:hAnsi="Sakkal Majalla" w:cs="Sakkal Majalla"/>
          <w:sz w:val="28"/>
          <w:szCs w:val="28"/>
        </w:rPr>
        <w:t xml:space="preserve"> </w:t>
      </w:r>
      <w:r w:rsidRPr="003A34A3">
        <w:rPr>
          <w:rFonts w:ascii="Sakkal Majalla" w:eastAsia="Times New Roman" w:hAnsi="Sakkal Majalla" w:cs="Sakkal Majalla"/>
          <w:sz w:val="28"/>
          <w:szCs w:val="28"/>
          <w:rtl/>
        </w:rPr>
        <w:t xml:space="preserve">بأنها شبكة </w:t>
      </w:r>
      <w:r w:rsidRPr="0060723C">
        <w:rPr>
          <w:rFonts w:ascii="Sakkal Majalla" w:eastAsia="Times New Roman" w:hAnsi="Sakkal Majalla" w:cs="Sakkal Majalla"/>
          <w:sz w:val="28"/>
          <w:szCs w:val="28"/>
          <w:rtl/>
        </w:rPr>
        <w:t>العلاقات بين إدارة المنظمة ومجلسها وأصحاب المصلحة، والتي تحدد أهداف الأداء ووسائل تحقيقها. ومن منظور تنموي، يصفها البنك الدولي</w:t>
      </w:r>
      <w:r w:rsidRPr="0060723C">
        <w:rPr>
          <w:rFonts w:ascii="Sakkal Majalla" w:eastAsia="Times New Roman" w:hAnsi="Sakkal Majalla" w:cs="Sakkal Majalla"/>
          <w:sz w:val="28"/>
          <w:szCs w:val="28"/>
        </w:rPr>
        <w:t xml:space="preserve"> (World Bank, 2017) </w:t>
      </w:r>
      <w:r w:rsidRPr="0060723C">
        <w:rPr>
          <w:rFonts w:ascii="Sakkal Majalla" w:eastAsia="Times New Roman" w:hAnsi="Sakkal Majalla" w:cs="Sakkal Majalla"/>
          <w:sz w:val="28"/>
          <w:szCs w:val="28"/>
          <w:rtl/>
        </w:rPr>
        <w:t>بأنها العمليات والهياكل التي تضمن المساءلة والشفافية لدعم التنمية المستدامة. أما من منظور معياري، فيقدم المعيار الدولي</w:t>
      </w:r>
      <w:r w:rsidRPr="0060723C">
        <w:rPr>
          <w:rFonts w:ascii="Sakkal Majalla" w:eastAsia="Times New Roman" w:hAnsi="Sakkal Majalla" w:cs="Sakkal Majalla"/>
          <w:sz w:val="28"/>
          <w:szCs w:val="28"/>
        </w:rPr>
        <w:t xml:space="preserve"> ISO 37000 (2021) </w:t>
      </w:r>
      <w:r w:rsidRPr="0060723C">
        <w:rPr>
          <w:rFonts w:ascii="Sakkal Majalla" w:eastAsia="Times New Roman" w:hAnsi="Sakkal Majalla" w:cs="Sakkal Majalla"/>
          <w:sz w:val="28"/>
          <w:szCs w:val="28"/>
          <w:rtl/>
        </w:rPr>
        <w:t>تعريفًا إجرائيًا يعتبرها "نظام توجيه ورقابة" يمكّن المنظمات من تحقيق أهدافها وتعزيز السلوكيات المسؤولة</w:t>
      </w:r>
      <w:r w:rsidRPr="003A34A3">
        <w:rPr>
          <w:rFonts w:ascii="Sakkal Majalla" w:eastAsia="Times New Roman" w:hAnsi="Sakkal Majalla" w:cs="Sakkal Majalla"/>
          <w:sz w:val="28"/>
          <w:szCs w:val="28"/>
        </w:rPr>
        <w:t>.</w:t>
      </w:r>
    </w:p>
    <w:p w14:paraId="73E6D691" w14:textId="77777777" w:rsidR="003A34A3" w:rsidRDefault="003A34A3" w:rsidP="002D76E9">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3A34A3">
        <w:rPr>
          <w:rFonts w:ascii="Sakkal Majalla" w:eastAsia="Times New Roman" w:hAnsi="Sakkal Majalla" w:cs="Sakkal Majalla"/>
          <w:sz w:val="28"/>
          <w:szCs w:val="28"/>
          <w:rtl/>
        </w:rPr>
        <w:lastRenderedPageBreak/>
        <w:t>وبالتالي، يمكن استخلاص تعريف شامل للحوكمة المؤسسية بأنها 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3A34A3">
        <w:rPr>
          <w:rFonts w:ascii="Sakkal Majalla" w:eastAsia="Times New Roman" w:hAnsi="Sakkal Majalla" w:cs="Sakkal Majalla"/>
          <w:sz w:val="28"/>
          <w:szCs w:val="28"/>
        </w:rPr>
        <w:t xml:space="preserve">. </w:t>
      </w:r>
    </w:p>
    <w:p w14:paraId="1E199D93" w14:textId="368144C0" w:rsidR="00A003D9" w:rsidRPr="003A34A3" w:rsidRDefault="003A34A3" w:rsidP="0060723C">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3A34A3">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Pr>
          <w:rFonts w:ascii="Sakkal Majalla" w:eastAsia="Times New Roman" w:hAnsi="Sakkal Majalla" w:cs="Sakkal Majalla" w:hint="cs"/>
          <w:sz w:val="28"/>
          <w:szCs w:val="28"/>
          <w:rtl/>
        </w:rPr>
        <w:t xml:space="preserve">استدامة الأعمال </w:t>
      </w:r>
      <w:r w:rsidRPr="003A34A3">
        <w:rPr>
          <w:rFonts w:ascii="Sakkal Majalla" w:eastAsia="Times New Roman" w:hAnsi="Sakkal Majalla" w:cs="Sakkal Majalla"/>
          <w:sz w:val="28"/>
          <w:szCs w:val="28"/>
          <w:rtl/>
        </w:rPr>
        <w:t>بقاء المنظمات ونموها في بيئة أعمال متزايدة التعقيد والتنافسية</w:t>
      </w:r>
      <w:r w:rsidRPr="003A34A3">
        <w:rPr>
          <w:rFonts w:ascii="Sakkal Majalla" w:eastAsia="Times New Roman" w:hAnsi="Sakkal Majalla" w:cs="Sakkal Majalla"/>
          <w:sz w:val="28"/>
          <w:szCs w:val="28"/>
        </w:rPr>
        <w:t>.</w:t>
      </w: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757295DF" w14:textId="7D3DFF9E" w:rsidR="00AB7308" w:rsidRDefault="00DD2B74" w:rsidP="002D76E9">
      <w:pPr>
        <w:bidi/>
        <w:spacing w:after="0" w:line="276" w:lineRule="auto"/>
        <w:jc w:val="both"/>
        <w:rPr>
          <w:rFonts w:ascii="Sakkal Majalla" w:eastAsia="Times New Roman" w:hAnsi="Sakkal Majalla" w:cs="Sakkal Majalla"/>
          <w:sz w:val="28"/>
          <w:szCs w:val="28"/>
        </w:rPr>
      </w:pPr>
      <w:r w:rsidRPr="00A003D9">
        <w:rPr>
          <w:rFonts w:ascii="Sakkal Majalla" w:eastAsia="Times New Roman" w:hAnsi="Sakkal Majalla" w:cs="Sakkal Majalla"/>
          <w:sz w:val="28"/>
          <w:szCs w:val="28"/>
          <w:rtl/>
        </w:rPr>
        <w:lastRenderedPageBreak/>
        <w:t>هذه الركائز الخمس ليست مجرد مفاهيم نظرية، بل هي الأساس الذي تُبنى عليه كل أدوات الحوكمة وهياكلها الرقابية، والتي تهدف جميعها إلى تحقيق التوازن بين الأداء الاقتصادي والكفاءة التشغيلية والالتزام الأخلاقي</w:t>
      </w:r>
      <w:r w:rsidRPr="00A003D9">
        <w:rPr>
          <w:rFonts w:ascii="Sakkal Majalla" w:eastAsia="Times New Roman" w:hAnsi="Sakkal Majalla" w:cs="Sakkal Majalla"/>
          <w:sz w:val="28"/>
          <w:szCs w:val="28"/>
        </w:rPr>
        <w:t>.</w:t>
      </w:r>
    </w:p>
    <w:p w14:paraId="0DF31F32" w14:textId="77777777" w:rsidR="00DD2B74" w:rsidRDefault="00DD2B74" w:rsidP="002D76E9">
      <w:pPr>
        <w:bidi/>
        <w:spacing w:after="0" w:line="276" w:lineRule="auto"/>
        <w:jc w:val="both"/>
        <w:rPr>
          <w:rFonts w:ascii="Sakkal Majalla" w:eastAsia="Times New Roman" w:hAnsi="Sakkal Majalla" w:cs="Sakkal Majalla"/>
          <w:sz w:val="28"/>
          <w:szCs w:val="28"/>
          <w:rtl/>
        </w:rPr>
      </w:pPr>
    </w:p>
    <w:p w14:paraId="66D9F3DC" w14:textId="09F758F3"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p>
    <w:p w14:paraId="526D3AB4" w14:textId="6DDC1335" w:rsidR="00060054" w:rsidRPr="00C1155E" w:rsidRDefault="00060054" w:rsidP="002D76E9">
      <w:pPr>
        <w:bidi/>
        <w:spacing w:after="0" w:line="276" w:lineRule="auto"/>
        <w:jc w:val="both"/>
        <w:rPr>
          <w:rFonts w:ascii="Sakkal Majalla" w:eastAsia="Times New Roman" w:hAnsi="Sakkal Majalla" w:cs="Sakkal Majalla"/>
          <w:sz w:val="28"/>
          <w:szCs w:val="28"/>
        </w:rPr>
      </w:pPr>
      <w:r w:rsidRPr="00C1155E">
        <w:rPr>
          <w:rFonts w:ascii="Sakkal Majalla" w:eastAsia="Times New Roman" w:hAnsi="Sakkal Majalla" w:cs="Sakkal Majalla"/>
          <w:sz w:val="28"/>
          <w:szCs w:val="28"/>
          <w:rtl/>
        </w:rPr>
        <w:t xml:space="preserve">تكمن أهمية </w:t>
      </w:r>
      <w:r w:rsidRPr="00C1155E">
        <w:rPr>
          <w:rFonts w:ascii="Sakkal Majalla" w:eastAsia="Times New Roman" w:hAnsi="Sakkal Majalla" w:cs="Sakkal Majalla" w:hint="cs"/>
          <w:sz w:val="28"/>
          <w:szCs w:val="28"/>
          <w:rtl/>
        </w:rPr>
        <w:t>ا</w:t>
      </w:r>
      <w:r w:rsidRPr="00C1155E">
        <w:rPr>
          <w:rFonts w:ascii="Sakkal Majalla" w:eastAsia="Times New Roman" w:hAnsi="Sakkal Majalla" w:cs="Sakkal Majalla"/>
          <w:sz w:val="28"/>
          <w:szCs w:val="28"/>
          <w:rtl/>
        </w:rPr>
        <w:t xml:space="preserve">لحوكمة في كونها </w:t>
      </w:r>
      <w:r w:rsidRPr="00C1155E">
        <w:rPr>
          <w:rFonts w:ascii="Sakkal Majalla" w:eastAsia="Times New Roman" w:hAnsi="Sakkal Majalla" w:cs="Sakkal Majalla"/>
          <w:sz w:val="28"/>
          <w:szCs w:val="28"/>
        </w:rPr>
        <w:t>"</w:t>
      </w:r>
      <w:r w:rsidRPr="00C1155E">
        <w:rPr>
          <w:rFonts w:ascii="Sakkal Majalla" w:eastAsia="Times New Roman" w:hAnsi="Sakkal Majalla" w:cs="Sakkal Majalla"/>
          <w:sz w:val="28"/>
          <w:szCs w:val="28"/>
          <w:rtl/>
        </w:rPr>
        <w:t xml:space="preserve">المنهجية التي تمنح المنظمة </w:t>
      </w:r>
      <w:r w:rsidR="00C44705">
        <w:rPr>
          <w:rFonts w:ascii="Sakkal Majalla" w:eastAsia="Times New Roman" w:hAnsi="Sakkal Majalla" w:cs="Sakkal Majalla" w:hint="cs"/>
          <w:sz w:val="28"/>
          <w:szCs w:val="28"/>
          <w:rtl/>
        </w:rPr>
        <w:t>منهجيات</w:t>
      </w:r>
      <w:r w:rsidRPr="00C1155E">
        <w:rPr>
          <w:rFonts w:ascii="Sakkal Majalla" w:eastAsia="Times New Roman" w:hAnsi="Sakkal Majalla" w:cs="Sakkal Majalla"/>
          <w:sz w:val="28"/>
          <w:szCs w:val="28"/>
          <w:rtl/>
        </w:rPr>
        <w:t xml:space="preserve"> الوجود والاستمرارية</w:t>
      </w:r>
      <w:r w:rsidRPr="00C1155E">
        <w:rPr>
          <w:rFonts w:ascii="Sakkal Majalla" w:eastAsia="Times New Roman" w:hAnsi="Sakkal Majalla" w:cs="Sakkal Majalla"/>
          <w:sz w:val="28"/>
          <w:szCs w:val="28"/>
        </w:rPr>
        <w:t>"</w:t>
      </w:r>
      <w:r w:rsidRPr="00C1155E">
        <w:rPr>
          <w:rFonts w:ascii="Sakkal Majalla" w:eastAsia="Times New Roman" w:hAnsi="Sakkal Majalla" w:cs="Sakkal Majalla"/>
          <w:sz w:val="28"/>
          <w:szCs w:val="28"/>
          <w:rtl/>
        </w:rPr>
        <w:t xml:space="preserve">. </w:t>
      </w:r>
      <w:r w:rsidR="00C44705">
        <w:rPr>
          <w:rFonts w:ascii="Sakkal Majalla" w:eastAsia="Times New Roman" w:hAnsi="Sakkal Majalla" w:cs="Sakkal Majalla" w:hint="cs"/>
          <w:sz w:val="28"/>
          <w:szCs w:val="28"/>
          <w:rtl/>
        </w:rPr>
        <w:t>و</w:t>
      </w:r>
      <w:r w:rsidRPr="00C1155E">
        <w:rPr>
          <w:rFonts w:ascii="Sakkal Majalla" w:eastAsia="Times New Roman" w:hAnsi="Sakkal Majalla" w:cs="Sakkal Majalla"/>
          <w:sz w:val="28"/>
          <w:szCs w:val="28"/>
          <w:rtl/>
        </w:rPr>
        <w:t xml:space="preserve">هي ليست مجرد </w:t>
      </w:r>
      <w:r w:rsidR="006E3B11" w:rsidRPr="00C1155E">
        <w:rPr>
          <w:rFonts w:ascii="Sakkal Majalla" w:eastAsia="Times New Roman" w:hAnsi="Sakkal Majalla" w:cs="Sakkal Majalla" w:hint="cs"/>
          <w:sz w:val="28"/>
          <w:szCs w:val="28"/>
          <w:rtl/>
        </w:rPr>
        <w:t>منهجية</w:t>
      </w:r>
      <w:r w:rsidRPr="00C1155E">
        <w:rPr>
          <w:rFonts w:ascii="Sakkal Majalla" w:eastAsia="Times New Roman" w:hAnsi="Sakkal Majalla" w:cs="Sakkal Majalla"/>
          <w:sz w:val="28"/>
          <w:szCs w:val="28"/>
          <w:rtl/>
        </w:rPr>
        <w:t xml:space="preserve"> إدارية، بل هي فلسفة وجودية تحدد هوية المنظمة وتحميها من </w:t>
      </w:r>
      <w:r w:rsidR="00C44705">
        <w:rPr>
          <w:rFonts w:ascii="Sakkal Majalla" w:eastAsia="Times New Roman" w:hAnsi="Sakkal Majalla" w:cs="Sakkal Majalla" w:hint="cs"/>
          <w:sz w:val="28"/>
          <w:szCs w:val="28"/>
          <w:rtl/>
        </w:rPr>
        <w:t>الأخطار المؤسسية وتدعم استمرارية أعمالها وتميزها</w:t>
      </w:r>
      <w:r w:rsidRPr="00C1155E">
        <w:rPr>
          <w:rFonts w:ascii="Sakkal Majalla" w:eastAsia="Times New Roman" w:hAnsi="Sakkal Majalla" w:cs="Sakkal Majalla"/>
          <w:sz w:val="28"/>
          <w:szCs w:val="28"/>
          <w:rtl/>
        </w:rPr>
        <w:t>. وتتجلى هذه الأهمية في ثلاثة أبعاد رئيسية</w:t>
      </w:r>
      <w:r w:rsidRPr="00C1155E">
        <w:rPr>
          <w:rFonts w:ascii="Sakkal Majalla" w:eastAsia="Times New Roman" w:hAnsi="Sakkal Majalla" w:cs="Sakkal Majalla"/>
          <w:sz w:val="28"/>
          <w:szCs w:val="28"/>
        </w:rPr>
        <w:t>:</w:t>
      </w:r>
    </w:p>
    <w:p w14:paraId="50934A8F" w14:textId="2ED9CF64" w:rsidR="006E3B11" w:rsidRPr="00C44705" w:rsidRDefault="006E3B11" w:rsidP="002D76E9">
      <w:pPr>
        <w:pStyle w:val="ListParagraph"/>
        <w:numPr>
          <w:ilvl w:val="0"/>
          <w:numId w:val="106"/>
        </w:numPr>
        <w:bidi/>
        <w:spacing w:after="0" w:line="276" w:lineRule="auto"/>
        <w:ind w:left="281" w:hanging="283"/>
        <w:jc w:val="both"/>
        <w:rPr>
          <w:rFonts w:ascii="Sakkal Majalla" w:eastAsia="Times New Roman" w:hAnsi="Sakkal Majalla" w:cs="Sakkal Majalla"/>
          <w:sz w:val="28"/>
          <w:szCs w:val="28"/>
        </w:rPr>
      </w:pPr>
      <w:r w:rsidRPr="00C44705">
        <w:rPr>
          <w:rFonts w:ascii="Sakkal Majalla" w:eastAsia="Times New Roman" w:hAnsi="Sakkal Majalla" w:cs="Sakkal Majalla"/>
          <w:b/>
          <w:bCs/>
          <w:sz w:val="28"/>
          <w:szCs w:val="28"/>
          <w:rtl/>
        </w:rPr>
        <w:t>تمكين خلق القيمة</w:t>
      </w:r>
      <w:r w:rsidR="00C44705">
        <w:rPr>
          <w:rFonts w:ascii="Sakkal Majalla" w:eastAsia="Times New Roman" w:hAnsi="Sakkal Majalla" w:cs="Sakkal Majalla" w:hint="cs"/>
          <w:b/>
          <w:bCs/>
          <w:sz w:val="28"/>
          <w:szCs w:val="28"/>
          <w:rtl/>
        </w:rPr>
        <w:t xml:space="preserve"> المستدامة</w:t>
      </w:r>
      <w:r w:rsidRPr="00C44705">
        <w:rPr>
          <w:rFonts w:ascii="Sakkal Majalla" w:eastAsia="Times New Roman" w:hAnsi="Sakkal Majalla" w:cs="Sakkal Majalla"/>
          <w:b/>
          <w:bCs/>
          <w:sz w:val="28"/>
          <w:szCs w:val="28"/>
          <w:rtl/>
        </w:rPr>
        <w:t xml:space="preserve"> وربطها بالاستراتيجية</w:t>
      </w:r>
      <w:r w:rsidRPr="00C44705">
        <w:rPr>
          <w:rFonts w:ascii="Sakkal Majalla" w:eastAsia="Times New Roman" w:hAnsi="Sakkal Majalla" w:cs="Sakkal Majalla"/>
          <w:sz w:val="28"/>
          <w:szCs w:val="28"/>
          <w:rtl/>
        </w:rPr>
        <w:t>: الأهمية الاستراتيجية للحوكمة لا تقتصر على</w:t>
      </w:r>
      <w:r w:rsidR="00C44705">
        <w:rPr>
          <w:rFonts w:ascii="Sakkal Majalla" w:eastAsia="Times New Roman" w:hAnsi="Sakkal Majalla" w:cs="Sakkal Majalla" w:hint="cs"/>
          <w:sz w:val="28"/>
          <w:szCs w:val="28"/>
          <w:rtl/>
        </w:rPr>
        <w:t xml:space="preserve"> مجرد </w:t>
      </w:r>
      <w:r w:rsidRPr="00C44705">
        <w:rPr>
          <w:rFonts w:ascii="Sakkal Majalla" w:eastAsia="Times New Roman" w:hAnsi="Sakkal Majalla" w:cs="Sakkal Majalla"/>
          <w:sz w:val="28"/>
          <w:szCs w:val="28"/>
          <w:rtl/>
        </w:rPr>
        <w:t xml:space="preserve">الحماية، بل تمتد إلى تمكين خلق </w:t>
      </w:r>
      <w:r w:rsidR="00C44705">
        <w:rPr>
          <w:rFonts w:ascii="Sakkal Majalla" w:eastAsia="Times New Roman" w:hAnsi="Sakkal Majalla" w:cs="Sakkal Majalla" w:hint="cs"/>
          <w:sz w:val="28"/>
          <w:szCs w:val="28"/>
          <w:rtl/>
        </w:rPr>
        <w:t>ال</w:t>
      </w:r>
      <w:r w:rsidRPr="00C44705">
        <w:rPr>
          <w:rFonts w:ascii="Sakkal Majalla" w:eastAsia="Times New Roman" w:hAnsi="Sakkal Majalla" w:cs="Sakkal Majalla"/>
          <w:sz w:val="28"/>
          <w:szCs w:val="28"/>
          <w:rtl/>
        </w:rPr>
        <w:t xml:space="preserve">قيمة </w:t>
      </w:r>
      <w:r w:rsidR="00C44705">
        <w:rPr>
          <w:rFonts w:ascii="Sakkal Majalla" w:eastAsia="Times New Roman" w:hAnsi="Sakkal Majalla" w:cs="Sakkal Majalla" w:hint="cs"/>
          <w:sz w:val="28"/>
          <w:szCs w:val="28"/>
          <w:rtl/>
        </w:rPr>
        <w:t>ال</w:t>
      </w:r>
      <w:r w:rsidRPr="00C44705">
        <w:rPr>
          <w:rFonts w:ascii="Sakkal Majalla" w:eastAsia="Times New Roman" w:hAnsi="Sakkal Majalla" w:cs="Sakkal Majalla"/>
          <w:sz w:val="28"/>
          <w:szCs w:val="28"/>
          <w:rtl/>
        </w:rPr>
        <w:t xml:space="preserve">مستدامة. فالحوكمة الرشيدة تخلق بيئة تشجع على اتخاذ قرارات استراتيجية سليمة ومبتكرة. وقد دعت الأدبيات الأكاديمية إلى تجاوز النظرة الرقابية البحتة للحوكمة، والتركيز على دورها كعامل تمكين استراتيجي يربط بين </w:t>
      </w:r>
      <w:r w:rsidR="00C44705">
        <w:rPr>
          <w:rFonts w:ascii="Sakkal Majalla" w:eastAsia="Times New Roman" w:hAnsi="Sakkal Majalla" w:cs="Sakkal Majalla" w:hint="cs"/>
          <w:sz w:val="28"/>
          <w:szCs w:val="28"/>
          <w:rtl/>
        </w:rPr>
        <w:t>العوامل المختلفة ذات العلاقة بالنمو المستدام ل</w:t>
      </w:r>
      <w:r w:rsidRPr="00C44705">
        <w:rPr>
          <w:rFonts w:ascii="Sakkal Majalla" w:eastAsia="Times New Roman" w:hAnsi="Sakkal Majalla" w:cs="Sakkal Majalla"/>
          <w:sz w:val="28"/>
          <w:szCs w:val="28"/>
          <w:rtl/>
        </w:rPr>
        <w:t>لمنظم</w:t>
      </w:r>
      <w:r w:rsidR="00C44705">
        <w:rPr>
          <w:rFonts w:ascii="Sakkal Majalla" w:eastAsia="Times New Roman" w:hAnsi="Sakkal Majalla" w:cs="Sakkal Majalla" w:hint="cs"/>
          <w:sz w:val="28"/>
          <w:szCs w:val="28"/>
          <w:rtl/>
        </w:rPr>
        <w:t>ات</w:t>
      </w:r>
      <w:r w:rsidRPr="00C44705">
        <w:rPr>
          <w:rFonts w:ascii="Sakkal Majalla" w:eastAsia="Times New Roman" w:hAnsi="Sakkal Majalla" w:cs="Sakkal Majalla"/>
          <w:sz w:val="28"/>
          <w:szCs w:val="28"/>
          <w:rtl/>
        </w:rPr>
        <w:t xml:space="preserve"> (</w:t>
      </w:r>
      <w:r w:rsidRPr="00C44705">
        <w:rPr>
          <w:rFonts w:ascii="Sakkal Majalla" w:eastAsia="Times New Roman" w:hAnsi="Sakkal Majalla" w:cs="Sakkal Majalla"/>
          <w:sz w:val="28"/>
          <w:szCs w:val="28"/>
        </w:rPr>
        <w:t>Daily et al., 2003</w:t>
      </w:r>
      <w:r w:rsidRPr="00C44705">
        <w:rPr>
          <w:rFonts w:ascii="Sakkal Majalla" w:eastAsia="Times New Roman" w:hAnsi="Sakkal Majalla" w:cs="Sakkal Majalla"/>
          <w:sz w:val="28"/>
          <w:szCs w:val="28"/>
          <w:rtl/>
        </w:rPr>
        <w:t>).</w:t>
      </w:r>
    </w:p>
    <w:p w14:paraId="4CD9150D" w14:textId="32B8A47D" w:rsidR="00060054" w:rsidRDefault="00060054" w:rsidP="002D76E9">
      <w:pPr>
        <w:pStyle w:val="ListParagraph"/>
        <w:numPr>
          <w:ilvl w:val="0"/>
          <w:numId w:val="106"/>
        </w:numPr>
        <w:bidi/>
        <w:spacing w:after="0" w:line="276" w:lineRule="auto"/>
        <w:ind w:left="281" w:hanging="283"/>
        <w:jc w:val="both"/>
        <w:rPr>
          <w:rFonts w:ascii="Sakkal Majalla" w:eastAsia="Times New Roman" w:hAnsi="Sakkal Majalla" w:cs="Sakkal Majalla"/>
          <w:sz w:val="28"/>
          <w:szCs w:val="28"/>
        </w:rPr>
      </w:pPr>
      <w:r w:rsidRPr="00C44705">
        <w:rPr>
          <w:rFonts w:ascii="Sakkal Majalla" w:eastAsia="Times New Roman" w:hAnsi="Sakkal Majalla" w:cs="Sakkal Majalla"/>
          <w:b/>
          <w:bCs/>
          <w:sz w:val="28"/>
          <w:szCs w:val="28"/>
          <w:rtl/>
        </w:rPr>
        <w:t xml:space="preserve">تعزيز </w:t>
      </w:r>
      <w:r w:rsidR="006E3B11" w:rsidRPr="00C44705">
        <w:rPr>
          <w:rFonts w:ascii="Sakkal Majalla" w:eastAsia="Times New Roman" w:hAnsi="Sakkal Majalla" w:cs="Sakkal Majalla" w:hint="cs"/>
          <w:b/>
          <w:bCs/>
          <w:sz w:val="28"/>
          <w:szCs w:val="28"/>
          <w:rtl/>
        </w:rPr>
        <w:t>الاستقرار الداخلي والخارجي</w:t>
      </w:r>
      <w:r w:rsidRPr="00C44705">
        <w:rPr>
          <w:rFonts w:ascii="Sakkal Majalla" w:eastAsia="Times New Roman" w:hAnsi="Sakkal Majalla" w:cs="Sakkal Majalla"/>
          <w:sz w:val="28"/>
          <w:szCs w:val="28"/>
        </w:rPr>
        <w:t>:</w:t>
      </w:r>
      <w:r w:rsidRPr="00C44705">
        <w:rPr>
          <w:rFonts w:ascii="Sakkal Majalla" w:eastAsia="Times New Roman" w:hAnsi="Sakkal Majalla" w:cs="Sakkal Majalla" w:hint="cs"/>
          <w:sz w:val="28"/>
          <w:szCs w:val="28"/>
          <w:rtl/>
        </w:rPr>
        <w:t xml:space="preserve"> </w:t>
      </w:r>
      <w:r w:rsidR="00C44705">
        <w:rPr>
          <w:rFonts w:ascii="Sakkal Majalla" w:eastAsia="Times New Roman" w:hAnsi="Sakkal Majalla" w:cs="Sakkal Majalla" w:hint="cs"/>
          <w:sz w:val="28"/>
          <w:szCs w:val="28"/>
          <w:rtl/>
        </w:rPr>
        <w:t xml:space="preserve">تعد </w:t>
      </w:r>
      <w:r w:rsidRPr="00C44705">
        <w:rPr>
          <w:rFonts w:ascii="Sakkal Majalla" w:eastAsia="Times New Roman" w:hAnsi="Sakkal Majalla" w:cs="Sakkal Majalla"/>
          <w:sz w:val="28"/>
          <w:szCs w:val="28"/>
          <w:rtl/>
        </w:rPr>
        <w:t xml:space="preserve">الحوكمة </w:t>
      </w:r>
      <w:r w:rsidR="00C44705">
        <w:rPr>
          <w:rFonts w:ascii="Sakkal Majalla" w:eastAsia="Times New Roman" w:hAnsi="Sakkal Majalla" w:cs="Sakkal Majalla" w:hint="cs"/>
          <w:sz w:val="28"/>
          <w:szCs w:val="28"/>
          <w:rtl/>
        </w:rPr>
        <w:t xml:space="preserve">حجر الأساس في تعزيز الاستقرار والتخفيف من التداعيات المحتملة </w:t>
      </w:r>
      <w:r w:rsidRPr="00C44705">
        <w:rPr>
          <w:rFonts w:ascii="Sakkal Majalla" w:eastAsia="Times New Roman" w:hAnsi="Sakkal Majalla" w:cs="Sakkal Majalla"/>
          <w:sz w:val="28"/>
          <w:szCs w:val="28"/>
        </w:rPr>
        <w:t>Jensen &amp; Meckling, 1976</w:t>
      </w:r>
      <w:proofErr w:type="gramStart"/>
      <w:r w:rsidRPr="00C44705">
        <w:rPr>
          <w:rFonts w:ascii="Sakkal Majalla" w:eastAsia="Times New Roman" w:hAnsi="Sakkal Majalla" w:cs="Sakkal Majalla"/>
          <w:sz w:val="28"/>
          <w:szCs w:val="28"/>
        </w:rPr>
        <w:t xml:space="preserve">) </w:t>
      </w:r>
      <w:r w:rsidR="004849CE" w:rsidRPr="00C44705">
        <w:rPr>
          <w:rFonts w:ascii="Sakkal Majalla" w:eastAsia="Times New Roman" w:hAnsi="Sakkal Majalla" w:cs="Sakkal Majalla" w:hint="cs"/>
          <w:sz w:val="28"/>
          <w:szCs w:val="28"/>
          <w:rtl/>
        </w:rPr>
        <w:t>)</w:t>
      </w:r>
      <w:proofErr w:type="gramEnd"/>
      <w:r w:rsidR="006E3B11" w:rsidRPr="00C44705">
        <w:rPr>
          <w:rFonts w:ascii="Sakkal Majalla" w:eastAsia="Times New Roman" w:hAnsi="Sakkal Majalla" w:cs="Sakkal Majalla" w:hint="cs"/>
          <w:sz w:val="28"/>
          <w:szCs w:val="28"/>
          <w:rtl/>
        </w:rPr>
        <w:t xml:space="preserve"> </w:t>
      </w:r>
      <w:r w:rsidR="004849CE" w:rsidRPr="00C44705">
        <w:rPr>
          <w:rFonts w:ascii="Sakkal Majalla" w:eastAsia="Times New Roman" w:hAnsi="Sakkal Majalla" w:cs="Sakkal Majalla" w:hint="cs"/>
          <w:sz w:val="28"/>
          <w:szCs w:val="28"/>
          <w:rtl/>
        </w:rPr>
        <w:t xml:space="preserve"> </w:t>
      </w:r>
      <w:r w:rsidR="00C44705" w:rsidRPr="00C44705">
        <w:rPr>
          <w:rFonts w:ascii="Sakkal Majalla" w:eastAsia="Times New Roman" w:hAnsi="Sakkal Majalla" w:cs="Sakkal Majalla"/>
          <w:sz w:val="28"/>
          <w:szCs w:val="28"/>
          <w:rtl/>
        </w:rPr>
        <w:t>ومعالجة</w:t>
      </w:r>
      <w:r w:rsidR="00C44705">
        <w:rPr>
          <w:rFonts w:ascii="Sakkal Majalla" w:eastAsia="Times New Roman" w:hAnsi="Sakkal Majalla" w:cs="Sakkal Majalla" w:hint="cs"/>
          <w:sz w:val="28"/>
          <w:szCs w:val="28"/>
          <w:rtl/>
        </w:rPr>
        <w:t xml:space="preserve"> الإشكاليات ذات العلاقة ب</w:t>
      </w:r>
      <w:r w:rsidR="00C44705" w:rsidRPr="00C44705">
        <w:rPr>
          <w:rFonts w:ascii="Sakkal Majalla" w:eastAsia="Times New Roman" w:hAnsi="Sakkal Majalla" w:cs="Sakkal Majalla"/>
          <w:sz w:val="28"/>
          <w:szCs w:val="28"/>
          <w:rtl/>
        </w:rPr>
        <w:t>تضارب المصالح</w:t>
      </w:r>
      <w:r w:rsid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هذا الاستقرار ضروري لبقاء المنظمة في وجه الأزمات</w:t>
      </w:r>
      <w:r w:rsidRPr="00C44705">
        <w:rPr>
          <w:rFonts w:ascii="Sakkal Majalla" w:eastAsia="Times New Roman" w:hAnsi="Sakkal Majalla" w:cs="Sakkal Majalla"/>
          <w:sz w:val="28"/>
          <w:szCs w:val="28"/>
        </w:rPr>
        <w:t>.</w:t>
      </w:r>
    </w:p>
    <w:p w14:paraId="5ADC1086" w14:textId="38609FB7" w:rsidR="00C44705" w:rsidRPr="00C44705" w:rsidRDefault="00C44705" w:rsidP="002D76E9">
      <w:pPr>
        <w:pStyle w:val="ListParagraph"/>
        <w:numPr>
          <w:ilvl w:val="0"/>
          <w:numId w:val="106"/>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b/>
          <w:bCs/>
          <w:sz w:val="28"/>
          <w:szCs w:val="28"/>
          <w:rtl/>
        </w:rPr>
        <w:t>بناء الثقة وتوفير أساس الكفاءة</w:t>
      </w:r>
      <w:r w:rsidRPr="00C44705">
        <w:rPr>
          <w:rFonts w:ascii="Sakkal Majalla" w:eastAsia="Times New Roman" w:hAnsi="Sakkal Majalla" w:cs="Sakkal Majalla"/>
          <w:b/>
          <w:bCs/>
          <w:sz w:val="28"/>
          <w:szCs w:val="28"/>
        </w:rPr>
        <w:t>:</w:t>
      </w:r>
      <w:r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الأهمية القصوى للحوكمة هي قدرتها على بناء الثقة مع الأطراف ذات الصلة. هذه الثقة، كما تؤكد الدراسات الرائدة، ضرورية لجذب الموارد اللازمة</w:t>
      </w:r>
      <w:r w:rsidRPr="00C44705">
        <w:rPr>
          <w:rFonts w:ascii="Sakkal Majalla" w:eastAsia="Times New Roman" w:hAnsi="Sakkal Majalla" w:cs="Sakkal Majalla" w:hint="cs"/>
          <w:sz w:val="28"/>
          <w:szCs w:val="28"/>
          <w:rtl/>
        </w:rPr>
        <w:t xml:space="preserve"> بكافة تصنيفاتها المختلفة،</w:t>
      </w:r>
      <w:r w:rsidRPr="00C44705">
        <w:rPr>
          <w:rFonts w:ascii="Sakkal Majalla" w:eastAsia="Times New Roman" w:hAnsi="Sakkal Majalla" w:cs="Sakkal Majalla"/>
          <w:sz w:val="28"/>
          <w:szCs w:val="28"/>
          <w:rtl/>
        </w:rPr>
        <w:t xml:space="preserve"> مما يجعل الحوكمة أساس لأي نظام </w:t>
      </w:r>
      <w:r w:rsidR="0060723C" w:rsidRPr="00C44705">
        <w:rPr>
          <w:rFonts w:ascii="Sakkal Majalla" w:eastAsia="Times New Roman" w:hAnsi="Sakkal Majalla" w:cs="Sakkal Majalla" w:hint="cs"/>
          <w:sz w:val="28"/>
          <w:szCs w:val="28"/>
          <w:rtl/>
        </w:rPr>
        <w:t xml:space="preserve">فعال </w:t>
      </w:r>
      <w:r w:rsidRPr="00C44705">
        <w:rPr>
          <w:rFonts w:ascii="Sakkal Majalla" w:eastAsia="Times New Roman" w:hAnsi="Sakkal Majalla" w:cs="Sakkal Majalla"/>
          <w:sz w:val="28"/>
          <w:szCs w:val="28"/>
        </w:rPr>
        <w:t>La Porta et al., 2000</w:t>
      </w:r>
      <w:r w:rsidRPr="00C44705">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حيث أن</w:t>
      </w:r>
      <w:r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الثقة هي العملة الأساسية التي تُمكّن أي منظمة من تحقيق أهدافها</w:t>
      </w:r>
      <w:r w:rsidRPr="00C44705">
        <w:rPr>
          <w:rFonts w:ascii="Sakkal Majalla" w:eastAsia="Times New Roman" w:hAnsi="Sakkal Majalla" w:cs="Sakkal Majalla"/>
          <w:sz w:val="28"/>
          <w:szCs w:val="28"/>
        </w:rPr>
        <w:t>.</w:t>
      </w:r>
    </w:p>
    <w:p w14:paraId="07F37092" w14:textId="77777777" w:rsidR="005C7C30" w:rsidRPr="00060054" w:rsidRDefault="005C7C30" w:rsidP="002D76E9">
      <w:pPr>
        <w:bidi/>
        <w:spacing w:after="0" w:line="276" w:lineRule="auto"/>
        <w:jc w:val="both"/>
        <w:rPr>
          <w:rFonts w:ascii="Sakkal Majalla" w:eastAsia="Times New Roman" w:hAnsi="Sakkal Majalla" w:cs="Sakkal Majalla"/>
          <w:b/>
          <w:bCs/>
          <w:sz w:val="28"/>
          <w:szCs w:val="28"/>
        </w:rPr>
      </w:pPr>
    </w:p>
    <w:p w14:paraId="36C46092" w14:textId="36E9D01D"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1-4</w:t>
      </w:r>
      <w:r w:rsidR="00060054">
        <w:rPr>
          <w:rFonts w:ascii="Sakkal Majalla" w:eastAsia="Times New Roman" w:hAnsi="Sakkal Majalla" w:cs="Sakkal Majalla" w:hint="cs"/>
          <w:b/>
          <w:bCs/>
          <w:sz w:val="28"/>
          <w:szCs w:val="28"/>
          <w:rtl/>
        </w:rPr>
        <w:t xml:space="preserve"> </w:t>
      </w:r>
      <w:r w:rsidR="00060054" w:rsidRPr="00060054">
        <w:rPr>
          <w:rFonts w:ascii="Sakkal Majalla" w:eastAsia="Times New Roman" w:hAnsi="Sakkal Majalla" w:cs="Sakkal Majalla"/>
          <w:b/>
          <w:bCs/>
          <w:sz w:val="28"/>
          <w:szCs w:val="28"/>
          <w:rtl/>
        </w:rPr>
        <w:t xml:space="preserve">أهداف الحوكمة  </w:t>
      </w:r>
    </w:p>
    <w:p w14:paraId="26B9817B" w14:textId="3CFAFD19" w:rsidR="00060054" w:rsidRPr="004849CE" w:rsidRDefault="00060054" w:rsidP="002D76E9">
      <w:pPr>
        <w:bidi/>
        <w:spacing w:after="0" w:line="276" w:lineRule="auto"/>
        <w:jc w:val="both"/>
        <w:rPr>
          <w:rFonts w:ascii="Sakkal Majalla" w:eastAsia="Times New Roman" w:hAnsi="Sakkal Majalla" w:cs="Sakkal Majalla"/>
          <w:sz w:val="28"/>
          <w:szCs w:val="28"/>
        </w:rPr>
      </w:pPr>
      <w:r w:rsidRPr="004849CE">
        <w:rPr>
          <w:rFonts w:ascii="Sakkal Majalla" w:eastAsia="Times New Roman" w:hAnsi="Sakkal Majalla" w:cs="Sakkal Majalla"/>
          <w:sz w:val="28"/>
          <w:szCs w:val="28"/>
          <w:rtl/>
        </w:rPr>
        <w:t>لتحقيق هذه الأهمية الكبرى، تعمل الحوكمة على تحقيق مجموعة من الأهداف العملية والمحددة التي تترجم ال</w:t>
      </w:r>
      <w:r w:rsidR="004849CE">
        <w:rPr>
          <w:rFonts w:ascii="Sakkal Majalla" w:eastAsia="Times New Roman" w:hAnsi="Sakkal Majalla" w:cs="Sakkal Majalla" w:hint="cs"/>
          <w:sz w:val="28"/>
          <w:szCs w:val="28"/>
          <w:rtl/>
        </w:rPr>
        <w:t xml:space="preserve">مفهوم </w:t>
      </w:r>
      <w:r w:rsidRPr="004849CE">
        <w:rPr>
          <w:rFonts w:ascii="Sakkal Majalla" w:eastAsia="Times New Roman" w:hAnsi="Sakkal Majalla" w:cs="Sakkal Majalla"/>
          <w:sz w:val="28"/>
          <w:szCs w:val="28"/>
          <w:rtl/>
        </w:rPr>
        <w:t xml:space="preserve">إلى واقع </w:t>
      </w:r>
      <w:r w:rsidR="004849CE">
        <w:rPr>
          <w:rFonts w:ascii="Sakkal Majalla" w:eastAsia="Times New Roman" w:hAnsi="Sakkal Majalla" w:cs="Sakkal Majalla" w:hint="cs"/>
          <w:sz w:val="28"/>
          <w:szCs w:val="28"/>
          <w:rtl/>
        </w:rPr>
        <w:t>تطبيقي</w:t>
      </w:r>
      <w:r w:rsidRPr="004849CE">
        <w:rPr>
          <w:rFonts w:ascii="Sakkal Majalla" w:eastAsia="Times New Roman" w:hAnsi="Sakkal Majalla" w:cs="Sakkal Majalla"/>
          <w:sz w:val="28"/>
          <w:szCs w:val="28"/>
        </w:rPr>
        <w:t>:</w:t>
      </w:r>
    </w:p>
    <w:p w14:paraId="5ABFD6C6" w14:textId="1CAA92D0" w:rsidR="00C44705" w:rsidRPr="00C44705" w:rsidRDefault="00060054" w:rsidP="002D76E9">
      <w:pPr>
        <w:pStyle w:val="ListParagraph"/>
        <w:numPr>
          <w:ilvl w:val="0"/>
          <w:numId w:val="108"/>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t>إرساء المساءلة والرقابة الفعال</w:t>
      </w:r>
      <w:r w:rsidR="005C7C30" w:rsidRPr="00C44705">
        <w:rPr>
          <w:rFonts w:ascii="Sakkal Majalla" w:eastAsia="Times New Roman" w:hAnsi="Sakkal Majalla" w:cs="Sakkal Majalla" w:hint="cs"/>
          <w:sz w:val="28"/>
          <w:szCs w:val="28"/>
          <w:rtl/>
        </w:rPr>
        <w:t>ة</w:t>
      </w:r>
      <w:r w:rsidRPr="00C44705">
        <w:rPr>
          <w:rFonts w:ascii="Sakkal Majalla" w:eastAsia="Times New Roman" w:hAnsi="Sakkal Majalla" w:cs="Sakkal Majalla"/>
          <w:sz w:val="28"/>
          <w:szCs w:val="28"/>
        </w:rPr>
        <w:t>:</w:t>
      </w:r>
      <w:r w:rsidR="005C7C30"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الهدف هو إنشاء هيكل واضح للسلطة والمسؤولية، وجعل "المساءلة" واقعًا ملموسًا وليس مجرد مفهوم نظري </w:t>
      </w:r>
      <w:r w:rsidRPr="00C44705">
        <w:rPr>
          <w:rFonts w:ascii="Sakkal Majalla" w:eastAsia="Times New Roman" w:hAnsi="Sakkal Majalla" w:cs="Sakkal Majalla"/>
          <w:sz w:val="28"/>
          <w:szCs w:val="28"/>
        </w:rPr>
        <w:t>(Brennan &amp; Solomon, 2008</w:t>
      </w:r>
      <w:proofErr w:type="gramStart"/>
      <w:r w:rsidRPr="00C44705">
        <w:rPr>
          <w:rFonts w:ascii="Sakkal Majalla" w:eastAsia="Times New Roman" w:hAnsi="Sakkal Majalla" w:cs="Sakkal Majalla"/>
          <w:sz w:val="28"/>
          <w:szCs w:val="28"/>
        </w:rPr>
        <w:t xml:space="preserve">) </w:t>
      </w:r>
      <w:r w:rsidR="0060723C">
        <w:rPr>
          <w:rFonts w:ascii="Sakkal Majalla" w:eastAsia="Times New Roman" w:hAnsi="Sakkal Majalla" w:cs="Sakkal Majalla"/>
          <w:sz w:val="28"/>
          <w:szCs w:val="28"/>
        </w:rPr>
        <w:t xml:space="preserve"> </w:t>
      </w:r>
      <w:r w:rsidRPr="00C44705">
        <w:rPr>
          <w:rFonts w:ascii="Sakkal Majalla" w:eastAsia="Times New Roman" w:hAnsi="Sakkal Majalla" w:cs="Sakkal Majalla"/>
          <w:sz w:val="28"/>
          <w:szCs w:val="28"/>
          <w:rtl/>
        </w:rPr>
        <w:t>ويتم</w:t>
      </w:r>
      <w:proofErr w:type="gramEnd"/>
      <w:r w:rsidRPr="00C44705">
        <w:rPr>
          <w:rFonts w:ascii="Sakkal Majalla" w:eastAsia="Times New Roman" w:hAnsi="Sakkal Majalla" w:cs="Sakkal Majalla"/>
          <w:sz w:val="28"/>
          <w:szCs w:val="28"/>
          <w:rtl/>
        </w:rPr>
        <w:t xml:space="preserve"> ذلك عبر آليات إشرافية فعالة تراقب الأداء التنفيذي، وهو ما اعتبرته الأدبيات الكلاسيكية الآلية الجوهرية لحل مشكلة فصل الملكية عن السيطرة </w:t>
      </w:r>
      <w:r w:rsidRPr="00C44705">
        <w:rPr>
          <w:rFonts w:ascii="Sakkal Majalla" w:eastAsia="Times New Roman" w:hAnsi="Sakkal Majalla" w:cs="Sakkal Majalla"/>
          <w:sz w:val="28"/>
          <w:szCs w:val="28"/>
        </w:rPr>
        <w:t>(Fama &amp; Jensen, 1983).</w:t>
      </w:r>
    </w:p>
    <w:p w14:paraId="49B0DCA5" w14:textId="0C9F5E72" w:rsidR="005C7C30" w:rsidRPr="00C44705" w:rsidRDefault="00060054" w:rsidP="002D76E9">
      <w:pPr>
        <w:pStyle w:val="ListParagraph"/>
        <w:numPr>
          <w:ilvl w:val="0"/>
          <w:numId w:val="108"/>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lastRenderedPageBreak/>
        <w:t>حماية حقوق أصحاب المصلحة</w:t>
      </w:r>
      <w:r w:rsidRPr="00C44705">
        <w:rPr>
          <w:rFonts w:ascii="Sakkal Majalla" w:eastAsia="Times New Roman" w:hAnsi="Sakkal Majalla" w:cs="Sakkal Majalla"/>
          <w:sz w:val="28"/>
          <w:szCs w:val="28"/>
        </w:rPr>
        <w:t>:</w:t>
      </w:r>
      <w:r w:rsidR="005C7C30"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تهدف الحوكمة بشكل مباشر إلى حماية حقوق جميع أصحاب المصلحة، من خلال ضمان المعاملة العادلة وتسهيل ممارستهم لحقوقهم. هذا الهدف هو محور المبادئ العالمية للحوكمة، مثل تلك الصادرة عن منظمة التعاون والتنمية الاقتصادية</w:t>
      </w:r>
      <w:r w:rsidRPr="00C44705">
        <w:rPr>
          <w:rFonts w:ascii="Sakkal Majalla" w:eastAsia="Times New Roman" w:hAnsi="Sakkal Majalla" w:cs="Sakkal Majalla"/>
          <w:sz w:val="28"/>
          <w:szCs w:val="28"/>
        </w:rPr>
        <w:t xml:space="preserve"> (OECD, 2015).</w:t>
      </w:r>
    </w:p>
    <w:p w14:paraId="5D2D6F5D" w14:textId="2B6E0FED" w:rsidR="005C7C30" w:rsidRPr="00C44705" w:rsidRDefault="00060054" w:rsidP="002D76E9">
      <w:pPr>
        <w:pStyle w:val="ListParagraph"/>
        <w:numPr>
          <w:ilvl w:val="0"/>
          <w:numId w:val="108"/>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t>تعزيز الشفافية والإفصاح</w:t>
      </w:r>
      <w:r w:rsidRPr="00C44705">
        <w:rPr>
          <w:rFonts w:ascii="Sakkal Majalla" w:eastAsia="Times New Roman" w:hAnsi="Sakkal Majalla" w:cs="Sakkal Majalla"/>
          <w:sz w:val="28"/>
          <w:szCs w:val="28"/>
        </w:rPr>
        <w:t>:</w:t>
      </w:r>
      <w:r w:rsidR="005C7C30"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من أهدافها الرئيسية ضمان توفير معلومات دقيقة وموثوقة. فالشفافية تقلل من "عدم تماثل المعلومات</w:t>
      </w:r>
      <w:r w:rsidRPr="00C44705">
        <w:rPr>
          <w:rFonts w:ascii="Sakkal Majalla" w:eastAsia="Times New Roman" w:hAnsi="Sakkal Majalla" w:cs="Sakkal Majalla"/>
          <w:sz w:val="28"/>
          <w:szCs w:val="28"/>
        </w:rPr>
        <w:t xml:space="preserve">" (Information Asymmetry) </w:t>
      </w:r>
      <w:r w:rsidRPr="00C44705">
        <w:rPr>
          <w:rFonts w:ascii="Sakkal Majalla" w:eastAsia="Times New Roman" w:hAnsi="Sakkal Majalla" w:cs="Sakkal Majalla"/>
          <w:sz w:val="28"/>
          <w:szCs w:val="28"/>
          <w:rtl/>
        </w:rPr>
        <w:t>بين صانعي القرار والأطراف ذات الصلة، وتعتبر مطلبًا أساسيًا لتعزيز الثقة </w:t>
      </w:r>
      <w:r w:rsidRPr="00C44705">
        <w:rPr>
          <w:rFonts w:ascii="Sakkal Majalla" w:eastAsia="Times New Roman" w:hAnsi="Sakkal Majalla" w:cs="Sakkal Majalla"/>
          <w:sz w:val="28"/>
          <w:szCs w:val="28"/>
        </w:rPr>
        <w:t>(Fung, 2014).</w:t>
      </w:r>
    </w:p>
    <w:p w14:paraId="3848E7DF" w14:textId="35694283" w:rsidR="00C44705" w:rsidRPr="00C44705" w:rsidRDefault="00060054" w:rsidP="002D76E9">
      <w:pPr>
        <w:pStyle w:val="ListParagraph"/>
        <w:numPr>
          <w:ilvl w:val="0"/>
          <w:numId w:val="108"/>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t>إدارة المخاطر بفاعلية</w:t>
      </w:r>
      <w:r w:rsidRPr="00C44705">
        <w:rPr>
          <w:rFonts w:ascii="Sakkal Majalla" w:eastAsia="Times New Roman" w:hAnsi="Sakkal Majalla" w:cs="Sakkal Majalla"/>
          <w:sz w:val="28"/>
          <w:szCs w:val="28"/>
        </w:rPr>
        <w:t>:</w:t>
      </w:r>
      <w:r w:rsidR="005C7C30"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تهدف الحوكمة إلى إنشاء نظام منهجي لتحديد وتقييم وإدارة المخاطر التي تواجه المنظمة. وقد تطورت أدبيات الحوكمة لتؤكد أن إدارة المخاطر ليست وظيفة منفصلة، بل هي جزء لا يتجزأ من مسؤوليات القيادة العليا لضمان استدامة المنظمة</w:t>
      </w:r>
      <w:r w:rsidR="006E3B11" w:rsidRPr="00C44705">
        <w:rPr>
          <w:rFonts w:ascii="Sakkal Majalla" w:eastAsia="Times New Roman" w:hAnsi="Sakkal Majalla" w:cs="Sakkal Majalla" w:hint="cs"/>
          <w:sz w:val="28"/>
          <w:szCs w:val="28"/>
          <w:rtl/>
        </w:rPr>
        <w:t>.</w:t>
      </w:r>
    </w:p>
    <w:p w14:paraId="5060870A" w14:textId="3879EB69" w:rsidR="00060054" w:rsidRPr="00C44705" w:rsidRDefault="00060054" w:rsidP="002D76E9">
      <w:pPr>
        <w:pStyle w:val="ListParagraph"/>
        <w:numPr>
          <w:ilvl w:val="0"/>
          <w:numId w:val="108"/>
        </w:numPr>
        <w:bidi/>
        <w:spacing w:after="0" w:line="276" w:lineRule="auto"/>
        <w:ind w:left="281" w:hanging="283"/>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t>تحقيق الأداء المستدام</w:t>
      </w:r>
      <w:r w:rsidRPr="00C44705">
        <w:rPr>
          <w:rFonts w:ascii="Sakkal Majalla" w:eastAsia="Times New Roman" w:hAnsi="Sakkal Majalla" w:cs="Sakkal Majalla"/>
          <w:sz w:val="28"/>
          <w:szCs w:val="28"/>
        </w:rPr>
        <w:t>:</w:t>
      </w:r>
      <w:r w:rsidR="005C7C30" w:rsidRPr="00C44705">
        <w:rPr>
          <w:rFonts w:ascii="Sakkal Majalla" w:eastAsia="Times New Roman" w:hAnsi="Sakkal Majalla" w:cs="Sakkal Majalla" w:hint="cs"/>
          <w:sz w:val="28"/>
          <w:szCs w:val="28"/>
          <w:rtl/>
        </w:rPr>
        <w:t xml:space="preserve"> </w:t>
      </w:r>
      <w:r w:rsidRPr="00C44705">
        <w:rPr>
          <w:rFonts w:ascii="Sakkal Majalla" w:eastAsia="Times New Roman" w:hAnsi="Sakkal Majalla" w:cs="Sakkal Majalla"/>
          <w:sz w:val="28"/>
          <w:szCs w:val="28"/>
          <w:rtl/>
        </w:rPr>
        <w:t>الهدف النهائي هو ربط كل ما سبق بتحقيق نتائج ملموسة. فالحوكمة تهدف في النهاية إلى تحسين الأداء المؤسسي. وكما أثبتت دراسات تطبيقية عديدة وجود علاقة إيجابية بين جودة الحوكمة والأداء التشغيلي </w:t>
      </w:r>
      <w:r w:rsidRPr="00C44705">
        <w:rPr>
          <w:rFonts w:ascii="Sakkal Majalla" w:eastAsia="Times New Roman" w:hAnsi="Sakkal Majalla" w:cs="Sakkal Majalla"/>
          <w:sz w:val="28"/>
          <w:szCs w:val="28"/>
        </w:rPr>
        <w:t xml:space="preserve">(Brown &amp; Caylor, 2009; </w:t>
      </w:r>
      <w:proofErr w:type="spellStart"/>
      <w:r w:rsidRPr="00C44705">
        <w:rPr>
          <w:rFonts w:ascii="Sakkal Majalla" w:eastAsia="Times New Roman" w:hAnsi="Sakkal Majalla" w:cs="Sakkal Majalla"/>
          <w:sz w:val="28"/>
          <w:szCs w:val="28"/>
        </w:rPr>
        <w:t>Buallay</w:t>
      </w:r>
      <w:proofErr w:type="spellEnd"/>
      <w:r w:rsidRPr="00C44705">
        <w:rPr>
          <w:rFonts w:ascii="Sakkal Majalla" w:eastAsia="Times New Roman" w:hAnsi="Sakkal Majalla" w:cs="Sakkal Majalla"/>
          <w:sz w:val="28"/>
          <w:szCs w:val="28"/>
        </w:rPr>
        <w:t>, 2017)</w:t>
      </w:r>
      <w:r w:rsidRPr="00C44705">
        <w:rPr>
          <w:rFonts w:ascii="Sakkal Majalla" w:eastAsia="Times New Roman" w:hAnsi="Sakkal Majalla" w:cs="Sakkal Majalla"/>
          <w:sz w:val="28"/>
          <w:szCs w:val="28"/>
          <w:rtl/>
        </w:rPr>
        <w:t>، فإن هذا المبدأ يؤكد أن الحوكمة استثمار مباشر في الأداء المستدام</w:t>
      </w:r>
      <w:r w:rsidRPr="00C44705">
        <w:rPr>
          <w:rFonts w:ascii="Sakkal Majalla" w:eastAsia="Times New Roman" w:hAnsi="Sakkal Majalla" w:cs="Sakkal Majalla"/>
          <w:sz w:val="28"/>
          <w:szCs w:val="28"/>
        </w:rPr>
        <w:t>.</w:t>
      </w:r>
    </w:p>
    <w:p w14:paraId="33BDB257" w14:textId="77777777" w:rsidR="004849CE" w:rsidRPr="004849CE" w:rsidRDefault="004849CE" w:rsidP="002D76E9">
      <w:pPr>
        <w:pStyle w:val="ListParagraph"/>
        <w:bidi/>
        <w:spacing w:after="0" w:line="276" w:lineRule="auto"/>
        <w:ind w:left="644"/>
        <w:jc w:val="both"/>
        <w:rPr>
          <w:rFonts w:ascii="Sakkal Majalla" w:eastAsia="Times New Roman" w:hAnsi="Sakkal Majalla" w:cs="Sakkal Majalla"/>
          <w:sz w:val="28"/>
          <w:szCs w:val="28"/>
        </w:rPr>
      </w:pPr>
    </w:p>
    <w:p w14:paraId="0A825925" w14:textId="38CF0276" w:rsidR="0093248D" w:rsidRDefault="00060054" w:rsidP="002D76E9">
      <w:pPr>
        <w:bidi/>
        <w:spacing w:after="0" w:line="276" w:lineRule="auto"/>
        <w:jc w:val="both"/>
        <w:rPr>
          <w:rFonts w:ascii="Sakkal Majalla" w:eastAsia="Times New Roman" w:hAnsi="Sakkal Majalla" w:cs="Sakkal Majalla"/>
          <w:sz w:val="28"/>
          <w:szCs w:val="28"/>
          <w:rtl/>
        </w:rPr>
      </w:pPr>
      <w:r w:rsidRPr="004849CE">
        <w:rPr>
          <w:rFonts w:ascii="Sakkal Majalla" w:eastAsia="Times New Roman" w:hAnsi="Sakkal Majalla" w:cs="Sakkal Majalla"/>
          <w:sz w:val="28"/>
          <w:szCs w:val="28"/>
          <w:rtl/>
        </w:rPr>
        <w:t>أهمية الحوكمة تكمن في كونها الحل النظري للمشاكل الهيكلية في المنظمات الحديثة، حيث تبني الثقة وتضمن الاستقرار وتمكّن خلق القيمة. أما أهدافها، فهي الإجراءات العملية التي تحقق هذه الأهمية من خلال إرساء المساءلة، وحماية الحقوق، وتعزيز الشفافية، وإدارة المخاطر، ودفع الأداء. وبهذا التكامل، تتحول الحوكمة من مجرد قواعد إلى محرك حقيقي للتميز المؤسسي</w:t>
      </w:r>
      <w:r w:rsidRPr="004849CE">
        <w:rPr>
          <w:rFonts w:ascii="Sakkal Majalla" w:eastAsia="Times New Roman" w:hAnsi="Sakkal Majalla" w:cs="Sakkal Majalla"/>
          <w:sz w:val="28"/>
          <w:szCs w:val="28"/>
        </w:rPr>
        <w:t>.</w:t>
      </w:r>
    </w:p>
    <w:p w14:paraId="2FA281D1" w14:textId="77777777" w:rsidR="00CB7DEF" w:rsidRDefault="00CB7DEF" w:rsidP="002D76E9">
      <w:pPr>
        <w:bidi/>
        <w:spacing w:after="0" w:line="276" w:lineRule="auto"/>
        <w:jc w:val="both"/>
        <w:rPr>
          <w:rFonts w:ascii="Sakkal Majalla" w:eastAsia="Times New Roman" w:hAnsi="Sakkal Majalla" w:cs="Sakkal Majalla"/>
          <w:sz w:val="28"/>
          <w:szCs w:val="28"/>
          <w:rtl/>
        </w:rPr>
      </w:pPr>
    </w:p>
    <w:p w14:paraId="54F87AAB" w14:textId="14ADB63A" w:rsidR="004849CE" w:rsidRPr="00A238AA" w:rsidRDefault="00C44705"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1-5 </w:t>
      </w:r>
      <w:r w:rsidR="00CB7DEF" w:rsidRPr="00A238AA">
        <w:rPr>
          <w:rFonts w:ascii="Sakkal Majalla" w:eastAsia="Times New Roman" w:hAnsi="Sakkal Majalla" w:cs="Sakkal Majalla"/>
          <w:b/>
          <w:bCs/>
          <w:sz w:val="28"/>
          <w:szCs w:val="28"/>
          <w:rtl/>
        </w:rPr>
        <w:t xml:space="preserve">أدوات </w:t>
      </w:r>
      <w:r w:rsidR="004849CE" w:rsidRPr="00A238AA">
        <w:rPr>
          <w:rFonts w:ascii="Sakkal Majalla" w:eastAsia="Times New Roman" w:hAnsi="Sakkal Majalla" w:cs="Sakkal Majalla" w:hint="cs"/>
          <w:b/>
          <w:bCs/>
          <w:sz w:val="28"/>
          <w:szCs w:val="28"/>
          <w:rtl/>
        </w:rPr>
        <w:t>ال</w:t>
      </w:r>
      <w:r w:rsidR="00CB7DEF" w:rsidRPr="00A238AA">
        <w:rPr>
          <w:rFonts w:ascii="Sakkal Majalla" w:eastAsia="Times New Roman" w:hAnsi="Sakkal Majalla" w:cs="Sakkal Majalla"/>
          <w:b/>
          <w:bCs/>
          <w:sz w:val="28"/>
          <w:szCs w:val="28"/>
          <w:rtl/>
        </w:rPr>
        <w:t>حوكمة</w:t>
      </w:r>
    </w:p>
    <w:p w14:paraId="5C92D2E1" w14:textId="2BB27FB3" w:rsidR="00A238AA" w:rsidRPr="00A238AA" w:rsidRDefault="00A238AA" w:rsidP="002D76E9">
      <w:pPr>
        <w:bidi/>
        <w:spacing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أولاً: </w:t>
      </w:r>
      <w:r w:rsidRPr="00A238AA">
        <w:rPr>
          <w:rFonts w:ascii="Sakkal Majalla" w:eastAsia="Times New Roman" w:hAnsi="Sakkal Majalla" w:cs="Sakkal Majalla"/>
          <w:b/>
          <w:bCs/>
          <w:sz w:val="28"/>
          <w:szCs w:val="28"/>
          <w:rtl/>
        </w:rPr>
        <w:t>الاستراتيجية كأداة حوكمة</w:t>
      </w:r>
      <w:r w:rsidRPr="00A238AA">
        <w:rPr>
          <w:rFonts w:ascii="Sakkal Majalla" w:eastAsia="Times New Roman" w:hAnsi="Sakkal Majalla" w:cs="Sakkal Majalla"/>
          <w:b/>
          <w:bCs/>
          <w:sz w:val="28"/>
          <w:szCs w:val="28"/>
        </w:rPr>
        <w:t xml:space="preserve"> </w:t>
      </w:r>
    </w:p>
    <w:p w14:paraId="07B0F475" w14:textId="77777777" w:rsidR="00A238AA" w:rsidRPr="00A238AA" w:rsidRDefault="00A238AA" w:rsidP="002D76E9">
      <w:pPr>
        <w:bidi/>
        <w:spacing w:after="0" w:line="276" w:lineRule="auto"/>
        <w:jc w:val="both"/>
        <w:rPr>
          <w:rFonts w:ascii="Sakkal Majalla" w:eastAsia="Times New Roman" w:hAnsi="Sakkal Majalla" w:cs="Sakkal Majalla"/>
          <w:sz w:val="28"/>
          <w:szCs w:val="28"/>
        </w:rPr>
      </w:pPr>
      <w:r w:rsidRPr="00A238AA">
        <w:rPr>
          <w:rFonts w:ascii="Sakkal Majalla" w:eastAsia="Times New Roman" w:hAnsi="Sakkal Majalla" w:cs="Sakkal Majalla"/>
          <w:sz w:val="28"/>
          <w:szCs w:val="28"/>
          <w:rtl/>
        </w:rPr>
        <w:t xml:space="preserve">تنتقل الاستراتيجية في المنظور الحديث للحوكمة من كونها وثيقة تخطيط إلى أن تكون </w:t>
      </w:r>
      <w:r w:rsidRPr="00A238AA">
        <w:rPr>
          <w:rFonts w:ascii="Sakkal Majalla" w:eastAsia="Times New Roman" w:hAnsi="Sakkal Majalla" w:cs="Sakkal Majalla"/>
          <w:sz w:val="28"/>
          <w:szCs w:val="28"/>
        </w:rPr>
        <w:t>"</w:t>
      </w:r>
      <w:r w:rsidRPr="00A238AA">
        <w:rPr>
          <w:rFonts w:ascii="Sakkal Majalla" w:eastAsia="Times New Roman" w:hAnsi="Sakkal Majalla" w:cs="Sakkal Majalla"/>
          <w:sz w:val="28"/>
          <w:szCs w:val="28"/>
          <w:rtl/>
        </w:rPr>
        <w:t>عقد الأداء</w:t>
      </w:r>
      <w:r w:rsidRPr="00A238AA">
        <w:rPr>
          <w:rFonts w:ascii="Sakkal Majalla" w:eastAsia="Times New Roman" w:hAnsi="Sakkal Majalla" w:cs="Sakkal Majalla"/>
          <w:sz w:val="28"/>
          <w:szCs w:val="28"/>
        </w:rPr>
        <w:t xml:space="preserve">" </w:t>
      </w:r>
      <w:r w:rsidRPr="00A238AA">
        <w:rPr>
          <w:rFonts w:ascii="Sakkal Majalla" w:eastAsia="Times New Roman" w:hAnsi="Sakkal Majalla" w:cs="Sakkal Majalla"/>
          <w:sz w:val="28"/>
          <w:szCs w:val="28"/>
          <w:rtl/>
        </w:rPr>
        <w:t>بين المجلس والإدارة. مكانتها مركزية في أعلى الهيكل، حيث إنها تحدد الوجهة التي يجب أن تُوجَّه إليها جميع أدوات الحوكمة الأخرى</w:t>
      </w:r>
      <w:r w:rsidRPr="00A238AA">
        <w:rPr>
          <w:rFonts w:ascii="Sakkal Majalla" w:eastAsia="Times New Roman" w:hAnsi="Sakkal Majalla" w:cs="Sakkal Majalla"/>
          <w:sz w:val="28"/>
          <w:szCs w:val="28"/>
        </w:rPr>
        <w:t>.</w:t>
      </w:r>
    </w:p>
    <w:p w14:paraId="44E481F4" w14:textId="2A9EE381"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p>
    <w:p w14:paraId="27850832" w14:textId="79D9CF44"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ثانيًا: </w:t>
      </w:r>
      <w:r w:rsidRPr="00A238AA">
        <w:rPr>
          <w:rFonts w:ascii="Sakkal Majalla" w:eastAsia="Times New Roman" w:hAnsi="Sakkal Majalla" w:cs="Sakkal Majalla"/>
          <w:b/>
          <w:bCs/>
          <w:sz w:val="28"/>
          <w:szCs w:val="28"/>
          <w:rtl/>
        </w:rPr>
        <w:t>الأدوات الهيكلية والتنظيمية</w:t>
      </w:r>
      <w:r w:rsidRPr="00A238AA">
        <w:rPr>
          <w:rFonts w:ascii="Sakkal Majalla" w:eastAsia="Times New Roman" w:hAnsi="Sakkal Majalla" w:cs="Sakkal Majalla"/>
          <w:b/>
          <w:bCs/>
          <w:sz w:val="28"/>
          <w:szCs w:val="28"/>
        </w:rPr>
        <w:t xml:space="preserve"> </w:t>
      </w:r>
    </w:p>
    <w:p w14:paraId="35982900" w14:textId="77777777"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r w:rsidRPr="00A238AA">
        <w:rPr>
          <w:rFonts w:ascii="Sakkal Majalla" w:eastAsia="Times New Roman" w:hAnsi="Sakkal Majalla" w:cs="Sakkal Majalla"/>
          <w:sz w:val="28"/>
          <w:szCs w:val="28"/>
          <w:rtl/>
        </w:rPr>
        <w:lastRenderedPageBreak/>
        <w:t>تُعد الأدوات الهيكلية والتنظيمية بمثابة العمود الفقري لنظام الحوكمة داخل أي مؤسسة، حيث تعمل على تأسيس إطار واضح للفصل بين السلطات، وتحديد المسؤوليات، وتفعيل آليات المساءلة. هذه الأدوات تضمن أن القرارات الاستراتيجية والعمليات اليومية تتم وفق ضوابط محددة تحقق أهداف المؤسسة وتحمي مصالح جميع الأطراف</w:t>
      </w:r>
      <w:r w:rsidRPr="00A238AA">
        <w:rPr>
          <w:rFonts w:ascii="Sakkal Majalla" w:eastAsia="Times New Roman" w:hAnsi="Sakkal Majalla" w:cs="Sakkal Majalla"/>
          <w:b/>
          <w:bCs/>
          <w:sz w:val="28"/>
          <w:szCs w:val="28"/>
        </w:rPr>
        <w:t>.</w:t>
      </w:r>
    </w:p>
    <w:p w14:paraId="2969BFBD" w14:textId="33F14A5B"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r w:rsidRPr="00A238AA">
        <w:rPr>
          <w:rFonts w:ascii="Sakkal Majalla" w:eastAsia="Times New Roman" w:hAnsi="Sakkal Majalla" w:cs="Sakkal Majalla"/>
          <w:b/>
          <w:bCs/>
          <w:sz w:val="28"/>
          <w:szCs w:val="28"/>
          <w:rtl/>
        </w:rPr>
        <w:t>1</w:t>
      </w:r>
      <w:r w:rsidRPr="00A238AA">
        <w:rPr>
          <w:rFonts w:ascii="Sakkal Majalla" w:eastAsia="Times New Roman" w:hAnsi="Sakkal Majalla" w:cs="Sakkal Majalla"/>
          <w:b/>
          <w:bCs/>
          <w:sz w:val="28"/>
          <w:szCs w:val="28"/>
        </w:rPr>
        <w:t xml:space="preserve">. </w:t>
      </w:r>
      <w:r w:rsidRPr="00A238AA">
        <w:rPr>
          <w:rFonts w:ascii="Sakkal Majalla" w:eastAsia="Times New Roman" w:hAnsi="Sakkal Majalla" w:cs="Sakkal Majalla"/>
          <w:b/>
          <w:bCs/>
          <w:sz w:val="28"/>
          <w:szCs w:val="28"/>
          <w:rtl/>
        </w:rPr>
        <w:t xml:space="preserve">مجلس </w:t>
      </w:r>
      <w:r w:rsidRPr="00A238AA">
        <w:rPr>
          <w:rFonts w:ascii="Sakkal Majalla" w:eastAsia="Times New Roman" w:hAnsi="Sakkal Majalla" w:cs="Sakkal Majalla" w:hint="cs"/>
          <w:b/>
          <w:bCs/>
          <w:sz w:val="28"/>
          <w:szCs w:val="28"/>
          <w:rtl/>
        </w:rPr>
        <w:t>الإدارة</w:t>
      </w:r>
      <w:r>
        <w:rPr>
          <w:rFonts w:ascii="Sakkal Majalla" w:eastAsia="Times New Roman" w:hAnsi="Sakkal Majalla" w:cs="Sakkal Majalla" w:hint="cs"/>
          <w:b/>
          <w:bCs/>
          <w:sz w:val="28"/>
          <w:szCs w:val="28"/>
          <w:rtl/>
        </w:rPr>
        <w:t xml:space="preserve"> </w:t>
      </w:r>
    </w:p>
    <w:p w14:paraId="2C76155F" w14:textId="2558CC9C"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 xml:space="preserve">يأتي مجلس الإدارة في قمة الهيكل التنظيمي للحوكمة، فهو ليس مجرد هيئة إشرافية، بل هو المحرك الاستراتيجي الذي يوجه المؤسسة. تتركز مسؤوليته الأساسية في رسم التوجهات الاستراتيجية الكبرى، ومراقبة أداء الإدارة التنفيذية لضمان تحقيقها، والأهم من ذلك، حماية حقوق المساهمين وكافة أصحاب المصالح. ولضمان فاعليته، شددت لائحة حوكمة الشركات الصادرة عن هيئة السوق المالية (2023) على ضرورة أن يتمتع المجلس بالصلاحيات الكاملة لتحقيق </w:t>
      </w:r>
      <w:r w:rsidR="00C44705" w:rsidRPr="00A238AA">
        <w:rPr>
          <w:rFonts w:ascii="Sakkal Majalla" w:eastAsia="Times New Roman" w:hAnsi="Sakkal Majalla" w:cs="Sakkal Majalla" w:hint="cs"/>
          <w:sz w:val="28"/>
          <w:szCs w:val="28"/>
          <w:rtl/>
        </w:rPr>
        <w:t>مهامه</w:t>
      </w:r>
      <w:r w:rsidR="00C44705">
        <w:rPr>
          <w:rFonts w:ascii="Sakkal Majalla" w:eastAsia="Times New Roman" w:hAnsi="Sakkal Majalla" w:cs="Sakkal Majalla" w:hint="cs"/>
          <w:sz w:val="28"/>
          <w:szCs w:val="28"/>
          <w:rtl/>
        </w:rPr>
        <w:t>. ولتحقيق</w:t>
      </w:r>
      <w:r w:rsidRPr="00A238AA">
        <w:rPr>
          <w:rFonts w:ascii="Sakkal Majalla" w:eastAsia="Times New Roman" w:hAnsi="Sakkal Majalla" w:cs="Sakkal Majalla"/>
          <w:sz w:val="28"/>
          <w:szCs w:val="28"/>
          <w:rtl/>
        </w:rPr>
        <w:t xml:space="preserve"> التوازن والموضوعية في قراراته، يجب أن يتكون المجلس من مزيج متكامل من الأعضاء</w:t>
      </w:r>
      <w:r w:rsidRPr="00A238AA">
        <w:rPr>
          <w:rFonts w:ascii="Sakkal Majalla" w:eastAsia="Times New Roman" w:hAnsi="Sakkal Majalla" w:cs="Sakkal Majalla"/>
          <w:sz w:val="28"/>
          <w:szCs w:val="28"/>
        </w:rPr>
        <w:t>:</w:t>
      </w:r>
    </w:p>
    <w:p w14:paraId="491EB03B" w14:textId="77777777" w:rsidR="00A238AA" w:rsidRPr="00A238AA" w:rsidRDefault="00A238AA" w:rsidP="002D76E9">
      <w:pPr>
        <w:pStyle w:val="ListParagraph"/>
        <w:numPr>
          <w:ilvl w:val="0"/>
          <w:numId w:val="85"/>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الأعضاء التنفيذيون: الذين يمتلكون فهماً عميقاً للعمليات اليومية للمؤسسة</w:t>
      </w:r>
      <w:r w:rsidRPr="00A238AA">
        <w:rPr>
          <w:rFonts w:ascii="Sakkal Majalla" w:eastAsia="Times New Roman" w:hAnsi="Sakkal Majalla" w:cs="Sakkal Majalla"/>
          <w:sz w:val="28"/>
          <w:szCs w:val="28"/>
        </w:rPr>
        <w:t>.</w:t>
      </w:r>
    </w:p>
    <w:p w14:paraId="395BB5A7" w14:textId="77777777" w:rsidR="00A238AA" w:rsidRPr="00A238AA" w:rsidRDefault="00A238AA" w:rsidP="002D76E9">
      <w:pPr>
        <w:pStyle w:val="ListParagraph"/>
        <w:numPr>
          <w:ilvl w:val="0"/>
          <w:numId w:val="85"/>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الأعضاء غير التنفيذيين: الذين يقدمون رؤية خارجية وخبرات متنوعة</w:t>
      </w:r>
      <w:r w:rsidRPr="00A238AA">
        <w:rPr>
          <w:rFonts w:ascii="Sakkal Majalla" w:eastAsia="Times New Roman" w:hAnsi="Sakkal Majalla" w:cs="Sakkal Majalla"/>
          <w:sz w:val="28"/>
          <w:szCs w:val="28"/>
        </w:rPr>
        <w:t>.</w:t>
      </w:r>
    </w:p>
    <w:p w14:paraId="0E54A8EE" w14:textId="77777777" w:rsidR="00A238AA" w:rsidRDefault="00A238AA" w:rsidP="002D76E9">
      <w:pPr>
        <w:pStyle w:val="ListParagraph"/>
        <w:numPr>
          <w:ilvl w:val="0"/>
          <w:numId w:val="85"/>
        </w:numPr>
        <w:bidi/>
        <w:spacing w:after="0" w:line="276" w:lineRule="auto"/>
        <w:jc w:val="both"/>
        <w:rPr>
          <w:rFonts w:ascii="Sakkal Majalla" w:eastAsia="Times New Roman" w:hAnsi="Sakkal Majalla" w:cs="Sakkal Majalla"/>
          <w:sz w:val="28"/>
          <w:szCs w:val="28"/>
        </w:rPr>
      </w:pPr>
      <w:r w:rsidRPr="00A238AA">
        <w:rPr>
          <w:rFonts w:ascii="Sakkal Majalla" w:eastAsia="Times New Roman" w:hAnsi="Sakkal Majalla" w:cs="Sakkal Majalla"/>
          <w:sz w:val="28"/>
          <w:szCs w:val="28"/>
          <w:rtl/>
        </w:rPr>
        <w:t>الأعضاء المستقلون: الذين يشكلون ضمانة أساسية للحياد والموضوعية، حيث لا تربطهم بالمؤسسة أي مصالح قد تؤثر على قراراتهم، وهو شرط أساسي لضمان نزاهة الإشراف (هيئة السوق المالية، 2023)</w:t>
      </w:r>
      <w:r w:rsidRPr="00A238AA">
        <w:rPr>
          <w:rFonts w:ascii="Sakkal Majalla" w:eastAsia="Times New Roman" w:hAnsi="Sakkal Majalla" w:cs="Sakkal Majalla"/>
          <w:sz w:val="28"/>
          <w:szCs w:val="28"/>
        </w:rPr>
        <w:t>.</w:t>
      </w:r>
    </w:p>
    <w:p w14:paraId="0096C4AC" w14:textId="77777777" w:rsidR="00A238AA" w:rsidRPr="00A238AA" w:rsidRDefault="00A238AA" w:rsidP="002D76E9">
      <w:pPr>
        <w:pStyle w:val="ListParagraph"/>
        <w:bidi/>
        <w:spacing w:after="0" w:line="276" w:lineRule="auto"/>
        <w:jc w:val="both"/>
        <w:rPr>
          <w:rFonts w:ascii="Sakkal Majalla" w:eastAsia="Times New Roman" w:hAnsi="Sakkal Majalla" w:cs="Sakkal Majalla"/>
          <w:sz w:val="28"/>
          <w:szCs w:val="28"/>
          <w:rtl/>
        </w:rPr>
      </w:pPr>
    </w:p>
    <w:p w14:paraId="60E15D18" w14:textId="4ABE5934"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r w:rsidRPr="00A238AA">
        <w:rPr>
          <w:rFonts w:ascii="Sakkal Majalla" w:eastAsia="Times New Roman" w:hAnsi="Sakkal Majalla" w:cs="Sakkal Majalla"/>
          <w:b/>
          <w:bCs/>
          <w:sz w:val="28"/>
          <w:szCs w:val="28"/>
          <w:rtl/>
        </w:rPr>
        <w:t>2</w:t>
      </w:r>
      <w:r w:rsidRPr="00A238AA">
        <w:rPr>
          <w:rFonts w:ascii="Sakkal Majalla" w:eastAsia="Times New Roman" w:hAnsi="Sakkal Majalla" w:cs="Sakkal Majalla"/>
          <w:b/>
          <w:bCs/>
          <w:sz w:val="28"/>
          <w:szCs w:val="28"/>
        </w:rPr>
        <w:t xml:space="preserve">. </w:t>
      </w:r>
      <w:r w:rsidRPr="00A238AA">
        <w:rPr>
          <w:rFonts w:ascii="Sakkal Majalla" w:eastAsia="Times New Roman" w:hAnsi="Sakkal Majalla" w:cs="Sakkal Majalla"/>
          <w:b/>
          <w:bCs/>
          <w:sz w:val="28"/>
          <w:szCs w:val="28"/>
          <w:rtl/>
        </w:rPr>
        <w:t>اللجان المنبثقة عن المجلس</w:t>
      </w:r>
      <w:r w:rsidRPr="00A238AA">
        <w:rPr>
          <w:rFonts w:ascii="Sakkal Majalla" w:eastAsia="Times New Roman" w:hAnsi="Sakkal Majalla" w:cs="Sakkal Majalla"/>
          <w:b/>
          <w:bCs/>
          <w:sz w:val="28"/>
          <w:szCs w:val="28"/>
        </w:rPr>
        <w:t xml:space="preserve"> </w:t>
      </w:r>
    </w:p>
    <w:p w14:paraId="40BD491F"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نظراً لتعدد مهام المجلس واتساعها، تنبثق عنه لجان متخصصة تعمل كأذرع رقابية وفنية لتعميق الإشراف في مجالات حيوية. هذه اللجان تدرس القضايا بعمق وترفع توصياتها للمجلس، مما يعزز من كفاءة عملية اتخاذ القرار. ومن أبرز هذه اللجان التي ألزمت بها اللوائح التنظيمية</w:t>
      </w:r>
      <w:r w:rsidRPr="00A238AA">
        <w:rPr>
          <w:rFonts w:ascii="Sakkal Majalla" w:eastAsia="Times New Roman" w:hAnsi="Sakkal Majalla" w:cs="Sakkal Majalla"/>
          <w:sz w:val="28"/>
          <w:szCs w:val="28"/>
        </w:rPr>
        <w:t>:</w:t>
      </w:r>
    </w:p>
    <w:p w14:paraId="38AAF737" w14:textId="77777777" w:rsidR="00A238AA" w:rsidRPr="00A238AA" w:rsidRDefault="00A238AA" w:rsidP="002D76E9">
      <w:pPr>
        <w:pStyle w:val="ListParagraph"/>
        <w:numPr>
          <w:ilvl w:val="0"/>
          <w:numId w:val="86"/>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لجنة المراجعة</w:t>
      </w:r>
      <w:r w:rsidRPr="00A238AA">
        <w:rPr>
          <w:rFonts w:ascii="Sakkal Majalla" w:eastAsia="Times New Roman" w:hAnsi="Sakkal Majalla" w:cs="Sakkal Majalla"/>
          <w:sz w:val="28"/>
          <w:szCs w:val="28"/>
        </w:rPr>
        <w:t xml:space="preserve"> (Audit Committee): </w:t>
      </w:r>
      <w:r w:rsidRPr="00A238AA">
        <w:rPr>
          <w:rFonts w:ascii="Sakkal Majalla" w:eastAsia="Times New Roman" w:hAnsi="Sakkal Majalla" w:cs="Sakkal Majalla"/>
          <w:sz w:val="28"/>
          <w:szCs w:val="28"/>
          <w:rtl/>
        </w:rPr>
        <w:t>تُعتبر خط الدفاع الأول عن النزاهة المالية. تتولى الإشراف على دقة التقارير المالية، وتقييم استقلالية وكفاءة المراجعين الخارجيين، ومراجعة فعالية أنظمة الرقابة الداخلية وإدارة المخاطر (البنك المركزي السعودي، 2024؛ هيئة السوق المالية، 2023)</w:t>
      </w:r>
      <w:r w:rsidRPr="00A238AA">
        <w:rPr>
          <w:rFonts w:ascii="Sakkal Majalla" w:eastAsia="Times New Roman" w:hAnsi="Sakkal Majalla" w:cs="Sakkal Majalla"/>
          <w:sz w:val="28"/>
          <w:szCs w:val="28"/>
        </w:rPr>
        <w:t>.</w:t>
      </w:r>
    </w:p>
    <w:p w14:paraId="11DAC15D" w14:textId="77777777" w:rsidR="00A238AA" w:rsidRPr="00A238AA" w:rsidRDefault="00A238AA" w:rsidP="002D76E9">
      <w:pPr>
        <w:pStyle w:val="ListParagraph"/>
        <w:numPr>
          <w:ilvl w:val="0"/>
          <w:numId w:val="86"/>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لجنة الترشيحات والمكافآت</w:t>
      </w:r>
      <w:r w:rsidRPr="00A238AA">
        <w:rPr>
          <w:rFonts w:ascii="Sakkal Majalla" w:eastAsia="Times New Roman" w:hAnsi="Sakkal Majalla" w:cs="Sakkal Majalla"/>
          <w:sz w:val="28"/>
          <w:szCs w:val="28"/>
        </w:rPr>
        <w:t xml:space="preserve"> (Nomination &amp; Remuneration Committee): </w:t>
      </w:r>
      <w:r w:rsidRPr="00A238AA">
        <w:rPr>
          <w:rFonts w:ascii="Sakkal Majalla" w:eastAsia="Times New Roman" w:hAnsi="Sakkal Majalla" w:cs="Sakkal Majalla"/>
          <w:sz w:val="28"/>
          <w:szCs w:val="28"/>
          <w:rtl/>
        </w:rPr>
        <w:t>تضطلع بمسؤولية حيوية تتمثل في وضع سياسات ومعايير شفافة لترشيح أعضاء مجلس الإدارة واختيار القيادات التنفيذية. كما أنها تحدد مكافآتهم بشكل يربط الأداء بتحقيق الأهداف الاستراتيجية طويلة الأجل، مما يضمن مواءمة مصالح الإدارة مع مصالح المساهمين (هيئة السوق المالية، 2023)</w:t>
      </w:r>
      <w:r w:rsidRPr="00A238AA">
        <w:rPr>
          <w:rFonts w:ascii="Sakkal Majalla" w:eastAsia="Times New Roman" w:hAnsi="Sakkal Majalla" w:cs="Sakkal Majalla"/>
          <w:sz w:val="28"/>
          <w:szCs w:val="28"/>
        </w:rPr>
        <w:t>.</w:t>
      </w:r>
    </w:p>
    <w:p w14:paraId="1038D219" w14:textId="77777777" w:rsidR="00A238AA" w:rsidRPr="00A238AA" w:rsidRDefault="00A238AA" w:rsidP="002D76E9">
      <w:pPr>
        <w:pStyle w:val="ListParagraph"/>
        <w:numPr>
          <w:ilvl w:val="0"/>
          <w:numId w:val="86"/>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لجنة المخاطر</w:t>
      </w:r>
      <w:r w:rsidRPr="00A238AA">
        <w:rPr>
          <w:rFonts w:ascii="Sakkal Majalla" w:eastAsia="Times New Roman" w:hAnsi="Sakkal Majalla" w:cs="Sakkal Majalla"/>
          <w:sz w:val="28"/>
          <w:szCs w:val="28"/>
        </w:rPr>
        <w:t xml:space="preserve"> (Risk Committee): </w:t>
      </w:r>
      <w:r w:rsidRPr="00A238AA">
        <w:rPr>
          <w:rFonts w:ascii="Sakkal Majalla" w:eastAsia="Times New Roman" w:hAnsi="Sakkal Majalla" w:cs="Sakkal Majalla"/>
          <w:sz w:val="28"/>
          <w:szCs w:val="28"/>
          <w:rtl/>
        </w:rPr>
        <w:t>في بيئة الأعمال المتقلبة، أصبح الإشراف على المخاطر ضرورة استراتيجية. تتولى هذه اللجنة مراجعة وتقييم استراتيجيات إدارة المخاطر في المؤسسة، وتحديد مستوى "الشهية للمخاطر</w:t>
      </w:r>
      <w:r w:rsidRPr="00A238AA">
        <w:rPr>
          <w:rFonts w:ascii="Sakkal Majalla" w:eastAsia="Times New Roman" w:hAnsi="Sakkal Majalla" w:cs="Sakkal Majalla"/>
          <w:sz w:val="28"/>
          <w:szCs w:val="28"/>
        </w:rPr>
        <w:t xml:space="preserve">" </w:t>
      </w:r>
      <w:r w:rsidRPr="00A238AA">
        <w:rPr>
          <w:rFonts w:ascii="Sakkal Majalla" w:eastAsia="Times New Roman" w:hAnsi="Sakkal Majalla" w:cs="Sakkal Majalla"/>
          <w:sz w:val="28"/>
          <w:szCs w:val="28"/>
        </w:rPr>
        <w:lastRenderedPageBreak/>
        <w:t>(Risk Appetite)</w:t>
      </w:r>
      <w:r w:rsidRPr="00A238AA">
        <w:rPr>
          <w:rFonts w:ascii="Sakkal Majalla" w:eastAsia="Times New Roman" w:hAnsi="Sakkal Majalla" w:cs="Sakkal Majalla"/>
          <w:sz w:val="28"/>
          <w:szCs w:val="28"/>
          <w:rtl/>
        </w:rPr>
        <w:t>، والتأكد من وجود أنظمة قوية للتعامل مع المخاطر المالية والتشغيلية والاستراتيجية (البنك المركزي السعودي، 2024)</w:t>
      </w:r>
      <w:r w:rsidRPr="00A238AA">
        <w:rPr>
          <w:rFonts w:ascii="Sakkal Majalla" w:eastAsia="Times New Roman" w:hAnsi="Sakkal Majalla" w:cs="Sakkal Majalla"/>
          <w:sz w:val="28"/>
          <w:szCs w:val="28"/>
        </w:rPr>
        <w:t>.</w:t>
      </w:r>
    </w:p>
    <w:p w14:paraId="6EE0BD3B" w14:textId="0370F90F" w:rsidR="00A238AA" w:rsidRPr="00A238AA" w:rsidRDefault="00A238AA" w:rsidP="002D76E9">
      <w:pPr>
        <w:bidi/>
        <w:spacing w:after="0" w:line="276" w:lineRule="auto"/>
        <w:jc w:val="both"/>
        <w:rPr>
          <w:rFonts w:ascii="Sakkal Majalla" w:eastAsia="Times New Roman" w:hAnsi="Sakkal Majalla" w:cs="Sakkal Majalla"/>
          <w:b/>
          <w:bCs/>
          <w:sz w:val="28"/>
          <w:szCs w:val="28"/>
          <w:rtl/>
        </w:rPr>
      </w:pPr>
      <w:r w:rsidRPr="00A238AA">
        <w:rPr>
          <w:rFonts w:ascii="Sakkal Majalla" w:eastAsia="Times New Roman" w:hAnsi="Sakkal Majalla" w:cs="Sakkal Majalla"/>
          <w:b/>
          <w:bCs/>
          <w:sz w:val="28"/>
          <w:szCs w:val="28"/>
          <w:rtl/>
        </w:rPr>
        <w:t>3</w:t>
      </w:r>
      <w:r w:rsidRPr="00A238AA">
        <w:rPr>
          <w:rFonts w:ascii="Sakkal Majalla" w:eastAsia="Times New Roman" w:hAnsi="Sakkal Majalla" w:cs="Sakkal Majalla"/>
          <w:b/>
          <w:bCs/>
          <w:sz w:val="28"/>
          <w:szCs w:val="28"/>
        </w:rPr>
        <w:t xml:space="preserve">. </w:t>
      </w:r>
      <w:r w:rsidRPr="00A238AA">
        <w:rPr>
          <w:rFonts w:ascii="Sakkal Majalla" w:eastAsia="Times New Roman" w:hAnsi="Sakkal Majalla" w:cs="Sakkal Majalla"/>
          <w:b/>
          <w:bCs/>
          <w:sz w:val="28"/>
          <w:szCs w:val="28"/>
          <w:rtl/>
        </w:rPr>
        <w:t xml:space="preserve">الهيكل التنظيمي </w:t>
      </w:r>
      <w:r w:rsidRPr="00A238AA">
        <w:rPr>
          <w:rFonts w:ascii="Sakkal Majalla" w:eastAsia="Times New Roman" w:hAnsi="Sakkal Majalla" w:cs="Sakkal Majalla"/>
          <w:b/>
          <w:bCs/>
          <w:sz w:val="28"/>
          <w:szCs w:val="28"/>
        </w:rPr>
        <w:t xml:space="preserve"> </w:t>
      </w:r>
    </w:p>
    <w:p w14:paraId="6FA1DF4B" w14:textId="3EC86A75" w:rsid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لا تكتمل منظومة الحوكمة دون وجود هيكل تنظيمي رسمي وواضح يحدد خطوط السلطة والمسؤولية والتبعية (</w:t>
      </w:r>
      <w:r w:rsidRPr="00A238AA">
        <w:rPr>
          <w:rFonts w:ascii="Sakkal Majalla" w:eastAsia="Times New Roman" w:hAnsi="Sakkal Majalla" w:cs="Sakkal Majalla"/>
          <w:sz w:val="28"/>
          <w:szCs w:val="28"/>
        </w:rPr>
        <w:t>Lines of Authority and Reporting</w:t>
      </w:r>
      <w:r w:rsidRPr="00A238AA">
        <w:rPr>
          <w:rFonts w:ascii="Sakkal Majalla" w:eastAsia="Times New Roman" w:hAnsi="Sakkal Majalla" w:cs="Sakkal Majalla"/>
          <w:sz w:val="28"/>
          <w:szCs w:val="28"/>
          <w:rtl/>
        </w:rPr>
        <w:t>). هذا الهيكل يمنع تداخل الصلاحيات، ويضمن أن كل فرد في المؤسسة يعرف مهامه والمسؤول المباشر عنه، مما يسهل عمليات التواصل، ويسرّع من اتخاذ القرارات، ويعزز من ثقافة المساءلة والشفافية على كافة المستويات الإدارية.</w:t>
      </w:r>
    </w:p>
    <w:p w14:paraId="1C44EC58" w14:textId="77777777" w:rsidR="00A238AA" w:rsidRPr="00A238AA" w:rsidRDefault="00A238AA" w:rsidP="002D76E9">
      <w:pPr>
        <w:bidi/>
        <w:spacing w:after="0" w:line="276" w:lineRule="auto"/>
        <w:jc w:val="both"/>
        <w:rPr>
          <w:rFonts w:ascii="Sakkal Majalla" w:eastAsia="Times New Roman" w:hAnsi="Sakkal Majalla" w:cs="Sakkal Majalla"/>
          <w:b/>
          <w:bCs/>
          <w:sz w:val="28"/>
          <w:szCs w:val="28"/>
          <w:highlight w:val="yellow"/>
          <w:rtl/>
        </w:rPr>
      </w:pPr>
    </w:p>
    <w:p w14:paraId="4542DB0B" w14:textId="30DA20F8" w:rsidR="0060723C" w:rsidRDefault="00A238AA" w:rsidP="0060723C">
      <w:pPr>
        <w:bidi/>
        <w:spacing w:after="0" w:line="276" w:lineRule="auto"/>
        <w:jc w:val="both"/>
        <w:rPr>
          <w:rFonts w:ascii="Sakkal Majalla" w:eastAsia="Times New Roman" w:hAnsi="Sakkal Majalla" w:cs="Sakkal Majalla"/>
          <w:b/>
          <w:bCs/>
          <w:sz w:val="28"/>
          <w:szCs w:val="28"/>
        </w:rPr>
      </w:pPr>
      <w:r w:rsidRPr="00A238AA">
        <w:rPr>
          <w:rFonts w:ascii="Sakkal Majalla" w:eastAsia="Times New Roman" w:hAnsi="Sakkal Majalla" w:cs="Sakkal Majalla" w:hint="cs"/>
          <w:b/>
          <w:bCs/>
          <w:sz w:val="28"/>
          <w:szCs w:val="28"/>
          <w:rtl/>
        </w:rPr>
        <w:t xml:space="preserve">ثالثًا: </w:t>
      </w:r>
      <w:r w:rsidRPr="00A238AA">
        <w:rPr>
          <w:rFonts w:ascii="Sakkal Majalla" w:eastAsia="Times New Roman" w:hAnsi="Sakkal Majalla" w:cs="Sakkal Majalla"/>
          <w:b/>
          <w:bCs/>
          <w:sz w:val="28"/>
          <w:szCs w:val="28"/>
          <w:rtl/>
        </w:rPr>
        <w:t>الأدوات الإجرائية والرقابية</w:t>
      </w:r>
      <w:r w:rsidRPr="00A238AA">
        <w:rPr>
          <w:rFonts w:ascii="Sakkal Majalla" w:eastAsia="Times New Roman" w:hAnsi="Sakkal Majalla" w:cs="Sakkal Majalla"/>
          <w:b/>
          <w:bCs/>
          <w:sz w:val="28"/>
          <w:szCs w:val="28"/>
        </w:rPr>
        <w:t xml:space="preserve"> </w:t>
      </w:r>
    </w:p>
    <w:p w14:paraId="68088A06" w14:textId="25EE626E" w:rsidR="00A238AA" w:rsidRPr="00A238AA" w:rsidRDefault="00A238AA" w:rsidP="0060723C">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إذا كانت الأدوات الهيكلية تضع الإطار العام للحوكمة، فإن الأدوات الإجرائية والرقابية هي المحرك الذي يترجم الاستراتيجيات والمبادئ العليا إلى ممارسات يومية موثقة وقابلة للقياس. هذه الأدوات تضمن أن العمليات التشغيلية تتم بكفاءة ونزاهة، وتوفر آليات للرقابة المستمرة والتصحيح</w:t>
      </w:r>
      <w:r w:rsidRPr="00A238AA">
        <w:rPr>
          <w:rFonts w:ascii="Sakkal Majalla" w:eastAsia="Times New Roman" w:hAnsi="Sakkal Majalla" w:cs="Sakkal Majalla"/>
          <w:sz w:val="28"/>
          <w:szCs w:val="28"/>
        </w:rPr>
        <w:t>.</w:t>
      </w:r>
    </w:p>
    <w:p w14:paraId="2AA3FA39"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1</w:t>
      </w:r>
      <w:r w:rsidRPr="00A238AA">
        <w:rPr>
          <w:rFonts w:ascii="Sakkal Majalla" w:eastAsia="Times New Roman" w:hAnsi="Sakkal Majalla" w:cs="Sakkal Majalla"/>
          <w:sz w:val="28"/>
          <w:szCs w:val="28"/>
        </w:rPr>
        <w:t xml:space="preserve">. </w:t>
      </w:r>
      <w:r w:rsidRPr="00A238AA">
        <w:rPr>
          <w:rFonts w:ascii="Sakkal Majalla" w:eastAsia="Times New Roman" w:hAnsi="Sakkal Majalla" w:cs="Sakkal Majalla"/>
          <w:sz w:val="28"/>
          <w:szCs w:val="28"/>
          <w:rtl/>
        </w:rPr>
        <w:t>المراجعة الداخلية</w:t>
      </w:r>
      <w:r w:rsidRPr="00A238AA">
        <w:rPr>
          <w:rFonts w:ascii="Sakkal Majalla" w:eastAsia="Times New Roman" w:hAnsi="Sakkal Majalla" w:cs="Sakkal Majalla"/>
          <w:sz w:val="28"/>
          <w:szCs w:val="28"/>
        </w:rPr>
        <w:t xml:space="preserve"> (Internal Audit)</w:t>
      </w:r>
    </w:p>
    <w:p w14:paraId="6FC321B7"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تُعتبر وظيفة المراجعة الداخلية بمثابة "ضمير المؤسسة" الرقابي. هي نشاط تقييم مستقل وموضوعي، مصمم لإضافة قيمة وتحسين عمليات المؤسسة. دورها لا يقتصر على اكتشاف الأخطاء المالية، بل يمتد لتقييم كفاية وفعالية أنظمة الرقابة الداخلية، وعمليات إدارة المخاطر، والالتزام بالسياسات والإجراءات. ولضمان استقلاليتها التامة، ترفع المراجعة الداخلية تقاريرها ونتائجها مباشرة إلى لجنة المراجعة، مما يمنحها الحصانة من أي تأثير قد تمارسه الإدارة التنفيذية (هيئة السوق المالية، 2023)</w:t>
      </w:r>
      <w:r w:rsidRPr="00A238AA">
        <w:rPr>
          <w:rFonts w:ascii="Sakkal Majalla" w:eastAsia="Times New Roman" w:hAnsi="Sakkal Majalla" w:cs="Sakkal Majalla"/>
          <w:sz w:val="28"/>
          <w:szCs w:val="28"/>
        </w:rPr>
        <w:t>.</w:t>
      </w:r>
    </w:p>
    <w:p w14:paraId="2BF14E7C" w14:textId="34723C9C"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2</w:t>
      </w:r>
      <w:r w:rsidRPr="00A238AA">
        <w:rPr>
          <w:rFonts w:ascii="Sakkal Majalla" w:eastAsia="Times New Roman" w:hAnsi="Sakkal Majalla" w:cs="Sakkal Majalla"/>
          <w:sz w:val="28"/>
          <w:szCs w:val="28"/>
        </w:rPr>
        <w:t xml:space="preserve">. </w:t>
      </w:r>
      <w:r w:rsidRPr="00A238AA">
        <w:rPr>
          <w:rFonts w:ascii="Sakkal Majalla" w:eastAsia="Times New Roman" w:hAnsi="Sakkal Majalla" w:cs="Sakkal Majalla"/>
          <w:sz w:val="28"/>
          <w:szCs w:val="28"/>
          <w:rtl/>
        </w:rPr>
        <w:t>إدارة المخاطر المؤسسية</w:t>
      </w:r>
      <w:proofErr w:type="gramStart"/>
      <w:r w:rsidR="00237149">
        <w:rPr>
          <w:rFonts w:ascii="Sakkal Majalla" w:eastAsia="Times New Roman" w:hAnsi="Sakkal Majalla" w:cs="Sakkal Majalla"/>
          <w:sz w:val="28"/>
          <w:szCs w:val="28"/>
        </w:rPr>
        <w:t xml:space="preserve">  </w:t>
      </w:r>
      <w:r w:rsidRPr="00A238AA">
        <w:rPr>
          <w:rFonts w:ascii="Sakkal Majalla" w:eastAsia="Times New Roman" w:hAnsi="Sakkal Majalla" w:cs="Sakkal Majalla"/>
          <w:sz w:val="28"/>
          <w:szCs w:val="28"/>
        </w:rPr>
        <w:t xml:space="preserve"> (</w:t>
      </w:r>
      <w:proofErr w:type="gramEnd"/>
      <w:r w:rsidRPr="00A238AA">
        <w:rPr>
          <w:rFonts w:ascii="Sakkal Majalla" w:eastAsia="Times New Roman" w:hAnsi="Sakkal Majalla" w:cs="Sakkal Majalla"/>
          <w:sz w:val="28"/>
          <w:szCs w:val="28"/>
        </w:rPr>
        <w:t xml:space="preserve">Enterprise Risk Management </w:t>
      </w:r>
      <w:r w:rsidR="00237149">
        <w:rPr>
          <w:rFonts w:ascii="Sakkal Majalla" w:eastAsia="Times New Roman" w:hAnsi="Sakkal Majalla" w:cs="Sakkal Majalla"/>
          <w:sz w:val="28"/>
          <w:szCs w:val="28"/>
        </w:rPr>
        <w:t>–</w:t>
      </w:r>
      <w:r w:rsidRPr="00A238AA">
        <w:rPr>
          <w:rFonts w:ascii="Sakkal Majalla" w:eastAsia="Times New Roman" w:hAnsi="Sakkal Majalla" w:cs="Sakkal Majalla"/>
          <w:sz w:val="28"/>
          <w:szCs w:val="28"/>
        </w:rPr>
        <w:t xml:space="preserve"> ERM</w:t>
      </w:r>
      <w:r w:rsidR="00237149">
        <w:rPr>
          <w:rFonts w:ascii="Sakkal Majalla" w:eastAsia="Times New Roman" w:hAnsi="Sakkal Majalla" w:cs="Sakkal Majalla"/>
          <w:sz w:val="28"/>
          <w:szCs w:val="28"/>
        </w:rPr>
        <w:t xml:space="preserve">)  </w:t>
      </w:r>
    </w:p>
    <w:p w14:paraId="635CBF31"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لم تعد إدارة المخاطر مجرد رد فعل للأزمات، بل أصبحت عملية استباقية ومستمرة تُدمج في صلب عملية اتخاذ القرار الاستراتيجي. تشمل إدارة المخاطر المؤسسية تحديد وتحليل وتقييم ومعالجة كافة المخاطر المحتملة التي قد تواجه المؤسسة، سواء كانت</w:t>
      </w:r>
      <w:r w:rsidRPr="00A238AA">
        <w:rPr>
          <w:rFonts w:ascii="Sakkal Majalla" w:eastAsia="Times New Roman" w:hAnsi="Sakkal Majalla" w:cs="Sakkal Majalla"/>
          <w:sz w:val="28"/>
          <w:szCs w:val="28"/>
        </w:rPr>
        <w:t>:</w:t>
      </w:r>
    </w:p>
    <w:p w14:paraId="781F93F6" w14:textId="77777777" w:rsidR="00A238AA" w:rsidRPr="00A238AA" w:rsidRDefault="00A238AA" w:rsidP="002D76E9">
      <w:pPr>
        <w:pStyle w:val="ListParagraph"/>
        <w:numPr>
          <w:ilvl w:val="0"/>
          <w:numId w:val="109"/>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مخاطر مالية: مثل تقلبات أسعار الصرف أو مخاطر الائتمان</w:t>
      </w:r>
      <w:r w:rsidRPr="00A238AA">
        <w:rPr>
          <w:rFonts w:ascii="Sakkal Majalla" w:eastAsia="Times New Roman" w:hAnsi="Sakkal Majalla" w:cs="Sakkal Majalla"/>
          <w:sz w:val="28"/>
          <w:szCs w:val="28"/>
        </w:rPr>
        <w:t>.</w:t>
      </w:r>
    </w:p>
    <w:p w14:paraId="6E7C4A69" w14:textId="77777777" w:rsidR="00A238AA" w:rsidRPr="00A238AA" w:rsidRDefault="00A238AA" w:rsidP="002D76E9">
      <w:pPr>
        <w:pStyle w:val="ListParagraph"/>
        <w:numPr>
          <w:ilvl w:val="0"/>
          <w:numId w:val="109"/>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مخاطر تشغيلية: مثل الأعطال التقنية أو الأخطاء البشرية</w:t>
      </w:r>
      <w:r w:rsidRPr="00A238AA">
        <w:rPr>
          <w:rFonts w:ascii="Sakkal Majalla" w:eastAsia="Times New Roman" w:hAnsi="Sakkal Majalla" w:cs="Sakkal Majalla"/>
          <w:sz w:val="28"/>
          <w:szCs w:val="28"/>
        </w:rPr>
        <w:t>.</w:t>
      </w:r>
    </w:p>
    <w:p w14:paraId="313F9CB3" w14:textId="77777777" w:rsidR="00A238AA" w:rsidRPr="00A238AA" w:rsidRDefault="00A238AA" w:rsidP="002D76E9">
      <w:pPr>
        <w:pStyle w:val="ListParagraph"/>
        <w:numPr>
          <w:ilvl w:val="0"/>
          <w:numId w:val="109"/>
        </w:num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مخاطر استراتيجية: مثل دخول منافسين جدد أو تغير أذواق العملاء</w:t>
      </w:r>
      <w:r w:rsidRPr="00A238AA">
        <w:rPr>
          <w:rFonts w:ascii="Sakkal Majalla" w:eastAsia="Times New Roman" w:hAnsi="Sakkal Majalla" w:cs="Sakkal Majalla"/>
          <w:sz w:val="28"/>
          <w:szCs w:val="28"/>
        </w:rPr>
        <w:t>.</w:t>
      </w:r>
    </w:p>
    <w:p w14:paraId="706B50EC" w14:textId="77777777" w:rsidR="00A238AA" w:rsidRDefault="00A238AA" w:rsidP="002D76E9">
      <w:pPr>
        <w:pStyle w:val="ListParagraph"/>
        <w:numPr>
          <w:ilvl w:val="0"/>
          <w:numId w:val="109"/>
        </w:numPr>
        <w:bidi/>
        <w:spacing w:after="0" w:line="276" w:lineRule="auto"/>
        <w:jc w:val="both"/>
        <w:rPr>
          <w:rFonts w:ascii="Sakkal Majalla" w:eastAsia="Times New Roman" w:hAnsi="Sakkal Majalla" w:cs="Sakkal Majalla"/>
          <w:sz w:val="28"/>
          <w:szCs w:val="28"/>
        </w:rPr>
      </w:pPr>
      <w:r w:rsidRPr="00A238AA">
        <w:rPr>
          <w:rFonts w:ascii="Sakkal Majalla" w:eastAsia="Times New Roman" w:hAnsi="Sakkal Majalla" w:cs="Sakkal Majalla"/>
          <w:sz w:val="28"/>
          <w:szCs w:val="28"/>
          <w:rtl/>
        </w:rPr>
        <w:t>مخاطر السمعة: التي قد تنجم عن أي من المخاطر السابقة</w:t>
      </w:r>
      <w:r w:rsidRPr="00A238AA">
        <w:rPr>
          <w:rFonts w:ascii="Sakkal Majalla" w:eastAsia="Times New Roman" w:hAnsi="Sakkal Majalla" w:cs="Sakkal Majalla"/>
          <w:sz w:val="28"/>
          <w:szCs w:val="28"/>
        </w:rPr>
        <w:t>.</w:t>
      </w:r>
    </w:p>
    <w:p w14:paraId="600C5C07"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lastRenderedPageBreak/>
        <w:t>إن وجود إطار عمل واضح لإدارة المخاطر</w:t>
      </w:r>
      <w:r w:rsidRPr="00A238AA">
        <w:rPr>
          <w:rFonts w:ascii="Sakkal Majalla" w:eastAsia="Times New Roman" w:hAnsi="Sakkal Majalla" w:cs="Sakkal Majalla"/>
          <w:sz w:val="28"/>
          <w:szCs w:val="28"/>
        </w:rPr>
        <w:t xml:space="preserve"> (ERM Framework) </w:t>
      </w:r>
      <w:r w:rsidRPr="00A238AA">
        <w:rPr>
          <w:rFonts w:ascii="Sakkal Majalla" w:eastAsia="Times New Roman" w:hAnsi="Sakkal Majalla" w:cs="Sakkal Majalla"/>
          <w:sz w:val="28"/>
          <w:szCs w:val="28"/>
          <w:rtl/>
        </w:rPr>
        <w:t>هو متطلب أساسي تفرضه جهات رقابية مثل البنك المركزي السعودي (2024) لضمان استقرار المؤسسات المالية وقدرتها على مواجهة التحديات</w:t>
      </w:r>
      <w:r w:rsidRPr="00A238AA">
        <w:rPr>
          <w:rFonts w:ascii="Sakkal Majalla" w:eastAsia="Times New Roman" w:hAnsi="Sakkal Majalla" w:cs="Sakkal Majalla"/>
          <w:sz w:val="28"/>
          <w:szCs w:val="28"/>
        </w:rPr>
        <w:t>.</w:t>
      </w:r>
    </w:p>
    <w:p w14:paraId="553360C4" w14:textId="3B2F9A1E"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60723C">
        <w:rPr>
          <w:rFonts w:ascii="Sakkal Majalla" w:eastAsia="Times New Roman" w:hAnsi="Sakkal Majalla" w:cs="Sakkal Majalla"/>
          <w:b/>
          <w:bCs/>
          <w:sz w:val="28"/>
          <w:szCs w:val="28"/>
          <w:rtl/>
        </w:rPr>
        <w:t>3</w:t>
      </w:r>
      <w:r w:rsidRPr="0060723C">
        <w:rPr>
          <w:rFonts w:ascii="Sakkal Majalla" w:eastAsia="Times New Roman" w:hAnsi="Sakkal Majalla" w:cs="Sakkal Majalla"/>
          <w:b/>
          <w:bCs/>
          <w:sz w:val="28"/>
          <w:szCs w:val="28"/>
        </w:rPr>
        <w:t xml:space="preserve">. </w:t>
      </w:r>
      <w:r w:rsidRPr="0060723C">
        <w:rPr>
          <w:rFonts w:ascii="Sakkal Majalla" w:eastAsia="Times New Roman" w:hAnsi="Sakkal Majalla" w:cs="Sakkal Majalla"/>
          <w:b/>
          <w:bCs/>
          <w:sz w:val="28"/>
          <w:szCs w:val="28"/>
          <w:rtl/>
        </w:rPr>
        <w:t>الالتزام</w:t>
      </w:r>
      <w:r w:rsidRPr="00A238AA">
        <w:rPr>
          <w:rFonts w:ascii="Sakkal Majalla" w:eastAsia="Times New Roman" w:hAnsi="Sakkal Majalla" w:cs="Sakkal Majalla"/>
          <w:sz w:val="28"/>
          <w:szCs w:val="28"/>
        </w:rPr>
        <w:t xml:space="preserve"> </w:t>
      </w:r>
    </w:p>
    <w:p w14:paraId="2F143272"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تعمل وظيفة الالتزام كدرع واقٍ للمؤسسة، حيث تضمن أن جميع أنشطتها وقراراتها تتوافق بشكل كامل مع القوانين واللوائح الحكومية، والمعايير القطاعية، والسياسات الداخلية. دورها يتجاوز مجرد وضع قائمة بالمحظورات، ليشمل تدريب الموظفين، وتقديم المشورة للإدارات المختلفة، ومراقبة التغيرات في البيئة التشريعية للاستعداد لها مسبقاً. الالتزام الفعال يقي المؤسسة من الغرامات المالية، والعقوبات القانونية، والأضرار الجسيمة التي قد تلحق بسمعتها</w:t>
      </w:r>
      <w:r w:rsidRPr="00A238AA">
        <w:rPr>
          <w:rFonts w:ascii="Sakkal Majalla" w:eastAsia="Times New Roman" w:hAnsi="Sakkal Majalla" w:cs="Sakkal Majalla"/>
          <w:sz w:val="28"/>
          <w:szCs w:val="28"/>
        </w:rPr>
        <w:t>.</w:t>
      </w:r>
    </w:p>
    <w:p w14:paraId="34E000D4" w14:textId="2C384A70"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60723C">
        <w:rPr>
          <w:rFonts w:ascii="Sakkal Majalla" w:eastAsia="Times New Roman" w:hAnsi="Sakkal Majalla" w:cs="Sakkal Majalla"/>
          <w:b/>
          <w:bCs/>
          <w:sz w:val="28"/>
          <w:szCs w:val="28"/>
          <w:rtl/>
        </w:rPr>
        <w:t>4</w:t>
      </w:r>
      <w:r w:rsidRPr="0060723C">
        <w:rPr>
          <w:rFonts w:ascii="Sakkal Majalla" w:eastAsia="Times New Roman" w:hAnsi="Sakkal Majalla" w:cs="Sakkal Majalla"/>
          <w:b/>
          <w:bCs/>
          <w:sz w:val="28"/>
          <w:szCs w:val="28"/>
        </w:rPr>
        <w:t xml:space="preserve">. </w:t>
      </w:r>
      <w:r w:rsidRPr="0060723C">
        <w:rPr>
          <w:rFonts w:ascii="Sakkal Majalla" w:eastAsia="Times New Roman" w:hAnsi="Sakkal Majalla" w:cs="Sakkal Majalla"/>
          <w:b/>
          <w:bCs/>
          <w:sz w:val="28"/>
          <w:szCs w:val="28"/>
          <w:rtl/>
        </w:rPr>
        <w:t>مصفوفة الصلاحيات</w:t>
      </w:r>
    </w:p>
    <w:p w14:paraId="108C8E73"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تعتبر مصفوفة الصلاحيات أداة إدارية دقيقة وحيوية لضمان الانضباط المالي والتشغيلي. هي وثيقة تفصيلية تحدد بوضوح من يملك سلطة اعتماد القرارات والمعاملات المختلفة، وما هي الحدود المالية أو النطاقات المسموح بها لكل مستوى إداري. على سبيل المثال، تحدد المصفوفة من يحق له توقيع عقد شراء بقيمة 50 ألف ريال، ومن يحتاج لموافقة مستوى أعلى إذا تجاوزت القيمة 500 ألف ريال. هذه الأداة تمنع تجاوز الصلاحيات، وتسرّع من إنجاز المعاملات الروتينية، وتضمن أن القرارات الهامة تخضع للمراجعة والموافقة من قبل المستوى الإداري المناسب</w:t>
      </w:r>
      <w:r w:rsidRPr="00A238AA">
        <w:rPr>
          <w:rFonts w:ascii="Sakkal Majalla" w:eastAsia="Times New Roman" w:hAnsi="Sakkal Majalla" w:cs="Sakkal Majalla"/>
          <w:sz w:val="28"/>
          <w:szCs w:val="28"/>
        </w:rPr>
        <w:t>.</w:t>
      </w:r>
    </w:p>
    <w:p w14:paraId="50DFEE37" w14:textId="77777777" w:rsidR="0060723C" w:rsidRDefault="00A238AA" w:rsidP="0060723C">
      <w:pPr>
        <w:bidi/>
        <w:spacing w:after="0" w:line="276" w:lineRule="auto"/>
        <w:jc w:val="both"/>
        <w:rPr>
          <w:rFonts w:ascii="Sakkal Majalla" w:eastAsia="Times New Roman" w:hAnsi="Sakkal Majalla" w:cs="Sakkal Majalla"/>
          <w:sz w:val="28"/>
          <w:szCs w:val="28"/>
        </w:rPr>
      </w:pPr>
      <w:r w:rsidRPr="0060723C">
        <w:rPr>
          <w:rFonts w:ascii="Sakkal Majalla" w:eastAsia="Times New Roman" w:hAnsi="Sakkal Majalla" w:cs="Sakkal Majalla"/>
          <w:b/>
          <w:bCs/>
          <w:sz w:val="28"/>
          <w:szCs w:val="28"/>
          <w:rtl/>
        </w:rPr>
        <w:t>5</w:t>
      </w:r>
      <w:r w:rsidRPr="0060723C">
        <w:rPr>
          <w:rFonts w:ascii="Sakkal Majalla" w:eastAsia="Times New Roman" w:hAnsi="Sakkal Majalla" w:cs="Sakkal Majalla"/>
          <w:b/>
          <w:bCs/>
          <w:sz w:val="28"/>
          <w:szCs w:val="28"/>
        </w:rPr>
        <w:t xml:space="preserve">. </w:t>
      </w:r>
      <w:r w:rsidRPr="0060723C">
        <w:rPr>
          <w:rFonts w:ascii="Sakkal Majalla" w:eastAsia="Times New Roman" w:hAnsi="Sakkal Majalla" w:cs="Sakkal Majalla"/>
          <w:b/>
          <w:bCs/>
          <w:sz w:val="28"/>
          <w:szCs w:val="28"/>
          <w:rtl/>
        </w:rPr>
        <w:t>السياسات والإجراءات الموثقة</w:t>
      </w:r>
      <w:r w:rsidRPr="00A238AA">
        <w:rPr>
          <w:rFonts w:ascii="Sakkal Majalla" w:eastAsia="Times New Roman" w:hAnsi="Sakkal Majalla" w:cs="Sakkal Majalla"/>
          <w:sz w:val="28"/>
          <w:szCs w:val="28"/>
        </w:rPr>
        <w:t xml:space="preserve"> </w:t>
      </w:r>
    </w:p>
    <w:p w14:paraId="1BAD5FC5" w14:textId="3DE9E416" w:rsidR="00A238AA" w:rsidRPr="00A238AA" w:rsidRDefault="00A238AA" w:rsidP="0060723C">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تمثل السياسات والإجراءات المكتوبة الدليل التشغيلي الموحد للمؤسسة. فهي تضمن أن جميع العمليات الرئيسية تتم بطريقة متسقة وواضحة وشفافة، وتقلل من الاعتماد على الاجتهادات الفردية. من أهم هذه السياسات</w:t>
      </w:r>
      <w:r w:rsidRPr="00A238AA">
        <w:rPr>
          <w:rFonts w:ascii="Sakkal Majalla" w:eastAsia="Times New Roman" w:hAnsi="Sakkal Majalla" w:cs="Sakkal Majalla"/>
          <w:sz w:val="28"/>
          <w:szCs w:val="28"/>
        </w:rPr>
        <w:t>:</w:t>
      </w:r>
    </w:p>
    <w:p w14:paraId="653FD19F"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سياسة تعارض المصالح</w:t>
      </w:r>
      <w:r w:rsidRPr="00A238AA">
        <w:rPr>
          <w:rFonts w:ascii="Sakkal Majalla" w:eastAsia="Times New Roman" w:hAnsi="Sakkal Majalla" w:cs="Sakkal Majalla"/>
          <w:sz w:val="28"/>
          <w:szCs w:val="28"/>
        </w:rPr>
        <w:t xml:space="preserve"> (Conflict of Interest Policy): </w:t>
      </w:r>
      <w:r w:rsidRPr="00A238AA">
        <w:rPr>
          <w:rFonts w:ascii="Sakkal Majalla" w:eastAsia="Times New Roman" w:hAnsi="Sakkal Majalla" w:cs="Sakkal Majalla"/>
          <w:sz w:val="28"/>
          <w:szCs w:val="28"/>
          <w:rtl/>
        </w:rPr>
        <w:t>تحدد كيفية التعامل مع الحالات التي قد تتعارض فيها المصالح الشخصية للموظف مع مصالح المؤسسة</w:t>
      </w:r>
      <w:r w:rsidRPr="00A238AA">
        <w:rPr>
          <w:rFonts w:ascii="Sakkal Majalla" w:eastAsia="Times New Roman" w:hAnsi="Sakkal Majalla" w:cs="Sakkal Majalla"/>
          <w:sz w:val="28"/>
          <w:szCs w:val="28"/>
        </w:rPr>
        <w:t>.</w:t>
      </w:r>
    </w:p>
    <w:p w14:paraId="5C599E6C" w14:textId="77777777" w:rsidR="00A238AA" w:rsidRPr="00C44705" w:rsidRDefault="00A238AA" w:rsidP="002D76E9">
      <w:pPr>
        <w:pStyle w:val="ListParagraph"/>
        <w:numPr>
          <w:ilvl w:val="0"/>
          <w:numId w:val="110"/>
        </w:numPr>
        <w:bidi/>
        <w:spacing w:after="0" w:line="276" w:lineRule="auto"/>
        <w:jc w:val="both"/>
        <w:rPr>
          <w:rFonts w:ascii="Sakkal Majalla" w:eastAsia="Times New Roman" w:hAnsi="Sakkal Majalla" w:cs="Sakkal Majalla"/>
          <w:sz w:val="28"/>
          <w:szCs w:val="28"/>
          <w:rtl/>
        </w:rPr>
      </w:pPr>
      <w:r w:rsidRPr="00C44705">
        <w:rPr>
          <w:rFonts w:ascii="Sakkal Majalla" w:eastAsia="Times New Roman" w:hAnsi="Sakkal Majalla" w:cs="Sakkal Majalla"/>
          <w:sz w:val="28"/>
          <w:szCs w:val="28"/>
          <w:rtl/>
        </w:rPr>
        <w:t>سياسة الإبلاغ عن المخالفات</w:t>
      </w:r>
      <w:r w:rsidRPr="00C44705">
        <w:rPr>
          <w:rFonts w:ascii="Sakkal Majalla" w:eastAsia="Times New Roman" w:hAnsi="Sakkal Majalla" w:cs="Sakkal Majalla"/>
          <w:sz w:val="28"/>
          <w:szCs w:val="28"/>
        </w:rPr>
        <w:t xml:space="preserve"> (Whistleblowing Policy): </w:t>
      </w:r>
      <w:r w:rsidRPr="00C44705">
        <w:rPr>
          <w:rFonts w:ascii="Sakkal Majalla" w:eastAsia="Times New Roman" w:hAnsi="Sakkal Majalla" w:cs="Sakkal Majalla"/>
          <w:sz w:val="28"/>
          <w:szCs w:val="28"/>
          <w:rtl/>
        </w:rPr>
        <w:t>توفر قناة آمنة وسرية للموظفين للإبلاغ عن أي ممارسات غير قانونية أو غير أخلاقية دون خوف من الانتقام</w:t>
      </w:r>
      <w:r w:rsidRPr="00C44705">
        <w:rPr>
          <w:rFonts w:ascii="Sakkal Majalla" w:eastAsia="Times New Roman" w:hAnsi="Sakkal Majalla" w:cs="Sakkal Majalla"/>
          <w:sz w:val="28"/>
          <w:szCs w:val="28"/>
        </w:rPr>
        <w:t>.</w:t>
      </w:r>
    </w:p>
    <w:p w14:paraId="751F7105" w14:textId="56107C72" w:rsidR="00A238AA" w:rsidRDefault="00A238AA" w:rsidP="002D76E9">
      <w:pPr>
        <w:pStyle w:val="ListParagraph"/>
        <w:numPr>
          <w:ilvl w:val="0"/>
          <w:numId w:val="110"/>
        </w:numPr>
        <w:bidi/>
        <w:spacing w:after="0" w:line="276" w:lineRule="auto"/>
        <w:jc w:val="both"/>
        <w:rPr>
          <w:rFonts w:ascii="Sakkal Majalla" w:eastAsia="Times New Roman" w:hAnsi="Sakkal Majalla" w:cs="Sakkal Majalla"/>
          <w:sz w:val="28"/>
          <w:szCs w:val="28"/>
        </w:rPr>
      </w:pPr>
      <w:r w:rsidRPr="00C44705">
        <w:rPr>
          <w:rFonts w:ascii="Sakkal Majalla" w:eastAsia="Times New Roman" w:hAnsi="Sakkal Majalla" w:cs="Sakkal Majalla"/>
          <w:sz w:val="28"/>
          <w:szCs w:val="28"/>
          <w:rtl/>
        </w:rPr>
        <w:t xml:space="preserve">سياسة الإفصاح </w:t>
      </w:r>
      <w:r w:rsidRPr="00C44705">
        <w:rPr>
          <w:rFonts w:ascii="Sakkal Majalla" w:eastAsia="Times New Roman" w:hAnsi="Sakkal Majalla" w:cs="Sakkal Majalla"/>
          <w:sz w:val="28"/>
          <w:szCs w:val="28"/>
        </w:rPr>
        <w:t xml:space="preserve">(Disclosure Policy): </w:t>
      </w:r>
      <w:r w:rsidRPr="00C44705">
        <w:rPr>
          <w:rFonts w:ascii="Sakkal Majalla" w:eastAsia="Times New Roman" w:hAnsi="Sakkal Majalla" w:cs="Sakkal Majalla"/>
          <w:sz w:val="28"/>
          <w:szCs w:val="28"/>
          <w:rtl/>
        </w:rPr>
        <w:t>تضع إطاراً للمعلومات التي يجب الإفصاح عنها للمساهمين والجمهور</w:t>
      </w:r>
      <w:r w:rsidRPr="00C44705">
        <w:rPr>
          <w:rFonts w:ascii="Sakkal Majalla" w:eastAsia="Times New Roman" w:hAnsi="Sakkal Majalla" w:cs="Sakkal Majalla"/>
          <w:sz w:val="28"/>
          <w:szCs w:val="28"/>
        </w:rPr>
        <w:t>.</w:t>
      </w:r>
    </w:p>
    <w:p w14:paraId="7953E752" w14:textId="77777777" w:rsidR="00C44705" w:rsidRPr="00C44705" w:rsidRDefault="00C44705" w:rsidP="002D76E9">
      <w:pPr>
        <w:pStyle w:val="ListParagraph"/>
        <w:bidi/>
        <w:spacing w:after="0" w:line="276" w:lineRule="auto"/>
        <w:jc w:val="both"/>
        <w:rPr>
          <w:rFonts w:ascii="Sakkal Majalla" w:eastAsia="Times New Roman" w:hAnsi="Sakkal Majalla" w:cs="Sakkal Majalla"/>
          <w:sz w:val="28"/>
          <w:szCs w:val="28"/>
          <w:rtl/>
        </w:rPr>
      </w:pPr>
    </w:p>
    <w:p w14:paraId="348BD629" w14:textId="77777777" w:rsidR="0060723C" w:rsidRDefault="00A238AA" w:rsidP="0060723C">
      <w:pPr>
        <w:bidi/>
        <w:spacing w:after="0" w:line="276" w:lineRule="auto"/>
        <w:jc w:val="both"/>
        <w:rPr>
          <w:rFonts w:ascii="Sakkal Majalla" w:eastAsia="Times New Roman" w:hAnsi="Sakkal Majalla" w:cs="Sakkal Majalla"/>
          <w:sz w:val="28"/>
          <w:szCs w:val="28"/>
        </w:rPr>
      </w:pPr>
      <w:r w:rsidRPr="0060723C">
        <w:rPr>
          <w:rFonts w:ascii="Sakkal Majalla" w:eastAsia="Times New Roman" w:hAnsi="Sakkal Majalla" w:cs="Sakkal Majalla"/>
          <w:b/>
          <w:bCs/>
          <w:sz w:val="28"/>
          <w:szCs w:val="28"/>
          <w:rtl/>
        </w:rPr>
        <w:t>6</w:t>
      </w:r>
      <w:r w:rsidRPr="0060723C">
        <w:rPr>
          <w:rFonts w:ascii="Sakkal Majalla" w:eastAsia="Times New Roman" w:hAnsi="Sakkal Majalla" w:cs="Sakkal Majalla"/>
          <w:b/>
          <w:bCs/>
          <w:sz w:val="28"/>
          <w:szCs w:val="28"/>
        </w:rPr>
        <w:t xml:space="preserve">. </w:t>
      </w:r>
      <w:r w:rsidRPr="0060723C">
        <w:rPr>
          <w:rFonts w:ascii="Sakkal Majalla" w:eastAsia="Times New Roman" w:hAnsi="Sakkal Majalla" w:cs="Sakkal Majalla"/>
          <w:b/>
          <w:bCs/>
          <w:sz w:val="28"/>
          <w:szCs w:val="28"/>
          <w:rtl/>
        </w:rPr>
        <w:t>الشفافية والإفصاح</w:t>
      </w:r>
      <w:r w:rsidRPr="00A238AA">
        <w:rPr>
          <w:rFonts w:ascii="Sakkal Majalla" w:eastAsia="Times New Roman" w:hAnsi="Sakkal Majalla" w:cs="Sakkal Majalla"/>
          <w:sz w:val="28"/>
          <w:szCs w:val="28"/>
        </w:rPr>
        <w:t xml:space="preserve"> </w:t>
      </w:r>
    </w:p>
    <w:p w14:paraId="05C0C5E4" w14:textId="731DDAC6" w:rsidR="00A238AA" w:rsidRPr="00237149" w:rsidRDefault="00A238AA" w:rsidP="00237149">
      <w:pPr>
        <w:bidi/>
        <w:spacing w:after="0" w:line="276" w:lineRule="auto"/>
        <w:jc w:val="both"/>
        <w:rPr>
          <w:rFonts w:ascii="Sakkal Majalla" w:eastAsia="Times New Roman" w:hAnsi="Sakkal Majalla" w:cs="Sakkal Majalla"/>
          <w:sz w:val="28"/>
          <w:szCs w:val="28"/>
          <w:highlight w:val="yellow"/>
        </w:rPr>
      </w:pPr>
      <w:r w:rsidRPr="00A238AA">
        <w:rPr>
          <w:rFonts w:ascii="Sakkal Majalla" w:eastAsia="Times New Roman" w:hAnsi="Sakkal Majalla" w:cs="Sakkal Majalla"/>
          <w:sz w:val="28"/>
          <w:szCs w:val="28"/>
          <w:rtl/>
        </w:rPr>
        <w:t>الشفافية هي حجر الزاوية في بناء الثقة مع المستثمرين وأصحاب المصالح. تُلزم لائحة حوكمة الشركات (هيئة السوق المالية، 2023) الشركات المدرجة بتقديم تقارير مالية وغير مالية دقيقة وشاملة وفي الوقت المناسب. لا يقتصر الإفصاح على الأداء المالي فقط، بل يشمل أيضاً معلومات جوهرية حول هيكل الملكية، ومكافآت كبار التنفيذيين، والمخاطر الرئيسية التي تواجه الشركة، وأي أحداث هامة قد تؤثر على سعر السهم.</w:t>
      </w:r>
    </w:p>
    <w:p w14:paraId="38F302DC" w14:textId="75BD6088" w:rsidR="00A238AA" w:rsidRPr="00A238AA" w:rsidRDefault="00A238AA" w:rsidP="002D76E9">
      <w:pPr>
        <w:bidi/>
        <w:spacing w:after="0" w:line="276" w:lineRule="auto"/>
        <w:rPr>
          <w:rFonts w:ascii="Sakkal Majalla" w:eastAsia="Times New Roman" w:hAnsi="Sakkal Majalla" w:cs="Sakkal Majalla"/>
          <w:b/>
          <w:bCs/>
          <w:sz w:val="28"/>
          <w:szCs w:val="28"/>
          <w:rtl/>
        </w:rPr>
      </w:pPr>
      <w:r w:rsidRPr="00A238AA">
        <w:rPr>
          <w:rFonts w:ascii="Sakkal Majalla" w:eastAsia="Times New Roman" w:hAnsi="Sakkal Majalla" w:cs="Sakkal Majalla" w:hint="cs"/>
          <w:b/>
          <w:bCs/>
          <w:sz w:val="28"/>
          <w:szCs w:val="28"/>
          <w:rtl/>
        </w:rPr>
        <w:lastRenderedPageBreak/>
        <w:t xml:space="preserve">رابعًا: </w:t>
      </w:r>
      <w:r>
        <w:rPr>
          <w:rFonts w:ascii="Sakkal Majalla" w:eastAsia="Times New Roman" w:hAnsi="Sakkal Majalla" w:cs="Sakkal Majalla" w:hint="cs"/>
          <w:b/>
          <w:bCs/>
          <w:sz w:val="28"/>
          <w:szCs w:val="28"/>
          <w:rtl/>
        </w:rPr>
        <w:t>الثقافة</w:t>
      </w:r>
      <w:r w:rsidRPr="00A238AA">
        <w:rPr>
          <w:rFonts w:ascii="Sakkal Majalla" w:eastAsia="Times New Roman" w:hAnsi="Sakkal Majalla" w:cs="Sakkal Majalla"/>
          <w:b/>
          <w:bCs/>
          <w:sz w:val="28"/>
          <w:szCs w:val="28"/>
          <w:rtl/>
        </w:rPr>
        <w:t xml:space="preserve"> المؤسسية (الأدوات التمكينية</w:t>
      </w:r>
      <w:r>
        <w:rPr>
          <w:rFonts w:ascii="Sakkal Majalla" w:eastAsia="Times New Roman" w:hAnsi="Sakkal Majalla" w:cs="Sakkal Majalla" w:hint="cs"/>
          <w:b/>
          <w:bCs/>
          <w:sz w:val="28"/>
          <w:szCs w:val="28"/>
          <w:rtl/>
        </w:rPr>
        <w:t xml:space="preserve"> للحوكمة</w:t>
      </w:r>
      <w:r w:rsidRPr="00A238AA">
        <w:rPr>
          <w:rFonts w:ascii="Sakkal Majalla" w:eastAsia="Times New Roman" w:hAnsi="Sakkal Majalla" w:cs="Sakkal Majalla"/>
          <w:b/>
          <w:bCs/>
          <w:sz w:val="28"/>
          <w:szCs w:val="28"/>
          <w:rtl/>
        </w:rPr>
        <w:t>)</w:t>
      </w:r>
    </w:p>
    <w:p w14:paraId="2257FFAD" w14:textId="147A754F"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لا تقتصر أدوات الحوكمة على الهياكل والإجراءات، بل تمتد لتشمل المكونات الثقافية والتقنية التي تمكّن من التطبيق</w:t>
      </w:r>
      <w:r w:rsidRPr="00A238AA">
        <w:rPr>
          <w:rFonts w:ascii="Sakkal Majalla" w:eastAsia="Times New Roman" w:hAnsi="Sakkal Majalla" w:cs="Sakkal Majalla"/>
          <w:sz w:val="28"/>
          <w:szCs w:val="28"/>
        </w:rPr>
        <w:t>.</w:t>
      </w:r>
    </w:p>
    <w:p w14:paraId="24F846EC"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p>
    <w:p w14:paraId="63C5929D" w14:textId="7D2D3D7C"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الشفافية: تُعتبر أداة رئيسية لبناء الثقة. تتطلب الحوكمة الكشف عن المعلومات المالية وغير المالية بشكل دقيق، كامل، وفي الوقت المناسب لجميع أصحاب المصلحة، بما في ذلك الهيكل التمويلي، الأداء الاستراتيجي، ومكافآت القيادات. هذا يمنع ظاهرة عدم تماثل المعلومات</w:t>
      </w:r>
      <w:r w:rsidRPr="00A238AA">
        <w:rPr>
          <w:rFonts w:ascii="Sakkal Majalla" w:eastAsia="Times New Roman" w:hAnsi="Sakkal Majalla" w:cs="Sakkal Majalla"/>
          <w:sz w:val="28"/>
          <w:szCs w:val="28"/>
        </w:rPr>
        <w:t xml:space="preserve"> (Information Asymmetry) </w:t>
      </w:r>
      <w:r w:rsidRPr="00A238AA">
        <w:rPr>
          <w:rFonts w:ascii="Sakkal Majalla" w:eastAsia="Times New Roman" w:hAnsi="Sakkal Majalla" w:cs="Sakkal Majalla"/>
          <w:sz w:val="28"/>
          <w:szCs w:val="28"/>
          <w:rtl/>
        </w:rPr>
        <w:t>ويحقق العدالة بين المستثمرين</w:t>
      </w:r>
      <w:r w:rsidRPr="00A238AA">
        <w:rPr>
          <w:rFonts w:ascii="Sakkal Majalla" w:eastAsia="Times New Roman" w:hAnsi="Sakkal Majalla" w:cs="Sakkal Majalla"/>
          <w:sz w:val="28"/>
          <w:szCs w:val="28"/>
        </w:rPr>
        <w:t>.</w:t>
      </w:r>
    </w:p>
    <w:p w14:paraId="2D968ACC"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p>
    <w:p w14:paraId="03576DF5"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مدونة السلوك وآلية الإبلاغ: تُعد مدونة السلوك والأخلاقيات</w:t>
      </w:r>
      <w:r w:rsidRPr="00A238AA">
        <w:rPr>
          <w:rFonts w:ascii="Sakkal Majalla" w:eastAsia="Times New Roman" w:hAnsi="Sakkal Majalla" w:cs="Sakkal Majalla"/>
          <w:sz w:val="28"/>
          <w:szCs w:val="28"/>
        </w:rPr>
        <w:t xml:space="preserve"> (Code of Conduct) </w:t>
      </w:r>
      <w:r w:rsidRPr="00A238AA">
        <w:rPr>
          <w:rFonts w:ascii="Sakkal Majalla" w:eastAsia="Times New Roman" w:hAnsi="Sakkal Majalla" w:cs="Sakkal Majalla"/>
          <w:sz w:val="28"/>
          <w:szCs w:val="28"/>
          <w:rtl/>
        </w:rPr>
        <w:t>الأداة الأساسية لترسيخ الثقافة المؤسسية للحوكمة، حيث تحدد القيم والمعايير السلوكية المتوقعة. ولضمان عدم التسامح مع المخالفات، يجب وجود آلية إبلاغ عن المخالفات</w:t>
      </w:r>
      <w:r w:rsidRPr="00A238AA">
        <w:rPr>
          <w:rFonts w:ascii="Sakkal Majalla" w:eastAsia="Times New Roman" w:hAnsi="Sakkal Majalla" w:cs="Sakkal Majalla"/>
          <w:sz w:val="28"/>
          <w:szCs w:val="28"/>
        </w:rPr>
        <w:t xml:space="preserve"> (Whistleblowing Mechanism) </w:t>
      </w:r>
      <w:r w:rsidRPr="00A238AA">
        <w:rPr>
          <w:rFonts w:ascii="Sakkal Majalla" w:eastAsia="Times New Roman" w:hAnsi="Sakkal Majalla" w:cs="Sakkal Majalla"/>
          <w:sz w:val="28"/>
          <w:szCs w:val="28"/>
          <w:rtl/>
        </w:rPr>
        <w:t>فعالة ومحمية، تضمن السرية والحماية للمُبلغين، مما يُعد خط الدفاع الأخير لمنع الفساد وسوء السلوك</w:t>
      </w:r>
      <w:r w:rsidRPr="00A238AA">
        <w:rPr>
          <w:rFonts w:ascii="Sakkal Majalla" w:eastAsia="Times New Roman" w:hAnsi="Sakkal Majalla" w:cs="Sakkal Majalla"/>
          <w:sz w:val="28"/>
          <w:szCs w:val="28"/>
        </w:rPr>
        <w:t>.</w:t>
      </w:r>
    </w:p>
    <w:p w14:paraId="4C220C2C" w14:textId="77777777" w:rsidR="00A238AA" w:rsidRPr="00A238AA" w:rsidRDefault="00A238AA" w:rsidP="002D76E9">
      <w:pPr>
        <w:bidi/>
        <w:spacing w:after="0" w:line="276" w:lineRule="auto"/>
        <w:jc w:val="both"/>
        <w:rPr>
          <w:rFonts w:ascii="Sakkal Majalla" w:eastAsia="Times New Roman" w:hAnsi="Sakkal Majalla" w:cs="Sakkal Majalla"/>
          <w:sz w:val="28"/>
          <w:szCs w:val="28"/>
          <w:rtl/>
        </w:rPr>
      </w:pPr>
    </w:p>
    <w:p w14:paraId="4A8CAA8D" w14:textId="5139C85A" w:rsidR="004849CE" w:rsidRPr="003C4AFD" w:rsidRDefault="00A238AA" w:rsidP="002D76E9">
      <w:pPr>
        <w:bidi/>
        <w:spacing w:after="0" w:line="276" w:lineRule="auto"/>
        <w:jc w:val="both"/>
        <w:rPr>
          <w:rFonts w:ascii="Sakkal Majalla" w:eastAsia="Times New Roman" w:hAnsi="Sakkal Majalla" w:cs="Sakkal Majalla"/>
          <w:sz w:val="28"/>
          <w:szCs w:val="28"/>
          <w:rtl/>
        </w:rPr>
      </w:pPr>
      <w:r w:rsidRPr="00A238AA">
        <w:rPr>
          <w:rFonts w:ascii="Sakkal Majalla" w:eastAsia="Times New Roman" w:hAnsi="Sakkal Majalla" w:cs="Sakkal Majalla"/>
          <w:sz w:val="28"/>
          <w:szCs w:val="28"/>
          <w:rtl/>
        </w:rPr>
        <w:t>التحول الرقمي وحوكمة البيانات: أصبحت التكنولوجيا، خاصة في ظل قيادة هيئة الحكومة الرقمية (</w:t>
      </w:r>
      <w:r w:rsidRPr="00A238AA">
        <w:rPr>
          <w:rFonts w:ascii="Sakkal Majalla" w:eastAsia="Times New Roman" w:hAnsi="Sakkal Majalla" w:cs="Sakkal Majalla"/>
          <w:sz w:val="28"/>
          <w:szCs w:val="28"/>
        </w:rPr>
        <w:t>DGA</w:t>
      </w:r>
      <w:r w:rsidRPr="00A238AA">
        <w:rPr>
          <w:rFonts w:ascii="Sakkal Majalla" w:eastAsia="Times New Roman" w:hAnsi="Sakkal Majalla" w:cs="Sakkal Majalla"/>
          <w:sz w:val="28"/>
          <w:szCs w:val="28"/>
          <w:rtl/>
        </w:rPr>
        <w:t xml:space="preserve">) في المملكة، أداة حوكمة قوية. الأنظمة الرقمية وأدوات </w:t>
      </w:r>
      <w:r w:rsidRPr="00A238AA">
        <w:rPr>
          <w:rFonts w:ascii="Sakkal Majalla" w:eastAsia="Times New Roman" w:hAnsi="Sakkal Majalla" w:cs="Sakkal Majalla"/>
          <w:sz w:val="28"/>
          <w:szCs w:val="28"/>
        </w:rPr>
        <w:t>GRC</w:t>
      </w:r>
      <w:r w:rsidRPr="00A238AA">
        <w:rPr>
          <w:rFonts w:ascii="Sakkal Majalla" w:eastAsia="Times New Roman" w:hAnsi="Sakkal Majalla" w:cs="Sakkal Majalla"/>
          <w:sz w:val="28"/>
          <w:szCs w:val="28"/>
          <w:rtl/>
        </w:rPr>
        <w:t xml:space="preserve"> تضمن أتمتة العمليات وتوحيدها، وتوفر بيانات في الوقت الفعلي (</w:t>
      </w:r>
      <w:r w:rsidRPr="00A238AA">
        <w:rPr>
          <w:rFonts w:ascii="Sakkal Majalla" w:eastAsia="Times New Roman" w:hAnsi="Sakkal Majalla" w:cs="Sakkal Majalla"/>
          <w:sz w:val="28"/>
          <w:szCs w:val="28"/>
        </w:rPr>
        <w:t>Real-Time Data</w:t>
      </w:r>
      <w:r w:rsidRPr="00A238AA">
        <w:rPr>
          <w:rFonts w:ascii="Sakkal Majalla" w:eastAsia="Times New Roman" w:hAnsi="Sakkal Majalla" w:cs="Sakkal Majalla"/>
          <w:sz w:val="28"/>
          <w:szCs w:val="28"/>
          <w:rtl/>
        </w:rPr>
        <w:t>) ضرورية للرقابة الفورية. حوكمة البيانات (</w:t>
      </w:r>
      <w:r w:rsidRPr="00A238AA">
        <w:rPr>
          <w:rFonts w:ascii="Sakkal Majalla" w:eastAsia="Times New Roman" w:hAnsi="Sakkal Majalla" w:cs="Sakkal Majalla"/>
          <w:sz w:val="28"/>
          <w:szCs w:val="28"/>
        </w:rPr>
        <w:t>Data Governance</w:t>
      </w:r>
      <w:r w:rsidRPr="00A238AA">
        <w:rPr>
          <w:rFonts w:ascii="Sakkal Majalla" w:eastAsia="Times New Roman" w:hAnsi="Sakkal Majalla" w:cs="Sakkal Majalla"/>
          <w:sz w:val="28"/>
          <w:szCs w:val="28"/>
          <w:rtl/>
        </w:rPr>
        <w:t>) تُعد أداة محورية لضمان جودة وأمان البيانات التي تُستخدم في اتخاذ القرارات الاستراتيجية والرقابية، مما يحول مبادئ الحوكمة من نصوص إلى عمليات مؤتمتة وموثقة.</w:t>
      </w:r>
    </w:p>
    <w:p w14:paraId="12DEECEE" w14:textId="77777777" w:rsidR="004849CE" w:rsidRDefault="004849CE" w:rsidP="002D76E9">
      <w:pPr>
        <w:bidi/>
        <w:spacing w:after="0" w:line="276" w:lineRule="auto"/>
        <w:jc w:val="both"/>
        <w:rPr>
          <w:rFonts w:ascii="Sakkal Majalla" w:eastAsia="Times New Roman" w:hAnsi="Sakkal Majalla" w:cs="Sakkal Majalla"/>
          <w:sz w:val="28"/>
          <w:szCs w:val="28"/>
          <w:rtl/>
        </w:rPr>
      </w:pPr>
    </w:p>
    <w:p w14:paraId="093619C1" w14:textId="0B8C1084" w:rsidR="0093248D" w:rsidRPr="0093248D" w:rsidRDefault="0093248D" w:rsidP="002D76E9">
      <w:p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Pr>
        <w:t> </w:t>
      </w:r>
      <w:r w:rsidR="00C44705">
        <w:rPr>
          <w:rFonts w:ascii="Sakkal Majalla" w:eastAsia="Times New Roman" w:hAnsi="Sakkal Majalla" w:cs="Sakkal Majalla" w:hint="cs"/>
          <w:b/>
          <w:bCs/>
          <w:sz w:val="28"/>
          <w:szCs w:val="28"/>
          <w:rtl/>
        </w:rPr>
        <w:t xml:space="preserve">1-6 </w:t>
      </w:r>
      <w:r w:rsidR="006218DA">
        <w:rPr>
          <w:rFonts w:ascii="Sakkal Majalla" w:eastAsia="Times New Roman" w:hAnsi="Sakkal Majalla" w:cs="Sakkal Majalla" w:hint="cs"/>
          <w:b/>
          <w:bCs/>
          <w:sz w:val="28"/>
          <w:szCs w:val="28"/>
          <w:rtl/>
        </w:rPr>
        <w:t xml:space="preserve">بعض </w:t>
      </w:r>
      <w:r w:rsidRPr="0093248D">
        <w:rPr>
          <w:rFonts w:ascii="Sakkal Majalla" w:eastAsia="Times New Roman" w:hAnsi="Sakkal Majalla" w:cs="Sakkal Majalla"/>
          <w:b/>
          <w:bCs/>
          <w:sz w:val="28"/>
          <w:szCs w:val="28"/>
          <w:rtl/>
        </w:rPr>
        <w:t>الأطر المرجعية العالمية للحوكمة المؤسسية</w:t>
      </w:r>
    </w:p>
    <w:p w14:paraId="7832A8E3" w14:textId="4F66DA1B" w:rsidR="0093248D" w:rsidRPr="00C44705" w:rsidRDefault="0093248D" w:rsidP="002D76E9">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A8615F5" w14:textId="5BB56E3D" w:rsidR="0093248D" w:rsidRPr="0093248D" w:rsidRDefault="0093248D" w:rsidP="002D76E9">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006218DA"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sidR="006218DA">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15053DD6" w14:textId="036A19B6" w:rsidR="0093248D" w:rsidRPr="0093248D" w:rsidRDefault="0093248D" w:rsidP="002D76E9">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lastRenderedPageBreak/>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0521E874" w14:textId="28FCA2FF" w:rsidR="0093248D" w:rsidRPr="0093248D" w:rsidRDefault="0093248D" w:rsidP="002D76E9">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00DF55FA" w14:textId="7F05CA8E" w:rsidR="0093248D" w:rsidRPr="0093248D" w:rsidRDefault="0093248D" w:rsidP="002D76E9">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12F21544" w14:textId="3D37D3C8" w:rsidR="0093248D" w:rsidRPr="0093248D" w:rsidRDefault="0093248D" w:rsidP="002D76E9">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sidR="006218DA">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sidR="006218DA">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sidR="006218DA">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sidR="006218DA">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6C268314" w14:textId="499565C1" w:rsidR="0093248D" w:rsidRDefault="0093248D" w:rsidP="002D76E9">
      <w:pPr>
        <w:numPr>
          <w:ilvl w:val="0"/>
          <w:numId w:val="80"/>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006218DA"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191A6495" w14:textId="77777777" w:rsidR="006218DA" w:rsidRPr="0093248D" w:rsidRDefault="006218DA" w:rsidP="002D76E9">
      <w:pPr>
        <w:bidi/>
        <w:spacing w:after="0" w:line="276" w:lineRule="auto"/>
        <w:ind w:left="720"/>
        <w:jc w:val="both"/>
        <w:rPr>
          <w:rFonts w:ascii="Sakkal Majalla" w:eastAsia="Times New Roman" w:hAnsi="Sakkal Majalla" w:cs="Sakkal Majalla"/>
          <w:b/>
          <w:bCs/>
          <w:sz w:val="28"/>
          <w:szCs w:val="28"/>
        </w:rPr>
      </w:pPr>
    </w:p>
    <w:p w14:paraId="1C7F9682" w14:textId="2493D8CE" w:rsidR="0093248D" w:rsidRPr="006218DA" w:rsidRDefault="0093248D" w:rsidP="002D76E9">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006218DA"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791405FF" w14:textId="77777777" w:rsidR="006218DA" w:rsidRPr="0093248D" w:rsidRDefault="006218DA" w:rsidP="002D76E9">
      <w:pPr>
        <w:bidi/>
        <w:spacing w:after="0" w:line="276" w:lineRule="auto"/>
        <w:jc w:val="both"/>
        <w:rPr>
          <w:rFonts w:ascii="Sakkal Majalla" w:eastAsia="Times New Roman" w:hAnsi="Sakkal Majalla" w:cs="Sakkal Majalla"/>
          <w:sz w:val="28"/>
          <w:szCs w:val="28"/>
        </w:rPr>
      </w:pPr>
    </w:p>
    <w:p w14:paraId="65BDBB3D" w14:textId="7929D495" w:rsidR="0093248D" w:rsidRPr="00C44705" w:rsidRDefault="0093248D" w:rsidP="002D76E9">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w:t>
      </w:r>
      <w:r w:rsidR="00237149" w:rsidRPr="00C44705">
        <w:rPr>
          <w:rFonts w:ascii="Sakkal Majalla" w:eastAsia="Times New Roman" w:hAnsi="Sakkal Majalla" w:cs="Sakkal Majalla"/>
          <w:b/>
          <w:bCs/>
          <w:sz w:val="28"/>
          <w:szCs w:val="28"/>
        </w:rPr>
        <w:t xml:space="preserve">INTOSAI </w:t>
      </w:r>
      <w:r w:rsidR="00237149"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tl/>
        </w:rPr>
        <w:t xml:space="preserve"> المساءلة العامة والرقابة الخارجية</w:t>
      </w:r>
    </w:p>
    <w:p w14:paraId="3AC4EDF9" w14:textId="771FAE35" w:rsidR="0093248D" w:rsidRPr="0093248D" w:rsidRDefault="0093248D" w:rsidP="002D76E9">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6C29AE99" w14:textId="49C0D5C4" w:rsidR="0093248D" w:rsidRDefault="0093248D" w:rsidP="002D76E9">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sidR="006218DA">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sidR="00B22BBC">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27C1667B" w14:textId="77777777" w:rsidR="006D48DE" w:rsidRDefault="006D48DE" w:rsidP="002D76E9">
      <w:pPr>
        <w:bidi/>
        <w:spacing w:after="0" w:line="276" w:lineRule="auto"/>
        <w:jc w:val="both"/>
        <w:rPr>
          <w:rFonts w:ascii="Sakkal Majalla" w:eastAsia="Times New Roman" w:hAnsi="Sakkal Majalla" w:cs="Sakkal Majalla"/>
          <w:sz w:val="28"/>
          <w:szCs w:val="28"/>
        </w:rPr>
      </w:pPr>
    </w:p>
    <w:p w14:paraId="27CA75EA" w14:textId="77777777" w:rsidR="00237149" w:rsidRPr="00A238AA" w:rsidRDefault="00237149" w:rsidP="00237149">
      <w:pPr>
        <w:bidi/>
        <w:spacing w:after="0" w:line="276" w:lineRule="auto"/>
        <w:jc w:val="both"/>
        <w:rPr>
          <w:rFonts w:ascii="Sakkal Majalla" w:eastAsia="Times New Roman" w:hAnsi="Sakkal Majalla" w:cs="Sakkal Majalla"/>
          <w:sz w:val="28"/>
          <w:szCs w:val="28"/>
          <w:rtl/>
        </w:rPr>
      </w:pPr>
    </w:p>
    <w:p w14:paraId="58A24B9C" w14:textId="77777777" w:rsidR="00490182" w:rsidRPr="00490182" w:rsidRDefault="00490182" w:rsidP="002D76E9">
      <w:pPr>
        <w:bidi/>
        <w:spacing w:after="0" w:line="276" w:lineRule="auto"/>
        <w:jc w:val="both"/>
        <w:rPr>
          <w:rFonts w:ascii="Sakkal Majalla" w:eastAsia="Times New Roman" w:hAnsi="Sakkal Majalla" w:cs="Sakkal Majalla"/>
          <w:sz w:val="28"/>
          <w:szCs w:val="28"/>
          <w:rtl/>
        </w:rPr>
      </w:pPr>
    </w:p>
    <w:p w14:paraId="53CD2E31" w14:textId="4C5EA941" w:rsidR="00490182" w:rsidRPr="00490182" w:rsidRDefault="00C44705"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1-7</w:t>
      </w:r>
      <w:r w:rsidR="00490182" w:rsidRPr="00490182">
        <w:rPr>
          <w:rFonts w:ascii="Sakkal Majalla" w:eastAsia="Times New Roman" w:hAnsi="Sakkal Majalla" w:cs="Sakkal Majalla"/>
          <w:b/>
          <w:bCs/>
          <w:sz w:val="28"/>
          <w:szCs w:val="28"/>
          <w:rtl/>
        </w:rPr>
        <w:t xml:space="preserve"> آليات الحوكمة وتأثيرها على الأداء</w:t>
      </w:r>
    </w:p>
    <w:p w14:paraId="4FB70C0B" w14:textId="1D1A5F69" w:rsidR="002374CB" w:rsidRDefault="00490182" w:rsidP="00237149">
      <w:pPr>
        <w:bidi/>
        <w:spacing w:after="0" w:line="276" w:lineRule="auto"/>
        <w:jc w:val="both"/>
        <w:rPr>
          <w:rFonts w:ascii="Sakkal Majalla" w:eastAsia="Times New Roman" w:hAnsi="Sakkal Majalla" w:cs="Sakkal Majalla"/>
          <w:sz w:val="28"/>
          <w:szCs w:val="28"/>
        </w:rPr>
      </w:pPr>
      <w:r w:rsidRPr="00490182">
        <w:rPr>
          <w:rFonts w:ascii="Sakkal Majalla" w:eastAsia="Times New Roman" w:hAnsi="Sakkal Majalla" w:cs="Sakkal Majalla"/>
          <w:sz w:val="28"/>
          <w:szCs w:val="28"/>
          <w:rtl/>
        </w:rPr>
        <w:t>تتعدد آليات الحوكمة التي يمكن للمنظمات تطبيقها، وقد ركزت الدراسات في السياق السعودي على عدة آليات رئيسية. تشير دراسة (</w:t>
      </w:r>
      <w:proofErr w:type="spellStart"/>
      <w:r w:rsidRPr="00490182">
        <w:rPr>
          <w:rFonts w:ascii="Sakkal Majalla" w:eastAsia="Times New Roman" w:hAnsi="Sakkal Majalla" w:cs="Sakkal Majalla"/>
          <w:sz w:val="28"/>
          <w:szCs w:val="28"/>
        </w:rPr>
        <w:t>Boshnak</w:t>
      </w:r>
      <w:proofErr w:type="spellEnd"/>
      <w:r w:rsidRPr="00490182">
        <w:rPr>
          <w:rFonts w:ascii="Sakkal Majalla" w:eastAsia="Times New Roman" w:hAnsi="Sakkal Majalla" w:cs="Sakkal Majalla"/>
          <w:sz w:val="28"/>
          <w:szCs w:val="28"/>
        </w:rPr>
        <w:t>, 2023</w:t>
      </w:r>
      <w:r w:rsidRPr="00490182">
        <w:rPr>
          <w:rFonts w:ascii="Sakkal Majalla" w:eastAsia="Times New Roman" w:hAnsi="Sakkal Majalla" w:cs="Sakkal Majalla"/>
          <w:sz w:val="28"/>
          <w:szCs w:val="28"/>
          <w:rtl/>
        </w:rPr>
        <w:t>) 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 والذي أثبت فعاليته في قياس أثر الحوكمة على الأداء.</w:t>
      </w:r>
    </w:p>
    <w:p w14:paraId="47F5EED9" w14:textId="77777777" w:rsidR="002374CB" w:rsidRDefault="002374CB" w:rsidP="002D76E9">
      <w:pPr>
        <w:bidi/>
        <w:spacing w:after="0" w:line="276" w:lineRule="auto"/>
        <w:jc w:val="both"/>
        <w:rPr>
          <w:rFonts w:ascii="Sakkal Majalla" w:eastAsia="Times New Roman" w:hAnsi="Sakkal Majalla" w:cs="Sakkal Majalla"/>
          <w:sz w:val="28"/>
          <w:szCs w:val="28"/>
          <w:rtl/>
        </w:rPr>
      </w:pP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w:t>
      </w:r>
      <w:proofErr w:type="spellStart"/>
      <w:r w:rsidRPr="005116D7">
        <w:rPr>
          <w:rFonts w:ascii="Sakkal Majalla" w:eastAsia="Times New Roman" w:hAnsi="Sakkal Majalla" w:cs="Sakkal Majalla"/>
          <w:sz w:val="28"/>
          <w:szCs w:val="28"/>
          <w:rtl/>
        </w:rPr>
        <w:t>الاسترشادي</w:t>
      </w:r>
      <w:proofErr w:type="spellEnd"/>
      <w:r w:rsidRPr="005116D7">
        <w:rPr>
          <w:rFonts w:ascii="Sakkal Majalla" w:eastAsia="Times New Roman" w:hAnsi="Sakkal Majalla" w:cs="Sakkal Majalla"/>
          <w:sz w:val="28"/>
          <w:szCs w:val="28"/>
          <w:rtl/>
        </w:rPr>
        <w:t xml:space="preserve">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وهذا التوجه السعودي الأصيل يتناغم تمامًا مع أحدث التطورات في الفكر العالمي للحوكمة، والذي يتجاوز الامتثال الشكلي ليركز على "حوكمة الجوهر". ويُعد فكر </w:t>
      </w:r>
      <w:proofErr w:type="spellStart"/>
      <w:r w:rsidRPr="005116D7">
        <w:rPr>
          <w:rFonts w:ascii="Sakkal Majalla" w:eastAsia="Times New Roman" w:hAnsi="Sakkal Majalla" w:cs="Sakkal Majalla"/>
          <w:sz w:val="28"/>
          <w:szCs w:val="28"/>
          <w:rtl/>
        </w:rPr>
        <w:t>مارفن</w:t>
      </w:r>
      <w:proofErr w:type="spellEnd"/>
      <w:r w:rsidRPr="005116D7">
        <w:rPr>
          <w:rFonts w:ascii="Sakkal Majalla" w:eastAsia="Times New Roman" w:hAnsi="Sakkal Majalla" w:cs="Sakkal Majalla"/>
          <w:sz w:val="28"/>
          <w:szCs w:val="28"/>
          <w:rtl/>
        </w:rPr>
        <w:t xml:space="preserve">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Wandroski</w:t>
      </w:r>
      <w:proofErr w:type="spellEnd"/>
      <w:r w:rsidRPr="003D298E">
        <w:rPr>
          <w:rFonts w:ascii="Sakkal Majalla" w:eastAsia="Times New Roman" w:hAnsi="Sakkal Majalla" w:cs="Sakkal Majalla"/>
          <w:b/>
          <w:bCs/>
          <w:sz w:val="28"/>
          <w:szCs w:val="28"/>
        </w:rPr>
        <w:t xml:space="preserve">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Buallay</w:t>
      </w:r>
      <w:proofErr w:type="spellEnd"/>
      <w:r w:rsidRPr="003D298E">
        <w:rPr>
          <w:rFonts w:ascii="Sakkal Majalla" w:eastAsia="Times New Roman" w:hAnsi="Sakkal Majalla" w:cs="Sakkal Majalla"/>
          <w:b/>
          <w:bCs/>
          <w:sz w:val="28"/>
          <w:szCs w:val="28"/>
        </w:rPr>
        <w:t>,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w:t>
      </w:r>
      <w:r w:rsidRPr="003D298E">
        <w:rPr>
          <w:rFonts w:ascii="Sakkal Majalla" w:eastAsia="Times New Roman" w:hAnsi="Sakkal Majalla" w:cs="Sakkal Majalla"/>
          <w:sz w:val="28"/>
          <w:szCs w:val="28"/>
          <w:rtl/>
        </w:rPr>
        <w:lastRenderedPageBreak/>
        <w:t xml:space="preserve">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lastRenderedPageBreak/>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هذه المعرفة، التي يكتسبها الموظفون حول تفاصيل العمليات، وثقافة الشركة، وطرق حل المشكلات غير 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xml:space="preserve">، فإن قدرة الشركة على "بناء وتكوين وإعادة </w:t>
      </w:r>
      <w:r w:rsidRPr="009052D0">
        <w:rPr>
          <w:rFonts w:ascii="Sakkal Majalla" w:eastAsia="Times New Roman" w:hAnsi="Sakkal Majalla" w:cs="Sakkal Majalla"/>
          <w:sz w:val="28"/>
          <w:szCs w:val="28"/>
          <w:rtl/>
        </w:rPr>
        <w:lastRenderedPageBreak/>
        <w:t>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w:t>
      </w:r>
      <w:proofErr w:type="spellStart"/>
      <w:r w:rsidRPr="00D62C39">
        <w:rPr>
          <w:rFonts w:ascii="Sakkal Majalla" w:eastAsia="Times New Roman" w:hAnsi="Sakkal Majalla" w:cs="Sakkal Majalla"/>
          <w:sz w:val="28"/>
          <w:szCs w:val="28"/>
        </w:rPr>
        <w:t>Fombrun</w:t>
      </w:r>
      <w:proofErr w:type="spellEnd"/>
      <w:r w:rsidRPr="00D62C39">
        <w:rPr>
          <w:rFonts w:ascii="Sakkal Majalla" w:eastAsia="Times New Roman" w:hAnsi="Sakkal Majalla" w:cs="Sakkal Majalla"/>
          <w:sz w:val="28"/>
          <w:szCs w:val="28"/>
        </w:rPr>
        <w:t xml:space="preserve">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w:t>
      </w:r>
      <w:r w:rsidRPr="004A49A6">
        <w:rPr>
          <w:rFonts w:ascii="Sakkal Majalla" w:eastAsia="Times New Roman" w:hAnsi="Sakkal Majalla" w:cs="Sakkal Majalla"/>
          <w:sz w:val="28"/>
          <w:szCs w:val="28"/>
          <w:rtl/>
        </w:rPr>
        <w:lastRenderedPageBreak/>
        <w:t>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Pr="00F90898">
        <w:rPr>
          <w:rFonts w:ascii="Sakkal Majalla" w:eastAsia="Times New Roman" w:hAnsi="Sakkal Majalla" w:cs="Sakkal Majalla"/>
          <w:sz w:val="28"/>
          <w:szCs w:val="28"/>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w:t>
      </w:r>
      <w:r w:rsidRPr="00F90898">
        <w:rPr>
          <w:rFonts w:ascii="Sakkal Majalla" w:eastAsia="Times New Roman" w:hAnsi="Sakkal Majalla" w:cs="Sakkal Majalla"/>
          <w:sz w:val="28"/>
          <w:szCs w:val="28"/>
          <w:rtl/>
        </w:rPr>
        <w:lastRenderedPageBreak/>
        <w:t xml:space="preserve">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3DC47D3F"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1. </w:t>
      </w:r>
      <w:r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Pr="00237149">
        <w:rPr>
          <w:rFonts w:ascii="Sakkal Majalla" w:eastAsia="Times New Roman" w:hAnsi="Sakkal Majalla" w:cs="Sakkal Majalla"/>
          <w:sz w:val="28"/>
          <w:szCs w:val="28"/>
          <w:rtl/>
        </w:rPr>
        <w:t>مثل لجنة المخاطر المستقلة</w:t>
      </w:r>
      <w:r w:rsidRPr="00885F93">
        <w:rPr>
          <w:rFonts w:ascii="Sakkal Majalla" w:eastAsia="Times New Roman" w:hAnsi="Sakkal Majalla" w:cs="Sakkal Majalla"/>
          <w:sz w:val="28"/>
          <w:szCs w:val="28"/>
          <w:rtl/>
        </w:rPr>
        <w:t xml:space="preserve"> والإشراف المباشر </w:t>
      </w:r>
      <w:r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Pr="00885F93">
        <w:rPr>
          <w:rFonts w:ascii="Sakkal Majalla" w:eastAsia="Times New Roman" w:hAnsi="Sakkal Majalla" w:cs="Sakkal Majalla"/>
          <w:sz w:val="28"/>
          <w:szCs w:val="28"/>
        </w:rPr>
        <w:t>.</w:t>
      </w:r>
    </w:p>
    <w:p w14:paraId="3605ABA2"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2. </w:t>
      </w:r>
      <w:r w:rsidRPr="00885F93">
        <w:rPr>
          <w:rFonts w:ascii="Sakkal Majalla" w:eastAsia="Times New Roman" w:hAnsi="Sakkal Majalla" w:cs="Sakkal Majalla"/>
          <w:b/>
          <w:bCs/>
          <w:sz w:val="28"/>
          <w:szCs w:val="28"/>
          <w:rtl/>
        </w:rPr>
        <w:t>كفاءة إدارة المخاطر التشغيلية تحمي الأصول وتمكّن النمو</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المخاطر التشغيلية</w:t>
      </w:r>
      <w:r w:rsidRPr="00885F93">
        <w:rPr>
          <w:rFonts w:ascii="Sakkal Majalla" w:eastAsia="Times New Roman" w:hAnsi="Sakkal Majalla" w:cs="Sakkal Majalla"/>
          <w:sz w:val="28"/>
          <w:szCs w:val="28"/>
        </w:rPr>
        <w:t xml:space="preserve"> (Operational Risks) - </w:t>
      </w:r>
      <w:r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Pr="00885F93">
        <w:rPr>
          <w:rFonts w:ascii="Sakkal Majalla" w:eastAsia="Times New Roman" w:hAnsi="Sakkal Majalla" w:cs="Sakkal Majalla"/>
          <w:sz w:val="28"/>
          <w:szCs w:val="28"/>
        </w:rPr>
        <w:t xml:space="preserve"> (Internal Controls) </w:t>
      </w:r>
      <w:r w:rsidRPr="00885F93">
        <w:rPr>
          <w:rFonts w:ascii="Sakkal Majalla" w:eastAsia="Times New Roman" w:hAnsi="Sakkal Majalla" w:cs="Sakkal Majalla"/>
          <w:sz w:val="28"/>
          <w:szCs w:val="28"/>
          <w:rtl/>
        </w:rPr>
        <w:t xml:space="preserve">للحد منها. وكما أوضح </w:t>
      </w:r>
      <w:r w:rsidRPr="00237149">
        <w:rPr>
          <w:rFonts w:ascii="Sakkal Majalla" w:eastAsia="Times New Roman" w:hAnsi="Sakkal Majalla" w:cs="Sakkal Majalla"/>
          <w:sz w:val="28"/>
          <w:szCs w:val="28"/>
          <w:rtl/>
        </w:rPr>
        <w:t>إطار</w:t>
      </w:r>
      <w:r w:rsidRPr="00237149">
        <w:rPr>
          <w:rFonts w:ascii="Sakkal Majalla" w:eastAsia="Times New Roman" w:hAnsi="Sakkal Majalla" w:cs="Sakkal Majalla"/>
          <w:sz w:val="28"/>
          <w:szCs w:val="28"/>
        </w:rPr>
        <w:t xml:space="preserve"> COSO </w:t>
      </w:r>
      <w:r w:rsidRPr="00237149">
        <w:rPr>
          <w:rFonts w:ascii="Sakkal Majalla" w:eastAsia="Times New Roman" w:hAnsi="Sakkal Majalla" w:cs="Sakkal Majalla"/>
          <w:sz w:val="28"/>
          <w:szCs w:val="28"/>
          <w:rtl/>
        </w:rPr>
        <w:t>لإدارة المخاطر المؤسسية</w:t>
      </w:r>
      <w:r w:rsidRPr="00237149">
        <w:rPr>
          <w:rFonts w:ascii="Sakkal Majalla" w:eastAsia="Times New Roman" w:hAnsi="Sakkal Majalla" w:cs="Sakkal Majalla"/>
          <w:sz w:val="28"/>
          <w:szCs w:val="28"/>
        </w:rPr>
        <w:t xml:space="preserve"> (2017)</w:t>
      </w:r>
      <w:r w:rsidRPr="00237149">
        <w:rPr>
          <w:rFonts w:ascii="Sakkal Majalla" w:eastAsia="Times New Roman" w:hAnsi="Sakkal Majalla" w:cs="Sakkal Majalla"/>
          <w:sz w:val="28"/>
          <w:szCs w:val="28"/>
          <w:rtl/>
        </w:rPr>
        <w:t>،</w:t>
      </w:r>
      <w:r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Pr="00885F93">
        <w:rPr>
          <w:rFonts w:ascii="Sakkal Majalla" w:eastAsia="Times New Roman" w:hAnsi="Sakkal Majalla" w:cs="Sakkal Majalla"/>
          <w:sz w:val="28"/>
          <w:szCs w:val="28"/>
        </w:rPr>
        <w:t xml:space="preserve">" (Risk Appetite) </w:t>
      </w:r>
      <w:r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Pr="00885F93">
        <w:rPr>
          <w:rFonts w:ascii="Sakkal Majalla" w:eastAsia="Times New Roman" w:hAnsi="Sakkal Majalla" w:cs="Sakkal Majalla"/>
          <w:sz w:val="28"/>
          <w:szCs w:val="28"/>
        </w:rPr>
        <w:t>:</w:t>
      </w:r>
    </w:p>
    <w:p w14:paraId="12964636" w14:textId="77777777" w:rsidR="00885F93" w:rsidRP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lastRenderedPageBreak/>
        <w:t>تحمي أصولها الحالية</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2A104FB9" w14:textId="77777777" w:rsid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66B9F4BE" w14:textId="77777777" w:rsidR="0083781F" w:rsidRPr="00885F93" w:rsidRDefault="0083781F" w:rsidP="002D76E9">
      <w:pPr>
        <w:bidi/>
        <w:spacing w:after="0" w:line="276" w:lineRule="auto"/>
        <w:ind w:left="720"/>
        <w:jc w:val="both"/>
        <w:rPr>
          <w:rFonts w:ascii="Sakkal Majalla" w:eastAsia="Times New Roman" w:hAnsi="Sakkal Majalla" w:cs="Sakkal Majalla"/>
          <w:sz w:val="28"/>
          <w:szCs w:val="28"/>
        </w:rPr>
      </w:pPr>
    </w:p>
    <w:p w14:paraId="4ECF3855" w14:textId="296653EC"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3. </w:t>
      </w:r>
      <w:r w:rsidRPr="00885F93">
        <w:rPr>
          <w:rFonts w:ascii="Sakkal Majalla" w:eastAsia="Times New Roman" w:hAnsi="Sakkal Majalla" w:cs="Sakkal Majalla"/>
          <w:b/>
          <w:bCs/>
          <w:sz w:val="28"/>
          <w:szCs w:val="28"/>
          <w:rtl/>
        </w:rPr>
        <w:t>إدارة المخاطر الفعالة توفر ميزة تنافسية من خلال المرونة</w:t>
      </w:r>
      <w:r w:rsidRPr="00885F93">
        <w:rPr>
          <w:rFonts w:ascii="Sakkal Majalla" w:eastAsia="Times New Roman" w:hAnsi="Sakkal Majalla" w:cs="Sakkal Majalla"/>
          <w:b/>
          <w:bCs/>
          <w:sz w:val="28"/>
          <w:szCs w:val="28"/>
        </w:rPr>
        <w:t xml:space="preserve"> (Resilience):</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 xml:space="preserve">اقتصادية) </w:t>
      </w:r>
      <w:r w:rsidR="00237149" w:rsidRPr="00885F93">
        <w:rPr>
          <w:rFonts w:ascii="Sakkal Majalla" w:eastAsia="Times New Roman" w:hAnsi="Sakkal Majalla" w:cs="Sakkal Majalla" w:hint="eastAsia"/>
          <w:sz w:val="28"/>
          <w:szCs w:val="28"/>
          <w:rtl/>
        </w:rPr>
        <w:t>،</w:t>
      </w:r>
      <w:r w:rsidRPr="00885F93">
        <w:rPr>
          <w:rFonts w:ascii="Sakkal Majalla" w:eastAsia="Times New Roman" w:hAnsi="Sakkal Majalla" w:cs="Sakkal Majalla"/>
          <w:sz w:val="28"/>
          <w:szCs w:val="28"/>
          <w:rtl/>
        </w:rPr>
        <w:t xml:space="preserve"> </w:t>
      </w:r>
      <w:r w:rsidRPr="00237149">
        <w:rPr>
          <w:rFonts w:ascii="Sakkal Majalla" w:eastAsia="Times New Roman" w:hAnsi="Sakkal Majalla" w:cs="Sakkal Majalla"/>
          <w:sz w:val="28"/>
          <w:szCs w:val="28"/>
          <w:rtl/>
        </w:rPr>
        <w:t>أصبحت المرونة التنظيمية</w:t>
      </w:r>
      <w:r w:rsidRPr="00237149">
        <w:rPr>
          <w:rFonts w:ascii="Sakkal Majalla" w:eastAsia="Times New Roman" w:hAnsi="Sakkal Majalla" w:cs="Sakkal Majalla"/>
          <w:sz w:val="28"/>
          <w:szCs w:val="28"/>
        </w:rPr>
        <w:t xml:space="preserve"> (Organizational Resilience)</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Pr="00885F93">
        <w:rPr>
          <w:rFonts w:ascii="Sakkal Majalla" w:eastAsia="Times New Roman" w:hAnsi="Sakkal Majalla" w:cs="Sakkal Majalla"/>
          <w:b/>
          <w:bCs/>
          <w:sz w:val="28"/>
          <w:szCs w:val="28"/>
        </w:rPr>
        <w:t>(Accenture, 2021)</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Pr="00885F93">
        <w:rPr>
          <w:rFonts w:ascii="Sakkal Majalla" w:eastAsia="Times New Roman" w:hAnsi="Sakkal Majalla" w:cs="Sakkal Majalla"/>
          <w:sz w:val="28"/>
          <w:szCs w:val="28"/>
        </w:rPr>
        <w:t>.</w:t>
      </w:r>
    </w:p>
    <w:p w14:paraId="7EB103B2"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4. </w:t>
      </w:r>
      <w:r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أخيراً، تكتمل الدائرة عندما </w:t>
      </w:r>
      <w:r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lastRenderedPageBreak/>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 xml:space="preserve">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w:t>
      </w:r>
      <w:r w:rsidRPr="00D62C39">
        <w:rPr>
          <w:rFonts w:ascii="Sakkal Majalla" w:eastAsia="Times New Roman" w:hAnsi="Sakkal Majalla" w:cs="Sakkal Majalla"/>
          <w:sz w:val="28"/>
          <w:szCs w:val="28"/>
          <w:rtl/>
        </w:rPr>
        <w:lastRenderedPageBreak/>
        <w:t>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هو التأكد من أن استراتيجية الابتكار والتحول الرقمي تتوافق مع 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2563A6B4"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7AFF1FCE" w14:textId="3FBBF256"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3A7406B6" w:rsidR="002505F5" w:rsidRDefault="002D76E9"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Pr>
        <w:lastRenderedPageBreak/>
        <w:drawing>
          <wp:anchor distT="0" distB="0" distL="114300" distR="114300" simplePos="0" relativeHeight="251660800" behindDoc="0" locked="0" layoutInCell="1" allowOverlap="1" wp14:anchorId="6950658F" wp14:editId="5D11932C">
            <wp:simplePos x="0" y="0"/>
            <wp:positionH relativeFrom="column">
              <wp:posOffset>290195</wp:posOffset>
            </wp:positionH>
            <wp:positionV relativeFrom="paragraph">
              <wp:posOffset>920750</wp:posOffset>
            </wp:positionV>
            <wp:extent cx="5162550" cy="2546985"/>
            <wp:effectExtent l="0" t="0" r="0" b="5715"/>
            <wp:wrapThrough wrapText="bothSides">
              <wp:wrapPolygon edited="0">
                <wp:start x="0" y="0"/>
                <wp:lineTo x="0" y="21487"/>
                <wp:lineTo x="21520" y="21487"/>
                <wp:lineTo x="21520" y="0"/>
                <wp:lineTo x="0" y="0"/>
              </wp:wrapPolygon>
            </wp:wrapThrough>
            <wp:docPr id="127262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5F5"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002505F5" w:rsidRPr="002505F5">
        <w:rPr>
          <w:rFonts w:ascii="Sakkal Majalla" w:eastAsia="Times New Roman" w:hAnsi="Sakkal Majalla" w:cs="Sakkal Majalla"/>
          <w:sz w:val="28"/>
          <w:szCs w:val="28"/>
        </w:rPr>
        <w:t>.</w:t>
      </w:r>
    </w:p>
    <w:p w14:paraId="4F43903D" w14:textId="61E572DA" w:rsidR="009E2883" w:rsidRDefault="009E2883" w:rsidP="002D76E9">
      <w:pPr>
        <w:bidi/>
        <w:spacing w:after="0" w:line="276" w:lineRule="auto"/>
        <w:jc w:val="both"/>
        <w:rPr>
          <w:rFonts w:ascii="Sakkal Majalla" w:eastAsia="Times New Roman" w:hAnsi="Sakkal Majalla" w:cs="Sakkal Majalla"/>
          <w:sz w:val="28"/>
          <w:szCs w:val="28"/>
          <w:rtl/>
        </w:rPr>
      </w:pPr>
    </w:p>
    <w:p w14:paraId="41E3B5A4" w14:textId="4E1D5749"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1EBF7C85"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3D09695"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67C8A918"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4580E051"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3A17728A"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6730EF54"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35127AFA"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46F2C0D2"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DB670E1"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5C085F5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0492694A" w14:textId="5396B180"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rsidP="002D76E9">
      <w:pPr>
        <w:numPr>
          <w:ilvl w:val="0"/>
          <w:numId w:val="102"/>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797"/>
        <w:gridCol w:w="1125"/>
        <w:gridCol w:w="4596"/>
        <w:gridCol w:w="2546"/>
      </w:tblGrid>
      <w:tr w:rsidR="009E2883" w:rsidRPr="009E499E" w14:paraId="21CB07AA" w14:textId="77777777" w:rsidTr="002D76E9">
        <w:trPr>
          <w:tblHeader/>
        </w:trPr>
        <w:tc>
          <w:tcPr>
            <w:tcW w:w="0" w:type="auto"/>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6540691"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المرحلة</w:t>
            </w:r>
            <w:r w:rsidRPr="009E499E">
              <w:rPr>
                <w:rFonts w:ascii="Sakkal Majalla" w:eastAsia="Times New Roman" w:hAnsi="Sakkal Majalla" w:cs="Sakkal Majalla"/>
                <w:sz w:val="28"/>
                <w:szCs w:val="28"/>
                <w:highlight w:val="yellow"/>
              </w:rPr>
              <w:t xml:space="preserve"> (Stage)</w:t>
            </w:r>
          </w:p>
        </w:tc>
        <w:tc>
          <w:tcPr>
            <w:tcW w:w="0" w:type="auto"/>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308C9EDA"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المفهوم</w:t>
            </w:r>
            <w:r w:rsidRPr="009E499E">
              <w:rPr>
                <w:rFonts w:ascii="Sakkal Majalla" w:eastAsia="Times New Roman" w:hAnsi="Sakkal Majalla" w:cs="Sakkal Majalla"/>
                <w:sz w:val="28"/>
                <w:szCs w:val="28"/>
                <w:highlight w:val="yellow"/>
              </w:rPr>
              <w:t xml:space="preserve"> (Concept)</w:t>
            </w:r>
          </w:p>
        </w:tc>
        <w:tc>
          <w:tcPr>
            <w:tcW w:w="4596"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الآليات الرئيسية</w:t>
            </w:r>
            <w:r w:rsidRPr="009E499E">
              <w:rPr>
                <w:rFonts w:ascii="Sakkal Majalla" w:eastAsia="Times New Roman" w:hAnsi="Sakkal Majalla" w:cs="Sakkal Majalla"/>
                <w:sz w:val="28"/>
                <w:szCs w:val="28"/>
                <w:highlight w:val="yellow"/>
              </w:rPr>
              <w:t xml:space="preserve"> (Key Mechanisms)</w:t>
            </w:r>
          </w:p>
        </w:tc>
        <w:tc>
          <w:tcPr>
            <w:tcW w:w="2546"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الأثر المباشر</w:t>
            </w:r>
            <w:r w:rsidRPr="009E499E">
              <w:rPr>
                <w:rFonts w:ascii="Sakkal Majalla" w:eastAsia="Times New Roman" w:hAnsi="Sakkal Majalla" w:cs="Sakkal Majalla"/>
                <w:sz w:val="28"/>
                <w:szCs w:val="28"/>
                <w:highlight w:val="yellow"/>
              </w:rPr>
              <w:t xml:space="preserve"> (Direct Impact)</w:t>
            </w:r>
          </w:p>
        </w:tc>
      </w:tr>
      <w:tr w:rsidR="009E2883" w:rsidRPr="009E499E" w14:paraId="09D931AD" w14:textId="77777777" w:rsidTr="002D76E9">
        <w:tc>
          <w:tcPr>
            <w:tcW w:w="0" w:type="auto"/>
            <w:tcBorders>
              <w:top w:val="single" w:sz="6" w:space="0" w:color="auto"/>
              <w:left w:val="single" w:sz="2" w:space="0" w:color="auto"/>
              <w:bottom w:val="single" w:sz="2" w:space="0" w:color="auto"/>
              <w:right w:val="single" w:sz="2" w:space="0" w:color="auto"/>
            </w:tcBorders>
            <w:vAlign w:val="center"/>
            <w:hideMark/>
          </w:tcPr>
          <w:p w14:paraId="04F1C4D3"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المرحلة الأولى: الأساس</w:t>
            </w:r>
          </w:p>
        </w:tc>
        <w:tc>
          <w:tcPr>
            <w:tcW w:w="0" w:type="auto"/>
            <w:tcBorders>
              <w:top w:val="single" w:sz="6" w:space="0" w:color="auto"/>
              <w:left w:val="single" w:sz="2" w:space="0" w:color="auto"/>
              <w:bottom w:val="single" w:sz="2" w:space="0" w:color="auto"/>
              <w:right w:val="single" w:sz="2" w:space="0" w:color="auto"/>
            </w:tcBorders>
            <w:vAlign w:val="center"/>
            <w:hideMark/>
          </w:tcPr>
          <w:p w14:paraId="4A1891BE"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التميز التشغيلي في ظل الحوكمة</w:t>
            </w:r>
          </w:p>
        </w:tc>
        <w:tc>
          <w:tcPr>
            <w:tcW w:w="4596"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Pr>
              <w:t xml:space="preserve">1. </w:t>
            </w:r>
            <w:r w:rsidRPr="009E499E">
              <w:rPr>
                <w:rFonts w:ascii="Sakkal Majalla" w:eastAsia="Times New Roman" w:hAnsi="Sakkal Majalla" w:cs="Sakkal Majalla"/>
                <w:sz w:val="28"/>
                <w:szCs w:val="28"/>
                <w:highlight w:val="yellow"/>
                <w:rtl/>
              </w:rPr>
              <w:t>كفاءة العمليات</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تقليل الهدر والتكاليف عبر الرقابة (المراجعة الداخلية، مصفوفة الصلاحيات)</w:t>
            </w:r>
            <w:r w:rsidRPr="009E499E">
              <w:rPr>
                <w:rFonts w:ascii="Sakkal Majalla" w:eastAsia="Times New Roman" w:hAnsi="Sakkal Majalla" w:cs="Sakkal Majalla"/>
                <w:sz w:val="28"/>
                <w:szCs w:val="28"/>
                <w:highlight w:val="yellow"/>
              </w:rPr>
              <w:t xml:space="preserve">. 2. </w:t>
            </w:r>
            <w:r w:rsidRPr="009E499E">
              <w:rPr>
                <w:rFonts w:ascii="Sakkal Majalla" w:eastAsia="Times New Roman" w:hAnsi="Sakkal Majalla" w:cs="Sakkal Majalla"/>
                <w:sz w:val="28"/>
                <w:szCs w:val="28"/>
                <w:highlight w:val="yellow"/>
                <w:rtl/>
              </w:rPr>
              <w:t>إدارة المخاطر التشغيلية</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ضمان استمرارية الأعمال وحماية الأصول (لجنة المخاطر، خطط الطوارئ)</w:t>
            </w:r>
            <w:r w:rsidRPr="009E499E">
              <w:rPr>
                <w:rFonts w:ascii="Sakkal Majalla" w:eastAsia="Times New Roman" w:hAnsi="Sakkal Majalla" w:cs="Sakkal Majalla"/>
                <w:sz w:val="28"/>
                <w:szCs w:val="28"/>
                <w:highlight w:val="yellow"/>
              </w:rPr>
              <w:t xml:space="preserve">. 3. </w:t>
            </w:r>
            <w:r w:rsidRPr="009E499E">
              <w:rPr>
                <w:rFonts w:ascii="Sakkal Majalla" w:eastAsia="Times New Roman" w:hAnsi="Sakkal Majalla" w:cs="Sakkal Majalla"/>
                <w:sz w:val="28"/>
                <w:szCs w:val="28"/>
                <w:highlight w:val="yellow"/>
                <w:rtl/>
              </w:rPr>
              <w:t>بناء رأس المال البشري</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تقليل الدوران الوظيفي عبر العدالة والشفافية (لجنة المكافآت)</w:t>
            </w:r>
            <w:r w:rsidRPr="009E499E">
              <w:rPr>
                <w:rFonts w:ascii="Sakkal Majalla" w:eastAsia="Times New Roman" w:hAnsi="Sakkal Majalla" w:cs="Sakkal Majalla"/>
                <w:sz w:val="28"/>
                <w:szCs w:val="28"/>
                <w:highlight w:val="yellow"/>
              </w:rPr>
              <w:t>.</w:t>
            </w:r>
          </w:p>
        </w:tc>
        <w:tc>
          <w:tcPr>
            <w:tcW w:w="2546" w:type="dxa"/>
            <w:tcBorders>
              <w:top w:val="single" w:sz="6" w:space="0" w:color="auto"/>
              <w:left w:val="single" w:sz="2" w:space="0" w:color="auto"/>
              <w:bottom w:val="single" w:sz="2" w:space="0" w:color="auto"/>
              <w:right w:val="single" w:sz="2" w:space="0" w:color="auto"/>
            </w:tcBorders>
            <w:vAlign w:val="center"/>
            <w:hideMark/>
          </w:tcPr>
          <w:p w14:paraId="1A5D56D7"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مؤسسة منضبطة ومستقرة</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عمليات موثوقة يمكن التنبؤ بها</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تكاليف تشغيلية منخفضة</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استقرار في الكفاءات والخبرات</w:t>
            </w:r>
            <w:r w:rsidRPr="009E499E">
              <w:rPr>
                <w:rFonts w:ascii="Sakkal Majalla" w:eastAsia="Times New Roman" w:hAnsi="Sakkal Majalla" w:cs="Sakkal Majalla"/>
                <w:sz w:val="28"/>
                <w:szCs w:val="28"/>
                <w:highlight w:val="yellow"/>
              </w:rPr>
              <w:t>.</w:t>
            </w:r>
          </w:p>
        </w:tc>
      </w:tr>
      <w:tr w:rsidR="009E2883" w:rsidRPr="009E499E" w14:paraId="07A183BC" w14:textId="77777777" w:rsidTr="002D76E9">
        <w:tc>
          <w:tcPr>
            <w:tcW w:w="0" w:type="auto"/>
            <w:tcBorders>
              <w:top w:val="single" w:sz="6" w:space="0" w:color="auto"/>
              <w:left w:val="single" w:sz="2" w:space="0" w:color="auto"/>
              <w:bottom w:val="single" w:sz="2" w:space="0" w:color="auto"/>
              <w:right w:val="single" w:sz="2" w:space="0" w:color="auto"/>
            </w:tcBorders>
            <w:vAlign w:val="center"/>
            <w:hideMark/>
          </w:tcPr>
          <w:p w14:paraId="6C537CD5"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المرحلة الثانية: البناء</w:t>
            </w:r>
          </w:p>
        </w:tc>
        <w:tc>
          <w:tcPr>
            <w:tcW w:w="0" w:type="auto"/>
            <w:tcBorders>
              <w:top w:val="single" w:sz="6" w:space="0" w:color="auto"/>
              <w:left w:val="single" w:sz="2" w:space="0" w:color="auto"/>
              <w:bottom w:val="single" w:sz="2" w:space="0" w:color="auto"/>
              <w:right w:val="single" w:sz="2" w:space="0" w:color="auto"/>
            </w:tcBorders>
            <w:vAlign w:val="center"/>
            <w:hideMark/>
          </w:tcPr>
          <w:p w14:paraId="59E8E00D"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التميز المؤسسي في ظل الحوكمة</w:t>
            </w:r>
          </w:p>
        </w:tc>
        <w:tc>
          <w:tcPr>
            <w:tcW w:w="4596"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Pr>
              <w:t xml:space="preserve">1. </w:t>
            </w:r>
            <w:r w:rsidRPr="009E499E">
              <w:rPr>
                <w:rFonts w:ascii="Sakkal Majalla" w:eastAsia="Times New Roman" w:hAnsi="Sakkal Majalla" w:cs="Sakkal Majalla"/>
                <w:sz w:val="28"/>
                <w:szCs w:val="28"/>
                <w:highlight w:val="yellow"/>
                <w:rtl/>
              </w:rPr>
              <w:t>الاستثمار الاستراتيجي</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تحرير الموارد (الناتجة عن الكفاءة) وتوجيهها نحو النمو والابتكار</w:t>
            </w:r>
            <w:r w:rsidRPr="009E499E">
              <w:rPr>
                <w:rFonts w:ascii="Sakkal Majalla" w:eastAsia="Times New Roman" w:hAnsi="Sakkal Majalla" w:cs="Sakkal Majalla"/>
                <w:sz w:val="28"/>
                <w:szCs w:val="28"/>
                <w:highlight w:val="yellow"/>
              </w:rPr>
              <w:t xml:space="preserve">. 2. </w:t>
            </w:r>
            <w:r w:rsidRPr="009E499E">
              <w:rPr>
                <w:rFonts w:ascii="Sakkal Majalla" w:eastAsia="Times New Roman" w:hAnsi="Sakkal Majalla" w:cs="Sakkal Majalla"/>
                <w:sz w:val="28"/>
                <w:szCs w:val="28"/>
                <w:highlight w:val="yellow"/>
                <w:rtl/>
              </w:rPr>
              <w:t>المرونة الاستراتيجية</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القدرة على التكيف مع التغيرات بفضل إدارة المخاطر الاستباقية</w:t>
            </w:r>
            <w:r w:rsidRPr="009E499E">
              <w:rPr>
                <w:rFonts w:ascii="Sakkal Majalla" w:eastAsia="Times New Roman" w:hAnsi="Sakkal Majalla" w:cs="Sakkal Majalla"/>
                <w:sz w:val="28"/>
                <w:szCs w:val="28"/>
                <w:highlight w:val="yellow"/>
              </w:rPr>
              <w:t xml:space="preserve">. 3. </w:t>
            </w:r>
            <w:r w:rsidRPr="009E499E">
              <w:rPr>
                <w:rFonts w:ascii="Sakkal Majalla" w:eastAsia="Times New Roman" w:hAnsi="Sakkal Majalla" w:cs="Sakkal Majalla"/>
                <w:sz w:val="28"/>
                <w:szCs w:val="28"/>
                <w:highlight w:val="yellow"/>
                <w:rtl/>
              </w:rPr>
              <w:t>بناء السمعة والثقة</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جذب أفضل المواهب والمستثمرين بفضل الشفافية والالتزام الأخلاقي</w:t>
            </w:r>
            <w:r w:rsidRPr="009E499E">
              <w:rPr>
                <w:rFonts w:ascii="Sakkal Majalla" w:eastAsia="Times New Roman" w:hAnsi="Sakkal Majalla" w:cs="Sakkal Majalla"/>
                <w:sz w:val="28"/>
                <w:szCs w:val="28"/>
                <w:highlight w:val="yellow"/>
              </w:rPr>
              <w:t>.</w:t>
            </w:r>
          </w:p>
        </w:tc>
        <w:tc>
          <w:tcPr>
            <w:tcW w:w="2546" w:type="dxa"/>
            <w:tcBorders>
              <w:top w:val="single" w:sz="6" w:space="0" w:color="auto"/>
              <w:left w:val="single" w:sz="2" w:space="0" w:color="auto"/>
              <w:bottom w:val="single" w:sz="2" w:space="0" w:color="auto"/>
              <w:right w:val="single" w:sz="2" w:space="0" w:color="auto"/>
            </w:tcBorders>
            <w:vAlign w:val="center"/>
            <w:hideMark/>
          </w:tcPr>
          <w:p w14:paraId="4B57F010"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مؤسسة قادرة على المنافسة والنمو</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قدرة على تمويل المشاريع الاستراتيجية</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سمعة مؤسسية قوية</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ثقافة الابتكار والأمان النفسي</w:t>
            </w:r>
            <w:r w:rsidRPr="009E499E">
              <w:rPr>
                <w:rFonts w:ascii="Sakkal Majalla" w:eastAsia="Times New Roman" w:hAnsi="Sakkal Majalla" w:cs="Sakkal Majalla"/>
                <w:sz w:val="28"/>
                <w:szCs w:val="28"/>
                <w:highlight w:val="yellow"/>
              </w:rPr>
              <w:t>.</w:t>
            </w:r>
          </w:p>
        </w:tc>
      </w:tr>
      <w:tr w:rsidR="009E2883" w:rsidRPr="009E2883" w14:paraId="115F018A" w14:textId="77777777" w:rsidTr="002D76E9">
        <w:tc>
          <w:tcPr>
            <w:tcW w:w="0" w:type="auto"/>
            <w:tcBorders>
              <w:top w:val="single" w:sz="6" w:space="0" w:color="auto"/>
              <w:left w:val="single" w:sz="2" w:space="0" w:color="auto"/>
              <w:bottom w:val="single" w:sz="2" w:space="0" w:color="auto"/>
              <w:right w:val="single" w:sz="2" w:space="0" w:color="auto"/>
            </w:tcBorders>
            <w:vAlign w:val="center"/>
            <w:hideMark/>
          </w:tcPr>
          <w:p w14:paraId="5A4788AE"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المرحلة الثالثة: القمة</w:t>
            </w:r>
          </w:p>
        </w:tc>
        <w:tc>
          <w:tcPr>
            <w:tcW w:w="0" w:type="auto"/>
            <w:tcBorders>
              <w:top w:val="single" w:sz="6" w:space="0" w:color="auto"/>
              <w:left w:val="single" w:sz="2" w:space="0" w:color="auto"/>
              <w:bottom w:val="single" w:sz="2" w:space="0" w:color="auto"/>
              <w:right w:val="single" w:sz="2" w:space="0" w:color="auto"/>
            </w:tcBorders>
            <w:vAlign w:val="center"/>
            <w:hideMark/>
          </w:tcPr>
          <w:p w14:paraId="05535CB2"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tl/>
              </w:rPr>
              <w:t>التميز المؤسسي المستدام</w:t>
            </w:r>
          </w:p>
        </w:tc>
        <w:tc>
          <w:tcPr>
            <w:tcW w:w="4596"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9E2883" w:rsidRPr="009E499E" w:rsidRDefault="009E2883" w:rsidP="002D76E9">
            <w:pPr>
              <w:bidi/>
              <w:spacing w:after="0" w:line="276" w:lineRule="auto"/>
              <w:jc w:val="both"/>
              <w:rPr>
                <w:rFonts w:ascii="Sakkal Majalla" w:eastAsia="Times New Roman" w:hAnsi="Sakkal Majalla" w:cs="Sakkal Majalla"/>
                <w:sz w:val="28"/>
                <w:szCs w:val="28"/>
                <w:highlight w:val="yellow"/>
              </w:rPr>
            </w:pPr>
            <w:r w:rsidRPr="009E499E">
              <w:rPr>
                <w:rFonts w:ascii="Sakkal Majalla" w:eastAsia="Times New Roman" w:hAnsi="Sakkal Majalla" w:cs="Sakkal Majalla"/>
                <w:sz w:val="28"/>
                <w:szCs w:val="28"/>
                <w:highlight w:val="yellow"/>
              </w:rPr>
              <w:t xml:space="preserve">1. </w:t>
            </w:r>
            <w:r w:rsidRPr="009E499E">
              <w:rPr>
                <w:rFonts w:ascii="Sakkal Majalla" w:eastAsia="Times New Roman" w:hAnsi="Sakkal Majalla" w:cs="Sakkal Majalla"/>
                <w:sz w:val="28"/>
                <w:szCs w:val="28"/>
                <w:highlight w:val="yellow"/>
                <w:rtl/>
              </w:rPr>
              <w:t>خلق قيمة طويلة الأمد</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مواءمة الأهداف التشغيلية، الاستراتيجية، ومصالح أصحاب المصلحة</w:t>
            </w:r>
            <w:r w:rsidRPr="009E499E">
              <w:rPr>
                <w:rFonts w:ascii="Sakkal Majalla" w:eastAsia="Times New Roman" w:hAnsi="Sakkal Majalla" w:cs="Sakkal Majalla"/>
                <w:sz w:val="28"/>
                <w:szCs w:val="28"/>
                <w:highlight w:val="yellow"/>
              </w:rPr>
              <w:t xml:space="preserve">. 2. </w:t>
            </w:r>
            <w:r w:rsidRPr="009E499E">
              <w:rPr>
                <w:rFonts w:ascii="Sakkal Majalla" w:eastAsia="Times New Roman" w:hAnsi="Sakkal Majalla" w:cs="Sakkal Majalla"/>
                <w:sz w:val="28"/>
                <w:szCs w:val="28"/>
                <w:highlight w:val="yellow"/>
                <w:rtl/>
              </w:rPr>
              <w:t>الريادة في السوق</w:t>
            </w:r>
            <w:r w:rsidRPr="009E499E">
              <w:rPr>
                <w:rFonts w:ascii="Sakkal Majalla" w:eastAsia="Times New Roman" w:hAnsi="Sakkal Majalla" w:cs="Sakkal Majalla"/>
                <w:sz w:val="28"/>
                <w:szCs w:val="28"/>
                <w:highlight w:val="yellow"/>
              </w:rPr>
              <w:t xml:space="preserve">: </w:t>
            </w:r>
            <w:r w:rsidRPr="009E499E">
              <w:rPr>
                <w:rFonts w:ascii="Sakkal Majalla" w:eastAsia="Times New Roman" w:hAnsi="Sakkal Majalla" w:cs="Sakkal Majalla"/>
                <w:sz w:val="28"/>
                <w:szCs w:val="28"/>
                <w:highlight w:val="yellow"/>
                <w:rtl/>
              </w:rPr>
              <w:t>استخدام الابتكار والتحول الرقمي لخلق ميزة تنافسية يصعب تقليدها</w:t>
            </w:r>
            <w:r w:rsidRPr="009E499E">
              <w:rPr>
                <w:rFonts w:ascii="Sakkal Majalla" w:eastAsia="Times New Roman" w:hAnsi="Sakkal Majalla" w:cs="Sakkal Majalla"/>
                <w:sz w:val="28"/>
                <w:szCs w:val="28"/>
                <w:highlight w:val="yellow"/>
              </w:rPr>
              <w:t xml:space="preserve">. 3. </w:t>
            </w:r>
            <w:r w:rsidRPr="009E499E">
              <w:rPr>
                <w:rFonts w:ascii="Sakkal Majalla" w:eastAsia="Times New Roman" w:hAnsi="Sakkal Majalla" w:cs="Sakkal Majalla"/>
                <w:sz w:val="28"/>
                <w:szCs w:val="28"/>
                <w:highlight w:val="yellow"/>
                <w:rtl/>
              </w:rPr>
              <w:t>الاستدامة الشاملة</w:t>
            </w:r>
            <w:r w:rsidRPr="009E499E">
              <w:rPr>
                <w:rFonts w:ascii="Sakkal Majalla" w:eastAsia="Times New Roman" w:hAnsi="Sakkal Majalla" w:cs="Sakkal Majalla"/>
                <w:sz w:val="28"/>
                <w:szCs w:val="28"/>
                <w:highlight w:val="yellow"/>
              </w:rPr>
              <w:t xml:space="preserve"> (ESG): </w:t>
            </w:r>
            <w:r w:rsidRPr="009E499E">
              <w:rPr>
                <w:rFonts w:ascii="Sakkal Majalla" w:eastAsia="Times New Roman" w:hAnsi="Sakkal Majalla" w:cs="Sakkal Majalla"/>
                <w:sz w:val="28"/>
                <w:szCs w:val="28"/>
                <w:highlight w:val="yellow"/>
                <w:rtl/>
              </w:rPr>
              <w:t>تحقيق أداء مالي واجتماعي وبيئي متفوق</w:t>
            </w:r>
            <w:r w:rsidRPr="009E499E">
              <w:rPr>
                <w:rFonts w:ascii="Sakkal Majalla" w:eastAsia="Times New Roman" w:hAnsi="Sakkal Majalla" w:cs="Sakkal Majalla"/>
                <w:sz w:val="28"/>
                <w:szCs w:val="28"/>
                <w:highlight w:val="yellow"/>
              </w:rPr>
              <w:t>.</w:t>
            </w:r>
          </w:p>
        </w:tc>
        <w:tc>
          <w:tcPr>
            <w:tcW w:w="2546" w:type="dxa"/>
            <w:tcBorders>
              <w:top w:val="single" w:sz="6" w:space="0" w:color="auto"/>
              <w:left w:val="single" w:sz="2" w:space="0" w:color="auto"/>
              <w:bottom w:val="single" w:sz="2" w:space="0" w:color="auto"/>
              <w:right w:val="single" w:sz="2" w:space="0" w:color="auto"/>
            </w:tcBorders>
            <w:vAlign w:val="center"/>
            <w:hideMark/>
          </w:tcPr>
          <w:p w14:paraId="2FCE1DEE" w14:textId="77777777" w:rsidR="009E2883" w:rsidRPr="002D76E9" w:rsidRDefault="009E2883" w:rsidP="002D76E9">
            <w:pPr>
              <w:bidi/>
              <w:spacing w:after="0" w:line="276" w:lineRule="auto"/>
              <w:jc w:val="both"/>
              <w:rPr>
                <w:rFonts w:ascii="Sakkal Majalla" w:eastAsia="Times New Roman" w:hAnsi="Sakkal Majalla" w:cs="Sakkal Majalla"/>
                <w:sz w:val="28"/>
                <w:szCs w:val="28"/>
              </w:rPr>
            </w:pPr>
            <w:r w:rsidRPr="009E499E">
              <w:rPr>
                <w:rFonts w:ascii="Sakkal Majalla" w:eastAsia="Times New Roman" w:hAnsi="Sakkal Majalla" w:cs="Sakkal Majalla"/>
                <w:sz w:val="28"/>
                <w:szCs w:val="28"/>
                <w:highlight w:val="yellow"/>
                <w:rtl/>
              </w:rPr>
              <w:t>مؤسسة رائدة ومستدامة</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تحقيق نمو مربح ومستدام</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القدرة على قيادة السوق وتشكيل مستقبله</w:t>
            </w:r>
            <w:r w:rsidRPr="009E499E">
              <w:rPr>
                <w:rFonts w:ascii="Sakkal Majalla" w:eastAsia="Times New Roman" w:hAnsi="Sakkal Majalla" w:cs="Sakkal Majalla"/>
                <w:sz w:val="28"/>
                <w:szCs w:val="28"/>
                <w:highlight w:val="yellow"/>
              </w:rPr>
              <w:t xml:space="preserve">. - </w:t>
            </w:r>
            <w:r w:rsidRPr="009E499E">
              <w:rPr>
                <w:rFonts w:ascii="Sakkal Majalla" w:eastAsia="Times New Roman" w:hAnsi="Sakkal Majalla" w:cs="Sakkal Majalla"/>
                <w:sz w:val="28"/>
                <w:szCs w:val="28"/>
                <w:highlight w:val="yellow"/>
                <w:rtl/>
              </w:rPr>
              <w:t>تحقيق التميز الشامل الذي يرضي جميع الأطراف</w:t>
            </w:r>
            <w:r w:rsidRPr="009E499E">
              <w:rPr>
                <w:rFonts w:ascii="Sakkal Majalla" w:eastAsia="Times New Roman" w:hAnsi="Sakkal Majalla" w:cs="Sakkal Majalla"/>
                <w:sz w:val="28"/>
                <w:szCs w:val="28"/>
                <w:highlight w:val="yellow"/>
              </w:rPr>
              <w:t>.</w:t>
            </w:r>
          </w:p>
        </w:tc>
      </w:tr>
    </w:tbl>
    <w:p w14:paraId="04CAC8F4" w14:textId="77777777" w:rsidR="009E2883" w:rsidRPr="009E2883" w:rsidRDefault="009E2883" w:rsidP="002D76E9">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كل شيء يبدأ من الحوكمة. هي ليست مجرد متغير، بل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لكل شيء آخر بالنمو بشكل صحيح</w:t>
      </w:r>
      <w:r w:rsidRPr="009E2883">
        <w:rPr>
          <w:rFonts w:ascii="Sakkal Majalla" w:eastAsia="Times New Roman" w:hAnsi="Sakkal Majalla" w:cs="Sakkal Majalla"/>
          <w:sz w:val="28"/>
          <w:szCs w:val="28"/>
        </w:rPr>
        <w:t>.</w:t>
      </w:r>
    </w:p>
    <w:p w14:paraId="7C167644"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lastRenderedPageBreak/>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2D4D2586" w14:textId="77777777" w:rsidR="009E2883" w:rsidRPr="009E2883" w:rsidRDefault="009E2883" w:rsidP="002D76E9">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2D76E9">
      <w:pPr>
        <w:bidi/>
        <w:spacing w:after="0" w:line="276" w:lineRule="auto"/>
        <w:jc w:val="both"/>
        <w:rPr>
          <w:rFonts w:ascii="Sakkal Majalla" w:eastAsia="Times New Roman" w:hAnsi="Sakkal Majalla" w:cs="Sakkal Majalla"/>
          <w:sz w:val="28"/>
          <w:szCs w:val="28"/>
          <w:rtl/>
        </w:rPr>
      </w:pPr>
    </w:p>
    <w:p w14:paraId="2FAF8FC2" w14:textId="77777777" w:rsidR="00D62C39" w:rsidRPr="00D62C39" w:rsidRDefault="00D62C39" w:rsidP="002D76E9">
      <w:pPr>
        <w:bidi/>
        <w:spacing w:after="0" w:line="276" w:lineRule="auto"/>
        <w:ind w:left="63"/>
        <w:jc w:val="both"/>
        <w:rPr>
          <w:rFonts w:ascii="Sakkal Majalla" w:eastAsia="Times New Roman" w:hAnsi="Sakkal Majalla" w:cs="Sakkal Majalla"/>
          <w:b/>
          <w:bCs/>
          <w:sz w:val="28"/>
          <w:szCs w:val="28"/>
        </w:rPr>
      </w:pPr>
      <w:r w:rsidRPr="00D62C39">
        <w:rPr>
          <w:rFonts w:ascii="Sakkal Majalla" w:eastAsia="Times New Roman" w:hAnsi="Sakkal Majalla" w:cs="Sakkal Majalla"/>
          <w:b/>
          <w:bCs/>
          <w:sz w:val="28"/>
          <w:szCs w:val="28"/>
          <w:rtl/>
        </w:rPr>
        <w:t>المحور الرابع: الدراسات السابقة والتعقيب عليها ونموذج الدراسة المقترح</w:t>
      </w:r>
    </w:p>
    <w:p w14:paraId="7D2AD546" w14:textId="77777777" w:rsidR="00D62C39" w:rsidRPr="00D62C39" w:rsidRDefault="00D62C39" w:rsidP="002D76E9">
      <w:pPr>
        <w:bidi/>
        <w:spacing w:after="0" w:line="276" w:lineRule="auto"/>
        <w:ind w:left="63"/>
        <w:jc w:val="both"/>
        <w:rPr>
          <w:rFonts w:ascii="Sakkal Majalla" w:eastAsia="Times New Roman" w:hAnsi="Sakkal Majalla" w:cs="Sakkal Majalla"/>
          <w:sz w:val="28"/>
          <w:szCs w:val="28"/>
        </w:rPr>
      </w:pPr>
      <w:r w:rsidRPr="00D62C39">
        <w:rPr>
          <w:rFonts w:ascii="Sakkal Majalla" w:eastAsia="Times New Roman" w:hAnsi="Sakkal Majalla" w:cs="Sakkal Majalla"/>
          <w:sz w:val="28"/>
          <w:szCs w:val="28"/>
          <w:rtl/>
        </w:rPr>
        <w:t>يهدف هذا المحور إلى مراجعة وتحليل الدراسات التي تناولت العلاقة بين الحوكمة والأداء المؤسسي، بهدف تحديد مكانة هذه الدراسة في الخارطة المعرفية وسد الفجوة البحثية</w:t>
      </w:r>
      <w:r w:rsidRPr="00D62C39">
        <w:rPr>
          <w:rFonts w:ascii="Sakkal Majalla" w:eastAsia="Times New Roman" w:hAnsi="Sakkal Majalla" w:cs="Sakkal Majalla"/>
          <w:sz w:val="28"/>
          <w:szCs w:val="28"/>
        </w:rPr>
        <w:t>.</w:t>
      </w:r>
    </w:p>
    <w:p w14:paraId="6F44C96D" w14:textId="77777777" w:rsidR="00D62C39" w:rsidRPr="00D62C39" w:rsidRDefault="00D62C39" w:rsidP="002D76E9">
      <w:pPr>
        <w:bidi/>
        <w:spacing w:after="0" w:line="276" w:lineRule="auto"/>
        <w:ind w:left="63"/>
        <w:jc w:val="both"/>
        <w:rPr>
          <w:rFonts w:ascii="Sakkal Majalla" w:eastAsia="Times New Roman" w:hAnsi="Sakkal Majalla" w:cs="Sakkal Majalla"/>
          <w:b/>
          <w:bCs/>
          <w:sz w:val="28"/>
          <w:szCs w:val="28"/>
        </w:rPr>
      </w:pPr>
      <w:r w:rsidRPr="00D62C39">
        <w:rPr>
          <w:rFonts w:ascii="Sakkal Majalla" w:eastAsia="Times New Roman" w:hAnsi="Sakkal Majalla" w:cs="Sakkal Majalla"/>
          <w:b/>
          <w:bCs/>
          <w:sz w:val="28"/>
          <w:szCs w:val="28"/>
        </w:rPr>
        <w:t xml:space="preserve">4-1: </w:t>
      </w:r>
      <w:r w:rsidRPr="00D62C39">
        <w:rPr>
          <w:rFonts w:ascii="Sakkal Majalla" w:eastAsia="Times New Roman" w:hAnsi="Sakkal Majalla" w:cs="Sakkal Majalla"/>
          <w:b/>
          <w:bCs/>
          <w:sz w:val="28"/>
          <w:szCs w:val="28"/>
          <w:rtl/>
        </w:rPr>
        <w:t>مراجعة الدراسات السابقة</w:t>
      </w:r>
    </w:p>
    <w:p w14:paraId="3CF04320" w14:textId="77777777" w:rsidR="00D62C39" w:rsidRPr="00D62C39" w:rsidRDefault="00D62C39" w:rsidP="002D76E9">
      <w:pPr>
        <w:numPr>
          <w:ilvl w:val="0"/>
          <w:numId w:val="117"/>
        </w:numPr>
        <w:bidi/>
        <w:spacing w:after="0" w:line="276" w:lineRule="auto"/>
        <w:jc w:val="both"/>
        <w:rPr>
          <w:rFonts w:ascii="Sakkal Majalla" w:eastAsia="Times New Roman" w:hAnsi="Sakkal Majalla" w:cs="Sakkal Majalla"/>
          <w:sz w:val="28"/>
          <w:szCs w:val="28"/>
        </w:rPr>
      </w:pPr>
      <w:r w:rsidRPr="00D62C39">
        <w:rPr>
          <w:rFonts w:ascii="Sakkal Majalla" w:eastAsia="Times New Roman" w:hAnsi="Sakkal Majalla" w:cs="Sakkal Majalla"/>
          <w:b/>
          <w:bCs/>
          <w:sz w:val="28"/>
          <w:szCs w:val="28"/>
          <w:rtl/>
        </w:rPr>
        <w:t>دراسات حول الحوكمة والتميز التشغيلي</w:t>
      </w:r>
      <w:r w:rsidRPr="00D62C39">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Pr>
        <w:t xml:space="preserve"> (Brown &amp; Caylor, 2009) </w:t>
      </w:r>
      <w:r w:rsidRPr="00D62C39">
        <w:rPr>
          <w:rFonts w:ascii="Sakkal Majalla" w:eastAsia="Times New Roman" w:hAnsi="Sakkal Majalla" w:cs="Sakkal Majalla"/>
          <w:sz w:val="28"/>
          <w:szCs w:val="28"/>
          <w:rtl/>
        </w:rPr>
        <w:t>و</w:t>
      </w:r>
      <w:r w:rsidRPr="00D62C39">
        <w:rPr>
          <w:rFonts w:ascii="Sakkal Majalla" w:eastAsia="Times New Roman" w:hAnsi="Sakkal Majalla" w:cs="Sakkal Majalla"/>
          <w:sz w:val="28"/>
          <w:szCs w:val="28"/>
        </w:rPr>
        <w:t xml:space="preserve"> (</w:t>
      </w:r>
      <w:proofErr w:type="spellStart"/>
      <w:r w:rsidRPr="00D62C39">
        <w:rPr>
          <w:rFonts w:ascii="Sakkal Majalla" w:eastAsia="Times New Roman" w:hAnsi="Sakkal Majalla" w:cs="Sakkal Majalla"/>
          <w:sz w:val="28"/>
          <w:szCs w:val="28"/>
        </w:rPr>
        <w:t>Buallay</w:t>
      </w:r>
      <w:proofErr w:type="spellEnd"/>
      <w:r w:rsidRPr="00D62C39">
        <w:rPr>
          <w:rFonts w:ascii="Sakkal Majalla" w:eastAsia="Times New Roman" w:hAnsi="Sakkal Majalla" w:cs="Sakkal Majalla"/>
          <w:sz w:val="28"/>
          <w:szCs w:val="28"/>
        </w:rPr>
        <w:t xml:space="preserve">, 2017) </w:t>
      </w:r>
      <w:r w:rsidRPr="00D62C39">
        <w:rPr>
          <w:rFonts w:ascii="Sakkal Majalla" w:eastAsia="Times New Roman" w:hAnsi="Sakkal Majalla" w:cs="Sakkal Majalla"/>
          <w:sz w:val="28"/>
          <w:szCs w:val="28"/>
          <w:rtl/>
        </w:rPr>
        <w:t>وجدت أن جودة الحوكمة ترتبط إيجابًا بزيادة العائد على الأصول</w:t>
      </w:r>
      <w:r w:rsidRPr="00D62C39">
        <w:rPr>
          <w:rFonts w:ascii="Sakkal Majalla" w:eastAsia="Times New Roman" w:hAnsi="Sakkal Majalla" w:cs="Sakkal Majalla"/>
          <w:sz w:val="28"/>
          <w:szCs w:val="28"/>
        </w:rPr>
        <w:t xml:space="preserve"> (ROA) </w:t>
      </w:r>
      <w:r w:rsidRPr="00D62C39">
        <w:rPr>
          <w:rFonts w:ascii="Sakkal Majalla" w:eastAsia="Times New Roman" w:hAnsi="Sakkal Majalla" w:cs="Sakkal Majalla"/>
          <w:sz w:val="28"/>
          <w:szCs w:val="28"/>
          <w:rtl/>
        </w:rPr>
        <w:t>وانخفاض التكاليف التشغيلية، مما يؤكد دورها كمحفز للكفاءة</w:t>
      </w:r>
      <w:r w:rsidRPr="00D62C39">
        <w:rPr>
          <w:rFonts w:ascii="Sakkal Majalla" w:eastAsia="Times New Roman" w:hAnsi="Sakkal Majalla" w:cs="Sakkal Majalla"/>
          <w:sz w:val="28"/>
          <w:szCs w:val="28"/>
        </w:rPr>
        <w:t>.</w:t>
      </w:r>
    </w:p>
    <w:p w14:paraId="684BE516" w14:textId="77777777" w:rsidR="00D62C39" w:rsidRPr="00D62C39" w:rsidRDefault="00D62C39" w:rsidP="002D76E9">
      <w:pPr>
        <w:numPr>
          <w:ilvl w:val="0"/>
          <w:numId w:val="117"/>
        </w:numPr>
        <w:bidi/>
        <w:spacing w:after="0" w:line="276" w:lineRule="auto"/>
        <w:jc w:val="both"/>
        <w:rPr>
          <w:rFonts w:ascii="Sakkal Majalla" w:eastAsia="Times New Roman" w:hAnsi="Sakkal Majalla" w:cs="Sakkal Majalla"/>
          <w:sz w:val="28"/>
          <w:szCs w:val="28"/>
        </w:rPr>
      </w:pPr>
      <w:r w:rsidRPr="00D62C39">
        <w:rPr>
          <w:rFonts w:ascii="Sakkal Majalla" w:eastAsia="Times New Roman" w:hAnsi="Sakkal Majalla" w:cs="Sakkal Majalla"/>
          <w:b/>
          <w:bCs/>
          <w:sz w:val="28"/>
          <w:szCs w:val="28"/>
          <w:rtl/>
        </w:rPr>
        <w:t>دراسات حول الحوكمة والتميز الاستراتيجي</w:t>
      </w:r>
      <w:r w:rsidRPr="00D62C39">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Pr>
        <w:t xml:space="preserve"> (Daily et al., 2003) </w:t>
      </w:r>
      <w:r w:rsidRPr="00D62C39">
        <w:rPr>
          <w:rFonts w:ascii="Sakkal Majalla" w:eastAsia="Times New Roman" w:hAnsi="Sakkal Majalla" w:cs="Sakkal Majalla"/>
          <w:sz w:val="28"/>
          <w:szCs w:val="28"/>
          <w:rtl/>
        </w:rPr>
        <w:t>و</w:t>
      </w:r>
      <w:r w:rsidRPr="00D62C39">
        <w:rPr>
          <w:rFonts w:ascii="Sakkal Majalla" w:eastAsia="Times New Roman" w:hAnsi="Sakkal Majalla" w:cs="Sakkal Majalla"/>
          <w:sz w:val="28"/>
          <w:szCs w:val="28"/>
        </w:rPr>
        <w:t xml:space="preserve"> (</w:t>
      </w:r>
      <w:proofErr w:type="spellStart"/>
      <w:r w:rsidRPr="00D62C39">
        <w:rPr>
          <w:rFonts w:ascii="Sakkal Majalla" w:eastAsia="Times New Roman" w:hAnsi="Sakkal Majalla" w:cs="Sakkal Majalla"/>
          <w:sz w:val="28"/>
          <w:szCs w:val="28"/>
        </w:rPr>
        <w:t>Jerab</w:t>
      </w:r>
      <w:proofErr w:type="spellEnd"/>
      <w:r w:rsidRPr="00D62C39">
        <w:rPr>
          <w:rFonts w:ascii="Sakkal Majalla" w:eastAsia="Times New Roman" w:hAnsi="Sakkal Majalla" w:cs="Sakkal Majalla"/>
          <w:sz w:val="28"/>
          <w:szCs w:val="28"/>
        </w:rPr>
        <w:t xml:space="preserve"> &amp; Mabrouk, 2023) </w:t>
      </w:r>
      <w:r w:rsidRPr="00D62C39">
        <w:rPr>
          <w:rFonts w:ascii="Sakkal Majalla" w:eastAsia="Times New Roman" w:hAnsi="Sakkal Majalla" w:cs="Sakkal Majalla"/>
          <w:sz w:val="28"/>
          <w:szCs w:val="28"/>
          <w:rtl/>
        </w:rPr>
        <w:t>أكدت أن الحوكمة تتجاوز مجرد الرقابة لتصبح عاملاً استراتيجياً يمكّن المنظمات من صياغة وتنفيذ استراتيجيات تحقق القيمة المستدامة، خاصة في الأسواق المتقلبة</w:t>
      </w:r>
      <w:r w:rsidRPr="00D62C39">
        <w:rPr>
          <w:rFonts w:ascii="Sakkal Majalla" w:eastAsia="Times New Roman" w:hAnsi="Sakkal Majalla" w:cs="Sakkal Majalla"/>
          <w:sz w:val="28"/>
          <w:szCs w:val="28"/>
        </w:rPr>
        <w:t>.</w:t>
      </w:r>
    </w:p>
    <w:p w14:paraId="42A05B41" w14:textId="77777777" w:rsidR="00D62C39" w:rsidRPr="00D62C39" w:rsidRDefault="00D62C39" w:rsidP="002D76E9">
      <w:pPr>
        <w:numPr>
          <w:ilvl w:val="0"/>
          <w:numId w:val="117"/>
        </w:numPr>
        <w:bidi/>
        <w:spacing w:after="0" w:line="276" w:lineRule="auto"/>
        <w:jc w:val="both"/>
        <w:rPr>
          <w:rFonts w:ascii="Sakkal Majalla" w:eastAsia="Times New Roman" w:hAnsi="Sakkal Majalla" w:cs="Sakkal Majalla"/>
          <w:sz w:val="28"/>
          <w:szCs w:val="28"/>
        </w:rPr>
      </w:pPr>
      <w:r w:rsidRPr="00D62C39">
        <w:rPr>
          <w:rFonts w:ascii="Sakkal Majalla" w:eastAsia="Times New Roman" w:hAnsi="Sakkal Majalla" w:cs="Sakkal Majalla"/>
          <w:b/>
          <w:bCs/>
          <w:sz w:val="28"/>
          <w:szCs w:val="28"/>
          <w:rtl/>
        </w:rPr>
        <w:t>دراسات في السياق السعودي</w:t>
      </w:r>
      <w:r w:rsidRPr="00D62C39">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Pr>
        <w:t xml:space="preserve"> (</w:t>
      </w:r>
      <w:proofErr w:type="spellStart"/>
      <w:r w:rsidRPr="00D62C39">
        <w:rPr>
          <w:rFonts w:ascii="Sakkal Majalla" w:eastAsia="Times New Roman" w:hAnsi="Sakkal Majalla" w:cs="Sakkal Majalla"/>
          <w:sz w:val="28"/>
          <w:szCs w:val="28"/>
        </w:rPr>
        <w:t>Buallay</w:t>
      </w:r>
      <w:proofErr w:type="spellEnd"/>
      <w:r w:rsidRPr="00D62C39">
        <w:rPr>
          <w:rFonts w:ascii="Sakkal Majalla" w:eastAsia="Times New Roman" w:hAnsi="Sakkal Majalla" w:cs="Sakkal Majalla"/>
          <w:sz w:val="28"/>
          <w:szCs w:val="28"/>
        </w:rPr>
        <w:t xml:space="preserve">, Hamdan, &amp; </w:t>
      </w:r>
      <w:proofErr w:type="spellStart"/>
      <w:r w:rsidRPr="00D62C39">
        <w:rPr>
          <w:rFonts w:ascii="Sakkal Majalla" w:eastAsia="Times New Roman" w:hAnsi="Sakkal Majalla" w:cs="Sakkal Majalla"/>
          <w:sz w:val="28"/>
          <w:szCs w:val="28"/>
        </w:rPr>
        <w:t>Zureigat</w:t>
      </w:r>
      <w:proofErr w:type="spellEnd"/>
      <w:r w:rsidRPr="00D62C39">
        <w:rPr>
          <w:rFonts w:ascii="Sakkal Majalla" w:eastAsia="Times New Roman" w:hAnsi="Sakkal Majalla" w:cs="Sakkal Majalla"/>
          <w:sz w:val="28"/>
          <w:szCs w:val="28"/>
        </w:rPr>
        <w:t xml:space="preserve">, 2017) </w:t>
      </w:r>
      <w:r w:rsidRPr="00D62C39">
        <w:rPr>
          <w:rFonts w:ascii="Sakkal Majalla" w:eastAsia="Times New Roman" w:hAnsi="Sakkal Majalla" w:cs="Sakkal Majalla"/>
          <w:sz w:val="28"/>
          <w:szCs w:val="28"/>
          <w:rtl/>
        </w:rPr>
        <w:t>أشارت إلى أن تطبيق الأطر التنظيمية للحوكمة في السياق السعودي يدعم اتخاذ القرارات الرشيدة ويعزز قدرة الشركات على مواجهة التحديات المعقدة، مع التركيز على أهمية هذه الأطر في تحقيق الأهداف الاستراتيجية لرؤية 2030</w:t>
      </w:r>
      <w:r w:rsidRPr="00D62C39">
        <w:rPr>
          <w:rFonts w:ascii="Sakkal Majalla" w:eastAsia="Times New Roman" w:hAnsi="Sakkal Majalla" w:cs="Sakkal Majalla"/>
          <w:sz w:val="28"/>
          <w:szCs w:val="28"/>
        </w:rPr>
        <w:t>.</w:t>
      </w:r>
    </w:p>
    <w:p w14:paraId="1CD9936C" w14:textId="77777777" w:rsidR="00D62C39" w:rsidRPr="00D62C39" w:rsidRDefault="00D62C39" w:rsidP="002D76E9">
      <w:pPr>
        <w:bidi/>
        <w:spacing w:after="0" w:line="276" w:lineRule="auto"/>
        <w:ind w:left="63"/>
        <w:jc w:val="both"/>
        <w:rPr>
          <w:rFonts w:ascii="Sakkal Majalla" w:eastAsia="Times New Roman" w:hAnsi="Sakkal Majalla" w:cs="Sakkal Majalla"/>
          <w:b/>
          <w:bCs/>
          <w:sz w:val="28"/>
          <w:szCs w:val="28"/>
        </w:rPr>
      </w:pPr>
      <w:r w:rsidRPr="00D62C39">
        <w:rPr>
          <w:rFonts w:ascii="Sakkal Majalla" w:eastAsia="Times New Roman" w:hAnsi="Sakkal Majalla" w:cs="Sakkal Majalla"/>
          <w:b/>
          <w:bCs/>
          <w:sz w:val="28"/>
          <w:szCs w:val="28"/>
        </w:rPr>
        <w:t xml:space="preserve">4-2: </w:t>
      </w:r>
      <w:r w:rsidRPr="00D62C39">
        <w:rPr>
          <w:rFonts w:ascii="Sakkal Majalla" w:eastAsia="Times New Roman" w:hAnsi="Sakkal Majalla" w:cs="Sakkal Majalla"/>
          <w:b/>
          <w:bCs/>
          <w:sz w:val="28"/>
          <w:szCs w:val="28"/>
          <w:rtl/>
        </w:rPr>
        <w:t>التعقيب على الدراسات السابقة وتحديد الفجوة البحثية</w:t>
      </w:r>
    </w:p>
    <w:p w14:paraId="61F962A9" w14:textId="77777777" w:rsidR="00D62C39" w:rsidRPr="00D62C39" w:rsidRDefault="00D62C39" w:rsidP="002D76E9">
      <w:pPr>
        <w:bidi/>
        <w:spacing w:after="0" w:line="276" w:lineRule="auto"/>
        <w:ind w:left="63"/>
        <w:jc w:val="both"/>
        <w:rPr>
          <w:rFonts w:ascii="Sakkal Majalla" w:eastAsia="Times New Roman" w:hAnsi="Sakkal Majalla" w:cs="Sakkal Majalla"/>
          <w:sz w:val="28"/>
          <w:szCs w:val="28"/>
        </w:rPr>
      </w:pPr>
      <w:r w:rsidRPr="00D62C39">
        <w:rPr>
          <w:rFonts w:ascii="Sakkal Majalla" w:eastAsia="Times New Roman" w:hAnsi="Sakkal Majalla" w:cs="Sakkal Majalla"/>
          <w:sz w:val="28"/>
          <w:szCs w:val="28"/>
          <w:rtl/>
        </w:rPr>
        <w:t>تتفق الدراسات السابقة على الأثر الإيجابي للحوكمة على الأداء المؤسسي. ومع ذلك، تكشف المراجعة عن الفجوة البحثية التالية التي تسعى هذه الدراسة إلى سدها</w:t>
      </w:r>
      <w:r w:rsidRPr="00D62C39">
        <w:rPr>
          <w:rFonts w:ascii="Sakkal Majalla" w:eastAsia="Times New Roman" w:hAnsi="Sakkal Majalla" w:cs="Sakkal Majalla"/>
          <w:sz w:val="28"/>
          <w:szCs w:val="28"/>
        </w:rPr>
        <w:t>:</w:t>
      </w:r>
    </w:p>
    <w:p w14:paraId="374AD1B9" w14:textId="77777777" w:rsidR="00D62C39" w:rsidRPr="00D62C39" w:rsidRDefault="00D62C39" w:rsidP="002D76E9">
      <w:pPr>
        <w:numPr>
          <w:ilvl w:val="0"/>
          <w:numId w:val="118"/>
        </w:numPr>
        <w:bidi/>
        <w:spacing w:after="0" w:line="276" w:lineRule="auto"/>
        <w:jc w:val="both"/>
        <w:rPr>
          <w:rFonts w:ascii="Sakkal Majalla" w:eastAsia="Times New Roman" w:hAnsi="Sakkal Majalla" w:cs="Sakkal Majalla"/>
          <w:sz w:val="28"/>
          <w:szCs w:val="28"/>
        </w:rPr>
      </w:pPr>
      <w:r w:rsidRPr="00D62C39">
        <w:rPr>
          <w:rFonts w:ascii="Sakkal Majalla" w:eastAsia="Times New Roman" w:hAnsi="Sakkal Majalla" w:cs="Sakkal Majalla"/>
          <w:b/>
          <w:bCs/>
          <w:sz w:val="28"/>
          <w:szCs w:val="28"/>
          <w:rtl/>
        </w:rPr>
        <w:lastRenderedPageBreak/>
        <w:t>الفجوة التكاملية</w:t>
      </w:r>
      <w:r w:rsidRPr="00D62C39">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معظم الدراسات تركز إما على الأداء التشغيلي أو الاستراتيجي بشكل منفصل</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تتميز هذه الدراسة بتقديم نموذج تكاملي يختبر أثر الحوكمة في تحقيق التميز بشقيه التشغيلي والاستراتيجي في آن واحد</w:t>
      </w:r>
      <w:r w:rsidRPr="00D62C39">
        <w:rPr>
          <w:rFonts w:ascii="Sakkal Majalla" w:eastAsia="Times New Roman" w:hAnsi="Sakkal Majalla" w:cs="Sakkal Majalla"/>
          <w:sz w:val="28"/>
          <w:szCs w:val="28"/>
        </w:rPr>
        <w:t>.</w:t>
      </w:r>
    </w:p>
    <w:p w14:paraId="4C5C885D" w14:textId="77777777" w:rsidR="00D62C39" w:rsidRPr="00D62C39" w:rsidRDefault="00D62C39" w:rsidP="002D76E9">
      <w:pPr>
        <w:numPr>
          <w:ilvl w:val="0"/>
          <w:numId w:val="118"/>
        </w:numPr>
        <w:bidi/>
        <w:spacing w:after="0" w:line="276" w:lineRule="auto"/>
        <w:jc w:val="both"/>
        <w:rPr>
          <w:rFonts w:ascii="Sakkal Majalla" w:eastAsia="Times New Roman" w:hAnsi="Sakkal Majalla" w:cs="Sakkal Majalla"/>
          <w:sz w:val="28"/>
          <w:szCs w:val="28"/>
        </w:rPr>
      </w:pPr>
      <w:r w:rsidRPr="00D62C39">
        <w:rPr>
          <w:rFonts w:ascii="Sakkal Majalla" w:eastAsia="Times New Roman" w:hAnsi="Sakkal Majalla" w:cs="Sakkal Majalla"/>
          <w:b/>
          <w:bCs/>
          <w:sz w:val="28"/>
          <w:szCs w:val="28"/>
          <w:rtl/>
        </w:rPr>
        <w:t>الفجوة السياقية</w:t>
      </w:r>
      <w:r w:rsidRPr="00D62C39">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يندر وجود دراسات قياسية مباشرة تختبر العلاقة بين أبعاد الحوكمة المحددة وتأثيرها المباشر على الأداء التشغيلي والاستراتيجي معًا في السياق السعودي في الفترة الزمنية الحالية (2020-2025) التي تشهد تحولات هيكلية ضخمة</w:t>
      </w:r>
      <w:r w:rsidRPr="00D62C39">
        <w:rPr>
          <w:rFonts w:ascii="Sakkal Majalla" w:eastAsia="Times New Roman" w:hAnsi="Sakkal Majalla" w:cs="Sakkal Majalla"/>
          <w:sz w:val="28"/>
          <w:szCs w:val="28"/>
        </w:rPr>
        <w:t>.</w:t>
      </w:r>
    </w:p>
    <w:p w14:paraId="0881D68D" w14:textId="77777777" w:rsidR="00490182" w:rsidRPr="00D62C39" w:rsidRDefault="00490182" w:rsidP="002D76E9">
      <w:pPr>
        <w:bidi/>
        <w:spacing w:after="0" w:line="276" w:lineRule="auto"/>
        <w:ind w:left="63"/>
        <w:jc w:val="both"/>
        <w:rPr>
          <w:rFonts w:ascii="Sakkal Majalla" w:eastAsia="Times New Roman" w:hAnsi="Sakkal Majalla" w:cs="Sakkal Majalla"/>
          <w:b/>
          <w:bCs/>
          <w:sz w:val="28"/>
          <w:szCs w:val="28"/>
          <w:rtl/>
        </w:rPr>
      </w:pPr>
    </w:p>
    <w:p w14:paraId="269C1BAF" w14:textId="77777777" w:rsidR="007B3DE9" w:rsidRPr="003D298E" w:rsidRDefault="007B3DE9" w:rsidP="002D76E9">
      <w:pPr>
        <w:bidi/>
        <w:spacing w:after="0" w:line="276" w:lineRule="auto"/>
        <w:ind w:left="63"/>
        <w:jc w:val="both"/>
        <w:rPr>
          <w:rFonts w:ascii="Sakkal Majalla" w:eastAsia="Times New Roman" w:hAnsi="Sakkal Majalla" w:cs="Sakkal Majalla"/>
          <w:b/>
          <w:bCs/>
          <w:sz w:val="28"/>
          <w:szCs w:val="28"/>
          <w:rtl/>
        </w:rPr>
      </w:pPr>
    </w:p>
    <w:p w14:paraId="79E316B6" w14:textId="77777777" w:rsidR="007B3DE9" w:rsidRDefault="007B3DE9" w:rsidP="002D76E9">
      <w:pPr>
        <w:bidi/>
        <w:spacing w:after="0" w:line="276" w:lineRule="auto"/>
        <w:ind w:left="63"/>
        <w:jc w:val="both"/>
        <w:rPr>
          <w:rFonts w:ascii="Sakkal Majalla" w:eastAsia="Times New Roman" w:hAnsi="Sakkal Majalla" w:cs="Sakkal Majalla"/>
          <w:b/>
          <w:bCs/>
          <w:sz w:val="28"/>
          <w:szCs w:val="28"/>
          <w:rtl/>
        </w:rPr>
      </w:pPr>
    </w:p>
    <w:p w14:paraId="381BCA5D" w14:textId="77777777" w:rsidR="007B3DE9" w:rsidRDefault="007B3DE9" w:rsidP="007B3DE9">
      <w:pPr>
        <w:bidi/>
        <w:spacing w:after="0" w:line="240" w:lineRule="auto"/>
        <w:ind w:left="63"/>
        <w:jc w:val="both"/>
        <w:rPr>
          <w:rFonts w:ascii="Sakkal Majalla" w:eastAsia="Times New Roman" w:hAnsi="Sakkal Majalla" w:cs="Sakkal Majalla"/>
          <w:b/>
          <w:bCs/>
          <w:sz w:val="28"/>
          <w:szCs w:val="28"/>
        </w:rPr>
      </w:pPr>
    </w:p>
    <w:p w14:paraId="51A12C63" w14:textId="77777777" w:rsidR="009A7D90" w:rsidRDefault="009A7D90" w:rsidP="009A7D90">
      <w:pPr>
        <w:bidi/>
        <w:spacing w:after="0" w:line="240" w:lineRule="auto"/>
        <w:ind w:left="63"/>
        <w:jc w:val="both"/>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Pr>
      </w:pPr>
    </w:p>
    <w:p w14:paraId="0C0101A3"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203E13">
      <w:pPr>
        <w:bidi/>
        <w:spacing w:after="0" w:line="240" w:lineRule="auto"/>
        <w:ind w:left="63"/>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5B6AC47" w14:textId="6DD99895" w:rsidR="00D62C39" w:rsidRDefault="00D62C39" w:rsidP="00203E13">
      <w:pPr>
        <w:bidi/>
        <w:spacing w:after="0" w:line="240" w:lineRule="auto"/>
        <w:ind w:left="63"/>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المراجع</w:t>
      </w:r>
    </w:p>
    <w:p w14:paraId="3FB6A174" w14:textId="5D186F2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0"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Boshnak</w:t>
      </w:r>
      <w:proofErr w:type="spellEnd"/>
      <w:r w:rsidRPr="00203E13">
        <w:rPr>
          <w:rFonts w:ascii="Times New Roman" w:eastAsia="Times New Roman" w:hAnsi="Times New Roman" w:cs="Times New Roman"/>
          <w:sz w:val="24"/>
          <w:szCs w:val="24"/>
        </w:rPr>
        <w:t xml:space="preserve">,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1"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2"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13"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14"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15"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16"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17"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w:t>
      </w:r>
      <w:proofErr w:type="spellStart"/>
      <w:r w:rsidRPr="00203E13">
        <w:rPr>
          <w:rFonts w:ascii="Times New Roman" w:eastAsia="Times New Roman" w:hAnsi="Times New Roman" w:cs="Times New Roman"/>
          <w:sz w:val="24"/>
          <w:szCs w:val="24"/>
        </w:rPr>
        <w:t>Vishny</w:t>
      </w:r>
      <w:proofErr w:type="spellEnd"/>
      <w:r w:rsidRPr="00203E13">
        <w:rPr>
          <w:rFonts w:ascii="Times New Roman" w:eastAsia="Times New Roman" w:hAnsi="Times New Roman" w:cs="Times New Roman"/>
          <w:sz w:val="24"/>
          <w:szCs w:val="24"/>
        </w:rPr>
        <w:t xml:space="preserve">,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OECD – </w:t>
      </w:r>
      <w:proofErr w:type="spellStart"/>
      <w:r w:rsidRPr="00203E13">
        <w:rPr>
          <w:rFonts w:ascii="Times New Roman" w:eastAsia="Times New Roman" w:hAnsi="Times New Roman" w:cs="Times New Roman"/>
          <w:sz w:val="24"/>
          <w:szCs w:val="24"/>
        </w:rPr>
        <w:t>Organisation</w:t>
      </w:r>
      <w:proofErr w:type="spellEnd"/>
      <w:r w:rsidRPr="00203E13">
        <w:rPr>
          <w:rFonts w:ascii="Times New Roman" w:eastAsia="Times New Roman" w:hAnsi="Times New Roman" w:cs="Times New Roman"/>
          <w:sz w:val="24"/>
          <w:szCs w:val="24"/>
        </w:rPr>
        <w:t xml:space="preserve">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 xml:space="preserve">قرار مجلس الوزراء رقم (92) بشأن إصدار الدليل </w:t>
      </w:r>
      <w:proofErr w:type="spellStart"/>
      <w:r w:rsidRPr="00203E13">
        <w:rPr>
          <w:rFonts w:ascii="Times New Roman" w:eastAsia="Times New Roman" w:hAnsi="Times New Roman" w:cs="Times New Roman"/>
          <w:sz w:val="24"/>
          <w:szCs w:val="24"/>
          <w:rtl/>
        </w:rPr>
        <w:t>الاسترشادي</w:t>
      </w:r>
      <w:proofErr w:type="spellEnd"/>
      <w:r w:rsidRPr="00203E13">
        <w:rPr>
          <w:rFonts w:ascii="Times New Roman" w:eastAsia="Times New Roman" w:hAnsi="Times New Roman" w:cs="Times New Roman"/>
          <w:sz w:val="24"/>
          <w:szCs w:val="24"/>
          <w:rtl/>
        </w:rPr>
        <w:t xml:space="preserve"> لحوكمة الجهات العامة. (2020). المملكة العربية السعودية. (أضف رابط الوثيقة الرسمية إن توفر)</w:t>
      </w:r>
    </w:p>
    <w:p w14:paraId="02A29CC8" w14:textId="3B5D4A0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w:t>
      </w:r>
      <w:proofErr w:type="spellStart"/>
      <w:r w:rsidRPr="00203E13">
        <w:rPr>
          <w:rFonts w:ascii="Times New Roman" w:eastAsia="Times New Roman" w:hAnsi="Times New Roman" w:cs="Times New Roman"/>
          <w:sz w:val="24"/>
          <w:szCs w:val="24"/>
        </w:rPr>
        <w:t>Shuen</w:t>
      </w:r>
      <w:proofErr w:type="spellEnd"/>
      <w:r w:rsidRPr="00203E13">
        <w:rPr>
          <w:rFonts w:ascii="Times New Roman" w:eastAsia="Times New Roman" w:hAnsi="Times New Roman" w:cs="Times New Roman"/>
          <w:sz w:val="24"/>
          <w:szCs w:val="24"/>
        </w:rPr>
        <w:t xml:space="preserve">,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18"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proofErr w:type="spellStart"/>
      <w:r w:rsidRPr="00203E13">
        <w:rPr>
          <w:rFonts w:ascii="Times New Roman" w:eastAsia="Times New Roman" w:hAnsi="Times New Roman" w:cs="Times New Roman"/>
          <w:sz w:val="24"/>
          <w:szCs w:val="24"/>
        </w:rPr>
        <w:t>Wandroski</w:t>
      </w:r>
      <w:proofErr w:type="spellEnd"/>
      <w:r w:rsidRPr="00203E13">
        <w:rPr>
          <w:rFonts w:ascii="Times New Roman" w:eastAsia="Times New Roman" w:hAnsi="Times New Roman" w:cs="Times New Roman"/>
          <w:sz w:val="24"/>
          <w:szCs w:val="24"/>
        </w:rPr>
        <w:t xml:space="preserve">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19"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0"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w:t>
      </w:r>
      <w:proofErr w:type="spellStart"/>
      <w:r w:rsidRPr="00203E13">
        <w:rPr>
          <w:rFonts w:ascii="Times New Roman" w:eastAsia="Times New Roman" w:hAnsi="Times New Roman" w:cs="Times New Roman"/>
          <w:sz w:val="24"/>
          <w:szCs w:val="24"/>
        </w:rPr>
        <w:t>Dhaafri</w:t>
      </w:r>
      <w:proofErr w:type="spellEnd"/>
      <w:r w:rsidRPr="00203E13">
        <w:rPr>
          <w:rFonts w:ascii="Times New Roman" w:eastAsia="Times New Roman" w:hAnsi="Times New Roman" w:cs="Times New Roman"/>
          <w:sz w:val="24"/>
          <w:szCs w:val="24"/>
        </w:rPr>
        <w:t xml:space="preserve">, H. S., &amp; </w:t>
      </w:r>
      <w:proofErr w:type="spellStart"/>
      <w:r w:rsidRPr="00203E13">
        <w:rPr>
          <w:rFonts w:ascii="Times New Roman" w:eastAsia="Times New Roman" w:hAnsi="Times New Roman" w:cs="Times New Roman"/>
          <w:sz w:val="24"/>
          <w:szCs w:val="24"/>
        </w:rPr>
        <w:t>Alosani</w:t>
      </w:r>
      <w:proofErr w:type="spellEnd"/>
      <w:r w:rsidRPr="00203E13">
        <w:rPr>
          <w:rFonts w:ascii="Times New Roman" w:eastAsia="Times New Roman" w:hAnsi="Times New Roman" w:cs="Times New Roman"/>
          <w:sz w:val="24"/>
          <w:szCs w:val="24"/>
        </w:rPr>
        <w:t xml:space="preserve">, M. S. (2020). Closing the strategic planning and implementation gap through excellence in the public sector: Empirical investigation using SEM. Measuring Business Excellence, 24(3), 365-384. </w:t>
      </w:r>
      <w:hyperlink r:id="rId21"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2"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23"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24"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Al-Tawil, T. N., &amp; </w:t>
      </w:r>
      <w:proofErr w:type="spellStart"/>
      <w:r w:rsidRPr="00203E13">
        <w:rPr>
          <w:rFonts w:ascii="Times New Roman" w:eastAsia="Times New Roman" w:hAnsi="Times New Roman" w:cs="Times New Roman"/>
          <w:sz w:val="24"/>
          <w:szCs w:val="24"/>
        </w:rPr>
        <w:t>Younies</w:t>
      </w:r>
      <w:proofErr w:type="spellEnd"/>
      <w:r w:rsidRPr="00203E13">
        <w:rPr>
          <w:rFonts w:ascii="Times New Roman" w:eastAsia="Times New Roman" w:hAnsi="Times New Roman" w:cs="Times New Roman"/>
          <w:sz w:val="24"/>
          <w:szCs w:val="24"/>
        </w:rPr>
        <w:t xml:space="preserve">, H. (2020). Corporate governance: on the crossroads of meta-regulation and social responsibility. Journal of Financial Crime, 27(4), 1121-1130. </w:t>
      </w:r>
      <w:hyperlink r:id="rId25"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Alhamoudi</w:t>
      </w:r>
      <w:proofErr w:type="spellEnd"/>
      <w:r w:rsidRPr="00203E13">
        <w:rPr>
          <w:rFonts w:ascii="Times New Roman" w:eastAsia="Times New Roman" w:hAnsi="Times New Roman" w:cs="Times New Roman"/>
          <w:sz w:val="24"/>
          <w:szCs w:val="24"/>
        </w:rPr>
        <w:t xml:space="preserve">, S. A. (2010). Strategic knowledge management system in public sector in Saudi Arabia: An adaptation of the balanced scorecard [Doctoral dissertation, University of Portsmouth]. University of Portsmouth Research Portal. </w:t>
      </w:r>
      <w:hyperlink r:id="rId26"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27"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28"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Hamdan, A., &amp; </w:t>
      </w:r>
      <w:proofErr w:type="spellStart"/>
      <w:r w:rsidRPr="00203E13">
        <w:rPr>
          <w:rFonts w:ascii="Times New Roman" w:eastAsia="Times New Roman" w:hAnsi="Times New Roman" w:cs="Times New Roman"/>
          <w:sz w:val="24"/>
          <w:szCs w:val="24"/>
        </w:rPr>
        <w:t>Zureigat</w:t>
      </w:r>
      <w:proofErr w:type="spellEnd"/>
      <w:r w:rsidRPr="00203E13">
        <w:rPr>
          <w:rFonts w:ascii="Times New Roman" w:eastAsia="Times New Roman" w:hAnsi="Times New Roman" w:cs="Times New Roman"/>
          <w:sz w:val="24"/>
          <w:szCs w:val="24"/>
        </w:rPr>
        <w:t xml:space="preserve">, Q. (2017). Corporate governance and firm performance: evidence from Saudi Arabia. Australasian Accounting, Business and Finance Journal, 11(1), 78–98. </w:t>
      </w:r>
      <w:hyperlink r:id="rId29"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Guluma</w:t>
      </w:r>
      <w:proofErr w:type="spellEnd"/>
      <w:r w:rsidRPr="00203E13">
        <w:rPr>
          <w:rFonts w:ascii="Times New Roman" w:eastAsia="Times New Roman" w:hAnsi="Times New Roman" w:cs="Times New Roman"/>
          <w:sz w:val="24"/>
          <w:szCs w:val="24"/>
        </w:rPr>
        <w:t xml:space="preserve">, T. F. (2021). The impact of corporate governance measures on firm performance: The influences of managerial overconfidence. Future Business Journal, 7(1), 50. </w:t>
      </w:r>
      <w:hyperlink r:id="rId30"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1"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Jerab</w:t>
      </w:r>
      <w:proofErr w:type="spellEnd"/>
      <w:r w:rsidRPr="00203E13">
        <w:rPr>
          <w:rFonts w:ascii="Times New Roman" w:eastAsia="Times New Roman" w:hAnsi="Times New Roman" w:cs="Times New Roman"/>
          <w:sz w:val="24"/>
          <w:szCs w:val="24"/>
        </w:rPr>
        <w:t xml:space="preserve">, D. A., &amp; Mabrouk, T. (2023). Strategic excellence: Achieving competitive advantage through differentiation strategies. American Journal of Industrial and Business Management, 13(9), 1015-1034. </w:t>
      </w:r>
      <w:hyperlink r:id="rId32"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w:t>
      </w:r>
      <w:proofErr w:type="spellStart"/>
      <w:r w:rsidRPr="00203E13">
        <w:rPr>
          <w:rFonts w:ascii="Times New Roman" w:eastAsia="Times New Roman" w:hAnsi="Times New Roman" w:cs="Times New Roman"/>
          <w:sz w:val="24"/>
          <w:szCs w:val="24"/>
          <w:rtl/>
        </w:rPr>
        <w:t>إقتصاد</w:t>
      </w:r>
      <w:proofErr w:type="spellEnd"/>
      <w:r w:rsidRPr="00203E13">
        <w:rPr>
          <w:rFonts w:ascii="Times New Roman" w:eastAsia="Times New Roman" w:hAnsi="Times New Roman" w:cs="Times New Roman"/>
          <w:sz w:val="24"/>
          <w:szCs w:val="24"/>
          <w:rtl/>
        </w:rPr>
        <w:t xml:space="preserve">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33" w:history="1">
        <w:r w:rsidRPr="00203E13">
          <w:rPr>
            <w:rFonts w:ascii="Times New Roman" w:eastAsia="Times New Roman" w:hAnsi="Times New Roman" w:cs="Times New Roman"/>
            <w:color w:val="0563C1"/>
            <w:sz w:val="24"/>
            <w:szCs w:val="24"/>
            <w:u w:val="single"/>
          </w:rPr>
          <w:t>https://asjp.cerist.dz/en/article/201594</w:t>
        </w:r>
      </w:hyperlink>
    </w:p>
    <w:p w14:paraId="2639C577" w14:textId="77777777" w:rsidR="00003848" w:rsidRDefault="00003848" w:rsidP="00003848">
      <w:pPr>
        <w:spacing w:before="100" w:beforeAutospacing="1" w:after="100" w:afterAutospacing="1" w:line="240" w:lineRule="auto"/>
        <w:rPr>
          <w:rFonts w:ascii="Times New Roman" w:eastAsia="Times New Roman" w:hAnsi="Times New Roman" w:cs="Times New Roman"/>
          <w:sz w:val="24"/>
          <w:szCs w:val="24"/>
          <w:rtl/>
        </w:rPr>
      </w:pPr>
    </w:p>
    <w:p w14:paraId="23E56CE9" w14:textId="77777777" w:rsidR="00003848" w:rsidRPr="00003848" w:rsidRDefault="00003848" w:rsidP="00003848">
      <w:pPr>
        <w:spacing w:before="100" w:beforeAutospacing="1" w:after="100" w:afterAutospacing="1" w:line="240" w:lineRule="auto"/>
        <w:rPr>
          <w:rFonts w:ascii="Times New Roman" w:eastAsia="Times New Roman" w:hAnsi="Times New Roman" w:cs="Times New Roman"/>
          <w:sz w:val="24"/>
          <w:szCs w:val="24"/>
        </w:rPr>
      </w:pPr>
    </w:p>
    <w:p w14:paraId="40EEA2E1" w14:textId="77777777" w:rsidR="002505F5" w:rsidRPr="003D298E" w:rsidRDefault="002505F5" w:rsidP="002505F5">
      <w:pPr>
        <w:bidi/>
        <w:spacing w:after="0" w:line="240" w:lineRule="auto"/>
        <w:jc w:val="both"/>
        <w:rPr>
          <w:rtl/>
        </w:rPr>
      </w:pPr>
    </w:p>
    <w:sectPr w:rsidR="002505F5" w:rsidRPr="003D298E" w:rsidSect="00334B70">
      <w:headerReference w:type="even" r:id="rId34"/>
      <w:headerReference w:type="default" r:id="rId35"/>
      <w:footerReference w:type="default" r:id="rId36"/>
      <w:headerReference w:type="first" r:id="rId37"/>
      <w:footerReference w:type="first" r:id="rId38"/>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A9978" w14:textId="77777777" w:rsidR="00433DE6" w:rsidRDefault="00433DE6" w:rsidP="00F628F0">
      <w:pPr>
        <w:spacing w:after="0" w:line="240" w:lineRule="auto"/>
      </w:pPr>
      <w:r>
        <w:separator/>
      </w:r>
    </w:p>
  </w:endnote>
  <w:endnote w:type="continuationSeparator" w:id="0">
    <w:p w14:paraId="437FE563" w14:textId="77777777" w:rsidR="00433DE6" w:rsidRDefault="00433DE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D122C" w14:textId="77777777" w:rsidR="00433DE6" w:rsidRDefault="00433DE6" w:rsidP="00F628F0">
      <w:pPr>
        <w:spacing w:after="0" w:line="240" w:lineRule="auto"/>
      </w:pPr>
      <w:r>
        <w:separator/>
      </w:r>
    </w:p>
  </w:footnote>
  <w:footnote w:type="continuationSeparator" w:id="0">
    <w:p w14:paraId="4C37F878" w14:textId="77777777" w:rsidR="00433DE6" w:rsidRDefault="00433DE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B0B"/>
    <w:multiLevelType w:val="multilevel"/>
    <w:tmpl w:val="797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81799"/>
    <w:multiLevelType w:val="hybridMultilevel"/>
    <w:tmpl w:val="DC6EF4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F35F0"/>
    <w:multiLevelType w:val="multilevel"/>
    <w:tmpl w:val="D85CCC18"/>
    <w:lvl w:ilvl="0">
      <w:start w:val="1"/>
      <w:numFmt w:val="decimal"/>
      <w:lvlText w:val="%1."/>
      <w:lvlJc w:val="left"/>
      <w:pPr>
        <w:tabs>
          <w:tab w:val="num" w:pos="9509"/>
        </w:tabs>
        <w:ind w:left="9509" w:hanging="360"/>
      </w:pPr>
    </w:lvl>
    <w:lvl w:ilvl="1" w:tentative="1">
      <w:start w:val="1"/>
      <w:numFmt w:val="decimal"/>
      <w:lvlText w:val="%2."/>
      <w:lvlJc w:val="left"/>
      <w:pPr>
        <w:tabs>
          <w:tab w:val="num" w:pos="10229"/>
        </w:tabs>
        <w:ind w:left="10229" w:hanging="360"/>
      </w:pPr>
    </w:lvl>
    <w:lvl w:ilvl="2" w:tentative="1">
      <w:start w:val="1"/>
      <w:numFmt w:val="decimal"/>
      <w:lvlText w:val="%3."/>
      <w:lvlJc w:val="left"/>
      <w:pPr>
        <w:tabs>
          <w:tab w:val="num" w:pos="10949"/>
        </w:tabs>
        <w:ind w:left="10949" w:hanging="360"/>
      </w:pPr>
    </w:lvl>
    <w:lvl w:ilvl="3" w:tentative="1">
      <w:start w:val="1"/>
      <w:numFmt w:val="decimal"/>
      <w:lvlText w:val="%4."/>
      <w:lvlJc w:val="left"/>
      <w:pPr>
        <w:tabs>
          <w:tab w:val="num" w:pos="11669"/>
        </w:tabs>
        <w:ind w:left="11669" w:hanging="360"/>
      </w:pPr>
    </w:lvl>
    <w:lvl w:ilvl="4" w:tentative="1">
      <w:start w:val="1"/>
      <w:numFmt w:val="decimal"/>
      <w:lvlText w:val="%5."/>
      <w:lvlJc w:val="left"/>
      <w:pPr>
        <w:tabs>
          <w:tab w:val="num" w:pos="12389"/>
        </w:tabs>
        <w:ind w:left="12389" w:hanging="360"/>
      </w:pPr>
    </w:lvl>
    <w:lvl w:ilvl="5" w:tentative="1">
      <w:start w:val="1"/>
      <w:numFmt w:val="decimal"/>
      <w:lvlText w:val="%6."/>
      <w:lvlJc w:val="left"/>
      <w:pPr>
        <w:tabs>
          <w:tab w:val="num" w:pos="13109"/>
        </w:tabs>
        <w:ind w:left="13109" w:hanging="360"/>
      </w:pPr>
    </w:lvl>
    <w:lvl w:ilvl="6" w:tentative="1">
      <w:start w:val="1"/>
      <w:numFmt w:val="decimal"/>
      <w:lvlText w:val="%7."/>
      <w:lvlJc w:val="left"/>
      <w:pPr>
        <w:tabs>
          <w:tab w:val="num" w:pos="13829"/>
        </w:tabs>
        <w:ind w:left="13829" w:hanging="360"/>
      </w:pPr>
    </w:lvl>
    <w:lvl w:ilvl="7" w:tentative="1">
      <w:start w:val="1"/>
      <w:numFmt w:val="decimal"/>
      <w:lvlText w:val="%8."/>
      <w:lvlJc w:val="left"/>
      <w:pPr>
        <w:tabs>
          <w:tab w:val="num" w:pos="14549"/>
        </w:tabs>
        <w:ind w:left="14549" w:hanging="360"/>
      </w:pPr>
    </w:lvl>
    <w:lvl w:ilvl="8" w:tentative="1">
      <w:start w:val="1"/>
      <w:numFmt w:val="decimal"/>
      <w:lvlText w:val="%9."/>
      <w:lvlJc w:val="left"/>
      <w:pPr>
        <w:tabs>
          <w:tab w:val="num" w:pos="15269"/>
        </w:tabs>
        <w:ind w:left="15269" w:hanging="360"/>
      </w:pPr>
    </w:lvl>
  </w:abstractNum>
  <w:abstractNum w:abstractNumId="3"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3EE"/>
    <w:multiLevelType w:val="hybridMultilevel"/>
    <w:tmpl w:val="EC00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5E7B25"/>
    <w:multiLevelType w:val="multilevel"/>
    <w:tmpl w:val="32A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D8298A"/>
    <w:multiLevelType w:val="hybridMultilevel"/>
    <w:tmpl w:val="AD56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B54D24"/>
    <w:multiLevelType w:val="multilevel"/>
    <w:tmpl w:val="23A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7F748C"/>
    <w:multiLevelType w:val="multilevel"/>
    <w:tmpl w:val="FB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D2C83"/>
    <w:multiLevelType w:val="multilevel"/>
    <w:tmpl w:val="D01C6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E32AE"/>
    <w:multiLevelType w:val="hybridMultilevel"/>
    <w:tmpl w:val="0AE68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237651"/>
    <w:multiLevelType w:val="hybridMultilevel"/>
    <w:tmpl w:val="B2F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6A4E17"/>
    <w:multiLevelType w:val="multilevel"/>
    <w:tmpl w:val="296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9A05A7"/>
    <w:multiLevelType w:val="multilevel"/>
    <w:tmpl w:val="057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437530"/>
    <w:multiLevelType w:val="multilevel"/>
    <w:tmpl w:val="FD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86667E"/>
    <w:multiLevelType w:val="multilevel"/>
    <w:tmpl w:val="904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FA50BD"/>
    <w:multiLevelType w:val="multilevel"/>
    <w:tmpl w:val="431A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096DD8"/>
    <w:multiLevelType w:val="multilevel"/>
    <w:tmpl w:val="B02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2349C2"/>
    <w:multiLevelType w:val="multilevel"/>
    <w:tmpl w:val="BB4C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BE6E7F"/>
    <w:multiLevelType w:val="multilevel"/>
    <w:tmpl w:val="8BB88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447A39"/>
    <w:multiLevelType w:val="multilevel"/>
    <w:tmpl w:val="72D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947A7B"/>
    <w:multiLevelType w:val="multilevel"/>
    <w:tmpl w:val="10A8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527D35"/>
    <w:multiLevelType w:val="multilevel"/>
    <w:tmpl w:val="37E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891064"/>
    <w:multiLevelType w:val="hybridMultilevel"/>
    <w:tmpl w:val="06C075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E60756"/>
    <w:multiLevelType w:val="hybridMultilevel"/>
    <w:tmpl w:val="3012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E5363B"/>
    <w:multiLevelType w:val="hybridMultilevel"/>
    <w:tmpl w:val="6C08E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D195F87"/>
    <w:multiLevelType w:val="hybridMultilevel"/>
    <w:tmpl w:val="122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DBD76F8"/>
    <w:multiLevelType w:val="hybridMultilevel"/>
    <w:tmpl w:val="05FC003A"/>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9A4950"/>
    <w:multiLevelType w:val="multilevel"/>
    <w:tmpl w:val="8EA2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362702D"/>
    <w:multiLevelType w:val="multilevel"/>
    <w:tmpl w:val="873E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916E8C"/>
    <w:multiLevelType w:val="multilevel"/>
    <w:tmpl w:val="9EAA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1B55E9"/>
    <w:multiLevelType w:val="multilevel"/>
    <w:tmpl w:val="06D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21492A"/>
    <w:multiLevelType w:val="multilevel"/>
    <w:tmpl w:val="44F01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C94885"/>
    <w:multiLevelType w:val="multilevel"/>
    <w:tmpl w:val="A172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134FE3"/>
    <w:multiLevelType w:val="multilevel"/>
    <w:tmpl w:val="1E7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70167F"/>
    <w:multiLevelType w:val="hybridMultilevel"/>
    <w:tmpl w:val="7B2EFCE8"/>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5830779"/>
    <w:multiLevelType w:val="multilevel"/>
    <w:tmpl w:val="D1BA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2D7FF8"/>
    <w:multiLevelType w:val="hybridMultilevel"/>
    <w:tmpl w:val="258A9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AF2F3D"/>
    <w:multiLevelType w:val="multilevel"/>
    <w:tmpl w:val="08F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031B7F"/>
    <w:multiLevelType w:val="multilevel"/>
    <w:tmpl w:val="199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4055B7"/>
    <w:multiLevelType w:val="hybridMultilevel"/>
    <w:tmpl w:val="4A86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1BD08F9"/>
    <w:multiLevelType w:val="hybridMultilevel"/>
    <w:tmpl w:val="F864A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4BD1053"/>
    <w:multiLevelType w:val="multilevel"/>
    <w:tmpl w:val="E616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819048E"/>
    <w:multiLevelType w:val="hybridMultilevel"/>
    <w:tmpl w:val="F1BE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2B57EB"/>
    <w:multiLevelType w:val="multilevel"/>
    <w:tmpl w:val="38A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BD3A14"/>
    <w:multiLevelType w:val="multilevel"/>
    <w:tmpl w:val="B57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BD70CC1"/>
    <w:multiLevelType w:val="multilevel"/>
    <w:tmpl w:val="F27C3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7D4A48"/>
    <w:multiLevelType w:val="multilevel"/>
    <w:tmpl w:val="D58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B2183C"/>
    <w:multiLevelType w:val="multilevel"/>
    <w:tmpl w:val="E66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ED37C4B"/>
    <w:multiLevelType w:val="multilevel"/>
    <w:tmpl w:val="262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EE0AF6"/>
    <w:multiLevelType w:val="hybridMultilevel"/>
    <w:tmpl w:val="85CA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07E0157"/>
    <w:multiLevelType w:val="multilevel"/>
    <w:tmpl w:val="3AE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0B14160"/>
    <w:multiLevelType w:val="multilevel"/>
    <w:tmpl w:val="7E22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F07793"/>
    <w:multiLevelType w:val="multilevel"/>
    <w:tmpl w:val="23FC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042B53"/>
    <w:multiLevelType w:val="hybridMultilevel"/>
    <w:tmpl w:val="A76444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66A100EC"/>
    <w:multiLevelType w:val="multilevel"/>
    <w:tmpl w:val="23D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A35423B"/>
    <w:multiLevelType w:val="multilevel"/>
    <w:tmpl w:val="464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B2110CC"/>
    <w:multiLevelType w:val="multilevel"/>
    <w:tmpl w:val="24B4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DF94A5A"/>
    <w:multiLevelType w:val="multilevel"/>
    <w:tmpl w:val="25E4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EC8396C"/>
    <w:multiLevelType w:val="multilevel"/>
    <w:tmpl w:val="2C52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0C86CB8"/>
    <w:multiLevelType w:val="multilevel"/>
    <w:tmpl w:val="5B58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0D60193"/>
    <w:multiLevelType w:val="hybridMultilevel"/>
    <w:tmpl w:val="D78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30A17B3"/>
    <w:multiLevelType w:val="multilevel"/>
    <w:tmpl w:val="AED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7C2301C"/>
    <w:multiLevelType w:val="multilevel"/>
    <w:tmpl w:val="C77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B4712EB"/>
    <w:multiLevelType w:val="multilevel"/>
    <w:tmpl w:val="EE9C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40"/>
  </w:num>
  <w:num w:numId="2" w16cid:durableId="2093625989">
    <w:abstractNumId w:val="65"/>
  </w:num>
  <w:num w:numId="3" w16cid:durableId="855382428">
    <w:abstractNumId w:val="2"/>
  </w:num>
  <w:num w:numId="4" w16cid:durableId="253785742">
    <w:abstractNumId w:val="37"/>
  </w:num>
  <w:num w:numId="5" w16cid:durableId="442187039">
    <w:abstractNumId w:val="6"/>
  </w:num>
  <w:num w:numId="6" w16cid:durableId="2019966926">
    <w:abstractNumId w:val="9"/>
  </w:num>
  <w:num w:numId="7" w16cid:durableId="1332441743">
    <w:abstractNumId w:val="43"/>
  </w:num>
  <w:num w:numId="8" w16cid:durableId="345988663">
    <w:abstractNumId w:val="30"/>
  </w:num>
  <w:num w:numId="9" w16cid:durableId="190000526">
    <w:abstractNumId w:val="78"/>
  </w:num>
  <w:num w:numId="10" w16cid:durableId="2053074631">
    <w:abstractNumId w:val="3"/>
  </w:num>
  <w:num w:numId="11" w16cid:durableId="366948001">
    <w:abstractNumId w:val="93"/>
  </w:num>
  <w:num w:numId="12" w16cid:durableId="1549301213">
    <w:abstractNumId w:val="81"/>
  </w:num>
  <w:num w:numId="13" w16cid:durableId="512229676">
    <w:abstractNumId w:val="42"/>
  </w:num>
  <w:num w:numId="14" w16cid:durableId="1428502108">
    <w:abstractNumId w:val="22"/>
  </w:num>
  <w:num w:numId="15" w16cid:durableId="1572234066">
    <w:abstractNumId w:val="95"/>
  </w:num>
  <w:num w:numId="16" w16cid:durableId="2009602139">
    <w:abstractNumId w:val="14"/>
  </w:num>
  <w:num w:numId="17" w16cid:durableId="830564532">
    <w:abstractNumId w:val="48"/>
    <w:lvlOverride w:ilvl="0">
      <w:startOverride w:val="1"/>
    </w:lvlOverride>
  </w:num>
  <w:num w:numId="18" w16cid:durableId="721904197">
    <w:abstractNumId w:val="53"/>
  </w:num>
  <w:num w:numId="19" w16cid:durableId="1189760923">
    <w:abstractNumId w:val="32"/>
  </w:num>
  <w:num w:numId="20" w16cid:durableId="1079061892">
    <w:abstractNumId w:val="90"/>
  </w:num>
  <w:num w:numId="21" w16cid:durableId="288896630">
    <w:abstractNumId w:val="64"/>
  </w:num>
  <w:num w:numId="22" w16cid:durableId="1820069282">
    <w:abstractNumId w:val="51"/>
  </w:num>
  <w:num w:numId="23" w16cid:durableId="1117675954">
    <w:abstractNumId w:val="23"/>
  </w:num>
  <w:num w:numId="24" w16cid:durableId="1024941587">
    <w:abstractNumId w:val="47"/>
  </w:num>
  <w:num w:numId="25" w16cid:durableId="1077945260">
    <w:abstractNumId w:val="20"/>
  </w:num>
  <w:num w:numId="26" w16cid:durableId="1544487099">
    <w:abstractNumId w:val="34"/>
  </w:num>
  <w:num w:numId="27" w16cid:durableId="2008483428">
    <w:abstractNumId w:val="94"/>
  </w:num>
  <w:num w:numId="28" w16cid:durableId="102237242">
    <w:abstractNumId w:val="19"/>
  </w:num>
  <w:num w:numId="29" w16cid:durableId="299531855">
    <w:abstractNumId w:val="44"/>
  </w:num>
  <w:num w:numId="30" w16cid:durableId="700133332">
    <w:abstractNumId w:val="87"/>
  </w:num>
  <w:num w:numId="31" w16cid:durableId="1264652438">
    <w:abstractNumId w:val="28"/>
  </w:num>
  <w:num w:numId="32" w16cid:durableId="720907589">
    <w:abstractNumId w:val="8"/>
  </w:num>
  <w:num w:numId="33" w16cid:durableId="439689622">
    <w:abstractNumId w:val="84"/>
  </w:num>
  <w:num w:numId="34" w16cid:durableId="1107770145">
    <w:abstractNumId w:val="76"/>
  </w:num>
  <w:num w:numId="35" w16cid:durableId="1676834092">
    <w:abstractNumId w:val="24"/>
  </w:num>
  <w:num w:numId="36" w16cid:durableId="1265309296">
    <w:abstractNumId w:val="67"/>
  </w:num>
  <w:num w:numId="37" w16cid:durableId="1835484807">
    <w:abstractNumId w:val="89"/>
  </w:num>
  <w:num w:numId="38" w16cid:durableId="758255446">
    <w:abstractNumId w:val="15"/>
  </w:num>
  <w:num w:numId="39" w16cid:durableId="1724673051">
    <w:abstractNumId w:val="17"/>
  </w:num>
  <w:num w:numId="40" w16cid:durableId="471215482">
    <w:abstractNumId w:val="29"/>
  </w:num>
  <w:num w:numId="41" w16cid:durableId="944771085">
    <w:abstractNumId w:val="85"/>
  </w:num>
  <w:num w:numId="42" w16cid:durableId="1261527533">
    <w:abstractNumId w:val="91"/>
  </w:num>
  <w:num w:numId="43" w16cid:durableId="381321094">
    <w:abstractNumId w:val="5"/>
  </w:num>
  <w:num w:numId="44" w16cid:durableId="1942641795">
    <w:abstractNumId w:val="10"/>
  </w:num>
  <w:num w:numId="45" w16cid:durableId="2004384341">
    <w:abstractNumId w:val="68"/>
  </w:num>
  <w:num w:numId="46" w16cid:durableId="864756577">
    <w:abstractNumId w:val="68"/>
    <w:lvlOverride w:ilvl="1">
      <w:lvl w:ilvl="1">
        <w:numFmt w:val="decimal"/>
        <w:lvlText w:val="%2."/>
        <w:lvlJc w:val="left"/>
      </w:lvl>
    </w:lvlOverride>
  </w:num>
  <w:num w:numId="47" w16cid:durableId="548886122">
    <w:abstractNumId w:val="68"/>
    <w:lvlOverride w:ilvl="1">
      <w:lvl w:ilvl="1">
        <w:numFmt w:val="decimal"/>
        <w:lvlText w:val="%2."/>
        <w:lvlJc w:val="left"/>
      </w:lvl>
    </w:lvlOverride>
  </w:num>
  <w:num w:numId="48" w16cid:durableId="2079476680">
    <w:abstractNumId w:val="68"/>
    <w:lvlOverride w:ilvl="1">
      <w:lvl w:ilvl="1">
        <w:numFmt w:val="decimal"/>
        <w:lvlText w:val="%2."/>
        <w:lvlJc w:val="left"/>
      </w:lvl>
    </w:lvlOverride>
  </w:num>
  <w:num w:numId="49" w16cid:durableId="1173449159">
    <w:abstractNumId w:val="68"/>
    <w:lvlOverride w:ilvl="1">
      <w:lvl w:ilvl="1">
        <w:numFmt w:val="decimal"/>
        <w:lvlText w:val="%2."/>
        <w:lvlJc w:val="left"/>
      </w:lvl>
    </w:lvlOverride>
  </w:num>
  <w:num w:numId="50" w16cid:durableId="1260020138">
    <w:abstractNumId w:val="68"/>
    <w:lvlOverride w:ilvl="1">
      <w:lvl w:ilvl="1">
        <w:numFmt w:val="decimal"/>
        <w:lvlText w:val="%2."/>
        <w:lvlJc w:val="left"/>
      </w:lvl>
    </w:lvlOverride>
  </w:num>
  <w:num w:numId="51" w16cid:durableId="2111654674">
    <w:abstractNumId w:val="36"/>
  </w:num>
  <w:num w:numId="52" w16cid:durableId="1226916883">
    <w:abstractNumId w:val="52"/>
  </w:num>
  <w:num w:numId="53" w16cid:durableId="622492956">
    <w:abstractNumId w:val="71"/>
  </w:num>
  <w:num w:numId="54" w16cid:durableId="1970746347">
    <w:abstractNumId w:val="74"/>
  </w:num>
  <w:num w:numId="55" w16cid:durableId="1538197964">
    <w:abstractNumId w:val="83"/>
  </w:num>
  <w:num w:numId="56" w16cid:durableId="131169487">
    <w:abstractNumId w:val="0"/>
  </w:num>
  <w:num w:numId="57" w16cid:durableId="1405840067">
    <w:abstractNumId w:val="66"/>
  </w:num>
  <w:num w:numId="58" w16cid:durableId="1188981728">
    <w:abstractNumId w:val="26"/>
  </w:num>
  <w:num w:numId="59" w16cid:durableId="1912277922">
    <w:abstractNumId w:val="26"/>
    <w:lvlOverride w:ilvl="1">
      <w:lvl w:ilvl="1">
        <w:numFmt w:val="bullet"/>
        <w:lvlText w:val=""/>
        <w:lvlJc w:val="left"/>
        <w:pPr>
          <w:tabs>
            <w:tab w:val="num" w:pos="1440"/>
          </w:tabs>
          <w:ind w:left="1440" w:hanging="360"/>
        </w:pPr>
        <w:rPr>
          <w:rFonts w:ascii="Symbol" w:hAnsi="Symbol" w:hint="default"/>
          <w:sz w:val="20"/>
        </w:rPr>
      </w:lvl>
    </w:lvlOverride>
  </w:num>
  <w:num w:numId="60" w16cid:durableId="2002852584">
    <w:abstractNumId w:val="26"/>
    <w:lvlOverride w:ilvl="1">
      <w:lvl w:ilvl="1">
        <w:numFmt w:val="bullet"/>
        <w:lvlText w:val=""/>
        <w:lvlJc w:val="left"/>
        <w:pPr>
          <w:tabs>
            <w:tab w:val="num" w:pos="1440"/>
          </w:tabs>
          <w:ind w:left="1440" w:hanging="360"/>
        </w:pPr>
        <w:rPr>
          <w:rFonts w:ascii="Symbol" w:hAnsi="Symbol" w:hint="default"/>
          <w:sz w:val="20"/>
        </w:rPr>
      </w:lvl>
    </w:lvlOverride>
  </w:num>
  <w:num w:numId="61" w16cid:durableId="1852455653">
    <w:abstractNumId w:val="26"/>
    <w:lvlOverride w:ilvl="1">
      <w:lvl w:ilvl="1">
        <w:numFmt w:val="bullet"/>
        <w:lvlText w:val=""/>
        <w:lvlJc w:val="left"/>
        <w:pPr>
          <w:tabs>
            <w:tab w:val="num" w:pos="1440"/>
          </w:tabs>
          <w:ind w:left="1440" w:hanging="360"/>
        </w:pPr>
        <w:rPr>
          <w:rFonts w:ascii="Symbol" w:hAnsi="Symbol" w:hint="default"/>
          <w:sz w:val="20"/>
        </w:rPr>
      </w:lvl>
    </w:lvlOverride>
  </w:num>
  <w:num w:numId="62" w16cid:durableId="14161065">
    <w:abstractNumId w:val="26"/>
    <w:lvlOverride w:ilvl="1">
      <w:lvl w:ilvl="1">
        <w:numFmt w:val="bullet"/>
        <w:lvlText w:val=""/>
        <w:lvlJc w:val="left"/>
        <w:pPr>
          <w:tabs>
            <w:tab w:val="num" w:pos="1440"/>
          </w:tabs>
          <w:ind w:left="1440" w:hanging="360"/>
        </w:pPr>
        <w:rPr>
          <w:rFonts w:ascii="Symbol" w:hAnsi="Symbol" w:hint="default"/>
          <w:sz w:val="20"/>
        </w:rPr>
      </w:lvl>
    </w:lvlOverride>
  </w:num>
  <w:num w:numId="63" w16cid:durableId="304436121">
    <w:abstractNumId w:val="26"/>
    <w:lvlOverride w:ilvl="1">
      <w:lvl w:ilvl="1">
        <w:numFmt w:val="bullet"/>
        <w:lvlText w:val=""/>
        <w:lvlJc w:val="left"/>
        <w:pPr>
          <w:tabs>
            <w:tab w:val="num" w:pos="1440"/>
          </w:tabs>
          <w:ind w:left="1440" w:hanging="360"/>
        </w:pPr>
        <w:rPr>
          <w:rFonts w:ascii="Symbol" w:hAnsi="Symbol" w:hint="default"/>
          <w:sz w:val="20"/>
        </w:rPr>
      </w:lvl>
    </w:lvlOverride>
  </w:num>
  <w:num w:numId="64" w16cid:durableId="508062400">
    <w:abstractNumId w:val="11"/>
  </w:num>
  <w:num w:numId="65" w16cid:durableId="15932989">
    <w:abstractNumId w:val="11"/>
    <w:lvlOverride w:ilvl="1">
      <w:lvl w:ilvl="1">
        <w:numFmt w:val="bullet"/>
        <w:lvlText w:val=""/>
        <w:lvlJc w:val="left"/>
        <w:pPr>
          <w:tabs>
            <w:tab w:val="num" w:pos="1440"/>
          </w:tabs>
          <w:ind w:left="1440" w:hanging="360"/>
        </w:pPr>
        <w:rPr>
          <w:rFonts w:ascii="Symbol" w:hAnsi="Symbol" w:hint="default"/>
          <w:sz w:val="20"/>
        </w:rPr>
      </w:lvl>
    </w:lvlOverride>
  </w:num>
  <w:num w:numId="66" w16cid:durableId="843514791">
    <w:abstractNumId w:val="11"/>
    <w:lvlOverride w:ilvl="1">
      <w:lvl w:ilvl="1">
        <w:numFmt w:val="bullet"/>
        <w:lvlText w:val=""/>
        <w:lvlJc w:val="left"/>
        <w:pPr>
          <w:tabs>
            <w:tab w:val="num" w:pos="1440"/>
          </w:tabs>
          <w:ind w:left="1440" w:hanging="360"/>
        </w:pPr>
        <w:rPr>
          <w:rFonts w:ascii="Symbol" w:hAnsi="Symbol" w:hint="default"/>
          <w:sz w:val="20"/>
        </w:rPr>
      </w:lvl>
    </w:lvlOverride>
  </w:num>
  <w:num w:numId="67" w16cid:durableId="71976191">
    <w:abstractNumId w:val="11"/>
    <w:lvlOverride w:ilvl="1">
      <w:lvl w:ilvl="1">
        <w:numFmt w:val="bullet"/>
        <w:lvlText w:val=""/>
        <w:lvlJc w:val="left"/>
        <w:pPr>
          <w:tabs>
            <w:tab w:val="num" w:pos="1440"/>
          </w:tabs>
          <w:ind w:left="1440" w:hanging="360"/>
        </w:pPr>
        <w:rPr>
          <w:rFonts w:ascii="Symbol" w:hAnsi="Symbol" w:hint="default"/>
          <w:sz w:val="20"/>
        </w:rPr>
      </w:lvl>
    </w:lvlOverride>
  </w:num>
  <w:num w:numId="68" w16cid:durableId="941961339">
    <w:abstractNumId w:val="11"/>
    <w:lvlOverride w:ilvl="1">
      <w:lvl w:ilvl="1">
        <w:numFmt w:val="bullet"/>
        <w:lvlText w:val=""/>
        <w:lvlJc w:val="left"/>
        <w:pPr>
          <w:tabs>
            <w:tab w:val="num" w:pos="1440"/>
          </w:tabs>
          <w:ind w:left="1440" w:hanging="360"/>
        </w:pPr>
        <w:rPr>
          <w:rFonts w:ascii="Symbol" w:hAnsi="Symbol" w:hint="default"/>
          <w:sz w:val="20"/>
        </w:rPr>
      </w:lvl>
    </w:lvlOverride>
  </w:num>
  <w:num w:numId="69" w16cid:durableId="1949391373">
    <w:abstractNumId w:val="46"/>
  </w:num>
  <w:num w:numId="70" w16cid:durableId="1156923655">
    <w:abstractNumId w:val="46"/>
    <w:lvlOverride w:ilvl="1">
      <w:lvl w:ilvl="1">
        <w:numFmt w:val="bullet"/>
        <w:lvlText w:val=""/>
        <w:lvlJc w:val="left"/>
        <w:pPr>
          <w:tabs>
            <w:tab w:val="num" w:pos="1440"/>
          </w:tabs>
          <w:ind w:left="1440" w:hanging="360"/>
        </w:pPr>
        <w:rPr>
          <w:rFonts w:ascii="Symbol" w:hAnsi="Symbol" w:hint="default"/>
          <w:sz w:val="20"/>
        </w:rPr>
      </w:lvl>
    </w:lvlOverride>
  </w:num>
  <w:num w:numId="71" w16cid:durableId="1621109445">
    <w:abstractNumId w:val="46"/>
    <w:lvlOverride w:ilvl="1">
      <w:lvl w:ilvl="1">
        <w:numFmt w:val="bullet"/>
        <w:lvlText w:val=""/>
        <w:lvlJc w:val="left"/>
        <w:pPr>
          <w:tabs>
            <w:tab w:val="num" w:pos="1440"/>
          </w:tabs>
          <w:ind w:left="1440" w:hanging="360"/>
        </w:pPr>
        <w:rPr>
          <w:rFonts w:ascii="Symbol" w:hAnsi="Symbol" w:hint="default"/>
          <w:sz w:val="20"/>
        </w:rPr>
      </w:lvl>
    </w:lvlOverride>
  </w:num>
  <w:num w:numId="72" w16cid:durableId="987441051">
    <w:abstractNumId w:val="46"/>
    <w:lvlOverride w:ilvl="1">
      <w:lvl w:ilvl="1">
        <w:numFmt w:val="bullet"/>
        <w:lvlText w:val=""/>
        <w:lvlJc w:val="left"/>
        <w:pPr>
          <w:tabs>
            <w:tab w:val="num" w:pos="1440"/>
          </w:tabs>
          <w:ind w:left="1440" w:hanging="360"/>
        </w:pPr>
        <w:rPr>
          <w:rFonts w:ascii="Symbol" w:hAnsi="Symbol" w:hint="default"/>
          <w:sz w:val="20"/>
        </w:rPr>
      </w:lvl>
    </w:lvlOverride>
  </w:num>
  <w:num w:numId="73" w16cid:durableId="1345397681">
    <w:abstractNumId w:val="21"/>
  </w:num>
  <w:num w:numId="74" w16cid:durableId="1707485581">
    <w:abstractNumId w:val="21"/>
    <w:lvlOverride w:ilvl="1">
      <w:lvl w:ilvl="1">
        <w:numFmt w:val="bullet"/>
        <w:lvlText w:val=""/>
        <w:lvlJc w:val="left"/>
        <w:pPr>
          <w:tabs>
            <w:tab w:val="num" w:pos="1440"/>
          </w:tabs>
          <w:ind w:left="1440" w:hanging="360"/>
        </w:pPr>
        <w:rPr>
          <w:rFonts w:ascii="Symbol" w:hAnsi="Symbol" w:hint="default"/>
          <w:sz w:val="20"/>
        </w:rPr>
      </w:lvl>
    </w:lvlOverride>
  </w:num>
  <w:num w:numId="75" w16cid:durableId="274755622">
    <w:abstractNumId w:val="21"/>
    <w:lvlOverride w:ilvl="1">
      <w:lvl w:ilvl="1">
        <w:numFmt w:val="bullet"/>
        <w:lvlText w:val=""/>
        <w:lvlJc w:val="left"/>
        <w:pPr>
          <w:tabs>
            <w:tab w:val="num" w:pos="1440"/>
          </w:tabs>
          <w:ind w:left="1440" w:hanging="360"/>
        </w:pPr>
        <w:rPr>
          <w:rFonts w:ascii="Symbol" w:hAnsi="Symbol" w:hint="default"/>
          <w:sz w:val="20"/>
        </w:rPr>
      </w:lvl>
    </w:lvlOverride>
  </w:num>
  <w:num w:numId="76" w16cid:durableId="843007722">
    <w:abstractNumId w:val="21"/>
    <w:lvlOverride w:ilvl="1">
      <w:lvl w:ilvl="1">
        <w:numFmt w:val="bullet"/>
        <w:lvlText w:val=""/>
        <w:lvlJc w:val="left"/>
        <w:pPr>
          <w:tabs>
            <w:tab w:val="num" w:pos="1440"/>
          </w:tabs>
          <w:ind w:left="1440" w:hanging="360"/>
        </w:pPr>
        <w:rPr>
          <w:rFonts w:ascii="Symbol" w:hAnsi="Symbol" w:hint="default"/>
          <w:sz w:val="20"/>
        </w:rPr>
      </w:lvl>
    </w:lvlOverride>
  </w:num>
  <w:num w:numId="77" w16cid:durableId="669648019">
    <w:abstractNumId w:val="45"/>
  </w:num>
  <w:num w:numId="78" w16cid:durableId="548881398">
    <w:abstractNumId w:val="45"/>
    <w:lvlOverride w:ilvl="1">
      <w:lvl w:ilvl="1">
        <w:numFmt w:val="bullet"/>
        <w:lvlText w:val=""/>
        <w:lvlJc w:val="left"/>
        <w:pPr>
          <w:tabs>
            <w:tab w:val="num" w:pos="1440"/>
          </w:tabs>
          <w:ind w:left="1440" w:hanging="360"/>
        </w:pPr>
        <w:rPr>
          <w:rFonts w:ascii="Symbol" w:hAnsi="Symbol" w:hint="default"/>
          <w:sz w:val="20"/>
        </w:rPr>
      </w:lvl>
    </w:lvlOverride>
  </w:num>
  <w:num w:numId="79" w16cid:durableId="137192620">
    <w:abstractNumId w:val="45"/>
    <w:lvlOverride w:ilvl="1">
      <w:lvl w:ilvl="1">
        <w:numFmt w:val="bullet"/>
        <w:lvlText w:val=""/>
        <w:lvlJc w:val="left"/>
        <w:pPr>
          <w:tabs>
            <w:tab w:val="num" w:pos="1440"/>
          </w:tabs>
          <w:ind w:left="1440" w:hanging="360"/>
        </w:pPr>
        <w:rPr>
          <w:rFonts w:ascii="Symbol" w:hAnsi="Symbol" w:hint="default"/>
          <w:sz w:val="20"/>
        </w:rPr>
      </w:lvl>
    </w:lvlOverride>
  </w:num>
  <w:num w:numId="80" w16cid:durableId="1417094176">
    <w:abstractNumId w:val="16"/>
  </w:num>
  <w:num w:numId="81" w16cid:durableId="704984642">
    <w:abstractNumId w:val="60"/>
  </w:num>
  <w:num w:numId="82" w16cid:durableId="719404876">
    <w:abstractNumId w:val="4"/>
  </w:num>
  <w:num w:numId="83" w16cid:durableId="1345017580">
    <w:abstractNumId w:val="88"/>
  </w:num>
  <w:num w:numId="84" w16cid:durableId="1464930303">
    <w:abstractNumId w:val="27"/>
  </w:num>
  <w:num w:numId="85" w16cid:durableId="653801459">
    <w:abstractNumId w:val="13"/>
  </w:num>
  <w:num w:numId="86" w16cid:durableId="861868715">
    <w:abstractNumId w:val="73"/>
  </w:num>
  <w:num w:numId="87" w16cid:durableId="448427798">
    <w:abstractNumId w:val="72"/>
  </w:num>
  <w:num w:numId="88" w16cid:durableId="1126268607">
    <w:abstractNumId w:val="59"/>
  </w:num>
  <w:num w:numId="89" w16cid:durableId="954942947">
    <w:abstractNumId w:val="50"/>
  </w:num>
  <w:num w:numId="90" w16cid:durableId="110055893">
    <w:abstractNumId w:val="70"/>
  </w:num>
  <w:num w:numId="91" w16cid:durableId="1251651">
    <w:abstractNumId w:val="61"/>
  </w:num>
  <w:num w:numId="92" w16cid:durableId="368915486">
    <w:abstractNumId w:val="41"/>
  </w:num>
  <w:num w:numId="93" w16cid:durableId="531305624">
    <w:abstractNumId w:val="49"/>
  </w:num>
  <w:num w:numId="94" w16cid:durableId="707409693">
    <w:abstractNumId w:val="86"/>
  </w:num>
  <w:num w:numId="95" w16cid:durableId="910501058">
    <w:abstractNumId w:val="96"/>
  </w:num>
  <w:num w:numId="96" w16cid:durableId="391462795">
    <w:abstractNumId w:val="55"/>
  </w:num>
  <w:num w:numId="97" w16cid:durableId="1552762400">
    <w:abstractNumId w:val="1"/>
  </w:num>
  <w:num w:numId="98" w16cid:durableId="34426744">
    <w:abstractNumId w:val="39"/>
  </w:num>
  <w:num w:numId="99" w16cid:durableId="1396859244">
    <w:abstractNumId w:val="31"/>
  </w:num>
  <w:num w:numId="100" w16cid:durableId="1302881999">
    <w:abstractNumId w:val="57"/>
  </w:num>
  <w:num w:numId="101" w16cid:durableId="1225796240">
    <w:abstractNumId w:val="12"/>
  </w:num>
  <w:num w:numId="102" w16cid:durableId="1484850310">
    <w:abstractNumId w:val="58"/>
  </w:num>
  <w:num w:numId="103" w16cid:durableId="427699537">
    <w:abstractNumId w:val="82"/>
  </w:num>
  <w:num w:numId="104" w16cid:durableId="1160997608">
    <w:abstractNumId w:val="54"/>
  </w:num>
  <w:num w:numId="105" w16cid:durableId="799345765">
    <w:abstractNumId w:val="33"/>
  </w:num>
  <w:num w:numId="106" w16cid:durableId="151021275">
    <w:abstractNumId w:val="35"/>
  </w:num>
  <w:num w:numId="107" w16cid:durableId="1338146297">
    <w:abstractNumId w:val="7"/>
  </w:num>
  <w:num w:numId="108" w16cid:durableId="1616407340">
    <w:abstractNumId w:val="63"/>
  </w:num>
  <w:num w:numId="109" w16cid:durableId="1143036645">
    <w:abstractNumId w:val="79"/>
  </w:num>
  <w:num w:numId="110" w16cid:durableId="244415200">
    <w:abstractNumId w:val="56"/>
  </w:num>
  <w:num w:numId="111" w16cid:durableId="1543132271">
    <w:abstractNumId w:val="92"/>
  </w:num>
  <w:num w:numId="112" w16cid:durableId="1575167617">
    <w:abstractNumId w:val="77"/>
  </w:num>
  <w:num w:numId="113" w16cid:durableId="1098252490">
    <w:abstractNumId w:val="80"/>
  </w:num>
  <w:num w:numId="114" w16cid:durableId="1792675222">
    <w:abstractNumId w:val="18"/>
  </w:num>
  <w:num w:numId="115" w16cid:durableId="235212183">
    <w:abstractNumId w:val="38"/>
  </w:num>
  <w:num w:numId="116" w16cid:durableId="384573125">
    <w:abstractNumId w:val="75"/>
  </w:num>
  <w:num w:numId="117" w16cid:durableId="1167865524">
    <w:abstractNumId w:val="25"/>
  </w:num>
  <w:num w:numId="118" w16cid:durableId="1588806030">
    <w:abstractNumId w:val="62"/>
  </w:num>
  <w:num w:numId="119" w16cid:durableId="1773933911">
    <w:abstractNumId w:val="6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B22"/>
    <w:rsid w:val="000763B6"/>
    <w:rsid w:val="00077740"/>
    <w:rsid w:val="00080236"/>
    <w:rsid w:val="00085031"/>
    <w:rsid w:val="00087E4F"/>
    <w:rsid w:val="00090A9C"/>
    <w:rsid w:val="00092C24"/>
    <w:rsid w:val="00093811"/>
    <w:rsid w:val="000940A0"/>
    <w:rsid w:val="00095960"/>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5EBA"/>
    <w:rsid w:val="000E6887"/>
    <w:rsid w:val="000F0A0D"/>
    <w:rsid w:val="000F7F04"/>
    <w:rsid w:val="00110665"/>
    <w:rsid w:val="0011126E"/>
    <w:rsid w:val="00112407"/>
    <w:rsid w:val="00116AE4"/>
    <w:rsid w:val="00117CA1"/>
    <w:rsid w:val="0013755A"/>
    <w:rsid w:val="00137A3C"/>
    <w:rsid w:val="0014549E"/>
    <w:rsid w:val="00152104"/>
    <w:rsid w:val="00154BAC"/>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20239B"/>
    <w:rsid w:val="00203E13"/>
    <w:rsid w:val="002064BC"/>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223F2"/>
    <w:rsid w:val="00322A0D"/>
    <w:rsid w:val="00322CDE"/>
    <w:rsid w:val="003235C8"/>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20156"/>
    <w:rsid w:val="004204FB"/>
    <w:rsid w:val="004325ED"/>
    <w:rsid w:val="00433DE6"/>
    <w:rsid w:val="00434085"/>
    <w:rsid w:val="0043449E"/>
    <w:rsid w:val="00434A82"/>
    <w:rsid w:val="00436B59"/>
    <w:rsid w:val="004413CD"/>
    <w:rsid w:val="0044258D"/>
    <w:rsid w:val="00443A60"/>
    <w:rsid w:val="00444B1D"/>
    <w:rsid w:val="00444B3C"/>
    <w:rsid w:val="00462843"/>
    <w:rsid w:val="00466097"/>
    <w:rsid w:val="00466403"/>
    <w:rsid w:val="00473F99"/>
    <w:rsid w:val="00474246"/>
    <w:rsid w:val="004813A7"/>
    <w:rsid w:val="004849CE"/>
    <w:rsid w:val="00485BD0"/>
    <w:rsid w:val="00486B51"/>
    <w:rsid w:val="00487152"/>
    <w:rsid w:val="00490182"/>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5037"/>
    <w:rsid w:val="005B65AE"/>
    <w:rsid w:val="005C3DA2"/>
    <w:rsid w:val="005C7C30"/>
    <w:rsid w:val="005C7ED2"/>
    <w:rsid w:val="005D1768"/>
    <w:rsid w:val="005D2492"/>
    <w:rsid w:val="005D4ECD"/>
    <w:rsid w:val="005D7F98"/>
    <w:rsid w:val="005E1B7D"/>
    <w:rsid w:val="005E24FB"/>
    <w:rsid w:val="005F2661"/>
    <w:rsid w:val="005F5AF5"/>
    <w:rsid w:val="005F67B2"/>
    <w:rsid w:val="0060105E"/>
    <w:rsid w:val="0060723C"/>
    <w:rsid w:val="0061026F"/>
    <w:rsid w:val="006218DA"/>
    <w:rsid w:val="0062589E"/>
    <w:rsid w:val="00625A3C"/>
    <w:rsid w:val="00633F98"/>
    <w:rsid w:val="00634932"/>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7DC3"/>
    <w:rsid w:val="006B0882"/>
    <w:rsid w:val="006B1075"/>
    <w:rsid w:val="006B366F"/>
    <w:rsid w:val="006B3FEF"/>
    <w:rsid w:val="006B51C2"/>
    <w:rsid w:val="006C0642"/>
    <w:rsid w:val="006C10F3"/>
    <w:rsid w:val="006C2E76"/>
    <w:rsid w:val="006C3100"/>
    <w:rsid w:val="006C54C9"/>
    <w:rsid w:val="006C670F"/>
    <w:rsid w:val="006D2EA0"/>
    <w:rsid w:val="006D48DE"/>
    <w:rsid w:val="006E3B11"/>
    <w:rsid w:val="006E413B"/>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6684E"/>
    <w:rsid w:val="00766A58"/>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781F"/>
    <w:rsid w:val="00840269"/>
    <w:rsid w:val="00854E14"/>
    <w:rsid w:val="0086333D"/>
    <w:rsid w:val="00864B2B"/>
    <w:rsid w:val="00867D56"/>
    <w:rsid w:val="00877358"/>
    <w:rsid w:val="008806D9"/>
    <w:rsid w:val="0088301D"/>
    <w:rsid w:val="00883E09"/>
    <w:rsid w:val="00885F93"/>
    <w:rsid w:val="00886510"/>
    <w:rsid w:val="00890D4E"/>
    <w:rsid w:val="00894F92"/>
    <w:rsid w:val="008A09DC"/>
    <w:rsid w:val="008A2025"/>
    <w:rsid w:val="008A3A53"/>
    <w:rsid w:val="008A69EA"/>
    <w:rsid w:val="008A7AEA"/>
    <w:rsid w:val="008A7D25"/>
    <w:rsid w:val="008B070C"/>
    <w:rsid w:val="008B0F36"/>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7C97"/>
    <w:rsid w:val="00922314"/>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43DE"/>
    <w:rsid w:val="00A05BAE"/>
    <w:rsid w:val="00A11618"/>
    <w:rsid w:val="00A14701"/>
    <w:rsid w:val="00A14CF4"/>
    <w:rsid w:val="00A1570C"/>
    <w:rsid w:val="00A15C4F"/>
    <w:rsid w:val="00A16E60"/>
    <w:rsid w:val="00A22C42"/>
    <w:rsid w:val="00A23560"/>
    <w:rsid w:val="00A23637"/>
    <w:rsid w:val="00A238AA"/>
    <w:rsid w:val="00A25B61"/>
    <w:rsid w:val="00A26DC5"/>
    <w:rsid w:val="00A2724A"/>
    <w:rsid w:val="00A30CD5"/>
    <w:rsid w:val="00A37539"/>
    <w:rsid w:val="00A40B4C"/>
    <w:rsid w:val="00A50F8C"/>
    <w:rsid w:val="00A51842"/>
    <w:rsid w:val="00A563ED"/>
    <w:rsid w:val="00A60347"/>
    <w:rsid w:val="00A62487"/>
    <w:rsid w:val="00A63AF0"/>
    <w:rsid w:val="00A67E70"/>
    <w:rsid w:val="00A70534"/>
    <w:rsid w:val="00A73A46"/>
    <w:rsid w:val="00A74A2B"/>
    <w:rsid w:val="00A7525C"/>
    <w:rsid w:val="00A77B25"/>
    <w:rsid w:val="00A83153"/>
    <w:rsid w:val="00A8785A"/>
    <w:rsid w:val="00A90432"/>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6B9C"/>
    <w:rsid w:val="00AF462B"/>
    <w:rsid w:val="00AF5658"/>
    <w:rsid w:val="00AF62C2"/>
    <w:rsid w:val="00B00D76"/>
    <w:rsid w:val="00B03D10"/>
    <w:rsid w:val="00B05FDA"/>
    <w:rsid w:val="00B13886"/>
    <w:rsid w:val="00B146C0"/>
    <w:rsid w:val="00B17002"/>
    <w:rsid w:val="00B21ACD"/>
    <w:rsid w:val="00B2224B"/>
    <w:rsid w:val="00B22BBC"/>
    <w:rsid w:val="00B31D9A"/>
    <w:rsid w:val="00B32E4E"/>
    <w:rsid w:val="00B3455E"/>
    <w:rsid w:val="00B36EB3"/>
    <w:rsid w:val="00B43F32"/>
    <w:rsid w:val="00B4456F"/>
    <w:rsid w:val="00B6092B"/>
    <w:rsid w:val="00B61F61"/>
    <w:rsid w:val="00B63BBC"/>
    <w:rsid w:val="00B6706E"/>
    <w:rsid w:val="00B802A8"/>
    <w:rsid w:val="00B8356C"/>
    <w:rsid w:val="00B838A8"/>
    <w:rsid w:val="00B90CF8"/>
    <w:rsid w:val="00B91986"/>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2DC1"/>
    <w:rsid w:val="00C67E01"/>
    <w:rsid w:val="00C74AAF"/>
    <w:rsid w:val="00C76706"/>
    <w:rsid w:val="00C87AB5"/>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75A9"/>
    <w:rsid w:val="00D17FB2"/>
    <w:rsid w:val="00D20E96"/>
    <w:rsid w:val="00D235C5"/>
    <w:rsid w:val="00D23CA7"/>
    <w:rsid w:val="00D31A6E"/>
    <w:rsid w:val="00D31D7E"/>
    <w:rsid w:val="00D37D9A"/>
    <w:rsid w:val="00D43F87"/>
    <w:rsid w:val="00D46B4D"/>
    <w:rsid w:val="00D47F4C"/>
    <w:rsid w:val="00D62C39"/>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9C3"/>
    <w:rsid w:val="00DE4849"/>
    <w:rsid w:val="00DF1577"/>
    <w:rsid w:val="00DF30DF"/>
    <w:rsid w:val="00DF6DD4"/>
    <w:rsid w:val="00E01413"/>
    <w:rsid w:val="00E01563"/>
    <w:rsid w:val="00E031FB"/>
    <w:rsid w:val="00E11EF3"/>
    <w:rsid w:val="00E16953"/>
    <w:rsid w:val="00E205E7"/>
    <w:rsid w:val="00E2118A"/>
    <w:rsid w:val="00E21B3F"/>
    <w:rsid w:val="00E2701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172A"/>
    <w:rsid w:val="00EB5AC9"/>
    <w:rsid w:val="00EB684E"/>
    <w:rsid w:val="00EC25CF"/>
    <w:rsid w:val="00EC4694"/>
    <w:rsid w:val="00EE13A9"/>
    <w:rsid w:val="00EE7D55"/>
    <w:rsid w:val="00EF040F"/>
    <w:rsid w:val="00EF1678"/>
    <w:rsid w:val="00EF6C62"/>
    <w:rsid w:val="00F05002"/>
    <w:rsid w:val="00F1554E"/>
    <w:rsid w:val="00F17A30"/>
    <w:rsid w:val="00F20625"/>
    <w:rsid w:val="00F20D35"/>
    <w:rsid w:val="00F25D43"/>
    <w:rsid w:val="00F26DE2"/>
    <w:rsid w:val="00F32CCC"/>
    <w:rsid w:val="00F42CD5"/>
    <w:rsid w:val="00F43BA7"/>
    <w:rsid w:val="00F4536C"/>
    <w:rsid w:val="00F525FE"/>
    <w:rsid w:val="00F55531"/>
    <w:rsid w:val="00F5642E"/>
    <w:rsid w:val="00F5781A"/>
    <w:rsid w:val="00F628F0"/>
    <w:rsid w:val="00F67396"/>
    <w:rsid w:val="00F71C4B"/>
    <w:rsid w:val="00F73EE4"/>
    <w:rsid w:val="00F74068"/>
    <w:rsid w:val="00F7526C"/>
    <w:rsid w:val="00F7526D"/>
    <w:rsid w:val="00F77CC4"/>
    <w:rsid w:val="00F83D3E"/>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AC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156-008-0093-7" TargetMode="External"/><Relationship Id="rId18" Type="http://schemas.openxmlformats.org/officeDocument/2006/relationships/hyperlink" Target="https://doi.org/10.1002/(SICI)1097-0266(199708)18:7%3c509::AID-SMJ882%3e3.0.CO;2-Z" TargetMode="External"/><Relationship Id="rId26" Type="http://schemas.openxmlformats.org/officeDocument/2006/relationships/hyperlink" Target="https://researchportal.port.ac.uk/files/5315148/Salwa_Alhamoudi_final_CD.pdf" TargetMode="External"/><Relationship Id="rId39" Type="http://schemas.openxmlformats.org/officeDocument/2006/relationships/fontTable" Target="fontTable.xml"/><Relationship Id="rId21" Type="http://schemas.openxmlformats.org/officeDocument/2006/relationships/hyperlink" Target="https://doi.org/10.1108/MBE-12-2019-0128"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108/09513570810887893" TargetMode="External"/><Relationship Id="rId17" Type="http://schemas.openxmlformats.org/officeDocument/2006/relationships/hyperlink" Target="https://doi.org/10.1086/467037" TargetMode="External"/><Relationship Id="rId25" Type="http://schemas.openxmlformats.org/officeDocument/2006/relationships/hyperlink" Target="https://doi.org/10.1108/JFC-01-2020-0011" TargetMode="External"/><Relationship Id="rId33" Type="http://schemas.openxmlformats.org/officeDocument/2006/relationships/hyperlink" Target="https://asjp.cerist.dz/en/article/201594"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2307/2666999" TargetMode="External"/><Relationship Id="rId20" Type="http://schemas.openxmlformats.org/officeDocument/2006/relationships/hyperlink" Target="https://openknowledge.worldbank.org/handle/10986/2598" TargetMode="External"/><Relationship Id="rId29" Type="http://schemas.openxmlformats.org/officeDocument/2006/relationships/hyperlink" Target="https://doi.org/10.14453/aabfj.v11i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106/jafeb.2023.vol10.no3.0123" TargetMode="External"/><Relationship Id="rId24" Type="http://schemas.openxmlformats.org/officeDocument/2006/relationships/hyperlink" Target="https://doi.org/10.21608/JEALEX.2021.155213" TargetMode="External"/><Relationship Id="rId32" Type="http://schemas.openxmlformats.org/officeDocument/2006/relationships/hyperlink" Target="https://doi.org/10.4236/ajibm.2023.139056"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5465/amr.2003.10196772" TargetMode="External"/><Relationship Id="rId23" Type="http://schemas.openxmlformats.org/officeDocument/2006/relationships/hyperlink" Target="https://doi.org/10.1163/15730255-12341280" TargetMode="External"/><Relationship Id="rId28" Type="http://schemas.openxmlformats.org/officeDocument/2006/relationships/hyperlink" Target="https://papers.ssrn.com/sol3/papers.cfm?abstract_id=586423" TargetMode="External"/><Relationship Id="rId36" Type="http://schemas.openxmlformats.org/officeDocument/2006/relationships/footer" Target="footer1.xml"/><Relationship Id="rId10" Type="http://schemas.openxmlformats.org/officeDocument/2006/relationships/hyperlink" Target="https://doi.org/10.1016/j.jacceco.2006.02.002" TargetMode="External"/><Relationship Id="rId19" Type="http://schemas.openxmlformats.org/officeDocument/2006/relationships/hyperlink" Target="https://doi.org/10.22495/cocv14i3art6" TargetMode="External"/><Relationship Id="rId31" Type="http://schemas.openxmlformats.org/officeDocument/2006/relationships/hyperlink" Target="https://doi.org/10.1016/0304-405X(76)90026-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IJPPM-10-2017-0278" TargetMode="External"/><Relationship Id="rId22" Type="http://schemas.openxmlformats.org/officeDocument/2006/relationships/hyperlink" Target="https://doi.org/10.22495/rgcv10i1art1" TargetMode="External"/><Relationship Id="rId27" Type="http://schemas.openxmlformats.org/officeDocument/2006/relationships/hyperlink" Target="https://doi.org/10.1016/j.jcorpfin.2008.03.006" TargetMode="External"/><Relationship Id="rId30" Type="http://schemas.openxmlformats.org/officeDocument/2006/relationships/hyperlink" Target="https://doi.org/10.1186/s43093-021-00093-6"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37</Pages>
  <Words>10858</Words>
  <Characters>61892</Characters>
  <Application>Microsoft Office Word</Application>
  <DocSecurity>0</DocSecurity>
  <Lines>515</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132</cp:revision>
  <cp:lastPrinted>2021-07-12T14:24:00Z</cp:lastPrinted>
  <dcterms:created xsi:type="dcterms:W3CDTF">2025-07-18T08:39:00Z</dcterms:created>
  <dcterms:modified xsi:type="dcterms:W3CDTF">2025-12-04T05:07:00Z</dcterms:modified>
</cp:coreProperties>
</file>