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800"/>
        <w:jc w:val="center"/>
      </w:pPr>
      <w:r>
        <w:rPr>
          <w:rFonts w:ascii="Calibri" w:cs="Calibri" w:eastAsia="Calibri" w:hAnsi="Calibri"/>
          <w:b/>
          <w:bCs/>
          <w:sz w:val="40"/>
          <w:szCs w:val="40"/>
          <w:lang w:val="en-US"/>
        </w:rPr>
        <w:t xml:space="preserve">Mid Ocean University</w:t>
      </w:r>
    </w:p>
    <w:p>
      <w:pPr>
        <w:bidi/>
        <w:spacing w:after="600"/>
        <w:jc w:val="center"/>
      </w:pPr>
      <w:r>
        <w:rPr>
          <w:rFonts w:ascii="Arial" w:cs="Arial" w:eastAsia="Arial" w:hAnsi="Arial"/>
          <w:b/>
          <w:bCs/>
          <w:sz w:val="40"/>
          <w:szCs w:val="40"/>
          <w:lang w:val="ar-SA" w:bidi="ar-SA"/>
        </w:rPr>
        <w:t xml:space="preserve">جامعة ميد أوشن</w:t>
      </w:r>
    </w:p>
    <w:p>
      <w:pPr>
        <w:spacing w:after="200" w:before="600"/>
        <w:jc w:val="center"/>
      </w:pPr>
      <w:r>
        <w:rPr>
          <w:rFonts w:ascii="Calibri" w:cs="Calibri" w:eastAsia="Calibri" w:hAnsi="Calibri"/>
          <w:b/>
          <w:bCs/>
          <w:sz w:val="32"/>
          <w:szCs w:val="32"/>
          <w:lang w:val="en-US"/>
        </w:rPr>
        <w:t xml:space="preserve">Research Proposal</w:t>
      </w:r>
    </w:p>
    <w:p>
      <w:pPr>
        <w:spacing w:after="100" w:before="300"/>
        <w:jc w:val="center"/>
      </w:pPr>
      <w:r>
        <w:rPr>
          <w:rFonts w:ascii="Calibri" w:cs="Calibri" w:eastAsia="Calibri" w:hAnsi="Calibri"/>
          <w:b/>
          <w:bCs/>
          <w:sz w:val="26"/>
          <w:szCs w:val="26"/>
          <w:lang w:val="en-US"/>
        </w:rPr>
        <w:t xml:space="preserve">The Relationship Between the Application of Total Quality</w:t>
      </w:r>
    </w:p>
    <w:p>
      <w:pPr>
        <w:spacing w:after="100"/>
        <w:jc w:val="center"/>
      </w:pPr>
      <w:r>
        <w:rPr>
          <w:rFonts w:ascii="Calibri" w:cs="Calibri" w:eastAsia="Calibri" w:hAnsi="Calibri"/>
          <w:b/>
          <w:bCs/>
          <w:sz w:val="26"/>
          <w:szCs w:val="26"/>
          <w:lang w:val="en-US"/>
        </w:rPr>
        <w:t xml:space="preserve">Management Standards in University Administration</w:t>
      </w:r>
    </w:p>
    <w:p>
      <w:pPr>
        <w:spacing w:after="400"/>
        <w:jc w:val="center"/>
      </w:pPr>
      <w:r>
        <w:rPr>
          <w:rFonts w:ascii="Calibri" w:cs="Calibri" w:eastAsia="Calibri" w:hAnsi="Calibri"/>
          <w:b/>
          <w:bCs/>
          <w:sz w:val="26"/>
          <w:szCs w:val="26"/>
          <w:lang w:val="en-US"/>
        </w:rPr>
        <w:t xml:space="preserve">and Student Satisfaction with Provided Services</w:t>
      </w:r>
    </w:p>
    <w:p>
      <w:pPr>
        <w:bidi/>
        <w:spacing w:after="500" w:before="300"/>
        <w:jc w:val="center"/>
      </w:pPr>
      <w:r>
        <w:rPr>
          <w:rFonts w:ascii="Arial" w:cs="Arial" w:eastAsia="Arial" w:hAnsi="Arial"/>
          <w:b/>
          <w:bCs/>
          <w:sz w:val="26"/>
          <w:szCs w:val="26"/>
          <w:lang w:val="ar-SA" w:bidi="ar-SA"/>
        </w:rPr>
        <w:t xml:space="preserve">علاقة تطبيق معايير الجودة الشاملة في الإدارة الجامعية بمستوى رضا الطالب عن الخدمات المقدمة</w:t>
      </w:r>
    </w:p>
    <w:p>
      <w:pPr>
        <w:spacing w:after="100" w:before="600"/>
        <w:jc w:val="center"/>
      </w:pPr>
      <w:r>
        <w:rPr>
          <w:rFonts w:ascii="Calibri" w:cs="Calibri" w:eastAsia="Calibri" w:hAnsi="Calibri"/>
          <w:sz w:val="24"/>
          <w:szCs w:val="24"/>
          <w:lang w:val="en-US"/>
        </w:rPr>
        <w:t xml:space="preserve">Student Name: Duaa Adam Mohammed Ali</w:t>
      </w:r>
    </w:p>
    <w:p>
      <w:pPr>
        <w:spacing w:after="100"/>
        <w:jc w:val="center"/>
      </w:pPr>
      <w:r>
        <w:rPr>
          <w:rFonts w:ascii="Calibri" w:cs="Calibri" w:eastAsia="Calibri" w:hAnsi="Calibri"/>
          <w:sz w:val="24"/>
          <w:szCs w:val="24"/>
          <w:lang w:val="en-US"/>
        </w:rPr>
        <w:t xml:space="preserve">Student ID: 241000117</w:t>
      </w:r>
    </w:p>
    <w:p>
      <w:pPr>
        <w:spacing w:after="100"/>
        <w:jc w:val="center"/>
      </w:pPr>
      <w:r>
        <w:rPr>
          <w:rFonts w:ascii="Calibri" w:cs="Calibri" w:eastAsia="Calibri" w:hAnsi="Calibri"/>
          <w:sz w:val="24"/>
          <w:szCs w:val="24"/>
          <w:lang w:val="en-US"/>
        </w:rPr>
        <w:t xml:space="preserve">Course: Introduction to Research Methods (MGM333)</w:t>
      </w:r>
    </w:p>
    <w:p>
      <w:pPr>
        <w:spacing w:after="600"/>
        <w:jc w:val="center"/>
      </w:pPr>
      <w:r>
        <w:rPr>
          <w:rFonts w:ascii="Calibri" w:cs="Calibri" w:eastAsia="Calibri" w:hAnsi="Calibri"/>
          <w:sz w:val="24"/>
          <w:szCs w:val="24"/>
          <w:lang w:val="en-US"/>
        </w:rPr>
        <w:t xml:space="preserve">Submission Date: 23/6/2026</w:t>
      </w:r>
    </w:p>
    <w:p>
      <w:r>
        <w:br w:type="page"/>
      </w:r>
    </w:p>
    <w:p>
      <w:pPr>
        <w:sectPr>
          <w:pgSz w:w="12240" w:h="15840" w:orient="portrait"/>
          <w:pgMar w:top="1440" w:right="1440" w:bottom="1440" w:left="1440" w:header="708" w:footer="708" w:gutter="0"/>
          <w:pgNumType/>
          <w:docGrid w:linePitch="360"/>
        </w:sectPr>
      </w:pPr>
    </w:p>
    <w:p>
      <w:pPr>
        <w:bidi/>
        <w:spacing w:after="400"/>
        <w:jc w:val="center"/>
      </w:pPr>
      <w:r>
        <w:rPr>
          <w:rFonts w:ascii="Arial" w:cs="Arial" w:eastAsia="Arial" w:hAnsi="Arial"/>
          <w:b/>
          <w:bCs/>
          <w:sz w:val="30"/>
          <w:szCs w:val="30"/>
          <w:lang w:val="ar-SA" w:bidi="ar-SA"/>
        </w:rPr>
        <w:t xml:space="preserve">الجزء الأول: المقترح البحثي باللغة العربية</w:t>
      </w:r>
    </w:p>
    <w:p>
      <w:pPr>
        <w:pStyle w:val="Heading1"/>
        <w:bidi/>
        <w:spacing w:after="150" w:before="300"/>
        <w:jc w:val="right"/>
      </w:pPr>
      <w:r>
        <w:rPr>
          <w:rFonts w:ascii="Arial" w:cs="Arial" w:eastAsia="Arial" w:hAnsi="Arial"/>
          <w:b/>
          <w:bCs/>
          <w:lang w:val="ar-SA" w:bidi="ar-SA"/>
        </w:rPr>
        <w:t xml:space="preserve">أولاً: المقدمة (الإطار النظري)</w:t>
      </w:r>
    </w:p>
    <w:p>
      <w:pPr>
        <w:bidi/>
        <w:spacing w:after="200" w:line="360"/>
        <w:jc w:val="right"/>
      </w:pPr>
      <w:r>
        <w:rPr>
          <w:rFonts w:ascii="Arial" w:cs="Arial" w:eastAsia="Arial" w:hAnsi="Arial"/>
          <w:b w:val="false"/>
          <w:bCs w:val="false"/>
          <w:sz w:val="22"/>
          <w:szCs w:val="22"/>
          <w:lang w:val="ar-SA" w:bidi="ar-SA"/>
        </w:rPr>
        <w:t xml:space="preserve">تُعّد إدارة الجودة الشاملة (TQM) من أبرز المفاهيم الإدارية الحديثة التي باتت تحتل مكانة محورية في مؤسسات التعليم العالي حول العالم، إذ تسعى الجامعات إلى تطبيق معاييرها لتحسين أدائها المؤسسي وتقديم خدمات أكاديمية وإدارية متميزة. وفي ظل التنافسية المتزايدة بين الجامعات، أصبح رضا الطالب مؤشرًا جوهريًا لقياس جودة هذه الخدمات.</w:t>
      </w:r>
    </w:p>
    <w:p>
      <w:pPr>
        <w:bidi/>
        <w:spacing w:after="200" w:line="360"/>
        <w:jc w:val="right"/>
      </w:pPr>
      <w:r>
        <w:rPr>
          <w:rFonts w:ascii="Arial" w:cs="Arial" w:eastAsia="Arial" w:hAnsi="Arial"/>
          <w:b w:val="false"/>
          <w:bCs w:val="false"/>
          <w:sz w:val="22"/>
          <w:szCs w:val="22"/>
          <w:lang w:val="ar-SA" w:bidi="ar-SA"/>
        </w:rPr>
        <w:t xml:space="preserve">تتمحور إشكالية هذه الدراسة حول التساؤل الجوهري التالي: هل يُسهم تطبيق معايير الجودة الشاملة في الإدارة الجامعية فعليًا في رفع مستوى رضا الطالب عن الخدمات المقدمة لهم؟</w:t>
      </w:r>
    </w:p>
    <w:p>
      <w:pPr>
        <w:pStyle w:val="Heading2"/>
        <w:bidi/>
        <w:spacing w:after="150" w:before="300"/>
        <w:jc w:val="right"/>
      </w:pPr>
      <w:r>
        <w:rPr>
          <w:rFonts w:ascii="Arial" w:cs="Arial" w:eastAsia="Arial" w:hAnsi="Arial"/>
          <w:b/>
          <w:bCs/>
          <w:lang w:val="ar-SA" w:bidi="ar-SA"/>
        </w:rPr>
        <w:t xml:space="preserve">أسئلة البحث</w:t>
      </w:r>
    </w:p>
    <w:p>
      <w:pPr>
        <w:bidi/>
        <w:spacing w:after="140" w:line="360"/>
        <w:jc w:val="right"/>
      </w:pPr>
      <w:r>
        <w:rPr>
          <w:rFonts w:ascii="Arial" w:cs="Arial" w:eastAsia="Arial" w:hAnsi="Arial"/>
          <w:sz w:val="22"/>
          <w:szCs w:val="22"/>
          <w:lang w:val="ar-SA" w:bidi="ar-SA"/>
        </w:rPr>
        <w:t xml:space="preserve">• ما مستوى تطبيق معايير الجودة الشاملة في الإدارة الجامعية من وجهة نظر الطالب؟</w:t>
      </w:r>
    </w:p>
    <w:p>
      <w:pPr>
        <w:bidi/>
        <w:spacing w:after="140" w:line="360"/>
        <w:jc w:val="right"/>
      </w:pPr>
      <w:r>
        <w:rPr>
          <w:rFonts w:ascii="Arial" w:cs="Arial" w:eastAsia="Arial" w:hAnsi="Arial"/>
          <w:sz w:val="22"/>
          <w:szCs w:val="22"/>
          <w:lang w:val="ar-SA" w:bidi="ar-SA"/>
        </w:rPr>
        <w:t xml:space="preserve">• ما مستوى رضا الطالب عن الخدمات الجامعية المقدمة؟</w:t>
      </w:r>
    </w:p>
    <w:p>
      <w:pPr>
        <w:bidi/>
        <w:spacing w:after="140" w:line="360"/>
        <w:jc w:val="right"/>
      </w:pPr>
      <w:r>
        <w:rPr>
          <w:rFonts w:ascii="Arial" w:cs="Arial" w:eastAsia="Arial" w:hAnsi="Arial"/>
          <w:sz w:val="22"/>
          <w:szCs w:val="22"/>
          <w:lang w:val="ar-SA" w:bidi="ar-SA"/>
        </w:rPr>
        <w:t xml:space="preserve">• هل توجد علاقة ذات دلالة إحصائية بين تطبيق معايير الجودة الشاملة ومستوى رضا الطالب؟</w:t>
      </w:r>
    </w:p>
    <w:p>
      <w:pPr>
        <w:bidi/>
        <w:spacing w:after="140" w:line="360"/>
        <w:jc w:val="right"/>
      </w:pPr>
      <w:r>
        <w:rPr>
          <w:rFonts w:ascii="Arial" w:cs="Arial" w:eastAsia="Arial" w:hAnsi="Arial"/>
          <w:sz w:val="22"/>
          <w:szCs w:val="22"/>
          <w:lang w:val="ar-SA" w:bidi="ar-SA"/>
        </w:rPr>
        <w:t xml:space="preserve">• ما أكثر جوانب الجودة الشاملة تأثيرًا في تحقيق رضا الطالب؟</w:t>
      </w:r>
    </w:p>
    <w:p>
      <w:pPr>
        <w:pStyle w:val="Heading1"/>
        <w:bidi/>
        <w:spacing w:after="150" w:before="300"/>
        <w:jc w:val="right"/>
      </w:pPr>
      <w:r>
        <w:rPr>
          <w:rFonts w:ascii="Arial" w:cs="Arial" w:eastAsia="Arial" w:hAnsi="Arial"/>
          <w:b/>
          <w:bCs/>
          <w:lang w:val="ar-SA" w:bidi="ar-SA"/>
        </w:rPr>
        <w:t xml:space="preserve">ثانيًا: أهداف البحث</w:t>
      </w:r>
    </w:p>
    <w:p>
      <w:pPr>
        <w:bidi/>
        <w:spacing w:after="200" w:line="360"/>
        <w:jc w:val="right"/>
      </w:pPr>
      <w:r>
        <w:rPr>
          <w:rFonts w:ascii="Arial" w:cs="Arial" w:eastAsia="Arial" w:hAnsi="Arial"/>
          <w:b/>
          <w:bCs/>
          <w:sz w:val="22"/>
          <w:szCs w:val="22"/>
          <w:lang w:val="ar-SA" w:bidi="ar-SA"/>
        </w:rPr>
        <w:t xml:space="preserve">الهدف العام: الكشف عن طبيعة العلاقة بين تطبيق معايير الجودة الشاملة في الإدارة الجامعية ومستوى رضا الطالب عن الخدمات المقدمة.</w:t>
      </w:r>
    </w:p>
    <w:p>
      <w:pPr>
        <w:pStyle w:val="Heading2"/>
        <w:bidi/>
        <w:spacing w:after="150" w:before="300"/>
        <w:jc w:val="right"/>
      </w:pPr>
      <w:r>
        <w:rPr>
          <w:rFonts w:ascii="Arial" w:cs="Arial" w:eastAsia="Arial" w:hAnsi="Arial"/>
          <w:b/>
          <w:bCs/>
          <w:lang w:val="ar-SA" w:bidi="ar-SA"/>
        </w:rPr>
        <w:t xml:space="preserve">الأهداف المحددة</w:t>
      </w:r>
    </w:p>
    <w:p>
      <w:pPr>
        <w:bidi/>
        <w:spacing w:after="140" w:line="360"/>
        <w:jc w:val="right"/>
      </w:pPr>
      <w:r>
        <w:rPr>
          <w:rFonts w:ascii="Arial" w:cs="Arial" w:eastAsia="Arial" w:hAnsi="Arial"/>
          <w:sz w:val="22"/>
          <w:szCs w:val="22"/>
          <w:lang w:val="ar-SA" w:bidi="ar-SA"/>
        </w:rPr>
        <w:t xml:space="preserve">• قياس مستوى تطبيق معايير الجودة الشاملة في الإدارة الجامعية.</w:t>
      </w:r>
    </w:p>
    <w:p>
      <w:pPr>
        <w:bidi/>
        <w:spacing w:after="140" w:line="360"/>
        <w:jc w:val="right"/>
      </w:pPr>
      <w:r>
        <w:rPr>
          <w:rFonts w:ascii="Arial" w:cs="Arial" w:eastAsia="Arial" w:hAnsi="Arial"/>
          <w:sz w:val="22"/>
          <w:szCs w:val="22"/>
          <w:lang w:val="ar-SA" w:bidi="ar-SA"/>
        </w:rPr>
        <w:t xml:space="preserve">• تحديد مستوى رضا الطالب عن الخدمات الأكاديمية والإدارية والمرافق الجامعية.</w:t>
      </w:r>
    </w:p>
    <w:p>
      <w:pPr>
        <w:bidi/>
        <w:spacing w:after="140" w:line="360"/>
        <w:jc w:val="right"/>
      </w:pPr>
      <w:r>
        <w:rPr>
          <w:rFonts w:ascii="Arial" w:cs="Arial" w:eastAsia="Arial" w:hAnsi="Arial"/>
          <w:sz w:val="22"/>
          <w:szCs w:val="22"/>
          <w:lang w:val="ar-SA" w:bidi="ar-SA"/>
        </w:rPr>
        <w:t xml:space="preserve">• تحليل العلاقة الارتباطية بين تطبيق الجودة الشاملة ورضا الطالب.</w:t>
      </w:r>
    </w:p>
    <w:p>
      <w:pPr>
        <w:bidi/>
        <w:spacing w:after="140" w:line="360"/>
        <w:jc w:val="right"/>
      </w:pPr>
      <w:r>
        <w:rPr>
          <w:rFonts w:ascii="Arial" w:cs="Arial" w:eastAsia="Arial" w:hAnsi="Arial"/>
          <w:sz w:val="22"/>
          <w:szCs w:val="22"/>
          <w:lang w:val="ar-SA" w:bidi="ar-SA"/>
        </w:rPr>
        <w:t xml:space="preserve">• تحديد أبرز محاور الجودة المؤثرة في تحقيق رضا الطالب.</w:t>
      </w:r>
    </w:p>
    <w:p>
      <w:pPr>
        <w:bidi/>
        <w:spacing w:after="140" w:line="360"/>
        <w:jc w:val="right"/>
      </w:pPr>
      <w:r>
        <w:rPr>
          <w:rFonts w:ascii="Arial" w:cs="Arial" w:eastAsia="Arial" w:hAnsi="Arial"/>
          <w:sz w:val="22"/>
          <w:szCs w:val="22"/>
          <w:lang w:val="ar-SA" w:bidi="ar-SA"/>
        </w:rPr>
        <w:t xml:space="preserve">• تقديم توصيات عملية للإدارة الجامعية لتحسين مستوى الخدمات.</w:t>
      </w:r>
    </w:p>
    <w:p>
      <w:pPr>
        <w:pStyle w:val="Heading1"/>
        <w:bidi/>
        <w:spacing w:after="150" w:before="300"/>
        <w:jc w:val="right"/>
      </w:pPr>
      <w:r>
        <w:rPr>
          <w:rFonts w:ascii="Arial" w:cs="Arial" w:eastAsia="Arial" w:hAnsi="Arial"/>
          <w:b/>
          <w:bCs/>
          <w:lang w:val="ar-SA" w:bidi="ar-SA"/>
        </w:rPr>
        <w:t xml:space="preserve">ثالثًا: مراجعة الأدبيات (الإطار النظري)</w:t>
      </w:r>
    </w:p>
    <w:p>
      <w:pPr>
        <w:bidi/>
        <w:spacing w:after="200" w:line="360"/>
        <w:jc w:val="right"/>
      </w:pPr>
      <w:r>
        <w:rPr>
          <w:rFonts w:ascii="Arial" w:cs="Arial" w:eastAsia="Arial" w:hAnsi="Arial"/>
          <w:b/>
          <w:bCs/>
          <w:sz w:val="22"/>
          <w:szCs w:val="22"/>
          <w:lang w:val="ar-SA" w:bidi="ar-SA"/>
        </w:rPr>
        <w:t xml:space="preserve">أ. مفهوم إدارة الجودة الشاملة في التعليم العالي:</w:t>
      </w:r>
    </w:p>
    <w:p>
      <w:pPr>
        <w:bidi/>
        <w:spacing w:after="200" w:line="360"/>
        <w:jc w:val="right"/>
      </w:pPr>
      <w:r>
        <w:rPr>
          <w:rFonts w:ascii="Arial" w:cs="Arial" w:eastAsia="Arial" w:hAnsi="Arial"/>
          <w:b w:val="false"/>
          <w:bCs w:val="false"/>
          <w:sz w:val="22"/>
          <w:szCs w:val="22"/>
          <w:lang w:val="ar-SA" w:bidi="ar-SA"/>
        </w:rPr>
        <w:t xml:space="preserve">تُعرَّف إدارة الجودة الشاملة في التعليم العالي بأنها منهجية إدارية متكاملة تستهدف التحسين المستمر في جميع العمليات والخدمات. وأكد Sallis (2014) أن تطبيقها يتطلب التزامًا من القيادة العليا وتمكين العاملين والتركيز على متطلبات المستفيدين.</w:t>
      </w:r>
    </w:p>
    <w:p>
      <w:pPr>
        <w:bidi/>
        <w:spacing w:after="200" w:line="360"/>
        <w:jc w:val="right"/>
      </w:pPr>
      <w:r>
        <w:rPr>
          <w:rFonts w:ascii="Arial" w:cs="Arial" w:eastAsia="Arial" w:hAnsi="Arial"/>
          <w:b/>
          <w:bCs/>
          <w:sz w:val="22"/>
          <w:szCs w:val="22"/>
          <w:lang w:val="ar-SA" w:bidi="ar-SA"/>
        </w:rPr>
        <w:t xml:space="preserve">ب. رضا الطالب كمؤشر للجودة:</w:t>
      </w:r>
    </w:p>
    <w:p>
      <w:pPr>
        <w:bidi/>
        <w:spacing w:after="200" w:line="360"/>
        <w:jc w:val="right"/>
      </w:pPr>
      <w:r>
        <w:rPr>
          <w:rFonts w:ascii="Arial" w:cs="Arial" w:eastAsia="Arial" w:hAnsi="Arial"/>
          <w:b w:val="false"/>
          <w:bCs w:val="false"/>
          <w:sz w:val="22"/>
          <w:szCs w:val="22"/>
          <w:lang w:val="ar-SA" w:bidi="ar-SA"/>
        </w:rPr>
        <w:t xml:space="preserve">أثبتت دراسة Elliott &amp; Shin (2002) أن رضا الطالب مؤشر متعدد الأبعاد يشمل جودة التدريس والخدمات الإدارية والمرافق والبيئة الأكاديمية. وتوصلت دراسة Al-Alawi &amp; Al-Ali (2020) في السياق الخليجي إلى وجود علاقة إيجابية قوية بين تطبيق معايير الجودة الشاملة ورضا الطالب. كما طوّر Parasuraman et al. (1988) نموذج SERVQUAL الذي يقيس خمسة أبعاد للجودة: الاعتمادية، الضمان، الملموسية، التعاطف، والاستجابة.</w:t>
      </w:r>
    </w:p>
    <w:p>
      <w:pPr>
        <w:bidi/>
        <w:spacing w:after="200" w:line="360"/>
        <w:jc w:val="right"/>
      </w:pPr>
      <w:r>
        <w:rPr>
          <w:rFonts w:ascii="Arial" w:cs="Arial" w:eastAsia="Arial" w:hAnsi="Arial"/>
          <w:b/>
          <w:bCs/>
          <w:sz w:val="22"/>
          <w:szCs w:val="22"/>
          <w:lang w:val="ar-SA" w:bidi="ar-SA"/>
        </w:rPr>
        <w:t xml:space="preserve">ج. الفجوة البحثية:</w:t>
      </w:r>
    </w:p>
    <w:p>
      <w:pPr>
        <w:bidi/>
        <w:spacing w:after="200" w:line="360"/>
        <w:jc w:val="right"/>
      </w:pPr>
      <w:r>
        <w:rPr>
          <w:rFonts w:ascii="Arial" w:cs="Arial" w:eastAsia="Arial" w:hAnsi="Arial"/>
          <w:b w:val="false"/>
          <w:bCs w:val="false"/>
          <w:sz w:val="22"/>
          <w:szCs w:val="22"/>
          <w:lang w:val="ar-SA" w:bidi="ar-SA"/>
        </w:rPr>
        <w:t xml:space="preserve">تبقى الدراسات المتعلقة بالسياق المؤسسي لجامعات جزر القمر شحيحة، ويسعى هذا البحث إلى سد هذه الفجوة من خلال دراسة ميدانية تُجمع بياناتها عن بُعد عبر استبيان إلكتروني، نظرًا لتواجد الباحثة خارج جزر القمر.</w:t>
      </w:r>
    </w:p>
    <w:p>
      <w:pPr>
        <w:pStyle w:val="Heading1"/>
        <w:bidi/>
        <w:spacing w:after="150" w:before="300"/>
        <w:jc w:val="right"/>
      </w:pPr>
      <w:r>
        <w:rPr>
          <w:rFonts w:ascii="Arial" w:cs="Arial" w:eastAsia="Arial" w:hAnsi="Arial"/>
          <w:b/>
          <w:bCs/>
          <w:lang w:val="ar-SA" w:bidi="ar-SA"/>
        </w:rPr>
        <w:t xml:space="preserve">رابعًا: منهجية البحث</w:t>
      </w:r>
    </w:p>
    <w:p>
      <w:pPr>
        <w:bidi/>
        <w:spacing w:after="200" w:line="360"/>
        <w:jc w:val="right"/>
      </w:pPr>
      <w:r>
        <w:rPr>
          <w:rFonts w:ascii="Arial" w:cs="Arial" w:eastAsia="Arial" w:hAnsi="Arial"/>
          <w:b/>
          <w:bCs/>
          <w:sz w:val="22"/>
          <w:szCs w:val="22"/>
          <w:lang w:val="ar-SA" w:bidi="ar-SA"/>
        </w:rPr>
        <w:t xml:space="preserve">المنهجية: بحث كمي (Quantitative Research) باستخدام أسلوب المسح الإلكتروني (Online Survey)، حيث سيُوزَّع الاستبيان عبر منصة إلكترونية (مثل Google Forms) نظرًا لتواجد الباحثة في المملكة العربية السعودية وعدم إمكانية التواجد الميداني في جزر القمر.</w:t>
      </w:r>
    </w:p>
    <w:p>
      <w:pPr>
        <w:bidi/>
        <w:spacing w:after="200" w:line="360"/>
        <w:jc w:val="right"/>
      </w:pPr>
      <w:r>
        <w:rPr>
          <w:rFonts w:ascii="Arial" w:cs="Arial" w:eastAsia="Arial" w:hAnsi="Arial"/>
          <w:b/>
          <w:bCs/>
          <w:sz w:val="22"/>
          <w:szCs w:val="22"/>
          <w:lang w:val="ar-SA" w:bidi="ar-SA"/>
        </w:rPr>
        <w:t xml:space="preserve">أداة البحث: استبيان إلكتروني مغلق مقسّم إلى محورين، يُرسَل رابطه للطلاب عبر البريد الإلكتروني الجامعي أو وسائل التواصل الرسمية للجامعة:</w:t>
      </w:r>
    </w:p>
    <w:p>
      <w:pPr>
        <w:bidi/>
        <w:spacing w:after="140" w:line="360"/>
        <w:jc w:val="right"/>
      </w:pPr>
      <w:r>
        <w:rPr>
          <w:rFonts w:ascii="Arial" w:cs="Arial" w:eastAsia="Arial" w:hAnsi="Arial"/>
          <w:sz w:val="22"/>
          <w:szCs w:val="22"/>
          <w:lang w:val="ar-SA" w:bidi="ar-SA"/>
        </w:rPr>
        <w:t xml:space="preserve">• المحور الأول: قياس مستوى تطبيق معايير الجودة الشاملة (20 فقرة وفق مقياس ليكرت الخماسي).</w:t>
      </w:r>
    </w:p>
    <w:p>
      <w:pPr>
        <w:bidi/>
        <w:spacing w:after="140" w:line="360"/>
        <w:jc w:val="right"/>
      </w:pPr>
      <w:r>
        <w:rPr>
          <w:rFonts w:ascii="Arial" w:cs="Arial" w:eastAsia="Arial" w:hAnsi="Arial"/>
          <w:sz w:val="22"/>
          <w:szCs w:val="22"/>
          <w:lang w:val="ar-SA" w:bidi="ar-SA"/>
        </w:rPr>
        <w:t xml:space="preserve">• المحور الثاني: قياس مستوى رضا الطالب عن الخدمات الجامعية (15 فقرة وفق مقياس ليكرت الخماسي).</w:t>
      </w:r>
    </w:p>
    <w:p>
      <w:pPr>
        <w:bidi/>
        <w:spacing w:after="200" w:line="360"/>
        <w:jc w:val="right"/>
      </w:pPr>
      <w:r>
        <w:rPr>
          <w:rFonts w:ascii="Arial" w:cs="Arial" w:eastAsia="Arial" w:hAnsi="Arial"/>
          <w:b/>
          <w:bCs/>
          <w:sz w:val="22"/>
          <w:szCs w:val="22"/>
          <w:lang w:val="ar-SA" w:bidi="ar-SA"/>
        </w:rPr>
        <w:t xml:space="preserve">أسلوب التحليل: برنامج SPSS – الإحصاء الوصفي، معامل ارتباط بيرسون، تحليل الانحدار البسيط.</w:t>
      </w:r>
    </w:p>
    <w:p>
      <w:pPr>
        <w:pStyle w:val="Heading1"/>
        <w:bidi/>
        <w:spacing w:after="150" w:before="300"/>
        <w:jc w:val="right"/>
      </w:pPr>
      <w:r>
        <w:rPr>
          <w:rFonts w:ascii="Arial" w:cs="Arial" w:eastAsia="Arial" w:hAnsi="Arial"/>
          <w:b/>
          <w:bCs/>
          <w:lang w:val="ar-SA" w:bidi="ar-SA"/>
        </w:rPr>
        <w:t xml:space="preserve">خامسًا: العينة وحدود البحث</w:t>
      </w:r>
    </w:p>
    <w:p>
      <w:pPr>
        <w:bidi/>
        <w:spacing w:after="140" w:line="360"/>
        <w:jc w:val="right"/>
      </w:pPr>
      <w:r>
        <w:rPr>
          <w:rFonts w:ascii="Arial" w:cs="Arial" w:eastAsia="Arial" w:hAnsi="Arial"/>
          <w:sz w:val="22"/>
          <w:szCs w:val="22"/>
          <w:lang w:val="ar-SA" w:bidi="ar-SA"/>
        </w:rPr>
        <w:t xml:space="preserve">• مجتمع الدراسة: جميع الطلاب المسجلين في جامعة ميد أوشن للعام الدراسي 2025-2026.</w:t>
      </w:r>
    </w:p>
    <w:p>
      <w:pPr>
        <w:bidi/>
        <w:spacing w:after="140" w:line="360"/>
        <w:jc w:val="right"/>
      </w:pPr>
      <w:r>
        <w:rPr>
          <w:rFonts w:ascii="Arial" w:cs="Arial" w:eastAsia="Arial" w:hAnsi="Arial"/>
          <w:sz w:val="22"/>
          <w:szCs w:val="22"/>
          <w:lang w:val="ar-SA" w:bidi="ar-SA"/>
        </w:rPr>
        <w:t xml:space="preserve">• نوع العينة: عينة طبقية عشوائية (Stratified Random Sampling).</w:t>
      </w:r>
    </w:p>
    <w:p>
      <w:pPr>
        <w:bidi/>
        <w:spacing w:after="140" w:line="360"/>
        <w:jc w:val="right"/>
      </w:pPr>
      <w:r>
        <w:rPr>
          <w:rFonts w:ascii="Arial" w:cs="Arial" w:eastAsia="Arial" w:hAnsi="Arial"/>
          <w:sz w:val="22"/>
          <w:szCs w:val="22"/>
          <w:lang w:val="ar-SA" w:bidi="ar-SA"/>
        </w:rPr>
        <w:t xml:space="preserve">• الحجم التقديري: 150-200 طالب وطالبة.</w:t>
      </w:r>
    </w:p>
    <w:p>
      <w:pPr>
        <w:bidi/>
        <w:spacing w:after="140" w:line="360"/>
        <w:jc w:val="right"/>
      </w:pPr>
      <w:r>
        <w:rPr>
          <w:rFonts w:ascii="Arial" w:cs="Arial" w:eastAsia="Arial" w:hAnsi="Arial"/>
          <w:sz w:val="22"/>
          <w:szCs w:val="22"/>
          <w:lang w:val="ar-SA" w:bidi="ar-SA"/>
        </w:rPr>
        <w:t xml:space="preserve">• الحدود المكانية: جامعة ميد أوشن – جزر القمر.</w:t>
      </w:r>
    </w:p>
    <w:p>
      <w:pPr>
        <w:bidi/>
        <w:spacing w:after="140" w:line="360"/>
        <w:jc w:val="right"/>
      </w:pPr>
      <w:r>
        <w:rPr>
          <w:rFonts w:ascii="Arial" w:cs="Arial" w:eastAsia="Arial" w:hAnsi="Arial"/>
          <w:sz w:val="22"/>
          <w:szCs w:val="22"/>
          <w:lang w:val="ar-SA" w:bidi="ar-SA"/>
        </w:rPr>
        <w:t xml:space="preserve">• الحدود الزمنية: الفصل الدراسي الثاني 2026.</w:t>
      </w:r>
    </w:p>
    <w:p>
      <w:pPr>
        <w:bidi/>
        <w:spacing w:after="140" w:line="360"/>
        <w:jc w:val="right"/>
      </w:pPr>
      <w:r>
        <w:rPr>
          <w:rFonts w:ascii="Arial" w:cs="Arial" w:eastAsia="Arial" w:hAnsi="Arial"/>
          <w:sz w:val="22"/>
          <w:szCs w:val="22"/>
          <w:lang w:val="ar-SA" w:bidi="ar-SA"/>
        </w:rPr>
        <w:t xml:space="preserve">• الحدود الموضوعية: الخدمات الأكاديمية والإدارية والمرافق الجامعية.</w:t>
      </w:r>
    </w:p>
    <w:p>
      <w:pPr>
        <w:pStyle w:val="Heading1"/>
        <w:bidi/>
        <w:spacing w:after="150" w:before="300"/>
        <w:jc w:val="right"/>
      </w:pPr>
      <w:r>
        <w:rPr>
          <w:rFonts w:ascii="Arial" w:cs="Arial" w:eastAsia="Arial" w:hAnsi="Arial"/>
          <w:b/>
          <w:bCs/>
          <w:lang w:val="ar-SA" w:bidi="ar-SA"/>
        </w:rPr>
        <w:t xml:space="preserve">سادسًا: الاعتبارات الأخلاقية</w:t>
      </w:r>
    </w:p>
    <w:p>
      <w:pPr>
        <w:bidi/>
        <w:spacing w:after="140" w:line="360"/>
        <w:jc w:val="right"/>
      </w:pPr>
      <w:r>
        <w:rPr>
          <w:rFonts w:ascii="Arial" w:cs="Arial" w:eastAsia="Arial" w:hAnsi="Arial"/>
          <w:sz w:val="22"/>
          <w:szCs w:val="22"/>
          <w:lang w:val="ar-SA" w:bidi="ar-SA"/>
        </w:rPr>
        <w:t xml:space="preserve">• الموافقة المسبقة: إبلاغ المشاركين بأهداف الدراسة والحصول على موافقتهم.</w:t>
      </w:r>
    </w:p>
    <w:p>
      <w:pPr>
        <w:bidi/>
        <w:spacing w:after="140" w:line="360"/>
        <w:jc w:val="right"/>
      </w:pPr>
      <w:r>
        <w:rPr>
          <w:rFonts w:ascii="Arial" w:cs="Arial" w:eastAsia="Arial" w:hAnsi="Arial"/>
          <w:sz w:val="22"/>
          <w:szCs w:val="22"/>
          <w:lang w:val="ar-SA" w:bidi="ar-SA"/>
        </w:rPr>
        <w:t xml:space="preserve">• السرية والخصوصية: معالجة البيانات بسرية تامة ولأغراض البحث العلمي فقط.</w:t>
      </w:r>
    </w:p>
    <w:p>
      <w:pPr>
        <w:bidi/>
        <w:spacing w:after="140" w:line="360"/>
        <w:jc w:val="right"/>
      </w:pPr>
      <w:r>
        <w:rPr>
          <w:rFonts w:ascii="Arial" w:cs="Arial" w:eastAsia="Arial" w:hAnsi="Arial"/>
          <w:sz w:val="22"/>
          <w:szCs w:val="22"/>
          <w:lang w:val="ar-SA" w:bidi="ar-SA"/>
        </w:rPr>
        <w:t xml:space="preserve">• الطوعية: المشاركة طوعية وللمشارك حق الانسحاب في أي وقت.</w:t>
      </w:r>
    </w:p>
    <w:p>
      <w:pPr>
        <w:bidi/>
        <w:spacing w:after="140" w:line="360"/>
        <w:jc w:val="right"/>
      </w:pPr>
      <w:r>
        <w:rPr>
          <w:rFonts w:ascii="Arial" w:cs="Arial" w:eastAsia="Arial" w:hAnsi="Arial"/>
          <w:sz w:val="22"/>
          <w:szCs w:val="22"/>
          <w:lang w:val="ar-SA" w:bidi="ar-SA"/>
        </w:rPr>
        <w:t xml:space="preserve">• الأمانة العلمية: توثيق جميع المصادر وتجنّب الانتحال.</w:t>
      </w:r>
    </w:p>
    <w:p>
      <w:pPr>
        <w:pStyle w:val="Heading1"/>
        <w:bidi/>
        <w:spacing w:after="150" w:before="300"/>
        <w:jc w:val="right"/>
      </w:pPr>
      <w:r>
        <w:rPr>
          <w:rFonts w:ascii="Arial" w:cs="Arial" w:eastAsia="Arial" w:hAnsi="Arial"/>
          <w:b/>
          <w:bCs/>
          <w:lang w:val="ar-SA" w:bidi="ar-SA"/>
        </w:rPr>
        <w:t xml:space="preserve">سابعًا: الجدول الزمني للتنفيذ</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4500"/>
        <w:gridCol w:w="1500"/>
      </w:tblGrid>
      <w:tr>
        <w:tc>
          <w:tcPr>
            <w:tcW w:type="dxa" w:w="3000"/>
            <w:shd w:fill="D9E2F3" w:val="clear"/>
          </w:tcPr>
          <w:p>
            <w:pPr>
              <w:bidi/>
              <w:jc w:val="right"/>
            </w:pPr>
            <w:r>
              <w:rPr>
                <w:rFonts w:ascii="Arial" w:cs="Arial" w:eastAsia="Arial" w:hAnsi="Arial"/>
                <w:b/>
                <w:bCs/>
                <w:sz w:val="24"/>
                <w:szCs w:val="24"/>
                <w:lang w:val="ar-SA" w:bidi="ar-SA"/>
              </w:rPr>
              <w:t xml:space="preserve">المرحلة</w:t>
            </w:r>
          </w:p>
        </w:tc>
        <w:tc>
          <w:tcPr>
            <w:tcW w:type="dxa" w:w="3000"/>
            <w:shd w:fill="D9E2F3" w:val="clear"/>
          </w:tcPr>
          <w:p>
            <w:pPr>
              <w:bidi/>
              <w:jc w:val="right"/>
            </w:pPr>
            <w:r>
              <w:rPr>
                <w:rFonts w:ascii="Arial" w:cs="Arial" w:eastAsia="Arial" w:hAnsi="Arial"/>
                <w:b/>
                <w:bCs/>
                <w:sz w:val="24"/>
                <w:szCs w:val="24"/>
                <w:lang w:val="ar-SA" w:bidi="ar-SA"/>
              </w:rPr>
              <w:t xml:space="preserve">النشاط</w:t>
            </w:r>
          </w:p>
        </w:tc>
        <w:tc>
          <w:tcPr>
            <w:tcW w:type="dxa" w:w="3000"/>
            <w:shd w:fill="D9E2F3" w:val="clear"/>
          </w:tcPr>
          <w:p>
            <w:pPr>
              <w:bidi/>
              <w:jc w:val="right"/>
            </w:pPr>
            <w:r>
              <w:rPr>
                <w:rFonts w:ascii="Arial" w:cs="Arial" w:eastAsia="Arial" w:hAnsi="Arial"/>
                <w:b/>
                <w:bCs/>
                <w:sz w:val="24"/>
                <w:szCs w:val="24"/>
                <w:lang w:val="ar-SA" w:bidi="ar-SA"/>
              </w:rPr>
              <w:t xml:space="preserve">المدة</w:t>
            </w:r>
          </w:p>
        </w:tc>
      </w:tr>
      <w:tr>
        <w:tc>
          <w:tcPr>
            <w:tcW w:type="dxa" w:w="3000"/>
          </w:tcPr>
          <w:p>
            <w:pPr>
              <w:bidi/>
              <w:jc w:val="right"/>
            </w:pPr>
            <w:r>
              <w:rPr>
                <w:rFonts w:ascii="Arial" w:cs="Arial" w:eastAsia="Arial" w:hAnsi="Arial"/>
                <w:b w:val="false"/>
                <w:bCs w:val="false"/>
                <w:sz w:val="24"/>
                <w:szCs w:val="24"/>
                <w:lang w:val="ar-SA" w:bidi="ar-SA"/>
              </w:rPr>
              <w:t xml:space="preserve">المرحلة الأولى: التخطيط</w:t>
            </w:r>
          </w:p>
        </w:tc>
        <w:tc>
          <w:tcPr>
            <w:tcW w:type="dxa" w:w="3000"/>
          </w:tcPr>
          <w:p>
            <w:pPr>
              <w:bidi/>
              <w:jc w:val="right"/>
            </w:pPr>
            <w:r>
              <w:rPr>
                <w:rFonts w:ascii="Arial" w:cs="Arial" w:eastAsia="Arial" w:hAnsi="Arial"/>
                <w:b w:val="false"/>
                <w:bCs w:val="false"/>
                <w:sz w:val="24"/>
                <w:szCs w:val="24"/>
                <w:lang w:val="ar-SA" w:bidi="ar-SA"/>
              </w:rPr>
              <w:t xml:space="preserve">مراجعة الأدبيات وبناء الاستبيان</w:t>
            </w:r>
          </w:p>
        </w:tc>
        <w:tc>
          <w:tcPr>
            <w:tcW w:type="dxa" w:w="3000"/>
          </w:tcPr>
          <w:p>
            <w:pPr>
              <w:bidi/>
              <w:jc w:val="right"/>
            </w:pPr>
            <w:r>
              <w:rPr>
                <w:rFonts w:ascii="Arial" w:cs="Arial" w:eastAsia="Arial" w:hAnsi="Arial"/>
                <w:b w:val="false"/>
                <w:bCs w:val="false"/>
                <w:sz w:val="24"/>
                <w:szCs w:val="24"/>
                <w:lang w:val="ar-SA" w:bidi="ar-SA"/>
              </w:rPr>
              <w:t xml:space="preserve">أسبوعان</w:t>
            </w:r>
          </w:p>
        </w:tc>
      </w:tr>
      <w:tr>
        <w:tc>
          <w:tcPr>
            <w:tcW w:type="dxa" w:w="3000"/>
          </w:tcPr>
          <w:p>
            <w:pPr>
              <w:bidi/>
              <w:jc w:val="right"/>
            </w:pPr>
            <w:r>
              <w:rPr>
                <w:rFonts w:ascii="Arial" w:cs="Arial" w:eastAsia="Arial" w:hAnsi="Arial"/>
                <w:b w:val="false"/>
                <w:bCs w:val="false"/>
                <w:sz w:val="24"/>
                <w:szCs w:val="24"/>
                <w:lang w:val="ar-SA" w:bidi="ar-SA"/>
              </w:rPr>
              <w:t xml:space="preserve">المرحلة الثانية: اختبار الأداة</w:t>
            </w:r>
          </w:p>
        </w:tc>
        <w:tc>
          <w:tcPr>
            <w:tcW w:type="dxa" w:w="3000"/>
          </w:tcPr>
          <w:p>
            <w:pPr>
              <w:bidi/>
              <w:jc w:val="right"/>
            </w:pPr>
            <w:r>
              <w:rPr>
                <w:rFonts w:ascii="Arial" w:cs="Arial" w:eastAsia="Arial" w:hAnsi="Arial"/>
                <w:b w:val="false"/>
                <w:bCs w:val="false"/>
                <w:sz w:val="24"/>
                <w:szCs w:val="24"/>
                <w:lang w:val="ar-SA" w:bidi="ar-SA"/>
              </w:rPr>
              <w:t xml:space="preserve">اختبار الاستبيان (Pilot Test)</w:t>
            </w:r>
          </w:p>
        </w:tc>
        <w:tc>
          <w:tcPr>
            <w:tcW w:type="dxa" w:w="3000"/>
          </w:tcPr>
          <w:p>
            <w:pPr>
              <w:bidi/>
              <w:jc w:val="right"/>
            </w:pPr>
            <w:r>
              <w:rPr>
                <w:rFonts w:ascii="Arial" w:cs="Arial" w:eastAsia="Arial" w:hAnsi="Arial"/>
                <w:b w:val="false"/>
                <w:bCs w:val="false"/>
                <w:sz w:val="24"/>
                <w:szCs w:val="24"/>
                <w:lang w:val="ar-SA" w:bidi="ar-SA"/>
              </w:rPr>
              <w:t xml:space="preserve">أسبوع</w:t>
            </w:r>
          </w:p>
        </w:tc>
      </w:tr>
      <w:tr>
        <w:tc>
          <w:tcPr>
            <w:tcW w:type="dxa" w:w="3000"/>
          </w:tcPr>
          <w:p>
            <w:pPr>
              <w:bidi/>
              <w:jc w:val="right"/>
            </w:pPr>
            <w:r>
              <w:rPr>
                <w:rFonts w:ascii="Arial" w:cs="Arial" w:eastAsia="Arial" w:hAnsi="Arial"/>
                <w:b w:val="false"/>
                <w:bCs w:val="false"/>
                <w:sz w:val="24"/>
                <w:szCs w:val="24"/>
                <w:lang w:val="ar-SA" w:bidi="ar-SA"/>
              </w:rPr>
              <w:t xml:space="preserve">المرحلة الثالثة: جمع البيانات</w:t>
            </w:r>
          </w:p>
        </w:tc>
        <w:tc>
          <w:tcPr>
            <w:tcW w:type="dxa" w:w="3000"/>
          </w:tcPr>
          <w:p>
            <w:pPr>
              <w:bidi/>
              <w:jc w:val="right"/>
            </w:pPr>
            <w:r>
              <w:rPr>
                <w:rFonts w:ascii="Arial" w:cs="Arial" w:eastAsia="Arial" w:hAnsi="Arial"/>
                <w:b w:val="false"/>
                <w:bCs w:val="false"/>
                <w:sz w:val="24"/>
                <w:szCs w:val="24"/>
                <w:lang w:val="ar-SA" w:bidi="ar-SA"/>
              </w:rPr>
              <w:t xml:space="preserve">توزيع الاستبيان إلكترونيًا وجمع البيانات عن بُعد</w:t>
            </w:r>
          </w:p>
        </w:tc>
        <w:tc>
          <w:tcPr>
            <w:tcW w:type="dxa" w:w="3000"/>
          </w:tcPr>
          <w:p>
            <w:pPr>
              <w:bidi/>
              <w:jc w:val="right"/>
            </w:pPr>
            <w:r>
              <w:rPr>
                <w:rFonts w:ascii="Arial" w:cs="Arial" w:eastAsia="Arial" w:hAnsi="Arial"/>
                <w:b w:val="false"/>
                <w:bCs w:val="false"/>
                <w:sz w:val="24"/>
                <w:szCs w:val="24"/>
                <w:lang w:val="ar-SA" w:bidi="ar-SA"/>
              </w:rPr>
              <w:t xml:space="preserve">شهر</w:t>
            </w:r>
          </w:p>
        </w:tc>
      </w:tr>
      <w:tr>
        <w:tc>
          <w:tcPr>
            <w:tcW w:type="dxa" w:w="3000"/>
          </w:tcPr>
          <w:p>
            <w:pPr>
              <w:bidi/>
              <w:jc w:val="right"/>
            </w:pPr>
            <w:r>
              <w:rPr>
                <w:rFonts w:ascii="Arial" w:cs="Arial" w:eastAsia="Arial" w:hAnsi="Arial"/>
                <w:b w:val="false"/>
                <w:bCs w:val="false"/>
                <w:sz w:val="24"/>
                <w:szCs w:val="24"/>
                <w:lang w:val="ar-SA" w:bidi="ar-SA"/>
              </w:rPr>
              <w:t xml:space="preserve">المرحلة الرابعة: التحليل</w:t>
            </w:r>
          </w:p>
        </w:tc>
        <w:tc>
          <w:tcPr>
            <w:tcW w:type="dxa" w:w="3000"/>
          </w:tcPr>
          <w:p>
            <w:pPr>
              <w:bidi/>
              <w:jc w:val="right"/>
            </w:pPr>
            <w:r>
              <w:rPr>
                <w:rFonts w:ascii="Arial" w:cs="Arial" w:eastAsia="Arial" w:hAnsi="Arial"/>
                <w:b w:val="false"/>
                <w:bCs w:val="false"/>
                <w:sz w:val="24"/>
                <w:szCs w:val="24"/>
                <w:lang w:val="ar-SA" w:bidi="ar-SA"/>
              </w:rPr>
              <w:t xml:space="preserve">تحليل البيانات باستخدام SPSS</w:t>
            </w:r>
          </w:p>
        </w:tc>
        <w:tc>
          <w:tcPr>
            <w:tcW w:type="dxa" w:w="3000"/>
          </w:tcPr>
          <w:p>
            <w:pPr>
              <w:bidi/>
              <w:jc w:val="right"/>
            </w:pPr>
            <w:r>
              <w:rPr>
                <w:rFonts w:ascii="Arial" w:cs="Arial" w:eastAsia="Arial" w:hAnsi="Arial"/>
                <w:b w:val="false"/>
                <w:bCs w:val="false"/>
                <w:sz w:val="24"/>
                <w:szCs w:val="24"/>
                <w:lang w:val="ar-SA" w:bidi="ar-SA"/>
              </w:rPr>
              <w:t xml:space="preserve">أسبوعان</w:t>
            </w:r>
          </w:p>
        </w:tc>
      </w:tr>
      <w:tr>
        <w:tc>
          <w:tcPr>
            <w:tcW w:type="dxa" w:w="3000"/>
          </w:tcPr>
          <w:p>
            <w:pPr>
              <w:bidi/>
              <w:jc w:val="right"/>
            </w:pPr>
            <w:r>
              <w:rPr>
                <w:rFonts w:ascii="Arial" w:cs="Arial" w:eastAsia="Arial" w:hAnsi="Arial"/>
                <w:b w:val="false"/>
                <w:bCs w:val="false"/>
                <w:sz w:val="24"/>
                <w:szCs w:val="24"/>
                <w:lang w:val="ar-SA" w:bidi="ar-SA"/>
              </w:rPr>
              <w:t xml:space="preserve">المرحلة الخامسة: الكتابة</w:t>
            </w:r>
          </w:p>
        </w:tc>
        <w:tc>
          <w:tcPr>
            <w:tcW w:type="dxa" w:w="3000"/>
          </w:tcPr>
          <w:p>
            <w:pPr>
              <w:bidi/>
              <w:jc w:val="right"/>
            </w:pPr>
            <w:r>
              <w:rPr>
                <w:rFonts w:ascii="Arial" w:cs="Arial" w:eastAsia="Arial" w:hAnsi="Arial"/>
                <w:b w:val="false"/>
                <w:bCs w:val="false"/>
                <w:sz w:val="24"/>
                <w:szCs w:val="24"/>
                <w:lang w:val="ar-SA" w:bidi="ar-SA"/>
              </w:rPr>
              <w:t xml:space="preserve">كتابة النتائج والتوصيات</w:t>
            </w:r>
          </w:p>
        </w:tc>
        <w:tc>
          <w:tcPr>
            <w:tcW w:type="dxa" w:w="3000"/>
          </w:tcPr>
          <w:p>
            <w:pPr>
              <w:bidi/>
              <w:jc w:val="right"/>
            </w:pPr>
            <w:r>
              <w:rPr>
                <w:rFonts w:ascii="Arial" w:cs="Arial" w:eastAsia="Arial" w:hAnsi="Arial"/>
                <w:b w:val="false"/>
                <w:bCs w:val="false"/>
                <w:sz w:val="24"/>
                <w:szCs w:val="24"/>
                <w:lang w:val="ar-SA" w:bidi="ar-SA"/>
              </w:rPr>
              <w:t xml:space="preserve">أسبوعان</w:t>
            </w:r>
          </w:p>
        </w:tc>
      </w:tr>
      <w:tr>
        <w:tc>
          <w:tcPr>
            <w:tcW w:type="dxa" w:w="3000"/>
          </w:tcPr>
          <w:p>
            <w:pPr>
              <w:bidi/>
              <w:jc w:val="right"/>
            </w:pPr>
            <w:r>
              <w:rPr>
                <w:rFonts w:ascii="Arial" w:cs="Arial" w:eastAsia="Arial" w:hAnsi="Arial"/>
                <w:b w:val="false"/>
                <w:bCs w:val="false"/>
                <w:sz w:val="24"/>
                <w:szCs w:val="24"/>
                <w:lang w:val="ar-SA" w:bidi="ar-SA"/>
              </w:rPr>
              <w:t xml:space="preserve">المرحلة السادسة: التسليم</w:t>
            </w:r>
          </w:p>
        </w:tc>
        <w:tc>
          <w:tcPr>
            <w:tcW w:type="dxa" w:w="3000"/>
          </w:tcPr>
          <w:p>
            <w:pPr>
              <w:bidi/>
              <w:jc w:val="right"/>
            </w:pPr>
            <w:r>
              <w:rPr>
                <w:rFonts w:ascii="Arial" w:cs="Arial" w:eastAsia="Arial" w:hAnsi="Arial"/>
                <w:b w:val="false"/>
                <w:bCs w:val="false"/>
                <w:sz w:val="24"/>
                <w:szCs w:val="24"/>
                <w:lang w:val="ar-SA" w:bidi="ar-SA"/>
              </w:rPr>
              <w:t xml:space="preserve">المراجعة النهائية والتسليم</w:t>
            </w:r>
          </w:p>
        </w:tc>
        <w:tc>
          <w:tcPr>
            <w:tcW w:type="dxa" w:w="3000"/>
          </w:tcPr>
          <w:p>
            <w:pPr>
              <w:bidi/>
              <w:jc w:val="right"/>
            </w:pPr>
            <w:r>
              <w:rPr>
                <w:rFonts w:ascii="Arial" w:cs="Arial" w:eastAsia="Arial" w:hAnsi="Arial"/>
                <w:b w:val="false"/>
                <w:bCs w:val="false"/>
                <w:sz w:val="24"/>
                <w:szCs w:val="24"/>
                <w:lang w:val="ar-SA" w:bidi="ar-SA"/>
              </w:rPr>
              <w:t xml:space="preserve">أسبوع</w:t>
            </w:r>
          </w:p>
        </w:tc>
      </w:tr>
    </w:tbl>
    <w:p>
      <w:pPr>
        <w:spacing w:before="200"/>
      </w:pPr>
    </w:p>
    <w:p>
      <w:pPr>
        <w:pStyle w:val="Heading1"/>
        <w:bidi/>
        <w:spacing w:after="150" w:before="300"/>
        <w:jc w:val="right"/>
      </w:pPr>
      <w:r>
        <w:rPr>
          <w:rFonts w:ascii="Arial" w:cs="Arial" w:eastAsia="Arial" w:hAnsi="Arial"/>
          <w:b/>
          <w:bCs/>
          <w:lang w:val="ar-SA" w:bidi="ar-SA"/>
        </w:rPr>
        <w:t xml:space="preserve">ثامنًا: قائمة المراجع (APA)</w:t>
      </w:r>
    </w:p>
    <w:p>
      <w:pPr>
        <w:bidi/>
        <w:spacing w:after="200" w:line="360"/>
        <w:jc w:val="right"/>
      </w:pPr>
      <w:r>
        <w:rPr>
          <w:rFonts w:ascii="Arial" w:cs="Arial" w:eastAsia="Arial" w:hAnsi="Arial"/>
          <w:b w:val="false"/>
          <w:bCs w:val="false"/>
          <w:sz w:val="22"/>
          <w:szCs w:val="22"/>
          <w:lang w:val="ar-SA" w:bidi="ar-SA"/>
        </w:rPr>
        <w:t xml:space="preserve">Al-Alawi, A., &amp; Al-Ali, M. (2020). TQM practices and student satisfaction in GCC universities. International Journal of Educational Management, 34(5), 845–860.</w:t>
      </w:r>
    </w:p>
    <w:p>
      <w:pPr>
        <w:bidi/>
        <w:spacing w:after="200" w:line="360"/>
        <w:jc w:val="right"/>
      </w:pPr>
      <w:r>
        <w:rPr>
          <w:rFonts w:ascii="Arial" w:cs="Arial" w:eastAsia="Arial" w:hAnsi="Arial"/>
          <w:b w:val="false"/>
          <w:bCs w:val="false"/>
          <w:sz w:val="22"/>
          <w:szCs w:val="22"/>
          <w:lang w:val="ar-SA" w:bidi="ar-SA"/>
        </w:rPr>
        <w:t xml:space="preserve">Cheng, Y. C., &amp; Tam, W. M. (1997). Multi-models of quality in education. Quality Assurance in Education, 5(1), 22–31.</w:t>
      </w:r>
    </w:p>
    <w:p>
      <w:pPr>
        <w:bidi/>
        <w:spacing w:after="200" w:line="360"/>
        <w:jc w:val="right"/>
      </w:pPr>
      <w:r>
        <w:rPr>
          <w:rFonts w:ascii="Arial" w:cs="Arial" w:eastAsia="Arial" w:hAnsi="Arial"/>
          <w:b w:val="false"/>
          <w:bCs w:val="false"/>
          <w:sz w:val="22"/>
          <w:szCs w:val="22"/>
          <w:lang w:val="ar-SA" w:bidi="ar-SA"/>
        </w:rPr>
        <w:t xml:space="preserve">Elliott, K. M., &amp; Shin, D. (2002). Student satisfaction: An alternative approach. Journal of Higher Education Policy and Management, 24(2), 197–209.</w:t>
      </w:r>
    </w:p>
    <w:p>
      <w:pPr>
        <w:bidi/>
        <w:spacing w:after="200" w:line="360"/>
        <w:jc w:val="right"/>
      </w:pPr>
      <w:r>
        <w:rPr>
          <w:rFonts w:ascii="Arial" w:cs="Arial" w:eastAsia="Arial" w:hAnsi="Arial"/>
          <w:b w:val="false"/>
          <w:bCs w:val="false"/>
          <w:sz w:val="22"/>
          <w:szCs w:val="22"/>
          <w:lang w:val="ar-SA" w:bidi="ar-SA"/>
        </w:rPr>
        <w:t xml:space="preserve">Parasuraman, A., Zeithaml, V. A., &amp; Berry, L. L. (1988). SERVQUAL: A multiple-item scale for measuring consumer perceptions of service quality. Journal of Retailing, 64(1), 12–40.</w:t>
      </w:r>
    </w:p>
    <w:p>
      <w:pPr>
        <w:bidi/>
        <w:spacing w:after="200" w:line="360"/>
        <w:jc w:val="right"/>
      </w:pPr>
      <w:r>
        <w:rPr>
          <w:rFonts w:ascii="Arial" w:cs="Arial" w:eastAsia="Arial" w:hAnsi="Arial"/>
          <w:b w:val="false"/>
          <w:bCs w:val="false"/>
          <w:sz w:val="22"/>
          <w:szCs w:val="22"/>
          <w:lang w:val="ar-SA" w:bidi="ar-SA"/>
        </w:rPr>
        <w:t xml:space="preserve">Sallis, E. (2014). Total Quality Management in Education (3rd ed.). Routledge.</w:t>
      </w:r>
    </w:p>
    <w:p>
      <w:r>
        <w:br w:type="page"/>
      </w:r>
    </w:p>
    <w:p>
      <w:pPr>
        <w:sectPr>
          <w:pgSz w:w="12240" w:h="15840" w:orient="portrait"/>
          <w:pgMar w:top="1440" w:right="1440" w:bottom="1440" w:left="1440" w:header="708" w:footer="708" w:gutter="0"/>
          <w:pgNumType/>
          <w:docGrid w:linePitch="360"/>
        </w:sectPr>
      </w:pPr>
    </w:p>
    <w:p>
      <w:pPr>
        <w:spacing w:after="400"/>
        <w:jc w:val="center"/>
      </w:pPr>
      <w:r>
        <w:rPr>
          <w:rFonts w:ascii="Calibri" w:cs="Calibri" w:eastAsia="Calibri" w:hAnsi="Calibri"/>
          <w:b/>
          <w:bCs/>
          <w:sz w:val="30"/>
          <w:szCs w:val="30"/>
          <w:lang w:val="en-US"/>
        </w:rPr>
        <w:t xml:space="preserve">Part Two: Research Proposal in English</w:t>
      </w:r>
    </w:p>
    <w:p>
      <w:pPr>
        <w:pStyle w:val="Heading1"/>
        <w:spacing w:after="150" w:before="300"/>
        <w:jc w:val="left"/>
      </w:pPr>
      <w:r>
        <w:rPr>
          <w:rFonts w:ascii="Calibri" w:cs="Calibri" w:eastAsia="Calibri" w:hAnsi="Calibri"/>
          <w:b/>
          <w:bCs/>
          <w:lang w:val="en-US"/>
        </w:rPr>
        <w:t xml:space="preserve">1. Introduction (Theoretical Framework)</w:t>
      </w:r>
    </w:p>
    <w:p>
      <w:pPr>
        <w:spacing w:after="200" w:line="360"/>
        <w:jc w:val="left"/>
      </w:pPr>
      <w:r>
        <w:rPr>
          <w:rFonts w:ascii="Calibri" w:cs="Calibri" w:eastAsia="Calibri" w:hAnsi="Calibri"/>
          <w:b w:val="false"/>
          <w:bCs w:val="false"/>
          <w:i w:val="false"/>
          <w:iCs w:val="false"/>
          <w:sz w:val="24"/>
          <w:szCs w:val="24"/>
          <w:lang w:val="en-US"/>
        </w:rPr>
        <w:t xml:space="preserve">Total Quality Management (TQM) has emerged as a pivotal management framework widely adopted by higher education institutions worldwide. Universities continuously strive to implement TQM standards to enhance their institutional performance and deliver distinguished academic and administrative services. In an era of increasing competition among universities, student satisfaction has become a fundamental indicator for measuring service quality.</w:t>
      </w:r>
    </w:p>
    <w:p>
      <w:pPr>
        <w:spacing w:after="200" w:line="360"/>
        <w:jc w:val="left"/>
      </w:pPr>
      <w:r>
        <w:rPr>
          <w:rFonts w:ascii="Calibri" w:cs="Calibri" w:eastAsia="Calibri" w:hAnsi="Calibri"/>
          <w:b w:val="false"/>
          <w:bCs w:val="false"/>
          <w:i w:val="false"/>
          <w:iCs w:val="false"/>
          <w:sz w:val="24"/>
          <w:szCs w:val="24"/>
          <w:lang w:val="en-US"/>
        </w:rPr>
        <w:t xml:space="preserve">The core research problem centers on the following question: Does the application of TQM standards in university administration effectively contribute to raising student satisfaction with the services provided to them?</w:t>
      </w:r>
    </w:p>
    <w:p>
      <w:pPr>
        <w:pStyle w:val="Heading2"/>
        <w:spacing w:after="150" w:before="300"/>
        <w:jc w:val="left"/>
      </w:pPr>
      <w:r>
        <w:rPr>
          <w:rFonts w:ascii="Calibri" w:cs="Calibri" w:eastAsia="Calibri" w:hAnsi="Calibri"/>
          <w:b/>
          <w:bCs/>
          <w:lang w:val="en-US"/>
        </w:rPr>
        <w:t xml:space="preserve">Research Questions</w:t>
      </w:r>
    </w:p>
    <w:p>
      <w:pPr>
        <w:spacing w:after="140" w:line="360"/>
        <w:ind w:left="360"/>
        <w:jc w:val="left"/>
      </w:pPr>
      <w:r>
        <w:rPr>
          <w:rFonts w:ascii="Calibri" w:cs="Calibri" w:eastAsia="Calibri" w:hAnsi="Calibri"/>
          <w:sz w:val="24"/>
          <w:szCs w:val="24"/>
          <w:lang w:val="en-US"/>
        </w:rPr>
        <w:t xml:space="preserve">• What is the level of TQM application in university administration from the students' perspective?</w:t>
      </w:r>
    </w:p>
    <w:p>
      <w:pPr>
        <w:spacing w:after="140" w:line="360"/>
        <w:ind w:left="360"/>
        <w:jc w:val="left"/>
      </w:pPr>
      <w:r>
        <w:rPr>
          <w:rFonts w:ascii="Calibri" w:cs="Calibri" w:eastAsia="Calibri" w:hAnsi="Calibri"/>
          <w:sz w:val="24"/>
          <w:szCs w:val="24"/>
          <w:lang w:val="en-US"/>
        </w:rPr>
        <w:t xml:space="preserve">• What is the level of student satisfaction with the services provided by the university?</w:t>
      </w:r>
    </w:p>
    <w:p>
      <w:pPr>
        <w:spacing w:after="140" w:line="360"/>
        <w:ind w:left="360"/>
        <w:jc w:val="left"/>
      </w:pPr>
      <w:r>
        <w:rPr>
          <w:rFonts w:ascii="Calibri" w:cs="Calibri" w:eastAsia="Calibri" w:hAnsi="Calibri"/>
          <w:sz w:val="24"/>
          <w:szCs w:val="24"/>
          <w:lang w:val="en-US"/>
        </w:rPr>
        <w:t xml:space="preserve">• Is there a statistically significant relationship between TQM application and student satisfaction?</w:t>
      </w:r>
    </w:p>
    <w:p>
      <w:pPr>
        <w:spacing w:after="140" w:line="360"/>
        <w:ind w:left="360"/>
        <w:jc w:val="left"/>
      </w:pPr>
      <w:r>
        <w:rPr>
          <w:rFonts w:ascii="Calibri" w:cs="Calibri" w:eastAsia="Calibri" w:hAnsi="Calibri"/>
          <w:sz w:val="24"/>
          <w:szCs w:val="24"/>
          <w:lang w:val="en-US"/>
        </w:rPr>
        <w:t xml:space="preserve">• Which TQM dimensions have the greatest impact on achieving student satisfaction?</w:t>
      </w:r>
    </w:p>
    <w:p>
      <w:pPr>
        <w:pStyle w:val="Heading1"/>
        <w:spacing w:after="150" w:before="300"/>
        <w:jc w:val="left"/>
      </w:pPr>
      <w:r>
        <w:rPr>
          <w:rFonts w:ascii="Calibri" w:cs="Calibri" w:eastAsia="Calibri" w:hAnsi="Calibri"/>
          <w:b/>
          <w:bCs/>
          <w:lang w:val="en-US"/>
        </w:rPr>
        <w:t xml:space="preserve">2. Research Objectives</w:t>
      </w:r>
    </w:p>
    <w:p>
      <w:pPr>
        <w:spacing w:after="200" w:line="360"/>
        <w:jc w:val="left"/>
      </w:pPr>
      <w:r>
        <w:rPr>
          <w:rFonts w:ascii="Calibri" w:cs="Calibri" w:eastAsia="Calibri" w:hAnsi="Calibri"/>
          <w:b/>
          <w:bCs/>
          <w:i w:val="false"/>
          <w:iCs w:val="false"/>
          <w:sz w:val="24"/>
          <w:szCs w:val="24"/>
          <w:lang w:val="en-US"/>
        </w:rPr>
        <w:t xml:space="preserve">General Objective: To investigate the relationship between TQM application in university administration and student satisfaction with provided services.</w:t>
      </w:r>
    </w:p>
    <w:p>
      <w:pPr>
        <w:pStyle w:val="Heading2"/>
        <w:spacing w:after="150" w:before="300"/>
        <w:jc w:val="left"/>
      </w:pPr>
      <w:r>
        <w:rPr>
          <w:rFonts w:ascii="Calibri" w:cs="Calibri" w:eastAsia="Calibri" w:hAnsi="Calibri"/>
          <w:b/>
          <w:bCs/>
          <w:lang w:val="en-US"/>
        </w:rPr>
        <w:t xml:space="preserve">Specific Objectives</w:t>
      </w:r>
    </w:p>
    <w:p>
      <w:pPr>
        <w:spacing w:after="140" w:line="360"/>
        <w:ind w:left="360"/>
        <w:jc w:val="left"/>
      </w:pPr>
      <w:r>
        <w:rPr>
          <w:rFonts w:ascii="Calibri" w:cs="Calibri" w:eastAsia="Calibri" w:hAnsi="Calibri"/>
          <w:sz w:val="24"/>
          <w:szCs w:val="24"/>
          <w:lang w:val="en-US"/>
        </w:rPr>
        <w:t xml:space="preserve">• To measure the level of TQM standards application in university administration.</w:t>
      </w:r>
    </w:p>
    <w:p>
      <w:pPr>
        <w:spacing w:after="140" w:line="360"/>
        <w:ind w:left="360"/>
        <w:jc w:val="left"/>
      </w:pPr>
      <w:r>
        <w:rPr>
          <w:rFonts w:ascii="Calibri" w:cs="Calibri" w:eastAsia="Calibri" w:hAnsi="Calibri"/>
          <w:sz w:val="24"/>
          <w:szCs w:val="24"/>
          <w:lang w:val="en-US"/>
        </w:rPr>
        <w:t xml:space="preserve">• To assess student satisfaction with academic, administrative, and campus facility services.</w:t>
      </w:r>
    </w:p>
    <w:p>
      <w:pPr>
        <w:spacing w:after="140" w:line="360"/>
        <w:ind w:left="360"/>
        <w:jc w:val="left"/>
      </w:pPr>
      <w:r>
        <w:rPr>
          <w:rFonts w:ascii="Calibri" w:cs="Calibri" w:eastAsia="Calibri" w:hAnsi="Calibri"/>
          <w:sz w:val="24"/>
          <w:szCs w:val="24"/>
          <w:lang w:val="en-US"/>
        </w:rPr>
        <w:t xml:space="preserve">• To analyze the correlational relationship between TQM implementation and student satisfaction.</w:t>
      </w:r>
    </w:p>
    <w:p>
      <w:pPr>
        <w:spacing w:after="140" w:line="360"/>
        <w:ind w:left="360"/>
        <w:jc w:val="left"/>
      </w:pPr>
      <w:r>
        <w:rPr>
          <w:rFonts w:ascii="Calibri" w:cs="Calibri" w:eastAsia="Calibri" w:hAnsi="Calibri"/>
          <w:sz w:val="24"/>
          <w:szCs w:val="24"/>
          <w:lang w:val="en-US"/>
        </w:rPr>
        <w:t xml:space="preserve">• To identify the most influential TQM dimensions in achieving student satisfaction.</w:t>
      </w:r>
    </w:p>
    <w:p>
      <w:pPr>
        <w:spacing w:after="140" w:line="360"/>
        <w:ind w:left="360"/>
        <w:jc w:val="left"/>
      </w:pPr>
      <w:r>
        <w:rPr>
          <w:rFonts w:ascii="Calibri" w:cs="Calibri" w:eastAsia="Calibri" w:hAnsi="Calibri"/>
          <w:sz w:val="24"/>
          <w:szCs w:val="24"/>
          <w:lang w:val="en-US"/>
        </w:rPr>
        <w:t xml:space="preserve">• To provide practical recommendations for university administration to enhance service quality.</w:t>
      </w:r>
    </w:p>
    <w:p>
      <w:pPr>
        <w:pStyle w:val="Heading1"/>
        <w:spacing w:after="150" w:before="300"/>
        <w:jc w:val="left"/>
      </w:pPr>
      <w:r>
        <w:rPr>
          <w:rFonts w:ascii="Calibri" w:cs="Calibri" w:eastAsia="Calibri" w:hAnsi="Calibri"/>
          <w:b/>
          <w:bCs/>
          <w:lang w:val="en-US"/>
        </w:rPr>
        <w:t xml:space="preserve">3. Literature Review</w:t>
      </w:r>
    </w:p>
    <w:p>
      <w:pPr>
        <w:spacing w:after="200" w:line="360"/>
        <w:jc w:val="left"/>
      </w:pPr>
      <w:r>
        <w:rPr>
          <w:rFonts w:ascii="Calibri" w:cs="Calibri" w:eastAsia="Calibri" w:hAnsi="Calibri"/>
          <w:b/>
          <w:bCs/>
          <w:i w:val="false"/>
          <w:iCs w:val="false"/>
          <w:sz w:val="24"/>
          <w:szCs w:val="24"/>
          <w:lang w:val="en-US"/>
        </w:rPr>
        <w:t xml:space="preserve">A. TQM in Higher Education:</w:t>
      </w:r>
    </w:p>
    <w:p>
      <w:pPr>
        <w:spacing w:after="200" w:line="360"/>
        <w:jc w:val="left"/>
      </w:pPr>
      <w:r>
        <w:rPr>
          <w:rFonts w:ascii="Calibri" w:cs="Calibri" w:eastAsia="Calibri" w:hAnsi="Calibri"/>
          <w:b w:val="false"/>
          <w:bCs w:val="false"/>
          <w:i w:val="false"/>
          <w:iCs w:val="false"/>
          <w:sz w:val="24"/>
          <w:szCs w:val="24"/>
          <w:lang w:val="en-US"/>
        </w:rPr>
        <w:t xml:space="preserve">TQM in higher education is defined as an integrated management approach targeting continuous improvement across all academic and administrative processes. Sallis (2014) emphasized that implementing TQM in universities requires top-level leadership commitment, employee empowerment, and a strong focus on stakeholder requirements.</w:t>
      </w:r>
    </w:p>
    <w:p>
      <w:pPr>
        <w:spacing w:after="200" w:line="360"/>
        <w:jc w:val="left"/>
      </w:pPr>
      <w:r>
        <w:rPr>
          <w:rFonts w:ascii="Calibri" w:cs="Calibri" w:eastAsia="Calibri" w:hAnsi="Calibri"/>
          <w:b/>
          <w:bCs/>
          <w:i w:val="false"/>
          <w:iCs w:val="false"/>
          <w:sz w:val="24"/>
          <w:szCs w:val="24"/>
          <w:lang w:val="en-US"/>
        </w:rPr>
        <w:t xml:space="preserve">B. Student Satisfaction as a Quality Indicator:</w:t>
      </w:r>
    </w:p>
    <w:p>
      <w:pPr>
        <w:spacing w:after="200" w:line="360"/>
        <w:jc w:val="left"/>
      </w:pPr>
      <w:r>
        <w:rPr>
          <w:rFonts w:ascii="Calibri" w:cs="Calibri" w:eastAsia="Calibri" w:hAnsi="Calibri"/>
          <w:b w:val="false"/>
          <w:bCs w:val="false"/>
          <w:i w:val="false"/>
          <w:iCs w:val="false"/>
          <w:sz w:val="24"/>
          <w:szCs w:val="24"/>
          <w:lang w:val="en-US"/>
        </w:rPr>
        <w:t xml:space="preserve">Elliott &amp; Shin (2002) demonstrated that student satisfaction is a multidimensional construct encompassing teaching quality, administrative services, campus facilities, and the academic environment. Al-Alawi &amp; Al-Ali (2020) found a strong positive relationship between TQM implementation and student satisfaction in Gulf universities. Parasuraman et al. (1988) developed the SERVQUAL model measuring five dimensions: reliability, assurance, tangibles, empathy, and responsiveness.</w:t>
      </w:r>
    </w:p>
    <w:p>
      <w:pPr>
        <w:spacing w:after="200" w:line="360"/>
        <w:jc w:val="left"/>
      </w:pPr>
      <w:r>
        <w:rPr>
          <w:rFonts w:ascii="Calibri" w:cs="Calibri" w:eastAsia="Calibri" w:hAnsi="Calibri"/>
          <w:b/>
          <w:bCs/>
          <w:i w:val="false"/>
          <w:iCs w:val="false"/>
          <w:sz w:val="24"/>
          <w:szCs w:val="24"/>
          <w:lang w:val="en-US"/>
        </w:rPr>
        <w:t xml:space="preserve">C. Research Gap:</w:t>
      </w:r>
    </w:p>
    <w:p>
      <w:pPr>
        <w:spacing w:after="200" w:line="360"/>
        <w:jc w:val="left"/>
      </w:pPr>
      <w:r>
        <w:rPr>
          <w:rFonts w:ascii="Calibri" w:cs="Calibri" w:eastAsia="Calibri" w:hAnsi="Calibri"/>
          <w:b w:val="false"/>
          <w:bCs w:val="false"/>
          <w:i w:val="false"/>
          <w:iCs w:val="false"/>
          <w:sz w:val="24"/>
          <w:szCs w:val="24"/>
          <w:lang w:val="en-US"/>
        </w:rPr>
        <w:t xml:space="preserve">Despite numerous global studies on TQM in higher education, research specifically addressing the institutional context of universities in the Comoros Islands remains scarce. This study aims to bridge this gap through empirical research, with data collected remotely via an electronic survey since the researcher is based in Saudi Arabia.</w:t>
      </w:r>
    </w:p>
    <w:p>
      <w:pPr>
        <w:pStyle w:val="Heading1"/>
        <w:spacing w:after="150" w:before="300"/>
        <w:jc w:val="left"/>
      </w:pPr>
      <w:r>
        <w:rPr>
          <w:rFonts w:ascii="Calibri" w:cs="Calibri" w:eastAsia="Calibri" w:hAnsi="Calibri"/>
          <w:b/>
          <w:bCs/>
          <w:lang w:val="en-US"/>
        </w:rPr>
        <w:t xml:space="preserve">4. Research Methodology</w:t>
      </w:r>
    </w:p>
    <w:p>
      <w:pPr>
        <w:spacing w:after="200" w:line="360"/>
        <w:jc w:val="left"/>
      </w:pPr>
      <w:r>
        <w:rPr>
          <w:rFonts w:ascii="Calibri" w:cs="Calibri" w:eastAsia="Calibri" w:hAnsi="Calibri"/>
          <w:b/>
          <w:bCs/>
          <w:i w:val="false"/>
          <w:iCs w:val="false"/>
          <w:sz w:val="24"/>
          <w:szCs w:val="24"/>
          <w:lang w:val="en-US"/>
        </w:rPr>
        <w:t xml:space="preserve">Research Approach: Quantitative Research using the Electronic (Online) Survey Method. The questionnaire will be distributed through an online platform (e.g., Google Forms), as the researcher is based in Saudi Arabia and unable to conduct an in-person field survey in the Comoros Islands.</w:t>
      </w:r>
    </w:p>
    <w:p>
      <w:pPr>
        <w:spacing w:after="200" w:line="360"/>
        <w:jc w:val="left"/>
      </w:pPr>
      <w:r>
        <w:rPr>
          <w:rFonts w:ascii="Calibri" w:cs="Calibri" w:eastAsia="Calibri" w:hAnsi="Calibri"/>
          <w:b/>
          <w:bCs/>
          <w:i w:val="false"/>
          <w:iCs w:val="false"/>
          <w:sz w:val="24"/>
          <w:szCs w:val="24"/>
          <w:lang w:val="en-US"/>
        </w:rPr>
        <w:t xml:space="preserve">Research Instrument: A structured closed electronic questionnaire, shared via a link sent through the university's official email or communication channels, divided into two sections:</w:t>
      </w:r>
    </w:p>
    <w:p>
      <w:pPr>
        <w:spacing w:after="140" w:line="360"/>
        <w:ind w:left="360"/>
        <w:jc w:val="left"/>
      </w:pPr>
      <w:r>
        <w:rPr>
          <w:rFonts w:ascii="Calibri" w:cs="Calibri" w:eastAsia="Calibri" w:hAnsi="Calibri"/>
          <w:sz w:val="24"/>
          <w:szCs w:val="24"/>
          <w:lang w:val="en-US"/>
        </w:rPr>
        <w:t xml:space="preserve">• Section One: TQM application level (20 items) using a five-point Likert scale.</w:t>
      </w:r>
    </w:p>
    <w:p>
      <w:pPr>
        <w:spacing w:after="140" w:line="360"/>
        <w:ind w:left="360"/>
        <w:jc w:val="left"/>
      </w:pPr>
      <w:r>
        <w:rPr>
          <w:rFonts w:ascii="Calibri" w:cs="Calibri" w:eastAsia="Calibri" w:hAnsi="Calibri"/>
          <w:sz w:val="24"/>
          <w:szCs w:val="24"/>
          <w:lang w:val="en-US"/>
        </w:rPr>
        <w:t xml:space="preserve">• Section Two: Student satisfaction with university services (15 items) using a five-point Likert scale.</w:t>
      </w:r>
    </w:p>
    <w:p>
      <w:pPr>
        <w:spacing w:after="200" w:line="360"/>
        <w:jc w:val="left"/>
      </w:pPr>
      <w:r>
        <w:rPr>
          <w:rFonts w:ascii="Calibri" w:cs="Calibri" w:eastAsia="Calibri" w:hAnsi="Calibri"/>
          <w:b/>
          <w:bCs/>
          <w:i w:val="false"/>
          <w:iCs w:val="false"/>
          <w:sz w:val="24"/>
          <w:szCs w:val="24"/>
          <w:lang w:val="en-US"/>
        </w:rPr>
        <w:t xml:space="preserve">Analysis Method: SPSS – descriptive statistics, Pearson correlation coefficient, and simple regression analysis.</w:t>
      </w:r>
    </w:p>
    <w:p>
      <w:pPr>
        <w:pStyle w:val="Heading1"/>
        <w:spacing w:after="150" w:before="300"/>
        <w:jc w:val="left"/>
      </w:pPr>
      <w:r>
        <w:rPr>
          <w:rFonts w:ascii="Calibri" w:cs="Calibri" w:eastAsia="Calibri" w:hAnsi="Calibri"/>
          <w:b/>
          <w:bCs/>
          <w:lang w:val="en-US"/>
        </w:rPr>
        <w:t xml:space="preserve">5. Sample and Research Boundaries</w:t>
      </w:r>
    </w:p>
    <w:p>
      <w:pPr>
        <w:spacing w:after="140" w:line="360"/>
        <w:ind w:left="360"/>
        <w:jc w:val="left"/>
      </w:pPr>
      <w:r>
        <w:rPr>
          <w:rFonts w:ascii="Calibri" w:cs="Calibri" w:eastAsia="Calibri" w:hAnsi="Calibri"/>
          <w:sz w:val="24"/>
          <w:szCs w:val="24"/>
          <w:lang w:val="en-US"/>
        </w:rPr>
        <w:t xml:space="preserve">• Study Population: All students enrolled at Mid Ocean University for the academic year 2025–2026.</w:t>
      </w:r>
    </w:p>
    <w:p>
      <w:pPr>
        <w:spacing w:after="140" w:line="360"/>
        <w:ind w:left="360"/>
        <w:jc w:val="left"/>
      </w:pPr>
      <w:r>
        <w:rPr>
          <w:rFonts w:ascii="Calibri" w:cs="Calibri" w:eastAsia="Calibri" w:hAnsi="Calibri"/>
          <w:sz w:val="24"/>
          <w:szCs w:val="24"/>
          <w:lang w:val="en-US"/>
        </w:rPr>
        <w:t xml:space="preserve">• Sampling Type: Stratified Random Sampling.</w:t>
      </w:r>
    </w:p>
    <w:p>
      <w:pPr>
        <w:spacing w:after="140" w:line="360"/>
        <w:ind w:left="360"/>
        <w:jc w:val="left"/>
      </w:pPr>
      <w:r>
        <w:rPr>
          <w:rFonts w:ascii="Calibri" w:cs="Calibri" w:eastAsia="Calibri" w:hAnsi="Calibri"/>
          <w:sz w:val="24"/>
          <w:szCs w:val="24"/>
          <w:lang w:val="en-US"/>
        </w:rPr>
        <w:t xml:space="preserve">• Estimated Sample Size: 150–200 students.</w:t>
      </w:r>
    </w:p>
    <w:p>
      <w:pPr>
        <w:spacing w:after="140" w:line="360"/>
        <w:ind w:left="360"/>
        <w:jc w:val="left"/>
      </w:pPr>
      <w:r>
        <w:rPr>
          <w:rFonts w:ascii="Calibri" w:cs="Calibri" w:eastAsia="Calibri" w:hAnsi="Calibri"/>
          <w:sz w:val="24"/>
          <w:szCs w:val="24"/>
          <w:lang w:val="en-US"/>
        </w:rPr>
        <w:t xml:space="preserve">• Geographic Scope: Mid Ocean University, Comoros Islands.</w:t>
      </w:r>
    </w:p>
    <w:p>
      <w:pPr>
        <w:spacing w:after="140" w:line="360"/>
        <w:ind w:left="360"/>
        <w:jc w:val="left"/>
      </w:pPr>
      <w:r>
        <w:rPr>
          <w:rFonts w:ascii="Calibri" w:cs="Calibri" w:eastAsia="Calibri" w:hAnsi="Calibri"/>
          <w:sz w:val="24"/>
          <w:szCs w:val="24"/>
          <w:lang w:val="en-US"/>
        </w:rPr>
        <w:t xml:space="preserve">• Temporal Scope: Second Semester 2026.</w:t>
      </w:r>
    </w:p>
    <w:p>
      <w:pPr>
        <w:spacing w:after="140" w:line="360"/>
        <w:ind w:left="360"/>
        <w:jc w:val="left"/>
      </w:pPr>
      <w:r>
        <w:rPr>
          <w:rFonts w:ascii="Calibri" w:cs="Calibri" w:eastAsia="Calibri" w:hAnsi="Calibri"/>
          <w:sz w:val="24"/>
          <w:szCs w:val="24"/>
          <w:lang w:val="en-US"/>
        </w:rPr>
        <w:t xml:space="preserve">• Thematic Scope: Academic, administrative, and campus facility services.</w:t>
      </w:r>
    </w:p>
    <w:p>
      <w:pPr>
        <w:pStyle w:val="Heading1"/>
        <w:spacing w:after="150" w:before="300"/>
        <w:jc w:val="left"/>
      </w:pPr>
      <w:r>
        <w:rPr>
          <w:rFonts w:ascii="Calibri" w:cs="Calibri" w:eastAsia="Calibri" w:hAnsi="Calibri"/>
          <w:b/>
          <w:bCs/>
          <w:lang w:val="en-US"/>
        </w:rPr>
        <w:t xml:space="preserve">6. Ethical Considerations</w:t>
      </w:r>
    </w:p>
    <w:p>
      <w:pPr>
        <w:spacing w:after="140" w:line="360"/>
        <w:ind w:left="360"/>
        <w:jc w:val="left"/>
      </w:pPr>
      <w:r>
        <w:rPr>
          <w:rFonts w:ascii="Calibri" w:cs="Calibri" w:eastAsia="Calibri" w:hAnsi="Calibri"/>
          <w:sz w:val="24"/>
          <w:szCs w:val="24"/>
          <w:lang w:val="en-US"/>
        </w:rPr>
        <w:t xml:space="preserve">• Informed Consent: Participants will be informed of the study's objectives and will provide voluntary consent.</w:t>
      </w:r>
    </w:p>
    <w:p>
      <w:pPr>
        <w:spacing w:after="140" w:line="360"/>
        <w:ind w:left="360"/>
        <w:jc w:val="left"/>
      </w:pPr>
      <w:r>
        <w:rPr>
          <w:rFonts w:ascii="Calibri" w:cs="Calibri" w:eastAsia="Calibri" w:hAnsi="Calibri"/>
          <w:sz w:val="24"/>
          <w:szCs w:val="24"/>
          <w:lang w:val="en-US"/>
        </w:rPr>
        <w:t xml:space="preserve">• Confidentiality: All data will be treated with strict confidentiality and used exclusively for research.</w:t>
      </w:r>
    </w:p>
    <w:p>
      <w:pPr>
        <w:spacing w:after="140" w:line="360"/>
        <w:ind w:left="360"/>
        <w:jc w:val="left"/>
      </w:pPr>
      <w:r>
        <w:rPr>
          <w:rFonts w:ascii="Calibri" w:cs="Calibri" w:eastAsia="Calibri" w:hAnsi="Calibri"/>
          <w:sz w:val="24"/>
          <w:szCs w:val="24"/>
          <w:lang w:val="en-US"/>
        </w:rPr>
        <w:t xml:space="preserve">• Voluntariness: Participation is entirely voluntary with the right to withdraw at any time.</w:t>
      </w:r>
    </w:p>
    <w:p>
      <w:pPr>
        <w:spacing w:after="140" w:line="360"/>
        <w:ind w:left="360"/>
        <w:jc w:val="left"/>
      </w:pPr>
      <w:r>
        <w:rPr>
          <w:rFonts w:ascii="Calibri" w:cs="Calibri" w:eastAsia="Calibri" w:hAnsi="Calibri"/>
          <w:sz w:val="24"/>
          <w:szCs w:val="24"/>
          <w:lang w:val="en-US"/>
        </w:rPr>
        <w:t xml:space="preserve">• Academic Integrity: All sources will be properly cited and plagiarism strictly avoided.</w:t>
      </w:r>
    </w:p>
    <w:p>
      <w:pPr>
        <w:pStyle w:val="Heading1"/>
        <w:spacing w:after="150" w:before="300"/>
        <w:jc w:val="left"/>
      </w:pPr>
      <w:r>
        <w:rPr>
          <w:rFonts w:ascii="Calibri" w:cs="Calibri" w:eastAsia="Calibri" w:hAnsi="Calibri"/>
          <w:b/>
          <w:bCs/>
          <w:lang w:val="en-US"/>
        </w:rPr>
        <w:t xml:space="preserve">7. Implementation Timeline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500"/>
        <w:gridCol w:w="5000"/>
        <w:gridCol w:w="1500"/>
      </w:tblGrid>
      <w:tr>
        <w:tc>
          <w:tcPr>
            <w:tcW w:type="dxa" w:w="3000"/>
            <w:shd w:fill="D9E2F3" w:val="clear"/>
          </w:tcPr>
          <w:p>
            <w:pPr>
              <w:jc w:val="left"/>
            </w:pPr>
            <w:r>
              <w:rPr>
                <w:rFonts w:ascii="Calibri" w:cs="Calibri" w:eastAsia="Calibri" w:hAnsi="Calibri"/>
                <w:b/>
                <w:bCs/>
                <w:sz w:val="24"/>
                <w:szCs w:val="24"/>
                <w:lang w:val="en-US"/>
              </w:rPr>
              <w:t xml:space="preserve">Phase</w:t>
            </w:r>
          </w:p>
        </w:tc>
        <w:tc>
          <w:tcPr>
            <w:tcW w:type="dxa" w:w="3000"/>
            <w:shd w:fill="D9E2F3" w:val="clear"/>
          </w:tcPr>
          <w:p>
            <w:pPr>
              <w:jc w:val="left"/>
            </w:pPr>
            <w:r>
              <w:rPr>
                <w:rFonts w:ascii="Calibri" w:cs="Calibri" w:eastAsia="Calibri" w:hAnsi="Calibri"/>
                <w:b/>
                <w:bCs/>
                <w:sz w:val="24"/>
                <w:szCs w:val="24"/>
                <w:lang w:val="en-US"/>
              </w:rPr>
              <w:t xml:space="preserve">Activity</w:t>
            </w:r>
          </w:p>
        </w:tc>
        <w:tc>
          <w:tcPr>
            <w:tcW w:type="dxa" w:w="3000"/>
            <w:shd w:fill="D9E2F3" w:val="clear"/>
          </w:tcPr>
          <w:p>
            <w:pPr>
              <w:jc w:val="left"/>
            </w:pPr>
            <w:r>
              <w:rPr>
                <w:rFonts w:ascii="Calibri" w:cs="Calibri" w:eastAsia="Calibri" w:hAnsi="Calibri"/>
                <w:b/>
                <w:bCs/>
                <w:sz w:val="24"/>
                <w:szCs w:val="24"/>
                <w:lang w:val="en-US"/>
              </w:rPr>
              <w:t xml:space="preserve">Duration</w:t>
            </w:r>
          </w:p>
        </w:tc>
      </w:tr>
      <w:tr>
        <w:tc>
          <w:tcPr>
            <w:tcW w:type="dxa" w:w="3000"/>
          </w:tcPr>
          <w:p>
            <w:pPr>
              <w:jc w:val="left"/>
            </w:pPr>
            <w:r>
              <w:rPr>
                <w:rFonts w:ascii="Calibri" w:cs="Calibri" w:eastAsia="Calibri" w:hAnsi="Calibri"/>
                <w:b w:val="false"/>
                <w:bCs w:val="false"/>
                <w:sz w:val="24"/>
                <w:szCs w:val="24"/>
                <w:lang w:val="en-US"/>
              </w:rPr>
              <w:t xml:space="preserve">Phase 1: Planning</w:t>
            </w:r>
          </w:p>
        </w:tc>
        <w:tc>
          <w:tcPr>
            <w:tcW w:type="dxa" w:w="3000"/>
          </w:tcPr>
          <w:p>
            <w:pPr>
              <w:jc w:val="left"/>
            </w:pPr>
            <w:r>
              <w:rPr>
                <w:rFonts w:ascii="Calibri" w:cs="Calibri" w:eastAsia="Calibri" w:hAnsi="Calibri"/>
                <w:b w:val="false"/>
                <w:bCs w:val="false"/>
                <w:sz w:val="24"/>
                <w:szCs w:val="24"/>
                <w:lang w:val="en-US"/>
              </w:rPr>
              <w:t xml:space="preserve">Literature review &amp; questionnaire development</w:t>
            </w:r>
          </w:p>
        </w:tc>
        <w:tc>
          <w:tcPr>
            <w:tcW w:type="dxa" w:w="3000"/>
          </w:tcPr>
          <w:p>
            <w:pPr>
              <w:jc w:val="left"/>
            </w:pPr>
            <w:r>
              <w:rPr>
                <w:rFonts w:ascii="Calibri" w:cs="Calibri" w:eastAsia="Calibri" w:hAnsi="Calibri"/>
                <w:b w:val="false"/>
                <w:bCs w:val="false"/>
                <w:sz w:val="24"/>
                <w:szCs w:val="24"/>
                <w:lang w:val="en-US"/>
              </w:rPr>
              <w:t xml:space="preserve">2 Weeks</w:t>
            </w:r>
          </w:p>
        </w:tc>
      </w:tr>
      <w:tr>
        <w:tc>
          <w:tcPr>
            <w:tcW w:type="dxa" w:w="3000"/>
          </w:tcPr>
          <w:p>
            <w:pPr>
              <w:jc w:val="left"/>
            </w:pPr>
            <w:r>
              <w:rPr>
                <w:rFonts w:ascii="Calibri" w:cs="Calibri" w:eastAsia="Calibri" w:hAnsi="Calibri"/>
                <w:b w:val="false"/>
                <w:bCs w:val="false"/>
                <w:sz w:val="24"/>
                <w:szCs w:val="24"/>
                <w:lang w:val="en-US"/>
              </w:rPr>
              <w:t xml:space="preserve">Phase 2: Instrument Testing</w:t>
            </w:r>
          </w:p>
        </w:tc>
        <w:tc>
          <w:tcPr>
            <w:tcW w:type="dxa" w:w="3000"/>
          </w:tcPr>
          <w:p>
            <w:pPr>
              <w:jc w:val="left"/>
            </w:pPr>
            <w:r>
              <w:rPr>
                <w:rFonts w:ascii="Calibri" w:cs="Calibri" w:eastAsia="Calibri" w:hAnsi="Calibri"/>
                <w:b w:val="false"/>
                <w:bCs w:val="false"/>
                <w:sz w:val="24"/>
                <w:szCs w:val="24"/>
                <w:lang w:val="en-US"/>
              </w:rPr>
              <w:t xml:space="preserve">Pilot testing of the questionnaire</w:t>
            </w:r>
          </w:p>
        </w:tc>
        <w:tc>
          <w:tcPr>
            <w:tcW w:type="dxa" w:w="3000"/>
          </w:tcPr>
          <w:p>
            <w:pPr>
              <w:jc w:val="left"/>
            </w:pPr>
            <w:r>
              <w:rPr>
                <w:rFonts w:ascii="Calibri" w:cs="Calibri" w:eastAsia="Calibri" w:hAnsi="Calibri"/>
                <w:b w:val="false"/>
                <w:bCs w:val="false"/>
                <w:sz w:val="24"/>
                <w:szCs w:val="24"/>
                <w:lang w:val="en-US"/>
              </w:rPr>
              <w:t xml:space="preserve">1 Week</w:t>
            </w:r>
          </w:p>
        </w:tc>
      </w:tr>
      <w:tr>
        <w:tc>
          <w:tcPr>
            <w:tcW w:type="dxa" w:w="3000"/>
          </w:tcPr>
          <w:p>
            <w:pPr>
              <w:jc w:val="left"/>
            </w:pPr>
            <w:r>
              <w:rPr>
                <w:rFonts w:ascii="Calibri" w:cs="Calibri" w:eastAsia="Calibri" w:hAnsi="Calibri"/>
                <w:b w:val="false"/>
                <w:bCs w:val="false"/>
                <w:sz w:val="24"/>
                <w:szCs w:val="24"/>
                <w:lang w:val="en-US"/>
              </w:rPr>
              <w:t xml:space="preserve">Phase 3: Data Collection</w:t>
            </w:r>
          </w:p>
        </w:tc>
        <w:tc>
          <w:tcPr>
            <w:tcW w:type="dxa" w:w="3000"/>
          </w:tcPr>
          <w:p>
            <w:pPr>
              <w:jc w:val="left"/>
            </w:pPr>
            <w:r>
              <w:rPr>
                <w:rFonts w:ascii="Calibri" w:cs="Calibri" w:eastAsia="Calibri" w:hAnsi="Calibri"/>
                <w:b w:val="false"/>
                <w:bCs w:val="false"/>
                <w:sz w:val="24"/>
                <w:szCs w:val="24"/>
                <w:lang w:val="en-US"/>
              </w:rPr>
              <w:t xml:space="preserve">Electronic questionnaire distribution &amp; remote data collection</w:t>
            </w:r>
          </w:p>
        </w:tc>
        <w:tc>
          <w:tcPr>
            <w:tcW w:type="dxa" w:w="3000"/>
          </w:tcPr>
          <w:p>
            <w:pPr>
              <w:jc w:val="left"/>
            </w:pPr>
            <w:r>
              <w:rPr>
                <w:rFonts w:ascii="Calibri" w:cs="Calibri" w:eastAsia="Calibri" w:hAnsi="Calibri"/>
                <w:b w:val="false"/>
                <w:bCs w:val="false"/>
                <w:sz w:val="24"/>
                <w:szCs w:val="24"/>
                <w:lang w:val="en-US"/>
              </w:rPr>
              <w:t xml:space="preserve">1 Month</w:t>
            </w:r>
          </w:p>
        </w:tc>
      </w:tr>
      <w:tr>
        <w:tc>
          <w:tcPr>
            <w:tcW w:type="dxa" w:w="3000"/>
          </w:tcPr>
          <w:p>
            <w:pPr>
              <w:jc w:val="left"/>
            </w:pPr>
            <w:r>
              <w:rPr>
                <w:rFonts w:ascii="Calibri" w:cs="Calibri" w:eastAsia="Calibri" w:hAnsi="Calibri"/>
                <w:b w:val="false"/>
                <w:bCs w:val="false"/>
                <w:sz w:val="24"/>
                <w:szCs w:val="24"/>
                <w:lang w:val="en-US"/>
              </w:rPr>
              <w:t xml:space="preserve">Phase 4: Analysis</w:t>
            </w:r>
          </w:p>
        </w:tc>
        <w:tc>
          <w:tcPr>
            <w:tcW w:type="dxa" w:w="3000"/>
          </w:tcPr>
          <w:p>
            <w:pPr>
              <w:jc w:val="left"/>
            </w:pPr>
            <w:r>
              <w:rPr>
                <w:rFonts w:ascii="Calibri" w:cs="Calibri" w:eastAsia="Calibri" w:hAnsi="Calibri"/>
                <w:b w:val="false"/>
                <w:bCs w:val="false"/>
                <w:sz w:val="24"/>
                <w:szCs w:val="24"/>
                <w:lang w:val="en-US"/>
              </w:rPr>
              <w:t xml:space="preserve">Data analysis using SPSS</w:t>
            </w:r>
          </w:p>
        </w:tc>
        <w:tc>
          <w:tcPr>
            <w:tcW w:type="dxa" w:w="3000"/>
          </w:tcPr>
          <w:p>
            <w:pPr>
              <w:jc w:val="left"/>
            </w:pPr>
            <w:r>
              <w:rPr>
                <w:rFonts w:ascii="Calibri" w:cs="Calibri" w:eastAsia="Calibri" w:hAnsi="Calibri"/>
                <w:b w:val="false"/>
                <w:bCs w:val="false"/>
                <w:sz w:val="24"/>
                <w:szCs w:val="24"/>
                <w:lang w:val="en-US"/>
              </w:rPr>
              <w:t xml:space="preserve">2 Weeks</w:t>
            </w:r>
          </w:p>
        </w:tc>
      </w:tr>
      <w:tr>
        <w:tc>
          <w:tcPr>
            <w:tcW w:type="dxa" w:w="3000"/>
          </w:tcPr>
          <w:p>
            <w:pPr>
              <w:jc w:val="left"/>
            </w:pPr>
            <w:r>
              <w:rPr>
                <w:rFonts w:ascii="Calibri" w:cs="Calibri" w:eastAsia="Calibri" w:hAnsi="Calibri"/>
                <w:b w:val="false"/>
                <w:bCs w:val="false"/>
                <w:sz w:val="24"/>
                <w:szCs w:val="24"/>
                <w:lang w:val="en-US"/>
              </w:rPr>
              <w:t xml:space="preserve">Phase 5: Report Writing</w:t>
            </w:r>
          </w:p>
        </w:tc>
        <w:tc>
          <w:tcPr>
            <w:tcW w:type="dxa" w:w="3000"/>
          </w:tcPr>
          <w:p>
            <w:pPr>
              <w:jc w:val="left"/>
            </w:pPr>
            <w:r>
              <w:rPr>
                <w:rFonts w:ascii="Calibri" w:cs="Calibri" w:eastAsia="Calibri" w:hAnsi="Calibri"/>
                <w:b w:val="false"/>
                <w:bCs w:val="false"/>
                <w:sz w:val="24"/>
                <w:szCs w:val="24"/>
                <w:lang w:val="en-US"/>
              </w:rPr>
              <w:t xml:space="preserve">Writing results and recommendations</w:t>
            </w:r>
          </w:p>
        </w:tc>
        <w:tc>
          <w:tcPr>
            <w:tcW w:type="dxa" w:w="3000"/>
          </w:tcPr>
          <w:p>
            <w:pPr>
              <w:jc w:val="left"/>
            </w:pPr>
            <w:r>
              <w:rPr>
                <w:rFonts w:ascii="Calibri" w:cs="Calibri" w:eastAsia="Calibri" w:hAnsi="Calibri"/>
                <w:b w:val="false"/>
                <w:bCs w:val="false"/>
                <w:sz w:val="24"/>
                <w:szCs w:val="24"/>
                <w:lang w:val="en-US"/>
              </w:rPr>
              <w:t xml:space="preserve">2 Weeks</w:t>
            </w:r>
          </w:p>
        </w:tc>
      </w:tr>
      <w:tr>
        <w:tc>
          <w:tcPr>
            <w:tcW w:type="dxa" w:w="3000"/>
          </w:tcPr>
          <w:p>
            <w:pPr>
              <w:jc w:val="left"/>
            </w:pPr>
            <w:r>
              <w:rPr>
                <w:rFonts w:ascii="Calibri" w:cs="Calibri" w:eastAsia="Calibri" w:hAnsi="Calibri"/>
                <w:b w:val="false"/>
                <w:bCs w:val="false"/>
                <w:sz w:val="24"/>
                <w:szCs w:val="24"/>
                <w:lang w:val="en-US"/>
              </w:rPr>
              <w:t xml:space="preserve">Phase 6: Submission</w:t>
            </w:r>
          </w:p>
        </w:tc>
        <w:tc>
          <w:tcPr>
            <w:tcW w:type="dxa" w:w="3000"/>
          </w:tcPr>
          <w:p>
            <w:pPr>
              <w:jc w:val="left"/>
            </w:pPr>
            <w:r>
              <w:rPr>
                <w:rFonts w:ascii="Calibri" w:cs="Calibri" w:eastAsia="Calibri" w:hAnsi="Calibri"/>
                <w:b w:val="false"/>
                <w:bCs w:val="false"/>
                <w:sz w:val="24"/>
                <w:szCs w:val="24"/>
                <w:lang w:val="en-US"/>
              </w:rPr>
              <w:t xml:space="preserve">Final review and submission</w:t>
            </w:r>
          </w:p>
        </w:tc>
        <w:tc>
          <w:tcPr>
            <w:tcW w:type="dxa" w:w="3000"/>
          </w:tcPr>
          <w:p>
            <w:pPr>
              <w:jc w:val="left"/>
            </w:pPr>
            <w:r>
              <w:rPr>
                <w:rFonts w:ascii="Calibri" w:cs="Calibri" w:eastAsia="Calibri" w:hAnsi="Calibri"/>
                <w:b w:val="false"/>
                <w:bCs w:val="false"/>
                <w:sz w:val="24"/>
                <w:szCs w:val="24"/>
                <w:lang w:val="en-US"/>
              </w:rPr>
              <w:t xml:space="preserve">1 Week</w:t>
            </w:r>
          </w:p>
        </w:tc>
      </w:tr>
    </w:tbl>
    <w:p>
      <w:pPr>
        <w:spacing w:before="200"/>
      </w:pPr>
    </w:p>
    <w:p>
      <w:pPr>
        <w:pStyle w:val="Heading1"/>
        <w:spacing w:after="150" w:before="300"/>
        <w:jc w:val="left"/>
      </w:pPr>
      <w:r>
        <w:rPr>
          <w:rFonts w:ascii="Calibri" w:cs="Calibri" w:eastAsia="Calibri" w:hAnsi="Calibri"/>
          <w:b/>
          <w:bCs/>
          <w:lang w:val="en-US"/>
        </w:rPr>
        <w:t xml:space="preserve">8. References (APA)</w:t>
      </w:r>
    </w:p>
    <w:p>
      <w:pPr>
        <w:spacing w:after="180" w:line="300"/>
        <w:ind w:left="360" w:hanging="360"/>
        <w:jc w:val="left"/>
      </w:pPr>
      <w:r>
        <w:rPr>
          <w:rFonts w:ascii="Calibri" w:cs="Calibri" w:eastAsia="Calibri" w:hAnsi="Calibri"/>
          <w:i w:val="false"/>
          <w:iCs w:val="false"/>
          <w:sz w:val="24"/>
          <w:szCs w:val="24"/>
          <w:lang w:val="en-US"/>
        </w:rPr>
        <w:t xml:space="preserve">Al-Alawi, A., &amp; Al-Ali, M. (2020). TQM practices and student satisfaction in GCC universities. International Journal of Educational Management, 34(5), 845–860.</w:t>
      </w:r>
    </w:p>
    <w:p>
      <w:pPr>
        <w:spacing w:after="180" w:line="300"/>
        <w:ind w:left="360" w:hanging="360"/>
        <w:jc w:val="left"/>
      </w:pPr>
      <w:r>
        <w:rPr>
          <w:rFonts w:ascii="Calibri" w:cs="Calibri" w:eastAsia="Calibri" w:hAnsi="Calibri"/>
          <w:i w:val="false"/>
          <w:iCs w:val="false"/>
          <w:sz w:val="24"/>
          <w:szCs w:val="24"/>
          <w:lang w:val="en-US"/>
        </w:rPr>
        <w:t xml:space="preserve">Cheng, Y. C., &amp; Tam, W. M. (1997). Multi-models of quality in education. Quality Assurance in Education, 5(1), 22–31.</w:t>
      </w:r>
    </w:p>
    <w:p>
      <w:pPr>
        <w:spacing w:after="180" w:line="300"/>
        <w:ind w:left="360" w:hanging="360"/>
        <w:jc w:val="left"/>
      </w:pPr>
      <w:r>
        <w:rPr>
          <w:rFonts w:ascii="Calibri" w:cs="Calibri" w:eastAsia="Calibri" w:hAnsi="Calibri"/>
          <w:i w:val="false"/>
          <w:iCs w:val="false"/>
          <w:sz w:val="24"/>
          <w:szCs w:val="24"/>
          <w:lang w:val="en-US"/>
        </w:rPr>
        <w:t xml:space="preserve">Elliott, K. M., &amp; Shin, D. (2002). Student satisfaction: An alternative approach. Journal of Higher Education Policy and Management, 24(2), 197–209.</w:t>
      </w:r>
    </w:p>
    <w:p>
      <w:pPr>
        <w:spacing w:after="180" w:line="300"/>
        <w:ind w:left="360" w:hanging="360"/>
        <w:jc w:val="left"/>
      </w:pPr>
      <w:r>
        <w:rPr>
          <w:rFonts w:ascii="Calibri" w:cs="Calibri" w:eastAsia="Calibri" w:hAnsi="Calibri"/>
          <w:i w:val="false"/>
          <w:iCs w:val="false"/>
          <w:sz w:val="24"/>
          <w:szCs w:val="24"/>
          <w:lang w:val="en-US"/>
        </w:rPr>
        <w:t xml:space="preserve">Parasuraman, A., Zeithaml, V. A., &amp; Berry, L. L. (1988). SERVQUAL: A multiple-item scale for measuring consumer perceptions of service quality. Journal of Retailing, 64(1), 12–40.</w:t>
      </w:r>
    </w:p>
    <w:p>
      <w:pPr>
        <w:spacing w:after="180" w:line="300"/>
        <w:ind w:left="360" w:hanging="360"/>
        <w:jc w:val="left"/>
      </w:pPr>
      <w:r>
        <w:rPr>
          <w:rFonts w:ascii="Calibri" w:cs="Calibri" w:eastAsia="Calibri" w:hAnsi="Calibri"/>
          <w:i w:val="false"/>
          <w:iCs w:val="false"/>
          <w:sz w:val="24"/>
          <w:szCs w:val="24"/>
          <w:lang w:val="en-US"/>
        </w:rPr>
        <w:t xml:space="preserve">Sallis, E. (2014). Total Quality Management in Education (3rd ed.). Routledge.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2026-07-26T20:54:02.771Z</dcterms:created>
  <dcterms:modified xsi:type="dcterms:W3CDTF">2026-07-26T20:54:02.840Z</dcterms:modified>
</cp:coreProperties>
</file>

<file path=docProps/custom.xml><?xml version="1.0" encoding="utf-8"?>
<Properties xmlns="http://schemas.openxmlformats.org/officeDocument/2006/custom-properties" xmlns:vt="http://schemas.openxmlformats.org/officeDocument/2006/docPropsVTypes"/>
</file>