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ACDD95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928EE">
        <w:rPr>
          <w:rFonts w:ascii="Sakkal Majalla" w:hAnsi="Sakkal Majalla" w:cs="Sakkal Majalla" w:hint="cs"/>
          <w:b/>
          <w:bCs/>
          <w:sz w:val="28"/>
          <w:szCs w:val="28"/>
          <w:rtl/>
          <w:lang w:bidi="ar-EG"/>
        </w:rPr>
        <w:t xml:space="preserve"> ادارة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422BC2E" w14:textId="77777777" w:rsidR="00D37D81" w:rsidRDefault="00D37D81">
      <w:pPr>
        <w:pStyle w:val="s6"/>
        <w:bidi/>
        <w:spacing w:before="0" w:beforeAutospacing="0" w:after="0" w:afterAutospacing="0" w:line="324" w:lineRule="atLeast"/>
        <w:jc w:val="center"/>
        <w:rPr>
          <w:rFonts w:ascii="-webkit-standard" w:hAnsi="-webkit-standard"/>
          <w:color w:val="000000"/>
          <w:sz w:val="27"/>
          <w:szCs w:val="27"/>
        </w:rPr>
      </w:pPr>
      <w:r>
        <w:rPr>
          <w:rStyle w:val="bumpedfont15"/>
          <w:rFonts w:ascii="Sakkal Majalla" w:hAnsi="Sakkal Majalla" w:cs="Sakkal Majalla" w:hint="cs"/>
          <w:b/>
          <w:bCs/>
          <w:color w:val="000000"/>
          <w:sz w:val="32"/>
          <w:szCs w:val="32"/>
          <w:rtl/>
        </w:rPr>
        <w:t>عنوان البحث</w:t>
      </w:r>
    </w:p>
    <w:p w14:paraId="30AC9256" w14:textId="77777777" w:rsidR="00397BC7" w:rsidRPr="00397BC7" w:rsidRDefault="00397BC7" w:rsidP="00397BC7">
      <w:pPr>
        <w:pStyle w:val="s6"/>
        <w:spacing w:after="0" w:line="324" w:lineRule="atLeast"/>
        <w:jc w:val="center"/>
        <w:rPr>
          <w:rStyle w:val="bumpedfont15"/>
          <w:rFonts w:ascii="Simplified Arabic" w:hAnsi="Simplified Arabic" w:cs="Simplified Arabic"/>
          <w:b/>
          <w:bCs/>
          <w:color w:val="000000"/>
          <w:sz w:val="32"/>
          <w:szCs w:val="32"/>
        </w:rPr>
      </w:pPr>
      <w:r w:rsidRPr="00397BC7">
        <w:rPr>
          <w:rStyle w:val="bumpedfont15"/>
          <w:rFonts w:ascii="Simplified Arabic" w:hAnsi="Simplified Arabic" w:cs="Simplified Arabic" w:hint="eastAsia"/>
          <w:b/>
          <w:bCs/>
          <w:color w:val="000000"/>
          <w:sz w:val="32"/>
          <w:szCs w:val="32"/>
          <w:rtl/>
        </w:rPr>
        <w:t>تقييم</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فعالية</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استراتيجيات</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إدارة</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المخاطر</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التشغيلية</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في</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القطاع</w:t>
      </w:r>
    </w:p>
    <w:p w14:paraId="6776C7D4" w14:textId="77777777" w:rsidR="00397BC7" w:rsidRPr="00397BC7" w:rsidRDefault="00397BC7" w:rsidP="00397BC7">
      <w:pPr>
        <w:pStyle w:val="s6"/>
        <w:spacing w:after="0" w:line="324" w:lineRule="atLeast"/>
        <w:jc w:val="center"/>
        <w:rPr>
          <w:rStyle w:val="bumpedfont15"/>
          <w:rFonts w:ascii="Simplified Arabic" w:hAnsi="Simplified Arabic" w:cs="Simplified Arabic"/>
          <w:b/>
          <w:bCs/>
          <w:color w:val="000000"/>
          <w:sz w:val="32"/>
          <w:szCs w:val="32"/>
        </w:rPr>
      </w:pPr>
      <w:r w:rsidRPr="00397BC7">
        <w:rPr>
          <w:rStyle w:val="bumpedfont15"/>
          <w:rFonts w:ascii="Simplified Arabic" w:hAnsi="Simplified Arabic" w:cs="Simplified Arabic" w:hint="eastAsia"/>
          <w:b/>
          <w:bCs/>
          <w:color w:val="000000"/>
          <w:sz w:val="32"/>
          <w:szCs w:val="32"/>
          <w:rtl/>
        </w:rPr>
        <w:t>المصرفي</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دراسة</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تطبيقية</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على</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البنوك</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التجارية</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في</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المملكة</w:t>
      </w:r>
    </w:p>
    <w:p w14:paraId="79AFFCA7" w14:textId="2D1A70C6" w:rsidR="00D37D81" w:rsidRDefault="00397BC7">
      <w:pPr>
        <w:pStyle w:val="s6"/>
        <w:bidi/>
        <w:spacing w:before="0" w:beforeAutospacing="0" w:after="0" w:afterAutospacing="0" w:line="324" w:lineRule="atLeast"/>
        <w:jc w:val="center"/>
        <w:rPr>
          <w:rFonts w:ascii="-webkit-standard" w:hAnsi="-webkit-standard"/>
          <w:color w:val="000000"/>
          <w:sz w:val="27"/>
          <w:szCs w:val="27"/>
          <w:rtl/>
        </w:rPr>
      </w:pPr>
      <w:r w:rsidRPr="00397BC7">
        <w:rPr>
          <w:rStyle w:val="bumpedfont15"/>
          <w:rFonts w:ascii="Simplified Arabic" w:hAnsi="Simplified Arabic" w:cs="Simplified Arabic"/>
          <w:b/>
          <w:bCs/>
          <w:color w:val="000000"/>
          <w:sz w:val="32"/>
          <w:szCs w:val="32"/>
          <w:rtl/>
        </w:rPr>
        <w:t>"</w:t>
      </w:r>
      <w:r w:rsidRPr="00397BC7">
        <w:rPr>
          <w:rStyle w:val="bumpedfont15"/>
          <w:rFonts w:ascii="Simplified Arabic" w:hAnsi="Simplified Arabic" w:cs="Simplified Arabic" w:hint="eastAsia"/>
          <w:b/>
          <w:bCs/>
          <w:color w:val="000000"/>
          <w:sz w:val="32"/>
          <w:szCs w:val="32"/>
          <w:rtl/>
        </w:rPr>
        <w:t>العربية</w:t>
      </w:r>
      <w:r w:rsidRPr="00397BC7">
        <w:rPr>
          <w:rStyle w:val="bumpedfont15"/>
          <w:rFonts w:ascii="Simplified Arabic" w:hAnsi="Simplified Arabic" w:cs="Simplified Arabic"/>
          <w:b/>
          <w:bCs/>
          <w:color w:val="000000"/>
          <w:sz w:val="32"/>
          <w:szCs w:val="32"/>
          <w:rtl/>
        </w:rPr>
        <w:t xml:space="preserve"> </w:t>
      </w:r>
      <w:r w:rsidRPr="00397BC7">
        <w:rPr>
          <w:rStyle w:val="bumpedfont15"/>
          <w:rFonts w:ascii="Simplified Arabic" w:hAnsi="Simplified Arabic" w:cs="Simplified Arabic" w:hint="eastAsia"/>
          <w:b/>
          <w:bCs/>
          <w:color w:val="000000"/>
          <w:sz w:val="32"/>
          <w:szCs w:val="32"/>
          <w:rtl/>
        </w:rPr>
        <w:t>السعو</w:t>
      </w:r>
      <w:r w:rsidR="004F0DAE">
        <w:rPr>
          <w:rFonts w:ascii="-webkit-standard" w:hAnsi="-webkit-standard" w:hint="cs"/>
          <w:color w:val="000000"/>
          <w:sz w:val="27"/>
          <w:szCs w:val="27"/>
          <w:rtl/>
        </w:rPr>
        <w:t>ديةً</w:t>
      </w:r>
    </w:p>
    <w:p w14:paraId="6F7C91F8" w14:textId="77777777" w:rsidR="00D37D81" w:rsidRDefault="00D37D81">
      <w:pPr>
        <w:pStyle w:val="s6"/>
        <w:bidi/>
        <w:spacing w:before="0" w:beforeAutospacing="0" w:after="0" w:afterAutospacing="0" w:line="324" w:lineRule="atLeast"/>
        <w:jc w:val="center"/>
        <w:rPr>
          <w:rFonts w:ascii="-webkit-standard" w:hAnsi="-webkit-standard"/>
          <w:color w:val="000000"/>
          <w:sz w:val="27"/>
          <w:szCs w:val="27"/>
          <w:rtl/>
        </w:rPr>
      </w:pPr>
      <w:r>
        <w:rPr>
          <w:rFonts w:ascii="-webkit-standard" w:hAnsi="-webkit-standard"/>
          <w:color w:val="000000"/>
          <w:sz w:val="27"/>
          <w:szCs w:val="27"/>
          <w:rtl/>
        </w:rPr>
        <w:t> </w:t>
      </w:r>
    </w:p>
    <w:p w14:paraId="18F8C850" w14:textId="77777777" w:rsidR="00D37D81" w:rsidRDefault="00D37D81">
      <w:pPr>
        <w:pStyle w:val="s6"/>
        <w:bidi/>
        <w:spacing w:before="0" w:beforeAutospacing="0" w:after="0" w:afterAutospacing="0" w:line="324" w:lineRule="atLeast"/>
        <w:jc w:val="center"/>
        <w:rPr>
          <w:rFonts w:ascii="-webkit-standard" w:hAnsi="-webkit-standard"/>
          <w:color w:val="000000"/>
          <w:sz w:val="27"/>
          <w:szCs w:val="27"/>
          <w:rtl/>
        </w:rPr>
      </w:pPr>
      <w:r>
        <w:rPr>
          <w:rFonts w:ascii="-webkit-standard" w:hAnsi="-webkit-standard"/>
          <w:color w:val="000000"/>
          <w:sz w:val="27"/>
          <w:szCs w:val="27"/>
          <w:rtl/>
        </w:rPr>
        <w:t> </w:t>
      </w:r>
    </w:p>
    <w:p w14:paraId="1B296A39" w14:textId="4159AA43" w:rsidR="00D37D81" w:rsidRDefault="00D37D81">
      <w:pPr>
        <w:pStyle w:val="s6"/>
        <w:bidi/>
        <w:spacing w:before="0" w:beforeAutospacing="0" w:after="0" w:afterAutospacing="0" w:line="324" w:lineRule="atLeast"/>
        <w:jc w:val="center"/>
        <w:rPr>
          <w:rFonts w:ascii="-webkit-standard" w:hAnsi="-webkit-standard"/>
          <w:color w:val="000000"/>
          <w:sz w:val="27"/>
          <w:szCs w:val="27"/>
          <w:rtl/>
        </w:rPr>
      </w:pPr>
      <w:r>
        <w:rPr>
          <w:rStyle w:val="bumpedfont15"/>
          <w:rFonts w:ascii="Sakkal Majalla" w:hAnsi="Sakkal Majalla" w:cs="Sakkal Majalla" w:hint="cs"/>
          <w:b/>
          <w:bCs/>
          <w:color w:val="000000"/>
          <w:sz w:val="32"/>
          <w:szCs w:val="32"/>
          <w:rtl/>
        </w:rPr>
        <w:t>إعداد الطالب</w:t>
      </w:r>
      <w:r w:rsidR="000928EE">
        <w:rPr>
          <w:rStyle w:val="bumpedfont15"/>
          <w:rFonts w:ascii="Sakkal Majalla" w:hAnsi="Sakkal Majalla" w:cs="Sakkal Majalla" w:hint="cs"/>
          <w:b/>
          <w:bCs/>
          <w:color w:val="000000"/>
          <w:sz w:val="32"/>
          <w:szCs w:val="32"/>
          <w:rtl/>
        </w:rPr>
        <w:t>ه</w:t>
      </w:r>
      <w:r>
        <w:rPr>
          <w:rStyle w:val="bumpedfont15"/>
          <w:rFonts w:ascii="Sakkal Majalla" w:hAnsi="Sakkal Majalla" w:cs="Sakkal Majalla" w:hint="cs"/>
          <w:b/>
          <w:bCs/>
          <w:color w:val="000000"/>
          <w:sz w:val="32"/>
          <w:szCs w:val="32"/>
          <w:rtl/>
        </w:rPr>
        <w:t>/</w:t>
      </w:r>
      <w:r w:rsidR="000928EE">
        <w:rPr>
          <w:rStyle w:val="bumpedfont15"/>
          <w:rFonts w:ascii="Sakkal Majalla" w:hAnsi="Sakkal Majalla" w:cs="Sakkal Majalla" w:hint="cs"/>
          <w:b/>
          <w:bCs/>
          <w:color w:val="000000"/>
          <w:sz w:val="32"/>
          <w:szCs w:val="32"/>
          <w:rtl/>
        </w:rPr>
        <w:t xml:space="preserve"> بيان عبدالحميد البكري</w:t>
      </w:r>
    </w:p>
    <w:p w14:paraId="1988916D" w14:textId="77777777" w:rsidR="00D37D81" w:rsidRDefault="00D37D81">
      <w:pPr>
        <w:pStyle w:val="s6"/>
        <w:bidi/>
        <w:spacing w:before="0" w:beforeAutospacing="0" w:after="0" w:afterAutospacing="0" w:line="324" w:lineRule="atLeast"/>
        <w:jc w:val="center"/>
        <w:rPr>
          <w:rFonts w:ascii="-webkit-standard" w:hAnsi="-webkit-standard"/>
          <w:color w:val="000000"/>
          <w:sz w:val="27"/>
          <w:szCs w:val="27"/>
          <w:rtl/>
        </w:rPr>
      </w:pPr>
      <w:r>
        <w:rPr>
          <w:rFonts w:ascii="-webkit-standard" w:hAnsi="-webkit-standard"/>
          <w:color w:val="000000"/>
          <w:sz w:val="27"/>
          <w:szCs w:val="27"/>
          <w:rtl/>
        </w:rPr>
        <w:t> </w:t>
      </w:r>
    </w:p>
    <w:p w14:paraId="273FB626" w14:textId="77777777" w:rsidR="00D37D81" w:rsidRDefault="00D37D81">
      <w:pPr>
        <w:pStyle w:val="s6"/>
        <w:bidi/>
        <w:spacing w:before="0" w:beforeAutospacing="0" w:after="0" w:afterAutospacing="0" w:line="324" w:lineRule="atLeast"/>
        <w:jc w:val="center"/>
        <w:rPr>
          <w:rFonts w:ascii="-webkit-standard" w:hAnsi="-webkit-standard"/>
          <w:color w:val="000000"/>
          <w:sz w:val="27"/>
          <w:szCs w:val="27"/>
          <w:rtl/>
        </w:rPr>
      </w:pPr>
      <w:r>
        <w:rPr>
          <w:rFonts w:ascii="-webkit-standard" w:hAnsi="-webkit-standard"/>
          <w:color w:val="000000"/>
          <w:sz w:val="27"/>
          <w:szCs w:val="27"/>
          <w:rtl/>
        </w:rPr>
        <w:t> </w:t>
      </w:r>
    </w:p>
    <w:p w14:paraId="523BA872" w14:textId="77777777" w:rsidR="00D37D81" w:rsidRDefault="00D37D81">
      <w:pPr>
        <w:pStyle w:val="s6"/>
        <w:bidi/>
        <w:spacing w:before="0" w:beforeAutospacing="0" w:after="0" w:afterAutospacing="0" w:line="324" w:lineRule="atLeast"/>
        <w:jc w:val="center"/>
        <w:rPr>
          <w:rFonts w:ascii="-webkit-standard" w:hAnsi="-webkit-standard"/>
          <w:color w:val="000000"/>
          <w:sz w:val="27"/>
          <w:szCs w:val="27"/>
          <w:rtl/>
        </w:rPr>
      </w:pPr>
      <w:r>
        <w:rPr>
          <w:rStyle w:val="bumpedfont15"/>
          <w:rFonts w:ascii="Sakkal Majalla" w:hAnsi="Sakkal Majalla" w:cs="Sakkal Majalla" w:hint="cs"/>
          <w:b/>
          <w:bCs/>
          <w:color w:val="000000"/>
          <w:sz w:val="32"/>
          <w:szCs w:val="32"/>
          <w:rtl/>
        </w:rPr>
        <w:t>إشراف/</w:t>
      </w:r>
    </w:p>
    <w:p w14:paraId="55B9F2AE" w14:textId="77777777" w:rsidR="00D37D81" w:rsidRDefault="00D37D81">
      <w:pPr>
        <w:pStyle w:val="s6"/>
        <w:bidi/>
        <w:spacing w:before="0" w:beforeAutospacing="0" w:after="0" w:afterAutospacing="0" w:line="324" w:lineRule="atLeast"/>
        <w:jc w:val="center"/>
        <w:rPr>
          <w:rFonts w:ascii="-webkit-standard" w:hAnsi="-webkit-standard"/>
          <w:color w:val="000000"/>
          <w:sz w:val="27"/>
          <w:szCs w:val="27"/>
          <w:rtl/>
        </w:rPr>
      </w:pPr>
      <w:r>
        <w:rPr>
          <w:rStyle w:val="bumpedfont15"/>
          <w:rFonts w:ascii="Sakkal Majalla" w:hAnsi="Sakkal Majalla" w:cs="Sakkal Majalla" w:hint="cs"/>
          <w:b/>
          <w:bCs/>
          <w:color w:val="000000"/>
          <w:sz w:val="32"/>
          <w:szCs w:val="32"/>
          <w:rtl/>
        </w:rPr>
        <w:t>د.الفيصل عبد الحميد</w:t>
      </w:r>
    </w:p>
    <w:p w14:paraId="599FF22C" w14:textId="77777777" w:rsidR="00D37D81" w:rsidRDefault="00D37D81">
      <w:pPr>
        <w:pStyle w:val="s6"/>
        <w:bidi/>
        <w:spacing w:before="0" w:beforeAutospacing="0" w:after="0" w:afterAutospacing="0" w:line="324" w:lineRule="atLeast"/>
        <w:jc w:val="center"/>
        <w:rPr>
          <w:rFonts w:ascii="-webkit-standard" w:hAnsi="-webkit-standard"/>
          <w:color w:val="000000"/>
          <w:sz w:val="27"/>
          <w:szCs w:val="27"/>
          <w:rtl/>
        </w:rPr>
      </w:pPr>
      <w:r>
        <w:rPr>
          <w:rStyle w:val="bumpedfont15"/>
          <w:rFonts w:ascii="Sakkal Majalla" w:hAnsi="Sakkal Majalla" w:cs="Sakkal Majalla" w:hint="cs"/>
          <w:b/>
          <w:bCs/>
          <w:color w:val="000000"/>
          <w:sz w:val="32"/>
          <w:szCs w:val="32"/>
          <w:rtl/>
        </w:rPr>
        <w:t>د.فايز جراد</w:t>
      </w:r>
    </w:p>
    <w:p w14:paraId="681A7094" w14:textId="77777777" w:rsidR="00D37D81" w:rsidRDefault="00D37D81">
      <w:pPr>
        <w:pStyle w:val="s6"/>
        <w:bidi/>
        <w:spacing w:before="0" w:beforeAutospacing="0" w:after="0" w:afterAutospacing="0" w:line="324" w:lineRule="atLeast"/>
        <w:jc w:val="center"/>
        <w:rPr>
          <w:rFonts w:ascii="-webkit-standard" w:hAnsi="-webkit-standard"/>
          <w:color w:val="000000"/>
          <w:sz w:val="27"/>
          <w:szCs w:val="27"/>
          <w:rtl/>
        </w:rPr>
      </w:pPr>
      <w:r>
        <w:rPr>
          <w:rFonts w:ascii="-webkit-standard" w:hAnsi="-webkit-standard"/>
          <w:color w:val="000000"/>
          <w:sz w:val="27"/>
          <w:szCs w:val="27"/>
          <w:rtl/>
        </w:rPr>
        <w:t> </w:t>
      </w:r>
    </w:p>
    <w:p w14:paraId="595DBB80" w14:textId="77777777" w:rsidR="00D37D81" w:rsidRDefault="00D37D81">
      <w:pPr>
        <w:pStyle w:val="s6"/>
        <w:bidi/>
        <w:spacing w:before="0" w:beforeAutospacing="0" w:after="0" w:afterAutospacing="0" w:line="324" w:lineRule="atLeast"/>
        <w:jc w:val="center"/>
        <w:rPr>
          <w:rFonts w:ascii="-webkit-standard" w:hAnsi="-webkit-standard"/>
          <w:color w:val="000000"/>
          <w:sz w:val="27"/>
          <w:szCs w:val="27"/>
          <w:rtl/>
        </w:rPr>
      </w:pPr>
      <w:r>
        <w:rPr>
          <w:rFonts w:ascii="-webkit-standard" w:hAnsi="-webkit-standard"/>
          <w:color w:val="000000"/>
          <w:sz w:val="27"/>
          <w:szCs w:val="27"/>
          <w:rtl/>
        </w:rPr>
        <w:t> </w:t>
      </w:r>
    </w:p>
    <w:p w14:paraId="22738CC6" w14:textId="77777777" w:rsidR="009125CE" w:rsidRDefault="009125CE" w:rsidP="009125CE">
      <w:pPr>
        <w:jc w:val="center"/>
        <w:rPr>
          <w:rFonts w:ascii="Sakkal Majalla" w:hAnsi="Sakkal Majalla" w:cs="Sakkal Majalla"/>
          <w:b/>
          <w:bCs/>
          <w:sz w:val="28"/>
          <w:szCs w:val="28"/>
          <w:rtl/>
          <w:lang w:bidi="ar-EG"/>
        </w:rPr>
      </w:pPr>
    </w:p>
    <w:p w14:paraId="599C9DFF" w14:textId="77777777" w:rsidR="00AC10FD" w:rsidRDefault="00AC10FD" w:rsidP="009125CE">
      <w:pPr>
        <w:jc w:val="center"/>
        <w:rPr>
          <w:rFonts w:ascii="Sakkal Majalla" w:hAnsi="Sakkal Majalla" w:cs="Sakkal Majalla"/>
          <w:b/>
          <w:bCs/>
          <w:sz w:val="28"/>
          <w:szCs w:val="28"/>
          <w:rtl/>
          <w:lang w:bidi="ar-EG"/>
        </w:rPr>
      </w:pPr>
    </w:p>
    <w:p w14:paraId="304DEA99" w14:textId="77777777" w:rsidR="00AC10FD" w:rsidRDefault="00AC10FD" w:rsidP="009125CE">
      <w:pPr>
        <w:jc w:val="center"/>
        <w:rPr>
          <w:rFonts w:ascii="Sakkal Majalla" w:hAnsi="Sakkal Majalla" w:cs="Sakkal Majalla"/>
          <w:b/>
          <w:bCs/>
          <w:sz w:val="28"/>
          <w:szCs w:val="28"/>
          <w:rtl/>
          <w:lang w:bidi="ar-EG"/>
        </w:rPr>
      </w:pPr>
    </w:p>
    <w:p w14:paraId="2B41E1CD" w14:textId="77777777" w:rsidR="00AC10FD" w:rsidRPr="001902DB" w:rsidRDefault="00AC10FD" w:rsidP="004F0DAE">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8BB72BF" w:rsidR="009125CE" w:rsidRPr="001902DB" w:rsidRDefault="00EB3180"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val="en-GB"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C92AB71" w14:textId="77777777" w:rsidR="009125CE" w:rsidRDefault="009125CE" w:rsidP="00C6598F">
      <w:pPr>
        <w:jc w:val="mediumKashida"/>
        <w:rPr>
          <w:rFonts w:ascii="Sakkal Majalla" w:eastAsia="Times New Roman" w:hAnsi="Sakkal Majalla" w:cs="Sakkal Majalla"/>
          <w:color w:val="000000"/>
          <w:sz w:val="34"/>
          <w:szCs w:val="34"/>
          <w:rtl/>
        </w:rPr>
      </w:pPr>
    </w:p>
    <w:p w14:paraId="3D019D42" w14:textId="77777777" w:rsidR="000E26B0" w:rsidRDefault="000E26B0" w:rsidP="00C6598F">
      <w:pPr>
        <w:jc w:val="mediumKashida"/>
        <w:rPr>
          <w:rFonts w:ascii="Sakkal Majalla" w:eastAsia="Times New Roman" w:hAnsi="Sakkal Majalla" w:cs="Sakkal Majalla"/>
          <w:color w:val="000000"/>
          <w:sz w:val="34"/>
          <w:szCs w:val="34"/>
          <w:rtl/>
        </w:rPr>
      </w:pPr>
    </w:p>
    <w:p w14:paraId="09FB1083" w14:textId="77777777" w:rsidR="000E26B0" w:rsidRDefault="000E26B0" w:rsidP="00C6598F">
      <w:pPr>
        <w:jc w:val="mediumKashida"/>
        <w:rPr>
          <w:rFonts w:ascii="Sakkal Majalla" w:eastAsia="Times New Roman" w:hAnsi="Sakkal Majalla" w:cs="Sakkal Majalla"/>
          <w:color w:val="000000"/>
          <w:sz w:val="34"/>
          <w:szCs w:val="34"/>
          <w:rtl/>
        </w:rPr>
      </w:pPr>
    </w:p>
    <w:p w14:paraId="616A9C37" w14:textId="77777777" w:rsidR="000E26B0" w:rsidRDefault="000E26B0" w:rsidP="00C6598F">
      <w:pPr>
        <w:jc w:val="mediumKashida"/>
        <w:rPr>
          <w:rFonts w:ascii="Sakkal Majalla" w:eastAsia="Times New Roman" w:hAnsi="Sakkal Majalla" w:cs="Sakkal Majalla"/>
          <w:color w:val="000000"/>
          <w:sz w:val="34"/>
          <w:szCs w:val="34"/>
          <w:rtl/>
        </w:rPr>
      </w:pPr>
    </w:p>
    <w:p w14:paraId="28C4251A" w14:textId="77777777" w:rsidR="000E26B0" w:rsidRDefault="000E26B0" w:rsidP="00C6598F">
      <w:pPr>
        <w:jc w:val="mediumKashida"/>
        <w:rPr>
          <w:rFonts w:ascii="Sakkal Majalla" w:eastAsia="Times New Roman" w:hAnsi="Sakkal Majalla" w:cs="Sakkal Majalla"/>
          <w:color w:val="000000"/>
          <w:sz w:val="34"/>
          <w:szCs w:val="34"/>
          <w:rtl/>
        </w:rPr>
      </w:pPr>
    </w:p>
    <w:p w14:paraId="558C1836" w14:textId="77777777" w:rsidR="000E26B0" w:rsidRDefault="000E26B0" w:rsidP="00C6598F">
      <w:pPr>
        <w:jc w:val="mediumKashida"/>
        <w:rPr>
          <w:rFonts w:ascii="Sakkal Majalla" w:eastAsia="Times New Roman" w:hAnsi="Sakkal Majalla" w:cs="Sakkal Majalla"/>
          <w:color w:val="000000"/>
          <w:sz w:val="34"/>
          <w:szCs w:val="34"/>
          <w:rtl/>
        </w:rPr>
      </w:pPr>
    </w:p>
    <w:p w14:paraId="117E196A" w14:textId="77777777" w:rsidR="000E26B0" w:rsidRDefault="000E26B0" w:rsidP="00C6598F">
      <w:pPr>
        <w:jc w:val="mediumKashida"/>
        <w:rPr>
          <w:rFonts w:ascii="Sakkal Majalla" w:eastAsia="Times New Roman" w:hAnsi="Sakkal Majalla" w:cs="Sakkal Majalla"/>
          <w:color w:val="000000"/>
          <w:sz w:val="34"/>
          <w:szCs w:val="34"/>
          <w:rtl/>
        </w:rPr>
      </w:pPr>
    </w:p>
    <w:p w14:paraId="31BB6E18" w14:textId="77777777" w:rsidR="000E26B0" w:rsidRDefault="000E26B0" w:rsidP="00C6598F">
      <w:pPr>
        <w:jc w:val="mediumKashida"/>
        <w:rPr>
          <w:rFonts w:ascii="Sakkal Majalla" w:eastAsia="Times New Roman" w:hAnsi="Sakkal Majalla" w:cs="Sakkal Majalla"/>
          <w:color w:val="000000"/>
          <w:sz w:val="34"/>
          <w:szCs w:val="34"/>
          <w:rtl/>
        </w:rPr>
      </w:pPr>
    </w:p>
    <w:p w14:paraId="5E6A1300" w14:textId="77777777" w:rsidR="000E26B0" w:rsidRDefault="000E26B0" w:rsidP="00C6598F">
      <w:pPr>
        <w:jc w:val="mediumKashida"/>
        <w:rPr>
          <w:rFonts w:ascii="Sakkal Majalla" w:eastAsia="Times New Roman" w:hAnsi="Sakkal Majalla" w:cs="Sakkal Majalla"/>
          <w:color w:val="000000"/>
          <w:sz w:val="34"/>
          <w:szCs w:val="34"/>
          <w:rtl/>
        </w:rPr>
      </w:pPr>
    </w:p>
    <w:p w14:paraId="77E76C8C" w14:textId="77777777" w:rsidR="000E26B0" w:rsidRPr="00C6598F" w:rsidRDefault="000E26B0" w:rsidP="00C6598F">
      <w:pPr>
        <w:jc w:val="mediumKashida"/>
        <w:rPr>
          <w:rFonts w:ascii="Sakkal Majalla" w:hAnsi="Sakkal Majalla" w:cs="Sakkal Majalla"/>
          <w:sz w:val="34"/>
          <w:szCs w:val="34"/>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53F157DE" w14:textId="77777777" w:rsidR="00267DCA" w:rsidRDefault="00267DCA" w:rsidP="009125CE">
      <w:pPr>
        <w:rPr>
          <w:rFonts w:ascii="Sakkal Majalla" w:hAnsi="Sakkal Majalla" w:cs="Sakkal Majalla"/>
          <w:sz w:val="28"/>
          <w:szCs w:val="28"/>
          <w:u w:val="single"/>
          <w:rtl/>
        </w:rPr>
      </w:pPr>
    </w:p>
    <w:p w14:paraId="136FC5B4" w14:textId="77777777" w:rsidR="000E26B0" w:rsidRDefault="000E26B0" w:rsidP="009125CE">
      <w:pPr>
        <w:rPr>
          <w:rFonts w:ascii="Sakkal Majalla" w:hAnsi="Sakkal Majalla" w:cs="Sakkal Majalla"/>
          <w:sz w:val="28"/>
          <w:szCs w:val="28"/>
          <w:u w:val="single"/>
          <w:rtl/>
        </w:rPr>
      </w:pPr>
    </w:p>
    <w:p w14:paraId="1EB6DACC" w14:textId="77777777" w:rsidR="000E26B0" w:rsidRDefault="000E26B0" w:rsidP="009125CE">
      <w:pPr>
        <w:rPr>
          <w:rFonts w:ascii="Sakkal Majalla" w:hAnsi="Sakkal Majalla" w:cs="Sakkal Majalla"/>
          <w:sz w:val="28"/>
          <w:szCs w:val="28"/>
          <w:u w:val="single"/>
          <w:rtl/>
        </w:rPr>
      </w:pPr>
    </w:p>
    <w:p w14:paraId="29ECD809" w14:textId="77777777" w:rsidR="000E26B0" w:rsidRDefault="000E26B0" w:rsidP="009125CE">
      <w:pPr>
        <w:rPr>
          <w:rFonts w:ascii="Sakkal Majalla" w:hAnsi="Sakkal Majalla" w:cs="Sakkal Majalla"/>
          <w:sz w:val="28"/>
          <w:szCs w:val="28"/>
          <w:u w:val="single"/>
          <w:rtl/>
        </w:rPr>
      </w:pPr>
    </w:p>
    <w:p w14:paraId="3D346AF5" w14:textId="5344553B" w:rsidR="00F925D0" w:rsidRPr="005A5666" w:rsidRDefault="00F925D0" w:rsidP="005A5666">
      <w:pPr>
        <w:rPr>
          <w:rFonts w:ascii="Sakkal Majalla" w:hAnsi="Sakkal Majalla" w:cs="Sakkal Majalla"/>
          <w:sz w:val="28"/>
          <w:szCs w:val="28"/>
          <w:u w:val="single"/>
          <w:rtl/>
        </w:rPr>
      </w:pPr>
    </w:p>
    <w:p w14:paraId="2D153D95" w14:textId="77777777" w:rsidR="009D7E50" w:rsidRPr="009D7E50" w:rsidRDefault="009D7E50" w:rsidP="0011512E">
      <w:pPr>
        <w:spacing w:line="360" w:lineRule="auto"/>
        <w:jc w:val="mediumKashida"/>
        <w:rPr>
          <w:rFonts w:ascii="Traditional Arabic" w:hAnsi="Traditional Arabic" w:cs="Traditional Arabic"/>
          <w:sz w:val="40"/>
          <w:szCs w:val="40"/>
        </w:rPr>
      </w:pPr>
      <w:r w:rsidRPr="009D7E50">
        <w:rPr>
          <w:rFonts w:ascii="Traditional Arabic" w:hAnsi="Traditional Arabic" w:cs="Traditional Arabic" w:hint="cs"/>
          <w:sz w:val="40"/>
          <w:szCs w:val="40"/>
          <w:rtl/>
        </w:rPr>
        <w:t>مقدمة:</w:t>
      </w:r>
    </w:p>
    <w:p w14:paraId="22E84EF4"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يكمن دور أساليب المحاسبة الإدارية لمساعدة الإدارة في تحقيق أهدافها من تنفيذ الخطط المرسومة ، ومدى الانحراف عنها ومعرفة الأسباب التى تؤدي إلى هذا الانحراف ، ومن المعروف أن التخطيط يتضمن تحديد الأهداف المطلوبة ووسائل تحقيق تلك الأهداف ؛ فالإدارة لا تحدد فقط ما هو مطلوب إنجازه خلال الفترة القادمة بل يجب أن تحدد كيفية بلوغ تلك الأهداف المرغوبة ووضع الخطط لتنفيذها.</w:t>
      </w:r>
    </w:p>
    <w:p w14:paraId="4529A79A"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xml:space="preserve">وتشكل المصارف والمؤسسات المالية لبنة أساسية مهمة في بناء الاقتصاد والأعمال في أي دولة ، إذ إن القطاع المصرفي له دور كبير لا يمكن تجاهله في عملية التطوير الاقتصادي؛ لأنه يعتبر الوسيلة التى من خلالها تطبق الدولة نظامها النقدي وسياساتها المالية، وتتعرض المصارف التجارية في ظل التغيرات المستمرة في البيئة الاقتصادية إلى العديد من المخاطر التى تؤثر على أنشطتها المختلفة ومن أمثلة المخاطر التى تواجه المصارف التجارية(مخاطر الائتمان ومخاطر </w:t>
      </w:r>
      <w:r w:rsidRPr="009D7E50">
        <w:rPr>
          <w:rFonts w:ascii="Traditional Arabic" w:hAnsi="Traditional Arabic" w:cs="Traditional Arabic" w:hint="cs"/>
          <w:sz w:val="40"/>
          <w:szCs w:val="40"/>
          <w:rtl/>
        </w:rPr>
        <w:lastRenderedPageBreak/>
        <w:t>السيولة ومخاطر السوق والمخاطر التشغيلية والمخاطر الإستراتيجية) وغيرها من المخاطر الأخرى</w:t>
      </w:r>
    </w:p>
    <w:p w14:paraId="6A0FAB4A"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أدت التطورات التكنولوجية المتسارعة لحدوث العديد من التغيرات الجذرية في القطاع المصرفي، حيث أصبح التحول الرقمي خياراً استراتيجياً لتحقيق التنافسية وضمان استمرارية الأداء بكفاءة وفعالية، وقد فرض التحول الرقمي العديد من التحديات التي تتطلب تحسين الأنظمة الداخلية لمواكبة هذا التحول، خاصة في ظل التوجه العالمي لتحقيق التوافق في التكنولوجية المالية، وبالرغم من ذلك فإن هذا التحول الرقمي قد يعرض المصارف للعديد من المخاطر فبالتالي يتطلب من المراجعين الداخليين الإستجابة لمخاطر التحول الرقمي، من خلال تنمية وتطوير مهاراتهم لتحسين قدرتهم على فهم التكنولوجية المالية، ليتمكنوا من القيام بأدوارهم التوكيدية والاستشارية.</w:t>
      </w:r>
    </w:p>
    <w:p w14:paraId="762B28BF"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xml:space="preserve">تعتبر الأدوار التوكيدية والاستشارية للمراجعة الداخلي أحد أهم الدعائم لنجاح استراتيجيات التحول الرقمي بالمصارف، حيث تتجاوز مهامها التقليدية إلى تقديم قيمة مضافة للجهات الإدارية من خلال التحقق من سلامة الأنظمة الرقمية وتقديم الاستشارات حول تحسين بيئة العمل الرقمية وإدارة المخاطر </w:t>
      </w:r>
      <w:r w:rsidRPr="009D7E50">
        <w:rPr>
          <w:rFonts w:ascii="Traditional Arabic" w:hAnsi="Traditional Arabic" w:cs="Traditional Arabic" w:hint="cs"/>
          <w:sz w:val="40"/>
          <w:szCs w:val="40"/>
          <w:rtl/>
        </w:rPr>
        <w:lastRenderedPageBreak/>
        <w:t>المصاحبة لها. كما نهدف الأدوار التأكيدية والاستشارية إلى تقديم رأي موضوعي ومستقل لتحسين عمليات الحوكمة لتعزيز الثقة لدى أصحاب المصالح عبر تأكيد امتثال المصرف للمعايير والمعايير التنظيمية.</w:t>
      </w:r>
    </w:p>
    <w:p w14:paraId="70C712AE"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إن الخدمات التوكيدية والاستشارية التي تقدمها المراجعة الداخلية تساهم في تقييم فعالية الضوابط الرقمية، والتأكد من مدى جاهزية النظم التكنولوجية لاعتماد التحول الرقمي، بالإضاة إلى توصيات للإدارة العليا لتحسين العمليات التشغيلية في ظل التحول الرقمية، وزيادة فاعلية استغلال الطاقات والموارد المتاحة، ومنع التجاوز والالتزام باللوائح التنظيمية. جاءت الدراسة الحالي لتسليط الضوء على دور الخدمات التوكيدية والاستشارية للمراجعة الداخلية في دعم وتوجيه استراتيجيات التحول الرقمي داخل المصارف السعودية</w:t>
      </w:r>
    </w:p>
    <w:p w14:paraId="2024A19D"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3858B603"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3E4B70D9"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6F3513EA"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6249E51A"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lastRenderedPageBreak/>
        <w:t> </w:t>
      </w:r>
    </w:p>
    <w:p w14:paraId="47E70244"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044ED328"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5F0760F3"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391F25B1"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7AF5C1DA"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411ABE22"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39FCF472"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383A87F1"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387DE9D0"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517FB26B"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2AEC9541"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3B054D76" w14:textId="60397B1A" w:rsidR="009D7E50" w:rsidRPr="009D7E50" w:rsidRDefault="009D7E50" w:rsidP="005A5666">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5579780A"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lastRenderedPageBreak/>
        <w:t>مشكلة الدراسة:</w:t>
      </w:r>
    </w:p>
    <w:p w14:paraId="2FFF0A93"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إن التحول الرقمي هدف إستراتيجي تسعى المصارف السعودية لتحقيقه لمواكبة التطورات التقنية المالية لتحسين كفاءتها التشفيلية وتحقيق مزايا تنافسية، إلا أن نجاح إستراتيجية التحول الرقمي يتطلب وجود آليات للتحقق من سلامة الأنظمة الرقمية وتقديم التوصيات، مما يبرز الحاجة إلى الخدمات التوكيدية والاستشارية للمراجعة الداخلية لدعم إستراتيجية التحول الرقمي. بناءً على ما سبق يمكن طرح مشكلة الدراسة من خلال السؤال الرئيسي التالي:</w:t>
      </w:r>
    </w:p>
    <w:p w14:paraId="6645754D"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ما هو دور الخدمات التوكيدية والاستشارية للمراجعة الداخلية في دعم استراتبجية التحول الرقمي بالمصارف السعودية ؟ ويتفرع عن هذا السؤال التساؤلات، الآتية:</w:t>
      </w:r>
    </w:p>
    <w:p w14:paraId="11B20B41"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1.   ما هو دور الخدمات التوكيدية للمراجعة الداخلية في دعم استراتبجية التحول الرقمي بالمصارف السعودية ؟</w:t>
      </w:r>
    </w:p>
    <w:p w14:paraId="76666EE3"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2.   ما هو دور الخدمات الاستشارية للمراجعة الداخلية في دعم استراتبجية التحول الرقمي بالمصارف السعودية ؟</w:t>
      </w:r>
    </w:p>
    <w:p w14:paraId="7CE5CC13" w14:textId="560C542A" w:rsidR="009D7E50" w:rsidRPr="009D7E50" w:rsidRDefault="009D7E50" w:rsidP="005A5666">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36511BB6" w14:textId="20A4B9B1" w:rsidR="009D7E50" w:rsidRPr="009D7E50" w:rsidRDefault="009D7E50" w:rsidP="005A5666">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lastRenderedPageBreak/>
        <w:t>أهمية الدراسة:</w:t>
      </w:r>
    </w:p>
    <w:p w14:paraId="60A0E789"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تبرز أهمية الدراسة من خلال التالي:</w:t>
      </w:r>
    </w:p>
    <w:p w14:paraId="17DF6B7B"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1. الأهمية العلمية: إثراء الأدبيات النظرية المتعلقة بالخدمات الحديثة للمراجعة الداخلية المتمثلة في خدماتها التوكيدية والاستشارية وعلاقتها بدعم استراتيجية التحول الرقمي بالمصارف، ندرة الدراسات والبحوث التي تناولت متغيرات الدراسة، مما يفتح المجال أمام الباحثين والمهتمين لتوسيع فهمهم للعلاقة بين الخدمات التوكيدية والاستشارية للمراجعة الداخلية وإستراتيجية التحول الرقمي.؟</w:t>
      </w:r>
    </w:p>
    <w:p w14:paraId="712B190F"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2. الأهمية العملية: تمكين المصارف السعودية من الاستفادة المثلى من الخدمات التوكيدية والاستشارية للمراجعة الداخلية في ظل سعيها لتطبيق التحول الرقمي، كما يؤمل أن تساعد نتائج الدراسة في توجيه الإدارات العليا بالمصارف السعودية نحو تطوير خدمات المراجعة الداخلية بما يتناسب مع متطلبات التحول الرقمي؟</w:t>
      </w:r>
    </w:p>
    <w:p w14:paraId="1D6D4A50"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249DD352" w14:textId="21B6FF47" w:rsidR="009D7E50" w:rsidRPr="009D7E50" w:rsidRDefault="009D7E50" w:rsidP="005A5666">
      <w:pPr>
        <w:spacing w:line="360" w:lineRule="auto"/>
        <w:jc w:val="mediumKashida"/>
        <w:rPr>
          <w:rFonts w:ascii="Traditional Arabic" w:hAnsi="Traditional Arabic" w:cs="Traditional Arabic"/>
          <w:sz w:val="40"/>
          <w:szCs w:val="40"/>
          <w:rtl/>
        </w:rPr>
      </w:pPr>
    </w:p>
    <w:p w14:paraId="55C0BDE4"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lastRenderedPageBreak/>
        <w:t> </w:t>
      </w:r>
    </w:p>
    <w:p w14:paraId="5E41AA25"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أهداف الدراسة:</w:t>
      </w:r>
    </w:p>
    <w:p w14:paraId="182930E0"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7F44B645"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هدفت الدراسة بشكل أساسي إلى التعرف على دور الخدمات التوكيدية والاستشارية للمراجعة الداخلية في دعم استراتبجية التحول الرقمي بالمصارف السعودية . من خلال الأهداف الفرعية التالية:</w:t>
      </w:r>
    </w:p>
    <w:p w14:paraId="0A117E6A"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1.   التعرف على دور الخدمات التوكيدية للمراجعة الداخلية في دعم استراتبجية التحول الرقمي بالمصارف السعودية .</w:t>
      </w:r>
    </w:p>
    <w:p w14:paraId="5C2B5A09"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2.   التعرف على دور الخدمات الاستشارية للمراجعة الداخلية في دعم استراتبجية التحول الرقمي بالمصارف السعودية</w:t>
      </w:r>
    </w:p>
    <w:p w14:paraId="0629E796"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10A61094"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4DD6C240"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42E6EBD7"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743982E9"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lastRenderedPageBreak/>
        <w:t>تساؤلات الدراسة</w:t>
      </w:r>
    </w:p>
    <w:p w14:paraId="5D60267E"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4CB1A7BC"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1.   ما هو دور الخدمات التوكيدية للمراجعة الداخلية في دعم استراتبجية التحول الرقمي بالمصارف السعودية ؟</w:t>
      </w:r>
    </w:p>
    <w:p w14:paraId="567CA9B8"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2.   ما هو دور الخدمات الاستشارية للمراجعة الداخلية في دعم استراتبجية التحول الرقمي بالمصارف السعودية ؟</w:t>
      </w:r>
    </w:p>
    <w:p w14:paraId="0787CA32"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7F64852D"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4E560536"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5512B7D1"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4A22A68A"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2E5BDF44"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1590F318"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177B0022" w14:textId="5A72C671" w:rsidR="009D7E50" w:rsidRPr="009D7E50" w:rsidRDefault="009D7E50" w:rsidP="005A5666">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lastRenderedPageBreak/>
        <w:t>فروض الدراسة:</w:t>
      </w:r>
    </w:p>
    <w:p w14:paraId="64C0E740"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br/>
        <w:t>الفرضية الرئيسية: يوجد أثر ذو دلالة إحصائية للخدمات التوكيدية والاستشارية للمراجعة الداخلية في دعم استراتبجية التحول الرقمي بالمصارف السعودية .</w:t>
      </w:r>
    </w:p>
    <w:p w14:paraId="5774665A"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يتفرع عنها الفرضيات الفرعية التالية:</w:t>
      </w:r>
    </w:p>
    <w:p w14:paraId="27877E50"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1.  يوجد أثر ذو دلالة إحصائية للخدمات التوكيدية للمراجعة الداخلية في دعم استراتبجية التحول الرقمي بالمصارف السعودية</w:t>
      </w:r>
    </w:p>
    <w:p w14:paraId="140580F5"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2. يوجد أثر ذو دلالة إحصائية للخدمات الاستشارية للمراجعة الداخلية في دعم استراتبجية التحول الرقمي بالمصارف السعودية</w:t>
      </w:r>
    </w:p>
    <w:p w14:paraId="3230EBD4"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19D40008"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7511E87A"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4B108BA7"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54CA5EC2"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72A21130"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lastRenderedPageBreak/>
        <w:t> </w:t>
      </w:r>
    </w:p>
    <w:p w14:paraId="4E7A6109" w14:textId="77777777" w:rsidR="009D7E50" w:rsidRPr="009D7E50" w:rsidRDefault="009D7E50" w:rsidP="0011512E">
      <w:pPr>
        <w:spacing w:line="360" w:lineRule="auto"/>
        <w:jc w:val="mediumKashida"/>
        <w:rPr>
          <w:rFonts w:ascii="Traditional Arabic" w:hAnsi="Traditional Arabic" w:cs="Traditional Arabic"/>
          <w:sz w:val="40"/>
          <w:szCs w:val="40"/>
          <w:rtl/>
        </w:rPr>
      </w:pPr>
      <w:r w:rsidRPr="009D7E50">
        <w:rPr>
          <w:rFonts w:ascii="Traditional Arabic" w:hAnsi="Traditional Arabic" w:cs="Traditional Arabic" w:hint="cs"/>
          <w:sz w:val="40"/>
          <w:szCs w:val="40"/>
          <w:rtl/>
        </w:rPr>
        <w:t> </w:t>
      </w:r>
    </w:p>
    <w:p w14:paraId="2AAD8009" w14:textId="5D1B85E1" w:rsidR="00F925D0" w:rsidRPr="005A5666" w:rsidRDefault="00F925D0" w:rsidP="005A5666">
      <w:pPr>
        <w:spacing w:after="0" w:line="240" w:lineRule="auto"/>
        <w:rPr>
          <w:rFonts w:ascii=".AppleSystemUIFont" w:eastAsiaTheme="minorEastAsia" w:hAnsi=".AppleSystemUIFont" w:cs="Times New Roman"/>
          <w:kern w:val="0"/>
          <w:sz w:val="24"/>
          <w:szCs w:val="24"/>
          <w:rtl/>
          <w14:ligatures w14:val="none"/>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BD363E">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4F1ABC9E" w14:textId="77777777" w:rsidR="008474C4" w:rsidRDefault="008474C4" w:rsidP="00D22171">
      <w:pPr>
        <w:rPr>
          <w:rFonts w:ascii="Sakkal Majalla" w:hAnsi="Sakkal Majalla" w:cs="Sakkal Majalla"/>
          <w:sz w:val="28"/>
          <w:szCs w:val="28"/>
          <w:u w:val="single"/>
          <w:rtl/>
        </w:rPr>
      </w:pPr>
    </w:p>
    <w:p w14:paraId="7F00CA68" w14:textId="77777777" w:rsidR="008474C4" w:rsidRDefault="008474C4" w:rsidP="00D22171">
      <w:pPr>
        <w:rPr>
          <w:rFonts w:ascii="Sakkal Majalla" w:hAnsi="Sakkal Majalla" w:cs="Sakkal Majalla"/>
          <w:sz w:val="28"/>
          <w:szCs w:val="28"/>
          <w:u w:val="single"/>
          <w:rtl/>
        </w:rPr>
      </w:pPr>
    </w:p>
    <w:p w14:paraId="36FD1E80" w14:textId="77777777" w:rsidR="008474C4" w:rsidRDefault="008474C4"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48FE66CC" w14:textId="77777777" w:rsidR="00992013" w:rsidRPr="00992013" w:rsidRDefault="00992013" w:rsidP="00575714">
      <w:pPr>
        <w:spacing w:line="360" w:lineRule="auto"/>
        <w:jc w:val="mediumKashida"/>
        <w:rPr>
          <w:rFonts w:ascii="Traditional Arabic" w:hAnsi="Traditional Arabic" w:cs="Traditional Arabic"/>
          <w:sz w:val="36"/>
          <w:szCs w:val="36"/>
        </w:rPr>
      </w:pPr>
      <w:r w:rsidRPr="00992013">
        <w:rPr>
          <w:rFonts w:ascii="Traditional Arabic" w:hAnsi="Traditional Arabic" w:cs="Traditional Arabic" w:hint="cs"/>
          <w:sz w:val="36"/>
          <w:szCs w:val="36"/>
          <w:rtl/>
        </w:rPr>
        <w:t>دراسة شحاتة (2020): هدفت الدراسة إلى اقتراح إطار مهني لإسناد وظيفة المراجعة الداخلية بدوريها الاستشاري والتوكيدي خاصة في مجال إدارة المخاطر، بالوحدات الصغيرة ومتوسطة الحجم. واعتمدت الدراسة على المنهج التحليلي الانتقادي. وتمثلت أدوات الدراسة في أهم الإصدارات السابقة ذات الصلة بإسناد وظيفة المراجعة الداخلية. توصلت نتائج الدراسة إلى وجود أثر لإسناد الدورين التوكيدي والاستشاري للمراجعة الداخلية الحديثة في مجال الرقابة وحوكمة الشركات على قرار منح الائتمان بالوحدات الصغيرة والمتوسطة الحجم.</w:t>
      </w:r>
    </w:p>
    <w:p w14:paraId="62BA8B7B"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دراسة جامع (2021): هدفت الدراسة للتعرف على الدور التوكيدي والاستشاري للمراجعة الداخلية وأثره على إدارة المخاطر المالية. اتبعت الدراسة المنهج الوصفي التحليلي، والاستبانة كأداة لجمع المعلومات، من خلال عينة مكونة من (100) من المراجعين بالمصارف السودانية. توصلت الدراسة إلى النتائج الآتية: يقوم الدور التوكيدي للمراجعة الداخلية بتحليل المخاطر التي يمكن أن يتعرض لها المصرف، يقوم الدور الاستشاري للمراجعة الداخلية بتوفير معلومات لمجلس الادارة لاتخاذ القرارات.</w:t>
      </w:r>
    </w:p>
    <w:p w14:paraId="2985D2B0"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lastRenderedPageBreak/>
        <w:t>دراسة نويجي (2022): هدفت الدراسة إلى التعرف على دور المراجعة الداخلية الحديثة في استدامة الشركات المقيدة بالبورصة. اعتمدت الدراسة المنهج الوصفي التحليلي، من خلال تحليل المنشورات والإصدارات المنهية والدراسات السابقة في هذا المجال بالبورصة المصرية. توصلت الدراسة إلى العديد من النتائج منها إن المراجعة الداخلية الحديثة تؤدي دورًا مهمًا في الرقابة والحوكمة وإدارة المخاطر المتعلقة باستدامة الشركات، من خلال أدوارها الاستشارية والتأكيدية.</w:t>
      </w:r>
    </w:p>
    <w:p w14:paraId="0DF07E16"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xml:space="preserve">دراسة </w:t>
      </w:r>
      <w:proofErr w:type="spellStart"/>
      <w:r w:rsidRPr="00992013">
        <w:rPr>
          <w:rFonts w:ascii="Traditional Arabic" w:hAnsi="Traditional Arabic" w:cs="Traditional Arabic" w:hint="cs"/>
          <w:sz w:val="36"/>
          <w:szCs w:val="36"/>
        </w:rPr>
        <w:t>Al-Tanbour</w:t>
      </w:r>
      <w:proofErr w:type="spellEnd"/>
      <w:r w:rsidRPr="00992013">
        <w:rPr>
          <w:rFonts w:ascii="Traditional Arabic" w:hAnsi="Traditional Arabic" w:cs="Traditional Arabic" w:hint="cs"/>
          <w:sz w:val="36"/>
          <w:szCs w:val="36"/>
          <w:rtl/>
        </w:rPr>
        <w:t xml:space="preserve"> &amp; </w:t>
      </w:r>
      <w:r w:rsidRPr="00992013">
        <w:rPr>
          <w:rFonts w:ascii="Traditional Arabic" w:hAnsi="Traditional Arabic" w:cs="Traditional Arabic" w:hint="cs"/>
          <w:sz w:val="36"/>
          <w:szCs w:val="36"/>
        </w:rPr>
        <w:t>Nour</w:t>
      </w:r>
      <w:r w:rsidRPr="00992013">
        <w:rPr>
          <w:rFonts w:ascii="Traditional Arabic" w:hAnsi="Traditional Arabic" w:cs="Traditional Arabic" w:hint="cs"/>
          <w:sz w:val="36"/>
          <w:szCs w:val="36"/>
          <w:rtl/>
        </w:rPr>
        <w:t xml:space="preserve"> (2023): هدفت الدراسة إلى معرفة مدى تأثير أنشطة التدقيق الداخلي في البنوك المسجلة في بورصة فلسطين على إدارة المخاطر الرقمية. اتبعت الدراسة المنهج الوصفي، والاستبانة كأداة لجمع المعلومات وقد تم اختيار عينة الدراسة عشوائيًا من 58 فردًا من إدارات التدقيق الداخلي في البنوك المسجلة في بورصة فلسطين. أشارت النتائج إلى وجود تأثير كبير لكل من (خدمات التدقيق التأكيدي والاستشارات) على فعالية إدارة المخاطر الرقمية.</w:t>
      </w:r>
    </w:p>
    <w:p w14:paraId="5E21C4CB"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xml:space="preserve">دراسة بدوي ونهى (2023): هدفت الدراسة للتحقق من أثر تفعيل الدورين التوكيدى والاستشارى للمراجعين الداخلييين فى مجال الرقابة الداخلية ذات الصلة بتقينة سلسلة الكتل فى مصلحة الجمارك المصرية، اتبعت الدراسة المنهج التجريبي، من خلال عينة مكونة (105) من طلاب ماجستير التأمين بالجامعات المصرية، توصل الباحثان إلى وجود تأثير إيجابى ومعنوى لتفعيل الدورين التوكيدى والاستشارى للمراجع الداخلى فى </w:t>
      </w:r>
      <w:r w:rsidRPr="00992013">
        <w:rPr>
          <w:rFonts w:ascii="Traditional Arabic" w:hAnsi="Traditional Arabic" w:cs="Traditional Arabic" w:hint="cs"/>
          <w:sz w:val="36"/>
          <w:szCs w:val="36"/>
          <w:rtl/>
        </w:rPr>
        <w:lastRenderedPageBreak/>
        <w:t>مجال الرقابة الداخلية ذات الصلة بتقنية سلسلة الكتل على إدراك المستخدمين لجودة المعلومات. فضلا عن زيادة التأثير إيجابى لتفعيل الدور التوكيدي/ الاستشاري على إدراك المستخدمين لجودة المعلومات فى ظل تطوير تقنية سلسلة الكتل من قبل مصلحة الجمارك المصرية بدلا من تطويرها وإدارتها من قبل طرف خارجى.</w:t>
      </w:r>
    </w:p>
    <w:p w14:paraId="50877F6E"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xml:space="preserve">دراسة </w:t>
      </w:r>
      <w:proofErr w:type="spellStart"/>
      <w:r w:rsidRPr="00992013">
        <w:rPr>
          <w:rFonts w:ascii="Traditional Arabic" w:hAnsi="Traditional Arabic" w:cs="Traditional Arabic" w:hint="cs"/>
          <w:sz w:val="36"/>
          <w:szCs w:val="36"/>
        </w:rPr>
        <w:t>Alhabow</w:t>
      </w:r>
      <w:proofErr w:type="spellEnd"/>
      <w:r w:rsidRPr="00992013">
        <w:rPr>
          <w:rFonts w:ascii="Traditional Arabic" w:hAnsi="Traditional Arabic" w:cs="Traditional Arabic" w:hint="cs"/>
          <w:sz w:val="36"/>
          <w:szCs w:val="36"/>
          <w:rtl/>
        </w:rPr>
        <w:t xml:space="preserve"> &amp; </w:t>
      </w:r>
      <w:r w:rsidRPr="00992013">
        <w:rPr>
          <w:rFonts w:ascii="Traditional Arabic" w:hAnsi="Traditional Arabic" w:cs="Traditional Arabic" w:hint="cs"/>
          <w:sz w:val="36"/>
          <w:szCs w:val="36"/>
        </w:rPr>
        <w:t>et al</w:t>
      </w:r>
      <w:r w:rsidRPr="00992013">
        <w:rPr>
          <w:rFonts w:ascii="Traditional Arabic" w:hAnsi="Traditional Arabic" w:cs="Traditional Arabic" w:hint="cs"/>
          <w:sz w:val="36"/>
          <w:szCs w:val="36"/>
          <w:rtl/>
        </w:rPr>
        <w:t xml:space="preserve"> (2023): هدفت الدراسة إلى التعرف على أنشطة المراجعة الداخلية ودورها في تحقيق الاستدامة المالية في الوحدات ذاتية التمويل. اعتمدت الدراسة المنهج الوصفي التحليلي، من خلال الوثائق الرسمية والملاحظة والتحفظات والاجتماعات التي أجراها الباحث، وأجريت الدراسة على بلدية محافظة نينوى العراقية. توصلت نتائج الدراسة إلى ضعف دور المراجعة الداخلية في تحقيق الاستدامة المالية، والحاجة إلى اعتماد أنشطة المراجعة الداخلية بشكل أكبر، من تفعيل خدمات التوكيد والاستشارات للمراجعة الداخلية حول الاستدامة المالية للوحدة.</w:t>
      </w:r>
    </w:p>
    <w:p w14:paraId="79307713"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دراسة على وخليل (2024): هدفت الدراسة للتعرف على دور الخدمات التوكيدية والاستشارية في دعم المحتوى الإعلامي للتقارير المالية المنشورة بالمصار المالية. اتبعت الدراسة المنهج الوصفي التحليلي، والاستبانة كأداة لجمع المعلومات، من خلال عينة مكونة من (120) من العاملين بإدارة المراجعة الداخلية والمحاسبين والمدراء الماليين بالمصارف السودانية. توصلت نتائج الدراسة إلى وجود أثر إيجابي للخدمات التوكيدية والاستشارية في دعم الإعلامي للتقارير المالية المنشورة بالمصارف السودانية.</w:t>
      </w:r>
    </w:p>
    <w:p w14:paraId="5355051E"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lastRenderedPageBreak/>
        <w:t>دراسة أحمد (2024): استهدفت الدراسة اختبار أثر الدور التوكيدي لوظيفة المراجعة الداخلية الحديثة بالجامعات الحكومية المصرية على توقيت تقرير مراقب حسابات الجهاز المركزي للمحاسبات. اتبعت الدراسة المنهج الوصفي الاستقرائي، من خلال تحليل الإصدارات المهينة والإصدرات الأكاديمية السابقة ذات الصلة، وتوصلت نتائج الدراسة إلى أن إدراك الإدارة لأهمية وظيفة المراجعة الداخلية له مردود إيجابي على فعالية هيكل الرقابة الداخلية بالجامعة. دراسة (أبو يوسف،2016 م) بعنوان أثر استخدام أساليب المحاسبة الإدارية الحديثة في زيادة ثقة المستثمرين لدى شركات المساهمة العامة المدرجة في بورصة فلسطين.</w:t>
      </w:r>
    </w:p>
    <w:p w14:paraId="7FB23B6B"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xml:space="preserve">هدفت الدراسة بشكل أساسي إلى قياس مدى تأثير استخدام الأساليب الحديثة للمحاسبة الإدارية في زيادة ثقة المستثمرين بشركات المساهمة العامة المدرجة في بورصة فلسطين وذلك من خلال الاًتي: تحليل الأساليب الحديثة للمحاسبة الإدارية، من حيث مزايا ومحددات كل نوع منها، والوقوف على المؤشرات الكمية الدالة على ثقة المستثمرين متمثلة فى كل من حجم التداول وسعر التداول وذلك، باستخدام أسباب زيادة الثقة ونتائجها لكل شركة من الشركات الممثلة لعينة الدراسة من خلال قوائمها المنشورة في بورصة فلسطين ومعرفة أثر ممارسة شركات المساهمة العامة المدرجة في بورصة فلسطين لأساليب المحاسبة الإدارية الحديثة،. وتوصلت الدراسة إلى النتائج والتوصيات: تكتيف عدد ونوعية الدورات التدريبية للعاملين في شركات المساهمة العامة في بورصة فلسطين </w:t>
      </w:r>
      <w:r w:rsidRPr="00992013">
        <w:rPr>
          <w:rFonts w:ascii="Traditional Arabic" w:hAnsi="Traditional Arabic" w:cs="Traditional Arabic" w:hint="cs"/>
          <w:sz w:val="36"/>
          <w:szCs w:val="36"/>
          <w:rtl/>
        </w:rPr>
        <w:lastRenderedPageBreak/>
        <w:t>وخصوصاً المسؤولين والإدارة العليا لزيادة التوعية بأساليب المحاسبة الإدارية الحديثة، وبيان مميزات تلك الأساليب واَلية تطبيقها وأثرها على ثقة المستثمرين، كذلك ضرورة تنمية الوعى لدى مديري شركات المساهمة العامة المدرجة في بورصة فلسطين بأهمية أساليب المحاسبة الإدارية الحديثة ودورها في زيادة الربحية مما يؤدي إلى زيادة ثقة المستثمرين.</w:t>
      </w:r>
    </w:p>
    <w:p w14:paraId="739E6ACF"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دراسة(إنعام،2014 م) بعنوان، المحاسبة الإدارية ودورها في تقويم كفاءة الأداء المالى.</w:t>
      </w:r>
    </w:p>
    <w:p w14:paraId="1F747978"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هدفت الدراسة إلى معرفة مدى انعكاس تطبيق أساليب المحاسبة الإدارية على تحسين الأداء المالى للوحدات الصناعية، ويتم تحقيق هذا الهدف من خلال أهداف فرعية ، وهى بيان نواحى القصور فى الطرق والأساليب الحالية للمحاسبة الإدارية، وعدم ملاءمتها للبيئة الصناعية الحديثة وإبراز دور المحاسبة الإدارية كنظام معلومات فى دعم عملية التخطيط والرقابة واتخاذ القرارات، وقياس مدى فاعليه المحاسبة الإدارية فى الشركات، وبيان مدى تحسين الأداء المالى، فى المحاسبة الإدارية من خلال الدراسة الميدانية فى شركة سنابل السلام للصناعات الغذائية بالمملكة العربية السعودية ،وتوصلت الدراسة إلى النتائج التالية :استخدام تقنيات الإدارة المالية في المفاضلة ببن الخيارات المطروحة يؤدى إلى ترشيد القرارات الإدارية ، واعتماد إدارة المؤسسة على بيانات وتحليل التكلفة يساعد على رفع مستوى الأداء المالى. وأوصت الدراسة بضرورة ربط التكلفة بالأداء كمدخل للقياس والتقييم حتى يسمح بتوفير المعلومات اللازمة للتقييم السليم.</w:t>
      </w:r>
    </w:p>
    <w:p w14:paraId="5264A438"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دراسة( أيوب،2019 م) بعنوان، تأثير إدارة المخاطر المالية على الأداء المالى للبنوك.</w:t>
      </w:r>
    </w:p>
    <w:p w14:paraId="79FCD7F3"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lastRenderedPageBreak/>
        <w:t>تهدف الدراسة للتعرف على مختلف الجوانب النظرية للمخاطر التى تعترض نشاط البنوك والتعرف على الأساليب التى تمكن البنوك التقليدية والإسلامية من مواجهة المخاطر التى تعترض نشاطــها ، ومحاولة فهم لآليات لجنة بازل ومدى إدارتها للمخاطر لدى البنوك التقليدية والبنوك الإسلامية ، والتعرف على أهم مؤشرات قياس كل من الأداء المالى والمخاطر المصرفية لدى البنوك. تم تقدير نموذج الانحدار المتعدد لدراسة أثر المخاطر المالية على الأداء المالى لكل من مصرف التجاري الأردني والمصرف الإسلامي الأردني، وتم التوصل إلى أن المخاطر المالية تؤثر على الأداء المالى للبنكين تأثيراً سلبياً ، وتم التوصل من خلال هذه الدراسة إلى النتائج الاَتية: المخاطر هي احتمالية حدوث الخسارة ،إما بشكل مباشر من خلال خسائر في نتائج الأعمال أو خسائر في رأس المال ، أو بشكل غير مباشر من خلال وجود قيود تحد من قدرة المصرف على الاستمرار في تقديم أعماله وممارسة نشاطه.</w:t>
      </w:r>
    </w:p>
    <w:p w14:paraId="73F57CC9"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وتوصلت الدراسة إلى مجموعة من التوصيات من أهمها : البحث أكثر فى أساليب إدارة المخاطر وبالأخص الوقائية ضد المخاطر التى تتبعها المصارف التقليدية وتنويع مصادر الإيرادات المصرفية وعدم الاعتماد الكلي على الاقتراض والودائع، بالإضافة إلى دراسة تكلفة الأعمال والخدمات المقدمة.</w:t>
      </w:r>
    </w:p>
    <w:p w14:paraId="2BC1206F"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2B060E14" w14:textId="77777777" w:rsidR="00992013" w:rsidRPr="00992013" w:rsidRDefault="00992013" w:rsidP="00575714">
      <w:pPr>
        <w:spacing w:line="360" w:lineRule="auto"/>
        <w:jc w:val="mediumKashida"/>
        <w:rPr>
          <w:rFonts w:ascii="Traditional Arabic" w:hAnsi="Traditional Arabic" w:cs="Traditional Arabic"/>
          <w:sz w:val="36"/>
          <w:szCs w:val="36"/>
        </w:rPr>
      </w:pPr>
      <w:r w:rsidRPr="00992013">
        <w:rPr>
          <w:rFonts w:ascii="Traditional Arabic" w:hAnsi="Traditional Arabic" w:cs="Traditional Arabic" w:hint="cs"/>
          <w:sz w:val="36"/>
          <w:szCs w:val="36"/>
          <w:rtl/>
        </w:rPr>
        <w:t> </w:t>
      </w:r>
    </w:p>
    <w:p w14:paraId="2256E13F"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lastRenderedPageBreak/>
        <w:t> </w:t>
      </w:r>
    </w:p>
    <w:p w14:paraId="7A0BE867"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35DFB24D"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61C8099D"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5225BD7A"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0CE2CB50"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739E754E"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210728D9"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2AB6DBE2"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441E38C7"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567515AA"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المنطلقات النظرية للدراسة:</w:t>
      </w:r>
    </w:p>
    <w:p w14:paraId="64CCFFC2"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277CAFFC"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xml:space="preserve">·    ركزت الدراسات على التقارير المالية التقليدية (مثل دراسة على وخليل 2024)، لكن الاتجاه العالمي الآن يتجه نحو التقرير المتكامل الذي يجمع بين الأداء المالي وغير </w:t>
      </w:r>
      <w:r w:rsidRPr="00992013">
        <w:rPr>
          <w:rFonts w:ascii="Traditional Arabic" w:hAnsi="Traditional Arabic" w:cs="Traditional Arabic" w:hint="cs"/>
          <w:sz w:val="36"/>
          <w:szCs w:val="36"/>
          <w:rtl/>
        </w:rPr>
        <w:lastRenderedPageBreak/>
        <w:t>المالي (مثل الحوكمة والاستدامة). لم تتناول الدراسات المقدمة دور المراجعة الداخلية في التأكد من جودة وموثوقية المعلومات غير المالية في هذا النوع من التقارير الحديثة.</w:t>
      </w:r>
    </w:p>
    <w:p w14:paraId="75782FB5"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تخصص إدارة المخاطر: تناولت الدراسات إدارة المخاطر بشكل عام (مالية، رقمية)، لكنها لم تتعمق في المخاطر الحديثة ذات الأهمية القصوى عالميًا، مثل مخاطر التغيرات المناخية وتأثيرها المالي والتشغيلي على الشركات. يمكن للمراجعة الداخلية أن تلعب دورًا استشاريًا حاسمًا في تقييم هذه المخاطر والإبلاغ عنها.</w:t>
      </w:r>
    </w:p>
    <w:p w14:paraId="1ECB38CE"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xml:space="preserve">·    ربط الموضوعات المتباينة: تجمع هذه الفجوة بين موضوعات مختلفة تناولتها الدراسات بشكل منفصل: دور المراجعة (شحاتة 2020، جامع 2021)، الاستدامة (نويجي 2022، </w:t>
      </w:r>
      <w:proofErr w:type="spellStart"/>
      <w:r w:rsidRPr="00992013">
        <w:rPr>
          <w:rFonts w:ascii="Traditional Arabic" w:hAnsi="Traditional Arabic" w:cs="Traditional Arabic" w:hint="cs"/>
          <w:sz w:val="36"/>
          <w:szCs w:val="36"/>
        </w:rPr>
        <w:t>Alhabow</w:t>
      </w:r>
      <w:proofErr w:type="spellEnd"/>
      <w:r w:rsidRPr="00992013">
        <w:rPr>
          <w:rFonts w:ascii="Traditional Arabic" w:hAnsi="Traditional Arabic" w:cs="Traditional Arabic" w:hint="cs"/>
          <w:sz w:val="36"/>
          <w:szCs w:val="36"/>
        </w:rPr>
        <w:t xml:space="preserve"> 2023</w:t>
      </w:r>
      <w:r w:rsidRPr="00992013">
        <w:rPr>
          <w:rFonts w:ascii="Traditional Arabic" w:hAnsi="Traditional Arabic" w:cs="Traditional Arabic" w:hint="cs"/>
          <w:sz w:val="36"/>
          <w:szCs w:val="36"/>
          <w:rtl/>
        </w:rPr>
        <w:t xml:space="preserve">)، وإدارة المخاطر (أيوب 2019، </w:t>
      </w:r>
      <w:proofErr w:type="spellStart"/>
      <w:r w:rsidRPr="00992013">
        <w:rPr>
          <w:rFonts w:ascii="Traditional Arabic" w:hAnsi="Traditional Arabic" w:cs="Traditional Arabic" w:hint="cs"/>
          <w:sz w:val="36"/>
          <w:szCs w:val="36"/>
        </w:rPr>
        <w:t>Al-Tanbour</w:t>
      </w:r>
      <w:proofErr w:type="spellEnd"/>
      <w:r w:rsidRPr="00992013">
        <w:rPr>
          <w:rFonts w:ascii="Traditional Arabic" w:hAnsi="Traditional Arabic" w:cs="Traditional Arabic" w:hint="cs"/>
          <w:sz w:val="36"/>
          <w:szCs w:val="36"/>
        </w:rPr>
        <w:t xml:space="preserve"> 2023</w:t>
      </w:r>
      <w:r w:rsidRPr="00992013">
        <w:rPr>
          <w:rFonts w:ascii="Traditional Arabic" w:hAnsi="Traditional Arabic" w:cs="Traditional Arabic" w:hint="cs"/>
          <w:sz w:val="36"/>
          <w:szCs w:val="36"/>
          <w:rtl/>
        </w:rPr>
        <w:t>)، لإنشاء إطار بحثي جديد ومعاصر.</w:t>
      </w:r>
    </w:p>
    <w:p w14:paraId="754EE8A9"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6F409394"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1B6A7C18"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5F276AC6"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063827C4"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335A4B04"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29FCB6DD"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lastRenderedPageBreak/>
        <w:t>المنهجية وطرق البحث:</w:t>
      </w:r>
    </w:p>
    <w:p w14:paraId="5F001107"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Pr>
        <w:t>Methodology</w:t>
      </w:r>
      <w:r w:rsidRPr="00992013">
        <w:rPr>
          <w:rFonts w:ascii="Traditional Arabic" w:hAnsi="Traditional Arabic" w:cs="Traditional Arabic" w:hint="cs"/>
          <w:sz w:val="36"/>
          <w:szCs w:val="36"/>
          <w:rtl/>
        </w:rPr>
        <w:t>)</w:t>
      </w:r>
    </w:p>
    <w:p w14:paraId="209A2418"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ستعتمد الدراسة على المنهج الوصفي التحليلي (</w:t>
      </w:r>
      <w:r w:rsidRPr="00992013">
        <w:rPr>
          <w:rFonts w:ascii="Traditional Arabic" w:hAnsi="Traditional Arabic" w:cs="Traditional Arabic" w:hint="cs"/>
          <w:sz w:val="36"/>
          <w:szCs w:val="36"/>
        </w:rPr>
        <w:t>Descriptive Analytical Approach</w:t>
      </w:r>
      <w:r w:rsidRPr="00992013">
        <w:rPr>
          <w:rFonts w:ascii="Traditional Arabic" w:hAnsi="Traditional Arabic" w:cs="Traditional Arabic" w:hint="cs"/>
          <w:sz w:val="36"/>
          <w:szCs w:val="36"/>
          <w:rtl/>
        </w:rPr>
        <w:t>)، وهو الأنسب لدراسة العلاقة بين المتغيرات وتحديد مدى تأثير أحدهما على الآخر في بيئة تطبيقية:</w:t>
      </w:r>
    </w:p>
    <w:p w14:paraId="54676B6F"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1.  الجانب الوصفي: يتمثل في الإطار النظري للدراسة، حيث سيتم تجميع وتحليل الأدبيات المتعلقة بالمفاهيم الرئيسية (المراجعة الداخلية الحديثة، الأدوار التوكيدية والاستشارية، التقارير المتكاملة، ومخاطر التغيرات المناخية).</w:t>
      </w:r>
    </w:p>
    <w:p w14:paraId="1E915C70"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2.  الجانب التحليلي: يتمثل في الدراسة الميدانية، حيث سيتم جمع البيانات وتحليلها إحصائيًا باستخدام نماذج الانحدار المتعدد (</w:t>
      </w:r>
      <w:r w:rsidRPr="00992013">
        <w:rPr>
          <w:rFonts w:ascii="Traditional Arabic" w:hAnsi="Traditional Arabic" w:cs="Traditional Arabic" w:hint="cs"/>
          <w:sz w:val="36"/>
          <w:szCs w:val="36"/>
        </w:rPr>
        <w:t>Multiple Regression Models</w:t>
      </w:r>
      <w:r w:rsidRPr="00992013">
        <w:rPr>
          <w:rFonts w:ascii="Traditional Arabic" w:hAnsi="Traditional Arabic" w:cs="Traditional Arabic" w:hint="cs"/>
          <w:sz w:val="36"/>
          <w:szCs w:val="36"/>
          <w:rtl/>
        </w:rPr>
        <w:t>) لاختبار فرضيات الدراسة والإجابة على الأسئلة، وتحديد مدى الأثر المعنوي للدورين التوكيدي والاستشاري (المتغيرات المستقلة) على جودة التقارير المتكاملة وكفاءة إدارة المخاطر (المتغيرات التابعة).</w:t>
      </w:r>
    </w:p>
    <w:p w14:paraId="499409BB"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أدوات الدراسة (</w:t>
      </w:r>
      <w:r w:rsidRPr="00992013">
        <w:rPr>
          <w:rFonts w:ascii="Traditional Arabic" w:hAnsi="Traditional Arabic" w:cs="Traditional Arabic" w:hint="cs"/>
          <w:sz w:val="36"/>
          <w:szCs w:val="36"/>
        </w:rPr>
        <w:t>Research Instruments</w:t>
      </w:r>
      <w:r w:rsidRPr="00992013">
        <w:rPr>
          <w:rFonts w:ascii="Traditional Arabic" w:hAnsi="Traditional Arabic" w:cs="Traditional Arabic" w:hint="cs"/>
          <w:sz w:val="36"/>
          <w:szCs w:val="36"/>
          <w:rtl/>
        </w:rPr>
        <w:t>)</w:t>
      </w:r>
    </w:p>
    <w:p w14:paraId="4F462AFE"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الأداة الرئيسية لجمع البيانات الميدانية هي الاستبانة (</w:t>
      </w:r>
      <w:r w:rsidRPr="00992013">
        <w:rPr>
          <w:rFonts w:ascii="Traditional Arabic" w:hAnsi="Traditional Arabic" w:cs="Traditional Arabic" w:hint="cs"/>
          <w:sz w:val="36"/>
          <w:szCs w:val="36"/>
        </w:rPr>
        <w:t>Questionnaire</w:t>
      </w:r>
      <w:r w:rsidRPr="00992013">
        <w:rPr>
          <w:rFonts w:ascii="Traditional Arabic" w:hAnsi="Traditional Arabic" w:cs="Traditional Arabic" w:hint="cs"/>
          <w:sz w:val="36"/>
          <w:szCs w:val="36"/>
          <w:rtl/>
        </w:rPr>
        <w:t>):</w:t>
      </w:r>
    </w:p>
    <w:p w14:paraId="51EC26DE"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هيكل الاستبانة:</w:t>
      </w:r>
    </w:p>
    <w:p w14:paraId="6B9BEF42"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lastRenderedPageBreak/>
        <w:t>المحور الأول: البيانات الديموغرافية (الخبرة، المؤهل العلمي، المنصب).</w:t>
      </w:r>
    </w:p>
    <w:p w14:paraId="5836A44C"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المحور الثاني: قياس مستوى تفعيل الدور التوكيدي للمراجعة الداخلية تجاه التقارير المتكاملة.</w:t>
      </w:r>
    </w:p>
    <w:p w14:paraId="4349D20C"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المحور الثالث: قياس مستوى تفعيل الدور الاستشاري للمراجعة الداخلية تجاه إدارة المخاطر المناخية.</w:t>
      </w:r>
    </w:p>
    <w:p w14:paraId="020BF96B"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المحور الرابع: قياس جودة التقارير المتكاملة للشركات (من حيث الموثوقية والشمولية).</w:t>
      </w:r>
    </w:p>
    <w:p w14:paraId="206C364B"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المحور الخامس: قياس كفاءة إدارة الشركات للمخاطر المناخية.</w:t>
      </w:r>
    </w:p>
    <w:p w14:paraId="726BAC78"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مقياس القياس: سيتم استخدام مقياس ليكرت الخماسي (</w:t>
      </w:r>
      <w:r w:rsidRPr="00992013">
        <w:rPr>
          <w:rFonts w:ascii="Traditional Arabic" w:hAnsi="Traditional Arabic" w:cs="Traditional Arabic" w:hint="cs"/>
          <w:sz w:val="36"/>
          <w:szCs w:val="36"/>
        </w:rPr>
        <w:t xml:space="preserve">Five-point </w:t>
      </w:r>
      <w:proofErr w:type="spellStart"/>
      <w:r w:rsidRPr="00992013">
        <w:rPr>
          <w:rFonts w:ascii="Traditional Arabic" w:hAnsi="Traditional Arabic" w:cs="Traditional Arabic" w:hint="cs"/>
          <w:sz w:val="36"/>
          <w:szCs w:val="36"/>
        </w:rPr>
        <w:t>Likert</w:t>
      </w:r>
      <w:proofErr w:type="spellEnd"/>
      <w:r w:rsidRPr="00992013">
        <w:rPr>
          <w:rFonts w:ascii="Traditional Arabic" w:hAnsi="Traditional Arabic" w:cs="Traditional Arabic" w:hint="cs"/>
          <w:sz w:val="36"/>
          <w:szCs w:val="36"/>
        </w:rPr>
        <w:t xml:space="preserve"> Scale</w:t>
      </w:r>
      <w:r w:rsidRPr="00992013">
        <w:rPr>
          <w:rFonts w:ascii="Traditional Arabic" w:hAnsi="Traditional Arabic" w:cs="Traditional Arabic" w:hint="cs"/>
          <w:sz w:val="36"/>
          <w:szCs w:val="36"/>
          <w:rtl/>
        </w:rPr>
        <w:t>) لتحديد درجة موافقة أو معارضة أفراد العينة على عبارات الاستبانة (على سبيل المثال: 1= غير موافق بشدة، إلى 5= موافق بشدة).</w:t>
      </w:r>
    </w:p>
    <w:p w14:paraId="27C4648B"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التحليل الإحصائي: سيتم استخدام برامج متخصصة مثل </w:t>
      </w:r>
      <w:r w:rsidRPr="00992013">
        <w:rPr>
          <w:rFonts w:ascii="Traditional Arabic" w:hAnsi="Traditional Arabic" w:cs="Traditional Arabic" w:hint="cs"/>
          <w:sz w:val="36"/>
          <w:szCs w:val="36"/>
        </w:rPr>
        <w:t>SPSS</w:t>
      </w:r>
      <w:r w:rsidRPr="00992013">
        <w:rPr>
          <w:rFonts w:ascii="Traditional Arabic" w:hAnsi="Traditional Arabic" w:cs="Traditional Arabic" w:hint="cs"/>
          <w:sz w:val="36"/>
          <w:szCs w:val="36"/>
          <w:rtl/>
        </w:rPr>
        <w:t> أو </w:t>
      </w:r>
      <w:r w:rsidRPr="00992013">
        <w:rPr>
          <w:rFonts w:ascii="Traditional Arabic" w:hAnsi="Traditional Arabic" w:cs="Traditional Arabic" w:hint="cs"/>
          <w:sz w:val="36"/>
          <w:szCs w:val="36"/>
        </w:rPr>
        <w:t>AMOS</w:t>
      </w:r>
      <w:r w:rsidRPr="00992013">
        <w:rPr>
          <w:rFonts w:ascii="Traditional Arabic" w:hAnsi="Traditional Arabic" w:cs="Traditional Arabic" w:hint="cs"/>
          <w:sz w:val="36"/>
          <w:szCs w:val="36"/>
          <w:rtl/>
        </w:rPr>
        <w:t> لتحليل البيانات، وتطبيق اختبارات الموثوقية (</w:t>
      </w:r>
      <w:r w:rsidRPr="00992013">
        <w:rPr>
          <w:rFonts w:ascii="Traditional Arabic" w:hAnsi="Traditional Arabic" w:cs="Traditional Arabic" w:hint="cs"/>
          <w:sz w:val="36"/>
          <w:szCs w:val="36"/>
        </w:rPr>
        <w:t>Cronbach</w:t>
      </w:r>
      <w:r w:rsidRPr="00992013">
        <w:rPr>
          <w:rFonts w:ascii="Traditional Arabic" w:hAnsi="Traditional Arabic" w:cs="Traditional Arabic" w:hint="cs"/>
          <w:sz w:val="36"/>
          <w:szCs w:val="36"/>
          <w:rtl/>
        </w:rPr>
        <w:t>'</w:t>
      </w:r>
      <w:r w:rsidRPr="00992013">
        <w:rPr>
          <w:rFonts w:ascii="Traditional Arabic" w:hAnsi="Traditional Arabic" w:cs="Traditional Arabic" w:hint="cs"/>
          <w:sz w:val="36"/>
          <w:szCs w:val="36"/>
        </w:rPr>
        <w:t>s Alpha</w:t>
      </w:r>
      <w:r w:rsidRPr="00992013">
        <w:rPr>
          <w:rFonts w:ascii="Traditional Arabic" w:hAnsi="Traditional Arabic" w:cs="Traditional Arabic" w:hint="cs"/>
          <w:sz w:val="36"/>
          <w:szCs w:val="36"/>
          <w:rtl/>
        </w:rPr>
        <w:t>)، والصدق، والانحدار، وتحليل المسار (</w:t>
      </w:r>
      <w:r w:rsidRPr="00992013">
        <w:rPr>
          <w:rFonts w:ascii="Traditional Arabic" w:hAnsi="Traditional Arabic" w:cs="Traditional Arabic" w:hint="cs"/>
          <w:sz w:val="36"/>
          <w:szCs w:val="36"/>
        </w:rPr>
        <w:t>Path Analysis</w:t>
      </w:r>
      <w:r w:rsidRPr="00992013">
        <w:rPr>
          <w:rFonts w:ascii="Traditional Arabic" w:hAnsi="Traditional Arabic" w:cs="Traditional Arabic" w:hint="cs"/>
          <w:sz w:val="36"/>
          <w:szCs w:val="36"/>
          <w:rtl/>
        </w:rPr>
        <w:t>) إذا لزم الأمر.</w:t>
      </w:r>
    </w:p>
    <w:p w14:paraId="3451E005"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440BEA25"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18226E7A"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lastRenderedPageBreak/>
        <w:t> </w:t>
      </w:r>
    </w:p>
    <w:p w14:paraId="7BF4FA69"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003781EA"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6C7F938B"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754C3BC6"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089E01F6"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30BDE48E" w14:textId="77777777" w:rsidR="00992013" w:rsidRPr="00992013" w:rsidRDefault="00992013" w:rsidP="00575714">
      <w:pPr>
        <w:spacing w:line="360" w:lineRule="auto"/>
        <w:jc w:val="mediumKashida"/>
        <w:rPr>
          <w:rFonts w:ascii="Traditional Arabic" w:hAnsi="Traditional Arabic" w:cs="Traditional Arabic"/>
          <w:sz w:val="36"/>
          <w:szCs w:val="36"/>
          <w:rtl/>
        </w:rPr>
      </w:pPr>
      <w:r w:rsidRPr="00992013">
        <w:rPr>
          <w:rFonts w:ascii="Traditional Arabic" w:hAnsi="Traditional Arabic" w:cs="Traditional Arabic" w:hint="cs"/>
          <w:sz w:val="36"/>
          <w:szCs w:val="36"/>
          <w:rtl/>
        </w:rPr>
        <w:t> </w:t>
      </w:r>
    </w:p>
    <w:p w14:paraId="7FF5D92C" w14:textId="77777777" w:rsidR="00992013" w:rsidRPr="00992013" w:rsidRDefault="00992013" w:rsidP="00992013">
      <w:pPr>
        <w:spacing w:after="0" w:line="240" w:lineRule="auto"/>
        <w:rPr>
          <w:rFonts w:ascii=".AppleSystemUIFont" w:eastAsiaTheme="minorEastAsia" w:hAnsi=".AppleSystemUIFont" w:cs="Times New Roman"/>
          <w:kern w:val="0"/>
          <w:sz w:val="24"/>
          <w:szCs w:val="24"/>
          <w:rtl/>
          <w14:ligatures w14:val="none"/>
        </w:rPr>
      </w:pPr>
      <w:r w:rsidRPr="00992013">
        <w:rPr>
          <w:rFonts w:ascii="UICTFontTextStyleBody" w:eastAsiaTheme="minorEastAsia" w:hAnsi="UICTFontTextStyleBody" w:cs="Times New Roman"/>
          <w:kern w:val="0"/>
          <w:sz w:val="24"/>
          <w:szCs w:val="24"/>
          <w:u w:val="single"/>
          <w:rtl/>
          <w14:ligatures w14:val="none"/>
        </w:rPr>
        <w:t> </w:t>
      </w:r>
    </w:p>
    <w:p w14:paraId="15997907" w14:textId="77777777" w:rsidR="00992013" w:rsidRPr="00992013" w:rsidRDefault="00992013" w:rsidP="00992013">
      <w:pPr>
        <w:spacing w:after="0" w:line="240" w:lineRule="auto"/>
        <w:rPr>
          <w:rFonts w:ascii=".AppleSystemUIFont" w:eastAsiaTheme="minorEastAsia" w:hAnsi=".AppleSystemUIFont" w:cs="Times New Roman"/>
          <w:kern w:val="0"/>
          <w:sz w:val="24"/>
          <w:szCs w:val="24"/>
          <w:rtl/>
          <w14:ligatures w14:val="none"/>
        </w:rPr>
      </w:pPr>
      <w:r w:rsidRPr="00992013">
        <w:rPr>
          <w:rFonts w:ascii="UICTFontTextStyleBody" w:eastAsiaTheme="minorEastAsia" w:hAnsi="UICTFontTextStyleBody" w:cs="Times New Roman"/>
          <w:kern w:val="0"/>
          <w:sz w:val="24"/>
          <w:szCs w:val="24"/>
          <w:u w:val="single"/>
          <w:rtl/>
          <w14:ligatures w14:val="none"/>
        </w:rPr>
        <w:t> </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35AAB320" w14:textId="77777777" w:rsidR="00F925D0" w:rsidRPr="005222EC" w:rsidRDefault="00F925D0" w:rsidP="005222EC">
      <w:pPr>
        <w:spacing w:line="360" w:lineRule="auto"/>
        <w:jc w:val="mediumKashida"/>
        <w:rPr>
          <w:rFonts w:ascii="Simplified Arabic" w:hAnsi="Simplified Arabic" w:cs="Simplified Arabic"/>
          <w:sz w:val="30"/>
          <w:szCs w:val="30"/>
          <w:rtl/>
        </w:rPr>
      </w:pPr>
    </w:p>
    <w:p w14:paraId="6657B833"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أساليب المحاسبة الإدارية الحديثة:</w:t>
      </w:r>
    </w:p>
    <w:p w14:paraId="4E426FD7"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سيتم خلال هذا المبحث حصر الدراسة في ثلاثة أساليب فقط (أسلوب بطاقة الأداء المتوازن، أسلوب إدارة الجودة الشاملة، أسلوب تقارير الأداء والتحليل المالى) وذلك لما لها من تأثير بالغ الأهمية في إدارة المخاطر في المصارف التجارية، وجود دراسات سابقة حديثة لهذه الأساليب في المصارف كذلك لإعطاء فرصة للباحثين للدراسة اكثر في هذا المجال.</w:t>
      </w:r>
    </w:p>
    <w:p w14:paraId="65C979D9"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Pr>
        <w:t>1-</w:t>
      </w:r>
      <w:r w:rsidRPr="005222EC">
        <w:rPr>
          <w:rFonts w:ascii="Simplified Arabic" w:hAnsi="Simplified Arabic" w:cs="Simplified Arabic" w:hint="cs"/>
          <w:sz w:val="30"/>
          <w:szCs w:val="30"/>
          <w:rtl/>
        </w:rPr>
        <w:t>بطاقة الأداء المتوازن (</w:t>
      </w:r>
      <w:r w:rsidRPr="005222EC">
        <w:rPr>
          <w:rFonts w:ascii="Simplified Arabic" w:hAnsi="Simplified Arabic" w:cs="Simplified Arabic" w:hint="cs"/>
          <w:sz w:val="30"/>
          <w:szCs w:val="30"/>
        </w:rPr>
        <w:t>Balanced Scorecard (BSC :</w:t>
      </w:r>
    </w:p>
    <w:p w14:paraId="7D546580"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بطاقة الأداء المتوازن هي أول عمل نظامي قام بتصميم نظام من أجل تقييم الأداء في المنظمات، يهتم بترجمة استراتيجية المنظمة وخططها إلى أهداف محددة ومقاييس ومعايير مستهدفة ومبادرات للتحسين المستمر، ويتميز هذا الأسلوب عن غيره من أساليب الرقابة وتقييم الأداء بأنه يقوم بالجمع بين مقاييس الأداء المالى ومقاييس الأداء غير المالى التى يمكن من تتبعها وربطها بسهولة باستراتيجية المنظمة وخططها (نعيمة ، 2018)</w:t>
      </w:r>
    </w:p>
    <w:p w14:paraId="29C6E061"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إن بطاقة الأداء المتوازن بمثابة نظام إداري يدعم ويساعد مختلف المستويات في المنظمة (المالية والإدارية)</w:t>
      </w:r>
    </w:p>
    <w:p w14:paraId="4D9AACE6"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lastRenderedPageBreak/>
        <w:t>وتحتوي بطاقة الأداء المتوازن على الأبعاد الرئيسية الخمسة التالية:</w:t>
      </w:r>
    </w:p>
    <w:p w14:paraId="41E7CE38"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 xml:space="preserve">1-البعد المالى </w:t>
      </w:r>
      <w:r w:rsidRPr="005222EC">
        <w:rPr>
          <w:rFonts w:ascii="Simplified Arabic" w:hAnsi="Simplified Arabic" w:cs="Simplified Arabic" w:hint="cs"/>
          <w:sz w:val="30"/>
          <w:szCs w:val="30"/>
        </w:rPr>
        <w:t>Financial Dimension. 2-</w:t>
      </w:r>
      <w:r w:rsidRPr="005222EC">
        <w:rPr>
          <w:rFonts w:ascii="Simplified Arabic" w:hAnsi="Simplified Arabic" w:cs="Simplified Arabic" w:hint="cs"/>
          <w:sz w:val="30"/>
          <w:szCs w:val="30"/>
          <w:rtl/>
        </w:rPr>
        <w:t xml:space="preserve">بعد العملاء </w:t>
      </w:r>
      <w:r w:rsidRPr="005222EC">
        <w:rPr>
          <w:rFonts w:ascii="Simplified Arabic" w:hAnsi="Simplified Arabic" w:cs="Simplified Arabic" w:hint="cs"/>
          <w:sz w:val="30"/>
          <w:szCs w:val="30"/>
        </w:rPr>
        <w:t>Customer Dimension.</w:t>
      </w:r>
    </w:p>
    <w:p w14:paraId="74DF0BF0"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 xml:space="preserve">3-بعد العمليات الداخلية </w:t>
      </w:r>
      <w:r w:rsidRPr="005222EC">
        <w:rPr>
          <w:rFonts w:ascii="Simplified Arabic" w:hAnsi="Simplified Arabic" w:cs="Simplified Arabic" w:hint="cs"/>
          <w:sz w:val="30"/>
          <w:szCs w:val="30"/>
        </w:rPr>
        <w:t>Internal Business Dimension .</w:t>
      </w:r>
    </w:p>
    <w:p w14:paraId="2BD9EEF9"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 xml:space="preserve">4-بعد التعلم والنمو </w:t>
      </w:r>
      <w:r w:rsidRPr="005222EC">
        <w:rPr>
          <w:rFonts w:ascii="Simplified Arabic" w:hAnsi="Simplified Arabic" w:cs="Simplified Arabic" w:hint="cs"/>
          <w:sz w:val="30"/>
          <w:szCs w:val="30"/>
        </w:rPr>
        <w:t>Learning &amp; Growth Dimension 4 .</w:t>
      </w:r>
    </w:p>
    <w:p w14:paraId="62B198CD"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 xml:space="preserve">5-البعد الاجتماعي </w:t>
      </w:r>
      <w:r w:rsidRPr="005222EC">
        <w:rPr>
          <w:rFonts w:ascii="Simplified Arabic" w:hAnsi="Simplified Arabic" w:cs="Simplified Arabic" w:hint="cs"/>
          <w:sz w:val="30"/>
          <w:szCs w:val="30"/>
        </w:rPr>
        <w:t>Social Dimension.</w:t>
      </w:r>
    </w:p>
    <w:p w14:paraId="523FE237"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 xml:space="preserve">2-أسلوب إدارة الجودة الشاملة ( </w:t>
      </w:r>
      <w:r w:rsidRPr="005222EC">
        <w:rPr>
          <w:rFonts w:ascii="Simplified Arabic" w:hAnsi="Simplified Arabic" w:cs="Simplified Arabic" w:hint="cs"/>
          <w:sz w:val="30"/>
          <w:szCs w:val="30"/>
        </w:rPr>
        <w:t>Total Quality Management)</w:t>
      </w:r>
    </w:p>
    <w:p w14:paraId="77D6277A"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يعتبر مفهوم إدارة الجودة الشاملة من المفاهيم والأساليب الحديثة في المحاسبة الإدارية حيث كان أول تطبيق هذا المفهوم في القطاع الصناعي في اليابان، ثم في الولايات المتحدة الأمريكية بعد ذلك (عزت.، 2018 م)وكان الهدف من التطبيق تحسين نوعية الإنتاج أو خدمة عالية من الجودة، والحد من الفاقد وتحقيق رضا الزبائن، وتُعرف إدارة الجودة الشاملة (</w:t>
      </w:r>
      <w:r w:rsidRPr="005222EC">
        <w:rPr>
          <w:rFonts w:ascii="Simplified Arabic" w:hAnsi="Simplified Arabic" w:cs="Simplified Arabic" w:hint="cs"/>
          <w:sz w:val="30"/>
          <w:szCs w:val="30"/>
        </w:rPr>
        <w:t xml:space="preserve">TQM) </w:t>
      </w:r>
      <w:r w:rsidRPr="005222EC">
        <w:rPr>
          <w:rFonts w:ascii="Simplified Arabic" w:hAnsi="Simplified Arabic" w:cs="Simplified Arabic" w:hint="cs"/>
          <w:sz w:val="30"/>
          <w:szCs w:val="30"/>
          <w:rtl/>
        </w:rPr>
        <w:t xml:space="preserve">بأنها التفوق في الأداء لإسعاد المستهلكين عن طريق عمل المديرين والموظفين مع بعضهم البعض من أجل تزويد المستهلكين بجودة ذات قيمة من خلال، تأدية العمل الصحيح. ومن المرة الأولى وفي كل وقت وقد عرفت إدارة الجودة الشاملة بأنها جهد المنظمة الكلي المنصب على التحسين المستمر لأداء العمليات التى تمثل طرائق الأفراد والمكائن وأنظمة إنجاز المهمات المُناطة بهم ومن الواضح أن هذا التعريف قد ركز على الأطراف أو العناصر المسئولة عن جهود </w:t>
      </w:r>
      <w:r w:rsidRPr="005222EC">
        <w:rPr>
          <w:rFonts w:ascii="Simplified Arabic" w:hAnsi="Simplified Arabic" w:cs="Simplified Arabic" w:hint="cs"/>
          <w:sz w:val="30"/>
          <w:szCs w:val="30"/>
          <w:rtl/>
        </w:rPr>
        <w:lastRenderedPageBreak/>
        <w:t>التحسين المستمر التى تقود إلى الجودة (سليم، 2013)، ويأتي في مقدمتهم الأفراد العاملون والمعدات أو الأدوات التى يستخدمونها والأنظمة, التى تؤدى العملية بموجبها .</w:t>
      </w:r>
    </w:p>
    <w:p w14:paraId="6DB568CE"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3-أسلوب تقارير الأداء والتحليل المالى .</w:t>
      </w:r>
    </w:p>
    <w:p w14:paraId="63829FD8"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تقييم الأداء هو أحد المقومات الرئيسية للعملية الرقابية ،إذ تتم مقارنة الأداء الفعلى لكل نشاط من أنشطة المنشأة ،فضلاً عن الأداء الكلي بمؤشرات محددة مقدماً، وذلك لتحديد الانحرافات عن الأهداف السابق تحديدها، وتحديد المراكز المسئولة عنها ،وإرجاعها لأسبابها لتلافيها في المستقبل ،وذلك للحكم على كفاءة التشغيل سواء على مستوي الوحدة او على مستوي الأنشطة الداخلية.</w:t>
      </w:r>
    </w:p>
    <w:p w14:paraId="253B08CC"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تعرف تقارير الأداء من وجهة نظر المحاسبة (الحاج، 2014)على أنها التقارير التى تتولد عن النظام المحاسبي في المشروع ؛ بهدف مساعدة المستويات الإدارية المتعددة في اختيار الأهداف، ووضع الخطط الكفيلة بتحقيق هذه الأهداف، وكذلك تقييم أداء الأنشطة المختلفة، حيث إن تقارير الأداء التى تصلح لمشروع معين قد لا تصلح لمشروع أخر،ورغم ذلك فهناك عدد من المبادي الأساسية الواجب مراعاتها بصدد إعداد تقارير الأداء تشمل الاتَي:</w:t>
      </w:r>
    </w:p>
    <w:p w14:paraId="64CD4017"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1-وضوح وسهولة وفهم التقارير. 2-ملاءمة التقارير لاحتياجات الإدارة.</w:t>
      </w:r>
    </w:p>
    <w:p w14:paraId="3120A539"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3-يساعد في تحسين الأداء الحالى. 4-يبين الأهداف لأداء العاملين.</w:t>
      </w:r>
    </w:p>
    <w:p w14:paraId="4C6F40A4"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lastRenderedPageBreak/>
        <w:t>5-تساعد المديرين على تحسين الأداء. 6-تخطيط العمليات المستقبلية.</w:t>
      </w:r>
    </w:p>
    <w:p w14:paraId="630FB19C"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7-تحسين الدافعية لدى العمال للعمل في مؤسساتهم.</w:t>
      </w:r>
    </w:p>
    <w:p w14:paraId="6C1DAC4C"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التحليل المالى:</w:t>
      </w:r>
    </w:p>
    <w:p w14:paraId="4967DEC3"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يعد التحليل المالى أحد أهم الأساليب التى يستخدمها المهتمون بوضع المنشأة الاقتصادية للتعرف على حقيقة وضع هذه المنشأة، ولاسيما بعد أن أصبح الإفصاح عن المعلومات المالية هو من أهم القضايا المعاصرة التى تعنى بها المحاسبة (الهادي و ايدام، 2015)وذلك عن طريق تحويل البيانات المحاسبية إلى معلومات تهم جهات مستفيدة عدة، وهكذا برزت الحاجة إلى معلومات أكثر تفصيلاً وتحليلاً، وأكثر عمقاً يلقى المزيد من الضوء على وضع المنشأة، ويساعد في التعرف على مواطن القوة والضعف فيها، ويفسر النتائج التى حققها ويساهم في إيجاد السبل الكفيلة بتحسين أدائها في المستقبل.</w:t>
      </w:r>
    </w:p>
    <w:p w14:paraId="30D9C21F"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دور أساليب المحاسبة الإدارية الحديثة في تحسين جودة أداء إدارة المخاطر في المصارف التجارية. يتمثل دور أساليب المحاسبة الادارية الحديثة فى تحسين جودة أداء إدارة المخاطر فى المصارف التجارية في الاَتي:</w:t>
      </w:r>
    </w:p>
    <w:p w14:paraId="2CF8EC97"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1-دور بطاقة الاداء المتوازن في تحسين جودة أداء إدارة المخاطر في المصارف التجارية.</w:t>
      </w:r>
    </w:p>
    <w:p w14:paraId="649921B6"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lastRenderedPageBreak/>
        <w:t xml:space="preserve">يعتمد نجاح إدارة المصرف على دمج توجهين مرتبطين ببعضهما هما نظام إدارة المخاطر، وبطاقة الأداء المتوازن، حيث إن تقٌوِيم الرقابة الداخلية يتطلب دمج هدف إدارة المخاطر بشكل استباقي كأحد أهداف منظور العمليات التشغيلية (طارق، 2016)، وبالتالى تصبح بطاقة الاداء المتوازن اَلية لتحقيق التوافق بين الأداء وتقييم الرقابة الداخلية ،ترتبط الأهداف الاستراتيجية بأهداف إدارة المخاطر فى وجهين أساسيين هما: توازي نهجهما وكذا العمل على تحقيق الأهداف الرئيسية للمصرف، فبالنسبة للأهداف الاستراتيجية يتضح الأثر التراكمي من خلال سلسلة النتيجة والسبب، حيث يؤدي تحسين قدرات وكفاءة العاملين، وتطوير أنظمة المعلومات إلى تحسين العمليات التشغيلية وتطويرها، مما يسمح بزيادة رضاء العملاء وولائهم مما سيؤثر إيجاباً على الاداء المالى للمصرف، أما بالنسبة لأهداف إدارة المخاطر فالعملية أكثر تعقيداً، فانطلاقاً من كون المخاطر التشغيلية والاستراتيجية تلتقيان فى نقاط عديدة، وكونها كذلك أحد أسباب حدوث المخاطر الاخرى، تم تحديد الأهداف المرتبطة بالأفراد وأنظمة المعلومات ،وكذلك العمل كأساس لتخفيض مستوى المخاطر الأخرى ،الأمر نفسه ينطبق على مخاطر أنظمة المعلومات (الشيشيني، 2013 م)، فعدم قدرتها عل اكتشاف المخاطر وعلى التدقيق بالشكل اللازم فى وضعية عميل معين تؤثر على أكثر من صعيد، أما بالنسبة للمخاطر المرتبطة بالسلامة المهنية، فالمخاطر تنشأ عندما تتوفر الدوافع للقيام بعمل ضد مصلحة المصرف ، سواء داخلية أو خارجية ، تؤثر المخاطر المتعلقة بالأفراد والأنظمة ومحيط العمل على كفاءة وفاعلية الأنشطة التشغيلية، مما يولد مخاطر أخرى، فالمخاطر القانونية قد تنشاء من </w:t>
      </w:r>
      <w:r w:rsidRPr="005222EC">
        <w:rPr>
          <w:rFonts w:ascii="Simplified Arabic" w:hAnsi="Simplified Arabic" w:cs="Simplified Arabic" w:hint="cs"/>
          <w:sz w:val="30"/>
          <w:szCs w:val="30"/>
          <w:rtl/>
        </w:rPr>
        <w:lastRenderedPageBreak/>
        <w:t>لا مسؤولية الموظفين كنتيجة لتعطيل أنظمة المعلومات، كما تنشأ ايضاَ عمليات الاحتيال، ونظراً لارتباط سمعة المصرف وموثوقية خدماته ومنتجاته بالمخاطر السابقة، تظهر تأثيرات مختلفة على مستوى العملاء، حيث ينخفض مستوى رضاء العملاء ومن تْم ينخفض مستوى وفائهم، والذي سيؤثر على الحفاظ عليهم أو كسب عملاء جدد، كما ستتأثر سمعة المصرف، مما سيعود بالسالب على أداء المصرف المالى ولعل الأزمات التى ما فَئت تمس القطاع المالى عموماً والمصارف بشكل خصوصي دليل على حتمية الأخذ بعين الاعتبار كل ما يشكل تهديداً للمصارف، وهذا ما دفع بلجنة بازل إلى تكييف أثفاقياتها مع التحولات والتغيرات التى تتماشي وهذه التحولات (نعيمة ، 2018)، وتعتبر بطاقة الأداء المتوازن أحدث هذه التقنيات واكترها فعالية، من باب قدرتها على دمج المتغيرات المالية وغير المالية والتى لها علاقة مباشرة بخلق المخاطر في ضوء بعد استراتيجي بما يسهم وبشكل فعال فى رصدها بشكل استباقي، ومن تْم تفادي الصدمات الفجائية التى عادة ما تصيب المؤسسات المالية والمصرفية.</w:t>
      </w:r>
    </w:p>
    <w:p w14:paraId="61AF408C"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 xml:space="preserve">2-دور أسلوب إدارة الجودة الشاملة في تحسين جودة أداء إدارة المخاطر في المصارف التجارية. يعتبر التطبيق السليم والناجح لمبادي إدارة الجودة الشاملة فى المصارف مساعداً وبشكل كبير فى القضاء على العديد من الأسباب التى تؤدي إلى نشوء المخاطر لدى المصارف، وتعمل على تحسين جودة أدائها والحد من اَثارها (عزت.، 2018 م)، أو التقليل من الخسائر الناتجة عنها فى حالة حدوثها وذلك </w:t>
      </w:r>
      <w:r w:rsidRPr="005222EC">
        <w:rPr>
          <w:rFonts w:ascii="Simplified Arabic" w:hAnsi="Simplified Arabic" w:cs="Simplified Arabic" w:hint="cs"/>
          <w:sz w:val="30"/>
          <w:szCs w:val="30"/>
          <w:rtl/>
        </w:rPr>
        <w:lastRenderedPageBreak/>
        <w:t>بالتركيز على أهم المبادئ والأسس التى ترتكز عليها إدارة الجودة الشاملة كأسلوب متبع ومطبق من طرف المصارف للتقليل من المخاطر التى يتعرض لها ونذكر منها ما يلي :</w:t>
      </w:r>
    </w:p>
    <w:p w14:paraId="1B4C1740"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1-دعم التزام الإدارة العليا بفلسفة الجودة الشاملة:-يتمثل الدور الرئيسي والحيوي للإدارة العليا فى قيادة المصرف نحو النجاح الطويل الأمد فى إدارة مختلف المخاطر، التى يمكن أن يتعرض لها المصرف من خلال الإقناع أولاً بأسلوب إدارة الجودة الشاملة كأسلوب إداري فعال. ودعم مواردها البشرية لتطبيقه بكل ثقة، وصولاً إلى الهدف المنشود وهو تحسين جودة أداء إدارة المخاطر أو التقليل منها وخاصة المخاطر التشغيلية.</w:t>
      </w:r>
    </w:p>
    <w:p w14:paraId="5124A44D"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2-المواءمة بين التخطيط والاستراتيجية:-يعتبر التخطيط هو إحدى العمليات الجوهرية والحاسمة لنظام إدارة المخاطر ويقدم إمكانية كبيرة لتشخيص الخطر والسيطرة على العمليات الأخرى فى النظام، بحيث يجب توضيح الجانب التنظيمي لإدارة المخاطر فى المصارف ومدى مساهمة العاملين فى تنفيذ وتطوير الخطة، فضلاً عن وجود نظام اتصال فعال بين العاملين مما يسمح باكتشاف مختلف المخاطر وخاصة التشغيلية التى تقع فى المصارف، مما يسمح بتفاديها أو التقليل من اَثارها (نوبالي، 2015 م).</w:t>
      </w:r>
    </w:p>
    <w:p w14:paraId="05C004B4"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lastRenderedPageBreak/>
        <w:t>3-التنفيذ أو التطبيق:- بعد إقرار خطة لإدارة المخاطر يجب على المصرف أن يضعها حيز العمل لتنفيذها، وإن تطبيق نظام إدارة المخاطر وخاصة المخاطر التشغيلية يؤدي إلى أداء أفضل للمصرف بكامله.</w:t>
      </w:r>
    </w:p>
    <w:p w14:paraId="328121FE" w14:textId="77777777" w:rsidR="00787CDC" w:rsidRPr="005222EC" w:rsidRDefault="00787CDC" w:rsidP="005222EC">
      <w:pPr>
        <w:spacing w:line="360" w:lineRule="auto"/>
        <w:jc w:val="mediumKashida"/>
        <w:rPr>
          <w:rFonts w:ascii="Simplified Arabic" w:hAnsi="Simplified Arabic" w:cs="Simplified Arabic"/>
          <w:sz w:val="30"/>
          <w:szCs w:val="30"/>
        </w:rPr>
      </w:pPr>
      <w:r w:rsidRPr="005222EC">
        <w:rPr>
          <w:rFonts w:ascii="Simplified Arabic" w:hAnsi="Simplified Arabic" w:cs="Simplified Arabic" w:hint="cs"/>
          <w:sz w:val="30"/>
          <w:szCs w:val="30"/>
          <w:rtl/>
        </w:rPr>
        <w:t>4-التحسين المستمر: يعد التحسين المستمر لنظام إدارة المخاطر ومراجعته ضمانة لجميع العمليات، بأن تعمل كما هو متوقع، وبصفة دائمة من أجل تحقيق الأهداف والغايات “التقليل من الخسائر الناجمة عن مخاطر التشغيلية “التى تعتبر كمؤشرات للأداء، بالإضافة إلى إمكانية استخدام التدقيق للتقييم والحاجة الى تحديد النظام والتحسين المستمر؛ وتعتبر الخدمة المصرفية محور نشاط المصارف، ومنه يجب أن يكون على اهتمام دائم بتحسينها وتطويرها بشكل مستمر (مزغيش، 2012 م) ونعني هنا بالتحسين المستمر للخدمة المصرفية أي المراقبة المستمرة دون توقف لكل مراحل العمليات، بحيث يتم تحديد الأخطاء مسبقاً، ومعرفة أسبابها، ومعالجتها قبل وقوعها، والتطلع باستمرار إلى طرق أفضل لتقديم الخدمة، بشكل يواكب التغيير فى متطلبات الزبون.</w:t>
      </w:r>
    </w:p>
    <w:p w14:paraId="1F01D462" w14:textId="77777777" w:rsidR="00787CDC" w:rsidRDefault="00787CDC">
      <w:pPr>
        <w:pStyle w:val="NormalWeb"/>
        <w:spacing w:after="360" w:afterAutospacing="0"/>
        <w:jc w:val="both"/>
        <w:rPr>
          <w:rFonts w:ascii="Roboto" w:hAnsi="Roboto"/>
          <w:color w:val="404040"/>
        </w:rPr>
      </w:pPr>
      <w:r>
        <w:rPr>
          <w:rFonts w:ascii="Roboto" w:hAnsi="Roboto"/>
          <w:color w:val="404040"/>
        </w:rPr>
        <w:t>3-</w:t>
      </w: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590CE7">
      <w:pPr>
        <w:rPr>
          <w:rFonts w:ascii="Sakkal Majalla" w:hAnsi="Sakkal Majalla" w:cs="Sakkal Majalla"/>
          <w:sz w:val="28"/>
          <w:szCs w:val="28"/>
          <w:u w:val="single"/>
          <w:rtl/>
        </w:rPr>
      </w:pPr>
    </w:p>
    <w:p w14:paraId="2F72E574" w14:textId="77777777" w:rsidR="00590CE7" w:rsidRDefault="00590CE7" w:rsidP="00590CE7">
      <w:pPr>
        <w:rPr>
          <w:rFonts w:ascii="Sakkal Majalla" w:hAnsi="Sakkal Majalla" w:cs="Sakkal Majalla"/>
          <w:sz w:val="28"/>
          <w:szCs w:val="28"/>
          <w:u w:val="single"/>
          <w:rtl/>
        </w:rPr>
      </w:pPr>
    </w:p>
    <w:p w14:paraId="5CDE3CE7" w14:textId="77777777" w:rsidR="00590CE7" w:rsidRDefault="00590CE7" w:rsidP="00590CE7">
      <w:pPr>
        <w:rPr>
          <w:rFonts w:ascii="Sakkal Majalla" w:hAnsi="Sakkal Majalla" w:cs="Sakkal Majalla"/>
          <w:b/>
          <w:bCs/>
          <w:sz w:val="48"/>
          <w:szCs w:val="48"/>
          <w:u w:val="single"/>
          <w:rtl/>
        </w:rPr>
      </w:pPr>
    </w:p>
    <w:p w14:paraId="48611A88" w14:textId="77777777" w:rsidR="00B11FC0" w:rsidRDefault="00B11FC0" w:rsidP="00590CE7">
      <w:pPr>
        <w:rPr>
          <w:rFonts w:ascii="Sakkal Majalla" w:hAnsi="Sakkal Majalla" w:cs="Sakkal Majalla"/>
          <w:b/>
          <w:bCs/>
          <w:sz w:val="48"/>
          <w:szCs w:val="48"/>
          <w:u w:val="single"/>
          <w:rtl/>
        </w:rPr>
      </w:pPr>
    </w:p>
    <w:p w14:paraId="4DA80F16" w14:textId="77777777" w:rsidR="00B11FC0" w:rsidRDefault="00B11FC0" w:rsidP="00590CE7">
      <w:pPr>
        <w:rPr>
          <w:rFonts w:ascii="Sakkal Majalla" w:hAnsi="Sakkal Majalla" w:cs="Sakkal Majalla"/>
          <w:b/>
          <w:bCs/>
          <w:sz w:val="48"/>
          <w:szCs w:val="48"/>
          <w:u w:val="single"/>
          <w:rtl/>
        </w:rPr>
      </w:pPr>
    </w:p>
    <w:p w14:paraId="13C28737" w14:textId="77777777" w:rsidR="00B11FC0" w:rsidRDefault="00B11FC0" w:rsidP="00590CE7">
      <w:pP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4B143608" w14:textId="77777777" w:rsidR="00590CE7" w:rsidRDefault="00590CE7" w:rsidP="00D22171">
      <w:pPr>
        <w:rPr>
          <w:rFonts w:ascii="Sakkal Majalla" w:hAnsi="Sakkal Majalla" w:cs="Sakkal Majalla"/>
          <w:sz w:val="28"/>
          <w:szCs w:val="28"/>
          <w:u w:val="single"/>
          <w:rtl/>
        </w:rPr>
      </w:pPr>
    </w:p>
    <w:p w14:paraId="2EB10896" w14:textId="77777777" w:rsidR="00590CE7" w:rsidRDefault="00590CE7" w:rsidP="00D22171">
      <w:pPr>
        <w:rPr>
          <w:rFonts w:ascii="Sakkal Majalla" w:hAnsi="Sakkal Majalla" w:cs="Sakkal Majalla"/>
          <w:sz w:val="28"/>
          <w:szCs w:val="28"/>
          <w:u w:val="single"/>
          <w:rtl/>
        </w:rPr>
      </w:pPr>
    </w:p>
    <w:p w14:paraId="053529C2" w14:textId="77777777" w:rsidR="00590CE7" w:rsidRDefault="00590CE7" w:rsidP="00D22171">
      <w:pPr>
        <w:rPr>
          <w:rFonts w:ascii="Sakkal Majalla" w:hAnsi="Sakkal Majalla" w:cs="Sakkal Majalla"/>
          <w:sz w:val="28"/>
          <w:szCs w:val="28"/>
          <w:u w:val="single"/>
          <w:rtl/>
        </w:rPr>
      </w:pPr>
    </w:p>
    <w:p w14:paraId="1AC07741" w14:textId="77777777" w:rsidR="00590CE7" w:rsidRDefault="00590CE7"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392A8180" w14:textId="77777777" w:rsidR="00BC094B" w:rsidRDefault="00BC094B" w:rsidP="00D22171">
      <w:pPr>
        <w:rPr>
          <w:rFonts w:ascii="Sakkal Majalla" w:hAnsi="Sakkal Majalla" w:cs="Sakkal Majalla"/>
          <w:sz w:val="28"/>
          <w:szCs w:val="28"/>
          <w:u w:val="single"/>
          <w:rtl/>
        </w:rPr>
      </w:pPr>
    </w:p>
    <w:p w14:paraId="38E533A6"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727F65CE" w14:textId="77777777" w:rsidR="00BC094B" w:rsidRDefault="00BC094B" w:rsidP="00D22171">
      <w:pPr>
        <w:rPr>
          <w:rFonts w:ascii="Sakkal Majalla" w:hAnsi="Sakkal Majalla" w:cs="Sakkal Majalla"/>
          <w:sz w:val="28"/>
          <w:szCs w:val="28"/>
          <w:u w:val="single"/>
          <w:rtl/>
        </w:rPr>
      </w:pPr>
    </w:p>
    <w:p w14:paraId="4CB255BD" w14:textId="77777777" w:rsidR="00BC094B" w:rsidRDefault="00BC094B" w:rsidP="00D22171">
      <w:pPr>
        <w:rPr>
          <w:rFonts w:ascii="Sakkal Majalla" w:hAnsi="Sakkal Majalla" w:cs="Sakkal Majalla"/>
          <w:sz w:val="28"/>
          <w:szCs w:val="28"/>
          <w:u w:val="single"/>
          <w:rtl/>
        </w:rPr>
      </w:pPr>
    </w:p>
    <w:p w14:paraId="644577EF" w14:textId="77777777" w:rsidR="00BC094B" w:rsidRDefault="00BC094B" w:rsidP="00D22171">
      <w:pPr>
        <w:rPr>
          <w:rFonts w:ascii="Sakkal Majalla" w:hAnsi="Sakkal Majalla" w:cs="Sakkal Majalla"/>
          <w:sz w:val="28"/>
          <w:szCs w:val="28"/>
          <w:u w:val="single"/>
          <w:rtl/>
        </w:rPr>
      </w:pPr>
    </w:p>
    <w:p w14:paraId="03A8E316" w14:textId="77777777" w:rsidR="00BC094B" w:rsidRDefault="00BC094B" w:rsidP="00D22171">
      <w:pPr>
        <w:rPr>
          <w:rFonts w:ascii="Sakkal Majalla" w:hAnsi="Sakkal Majalla" w:cs="Sakkal Majalla"/>
          <w:sz w:val="28"/>
          <w:szCs w:val="28"/>
          <w:u w:val="single"/>
          <w:rtl/>
        </w:rPr>
      </w:pPr>
    </w:p>
    <w:p w14:paraId="3B97EFA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754C5F75" w14:textId="77777777" w:rsidR="00BC094B" w:rsidRDefault="00BC094B" w:rsidP="00D22171">
      <w:pPr>
        <w:rPr>
          <w:rFonts w:ascii="Sakkal Majalla" w:hAnsi="Sakkal Majalla" w:cs="Sakkal Majalla"/>
          <w:sz w:val="28"/>
          <w:szCs w:val="28"/>
          <w:u w:val="single"/>
          <w:rtl/>
        </w:rPr>
      </w:pPr>
    </w:p>
    <w:p w14:paraId="5A692669" w14:textId="77777777" w:rsidR="00BC094B" w:rsidRDefault="00BC094B" w:rsidP="00D22171">
      <w:pPr>
        <w:rPr>
          <w:rFonts w:ascii="Sakkal Majalla" w:hAnsi="Sakkal Majalla" w:cs="Sakkal Majalla"/>
          <w:sz w:val="28"/>
          <w:szCs w:val="28"/>
          <w:u w:val="single"/>
          <w:rtl/>
        </w:rPr>
      </w:pPr>
    </w:p>
    <w:p w14:paraId="2EDBB7D8"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4A8C68A5" w14:textId="77777777" w:rsidR="004163C7" w:rsidRDefault="004163C7" w:rsidP="00D22171">
      <w:pPr>
        <w:rPr>
          <w:rFonts w:ascii="Sakkal Majalla" w:hAnsi="Sakkal Majalla" w:cs="Sakkal Majalla"/>
          <w:sz w:val="28"/>
          <w:szCs w:val="28"/>
          <w:u w:val="single"/>
          <w:rtl/>
        </w:rPr>
      </w:pPr>
    </w:p>
    <w:p w14:paraId="574C5AEF" w14:textId="77777777" w:rsidR="004163C7" w:rsidRDefault="004163C7" w:rsidP="00D22171">
      <w:pPr>
        <w:rPr>
          <w:rFonts w:ascii="Sakkal Majalla" w:hAnsi="Sakkal Majalla" w:cs="Sakkal Majalla"/>
          <w:sz w:val="28"/>
          <w:szCs w:val="28"/>
          <w:u w:val="single"/>
          <w:rtl/>
        </w:rPr>
      </w:pPr>
    </w:p>
    <w:p w14:paraId="48BBE628"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lastRenderedPageBreak/>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8B12E" w14:textId="77777777" w:rsidR="00234FEB" w:rsidRDefault="00234FEB" w:rsidP="009125CE">
      <w:pPr>
        <w:spacing w:after="0" w:line="240" w:lineRule="auto"/>
      </w:pPr>
      <w:r>
        <w:separator/>
      </w:r>
    </w:p>
  </w:endnote>
  <w:endnote w:type="continuationSeparator" w:id="0">
    <w:p w14:paraId="66F41512" w14:textId="77777777" w:rsidR="00234FEB" w:rsidRDefault="00234F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 w:name="-webkit-standard">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4B43F" w14:textId="77777777" w:rsidR="00234FEB" w:rsidRDefault="00234FEB" w:rsidP="009125CE">
      <w:pPr>
        <w:spacing w:after="0" w:line="240" w:lineRule="auto"/>
      </w:pPr>
      <w:r>
        <w:separator/>
      </w:r>
    </w:p>
  </w:footnote>
  <w:footnote w:type="continuationSeparator" w:id="0">
    <w:p w14:paraId="1A8969D5" w14:textId="77777777" w:rsidR="00234FEB" w:rsidRDefault="00234F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B57A9"/>
    <w:multiLevelType w:val="hybridMultilevel"/>
    <w:tmpl w:val="8FCE4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855F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D31A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BC63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EE3E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7461815">
    <w:abstractNumId w:val="1"/>
  </w:num>
  <w:num w:numId="2" w16cid:durableId="1777628183">
    <w:abstractNumId w:val="3"/>
  </w:num>
  <w:num w:numId="3" w16cid:durableId="758015814">
    <w:abstractNumId w:val="4"/>
  </w:num>
  <w:num w:numId="4" w16cid:durableId="140121686">
    <w:abstractNumId w:val="0"/>
  </w:num>
  <w:num w:numId="5" w16cid:durableId="10535802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99C"/>
    <w:rsid w:val="00090F21"/>
    <w:rsid w:val="000928EE"/>
    <w:rsid w:val="000E26B0"/>
    <w:rsid w:val="000F44B4"/>
    <w:rsid w:val="0011512E"/>
    <w:rsid w:val="00117737"/>
    <w:rsid w:val="001518C7"/>
    <w:rsid w:val="001902DB"/>
    <w:rsid w:val="001C2162"/>
    <w:rsid w:val="001C2EF8"/>
    <w:rsid w:val="00234FEB"/>
    <w:rsid w:val="0024301D"/>
    <w:rsid w:val="00243493"/>
    <w:rsid w:val="0025044F"/>
    <w:rsid w:val="00267DCA"/>
    <w:rsid w:val="002B3235"/>
    <w:rsid w:val="00334767"/>
    <w:rsid w:val="00397BC7"/>
    <w:rsid w:val="004163C7"/>
    <w:rsid w:val="004C4B62"/>
    <w:rsid w:val="004D39A4"/>
    <w:rsid w:val="004F0DAE"/>
    <w:rsid w:val="005150F2"/>
    <w:rsid w:val="005222EC"/>
    <w:rsid w:val="005357E0"/>
    <w:rsid w:val="00545C86"/>
    <w:rsid w:val="00574592"/>
    <w:rsid w:val="00575714"/>
    <w:rsid w:val="00590CE7"/>
    <w:rsid w:val="005A4F2D"/>
    <w:rsid w:val="005A5666"/>
    <w:rsid w:val="005D50AD"/>
    <w:rsid w:val="0062274D"/>
    <w:rsid w:val="006429D8"/>
    <w:rsid w:val="00686DB6"/>
    <w:rsid w:val="006878B6"/>
    <w:rsid w:val="0069016B"/>
    <w:rsid w:val="006948DE"/>
    <w:rsid w:val="00777600"/>
    <w:rsid w:val="00784FC1"/>
    <w:rsid w:val="00787CDC"/>
    <w:rsid w:val="007A3517"/>
    <w:rsid w:val="007B0E54"/>
    <w:rsid w:val="007E3A20"/>
    <w:rsid w:val="007F1399"/>
    <w:rsid w:val="007F5453"/>
    <w:rsid w:val="00821595"/>
    <w:rsid w:val="008474C4"/>
    <w:rsid w:val="00857DE4"/>
    <w:rsid w:val="008654EB"/>
    <w:rsid w:val="00877AAC"/>
    <w:rsid w:val="00896FE4"/>
    <w:rsid w:val="008A3252"/>
    <w:rsid w:val="008E7813"/>
    <w:rsid w:val="008F1EAE"/>
    <w:rsid w:val="009125CE"/>
    <w:rsid w:val="00921A0A"/>
    <w:rsid w:val="00946F5F"/>
    <w:rsid w:val="0097625B"/>
    <w:rsid w:val="00992013"/>
    <w:rsid w:val="009B6888"/>
    <w:rsid w:val="009C0161"/>
    <w:rsid w:val="009D108D"/>
    <w:rsid w:val="009D7E50"/>
    <w:rsid w:val="009E1436"/>
    <w:rsid w:val="009E5668"/>
    <w:rsid w:val="00A37D88"/>
    <w:rsid w:val="00AA79E9"/>
    <w:rsid w:val="00AB0A70"/>
    <w:rsid w:val="00AC10FD"/>
    <w:rsid w:val="00B11FC0"/>
    <w:rsid w:val="00B63B0F"/>
    <w:rsid w:val="00B7678A"/>
    <w:rsid w:val="00B832BE"/>
    <w:rsid w:val="00BC094B"/>
    <w:rsid w:val="00BD363E"/>
    <w:rsid w:val="00C22C0E"/>
    <w:rsid w:val="00C357F2"/>
    <w:rsid w:val="00C6598F"/>
    <w:rsid w:val="00C72744"/>
    <w:rsid w:val="00CA56D8"/>
    <w:rsid w:val="00CB2A44"/>
    <w:rsid w:val="00D04F62"/>
    <w:rsid w:val="00D22171"/>
    <w:rsid w:val="00D37D81"/>
    <w:rsid w:val="00D52480"/>
    <w:rsid w:val="00DF59F4"/>
    <w:rsid w:val="00E24F56"/>
    <w:rsid w:val="00E465D9"/>
    <w:rsid w:val="00E72EE3"/>
    <w:rsid w:val="00E80FD9"/>
    <w:rsid w:val="00EB3180"/>
    <w:rsid w:val="00EB41A1"/>
    <w:rsid w:val="00F25DE4"/>
    <w:rsid w:val="00F546CE"/>
    <w:rsid w:val="00F925D0"/>
    <w:rsid w:val="00FE0D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4">
    <w:name w:val="heading 4"/>
    <w:basedOn w:val="Normal"/>
    <w:next w:val="Normal"/>
    <w:link w:val="Heading4Char"/>
    <w:uiPriority w:val="9"/>
    <w:unhideWhenUsed/>
    <w:qFormat/>
    <w:rsid w:val="004C4B62"/>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muitypography-root">
    <w:name w:val="muitypography-root"/>
    <w:basedOn w:val="Normal"/>
    <w:rsid w:val="0062274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DefaultParagraphFont"/>
    <w:rsid w:val="0062274D"/>
  </w:style>
  <w:style w:type="character" w:styleId="Strong">
    <w:name w:val="Strong"/>
    <w:basedOn w:val="DefaultParagraphFont"/>
    <w:uiPriority w:val="22"/>
    <w:qFormat/>
    <w:rsid w:val="0062274D"/>
    <w:rPr>
      <w:b/>
      <w:bCs/>
    </w:rPr>
  </w:style>
  <w:style w:type="character" w:customStyle="1" w:styleId="Heading4Char">
    <w:name w:val="Heading 4 Char"/>
    <w:basedOn w:val="DefaultParagraphFont"/>
    <w:link w:val="Heading4"/>
    <w:uiPriority w:val="9"/>
    <w:semiHidden/>
    <w:rsid w:val="004C4B62"/>
    <w:rPr>
      <w:rFonts w:eastAsiaTheme="majorEastAsia" w:cstheme="majorBidi"/>
      <w:i/>
      <w:iCs/>
      <w:color w:val="2F5496" w:themeColor="accent1" w:themeShade="BF"/>
    </w:rPr>
  </w:style>
  <w:style w:type="paragraph" w:styleId="NormalWeb">
    <w:name w:val="Normal (Web)"/>
    <w:basedOn w:val="Normal"/>
    <w:uiPriority w:val="99"/>
    <w:semiHidden/>
    <w:unhideWhenUsed/>
    <w:rsid w:val="004C4B6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8474C4"/>
    <w:pPr>
      <w:ind w:left="720"/>
      <w:contextualSpacing/>
    </w:pPr>
  </w:style>
  <w:style w:type="paragraph" w:customStyle="1" w:styleId="s6">
    <w:name w:val="s6"/>
    <w:basedOn w:val="Normal"/>
    <w:rsid w:val="00D37D8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bumpedfont15">
    <w:name w:val="bumpedfont15"/>
    <w:basedOn w:val="DefaultParagraphFont"/>
    <w:rsid w:val="00D37D81"/>
  </w:style>
  <w:style w:type="paragraph" w:customStyle="1" w:styleId="msonormal0">
    <w:name w:val="msonormal"/>
    <w:basedOn w:val="Normal"/>
    <w:rsid w:val="009D7E5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1">
    <w:name w:val="p1"/>
    <w:basedOn w:val="Normal"/>
    <w:rsid w:val="009D7E50"/>
    <w:pPr>
      <w:bidi w:val="0"/>
      <w:spacing w:after="0" w:line="240" w:lineRule="auto"/>
    </w:pPr>
    <w:rPr>
      <w:rFonts w:ascii=".AppleSystemUIFont" w:eastAsiaTheme="minorEastAsia" w:hAnsi=".AppleSystemUIFont" w:cs="Times New Roman"/>
      <w:kern w:val="0"/>
      <w:sz w:val="24"/>
      <w:szCs w:val="24"/>
      <w14:ligatures w14:val="none"/>
    </w:rPr>
  </w:style>
  <w:style w:type="character" w:customStyle="1" w:styleId="s1">
    <w:name w:val="s1"/>
    <w:basedOn w:val="DefaultParagraphFont"/>
    <w:rsid w:val="009D7E50"/>
    <w:rPr>
      <w:rFonts w:ascii="UICTFontTextStyleEmphasizedBody" w:hAnsi="UICTFontTextStyleEmphasizedBody" w:hint="default"/>
      <w:b/>
      <w:bCs/>
      <w:i w:val="0"/>
      <w:iCs w:val="0"/>
      <w:sz w:val="24"/>
      <w:szCs w:val="24"/>
      <w:u w:val="single"/>
    </w:rPr>
  </w:style>
  <w:style w:type="character" w:customStyle="1" w:styleId="s2">
    <w:name w:val="s2"/>
    <w:basedOn w:val="DefaultParagraphFont"/>
    <w:rsid w:val="009D7E50"/>
    <w:rPr>
      <w:rFonts w:ascii="UICTFontTextStyleEmphasizedBody" w:hAnsi="UICTFontTextStyleEmphasizedBody" w:hint="default"/>
      <w:b/>
      <w:bCs/>
      <w:i w:val="0"/>
      <w:iCs w:val="0"/>
      <w:sz w:val="24"/>
      <w:szCs w:val="24"/>
    </w:rPr>
  </w:style>
  <w:style w:type="character" w:customStyle="1" w:styleId="s3">
    <w:name w:val="s3"/>
    <w:basedOn w:val="DefaultParagraphFont"/>
    <w:rsid w:val="009D7E50"/>
    <w:rPr>
      <w:rFonts w:ascii="UICTFontTextStyleBody" w:hAnsi="UICTFontTextStyleBody" w:hint="default"/>
      <w:b w:val="0"/>
      <w:bCs w:val="0"/>
      <w:i w:val="0"/>
      <w:iCs w:val="0"/>
      <w:sz w:val="24"/>
      <w:szCs w:val="24"/>
    </w:rPr>
  </w:style>
  <w:style w:type="character" w:customStyle="1" w:styleId="s4">
    <w:name w:val="s4"/>
    <w:basedOn w:val="DefaultParagraphFont"/>
    <w:rsid w:val="009D7E50"/>
    <w:rPr>
      <w:rFonts w:ascii="UICTFontTextStyleBody" w:hAnsi="UICTFontTextStyleBody" w:hint="default"/>
      <w:b w:val="0"/>
      <w:bCs w:val="0"/>
      <w:i w:val="0"/>
      <w:iCs w:val="0"/>
      <w:sz w:val="24"/>
      <w:szCs w:val="24"/>
      <w:u w:val="single"/>
    </w:rPr>
  </w:style>
  <w:style w:type="paragraph" w:customStyle="1" w:styleId="li1">
    <w:name w:val="li1"/>
    <w:basedOn w:val="Normal"/>
    <w:rsid w:val="00992013"/>
    <w:pPr>
      <w:bidi w:val="0"/>
      <w:spacing w:after="0" w:line="240" w:lineRule="auto"/>
    </w:pPr>
    <w:rPr>
      <w:rFonts w:ascii=".AppleSystemUIFont" w:eastAsiaTheme="minorEastAsia" w:hAnsi=".AppleSystemUIFont"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53</Pages>
  <Words>3699</Words>
  <Characters>21086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3</cp:revision>
  <dcterms:created xsi:type="dcterms:W3CDTF">2025-11-15T02:00:00Z</dcterms:created>
  <dcterms:modified xsi:type="dcterms:W3CDTF">2025-11-21T13:27:00Z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