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C6EAB" w14:textId="07A6466B" w:rsidR="00566673" w:rsidRPr="00804424" w:rsidRDefault="00EB22FA" w:rsidP="00A60B4D">
      <w:pPr>
        <w:pStyle w:val="a5"/>
        <w:spacing w:before="0" w:beforeAutospacing="0" w:after="240" w:afterAutospacing="0" w:line="360" w:lineRule="auto"/>
        <w:jc w:val="center"/>
        <w:rPr>
          <w:rFonts w:asciiTheme="majorBidi" w:eastAsiaTheme="minorHAnsi" w:hAnsiTheme="majorBidi" w:cstheme="majorBidi"/>
          <w:b/>
          <w:bCs/>
          <w:kern w:val="2"/>
          <w:rtl/>
          <w:lang w:bidi="ar-EG"/>
          <w14:ligatures w14:val="standardContextual"/>
        </w:rPr>
      </w:pPr>
      <w:r w:rsidRPr="00804424">
        <w:rPr>
          <w:rFonts w:asciiTheme="majorBidi" w:hAnsiTheme="majorBidi" w:cstheme="majorBidi" w:hint="cs"/>
          <w:b/>
          <w:bCs/>
          <w:noProof/>
          <w:color w:val="000000" w:themeColor="text1"/>
        </w:rPr>
        <w:drawing>
          <wp:anchor distT="0" distB="0" distL="114300" distR="114300" simplePos="0" relativeHeight="251661312" behindDoc="0" locked="0" layoutInCell="1" allowOverlap="1" wp14:anchorId="10E83750" wp14:editId="10106F74">
            <wp:simplePos x="0" y="0"/>
            <wp:positionH relativeFrom="margin">
              <wp:posOffset>3987165</wp:posOffset>
            </wp:positionH>
            <wp:positionV relativeFrom="margin">
              <wp:posOffset>-374650</wp:posOffset>
            </wp:positionV>
            <wp:extent cx="1963420" cy="1822450"/>
            <wp:effectExtent l="0" t="0" r="0"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63420" cy="1822450"/>
                    </a:xfrm>
                    <a:prstGeom prst="rect">
                      <a:avLst/>
                    </a:prstGeom>
                  </pic:spPr>
                </pic:pic>
              </a:graphicData>
            </a:graphic>
            <wp14:sizeRelH relativeFrom="margin">
              <wp14:pctWidth>0</wp14:pctWidth>
            </wp14:sizeRelH>
            <wp14:sizeRelV relativeFrom="margin">
              <wp14:pctHeight>0</wp14:pctHeight>
            </wp14:sizeRelV>
          </wp:anchor>
        </w:drawing>
      </w:r>
    </w:p>
    <w:p w14:paraId="3A3AF80A" w14:textId="77777777" w:rsidR="001D0045" w:rsidRPr="00804424" w:rsidRDefault="001D0045" w:rsidP="00A60B4D">
      <w:pPr>
        <w:pStyle w:val="a5"/>
        <w:spacing w:before="0" w:beforeAutospacing="0" w:after="240" w:afterAutospacing="0" w:line="360" w:lineRule="auto"/>
        <w:jc w:val="center"/>
        <w:rPr>
          <w:rFonts w:asciiTheme="majorBidi" w:hAnsiTheme="majorBidi" w:cstheme="majorBidi"/>
          <w:color w:val="1F1F1F"/>
          <w:rtl/>
        </w:rPr>
      </w:pPr>
    </w:p>
    <w:p w14:paraId="7D4584E8" w14:textId="77777777" w:rsidR="006E3C16" w:rsidRPr="00804424" w:rsidRDefault="006E3C16" w:rsidP="00A60B4D">
      <w:pPr>
        <w:pStyle w:val="a5"/>
        <w:bidi/>
        <w:spacing w:before="0" w:beforeAutospacing="0" w:after="0" w:afterAutospacing="0" w:line="360" w:lineRule="auto"/>
        <w:jc w:val="right"/>
        <w:rPr>
          <w:rFonts w:asciiTheme="majorBidi" w:hAnsiTheme="majorBidi" w:cstheme="majorBidi"/>
          <w:color w:val="1F1F1F"/>
          <w:rtl/>
        </w:rPr>
      </w:pPr>
    </w:p>
    <w:p w14:paraId="5D626CB0" w14:textId="77777777" w:rsidR="003463E3" w:rsidRPr="00804424" w:rsidRDefault="003463E3" w:rsidP="00A60B4D">
      <w:pPr>
        <w:pStyle w:val="a5"/>
        <w:bidi/>
        <w:spacing w:before="0" w:beforeAutospacing="0" w:after="0" w:afterAutospacing="0" w:line="360" w:lineRule="auto"/>
        <w:jc w:val="right"/>
        <w:rPr>
          <w:rFonts w:asciiTheme="majorBidi" w:hAnsiTheme="majorBidi" w:cstheme="majorBidi"/>
          <w:color w:val="1F1F1F"/>
          <w:rtl/>
        </w:rPr>
      </w:pPr>
    </w:p>
    <w:p w14:paraId="4D54E832" w14:textId="77777777" w:rsidR="00E22248" w:rsidRPr="00804424" w:rsidRDefault="00E22248" w:rsidP="00A60B4D">
      <w:pPr>
        <w:pStyle w:val="a5"/>
        <w:spacing w:before="0" w:beforeAutospacing="0" w:after="0" w:afterAutospacing="0" w:line="360" w:lineRule="auto"/>
        <w:rPr>
          <w:rFonts w:asciiTheme="majorBidi" w:hAnsiTheme="majorBidi" w:cstheme="majorBidi"/>
          <w:noProof/>
          <w:rtl/>
        </w:rPr>
      </w:pPr>
    </w:p>
    <w:p w14:paraId="4D5C9344" w14:textId="77777777" w:rsidR="00E22248" w:rsidRPr="00804424" w:rsidRDefault="00E22248" w:rsidP="00A60B4D">
      <w:pPr>
        <w:pStyle w:val="a5"/>
        <w:spacing w:before="0" w:beforeAutospacing="0" w:after="0" w:afterAutospacing="0" w:line="360" w:lineRule="auto"/>
        <w:rPr>
          <w:rFonts w:asciiTheme="majorBidi" w:hAnsiTheme="majorBidi" w:cstheme="majorBidi"/>
          <w:color w:val="1B1C1D"/>
          <w:rtl/>
        </w:rPr>
      </w:pPr>
    </w:p>
    <w:p w14:paraId="738A6E05" w14:textId="77777777" w:rsidR="00E22248" w:rsidRPr="00F921D6" w:rsidRDefault="00E22248" w:rsidP="00A60B4D">
      <w:pPr>
        <w:pStyle w:val="a5"/>
        <w:spacing w:before="0" w:beforeAutospacing="0" w:after="0" w:afterAutospacing="0" w:line="360" w:lineRule="auto"/>
        <w:jc w:val="center"/>
        <w:rPr>
          <w:rFonts w:asciiTheme="majorBidi" w:hAnsiTheme="majorBidi" w:cstheme="majorBidi"/>
          <w:b/>
          <w:bCs/>
          <w:color w:val="1B1C1D"/>
          <w:sz w:val="28"/>
          <w:szCs w:val="28"/>
          <w:rtl/>
        </w:rPr>
      </w:pPr>
      <w:r w:rsidRPr="00F921D6">
        <w:rPr>
          <w:rFonts w:asciiTheme="majorBidi" w:hAnsiTheme="majorBidi" w:cstheme="majorBidi"/>
          <w:b/>
          <w:bCs/>
          <w:color w:val="1B1C1D"/>
          <w:sz w:val="28"/>
          <w:szCs w:val="28"/>
          <w:rtl/>
        </w:rPr>
        <w:t>أطروحة بعنوان</w:t>
      </w:r>
    </w:p>
    <w:p w14:paraId="20AB9940" w14:textId="77777777" w:rsidR="00E22248" w:rsidRPr="00F921D6" w:rsidRDefault="00E22248" w:rsidP="00A60B4D">
      <w:pPr>
        <w:pStyle w:val="a5"/>
        <w:spacing w:before="0" w:beforeAutospacing="0" w:after="0" w:afterAutospacing="0" w:line="360" w:lineRule="auto"/>
        <w:rPr>
          <w:rFonts w:asciiTheme="majorBidi" w:hAnsiTheme="majorBidi" w:cstheme="majorBidi"/>
          <w:b/>
          <w:bCs/>
          <w:color w:val="1B1C1D"/>
          <w:sz w:val="28"/>
          <w:szCs w:val="28"/>
          <w:rtl/>
        </w:rPr>
      </w:pPr>
    </w:p>
    <w:p w14:paraId="7222E139" w14:textId="11CF8639" w:rsidR="00E22248" w:rsidRPr="00F921D6" w:rsidRDefault="00E22248" w:rsidP="00A60B4D">
      <w:pPr>
        <w:pStyle w:val="a5"/>
        <w:spacing w:before="0" w:beforeAutospacing="0" w:after="0" w:afterAutospacing="0" w:line="360" w:lineRule="auto"/>
        <w:jc w:val="center"/>
        <w:rPr>
          <w:rFonts w:asciiTheme="majorBidi" w:hAnsiTheme="majorBidi" w:cstheme="majorBidi"/>
          <w:b/>
          <w:bCs/>
          <w:color w:val="1B1C1D"/>
          <w:sz w:val="28"/>
          <w:szCs w:val="28"/>
          <w:rtl/>
        </w:rPr>
      </w:pPr>
      <w:r w:rsidRPr="00F921D6">
        <w:rPr>
          <w:rFonts w:asciiTheme="majorBidi" w:hAnsiTheme="majorBidi" w:cstheme="majorBidi"/>
          <w:b/>
          <w:bCs/>
          <w:color w:val="1B1C1D"/>
          <w:sz w:val="28"/>
          <w:szCs w:val="28"/>
          <w:rtl/>
        </w:rPr>
        <w:t xml:space="preserve">استخدام ذكاء الأعمال كمتغير وسيط في العلاقة بين إدارة المعرفة والأداء المؤسسي بالقطاع الحكومي السعودي في ضوء رؤية المملكة </w:t>
      </w:r>
      <w:r w:rsidR="0098629B" w:rsidRPr="00F921D6">
        <w:rPr>
          <w:rFonts w:asciiTheme="majorBidi" w:hAnsiTheme="majorBidi" w:cstheme="majorBidi"/>
          <w:b/>
          <w:bCs/>
          <w:color w:val="1B1C1D"/>
          <w:sz w:val="28"/>
          <w:szCs w:val="28"/>
          <w:rtl/>
        </w:rPr>
        <w:t xml:space="preserve"> </w:t>
      </w:r>
      <w:r w:rsidRPr="00F921D6">
        <w:rPr>
          <w:rFonts w:asciiTheme="majorBidi" w:hAnsiTheme="majorBidi" w:cstheme="majorBidi"/>
          <w:b/>
          <w:bCs/>
          <w:color w:val="1B1C1D"/>
          <w:sz w:val="28"/>
          <w:szCs w:val="28"/>
          <w:rtl/>
        </w:rPr>
        <w:t>2030</w:t>
      </w:r>
    </w:p>
    <w:p w14:paraId="482D9298" w14:textId="23F4FF00" w:rsidR="0098629B" w:rsidRPr="00F921D6" w:rsidRDefault="0098629B" w:rsidP="00A60B4D">
      <w:pPr>
        <w:pStyle w:val="a5"/>
        <w:spacing w:before="0" w:beforeAutospacing="0" w:after="0" w:afterAutospacing="0" w:line="360" w:lineRule="auto"/>
        <w:jc w:val="center"/>
        <w:rPr>
          <w:rFonts w:asciiTheme="majorBidi" w:hAnsiTheme="majorBidi" w:cstheme="majorBidi"/>
          <w:b/>
          <w:bCs/>
          <w:color w:val="1B1C1D"/>
          <w:sz w:val="28"/>
          <w:szCs w:val="28"/>
          <w:rtl/>
        </w:rPr>
      </w:pPr>
      <w:r w:rsidRPr="00F921D6">
        <w:rPr>
          <w:rFonts w:asciiTheme="majorBidi" w:hAnsiTheme="majorBidi" w:cstheme="majorBidi"/>
          <w:b/>
          <w:bCs/>
          <w:color w:val="1B1C1D"/>
          <w:sz w:val="28"/>
          <w:szCs w:val="28"/>
          <w:rtl/>
        </w:rPr>
        <w:t>من (</w:t>
      </w:r>
      <w:r w:rsidR="00B65A80" w:rsidRPr="00F921D6">
        <w:rPr>
          <w:rFonts w:asciiTheme="majorBidi" w:hAnsiTheme="majorBidi" w:cstheme="majorBidi"/>
          <w:b/>
          <w:bCs/>
          <w:color w:val="1B1C1D"/>
          <w:sz w:val="28"/>
          <w:szCs w:val="28"/>
          <w:rtl/>
        </w:rPr>
        <w:t>٢٠٢٣_٢٠٢٥)</w:t>
      </w:r>
    </w:p>
    <w:p w14:paraId="3F2731A8" w14:textId="77777777" w:rsidR="00E22248" w:rsidRPr="00F921D6" w:rsidRDefault="00E22248" w:rsidP="00A60B4D">
      <w:pPr>
        <w:pStyle w:val="a5"/>
        <w:spacing w:before="0" w:beforeAutospacing="0" w:after="240" w:afterAutospacing="0" w:line="360" w:lineRule="auto"/>
        <w:rPr>
          <w:rFonts w:asciiTheme="majorBidi" w:hAnsiTheme="majorBidi" w:cstheme="majorBidi"/>
          <w:b/>
          <w:bCs/>
          <w:color w:val="1B1C1D"/>
          <w:sz w:val="28"/>
          <w:szCs w:val="28"/>
        </w:rPr>
      </w:pPr>
    </w:p>
    <w:p w14:paraId="5DA8CDBA" w14:textId="77777777" w:rsidR="00E22248" w:rsidRPr="00F921D6" w:rsidRDefault="00E22248" w:rsidP="00A60B4D">
      <w:pPr>
        <w:pStyle w:val="a5"/>
        <w:spacing w:before="0" w:beforeAutospacing="0" w:after="0" w:afterAutospacing="0" w:line="360" w:lineRule="auto"/>
        <w:jc w:val="center"/>
        <w:rPr>
          <w:rFonts w:asciiTheme="majorBidi" w:hAnsiTheme="majorBidi" w:cstheme="majorBidi"/>
          <w:b/>
          <w:bCs/>
          <w:color w:val="1B1C1D"/>
          <w:sz w:val="28"/>
          <w:szCs w:val="28"/>
        </w:rPr>
      </w:pPr>
      <w:r w:rsidRPr="00F921D6">
        <w:rPr>
          <w:rFonts w:asciiTheme="majorBidi" w:hAnsiTheme="majorBidi" w:cstheme="majorBidi"/>
          <w:b/>
          <w:bCs/>
          <w:color w:val="1B1C1D"/>
          <w:sz w:val="28"/>
          <w:szCs w:val="28"/>
          <w:bdr w:val="none" w:sz="0" w:space="0" w:color="auto" w:frame="1"/>
        </w:rPr>
        <w:t>The Use of Business Intelligence as a Mediating Variable in the Relationship between Knowledge Management and Organizational Performance in the Saudi Public Sector, in Light of Saudi Vision 2030</w:t>
      </w:r>
    </w:p>
    <w:p w14:paraId="2FE92E4A" w14:textId="618B2A20" w:rsidR="00E22248" w:rsidRPr="00F921D6" w:rsidRDefault="009C2E15" w:rsidP="00A60B4D">
      <w:pPr>
        <w:pStyle w:val="a5"/>
        <w:bidi/>
        <w:spacing w:before="0" w:beforeAutospacing="0" w:after="0" w:afterAutospacing="0" w:line="360" w:lineRule="auto"/>
        <w:jc w:val="center"/>
        <w:rPr>
          <w:rFonts w:asciiTheme="majorBidi" w:hAnsiTheme="majorBidi" w:cstheme="majorBidi"/>
          <w:b/>
          <w:bCs/>
          <w:color w:val="1B1C1D"/>
          <w:sz w:val="28"/>
          <w:szCs w:val="28"/>
          <w:rtl/>
        </w:rPr>
      </w:pPr>
      <w:r w:rsidRPr="00F921D6">
        <w:rPr>
          <w:rFonts w:asciiTheme="majorBidi" w:hAnsiTheme="majorBidi" w:cstheme="majorBidi"/>
          <w:b/>
          <w:bCs/>
          <w:color w:val="1B1C1D"/>
          <w:sz w:val="28"/>
          <w:szCs w:val="28"/>
          <w:rtl/>
        </w:rPr>
        <w:t>(2023_2025)</w:t>
      </w:r>
    </w:p>
    <w:p w14:paraId="1FA19EEE" w14:textId="77777777" w:rsidR="00E22248" w:rsidRPr="00F921D6" w:rsidRDefault="00E22248" w:rsidP="00A60B4D">
      <w:pPr>
        <w:pStyle w:val="a5"/>
        <w:spacing w:after="0" w:line="360" w:lineRule="auto"/>
        <w:jc w:val="center"/>
        <w:rPr>
          <w:rFonts w:asciiTheme="majorBidi" w:hAnsiTheme="majorBidi" w:cstheme="majorBidi"/>
          <w:b/>
          <w:bCs/>
          <w:color w:val="1B1C1D"/>
          <w:sz w:val="28"/>
          <w:szCs w:val="28"/>
        </w:rPr>
      </w:pPr>
      <w:r w:rsidRPr="00F921D6">
        <w:rPr>
          <w:rFonts w:asciiTheme="majorBidi" w:hAnsiTheme="majorBidi" w:cstheme="majorBidi"/>
          <w:b/>
          <w:bCs/>
          <w:color w:val="1B1C1D"/>
          <w:sz w:val="28"/>
          <w:szCs w:val="28"/>
          <w:rtl/>
        </w:rPr>
        <w:t xml:space="preserve">إعداد الباحث/ عبدالعزيز محمد عبدالعزيز آل محسن </w:t>
      </w:r>
    </w:p>
    <w:p w14:paraId="165AE655" w14:textId="77777777" w:rsidR="00E22248" w:rsidRPr="00F921D6" w:rsidRDefault="00E22248" w:rsidP="00A60B4D">
      <w:pPr>
        <w:pStyle w:val="a5"/>
        <w:bidi/>
        <w:spacing w:before="0" w:beforeAutospacing="0" w:after="0" w:afterAutospacing="0" w:line="360" w:lineRule="auto"/>
        <w:jc w:val="center"/>
        <w:rPr>
          <w:rFonts w:asciiTheme="majorBidi" w:hAnsiTheme="majorBidi" w:cstheme="majorBidi"/>
          <w:b/>
          <w:bCs/>
          <w:color w:val="1B1C1D"/>
          <w:sz w:val="28"/>
          <w:szCs w:val="28"/>
          <w:rtl/>
        </w:rPr>
      </w:pPr>
      <w:r w:rsidRPr="00F921D6">
        <w:rPr>
          <w:rFonts w:asciiTheme="majorBidi" w:hAnsiTheme="majorBidi" w:cstheme="majorBidi"/>
          <w:b/>
          <w:bCs/>
          <w:color w:val="1B1C1D"/>
          <w:sz w:val="28"/>
          <w:szCs w:val="28"/>
        </w:rPr>
        <w:t>ABDULAZIZ MOHAMMED ALMUHSIN</w:t>
      </w:r>
    </w:p>
    <w:p w14:paraId="38430480" w14:textId="77777777" w:rsidR="00E22248" w:rsidRPr="00F921D6" w:rsidRDefault="00E22248" w:rsidP="00A60B4D">
      <w:pPr>
        <w:pStyle w:val="a5"/>
        <w:bidi/>
        <w:spacing w:before="0" w:beforeAutospacing="0" w:after="0" w:afterAutospacing="0" w:line="360" w:lineRule="auto"/>
        <w:jc w:val="center"/>
        <w:rPr>
          <w:rFonts w:asciiTheme="majorBidi" w:hAnsiTheme="majorBidi" w:cstheme="majorBidi"/>
          <w:b/>
          <w:bCs/>
          <w:color w:val="1B1C1D"/>
          <w:sz w:val="28"/>
          <w:szCs w:val="28"/>
          <w:rtl/>
        </w:rPr>
      </w:pPr>
      <w:r w:rsidRPr="00F921D6">
        <w:rPr>
          <w:rFonts w:asciiTheme="majorBidi" w:hAnsiTheme="majorBidi" w:cstheme="majorBidi"/>
          <w:b/>
          <w:bCs/>
          <w:color w:val="1B1C1D"/>
          <w:sz w:val="28"/>
          <w:szCs w:val="28"/>
          <w:rtl/>
        </w:rPr>
        <w:t>الرقم الأكاديمي: 243002171</w:t>
      </w:r>
    </w:p>
    <w:p w14:paraId="7E10701F" w14:textId="77777777" w:rsidR="00E22248" w:rsidRPr="00F921D6" w:rsidRDefault="00E22248" w:rsidP="00A60B4D">
      <w:pPr>
        <w:pStyle w:val="a5"/>
        <w:bidi/>
        <w:spacing w:before="0" w:beforeAutospacing="0" w:after="0" w:afterAutospacing="0" w:line="360" w:lineRule="auto"/>
        <w:jc w:val="center"/>
        <w:rPr>
          <w:rFonts w:asciiTheme="majorBidi" w:hAnsiTheme="majorBidi" w:cstheme="majorBidi"/>
          <w:b/>
          <w:bCs/>
          <w:color w:val="1B1C1D"/>
          <w:sz w:val="28"/>
          <w:szCs w:val="28"/>
          <w:rtl/>
        </w:rPr>
      </w:pPr>
      <w:proofErr w:type="spellStart"/>
      <w:r w:rsidRPr="00F921D6">
        <w:rPr>
          <w:rFonts w:asciiTheme="majorBidi" w:hAnsiTheme="majorBidi" w:cstheme="majorBidi"/>
          <w:b/>
          <w:bCs/>
          <w:color w:val="1B1C1D"/>
          <w:sz w:val="28"/>
          <w:szCs w:val="28"/>
          <w:rtl/>
        </w:rPr>
        <w:t>الكلية:كلية</w:t>
      </w:r>
      <w:proofErr w:type="spellEnd"/>
      <w:r w:rsidRPr="00F921D6">
        <w:rPr>
          <w:rFonts w:asciiTheme="majorBidi" w:hAnsiTheme="majorBidi" w:cstheme="majorBidi"/>
          <w:b/>
          <w:bCs/>
          <w:color w:val="1B1C1D"/>
          <w:sz w:val="28"/>
          <w:szCs w:val="28"/>
          <w:rtl/>
        </w:rPr>
        <w:t xml:space="preserve"> الإدارة </w:t>
      </w:r>
    </w:p>
    <w:p w14:paraId="62F0AAD0" w14:textId="73DFCBC6" w:rsidR="003463E3" w:rsidRPr="00804424" w:rsidRDefault="003463E3" w:rsidP="00A60B4D">
      <w:pPr>
        <w:pStyle w:val="a5"/>
        <w:bidi/>
        <w:spacing w:before="0" w:beforeAutospacing="0" w:after="0" w:afterAutospacing="0" w:line="360" w:lineRule="auto"/>
        <w:jc w:val="right"/>
        <w:rPr>
          <w:rFonts w:asciiTheme="majorBidi" w:hAnsiTheme="majorBidi" w:cstheme="majorBidi"/>
          <w:color w:val="1F1F1F"/>
          <w:rtl/>
        </w:rPr>
      </w:pPr>
    </w:p>
    <w:p w14:paraId="606B89D4" w14:textId="77777777" w:rsidR="00E8681B" w:rsidRPr="00804424" w:rsidRDefault="00E8681B" w:rsidP="00A60B4D">
      <w:pPr>
        <w:pStyle w:val="a5"/>
        <w:bidi/>
        <w:spacing w:before="0" w:beforeAutospacing="0" w:after="0" w:afterAutospacing="0" w:line="360" w:lineRule="auto"/>
        <w:jc w:val="right"/>
        <w:rPr>
          <w:rFonts w:asciiTheme="majorBidi" w:hAnsiTheme="majorBidi" w:cstheme="majorBidi"/>
          <w:color w:val="1F1F1F"/>
          <w:rtl/>
        </w:rPr>
      </w:pPr>
    </w:p>
    <w:p w14:paraId="6C8C9625" w14:textId="77777777" w:rsidR="00E8681B" w:rsidRPr="00804424" w:rsidRDefault="00E8681B" w:rsidP="00A60B4D">
      <w:pPr>
        <w:pStyle w:val="a5"/>
        <w:bidi/>
        <w:spacing w:before="0" w:beforeAutospacing="0" w:after="0" w:afterAutospacing="0" w:line="360" w:lineRule="auto"/>
        <w:jc w:val="right"/>
        <w:rPr>
          <w:rFonts w:asciiTheme="majorBidi" w:hAnsiTheme="majorBidi" w:cstheme="majorBidi"/>
          <w:color w:val="1F1F1F"/>
          <w:rtl/>
        </w:rPr>
      </w:pPr>
    </w:p>
    <w:p w14:paraId="647581E1" w14:textId="77777777" w:rsidR="00EB22FA" w:rsidRPr="00804424" w:rsidRDefault="00EB22FA" w:rsidP="00A60B4D">
      <w:pPr>
        <w:pStyle w:val="a5"/>
        <w:bidi/>
        <w:spacing w:before="0" w:beforeAutospacing="0" w:after="0" w:afterAutospacing="0" w:line="360" w:lineRule="auto"/>
        <w:jc w:val="right"/>
        <w:rPr>
          <w:rFonts w:asciiTheme="majorBidi" w:hAnsiTheme="majorBidi" w:cstheme="majorBidi"/>
          <w:color w:val="1F1F1F"/>
          <w:rtl/>
        </w:rPr>
      </w:pPr>
    </w:p>
    <w:p w14:paraId="4591443D" w14:textId="77777777" w:rsidR="00EB22FA" w:rsidRPr="00804424" w:rsidRDefault="00EB22FA" w:rsidP="00A60B4D">
      <w:pPr>
        <w:pStyle w:val="a5"/>
        <w:bidi/>
        <w:spacing w:before="0" w:beforeAutospacing="0" w:after="0" w:afterAutospacing="0" w:line="360" w:lineRule="auto"/>
        <w:jc w:val="right"/>
        <w:rPr>
          <w:rFonts w:asciiTheme="majorBidi" w:hAnsiTheme="majorBidi" w:cstheme="majorBidi"/>
          <w:color w:val="1F1F1F"/>
          <w:rtl/>
        </w:rPr>
      </w:pPr>
    </w:p>
    <w:p w14:paraId="59E268F9" w14:textId="77777777" w:rsidR="00D07E7D" w:rsidRPr="00804424" w:rsidRDefault="00D07E7D" w:rsidP="00A60B4D">
      <w:pPr>
        <w:pStyle w:val="a5"/>
        <w:bidi/>
        <w:spacing w:before="0" w:beforeAutospacing="0" w:after="0" w:afterAutospacing="0" w:line="360" w:lineRule="auto"/>
        <w:jc w:val="right"/>
        <w:rPr>
          <w:rFonts w:asciiTheme="majorBidi" w:hAnsiTheme="majorBidi" w:cstheme="majorBidi"/>
          <w:color w:val="1F1F1F"/>
          <w:rtl/>
        </w:rPr>
      </w:pPr>
    </w:p>
    <w:p w14:paraId="4152712F" w14:textId="77777777" w:rsidR="00D07E7D" w:rsidRPr="00804424" w:rsidRDefault="00D07E7D" w:rsidP="00A60B4D">
      <w:pPr>
        <w:pStyle w:val="a5"/>
        <w:bidi/>
        <w:spacing w:before="0" w:beforeAutospacing="0" w:after="0" w:afterAutospacing="0" w:line="360" w:lineRule="auto"/>
        <w:jc w:val="right"/>
        <w:rPr>
          <w:rFonts w:asciiTheme="majorBidi" w:hAnsiTheme="majorBidi" w:cstheme="majorBidi"/>
          <w:color w:val="1F1F1F"/>
          <w:rtl/>
        </w:rPr>
      </w:pPr>
    </w:p>
    <w:p w14:paraId="0028D39C" w14:textId="77777777" w:rsidR="00D07E7D" w:rsidRPr="00804424" w:rsidRDefault="00D07E7D" w:rsidP="00F921D6">
      <w:pPr>
        <w:pStyle w:val="a5"/>
        <w:bidi/>
        <w:spacing w:before="0" w:beforeAutospacing="0" w:after="0" w:afterAutospacing="0" w:line="360" w:lineRule="auto"/>
        <w:rPr>
          <w:rFonts w:asciiTheme="majorBidi" w:hAnsiTheme="majorBidi" w:cstheme="majorBidi"/>
          <w:color w:val="1F1F1F"/>
          <w:rtl/>
        </w:rPr>
      </w:pPr>
    </w:p>
    <w:p w14:paraId="0C87951D" w14:textId="77777777" w:rsidR="005B5EE0" w:rsidRPr="00804424" w:rsidRDefault="005B5EE0" w:rsidP="00A60B4D">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65BEAD6E" w14:textId="77777777" w:rsidR="005B5EE0" w:rsidRPr="00C80251" w:rsidRDefault="005B5EE0" w:rsidP="006442A7">
      <w:pPr>
        <w:pStyle w:val="1"/>
        <w:bidi/>
        <w:spacing w:before="0" w:beforeAutospacing="0" w:after="120" w:afterAutospacing="0" w:line="360" w:lineRule="auto"/>
        <w:rPr>
          <w:rFonts w:asciiTheme="majorBidi" w:eastAsia="Times New Roman" w:hAnsiTheme="majorBidi" w:cstheme="majorBidi"/>
          <w:color w:val="1F1F1F"/>
          <w:sz w:val="28"/>
          <w:szCs w:val="28"/>
        </w:rPr>
      </w:pPr>
      <w:r w:rsidRPr="00C80251">
        <w:rPr>
          <w:rFonts w:asciiTheme="majorBidi" w:eastAsia="Times New Roman" w:hAnsiTheme="majorBidi" w:cstheme="majorBidi"/>
          <w:color w:val="1F1F1F"/>
          <w:sz w:val="28"/>
          <w:szCs w:val="28"/>
          <w:rtl/>
        </w:rPr>
        <w:lastRenderedPageBreak/>
        <w:t>الفصل الثاني: الإطار النظري للدراسة</w:t>
      </w:r>
    </w:p>
    <w:p w14:paraId="5F104DE5" w14:textId="77777777" w:rsidR="005B5EE0" w:rsidRPr="00C80251" w:rsidRDefault="005B5EE0" w:rsidP="006442A7">
      <w:pPr>
        <w:pStyle w:val="2"/>
        <w:bidi/>
        <w:spacing w:before="0" w:beforeAutospacing="0" w:after="120" w:afterAutospacing="0" w:line="360" w:lineRule="auto"/>
        <w:rPr>
          <w:rFonts w:asciiTheme="majorBidi" w:eastAsia="Times New Roman" w:hAnsiTheme="majorBidi" w:cstheme="majorBidi"/>
          <w:color w:val="1F1F1F"/>
          <w:sz w:val="28"/>
          <w:szCs w:val="28"/>
          <w:rtl/>
        </w:rPr>
      </w:pPr>
      <w:r w:rsidRPr="00C80251">
        <w:rPr>
          <w:rFonts w:asciiTheme="majorBidi" w:eastAsia="Times New Roman" w:hAnsiTheme="majorBidi" w:cstheme="majorBidi"/>
          <w:color w:val="1F1F1F"/>
          <w:sz w:val="28"/>
          <w:szCs w:val="28"/>
          <w:rtl/>
        </w:rPr>
        <w:t>مقدمة الفصل</w:t>
      </w:r>
    </w:p>
    <w:p w14:paraId="0F892A7A" w14:textId="77777777" w:rsidR="005B5EE0" w:rsidRPr="006442A7" w:rsidRDefault="005B5EE0"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يسعى الباحث من خلال هذا الفصل إلى تقديم تأصيل علمي ومنهجي عميق وشامل لمتغيرات الأطروحة الحالية، والتي تبحث في "استخدام ذكاء الأعمال كمتغير وسيط في العلاقة بين إدارة المعرفة والأداء المؤسسي بالقطاع الحكومي السعودي في ضوء رؤية المملكة 2030". وينطلق هذا التأسيس النظري من فلسفة إدارية وتقنية متكاملة تهدف إلى تفسير كيفية تحويل الأصول المعرفية غير الملموسة إلى عوائد أدائية ملموسة ومستدامة عبر قنوات تكنولوجية ذكية.</w:t>
      </w:r>
    </w:p>
    <w:p w14:paraId="1C2F4D75" w14:textId="77777777" w:rsidR="005B5EE0" w:rsidRPr="006442A7" w:rsidRDefault="005B5EE0"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ولتحقيق هذا الهدف، يعتمد الباحث على مدخل نظري متعدد الأبعاد يربط بين الفكر الإداري التقليدي والتوجهات الرقمية المعاصرة، مستنداً إلى مجموعة من النظريات العلمية الرصينة التي تفسر العلاقات البينية لمتغيرات الدراسة. وسيتناول الباحث في هذا الفصل ثلاثة محاور رئيسة متوازنة في العرض والتحليل، تليها مناقشة علمية مستفيضة للدور الوسيط والنموذج </w:t>
      </w:r>
      <w:proofErr w:type="spellStart"/>
      <w:r w:rsidRPr="006442A7">
        <w:rPr>
          <w:rFonts w:asciiTheme="majorBidi" w:hAnsiTheme="majorBidi" w:cstheme="majorBidi"/>
          <w:color w:val="1F1F1F"/>
          <w:rtl/>
        </w:rPr>
        <w:t>العلاقاتي</w:t>
      </w:r>
      <w:proofErr w:type="spellEnd"/>
      <w:r w:rsidRPr="006442A7">
        <w:rPr>
          <w:rFonts w:asciiTheme="majorBidi" w:hAnsiTheme="majorBidi" w:cstheme="majorBidi"/>
          <w:color w:val="1F1F1F"/>
          <w:rtl/>
        </w:rPr>
        <w:t xml:space="preserve"> المقترح، مع إبراز الرؤية النقدية والتحليلية والاستنباطية للباحث في كل محور، وذلك بما يتوافق مع معايير الأمانة العلمية والدقة الأكاديمية.</w:t>
      </w:r>
    </w:p>
    <w:p w14:paraId="45678D62" w14:textId="77777777" w:rsidR="007A6DF3" w:rsidRPr="00077876" w:rsidRDefault="007A6DF3" w:rsidP="006442A7">
      <w:pPr>
        <w:pStyle w:val="1"/>
        <w:bidi/>
        <w:spacing w:before="0" w:beforeAutospacing="0" w:after="120" w:afterAutospacing="0" w:line="360" w:lineRule="auto"/>
        <w:rPr>
          <w:rFonts w:asciiTheme="majorBidi" w:eastAsia="Times New Roman" w:hAnsiTheme="majorBidi" w:cstheme="majorBidi"/>
          <w:color w:val="1F1F1F"/>
          <w:sz w:val="28"/>
          <w:szCs w:val="28"/>
          <w:rtl/>
        </w:rPr>
      </w:pPr>
      <w:r w:rsidRPr="00077876">
        <w:rPr>
          <w:rFonts w:asciiTheme="majorBidi" w:eastAsia="Times New Roman" w:hAnsiTheme="majorBidi" w:cstheme="majorBidi"/>
          <w:color w:val="1F1F1F"/>
          <w:sz w:val="28"/>
          <w:szCs w:val="28"/>
          <w:rtl/>
        </w:rPr>
        <w:t>المحور الأول: إدارة المعرفة</w:t>
      </w:r>
    </w:p>
    <w:p w14:paraId="30A7B0AF" w14:textId="77777777" w:rsidR="007A6DF3" w:rsidRPr="006442A7" w:rsidRDefault="007A6DF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1. مفهوم إدارة المعرفة وتطورها الفكري</w:t>
      </w:r>
    </w:p>
    <w:p w14:paraId="2C31F960" w14:textId="77777777" w:rsidR="007A6DF3" w:rsidRPr="006442A7" w:rsidRDefault="007A6DF3"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لقد شهد الفكر التنظيمي المعاصر تحولاً جذرياً ببروز مفهوم إدارة المعرفة (</w:t>
      </w:r>
      <w:r w:rsidRPr="006442A7">
        <w:rPr>
          <w:rStyle w:val="a7"/>
          <w:rFonts w:asciiTheme="majorBidi" w:hAnsiTheme="majorBidi" w:cstheme="majorBidi"/>
          <w:i w:val="0"/>
          <w:iCs w:val="0"/>
          <w:color w:val="1F1F1F"/>
          <w:bdr w:val="none" w:sz="0" w:space="0" w:color="auto" w:frame="1"/>
        </w:rPr>
        <w:t>Knowledge Management</w:t>
      </w:r>
      <w:r w:rsidRPr="006442A7">
        <w:rPr>
          <w:rFonts w:asciiTheme="majorBidi" w:hAnsiTheme="majorBidi" w:cstheme="majorBidi"/>
          <w:color w:val="1F1F1F"/>
          <w:rtl/>
        </w:rPr>
        <w:t>) كأحد أهم المداخل الإدارية المعاصرة. وتُعرّف إدارة المعرفة بأنها عملية نظامية متكاملة تهدف إلى اكتشاف، وامتلاك، وتخزين، ومشاركة، وتطبيق رأس المال الفكري والمعرفي لتمكين المنظمة من تحقيق أهدافها الاستراتيجية بفاعلية وكفاءة (العتيبي، 2023).</w:t>
      </w:r>
    </w:p>
    <w:p w14:paraId="14389C83" w14:textId="77777777" w:rsidR="007A6DF3" w:rsidRPr="006442A7" w:rsidRDefault="007A6DF3"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وقد تتبع الباحث التطور التاريخي للمفهوم، حيث وجد أنه ارتبط بالانتقال التدريجي من الاقتصاد الصناعي القائم على الأصول المادية إلى الاقتصاد المعرفي القائم على الأصول الفكرية غير الملموسة. وفي هذا الصدد، يوضح الباحث أن المعرفة تنقسم إلى نوعين رئيسين:</w:t>
      </w:r>
    </w:p>
    <w:p w14:paraId="5AD90FC0" w14:textId="77777777" w:rsidR="007A6DF3" w:rsidRPr="006442A7" w:rsidRDefault="007A6DF3" w:rsidP="006442A7">
      <w:pPr>
        <w:pStyle w:val="a5"/>
        <w:numPr>
          <w:ilvl w:val="0"/>
          <w:numId w:val="34"/>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المعرفة الصريحة (</w:t>
      </w:r>
      <w:r w:rsidRPr="006442A7">
        <w:rPr>
          <w:rStyle w:val="a6"/>
          <w:rFonts w:asciiTheme="majorBidi" w:hAnsiTheme="majorBidi" w:cstheme="majorBidi"/>
          <w:color w:val="1F1F1F"/>
          <w:bdr w:val="none" w:sz="0" w:space="0" w:color="auto" w:frame="1"/>
        </w:rPr>
        <w:t>Explicit Knowledge</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وهي المعرفة الموثقة والقابلة للنقل والتدوين بسهولة.</w:t>
      </w:r>
    </w:p>
    <w:p w14:paraId="543E2180" w14:textId="77777777" w:rsidR="007A6DF3" w:rsidRPr="006442A7" w:rsidRDefault="007A6DF3" w:rsidP="006442A7">
      <w:pPr>
        <w:pStyle w:val="a5"/>
        <w:numPr>
          <w:ilvl w:val="0"/>
          <w:numId w:val="34"/>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المعرفة الضمنية (</w:t>
      </w:r>
      <w:r w:rsidRPr="006442A7">
        <w:rPr>
          <w:rStyle w:val="a6"/>
          <w:rFonts w:asciiTheme="majorBidi" w:hAnsiTheme="majorBidi" w:cstheme="majorBidi"/>
          <w:color w:val="1F1F1F"/>
          <w:bdr w:val="none" w:sz="0" w:space="0" w:color="auto" w:frame="1"/>
        </w:rPr>
        <w:t>Tacit Knowledge</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وهي المعرفة الكامنة في عقول الموظفين وخبراتهم التراكمية، وهي الأكثر صعوبة في التوثيق والنقل (القحطاني وآخرون، 2026).</w:t>
      </w:r>
    </w:p>
    <w:p w14:paraId="6E9802CA" w14:textId="77777777" w:rsidR="007A6DF3" w:rsidRPr="006442A7" w:rsidRDefault="007A6DF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ويرى الباحث أن نضج إدارة المعرفة في القطاع العام يتطلب مواءمة ديناميكية مستمرة بين البعدين التقني والاجتماعي، حيث لا يكفي توفير قواعد البيانات دون وجود بيئة ثقافية تشجع الأفراد على تبادل معارفهم وتطبيقها لخدمة الصالح العام.</w:t>
      </w:r>
    </w:p>
    <w:p w14:paraId="58AFF0AC" w14:textId="77777777" w:rsidR="007A6DF3" w:rsidRPr="006442A7" w:rsidRDefault="007A6DF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2. أهمية وأهداف إدارة المعرفة في القطاع الحكومي</w:t>
      </w:r>
    </w:p>
    <w:p w14:paraId="70B0E8E6" w14:textId="77777777" w:rsidR="007A6DF3" w:rsidRPr="006442A7" w:rsidRDefault="007A6DF3"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لم يعد تطبيق إدارة المعرفة في المؤسسات العامة ترفاً إدارياً، بل أصبح ضرورة ملحة تفرضها متطلبات </w:t>
      </w:r>
      <w:proofErr w:type="spellStart"/>
      <w:r w:rsidRPr="006442A7">
        <w:rPr>
          <w:rFonts w:asciiTheme="majorBidi" w:hAnsiTheme="majorBidi" w:cstheme="majorBidi"/>
          <w:color w:val="1F1F1F"/>
          <w:rtl/>
        </w:rPr>
        <w:t>الحوكمة</w:t>
      </w:r>
      <w:proofErr w:type="spellEnd"/>
      <w:r w:rsidRPr="006442A7">
        <w:rPr>
          <w:rFonts w:asciiTheme="majorBidi" w:hAnsiTheme="majorBidi" w:cstheme="majorBidi"/>
          <w:color w:val="1F1F1F"/>
          <w:rtl/>
        </w:rPr>
        <w:t xml:space="preserve"> والرشاقة الإدارية. ويوضح الباحث أهداف هذا المتغير في البيئة الحكومية من خلال النقاط الآتية:</w:t>
      </w:r>
    </w:p>
    <w:p w14:paraId="4DE3A768" w14:textId="77777777" w:rsidR="007A6DF3" w:rsidRPr="006442A7" w:rsidRDefault="007A6DF3" w:rsidP="006442A7">
      <w:pPr>
        <w:pStyle w:val="a5"/>
        <w:numPr>
          <w:ilvl w:val="0"/>
          <w:numId w:val="35"/>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حفظ الذاكرة التنظيمية للمؤسسات:</w:t>
      </w:r>
      <w:r w:rsidRPr="006442A7">
        <w:rPr>
          <w:rFonts w:asciiTheme="majorBidi" w:hAnsiTheme="majorBidi" w:cstheme="majorBidi"/>
          <w:color w:val="1F1F1F"/>
          <w:rtl/>
        </w:rPr>
        <w:t xml:space="preserve"> الحفاظ على رأس المال الفكري وتفادي هدر الخبرات التراكمية الناتجة عن تعاقب القيادات أو تقاعد الكفاءات (</w:t>
      </w:r>
      <w:proofErr w:type="spellStart"/>
      <w:r w:rsidRPr="006442A7">
        <w:rPr>
          <w:rFonts w:asciiTheme="majorBidi" w:hAnsiTheme="majorBidi" w:cstheme="majorBidi"/>
          <w:color w:val="1F1F1F"/>
          <w:rtl/>
        </w:rPr>
        <w:t>الرداعي</w:t>
      </w:r>
      <w:proofErr w:type="spellEnd"/>
      <w:r w:rsidRPr="006442A7">
        <w:rPr>
          <w:rFonts w:asciiTheme="majorBidi" w:hAnsiTheme="majorBidi" w:cstheme="majorBidi"/>
          <w:color w:val="1F1F1F"/>
          <w:rtl/>
        </w:rPr>
        <w:t>، 2024).</w:t>
      </w:r>
    </w:p>
    <w:p w14:paraId="319A112E" w14:textId="77777777" w:rsidR="007A6DF3" w:rsidRPr="006442A7" w:rsidRDefault="007A6DF3" w:rsidP="006442A7">
      <w:pPr>
        <w:pStyle w:val="a5"/>
        <w:numPr>
          <w:ilvl w:val="0"/>
          <w:numId w:val="35"/>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lastRenderedPageBreak/>
        <w:t>تعزيز الابتكار والتعلم المستمر:</w:t>
      </w:r>
      <w:r w:rsidRPr="006442A7">
        <w:rPr>
          <w:rFonts w:asciiTheme="majorBidi" w:hAnsiTheme="majorBidi" w:cstheme="majorBidi"/>
          <w:color w:val="1F1F1F"/>
          <w:rtl/>
        </w:rPr>
        <w:t xml:space="preserve"> المساهمة في خلق بيئة مرنة تدعم الابتكار الحكومي وتحويل الجهات العامة إلى "منظمات متعلمة" قادرة على التكيف السريع مع التحولات الوطنية (الجعافرة، 2024).</w:t>
      </w:r>
    </w:p>
    <w:p w14:paraId="7E91E7BA" w14:textId="77777777" w:rsidR="007A6DF3" w:rsidRPr="006442A7" w:rsidRDefault="007A6DF3" w:rsidP="006442A7">
      <w:pPr>
        <w:pStyle w:val="a5"/>
        <w:numPr>
          <w:ilvl w:val="0"/>
          <w:numId w:val="35"/>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تسريع وتجويد صناعة القرار الحكومي:</w:t>
      </w:r>
      <w:r w:rsidRPr="006442A7">
        <w:rPr>
          <w:rFonts w:asciiTheme="majorBidi" w:hAnsiTheme="majorBidi" w:cstheme="majorBidi"/>
          <w:color w:val="1F1F1F"/>
          <w:rtl/>
        </w:rPr>
        <w:t xml:space="preserve"> من خلال تسهيل الوصول اللحظي للمعلومات الدقيقة وتوظيف الدروس المستفادة من التجارب السابقة (</w:t>
      </w:r>
      <w:proofErr w:type="spellStart"/>
      <w:r w:rsidRPr="006442A7">
        <w:rPr>
          <w:rFonts w:asciiTheme="majorBidi" w:hAnsiTheme="majorBidi" w:cstheme="majorBidi"/>
          <w:color w:val="1F1F1F"/>
          <w:rtl/>
        </w:rPr>
        <w:t>المصراتي</w:t>
      </w:r>
      <w:proofErr w:type="spellEnd"/>
      <w:r w:rsidRPr="006442A7">
        <w:rPr>
          <w:rFonts w:asciiTheme="majorBidi" w:hAnsiTheme="majorBidi" w:cstheme="majorBidi"/>
          <w:color w:val="1F1F1F"/>
          <w:rtl/>
        </w:rPr>
        <w:t>، 2025).</w:t>
      </w:r>
    </w:p>
    <w:p w14:paraId="3E73B87E" w14:textId="77777777" w:rsidR="007A6DF3" w:rsidRPr="006442A7" w:rsidRDefault="007A6DF3" w:rsidP="006442A7">
      <w:pPr>
        <w:pStyle w:val="a5"/>
        <w:numPr>
          <w:ilvl w:val="0"/>
          <w:numId w:val="35"/>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كفاءة الإنفاق ومنع تكرار الأخطاء:</w:t>
      </w:r>
      <w:r w:rsidRPr="006442A7">
        <w:rPr>
          <w:rFonts w:asciiTheme="majorBidi" w:hAnsiTheme="majorBidi" w:cstheme="majorBidi"/>
          <w:color w:val="1F1F1F"/>
          <w:rtl/>
        </w:rPr>
        <w:t xml:space="preserve"> يساهم التوثيق المنظم للمعرفة في منع تكرار الأخطاء والبدء من حيث انتهى الآخرون، مما يوفر الوقت والموارد المالية (الحربي، 2023).</w:t>
      </w:r>
    </w:p>
    <w:p w14:paraId="78797F3B" w14:textId="77777777" w:rsidR="007A6DF3" w:rsidRPr="006442A7" w:rsidRDefault="007A6DF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3. خصائص إدارة المعرفة المعاصرة</w:t>
      </w:r>
    </w:p>
    <w:p w14:paraId="6812E2E2" w14:textId="77777777" w:rsidR="007A6DF3" w:rsidRPr="006442A7" w:rsidRDefault="007A6DF3"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تتميز إدارة المعرفة الحديثة في الفكر التنظيمي بعدة خصائص رصدها الباحث من خلال استقراء الأدبيات السابقة:</w:t>
      </w:r>
    </w:p>
    <w:p w14:paraId="3796D9E2" w14:textId="77777777" w:rsidR="007A6DF3" w:rsidRPr="006442A7" w:rsidRDefault="007A6DF3" w:rsidP="006442A7">
      <w:pPr>
        <w:pStyle w:val="a5"/>
        <w:numPr>
          <w:ilvl w:val="0"/>
          <w:numId w:val="36"/>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الشمولية والتكامل:</w:t>
      </w:r>
      <w:r w:rsidRPr="006442A7">
        <w:rPr>
          <w:rFonts w:asciiTheme="majorBidi" w:hAnsiTheme="majorBidi" w:cstheme="majorBidi"/>
          <w:color w:val="1F1F1F"/>
          <w:rtl/>
        </w:rPr>
        <w:t xml:space="preserve"> تدمج بين الأبعاد التكنولوجية (الأنظمة) والأبعاد البشرية (الثقافة والمهارات والممارسات التنظيمية) (الطويل، 2025).</w:t>
      </w:r>
    </w:p>
    <w:p w14:paraId="31318E84" w14:textId="77777777" w:rsidR="007A6DF3" w:rsidRPr="006442A7" w:rsidRDefault="007A6DF3" w:rsidP="006442A7">
      <w:pPr>
        <w:pStyle w:val="a5"/>
        <w:numPr>
          <w:ilvl w:val="0"/>
          <w:numId w:val="36"/>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الديناميكية والاستمرارية:</w:t>
      </w:r>
      <w:r w:rsidRPr="006442A7">
        <w:rPr>
          <w:rFonts w:asciiTheme="majorBidi" w:hAnsiTheme="majorBidi" w:cstheme="majorBidi"/>
          <w:color w:val="1F1F1F"/>
          <w:rtl/>
        </w:rPr>
        <w:t xml:space="preserve"> عملية متجددة دائرية لا تتوقف عند مرحلة معينة، بل تتغذى باستمرار بالتفاعل مع المتغيرات البيئية والداخلية (</w:t>
      </w:r>
      <w:r w:rsidRPr="006442A7">
        <w:rPr>
          <w:rFonts w:asciiTheme="majorBidi" w:hAnsiTheme="majorBidi" w:cstheme="majorBidi"/>
          <w:color w:val="1F1F1F"/>
        </w:rPr>
        <w:t>Grant, 1996</w:t>
      </w:r>
      <w:r w:rsidRPr="006442A7">
        <w:rPr>
          <w:rFonts w:asciiTheme="majorBidi" w:hAnsiTheme="majorBidi" w:cstheme="majorBidi"/>
          <w:color w:val="1F1F1F"/>
          <w:rtl/>
        </w:rPr>
        <w:t>).</w:t>
      </w:r>
    </w:p>
    <w:p w14:paraId="55352881" w14:textId="77777777" w:rsidR="007A6DF3" w:rsidRPr="006442A7" w:rsidRDefault="007A6DF3" w:rsidP="006442A7">
      <w:pPr>
        <w:pStyle w:val="a5"/>
        <w:numPr>
          <w:ilvl w:val="0"/>
          <w:numId w:val="36"/>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القيمة المضافة:</w:t>
      </w:r>
      <w:r w:rsidRPr="006442A7">
        <w:rPr>
          <w:rFonts w:asciiTheme="majorBidi" w:hAnsiTheme="majorBidi" w:cstheme="majorBidi"/>
          <w:color w:val="1F1F1F"/>
          <w:rtl/>
        </w:rPr>
        <w:t xml:space="preserve"> تسعى دائماً إلى تحويل البيانات الصامتة والمعلومات المبعثرة إلى معرفة تطبيقية ذات قيمة ملموسة تنعكس على مستوى جودة تقديم الخدمات (العتيبي، 2023).</w:t>
      </w:r>
    </w:p>
    <w:p w14:paraId="735FD2CC" w14:textId="77777777" w:rsidR="007A6DF3" w:rsidRPr="006442A7" w:rsidRDefault="007A6DF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4. أبعاد إدارة المعرفة المعتمدة في الدراسة</w:t>
      </w:r>
    </w:p>
    <w:p w14:paraId="3E26D891" w14:textId="77777777" w:rsidR="007A6DF3" w:rsidRPr="006442A7" w:rsidRDefault="007A6DF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تماشياً مع الأطر المفهومية الرائدة في الفكر الإداري، وبناءً على مساهمات الباحثين السابقين (مثل: الجعافرة، 2024؛ العتيبي، 2023؛ القحطاني وآخرون، 2026)، اعتمد الباحث أربعة أبعاد فرعية لعمليات إدارة المعرفة تتناسب مع طبيعة وبيئة القطاع الحكومي السعودي:</w:t>
      </w:r>
    </w:p>
    <w:p w14:paraId="734F0146" w14:textId="77777777" w:rsidR="007A6DF3" w:rsidRPr="006442A7" w:rsidRDefault="007A6DF3"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أ. توليد المعرفة (</w:t>
      </w:r>
      <w:r w:rsidRPr="006442A7">
        <w:rPr>
          <w:rStyle w:val="a7"/>
          <w:rFonts w:asciiTheme="majorBidi" w:eastAsia="Times New Roman" w:hAnsiTheme="majorBidi" w:cstheme="majorBidi"/>
          <w:i w:val="0"/>
          <w:iCs w:val="0"/>
          <w:color w:val="1F1F1F"/>
          <w:sz w:val="24"/>
          <w:szCs w:val="24"/>
          <w:bdr w:val="none" w:sz="0" w:space="0" w:color="auto" w:frame="1"/>
        </w:rPr>
        <w:t>Knowledge Generation</w:t>
      </w:r>
      <w:r w:rsidRPr="006442A7">
        <w:rPr>
          <w:rFonts w:asciiTheme="majorBidi" w:eastAsia="Times New Roman" w:hAnsiTheme="majorBidi" w:cstheme="majorBidi"/>
          <w:color w:val="1F1F1F"/>
          <w:sz w:val="24"/>
          <w:szCs w:val="24"/>
          <w:rtl/>
        </w:rPr>
        <w:t>)</w:t>
      </w:r>
    </w:p>
    <w:p w14:paraId="38F0C906" w14:textId="77777777" w:rsidR="007A6DF3" w:rsidRPr="006442A7" w:rsidRDefault="007A6DF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ويقصد به قدرة الجهة الحكومية على اكتساب وابتكار معارف وخبرات جديدة، سواء عبر البحث والتطوير الداخلي، أو التدريب المستمر، أو من مصادر خارجية مثل الشراكات الاستراتيجية مع القطاع الخاص والمقارنات المعيارية الدولية (العتيبي، 2023). ويمثل هذا البعد المدخل الرئيس لسلسلة القيمة المعرفية في المؤسسة. وتتأثر هذه العملية بالبرامج التدريبية الموجهة؛ حيث يشير الحربي (2017) إلى أن التدريب والتأهيل الموجه يسهمان بشكل فعال في بناء القدرات والخبرات التراكمية وتوليد معرفة تطبيقية تسهم في مواجهة الأزمات وتحسين الكفاءة التشغيلية.</w:t>
      </w:r>
    </w:p>
    <w:p w14:paraId="085CC8EB" w14:textId="77777777" w:rsidR="007A6DF3" w:rsidRPr="006442A7" w:rsidRDefault="007A6DF3"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ب. تخزين المعرفة (</w:t>
      </w:r>
      <w:r w:rsidRPr="006442A7">
        <w:rPr>
          <w:rStyle w:val="a7"/>
          <w:rFonts w:asciiTheme="majorBidi" w:eastAsia="Times New Roman" w:hAnsiTheme="majorBidi" w:cstheme="majorBidi"/>
          <w:i w:val="0"/>
          <w:iCs w:val="0"/>
          <w:color w:val="1F1F1F"/>
          <w:sz w:val="24"/>
          <w:szCs w:val="24"/>
          <w:bdr w:val="none" w:sz="0" w:space="0" w:color="auto" w:frame="1"/>
        </w:rPr>
        <w:t>Knowledge Storage</w:t>
      </w:r>
      <w:r w:rsidRPr="006442A7">
        <w:rPr>
          <w:rFonts w:asciiTheme="majorBidi" w:eastAsia="Times New Roman" w:hAnsiTheme="majorBidi" w:cstheme="majorBidi"/>
          <w:color w:val="1F1F1F"/>
          <w:sz w:val="24"/>
          <w:szCs w:val="24"/>
          <w:rtl/>
        </w:rPr>
        <w:t>)</w:t>
      </w:r>
    </w:p>
    <w:p w14:paraId="6A949BC3" w14:textId="77777777" w:rsidR="007A6DF3" w:rsidRPr="006442A7" w:rsidRDefault="007A6DF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ويشير إلى العمليات والتقنيات المستخدمة للاحتفاظ بالمعرفة وتوثيقها وأرشفتها لحمايتها من التلاشي والضياع. ويتضمن ذلك قواعد البيانات، المستودعات الرقمية، ومنصات الحوسبة السحابية التي تضمن سرعة استرجاع المعلومات (الجعافرة، 2024). ويعبر هذا البعد عن مستودع الذاكرة المؤسسية للجهة.</w:t>
      </w:r>
    </w:p>
    <w:p w14:paraId="6228711D" w14:textId="77777777" w:rsidR="007A6DF3" w:rsidRPr="006442A7" w:rsidRDefault="007A6DF3"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ج. مشاركة المعرفة (</w:t>
      </w:r>
      <w:r w:rsidRPr="006442A7">
        <w:rPr>
          <w:rStyle w:val="a7"/>
          <w:rFonts w:asciiTheme="majorBidi" w:eastAsia="Times New Roman" w:hAnsiTheme="majorBidi" w:cstheme="majorBidi"/>
          <w:i w:val="0"/>
          <w:iCs w:val="0"/>
          <w:color w:val="1F1F1F"/>
          <w:sz w:val="24"/>
          <w:szCs w:val="24"/>
          <w:bdr w:val="none" w:sz="0" w:space="0" w:color="auto" w:frame="1"/>
        </w:rPr>
        <w:t>Knowledge Sharing</w:t>
      </w:r>
      <w:r w:rsidRPr="006442A7">
        <w:rPr>
          <w:rFonts w:asciiTheme="majorBidi" w:eastAsia="Times New Roman" w:hAnsiTheme="majorBidi" w:cstheme="majorBidi"/>
          <w:color w:val="1F1F1F"/>
          <w:sz w:val="24"/>
          <w:szCs w:val="24"/>
          <w:rtl/>
        </w:rPr>
        <w:t>)</w:t>
      </w:r>
    </w:p>
    <w:p w14:paraId="4488473E" w14:textId="77777777" w:rsidR="007A6DF3" w:rsidRPr="006442A7" w:rsidRDefault="007A6DF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وتُمثّل عملية نقل وتبادل المعارف والمعلومات (الضمنية والصريحة) بين الأفراد، فرق العمل، والإدارات المختلفة داخل الجهة الحكومية. وتتطلب مشاركة المعرفة كسر ثقافة "احتكار المعلومة" وتوفير قنوات اتصال تفاعلية مرنة (القحطاني وآخرون، 2026). وقد بينت الأدبيات أن مشاركة المعرفة هي البعد الأكثر تأثيراً على مستوى كفاءة الأداء العام (</w:t>
      </w:r>
      <w:proofErr w:type="spellStart"/>
      <w:r w:rsidRPr="006442A7">
        <w:rPr>
          <w:rFonts w:asciiTheme="majorBidi" w:hAnsiTheme="majorBidi" w:cstheme="majorBidi"/>
          <w:color w:val="1F1F1F"/>
          <w:rtl/>
        </w:rPr>
        <w:t>المصراتي</w:t>
      </w:r>
      <w:proofErr w:type="spellEnd"/>
      <w:r w:rsidRPr="006442A7">
        <w:rPr>
          <w:rFonts w:asciiTheme="majorBidi" w:hAnsiTheme="majorBidi" w:cstheme="majorBidi"/>
          <w:color w:val="1F1F1F"/>
          <w:rtl/>
        </w:rPr>
        <w:t>، 2025).</w:t>
      </w:r>
    </w:p>
    <w:p w14:paraId="3B21E9F8" w14:textId="77777777" w:rsidR="007A6DF3" w:rsidRPr="006442A7" w:rsidRDefault="007A6DF3"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lastRenderedPageBreak/>
        <w:t>د. تطبيق المعرفة (</w:t>
      </w:r>
      <w:r w:rsidRPr="006442A7">
        <w:rPr>
          <w:rStyle w:val="a7"/>
          <w:rFonts w:asciiTheme="majorBidi" w:eastAsia="Times New Roman" w:hAnsiTheme="majorBidi" w:cstheme="majorBidi"/>
          <w:i w:val="0"/>
          <w:iCs w:val="0"/>
          <w:color w:val="1F1F1F"/>
          <w:sz w:val="24"/>
          <w:szCs w:val="24"/>
          <w:bdr w:val="none" w:sz="0" w:space="0" w:color="auto" w:frame="1"/>
        </w:rPr>
        <w:t>Knowledge Application</w:t>
      </w:r>
      <w:r w:rsidRPr="006442A7">
        <w:rPr>
          <w:rFonts w:asciiTheme="majorBidi" w:eastAsia="Times New Roman" w:hAnsiTheme="majorBidi" w:cstheme="majorBidi"/>
          <w:color w:val="1F1F1F"/>
          <w:sz w:val="24"/>
          <w:szCs w:val="24"/>
          <w:rtl/>
        </w:rPr>
        <w:t>)</w:t>
      </w:r>
    </w:p>
    <w:p w14:paraId="1F199DC5" w14:textId="77777777" w:rsidR="007A6DF3" w:rsidRPr="006442A7" w:rsidRDefault="007A6DF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وهو الغاية النهائية والهدف الأسمى لإدارة المعرفة، ويُقصد به توظيف واستخدام المعارف المتاحة عملياً في حل المشكلات التنظيمية اليومية، وتطوير الخدمات، ورفع كفاءة اتخاذ القرار (الجعافرة، 2024). إن المعرفة التي لا يتم تطبيقها تظل أصلاً معطلاً لا قيمة له في ميزان الأداء.</w:t>
      </w:r>
    </w:p>
    <w:p w14:paraId="34C65DC4" w14:textId="77777777" w:rsidR="007A6DF3" w:rsidRPr="006442A7" w:rsidRDefault="007A6DF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5. تعقيب الباحث ورؤيته الاستنباطية لمتغير إدارة المعرفة</w:t>
      </w:r>
    </w:p>
    <w:p w14:paraId="390801D1" w14:textId="77777777" w:rsidR="007A6DF3" w:rsidRPr="006442A7" w:rsidRDefault="007A6DF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يرى الباحث أن إدارة المعرفة في القطاع الحكومي السعودي قد تجاوزت مرحلة "التثقيف والتنظير الإداري" لتدخل في صلب "التمكين التنظيمي الإلزامي" تحت مظلة برامج رؤية المملكة 2030. فلم يعد الحفاظ على المعرفة وتوثيقها خياراً ذاتياً للمؤسسة، بل أصبح معياراً رئيساً تقاس عليه كفاءة الأداء الحكومي </w:t>
      </w:r>
      <w:proofErr w:type="spellStart"/>
      <w:r w:rsidRPr="006442A7">
        <w:rPr>
          <w:rFonts w:asciiTheme="majorBidi" w:hAnsiTheme="majorBidi" w:cstheme="majorBidi"/>
          <w:color w:val="1F1F1F"/>
          <w:rtl/>
        </w:rPr>
        <w:t>وحوكمته</w:t>
      </w:r>
      <w:proofErr w:type="spellEnd"/>
      <w:r w:rsidRPr="006442A7">
        <w:rPr>
          <w:rFonts w:asciiTheme="majorBidi" w:hAnsiTheme="majorBidi" w:cstheme="majorBidi"/>
          <w:color w:val="1F1F1F"/>
          <w:rtl/>
        </w:rPr>
        <w:t>.</w:t>
      </w:r>
    </w:p>
    <w:p w14:paraId="033A920F" w14:textId="77777777" w:rsidR="007A6DF3" w:rsidRPr="006442A7" w:rsidRDefault="007A6DF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ومع ذلك، يستنبط الباحث من خلال القراءة النقدية للأدبيات والواقع العملي، أن التحدي الحقيقي في البيئة الإدارية السعودية لا يكمن في بُعدي "توليد المعرفة وتخزينها"، حيث قطعت المملكة أشواطاً هائلة في بناء قواعد البيانات والبنى التحتية التقنية الرقمية المتطورة. بل يكمن التحدي الفعلي في بُعدي "مشاركة المعرفة وتطبيقها" الفعلي؛ ويرجع ذلك إلى ترسبات البيروقراطية وحواجز الثقافة التنظيمية التقليدية التي قد ترى في احتكار المعلومة مصدراً للقوة الوظيفية. ومن هنا تبرز الحاجة الجوهرية لمتغيرنا الوسيط (ذكاء الأعمال) ليقوم </w:t>
      </w:r>
      <w:proofErr w:type="spellStart"/>
      <w:r w:rsidRPr="006442A7">
        <w:rPr>
          <w:rFonts w:asciiTheme="majorBidi" w:hAnsiTheme="majorBidi" w:cstheme="majorBidi"/>
          <w:color w:val="1F1F1F"/>
          <w:rtl/>
        </w:rPr>
        <w:t>بأتمتة</w:t>
      </w:r>
      <w:proofErr w:type="spellEnd"/>
      <w:r w:rsidRPr="006442A7">
        <w:rPr>
          <w:rFonts w:asciiTheme="majorBidi" w:hAnsiTheme="majorBidi" w:cstheme="majorBidi"/>
          <w:color w:val="1F1F1F"/>
          <w:rtl/>
        </w:rPr>
        <w:t xml:space="preserve"> هذه العمليات وجعل مشاركة المعرفة وتطبيقها عملية مبرمجة تلقائية تقلل من التدخل البشري والتعقيد البيروقراطي.</w:t>
      </w:r>
    </w:p>
    <w:p w14:paraId="19B77A8F" w14:textId="5BC02111" w:rsidR="00665003" w:rsidRPr="00077876" w:rsidRDefault="00665003" w:rsidP="006442A7">
      <w:pPr>
        <w:pStyle w:val="1"/>
        <w:bidi/>
        <w:spacing w:before="0" w:beforeAutospacing="0" w:after="120" w:afterAutospacing="0" w:line="360" w:lineRule="auto"/>
        <w:rPr>
          <w:rFonts w:asciiTheme="majorBidi" w:eastAsia="Times New Roman" w:hAnsiTheme="majorBidi" w:cstheme="majorBidi"/>
          <w:color w:val="1F1F1F"/>
          <w:sz w:val="28"/>
          <w:szCs w:val="28"/>
          <w:rtl/>
        </w:rPr>
      </w:pPr>
      <w:r w:rsidRPr="00077876">
        <w:rPr>
          <w:rFonts w:asciiTheme="majorBidi" w:eastAsia="Times New Roman" w:hAnsiTheme="majorBidi" w:cstheme="majorBidi"/>
          <w:color w:val="1F1F1F"/>
          <w:sz w:val="28"/>
          <w:szCs w:val="28"/>
          <w:rtl/>
        </w:rPr>
        <w:t>المحور الثاني: ذكاء الأعمال</w:t>
      </w:r>
    </w:p>
    <w:p w14:paraId="2EE57FCA" w14:textId="77777777" w:rsidR="00665003" w:rsidRPr="006442A7" w:rsidRDefault="0066500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1. مفهوم ذكاء الأعمال وتطوره التقني والتنظيمي</w:t>
      </w:r>
    </w:p>
    <w:p w14:paraId="356438EF" w14:textId="77777777" w:rsidR="00665003" w:rsidRPr="006442A7" w:rsidRDefault="00665003"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يُمثّل ذكاء الأعمال (</w:t>
      </w:r>
      <w:r w:rsidRPr="006442A7">
        <w:rPr>
          <w:rStyle w:val="a7"/>
          <w:rFonts w:asciiTheme="majorBidi" w:hAnsiTheme="majorBidi" w:cstheme="majorBidi"/>
          <w:i w:val="0"/>
          <w:iCs w:val="0"/>
          <w:color w:val="1F1F1F"/>
          <w:bdr w:val="none" w:sz="0" w:space="0" w:color="auto" w:frame="1"/>
        </w:rPr>
        <w:t>Business Intelligence - BI</w:t>
      </w:r>
      <w:r w:rsidRPr="006442A7">
        <w:rPr>
          <w:rFonts w:asciiTheme="majorBidi" w:hAnsiTheme="majorBidi" w:cstheme="majorBidi"/>
          <w:color w:val="1F1F1F"/>
          <w:rtl/>
        </w:rPr>
        <w:t>) أحد أهم المفاهيم التقنية والإدارية التي أحدثت ثورة في كيفية تعامل المنظمات مع البيانات الضخمة. ويُعرّف ذكاء الأعمال بأنه مظلة واسعة ومكاملة تضم البنى التحتية، الأدوات، التطبيقات، والممارسات الفضلى التي تمكن المؤسسة من الوصول إلى البيانات وتحليلها بعمق لاستخلاص رؤى استراتيجية تدعم اتخاذ القرارات وتحسن الكفاءة التشغيلية (الشمري، 2025).</w:t>
      </w:r>
    </w:p>
    <w:p w14:paraId="60E8E66A" w14:textId="77777777" w:rsidR="00665003" w:rsidRPr="006442A7" w:rsidRDefault="00665003"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وقد رصد الباحث التطور الفكري لهذا المفهوم، حيث وجد أنه نشأ في البداية كحزمة من البرمجيات القادرة على سحب البيانات من النظم التشغيلية وتخزينها في مستودعات البيانات (</w:t>
      </w:r>
      <w:r w:rsidRPr="006442A7">
        <w:rPr>
          <w:rStyle w:val="a7"/>
          <w:rFonts w:asciiTheme="majorBidi" w:hAnsiTheme="majorBidi" w:cstheme="majorBidi"/>
          <w:i w:val="0"/>
          <w:iCs w:val="0"/>
          <w:color w:val="1F1F1F"/>
          <w:bdr w:val="none" w:sz="0" w:space="0" w:color="auto" w:frame="1"/>
        </w:rPr>
        <w:t>Data Warehouses</w:t>
      </w:r>
      <w:r w:rsidRPr="006442A7">
        <w:rPr>
          <w:rFonts w:asciiTheme="majorBidi" w:hAnsiTheme="majorBidi" w:cstheme="majorBidi"/>
          <w:color w:val="1F1F1F"/>
          <w:rtl/>
        </w:rPr>
        <w:t>) لتسهيل استخراج التقارير المرنة (الزهراني، 2023). ومع تطور التقنيات ودخول عصر البيانات الضخمة، تحول ذكاء الأعمال من نظام دعم فني تقليدي إلى "مُمكّن استراتيجي" يتكامل مع العمليات المعرفية لتصفية وتوجيه التدفقات الهائلة من البيانات اليومية وصياغتها في مؤشرات أداء تفاعلية تخدم المستويات القيادية (الخفاجي، 2024).</w:t>
      </w:r>
    </w:p>
    <w:p w14:paraId="61DC562F" w14:textId="77777777" w:rsidR="00665003" w:rsidRPr="006442A7" w:rsidRDefault="0066500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 xml:space="preserve">2. التداخل </w:t>
      </w:r>
      <w:proofErr w:type="spellStart"/>
      <w:r w:rsidRPr="006442A7">
        <w:rPr>
          <w:rFonts w:asciiTheme="majorBidi" w:eastAsia="Times New Roman" w:hAnsiTheme="majorBidi" w:cstheme="majorBidi"/>
          <w:color w:val="1F1F1F"/>
          <w:sz w:val="24"/>
          <w:szCs w:val="24"/>
          <w:rtl/>
        </w:rPr>
        <w:t>المفهومي</w:t>
      </w:r>
      <w:proofErr w:type="spellEnd"/>
      <w:r w:rsidRPr="006442A7">
        <w:rPr>
          <w:rFonts w:asciiTheme="majorBidi" w:eastAsia="Times New Roman" w:hAnsiTheme="majorBidi" w:cstheme="majorBidi"/>
          <w:color w:val="1F1F1F"/>
          <w:sz w:val="24"/>
          <w:szCs w:val="24"/>
          <w:rtl/>
        </w:rPr>
        <w:t xml:space="preserve"> بين ذكاء الأعمال والذكاء الاستراتيجي</w:t>
      </w:r>
    </w:p>
    <w:p w14:paraId="5CE33592" w14:textId="77777777" w:rsidR="00665003" w:rsidRPr="006442A7" w:rsidRDefault="00665003"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في إطار قراءة الباحث الفاحصة للأدبيات الإدارية، يظهر تقاطع جلي بين مفهوم "ذكاء الأعمال" ومفهوم "الذكاء الاستراتيجي" (</w:t>
      </w:r>
      <w:r w:rsidRPr="006442A7">
        <w:rPr>
          <w:rStyle w:val="a7"/>
          <w:rFonts w:asciiTheme="majorBidi" w:hAnsiTheme="majorBidi" w:cstheme="majorBidi"/>
          <w:i w:val="0"/>
          <w:iCs w:val="0"/>
          <w:color w:val="1F1F1F"/>
          <w:bdr w:val="none" w:sz="0" w:space="0" w:color="auto" w:frame="1"/>
        </w:rPr>
        <w:t>Strategic Intelligence</w:t>
      </w:r>
      <w:r w:rsidRPr="006442A7">
        <w:rPr>
          <w:rFonts w:asciiTheme="majorBidi" w:hAnsiTheme="majorBidi" w:cstheme="majorBidi"/>
          <w:color w:val="1F1F1F"/>
          <w:rtl/>
        </w:rPr>
        <w:t>). فالذكاء الاستراتيجي، كما يوضح أبو الغنم (2016)، يركز على القدرة الاستشرافية للمنظمة وصياغة رؤى ترفع من كفاءة وفاعلية اتخاذ القرارات الاستراتيجية في بيئة الأعمال المعقدة. وتؤكد دراسة أبو عيادة (2016) أن توافر الذكاء الاستراتيجي لدى القيادة يعد شرطاً أساسياً لنجاح المنظمات واستدامتها التنافسية.</w:t>
      </w:r>
    </w:p>
    <w:p w14:paraId="138AFC7B" w14:textId="77777777" w:rsidR="00665003" w:rsidRPr="006442A7" w:rsidRDefault="0066500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lastRenderedPageBreak/>
        <w:t>من جانب آخر، يرى الباحث أن "الذكاء الاستراتيجي" يمثل المظلة الإدارية والفكرية الكبرى التي توجه عمليات استشراف المستقبل، في حين يمثل "ذكاء الأعمال" الأداة التقنية والتحليلية والمحرك التنفيذي المبرمج الذي يترجم هذه الرؤى الاستراتيجية إلى واقع ملموس (البوجي، 2017). إن توظيف ذكاء الأعمال يمد القادة بالمرونة؛ حيث يشير الإبراهيمي (2018) إلى أن الذكاء الموجه يدعم مرونة المنظمة وقدرتها على تعديل خططها اللوجستية والتشغيلية بما يتناسب مع المتغيرات المستمرة. كما تلعب الأبعاد التقنية لذكاء الأعمال دوراً مكملاً للذكاء الاستراتيجي في توجيه الابتكار والتحول الأخضر في المؤسسات من خلال رصد المتغيرات البيئية والداخلية بكفاءة (أمين، 2014).</w:t>
      </w:r>
    </w:p>
    <w:p w14:paraId="5604B760" w14:textId="77777777" w:rsidR="00665003" w:rsidRPr="006442A7" w:rsidRDefault="0066500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3. أهمية وأهداف ذكاء الأعمال في دعم القرارات الحكومية</w:t>
      </w:r>
    </w:p>
    <w:p w14:paraId="0DFBBCAA" w14:textId="77777777" w:rsidR="00665003" w:rsidRPr="006442A7" w:rsidRDefault="00665003"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تستمد أدوات ذكاء الأعمال أهميتها البالغة في القطاع العام من قدرتها الفائقة على تفعيل "صناعة السياسات القائمة على الأدلة والحقائق" (</w:t>
      </w:r>
      <w:r w:rsidRPr="006442A7">
        <w:rPr>
          <w:rStyle w:val="a7"/>
          <w:rFonts w:asciiTheme="majorBidi" w:hAnsiTheme="majorBidi" w:cstheme="majorBidi"/>
          <w:i w:val="0"/>
          <w:iCs w:val="0"/>
          <w:color w:val="1F1F1F"/>
          <w:bdr w:val="none" w:sz="0" w:space="0" w:color="auto" w:frame="1"/>
        </w:rPr>
        <w:t>Evidence-Based Decision Making</w:t>
      </w:r>
      <w:r w:rsidRPr="006442A7">
        <w:rPr>
          <w:rFonts w:asciiTheme="majorBidi" w:hAnsiTheme="majorBidi" w:cstheme="majorBidi"/>
          <w:color w:val="1F1F1F"/>
          <w:rtl/>
        </w:rPr>
        <w:t>). وتتمثل أبرز أهداف هذا المتغير فيما يلي:</w:t>
      </w:r>
    </w:p>
    <w:p w14:paraId="0D81709F" w14:textId="77777777" w:rsidR="00665003" w:rsidRPr="006442A7" w:rsidRDefault="00665003" w:rsidP="006442A7">
      <w:pPr>
        <w:pStyle w:val="a5"/>
        <w:numPr>
          <w:ilvl w:val="0"/>
          <w:numId w:val="38"/>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 xml:space="preserve">الانتقال من رد الفعل </w:t>
      </w:r>
      <w:proofErr w:type="spellStart"/>
      <w:r w:rsidRPr="006442A7">
        <w:rPr>
          <w:rStyle w:val="a6"/>
          <w:rFonts w:asciiTheme="majorBidi" w:hAnsiTheme="majorBidi" w:cstheme="majorBidi"/>
          <w:color w:val="1F1F1F"/>
          <w:bdr w:val="none" w:sz="0" w:space="0" w:color="auto" w:frame="1"/>
          <w:rtl/>
        </w:rPr>
        <w:t>الاستجابي</w:t>
      </w:r>
      <w:proofErr w:type="spellEnd"/>
      <w:r w:rsidRPr="006442A7">
        <w:rPr>
          <w:rStyle w:val="a6"/>
          <w:rFonts w:asciiTheme="majorBidi" w:hAnsiTheme="majorBidi" w:cstheme="majorBidi"/>
          <w:color w:val="1F1F1F"/>
          <w:bdr w:val="none" w:sz="0" w:space="0" w:color="auto" w:frame="1"/>
          <w:rtl/>
        </w:rPr>
        <w:t xml:space="preserve"> إلى الاستباقية </w:t>
      </w:r>
      <w:proofErr w:type="spellStart"/>
      <w:r w:rsidRPr="006442A7">
        <w:rPr>
          <w:rStyle w:val="a6"/>
          <w:rFonts w:asciiTheme="majorBidi" w:hAnsiTheme="majorBidi" w:cstheme="majorBidi"/>
          <w:color w:val="1F1F1F"/>
          <w:bdr w:val="none" w:sz="0" w:space="0" w:color="auto" w:frame="1"/>
          <w:rtl/>
        </w:rPr>
        <w:t>التنبؤية</w:t>
      </w:r>
      <w:proofErr w:type="spellEnd"/>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من خلال استخدام خوارزميات التحليل التنبئي لاستشراف الأزمات والفرص المستقبلية والاستعداد المسبق لها (الزهراني، 2023).</w:t>
      </w:r>
    </w:p>
    <w:p w14:paraId="39CA3358" w14:textId="77777777" w:rsidR="00665003" w:rsidRPr="006442A7" w:rsidRDefault="00665003" w:rsidP="006442A7">
      <w:pPr>
        <w:pStyle w:val="a5"/>
        <w:numPr>
          <w:ilvl w:val="0"/>
          <w:numId w:val="38"/>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 xml:space="preserve">تعزيز مستويات الشفافية والمساءلة </w:t>
      </w:r>
      <w:proofErr w:type="spellStart"/>
      <w:r w:rsidRPr="006442A7">
        <w:rPr>
          <w:rStyle w:val="a6"/>
          <w:rFonts w:asciiTheme="majorBidi" w:hAnsiTheme="majorBidi" w:cstheme="majorBidi"/>
          <w:color w:val="1F1F1F"/>
          <w:bdr w:val="none" w:sz="0" w:space="0" w:color="auto" w:frame="1"/>
          <w:rtl/>
        </w:rPr>
        <w:t>وحوكمة</w:t>
      </w:r>
      <w:proofErr w:type="spellEnd"/>
      <w:r w:rsidRPr="006442A7">
        <w:rPr>
          <w:rStyle w:val="a6"/>
          <w:rFonts w:asciiTheme="majorBidi" w:hAnsiTheme="majorBidi" w:cstheme="majorBidi"/>
          <w:color w:val="1F1F1F"/>
          <w:bdr w:val="none" w:sz="0" w:space="0" w:color="auto" w:frame="1"/>
          <w:rtl/>
        </w:rPr>
        <w:t xml:space="preserve"> الأداء:</w:t>
      </w:r>
      <w:r w:rsidRPr="006442A7">
        <w:rPr>
          <w:rFonts w:asciiTheme="majorBidi" w:hAnsiTheme="majorBidi" w:cstheme="majorBidi"/>
          <w:color w:val="1F1F1F"/>
          <w:rtl/>
        </w:rPr>
        <w:t xml:space="preserve"> عبر توفير لوحات قيادة رقمية (</w:t>
      </w:r>
      <w:r w:rsidRPr="006442A7">
        <w:rPr>
          <w:rStyle w:val="a7"/>
          <w:rFonts w:asciiTheme="majorBidi" w:hAnsiTheme="majorBidi" w:cstheme="majorBidi"/>
          <w:i w:val="0"/>
          <w:iCs w:val="0"/>
          <w:color w:val="1F1F1F"/>
          <w:bdr w:val="none" w:sz="0" w:space="0" w:color="auto" w:frame="1"/>
        </w:rPr>
        <w:t>Dashboards</w:t>
      </w:r>
      <w:r w:rsidRPr="006442A7">
        <w:rPr>
          <w:rFonts w:asciiTheme="majorBidi" w:hAnsiTheme="majorBidi" w:cstheme="majorBidi"/>
          <w:color w:val="1F1F1F"/>
          <w:rtl/>
        </w:rPr>
        <w:t>) لحظية ترصد الأداء الفعلي وتقارنه بالمستهدفات الاستراتيجية دون تدخل أو تلاعب بشري (الدبيان، 2024).</w:t>
      </w:r>
    </w:p>
    <w:p w14:paraId="1D20778F" w14:textId="77777777" w:rsidR="00665003" w:rsidRPr="006442A7" w:rsidRDefault="00665003" w:rsidP="006442A7">
      <w:pPr>
        <w:pStyle w:val="a5"/>
        <w:numPr>
          <w:ilvl w:val="0"/>
          <w:numId w:val="38"/>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كسر صوامع البيانات المعزولة (</w:t>
      </w:r>
      <w:r w:rsidRPr="006442A7">
        <w:rPr>
          <w:rStyle w:val="a6"/>
          <w:rFonts w:asciiTheme="majorBidi" w:hAnsiTheme="majorBidi" w:cstheme="majorBidi"/>
          <w:color w:val="1F1F1F"/>
          <w:bdr w:val="none" w:sz="0" w:space="0" w:color="auto" w:frame="1"/>
        </w:rPr>
        <w:t>Data Silos</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من خلال دمج وربط كافة البيانات المشتتة بين الإدارات والقطاعات المختلفة داخل الجهة الحكومية وتوفير مصدر موحد وموثوق للبيانات (الغامدي، 2025).</w:t>
      </w:r>
    </w:p>
    <w:p w14:paraId="01977275" w14:textId="77777777" w:rsidR="00665003" w:rsidRPr="006442A7" w:rsidRDefault="0066500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4. خصائص ومكونات نظم ذكاء الأعمال المعاصرة</w:t>
      </w:r>
    </w:p>
    <w:p w14:paraId="2A0EAD40" w14:textId="77777777" w:rsidR="00665003" w:rsidRPr="006442A7" w:rsidRDefault="00665003"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تتميز نظم ذكاء الأعمال الفعالة بمجموعة من الخصائص التقنية والتنظيمية الأساسية:</w:t>
      </w:r>
    </w:p>
    <w:p w14:paraId="10193351" w14:textId="77777777" w:rsidR="00665003" w:rsidRPr="006442A7" w:rsidRDefault="00665003" w:rsidP="006442A7">
      <w:pPr>
        <w:pStyle w:val="a5"/>
        <w:numPr>
          <w:ilvl w:val="0"/>
          <w:numId w:val="39"/>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الربط والتكامل المتعدد:</w:t>
      </w:r>
      <w:r w:rsidRPr="006442A7">
        <w:rPr>
          <w:rFonts w:asciiTheme="majorBidi" w:hAnsiTheme="majorBidi" w:cstheme="majorBidi"/>
          <w:color w:val="1F1F1F"/>
          <w:rtl/>
        </w:rPr>
        <w:t xml:space="preserve"> القدرة على الاتصال بمختلف الأنظمة الإدارية والتشغيلية وسحب البيانات وتطهيرها بشكل آلي (الخفاجي، 2024).</w:t>
      </w:r>
    </w:p>
    <w:p w14:paraId="31D258D8" w14:textId="77777777" w:rsidR="00665003" w:rsidRPr="006442A7" w:rsidRDefault="00665003" w:rsidP="006442A7">
      <w:pPr>
        <w:pStyle w:val="a5"/>
        <w:numPr>
          <w:ilvl w:val="0"/>
          <w:numId w:val="39"/>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المرونة والتبسيط البصري:</w:t>
      </w:r>
      <w:r w:rsidRPr="006442A7">
        <w:rPr>
          <w:rFonts w:asciiTheme="majorBidi" w:hAnsiTheme="majorBidi" w:cstheme="majorBidi"/>
          <w:color w:val="1F1F1F"/>
          <w:rtl/>
        </w:rPr>
        <w:t xml:space="preserve"> تحويل البيانات الرقمية المعقدة إلى رسومات ومؤشرات بصرية سهلة الفهم والتفسير لمتخذي القرار غير التقنيين (أبو زيد، 2024).</w:t>
      </w:r>
    </w:p>
    <w:p w14:paraId="6DA73151" w14:textId="77777777" w:rsidR="00665003" w:rsidRPr="006442A7" w:rsidRDefault="00665003" w:rsidP="006442A7">
      <w:pPr>
        <w:pStyle w:val="a5"/>
        <w:numPr>
          <w:ilvl w:val="0"/>
          <w:numId w:val="39"/>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المعالجة في الوقت الحقيقي (</w:t>
      </w:r>
      <w:r w:rsidRPr="006442A7">
        <w:rPr>
          <w:rStyle w:val="a6"/>
          <w:rFonts w:asciiTheme="majorBidi" w:hAnsiTheme="majorBidi" w:cstheme="majorBidi"/>
          <w:color w:val="1F1F1F"/>
          <w:bdr w:val="none" w:sz="0" w:space="0" w:color="auto" w:frame="1"/>
        </w:rPr>
        <w:t>Real-Time Processing</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القدرة على تحديث وتحليل البيانات بصورة لحظية وفورية تضمن مواكبة سرعة اتخاذ القرار في بيئات العمل المتغيرة (</w:t>
      </w:r>
      <w:proofErr w:type="spellStart"/>
      <w:r w:rsidRPr="006442A7">
        <w:rPr>
          <w:rFonts w:asciiTheme="majorBidi" w:hAnsiTheme="majorBidi" w:cstheme="majorBidi"/>
          <w:color w:val="1F1F1F"/>
        </w:rPr>
        <w:t>Keikha</w:t>
      </w:r>
      <w:proofErr w:type="spellEnd"/>
      <w:r w:rsidRPr="006442A7">
        <w:rPr>
          <w:rFonts w:asciiTheme="majorBidi" w:hAnsiTheme="majorBidi" w:cstheme="majorBidi"/>
          <w:color w:val="1F1F1F"/>
        </w:rPr>
        <w:t xml:space="preserve"> et al., 2016</w:t>
      </w:r>
      <w:r w:rsidRPr="006442A7">
        <w:rPr>
          <w:rFonts w:asciiTheme="majorBidi" w:hAnsiTheme="majorBidi" w:cstheme="majorBidi"/>
          <w:color w:val="1F1F1F"/>
          <w:rtl/>
        </w:rPr>
        <w:t>).</w:t>
      </w:r>
    </w:p>
    <w:p w14:paraId="421BE6A0" w14:textId="77777777" w:rsidR="00665003" w:rsidRPr="006442A7" w:rsidRDefault="0066500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5. أبعاد ذكاء الأعمال المعتمدة في الدراسة</w:t>
      </w:r>
    </w:p>
    <w:p w14:paraId="436B6376" w14:textId="77777777" w:rsidR="00665003" w:rsidRPr="006442A7" w:rsidRDefault="0066500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استناداً إلى أدبيات تكنولوجيا المعلومات والإدارة الاستراتيجية، وبناءً على مساهمات الباحثين السابقين (مثل: الشمري، 2025؛ الزهراني، 2023؛ الخفاجي، 2024)، اعتمد الباحث ثلاثة أبعاد جوهرية لمتغير ذكاء الأعمال تتناسب مع السياق التطبيقي للقطاع الحكومي السعودي:</w:t>
      </w:r>
    </w:p>
    <w:p w14:paraId="09D38FD2" w14:textId="77777777" w:rsidR="00665003" w:rsidRPr="006442A7" w:rsidRDefault="00665003"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أ. جمع وتكامل البيانات (</w:t>
      </w:r>
      <w:r w:rsidRPr="006442A7">
        <w:rPr>
          <w:rStyle w:val="a7"/>
          <w:rFonts w:asciiTheme="majorBidi" w:eastAsia="Times New Roman" w:hAnsiTheme="majorBidi" w:cstheme="majorBidi"/>
          <w:i w:val="0"/>
          <w:iCs w:val="0"/>
          <w:color w:val="1F1F1F"/>
          <w:sz w:val="24"/>
          <w:szCs w:val="24"/>
          <w:bdr w:val="none" w:sz="0" w:space="0" w:color="auto" w:frame="1"/>
        </w:rPr>
        <w:t>Data Collection</w:t>
      </w:r>
      <w:r w:rsidRPr="006442A7">
        <w:rPr>
          <w:rStyle w:val="a7"/>
          <w:rFonts w:asciiTheme="majorBidi" w:eastAsia="Times New Roman" w:hAnsiTheme="majorBidi" w:cstheme="majorBidi"/>
          <w:i w:val="0"/>
          <w:iCs w:val="0"/>
          <w:color w:val="1F1F1F"/>
          <w:sz w:val="24"/>
          <w:szCs w:val="24"/>
          <w:bdr w:val="none" w:sz="0" w:space="0" w:color="auto" w:frame="1"/>
          <w:rtl/>
        </w:rPr>
        <w:t xml:space="preserve"> &amp; </w:t>
      </w:r>
      <w:r w:rsidRPr="006442A7">
        <w:rPr>
          <w:rStyle w:val="a7"/>
          <w:rFonts w:asciiTheme="majorBidi" w:eastAsia="Times New Roman" w:hAnsiTheme="majorBidi" w:cstheme="majorBidi"/>
          <w:i w:val="0"/>
          <w:iCs w:val="0"/>
          <w:color w:val="1F1F1F"/>
          <w:sz w:val="24"/>
          <w:szCs w:val="24"/>
          <w:bdr w:val="none" w:sz="0" w:space="0" w:color="auto" w:frame="1"/>
        </w:rPr>
        <w:t>Integration</w:t>
      </w:r>
      <w:r w:rsidRPr="006442A7">
        <w:rPr>
          <w:rFonts w:asciiTheme="majorBidi" w:eastAsia="Times New Roman" w:hAnsiTheme="majorBidi" w:cstheme="majorBidi"/>
          <w:color w:val="1F1F1F"/>
          <w:sz w:val="24"/>
          <w:szCs w:val="24"/>
          <w:rtl/>
        </w:rPr>
        <w:t>)</w:t>
      </w:r>
    </w:p>
    <w:p w14:paraId="144118A0" w14:textId="77777777" w:rsidR="00665003" w:rsidRPr="006442A7" w:rsidRDefault="0066500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ويعبر عن قدرة أدوات ذكاء الأعمال على الارتباط بكافة الأوعية المعرفية وقواعد البيانات والأنظمة الرقمية في المؤسسة الحكومية (مثل أنظمة الموارد البشرية، الأنظمة المالية، منصات تقديم الخدمات الرقمية)، وسحب البيانات الضخمة وتطهيرها وتوحيدها لضمان خلوها من التعارض والتكرار (الغامدي، 2025). ويمثل هذا البعد الأساس التقني لذكاء الأعمال.</w:t>
      </w:r>
    </w:p>
    <w:p w14:paraId="205A617B" w14:textId="77777777" w:rsidR="00665003" w:rsidRPr="006442A7" w:rsidRDefault="00665003"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lastRenderedPageBreak/>
        <w:t>ب. التحليل والمعالجة التحليلية المتقدمة (</w:t>
      </w:r>
      <w:r w:rsidRPr="006442A7">
        <w:rPr>
          <w:rStyle w:val="a7"/>
          <w:rFonts w:asciiTheme="majorBidi" w:eastAsia="Times New Roman" w:hAnsiTheme="majorBidi" w:cstheme="majorBidi"/>
          <w:i w:val="0"/>
          <w:iCs w:val="0"/>
          <w:color w:val="1F1F1F"/>
          <w:sz w:val="24"/>
          <w:szCs w:val="24"/>
          <w:bdr w:val="none" w:sz="0" w:space="0" w:color="auto" w:frame="1"/>
        </w:rPr>
        <w:t>Analytical Processing</w:t>
      </w:r>
      <w:r w:rsidRPr="006442A7">
        <w:rPr>
          <w:rStyle w:val="a7"/>
          <w:rFonts w:asciiTheme="majorBidi" w:eastAsia="Times New Roman" w:hAnsiTheme="majorBidi" w:cstheme="majorBidi"/>
          <w:i w:val="0"/>
          <w:iCs w:val="0"/>
          <w:color w:val="1F1F1F"/>
          <w:sz w:val="24"/>
          <w:szCs w:val="24"/>
          <w:bdr w:val="none" w:sz="0" w:space="0" w:color="auto" w:frame="1"/>
          <w:rtl/>
        </w:rPr>
        <w:t xml:space="preserve"> &amp; </w:t>
      </w:r>
      <w:r w:rsidRPr="006442A7">
        <w:rPr>
          <w:rStyle w:val="a7"/>
          <w:rFonts w:asciiTheme="majorBidi" w:eastAsia="Times New Roman" w:hAnsiTheme="majorBidi" w:cstheme="majorBidi"/>
          <w:i w:val="0"/>
          <w:iCs w:val="0"/>
          <w:color w:val="1F1F1F"/>
          <w:sz w:val="24"/>
          <w:szCs w:val="24"/>
          <w:bdr w:val="none" w:sz="0" w:space="0" w:color="auto" w:frame="1"/>
        </w:rPr>
        <w:t>Analytics</w:t>
      </w:r>
      <w:r w:rsidRPr="006442A7">
        <w:rPr>
          <w:rFonts w:asciiTheme="majorBidi" w:eastAsia="Times New Roman" w:hAnsiTheme="majorBidi" w:cstheme="majorBidi"/>
          <w:color w:val="1F1F1F"/>
          <w:sz w:val="24"/>
          <w:szCs w:val="24"/>
          <w:rtl/>
        </w:rPr>
        <w:t>)</w:t>
      </w:r>
    </w:p>
    <w:p w14:paraId="465A7DBB" w14:textId="77777777" w:rsidR="00665003" w:rsidRPr="006442A7" w:rsidRDefault="00665003"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ويشمل العمليات الإحصائية، الرياضية، وخوارزميات تنقيب البيانات (</w:t>
      </w:r>
      <w:r w:rsidRPr="006442A7">
        <w:rPr>
          <w:rStyle w:val="a7"/>
          <w:rFonts w:asciiTheme="majorBidi" w:hAnsiTheme="majorBidi" w:cstheme="majorBidi"/>
          <w:i w:val="0"/>
          <w:iCs w:val="0"/>
          <w:color w:val="1F1F1F"/>
          <w:bdr w:val="none" w:sz="0" w:space="0" w:color="auto" w:frame="1"/>
        </w:rPr>
        <w:t>Data Mining</w:t>
      </w:r>
      <w:r w:rsidRPr="006442A7">
        <w:rPr>
          <w:rFonts w:asciiTheme="majorBidi" w:hAnsiTheme="majorBidi" w:cstheme="majorBidi"/>
          <w:color w:val="1F1F1F"/>
          <w:rtl/>
        </w:rPr>
        <w:t>) والتحليل التنبئي التي تجري على البيانات المتكاملة بهدف اكتشاف الأنماط والاتجاهات المستقبلية غير المرئية بالأساليب التقليدية (الزهراني، 2023). ويمثل هذا البعد "العقل المفكر" للنموذج الذكي.</w:t>
      </w:r>
    </w:p>
    <w:p w14:paraId="189644CE" w14:textId="77777777" w:rsidR="00665003" w:rsidRPr="006442A7" w:rsidRDefault="00665003"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ج. التقارير الذكية ولوحات القيادة (</w:t>
      </w:r>
      <w:r w:rsidRPr="006442A7">
        <w:rPr>
          <w:rStyle w:val="a7"/>
          <w:rFonts w:asciiTheme="majorBidi" w:eastAsia="Times New Roman" w:hAnsiTheme="majorBidi" w:cstheme="majorBidi"/>
          <w:i w:val="0"/>
          <w:iCs w:val="0"/>
          <w:color w:val="1F1F1F"/>
          <w:sz w:val="24"/>
          <w:szCs w:val="24"/>
          <w:bdr w:val="none" w:sz="0" w:space="0" w:color="auto" w:frame="1"/>
        </w:rPr>
        <w:t>Smart Reporting</w:t>
      </w:r>
      <w:r w:rsidRPr="006442A7">
        <w:rPr>
          <w:rStyle w:val="a7"/>
          <w:rFonts w:asciiTheme="majorBidi" w:eastAsia="Times New Roman" w:hAnsiTheme="majorBidi" w:cstheme="majorBidi"/>
          <w:i w:val="0"/>
          <w:iCs w:val="0"/>
          <w:color w:val="1F1F1F"/>
          <w:sz w:val="24"/>
          <w:szCs w:val="24"/>
          <w:bdr w:val="none" w:sz="0" w:space="0" w:color="auto" w:frame="1"/>
          <w:rtl/>
        </w:rPr>
        <w:t xml:space="preserve"> &amp; </w:t>
      </w:r>
      <w:r w:rsidRPr="006442A7">
        <w:rPr>
          <w:rStyle w:val="a7"/>
          <w:rFonts w:asciiTheme="majorBidi" w:eastAsia="Times New Roman" w:hAnsiTheme="majorBidi" w:cstheme="majorBidi"/>
          <w:i w:val="0"/>
          <w:iCs w:val="0"/>
          <w:color w:val="1F1F1F"/>
          <w:sz w:val="24"/>
          <w:szCs w:val="24"/>
          <w:bdr w:val="none" w:sz="0" w:space="0" w:color="auto" w:frame="1"/>
        </w:rPr>
        <w:t>Dashboards</w:t>
      </w:r>
      <w:r w:rsidRPr="006442A7">
        <w:rPr>
          <w:rFonts w:asciiTheme="majorBidi" w:eastAsia="Times New Roman" w:hAnsiTheme="majorBidi" w:cstheme="majorBidi"/>
          <w:color w:val="1F1F1F"/>
          <w:sz w:val="24"/>
          <w:szCs w:val="24"/>
          <w:rtl/>
        </w:rPr>
        <w:t>)</w:t>
      </w:r>
    </w:p>
    <w:p w14:paraId="57DA4C74" w14:textId="77777777" w:rsidR="00665003" w:rsidRPr="006442A7" w:rsidRDefault="00665003"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وهو البعد البصري والتنفيذي الذي يستثمره القائد الحكومي، حيث تترجم التحليلات المعقدة إلى واجهات تفاعلية ذكية (</w:t>
      </w:r>
      <w:r w:rsidRPr="006442A7">
        <w:rPr>
          <w:rStyle w:val="a7"/>
          <w:rFonts w:asciiTheme="majorBidi" w:hAnsiTheme="majorBidi" w:cstheme="majorBidi"/>
          <w:i w:val="0"/>
          <w:iCs w:val="0"/>
          <w:color w:val="1F1F1F"/>
          <w:bdr w:val="none" w:sz="0" w:space="0" w:color="auto" w:frame="1"/>
        </w:rPr>
        <w:t>Interactive Dashboards</w:t>
      </w:r>
      <w:r w:rsidRPr="006442A7">
        <w:rPr>
          <w:rFonts w:asciiTheme="majorBidi" w:hAnsiTheme="majorBidi" w:cstheme="majorBidi"/>
          <w:color w:val="1F1F1F"/>
          <w:rtl/>
        </w:rPr>
        <w:t>) ورسومات بيانية تبين الفجوة بين الأداء المستهدف والأداء الفعلي لحظة بلحظة (الشمري، 2025). ويسهل هذا البعد التدخل السريع لتصحيح الانحرافات الإدارية.</w:t>
      </w:r>
    </w:p>
    <w:p w14:paraId="6CB3F221" w14:textId="77777777" w:rsidR="00665003" w:rsidRPr="006442A7" w:rsidRDefault="00665003"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6. تعقيب الباحث ورؤيته الاستنباطية لمتغير ذكاء الأعمال</w:t>
      </w:r>
    </w:p>
    <w:p w14:paraId="4E5CBCB8" w14:textId="77777777" w:rsidR="00665003" w:rsidRPr="006442A7" w:rsidRDefault="0066500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يعتقد الباحث أن "ذكاء الأعمال" يمثل الأداة التحويلية والجسر التكنولوجي الذي يعطي قيمة مضافة حقيقية لإدارة المعرفة. فالمؤسسات الحكومية قد تمتلك تراكماً معرفياً هائلاً من البيانات والخبرات المسجلة في قواعد بياناتها، ولكن دون وجود أدوات ذكاء أعمال متقدمة لتحليل هذا التراكم وفلترته واستخلاص المؤشرات الاستراتيجية منه، تظل هذه المعرفة مجرد أصل معطل وعبء تخزيني ومورد مهمل لا يخدم اتخاذ القرار.</w:t>
      </w:r>
    </w:p>
    <w:p w14:paraId="56C0CBDD" w14:textId="77777777" w:rsidR="00665003" w:rsidRPr="006442A7" w:rsidRDefault="00665003"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إن دمج تكنولوجيا ذكاء الأعمال في القطاع الحكومي السعودي لم يعد ترفاً تقنياً، بل هو جوهر استراتيجية "الحكومة الرقمية" التي تنص عليها رؤية 2030 لتمكين القيادات الإدارية من مراقبة التقدم في برامج التحول بدقة استناداً إلى أرقام وحقائق صلبة ومحدثة بدلاً من التقارير الورقية الانطباعية والتقديرات الشخصية.</w:t>
      </w:r>
    </w:p>
    <w:p w14:paraId="1A92EB2C" w14:textId="6CCFB0C4" w:rsidR="009E73F5" w:rsidRPr="00077876" w:rsidRDefault="009E73F5" w:rsidP="006442A7">
      <w:pPr>
        <w:pStyle w:val="1"/>
        <w:bidi/>
        <w:spacing w:before="0" w:beforeAutospacing="0" w:after="120" w:afterAutospacing="0" w:line="360" w:lineRule="auto"/>
        <w:rPr>
          <w:rFonts w:asciiTheme="majorBidi" w:eastAsia="Times New Roman" w:hAnsiTheme="majorBidi" w:cstheme="majorBidi"/>
          <w:color w:val="1F1F1F"/>
          <w:sz w:val="28"/>
          <w:szCs w:val="28"/>
          <w:rtl/>
        </w:rPr>
      </w:pPr>
      <w:r w:rsidRPr="00077876">
        <w:rPr>
          <w:rFonts w:asciiTheme="majorBidi" w:eastAsia="Times New Roman" w:hAnsiTheme="majorBidi" w:cstheme="majorBidi"/>
          <w:color w:val="1F1F1F"/>
          <w:sz w:val="28"/>
          <w:szCs w:val="28"/>
          <w:rtl/>
        </w:rPr>
        <w:t>المحور الثالث: الأداء المؤسسي</w:t>
      </w:r>
    </w:p>
    <w:p w14:paraId="1154BDDF" w14:textId="77777777" w:rsidR="009E73F5" w:rsidRPr="006442A7" w:rsidRDefault="009E73F5"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1. مفهوم الأداء المؤسسي في الفكر الإداري الحديث والقطاع العام</w:t>
      </w:r>
    </w:p>
    <w:p w14:paraId="7B04C10A" w14:textId="77777777" w:rsidR="009E73F5" w:rsidRPr="006442A7" w:rsidRDefault="009E73F5"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يُعد الأداء المؤسسي (</w:t>
      </w:r>
      <w:r w:rsidRPr="006442A7">
        <w:rPr>
          <w:rStyle w:val="a7"/>
          <w:rFonts w:asciiTheme="majorBidi" w:hAnsiTheme="majorBidi" w:cstheme="majorBidi"/>
          <w:i w:val="0"/>
          <w:iCs w:val="0"/>
          <w:color w:val="1F1F1F"/>
          <w:bdr w:val="none" w:sz="0" w:space="0" w:color="auto" w:frame="1"/>
        </w:rPr>
        <w:t>Organizational Performance</w:t>
      </w:r>
      <w:r w:rsidRPr="006442A7">
        <w:rPr>
          <w:rFonts w:asciiTheme="majorBidi" w:hAnsiTheme="majorBidi" w:cstheme="majorBidi"/>
          <w:color w:val="1F1F1F"/>
          <w:rtl/>
        </w:rPr>
        <w:t>) المحك النهائي والمقياس الحقيقي لنجاح أي منظمة معاصرة في تحقيق غاياتها. ويُعرف الأداء المؤسسي عموماً بأنه مدى قدرة المؤسسة على استغلال مواردها البشرية، المالية، التقنية، والمعرفية بكفاءة وفعالية عالية لتحقيق أهدافها الاستراتيجية وتلبية تطلعات واحتياجات الأطراف ذات العلاقة في إطار زمني محدد (العنزي، 2024).</w:t>
      </w:r>
    </w:p>
    <w:p w14:paraId="006EA335"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وقد تتبع الباحث تطور هذا المفهوم، حيث وجد أن معايير قياس الأداء تختلف باختلاف طبيعة القطاع. فبينما يركز القطاع الخاص على المعايير المالية والربحية التنافسية، تطور مفهوم الأداء في القطاع العام (الإدارة العامة الحديثة) ليركز بشكل أساس على جودة الخدمات المقدمة، وكفاءة الإنفاق العام، والمسؤولية الاجتماعية، والنزاهة، والشفافية، ورصد الأثر التنموي والمجتمعي للسياسات الحكومية (الغامدي، 2025).</w:t>
      </w:r>
    </w:p>
    <w:p w14:paraId="2F77E46C" w14:textId="77777777" w:rsidR="009E73F5" w:rsidRPr="006442A7" w:rsidRDefault="009E73F5"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2. محددات السلوك والأبعاد البشرية المؤثرة في الأداء</w:t>
      </w:r>
    </w:p>
    <w:p w14:paraId="2582D79B"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يرى الباحث أن الوصول لمستويات متميزة من الأداء المؤسسي في الأجهزة الحكومية لا يتوقف فقط على الأنظمة التقنية، بل يرتبط ارتباطاً وثيقاً ببيئة العمل الداخلية ومحددات السلوك التنظيمي. وتؤكد دراسة إبراهيم (2015) أن فهم وتحليل السلوك التنظيمي للعاملين وتهيئتهم للظروف البيئية المحيطة يمثل متغيراً حاسماً في تعزيز عوائد الأداء المؤسسي.</w:t>
      </w:r>
    </w:p>
    <w:p w14:paraId="27962885"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lastRenderedPageBreak/>
        <w:t>في هذا السياق، تسهم جودة العلاقات الاجتماعية والتفاعل الإيجابي داخل الهياكل الإدارية والمؤسسات التعليمية والخدمية في تحسين مخرجات الأداء العام بشكل جوهري (أبو الريش، 2016). كما أن تحفيز رأس المال البشري لا يمكن إغفاله؛ إذ يوضح أبو حميد (2020) أن الحوافز المادية والمعنوية تلعب دوراً بالغ الأثر في شحذ همم الموظفين وتوجيه طاقاتهم نحو تحقيق الأهداف المرسومة بدقة متناهية. وعندما تتكامل هذه الممارسات الإدارية مع قيادة واعية تمتلك قدرات الذكاء الاستراتيجي، ينعكس ذلك مباشرة على أداء الأفراد وقدرتهم على الإبداع والإنتاجية العالية (بن مارني والبوسعيدي، 2019).</w:t>
      </w:r>
    </w:p>
    <w:p w14:paraId="469D31EC" w14:textId="77777777" w:rsidR="009E73F5" w:rsidRPr="006442A7" w:rsidRDefault="009E73F5"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3. أهمية وأهداف قياس وتقييم الأداء المؤسسي</w:t>
      </w:r>
    </w:p>
    <w:p w14:paraId="17910464" w14:textId="77777777" w:rsidR="009E73F5" w:rsidRPr="006442A7" w:rsidRDefault="009E73F5"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يمثل قياس وتقييم الأداء المؤسسي حجر الزاوية في نجاح أي تحول وطني شامل، وتتبلور أهم أهداف قياس الأداء في القطاع الحكومي فيما يلي:</w:t>
      </w:r>
    </w:p>
    <w:p w14:paraId="31621D70" w14:textId="77777777" w:rsidR="009E73F5" w:rsidRPr="006442A7" w:rsidRDefault="009E73F5" w:rsidP="006442A7">
      <w:pPr>
        <w:pStyle w:val="a5"/>
        <w:numPr>
          <w:ilvl w:val="0"/>
          <w:numId w:val="41"/>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تعزيز مستويات الكفاءة والإنتاجية العامة:</w:t>
      </w:r>
      <w:r w:rsidRPr="006442A7">
        <w:rPr>
          <w:rFonts w:asciiTheme="majorBidi" w:hAnsiTheme="majorBidi" w:cstheme="majorBidi"/>
          <w:color w:val="1F1F1F"/>
          <w:rtl/>
        </w:rPr>
        <w:t xml:space="preserve"> رصد مواطن الهدر المالي والإداري وتوجيه الموارد نحو الأنشطة والبرامج ذات الأثر الأكبر (العنزي، 2024).</w:t>
      </w:r>
    </w:p>
    <w:p w14:paraId="1C101281" w14:textId="77777777" w:rsidR="009E73F5" w:rsidRPr="006442A7" w:rsidRDefault="009E73F5" w:rsidP="006442A7">
      <w:pPr>
        <w:pStyle w:val="a5"/>
        <w:numPr>
          <w:ilvl w:val="0"/>
          <w:numId w:val="41"/>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تحقيق المساءلة والشفافية والرقابة الذاتية:</w:t>
      </w:r>
      <w:r w:rsidRPr="006442A7">
        <w:rPr>
          <w:rFonts w:asciiTheme="majorBidi" w:hAnsiTheme="majorBidi" w:cstheme="majorBidi"/>
          <w:color w:val="1F1F1F"/>
          <w:rtl/>
        </w:rPr>
        <w:t xml:space="preserve"> لضمان التزام كافة الأجهزة الحكومية بالسياسات العامة والخطط الوطنية (</w:t>
      </w:r>
      <w:proofErr w:type="spellStart"/>
      <w:r w:rsidRPr="006442A7">
        <w:rPr>
          <w:rFonts w:asciiTheme="majorBidi" w:hAnsiTheme="majorBidi" w:cstheme="majorBidi"/>
          <w:color w:val="1F1F1F"/>
          <w:rtl/>
        </w:rPr>
        <w:t>الرداعي</w:t>
      </w:r>
      <w:proofErr w:type="spellEnd"/>
      <w:r w:rsidRPr="006442A7">
        <w:rPr>
          <w:rFonts w:asciiTheme="majorBidi" w:hAnsiTheme="majorBidi" w:cstheme="majorBidi"/>
          <w:color w:val="1F1F1F"/>
          <w:rtl/>
        </w:rPr>
        <w:t>، 2024).</w:t>
      </w:r>
    </w:p>
    <w:p w14:paraId="2FA296E9" w14:textId="77777777" w:rsidR="009E73F5" w:rsidRPr="006442A7" w:rsidRDefault="009E73F5" w:rsidP="006442A7">
      <w:pPr>
        <w:pStyle w:val="a5"/>
        <w:numPr>
          <w:ilvl w:val="0"/>
          <w:numId w:val="41"/>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زيادة مستويات الرضا العام للمواطنين والمقيمين:</w:t>
      </w:r>
      <w:r w:rsidRPr="006442A7">
        <w:rPr>
          <w:rFonts w:asciiTheme="majorBidi" w:hAnsiTheme="majorBidi" w:cstheme="majorBidi"/>
          <w:color w:val="1F1F1F"/>
          <w:rtl/>
        </w:rPr>
        <w:t xml:space="preserve"> عبر الكشف </w:t>
      </w:r>
      <w:proofErr w:type="spellStart"/>
      <w:r w:rsidRPr="006442A7">
        <w:rPr>
          <w:rFonts w:asciiTheme="majorBidi" w:hAnsiTheme="majorBidi" w:cstheme="majorBidi"/>
          <w:color w:val="1F1F1F"/>
          <w:rtl/>
        </w:rPr>
        <w:t>الممنهج</w:t>
      </w:r>
      <w:proofErr w:type="spellEnd"/>
      <w:r w:rsidRPr="006442A7">
        <w:rPr>
          <w:rFonts w:asciiTheme="majorBidi" w:hAnsiTheme="majorBidi" w:cstheme="majorBidi"/>
          <w:color w:val="1F1F1F"/>
          <w:rtl/>
        </w:rPr>
        <w:t xml:space="preserve"> عن فجوات تقديم الخدمات العامة والعمل الفوري على معالجتها وتطوير آليات التقديم (الغامدي، 2025).</w:t>
      </w:r>
    </w:p>
    <w:p w14:paraId="0B843D64" w14:textId="77777777" w:rsidR="009E73F5" w:rsidRPr="006442A7" w:rsidRDefault="009E73F5"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4. خصائص الأداء المؤسسي الفعال</w:t>
      </w:r>
    </w:p>
    <w:p w14:paraId="6B33E983" w14:textId="77777777" w:rsidR="009E73F5" w:rsidRPr="006442A7" w:rsidRDefault="009E73F5"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لكي يتصف نظام الأداء المؤسسي بالفعالية والقدرة على تحقيق التميز المستدام، رصد الباحث وجوب توافر الخصائص التالية:</w:t>
      </w:r>
    </w:p>
    <w:p w14:paraId="41922BAB" w14:textId="77777777" w:rsidR="009E73F5" w:rsidRPr="006442A7" w:rsidRDefault="009E73F5" w:rsidP="006442A7">
      <w:pPr>
        <w:pStyle w:val="a5"/>
        <w:numPr>
          <w:ilvl w:val="0"/>
          <w:numId w:val="42"/>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المواءمة الاستراتيجية (</w:t>
      </w:r>
      <w:r w:rsidRPr="006442A7">
        <w:rPr>
          <w:rStyle w:val="a6"/>
          <w:rFonts w:asciiTheme="majorBidi" w:hAnsiTheme="majorBidi" w:cstheme="majorBidi"/>
          <w:color w:val="1F1F1F"/>
          <w:bdr w:val="none" w:sz="0" w:space="0" w:color="auto" w:frame="1"/>
        </w:rPr>
        <w:t>Strategic Alignment</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ارتباط الأهداف التشغيلية واليومية للمؤسسة بشكل مباشر بالأهداف والخطط القومية الكبرى للدولة (رؤية 2030) (الغامدي، 2023).</w:t>
      </w:r>
    </w:p>
    <w:p w14:paraId="1FA21A50" w14:textId="77777777" w:rsidR="009E73F5" w:rsidRPr="006442A7" w:rsidRDefault="009E73F5" w:rsidP="006442A7">
      <w:pPr>
        <w:pStyle w:val="a5"/>
        <w:numPr>
          <w:ilvl w:val="0"/>
          <w:numId w:val="42"/>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التوازن والشمولية:</w:t>
      </w:r>
      <w:r w:rsidRPr="006442A7">
        <w:rPr>
          <w:rFonts w:asciiTheme="majorBidi" w:hAnsiTheme="majorBidi" w:cstheme="majorBidi"/>
          <w:color w:val="1F1F1F"/>
          <w:rtl/>
        </w:rPr>
        <w:t xml:space="preserve"> توازن القياس ليشمل الجوانب المالية، والتشغيلية، والعملاء (المواطنين)، والتعلم والنمو الداخلي، مثلما هو الحال في فلسفة بطاقة الأداء المتوازن (</w:t>
      </w:r>
      <w:r w:rsidRPr="006442A7">
        <w:rPr>
          <w:rStyle w:val="a7"/>
          <w:rFonts w:asciiTheme="majorBidi" w:hAnsiTheme="majorBidi" w:cstheme="majorBidi"/>
          <w:i w:val="0"/>
          <w:iCs w:val="0"/>
          <w:color w:val="1F1F1F"/>
          <w:bdr w:val="none" w:sz="0" w:space="0" w:color="auto" w:frame="1"/>
        </w:rPr>
        <w:t>BSC</w:t>
      </w:r>
      <w:r w:rsidRPr="006442A7">
        <w:rPr>
          <w:rFonts w:asciiTheme="majorBidi" w:hAnsiTheme="majorBidi" w:cstheme="majorBidi"/>
          <w:color w:val="1F1F1F"/>
          <w:rtl/>
        </w:rPr>
        <w:t>) (الشمري، 2025).</w:t>
      </w:r>
    </w:p>
    <w:p w14:paraId="28D824B7" w14:textId="77777777" w:rsidR="009E73F5" w:rsidRPr="006442A7" w:rsidRDefault="009E73F5" w:rsidP="006442A7">
      <w:pPr>
        <w:pStyle w:val="a5"/>
        <w:numPr>
          <w:ilvl w:val="0"/>
          <w:numId w:val="42"/>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tl/>
        </w:rPr>
        <w:t>المرونة والقدرة على التكيف (</w:t>
      </w:r>
      <w:r w:rsidRPr="006442A7">
        <w:rPr>
          <w:rStyle w:val="a6"/>
          <w:rFonts w:asciiTheme="majorBidi" w:hAnsiTheme="majorBidi" w:cstheme="majorBidi"/>
          <w:color w:val="1F1F1F"/>
          <w:bdr w:val="none" w:sz="0" w:space="0" w:color="auto" w:frame="1"/>
        </w:rPr>
        <w:t>Strategic Flexibility</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قدرة المؤسسة على تعديل عملياتها وأدائها استجابة للأزمات أو الطوارئ أو التحولات التقنية الطارئة (</w:t>
      </w:r>
      <w:r w:rsidRPr="006442A7">
        <w:rPr>
          <w:rFonts w:asciiTheme="majorBidi" w:hAnsiTheme="majorBidi" w:cstheme="majorBidi"/>
          <w:color w:val="1F1F1F"/>
        </w:rPr>
        <w:t>Agha et al., 2014</w:t>
      </w:r>
      <w:r w:rsidRPr="006442A7">
        <w:rPr>
          <w:rFonts w:asciiTheme="majorBidi" w:hAnsiTheme="majorBidi" w:cstheme="majorBidi"/>
          <w:color w:val="1F1F1F"/>
          <w:rtl/>
        </w:rPr>
        <w:t>).</w:t>
      </w:r>
    </w:p>
    <w:p w14:paraId="0705360F" w14:textId="77777777" w:rsidR="009E73F5" w:rsidRPr="006442A7" w:rsidRDefault="009E73F5"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5. أبعاد الأداء المؤسسي في ضوء رؤية المملكة 2030</w:t>
      </w:r>
    </w:p>
    <w:p w14:paraId="6DF78C0D"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بناءً على معايير التميز الحكومي، والمنطلقات التي يعتمدها برنامج "يسّر" للتعاملات الإلكترونية الحكومية، والمركز الوطني لقياس أداء الأجهزة الحكومية "أداء"، حدد الباحث ثلاثة أبعاد جوهرية لقياس الأداء المؤسسي تتوافق مع غايات هذه الدراسة:</w:t>
      </w:r>
    </w:p>
    <w:p w14:paraId="4CC4CE2D" w14:textId="77777777" w:rsidR="009E73F5" w:rsidRPr="006442A7" w:rsidRDefault="009E73F5"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أ. كفاءة الإنفاق الحكومي (</w:t>
      </w:r>
      <w:r w:rsidRPr="006442A7">
        <w:rPr>
          <w:rStyle w:val="a7"/>
          <w:rFonts w:asciiTheme="majorBidi" w:eastAsia="Times New Roman" w:hAnsiTheme="majorBidi" w:cstheme="majorBidi"/>
          <w:i w:val="0"/>
          <w:iCs w:val="0"/>
          <w:color w:val="1F1F1F"/>
          <w:sz w:val="24"/>
          <w:szCs w:val="24"/>
          <w:bdr w:val="none" w:sz="0" w:space="0" w:color="auto" w:frame="1"/>
        </w:rPr>
        <w:t>Efficiency of Public Spending</w:t>
      </w:r>
      <w:r w:rsidRPr="006442A7">
        <w:rPr>
          <w:rFonts w:asciiTheme="majorBidi" w:eastAsia="Times New Roman" w:hAnsiTheme="majorBidi" w:cstheme="majorBidi"/>
          <w:color w:val="1F1F1F"/>
          <w:sz w:val="24"/>
          <w:szCs w:val="24"/>
          <w:rtl/>
        </w:rPr>
        <w:t>)</w:t>
      </w:r>
    </w:p>
    <w:p w14:paraId="35266D23"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ويقصد به قدرة الجهة الحكومية على تعظيم المنافع والمخرجات المحققة من الموارد المالية المتاحة وتقليص الهدر وتجنب الصرف العشوائي، وذلك بالاعتماد على التحليلات الدقيقة للاستثمارات والنفقات والمقارنات التنافسية (العنزي، 2024). ويعد هذا البعد ركيزة أساسية من ركائز برنامج تحقيق التوازن المالي في رؤية 2030.</w:t>
      </w:r>
    </w:p>
    <w:p w14:paraId="1E35BAEC" w14:textId="77777777" w:rsidR="009E73F5" w:rsidRPr="006442A7" w:rsidRDefault="009E73F5"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lastRenderedPageBreak/>
        <w:t>ب. جودة الخدمات العامة (</w:t>
      </w:r>
      <w:r w:rsidRPr="006442A7">
        <w:rPr>
          <w:rStyle w:val="a7"/>
          <w:rFonts w:asciiTheme="majorBidi" w:eastAsia="Times New Roman" w:hAnsiTheme="majorBidi" w:cstheme="majorBidi"/>
          <w:i w:val="0"/>
          <w:iCs w:val="0"/>
          <w:color w:val="1F1F1F"/>
          <w:sz w:val="24"/>
          <w:szCs w:val="24"/>
          <w:bdr w:val="none" w:sz="0" w:space="0" w:color="auto" w:frame="1"/>
        </w:rPr>
        <w:t>Quality of Public Services</w:t>
      </w:r>
      <w:r w:rsidRPr="006442A7">
        <w:rPr>
          <w:rFonts w:asciiTheme="majorBidi" w:eastAsia="Times New Roman" w:hAnsiTheme="majorBidi" w:cstheme="majorBidi"/>
          <w:color w:val="1F1F1F"/>
          <w:sz w:val="24"/>
          <w:szCs w:val="24"/>
          <w:rtl/>
        </w:rPr>
        <w:t>)</w:t>
      </w:r>
    </w:p>
    <w:p w14:paraId="0E50B618"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ويعبر عن مدى التزام المؤسسة الحكومية بتقديم خدمات سريعة، ميسرة، موثوقة، وخالية من الأخطاء للمستفيدين (سواء كانوا مواطنين، مقيمين، أو قطاعاً خاصاً)، عبر قنوات رقمية ذكية تضمن مستويات رضا عالية وتلبي معايير التميز الإداري الدولية (الغامدي، 2025).</w:t>
      </w:r>
    </w:p>
    <w:p w14:paraId="49667FB3" w14:textId="77777777" w:rsidR="009E73F5" w:rsidRPr="006442A7" w:rsidRDefault="009E73F5" w:rsidP="006442A7">
      <w:pPr>
        <w:pStyle w:val="3"/>
        <w:bidi/>
        <w:spacing w:before="0" w:beforeAutospacing="0" w:after="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ج. تحقيق مستهدفات رؤية 2030 (</w:t>
      </w:r>
      <w:r w:rsidRPr="006442A7">
        <w:rPr>
          <w:rStyle w:val="a7"/>
          <w:rFonts w:asciiTheme="majorBidi" w:eastAsia="Times New Roman" w:hAnsiTheme="majorBidi" w:cstheme="majorBidi"/>
          <w:i w:val="0"/>
          <w:iCs w:val="0"/>
          <w:color w:val="1F1F1F"/>
          <w:sz w:val="24"/>
          <w:szCs w:val="24"/>
          <w:bdr w:val="none" w:sz="0" w:space="0" w:color="auto" w:frame="1"/>
        </w:rPr>
        <w:t>Achieving Vision 2030 targets</w:t>
      </w:r>
      <w:r w:rsidRPr="006442A7">
        <w:rPr>
          <w:rFonts w:asciiTheme="majorBidi" w:eastAsia="Times New Roman" w:hAnsiTheme="majorBidi" w:cstheme="majorBidi"/>
          <w:color w:val="1F1F1F"/>
          <w:sz w:val="24"/>
          <w:szCs w:val="24"/>
          <w:rtl/>
        </w:rPr>
        <w:t>)</w:t>
      </w:r>
    </w:p>
    <w:p w14:paraId="7C3DCCB7"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ويُقاس بمدى نجاح الجهة الحكومية في تنفيذ المبادرات والمشاريع المسندة إليها ضمن برامج تحقيق الرؤية المختلفة (مثل برنامج التحول الوطني، وبرنامج تنمية القدرات البشرية) وفق المؤشرات الزمنية والكمية المحددة مسبقاً من قِبل القيادة الرشيدة (</w:t>
      </w:r>
      <w:proofErr w:type="spellStart"/>
      <w:r w:rsidRPr="006442A7">
        <w:rPr>
          <w:rFonts w:asciiTheme="majorBidi" w:hAnsiTheme="majorBidi" w:cstheme="majorBidi"/>
          <w:color w:val="1F1F1F"/>
          <w:rtl/>
        </w:rPr>
        <w:t>الرداعي</w:t>
      </w:r>
      <w:proofErr w:type="spellEnd"/>
      <w:r w:rsidRPr="006442A7">
        <w:rPr>
          <w:rFonts w:asciiTheme="majorBidi" w:hAnsiTheme="majorBidi" w:cstheme="majorBidi"/>
          <w:color w:val="1F1F1F"/>
          <w:rtl/>
        </w:rPr>
        <w:t>، 2024).</w:t>
      </w:r>
    </w:p>
    <w:p w14:paraId="69E38EC0" w14:textId="77777777" w:rsidR="009E73F5" w:rsidRPr="006442A7" w:rsidRDefault="009E73F5"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6. تعقيب الباحث ورؤيته الاستنباطية لمتغير الأداء المؤسسي</w:t>
      </w:r>
    </w:p>
    <w:p w14:paraId="59E848C5"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يخلص الباحث إلى أن الأداء المؤسسي في القطاع الحكومي السعودي لم يعد يقاس بمجرد الحضور والانصراف أو إنجاز المعاملات الروتينية، بل أصبح "أداءً مستنداً إلى النتائج والأثر الكلي". إن مركز قياس أداء الأجهزة الحكومية (أداء) يراقب التقدم بشكل دقيق، مما يفرض على الوزارات والهيئات البحث عن أدوات </w:t>
      </w:r>
      <w:proofErr w:type="spellStart"/>
      <w:r w:rsidRPr="006442A7">
        <w:rPr>
          <w:rFonts w:asciiTheme="majorBidi" w:hAnsiTheme="majorBidi" w:cstheme="majorBidi"/>
          <w:color w:val="1F1F1F"/>
          <w:rtl/>
        </w:rPr>
        <w:t>تمكينية</w:t>
      </w:r>
      <w:proofErr w:type="spellEnd"/>
      <w:r w:rsidRPr="006442A7">
        <w:rPr>
          <w:rFonts w:asciiTheme="majorBidi" w:hAnsiTheme="majorBidi" w:cstheme="majorBidi"/>
          <w:color w:val="1F1F1F"/>
          <w:rtl/>
        </w:rPr>
        <w:t xml:space="preserve"> استباقية لرفع جاهزيتها الإدارية والتشغيلية.</w:t>
      </w:r>
    </w:p>
    <w:p w14:paraId="3F3C926C" w14:textId="77777777" w:rsidR="009E73F5" w:rsidRPr="006442A7" w:rsidRDefault="009E73F5"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ومن هنا يرى الباحث أن تراجع الأداء في بعض المؤسسات الحكومية لا يعود بالضرورة لنقص الموارد، بل لنقص الفهم المتكامل لكيفية توظيف المعرفة المتاحة واتخاذ قرارات ذكية بناءً عليها، وهو ما يثبت علمياً ضرورة دراسة العلاقات البينية التي نطرحها في هذا الإطار للوصول لنموذج تكاملي متميز للأداء.</w:t>
      </w:r>
    </w:p>
    <w:p w14:paraId="5AE19E0D" w14:textId="1C7408AC" w:rsidR="00B33406" w:rsidRPr="006442A7" w:rsidRDefault="00B33406"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المحور الرابع: العلاقات التفاعلية والدور الوسيط لذكاء الأعمال (نموذج الوساطة الشامل)</w:t>
      </w:r>
    </w:p>
    <w:p w14:paraId="1C794B97" w14:textId="77777777" w:rsidR="00B33406" w:rsidRPr="006442A7" w:rsidRDefault="00B33406"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1. أثر إدارة المعرفة على الأداء المؤسسي (العلاقة المباشرة)</w:t>
      </w:r>
    </w:p>
    <w:p w14:paraId="7455A4C9" w14:textId="77777777" w:rsidR="00B33406" w:rsidRPr="006442A7" w:rsidRDefault="00B33406"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تفترض الأدبيات الإدارية المعاصرة وجود علاقة ارتباطية وأثرية طردية قوية بين تطبيق ممارسات إدارة المعرفة وتحقيق الأداء المؤسسي المتميز. فعندما تنجح المؤسسة في توليد المعرفة وتوثيقها ومشاركتها بين العاملين، تزداد كفاءة العمليات الإدارية، وتقل مستويات الخطأ، وينخفض الوقت اللازم لتقديم الخدمات (الجعافرة، 2024).</w:t>
      </w:r>
    </w:p>
    <w:p w14:paraId="149FB76C" w14:textId="77777777" w:rsidR="00B33406" w:rsidRPr="006442A7" w:rsidRDefault="00B33406"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وفي هذا الصدد، أظهرت نتائج دراسة (العتيبي، 2023) أن تطبيق إدارة المعرفة بأبعادها يساهم بنسبة مرتفعة في تحسين الأداء العام للجامعات، كما أكدت دراسة (الحربي، 2023) في القطاع الحكومي السوداني أن تفعيل العمليات المعرفية ينعكس مباشرة في رفع إنتاجية الموظفين ودقة إنجاز المعاملات. وتأسيساً على ذلك، صيغت الفرضية الرئيسة الأولى لدراستنا:</w:t>
      </w:r>
    </w:p>
    <w:p w14:paraId="4E4C5C36" w14:textId="77777777" w:rsidR="00B33406" w:rsidRPr="006442A7" w:rsidRDefault="00B33406" w:rsidP="006442A7">
      <w:pPr>
        <w:pStyle w:val="a5"/>
        <w:numPr>
          <w:ilvl w:val="0"/>
          <w:numId w:val="44"/>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Pr>
        <w:t>H1</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يوجد أثر ذو دلالة إحصائية لإدارة المعرفة بأبعادها في تحسين الأداء المؤسسي في القطاع الحكومي السعودي.</w:t>
      </w:r>
    </w:p>
    <w:p w14:paraId="627A6360" w14:textId="77777777" w:rsidR="00B33406" w:rsidRPr="006442A7" w:rsidRDefault="00B33406"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2. أثر إدارة المعرفة على ذكاء الأعمال (المسار الأول للوساطة)</w:t>
      </w:r>
    </w:p>
    <w:p w14:paraId="0C4338F6" w14:textId="77777777" w:rsidR="00B33406" w:rsidRPr="006442A7" w:rsidRDefault="00B33406"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لكي تعمل تكنولوجيا ذكاء الأعمال بفعالية، فإنها تتطلب تغذية مستمرة ببيانات ومعلومات دقيقة ومنظمة من البنية المعرفية للمؤسسة. إن عمليات إدارة المعرفة (من توليد وتخزين وتطبيق) توفر "المادة الخام" والوقود الحقيقي الذي </w:t>
      </w:r>
      <w:r w:rsidRPr="006442A7">
        <w:rPr>
          <w:rFonts w:asciiTheme="majorBidi" w:hAnsiTheme="majorBidi" w:cstheme="majorBidi"/>
          <w:color w:val="1F1F1F"/>
          <w:rtl/>
        </w:rPr>
        <w:lastRenderedPageBreak/>
        <w:t>يعمل محرك ذكاء الأعمال على معالجته وتحليله (أبو زيد، 2024). فبدون نظام فعال لإدارة المعرفة، لن تجد أدوات ذكاء الأعمال أي بيانات ذات جودة لتقوم بتحليلها، وبالتالي تظهر أهمية الربط بين المتغيرين (المهيرات، 2023).</w:t>
      </w:r>
    </w:p>
    <w:p w14:paraId="09ECFC1A" w14:textId="77777777" w:rsidR="00B33406" w:rsidRPr="006442A7" w:rsidRDefault="00B33406"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وقد أكدت دراسة (الحربي، 2024) على الارتباط الوثيق بين الثقافة التنظيمية الداعمة للمعرفة وتبني الأنظمة التقنية المتقدمة كذكاء الأعمال. ومن هذا المنطلق المنهجي، صيغت الفرضية الرئيسة الثانية للدراسة:</w:t>
      </w:r>
    </w:p>
    <w:p w14:paraId="639036E7" w14:textId="77777777" w:rsidR="00B33406" w:rsidRPr="006442A7" w:rsidRDefault="00B33406" w:rsidP="006442A7">
      <w:pPr>
        <w:pStyle w:val="a5"/>
        <w:numPr>
          <w:ilvl w:val="0"/>
          <w:numId w:val="45"/>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Pr>
        <w:t>H2</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يوجد أثر ذو دلالة إحصائية لإدارة المعرفة في تعزيز مستوى تبني واستخدام ذكاء الأعمال في القطاع الحكومي السعودي.</w:t>
      </w:r>
    </w:p>
    <w:p w14:paraId="2E97245F" w14:textId="77777777" w:rsidR="00B33406" w:rsidRPr="006442A7" w:rsidRDefault="00B33406"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3. أثر ذكاء الأعمال على الأداء المؤسسي (المسار الثاني للوساطة)</w:t>
      </w:r>
    </w:p>
    <w:p w14:paraId="775B0BED" w14:textId="77777777" w:rsidR="00B33406" w:rsidRPr="006442A7" w:rsidRDefault="00B33406"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يقدم ذكاء الأعمال القيمة المضافة الحقيقية للمؤسسات الحكومية عبر تحسين جودة اتخاذ القرارات </w:t>
      </w:r>
      <w:proofErr w:type="spellStart"/>
      <w:r w:rsidRPr="006442A7">
        <w:rPr>
          <w:rFonts w:asciiTheme="majorBidi" w:hAnsiTheme="majorBidi" w:cstheme="majorBidi"/>
          <w:color w:val="1F1F1F"/>
          <w:rtl/>
        </w:rPr>
        <w:t>وحوكمة</w:t>
      </w:r>
      <w:proofErr w:type="spellEnd"/>
      <w:r w:rsidRPr="006442A7">
        <w:rPr>
          <w:rFonts w:asciiTheme="majorBidi" w:hAnsiTheme="majorBidi" w:cstheme="majorBidi"/>
          <w:color w:val="1F1F1F"/>
          <w:rtl/>
        </w:rPr>
        <w:t xml:space="preserve"> العمليات الداخلية. فعند تفعيل لوحات القيادة التفاعلية والتحليلات </w:t>
      </w:r>
      <w:proofErr w:type="spellStart"/>
      <w:r w:rsidRPr="006442A7">
        <w:rPr>
          <w:rFonts w:asciiTheme="majorBidi" w:hAnsiTheme="majorBidi" w:cstheme="majorBidi"/>
          <w:color w:val="1F1F1F"/>
          <w:rtl/>
        </w:rPr>
        <w:t>التنبؤية</w:t>
      </w:r>
      <w:proofErr w:type="spellEnd"/>
      <w:r w:rsidRPr="006442A7">
        <w:rPr>
          <w:rFonts w:asciiTheme="majorBidi" w:hAnsiTheme="majorBidi" w:cstheme="majorBidi"/>
          <w:color w:val="1F1F1F"/>
          <w:rtl/>
        </w:rPr>
        <w:t>، يتمكن صناع القرار من رصد الثغرات الإدارية وتخصيص الموارد بكفاءة عالية، مما ينعكس إيجاباً على الأداء التشغيلي والمالي للمؤسسة (الشمري، 2025).</w:t>
      </w:r>
    </w:p>
    <w:p w14:paraId="7AE584DF" w14:textId="77777777" w:rsidR="00B33406" w:rsidRPr="006442A7" w:rsidRDefault="00B33406"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وقد أثبتت دراسة (الزهراني، 2023) أن ذكاء الأعمال يحسن جودة وصحة القرارات التنظيمية في المؤسسات الحكومية السعودية، مما يقلل بشكل مباشر من الهدر المالي والإداري ويدعم كفاءة الإنفاق الحكومي. وبناءً على هذه التبريرات العلمية، صيغت الفرضية الرئيسة الثالثة للدراسة:</w:t>
      </w:r>
    </w:p>
    <w:p w14:paraId="52274FEE" w14:textId="77777777" w:rsidR="00B33406" w:rsidRPr="006442A7" w:rsidRDefault="00B33406" w:rsidP="006442A7">
      <w:pPr>
        <w:pStyle w:val="a5"/>
        <w:numPr>
          <w:ilvl w:val="0"/>
          <w:numId w:val="46"/>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Pr>
        <w:t>H3</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يوجد أثر ذو دلالة إحصائية لذكاء الأعمال في رفع كفاءة الأداء المؤسسي في القطاع الحكومي السعودي.</w:t>
      </w:r>
    </w:p>
    <w:p w14:paraId="49322D1C" w14:textId="77777777" w:rsidR="00B33406" w:rsidRPr="006442A7" w:rsidRDefault="00B33406"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4. الدور الوسيط لذكاء الأعمال (نموذج الوساطة الشامل)</w:t>
      </w:r>
    </w:p>
    <w:p w14:paraId="24F9683C" w14:textId="77777777" w:rsidR="00B33406" w:rsidRPr="006442A7" w:rsidRDefault="00B33406"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يمثل هذا المسار جوهر الإضافة العلمية والتطبيقية للدراسة الحالية وفجوتها البحثية الأبرز. فبينما ركزت أغلب الدراسات السابقة على اختبار الأثر المباشر لإدارة المعرفة على الأداء المؤسسي (مثل: الجعافرة، 2024؛ الحربي، 2023)، يطرح الباحث فرضية أن العلاقة المباشرة قد تضعف أو تتذبذب إذا لم تتوفر أداة تقنية متقدمة تُمكّن المؤسسة من فلترة وتحليل وتحويل تلك المعارف إلى "ذكاء تنفيذي ملموس".</w:t>
      </w:r>
    </w:p>
    <w:p w14:paraId="0F209034" w14:textId="77777777" w:rsidR="00B33406" w:rsidRPr="006442A7" w:rsidRDefault="00B33406" w:rsidP="006442A7">
      <w:pPr>
        <w:pStyle w:val="a5"/>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إن ذكاء الأعمال يتدخل كمتغير وسيط ليفسر كيف تنتقل المعرفة التراكمية (المدخلات) لتصبح أداءً متميزاً وكفؤاً (المخرجات) عبر عملية التحليل والمعالجة الذكية للبيانات (أبو زيد، 2024). فالمعرفة بمفردها تمثل طاقة كامنة، ونظم ذكاء الأعمال هي المحرك التقني الذي يطلق هذه الطاقة لتحدث الأثر الفعلي على مستوى كفاءة الإنفاق، وجودة الخدمات العامة، وتحقيق تطلعات رؤية 2030 (</w:t>
      </w:r>
      <w:r w:rsidRPr="006442A7">
        <w:rPr>
          <w:rFonts w:asciiTheme="majorBidi" w:hAnsiTheme="majorBidi" w:cstheme="majorBidi"/>
          <w:color w:val="1F1F1F"/>
        </w:rPr>
        <w:t>Smith</w:t>
      </w:r>
      <w:r w:rsidRPr="006442A7">
        <w:rPr>
          <w:rFonts w:asciiTheme="majorBidi" w:hAnsiTheme="majorBidi" w:cstheme="majorBidi"/>
          <w:color w:val="1F1F1F"/>
          <w:rtl/>
        </w:rPr>
        <w:t xml:space="preserve"> &amp; </w:t>
      </w:r>
      <w:r w:rsidRPr="006442A7">
        <w:rPr>
          <w:rFonts w:asciiTheme="majorBidi" w:hAnsiTheme="majorBidi" w:cstheme="majorBidi"/>
          <w:color w:val="1F1F1F"/>
        </w:rPr>
        <w:t>Johnson, 2023</w:t>
      </w:r>
      <w:r w:rsidRPr="006442A7">
        <w:rPr>
          <w:rFonts w:asciiTheme="majorBidi" w:hAnsiTheme="majorBidi" w:cstheme="majorBidi"/>
          <w:color w:val="1F1F1F"/>
          <w:rtl/>
        </w:rPr>
        <w:t>). وبناءً عليه، صيغت الفرضية الرئيسة الرابعة والذهبية للدراسة:</w:t>
      </w:r>
    </w:p>
    <w:p w14:paraId="6F48DC86" w14:textId="77777777" w:rsidR="00B33406" w:rsidRPr="006442A7" w:rsidRDefault="00B33406" w:rsidP="006442A7">
      <w:pPr>
        <w:pStyle w:val="a5"/>
        <w:numPr>
          <w:ilvl w:val="0"/>
          <w:numId w:val="47"/>
        </w:numPr>
        <w:bidi/>
        <w:spacing w:before="0" w:beforeAutospacing="0" w:after="0" w:afterAutospacing="0" w:line="360" w:lineRule="auto"/>
        <w:rPr>
          <w:rFonts w:asciiTheme="majorBidi" w:hAnsiTheme="majorBidi" w:cstheme="majorBidi"/>
          <w:color w:val="1F1F1F"/>
          <w:rtl/>
        </w:rPr>
      </w:pPr>
      <w:r w:rsidRPr="006442A7">
        <w:rPr>
          <w:rStyle w:val="a6"/>
          <w:rFonts w:asciiTheme="majorBidi" w:hAnsiTheme="majorBidi" w:cstheme="majorBidi"/>
          <w:color w:val="1F1F1F"/>
          <w:bdr w:val="none" w:sz="0" w:space="0" w:color="auto" w:frame="1"/>
        </w:rPr>
        <w:t>H4</w:t>
      </w:r>
      <w:r w:rsidRPr="006442A7">
        <w:rPr>
          <w:rStyle w:val="a6"/>
          <w:rFonts w:asciiTheme="majorBidi" w:hAnsiTheme="majorBidi" w:cstheme="majorBidi"/>
          <w:color w:val="1F1F1F"/>
          <w:bdr w:val="none" w:sz="0" w:space="0" w:color="auto" w:frame="1"/>
          <w:rtl/>
        </w:rPr>
        <w:t>:</w:t>
      </w:r>
      <w:r w:rsidRPr="006442A7">
        <w:rPr>
          <w:rFonts w:asciiTheme="majorBidi" w:hAnsiTheme="majorBidi" w:cstheme="majorBidi"/>
          <w:color w:val="1F1F1F"/>
          <w:rtl/>
        </w:rPr>
        <w:t xml:space="preserve"> يوجد أثر ذو دلالة إحصائية لإدارة المعرفة على الأداء المؤسسي في القطاع الحكومي السعودي من خلال المتغير الوسيط (ذكاء الأعمال).</w:t>
      </w:r>
    </w:p>
    <w:p w14:paraId="59410560" w14:textId="77777777" w:rsidR="00B33406" w:rsidRDefault="00B33406"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ويتسق هذا التصميم والربط العلمي مع ما تبناه الباحث في الإجراءات التطبيقية والتحليلات الإحصائية الواردة بالتفصيل في إجراءات الأطروحة والتحليلات الإحصائية، حيث تم اختبار هذه الفرضيات إحصائياً للتحقق من الأثر المباشر وغير المباشر (أثر الوساطة) باستخدام أسلوب </w:t>
      </w:r>
      <w:proofErr w:type="spellStart"/>
      <w:r w:rsidRPr="006442A7">
        <w:rPr>
          <w:rFonts w:asciiTheme="majorBidi" w:hAnsiTheme="majorBidi" w:cstheme="majorBidi"/>
          <w:color w:val="1F1F1F"/>
          <w:rtl/>
        </w:rPr>
        <w:t>النمذجة</w:t>
      </w:r>
      <w:proofErr w:type="spellEnd"/>
      <w:r w:rsidRPr="006442A7">
        <w:rPr>
          <w:rFonts w:asciiTheme="majorBidi" w:hAnsiTheme="majorBidi" w:cstheme="majorBidi"/>
          <w:color w:val="1F1F1F"/>
          <w:rtl/>
        </w:rPr>
        <w:t xml:space="preserve"> بالمعادلات الهيكلية (</w:t>
      </w:r>
      <w:r w:rsidRPr="006442A7">
        <w:rPr>
          <w:rFonts w:asciiTheme="majorBidi" w:hAnsiTheme="majorBidi" w:cstheme="majorBidi"/>
          <w:color w:val="1F1F1F"/>
        </w:rPr>
        <w:t>SEM</w:t>
      </w:r>
      <w:r w:rsidRPr="006442A7">
        <w:rPr>
          <w:rFonts w:asciiTheme="majorBidi" w:hAnsiTheme="majorBidi" w:cstheme="majorBidi"/>
          <w:color w:val="1F1F1F"/>
          <w:rtl/>
        </w:rPr>
        <w:t>).</w:t>
      </w:r>
    </w:p>
    <w:p w14:paraId="22E3148B" w14:textId="77777777" w:rsidR="006442A7" w:rsidRDefault="006442A7" w:rsidP="006442A7">
      <w:pPr>
        <w:pStyle w:val="a5"/>
        <w:bidi/>
        <w:spacing w:before="0" w:beforeAutospacing="0" w:after="173" w:afterAutospacing="0" w:line="360" w:lineRule="auto"/>
        <w:rPr>
          <w:rFonts w:asciiTheme="majorBidi" w:hAnsiTheme="majorBidi" w:cstheme="majorBidi"/>
          <w:color w:val="1F1F1F"/>
          <w:rtl/>
        </w:rPr>
      </w:pPr>
    </w:p>
    <w:p w14:paraId="6A755337" w14:textId="77777777" w:rsidR="006442A7" w:rsidRPr="006442A7" w:rsidRDefault="006442A7" w:rsidP="006442A7">
      <w:pPr>
        <w:pStyle w:val="a5"/>
        <w:bidi/>
        <w:spacing w:before="0" w:beforeAutospacing="0" w:after="173" w:afterAutospacing="0" w:line="360" w:lineRule="auto"/>
        <w:rPr>
          <w:rFonts w:asciiTheme="majorBidi" w:hAnsiTheme="majorBidi" w:cstheme="majorBidi"/>
          <w:color w:val="1F1F1F"/>
          <w:rtl/>
        </w:rPr>
      </w:pPr>
    </w:p>
    <w:p w14:paraId="2E782817" w14:textId="77777777" w:rsidR="00B33406" w:rsidRPr="006442A7" w:rsidRDefault="00B33406"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5. تعقيب الباحث ورؤيته الاستنباطية لنموذج الوساطة والربط برؤية 2030</w:t>
      </w:r>
    </w:p>
    <w:p w14:paraId="52A6C9A1" w14:textId="77777777" w:rsidR="00B33406" w:rsidRPr="006442A7" w:rsidRDefault="00B33406"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يخلص الباحث إلى أن غياب "ذكاء الأعمال" كمتغير وسيط في الأبحاث والواقع العملي يفسر سر الفجوة بين حجم الاستثمارات الضخمة في برامج إدارة المعرفة والتحول الرقمي وبين مستويات الأداء المؤسسي الفعلية في بعض الجهات الحكومية. إن معالجة البيانات وتصنيفها وتحليلها عبر تقنيات ذكاء الأعمال يزيل "العسر الهضم الرقمي" الذي تعاني منه الجهات جراء تكدس البيانات غير المستغلة.</w:t>
      </w:r>
    </w:p>
    <w:p w14:paraId="63920612" w14:textId="77777777" w:rsidR="00B33406" w:rsidRPr="006442A7" w:rsidRDefault="00B33406" w:rsidP="006442A7">
      <w:pPr>
        <w:pStyle w:val="a5"/>
        <w:bidi/>
        <w:spacing w:before="0" w:beforeAutospacing="0" w:after="173" w:afterAutospacing="0" w:line="360" w:lineRule="auto"/>
        <w:rPr>
          <w:rFonts w:asciiTheme="majorBidi" w:hAnsiTheme="majorBidi" w:cstheme="majorBidi"/>
          <w:color w:val="1F1F1F"/>
          <w:rtl/>
        </w:rPr>
      </w:pPr>
      <w:r w:rsidRPr="006442A7">
        <w:rPr>
          <w:rFonts w:asciiTheme="majorBidi" w:hAnsiTheme="majorBidi" w:cstheme="majorBidi"/>
          <w:color w:val="1F1F1F"/>
          <w:rtl/>
        </w:rPr>
        <w:t>إن دمج هذه المتغيرات الثلاثة في نموذج دراسي موحد يوفر لصناع القرار خريطة طريق متكاملة، تبدأ من الإنسان والثقافة (إدارة المعرفة)، وتمر بالآلة والتحليل والذكاء (ذكاء الأعمال)، لتنتهي في المحصلة بتحقيق مستهدفات الأداء المتميز والجودة والشفافية التي تمثل صلب رؤية المملكة 2030 المباركة.</w:t>
      </w:r>
    </w:p>
    <w:p w14:paraId="45E91ECC" w14:textId="77777777" w:rsidR="005B5EE0" w:rsidRPr="006442A7" w:rsidRDefault="005B5EE0"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23623A16" w14:textId="77777777" w:rsidR="00AA5BE2" w:rsidRPr="006442A7" w:rsidRDefault="00AA5BE2"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675D24DA" w14:textId="77777777" w:rsidR="00AA5BE2" w:rsidRPr="006442A7" w:rsidRDefault="00AA5BE2"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79FB6B1" w14:textId="77777777" w:rsidR="00AA5BE2" w:rsidRDefault="00AA5BE2"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1D2073D2" w14:textId="77777777" w:rsidR="006442A7" w:rsidRDefault="006442A7"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2A0D0E76" w14:textId="77777777" w:rsidR="006442A7" w:rsidRDefault="006442A7"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15283866" w14:textId="77777777" w:rsidR="006442A7" w:rsidRDefault="006442A7"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32CAA9A1" w14:textId="77777777" w:rsidR="006442A7" w:rsidRDefault="006442A7"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A79B759" w14:textId="77777777" w:rsidR="006442A7" w:rsidRDefault="006442A7"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7021452E" w14:textId="77777777" w:rsidR="006442A7" w:rsidRDefault="006442A7"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761354A3" w14:textId="77777777" w:rsidR="006442A7" w:rsidRDefault="006442A7"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2AC9D66B" w14:textId="77777777" w:rsidR="006442A7" w:rsidRDefault="006442A7"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7FE0835E" w14:textId="77777777" w:rsidR="006442A7" w:rsidRDefault="006442A7"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5F49FAD2" w14:textId="77777777" w:rsidR="006442A7" w:rsidRDefault="006442A7"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6435208" w14:textId="77777777" w:rsidR="006442A7" w:rsidRDefault="006442A7"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4A21E340" w14:textId="77777777" w:rsidR="006442A7" w:rsidRDefault="006442A7"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5CB9B154" w14:textId="77777777" w:rsidR="006442A7" w:rsidRDefault="006442A7"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30B2E3BD" w14:textId="77777777" w:rsidR="006442A7" w:rsidRDefault="006442A7"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6D75ADDE" w14:textId="77777777" w:rsidR="006442A7" w:rsidRPr="006442A7" w:rsidRDefault="006442A7"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6DD2175" w14:textId="77777777" w:rsidR="00F12891" w:rsidRPr="006442A7" w:rsidRDefault="00F12891"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60E95674" w14:textId="77777777" w:rsidR="008F7EB2" w:rsidRPr="006442A7" w:rsidRDefault="008F7EB2" w:rsidP="006442A7">
      <w:pPr>
        <w:pStyle w:val="1"/>
        <w:bidi/>
        <w:spacing w:before="0" w:beforeAutospacing="0" w:after="120" w:afterAutospacing="0" w:line="360" w:lineRule="auto"/>
        <w:rPr>
          <w:rFonts w:asciiTheme="majorBidi" w:eastAsia="Times New Roman" w:hAnsiTheme="majorBidi" w:cstheme="majorBidi"/>
          <w:color w:val="1F1F1F"/>
          <w:sz w:val="28"/>
          <w:szCs w:val="28"/>
        </w:rPr>
      </w:pPr>
      <w:r w:rsidRPr="006442A7">
        <w:rPr>
          <w:rFonts w:asciiTheme="majorBidi" w:eastAsia="Times New Roman" w:hAnsiTheme="majorBidi" w:cstheme="majorBidi"/>
          <w:color w:val="1F1F1F"/>
          <w:sz w:val="28"/>
          <w:szCs w:val="28"/>
          <w:rtl/>
        </w:rPr>
        <w:t>الدراسات السابقة</w:t>
      </w:r>
    </w:p>
    <w:p w14:paraId="78549BD6" w14:textId="77777777" w:rsidR="008F7EB2" w:rsidRPr="006442A7" w:rsidRDefault="008F7EB2"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أولاً: الدراسات المحلية (المملكة العربية السعودية)</w:t>
      </w:r>
    </w:p>
    <w:p w14:paraId="60EB472B" w14:textId="77777777" w:rsidR="008F7EB2" w:rsidRPr="006442A7" w:rsidRDefault="008F7EB2" w:rsidP="006442A7">
      <w:pPr>
        <w:pStyle w:val="a5"/>
        <w:numPr>
          <w:ilvl w:val="0"/>
          <w:numId w:val="48"/>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تناولت دراسة (الزهراني وعبدالغني، 2021) بعنوان (أثر تطبيق معايير التميز المؤسسي في الجهات الحكومية السعودية) موضوع أثر تطبيق معايير التميز المؤسسي في الجهات الحكومية السعودية من خلال المشكلة في ضعف مستويات الأداء في بعض الجهات الحكومية وعدم مواكبتها لتطلعات رؤية 2030 وتمثلت الفرضية الرئيسية في توجد علاقة طردية بين تطبيق معايير التميز المؤسسي وتحسين الأداء التنظيمي وهدفت الدراسة إلى قياس أثر تطبيق معايير التميز المؤسسي على الأداء في الجهات الحكومية واستخدمت الدراسة المنهج الوصفي التحليلي وتمثل مجتمع الدراسة في الموظفين في الجهات الحكومية بمنطقة مكة المكرمة وكانت عينة الدراسة عبارة عن 350 مفردة. وتم استخدام الأساليب الإحصائية الآتية الارتباط البسيط، الانحدار المتعدد، والمتوسطات الحسابية وتوصلت الدراسة إلى نتائج من أهمها أن المنظمات التي تتبنى نماذج التميز تحقق مستويات كفاءة أعلى بنسبة 40% وأوصت الدراسة بتوصيات منها ضرورة تدريب القيادات على معايير التميز الأوروبي (</w:t>
      </w:r>
      <w:r w:rsidRPr="006442A7">
        <w:rPr>
          <w:rFonts w:asciiTheme="majorBidi" w:hAnsiTheme="majorBidi" w:cstheme="majorBidi"/>
          <w:color w:val="1F1F1F"/>
        </w:rPr>
        <w:t>EFQM</w:t>
      </w:r>
      <w:r w:rsidRPr="006442A7">
        <w:rPr>
          <w:rFonts w:asciiTheme="majorBidi" w:hAnsiTheme="majorBidi" w:cstheme="majorBidi"/>
          <w:color w:val="1F1F1F"/>
          <w:rtl/>
        </w:rPr>
        <w:t>). وتشابهت الدراسة مع الدراسة الحالية في أن كل من الدراستين تناولت التركيز على متغير التميز المؤسسي في البيئة السعودية، بينما اختلفت الدراسة مع الدراسة الحالية في أنها تركز على قطاع مختلف وتدمج متغيرات إضافية مثل ذكاء الأعمال.</w:t>
      </w:r>
    </w:p>
    <w:p w14:paraId="3D162226" w14:textId="77777777" w:rsidR="008F7EB2" w:rsidRPr="006442A7" w:rsidRDefault="008F7EB2" w:rsidP="006442A7">
      <w:pPr>
        <w:pStyle w:val="a5"/>
        <w:numPr>
          <w:ilvl w:val="0"/>
          <w:numId w:val="48"/>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تناولت دراسة (المالكي، 2026) بعنوان (درجة ممارسة القيادة الريادية لدى مديري مدارس التعليم العام في مدينة الرياض) موضوع درجة ممارسة القيادة الريادية لدى مديري مدارس التعليم العام في مدينة الرياض من خلال المشكلة في الحاجة إلى قيادة ريادية قادرة على تحقيق التميز المؤسسي في المدارس وتمثلت الفرضية الرئيسية في توجد فروق ذات دلالة إحصائية في مستوى التميز تعزى لنمط القيادة وهدفت الدراسة إلى التعرف على واقع القيادة الريادية ودورها في تحقيق التميز واستخدمت الدراسة المنهج الوصفي المسحي وتمثل مجتمع الدراسة في معلمي ومديري المدارس بمدينة الرياض وكانت عينة الدراسة عبارة عن 412 مفردة. وتم استخدام الأساليب الإحصائية الآتية اختبار (ت)، وتحليل التباين الأحادي (</w:t>
      </w:r>
      <w:r w:rsidRPr="006442A7">
        <w:rPr>
          <w:rFonts w:asciiTheme="majorBidi" w:hAnsiTheme="majorBidi" w:cstheme="majorBidi"/>
          <w:color w:val="1F1F1F"/>
        </w:rPr>
        <w:t>ANOVA</w:t>
      </w:r>
      <w:r w:rsidRPr="006442A7">
        <w:rPr>
          <w:rFonts w:asciiTheme="majorBidi" w:hAnsiTheme="majorBidi" w:cstheme="majorBidi"/>
          <w:color w:val="1F1F1F"/>
          <w:rtl/>
        </w:rPr>
        <w:t>) وتوصلت الدراسة إلى نتائج من أهمها وجود مستوى متوسط من ممارسة القيادة الريادية وأثرها القوي على التميز وأوصت الدراسة بتوصيات منها تبني برامج لتطوير القيادات المدرسية نحو الريادة. وتشابهت الدراسة مع الدراسة الحالية في أن كل من الدراستين تناولت استخدام المنهج الوصفي والتركيز على التميز، بينما اختلفت الدراسة مع الدراسة الحالية في اختلاف مجتمع الدراسة حيث ركزت هذه الدراسة على قطاع التعليم العام.</w:t>
      </w:r>
    </w:p>
    <w:p w14:paraId="1528EA5E" w14:textId="77777777" w:rsidR="008F7EB2" w:rsidRPr="006442A7" w:rsidRDefault="008F7EB2" w:rsidP="006442A7">
      <w:pPr>
        <w:pStyle w:val="a5"/>
        <w:numPr>
          <w:ilvl w:val="0"/>
          <w:numId w:val="48"/>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تناولت دراسة (الرشيدي، 2022) بعنوان (تصور مقترح لتحقيق الابتكار المؤسسي في الجامعات السعودية في ضوء رؤية 2030) موضوع تصور مقترح لتحقيق الابتكار المؤسسي في الجامعات السعودية في ضوء رؤية 2030 من خلال المشكلة في الفجوة بين الممارسات الحالية ومتطلبات الابتكار والتميز في الجامعات وتمثلت الفرضية الرئيسية في الابتكار المؤسسي هو المدخل الأساسي لتحقيق التميز الأكاديمي وهدفت الدراسة إلى بناء تصور مقترح لتعزيز الابتكار كأحد أبعاد التميز المؤسسي واستخدمت الدراسة المنهج الوصفي التحليلي وتمثل مجتمع الدراسة في القيادات الأكاديمية في الجامعات السعودية وكانت عينة الدراسة عبارة عن 150 مفردة. وتم استخدام الأساليب الإحصائية الآتية النسب المئوية، الانحرافات المعيارية وتوصلت الدراسة </w:t>
      </w:r>
      <w:r w:rsidRPr="006442A7">
        <w:rPr>
          <w:rFonts w:asciiTheme="majorBidi" w:hAnsiTheme="majorBidi" w:cstheme="majorBidi"/>
          <w:color w:val="1F1F1F"/>
          <w:rtl/>
        </w:rPr>
        <w:lastRenderedPageBreak/>
        <w:t>إلى نتائج من أهمها أن الابتكار المؤسسي يساهم في رفع تصنيف الجامعات عالمياً وأوصت الدراسة بتوصيات منها تخصيص ميزانيات مستقلة لدعم مشاريع الابتكار والتميز. وتشابهت الدراسة مع الدراسة الحالية في أن كل من الدراستين تناولت الارتباط برؤية المملكة 2030 والسعي نحو التميز، بينما اختلفت الدراسة مع الدراسة الحالية في أن هذه الدراسة ركزت على الجانب الابتكاري كأحد أركان التميز.</w:t>
      </w:r>
    </w:p>
    <w:p w14:paraId="5DB3D477" w14:textId="77777777" w:rsidR="008F7EB2" w:rsidRPr="006442A7" w:rsidRDefault="008F7EB2" w:rsidP="006442A7">
      <w:pPr>
        <w:pStyle w:val="a5"/>
        <w:numPr>
          <w:ilvl w:val="0"/>
          <w:numId w:val="48"/>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تناولت دراسة (الشهري، 2022) بعنوان (تحديات القدرة التنافسية بجامعة الملك سعود) موضوع تحديات القدرة التنافسية بجامعة الملك سعود من خلال المشكلة في صعوبة تحقيق مراكز متقدمة في التصنيفات العالمية دون نموذج تميز متكامل وتمثلت الفرضية الرئيسية في تطبيق معايير التميز يرفع من القدرة التنافسية للمؤسسة التعليمية وهدفت الدراسة إلى تحديد التحديات التي تواجه التميز التنافسي في التعليم العالي واستخدمت الدراسة المنهج النوعي (النظرية المجذرة) وتمثل مجتمع الدراسة في القيادات الأكاديمية بجامعة الملك سعود وكانت عينة الدراسة عبارة عن 25 مفردة. وتم استخدام الأساليب الإحصائية الآتية التحليل الموضوعي (</w:t>
      </w:r>
      <w:r w:rsidRPr="006442A7">
        <w:rPr>
          <w:rFonts w:asciiTheme="majorBidi" w:hAnsiTheme="majorBidi" w:cstheme="majorBidi"/>
          <w:color w:val="1F1F1F"/>
        </w:rPr>
        <w:t>Thematic Analysis</w:t>
      </w:r>
      <w:r w:rsidRPr="006442A7">
        <w:rPr>
          <w:rFonts w:asciiTheme="majorBidi" w:hAnsiTheme="majorBidi" w:cstheme="majorBidi"/>
          <w:color w:val="1F1F1F"/>
          <w:rtl/>
        </w:rPr>
        <w:t>) وتوصلت الدراسة إلى نتائج من أهمها أن السياسات الإدارية المرنة هي الداعم الأكبر للتميز التنافسي وأوصت الدراسة بتوصيات منها تطوير الهياكل التنظيمية لتكون أكثر مرونة واستجابة للتغيير. وتشابهت الدراسة مع الدراسة الحالية في أن كل من الدراستين تناولت مفهوم التميز من منظور تنافسي، بينما اختلفت الدراسة مع الدراسة الحالية في استخدام المنهج النوعي بينما الدراسة الحالية كمية.</w:t>
      </w:r>
    </w:p>
    <w:p w14:paraId="56EABB89" w14:textId="77777777" w:rsidR="008F7EB2" w:rsidRPr="006442A7" w:rsidRDefault="008F7EB2" w:rsidP="006442A7">
      <w:pPr>
        <w:pStyle w:val="a5"/>
        <w:numPr>
          <w:ilvl w:val="0"/>
          <w:numId w:val="48"/>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تناولت دراسة (المك، 2026) بعنوان (أثر نظم معلومات الموارد البشرية على التميز المؤسسي في شركة المراعي) موضوع أثر نظم معلومات الموارد البشرية على التميز المؤسسي في شركة المراعي من خلال المشكلة في مدى مساهمة الأنظمة التقنية في دعم ركائز التميز في القطاع الخاص وتمثلت الفرضية الرئيسية في نظم المعلومات الحديثة تؤدي إلى تحسين معايير التميز المؤسسي وهدفت الدراسة إلى تحليل دور التقنية في دعم التخطيط والتميز المؤسسي واستخدمت الدراسة المنهج الوصفي التحليلي وتمثل مجتمع الدراسة في موظفي شركة المراعي للمنتجات الغذائية وكانت عينة الدراسة عبارة عن 280 مفردة. وتم استخدام الأساليب الإحصائية الآتية معامل ارتباط بيرسون، الانحدار الخطي وتوصلت الدراسة إلى نتائج من أهمها وجود أثر ذو دلالة إحصائية لنظم المعلومات في تحقيق التميز وأوصت الدراسة بتوصيات منها تكامل الأنظمة التقنية مع استراتيجيات التميز الشاملة. وتشابهت الدراسة مع الدراسة الحالية في أن كل من الدراستين تناولت دراسة التميز المؤسسي في بيئة العمل السعودية، بينما اختلفت الدراسة مع الدراسة الحالية في التطبيق على القطاع الخاص (شركة المراعي).</w:t>
      </w:r>
    </w:p>
    <w:p w14:paraId="06295C9A" w14:textId="77777777" w:rsidR="008F7EB2" w:rsidRPr="006442A7" w:rsidRDefault="008F7EB2" w:rsidP="006442A7">
      <w:pPr>
        <w:pStyle w:val="a5"/>
        <w:numPr>
          <w:ilvl w:val="0"/>
          <w:numId w:val="48"/>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تناولت دراسة (</w:t>
      </w:r>
      <w:proofErr w:type="spellStart"/>
      <w:r w:rsidRPr="006442A7">
        <w:rPr>
          <w:rFonts w:asciiTheme="majorBidi" w:hAnsiTheme="majorBidi" w:cstheme="majorBidi"/>
          <w:color w:val="1F1F1F"/>
          <w:rtl/>
        </w:rPr>
        <w:t>عبدالسيد</w:t>
      </w:r>
      <w:proofErr w:type="spellEnd"/>
      <w:r w:rsidRPr="006442A7">
        <w:rPr>
          <w:rFonts w:asciiTheme="majorBidi" w:hAnsiTheme="majorBidi" w:cstheme="majorBidi"/>
          <w:color w:val="1F1F1F"/>
          <w:rtl/>
        </w:rPr>
        <w:t>، 2026) بعنوان (أثر القيادة الرقمية في تعزيز ثقافة الابتكار المؤسسي بشركات الاتصالات) موضوع أثر القيادة الرقمية في تعزيز ثقافة الابتكار المؤسسي بشركات الاتصالات من خلال المشكلة في تحديات التحول الرقمي وأثرها على التميز والابتكار في قطاع الاتصالات وتمثلت الفرضية الرئيسية في القيادة الرقمية هي المحرك الأساسي للتميز المؤسسي الحديث وهدفت الدراسة إلى الكشف عن العلاقة بين القيادة الرقمية والتميز المبتكر واستخدمت الدراسة المنهج الوصفي التحليلي وتمثل مجتمع الدراسة في العاملين في شركات (</w:t>
      </w:r>
      <w:r w:rsidRPr="006442A7">
        <w:rPr>
          <w:rFonts w:asciiTheme="majorBidi" w:hAnsiTheme="majorBidi" w:cstheme="majorBidi"/>
          <w:color w:val="1F1F1F"/>
        </w:rPr>
        <w:t xml:space="preserve">STC, </w:t>
      </w:r>
      <w:proofErr w:type="spellStart"/>
      <w:r w:rsidRPr="006442A7">
        <w:rPr>
          <w:rFonts w:asciiTheme="majorBidi" w:hAnsiTheme="majorBidi" w:cstheme="majorBidi"/>
          <w:color w:val="1F1F1F"/>
        </w:rPr>
        <w:t>Mobily</w:t>
      </w:r>
      <w:proofErr w:type="spellEnd"/>
      <w:r w:rsidRPr="006442A7">
        <w:rPr>
          <w:rFonts w:asciiTheme="majorBidi" w:hAnsiTheme="majorBidi" w:cstheme="majorBidi"/>
          <w:color w:val="1F1F1F"/>
        </w:rPr>
        <w:t>, Zain</w:t>
      </w:r>
      <w:r w:rsidRPr="006442A7">
        <w:rPr>
          <w:rFonts w:asciiTheme="majorBidi" w:hAnsiTheme="majorBidi" w:cstheme="majorBidi"/>
          <w:color w:val="1F1F1F"/>
          <w:rtl/>
        </w:rPr>
        <w:t xml:space="preserve">) وكانت عينة الدراسة عبارة عن 500 مفردة. وتم استخدام الأساليب الإحصائية الآتية </w:t>
      </w:r>
      <w:proofErr w:type="spellStart"/>
      <w:r w:rsidRPr="006442A7">
        <w:rPr>
          <w:rFonts w:asciiTheme="majorBidi" w:hAnsiTheme="majorBidi" w:cstheme="majorBidi"/>
          <w:color w:val="1F1F1F"/>
          <w:rtl/>
        </w:rPr>
        <w:t>النمذجة</w:t>
      </w:r>
      <w:proofErr w:type="spellEnd"/>
      <w:r w:rsidRPr="006442A7">
        <w:rPr>
          <w:rFonts w:asciiTheme="majorBidi" w:hAnsiTheme="majorBidi" w:cstheme="majorBidi"/>
          <w:color w:val="1F1F1F"/>
          <w:rtl/>
        </w:rPr>
        <w:t xml:space="preserve"> بالمعادلات الهيكلية (</w:t>
      </w:r>
      <w:r w:rsidRPr="006442A7">
        <w:rPr>
          <w:rFonts w:asciiTheme="majorBidi" w:hAnsiTheme="majorBidi" w:cstheme="majorBidi"/>
          <w:color w:val="1F1F1F"/>
        </w:rPr>
        <w:t>SEM</w:t>
      </w:r>
      <w:r w:rsidRPr="006442A7">
        <w:rPr>
          <w:rFonts w:asciiTheme="majorBidi" w:hAnsiTheme="majorBidi" w:cstheme="majorBidi"/>
          <w:color w:val="1F1F1F"/>
          <w:rtl/>
        </w:rPr>
        <w:t xml:space="preserve">) وتوصلت الدراسة إلى نتائج من أهمها أن القيادة الرقمية تفسر ما نسبته 65% من التباين في التميز المؤسسي وأوصت الدراسة بتوصيات منها تبني </w:t>
      </w:r>
      <w:r w:rsidRPr="006442A7">
        <w:rPr>
          <w:rFonts w:asciiTheme="majorBidi" w:hAnsiTheme="majorBidi" w:cstheme="majorBidi"/>
          <w:color w:val="1F1F1F"/>
          <w:rtl/>
        </w:rPr>
        <w:lastRenderedPageBreak/>
        <w:t>استراتيجيات التحول الرقمي كجزء من رؤية التميز. وتشابهت الدراسة مع الدراسة الحالية في أن كل من الدراستين تناولت التميز المؤسسي في ظل المتغيرات التقنية، بينما اختلفت الدراسة مع الدراسة الحالية في التركيز الخاص على القيادة الرقمية كمتغير مستقل.</w:t>
      </w:r>
    </w:p>
    <w:p w14:paraId="7BD22DA6" w14:textId="77777777" w:rsidR="008F7EB2" w:rsidRPr="006442A7" w:rsidRDefault="008F7EB2" w:rsidP="006442A7">
      <w:pPr>
        <w:pStyle w:val="a5"/>
        <w:numPr>
          <w:ilvl w:val="0"/>
          <w:numId w:val="48"/>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تناولت دراسة (المالكي، 2024) بعنوان (دور التشاركية المعرفية في تحقيق التميز المؤسسي) موضوع دور التشاركية المعرفية في تحقيق التميز المؤسسي من خلال المشكلة في انعزال المعرفة داخل الأقسام مما يعيق تحقيق التميز الشامل وتمثلت الفرضية الرئيسية في التشارك المعرفي يعزز من جودة العمليات الموصلة للتميز وهدفت الدراسة إلى التعرف على دور مشاركة المعرفة في دعم معايير التميز واستخدمت الدراسة المنهج الوصفي التحليلي وتمثل مجتمع الدراسة في القيادات الإدارية في المؤسسات الحكومية وكانت عينة الدراسة عبارة عن 220 مفردة. وتم استخدام الأساليب الإحصائية الآتية المتوسطات، الانحرافات، واختبار ألفا </w:t>
      </w:r>
      <w:proofErr w:type="spellStart"/>
      <w:r w:rsidRPr="006442A7">
        <w:rPr>
          <w:rFonts w:asciiTheme="majorBidi" w:hAnsiTheme="majorBidi" w:cstheme="majorBidi"/>
          <w:color w:val="1F1F1F"/>
          <w:rtl/>
        </w:rPr>
        <w:t>كرونباخ</w:t>
      </w:r>
      <w:proofErr w:type="spellEnd"/>
      <w:r w:rsidRPr="006442A7">
        <w:rPr>
          <w:rFonts w:asciiTheme="majorBidi" w:hAnsiTheme="majorBidi" w:cstheme="majorBidi"/>
          <w:color w:val="1F1F1F"/>
          <w:rtl/>
        </w:rPr>
        <w:t xml:space="preserve"> وتوصلت الدراسة إلى نتائج من أهمها أن التشاركية المعرفية تزيد من سرعة الاستجابة لمتطلبات التميز وأوصت الدراسة بتوصيات منها بناء منصات رقمية لتسهيل تبادل الخبرات بين الموظفين. وتشابهت الدراسة مع الدراسة الحالية في أن كل من الدراستين تناولت الربط بين المعرفة والتميز المؤسسي، بينما اختلفت الدراسة مع الدراسة الحالية في التركيز على الجانب التشاركي بين القيادات.</w:t>
      </w:r>
    </w:p>
    <w:p w14:paraId="492E31DD" w14:textId="77777777" w:rsidR="008F7EB2" w:rsidRPr="006442A7" w:rsidRDefault="008F7EB2" w:rsidP="006442A7">
      <w:pPr>
        <w:pStyle w:val="2"/>
        <w:bidi/>
        <w:spacing w:before="0" w:beforeAutospacing="0" w:after="120" w:afterAutospacing="0" w:line="360" w:lineRule="auto"/>
        <w:rPr>
          <w:rFonts w:asciiTheme="majorBidi" w:eastAsia="Times New Roman" w:hAnsiTheme="majorBidi" w:cstheme="majorBidi"/>
          <w:color w:val="1F1F1F"/>
          <w:sz w:val="28"/>
          <w:szCs w:val="28"/>
          <w:rtl/>
        </w:rPr>
      </w:pPr>
      <w:r w:rsidRPr="006442A7">
        <w:rPr>
          <w:rFonts w:asciiTheme="majorBidi" w:eastAsia="Times New Roman" w:hAnsiTheme="majorBidi" w:cstheme="majorBidi"/>
          <w:color w:val="1F1F1F"/>
          <w:sz w:val="28"/>
          <w:szCs w:val="28"/>
          <w:rtl/>
        </w:rPr>
        <w:t>ثانياً: الدراسات العربية</w:t>
      </w:r>
    </w:p>
    <w:p w14:paraId="0C3BCF2B" w14:textId="77777777" w:rsidR="008F7EB2" w:rsidRPr="006442A7" w:rsidRDefault="008F7EB2" w:rsidP="006442A7">
      <w:pPr>
        <w:pStyle w:val="a5"/>
        <w:numPr>
          <w:ilvl w:val="0"/>
          <w:numId w:val="49"/>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تناولت دراسة (الإدريسي وحافظ، 2025) بعنوان (تطوير الأداء الإداري في مؤسسات التعليم القرآني وفق رؤية الكويت 2035) موضوع تطوير الأداء الإداري في مؤسسات التعليم القرآني وفق رؤية الكويت 2035 من خلال المشكلة في الحاجة لتطوير العمل الإداري ليتماشى مع معايير التميز الوطنية وتمثلت الفرضية الرئيسية في الإجراءات المقترحة تساهم في رفع كفاءة التميز المؤسسي وهدفت الدراسة إلى وضع تصور لتطوير الأداء بما يحقق التميز المؤسسي واستخدمت الدراسة المنهج الوصفي التحليلي وتمثل مجتمع الدراسة في العاملين في قطاع التعليم الديني بالكويت وكانت عينة الدراسة عبارة عن 180 مفردة. وتم استخدام الأساليب الإحصائية الآتية تكرارات، نسب مئوية، وزن نسبي وتوصلت الدراسة إلى نتائج من أهمها تحديد مجموعة من المعوقات الإدارية التي تحد من التميز وأوصت الدراسة بتوصيات منها اعتماد دليل إجرائي موحد للتميز في المؤسسات التعليمية. وتشابهت الدراسة مع الدراسة الحالية في أن كل من الدراستين تناولت الارتباط برؤى وطنية مستقبلية (2035 مقابل 2030)، بينما اختلفت الدراسة مع الدراسة الحالية في السياق الكويتي والتركيز على مؤسسات نوعية (قرآنية).</w:t>
      </w:r>
    </w:p>
    <w:p w14:paraId="6D875CF7" w14:textId="77777777" w:rsidR="008F7EB2" w:rsidRPr="006442A7" w:rsidRDefault="008F7EB2" w:rsidP="006442A7">
      <w:pPr>
        <w:pStyle w:val="a5"/>
        <w:numPr>
          <w:ilvl w:val="0"/>
          <w:numId w:val="49"/>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تناولت دراسة (أبو سعدة، 2021) بعنوان (إدارة التميز المؤسسي كمدخل لتطوير الأداء الإداري في المدارس) موضوع إدارة التميز المؤسسي كمدخل لتطوير الأداء الإداري في المدارس من خلال المشكلة في تدني مستوى الأداء الإداري والحاجة لنموذج تميز عالمي وتمثلت الفرضية الرئيسية في استخدام نموذج مالكوم </w:t>
      </w:r>
      <w:proofErr w:type="spellStart"/>
      <w:r w:rsidRPr="006442A7">
        <w:rPr>
          <w:rFonts w:asciiTheme="majorBidi" w:hAnsiTheme="majorBidi" w:cstheme="majorBidi"/>
          <w:color w:val="1F1F1F"/>
          <w:rtl/>
        </w:rPr>
        <w:t>بالدريدج</w:t>
      </w:r>
      <w:proofErr w:type="spellEnd"/>
      <w:r w:rsidRPr="006442A7">
        <w:rPr>
          <w:rFonts w:asciiTheme="majorBidi" w:hAnsiTheme="majorBidi" w:cstheme="majorBidi"/>
          <w:color w:val="1F1F1F"/>
          <w:rtl/>
        </w:rPr>
        <w:t xml:space="preserve"> يحقق التميز المؤسسي وهدفت الدراسة إلى التعرف على علاقة إدارة المعرفة بتميز الأداء واستخدمت الدراسة المنهج الوصفي وتمثل مجتمع الدراسة في مديري ومعلمي مدارس التعليم الأساسي وكانت عينة الدراسة عبارة عن 300 مفردة. وتم استخدام الأساليب الإحصائية الآتية معامل الارتباط، اختبار (ت) وتوصلت الدراسة إلى نتائج من أهمها وجود علاقة ارتباطية قوية بين عمليات المعرفة والتميز وأوصت الدراسة بتوصيات منها تطبيق نموذج </w:t>
      </w:r>
      <w:proofErr w:type="spellStart"/>
      <w:r w:rsidRPr="006442A7">
        <w:rPr>
          <w:rFonts w:asciiTheme="majorBidi" w:hAnsiTheme="majorBidi" w:cstheme="majorBidi"/>
          <w:color w:val="1F1F1F"/>
          <w:rtl/>
        </w:rPr>
        <w:t>بالدريدج</w:t>
      </w:r>
      <w:proofErr w:type="spellEnd"/>
      <w:r w:rsidRPr="006442A7">
        <w:rPr>
          <w:rFonts w:asciiTheme="majorBidi" w:hAnsiTheme="majorBidi" w:cstheme="majorBidi"/>
          <w:color w:val="1F1F1F"/>
          <w:rtl/>
        </w:rPr>
        <w:t xml:space="preserve"> للتميز في كافة المؤسسات التعليمية. وتشابهت الدراسة مع </w:t>
      </w:r>
      <w:r w:rsidRPr="006442A7">
        <w:rPr>
          <w:rFonts w:asciiTheme="majorBidi" w:hAnsiTheme="majorBidi" w:cstheme="majorBidi"/>
          <w:color w:val="1F1F1F"/>
          <w:rtl/>
        </w:rPr>
        <w:lastRenderedPageBreak/>
        <w:t>الدراسة الحالية في أن كل من الدراستين تناولت استخدام نموذج عالمي للتميز (</w:t>
      </w:r>
      <w:proofErr w:type="spellStart"/>
      <w:r w:rsidRPr="006442A7">
        <w:rPr>
          <w:rFonts w:asciiTheme="majorBidi" w:hAnsiTheme="majorBidi" w:cstheme="majorBidi"/>
          <w:color w:val="1F1F1F"/>
          <w:rtl/>
        </w:rPr>
        <w:t>بالدريدج</w:t>
      </w:r>
      <w:proofErr w:type="spellEnd"/>
      <w:r w:rsidRPr="006442A7">
        <w:rPr>
          <w:rFonts w:asciiTheme="majorBidi" w:hAnsiTheme="majorBidi" w:cstheme="majorBidi"/>
          <w:color w:val="1F1F1F"/>
          <w:rtl/>
        </w:rPr>
        <w:t>)، بينما اختلفت الدراسة مع الدراسة الحالية في التطبيق في بيئة التعليم الأساسي المصرية.</w:t>
      </w:r>
    </w:p>
    <w:p w14:paraId="7D066058" w14:textId="77777777" w:rsidR="008F7EB2" w:rsidRPr="006442A7" w:rsidRDefault="008F7EB2" w:rsidP="006442A7">
      <w:pPr>
        <w:pStyle w:val="a5"/>
        <w:numPr>
          <w:ilvl w:val="0"/>
          <w:numId w:val="49"/>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تناولت دراسة (</w:t>
      </w:r>
      <w:proofErr w:type="spellStart"/>
      <w:r w:rsidRPr="006442A7">
        <w:rPr>
          <w:rFonts w:asciiTheme="majorBidi" w:hAnsiTheme="majorBidi" w:cstheme="majorBidi"/>
          <w:color w:val="1F1F1F"/>
          <w:rtl/>
        </w:rPr>
        <w:t>الدرمكي</w:t>
      </w:r>
      <w:proofErr w:type="spellEnd"/>
      <w:r w:rsidRPr="006442A7">
        <w:rPr>
          <w:rFonts w:asciiTheme="majorBidi" w:hAnsiTheme="majorBidi" w:cstheme="majorBidi"/>
          <w:color w:val="1F1F1F"/>
          <w:rtl/>
        </w:rPr>
        <w:t>، 2021) بعنوان (التميز التنظيمي ودوره في تحقيق الميزة التنافسية في جامعة أبوظبي) موضوع التميز التنظيمي ودوره في تحقيق الميزة التنافسية في جامعة أبوظبي من خلال المشكلة في اشتداد المنافسة بين الجامعات والحاجة للتميز المؤسسي للبقاء وتمثلت الفرضية الرئيسية في التميز التنظيمي يؤدي بشكل مباشر للميزة التنافسية وهدفت الدراسة إلى قياس دور التميز في تعزيز مكانة الجامعة تنافسياً واستخدمت الدراسة المنهج الوصفي التحليلي وتمثل مجتمع الدراسة في أعضاء الهيئة التدريسية والإدارية بجامعة أبوظبي وكانت عينة الدراسة عبارة عن 245 مفردة. وتم استخدام الأساليب الإحصائية الآتية تحليل المسار، معامل التحديد وتوصلت الدراسة إلى نتائج من أهمها أن أبعاد التميز (القيادة، الاستراتيجية) هي الأكثر تأثيراً وأوصت الدراسة بتوصيات منها الاستمرار في تحديث استراتيجيات التميز لمواكبة التغيرات. وتشابهت الدراسة مع الدراسة الحالية في أن كل من الدراستين تناولت دراسة التميز في قطاع التعليم العالي العربي، بينما اختلفت الدراسة مع الدراسة الحالية في التركيز على الميزة التنافسية كمتغير تابع.</w:t>
      </w:r>
    </w:p>
    <w:p w14:paraId="78AB1078" w14:textId="77777777" w:rsidR="008F7EB2" w:rsidRPr="006442A7" w:rsidRDefault="008F7EB2" w:rsidP="006442A7">
      <w:pPr>
        <w:pStyle w:val="a5"/>
        <w:numPr>
          <w:ilvl w:val="0"/>
          <w:numId w:val="49"/>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تناولت دراسة (أبو </w:t>
      </w:r>
      <w:proofErr w:type="spellStart"/>
      <w:r w:rsidRPr="006442A7">
        <w:rPr>
          <w:rFonts w:asciiTheme="majorBidi" w:hAnsiTheme="majorBidi" w:cstheme="majorBidi"/>
          <w:color w:val="1F1F1F"/>
          <w:rtl/>
        </w:rPr>
        <w:t>عمونة</w:t>
      </w:r>
      <w:proofErr w:type="spellEnd"/>
      <w:r w:rsidRPr="006442A7">
        <w:rPr>
          <w:rFonts w:asciiTheme="majorBidi" w:hAnsiTheme="majorBidi" w:cstheme="majorBidi"/>
          <w:color w:val="1F1F1F"/>
          <w:rtl/>
        </w:rPr>
        <w:t xml:space="preserve"> وآخرون، 2017) بعنوان (التميز المؤسسي في الجامعات الفلسطينية بقطاع غزة) موضوع التميز المؤسسي في الجامعات الفلسطينية بقطاع غزة من خلال المشكلة في تحديات البيئة الخارجية وأثرها على استدامة التميز المؤسسي وتمثلت الفرضية الرئيسية في توجد فروق في إدراك التميز تعزى للمتغيرات الديموغرافية وهدفت الدراسة إلى تقييم واقع التميز في الجامعات الفلسطينية واستخدمت الدراسة المنهج الوصفي التحليلي وتمثل مجتمع الدراسة في الأكاديميين في جامعات غزة وكانت عينة الدراسة عبارة عن 190 مفردة. وتم استخدام الأساليب الإحصائية الآتية </w:t>
      </w:r>
      <w:proofErr w:type="spellStart"/>
      <w:r w:rsidRPr="006442A7">
        <w:rPr>
          <w:rFonts w:asciiTheme="majorBidi" w:hAnsiTheme="majorBidi" w:cstheme="majorBidi"/>
          <w:color w:val="1F1F1F"/>
          <w:rtl/>
        </w:rPr>
        <w:t>كرونباخ</w:t>
      </w:r>
      <w:proofErr w:type="spellEnd"/>
      <w:r w:rsidRPr="006442A7">
        <w:rPr>
          <w:rFonts w:asciiTheme="majorBidi" w:hAnsiTheme="majorBidi" w:cstheme="majorBidi"/>
          <w:color w:val="1F1F1F"/>
          <w:rtl/>
        </w:rPr>
        <w:t xml:space="preserve"> ألفا، المتوسط المرجح وتوصلت الدراسة إلى نتائج من أهمها وجود مستوى جيد من التميز رغم التحديات السياسية والاقتصادية وأوصت الدراسة بتوصيات منها تعزيز الشراكات الدولية لدعم معايير التميز العالمي. وتشابهت الدراسة مع الدراسة الحالية في أن كل من الدراستين تناولت استخدام الاستبانة كأداة لجمع البيانات حول التميز، بينما اختلفت الدراسة مع الدراسة الحالية في خصوصية البيئة الفلسطينية وتحدياتها الفريدة.</w:t>
      </w:r>
    </w:p>
    <w:p w14:paraId="55A3B936" w14:textId="77777777" w:rsidR="008F7EB2" w:rsidRPr="006442A7" w:rsidRDefault="008F7EB2" w:rsidP="006442A7">
      <w:pPr>
        <w:pStyle w:val="a5"/>
        <w:numPr>
          <w:ilvl w:val="0"/>
          <w:numId w:val="49"/>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تناولت دراسة (</w:t>
      </w:r>
      <w:proofErr w:type="spellStart"/>
      <w:r w:rsidRPr="006442A7">
        <w:rPr>
          <w:rFonts w:asciiTheme="majorBidi" w:hAnsiTheme="majorBidi" w:cstheme="majorBidi"/>
          <w:color w:val="1F1F1F"/>
          <w:rtl/>
        </w:rPr>
        <w:t>الحلايسة</w:t>
      </w:r>
      <w:proofErr w:type="spellEnd"/>
      <w:r w:rsidRPr="006442A7">
        <w:rPr>
          <w:rFonts w:asciiTheme="majorBidi" w:hAnsiTheme="majorBidi" w:cstheme="majorBidi"/>
          <w:color w:val="1F1F1F"/>
          <w:rtl/>
        </w:rPr>
        <w:t xml:space="preserve"> والروادية، 2020) بعنوان (أثر القيادة الفاضلة في التميز المؤسسي بجامعة مؤتة) موضوع أثر القيادة الفاضلة في التميز المؤسسي بجامعة مؤتة من خلال المشكلة في الحاجة لأنماط قيادية أخلاقية لتحقيق التميز المستدام وتمثلت الفرضية الرئيسية في تؤثر القيادة الفاضلة إيجابياً على أبعاد التميز المؤسسي وهدفت الدراسة إلى استقصاء أثر القيادة الأخلاقية في تحقيق التميز واستخدمت الدراسة المنهج الوصفي التحليلي وتمثل مجتمع الدراسة في أعضاء هيئة التدريس بجامعة مؤتة وكانت عينة الدراسة عبارة عن 215 مفردة. وتم استخدام الأساليب الإحصائية الآتية الانحدار المتعدد، اختبار </w:t>
      </w:r>
      <w:r w:rsidRPr="006442A7">
        <w:rPr>
          <w:rFonts w:asciiTheme="majorBidi" w:hAnsiTheme="majorBidi" w:cstheme="majorBidi"/>
          <w:color w:val="1F1F1F"/>
        </w:rPr>
        <w:t>F</w:t>
      </w:r>
      <w:r w:rsidRPr="006442A7">
        <w:rPr>
          <w:rFonts w:asciiTheme="majorBidi" w:hAnsiTheme="majorBidi" w:cstheme="majorBidi"/>
          <w:color w:val="1F1F1F"/>
          <w:rtl/>
        </w:rPr>
        <w:t xml:space="preserve"> وتوصلت الدراسة إلى نتائج من أهمها أن التواضع والعدالة القيادية تساهم بوضوح في التميز وأوصت الدراسة بتوصيات منها ترسيخ القيم الأخلاقية في برامج إعداد القادة. وتشابهت الدراسة مع الدراسة الحالية في أن كل من الدراستين تناولت ربط النمط القيادي بالتميز المؤسسي، بينما اختلفت الدراسة مع الدراسة الحالية في تناول متغير "القيادة الفاضلة" وهو متغير قيمي.</w:t>
      </w:r>
    </w:p>
    <w:p w14:paraId="050542EF" w14:textId="77777777" w:rsidR="008F7EB2" w:rsidRPr="006442A7" w:rsidRDefault="008F7EB2" w:rsidP="006442A7">
      <w:pPr>
        <w:pStyle w:val="a5"/>
        <w:numPr>
          <w:ilvl w:val="0"/>
          <w:numId w:val="49"/>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تناولت دراسة (صالح، 2023) بعنوان (أثر الذكاء الاستراتيجي على الأداء المؤسسي في الجامعات الخاصة) موضوع أثر الذكاء الاستراتيجي على الأداء المؤسسي في الجامعات الخاصة من خلال المشكلة في ضعف </w:t>
      </w:r>
      <w:r w:rsidRPr="006442A7">
        <w:rPr>
          <w:rFonts w:asciiTheme="majorBidi" w:hAnsiTheme="majorBidi" w:cstheme="majorBidi"/>
          <w:color w:val="1F1F1F"/>
          <w:rtl/>
        </w:rPr>
        <w:lastRenderedPageBreak/>
        <w:t>الرؤية الاستراتيجية وأثره على تميز الأداء وتمثلت الفرضية الرئيسية في الذكاء الاستراتيجي يعزز من كفاءة الأداء والتميز وهدفت الدراسة إلى قياس أثر أبعاد الذكاء الاستراتيجي في التميز واستخدمت الدراسة المنهج الوصفي التحليلي وتمثل مجتمع الدراسة في القيادات العليا في الجامعات الخاصة بصنعاء وكانت عينة الدراسة عبارة عن 120 مفردة. وتم استخدام الأساليب الإحصائية الآتية معامل الارتباط، الانحدار البسيط وتوصلت الدراسة إلى نتائج من أهمها وجود علاقة قوية بين الاستشراف الاستراتيجي والتميز وأوصت الدراسة بتوصيات منها تدريب الكوادر على مهارات التفكير والذكاء الاستراتيجي. وتشابهت الدراسة مع الدراسة الحالية في أن كل من الدراستين تناولت التركيز على الأداء المؤسسي كجزء من التميز، بينما اختلفت الدراسة مع الدراسة الحالية في التركيز على الجامعات الخاصة والذكاء الاستراتيجي.</w:t>
      </w:r>
    </w:p>
    <w:p w14:paraId="2139EACE" w14:textId="5486A8E6" w:rsidR="006442A7" w:rsidRPr="006442A7" w:rsidRDefault="008F7EB2" w:rsidP="006442A7">
      <w:pPr>
        <w:pStyle w:val="a5"/>
        <w:numPr>
          <w:ilvl w:val="0"/>
          <w:numId w:val="49"/>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تناولت دراسة (بن ناصر، 2022) بعنوان (واقع تطبيق إدارة الجودة الشاملة لتحقيق التميز في المؤسسات الاستشفائية) موضوع واقع تطبيق إدارة الجودة الشاملة لتحقيق التميز في المؤسسات الاستشفائية من خلال المشكلة في تدني جودة الخدمات الصحية والحاجة لمدخل التميز وتمثلت الفرضية الرئيسية في تطبيق الجودة الشاملة هو السبيل الوحيد للتميز الصحي وهدفت الدراسة إلى تقييم واقع الجودة والتميز في المستشفيات الجزائرية واستخدمت الدراسة المنهج دراسة حالة وتمثل مجتمع الدراسة في العاملين في المؤسسات الاستشفائية بالجزائر العاصمة وكانت عينة الدراسة عبارة عن 85 مفردة. وتم استخدام الأساليب الإحصائية الآتية التحليل الوصفي، </w:t>
      </w:r>
      <w:proofErr w:type="spellStart"/>
      <w:r w:rsidRPr="006442A7">
        <w:rPr>
          <w:rFonts w:asciiTheme="majorBidi" w:hAnsiTheme="majorBidi" w:cstheme="majorBidi"/>
          <w:color w:val="1F1F1F"/>
          <w:rtl/>
        </w:rPr>
        <w:t>كاي</w:t>
      </w:r>
      <w:proofErr w:type="spellEnd"/>
      <w:r w:rsidRPr="006442A7">
        <w:rPr>
          <w:rFonts w:asciiTheme="majorBidi" w:hAnsiTheme="majorBidi" w:cstheme="majorBidi"/>
          <w:color w:val="1F1F1F"/>
          <w:rtl/>
        </w:rPr>
        <w:t xml:space="preserve"> تربيع وتوصلت الدراسة إلى نتائج من أهمها وجود فجوة بين معايير الجودة المطبقة ومتطلبات التميز وأوصت الدراسة بتوصيات منها إعادة هيكلة نظم الجودة لتتوافق مع نماذج التميز العالمية. وتشابهت الدراسة مع الدراسة الحالية في أن كل من الدراستين تناولت تناول الجودة الشاملة كمدخل للتميز، بينما اختلفت الدراسة مع الدراسة الحالية في التطبيق في القطاع الصحي (المستشفيات).</w:t>
      </w:r>
    </w:p>
    <w:p w14:paraId="60DC06D6" w14:textId="77777777" w:rsidR="006442A7" w:rsidRPr="006442A7" w:rsidRDefault="006442A7" w:rsidP="006442A7">
      <w:pPr>
        <w:pStyle w:val="a5"/>
        <w:bidi/>
        <w:spacing w:before="0" w:beforeAutospacing="0" w:after="120" w:afterAutospacing="0" w:line="360" w:lineRule="auto"/>
        <w:rPr>
          <w:rFonts w:asciiTheme="majorBidi" w:hAnsiTheme="majorBidi" w:cstheme="majorBidi"/>
          <w:color w:val="1F1F1F"/>
          <w:rtl/>
        </w:rPr>
      </w:pPr>
    </w:p>
    <w:p w14:paraId="3F144E31" w14:textId="77777777" w:rsidR="008F7EB2" w:rsidRPr="006442A7" w:rsidRDefault="008F7EB2" w:rsidP="006442A7">
      <w:pPr>
        <w:pStyle w:val="2"/>
        <w:bidi/>
        <w:spacing w:before="0" w:beforeAutospacing="0" w:after="120" w:afterAutospacing="0" w:line="360" w:lineRule="auto"/>
        <w:rPr>
          <w:rFonts w:asciiTheme="majorBidi" w:eastAsia="Times New Roman" w:hAnsiTheme="majorBidi" w:cstheme="majorBidi"/>
          <w:color w:val="1F1F1F"/>
          <w:sz w:val="28"/>
          <w:szCs w:val="28"/>
          <w:rtl/>
        </w:rPr>
      </w:pPr>
      <w:r w:rsidRPr="006442A7">
        <w:rPr>
          <w:rFonts w:asciiTheme="majorBidi" w:eastAsia="Times New Roman" w:hAnsiTheme="majorBidi" w:cstheme="majorBidi"/>
          <w:color w:val="1F1F1F"/>
          <w:sz w:val="28"/>
          <w:szCs w:val="28"/>
          <w:rtl/>
        </w:rPr>
        <w:t>ثالثاً: الدراسات العالمية</w:t>
      </w:r>
    </w:p>
    <w:p w14:paraId="090870F1" w14:textId="77777777" w:rsidR="008F7EB2" w:rsidRPr="006442A7" w:rsidRDefault="008F7EB2" w:rsidP="006442A7">
      <w:pPr>
        <w:pStyle w:val="a5"/>
        <w:numPr>
          <w:ilvl w:val="0"/>
          <w:numId w:val="50"/>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تناولت دراسة (</w:t>
      </w:r>
      <w:r w:rsidRPr="006442A7">
        <w:rPr>
          <w:rFonts w:asciiTheme="majorBidi" w:hAnsiTheme="majorBidi" w:cstheme="majorBidi"/>
          <w:color w:val="1F1F1F"/>
        </w:rPr>
        <w:t>Ruben et al., 2007</w:t>
      </w:r>
      <w:r w:rsidRPr="006442A7">
        <w:rPr>
          <w:rFonts w:asciiTheme="majorBidi" w:hAnsiTheme="majorBidi" w:cstheme="majorBidi"/>
          <w:color w:val="1F1F1F"/>
          <w:rtl/>
        </w:rPr>
        <w:t>) بعنوان (</w:t>
      </w:r>
      <w:r w:rsidRPr="006442A7">
        <w:rPr>
          <w:rFonts w:asciiTheme="majorBidi" w:hAnsiTheme="majorBidi" w:cstheme="majorBidi"/>
          <w:color w:val="1F1F1F"/>
        </w:rPr>
        <w:t>Evaluating the impact of organizational self-assessment in higher education: The Malcolm Baldrige/Excellence in Higher Education framework</w:t>
      </w:r>
      <w:r w:rsidRPr="006442A7">
        <w:rPr>
          <w:rFonts w:asciiTheme="majorBidi" w:hAnsiTheme="majorBidi" w:cstheme="majorBidi"/>
          <w:color w:val="1F1F1F"/>
          <w:rtl/>
        </w:rPr>
        <w:t xml:space="preserve">) موضوع تقييم أثر التقييم الذاتي التنظيمي في التعليم العالي: إطار مالكوم </w:t>
      </w:r>
      <w:proofErr w:type="spellStart"/>
      <w:r w:rsidRPr="006442A7">
        <w:rPr>
          <w:rFonts w:asciiTheme="majorBidi" w:hAnsiTheme="majorBidi" w:cstheme="majorBidi"/>
          <w:color w:val="1F1F1F"/>
          <w:rtl/>
        </w:rPr>
        <w:t>بالدريدج</w:t>
      </w:r>
      <w:proofErr w:type="spellEnd"/>
      <w:r w:rsidRPr="006442A7">
        <w:rPr>
          <w:rFonts w:asciiTheme="majorBidi" w:hAnsiTheme="majorBidi" w:cstheme="majorBidi"/>
          <w:color w:val="1F1F1F"/>
          <w:rtl/>
        </w:rPr>
        <w:t xml:space="preserve"> للتميز من خلال المشكلة في الحاجة لأدوات تقييم ذاتي موحدة لقياس التميز في الجامعات الأمريكية وتمثلت الفرضية الرئيسية في التقييم الذاتي الدوري يؤدي لتحسين مستمر في الأداء المؤسسي وهدفت الدراسة إلى فحص فعالية نموذج </w:t>
      </w:r>
      <w:r w:rsidRPr="006442A7">
        <w:rPr>
          <w:rFonts w:asciiTheme="majorBidi" w:hAnsiTheme="majorBidi" w:cstheme="majorBidi"/>
          <w:color w:val="1F1F1F"/>
        </w:rPr>
        <w:t>EHE</w:t>
      </w:r>
      <w:r w:rsidRPr="006442A7">
        <w:rPr>
          <w:rFonts w:asciiTheme="majorBidi" w:hAnsiTheme="majorBidi" w:cstheme="majorBidi"/>
          <w:color w:val="1F1F1F"/>
          <w:rtl/>
        </w:rPr>
        <w:t xml:space="preserve"> في تحقيق التميز التنظيمي واستخدمت الدراسة المنهج الوصفي التحليلي (</w:t>
      </w:r>
      <w:r w:rsidRPr="006442A7">
        <w:rPr>
          <w:rFonts w:asciiTheme="majorBidi" w:hAnsiTheme="majorBidi" w:cstheme="majorBidi"/>
          <w:color w:val="1F1F1F"/>
        </w:rPr>
        <w:t>Longitudinal Study</w:t>
      </w:r>
      <w:r w:rsidRPr="006442A7">
        <w:rPr>
          <w:rFonts w:asciiTheme="majorBidi" w:hAnsiTheme="majorBidi" w:cstheme="majorBidi"/>
          <w:color w:val="1F1F1F"/>
          <w:rtl/>
        </w:rPr>
        <w:t xml:space="preserve">) وتمثل مجتمع الدراسة في مؤسسات التعليم العالي في الولايات المتحدة وكانت عينة الدراسة عبارة عن 45 مؤسسة تعليمية مفردة. وتم استخدام الأساليب الإحصائية الآتية تحليل المحتوى، المقارنات البعدية وتوصلت الدراسة إلى نتائج من أهمها أن المؤسسات التي استخدمت الإطار أظهرت تحسناً ملحوظاً في رضا الطلاب والعمليات وأوصت الدراسة بتوصيات منها اعتماد التقييم الذاتي كجزء لا يتجزأ من الثقافة المؤسسية. وتشابهت الدراسة مع الدراسة الحالية في أن كل من الدراستين تناولت استخدام نموذج </w:t>
      </w:r>
      <w:proofErr w:type="spellStart"/>
      <w:r w:rsidRPr="006442A7">
        <w:rPr>
          <w:rFonts w:asciiTheme="majorBidi" w:hAnsiTheme="majorBidi" w:cstheme="majorBidi"/>
          <w:color w:val="1F1F1F"/>
          <w:rtl/>
        </w:rPr>
        <w:t>بالدريدج</w:t>
      </w:r>
      <w:proofErr w:type="spellEnd"/>
      <w:r w:rsidRPr="006442A7">
        <w:rPr>
          <w:rFonts w:asciiTheme="majorBidi" w:hAnsiTheme="majorBidi" w:cstheme="majorBidi"/>
          <w:color w:val="1F1F1F"/>
          <w:rtl/>
        </w:rPr>
        <w:t xml:space="preserve"> العالمي للتميز، بينما اختلفت الدراسة مع الدراسة الحالية في أنها دراسة طولية تمت على مدار عدة سنوات.</w:t>
      </w:r>
    </w:p>
    <w:p w14:paraId="23E17770" w14:textId="77777777" w:rsidR="008F7EB2" w:rsidRPr="006442A7" w:rsidRDefault="008F7EB2" w:rsidP="006442A7">
      <w:pPr>
        <w:pStyle w:val="a5"/>
        <w:numPr>
          <w:ilvl w:val="0"/>
          <w:numId w:val="50"/>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lastRenderedPageBreak/>
        <w:t>تناولت دراسة (</w:t>
      </w:r>
      <w:proofErr w:type="spellStart"/>
      <w:r w:rsidRPr="006442A7">
        <w:rPr>
          <w:rFonts w:asciiTheme="majorBidi" w:hAnsiTheme="majorBidi" w:cstheme="majorBidi"/>
          <w:color w:val="1F1F1F"/>
        </w:rPr>
        <w:t>Rohayati</w:t>
      </w:r>
      <w:proofErr w:type="spellEnd"/>
      <w:r w:rsidRPr="006442A7">
        <w:rPr>
          <w:rFonts w:asciiTheme="majorBidi" w:hAnsiTheme="majorBidi" w:cstheme="majorBidi"/>
          <w:color w:val="1F1F1F"/>
        </w:rPr>
        <w:t>, 2025</w:t>
      </w:r>
      <w:r w:rsidRPr="006442A7">
        <w:rPr>
          <w:rFonts w:asciiTheme="majorBidi" w:hAnsiTheme="majorBidi" w:cstheme="majorBidi"/>
          <w:color w:val="1F1F1F"/>
          <w:rtl/>
        </w:rPr>
        <w:t>) بعنوان (</w:t>
      </w:r>
      <w:r w:rsidRPr="006442A7">
        <w:rPr>
          <w:rFonts w:asciiTheme="majorBidi" w:hAnsiTheme="majorBidi" w:cstheme="majorBidi"/>
          <w:color w:val="1F1F1F"/>
        </w:rPr>
        <w:t>Performance Leadership in the Digital Era: Transforming Strategies for Sustainable Organization Excellence</w:t>
      </w:r>
      <w:r w:rsidRPr="006442A7">
        <w:rPr>
          <w:rFonts w:asciiTheme="majorBidi" w:hAnsiTheme="majorBidi" w:cstheme="majorBidi"/>
          <w:color w:val="1F1F1F"/>
          <w:rtl/>
        </w:rPr>
        <w:t>) موضوع قيادة الأداء في العصر الرقمي: استراتيجيات التحول للتميز المؤسسي المستدام من خلال المشكلة في تسارع التحول الرقمي وصعوبة الحفاظ على التميز في ظل التكنولوجيا وتمثلت الفرضية الرئيسية في القيادة الرقمية المرنة تعزز من استدامة التميز المؤسسي وهدفت الدراسة إلى بناء استراتيجيات قيادية للتميز في العصر الرقمي واستخدمت الدراسة المنهج الوصفي التحليلي وتمثل مجتمع الدراسة في شركات التكنولوجيا والتعليم العالي الدولية وكانت عينة الدراسة عبارة عن 260 مدير تنفيذي مفردة. وتم استخدام الأساليب الإحصائية الآتية التحليل العاملي الاستكشافي (</w:t>
      </w:r>
      <w:r w:rsidRPr="006442A7">
        <w:rPr>
          <w:rFonts w:asciiTheme="majorBidi" w:hAnsiTheme="majorBidi" w:cstheme="majorBidi"/>
          <w:color w:val="1F1F1F"/>
        </w:rPr>
        <w:t>EFA</w:t>
      </w:r>
      <w:r w:rsidRPr="006442A7">
        <w:rPr>
          <w:rFonts w:asciiTheme="majorBidi" w:hAnsiTheme="majorBidi" w:cstheme="majorBidi"/>
          <w:color w:val="1F1F1F"/>
          <w:rtl/>
        </w:rPr>
        <w:t>) وتوصلت الدراسة إلى نتائج من أهمها أن الرؤية الرقمية الواحدة تزيد من كفاءة التميز بنسبة 55% وأوصت الدراسة بتوصيات منها دمج التكنولوجيا في صلب استراتيجيات التميز وليس كأداة مساعدة. وتشابهت الدراسة مع الدراسة الحالية في أن كل من الدراستين تناولت التركيز على العصر الرقمي والتميز، بينما اختلفت الدراسة مع الدراسة الحالية في أنها دراسة عالمية شملت قطاعات متعددة (تكنولوجيا وتعليم).</w:t>
      </w:r>
    </w:p>
    <w:p w14:paraId="1BAFCBC5" w14:textId="77777777" w:rsidR="008F7EB2" w:rsidRPr="006442A7" w:rsidRDefault="008F7EB2" w:rsidP="006442A7">
      <w:pPr>
        <w:pStyle w:val="a5"/>
        <w:numPr>
          <w:ilvl w:val="0"/>
          <w:numId w:val="50"/>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تناولت دراسة (</w:t>
      </w:r>
      <w:proofErr w:type="spellStart"/>
      <w:r w:rsidRPr="006442A7">
        <w:rPr>
          <w:rFonts w:asciiTheme="majorBidi" w:hAnsiTheme="majorBidi" w:cstheme="majorBidi"/>
          <w:color w:val="1F1F1F"/>
        </w:rPr>
        <w:t>Slette</w:t>
      </w:r>
      <w:proofErr w:type="spellEnd"/>
      <w:r w:rsidRPr="006442A7">
        <w:rPr>
          <w:rFonts w:asciiTheme="majorBidi" w:hAnsiTheme="majorBidi" w:cstheme="majorBidi"/>
          <w:color w:val="1F1F1F"/>
        </w:rPr>
        <w:t>, 2025</w:t>
      </w:r>
      <w:r w:rsidRPr="006442A7">
        <w:rPr>
          <w:rFonts w:asciiTheme="majorBidi" w:hAnsiTheme="majorBidi" w:cstheme="majorBidi"/>
          <w:color w:val="1F1F1F"/>
          <w:rtl/>
        </w:rPr>
        <w:t>) بعنوان (</w:t>
      </w:r>
      <w:r w:rsidRPr="006442A7">
        <w:rPr>
          <w:rFonts w:asciiTheme="majorBidi" w:hAnsiTheme="majorBidi" w:cstheme="majorBidi"/>
          <w:color w:val="1F1F1F"/>
        </w:rPr>
        <w:t>Notions of Quality and Excellence Within a Centre for Excellence in Education</w:t>
      </w:r>
      <w:r w:rsidRPr="006442A7">
        <w:rPr>
          <w:rFonts w:asciiTheme="majorBidi" w:hAnsiTheme="majorBidi" w:cstheme="majorBidi"/>
          <w:color w:val="1F1F1F"/>
          <w:rtl/>
        </w:rPr>
        <w:t>) موضوع مفاهيم الجودة والتميز داخل مركز للتميز في التعليم من خلال المشكلة في تعدد مفاهيم التميز واختلاف معاييرها بين المؤسسات النرويجية وتمثلت الفرضية الرئيسية في توحيد مفهوم التميز يساهم في دقة قياس النتائج وهدفت الدراسة إلى استكشاف معاني التميز في سياق المراكز التعليمية المتخصصة واستخدمت الدراسة المنهج تحليل الوثائق (</w:t>
      </w:r>
      <w:r w:rsidRPr="006442A7">
        <w:rPr>
          <w:rFonts w:asciiTheme="majorBidi" w:hAnsiTheme="majorBidi" w:cstheme="majorBidi"/>
          <w:color w:val="1F1F1F"/>
        </w:rPr>
        <w:t>Document Study</w:t>
      </w:r>
      <w:r w:rsidRPr="006442A7">
        <w:rPr>
          <w:rFonts w:asciiTheme="majorBidi" w:hAnsiTheme="majorBidi" w:cstheme="majorBidi"/>
          <w:color w:val="1F1F1F"/>
          <w:rtl/>
        </w:rPr>
        <w:t>) وتمثل مجتمع الدراسة في تقارير وطلبات مراكز التميز في النرويج وكانت عينة الدراسة عبارة عن 112 وثيقة رسمية مفردة. وتم استخدام الأساليب الإحصائية الآتية التحليل الكيفي للمحتوى وتوصلت الدراسة إلى نتائج من أهمها وجود تباين في تعريف التميز بين الجودة الأكاديمية والابتكار الإداري وأوصت الدراسة بتوصيات منها وضع إطار مفاهيمي موحد للتميز على المستوى الوطني. وتشابهت الدراسة مع الدراسة الحالية في أن كل من الدراستين تناولت السعي نحو تحديد معايير واضحة للتميز، بينما اختلفت الدراسة مع الدراسة الحالية في الاعتماد على تحليل الوثائق بدلاً من الاستبيان.</w:t>
      </w:r>
    </w:p>
    <w:p w14:paraId="4229145D" w14:textId="77777777" w:rsidR="008F7EB2" w:rsidRPr="006442A7" w:rsidRDefault="008F7EB2" w:rsidP="006442A7">
      <w:pPr>
        <w:pStyle w:val="a5"/>
        <w:numPr>
          <w:ilvl w:val="0"/>
          <w:numId w:val="50"/>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تناولت دراسة (</w:t>
      </w:r>
      <w:proofErr w:type="spellStart"/>
      <w:r w:rsidRPr="006442A7">
        <w:rPr>
          <w:rFonts w:asciiTheme="majorBidi" w:hAnsiTheme="majorBidi" w:cstheme="majorBidi"/>
          <w:color w:val="1F1F1F"/>
        </w:rPr>
        <w:t>Fjortoft</w:t>
      </w:r>
      <w:proofErr w:type="spellEnd"/>
      <w:r w:rsidRPr="006442A7">
        <w:rPr>
          <w:rFonts w:asciiTheme="majorBidi" w:hAnsiTheme="majorBidi" w:cstheme="majorBidi"/>
          <w:color w:val="1F1F1F"/>
          <w:rtl/>
        </w:rPr>
        <w:t xml:space="preserve"> &amp; </w:t>
      </w:r>
      <w:r w:rsidRPr="006442A7">
        <w:rPr>
          <w:rFonts w:asciiTheme="majorBidi" w:hAnsiTheme="majorBidi" w:cstheme="majorBidi"/>
          <w:color w:val="1F1F1F"/>
        </w:rPr>
        <w:t>Smart, 1994</w:t>
      </w:r>
      <w:r w:rsidRPr="006442A7">
        <w:rPr>
          <w:rFonts w:asciiTheme="majorBidi" w:hAnsiTheme="majorBidi" w:cstheme="majorBidi"/>
          <w:color w:val="1F1F1F"/>
          <w:rtl/>
        </w:rPr>
        <w:t>) بعنوان (</w:t>
      </w:r>
      <w:r w:rsidRPr="006442A7">
        <w:rPr>
          <w:rFonts w:asciiTheme="majorBidi" w:hAnsiTheme="majorBidi" w:cstheme="majorBidi"/>
          <w:color w:val="1F1F1F"/>
        </w:rPr>
        <w:t>Enhancing organizational effectiveness: The importance of culture type and mission agreement</w:t>
      </w:r>
      <w:r w:rsidRPr="006442A7">
        <w:rPr>
          <w:rFonts w:asciiTheme="majorBidi" w:hAnsiTheme="majorBidi" w:cstheme="majorBidi"/>
          <w:color w:val="1F1F1F"/>
          <w:rtl/>
        </w:rPr>
        <w:t>) موضوع تعزيز الفعالية التنظيمية: أهمية نوع الثقافة والاتفاق على الرسالة من خلال المشكلة في تأثير الصراعات الثقافية داخل المؤسسة على تحقيق التميز والفعالية وتمثلت الفرضية الرئيسية في التوافق الثقافي والرسالة الواضحة هما أساس التميز المؤسسي وهدفت الدراسة إلى دراسة أثر الثقافة التنظيمية على التميز والفعالية واستخدمت الدراسة المنهج الوصفي الارتباطي وتمثل مجتمع الدراسة في الجامعات والكليات في الولايات المتحدة وكانت عينة الدراسة عبارة عن 820 عضو هيئة تدريس مفردة. وتم استخدام الأساليب الإحصائية الآتية تحليل التباين، الانحدار المتعدد وتوصلت الدراسة إلى نتائج من أهمها أن الثقافة الداعمة والرسالة المشتركة تزيد من الفعالية التنظيمية وأوصت الدراسة بتوصيات منها التركيز على بناء ثقافة مؤسسية متجانسة لدعم التميز. وتشابهت الدراسة مع الدراسة الحالية في أن كل من الدراستين تناولت الربط بين الثقافة والتميز المؤسسي، بينما اختلفت الدراسة مع الدراسة الحالية في دراسة كلاسيكية تركز على الفعالية كمرادف للتميز.</w:t>
      </w:r>
    </w:p>
    <w:p w14:paraId="3CFF1EC9" w14:textId="77777777" w:rsidR="008F7EB2" w:rsidRPr="006442A7" w:rsidRDefault="008F7EB2" w:rsidP="006442A7">
      <w:pPr>
        <w:pStyle w:val="a5"/>
        <w:numPr>
          <w:ilvl w:val="0"/>
          <w:numId w:val="50"/>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lastRenderedPageBreak/>
        <w:t>تناولت دراسة (</w:t>
      </w:r>
      <w:proofErr w:type="spellStart"/>
      <w:r w:rsidRPr="006442A7">
        <w:rPr>
          <w:rFonts w:asciiTheme="majorBidi" w:hAnsiTheme="majorBidi" w:cstheme="majorBidi"/>
          <w:color w:val="1F1F1F"/>
        </w:rPr>
        <w:t>Pasanec</w:t>
      </w:r>
      <w:proofErr w:type="spellEnd"/>
      <w:r w:rsidRPr="006442A7">
        <w:rPr>
          <w:rFonts w:asciiTheme="majorBidi" w:hAnsiTheme="majorBidi" w:cstheme="majorBidi"/>
          <w:color w:val="1F1F1F"/>
        </w:rPr>
        <w:t xml:space="preserve"> et al., 2023</w:t>
      </w:r>
      <w:r w:rsidRPr="006442A7">
        <w:rPr>
          <w:rFonts w:asciiTheme="majorBidi" w:hAnsiTheme="majorBidi" w:cstheme="majorBidi"/>
          <w:color w:val="1F1F1F"/>
          <w:rtl/>
        </w:rPr>
        <w:t>) بعنوان (</w:t>
      </w:r>
      <w:r w:rsidRPr="006442A7">
        <w:rPr>
          <w:rFonts w:asciiTheme="majorBidi" w:hAnsiTheme="majorBidi" w:cstheme="majorBidi"/>
          <w:color w:val="1F1F1F"/>
        </w:rPr>
        <w:t>Operational excellence in the function of enhancing the quality assurance system of Higher education</w:t>
      </w:r>
      <w:r w:rsidRPr="006442A7">
        <w:rPr>
          <w:rFonts w:asciiTheme="majorBidi" w:hAnsiTheme="majorBidi" w:cstheme="majorBidi"/>
          <w:color w:val="1F1F1F"/>
          <w:rtl/>
        </w:rPr>
        <w:t xml:space="preserve">) موضوع التميز التشغيلي في وظيفة تعزيز نظام ضمان الجودة في التعليم العالي من خلال المشكلة في الحاجة لربط العمليات اليومية (التشغيلية) بمعايير التميز الكلية وتمثلت الفرضية الرئيسية في التميز التشغيلي هو القاعدة الأساسية لضمان جودة التعليم وهدفت الدراسة إلى تحليل دور التميز التشغيلي في تطوير نظم الجودة واستخدمت الدراسة المنهج الوصفي التحليلي وتمثل مجتمع الدراسة في مؤسسات التعليم العالي في كرواتيا وكانت عينة الدراسة عبارة عن 140 موظف إداري مفردة. وتم استخدام الأساليب الإحصائية الآتية المتوسطات الحسابية، الانحراف المعياري وتوصلت الدراسة إلى نتائج من أهمها أن التميز في العمليات الصغرى يؤدي حتماً لتميز المؤسسة ككل وأوصت الدراسة بتوصيات منها تبني منهجية </w:t>
      </w:r>
      <w:r w:rsidRPr="006442A7">
        <w:rPr>
          <w:rFonts w:asciiTheme="majorBidi" w:hAnsiTheme="majorBidi" w:cstheme="majorBidi"/>
          <w:color w:val="1F1F1F"/>
        </w:rPr>
        <w:t>Lean</w:t>
      </w:r>
      <w:r w:rsidRPr="006442A7">
        <w:rPr>
          <w:rFonts w:asciiTheme="majorBidi" w:hAnsiTheme="majorBidi" w:cstheme="majorBidi"/>
          <w:color w:val="1F1F1F"/>
          <w:rtl/>
        </w:rPr>
        <w:t xml:space="preserve"> في الإدارة لتحقيق التميز التشغيلي. وتشابهت الدراسة مع الدراسة الحالية في أن كل من الدراستين تناولت التركيز على الجانب التشغيلي للتميز، بينما اختلفت الدراسة مع الدراسة الحالية في السياق الأوروبي (كرواتيا) والتركيز على ضمان الجودة.</w:t>
      </w:r>
    </w:p>
    <w:p w14:paraId="224CC72F" w14:textId="77777777" w:rsidR="008F7EB2" w:rsidRPr="006442A7" w:rsidRDefault="008F7EB2" w:rsidP="006442A7">
      <w:pPr>
        <w:pStyle w:val="a5"/>
        <w:numPr>
          <w:ilvl w:val="0"/>
          <w:numId w:val="50"/>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تناولت دراسة (</w:t>
      </w:r>
      <w:proofErr w:type="spellStart"/>
      <w:r w:rsidRPr="006442A7">
        <w:rPr>
          <w:rFonts w:asciiTheme="majorBidi" w:hAnsiTheme="majorBidi" w:cstheme="majorBidi"/>
          <w:color w:val="1F1F1F"/>
        </w:rPr>
        <w:t>Pololi</w:t>
      </w:r>
      <w:proofErr w:type="spellEnd"/>
      <w:r w:rsidRPr="006442A7">
        <w:rPr>
          <w:rFonts w:asciiTheme="majorBidi" w:hAnsiTheme="majorBidi" w:cstheme="majorBidi"/>
          <w:color w:val="1F1F1F"/>
        </w:rPr>
        <w:t xml:space="preserve"> et al., 2024</w:t>
      </w:r>
      <w:r w:rsidRPr="006442A7">
        <w:rPr>
          <w:rFonts w:asciiTheme="majorBidi" w:hAnsiTheme="majorBidi" w:cstheme="majorBidi"/>
          <w:color w:val="1F1F1F"/>
          <w:rtl/>
        </w:rPr>
        <w:t>) بعنوان (</w:t>
      </w:r>
      <w:r w:rsidRPr="006442A7">
        <w:rPr>
          <w:rFonts w:asciiTheme="majorBidi" w:hAnsiTheme="majorBidi" w:cstheme="majorBidi"/>
          <w:color w:val="1F1F1F"/>
        </w:rPr>
        <w:t>Assessing Institutional Culture for Inclusive Excellence</w:t>
      </w:r>
      <w:r w:rsidRPr="006442A7">
        <w:rPr>
          <w:rFonts w:asciiTheme="majorBidi" w:hAnsiTheme="majorBidi" w:cstheme="majorBidi"/>
          <w:color w:val="1F1F1F"/>
          <w:rtl/>
        </w:rPr>
        <w:t>) موضوع تقييم الثقافة المؤسسية للتميز الشامل من خلال المشكلة في إغفال جانب التنوع والشمولية عند بناء نماذج التميز المؤسسي وتمثلت الفرضية الرئيسية في التميز الشامل (</w:t>
      </w:r>
      <w:r w:rsidRPr="006442A7">
        <w:rPr>
          <w:rFonts w:asciiTheme="majorBidi" w:hAnsiTheme="majorBidi" w:cstheme="majorBidi"/>
          <w:color w:val="1F1F1F"/>
        </w:rPr>
        <w:t>Inclusive Excellence</w:t>
      </w:r>
      <w:r w:rsidRPr="006442A7">
        <w:rPr>
          <w:rFonts w:asciiTheme="majorBidi" w:hAnsiTheme="majorBidi" w:cstheme="majorBidi"/>
          <w:color w:val="1F1F1F"/>
          <w:rtl/>
        </w:rPr>
        <w:t>) يعزز من ابتكار الفرق وهدفت الدراسة إلى قياس أثر التنوع والشمولية في تحقيق التميز المؤسسي واستخدمت الدراسة المنهج الوصفي (</w:t>
      </w:r>
      <w:r w:rsidRPr="006442A7">
        <w:rPr>
          <w:rFonts w:asciiTheme="majorBidi" w:hAnsiTheme="majorBidi" w:cstheme="majorBidi"/>
          <w:color w:val="1F1F1F"/>
        </w:rPr>
        <w:t>Cross-sectional</w:t>
      </w:r>
      <w:r w:rsidRPr="006442A7">
        <w:rPr>
          <w:rFonts w:asciiTheme="majorBidi" w:hAnsiTheme="majorBidi" w:cstheme="majorBidi"/>
          <w:color w:val="1F1F1F"/>
          <w:rtl/>
        </w:rPr>
        <w:t>) وتمثل مجتمع الدراسة في كليات الطب والمراكز الصحية العالمية وكانت عينة الدراسة عبارة عن 1500 مشارك مفردة. وتم استخدام الأساليب الإحصائية الآتية التحليل العاملي، اختبارات الموثوقية وتوصلت الدراسة إلى نتائج من أهمها أن الفرق المتنوعة تتفوق على المتجانسة في تحقيق أهداف التميز وأوصت الدراسة بتوصيات منها دمج معايير التنوع والشمول ضمن جوائز التميز المؤسسي. وتشابهت الدراسة مع الدراسة الحالية في أن كل من الدراستين تناولت تناول الثقافة المؤسسية كداعم للتميز، بينما اختلفت الدراسة مع الدراسة الحالية في التركيز على مفهوم "التميز الشامل" والشمولية.</w:t>
      </w:r>
    </w:p>
    <w:p w14:paraId="76821875" w14:textId="77777777" w:rsidR="008F7EB2" w:rsidRPr="006442A7" w:rsidRDefault="008F7EB2" w:rsidP="006442A7">
      <w:pPr>
        <w:pStyle w:val="a5"/>
        <w:numPr>
          <w:ilvl w:val="0"/>
          <w:numId w:val="50"/>
        </w:numPr>
        <w:bidi/>
        <w:spacing w:before="0" w:beforeAutospacing="0" w:after="120" w:afterAutospacing="0" w:line="360" w:lineRule="auto"/>
        <w:rPr>
          <w:rFonts w:asciiTheme="majorBidi" w:hAnsiTheme="majorBidi" w:cstheme="majorBidi"/>
          <w:color w:val="1F1F1F"/>
          <w:rtl/>
        </w:rPr>
      </w:pPr>
      <w:r w:rsidRPr="006442A7">
        <w:rPr>
          <w:rFonts w:asciiTheme="majorBidi" w:hAnsiTheme="majorBidi" w:cstheme="majorBidi"/>
          <w:color w:val="1F1F1F"/>
          <w:rtl/>
        </w:rPr>
        <w:t>تناولت دراسة (</w:t>
      </w:r>
      <w:r w:rsidRPr="006442A7">
        <w:rPr>
          <w:rFonts w:asciiTheme="majorBidi" w:hAnsiTheme="majorBidi" w:cstheme="majorBidi"/>
          <w:color w:val="1F1F1F"/>
        </w:rPr>
        <w:t xml:space="preserve">Al </w:t>
      </w:r>
      <w:proofErr w:type="spellStart"/>
      <w:r w:rsidRPr="006442A7">
        <w:rPr>
          <w:rFonts w:asciiTheme="majorBidi" w:hAnsiTheme="majorBidi" w:cstheme="majorBidi"/>
          <w:color w:val="1F1F1F"/>
        </w:rPr>
        <w:t>Darmaki</w:t>
      </w:r>
      <w:proofErr w:type="spellEnd"/>
      <w:r w:rsidRPr="006442A7">
        <w:rPr>
          <w:rFonts w:asciiTheme="majorBidi" w:hAnsiTheme="majorBidi" w:cstheme="majorBidi"/>
          <w:color w:val="1F1F1F"/>
        </w:rPr>
        <w:t>, 2021</w:t>
      </w:r>
      <w:r w:rsidRPr="006442A7">
        <w:rPr>
          <w:rFonts w:asciiTheme="majorBidi" w:hAnsiTheme="majorBidi" w:cstheme="majorBidi"/>
          <w:color w:val="1F1F1F"/>
          <w:rtl/>
        </w:rPr>
        <w:t>) بعنوان (</w:t>
      </w:r>
      <w:r w:rsidRPr="006442A7">
        <w:rPr>
          <w:rFonts w:asciiTheme="majorBidi" w:hAnsiTheme="majorBidi" w:cstheme="majorBidi"/>
          <w:color w:val="1F1F1F"/>
        </w:rPr>
        <w:t>Organizational excellence and its role in achieving the competitive advantage</w:t>
      </w:r>
      <w:r w:rsidRPr="006442A7">
        <w:rPr>
          <w:rFonts w:asciiTheme="majorBidi" w:hAnsiTheme="majorBidi" w:cstheme="majorBidi"/>
          <w:color w:val="1F1F1F"/>
          <w:rtl/>
        </w:rPr>
        <w:t>) موضوع التميز التنظيمي ودوره في تحقيق الميزة التنافسية من خلال المشكلة في تحديات الاستدامة التنافسية في المؤسسات التعليمية الدولية وتمثلت الفرضية الرئيسية في يوجد أثر ذو دلالة إحصائية للتميز التنظيمي في الميزة التنافسية وهدفت الدراسة إلى تحديد العلاقة بين التميز والميزة التنافسية واستخدمت الدراسة المنهج الوصفي التحليلي وتمثل مجتمع الدراسة في العاملين في مؤسسات التعليم العالي الدولية وكانت عينة الدراسة عبارة عن 200 مفردة. وتم استخدام الأساليب الإحصائية الآتية معامل الارتباط، الانحدار الخطي وتوصلت الدراسة إلى نتائج من أهمها أن الاستراتيجية الواضحة والقيادة الملهمة هما أهم أبعاد التميز وأوصت الدراسة بتوصيات منها ضرورة مواءمة أهداف التميز مع الأهداف الاستراتيجية التنافسية. وتشابهت الدراسة مع الدراسة الحالية في أن كل من الدراستين تناولت دراسة العلاقة بين التميز والتنافسية، بينما اختلفت الدراسة مع الدراسة الحالية في أنها دراسة عالمية باللغة الإنجليزية.</w:t>
      </w:r>
    </w:p>
    <w:p w14:paraId="405CF43B" w14:textId="77777777" w:rsidR="00804424" w:rsidRPr="006442A7" w:rsidRDefault="00804424"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5F4CF0E0" w14:textId="77777777" w:rsidR="00804424" w:rsidRPr="006442A7" w:rsidRDefault="00804424" w:rsidP="006442A7">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406F904A" w14:textId="491254D3" w:rsidR="0001620C" w:rsidRPr="006442A7" w:rsidRDefault="0001620C" w:rsidP="006442A7">
      <w:pPr>
        <w:pStyle w:val="1"/>
        <w:bidi/>
        <w:spacing w:before="0" w:beforeAutospacing="0" w:after="120" w:afterAutospacing="0" w:line="360" w:lineRule="auto"/>
        <w:rPr>
          <w:rFonts w:asciiTheme="majorBidi" w:eastAsia="Times New Roman" w:hAnsiTheme="majorBidi" w:cstheme="majorBidi"/>
          <w:color w:val="1F1F1F"/>
          <w:sz w:val="28"/>
          <w:szCs w:val="28"/>
        </w:rPr>
      </w:pPr>
      <w:r w:rsidRPr="006442A7">
        <w:rPr>
          <w:rFonts w:asciiTheme="majorBidi" w:eastAsia="Times New Roman" w:hAnsiTheme="majorBidi" w:cstheme="majorBidi"/>
          <w:color w:val="1F1F1F"/>
          <w:sz w:val="28"/>
          <w:szCs w:val="28"/>
          <w:rtl/>
        </w:rPr>
        <w:t>قائمة المراجع (</w:t>
      </w:r>
      <w:r w:rsidRPr="006442A7">
        <w:rPr>
          <w:rFonts w:asciiTheme="majorBidi" w:eastAsia="Times New Roman" w:hAnsiTheme="majorBidi" w:cstheme="majorBidi"/>
          <w:color w:val="1F1F1F"/>
          <w:sz w:val="28"/>
          <w:szCs w:val="28"/>
        </w:rPr>
        <w:t>References</w:t>
      </w:r>
      <w:r w:rsidRPr="006442A7">
        <w:rPr>
          <w:rFonts w:asciiTheme="majorBidi" w:eastAsia="Times New Roman" w:hAnsiTheme="majorBidi" w:cstheme="majorBidi"/>
          <w:color w:val="1F1F1F"/>
          <w:sz w:val="28"/>
          <w:szCs w:val="28"/>
          <w:rtl/>
        </w:rPr>
        <w:t>)</w:t>
      </w:r>
    </w:p>
    <w:p w14:paraId="12FF4E83" w14:textId="2A6D35E2" w:rsidR="0001620C" w:rsidRPr="006442A7" w:rsidRDefault="0001620C" w:rsidP="006442A7">
      <w:pPr>
        <w:pStyle w:val="a5"/>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w:t>
      </w:r>
    </w:p>
    <w:p w14:paraId="6773B315" w14:textId="77777777" w:rsidR="0001620C" w:rsidRPr="006442A7" w:rsidRDefault="0001620C"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أولاً: المراجع العربية (</w:t>
      </w:r>
      <w:r w:rsidRPr="006442A7">
        <w:rPr>
          <w:rFonts w:asciiTheme="majorBidi" w:eastAsia="Times New Roman" w:hAnsiTheme="majorBidi" w:cstheme="majorBidi"/>
          <w:color w:val="1F1F1F"/>
          <w:sz w:val="24"/>
          <w:szCs w:val="24"/>
        </w:rPr>
        <w:t>Arabic References</w:t>
      </w:r>
      <w:r w:rsidRPr="006442A7">
        <w:rPr>
          <w:rFonts w:asciiTheme="majorBidi" w:eastAsia="Times New Roman" w:hAnsiTheme="majorBidi" w:cstheme="majorBidi"/>
          <w:color w:val="1F1F1F"/>
          <w:sz w:val="24"/>
          <w:szCs w:val="24"/>
          <w:rtl/>
        </w:rPr>
        <w:t>)</w:t>
      </w:r>
    </w:p>
    <w:p w14:paraId="5CAA0F02" w14:textId="64F896F6" w:rsidR="0001620C" w:rsidRPr="006442A7" w:rsidRDefault="0001620C" w:rsidP="006442A7">
      <w:pPr>
        <w:pStyle w:val="a5"/>
        <w:bidi/>
        <w:spacing w:before="0" w:beforeAutospacing="0" w:after="0" w:afterAutospacing="0" w:line="360" w:lineRule="auto"/>
        <w:rPr>
          <w:rFonts w:asciiTheme="majorBidi" w:hAnsiTheme="majorBidi" w:cstheme="majorBidi"/>
          <w:color w:val="1F1F1F"/>
          <w:rtl/>
        </w:rPr>
      </w:pPr>
    </w:p>
    <w:p w14:paraId="030EAC87"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إبراهيم، عبد الحق علي. (2015). </w:t>
      </w:r>
      <w:r w:rsidRPr="006442A7">
        <w:rPr>
          <w:rStyle w:val="a7"/>
          <w:rFonts w:asciiTheme="majorBidi" w:hAnsiTheme="majorBidi" w:cstheme="majorBidi"/>
          <w:i w:val="0"/>
          <w:iCs w:val="0"/>
          <w:color w:val="1F1F1F"/>
          <w:bdr w:val="none" w:sz="0" w:space="0" w:color="auto" w:frame="1"/>
          <w:rtl/>
        </w:rPr>
        <w:t>دور السلوك التنظيمي في أداء منظمات الأعمال: بيئة المنظمة الداخلية كمتغير معدل - دراسة على عينة من البنوك التجارية في ولاية الخرطوم</w:t>
      </w:r>
      <w:r w:rsidRPr="006442A7">
        <w:rPr>
          <w:rFonts w:asciiTheme="majorBidi" w:hAnsiTheme="majorBidi" w:cstheme="majorBidi"/>
          <w:color w:val="1F1F1F"/>
          <w:rtl/>
        </w:rPr>
        <w:t xml:space="preserve"> (أطروحة دكتوراه غير منشورة). جامعة السودان للعلوم والتكنولوجيا، السودان.</w:t>
      </w:r>
    </w:p>
    <w:p w14:paraId="64FD60A0"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الإبراهيمي، إحسان. (2018). تأثير الذكاء الاستراتيجي في تحقيق المرونة التسويقية: دراسة تطبيقية في شركة الفهد للمواد الغذائية ومنتجات الألبان في محافظة النجف الأشرف. </w:t>
      </w:r>
      <w:r w:rsidRPr="006442A7">
        <w:rPr>
          <w:rStyle w:val="a7"/>
          <w:rFonts w:asciiTheme="majorBidi" w:hAnsiTheme="majorBidi" w:cstheme="majorBidi"/>
          <w:i w:val="0"/>
          <w:iCs w:val="0"/>
          <w:color w:val="1F1F1F"/>
          <w:bdr w:val="none" w:sz="0" w:space="0" w:color="auto" w:frame="1"/>
          <w:rtl/>
        </w:rPr>
        <w:t>مجلة كلية التربية للبنات للعلوم الإنسانية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2</w:t>
      </w:r>
      <w:r w:rsidRPr="006442A7">
        <w:rPr>
          <w:rFonts w:asciiTheme="majorBidi" w:hAnsiTheme="majorBidi" w:cstheme="majorBidi"/>
          <w:color w:val="1F1F1F"/>
          <w:rtl/>
        </w:rPr>
        <w:t>(22)، 25-442.</w:t>
      </w:r>
    </w:p>
    <w:p w14:paraId="6770D30F"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أبو الريش، ريم. (2016). </w:t>
      </w:r>
      <w:r w:rsidRPr="006442A7">
        <w:rPr>
          <w:rStyle w:val="a7"/>
          <w:rFonts w:asciiTheme="majorBidi" w:hAnsiTheme="majorBidi" w:cstheme="majorBidi"/>
          <w:i w:val="0"/>
          <w:iCs w:val="0"/>
          <w:color w:val="1F1F1F"/>
          <w:bdr w:val="none" w:sz="0" w:space="0" w:color="auto" w:frame="1"/>
          <w:rtl/>
        </w:rPr>
        <w:t>واقع العلاقات الاجتماعية بين أعضاء هيئة التدريس في الجامعات الفلسطينية وعلاقته بجودة الأداء</w:t>
      </w:r>
      <w:r w:rsidRPr="006442A7">
        <w:rPr>
          <w:rFonts w:asciiTheme="majorBidi" w:hAnsiTheme="majorBidi" w:cstheme="majorBidi"/>
          <w:color w:val="1F1F1F"/>
          <w:rtl/>
        </w:rPr>
        <w:t xml:space="preserve"> (رسالة ماجستير غير منشورة). الجامعة الإسلامية، غزة، فلسطين.</w:t>
      </w:r>
    </w:p>
    <w:p w14:paraId="6E5DDDBC"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أبو الغنم، خالد. (2016). أثر الذكاء الاستراتيجي في فاعلية صنع القرارات في شركات التأمين السعودية العاملة بمدينة جدة: دراسة ميدانية. </w:t>
      </w:r>
      <w:r w:rsidRPr="006442A7">
        <w:rPr>
          <w:rStyle w:val="a7"/>
          <w:rFonts w:asciiTheme="majorBidi" w:hAnsiTheme="majorBidi" w:cstheme="majorBidi"/>
          <w:i w:val="0"/>
          <w:iCs w:val="0"/>
          <w:color w:val="1F1F1F"/>
          <w:bdr w:val="none" w:sz="0" w:space="0" w:color="auto" w:frame="1"/>
          <w:rtl/>
        </w:rPr>
        <w:t>مجلة جامعة القدس المفتوحة للأبحاث والدراسات الإدارية والاقتصادية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2</w:t>
      </w:r>
      <w:r w:rsidRPr="006442A7">
        <w:rPr>
          <w:rFonts w:asciiTheme="majorBidi" w:hAnsiTheme="majorBidi" w:cstheme="majorBidi"/>
          <w:color w:val="1F1F1F"/>
          <w:rtl/>
        </w:rPr>
        <w:t>(5)، 139-183.</w:t>
      </w:r>
    </w:p>
    <w:p w14:paraId="221055BB"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أبو حميد، محمد بن سعد. (2020، يوليو 2). أثر الحوافز المادية والمعنوية على أداء العاملين. </w:t>
      </w:r>
      <w:r w:rsidRPr="006442A7">
        <w:rPr>
          <w:rStyle w:val="a7"/>
          <w:rFonts w:asciiTheme="majorBidi" w:hAnsiTheme="majorBidi" w:cstheme="majorBidi"/>
          <w:i w:val="0"/>
          <w:iCs w:val="0"/>
          <w:color w:val="1F1F1F"/>
          <w:bdr w:val="none" w:sz="0" w:space="0" w:color="auto" w:frame="1"/>
          <w:rtl/>
        </w:rPr>
        <w:t>المجلة العربية للنشر العلمي</w:t>
      </w:r>
      <w:r w:rsidRPr="006442A7">
        <w:rPr>
          <w:rFonts w:asciiTheme="majorBidi" w:hAnsiTheme="majorBidi" w:cstheme="majorBidi"/>
          <w:color w:val="1F1F1F"/>
          <w:rtl/>
        </w:rPr>
        <w:t>، (21)، 45-68.</w:t>
      </w:r>
    </w:p>
    <w:p w14:paraId="67B5B814"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أبو زيد، محمد. (2024). الدور الوسيط لقدرات ذكاء الأعمال بين الريادة الاستراتيجية والنجاح الاستراتيجي. </w:t>
      </w:r>
      <w:r w:rsidRPr="006442A7">
        <w:rPr>
          <w:rStyle w:val="a7"/>
          <w:rFonts w:asciiTheme="majorBidi" w:hAnsiTheme="majorBidi" w:cstheme="majorBidi"/>
          <w:i w:val="0"/>
          <w:iCs w:val="0"/>
          <w:color w:val="1F1F1F"/>
          <w:bdr w:val="none" w:sz="0" w:space="0" w:color="auto" w:frame="1"/>
          <w:rtl/>
        </w:rPr>
        <w:t>المجلة العربية للإدارة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44</w:t>
      </w:r>
      <w:r w:rsidRPr="006442A7">
        <w:rPr>
          <w:rFonts w:asciiTheme="majorBidi" w:hAnsiTheme="majorBidi" w:cstheme="majorBidi"/>
          <w:color w:val="1F1F1F"/>
          <w:rtl/>
        </w:rPr>
        <w:t>(1)، 89-112.</w:t>
      </w:r>
    </w:p>
    <w:p w14:paraId="4163CC9B"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أبو عيادة، ندى. (2016). </w:t>
      </w:r>
      <w:r w:rsidRPr="006442A7">
        <w:rPr>
          <w:rStyle w:val="a7"/>
          <w:rFonts w:asciiTheme="majorBidi" w:hAnsiTheme="majorBidi" w:cstheme="majorBidi"/>
          <w:i w:val="0"/>
          <w:iCs w:val="0"/>
          <w:color w:val="1F1F1F"/>
          <w:bdr w:val="none" w:sz="0" w:space="0" w:color="auto" w:frame="1"/>
          <w:rtl/>
        </w:rPr>
        <w:t>أثر الذكاء الاستراتيجي وعلاقته بنجاح المنظمات: دراسة تطبيقية على المديرين في مجموعة الاتصالات الفلسطينية بقطاع غزة</w:t>
      </w:r>
      <w:r w:rsidRPr="006442A7">
        <w:rPr>
          <w:rFonts w:asciiTheme="majorBidi" w:hAnsiTheme="majorBidi" w:cstheme="majorBidi"/>
          <w:color w:val="1F1F1F"/>
          <w:rtl/>
        </w:rPr>
        <w:t xml:space="preserve"> (رسالة ماجستير غير منشورة). جامعة الأزهر، غزة، فلسطين.</w:t>
      </w:r>
    </w:p>
    <w:p w14:paraId="2CAD1B05"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أمين، </w:t>
      </w:r>
      <w:proofErr w:type="spellStart"/>
      <w:r w:rsidRPr="006442A7">
        <w:rPr>
          <w:rFonts w:asciiTheme="majorBidi" w:hAnsiTheme="majorBidi" w:cstheme="majorBidi"/>
          <w:color w:val="1F1F1F"/>
          <w:rtl/>
        </w:rPr>
        <w:t>هنار</w:t>
      </w:r>
      <w:proofErr w:type="spellEnd"/>
      <w:r w:rsidRPr="006442A7">
        <w:rPr>
          <w:rFonts w:asciiTheme="majorBidi" w:hAnsiTheme="majorBidi" w:cstheme="majorBidi"/>
          <w:color w:val="1F1F1F"/>
          <w:rtl/>
        </w:rPr>
        <w:t xml:space="preserve">. (2014). دور الذكاء الاستراتيجي في عمليات التصنيع الأخضر: دراسة استطلاعية لآراء المديرين في عينة من مصانع المياه المعدنية في محافظة دهوك. </w:t>
      </w:r>
      <w:r w:rsidRPr="006442A7">
        <w:rPr>
          <w:rStyle w:val="a7"/>
          <w:rFonts w:asciiTheme="majorBidi" w:hAnsiTheme="majorBidi" w:cstheme="majorBidi"/>
          <w:i w:val="0"/>
          <w:iCs w:val="0"/>
          <w:color w:val="1F1F1F"/>
          <w:bdr w:val="none" w:sz="0" w:space="0" w:color="auto" w:frame="1"/>
          <w:rtl/>
        </w:rPr>
        <w:t>مجلة العلوم الاقتصادية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20</w:t>
      </w:r>
      <w:r w:rsidRPr="006442A7">
        <w:rPr>
          <w:rFonts w:asciiTheme="majorBidi" w:hAnsiTheme="majorBidi" w:cstheme="majorBidi"/>
          <w:color w:val="1F1F1F"/>
          <w:rtl/>
        </w:rPr>
        <w:t>(77)، 181-201.</w:t>
      </w:r>
    </w:p>
    <w:p w14:paraId="07F257F3"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البوجي، ريهام. (2017). </w:t>
      </w:r>
      <w:r w:rsidRPr="006442A7">
        <w:rPr>
          <w:rStyle w:val="a7"/>
          <w:rFonts w:asciiTheme="majorBidi" w:hAnsiTheme="majorBidi" w:cstheme="majorBidi"/>
          <w:i w:val="0"/>
          <w:iCs w:val="0"/>
          <w:color w:val="1F1F1F"/>
          <w:bdr w:val="none" w:sz="0" w:space="0" w:color="auto" w:frame="1"/>
          <w:rtl/>
        </w:rPr>
        <w:t>الذكاء الاستراتيجي كمدخل لتطوير الأداء المؤسسي: دراسة تطبيقية في المنظمات غير الحكومية بقطاع غزة</w:t>
      </w:r>
      <w:r w:rsidRPr="006442A7">
        <w:rPr>
          <w:rFonts w:asciiTheme="majorBidi" w:hAnsiTheme="majorBidi" w:cstheme="majorBidi"/>
          <w:color w:val="1F1F1F"/>
          <w:rtl/>
        </w:rPr>
        <w:t xml:space="preserve"> (رسالة ماجستير غير منشورة). أكاديمية الإدارة والسياسة للدراسات العليا، جامعة الأقصى، فلسطين.</w:t>
      </w:r>
    </w:p>
    <w:p w14:paraId="7724C38A"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بن مارني، نور، والبوسعيدي، حمد. (2019). أثر أبعاد الذكاء الاستراتيجي على أداء العاملين: حالة دراسية بنك أبو ظبي التجاري. </w:t>
      </w:r>
      <w:r w:rsidRPr="006442A7">
        <w:rPr>
          <w:rStyle w:val="a7"/>
          <w:rFonts w:asciiTheme="majorBidi" w:hAnsiTheme="majorBidi" w:cstheme="majorBidi"/>
          <w:i w:val="0"/>
          <w:iCs w:val="0"/>
          <w:color w:val="1F1F1F"/>
          <w:bdr w:val="none" w:sz="0" w:space="0" w:color="auto" w:frame="1"/>
          <w:rtl/>
        </w:rPr>
        <w:t>المجلة العربية للنشر العلمي</w:t>
      </w:r>
      <w:r w:rsidRPr="006442A7">
        <w:rPr>
          <w:rFonts w:asciiTheme="majorBidi" w:hAnsiTheme="majorBidi" w:cstheme="majorBidi"/>
          <w:color w:val="1F1F1F"/>
          <w:rtl/>
        </w:rPr>
        <w:t>، (12)، 154-192.</w:t>
      </w:r>
    </w:p>
    <w:p w14:paraId="586E8329"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الجعافرة، عامر زعل. (2024). أثر إدارة المعرفة في الأداء المؤسسي: دراسة تطبيقية على أمانة عمان الكبرى. </w:t>
      </w:r>
      <w:r w:rsidRPr="006442A7">
        <w:rPr>
          <w:rStyle w:val="a7"/>
          <w:rFonts w:asciiTheme="majorBidi" w:hAnsiTheme="majorBidi" w:cstheme="majorBidi"/>
          <w:i w:val="0"/>
          <w:iCs w:val="0"/>
          <w:color w:val="1F1F1F"/>
          <w:bdr w:val="none" w:sz="0" w:space="0" w:color="auto" w:frame="1"/>
          <w:rtl/>
        </w:rPr>
        <w:t>مجلة العلوم الاقتصادية والإدارية والقانونية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8</w:t>
      </w:r>
      <w:r w:rsidRPr="006442A7">
        <w:rPr>
          <w:rFonts w:asciiTheme="majorBidi" w:hAnsiTheme="majorBidi" w:cstheme="majorBidi"/>
          <w:color w:val="1F1F1F"/>
          <w:rtl/>
        </w:rPr>
        <w:t>(2)، 45-67.</w:t>
      </w:r>
    </w:p>
    <w:p w14:paraId="22AAA9AB"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lastRenderedPageBreak/>
        <w:t xml:space="preserve">الحربي، أحمد. (2023). أثر تطبيق إدارة المعرفة على أداء العاملين بالمؤسسات الحكومية: دراسة حالة ولاية جنوب </w:t>
      </w:r>
      <w:proofErr w:type="spellStart"/>
      <w:r w:rsidRPr="006442A7">
        <w:rPr>
          <w:rFonts w:asciiTheme="majorBidi" w:hAnsiTheme="majorBidi" w:cstheme="majorBidi"/>
          <w:color w:val="1F1F1F"/>
          <w:rtl/>
        </w:rPr>
        <w:t>كردفان</w:t>
      </w:r>
      <w:proofErr w:type="spellEnd"/>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مجلة العلوم الإنسانية والطبيعية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4</w:t>
      </w:r>
      <w:r w:rsidRPr="006442A7">
        <w:rPr>
          <w:rFonts w:asciiTheme="majorBidi" w:hAnsiTheme="majorBidi" w:cstheme="majorBidi"/>
          <w:color w:val="1F1F1F"/>
          <w:rtl/>
        </w:rPr>
        <w:t>(3)، 89-104.</w:t>
      </w:r>
    </w:p>
    <w:p w14:paraId="083BBC92"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الحربي، بدر دخيل ماطر. (2024). إدارة المعرفة كمتغير وسيط في العلاقة بين الثقافة التنظيميّة والأداء المؤسسي: دراسة تطبيقيّة في القطاع الحكومي السعودي. </w:t>
      </w:r>
      <w:r w:rsidRPr="006442A7">
        <w:rPr>
          <w:rStyle w:val="a7"/>
          <w:rFonts w:asciiTheme="majorBidi" w:hAnsiTheme="majorBidi" w:cstheme="majorBidi"/>
          <w:i w:val="0"/>
          <w:iCs w:val="0"/>
          <w:color w:val="1F1F1F"/>
          <w:bdr w:val="none" w:sz="0" w:space="0" w:color="auto" w:frame="1"/>
          <w:rtl/>
        </w:rPr>
        <w:t>المجلة العربية للنشر العلمي</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9</w:t>
      </w:r>
      <w:r w:rsidRPr="006442A7">
        <w:rPr>
          <w:rFonts w:asciiTheme="majorBidi" w:hAnsiTheme="majorBidi" w:cstheme="majorBidi"/>
          <w:color w:val="1F1F1F"/>
          <w:rtl/>
        </w:rPr>
        <w:t>(89)، 112-135.</w:t>
      </w:r>
    </w:p>
    <w:p w14:paraId="76BDF066"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الحربي، عمر بن راضي صالح. (2017). </w:t>
      </w:r>
      <w:r w:rsidRPr="006442A7">
        <w:rPr>
          <w:rStyle w:val="a7"/>
          <w:rFonts w:asciiTheme="majorBidi" w:hAnsiTheme="majorBidi" w:cstheme="majorBidi"/>
          <w:i w:val="0"/>
          <w:iCs w:val="0"/>
          <w:color w:val="1F1F1F"/>
          <w:bdr w:val="none" w:sz="0" w:space="0" w:color="auto" w:frame="1"/>
          <w:rtl/>
        </w:rPr>
        <w:t>فاعلية برامج التدريب على رأس العمل في رفع كفاءة أداء العاملين بفرق التدخل في حوادث انهيارات المباني والزلازل: دراسة ميدانية على العاملين بقيادة قوات الطوارئ الخاصة للدفاع المدني وفروعها</w:t>
      </w:r>
      <w:r w:rsidRPr="006442A7">
        <w:rPr>
          <w:rFonts w:asciiTheme="majorBidi" w:hAnsiTheme="majorBidi" w:cstheme="majorBidi"/>
          <w:color w:val="1F1F1F"/>
          <w:rtl/>
        </w:rPr>
        <w:t xml:space="preserve"> (رسالة ماجستير غير منشورة). جامعة نايف العربية للعلوم الأمنية، الرياض، المملكة العربية السعودية.</w:t>
      </w:r>
    </w:p>
    <w:p w14:paraId="6FBC5E35"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الخفاجي، حيدر. (2024). أثر ذكاء الأعمال على الأداء التنظيمي: الدور الوسيط للرشاقة الاستراتيجية. </w:t>
      </w:r>
      <w:r w:rsidRPr="006442A7">
        <w:rPr>
          <w:rStyle w:val="a7"/>
          <w:rFonts w:asciiTheme="majorBidi" w:hAnsiTheme="majorBidi" w:cstheme="majorBidi"/>
          <w:i w:val="0"/>
          <w:iCs w:val="0"/>
          <w:color w:val="1F1F1F"/>
          <w:bdr w:val="none" w:sz="0" w:space="0" w:color="auto" w:frame="1"/>
          <w:rtl/>
        </w:rPr>
        <w:t>مجلة البحوث المالية والتجارية، جامعة بورسعيد</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25</w:t>
      </w:r>
      <w:r w:rsidRPr="006442A7">
        <w:rPr>
          <w:rFonts w:asciiTheme="majorBidi" w:hAnsiTheme="majorBidi" w:cstheme="majorBidi"/>
          <w:color w:val="1F1F1F"/>
          <w:rtl/>
        </w:rPr>
        <w:t>(1)، 210-235.</w:t>
      </w:r>
    </w:p>
    <w:p w14:paraId="2876F956"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الدبيان، فوزيه. (2024). العلاقة بين ذكاء الأعمال والمسؤولية الاجتماعية للشركات: دراسة تطبيقية على الشركات الصناعية السعودية. </w:t>
      </w:r>
      <w:r w:rsidRPr="006442A7">
        <w:rPr>
          <w:rStyle w:val="a7"/>
          <w:rFonts w:asciiTheme="majorBidi" w:hAnsiTheme="majorBidi" w:cstheme="majorBidi"/>
          <w:i w:val="0"/>
          <w:iCs w:val="0"/>
          <w:color w:val="1F1F1F"/>
          <w:bdr w:val="none" w:sz="0" w:space="0" w:color="auto" w:frame="1"/>
          <w:rtl/>
        </w:rPr>
        <w:t>المجلة العربية للإدارة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42</w:t>
      </w:r>
      <w:r w:rsidRPr="006442A7">
        <w:rPr>
          <w:rFonts w:asciiTheme="majorBidi" w:hAnsiTheme="majorBidi" w:cstheme="majorBidi"/>
          <w:color w:val="1F1F1F"/>
          <w:rtl/>
        </w:rPr>
        <w:t>(4)، 145-168.</w:t>
      </w:r>
    </w:p>
    <w:p w14:paraId="7748293D"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الربيعي، فضل علي محمد. (2025). أثر إدارة المعرفة على الأداء التنظيمي: دراسة ميدانية في قطاع الاتصالات اليمني. </w:t>
      </w:r>
      <w:r w:rsidRPr="006442A7">
        <w:rPr>
          <w:rStyle w:val="a7"/>
          <w:rFonts w:asciiTheme="majorBidi" w:hAnsiTheme="majorBidi" w:cstheme="majorBidi"/>
          <w:i w:val="0"/>
          <w:iCs w:val="0"/>
          <w:color w:val="1F1F1F"/>
          <w:bdr w:val="none" w:sz="0" w:space="0" w:color="auto" w:frame="1"/>
          <w:rtl/>
        </w:rPr>
        <w:t>مجلة جامعة صنعاء للعلوم الإنسانية</w:t>
      </w:r>
      <w:r w:rsidRPr="006442A7">
        <w:rPr>
          <w:rFonts w:asciiTheme="majorBidi" w:hAnsiTheme="majorBidi" w:cstheme="majorBidi"/>
          <w:color w:val="1F1F1F"/>
          <w:rtl/>
        </w:rPr>
        <w:t>.</w:t>
      </w:r>
    </w:p>
    <w:p w14:paraId="2662F090"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proofErr w:type="spellStart"/>
      <w:r w:rsidRPr="006442A7">
        <w:rPr>
          <w:rFonts w:asciiTheme="majorBidi" w:hAnsiTheme="majorBidi" w:cstheme="majorBidi"/>
          <w:color w:val="1F1F1F"/>
          <w:rtl/>
        </w:rPr>
        <w:t>الرداعي</w:t>
      </w:r>
      <w:proofErr w:type="spellEnd"/>
      <w:r w:rsidRPr="006442A7">
        <w:rPr>
          <w:rFonts w:asciiTheme="majorBidi" w:hAnsiTheme="majorBidi" w:cstheme="majorBidi"/>
          <w:color w:val="1F1F1F"/>
          <w:rtl/>
        </w:rPr>
        <w:t xml:space="preserve">، أشرف عبده أحمد. (2024). </w:t>
      </w:r>
      <w:r w:rsidRPr="006442A7">
        <w:rPr>
          <w:rStyle w:val="a7"/>
          <w:rFonts w:asciiTheme="majorBidi" w:hAnsiTheme="majorBidi" w:cstheme="majorBidi"/>
          <w:i w:val="0"/>
          <w:iCs w:val="0"/>
          <w:color w:val="1F1F1F"/>
          <w:bdr w:val="none" w:sz="0" w:space="0" w:color="auto" w:frame="1"/>
          <w:rtl/>
        </w:rPr>
        <w:t>إدارة المعرفة في تحسين جودة الأداء المؤسسي بوزارة الداخلية والأمن الوطني</w:t>
      </w:r>
      <w:r w:rsidRPr="006442A7">
        <w:rPr>
          <w:rFonts w:asciiTheme="majorBidi" w:hAnsiTheme="majorBidi" w:cstheme="majorBidi"/>
          <w:color w:val="1F1F1F"/>
          <w:rtl/>
        </w:rPr>
        <w:t>. المركز الديمقراطي العربي.</w:t>
      </w:r>
    </w:p>
    <w:p w14:paraId="3CB39144"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الزهراني، فهد بن محمد. (2023). تأثير ذكاء الأعمال على جودة اتخاذ القرار في المؤسسات الحكومية السعودية: الدور الوسيط لنظم المعلومات الإدارية. </w:t>
      </w:r>
      <w:r w:rsidRPr="006442A7">
        <w:rPr>
          <w:rStyle w:val="a7"/>
          <w:rFonts w:asciiTheme="majorBidi" w:hAnsiTheme="majorBidi" w:cstheme="majorBidi"/>
          <w:i w:val="0"/>
          <w:iCs w:val="0"/>
          <w:color w:val="1F1F1F"/>
          <w:bdr w:val="none" w:sz="0" w:space="0" w:color="auto" w:frame="1"/>
          <w:rtl/>
        </w:rPr>
        <w:t>مجلة العلوم الإدارية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7</w:t>
      </w:r>
      <w:r w:rsidRPr="006442A7">
        <w:rPr>
          <w:rFonts w:asciiTheme="majorBidi" w:hAnsiTheme="majorBidi" w:cstheme="majorBidi"/>
          <w:color w:val="1F1F1F"/>
          <w:rtl/>
        </w:rPr>
        <w:t>(3)، 76-98.</w:t>
      </w:r>
    </w:p>
    <w:p w14:paraId="4FD8A615"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الشمري، عبيد كتاب حمد. (2025). </w:t>
      </w:r>
      <w:r w:rsidRPr="006442A7">
        <w:rPr>
          <w:rStyle w:val="a7"/>
          <w:rFonts w:asciiTheme="majorBidi" w:hAnsiTheme="majorBidi" w:cstheme="majorBidi"/>
          <w:i w:val="0"/>
          <w:iCs w:val="0"/>
          <w:color w:val="1F1F1F"/>
          <w:bdr w:val="none" w:sz="0" w:space="0" w:color="auto" w:frame="1"/>
          <w:rtl/>
        </w:rPr>
        <w:t>أثر ذكاء الأعمال على الأداء المؤسسي في شركات الاتصالات في المملكة العربية السعودية</w:t>
      </w:r>
      <w:r w:rsidRPr="006442A7">
        <w:rPr>
          <w:rFonts w:asciiTheme="majorBidi" w:hAnsiTheme="majorBidi" w:cstheme="majorBidi"/>
          <w:color w:val="1F1F1F"/>
          <w:rtl/>
        </w:rPr>
        <w:t xml:space="preserve"> (رسالة ماجستير غير منشورة). جامعة عمان العربية، عمان، الأردن.</w:t>
      </w:r>
    </w:p>
    <w:p w14:paraId="45685F4D"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صالح، محمود. (2023). دور ذكاء الأعمال في تعزيز الأداء العالي: دراسة ميدانية في المؤسسات المصرفية. </w:t>
      </w:r>
      <w:r w:rsidRPr="006442A7">
        <w:rPr>
          <w:rStyle w:val="a7"/>
          <w:rFonts w:asciiTheme="majorBidi" w:hAnsiTheme="majorBidi" w:cstheme="majorBidi"/>
          <w:i w:val="0"/>
          <w:iCs w:val="0"/>
          <w:color w:val="1F1F1F"/>
          <w:bdr w:val="none" w:sz="0" w:space="0" w:color="auto" w:frame="1"/>
          <w:rtl/>
        </w:rPr>
        <w:t>مجلة الدراسات التجارية المعاصرة</w:t>
      </w:r>
      <w:r w:rsidRPr="006442A7">
        <w:rPr>
          <w:rFonts w:asciiTheme="majorBidi" w:hAnsiTheme="majorBidi" w:cstheme="majorBidi"/>
          <w:color w:val="1F1F1F"/>
          <w:rtl/>
        </w:rPr>
        <w:t>.</w:t>
      </w:r>
    </w:p>
    <w:p w14:paraId="501CE77C"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الطويل، سرور بشير. (2025). أثر عمليات إدارة المعرفة في تحقيق الإبداع التنظيمي بجامعة </w:t>
      </w:r>
      <w:proofErr w:type="spellStart"/>
      <w:r w:rsidRPr="006442A7">
        <w:rPr>
          <w:rFonts w:asciiTheme="majorBidi" w:hAnsiTheme="majorBidi" w:cstheme="majorBidi"/>
          <w:color w:val="1F1F1F"/>
          <w:rtl/>
        </w:rPr>
        <w:t>مصراتة</w:t>
      </w:r>
      <w:proofErr w:type="spellEnd"/>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مجلة جامعة درنة للعلوم الإنسانية والاجتماعية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11</w:t>
      </w:r>
      <w:r w:rsidRPr="006442A7">
        <w:rPr>
          <w:rFonts w:asciiTheme="majorBidi" w:hAnsiTheme="majorBidi" w:cstheme="majorBidi"/>
          <w:color w:val="1F1F1F"/>
          <w:rtl/>
        </w:rPr>
        <w:t>(2)، 34-51.</w:t>
      </w:r>
    </w:p>
    <w:p w14:paraId="7FE96A11"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العتيبي، عبد الله بن حشر. (2023). دور إدارة المعرفة في تعزيز الأداء المؤسسي في الجامعات السعودية: دراسة حالة جامعة الملك سعود. </w:t>
      </w:r>
      <w:r w:rsidRPr="006442A7">
        <w:rPr>
          <w:rStyle w:val="a7"/>
          <w:rFonts w:asciiTheme="majorBidi" w:hAnsiTheme="majorBidi" w:cstheme="majorBidi"/>
          <w:i w:val="0"/>
          <w:iCs w:val="0"/>
          <w:color w:val="1F1F1F"/>
          <w:bdr w:val="none" w:sz="0" w:space="0" w:color="auto" w:frame="1"/>
          <w:rtl/>
        </w:rPr>
        <w:t>المجلة العربية للآداب والدراسات الإنسانية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6</w:t>
      </w:r>
      <w:r w:rsidRPr="006442A7">
        <w:rPr>
          <w:rFonts w:asciiTheme="majorBidi" w:hAnsiTheme="majorBidi" w:cstheme="majorBidi"/>
          <w:color w:val="1F1F1F"/>
          <w:rtl/>
        </w:rPr>
        <w:t>(2)، 15-40.</w:t>
      </w:r>
    </w:p>
    <w:p w14:paraId="38970F34"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العنزي، محمد بن حمدان. (2024). تأثير ممارسات إدارة الجودة الشاملة على الأداء المؤسسي: دراسة تطبيقية باستخدام معايير الاعتماد المؤسسي السعودي. </w:t>
      </w:r>
      <w:r w:rsidRPr="006442A7">
        <w:rPr>
          <w:rStyle w:val="a7"/>
          <w:rFonts w:asciiTheme="majorBidi" w:hAnsiTheme="majorBidi" w:cstheme="majorBidi"/>
          <w:i w:val="0"/>
          <w:iCs w:val="0"/>
          <w:color w:val="1F1F1F"/>
          <w:bdr w:val="none" w:sz="0" w:space="0" w:color="auto" w:frame="1"/>
          <w:rtl/>
        </w:rPr>
        <w:t>المجلة العربية للإدارة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42</w:t>
      </w:r>
      <w:r w:rsidRPr="006442A7">
        <w:rPr>
          <w:rFonts w:asciiTheme="majorBidi" w:hAnsiTheme="majorBidi" w:cstheme="majorBidi"/>
          <w:color w:val="1F1F1F"/>
          <w:rtl/>
        </w:rPr>
        <w:t>(4)، 201-224.</w:t>
      </w:r>
    </w:p>
    <w:p w14:paraId="162F0F7E"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الغامدي، خالد مسفر سعيد. (2023). أثر تطبيق الذكاء الاصطناعي على ممارسات إدارة الموارد البشرية: دراسة ميدانية في القطاع الحكومي السعودي. </w:t>
      </w:r>
      <w:r w:rsidRPr="006442A7">
        <w:rPr>
          <w:rStyle w:val="a7"/>
          <w:rFonts w:asciiTheme="majorBidi" w:hAnsiTheme="majorBidi" w:cstheme="majorBidi"/>
          <w:i w:val="0"/>
          <w:iCs w:val="0"/>
          <w:color w:val="1F1F1F"/>
          <w:bdr w:val="none" w:sz="0" w:space="0" w:color="auto" w:frame="1"/>
          <w:rtl/>
        </w:rPr>
        <w:t>مجلة العلوم الإنسانية والطبيعية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5</w:t>
      </w:r>
      <w:r w:rsidRPr="006442A7">
        <w:rPr>
          <w:rFonts w:asciiTheme="majorBidi" w:hAnsiTheme="majorBidi" w:cstheme="majorBidi"/>
          <w:color w:val="1F1F1F"/>
          <w:rtl/>
        </w:rPr>
        <w:t>(9)، 102-125.</w:t>
      </w:r>
    </w:p>
    <w:p w14:paraId="267200D5"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الغامدي، خالد مسفر سعيد. (2025). أثر تكنولوجيا المعلومات في كفاءة الأداء المؤسسي: بالتطبيق على وزارة الموارد البشرية-فرع الباحة خلال العام 2024م. </w:t>
      </w:r>
      <w:r w:rsidRPr="006442A7">
        <w:rPr>
          <w:rStyle w:val="a7"/>
          <w:rFonts w:asciiTheme="majorBidi" w:hAnsiTheme="majorBidi" w:cstheme="majorBidi"/>
          <w:i w:val="0"/>
          <w:iCs w:val="0"/>
          <w:color w:val="1F1F1F"/>
          <w:bdr w:val="none" w:sz="0" w:space="0" w:color="auto" w:frame="1"/>
          <w:rtl/>
        </w:rPr>
        <w:t>مجلة العلوم الإنسانية والطبيعية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6</w:t>
      </w:r>
      <w:r w:rsidRPr="006442A7">
        <w:rPr>
          <w:rFonts w:asciiTheme="majorBidi" w:hAnsiTheme="majorBidi" w:cstheme="majorBidi"/>
          <w:color w:val="1F1F1F"/>
          <w:rtl/>
        </w:rPr>
        <w:t>(11)، 55-80.</w:t>
      </w:r>
    </w:p>
    <w:p w14:paraId="7E96BDB9"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القحطاني، محمد علي، </w:t>
      </w:r>
      <w:proofErr w:type="spellStart"/>
      <w:r w:rsidRPr="006442A7">
        <w:rPr>
          <w:rFonts w:asciiTheme="majorBidi" w:hAnsiTheme="majorBidi" w:cstheme="majorBidi"/>
          <w:color w:val="1F1F1F"/>
          <w:rtl/>
        </w:rPr>
        <w:t>السريحي</w:t>
      </w:r>
      <w:proofErr w:type="spellEnd"/>
      <w:r w:rsidRPr="006442A7">
        <w:rPr>
          <w:rFonts w:asciiTheme="majorBidi" w:hAnsiTheme="majorBidi" w:cstheme="majorBidi"/>
          <w:color w:val="1F1F1F"/>
          <w:rtl/>
        </w:rPr>
        <w:t xml:space="preserve">، حسن عواد، </w:t>
      </w:r>
      <w:proofErr w:type="spellStart"/>
      <w:r w:rsidRPr="006442A7">
        <w:rPr>
          <w:rFonts w:asciiTheme="majorBidi" w:hAnsiTheme="majorBidi" w:cstheme="majorBidi"/>
          <w:color w:val="1F1F1F"/>
          <w:rtl/>
        </w:rPr>
        <w:t>وحمبيشي</w:t>
      </w:r>
      <w:proofErr w:type="spellEnd"/>
      <w:r w:rsidRPr="006442A7">
        <w:rPr>
          <w:rFonts w:asciiTheme="majorBidi" w:hAnsiTheme="majorBidi" w:cstheme="majorBidi"/>
          <w:color w:val="1F1F1F"/>
          <w:rtl/>
        </w:rPr>
        <w:t xml:space="preserve">، ناريمان خالد. (2026). نموذج </w:t>
      </w:r>
      <w:r w:rsidRPr="006442A7">
        <w:rPr>
          <w:rFonts w:asciiTheme="majorBidi" w:hAnsiTheme="majorBidi" w:cstheme="majorBidi"/>
          <w:color w:val="1F1F1F"/>
        </w:rPr>
        <w:t>SECI</w:t>
      </w:r>
      <w:r w:rsidRPr="006442A7">
        <w:rPr>
          <w:rFonts w:asciiTheme="majorBidi" w:hAnsiTheme="majorBidi" w:cstheme="majorBidi"/>
          <w:color w:val="1F1F1F"/>
          <w:rtl/>
        </w:rPr>
        <w:t xml:space="preserve"> وأبعاده على الابتكار المؤسسي: تأثير مشاركة المعرفة داخل مكتب تحقيق الرؤية التابع لوزارة البيئة والمياه </w:t>
      </w:r>
      <w:r w:rsidRPr="006442A7">
        <w:rPr>
          <w:rFonts w:asciiTheme="majorBidi" w:hAnsiTheme="majorBidi" w:cstheme="majorBidi"/>
          <w:color w:val="1F1F1F"/>
          <w:rtl/>
        </w:rPr>
        <w:lastRenderedPageBreak/>
        <w:t xml:space="preserve">والزراعة في المملكة العربية السعودية. </w:t>
      </w:r>
      <w:r w:rsidRPr="006442A7">
        <w:rPr>
          <w:rStyle w:val="a7"/>
          <w:rFonts w:asciiTheme="majorBidi" w:hAnsiTheme="majorBidi" w:cstheme="majorBidi"/>
          <w:i w:val="0"/>
          <w:iCs w:val="0"/>
          <w:color w:val="1F1F1F"/>
          <w:bdr w:val="none" w:sz="0" w:space="0" w:color="auto" w:frame="1"/>
        </w:rPr>
        <w:t>Journal of Information Studies and Technology</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2026</w:t>
      </w:r>
      <w:r w:rsidRPr="006442A7">
        <w:rPr>
          <w:rFonts w:asciiTheme="majorBidi" w:hAnsiTheme="majorBidi" w:cstheme="majorBidi"/>
          <w:color w:val="1F1F1F"/>
          <w:rtl/>
        </w:rPr>
        <w:t>(1)، 1-22.</w:t>
      </w:r>
    </w:p>
    <w:p w14:paraId="77F953F2"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proofErr w:type="spellStart"/>
      <w:r w:rsidRPr="006442A7">
        <w:rPr>
          <w:rFonts w:asciiTheme="majorBidi" w:hAnsiTheme="majorBidi" w:cstheme="majorBidi"/>
          <w:color w:val="1F1F1F"/>
          <w:rtl/>
        </w:rPr>
        <w:t>القيري</w:t>
      </w:r>
      <w:proofErr w:type="spellEnd"/>
      <w:r w:rsidRPr="006442A7">
        <w:rPr>
          <w:rFonts w:asciiTheme="majorBidi" w:hAnsiTheme="majorBidi" w:cstheme="majorBidi"/>
          <w:color w:val="1F1F1F"/>
          <w:rtl/>
        </w:rPr>
        <w:t xml:space="preserve">، صفاء قاسم أحمد. (2024). </w:t>
      </w:r>
      <w:r w:rsidRPr="006442A7">
        <w:rPr>
          <w:rStyle w:val="a7"/>
          <w:rFonts w:asciiTheme="majorBidi" w:hAnsiTheme="majorBidi" w:cstheme="majorBidi"/>
          <w:i w:val="0"/>
          <w:iCs w:val="0"/>
          <w:color w:val="1F1F1F"/>
          <w:bdr w:val="none" w:sz="0" w:space="0" w:color="auto" w:frame="1"/>
          <w:rtl/>
        </w:rPr>
        <w:t>أثر ذكاء الأعمال في تحقيق التميز المؤسسي: دراسة تطبيقية</w:t>
      </w:r>
      <w:r w:rsidRPr="006442A7">
        <w:rPr>
          <w:rFonts w:asciiTheme="majorBidi" w:hAnsiTheme="majorBidi" w:cstheme="majorBidi"/>
          <w:color w:val="1F1F1F"/>
          <w:rtl/>
        </w:rPr>
        <w:t xml:space="preserve"> (رسالة ماجستير غير منشورة). جامعة عدن، عدن، اليمن.</w:t>
      </w:r>
    </w:p>
    <w:p w14:paraId="331660C7"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proofErr w:type="spellStart"/>
      <w:r w:rsidRPr="006442A7">
        <w:rPr>
          <w:rFonts w:asciiTheme="majorBidi" w:hAnsiTheme="majorBidi" w:cstheme="majorBidi"/>
          <w:color w:val="1F1F1F"/>
          <w:rtl/>
        </w:rPr>
        <w:t>المصراتي</w:t>
      </w:r>
      <w:proofErr w:type="spellEnd"/>
      <w:r w:rsidRPr="006442A7">
        <w:rPr>
          <w:rFonts w:asciiTheme="majorBidi" w:hAnsiTheme="majorBidi" w:cstheme="majorBidi"/>
          <w:color w:val="1F1F1F"/>
          <w:rtl/>
        </w:rPr>
        <w:t xml:space="preserve">، بالقاسم علي. (2025). أثر إدارة المعرفة على أداء أعضاء هيئة التدريس: دراسة ميدانية في جامعة </w:t>
      </w:r>
      <w:proofErr w:type="spellStart"/>
      <w:r w:rsidRPr="006442A7">
        <w:rPr>
          <w:rFonts w:asciiTheme="majorBidi" w:hAnsiTheme="majorBidi" w:cstheme="majorBidi"/>
          <w:color w:val="1F1F1F"/>
          <w:rtl/>
        </w:rPr>
        <w:t>مصراتة</w:t>
      </w:r>
      <w:proofErr w:type="spellEnd"/>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مجلة الدراسات الاقتصادية</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9</w:t>
      </w:r>
      <w:r w:rsidRPr="006442A7">
        <w:rPr>
          <w:rFonts w:asciiTheme="majorBidi" w:hAnsiTheme="majorBidi" w:cstheme="majorBidi"/>
          <w:color w:val="1F1F1F"/>
          <w:rtl/>
        </w:rPr>
        <w:t>(1)، 143-167.</w:t>
      </w:r>
    </w:p>
    <w:p w14:paraId="7C8B817D" w14:textId="77777777" w:rsidR="0001620C" w:rsidRPr="006442A7" w:rsidRDefault="0001620C" w:rsidP="006442A7">
      <w:pPr>
        <w:pStyle w:val="a5"/>
        <w:numPr>
          <w:ilvl w:val="0"/>
          <w:numId w:val="31"/>
        </w:numPr>
        <w:bidi/>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tl/>
        </w:rPr>
        <w:t xml:space="preserve">المهيرات، بسام محمود. (2023). </w:t>
      </w:r>
      <w:r w:rsidRPr="006442A7">
        <w:rPr>
          <w:rStyle w:val="a7"/>
          <w:rFonts w:asciiTheme="majorBidi" w:hAnsiTheme="majorBidi" w:cstheme="majorBidi"/>
          <w:i w:val="0"/>
          <w:iCs w:val="0"/>
          <w:color w:val="1F1F1F"/>
          <w:bdr w:val="none" w:sz="0" w:space="0" w:color="auto" w:frame="1"/>
          <w:rtl/>
        </w:rPr>
        <w:t>أثر نظم ذكاء الأعمال على أداء العاملين في شركات الاتصالات الأردنية</w:t>
      </w:r>
      <w:r w:rsidRPr="006442A7">
        <w:rPr>
          <w:rFonts w:asciiTheme="majorBidi" w:hAnsiTheme="majorBidi" w:cstheme="majorBidi"/>
          <w:color w:val="1F1F1F"/>
          <w:rtl/>
        </w:rPr>
        <w:t>. دار الجليس الزمان للنشر والتوزيع.</w:t>
      </w:r>
    </w:p>
    <w:p w14:paraId="0EF39864" w14:textId="77777777" w:rsidR="0001620C" w:rsidRPr="006442A7" w:rsidRDefault="0001620C" w:rsidP="006442A7">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6442A7">
        <w:rPr>
          <w:rFonts w:asciiTheme="majorBidi" w:eastAsia="Times New Roman" w:hAnsiTheme="majorBidi" w:cstheme="majorBidi"/>
          <w:color w:val="1F1F1F"/>
          <w:sz w:val="24"/>
          <w:szCs w:val="24"/>
          <w:rtl/>
        </w:rPr>
        <w:t>ثانياً: المراجع الأجنبية (</w:t>
      </w:r>
      <w:r w:rsidRPr="006442A7">
        <w:rPr>
          <w:rFonts w:asciiTheme="majorBidi" w:eastAsia="Times New Roman" w:hAnsiTheme="majorBidi" w:cstheme="majorBidi"/>
          <w:color w:val="1F1F1F"/>
          <w:sz w:val="24"/>
          <w:szCs w:val="24"/>
        </w:rPr>
        <w:t>Foreign References</w:t>
      </w:r>
      <w:r w:rsidRPr="006442A7">
        <w:rPr>
          <w:rFonts w:asciiTheme="majorBidi" w:eastAsia="Times New Roman" w:hAnsiTheme="majorBidi" w:cstheme="majorBidi"/>
          <w:color w:val="1F1F1F"/>
          <w:sz w:val="24"/>
          <w:szCs w:val="24"/>
          <w:rtl/>
        </w:rPr>
        <w:t>)</w:t>
      </w:r>
    </w:p>
    <w:p w14:paraId="3229F119" w14:textId="77777777" w:rsidR="0001620C" w:rsidRPr="006442A7" w:rsidRDefault="0001620C" w:rsidP="006442A7">
      <w:pPr>
        <w:pStyle w:val="a5"/>
        <w:numPr>
          <w:ilvl w:val="0"/>
          <w:numId w:val="32"/>
        </w:numPr>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Pr>
        <w:t xml:space="preserve">Agha, S., </w:t>
      </w:r>
      <w:proofErr w:type="spellStart"/>
      <w:r w:rsidRPr="006442A7">
        <w:rPr>
          <w:rFonts w:asciiTheme="majorBidi" w:hAnsiTheme="majorBidi" w:cstheme="majorBidi"/>
          <w:color w:val="1F1F1F"/>
        </w:rPr>
        <w:t>Atwa</w:t>
      </w:r>
      <w:proofErr w:type="spellEnd"/>
      <w:r w:rsidRPr="006442A7">
        <w:rPr>
          <w:rFonts w:asciiTheme="majorBidi" w:hAnsiTheme="majorBidi" w:cstheme="majorBidi"/>
          <w:color w:val="1F1F1F"/>
        </w:rPr>
        <w:t>, E</w:t>
      </w:r>
      <w:r w:rsidRPr="006442A7">
        <w:rPr>
          <w:rFonts w:asciiTheme="majorBidi" w:hAnsiTheme="majorBidi" w:cstheme="majorBidi"/>
          <w:color w:val="1F1F1F"/>
          <w:rtl/>
        </w:rPr>
        <w:t xml:space="preserve">., &amp; </w:t>
      </w:r>
      <w:proofErr w:type="spellStart"/>
      <w:r w:rsidRPr="006442A7">
        <w:rPr>
          <w:rFonts w:asciiTheme="majorBidi" w:hAnsiTheme="majorBidi" w:cstheme="majorBidi"/>
          <w:color w:val="1F1F1F"/>
        </w:rPr>
        <w:t>Kiwan</w:t>
      </w:r>
      <w:proofErr w:type="spellEnd"/>
      <w:r w:rsidRPr="006442A7">
        <w:rPr>
          <w:rFonts w:asciiTheme="majorBidi" w:hAnsiTheme="majorBidi" w:cstheme="majorBidi"/>
          <w:color w:val="1F1F1F"/>
        </w:rPr>
        <w:t>, S. (2014). The impact of strategic intelligence on firm performance and the mediator role of strategic flexibility: An empirical research in biotechnology industry</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Pr>
        <w:t>International Journal of Management Science</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1</w:t>
      </w:r>
      <w:r w:rsidRPr="006442A7">
        <w:rPr>
          <w:rFonts w:asciiTheme="majorBidi" w:hAnsiTheme="majorBidi" w:cstheme="majorBidi"/>
          <w:color w:val="1F1F1F"/>
          <w:rtl/>
        </w:rPr>
        <w:t>(5), 65–72.</w:t>
      </w:r>
    </w:p>
    <w:p w14:paraId="0E130B7A" w14:textId="77777777" w:rsidR="0001620C" w:rsidRPr="006442A7" w:rsidRDefault="0001620C" w:rsidP="006442A7">
      <w:pPr>
        <w:pStyle w:val="a5"/>
        <w:numPr>
          <w:ilvl w:val="0"/>
          <w:numId w:val="32"/>
        </w:numPr>
        <w:spacing w:before="0" w:beforeAutospacing="0" w:after="0" w:afterAutospacing="0" w:line="360" w:lineRule="auto"/>
        <w:rPr>
          <w:rFonts w:asciiTheme="majorBidi" w:hAnsiTheme="majorBidi" w:cstheme="majorBidi"/>
          <w:color w:val="1F1F1F"/>
          <w:rtl/>
        </w:rPr>
      </w:pPr>
      <w:proofErr w:type="spellStart"/>
      <w:r w:rsidRPr="006442A7">
        <w:rPr>
          <w:rFonts w:asciiTheme="majorBidi" w:hAnsiTheme="majorBidi" w:cstheme="majorBidi"/>
          <w:color w:val="1F1F1F"/>
        </w:rPr>
        <w:t>Almarzooqi</w:t>
      </w:r>
      <w:proofErr w:type="spellEnd"/>
      <w:r w:rsidRPr="006442A7">
        <w:rPr>
          <w:rFonts w:asciiTheme="majorBidi" w:hAnsiTheme="majorBidi" w:cstheme="majorBidi"/>
          <w:color w:val="1F1F1F"/>
        </w:rPr>
        <w:t>, A. (2022). The impact of knowledge management on organizational performance: The mediating role of digital transformation</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Pr>
        <w:t>International Journal of Public Administration</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45</w:t>
      </w:r>
      <w:r w:rsidRPr="006442A7">
        <w:rPr>
          <w:rFonts w:asciiTheme="majorBidi" w:hAnsiTheme="majorBidi" w:cstheme="majorBidi"/>
          <w:color w:val="1F1F1F"/>
          <w:rtl/>
        </w:rPr>
        <w:t>(8), 612–628.</w:t>
      </w:r>
    </w:p>
    <w:p w14:paraId="0BABEE10" w14:textId="77777777" w:rsidR="0001620C" w:rsidRPr="006442A7" w:rsidRDefault="0001620C" w:rsidP="006442A7">
      <w:pPr>
        <w:pStyle w:val="a5"/>
        <w:numPr>
          <w:ilvl w:val="0"/>
          <w:numId w:val="32"/>
        </w:numPr>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Pr>
        <w:t>Grant, R. M. (1996). Toward a knowledge-based theory of the firm</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Pr>
        <w:t>Strategic Management Journal</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17</w:t>
      </w:r>
      <w:r w:rsidRPr="006442A7">
        <w:rPr>
          <w:rFonts w:asciiTheme="majorBidi" w:hAnsiTheme="majorBidi" w:cstheme="majorBidi"/>
          <w:color w:val="1F1F1F"/>
        </w:rPr>
        <w:t>(S2), 109–122</w:t>
      </w:r>
      <w:r w:rsidRPr="006442A7">
        <w:rPr>
          <w:rFonts w:asciiTheme="majorBidi" w:hAnsiTheme="majorBidi" w:cstheme="majorBidi"/>
          <w:color w:val="1F1F1F"/>
          <w:rtl/>
        </w:rPr>
        <w:t>.</w:t>
      </w:r>
    </w:p>
    <w:p w14:paraId="5DD88BC4" w14:textId="77777777" w:rsidR="0001620C" w:rsidRPr="006442A7" w:rsidRDefault="0001620C" w:rsidP="006442A7">
      <w:pPr>
        <w:pStyle w:val="a5"/>
        <w:numPr>
          <w:ilvl w:val="0"/>
          <w:numId w:val="32"/>
        </w:numPr>
        <w:spacing w:before="0" w:beforeAutospacing="0" w:after="0" w:afterAutospacing="0" w:line="360" w:lineRule="auto"/>
        <w:rPr>
          <w:rFonts w:asciiTheme="majorBidi" w:hAnsiTheme="majorBidi" w:cstheme="majorBidi"/>
          <w:color w:val="1F1F1F"/>
          <w:rtl/>
        </w:rPr>
      </w:pPr>
      <w:proofErr w:type="spellStart"/>
      <w:r w:rsidRPr="006442A7">
        <w:rPr>
          <w:rFonts w:asciiTheme="majorBidi" w:hAnsiTheme="majorBidi" w:cstheme="majorBidi"/>
          <w:color w:val="1F1F1F"/>
        </w:rPr>
        <w:t>Keikha</w:t>
      </w:r>
      <w:proofErr w:type="spellEnd"/>
      <w:r w:rsidRPr="006442A7">
        <w:rPr>
          <w:rFonts w:asciiTheme="majorBidi" w:hAnsiTheme="majorBidi" w:cstheme="majorBidi"/>
          <w:color w:val="1F1F1F"/>
        </w:rPr>
        <w:t xml:space="preserve">, A. H., </w:t>
      </w:r>
      <w:proofErr w:type="spellStart"/>
      <w:r w:rsidRPr="006442A7">
        <w:rPr>
          <w:rFonts w:asciiTheme="majorBidi" w:hAnsiTheme="majorBidi" w:cstheme="majorBidi"/>
          <w:color w:val="1F1F1F"/>
        </w:rPr>
        <w:t>Hadada</w:t>
      </w:r>
      <w:proofErr w:type="spellEnd"/>
      <w:r w:rsidRPr="006442A7">
        <w:rPr>
          <w:rFonts w:asciiTheme="majorBidi" w:hAnsiTheme="majorBidi" w:cstheme="majorBidi"/>
          <w:color w:val="1F1F1F"/>
        </w:rPr>
        <w:t>, E</w:t>
      </w:r>
      <w:r w:rsidRPr="006442A7">
        <w:rPr>
          <w:rFonts w:asciiTheme="majorBidi" w:hAnsiTheme="majorBidi" w:cstheme="majorBidi"/>
          <w:color w:val="1F1F1F"/>
          <w:rtl/>
        </w:rPr>
        <w:t xml:space="preserve">., &amp; </w:t>
      </w:r>
      <w:proofErr w:type="spellStart"/>
      <w:r w:rsidRPr="006442A7">
        <w:rPr>
          <w:rFonts w:asciiTheme="majorBidi" w:hAnsiTheme="majorBidi" w:cstheme="majorBidi"/>
          <w:color w:val="1F1F1F"/>
        </w:rPr>
        <w:t>Keikha</w:t>
      </w:r>
      <w:proofErr w:type="spellEnd"/>
      <w:r w:rsidRPr="006442A7">
        <w:rPr>
          <w:rFonts w:asciiTheme="majorBidi" w:hAnsiTheme="majorBidi" w:cstheme="majorBidi"/>
          <w:color w:val="1F1F1F"/>
        </w:rPr>
        <w:t>, A. (2016). Investigating effects of strategic intelligence of managers on the performance of employees (Case Study: Private Banks in city of Zahedan)</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Pr>
        <w:t>International Journal of Scientific</w:t>
      </w:r>
      <w:r w:rsidRPr="006442A7">
        <w:rPr>
          <w:rStyle w:val="a7"/>
          <w:rFonts w:asciiTheme="majorBidi" w:hAnsiTheme="majorBidi" w:cstheme="majorBidi"/>
          <w:i w:val="0"/>
          <w:iCs w:val="0"/>
          <w:color w:val="1F1F1F"/>
          <w:bdr w:val="none" w:sz="0" w:space="0" w:color="auto" w:frame="1"/>
          <w:rtl/>
        </w:rPr>
        <w:t xml:space="preserve"> &amp; </w:t>
      </w:r>
      <w:r w:rsidRPr="006442A7">
        <w:rPr>
          <w:rStyle w:val="a7"/>
          <w:rFonts w:asciiTheme="majorBidi" w:hAnsiTheme="majorBidi" w:cstheme="majorBidi"/>
          <w:i w:val="0"/>
          <w:iCs w:val="0"/>
          <w:color w:val="1F1F1F"/>
          <w:bdr w:val="none" w:sz="0" w:space="0" w:color="auto" w:frame="1"/>
        </w:rPr>
        <w:t>Engineering Research</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7</w:t>
      </w:r>
      <w:r w:rsidRPr="006442A7">
        <w:rPr>
          <w:rFonts w:asciiTheme="majorBidi" w:hAnsiTheme="majorBidi" w:cstheme="majorBidi"/>
          <w:color w:val="1F1F1F"/>
          <w:rtl/>
        </w:rPr>
        <w:t>(3), 263–277.</w:t>
      </w:r>
    </w:p>
    <w:p w14:paraId="5776C1A2" w14:textId="77777777" w:rsidR="0001620C" w:rsidRPr="006442A7" w:rsidRDefault="0001620C" w:rsidP="006442A7">
      <w:pPr>
        <w:pStyle w:val="a5"/>
        <w:numPr>
          <w:ilvl w:val="0"/>
          <w:numId w:val="32"/>
        </w:numPr>
        <w:spacing w:before="0" w:beforeAutospacing="0" w:after="0" w:afterAutospacing="0" w:line="360" w:lineRule="auto"/>
        <w:rPr>
          <w:rFonts w:asciiTheme="majorBidi" w:hAnsiTheme="majorBidi" w:cstheme="majorBidi"/>
          <w:color w:val="1F1F1F"/>
          <w:rtl/>
        </w:rPr>
      </w:pPr>
      <w:r w:rsidRPr="006442A7">
        <w:rPr>
          <w:rFonts w:asciiTheme="majorBidi" w:hAnsiTheme="majorBidi" w:cstheme="majorBidi"/>
          <w:color w:val="1F1F1F"/>
        </w:rPr>
        <w:t>Smith, J</w:t>
      </w:r>
      <w:r w:rsidRPr="006442A7">
        <w:rPr>
          <w:rFonts w:asciiTheme="majorBidi" w:hAnsiTheme="majorBidi" w:cstheme="majorBidi"/>
          <w:color w:val="1F1F1F"/>
          <w:rtl/>
        </w:rPr>
        <w:t xml:space="preserve">., &amp; </w:t>
      </w:r>
      <w:r w:rsidRPr="006442A7">
        <w:rPr>
          <w:rFonts w:asciiTheme="majorBidi" w:hAnsiTheme="majorBidi" w:cstheme="majorBidi"/>
          <w:color w:val="1F1F1F"/>
        </w:rPr>
        <w:t>Johnson, L. (2023). Bridging the gap: Knowledge management, business intelligence, and organizational agility in public institutions</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Pr>
        <w:t>Journal of Public Management</w:t>
      </w:r>
      <w:r w:rsidRPr="006442A7">
        <w:rPr>
          <w:rStyle w:val="a7"/>
          <w:rFonts w:asciiTheme="majorBidi" w:hAnsiTheme="majorBidi" w:cstheme="majorBidi"/>
          <w:i w:val="0"/>
          <w:iCs w:val="0"/>
          <w:color w:val="1F1F1F"/>
          <w:bdr w:val="none" w:sz="0" w:space="0" w:color="auto" w:frame="1"/>
          <w:rtl/>
        </w:rPr>
        <w:t xml:space="preserve"> &amp; </w:t>
      </w:r>
      <w:r w:rsidRPr="006442A7">
        <w:rPr>
          <w:rStyle w:val="a7"/>
          <w:rFonts w:asciiTheme="majorBidi" w:hAnsiTheme="majorBidi" w:cstheme="majorBidi"/>
          <w:i w:val="0"/>
          <w:iCs w:val="0"/>
          <w:color w:val="1F1F1F"/>
          <w:bdr w:val="none" w:sz="0" w:space="0" w:color="auto" w:frame="1"/>
        </w:rPr>
        <w:t>Policy</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29</w:t>
      </w:r>
      <w:r w:rsidRPr="006442A7">
        <w:rPr>
          <w:rFonts w:asciiTheme="majorBidi" w:hAnsiTheme="majorBidi" w:cstheme="majorBidi"/>
          <w:color w:val="1F1F1F"/>
          <w:rtl/>
        </w:rPr>
        <w:t>(3), 301–324.</w:t>
      </w:r>
    </w:p>
    <w:p w14:paraId="01EF3F1E" w14:textId="77777777" w:rsidR="0001620C" w:rsidRPr="006442A7" w:rsidRDefault="0001620C" w:rsidP="006442A7">
      <w:pPr>
        <w:pStyle w:val="a5"/>
        <w:numPr>
          <w:ilvl w:val="0"/>
          <w:numId w:val="32"/>
        </w:numPr>
        <w:spacing w:before="0" w:beforeAutospacing="0" w:after="0" w:afterAutospacing="0" w:line="360" w:lineRule="auto"/>
        <w:rPr>
          <w:rFonts w:asciiTheme="majorBidi" w:hAnsiTheme="majorBidi" w:cstheme="majorBidi"/>
          <w:color w:val="1F1F1F"/>
          <w:rtl/>
        </w:rPr>
      </w:pPr>
      <w:proofErr w:type="spellStart"/>
      <w:r w:rsidRPr="006442A7">
        <w:rPr>
          <w:rFonts w:asciiTheme="majorBidi" w:hAnsiTheme="majorBidi" w:cstheme="majorBidi"/>
          <w:color w:val="1F1F1F"/>
        </w:rPr>
        <w:t>Teece</w:t>
      </w:r>
      <w:proofErr w:type="spellEnd"/>
      <w:r w:rsidRPr="006442A7">
        <w:rPr>
          <w:rFonts w:asciiTheme="majorBidi" w:hAnsiTheme="majorBidi" w:cstheme="majorBidi"/>
          <w:color w:val="1F1F1F"/>
        </w:rPr>
        <w:t>, D. J., Pisano, G</w:t>
      </w:r>
      <w:r w:rsidRPr="006442A7">
        <w:rPr>
          <w:rFonts w:asciiTheme="majorBidi" w:hAnsiTheme="majorBidi" w:cstheme="majorBidi"/>
          <w:color w:val="1F1F1F"/>
          <w:rtl/>
        </w:rPr>
        <w:t xml:space="preserve">., &amp; </w:t>
      </w:r>
      <w:proofErr w:type="spellStart"/>
      <w:r w:rsidRPr="006442A7">
        <w:rPr>
          <w:rFonts w:asciiTheme="majorBidi" w:hAnsiTheme="majorBidi" w:cstheme="majorBidi"/>
          <w:color w:val="1F1F1F"/>
        </w:rPr>
        <w:t>Shuen</w:t>
      </w:r>
      <w:proofErr w:type="spellEnd"/>
      <w:r w:rsidRPr="006442A7">
        <w:rPr>
          <w:rFonts w:asciiTheme="majorBidi" w:hAnsiTheme="majorBidi" w:cstheme="majorBidi"/>
          <w:color w:val="1F1F1F"/>
        </w:rPr>
        <w:t>, A. (1997). Dynamic capabilities and strategic management</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Pr>
        <w:t>Strategic Management Journal</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tl/>
        </w:rPr>
        <w:t>18</w:t>
      </w:r>
      <w:r w:rsidRPr="006442A7">
        <w:rPr>
          <w:rFonts w:asciiTheme="majorBidi" w:hAnsiTheme="majorBidi" w:cstheme="majorBidi"/>
          <w:color w:val="1F1F1F"/>
          <w:rtl/>
        </w:rPr>
        <w:t>(7), 509–533.</w:t>
      </w:r>
    </w:p>
    <w:p w14:paraId="52551E84" w14:textId="77777777" w:rsidR="0001620C" w:rsidRPr="006442A7" w:rsidRDefault="0001620C" w:rsidP="006442A7">
      <w:pPr>
        <w:pStyle w:val="a5"/>
        <w:numPr>
          <w:ilvl w:val="0"/>
          <w:numId w:val="32"/>
        </w:numPr>
        <w:spacing w:before="0" w:beforeAutospacing="0" w:after="0" w:afterAutospacing="0" w:line="360" w:lineRule="auto"/>
        <w:rPr>
          <w:rFonts w:asciiTheme="majorBidi" w:hAnsiTheme="majorBidi" w:cstheme="majorBidi"/>
          <w:color w:val="1F1F1F"/>
          <w:rtl/>
        </w:rPr>
      </w:pPr>
      <w:proofErr w:type="spellStart"/>
      <w:r w:rsidRPr="006442A7">
        <w:rPr>
          <w:rFonts w:asciiTheme="majorBidi" w:hAnsiTheme="majorBidi" w:cstheme="majorBidi"/>
          <w:color w:val="1F1F1F"/>
        </w:rPr>
        <w:t>Tornatzky</w:t>
      </w:r>
      <w:proofErr w:type="spellEnd"/>
      <w:r w:rsidRPr="006442A7">
        <w:rPr>
          <w:rFonts w:asciiTheme="majorBidi" w:hAnsiTheme="majorBidi" w:cstheme="majorBidi"/>
          <w:color w:val="1F1F1F"/>
        </w:rPr>
        <w:t>, L. G</w:t>
      </w:r>
      <w:r w:rsidRPr="006442A7">
        <w:rPr>
          <w:rFonts w:asciiTheme="majorBidi" w:hAnsiTheme="majorBidi" w:cstheme="majorBidi"/>
          <w:color w:val="1F1F1F"/>
          <w:rtl/>
        </w:rPr>
        <w:t xml:space="preserve">., &amp; </w:t>
      </w:r>
      <w:r w:rsidRPr="006442A7">
        <w:rPr>
          <w:rFonts w:asciiTheme="majorBidi" w:hAnsiTheme="majorBidi" w:cstheme="majorBidi"/>
          <w:color w:val="1F1F1F"/>
        </w:rPr>
        <w:t>Fleischer, M. (1990)</w:t>
      </w:r>
      <w:r w:rsidRPr="006442A7">
        <w:rPr>
          <w:rFonts w:asciiTheme="majorBidi" w:hAnsiTheme="majorBidi" w:cstheme="majorBidi"/>
          <w:color w:val="1F1F1F"/>
          <w:rtl/>
        </w:rPr>
        <w:t xml:space="preserve">. </w:t>
      </w:r>
      <w:r w:rsidRPr="006442A7">
        <w:rPr>
          <w:rStyle w:val="a7"/>
          <w:rFonts w:asciiTheme="majorBidi" w:hAnsiTheme="majorBidi" w:cstheme="majorBidi"/>
          <w:i w:val="0"/>
          <w:iCs w:val="0"/>
          <w:color w:val="1F1F1F"/>
          <w:bdr w:val="none" w:sz="0" w:space="0" w:color="auto" w:frame="1"/>
        </w:rPr>
        <w:t>The processes of technological innovation</w:t>
      </w:r>
      <w:r w:rsidRPr="006442A7">
        <w:rPr>
          <w:rFonts w:asciiTheme="majorBidi" w:hAnsiTheme="majorBidi" w:cstheme="majorBidi"/>
          <w:color w:val="1F1F1F"/>
          <w:rtl/>
        </w:rPr>
        <w:t xml:space="preserve">. </w:t>
      </w:r>
      <w:r w:rsidRPr="006442A7">
        <w:rPr>
          <w:rFonts w:asciiTheme="majorBidi" w:hAnsiTheme="majorBidi" w:cstheme="majorBidi"/>
          <w:color w:val="1F1F1F"/>
        </w:rPr>
        <w:t>Lexington Books</w:t>
      </w:r>
      <w:r w:rsidRPr="006442A7">
        <w:rPr>
          <w:rFonts w:asciiTheme="majorBidi" w:hAnsiTheme="majorBidi" w:cstheme="majorBidi"/>
          <w:color w:val="1F1F1F"/>
          <w:rtl/>
        </w:rPr>
        <w:t>.</w:t>
      </w:r>
    </w:p>
    <w:p w14:paraId="63255EEF" w14:textId="77777777" w:rsidR="0021015F" w:rsidRPr="00804424" w:rsidRDefault="0021015F" w:rsidP="00A60B4D">
      <w:pPr>
        <w:pStyle w:val="1"/>
        <w:spacing w:before="0" w:beforeAutospacing="0" w:after="120" w:afterAutospacing="0" w:line="360" w:lineRule="auto"/>
        <w:rPr>
          <w:rFonts w:asciiTheme="majorBidi" w:hAnsiTheme="majorBidi" w:cstheme="majorBidi"/>
          <w:color w:val="1F1F1F"/>
          <w:sz w:val="24"/>
          <w:szCs w:val="24"/>
          <w:rtl/>
        </w:rPr>
      </w:pPr>
    </w:p>
    <w:sectPr w:rsidR="0021015F" w:rsidRPr="00804424"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B20F" w14:textId="77777777" w:rsidR="001358D9" w:rsidRDefault="001358D9" w:rsidP="009125CE">
      <w:pPr>
        <w:spacing w:after="0" w:line="240" w:lineRule="auto"/>
      </w:pPr>
      <w:r>
        <w:separator/>
      </w:r>
    </w:p>
  </w:endnote>
  <w:endnote w:type="continuationSeparator" w:id="0">
    <w:p w14:paraId="1983E1B3" w14:textId="77777777" w:rsidR="001358D9" w:rsidRDefault="001358D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E1D94" w14:textId="77777777" w:rsidR="001358D9" w:rsidRDefault="001358D9" w:rsidP="009125CE">
      <w:pPr>
        <w:spacing w:after="0" w:line="240" w:lineRule="auto"/>
      </w:pPr>
      <w:r>
        <w:separator/>
      </w:r>
    </w:p>
  </w:footnote>
  <w:footnote w:type="continuationSeparator" w:id="0">
    <w:p w14:paraId="51D2ABDF" w14:textId="77777777" w:rsidR="001358D9" w:rsidRDefault="001358D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1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C1C7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6529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E54A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2A5B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6943A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8948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8C4C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1317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0279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A00E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1D4C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6939D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6B2C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4F4D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EE10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947E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A17E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BB63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7C2E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0252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C66C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DA64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4150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0D48D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6A4685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C5671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833DB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330B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DE33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4C0E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913252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4318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9401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BF33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E67C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6C75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EA51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BA6BB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37B34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517A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68555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F471D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7C004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5346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492B1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EDB09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7A15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672D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FDF69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7523354">
    <w:abstractNumId w:val="24"/>
  </w:num>
  <w:num w:numId="2" w16cid:durableId="1695964128">
    <w:abstractNumId w:val="48"/>
  </w:num>
  <w:num w:numId="3" w16cid:durableId="765611980">
    <w:abstractNumId w:val="46"/>
  </w:num>
  <w:num w:numId="4" w16cid:durableId="545261446">
    <w:abstractNumId w:val="31"/>
  </w:num>
  <w:num w:numId="5" w16cid:durableId="1252661732">
    <w:abstractNumId w:val="15"/>
  </w:num>
  <w:num w:numId="6" w16cid:durableId="1977878195">
    <w:abstractNumId w:val="1"/>
  </w:num>
  <w:num w:numId="7" w16cid:durableId="520634243">
    <w:abstractNumId w:val="38"/>
  </w:num>
  <w:num w:numId="8" w16cid:durableId="1288243707">
    <w:abstractNumId w:val="32"/>
  </w:num>
  <w:num w:numId="9" w16cid:durableId="1200164416">
    <w:abstractNumId w:val="35"/>
  </w:num>
  <w:num w:numId="10" w16cid:durableId="1920212602">
    <w:abstractNumId w:val="27"/>
  </w:num>
  <w:num w:numId="11" w16cid:durableId="1284848124">
    <w:abstractNumId w:val="2"/>
  </w:num>
  <w:num w:numId="12" w16cid:durableId="830606347">
    <w:abstractNumId w:val="0"/>
  </w:num>
  <w:num w:numId="13" w16cid:durableId="1094783482">
    <w:abstractNumId w:val="21"/>
  </w:num>
  <w:num w:numId="14" w16cid:durableId="742263612">
    <w:abstractNumId w:val="33"/>
  </w:num>
  <w:num w:numId="15" w16cid:durableId="788475739">
    <w:abstractNumId w:val="26"/>
  </w:num>
  <w:num w:numId="16" w16cid:durableId="2114470785">
    <w:abstractNumId w:val="44"/>
  </w:num>
  <w:num w:numId="17" w16cid:durableId="1523788033">
    <w:abstractNumId w:val="28"/>
  </w:num>
  <w:num w:numId="18" w16cid:durableId="1224947105">
    <w:abstractNumId w:val="29"/>
  </w:num>
  <w:num w:numId="19" w16cid:durableId="2107917386">
    <w:abstractNumId w:val="13"/>
  </w:num>
  <w:num w:numId="20" w16cid:durableId="871698071">
    <w:abstractNumId w:val="14"/>
  </w:num>
  <w:num w:numId="21" w16cid:durableId="338586003">
    <w:abstractNumId w:val="43"/>
  </w:num>
  <w:num w:numId="22" w16cid:durableId="380053479">
    <w:abstractNumId w:val="6"/>
  </w:num>
  <w:num w:numId="23" w16cid:durableId="489441965">
    <w:abstractNumId w:val="7"/>
  </w:num>
  <w:num w:numId="24" w16cid:durableId="349836683">
    <w:abstractNumId w:val="4"/>
  </w:num>
  <w:num w:numId="25" w16cid:durableId="1332682667">
    <w:abstractNumId w:val="22"/>
  </w:num>
  <w:num w:numId="26" w16cid:durableId="1648777983">
    <w:abstractNumId w:val="19"/>
  </w:num>
  <w:num w:numId="27" w16cid:durableId="1907451181">
    <w:abstractNumId w:val="18"/>
  </w:num>
  <w:num w:numId="28" w16cid:durableId="431366958">
    <w:abstractNumId w:val="23"/>
  </w:num>
  <w:num w:numId="29" w16cid:durableId="153110577">
    <w:abstractNumId w:val="30"/>
  </w:num>
  <w:num w:numId="30" w16cid:durableId="35592732">
    <w:abstractNumId w:val="25"/>
  </w:num>
  <w:num w:numId="31" w16cid:durableId="1777285646">
    <w:abstractNumId w:val="42"/>
  </w:num>
  <w:num w:numId="32" w16cid:durableId="1661880854">
    <w:abstractNumId w:val="39"/>
  </w:num>
  <w:num w:numId="33" w16cid:durableId="1912544961">
    <w:abstractNumId w:val="40"/>
  </w:num>
  <w:num w:numId="34" w16cid:durableId="339162972">
    <w:abstractNumId w:val="9"/>
  </w:num>
  <w:num w:numId="35" w16cid:durableId="1952087344">
    <w:abstractNumId w:val="11"/>
  </w:num>
  <w:num w:numId="36" w16cid:durableId="107162808">
    <w:abstractNumId w:val="49"/>
  </w:num>
  <w:num w:numId="37" w16cid:durableId="1901750954">
    <w:abstractNumId w:val="12"/>
  </w:num>
  <w:num w:numId="38" w16cid:durableId="1807039974">
    <w:abstractNumId w:val="37"/>
  </w:num>
  <w:num w:numId="39" w16cid:durableId="1178497676">
    <w:abstractNumId w:val="41"/>
  </w:num>
  <w:num w:numId="40" w16cid:durableId="1590382263">
    <w:abstractNumId w:val="45"/>
  </w:num>
  <w:num w:numId="41" w16cid:durableId="1401098494">
    <w:abstractNumId w:val="3"/>
  </w:num>
  <w:num w:numId="42" w16cid:durableId="1331567743">
    <w:abstractNumId w:val="20"/>
  </w:num>
  <w:num w:numId="43" w16cid:durableId="158160785">
    <w:abstractNumId w:val="5"/>
  </w:num>
  <w:num w:numId="44" w16cid:durableId="1996643400">
    <w:abstractNumId w:val="16"/>
  </w:num>
  <w:num w:numId="45" w16cid:durableId="156383405">
    <w:abstractNumId w:val="10"/>
  </w:num>
  <w:num w:numId="46" w16cid:durableId="1357347173">
    <w:abstractNumId w:val="8"/>
  </w:num>
  <w:num w:numId="47" w16cid:durableId="1242911961">
    <w:abstractNumId w:val="36"/>
  </w:num>
  <w:num w:numId="48" w16cid:durableId="662661421">
    <w:abstractNumId w:val="34"/>
  </w:num>
  <w:num w:numId="49" w16cid:durableId="1598639288">
    <w:abstractNumId w:val="17"/>
  </w:num>
  <w:num w:numId="50" w16cid:durableId="568466457">
    <w:abstractNumId w:val="4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774"/>
    <w:rsid w:val="00006BC8"/>
    <w:rsid w:val="00006EB1"/>
    <w:rsid w:val="00014158"/>
    <w:rsid w:val="0001620C"/>
    <w:rsid w:val="00017E36"/>
    <w:rsid w:val="000274B3"/>
    <w:rsid w:val="00030F43"/>
    <w:rsid w:val="000425DA"/>
    <w:rsid w:val="0004673F"/>
    <w:rsid w:val="000504DE"/>
    <w:rsid w:val="000608E8"/>
    <w:rsid w:val="00067F9A"/>
    <w:rsid w:val="0007240B"/>
    <w:rsid w:val="00077876"/>
    <w:rsid w:val="0008447E"/>
    <w:rsid w:val="000B5766"/>
    <w:rsid w:val="000B6083"/>
    <w:rsid w:val="000B7D53"/>
    <w:rsid w:val="000C2163"/>
    <w:rsid w:val="000C5FAA"/>
    <w:rsid w:val="000D5BC7"/>
    <w:rsid w:val="000E6E95"/>
    <w:rsid w:val="000F44B4"/>
    <w:rsid w:val="001045C5"/>
    <w:rsid w:val="0011371B"/>
    <w:rsid w:val="00113E71"/>
    <w:rsid w:val="00114E49"/>
    <w:rsid w:val="00121042"/>
    <w:rsid w:val="0012403C"/>
    <w:rsid w:val="00125F95"/>
    <w:rsid w:val="00130BFC"/>
    <w:rsid w:val="001358D9"/>
    <w:rsid w:val="00141B96"/>
    <w:rsid w:val="00147D41"/>
    <w:rsid w:val="00150CAB"/>
    <w:rsid w:val="001639EF"/>
    <w:rsid w:val="00165FDC"/>
    <w:rsid w:val="001867AC"/>
    <w:rsid w:val="00187228"/>
    <w:rsid w:val="001902DB"/>
    <w:rsid w:val="00197B85"/>
    <w:rsid w:val="001C2162"/>
    <w:rsid w:val="001C61DD"/>
    <w:rsid w:val="001C77FE"/>
    <w:rsid w:val="001D0045"/>
    <w:rsid w:val="001E7394"/>
    <w:rsid w:val="001F7173"/>
    <w:rsid w:val="00207061"/>
    <w:rsid w:val="0021015F"/>
    <w:rsid w:val="00236F10"/>
    <w:rsid w:val="002402B8"/>
    <w:rsid w:val="00241554"/>
    <w:rsid w:val="002465D9"/>
    <w:rsid w:val="00246651"/>
    <w:rsid w:val="00261A1C"/>
    <w:rsid w:val="00277822"/>
    <w:rsid w:val="002865EE"/>
    <w:rsid w:val="00295427"/>
    <w:rsid w:val="002A287A"/>
    <w:rsid w:val="002B3880"/>
    <w:rsid w:val="002B4165"/>
    <w:rsid w:val="002B5B59"/>
    <w:rsid w:val="002C191A"/>
    <w:rsid w:val="002D4A67"/>
    <w:rsid w:val="002D533B"/>
    <w:rsid w:val="002E5DA2"/>
    <w:rsid w:val="002E6C11"/>
    <w:rsid w:val="002F4D4F"/>
    <w:rsid w:val="00302660"/>
    <w:rsid w:val="003029CC"/>
    <w:rsid w:val="003033F3"/>
    <w:rsid w:val="00345DAF"/>
    <w:rsid w:val="003463E3"/>
    <w:rsid w:val="00351E7B"/>
    <w:rsid w:val="00375CCA"/>
    <w:rsid w:val="00385A80"/>
    <w:rsid w:val="003939DA"/>
    <w:rsid w:val="00396571"/>
    <w:rsid w:val="003B05F5"/>
    <w:rsid w:val="003B317E"/>
    <w:rsid w:val="003C0B41"/>
    <w:rsid w:val="003E3B7C"/>
    <w:rsid w:val="003E6F77"/>
    <w:rsid w:val="003F0C87"/>
    <w:rsid w:val="003F2811"/>
    <w:rsid w:val="004033C8"/>
    <w:rsid w:val="00417BE5"/>
    <w:rsid w:val="004256E7"/>
    <w:rsid w:val="00432D70"/>
    <w:rsid w:val="00440191"/>
    <w:rsid w:val="00440EC8"/>
    <w:rsid w:val="004438BA"/>
    <w:rsid w:val="00447AEC"/>
    <w:rsid w:val="00455961"/>
    <w:rsid w:val="004578C7"/>
    <w:rsid w:val="0047707C"/>
    <w:rsid w:val="004803CA"/>
    <w:rsid w:val="00482F62"/>
    <w:rsid w:val="00484462"/>
    <w:rsid w:val="004A4512"/>
    <w:rsid w:val="004B0AB4"/>
    <w:rsid w:val="004B5B1B"/>
    <w:rsid w:val="004C1637"/>
    <w:rsid w:val="004D3271"/>
    <w:rsid w:val="004D3DEA"/>
    <w:rsid w:val="004D7B59"/>
    <w:rsid w:val="004E2743"/>
    <w:rsid w:val="004E5DAF"/>
    <w:rsid w:val="00506576"/>
    <w:rsid w:val="00506E44"/>
    <w:rsid w:val="005129D2"/>
    <w:rsid w:val="00523C6E"/>
    <w:rsid w:val="005277CA"/>
    <w:rsid w:val="00527C47"/>
    <w:rsid w:val="00535358"/>
    <w:rsid w:val="00550576"/>
    <w:rsid w:val="00566673"/>
    <w:rsid w:val="005732D7"/>
    <w:rsid w:val="00583D39"/>
    <w:rsid w:val="00587F75"/>
    <w:rsid w:val="00590B27"/>
    <w:rsid w:val="005B0106"/>
    <w:rsid w:val="005B5EE0"/>
    <w:rsid w:val="005C0AD5"/>
    <w:rsid w:val="005D1C60"/>
    <w:rsid w:val="005E095B"/>
    <w:rsid w:val="005E62A6"/>
    <w:rsid w:val="005F6398"/>
    <w:rsid w:val="0062761F"/>
    <w:rsid w:val="006417D1"/>
    <w:rsid w:val="006442A7"/>
    <w:rsid w:val="00653605"/>
    <w:rsid w:val="00654419"/>
    <w:rsid w:val="00655266"/>
    <w:rsid w:val="00656640"/>
    <w:rsid w:val="00660179"/>
    <w:rsid w:val="00665003"/>
    <w:rsid w:val="00670A28"/>
    <w:rsid w:val="00675A38"/>
    <w:rsid w:val="00680969"/>
    <w:rsid w:val="006878EC"/>
    <w:rsid w:val="006948DE"/>
    <w:rsid w:val="006A6286"/>
    <w:rsid w:val="006E3C16"/>
    <w:rsid w:val="006E6CE6"/>
    <w:rsid w:val="007003E1"/>
    <w:rsid w:val="00707422"/>
    <w:rsid w:val="00712FAD"/>
    <w:rsid w:val="00743156"/>
    <w:rsid w:val="007626D1"/>
    <w:rsid w:val="00764084"/>
    <w:rsid w:val="007719CD"/>
    <w:rsid w:val="00773DFA"/>
    <w:rsid w:val="007808C7"/>
    <w:rsid w:val="007864BE"/>
    <w:rsid w:val="00796794"/>
    <w:rsid w:val="007A4892"/>
    <w:rsid w:val="007A6DF3"/>
    <w:rsid w:val="007B0E54"/>
    <w:rsid w:val="007B70D2"/>
    <w:rsid w:val="007D5298"/>
    <w:rsid w:val="007E02F9"/>
    <w:rsid w:val="007E3A20"/>
    <w:rsid w:val="008011D9"/>
    <w:rsid w:val="00804424"/>
    <w:rsid w:val="0087158C"/>
    <w:rsid w:val="00877AAC"/>
    <w:rsid w:val="008805E6"/>
    <w:rsid w:val="008A2F22"/>
    <w:rsid w:val="008B08B6"/>
    <w:rsid w:val="008C0ADA"/>
    <w:rsid w:val="008E0014"/>
    <w:rsid w:val="008E053D"/>
    <w:rsid w:val="008F1EAE"/>
    <w:rsid w:val="008F4BD4"/>
    <w:rsid w:val="008F7EB2"/>
    <w:rsid w:val="00910F99"/>
    <w:rsid w:val="0091172D"/>
    <w:rsid w:val="009125CE"/>
    <w:rsid w:val="00914DDB"/>
    <w:rsid w:val="009249DA"/>
    <w:rsid w:val="00924DDB"/>
    <w:rsid w:val="009636FB"/>
    <w:rsid w:val="00973F5E"/>
    <w:rsid w:val="00984B05"/>
    <w:rsid w:val="0098629B"/>
    <w:rsid w:val="009909C1"/>
    <w:rsid w:val="009A59D0"/>
    <w:rsid w:val="009B53CA"/>
    <w:rsid w:val="009B6888"/>
    <w:rsid w:val="009C0161"/>
    <w:rsid w:val="009C2E15"/>
    <w:rsid w:val="009C413A"/>
    <w:rsid w:val="009C5769"/>
    <w:rsid w:val="009C74E3"/>
    <w:rsid w:val="009D108D"/>
    <w:rsid w:val="009D5475"/>
    <w:rsid w:val="009E1436"/>
    <w:rsid w:val="009E2749"/>
    <w:rsid w:val="009E3057"/>
    <w:rsid w:val="009E3122"/>
    <w:rsid w:val="009E4431"/>
    <w:rsid w:val="009E5668"/>
    <w:rsid w:val="009E73F5"/>
    <w:rsid w:val="009F4603"/>
    <w:rsid w:val="00A03E1F"/>
    <w:rsid w:val="00A40BF0"/>
    <w:rsid w:val="00A421F3"/>
    <w:rsid w:val="00A60B4D"/>
    <w:rsid w:val="00A74F76"/>
    <w:rsid w:val="00A7521E"/>
    <w:rsid w:val="00A9038C"/>
    <w:rsid w:val="00AA0AFB"/>
    <w:rsid w:val="00AA0D95"/>
    <w:rsid w:val="00AA5BE2"/>
    <w:rsid w:val="00AA79E9"/>
    <w:rsid w:val="00AB0A70"/>
    <w:rsid w:val="00AC388C"/>
    <w:rsid w:val="00AC57FC"/>
    <w:rsid w:val="00AE505C"/>
    <w:rsid w:val="00AE5B86"/>
    <w:rsid w:val="00B10743"/>
    <w:rsid w:val="00B17FF2"/>
    <w:rsid w:val="00B27DC7"/>
    <w:rsid w:val="00B32DA9"/>
    <w:rsid w:val="00B33406"/>
    <w:rsid w:val="00B353E7"/>
    <w:rsid w:val="00B40228"/>
    <w:rsid w:val="00B45A90"/>
    <w:rsid w:val="00B534D4"/>
    <w:rsid w:val="00B63B0F"/>
    <w:rsid w:val="00B64D3C"/>
    <w:rsid w:val="00B65A80"/>
    <w:rsid w:val="00B74E15"/>
    <w:rsid w:val="00B7678A"/>
    <w:rsid w:val="00B77B48"/>
    <w:rsid w:val="00B900AA"/>
    <w:rsid w:val="00B9417F"/>
    <w:rsid w:val="00BA0F6C"/>
    <w:rsid w:val="00BD472C"/>
    <w:rsid w:val="00BF25A0"/>
    <w:rsid w:val="00BF3951"/>
    <w:rsid w:val="00BF54CD"/>
    <w:rsid w:val="00BF771A"/>
    <w:rsid w:val="00C07FB1"/>
    <w:rsid w:val="00C10941"/>
    <w:rsid w:val="00C119C2"/>
    <w:rsid w:val="00C15DF7"/>
    <w:rsid w:val="00C264C9"/>
    <w:rsid w:val="00C30D23"/>
    <w:rsid w:val="00C41757"/>
    <w:rsid w:val="00C42640"/>
    <w:rsid w:val="00C43758"/>
    <w:rsid w:val="00C53B93"/>
    <w:rsid w:val="00C55222"/>
    <w:rsid w:val="00C6598C"/>
    <w:rsid w:val="00C65A7B"/>
    <w:rsid w:val="00C71E18"/>
    <w:rsid w:val="00C776A9"/>
    <w:rsid w:val="00C80251"/>
    <w:rsid w:val="00C91A1E"/>
    <w:rsid w:val="00C93DA7"/>
    <w:rsid w:val="00C968D4"/>
    <w:rsid w:val="00CA611F"/>
    <w:rsid w:val="00CA6E0A"/>
    <w:rsid w:val="00CB0396"/>
    <w:rsid w:val="00CB0DF2"/>
    <w:rsid w:val="00CB110C"/>
    <w:rsid w:val="00CB4297"/>
    <w:rsid w:val="00CC3B68"/>
    <w:rsid w:val="00CD6B70"/>
    <w:rsid w:val="00CE6B4D"/>
    <w:rsid w:val="00CF16AC"/>
    <w:rsid w:val="00CF332E"/>
    <w:rsid w:val="00D0103B"/>
    <w:rsid w:val="00D07E7D"/>
    <w:rsid w:val="00D15E1C"/>
    <w:rsid w:val="00D169D7"/>
    <w:rsid w:val="00D22171"/>
    <w:rsid w:val="00D56FC4"/>
    <w:rsid w:val="00D619B9"/>
    <w:rsid w:val="00D70858"/>
    <w:rsid w:val="00D71E37"/>
    <w:rsid w:val="00D76CA0"/>
    <w:rsid w:val="00DA665F"/>
    <w:rsid w:val="00DC4B36"/>
    <w:rsid w:val="00DD24EE"/>
    <w:rsid w:val="00DD304F"/>
    <w:rsid w:val="00DE0574"/>
    <w:rsid w:val="00E10FAA"/>
    <w:rsid w:val="00E12852"/>
    <w:rsid w:val="00E13BC9"/>
    <w:rsid w:val="00E22248"/>
    <w:rsid w:val="00E2563F"/>
    <w:rsid w:val="00E40B67"/>
    <w:rsid w:val="00E4202A"/>
    <w:rsid w:val="00E563D1"/>
    <w:rsid w:val="00E626DB"/>
    <w:rsid w:val="00E71C79"/>
    <w:rsid w:val="00E86456"/>
    <w:rsid w:val="00E8681B"/>
    <w:rsid w:val="00E86C32"/>
    <w:rsid w:val="00E91473"/>
    <w:rsid w:val="00E940F3"/>
    <w:rsid w:val="00E96A57"/>
    <w:rsid w:val="00EA6B5D"/>
    <w:rsid w:val="00EB22FA"/>
    <w:rsid w:val="00EB650F"/>
    <w:rsid w:val="00ED3A77"/>
    <w:rsid w:val="00EE30CC"/>
    <w:rsid w:val="00F005B3"/>
    <w:rsid w:val="00F00705"/>
    <w:rsid w:val="00F007CC"/>
    <w:rsid w:val="00F049E3"/>
    <w:rsid w:val="00F12891"/>
    <w:rsid w:val="00F23515"/>
    <w:rsid w:val="00F25BD9"/>
    <w:rsid w:val="00F326AA"/>
    <w:rsid w:val="00F34F5A"/>
    <w:rsid w:val="00F44E86"/>
    <w:rsid w:val="00F45196"/>
    <w:rsid w:val="00F532AA"/>
    <w:rsid w:val="00F546CE"/>
    <w:rsid w:val="00F73669"/>
    <w:rsid w:val="00F921D6"/>
    <w:rsid w:val="00FB1FB0"/>
    <w:rsid w:val="00FB4DA9"/>
    <w:rsid w:val="00FC1C7A"/>
    <w:rsid w:val="00FC2CEB"/>
    <w:rsid w:val="00FC3499"/>
    <w:rsid w:val="00FC70F4"/>
    <w:rsid w:val="00FD54B4"/>
    <w:rsid w:val="00FD5C30"/>
    <w:rsid w:val="00FE4645"/>
    <w:rsid w:val="00FF00FC"/>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semiHidden/>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MdSpace">
    <w:name w:val="MdSpace"/>
    <w:qFormat/>
    <w:rsid w:val="00D70858"/>
    <w:pPr>
      <w:spacing w:after="0" w:line="240" w:lineRule="auto"/>
    </w:pPr>
    <w:rPr>
      <w:rFonts w:ascii="Times New Roman" w:eastAsia="Times New Roman" w:hAnsi="Times New Roman" w:cs="Times New Roman"/>
      <w:kern w:val="0"/>
      <w:sz w:val="12"/>
      <w:szCs w:val="12"/>
      <w14:ligatures w14:val="none"/>
    </w:rPr>
  </w:style>
  <w:style w:type="paragraph" w:customStyle="1" w:styleId="MdParagraph">
    <w:name w:val="MdParagraph"/>
    <w:qFormat/>
    <w:rsid w:val="00D70858"/>
    <w:pPr>
      <w:spacing w:before="120" w:after="120" w:line="240" w:lineRule="auto"/>
    </w:pPr>
    <w:rPr>
      <w:rFonts w:ascii="Times New Roman" w:eastAsia="Times New Roman" w:hAnsi="Times New Roman" w:cs="Times New Roman"/>
      <w:kern w:val="0"/>
      <w:sz w:val="24"/>
      <w:szCs w:val="24"/>
      <w14:ligatures w14:val="none"/>
    </w:rPr>
  </w:style>
  <w:style w:type="paragraph" w:customStyle="1" w:styleId="MdListItem">
    <w:name w:val="MdListItem"/>
    <w:qFormat/>
    <w:rsid w:val="00D70858"/>
    <w:pPr>
      <w:spacing w:before="60" w:after="60" w:line="240" w:lineRule="auto"/>
      <w:ind w:left="720" w:hanging="360"/>
    </w:pPr>
    <w:rPr>
      <w:rFonts w:ascii="Times New Roman" w:eastAsia="Times New Roman" w:hAnsi="Times New Roman" w:cs="Times New Roman"/>
      <w:kern w:val="0"/>
      <w:sz w:val="24"/>
      <w:szCs w:val="24"/>
      <w14:ligatures w14:val="none"/>
    </w:rPr>
  </w:style>
  <w:style w:type="paragraph" w:customStyle="1" w:styleId="MdHeading2">
    <w:name w:val="MdHeading2"/>
    <w:qFormat/>
    <w:rsid w:val="00D70858"/>
    <w:pPr>
      <w:keepNext/>
      <w:spacing w:before="400" w:after="200" w:line="240" w:lineRule="auto"/>
      <w:outlineLvl w:val="1"/>
    </w:pPr>
    <w:rPr>
      <w:rFonts w:ascii="Times New Roman" w:eastAsia="Times New Roman" w:hAnsi="Times New Roman" w:cs="Times New Roman"/>
      <w:b/>
      <w:bCs/>
      <w:kern w:val="0"/>
      <w:sz w:val="32"/>
      <w:szCs w:val="32"/>
      <w14:ligatures w14:val="none"/>
    </w:rPr>
  </w:style>
  <w:style w:type="paragraph" w:customStyle="1" w:styleId="MdHeading3">
    <w:name w:val="MdHeading3"/>
    <w:qFormat/>
    <w:rsid w:val="00D70858"/>
    <w:pPr>
      <w:keepNext/>
      <w:spacing w:before="320" w:line="240" w:lineRule="auto"/>
      <w:outlineLvl w:val="2"/>
    </w:pPr>
    <w:rPr>
      <w:rFonts w:ascii="Times New Roman" w:eastAsia="Times New Roman" w:hAnsi="Times New Roman" w:cs="Times New Roman"/>
      <w:b/>
      <w:bCs/>
      <w:kern w:val="0"/>
      <w:sz w:val="28"/>
      <w:szCs w:val="28"/>
      <w14:ligatures w14:val="none"/>
    </w:rPr>
  </w:style>
  <w:style w:type="character" w:customStyle="1" w:styleId="MdStrong">
    <w:name w:val="MdStrong"/>
    <w:uiPriority w:val="99"/>
    <w:unhideWhenUsed/>
    <w:qFormat/>
    <w:rsid w:val="00D70858"/>
    <w:rPr>
      <w:b/>
      <w:bCs/>
    </w:rPr>
  </w:style>
  <w:style w:type="character" w:customStyle="1" w:styleId="selected">
    <w:name w:val="selected"/>
    <w:basedOn w:val="a0"/>
    <w:rsid w:val="0007240B"/>
  </w:style>
  <w:style w:type="paragraph" w:styleId="HTML">
    <w:name w:val="HTML Preformatted"/>
    <w:basedOn w:val="a"/>
    <w:link w:val="HTMLChar"/>
    <w:uiPriority w:val="99"/>
    <w:semiHidden/>
    <w:unhideWhenUsed/>
    <w:rsid w:val="005B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5B5EE0"/>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5B5EE0"/>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7450</Words>
  <Characters>42200</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2026-07-29T13:19:00Z</dcterms:created>
  <dcterms:modified xsi:type="dcterms:W3CDTF">2026-07-29T13:19:00Z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