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F7C97" w14:textId="77777777" w:rsidR="00BD2ACC" w:rsidRDefault="00BD2ACC" w:rsidP="000B7212">
      <w:pPr>
        <w:bidi/>
        <w:spacing w:before="120" w:after="120" w:line="240" w:lineRule="auto"/>
        <w:ind w:hanging="283"/>
        <w:jc w:val="both"/>
        <w:rPr>
          <w:rFonts w:ascii="ae_Cortoba" w:hAnsi="ae_Cortoba" w:cs="ae_Cortoba"/>
          <w:bCs/>
          <w:color w:val="0D0D0D" w:themeColor="text1" w:themeTint="F2"/>
          <w:sz w:val="40"/>
          <w:szCs w:val="40"/>
          <w:rtl/>
        </w:rPr>
      </w:pPr>
    </w:p>
    <w:p w14:paraId="3F4554E5" w14:textId="77777777" w:rsidR="00BD2ACC" w:rsidRDefault="00BD2ACC" w:rsidP="00BD2ACC">
      <w:pPr>
        <w:bidi/>
        <w:spacing w:before="120" w:after="120" w:line="240" w:lineRule="auto"/>
        <w:ind w:hanging="283"/>
        <w:jc w:val="both"/>
        <w:rPr>
          <w:rFonts w:ascii="ae_Cortoba" w:hAnsi="ae_Cortoba" w:cs="ae_Cortoba"/>
          <w:bCs/>
          <w:color w:val="0D0D0D" w:themeColor="text1" w:themeTint="F2"/>
          <w:sz w:val="40"/>
          <w:szCs w:val="40"/>
          <w:rtl/>
        </w:rPr>
      </w:pPr>
    </w:p>
    <w:p w14:paraId="63DC505D" w14:textId="126D607F" w:rsidR="00F00D55" w:rsidRPr="00D73B22" w:rsidRDefault="00F00D55" w:rsidP="00BD2ACC">
      <w:pPr>
        <w:bidi/>
        <w:spacing w:before="120" w:after="120" w:line="240" w:lineRule="auto"/>
        <w:jc w:val="both"/>
        <w:rPr>
          <w:rFonts w:ascii="ae_Cortoba" w:hAnsi="ae_Cortoba" w:cs="ae_Cortoba"/>
          <w:bCs/>
          <w:color w:val="0D0D0D" w:themeColor="text1" w:themeTint="F2"/>
          <w:sz w:val="40"/>
          <w:szCs w:val="40"/>
        </w:rPr>
      </w:pPr>
      <w:r w:rsidRPr="00D73B22">
        <w:rPr>
          <w:rFonts w:ascii="Times New Roman"/>
          <w:bCs/>
          <w:noProof/>
          <w:color w:val="0D0D0D" w:themeColor="text1" w:themeTint="F2"/>
          <w:sz w:val="20"/>
        </w:rPr>
        <w:drawing>
          <wp:anchor distT="0" distB="0" distL="114300" distR="114300" simplePos="0" relativeHeight="251659776" behindDoc="0" locked="0" layoutInCell="1" allowOverlap="1" wp14:anchorId="20E6F61A" wp14:editId="3A419547">
            <wp:simplePos x="0" y="0"/>
            <wp:positionH relativeFrom="margin">
              <wp:align>center</wp:align>
            </wp:positionH>
            <wp:positionV relativeFrom="margin">
              <wp:posOffset>83004</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3AA2888" w14:textId="6D77D47C" w:rsidR="007A31DC" w:rsidRPr="00D73B22" w:rsidRDefault="007A31DC" w:rsidP="00F00D55">
      <w:pPr>
        <w:bidi/>
        <w:spacing w:before="120" w:after="120" w:line="240" w:lineRule="auto"/>
        <w:ind w:hanging="283"/>
        <w:jc w:val="both"/>
        <w:rPr>
          <w:rFonts w:ascii="ae_Cortoba" w:hAnsi="ae_Cortoba" w:cs="ae_Cortoba"/>
          <w:bCs/>
          <w:color w:val="0D0D0D" w:themeColor="text1" w:themeTint="F2"/>
          <w:sz w:val="40"/>
          <w:szCs w:val="40"/>
          <w:rtl/>
        </w:rPr>
      </w:pPr>
      <w:bookmarkStart w:id="0" w:name="_top"/>
      <w:bookmarkEnd w:id="0"/>
    </w:p>
    <w:p w14:paraId="45F1D645" w14:textId="77777777" w:rsidR="00E47D2A" w:rsidRPr="00071B34" w:rsidRDefault="00E47D2A" w:rsidP="00E47D2A">
      <w:pPr>
        <w:bidi/>
        <w:spacing w:before="120" w:after="120" w:line="240" w:lineRule="auto"/>
        <w:jc w:val="center"/>
        <w:rPr>
          <w:rFonts w:ascii="Traditional Arabic" w:hAnsi="Traditional Arabic" w:cs="Traditional Arabic"/>
          <w:bCs/>
          <w:color w:val="0D0D0D" w:themeColor="text1" w:themeTint="F2"/>
          <w:sz w:val="28"/>
          <w:szCs w:val="28"/>
          <w:rtl/>
        </w:rPr>
      </w:pPr>
      <w:r w:rsidRPr="00071B34">
        <w:rPr>
          <w:rFonts w:ascii="Traditional Arabic" w:hAnsi="Traditional Arabic" w:cs="Traditional Arabic"/>
          <w:bCs/>
          <w:color w:val="0D0D0D" w:themeColor="text1" w:themeTint="F2"/>
          <w:sz w:val="28"/>
          <w:szCs w:val="28"/>
          <w:rtl/>
        </w:rPr>
        <w:t xml:space="preserve">جامعة ميدأوشن </w:t>
      </w:r>
    </w:p>
    <w:p w14:paraId="69B5F2B9" w14:textId="77777777" w:rsidR="00E47D2A" w:rsidRPr="00071B34" w:rsidRDefault="00E47D2A" w:rsidP="00E47D2A">
      <w:pPr>
        <w:bidi/>
        <w:spacing w:before="120" w:after="120" w:line="240" w:lineRule="auto"/>
        <w:jc w:val="center"/>
        <w:rPr>
          <w:rFonts w:ascii="Traditional Arabic" w:hAnsi="Traditional Arabic" w:cs="Traditional Arabic"/>
          <w:bCs/>
          <w:color w:val="0D0D0D" w:themeColor="text1" w:themeTint="F2"/>
          <w:sz w:val="24"/>
          <w:szCs w:val="24"/>
          <w:rtl/>
        </w:rPr>
      </w:pPr>
      <w:r w:rsidRPr="00071B34">
        <w:rPr>
          <w:rFonts w:ascii="Traditional Arabic" w:hAnsi="Traditional Arabic" w:cs="Traditional Arabic" w:hint="cs"/>
          <w:bCs/>
          <w:color w:val="0D0D0D" w:themeColor="text1" w:themeTint="F2"/>
          <w:sz w:val="24"/>
          <w:szCs w:val="24"/>
          <w:rtl/>
        </w:rPr>
        <w:t>كلية الإدارة</w:t>
      </w:r>
    </w:p>
    <w:p w14:paraId="042DA55D" w14:textId="77777777" w:rsidR="00E47D2A" w:rsidRPr="00D73B22" w:rsidRDefault="00E47D2A" w:rsidP="00E47D2A">
      <w:pPr>
        <w:bidi/>
        <w:spacing w:before="120" w:after="120" w:line="240" w:lineRule="auto"/>
        <w:jc w:val="both"/>
        <w:rPr>
          <w:rFonts w:ascii="ae_Cortoba" w:hAnsi="ae_Cortoba" w:cs="ae_Cortoba"/>
          <w:bCs/>
          <w:color w:val="0D0D0D" w:themeColor="text1" w:themeTint="F2"/>
          <w:sz w:val="40"/>
          <w:szCs w:val="40"/>
          <w:rtl/>
        </w:rPr>
      </w:pPr>
    </w:p>
    <w:p w14:paraId="662D8174" w14:textId="2D77C34D" w:rsidR="00E47D2A" w:rsidRPr="00CB373C" w:rsidRDefault="00CB373C" w:rsidP="00CB373C">
      <w:pPr>
        <w:bidi/>
        <w:spacing w:before="120" w:after="120" w:line="240" w:lineRule="auto"/>
        <w:jc w:val="center"/>
        <w:rPr>
          <w:rFonts w:ascii="Traditional Arabic" w:hAnsi="Traditional Arabic" w:cs="Traditional Arabic" w:hint="cs"/>
          <w:bCs/>
          <w:color w:val="0D0D0D" w:themeColor="text1" w:themeTint="F2"/>
          <w:sz w:val="40"/>
          <w:szCs w:val="40"/>
          <w:rtl/>
        </w:rPr>
      </w:pPr>
      <w:r w:rsidRPr="00CB373C">
        <w:rPr>
          <w:rFonts w:ascii="Traditional Arabic" w:hAnsi="Traditional Arabic" w:cs="Traditional Arabic" w:hint="cs"/>
          <w:bCs/>
          <w:color w:val="0D0D0D" w:themeColor="text1" w:themeTint="F2"/>
          <w:sz w:val="40"/>
          <w:szCs w:val="40"/>
          <w:rtl/>
        </w:rPr>
        <w:t>الفصل الأول : الإطار المنهجي للدراسة</w:t>
      </w:r>
    </w:p>
    <w:p w14:paraId="7ACC2078" w14:textId="77777777" w:rsidR="00E47D2A" w:rsidRPr="00071B34" w:rsidRDefault="00E47D2A" w:rsidP="00E47D2A">
      <w:pPr>
        <w:bidi/>
        <w:spacing w:before="120" w:after="120" w:line="240" w:lineRule="auto"/>
        <w:jc w:val="center"/>
        <w:rPr>
          <w:rFonts w:ascii="Traditional Arabic" w:hAnsi="Traditional Arabic" w:cs="Traditional Arabic"/>
          <w:bCs/>
          <w:noProof/>
          <w:color w:val="0D0D0D" w:themeColor="text1" w:themeTint="F2"/>
          <w:sz w:val="28"/>
          <w:szCs w:val="28"/>
        </w:rPr>
      </w:pPr>
      <w:r w:rsidRPr="00071B34">
        <w:rPr>
          <w:rFonts w:ascii="Traditional Arabic" w:hAnsi="Traditional Arabic" w:cs="Traditional Arabic"/>
          <w:bCs/>
          <w:color w:val="0D0D0D" w:themeColor="text1" w:themeTint="F2"/>
          <w:sz w:val="28"/>
          <w:szCs w:val="28"/>
          <w:rtl/>
        </w:rPr>
        <w:t xml:space="preserve">ذكاء الأعمال </w:t>
      </w:r>
      <w:r w:rsidRPr="00071B34">
        <w:rPr>
          <w:rFonts w:ascii="Traditional Arabic" w:hAnsi="Traditional Arabic" w:cs="Traditional Arabic" w:hint="cs"/>
          <w:bCs/>
          <w:color w:val="0D0D0D" w:themeColor="text1" w:themeTint="F2"/>
          <w:sz w:val="28"/>
          <w:szCs w:val="28"/>
          <w:rtl/>
        </w:rPr>
        <w:t>و</w:t>
      </w:r>
      <w:r w:rsidRPr="00071B34">
        <w:rPr>
          <w:rFonts w:ascii="Traditional Arabic" w:hAnsi="Traditional Arabic" w:cs="Traditional Arabic"/>
          <w:bCs/>
          <w:color w:val="0D0D0D" w:themeColor="text1" w:themeTint="F2"/>
          <w:sz w:val="28"/>
          <w:szCs w:val="28"/>
          <w:rtl/>
        </w:rPr>
        <w:t>الابتكار التنظيمي:</w:t>
      </w:r>
      <w:r w:rsidRPr="00071B34">
        <w:rPr>
          <w:rFonts w:ascii="Traditional Arabic" w:hAnsi="Traditional Arabic" w:cs="Traditional Arabic"/>
          <w:bCs/>
          <w:noProof/>
          <w:color w:val="0D0D0D" w:themeColor="text1" w:themeTint="F2"/>
          <w:sz w:val="28"/>
          <w:szCs w:val="28"/>
          <w:rtl/>
        </w:rPr>
        <w:t xml:space="preserve"> </w:t>
      </w:r>
      <w:r w:rsidRPr="00071B34">
        <w:rPr>
          <w:rFonts w:ascii="Traditional Arabic" w:hAnsi="Traditional Arabic" w:cs="Traditional Arabic"/>
          <w:bCs/>
          <w:color w:val="0D0D0D" w:themeColor="text1" w:themeTint="F2"/>
          <w:sz w:val="28"/>
          <w:szCs w:val="28"/>
          <w:rtl/>
        </w:rPr>
        <w:t>الدور الوسيط لجودة القرارات الاستراتيجية في ال</w:t>
      </w:r>
      <w:r>
        <w:rPr>
          <w:rFonts w:ascii="Traditional Arabic" w:hAnsi="Traditional Arabic" w:cs="Traditional Arabic" w:hint="cs"/>
          <w:bCs/>
          <w:color w:val="0D0D0D" w:themeColor="text1" w:themeTint="F2"/>
          <w:sz w:val="28"/>
          <w:szCs w:val="28"/>
          <w:rtl/>
        </w:rPr>
        <w:t>مصارف العاملة بمدينة الرياض</w:t>
      </w:r>
    </w:p>
    <w:p w14:paraId="040699ED" w14:textId="77777777" w:rsidR="00E47D2A" w:rsidRPr="00071B34" w:rsidRDefault="00E47D2A" w:rsidP="00E47D2A">
      <w:pPr>
        <w:bidi/>
        <w:spacing w:before="120" w:after="120" w:line="240" w:lineRule="auto"/>
        <w:jc w:val="center"/>
        <w:rPr>
          <w:rFonts w:ascii="Traditional Arabic" w:hAnsi="Traditional Arabic" w:cs="Traditional Arabic"/>
          <w:bCs/>
          <w:color w:val="0D0D0D" w:themeColor="text1" w:themeTint="F2"/>
          <w:sz w:val="28"/>
          <w:szCs w:val="28"/>
          <w:rtl/>
        </w:rPr>
      </w:pPr>
    </w:p>
    <w:p w14:paraId="0C4BD62B" w14:textId="77777777" w:rsidR="00E47D2A" w:rsidRPr="00071B34" w:rsidRDefault="00E47D2A" w:rsidP="00E47D2A">
      <w:pPr>
        <w:bidi/>
        <w:spacing w:before="120" w:after="120" w:line="240" w:lineRule="auto"/>
        <w:jc w:val="center"/>
        <w:rPr>
          <w:rFonts w:ascii="Traditional Arabic" w:hAnsi="Traditional Arabic" w:cs="Traditional Arabic"/>
          <w:bCs/>
          <w:color w:val="0D0D0D" w:themeColor="text1" w:themeTint="F2"/>
          <w:sz w:val="28"/>
          <w:szCs w:val="28"/>
          <w:rtl/>
        </w:rPr>
      </w:pPr>
    </w:p>
    <w:p w14:paraId="5463E485" w14:textId="77777777" w:rsidR="00E47D2A" w:rsidRPr="00071B34" w:rsidRDefault="00E47D2A" w:rsidP="00E47D2A">
      <w:pPr>
        <w:bidi/>
        <w:spacing w:before="120" w:after="120" w:line="240" w:lineRule="auto"/>
        <w:jc w:val="center"/>
        <w:rPr>
          <w:rFonts w:ascii="Traditional Arabic" w:hAnsi="Traditional Arabic" w:cs="Traditional Arabic"/>
          <w:bCs/>
          <w:color w:val="0D0D0D" w:themeColor="text1" w:themeTint="F2"/>
          <w:sz w:val="28"/>
          <w:szCs w:val="28"/>
          <w:rtl/>
        </w:rPr>
      </w:pPr>
      <w:r w:rsidRPr="00071B34">
        <w:rPr>
          <w:rFonts w:ascii="Traditional Arabic" w:hAnsi="Traditional Arabic" w:cs="Traditional Arabic" w:hint="cs"/>
          <w:bCs/>
          <w:color w:val="0D0D0D" w:themeColor="text1" w:themeTint="F2"/>
          <w:sz w:val="28"/>
          <w:szCs w:val="28"/>
          <w:rtl/>
        </w:rPr>
        <w:t>إعداد</w:t>
      </w:r>
    </w:p>
    <w:p w14:paraId="1742A54D" w14:textId="77777777" w:rsidR="00E47D2A" w:rsidRPr="00071B34" w:rsidRDefault="00E47D2A" w:rsidP="00E47D2A">
      <w:pPr>
        <w:bidi/>
        <w:spacing w:before="120" w:after="120" w:line="240" w:lineRule="auto"/>
        <w:jc w:val="center"/>
        <w:rPr>
          <w:rFonts w:ascii="Traditional Arabic" w:hAnsi="Traditional Arabic" w:cs="Traditional Arabic"/>
          <w:bCs/>
          <w:color w:val="0D0D0D" w:themeColor="text1" w:themeTint="F2"/>
          <w:sz w:val="28"/>
          <w:szCs w:val="28"/>
          <w:rtl/>
        </w:rPr>
      </w:pPr>
      <w:r w:rsidRPr="00071B34">
        <w:rPr>
          <w:rFonts w:ascii="Traditional Arabic" w:hAnsi="Traditional Arabic" w:cs="Traditional Arabic" w:hint="cs"/>
          <w:bCs/>
          <w:color w:val="0D0D0D" w:themeColor="text1" w:themeTint="F2"/>
          <w:sz w:val="28"/>
          <w:szCs w:val="28"/>
          <w:rtl/>
        </w:rPr>
        <w:t>فوزيه عبدالله الدبيان</w:t>
      </w:r>
    </w:p>
    <w:p w14:paraId="72CC2C6C" w14:textId="77777777" w:rsidR="00E47D2A" w:rsidRPr="00071B34" w:rsidRDefault="00E47D2A" w:rsidP="00E47D2A">
      <w:pPr>
        <w:bidi/>
        <w:spacing w:before="120" w:after="120" w:line="240" w:lineRule="auto"/>
        <w:jc w:val="center"/>
        <w:rPr>
          <w:rFonts w:ascii="Traditional Arabic" w:hAnsi="Traditional Arabic" w:cs="Traditional Arabic"/>
          <w:bCs/>
          <w:color w:val="0D0D0D" w:themeColor="text1" w:themeTint="F2"/>
          <w:sz w:val="24"/>
          <w:szCs w:val="24"/>
          <w:rtl/>
        </w:rPr>
      </w:pPr>
      <w:r w:rsidRPr="00071B34">
        <w:rPr>
          <w:rFonts w:ascii="Traditional Arabic" w:hAnsi="Traditional Arabic" w:cs="Traditional Arabic" w:hint="cs"/>
          <w:bCs/>
          <w:color w:val="0D0D0D" w:themeColor="text1" w:themeTint="F2"/>
          <w:sz w:val="24"/>
          <w:szCs w:val="24"/>
          <w:rtl/>
        </w:rPr>
        <w:t xml:space="preserve">المملكة العربية السعودية </w:t>
      </w:r>
    </w:p>
    <w:p w14:paraId="1DD126F2" w14:textId="77777777" w:rsidR="00E47D2A" w:rsidRPr="00071B34" w:rsidRDefault="00E47D2A" w:rsidP="00E47D2A">
      <w:pPr>
        <w:bidi/>
        <w:spacing w:before="120" w:after="120" w:line="240" w:lineRule="auto"/>
        <w:jc w:val="center"/>
        <w:rPr>
          <w:rFonts w:ascii="Traditional Arabic" w:hAnsi="Traditional Arabic" w:cs="Traditional Arabic"/>
          <w:bCs/>
          <w:color w:val="0D0D0D" w:themeColor="text1" w:themeTint="F2"/>
          <w:sz w:val="24"/>
          <w:szCs w:val="24"/>
          <w:rtl/>
        </w:rPr>
      </w:pPr>
      <w:r w:rsidRPr="00071B34">
        <w:rPr>
          <w:rFonts w:ascii="Traditional Arabic" w:hAnsi="Traditional Arabic" w:cs="Traditional Arabic" w:hint="cs"/>
          <w:bCs/>
          <w:color w:val="0D0D0D" w:themeColor="text1" w:themeTint="F2"/>
          <w:sz w:val="24"/>
          <w:szCs w:val="24"/>
          <w:rtl/>
        </w:rPr>
        <w:t>رسالة مقدمة لجامعة ميدأوشن لاستكمال متطلبات نيل درجة الدكتوراة</w:t>
      </w:r>
    </w:p>
    <w:p w14:paraId="7BCFC131" w14:textId="77777777" w:rsidR="00E47D2A" w:rsidRPr="00071B34" w:rsidRDefault="00E47D2A" w:rsidP="00E47D2A">
      <w:pPr>
        <w:bidi/>
        <w:spacing w:before="120" w:after="120" w:line="240" w:lineRule="auto"/>
        <w:jc w:val="center"/>
        <w:rPr>
          <w:rFonts w:ascii="Traditional Arabic" w:hAnsi="Traditional Arabic" w:cs="Traditional Arabic"/>
          <w:bCs/>
          <w:color w:val="0D0D0D" w:themeColor="text1" w:themeTint="F2"/>
          <w:sz w:val="24"/>
          <w:szCs w:val="24"/>
          <w:rtl/>
        </w:rPr>
      </w:pPr>
      <w:r w:rsidRPr="00071B34">
        <w:rPr>
          <w:rFonts w:ascii="Traditional Arabic" w:hAnsi="Traditional Arabic" w:cs="Traditional Arabic" w:hint="cs"/>
          <w:bCs/>
          <w:color w:val="0D0D0D" w:themeColor="text1" w:themeTint="F2"/>
          <w:sz w:val="24"/>
          <w:szCs w:val="24"/>
          <w:rtl/>
        </w:rPr>
        <w:t>في</w:t>
      </w:r>
    </w:p>
    <w:p w14:paraId="6C33663D" w14:textId="77777777" w:rsidR="00E47D2A" w:rsidRPr="00071B34" w:rsidRDefault="00E47D2A" w:rsidP="00E47D2A">
      <w:pPr>
        <w:bidi/>
        <w:spacing w:before="120" w:after="120" w:line="240" w:lineRule="auto"/>
        <w:jc w:val="center"/>
        <w:rPr>
          <w:rFonts w:ascii="Traditional Arabic" w:hAnsi="Traditional Arabic" w:cs="Traditional Arabic"/>
          <w:bCs/>
          <w:color w:val="0D0D0D" w:themeColor="text1" w:themeTint="F2"/>
          <w:sz w:val="24"/>
          <w:szCs w:val="24"/>
          <w:rtl/>
        </w:rPr>
      </w:pPr>
      <w:r w:rsidRPr="00071B34">
        <w:rPr>
          <w:rFonts w:ascii="Traditional Arabic" w:hAnsi="Traditional Arabic" w:cs="Traditional Arabic" w:hint="cs"/>
          <w:bCs/>
          <w:color w:val="0D0D0D" w:themeColor="text1" w:themeTint="F2"/>
          <w:sz w:val="24"/>
          <w:szCs w:val="24"/>
          <w:rtl/>
        </w:rPr>
        <w:t>تخصص الإدارة</w:t>
      </w:r>
    </w:p>
    <w:p w14:paraId="0AE632AA" w14:textId="77777777" w:rsidR="00E47D2A" w:rsidRPr="00071B34" w:rsidRDefault="00E47D2A" w:rsidP="00E47D2A">
      <w:pPr>
        <w:bidi/>
        <w:spacing w:before="120" w:after="120" w:line="240" w:lineRule="auto"/>
        <w:jc w:val="center"/>
        <w:rPr>
          <w:rFonts w:ascii="Traditional Arabic" w:hAnsi="Traditional Arabic" w:cs="Traditional Arabic"/>
          <w:bCs/>
          <w:color w:val="0D0D0D" w:themeColor="text1" w:themeTint="F2"/>
          <w:sz w:val="24"/>
          <w:szCs w:val="24"/>
          <w:rtl/>
        </w:rPr>
      </w:pPr>
    </w:p>
    <w:p w14:paraId="3C326B04" w14:textId="77777777" w:rsidR="00E47D2A" w:rsidRPr="00071B34" w:rsidRDefault="00E47D2A" w:rsidP="00E47D2A">
      <w:pPr>
        <w:bidi/>
        <w:spacing w:before="120" w:after="120" w:line="240" w:lineRule="auto"/>
        <w:rPr>
          <w:rFonts w:ascii="Traditional Arabic" w:hAnsi="Traditional Arabic" w:cs="Traditional Arabic"/>
          <w:bCs/>
          <w:color w:val="0D0D0D" w:themeColor="text1" w:themeTint="F2"/>
          <w:sz w:val="24"/>
          <w:szCs w:val="24"/>
          <w:rtl/>
        </w:rPr>
      </w:pPr>
    </w:p>
    <w:p w14:paraId="75404853" w14:textId="77777777" w:rsidR="00E47D2A" w:rsidRPr="00071B34" w:rsidRDefault="00E47D2A" w:rsidP="00E47D2A">
      <w:pPr>
        <w:bidi/>
        <w:spacing w:before="120" w:after="120" w:line="240" w:lineRule="auto"/>
        <w:jc w:val="center"/>
        <w:rPr>
          <w:rFonts w:ascii="Traditional Arabic" w:hAnsi="Traditional Arabic" w:cs="Traditional Arabic"/>
          <w:bCs/>
          <w:color w:val="0D0D0D" w:themeColor="text1" w:themeTint="F2"/>
          <w:sz w:val="16"/>
          <w:szCs w:val="16"/>
          <w:rtl/>
        </w:rPr>
      </w:pPr>
      <w:r w:rsidRPr="00071B34">
        <w:rPr>
          <w:rFonts w:ascii="Traditional Arabic" w:hAnsi="Traditional Arabic" w:cs="Traditional Arabic"/>
          <w:bCs/>
          <w:color w:val="0D0D0D" w:themeColor="text1" w:themeTint="F2"/>
          <w:sz w:val="16"/>
          <w:szCs w:val="16"/>
          <w:rtl/>
        </w:rPr>
        <w:t>1447ه  -  2025 م</w:t>
      </w:r>
    </w:p>
    <w:p w14:paraId="3E238A1E" w14:textId="77777777" w:rsidR="00E47D2A" w:rsidRPr="00071B34" w:rsidRDefault="00E47D2A" w:rsidP="00E47D2A">
      <w:pPr>
        <w:bidi/>
        <w:spacing w:before="120" w:after="120" w:line="240" w:lineRule="auto"/>
        <w:jc w:val="center"/>
        <w:rPr>
          <w:rFonts w:ascii="Traditional Arabic" w:hAnsi="Traditional Arabic" w:cs="Traditional Arabic"/>
          <w:bCs/>
          <w:color w:val="0D0D0D" w:themeColor="text1" w:themeTint="F2"/>
          <w:sz w:val="16"/>
          <w:szCs w:val="16"/>
          <w:rtl/>
        </w:rPr>
      </w:pPr>
    </w:p>
    <w:p w14:paraId="74768560" w14:textId="77777777" w:rsidR="00E47D2A" w:rsidRPr="00D73B22" w:rsidRDefault="00E47D2A" w:rsidP="00E47D2A">
      <w:pPr>
        <w:bidi/>
        <w:spacing w:before="120" w:after="120" w:line="240" w:lineRule="auto"/>
        <w:jc w:val="center"/>
        <w:rPr>
          <w:rFonts w:ascii="Traditional Arabic" w:hAnsi="Traditional Arabic" w:cs="Traditional Arabic"/>
          <w:bCs/>
          <w:color w:val="0D0D0D" w:themeColor="text1" w:themeTint="F2"/>
          <w:sz w:val="28"/>
          <w:szCs w:val="28"/>
          <w:rtl/>
        </w:rPr>
      </w:pPr>
      <w:r w:rsidRPr="00071B34">
        <w:rPr>
          <w:rFonts w:ascii="Traditional Arabic" w:hAnsi="Traditional Arabic" w:cs="Traditional Arabic" w:hint="cs"/>
          <w:bCs/>
          <w:color w:val="0D0D0D" w:themeColor="text1" w:themeTint="F2"/>
          <w:sz w:val="16"/>
          <w:szCs w:val="16"/>
          <w:rtl/>
        </w:rPr>
        <w:t>(افوزيه الدبيان  /</w:t>
      </w:r>
      <w:r>
        <w:rPr>
          <w:rFonts w:ascii="Traditional Arabic" w:hAnsi="Traditional Arabic" w:cs="Traditional Arabic" w:hint="cs"/>
          <w:bCs/>
          <w:color w:val="0D0D0D" w:themeColor="text1" w:themeTint="F2"/>
          <w:sz w:val="16"/>
          <w:szCs w:val="16"/>
          <w:rtl/>
        </w:rPr>
        <w:t>1447 )</w:t>
      </w:r>
    </w:p>
    <w:p w14:paraId="27B1540B" w14:textId="42922675" w:rsidR="002619A6" w:rsidRDefault="002619A6" w:rsidP="002619A6">
      <w:pPr>
        <w:bidi/>
        <w:spacing w:before="120" w:after="120" w:line="240" w:lineRule="auto"/>
        <w:jc w:val="center"/>
        <w:rPr>
          <w:rFonts w:ascii="Traditional Arabic" w:hAnsi="Traditional Arabic" w:cs="Traditional Arabic"/>
          <w:bCs/>
          <w:color w:val="0D0D0D" w:themeColor="text1" w:themeTint="F2"/>
          <w:sz w:val="28"/>
          <w:szCs w:val="28"/>
          <w:rtl/>
        </w:rPr>
      </w:pPr>
    </w:p>
    <w:p w14:paraId="7BDA2420" w14:textId="7AA8E6B8" w:rsidR="00370BBB" w:rsidRDefault="00370BBB" w:rsidP="00370BBB">
      <w:pPr>
        <w:bidi/>
        <w:spacing w:before="120" w:after="120" w:line="240" w:lineRule="auto"/>
        <w:jc w:val="center"/>
        <w:rPr>
          <w:rFonts w:ascii="Traditional Arabic" w:hAnsi="Traditional Arabic" w:cs="Traditional Arabic"/>
          <w:bCs/>
          <w:color w:val="0D0D0D" w:themeColor="text1" w:themeTint="F2"/>
          <w:sz w:val="28"/>
          <w:szCs w:val="28"/>
          <w:rtl/>
        </w:rPr>
      </w:pPr>
    </w:p>
    <w:p w14:paraId="3CA80DDD" w14:textId="4E2176D1" w:rsidR="00370BBB" w:rsidRDefault="00370BBB" w:rsidP="00370BBB">
      <w:pPr>
        <w:bidi/>
        <w:spacing w:before="120" w:after="120" w:line="240" w:lineRule="auto"/>
        <w:jc w:val="center"/>
        <w:rPr>
          <w:rFonts w:ascii="Traditional Arabic" w:hAnsi="Traditional Arabic" w:cs="Traditional Arabic"/>
          <w:bCs/>
          <w:color w:val="0D0D0D" w:themeColor="text1" w:themeTint="F2"/>
          <w:sz w:val="28"/>
          <w:szCs w:val="28"/>
          <w:rtl/>
        </w:rPr>
      </w:pPr>
    </w:p>
    <w:p w14:paraId="74D80F3B" w14:textId="77777777" w:rsidR="00370BBB" w:rsidRPr="00D73B22" w:rsidRDefault="00370BBB" w:rsidP="00370BBB">
      <w:pPr>
        <w:bidi/>
        <w:spacing w:before="120" w:after="120" w:line="240" w:lineRule="auto"/>
        <w:jc w:val="center"/>
        <w:rPr>
          <w:rFonts w:ascii="Traditional Arabic" w:hAnsi="Traditional Arabic" w:cs="Traditional Arabic"/>
          <w:bCs/>
          <w:color w:val="0D0D0D" w:themeColor="text1" w:themeTint="F2"/>
          <w:sz w:val="28"/>
          <w:szCs w:val="28"/>
          <w:rtl/>
        </w:rPr>
      </w:pPr>
    </w:p>
    <w:p w14:paraId="63D31DE8" w14:textId="77777777" w:rsidR="00370BBB" w:rsidRPr="00370BBB" w:rsidRDefault="00370BBB" w:rsidP="00370BBB">
      <w:pPr>
        <w:keepNext/>
        <w:keepLines/>
        <w:bidi/>
        <w:spacing w:after="0" w:line="360" w:lineRule="auto"/>
        <w:jc w:val="center"/>
        <w:outlineLvl w:val="0"/>
        <w:rPr>
          <w:rFonts w:ascii="Traditional Arabic" w:eastAsiaTheme="majorEastAsia" w:hAnsi="Traditional Arabic" w:cs="Traditional Arabic"/>
          <w:bCs/>
          <w:color w:val="0D0D0D" w:themeColor="text1" w:themeTint="F2"/>
          <w:sz w:val="32"/>
          <w:szCs w:val="32"/>
          <w:rtl/>
        </w:rPr>
      </w:pPr>
      <w:bookmarkStart w:id="1" w:name="_Toc215399826"/>
      <w:r w:rsidRPr="00370BBB">
        <w:rPr>
          <w:rFonts w:ascii="Traditional Arabic" w:eastAsiaTheme="majorEastAsia" w:hAnsi="Traditional Arabic" w:cs="Traditional Arabic"/>
          <w:bCs/>
          <w:color w:val="0D0D0D" w:themeColor="text1" w:themeTint="F2"/>
          <w:sz w:val="32"/>
          <w:szCs w:val="32"/>
          <w:rtl/>
        </w:rPr>
        <w:lastRenderedPageBreak/>
        <w:t>فهرس المحتويات</w:t>
      </w:r>
    </w:p>
    <w:p w14:paraId="352F3668" w14:textId="0D3C60F6"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r w:rsidRPr="00370BBB">
        <w:rPr>
          <w:rFonts w:ascii="Traditional Arabic" w:hAnsi="Traditional Arabic" w:cs="Traditional Arabic"/>
          <w:b/>
          <w:color w:val="0D0D0D" w:themeColor="text1" w:themeTint="F2"/>
          <w:sz w:val="24"/>
          <w:szCs w:val="24"/>
          <w:rtl/>
        </w:rPr>
        <w:fldChar w:fldCharType="begin"/>
      </w:r>
      <w:r w:rsidRPr="00370BBB">
        <w:rPr>
          <w:rFonts w:ascii="Traditional Arabic" w:hAnsi="Traditional Arabic" w:cs="Traditional Arabic"/>
          <w:b/>
          <w:color w:val="0D0D0D" w:themeColor="text1" w:themeTint="F2"/>
          <w:sz w:val="24"/>
          <w:szCs w:val="24"/>
          <w:rtl/>
        </w:rPr>
        <w:instrText xml:space="preserve"> </w:instrText>
      </w:r>
      <w:r w:rsidRPr="00370BBB">
        <w:rPr>
          <w:rFonts w:ascii="Traditional Arabic" w:hAnsi="Traditional Arabic" w:cs="Traditional Arabic"/>
          <w:b/>
          <w:color w:val="0D0D0D" w:themeColor="text1" w:themeTint="F2"/>
          <w:sz w:val="24"/>
          <w:szCs w:val="24"/>
        </w:rPr>
        <w:instrText>TOC</w:instrText>
      </w:r>
      <w:r w:rsidRPr="00370BBB">
        <w:rPr>
          <w:rFonts w:ascii="Traditional Arabic" w:hAnsi="Traditional Arabic" w:cs="Traditional Arabic"/>
          <w:b/>
          <w:color w:val="0D0D0D" w:themeColor="text1" w:themeTint="F2"/>
          <w:sz w:val="24"/>
          <w:szCs w:val="24"/>
          <w:rtl/>
        </w:rPr>
        <w:instrText xml:space="preserve"> \</w:instrText>
      </w:r>
      <w:r w:rsidRPr="00370BBB">
        <w:rPr>
          <w:rFonts w:ascii="Traditional Arabic" w:hAnsi="Traditional Arabic" w:cs="Traditional Arabic"/>
          <w:b/>
          <w:color w:val="0D0D0D" w:themeColor="text1" w:themeTint="F2"/>
          <w:sz w:val="24"/>
          <w:szCs w:val="24"/>
        </w:rPr>
        <w:instrText>o "1-3" \h \z \u</w:instrText>
      </w:r>
      <w:r w:rsidRPr="00370BBB">
        <w:rPr>
          <w:rFonts w:ascii="Traditional Arabic" w:hAnsi="Traditional Arabic" w:cs="Traditional Arabic"/>
          <w:b/>
          <w:color w:val="0D0D0D" w:themeColor="text1" w:themeTint="F2"/>
          <w:sz w:val="24"/>
          <w:szCs w:val="24"/>
          <w:rtl/>
        </w:rPr>
        <w:instrText xml:space="preserve"> </w:instrText>
      </w:r>
      <w:r w:rsidRPr="00370BBB">
        <w:rPr>
          <w:rFonts w:ascii="Traditional Arabic" w:hAnsi="Traditional Arabic" w:cs="Traditional Arabic"/>
          <w:b/>
          <w:color w:val="0D0D0D" w:themeColor="text1" w:themeTint="F2"/>
          <w:sz w:val="24"/>
          <w:szCs w:val="24"/>
          <w:rtl/>
        </w:rPr>
        <w:fldChar w:fldCharType="separate"/>
      </w:r>
      <w:hyperlink w:anchor="_Toc215399826" w:history="1">
        <w:r w:rsidRPr="00370BBB">
          <w:rPr>
            <w:rFonts w:ascii="Traditional Arabic" w:hAnsi="Traditional Arabic" w:cs="Traditional Arabic"/>
            <w:bCs/>
            <w:noProof/>
            <w:rtl/>
          </w:rPr>
          <w:t>فهرس المحتويات</w:t>
        </w:r>
        <w:r w:rsidRPr="00370BBB">
          <w:rPr>
            <w:noProof/>
            <w:webHidden/>
            <w:rtl/>
          </w:rPr>
          <w:tab/>
        </w:r>
        <w:r w:rsidRPr="00370BBB">
          <w:rPr>
            <w:noProof/>
            <w:webHidden/>
            <w:rtl/>
          </w:rPr>
          <w:fldChar w:fldCharType="begin"/>
        </w:r>
        <w:r w:rsidRPr="00370BBB">
          <w:rPr>
            <w:noProof/>
            <w:webHidden/>
            <w:rtl/>
          </w:rPr>
          <w:instrText xml:space="preserve"> </w:instrText>
        </w:r>
        <w:r w:rsidRPr="00370BBB">
          <w:rPr>
            <w:noProof/>
            <w:webHidden/>
          </w:rPr>
          <w:instrText>PAGEREF</w:instrText>
        </w:r>
        <w:r w:rsidRPr="00370BBB">
          <w:rPr>
            <w:noProof/>
            <w:webHidden/>
            <w:rtl/>
          </w:rPr>
          <w:instrText xml:space="preserve"> _</w:instrText>
        </w:r>
        <w:r w:rsidRPr="00370BBB">
          <w:rPr>
            <w:noProof/>
            <w:webHidden/>
          </w:rPr>
          <w:instrText>Toc215399826 \h</w:instrText>
        </w:r>
        <w:r w:rsidRPr="00370BBB">
          <w:rPr>
            <w:noProof/>
            <w:webHidden/>
            <w:rtl/>
          </w:rPr>
          <w:instrText xml:space="preserve"> </w:instrText>
        </w:r>
        <w:r w:rsidRPr="00370BBB">
          <w:rPr>
            <w:noProof/>
            <w:webHidden/>
            <w:rtl/>
          </w:rPr>
        </w:r>
        <w:r w:rsidRPr="00370BBB">
          <w:rPr>
            <w:noProof/>
            <w:webHidden/>
            <w:rtl/>
          </w:rPr>
          <w:fldChar w:fldCharType="separate"/>
        </w:r>
        <w:r w:rsidR="00076B0C">
          <w:rPr>
            <w:noProof/>
            <w:webHidden/>
            <w:rtl/>
          </w:rPr>
          <w:t>2</w:t>
        </w:r>
        <w:r w:rsidRPr="00370BBB">
          <w:rPr>
            <w:noProof/>
            <w:webHidden/>
            <w:rtl/>
          </w:rPr>
          <w:fldChar w:fldCharType="end"/>
        </w:r>
      </w:hyperlink>
    </w:p>
    <w:p w14:paraId="6F47078C" w14:textId="3E5CC505"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27" w:history="1">
        <w:r w:rsidRPr="00370BBB">
          <w:rPr>
            <w:rFonts w:ascii="Traditional Arabic" w:hAnsi="Traditional Arabic" w:cs="Traditional Arabic"/>
            <w:bCs/>
            <w:noProof/>
            <w:rtl/>
          </w:rPr>
          <w:t>مقدمة الدراسة</w:t>
        </w:r>
        <w:r w:rsidRPr="00370BBB">
          <w:rPr>
            <w:noProof/>
            <w:webHidden/>
            <w:rtl/>
          </w:rPr>
          <w:tab/>
        </w:r>
        <w:r w:rsidR="00276C4F">
          <w:rPr>
            <w:rFonts w:hint="cs"/>
            <w:noProof/>
            <w:webHidden/>
            <w:rtl/>
          </w:rPr>
          <w:t>3</w:t>
        </w:r>
      </w:hyperlink>
    </w:p>
    <w:p w14:paraId="12F988E9" w14:textId="60D83A70"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28" w:history="1">
        <w:r w:rsidRPr="00370BBB">
          <w:rPr>
            <w:rFonts w:ascii="Traditional Arabic" w:hAnsi="Traditional Arabic" w:cs="Traditional Arabic"/>
            <w:bCs/>
            <w:noProof/>
            <w:rtl/>
          </w:rPr>
          <w:t>مشكلة الدراسة:</w:t>
        </w:r>
        <w:r w:rsidRPr="00370BBB">
          <w:rPr>
            <w:noProof/>
            <w:webHidden/>
            <w:rtl/>
          </w:rPr>
          <w:tab/>
        </w:r>
        <w:r w:rsidR="00276C4F">
          <w:rPr>
            <w:rFonts w:hint="cs"/>
            <w:noProof/>
            <w:webHidden/>
            <w:rtl/>
          </w:rPr>
          <w:t>6</w:t>
        </w:r>
      </w:hyperlink>
    </w:p>
    <w:p w14:paraId="0A0620A6" w14:textId="3780AC3B"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29" w:history="1">
        <w:r w:rsidRPr="00370BBB">
          <w:rPr>
            <w:rFonts w:ascii="Traditional Arabic" w:hAnsi="Traditional Arabic" w:cs="Traditional Arabic"/>
            <w:bCs/>
            <w:noProof/>
            <w:rtl/>
          </w:rPr>
          <w:t>تساؤلات الدراسة</w:t>
        </w:r>
        <w:r w:rsidRPr="00370BBB">
          <w:rPr>
            <w:noProof/>
            <w:webHidden/>
            <w:rtl/>
          </w:rPr>
          <w:tab/>
        </w:r>
        <w:r w:rsidR="00F42738">
          <w:rPr>
            <w:rFonts w:hint="cs"/>
            <w:noProof/>
            <w:webHidden/>
            <w:rtl/>
          </w:rPr>
          <w:t>8</w:t>
        </w:r>
      </w:hyperlink>
    </w:p>
    <w:p w14:paraId="281F3727" w14:textId="12A05854"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30" w:history="1">
        <w:r w:rsidRPr="00370BBB">
          <w:rPr>
            <w:rFonts w:ascii="Traditional Arabic" w:hAnsi="Traditional Arabic" w:cs="Traditional Arabic"/>
            <w:bCs/>
            <w:noProof/>
            <w:rtl/>
          </w:rPr>
          <w:t>أهمية الدراسة</w:t>
        </w:r>
        <w:r w:rsidRPr="00370BBB">
          <w:rPr>
            <w:noProof/>
            <w:webHidden/>
            <w:rtl/>
          </w:rPr>
          <w:tab/>
        </w:r>
        <w:r w:rsidR="00F42738">
          <w:rPr>
            <w:rFonts w:hint="cs"/>
            <w:noProof/>
            <w:webHidden/>
            <w:rtl/>
          </w:rPr>
          <w:t>9</w:t>
        </w:r>
      </w:hyperlink>
    </w:p>
    <w:p w14:paraId="5093AB82" w14:textId="5C6906B4" w:rsidR="00370BBB" w:rsidRPr="00370BBB" w:rsidRDefault="00370BBB" w:rsidP="00370BBB">
      <w:pPr>
        <w:tabs>
          <w:tab w:val="right" w:leader="dot" w:pos="8777"/>
        </w:tabs>
        <w:bidi/>
        <w:spacing w:after="100"/>
        <w:ind w:left="220"/>
        <w:jc w:val="both"/>
        <w:rPr>
          <w:rFonts w:ascii="Traditional Arabic" w:eastAsiaTheme="minorEastAsia" w:hAnsi="Traditional Arabic" w:cs="Traditional Arabic"/>
          <w:noProof/>
          <w:kern w:val="2"/>
          <w:sz w:val="24"/>
          <w:szCs w:val="24"/>
          <w:rtl/>
          <w:lang w:val="en-GB" w:eastAsia="en-GB"/>
          <w14:ligatures w14:val="standardContextual"/>
        </w:rPr>
      </w:pPr>
      <w:hyperlink w:anchor="_Toc215399831" w:history="1">
        <w:r w:rsidRPr="00370BBB">
          <w:rPr>
            <w:rFonts w:ascii="Traditional Arabic" w:hAnsi="Traditional Arabic" w:cs="Traditional Arabic"/>
            <w:bCs/>
            <w:noProof/>
            <w:rtl/>
          </w:rPr>
          <w:t>أولاً: الأهمية النظرية</w:t>
        </w:r>
        <w:r w:rsidRPr="00370BBB">
          <w:rPr>
            <w:rFonts w:ascii="Traditional Arabic" w:hAnsi="Traditional Arabic" w:cs="Traditional Arabic"/>
            <w:noProof/>
            <w:webHidden/>
            <w:rtl/>
          </w:rPr>
          <w:tab/>
        </w:r>
        <w:r w:rsidR="00F42738">
          <w:rPr>
            <w:rFonts w:ascii="Traditional Arabic" w:hAnsi="Traditional Arabic" w:cs="Traditional Arabic" w:hint="cs"/>
            <w:noProof/>
            <w:webHidden/>
            <w:rtl/>
          </w:rPr>
          <w:t>9</w:t>
        </w:r>
      </w:hyperlink>
    </w:p>
    <w:p w14:paraId="4C2779FC" w14:textId="3CDDE6ED" w:rsidR="00370BBB" w:rsidRPr="00370BBB" w:rsidRDefault="00370BBB" w:rsidP="00370BBB">
      <w:pPr>
        <w:tabs>
          <w:tab w:val="right" w:leader="dot" w:pos="8777"/>
        </w:tabs>
        <w:bidi/>
        <w:spacing w:after="100"/>
        <w:ind w:left="220"/>
        <w:jc w:val="both"/>
        <w:rPr>
          <w:rFonts w:ascii="Traditional Arabic" w:eastAsiaTheme="minorEastAsia" w:hAnsi="Traditional Arabic" w:cs="Traditional Arabic"/>
          <w:noProof/>
          <w:kern w:val="2"/>
          <w:sz w:val="24"/>
          <w:szCs w:val="24"/>
          <w:rtl/>
          <w:lang w:val="en-GB" w:eastAsia="en-GB"/>
          <w14:ligatures w14:val="standardContextual"/>
        </w:rPr>
      </w:pPr>
      <w:hyperlink w:anchor="_Toc215399832" w:history="1">
        <w:r w:rsidRPr="00370BBB">
          <w:rPr>
            <w:rFonts w:ascii="Traditional Arabic" w:hAnsi="Traditional Arabic" w:cs="Traditional Arabic"/>
            <w:bCs/>
            <w:noProof/>
            <w:rtl/>
          </w:rPr>
          <w:t>ثانياً: الأهمية التطبيقية</w:t>
        </w:r>
        <w:r w:rsidRPr="00370BBB">
          <w:rPr>
            <w:rFonts w:ascii="Traditional Arabic" w:hAnsi="Traditional Arabic" w:cs="Traditional Arabic"/>
            <w:noProof/>
            <w:webHidden/>
            <w:rtl/>
          </w:rPr>
          <w:tab/>
        </w:r>
        <w:r w:rsidR="00F42738">
          <w:rPr>
            <w:rFonts w:ascii="Traditional Arabic" w:hAnsi="Traditional Arabic" w:cs="Traditional Arabic" w:hint="cs"/>
            <w:noProof/>
            <w:webHidden/>
            <w:rtl/>
          </w:rPr>
          <w:t>10</w:t>
        </w:r>
      </w:hyperlink>
    </w:p>
    <w:p w14:paraId="217F97A2" w14:textId="1DC33C81"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33" w:history="1">
        <w:r w:rsidRPr="00370BBB">
          <w:rPr>
            <w:rFonts w:ascii="Traditional Arabic" w:hAnsi="Traditional Arabic" w:cs="Traditional Arabic"/>
            <w:bCs/>
            <w:noProof/>
            <w:rtl/>
          </w:rPr>
          <w:t>أهداف الدراسة:</w:t>
        </w:r>
        <w:r w:rsidRPr="00370BBB">
          <w:rPr>
            <w:noProof/>
            <w:webHidden/>
            <w:rtl/>
          </w:rPr>
          <w:tab/>
        </w:r>
        <w:r w:rsidRPr="00370BBB">
          <w:rPr>
            <w:noProof/>
            <w:webHidden/>
            <w:rtl/>
          </w:rPr>
          <w:fldChar w:fldCharType="begin"/>
        </w:r>
        <w:r w:rsidRPr="00370BBB">
          <w:rPr>
            <w:noProof/>
            <w:webHidden/>
            <w:rtl/>
          </w:rPr>
          <w:instrText xml:space="preserve"> </w:instrText>
        </w:r>
        <w:r w:rsidRPr="00370BBB">
          <w:rPr>
            <w:noProof/>
            <w:webHidden/>
          </w:rPr>
          <w:instrText>PAGEREF</w:instrText>
        </w:r>
        <w:r w:rsidRPr="00370BBB">
          <w:rPr>
            <w:noProof/>
            <w:webHidden/>
            <w:rtl/>
          </w:rPr>
          <w:instrText xml:space="preserve"> _</w:instrText>
        </w:r>
        <w:r w:rsidRPr="00370BBB">
          <w:rPr>
            <w:noProof/>
            <w:webHidden/>
          </w:rPr>
          <w:instrText>Toc215399833 \h</w:instrText>
        </w:r>
        <w:r w:rsidRPr="00370BBB">
          <w:rPr>
            <w:noProof/>
            <w:webHidden/>
            <w:rtl/>
          </w:rPr>
          <w:instrText xml:space="preserve"> </w:instrText>
        </w:r>
        <w:r w:rsidRPr="00370BBB">
          <w:rPr>
            <w:noProof/>
            <w:webHidden/>
            <w:rtl/>
          </w:rPr>
        </w:r>
        <w:r w:rsidRPr="00370BBB">
          <w:rPr>
            <w:noProof/>
            <w:webHidden/>
            <w:rtl/>
          </w:rPr>
          <w:fldChar w:fldCharType="separate"/>
        </w:r>
        <w:r w:rsidR="00076B0C">
          <w:rPr>
            <w:noProof/>
            <w:webHidden/>
            <w:rtl/>
          </w:rPr>
          <w:t>11</w:t>
        </w:r>
        <w:r w:rsidRPr="00370BBB">
          <w:rPr>
            <w:noProof/>
            <w:webHidden/>
            <w:rtl/>
          </w:rPr>
          <w:fldChar w:fldCharType="end"/>
        </w:r>
      </w:hyperlink>
    </w:p>
    <w:p w14:paraId="36E8E896" w14:textId="743A082D"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34" w:history="1">
        <w:r w:rsidRPr="00370BBB">
          <w:rPr>
            <w:rFonts w:ascii="Traditional Arabic" w:hAnsi="Traditional Arabic" w:cs="Traditional Arabic"/>
            <w:bCs/>
            <w:noProof/>
            <w:rtl/>
          </w:rPr>
          <w:t>فروض الدراسة:</w:t>
        </w:r>
        <w:r w:rsidRPr="00370BBB">
          <w:rPr>
            <w:noProof/>
            <w:webHidden/>
            <w:rtl/>
          </w:rPr>
          <w:tab/>
        </w:r>
        <w:r w:rsidR="00F42738">
          <w:rPr>
            <w:rFonts w:hint="cs"/>
            <w:noProof/>
            <w:webHidden/>
            <w:rtl/>
          </w:rPr>
          <w:t>12</w:t>
        </w:r>
      </w:hyperlink>
    </w:p>
    <w:p w14:paraId="202F87F4" w14:textId="7F76DD43"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35" w:history="1">
        <w:r w:rsidRPr="00370BBB">
          <w:rPr>
            <w:rFonts w:ascii="Traditional Arabic" w:hAnsi="Traditional Arabic" w:cs="Traditional Arabic"/>
            <w:bCs/>
            <w:noProof/>
            <w:rtl/>
          </w:rPr>
          <w:t>مفاهيم الدراسة</w:t>
        </w:r>
        <w:r w:rsidRPr="00370BBB">
          <w:rPr>
            <w:noProof/>
            <w:webHidden/>
            <w:rtl/>
          </w:rPr>
          <w:tab/>
        </w:r>
        <w:r w:rsidRPr="00370BBB">
          <w:rPr>
            <w:noProof/>
            <w:webHidden/>
            <w:rtl/>
          </w:rPr>
          <w:fldChar w:fldCharType="begin"/>
        </w:r>
        <w:r w:rsidRPr="00370BBB">
          <w:rPr>
            <w:noProof/>
            <w:webHidden/>
            <w:rtl/>
          </w:rPr>
          <w:instrText xml:space="preserve"> </w:instrText>
        </w:r>
        <w:r w:rsidRPr="00370BBB">
          <w:rPr>
            <w:noProof/>
            <w:webHidden/>
          </w:rPr>
          <w:instrText>PAGEREF</w:instrText>
        </w:r>
        <w:r w:rsidRPr="00370BBB">
          <w:rPr>
            <w:noProof/>
            <w:webHidden/>
            <w:rtl/>
          </w:rPr>
          <w:instrText xml:space="preserve"> _</w:instrText>
        </w:r>
        <w:r w:rsidRPr="00370BBB">
          <w:rPr>
            <w:noProof/>
            <w:webHidden/>
          </w:rPr>
          <w:instrText>Toc215399835 \h</w:instrText>
        </w:r>
        <w:r w:rsidRPr="00370BBB">
          <w:rPr>
            <w:noProof/>
            <w:webHidden/>
            <w:rtl/>
          </w:rPr>
          <w:instrText xml:space="preserve"> </w:instrText>
        </w:r>
        <w:r w:rsidRPr="00370BBB">
          <w:rPr>
            <w:noProof/>
            <w:webHidden/>
            <w:rtl/>
          </w:rPr>
        </w:r>
        <w:r w:rsidRPr="00370BBB">
          <w:rPr>
            <w:noProof/>
            <w:webHidden/>
            <w:rtl/>
          </w:rPr>
          <w:fldChar w:fldCharType="separate"/>
        </w:r>
        <w:r w:rsidR="00076B0C">
          <w:rPr>
            <w:noProof/>
            <w:webHidden/>
            <w:rtl/>
          </w:rPr>
          <w:t>13</w:t>
        </w:r>
        <w:r w:rsidRPr="00370BBB">
          <w:rPr>
            <w:noProof/>
            <w:webHidden/>
            <w:rtl/>
          </w:rPr>
          <w:fldChar w:fldCharType="end"/>
        </w:r>
      </w:hyperlink>
    </w:p>
    <w:p w14:paraId="5A7F5DBA" w14:textId="14F4BEA1"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36" w:history="1">
        <w:r w:rsidRPr="00370BBB">
          <w:rPr>
            <w:rFonts w:ascii="Traditional Arabic" w:hAnsi="Traditional Arabic" w:cs="Traditional Arabic"/>
            <w:bCs/>
            <w:noProof/>
            <w:rtl/>
          </w:rPr>
          <w:t>الدراسات السابقة</w:t>
        </w:r>
        <w:r w:rsidRPr="00370BBB">
          <w:rPr>
            <w:noProof/>
            <w:webHidden/>
            <w:rtl/>
          </w:rPr>
          <w:tab/>
        </w:r>
        <w:r w:rsidRPr="00370BBB">
          <w:rPr>
            <w:noProof/>
            <w:webHidden/>
            <w:rtl/>
          </w:rPr>
          <w:fldChar w:fldCharType="begin"/>
        </w:r>
        <w:r w:rsidRPr="00370BBB">
          <w:rPr>
            <w:noProof/>
            <w:webHidden/>
            <w:rtl/>
          </w:rPr>
          <w:instrText xml:space="preserve"> </w:instrText>
        </w:r>
        <w:r w:rsidRPr="00370BBB">
          <w:rPr>
            <w:noProof/>
            <w:webHidden/>
          </w:rPr>
          <w:instrText>PAGEREF</w:instrText>
        </w:r>
        <w:r w:rsidRPr="00370BBB">
          <w:rPr>
            <w:noProof/>
            <w:webHidden/>
            <w:rtl/>
          </w:rPr>
          <w:instrText xml:space="preserve"> _</w:instrText>
        </w:r>
        <w:r w:rsidRPr="00370BBB">
          <w:rPr>
            <w:noProof/>
            <w:webHidden/>
          </w:rPr>
          <w:instrText>Toc215399836 \h</w:instrText>
        </w:r>
        <w:r w:rsidRPr="00370BBB">
          <w:rPr>
            <w:noProof/>
            <w:webHidden/>
            <w:rtl/>
          </w:rPr>
          <w:instrText xml:space="preserve"> </w:instrText>
        </w:r>
        <w:r w:rsidRPr="00370BBB">
          <w:rPr>
            <w:noProof/>
            <w:webHidden/>
            <w:rtl/>
          </w:rPr>
        </w:r>
        <w:r w:rsidRPr="00370BBB">
          <w:rPr>
            <w:noProof/>
            <w:webHidden/>
            <w:rtl/>
          </w:rPr>
          <w:fldChar w:fldCharType="separate"/>
        </w:r>
        <w:r w:rsidR="00076B0C">
          <w:rPr>
            <w:noProof/>
            <w:webHidden/>
            <w:rtl/>
          </w:rPr>
          <w:t>15</w:t>
        </w:r>
        <w:r w:rsidRPr="00370BBB">
          <w:rPr>
            <w:noProof/>
            <w:webHidden/>
            <w:rtl/>
          </w:rPr>
          <w:fldChar w:fldCharType="end"/>
        </w:r>
      </w:hyperlink>
    </w:p>
    <w:bookmarkStart w:id="2" w:name="_Hlk217574534"/>
    <w:p w14:paraId="633B8A5A" w14:textId="2B481BCE" w:rsidR="00370BBB" w:rsidRPr="00370BBB" w:rsidRDefault="00370BBB" w:rsidP="00370BBB">
      <w:pPr>
        <w:tabs>
          <w:tab w:val="right" w:leader="dot" w:pos="8777"/>
        </w:tabs>
        <w:bidi/>
        <w:spacing w:after="100"/>
        <w:ind w:left="220"/>
        <w:jc w:val="both"/>
        <w:rPr>
          <w:rFonts w:ascii="Traditional Arabic" w:eastAsiaTheme="minorEastAsia" w:hAnsi="Traditional Arabic" w:cs="Traditional Arabic"/>
          <w:noProof/>
          <w:rtl/>
        </w:rPr>
      </w:pPr>
      <w:r w:rsidRPr="00370BBB">
        <w:fldChar w:fldCharType="begin"/>
      </w:r>
      <w:r w:rsidRPr="00370BBB">
        <w:instrText xml:space="preserve"> HYPERLINK \l "_Toc213311554" </w:instrText>
      </w:r>
      <w:r w:rsidRPr="00370BBB">
        <w:fldChar w:fldCharType="separate"/>
      </w:r>
      <w:r w:rsidRPr="00370BBB">
        <w:rPr>
          <w:rFonts w:ascii="Traditional Arabic" w:hAnsi="Traditional Arabic" w:cs="Traditional Arabic" w:hint="cs"/>
          <w:b/>
          <w:bCs/>
          <w:noProof/>
          <w:rtl/>
        </w:rPr>
        <w:t>أولا</w:t>
      </w:r>
      <w:r w:rsidRPr="00370BBB">
        <w:rPr>
          <w:rFonts w:ascii="Traditional Arabic" w:hAnsi="Traditional Arabic" w:cs="Traditional Arabic"/>
          <w:b/>
          <w:bCs/>
          <w:noProof/>
          <w:rtl/>
        </w:rPr>
        <w:t>ً: الدراسات المرتبطة</w:t>
      </w:r>
      <w:r w:rsidRPr="00370BBB">
        <w:rPr>
          <w:rFonts w:ascii="Traditional Arabic" w:hAnsi="Traditional Arabic" w:cs="Traditional Arabic" w:hint="cs"/>
          <w:b/>
          <w:bCs/>
          <w:noProof/>
          <w:rtl/>
        </w:rPr>
        <w:t xml:space="preserve"> بذكاء الأعمال</w:t>
      </w:r>
      <w:r w:rsidRPr="00370BBB">
        <w:rPr>
          <w:rFonts w:ascii="Traditional Arabic" w:hAnsi="Traditional Arabic" w:cs="Traditional Arabic"/>
          <w:noProof/>
          <w:webHidden/>
          <w:rtl/>
        </w:rPr>
        <w:tab/>
      </w:r>
      <w:r w:rsidRPr="00370BBB">
        <w:rPr>
          <w:rFonts w:ascii="Traditional Arabic" w:hAnsi="Traditional Arabic" w:cs="Traditional Arabic" w:hint="cs"/>
          <w:b/>
          <w:bCs/>
          <w:noProof/>
          <w:rtl/>
        </w:rPr>
        <w:t>1</w:t>
      </w:r>
      <w:r w:rsidR="00F42738">
        <w:rPr>
          <w:rFonts w:ascii="Traditional Arabic" w:hAnsi="Traditional Arabic" w:cs="Traditional Arabic" w:hint="cs"/>
          <w:b/>
          <w:bCs/>
          <w:noProof/>
          <w:rtl/>
        </w:rPr>
        <w:t>5</w:t>
      </w:r>
      <w:r w:rsidRPr="00370BBB">
        <w:rPr>
          <w:rFonts w:ascii="Traditional Arabic" w:hAnsi="Traditional Arabic" w:cs="Traditional Arabic"/>
          <w:b/>
          <w:bCs/>
          <w:noProof/>
        </w:rPr>
        <w:fldChar w:fldCharType="end"/>
      </w:r>
    </w:p>
    <w:bookmarkEnd w:id="2"/>
    <w:p w14:paraId="7E377A1B" w14:textId="7BFBC94C" w:rsidR="00370BBB" w:rsidRPr="00370BBB" w:rsidRDefault="00370BBB" w:rsidP="00370BBB">
      <w:pPr>
        <w:tabs>
          <w:tab w:val="right" w:leader="dot" w:pos="8777"/>
        </w:tabs>
        <w:bidi/>
        <w:spacing w:after="100"/>
        <w:ind w:left="220"/>
        <w:jc w:val="both"/>
        <w:rPr>
          <w:rFonts w:ascii="Traditional Arabic" w:eastAsiaTheme="minorEastAsia" w:hAnsi="Traditional Arabic" w:cs="Traditional Arabic"/>
          <w:noProof/>
          <w:kern w:val="2"/>
          <w:sz w:val="24"/>
          <w:szCs w:val="24"/>
          <w:rtl/>
          <w:lang w:val="en-GB" w:eastAsia="en-GB"/>
          <w14:ligatures w14:val="standardContextual"/>
        </w:rPr>
      </w:pPr>
      <w:r w:rsidRPr="00370BBB">
        <w:fldChar w:fldCharType="begin"/>
      </w:r>
      <w:r w:rsidRPr="00370BBB">
        <w:instrText xml:space="preserve"> HYPERLINK \l "_Toc215399837" </w:instrText>
      </w:r>
      <w:r w:rsidRPr="00370BBB">
        <w:fldChar w:fldCharType="separate"/>
      </w:r>
      <w:r w:rsidRPr="00370BBB">
        <w:rPr>
          <w:rFonts w:ascii="Traditional Arabic" w:hAnsi="Traditional Arabic" w:cs="Traditional Arabic"/>
          <w:bCs/>
          <w:noProof/>
          <w:rtl/>
        </w:rPr>
        <w:t>ثانياً: الدراسات المرتبطة بالقرارات الاستراتيجية</w:t>
      </w:r>
      <w:r w:rsidRPr="00370BBB">
        <w:rPr>
          <w:rFonts w:ascii="Traditional Arabic" w:hAnsi="Traditional Arabic" w:cs="Traditional Arabic"/>
          <w:noProof/>
          <w:webHidden/>
          <w:rtl/>
        </w:rPr>
        <w:tab/>
      </w:r>
      <w:r w:rsidR="00F42738">
        <w:rPr>
          <w:rFonts w:ascii="Traditional Arabic" w:hAnsi="Traditional Arabic" w:cs="Traditional Arabic" w:hint="cs"/>
          <w:noProof/>
          <w:webHidden/>
          <w:rtl/>
        </w:rPr>
        <w:t>17</w:t>
      </w:r>
      <w:r w:rsidRPr="00370BBB">
        <w:rPr>
          <w:rFonts w:ascii="Traditional Arabic" w:hAnsi="Traditional Arabic" w:cs="Traditional Arabic"/>
          <w:noProof/>
        </w:rPr>
        <w:fldChar w:fldCharType="end"/>
      </w:r>
    </w:p>
    <w:p w14:paraId="31544EBA" w14:textId="15063A11" w:rsidR="00370BBB" w:rsidRPr="00370BBB" w:rsidRDefault="00370BBB" w:rsidP="00370BBB">
      <w:pPr>
        <w:tabs>
          <w:tab w:val="right" w:leader="dot" w:pos="8777"/>
        </w:tabs>
        <w:bidi/>
        <w:spacing w:after="100"/>
        <w:ind w:left="220"/>
        <w:jc w:val="both"/>
        <w:rPr>
          <w:rFonts w:ascii="Traditional Arabic" w:eastAsiaTheme="minorEastAsia" w:hAnsi="Traditional Arabic" w:cs="Traditional Arabic"/>
          <w:noProof/>
          <w:kern w:val="2"/>
          <w:sz w:val="24"/>
          <w:szCs w:val="24"/>
          <w:rtl/>
          <w:lang w:val="en-GB" w:eastAsia="en-GB"/>
          <w14:ligatures w14:val="standardContextual"/>
        </w:rPr>
      </w:pPr>
      <w:hyperlink w:anchor="_Toc215399838" w:history="1">
        <w:r w:rsidRPr="00370BBB">
          <w:rPr>
            <w:rFonts w:ascii="Traditional Arabic" w:hAnsi="Traditional Arabic" w:cs="Traditional Arabic"/>
            <w:bCs/>
            <w:noProof/>
            <w:rtl/>
          </w:rPr>
          <w:t>ثالثاً: الدراسات المرتبطة بالابتكار التنظيمي</w:t>
        </w:r>
        <w:r w:rsidRPr="00370BBB">
          <w:rPr>
            <w:rFonts w:ascii="Traditional Arabic" w:hAnsi="Traditional Arabic" w:cs="Traditional Arabic"/>
            <w:noProof/>
            <w:webHidden/>
            <w:rtl/>
          </w:rPr>
          <w:tab/>
        </w:r>
        <w:r w:rsidR="00F42738">
          <w:rPr>
            <w:rFonts w:ascii="Traditional Arabic" w:hAnsi="Traditional Arabic" w:cs="Traditional Arabic" w:hint="cs"/>
            <w:noProof/>
            <w:webHidden/>
            <w:rtl/>
          </w:rPr>
          <w:t>19</w:t>
        </w:r>
      </w:hyperlink>
    </w:p>
    <w:p w14:paraId="0A5D0539" w14:textId="582529F1"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39" w:history="1">
        <w:r w:rsidRPr="00370BBB">
          <w:rPr>
            <w:rFonts w:ascii="Traditional Arabic" w:hAnsi="Traditional Arabic" w:cs="Traditional Arabic"/>
            <w:bCs/>
            <w:noProof/>
            <w:rtl/>
          </w:rPr>
          <w:t>حدود الدراسة</w:t>
        </w:r>
        <w:r w:rsidRPr="00370BBB">
          <w:rPr>
            <w:noProof/>
            <w:webHidden/>
            <w:rtl/>
          </w:rPr>
          <w:tab/>
        </w:r>
        <w:r w:rsidRPr="00370BBB">
          <w:rPr>
            <w:noProof/>
            <w:webHidden/>
            <w:rtl/>
          </w:rPr>
          <w:fldChar w:fldCharType="begin"/>
        </w:r>
        <w:r w:rsidRPr="00370BBB">
          <w:rPr>
            <w:noProof/>
            <w:webHidden/>
            <w:rtl/>
          </w:rPr>
          <w:instrText xml:space="preserve"> </w:instrText>
        </w:r>
        <w:r w:rsidRPr="00370BBB">
          <w:rPr>
            <w:noProof/>
            <w:webHidden/>
          </w:rPr>
          <w:instrText>PAGEREF</w:instrText>
        </w:r>
        <w:r w:rsidRPr="00370BBB">
          <w:rPr>
            <w:noProof/>
            <w:webHidden/>
            <w:rtl/>
          </w:rPr>
          <w:instrText xml:space="preserve"> _</w:instrText>
        </w:r>
        <w:r w:rsidRPr="00370BBB">
          <w:rPr>
            <w:noProof/>
            <w:webHidden/>
          </w:rPr>
          <w:instrText>Toc215399839 \h</w:instrText>
        </w:r>
        <w:r w:rsidRPr="00370BBB">
          <w:rPr>
            <w:noProof/>
            <w:webHidden/>
            <w:rtl/>
          </w:rPr>
          <w:instrText xml:space="preserve"> </w:instrText>
        </w:r>
        <w:r w:rsidRPr="00370BBB">
          <w:rPr>
            <w:noProof/>
            <w:webHidden/>
            <w:rtl/>
          </w:rPr>
        </w:r>
        <w:r w:rsidRPr="00370BBB">
          <w:rPr>
            <w:noProof/>
            <w:webHidden/>
            <w:rtl/>
          </w:rPr>
          <w:fldChar w:fldCharType="separate"/>
        </w:r>
        <w:r w:rsidR="00076B0C">
          <w:rPr>
            <w:noProof/>
            <w:webHidden/>
            <w:rtl/>
          </w:rPr>
          <w:t>20</w:t>
        </w:r>
        <w:r w:rsidRPr="00370BBB">
          <w:rPr>
            <w:noProof/>
            <w:webHidden/>
            <w:rtl/>
          </w:rPr>
          <w:fldChar w:fldCharType="end"/>
        </w:r>
      </w:hyperlink>
    </w:p>
    <w:p w14:paraId="2D9E1268" w14:textId="7C271851"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40" w:history="1">
        <w:r w:rsidRPr="00370BBB">
          <w:rPr>
            <w:rFonts w:ascii="Traditional Arabic" w:hAnsi="Traditional Arabic" w:cs="Traditional Arabic"/>
            <w:bCs/>
            <w:noProof/>
            <w:rtl/>
          </w:rPr>
          <w:t>إجراءات ومنهجية الدراسة</w:t>
        </w:r>
        <w:r w:rsidRPr="00370BBB">
          <w:rPr>
            <w:noProof/>
            <w:webHidden/>
            <w:rtl/>
          </w:rPr>
          <w:tab/>
        </w:r>
        <w:r w:rsidRPr="00370BBB">
          <w:rPr>
            <w:noProof/>
            <w:webHidden/>
            <w:rtl/>
          </w:rPr>
          <w:fldChar w:fldCharType="begin"/>
        </w:r>
        <w:r w:rsidRPr="00370BBB">
          <w:rPr>
            <w:noProof/>
            <w:webHidden/>
            <w:rtl/>
          </w:rPr>
          <w:instrText xml:space="preserve"> </w:instrText>
        </w:r>
        <w:r w:rsidRPr="00370BBB">
          <w:rPr>
            <w:noProof/>
            <w:webHidden/>
          </w:rPr>
          <w:instrText>PAGEREF</w:instrText>
        </w:r>
        <w:r w:rsidRPr="00370BBB">
          <w:rPr>
            <w:noProof/>
            <w:webHidden/>
            <w:rtl/>
          </w:rPr>
          <w:instrText xml:space="preserve"> _</w:instrText>
        </w:r>
        <w:r w:rsidRPr="00370BBB">
          <w:rPr>
            <w:noProof/>
            <w:webHidden/>
          </w:rPr>
          <w:instrText>Toc215399840 \h</w:instrText>
        </w:r>
        <w:r w:rsidRPr="00370BBB">
          <w:rPr>
            <w:noProof/>
            <w:webHidden/>
            <w:rtl/>
          </w:rPr>
          <w:instrText xml:space="preserve"> </w:instrText>
        </w:r>
        <w:r w:rsidRPr="00370BBB">
          <w:rPr>
            <w:noProof/>
            <w:webHidden/>
            <w:rtl/>
          </w:rPr>
        </w:r>
        <w:r w:rsidRPr="00370BBB">
          <w:rPr>
            <w:noProof/>
            <w:webHidden/>
            <w:rtl/>
          </w:rPr>
          <w:fldChar w:fldCharType="separate"/>
        </w:r>
        <w:r w:rsidR="00076B0C">
          <w:rPr>
            <w:noProof/>
            <w:webHidden/>
            <w:rtl/>
          </w:rPr>
          <w:t>21</w:t>
        </w:r>
        <w:r w:rsidRPr="00370BBB">
          <w:rPr>
            <w:noProof/>
            <w:webHidden/>
            <w:rtl/>
          </w:rPr>
          <w:fldChar w:fldCharType="end"/>
        </w:r>
      </w:hyperlink>
    </w:p>
    <w:p w14:paraId="2434EA30" w14:textId="6B89BC56" w:rsidR="00370BBB" w:rsidRPr="00370BBB" w:rsidRDefault="00370BBB" w:rsidP="00370BBB">
      <w:pPr>
        <w:tabs>
          <w:tab w:val="right" w:leader="dot" w:pos="8777"/>
        </w:tabs>
        <w:bidi/>
        <w:spacing w:after="100"/>
        <w:ind w:left="220"/>
        <w:jc w:val="both"/>
        <w:rPr>
          <w:rFonts w:ascii="Traditional Arabic" w:eastAsiaTheme="minorEastAsia" w:hAnsi="Traditional Arabic" w:cs="Traditional Arabic"/>
          <w:noProof/>
          <w:kern w:val="2"/>
          <w:sz w:val="24"/>
          <w:szCs w:val="24"/>
          <w:rtl/>
          <w:lang w:val="en-GB" w:eastAsia="en-GB"/>
          <w14:ligatures w14:val="standardContextual"/>
        </w:rPr>
      </w:pPr>
      <w:hyperlink w:anchor="_Toc215399841" w:history="1">
        <w:r w:rsidRPr="00370BBB">
          <w:rPr>
            <w:rFonts w:ascii="Traditional Arabic" w:hAnsi="Traditional Arabic" w:cs="Traditional Arabic"/>
            <w:bCs/>
            <w:noProof/>
            <w:rtl/>
          </w:rPr>
          <w:t>منهج الدراسة:</w:t>
        </w:r>
        <w:r w:rsidRPr="00370BBB">
          <w:rPr>
            <w:rFonts w:ascii="Traditional Arabic" w:hAnsi="Traditional Arabic" w:cs="Traditional Arabic"/>
            <w:noProof/>
            <w:webHidden/>
            <w:rtl/>
          </w:rPr>
          <w:tab/>
        </w:r>
        <w:r w:rsidRPr="00370BBB">
          <w:rPr>
            <w:rFonts w:ascii="Traditional Arabic" w:hAnsi="Traditional Arabic" w:cs="Traditional Arabic"/>
            <w:noProof/>
            <w:webHidden/>
            <w:rtl/>
          </w:rPr>
          <w:fldChar w:fldCharType="begin"/>
        </w:r>
        <w:r w:rsidRPr="00370BBB">
          <w:rPr>
            <w:rFonts w:ascii="Traditional Arabic" w:hAnsi="Traditional Arabic" w:cs="Traditional Arabic"/>
            <w:noProof/>
            <w:webHidden/>
            <w:rtl/>
          </w:rPr>
          <w:instrText xml:space="preserve"> </w:instrText>
        </w:r>
        <w:r w:rsidRPr="00370BBB">
          <w:rPr>
            <w:rFonts w:ascii="Traditional Arabic" w:hAnsi="Traditional Arabic" w:cs="Traditional Arabic"/>
            <w:noProof/>
            <w:webHidden/>
          </w:rPr>
          <w:instrText>PAGEREF</w:instrText>
        </w:r>
        <w:r w:rsidRPr="00370BBB">
          <w:rPr>
            <w:rFonts w:ascii="Traditional Arabic" w:hAnsi="Traditional Arabic" w:cs="Traditional Arabic"/>
            <w:noProof/>
            <w:webHidden/>
            <w:rtl/>
          </w:rPr>
          <w:instrText xml:space="preserve"> _</w:instrText>
        </w:r>
        <w:r w:rsidRPr="00370BBB">
          <w:rPr>
            <w:rFonts w:ascii="Traditional Arabic" w:hAnsi="Traditional Arabic" w:cs="Traditional Arabic"/>
            <w:noProof/>
            <w:webHidden/>
          </w:rPr>
          <w:instrText>Toc215399841 \h</w:instrText>
        </w:r>
        <w:r w:rsidRPr="00370BBB">
          <w:rPr>
            <w:rFonts w:ascii="Traditional Arabic" w:hAnsi="Traditional Arabic" w:cs="Traditional Arabic"/>
            <w:noProof/>
            <w:webHidden/>
            <w:rtl/>
          </w:rPr>
          <w:instrText xml:space="preserve"> </w:instrText>
        </w:r>
        <w:r w:rsidRPr="00370BBB">
          <w:rPr>
            <w:rFonts w:ascii="Traditional Arabic" w:hAnsi="Traditional Arabic" w:cs="Traditional Arabic"/>
            <w:noProof/>
            <w:webHidden/>
            <w:rtl/>
          </w:rPr>
        </w:r>
        <w:r w:rsidRPr="00370BBB">
          <w:rPr>
            <w:rFonts w:ascii="Traditional Arabic" w:hAnsi="Traditional Arabic" w:cs="Traditional Arabic"/>
            <w:noProof/>
            <w:webHidden/>
            <w:rtl/>
          </w:rPr>
          <w:fldChar w:fldCharType="separate"/>
        </w:r>
        <w:r w:rsidR="00076B0C">
          <w:rPr>
            <w:rFonts w:ascii="Traditional Arabic" w:hAnsi="Traditional Arabic" w:cs="Traditional Arabic"/>
            <w:noProof/>
            <w:webHidden/>
            <w:rtl/>
          </w:rPr>
          <w:t>21</w:t>
        </w:r>
        <w:r w:rsidRPr="00370BBB">
          <w:rPr>
            <w:rFonts w:ascii="Traditional Arabic" w:hAnsi="Traditional Arabic" w:cs="Traditional Arabic"/>
            <w:noProof/>
            <w:webHidden/>
            <w:rtl/>
          </w:rPr>
          <w:fldChar w:fldCharType="end"/>
        </w:r>
      </w:hyperlink>
    </w:p>
    <w:p w14:paraId="1D08F514" w14:textId="2D05BE3A" w:rsidR="00370BBB" w:rsidRPr="00370BBB" w:rsidRDefault="00370BBB" w:rsidP="00370BBB">
      <w:pPr>
        <w:tabs>
          <w:tab w:val="right" w:leader="dot" w:pos="8777"/>
        </w:tabs>
        <w:bidi/>
        <w:spacing w:after="100"/>
        <w:ind w:left="220"/>
        <w:jc w:val="both"/>
        <w:rPr>
          <w:rFonts w:ascii="Traditional Arabic" w:eastAsiaTheme="minorEastAsia" w:hAnsi="Traditional Arabic" w:cs="Traditional Arabic"/>
          <w:noProof/>
          <w:kern w:val="2"/>
          <w:sz w:val="24"/>
          <w:szCs w:val="24"/>
          <w:rtl/>
          <w:lang w:val="en-GB" w:eastAsia="en-GB"/>
          <w14:ligatures w14:val="standardContextual"/>
        </w:rPr>
      </w:pPr>
      <w:hyperlink w:anchor="_Toc215399842" w:history="1">
        <w:r w:rsidRPr="00370BBB">
          <w:rPr>
            <w:rFonts w:ascii="Traditional Arabic" w:hAnsi="Traditional Arabic" w:cs="Traditional Arabic"/>
            <w:bCs/>
            <w:noProof/>
            <w:rtl/>
          </w:rPr>
          <w:t>مجتمع وعينة الدراسة:</w:t>
        </w:r>
        <w:r w:rsidRPr="00370BBB">
          <w:rPr>
            <w:rFonts w:ascii="Traditional Arabic" w:hAnsi="Traditional Arabic" w:cs="Traditional Arabic"/>
            <w:noProof/>
            <w:webHidden/>
            <w:rtl/>
          </w:rPr>
          <w:tab/>
        </w:r>
        <w:r w:rsidRPr="00370BBB">
          <w:rPr>
            <w:rFonts w:ascii="Traditional Arabic" w:hAnsi="Traditional Arabic" w:cs="Traditional Arabic"/>
            <w:noProof/>
            <w:webHidden/>
            <w:rtl/>
          </w:rPr>
          <w:fldChar w:fldCharType="begin"/>
        </w:r>
        <w:r w:rsidRPr="00370BBB">
          <w:rPr>
            <w:rFonts w:ascii="Traditional Arabic" w:hAnsi="Traditional Arabic" w:cs="Traditional Arabic"/>
            <w:noProof/>
            <w:webHidden/>
            <w:rtl/>
          </w:rPr>
          <w:instrText xml:space="preserve"> </w:instrText>
        </w:r>
        <w:r w:rsidRPr="00370BBB">
          <w:rPr>
            <w:rFonts w:ascii="Traditional Arabic" w:hAnsi="Traditional Arabic" w:cs="Traditional Arabic"/>
            <w:noProof/>
            <w:webHidden/>
          </w:rPr>
          <w:instrText>PAGEREF</w:instrText>
        </w:r>
        <w:r w:rsidRPr="00370BBB">
          <w:rPr>
            <w:rFonts w:ascii="Traditional Arabic" w:hAnsi="Traditional Arabic" w:cs="Traditional Arabic"/>
            <w:noProof/>
            <w:webHidden/>
            <w:rtl/>
          </w:rPr>
          <w:instrText xml:space="preserve"> _</w:instrText>
        </w:r>
        <w:r w:rsidRPr="00370BBB">
          <w:rPr>
            <w:rFonts w:ascii="Traditional Arabic" w:hAnsi="Traditional Arabic" w:cs="Traditional Arabic"/>
            <w:noProof/>
            <w:webHidden/>
          </w:rPr>
          <w:instrText>Toc215399842 \h</w:instrText>
        </w:r>
        <w:r w:rsidRPr="00370BBB">
          <w:rPr>
            <w:rFonts w:ascii="Traditional Arabic" w:hAnsi="Traditional Arabic" w:cs="Traditional Arabic"/>
            <w:noProof/>
            <w:webHidden/>
            <w:rtl/>
          </w:rPr>
          <w:instrText xml:space="preserve"> </w:instrText>
        </w:r>
        <w:r w:rsidRPr="00370BBB">
          <w:rPr>
            <w:rFonts w:ascii="Traditional Arabic" w:hAnsi="Traditional Arabic" w:cs="Traditional Arabic"/>
            <w:noProof/>
            <w:webHidden/>
            <w:rtl/>
          </w:rPr>
        </w:r>
        <w:r w:rsidRPr="00370BBB">
          <w:rPr>
            <w:rFonts w:ascii="Traditional Arabic" w:hAnsi="Traditional Arabic" w:cs="Traditional Arabic"/>
            <w:noProof/>
            <w:webHidden/>
            <w:rtl/>
          </w:rPr>
          <w:fldChar w:fldCharType="separate"/>
        </w:r>
        <w:r w:rsidR="00076B0C">
          <w:rPr>
            <w:rFonts w:ascii="Traditional Arabic" w:hAnsi="Traditional Arabic" w:cs="Traditional Arabic"/>
            <w:noProof/>
            <w:webHidden/>
            <w:rtl/>
          </w:rPr>
          <w:t>21</w:t>
        </w:r>
        <w:r w:rsidRPr="00370BBB">
          <w:rPr>
            <w:rFonts w:ascii="Traditional Arabic" w:hAnsi="Traditional Arabic" w:cs="Traditional Arabic"/>
            <w:noProof/>
            <w:webHidden/>
            <w:rtl/>
          </w:rPr>
          <w:fldChar w:fldCharType="end"/>
        </w:r>
      </w:hyperlink>
    </w:p>
    <w:p w14:paraId="7BAEB83C" w14:textId="7C07FAAB" w:rsidR="00370BBB" w:rsidRPr="00370BBB" w:rsidRDefault="00370BBB" w:rsidP="00370BBB">
      <w:pPr>
        <w:tabs>
          <w:tab w:val="right" w:leader="dot" w:pos="8777"/>
        </w:tabs>
        <w:bidi/>
        <w:spacing w:after="100"/>
        <w:ind w:left="220"/>
        <w:jc w:val="both"/>
        <w:rPr>
          <w:rFonts w:ascii="Traditional Arabic" w:eastAsiaTheme="minorEastAsia" w:hAnsi="Traditional Arabic" w:cs="Traditional Arabic"/>
          <w:noProof/>
          <w:kern w:val="2"/>
          <w:sz w:val="24"/>
          <w:szCs w:val="24"/>
          <w:rtl/>
          <w:lang w:val="en-GB" w:eastAsia="en-GB"/>
          <w14:ligatures w14:val="standardContextual"/>
        </w:rPr>
      </w:pPr>
      <w:hyperlink w:anchor="_Toc215399843" w:history="1">
        <w:r w:rsidRPr="00370BBB">
          <w:rPr>
            <w:rFonts w:ascii="Traditional Arabic" w:hAnsi="Traditional Arabic" w:cs="Traditional Arabic"/>
            <w:bCs/>
            <w:noProof/>
            <w:rtl/>
          </w:rPr>
          <w:t>وسائل جمع بيانات الدراسة:</w:t>
        </w:r>
        <w:r w:rsidRPr="00370BBB">
          <w:rPr>
            <w:rFonts w:ascii="Traditional Arabic" w:hAnsi="Traditional Arabic" w:cs="Traditional Arabic"/>
            <w:noProof/>
            <w:webHidden/>
            <w:rtl/>
          </w:rPr>
          <w:tab/>
        </w:r>
        <w:r w:rsidRPr="00370BBB">
          <w:rPr>
            <w:rFonts w:ascii="Traditional Arabic" w:hAnsi="Traditional Arabic" w:cs="Traditional Arabic"/>
            <w:noProof/>
            <w:webHidden/>
            <w:rtl/>
          </w:rPr>
          <w:fldChar w:fldCharType="begin"/>
        </w:r>
        <w:r w:rsidRPr="00370BBB">
          <w:rPr>
            <w:rFonts w:ascii="Traditional Arabic" w:hAnsi="Traditional Arabic" w:cs="Traditional Arabic"/>
            <w:noProof/>
            <w:webHidden/>
            <w:rtl/>
          </w:rPr>
          <w:instrText xml:space="preserve"> </w:instrText>
        </w:r>
        <w:r w:rsidRPr="00370BBB">
          <w:rPr>
            <w:rFonts w:ascii="Traditional Arabic" w:hAnsi="Traditional Arabic" w:cs="Traditional Arabic"/>
            <w:noProof/>
            <w:webHidden/>
          </w:rPr>
          <w:instrText>PAGEREF</w:instrText>
        </w:r>
        <w:r w:rsidRPr="00370BBB">
          <w:rPr>
            <w:rFonts w:ascii="Traditional Arabic" w:hAnsi="Traditional Arabic" w:cs="Traditional Arabic"/>
            <w:noProof/>
            <w:webHidden/>
            <w:rtl/>
          </w:rPr>
          <w:instrText xml:space="preserve"> _</w:instrText>
        </w:r>
        <w:r w:rsidRPr="00370BBB">
          <w:rPr>
            <w:rFonts w:ascii="Traditional Arabic" w:hAnsi="Traditional Arabic" w:cs="Traditional Arabic"/>
            <w:noProof/>
            <w:webHidden/>
          </w:rPr>
          <w:instrText>Toc215399843 \h</w:instrText>
        </w:r>
        <w:r w:rsidRPr="00370BBB">
          <w:rPr>
            <w:rFonts w:ascii="Traditional Arabic" w:hAnsi="Traditional Arabic" w:cs="Traditional Arabic"/>
            <w:noProof/>
            <w:webHidden/>
            <w:rtl/>
          </w:rPr>
          <w:instrText xml:space="preserve"> </w:instrText>
        </w:r>
        <w:r w:rsidRPr="00370BBB">
          <w:rPr>
            <w:rFonts w:ascii="Traditional Arabic" w:hAnsi="Traditional Arabic" w:cs="Traditional Arabic"/>
            <w:noProof/>
            <w:webHidden/>
            <w:rtl/>
          </w:rPr>
        </w:r>
        <w:r w:rsidRPr="00370BBB">
          <w:rPr>
            <w:rFonts w:ascii="Traditional Arabic" w:hAnsi="Traditional Arabic" w:cs="Traditional Arabic"/>
            <w:noProof/>
            <w:webHidden/>
            <w:rtl/>
          </w:rPr>
          <w:fldChar w:fldCharType="separate"/>
        </w:r>
        <w:r w:rsidR="00076B0C">
          <w:rPr>
            <w:rFonts w:ascii="Traditional Arabic" w:hAnsi="Traditional Arabic" w:cs="Traditional Arabic"/>
            <w:noProof/>
            <w:webHidden/>
            <w:rtl/>
          </w:rPr>
          <w:t>22</w:t>
        </w:r>
        <w:r w:rsidRPr="00370BBB">
          <w:rPr>
            <w:rFonts w:ascii="Traditional Arabic" w:hAnsi="Traditional Arabic" w:cs="Traditional Arabic"/>
            <w:noProof/>
            <w:webHidden/>
            <w:rtl/>
          </w:rPr>
          <w:fldChar w:fldCharType="end"/>
        </w:r>
      </w:hyperlink>
    </w:p>
    <w:p w14:paraId="78DEC9EF" w14:textId="594608F6" w:rsidR="00370BBB" w:rsidRPr="00370BBB" w:rsidRDefault="00370BBB" w:rsidP="00370BBB">
      <w:pPr>
        <w:tabs>
          <w:tab w:val="right" w:leader="dot" w:pos="8777"/>
        </w:tabs>
        <w:bidi/>
        <w:spacing w:after="100"/>
        <w:ind w:left="220"/>
        <w:jc w:val="both"/>
        <w:rPr>
          <w:rFonts w:ascii="Traditional Arabic" w:eastAsiaTheme="minorEastAsia" w:hAnsi="Traditional Arabic" w:cs="Traditional Arabic"/>
          <w:noProof/>
          <w:kern w:val="2"/>
          <w:sz w:val="24"/>
          <w:szCs w:val="24"/>
          <w:rtl/>
          <w:lang w:val="en-GB" w:eastAsia="en-GB"/>
          <w14:ligatures w14:val="standardContextual"/>
        </w:rPr>
      </w:pPr>
      <w:hyperlink w:anchor="_Toc215399844" w:history="1">
        <w:r w:rsidRPr="00370BBB">
          <w:rPr>
            <w:rFonts w:ascii="Traditional Arabic" w:hAnsi="Traditional Arabic" w:cs="Traditional Arabic"/>
            <w:bCs/>
            <w:noProof/>
            <w:rtl/>
          </w:rPr>
          <w:t>صدق أداة الدراسة</w:t>
        </w:r>
        <w:r w:rsidRPr="00370BBB">
          <w:rPr>
            <w:rFonts w:ascii="Traditional Arabic" w:hAnsi="Traditional Arabic" w:cs="Traditional Arabic"/>
            <w:noProof/>
            <w:webHidden/>
            <w:rtl/>
          </w:rPr>
          <w:tab/>
        </w:r>
        <w:r w:rsidR="00F42738">
          <w:rPr>
            <w:rFonts w:ascii="Traditional Arabic" w:hAnsi="Traditional Arabic" w:cs="Traditional Arabic" w:hint="cs"/>
            <w:noProof/>
            <w:webHidden/>
            <w:rtl/>
          </w:rPr>
          <w:t>22</w:t>
        </w:r>
      </w:hyperlink>
    </w:p>
    <w:p w14:paraId="15F5C4A5" w14:textId="7F3551CA" w:rsidR="00370BBB" w:rsidRPr="00370BBB" w:rsidRDefault="00370BBB" w:rsidP="00370BBB">
      <w:pPr>
        <w:tabs>
          <w:tab w:val="right" w:leader="dot" w:pos="8777"/>
        </w:tabs>
        <w:bidi/>
        <w:spacing w:after="100"/>
        <w:ind w:left="220"/>
        <w:jc w:val="both"/>
        <w:rPr>
          <w:rFonts w:ascii="Traditional Arabic" w:eastAsiaTheme="minorEastAsia" w:hAnsi="Traditional Arabic" w:cs="Traditional Arabic"/>
          <w:noProof/>
          <w:kern w:val="2"/>
          <w:sz w:val="24"/>
          <w:szCs w:val="24"/>
          <w:rtl/>
          <w:lang w:val="en-GB" w:eastAsia="en-GB"/>
          <w14:ligatures w14:val="standardContextual"/>
        </w:rPr>
      </w:pPr>
      <w:hyperlink w:anchor="_Toc215399845" w:history="1">
        <w:r w:rsidRPr="00370BBB">
          <w:rPr>
            <w:rFonts w:ascii="Traditional Arabic" w:hAnsi="Traditional Arabic" w:cs="Traditional Arabic"/>
            <w:bCs/>
            <w:noProof/>
            <w:rtl/>
          </w:rPr>
          <w:t>ثبات أداة الاستبانة</w:t>
        </w:r>
        <w:r w:rsidRPr="00370BBB">
          <w:rPr>
            <w:rFonts w:ascii="Traditional Arabic" w:hAnsi="Traditional Arabic" w:cs="Traditional Arabic"/>
            <w:noProof/>
            <w:webHidden/>
            <w:rtl/>
          </w:rPr>
          <w:tab/>
        </w:r>
        <w:r w:rsidRPr="00370BBB">
          <w:rPr>
            <w:rFonts w:ascii="Traditional Arabic" w:hAnsi="Traditional Arabic" w:cs="Traditional Arabic"/>
            <w:noProof/>
            <w:webHidden/>
            <w:rtl/>
          </w:rPr>
          <w:fldChar w:fldCharType="begin"/>
        </w:r>
        <w:r w:rsidRPr="00370BBB">
          <w:rPr>
            <w:rFonts w:ascii="Traditional Arabic" w:hAnsi="Traditional Arabic" w:cs="Traditional Arabic"/>
            <w:noProof/>
            <w:webHidden/>
            <w:rtl/>
          </w:rPr>
          <w:instrText xml:space="preserve"> </w:instrText>
        </w:r>
        <w:r w:rsidRPr="00370BBB">
          <w:rPr>
            <w:rFonts w:ascii="Traditional Arabic" w:hAnsi="Traditional Arabic" w:cs="Traditional Arabic"/>
            <w:noProof/>
            <w:webHidden/>
          </w:rPr>
          <w:instrText>PAGEREF</w:instrText>
        </w:r>
        <w:r w:rsidRPr="00370BBB">
          <w:rPr>
            <w:rFonts w:ascii="Traditional Arabic" w:hAnsi="Traditional Arabic" w:cs="Traditional Arabic"/>
            <w:noProof/>
            <w:webHidden/>
            <w:rtl/>
          </w:rPr>
          <w:instrText xml:space="preserve"> _</w:instrText>
        </w:r>
        <w:r w:rsidRPr="00370BBB">
          <w:rPr>
            <w:rFonts w:ascii="Traditional Arabic" w:hAnsi="Traditional Arabic" w:cs="Traditional Arabic"/>
            <w:noProof/>
            <w:webHidden/>
          </w:rPr>
          <w:instrText>Toc215399845 \h</w:instrText>
        </w:r>
        <w:r w:rsidRPr="00370BBB">
          <w:rPr>
            <w:rFonts w:ascii="Traditional Arabic" w:hAnsi="Traditional Arabic" w:cs="Traditional Arabic"/>
            <w:noProof/>
            <w:webHidden/>
            <w:rtl/>
          </w:rPr>
          <w:instrText xml:space="preserve"> </w:instrText>
        </w:r>
        <w:r w:rsidRPr="00370BBB">
          <w:rPr>
            <w:rFonts w:ascii="Traditional Arabic" w:hAnsi="Traditional Arabic" w:cs="Traditional Arabic"/>
            <w:noProof/>
            <w:webHidden/>
            <w:rtl/>
          </w:rPr>
        </w:r>
        <w:r w:rsidRPr="00370BBB">
          <w:rPr>
            <w:rFonts w:ascii="Traditional Arabic" w:hAnsi="Traditional Arabic" w:cs="Traditional Arabic"/>
            <w:noProof/>
            <w:webHidden/>
            <w:rtl/>
          </w:rPr>
          <w:fldChar w:fldCharType="separate"/>
        </w:r>
        <w:r w:rsidR="00076B0C">
          <w:rPr>
            <w:rFonts w:ascii="Traditional Arabic" w:hAnsi="Traditional Arabic" w:cs="Traditional Arabic"/>
            <w:noProof/>
            <w:webHidden/>
            <w:rtl/>
          </w:rPr>
          <w:t>23</w:t>
        </w:r>
        <w:r w:rsidRPr="00370BBB">
          <w:rPr>
            <w:rFonts w:ascii="Traditional Arabic" w:hAnsi="Traditional Arabic" w:cs="Traditional Arabic"/>
            <w:noProof/>
            <w:webHidden/>
            <w:rtl/>
          </w:rPr>
          <w:fldChar w:fldCharType="end"/>
        </w:r>
      </w:hyperlink>
    </w:p>
    <w:p w14:paraId="1085BA4C" w14:textId="13D40A08" w:rsidR="00370BBB" w:rsidRPr="00370BBB" w:rsidRDefault="00370BBB" w:rsidP="00370BBB">
      <w:pPr>
        <w:tabs>
          <w:tab w:val="right" w:leader="dot" w:pos="8777"/>
        </w:tabs>
        <w:bidi/>
        <w:spacing w:after="100"/>
        <w:ind w:left="220"/>
        <w:jc w:val="both"/>
        <w:rPr>
          <w:rFonts w:ascii="Traditional Arabic" w:eastAsiaTheme="minorEastAsia" w:hAnsi="Traditional Arabic" w:cs="Traditional Arabic"/>
          <w:noProof/>
          <w:kern w:val="2"/>
          <w:sz w:val="24"/>
          <w:szCs w:val="24"/>
          <w:rtl/>
          <w:lang w:val="en-GB" w:eastAsia="en-GB"/>
          <w14:ligatures w14:val="standardContextual"/>
        </w:rPr>
      </w:pPr>
      <w:hyperlink w:anchor="_Toc215399846" w:history="1">
        <w:r w:rsidRPr="00370BBB">
          <w:rPr>
            <w:rFonts w:ascii="Traditional Arabic" w:hAnsi="Traditional Arabic" w:cs="Traditional Arabic"/>
            <w:bCs/>
            <w:noProof/>
            <w:rtl/>
          </w:rPr>
          <w:t>المعالجات الإحصائية  المقترحة:</w:t>
        </w:r>
        <w:r w:rsidRPr="00370BBB">
          <w:rPr>
            <w:rFonts w:ascii="Traditional Arabic" w:hAnsi="Traditional Arabic" w:cs="Traditional Arabic"/>
            <w:noProof/>
            <w:webHidden/>
            <w:rtl/>
          </w:rPr>
          <w:tab/>
        </w:r>
        <w:r w:rsidRPr="00370BBB">
          <w:rPr>
            <w:rFonts w:ascii="Traditional Arabic" w:hAnsi="Traditional Arabic" w:cs="Traditional Arabic"/>
            <w:noProof/>
            <w:webHidden/>
            <w:rtl/>
          </w:rPr>
          <w:fldChar w:fldCharType="begin"/>
        </w:r>
        <w:r w:rsidRPr="00370BBB">
          <w:rPr>
            <w:rFonts w:ascii="Traditional Arabic" w:hAnsi="Traditional Arabic" w:cs="Traditional Arabic"/>
            <w:noProof/>
            <w:webHidden/>
            <w:rtl/>
          </w:rPr>
          <w:instrText xml:space="preserve"> </w:instrText>
        </w:r>
        <w:r w:rsidRPr="00370BBB">
          <w:rPr>
            <w:rFonts w:ascii="Traditional Arabic" w:hAnsi="Traditional Arabic" w:cs="Traditional Arabic"/>
            <w:noProof/>
            <w:webHidden/>
          </w:rPr>
          <w:instrText>PAGEREF</w:instrText>
        </w:r>
        <w:r w:rsidRPr="00370BBB">
          <w:rPr>
            <w:rFonts w:ascii="Traditional Arabic" w:hAnsi="Traditional Arabic" w:cs="Traditional Arabic"/>
            <w:noProof/>
            <w:webHidden/>
            <w:rtl/>
          </w:rPr>
          <w:instrText xml:space="preserve"> _</w:instrText>
        </w:r>
        <w:r w:rsidRPr="00370BBB">
          <w:rPr>
            <w:rFonts w:ascii="Traditional Arabic" w:hAnsi="Traditional Arabic" w:cs="Traditional Arabic"/>
            <w:noProof/>
            <w:webHidden/>
          </w:rPr>
          <w:instrText>Toc215399846 \h</w:instrText>
        </w:r>
        <w:r w:rsidRPr="00370BBB">
          <w:rPr>
            <w:rFonts w:ascii="Traditional Arabic" w:hAnsi="Traditional Arabic" w:cs="Traditional Arabic"/>
            <w:noProof/>
            <w:webHidden/>
            <w:rtl/>
          </w:rPr>
          <w:instrText xml:space="preserve"> </w:instrText>
        </w:r>
        <w:r w:rsidRPr="00370BBB">
          <w:rPr>
            <w:rFonts w:ascii="Traditional Arabic" w:hAnsi="Traditional Arabic" w:cs="Traditional Arabic"/>
            <w:noProof/>
            <w:webHidden/>
            <w:rtl/>
          </w:rPr>
        </w:r>
        <w:r w:rsidRPr="00370BBB">
          <w:rPr>
            <w:rFonts w:ascii="Traditional Arabic" w:hAnsi="Traditional Arabic" w:cs="Traditional Arabic"/>
            <w:noProof/>
            <w:webHidden/>
            <w:rtl/>
          </w:rPr>
          <w:fldChar w:fldCharType="separate"/>
        </w:r>
        <w:r w:rsidR="00076B0C">
          <w:rPr>
            <w:rFonts w:ascii="Traditional Arabic" w:hAnsi="Traditional Arabic" w:cs="Traditional Arabic"/>
            <w:noProof/>
            <w:webHidden/>
            <w:rtl/>
          </w:rPr>
          <w:t>23</w:t>
        </w:r>
        <w:r w:rsidRPr="00370BBB">
          <w:rPr>
            <w:rFonts w:ascii="Traditional Arabic" w:hAnsi="Traditional Arabic" w:cs="Traditional Arabic"/>
            <w:noProof/>
            <w:webHidden/>
            <w:rtl/>
          </w:rPr>
          <w:fldChar w:fldCharType="end"/>
        </w:r>
      </w:hyperlink>
    </w:p>
    <w:p w14:paraId="7548AC9B" w14:textId="55B4C25B"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47" w:history="1">
        <w:r w:rsidRPr="00370BBB">
          <w:rPr>
            <w:rFonts w:ascii="Traditional Arabic" w:hAnsi="Traditional Arabic" w:cs="Traditional Arabic"/>
            <w:bCs/>
            <w:noProof/>
            <w:rtl/>
          </w:rPr>
          <w:t>نموذج الدراسة</w:t>
        </w:r>
        <w:r w:rsidRPr="00370BBB">
          <w:rPr>
            <w:noProof/>
            <w:webHidden/>
            <w:rtl/>
          </w:rPr>
          <w:tab/>
        </w:r>
        <w:r w:rsidR="00F42738">
          <w:rPr>
            <w:rFonts w:hint="cs"/>
            <w:noProof/>
            <w:webHidden/>
            <w:rtl/>
          </w:rPr>
          <w:t>24</w:t>
        </w:r>
      </w:hyperlink>
    </w:p>
    <w:p w14:paraId="00129C97" w14:textId="13017F94"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48" w:history="1">
        <w:r w:rsidRPr="00370BBB">
          <w:rPr>
            <w:rFonts w:ascii="Traditional Arabic" w:hAnsi="Traditional Arabic" w:cs="Traditional Arabic"/>
            <w:bCs/>
            <w:noProof/>
            <w:rtl/>
          </w:rPr>
          <w:t>تم تصميم هذا النموذج بالاستعانة بدراسة (إبراهيم وعبده، 2023)</w:t>
        </w:r>
        <w:r w:rsidRPr="00370BBB">
          <w:rPr>
            <w:noProof/>
            <w:webHidden/>
            <w:rtl/>
          </w:rPr>
          <w:tab/>
        </w:r>
        <w:r w:rsidRPr="00370BBB">
          <w:rPr>
            <w:noProof/>
            <w:webHidden/>
            <w:rtl/>
          </w:rPr>
          <w:fldChar w:fldCharType="begin"/>
        </w:r>
        <w:r w:rsidRPr="00370BBB">
          <w:rPr>
            <w:noProof/>
            <w:webHidden/>
            <w:rtl/>
          </w:rPr>
          <w:instrText xml:space="preserve"> </w:instrText>
        </w:r>
        <w:r w:rsidRPr="00370BBB">
          <w:rPr>
            <w:noProof/>
            <w:webHidden/>
          </w:rPr>
          <w:instrText>PAGEREF</w:instrText>
        </w:r>
        <w:r w:rsidRPr="00370BBB">
          <w:rPr>
            <w:noProof/>
            <w:webHidden/>
            <w:rtl/>
          </w:rPr>
          <w:instrText xml:space="preserve"> _</w:instrText>
        </w:r>
        <w:r w:rsidRPr="00370BBB">
          <w:rPr>
            <w:noProof/>
            <w:webHidden/>
          </w:rPr>
          <w:instrText>Toc215399848 \h</w:instrText>
        </w:r>
        <w:r w:rsidRPr="00370BBB">
          <w:rPr>
            <w:noProof/>
            <w:webHidden/>
            <w:rtl/>
          </w:rPr>
          <w:instrText xml:space="preserve"> </w:instrText>
        </w:r>
        <w:r w:rsidRPr="00370BBB">
          <w:rPr>
            <w:noProof/>
            <w:webHidden/>
            <w:rtl/>
          </w:rPr>
        </w:r>
        <w:r w:rsidRPr="00370BBB">
          <w:rPr>
            <w:noProof/>
            <w:webHidden/>
            <w:rtl/>
          </w:rPr>
          <w:fldChar w:fldCharType="separate"/>
        </w:r>
        <w:r w:rsidR="00076B0C">
          <w:rPr>
            <w:noProof/>
            <w:webHidden/>
            <w:rtl/>
          </w:rPr>
          <w:t>24</w:t>
        </w:r>
        <w:r w:rsidRPr="00370BBB">
          <w:rPr>
            <w:noProof/>
            <w:webHidden/>
            <w:rtl/>
          </w:rPr>
          <w:fldChar w:fldCharType="end"/>
        </w:r>
      </w:hyperlink>
    </w:p>
    <w:p w14:paraId="650DFE15" w14:textId="357B1ABB" w:rsidR="00370BBB" w:rsidRPr="00370BBB" w:rsidRDefault="00F42738"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49" w:history="1">
        <w:r>
          <w:rPr>
            <w:rFonts w:ascii="Traditional Arabic" w:hAnsi="Traditional Arabic" w:cs="Traditional Arabic" w:hint="cs"/>
            <w:bCs/>
            <w:noProof/>
            <w:rtl/>
          </w:rPr>
          <w:t xml:space="preserve">تنظيم فصول الاطروحة </w:t>
        </w:r>
        <w:r w:rsidR="00370BBB" w:rsidRPr="00370BBB">
          <w:rPr>
            <w:rFonts w:ascii="Traditional Arabic" w:hAnsi="Traditional Arabic" w:cs="Traditional Arabic"/>
            <w:bCs/>
            <w:noProof/>
            <w:rtl/>
          </w:rPr>
          <w:t>:</w:t>
        </w:r>
        <w:r w:rsidR="00370BBB" w:rsidRPr="00370BBB">
          <w:rPr>
            <w:noProof/>
            <w:webHidden/>
            <w:rtl/>
          </w:rPr>
          <w:tab/>
        </w:r>
        <w:r w:rsidR="00370BBB" w:rsidRPr="00370BBB">
          <w:rPr>
            <w:rFonts w:hint="cs"/>
            <w:noProof/>
            <w:webHidden/>
            <w:rtl/>
          </w:rPr>
          <w:t>2</w:t>
        </w:r>
        <w:r>
          <w:rPr>
            <w:rFonts w:hint="cs"/>
            <w:noProof/>
            <w:webHidden/>
            <w:rtl/>
          </w:rPr>
          <w:t>5</w:t>
        </w:r>
      </w:hyperlink>
    </w:p>
    <w:p w14:paraId="64D9526E" w14:textId="6BB2F4B8"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50" w:history="1">
        <w:r w:rsidRPr="00370BBB">
          <w:rPr>
            <w:rFonts w:ascii="Traditional Arabic" w:hAnsi="Traditional Arabic" w:cs="Traditional Arabic"/>
            <w:bCs/>
            <w:noProof/>
            <w:rtl/>
          </w:rPr>
          <w:t>المراجع</w:t>
        </w:r>
        <w:r w:rsidRPr="00370BBB">
          <w:rPr>
            <w:noProof/>
            <w:webHidden/>
            <w:rtl/>
          </w:rPr>
          <w:tab/>
        </w:r>
        <w:r w:rsidRPr="00370BBB">
          <w:rPr>
            <w:noProof/>
            <w:webHidden/>
            <w:rtl/>
          </w:rPr>
          <w:fldChar w:fldCharType="begin"/>
        </w:r>
        <w:r w:rsidRPr="00370BBB">
          <w:rPr>
            <w:noProof/>
            <w:webHidden/>
            <w:rtl/>
          </w:rPr>
          <w:instrText xml:space="preserve"> </w:instrText>
        </w:r>
        <w:r w:rsidRPr="00370BBB">
          <w:rPr>
            <w:noProof/>
            <w:webHidden/>
          </w:rPr>
          <w:instrText>PAGEREF</w:instrText>
        </w:r>
        <w:r w:rsidRPr="00370BBB">
          <w:rPr>
            <w:noProof/>
            <w:webHidden/>
            <w:rtl/>
          </w:rPr>
          <w:instrText xml:space="preserve"> _</w:instrText>
        </w:r>
        <w:r w:rsidRPr="00370BBB">
          <w:rPr>
            <w:noProof/>
            <w:webHidden/>
          </w:rPr>
          <w:instrText>Toc215399850 \h</w:instrText>
        </w:r>
        <w:r w:rsidRPr="00370BBB">
          <w:rPr>
            <w:noProof/>
            <w:webHidden/>
            <w:rtl/>
          </w:rPr>
          <w:instrText xml:space="preserve"> </w:instrText>
        </w:r>
        <w:r w:rsidRPr="00370BBB">
          <w:rPr>
            <w:noProof/>
            <w:webHidden/>
            <w:rtl/>
          </w:rPr>
        </w:r>
        <w:r w:rsidRPr="00370BBB">
          <w:rPr>
            <w:noProof/>
            <w:webHidden/>
            <w:rtl/>
          </w:rPr>
          <w:fldChar w:fldCharType="separate"/>
        </w:r>
        <w:r w:rsidR="00076B0C">
          <w:rPr>
            <w:noProof/>
            <w:webHidden/>
            <w:rtl/>
          </w:rPr>
          <w:t>26</w:t>
        </w:r>
        <w:r w:rsidRPr="00370BBB">
          <w:rPr>
            <w:noProof/>
            <w:webHidden/>
            <w:rtl/>
          </w:rPr>
          <w:fldChar w:fldCharType="end"/>
        </w:r>
      </w:hyperlink>
    </w:p>
    <w:p w14:paraId="003C3589" w14:textId="1A66F369"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51" w:history="1">
        <w:r w:rsidRPr="00370BBB">
          <w:rPr>
            <w:rFonts w:ascii="Traditional Arabic" w:hAnsi="Traditional Arabic" w:cs="Traditional Arabic"/>
            <w:bCs/>
            <w:noProof/>
            <w:rtl/>
          </w:rPr>
          <w:t>أولاً: المراجع العربية:</w:t>
        </w:r>
        <w:r w:rsidRPr="00370BBB">
          <w:rPr>
            <w:noProof/>
            <w:webHidden/>
            <w:rtl/>
          </w:rPr>
          <w:tab/>
        </w:r>
        <w:r w:rsidR="00F42738">
          <w:rPr>
            <w:rFonts w:hint="cs"/>
            <w:noProof/>
            <w:webHidden/>
            <w:rtl/>
          </w:rPr>
          <w:t>26</w:t>
        </w:r>
      </w:hyperlink>
    </w:p>
    <w:p w14:paraId="20DE67A4" w14:textId="698B8011" w:rsidR="00370BBB" w:rsidRPr="00370BBB" w:rsidRDefault="00370BBB" w:rsidP="00370BBB">
      <w:pPr>
        <w:tabs>
          <w:tab w:val="right" w:leader="dot" w:pos="8777"/>
        </w:tabs>
        <w:bidi/>
        <w:spacing w:after="100"/>
        <w:rPr>
          <w:rFonts w:eastAsiaTheme="minorEastAsia"/>
          <w:noProof/>
          <w:kern w:val="2"/>
          <w:sz w:val="24"/>
          <w:szCs w:val="24"/>
          <w:rtl/>
          <w:lang w:val="en-GB" w:eastAsia="en-GB"/>
          <w14:ligatures w14:val="standardContextual"/>
        </w:rPr>
      </w:pPr>
      <w:hyperlink w:anchor="_Toc215399852" w:history="1">
        <w:r w:rsidRPr="00370BBB">
          <w:rPr>
            <w:rFonts w:ascii="Traditional Arabic" w:hAnsi="Traditional Arabic" w:cs="Traditional Arabic"/>
            <w:bCs/>
            <w:noProof/>
            <w:rtl/>
          </w:rPr>
          <w:t>ثانياً: المراجع الأجنبية:</w:t>
        </w:r>
        <w:r w:rsidRPr="00370BBB">
          <w:rPr>
            <w:noProof/>
            <w:webHidden/>
            <w:rtl/>
          </w:rPr>
          <w:tab/>
        </w:r>
        <w:r w:rsidR="00F42738">
          <w:rPr>
            <w:rFonts w:hint="cs"/>
            <w:noProof/>
            <w:webHidden/>
            <w:rtl/>
          </w:rPr>
          <w:t>28</w:t>
        </w:r>
      </w:hyperlink>
    </w:p>
    <w:p w14:paraId="02B695D8" w14:textId="4CD2F5B5" w:rsidR="00C11026" w:rsidRPr="00BD2ACC" w:rsidRDefault="00370BBB" w:rsidP="00BD2ACC">
      <w:pPr>
        <w:pStyle w:val="Heading1"/>
        <w:bidi/>
        <w:spacing w:before="0" w:line="360" w:lineRule="auto"/>
        <w:rPr>
          <w:rFonts w:ascii="Traditional Arabic" w:eastAsiaTheme="minorHAnsi" w:hAnsi="Traditional Arabic" w:cs="Traditional Arabic"/>
          <w:b/>
          <w:color w:val="0D0D0D" w:themeColor="text1" w:themeTint="F2"/>
          <w:sz w:val="24"/>
          <w:szCs w:val="24"/>
          <w:rtl/>
        </w:rPr>
      </w:pPr>
      <w:r w:rsidRPr="00370BBB">
        <w:rPr>
          <w:rFonts w:ascii="Traditional Arabic" w:eastAsiaTheme="minorHAnsi" w:hAnsi="Traditional Arabic" w:cs="Traditional Arabic"/>
          <w:b/>
          <w:color w:val="0D0D0D" w:themeColor="text1" w:themeTint="F2"/>
          <w:sz w:val="24"/>
          <w:szCs w:val="24"/>
          <w:rtl/>
        </w:rPr>
        <w:lastRenderedPageBreak/>
        <w:fldChar w:fldCharType="end"/>
      </w:r>
      <w:bookmarkStart w:id="3" w:name="_Toc215399827"/>
      <w:bookmarkEnd w:id="1"/>
      <w:r w:rsidR="00C11026" w:rsidRPr="00D73B22">
        <w:rPr>
          <w:rFonts w:ascii="Traditional Arabic" w:hAnsi="Traditional Arabic" w:cs="Traditional Arabic"/>
          <w:bCs/>
          <w:color w:val="0D0D0D" w:themeColor="text1" w:themeTint="F2"/>
          <w:sz w:val="28"/>
          <w:szCs w:val="28"/>
          <w:rtl/>
        </w:rPr>
        <w:t>مقدمة الدراسة</w:t>
      </w:r>
      <w:bookmarkEnd w:id="3"/>
    </w:p>
    <w:p w14:paraId="2606CE0E" w14:textId="7ABEB81B" w:rsidR="00873AC3" w:rsidRPr="00B87BE1" w:rsidRDefault="00B87BE1" w:rsidP="00873AC3">
      <w:pPr>
        <w:bidi/>
        <w:spacing w:after="240" w:line="360" w:lineRule="auto"/>
        <w:jc w:val="both"/>
        <w:rPr>
          <w:rFonts w:ascii="Traditional Arabic" w:hAnsi="Traditional Arabic" w:cs="Traditional Arabic"/>
          <w:b/>
          <w:color w:val="0D0D0D" w:themeColor="text1" w:themeTint="F2"/>
          <w:sz w:val="24"/>
          <w:szCs w:val="24"/>
          <w:lang w:val="en-GB" w:bidi="ar-EG"/>
        </w:rPr>
      </w:pPr>
      <w:r>
        <w:rPr>
          <w:rFonts w:ascii="Traditional Arabic" w:hAnsi="Traditional Arabic" w:cs="Traditional Arabic" w:hint="cs"/>
          <w:b/>
          <w:color w:val="0D0D0D" w:themeColor="text1" w:themeTint="F2"/>
          <w:sz w:val="24"/>
          <w:szCs w:val="24"/>
          <w:rtl/>
          <w:lang w:val="en-GB" w:bidi="ar-EG"/>
        </w:rPr>
        <w:t>ت</w:t>
      </w:r>
      <w:r w:rsidR="00873AC3" w:rsidRPr="00B87BE1">
        <w:rPr>
          <w:rFonts w:ascii="Traditional Arabic" w:hAnsi="Traditional Arabic" w:cs="Traditional Arabic"/>
          <w:b/>
          <w:color w:val="0D0D0D" w:themeColor="text1" w:themeTint="F2"/>
          <w:sz w:val="24"/>
          <w:szCs w:val="24"/>
          <w:rtl/>
          <w:lang w:val="en-GB" w:bidi="ar-EG"/>
        </w:rPr>
        <w:t xml:space="preserve">عدّ </w:t>
      </w:r>
      <w:r w:rsidR="0033043F" w:rsidRPr="00B87BE1">
        <w:rPr>
          <w:rFonts w:ascii="Traditional Arabic" w:hAnsi="Traditional Arabic" w:cs="Traditional Arabic"/>
          <w:b/>
          <w:color w:val="0D0D0D" w:themeColor="text1" w:themeTint="F2"/>
          <w:sz w:val="24"/>
          <w:szCs w:val="24"/>
          <w:rtl/>
          <w:lang w:val="en-GB" w:bidi="ar-EG"/>
        </w:rPr>
        <w:t>المصارف العاملة بمدينة الرياض</w:t>
      </w:r>
      <w:r w:rsidR="00873AC3" w:rsidRPr="00B87BE1">
        <w:rPr>
          <w:rFonts w:ascii="Traditional Arabic" w:hAnsi="Traditional Arabic" w:cs="Traditional Arabic"/>
          <w:b/>
          <w:color w:val="0D0D0D" w:themeColor="text1" w:themeTint="F2"/>
          <w:sz w:val="24"/>
          <w:szCs w:val="24"/>
          <w:rtl/>
          <w:lang w:val="en-GB" w:bidi="ar-EG"/>
        </w:rPr>
        <w:t xml:space="preserve"> ركيزةً أساسية في تحقيق مستهدفات رؤية المملكة 2030، إذ </w:t>
      </w:r>
      <w:r>
        <w:rPr>
          <w:rFonts w:ascii="Traditional Arabic" w:hAnsi="Traditional Arabic" w:cs="Traditional Arabic" w:hint="cs"/>
          <w:b/>
          <w:color w:val="0D0D0D" w:themeColor="text1" w:themeTint="F2"/>
          <w:sz w:val="24"/>
          <w:szCs w:val="24"/>
          <w:rtl/>
          <w:lang w:val="en-GB" w:bidi="ar-EG"/>
        </w:rPr>
        <w:t>ت</w:t>
      </w:r>
      <w:r w:rsidR="00873AC3" w:rsidRPr="00B87BE1">
        <w:rPr>
          <w:rFonts w:ascii="Traditional Arabic" w:hAnsi="Traditional Arabic" w:cs="Traditional Arabic"/>
          <w:b/>
          <w:color w:val="0D0D0D" w:themeColor="text1" w:themeTint="F2"/>
          <w:sz w:val="24"/>
          <w:szCs w:val="24"/>
          <w:rtl/>
          <w:lang w:val="en-GB" w:bidi="ar-EG"/>
        </w:rPr>
        <w:t>سهم بشكل مباشر في تنويع الاقتصاد الوطني وتعزيز الشمول المالي. ويأتي برنامج تطوير القطاع المالي (2017-2030) كأحد برامج الرؤية الطموحة، مستهدفاً رفع حصة التمويل للقطاع الخاص وتطوير البنية التحتية الرقمية للمؤسسات المالية. وفي هذا السياق، يضطلع البنك المركزي السعودي (ساما) بدور محوري في قيادة التحول الرقمي المصرفي من خلال مبادرات تنظيمية متعددة، أبرزها البيئة التجريبية التشريعية (</w:t>
      </w:r>
      <w:r w:rsidR="00873AC3" w:rsidRPr="00B87BE1">
        <w:rPr>
          <w:rFonts w:ascii="Traditional Arabic" w:hAnsi="Traditional Arabic" w:cs="Traditional Arabic"/>
          <w:b/>
          <w:color w:val="0D0D0D" w:themeColor="text1" w:themeTint="F2"/>
          <w:sz w:val="24"/>
          <w:szCs w:val="24"/>
          <w:lang w:val="en-GB" w:bidi="ar-EG"/>
        </w:rPr>
        <w:t>Sandbox</w:t>
      </w:r>
      <w:r w:rsidR="00873AC3" w:rsidRPr="00B87BE1">
        <w:rPr>
          <w:rFonts w:ascii="Traditional Arabic" w:hAnsi="Traditional Arabic" w:cs="Traditional Arabic"/>
          <w:b/>
          <w:color w:val="0D0D0D" w:themeColor="text1" w:themeTint="F2"/>
          <w:sz w:val="24"/>
          <w:szCs w:val="24"/>
          <w:rtl/>
          <w:lang w:val="en-GB" w:bidi="ar-EG"/>
        </w:rPr>
        <w:t>) ومختبر التقنية المالية، فضلاً عن إصدار التراخيص للبنوك الرقمية. وتُمثّل المصارف العاملة بمدينة الرياض -بوصفها المركز المالي للمملكة- ميداناً خصباً لدراسة تبني أنظمة ذكاء الأعمال، نظراً لتركّز المقرات الرئيسية للبنوك وكثافة العمليات المصرفية فيها.</w:t>
      </w:r>
    </w:p>
    <w:p w14:paraId="5090EFBB" w14:textId="47373BB5" w:rsidR="004674F5" w:rsidRPr="00B87BE1" w:rsidRDefault="00216735" w:rsidP="00216735">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غير أن المصارف السعودية تواجه ثغرات عملية في توظيف هذه الأنظمة ضمن قراراتها الاستراتيجية، إذ يظل التحدي قائماً في كيفية تحويل مخرجات ذكاء الأعمال إلى قرارات عالية الجودة تُفضي إلى ابتكار تنظيمي فعّال. ومن هذا المنطلق، تسعى الدراسة الحالية إلى استكشاف العلاقة بين قبول المديرين لأنظمة ذكاء الأعمال والابتكار التنظيمي من خلال الدور الوسيط لجودة القرارات الاستراتيجية</w:t>
      </w:r>
      <w:r w:rsidR="004674F5" w:rsidRPr="00B87BE1">
        <w:rPr>
          <w:rFonts w:ascii="Traditional Arabic" w:hAnsi="Traditional Arabic" w:cs="Traditional Arabic"/>
          <w:b/>
          <w:color w:val="0D0D0D" w:themeColor="text1" w:themeTint="F2"/>
          <w:sz w:val="24"/>
          <w:szCs w:val="24"/>
        </w:rPr>
        <w:t>.</w:t>
      </w:r>
      <w:r w:rsidRPr="00B87BE1">
        <w:rPr>
          <w:rFonts w:ascii="Traditional Arabic" w:hAnsi="Traditional Arabic" w:cs="Traditional Arabic"/>
          <w:b/>
          <w:color w:val="0D0D0D" w:themeColor="text1" w:themeTint="F2"/>
          <w:sz w:val="24"/>
          <w:szCs w:val="24"/>
        </w:rPr>
        <w:t xml:space="preserve"> </w:t>
      </w:r>
      <w:r w:rsidR="001F7500" w:rsidRPr="00B87BE1">
        <w:rPr>
          <w:rFonts w:ascii="Traditional Arabic" w:hAnsi="Traditional Arabic" w:cs="Traditional Arabic"/>
          <w:b/>
          <w:color w:val="0D0D0D" w:themeColor="text1" w:themeTint="F2"/>
          <w:sz w:val="24"/>
          <w:szCs w:val="24"/>
          <w:rtl/>
        </w:rPr>
        <w:t>فقد</w:t>
      </w:r>
      <w:r w:rsidR="004674F5" w:rsidRPr="00B87BE1">
        <w:rPr>
          <w:rFonts w:ascii="Traditional Arabic" w:hAnsi="Traditional Arabic" w:cs="Traditional Arabic"/>
          <w:b/>
          <w:color w:val="0D0D0D" w:themeColor="text1" w:themeTint="F2"/>
          <w:sz w:val="24"/>
          <w:szCs w:val="24"/>
          <w:rtl/>
        </w:rPr>
        <w:t xml:space="preserve"> بات من الضروري على المنظمات استيعاب هذه المتطلبات المتجددة والتفاعل معها، ومع مرور الوقت تتنامى الحاجة الملحة لدى كل من القطاعين الحكومي والخاص على حد</w:t>
      </w:r>
      <w:r w:rsidR="006B5A45" w:rsidRPr="00B87BE1">
        <w:rPr>
          <w:rFonts w:ascii="Traditional Arabic" w:hAnsi="Traditional Arabic" w:cs="Traditional Arabic"/>
          <w:b/>
          <w:color w:val="0D0D0D" w:themeColor="text1" w:themeTint="F2"/>
          <w:sz w:val="24"/>
          <w:szCs w:val="24"/>
          <w:rtl/>
        </w:rPr>
        <w:t>ٍ</w:t>
      </w:r>
      <w:r w:rsidR="004674F5" w:rsidRPr="00B87BE1">
        <w:rPr>
          <w:rFonts w:ascii="Traditional Arabic" w:hAnsi="Traditional Arabic" w:cs="Traditional Arabic"/>
          <w:b/>
          <w:color w:val="0D0D0D" w:themeColor="text1" w:themeTint="F2"/>
          <w:sz w:val="24"/>
          <w:szCs w:val="24"/>
          <w:rtl/>
        </w:rPr>
        <w:t xml:space="preserve"> سواء لتبني التقنيات الحديثة، مثل أنظمة ذكاء الأعمال</w:t>
      </w:r>
      <w:r w:rsidR="006B5A45" w:rsidRPr="00B87BE1">
        <w:rPr>
          <w:rFonts w:ascii="Traditional Arabic" w:hAnsi="Traditional Arabic" w:cs="Traditional Arabic"/>
          <w:b/>
          <w:color w:val="0D0D0D" w:themeColor="text1" w:themeTint="F2"/>
          <w:sz w:val="24"/>
          <w:szCs w:val="24"/>
          <w:rtl/>
        </w:rPr>
        <w:t>؛</w:t>
      </w:r>
      <w:r w:rsidR="004674F5" w:rsidRPr="00B87BE1">
        <w:rPr>
          <w:rFonts w:ascii="Traditional Arabic" w:hAnsi="Traditional Arabic" w:cs="Traditional Arabic"/>
          <w:b/>
          <w:color w:val="0D0D0D" w:themeColor="text1" w:themeTint="F2"/>
          <w:sz w:val="24"/>
          <w:szCs w:val="24"/>
          <w:rtl/>
        </w:rPr>
        <w:t xml:space="preserve"> لمواكبة التغيرات الجارية. </w:t>
      </w:r>
      <w:r w:rsidR="006B5A45" w:rsidRPr="00B87BE1">
        <w:rPr>
          <w:rFonts w:ascii="Traditional Arabic" w:hAnsi="Traditional Arabic" w:cs="Traditional Arabic"/>
          <w:b/>
          <w:color w:val="0D0D0D" w:themeColor="text1" w:themeTint="F2"/>
          <w:sz w:val="24"/>
          <w:szCs w:val="24"/>
          <w:rtl/>
        </w:rPr>
        <w:t>ف</w:t>
      </w:r>
      <w:r w:rsidR="004674F5" w:rsidRPr="00B87BE1">
        <w:rPr>
          <w:rFonts w:ascii="Traditional Arabic" w:hAnsi="Traditional Arabic" w:cs="Traditional Arabic"/>
          <w:b/>
          <w:color w:val="0D0D0D" w:themeColor="text1" w:themeTint="F2"/>
          <w:sz w:val="24"/>
          <w:szCs w:val="24"/>
          <w:rtl/>
        </w:rPr>
        <w:t>قد أضحت العديد من المنظمات الحديثة تعتمد على أنظمة ذكاء الأعمال في عملياتها التشغيلية، لا سيما في قطاع الخدمات، حيث يسهم تطبيق هذه الأنظمة في تحقيق مزايا جوهرية، منها تحسين وتسريع عملية اتخاذ القرار بشكل أساسي، فضلاً عن تمكين المؤسسة من أداء وظائفها بكفاءة أعلى، مما ينعكس إيجاباً على زيادة الفعالية والكفاءة الشاملة لجميع وظائف المنظمة</w:t>
      </w:r>
      <w:r w:rsidR="00142E9D" w:rsidRPr="00B87BE1">
        <w:rPr>
          <w:rFonts w:ascii="Traditional Arabic" w:hAnsi="Traditional Arabic" w:cs="Traditional Arabic"/>
          <w:b/>
          <w:color w:val="0D0D0D" w:themeColor="text1" w:themeTint="F2"/>
          <w:sz w:val="24"/>
          <w:szCs w:val="24"/>
          <w:rtl/>
        </w:rPr>
        <w:t xml:space="preserve"> </w:t>
      </w:r>
      <w:r w:rsidR="00142E9D" w:rsidRPr="00B87BE1">
        <w:rPr>
          <w:rFonts w:ascii="Traditional Arabic" w:hAnsi="Traditional Arabic" w:cs="Traditional Arabic"/>
          <w:bCs/>
          <w:color w:val="0D0D0D" w:themeColor="text1" w:themeTint="F2"/>
          <w:sz w:val="24"/>
          <w:szCs w:val="24"/>
          <w:rtl/>
        </w:rPr>
        <w:t>(</w:t>
      </w:r>
      <w:r w:rsidR="00142E9D" w:rsidRPr="00B87BE1">
        <w:rPr>
          <w:rFonts w:ascii="Traditional Arabic" w:hAnsi="Traditional Arabic" w:cs="Traditional Arabic"/>
          <w:bCs/>
          <w:color w:val="0D0D0D" w:themeColor="text1" w:themeTint="F2"/>
          <w:sz w:val="24"/>
          <w:szCs w:val="24"/>
        </w:rPr>
        <w:t>Grabi</w:t>
      </w:r>
      <w:r w:rsidR="00142E9D" w:rsidRPr="00B87BE1">
        <w:rPr>
          <w:rFonts w:ascii="Cambria" w:hAnsi="Cambria" w:cs="Cambria"/>
          <w:bCs/>
          <w:color w:val="0D0D0D" w:themeColor="text1" w:themeTint="F2"/>
          <w:sz w:val="24"/>
          <w:szCs w:val="24"/>
        </w:rPr>
        <w:t>ń</w:t>
      </w:r>
      <w:r w:rsidR="00142E9D" w:rsidRPr="00B87BE1">
        <w:rPr>
          <w:rFonts w:ascii="Traditional Arabic" w:hAnsi="Traditional Arabic" w:cs="Traditional Arabic"/>
          <w:bCs/>
          <w:color w:val="0D0D0D" w:themeColor="text1" w:themeTint="F2"/>
          <w:sz w:val="24"/>
          <w:szCs w:val="24"/>
        </w:rPr>
        <w:t>ska &amp; Ziora, 2019</w:t>
      </w:r>
      <w:r w:rsidR="00142E9D" w:rsidRPr="00B87BE1">
        <w:rPr>
          <w:rFonts w:ascii="Traditional Arabic" w:hAnsi="Traditional Arabic" w:cs="Traditional Arabic"/>
          <w:bCs/>
          <w:color w:val="0D0D0D" w:themeColor="text1" w:themeTint="F2"/>
          <w:sz w:val="24"/>
          <w:szCs w:val="24"/>
          <w:rtl/>
        </w:rPr>
        <w:t>)</w:t>
      </w:r>
      <w:r w:rsidR="004674F5" w:rsidRPr="00B87BE1">
        <w:rPr>
          <w:rFonts w:ascii="Traditional Arabic" w:hAnsi="Traditional Arabic" w:cs="Traditional Arabic"/>
          <w:bCs/>
          <w:color w:val="0D0D0D" w:themeColor="text1" w:themeTint="F2"/>
          <w:sz w:val="24"/>
          <w:szCs w:val="24"/>
          <w:rtl/>
        </w:rPr>
        <w:t>.</w:t>
      </w:r>
    </w:p>
    <w:p w14:paraId="79EA575B" w14:textId="6BCA216B" w:rsidR="002434B9" w:rsidRPr="00B87BE1" w:rsidRDefault="00216735" w:rsidP="007F52A4">
      <w:pPr>
        <w:pStyle w:val="NormalWeb"/>
        <w:bidi/>
        <w:spacing w:before="0" w:beforeAutospacing="0" w:after="240" w:afterAutospacing="0" w:line="360" w:lineRule="auto"/>
        <w:jc w:val="both"/>
        <w:rPr>
          <w:rFonts w:ascii="Traditional Arabic" w:hAnsi="Traditional Arabic" w:cs="Traditional Arabic"/>
          <w:b/>
          <w:color w:val="0D0D0D" w:themeColor="text1" w:themeTint="F2"/>
          <w:rtl/>
        </w:rPr>
      </w:pPr>
      <w:r w:rsidRPr="00B87BE1">
        <w:rPr>
          <w:rFonts w:ascii="Traditional Arabic" w:hAnsi="Traditional Arabic" w:cs="Traditional Arabic"/>
          <w:b/>
          <w:color w:val="0D0D0D" w:themeColor="text1" w:themeTint="F2"/>
          <w:rtl/>
        </w:rPr>
        <w:t>يُعرَّف ذكاء الأعمال بأنه منظومة متكاملة من الأدوات والتطبيقات والممارسات التي تهدف إلى جمع البيانات ومعالجتها وتحليلها لاستخلاص رؤى تدعم اتخاذ القرارات التنظيمية (</w:t>
      </w:r>
      <w:r w:rsidRPr="00B87BE1">
        <w:rPr>
          <w:rFonts w:ascii="Traditional Arabic" w:hAnsi="Traditional Arabic" w:cs="Traditional Arabic"/>
          <w:b/>
          <w:color w:val="0D0D0D" w:themeColor="text1" w:themeTint="F2"/>
        </w:rPr>
        <w:t>Grabi</w:t>
      </w:r>
      <w:r w:rsidRPr="00B87BE1">
        <w:rPr>
          <w:rFonts w:ascii="Cambria" w:hAnsi="Cambria" w:cs="Cambria"/>
          <w:b/>
          <w:color w:val="0D0D0D" w:themeColor="text1" w:themeTint="F2"/>
        </w:rPr>
        <w:t>ń</w:t>
      </w:r>
      <w:r w:rsidRPr="00B87BE1">
        <w:rPr>
          <w:rFonts w:ascii="Traditional Arabic" w:hAnsi="Traditional Arabic" w:cs="Traditional Arabic"/>
          <w:b/>
          <w:color w:val="0D0D0D" w:themeColor="text1" w:themeTint="F2"/>
        </w:rPr>
        <w:t>ska &amp; Ziora, 2019</w:t>
      </w:r>
      <w:r w:rsidRPr="00B87BE1">
        <w:rPr>
          <w:rFonts w:ascii="Traditional Arabic" w:hAnsi="Traditional Arabic" w:cs="Traditional Arabic"/>
          <w:b/>
          <w:color w:val="0D0D0D" w:themeColor="text1" w:themeTint="F2"/>
          <w:rtl/>
        </w:rPr>
        <w:t>). ويُعدّ هذا المفهوم حقلاً إدارياً متعدد التخصصات يسعى إلى تحقيق التناغم بين العمليات التجارية والتقدم التكنولوجي (عيال، 2022)</w:t>
      </w:r>
      <w:r w:rsidR="004C2E84" w:rsidRPr="00B87BE1">
        <w:rPr>
          <w:rFonts w:ascii="Traditional Arabic" w:hAnsi="Traditional Arabic" w:cs="Traditional Arabic"/>
          <w:b/>
          <w:color w:val="0D0D0D" w:themeColor="text1" w:themeTint="F2"/>
          <w:rtl/>
        </w:rPr>
        <w:t>.</w:t>
      </w:r>
    </w:p>
    <w:p w14:paraId="6349B3F8" w14:textId="1E8B419B" w:rsidR="004674F5" w:rsidRPr="00B87BE1" w:rsidRDefault="001F5481" w:rsidP="007F52A4">
      <w:pPr>
        <w:pStyle w:val="NormalWeb"/>
        <w:bidi/>
        <w:spacing w:before="0" w:beforeAutospacing="0" w:after="240" w:afterAutospacing="0" w:line="360" w:lineRule="auto"/>
        <w:jc w:val="both"/>
        <w:rPr>
          <w:rFonts w:ascii="Traditional Arabic" w:hAnsi="Traditional Arabic" w:cs="Traditional Arabic"/>
          <w:b/>
          <w:color w:val="0D0D0D" w:themeColor="text1" w:themeTint="F2"/>
          <w:rtl/>
        </w:rPr>
      </w:pPr>
      <w:r w:rsidRPr="00B87BE1">
        <w:rPr>
          <w:rFonts w:ascii="Traditional Arabic" w:hAnsi="Traditional Arabic" w:cs="Traditional Arabic"/>
          <w:b/>
          <w:color w:val="0D0D0D" w:themeColor="text1" w:themeTint="F2"/>
          <w:rtl/>
        </w:rPr>
        <w:t xml:space="preserve">وقد </w:t>
      </w:r>
      <w:r w:rsidR="004674F5" w:rsidRPr="00B87BE1">
        <w:rPr>
          <w:rFonts w:ascii="Traditional Arabic" w:hAnsi="Traditional Arabic" w:cs="Traditional Arabic"/>
          <w:b/>
          <w:color w:val="0D0D0D" w:themeColor="text1" w:themeTint="F2"/>
          <w:rtl/>
        </w:rPr>
        <w:t>يصنف ذكاء الأعمال كحقل إداري متعدد التخصصات ومتكامل الأبعاد، يهدف إلى تحقيق التناغم بين العمليات التجارية والتقدم التكنولوجي، حيث يضطلع ذكاء الأعمال بدور محوري في تعزيز نجاح واستمرارية المنظمات في بيئة الأعمال الراهنة (عيال، 2022)</w:t>
      </w:r>
      <w:r w:rsidR="00034415" w:rsidRPr="00B87BE1">
        <w:rPr>
          <w:rFonts w:ascii="Traditional Arabic" w:hAnsi="Traditional Arabic" w:cs="Traditional Arabic"/>
          <w:b/>
          <w:color w:val="0D0D0D" w:themeColor="text1" w:themeTint="F2"/>
          <w:rtl/>
        </w:rPr>
        <w:t>.</w:t>
      </w:r>
      <w:r w:rsidR="004674F5" w:rsidRPr="00B87BE1">
        <w:rPr>
          <w:rFonts w:ascii="Traditional Arabic" w:hAnsi="Traditional Arabic" w:cs="Traditional Arabic"/>
          <w:b/>
          <w:color w:val="0D0D0D" w:themeColor="text1" w:themeTint="F2"/>
          <w:rtl/>
        </w:rPr>
        <w:t xml:space="preserve"> فهو يعمل على جمع البيانات الخام وتحويلها إلى معلومات استخباراتية قيمة، مما يمكن المنظمات من استشعار التهديدات البيئية المحيطة بها، علاوة</w:t>
      </w:r>
      <w:r w:rsidR="00034415" w:rsidRPr="00B87BE1">
        <w:rPr>
          <w:rFonts w:ascii="Traditional Arabic" w:hAnsi="Traditional Arabic" w:cs="Traditional Arabic"/>
          <w:b/>
          <w:color w:val="0D0D0D" w:themeColor="text1" w:themeTint="F2"/>
          <w:rtl/>
        </w:rPr>
        <w:t>ً</w:t>
      </w:r>
      <w:r w:rsidR="004674F5" w:rsidRPr="00B87BE1">
        <w:rPr>
          <w:rFonts w:ascii="Traditional Arabic" w:hAnsi="Traditional Arabic" w:cs="Traditional Arabic"/>
          <w:b/>
          <w:color w:val="0D0D0D" w:themeColor="text1" w:themeTint="F2"/>
          <w:rtl/>
        </w:rPr>
        <w:t xml:space="preserve"> على ذلك يسهم ذكاء الأعمال في مساعدة المنظمات على تحديد الفرص الواعدة واقتناصها والتفاعل معها بفعالية، وهو ما يقود في نهاية المطاف إلى بناء وتعزيز الميزات التنافسية المستدامة (البطاينة، 2021)</w:t>
      </w:r>
      <w:r w:rsidR="004674F5" w:rsidRPr="00B87BE1">
        <w:rPr>
          <w:rFonts w:ascii="Traditional Arabic" w:hAnsi="Traditional Arabic" w:cs="Traditional Arabic"/>
          <w:b/>
          <w:color w:val="0D0D0D" w:themeColor="text1" w:themeTint="F2"/>
        </w:rPr>
        <w:t>.</w:t>
      </w:r>
    </w:p>
    <w:p w14:paraId="595A8C3F" w14:textId="3C781E45" w:rsidR="00F419D8" w:rsidRPr="00B87BE1" w:rsidRDefault="00DE2B69" w:rsidP="007F52A4">
      <w:pPr>
        <w:pStyle w:val="NormalWeb"/>
        <w:bidi/>
        <w:spacing w:before="0" w:beforeAutospacing="0" w:after="240" w:afterAutospacing="0" w:line="360" w:lineRule="auto"/>
        <w:jc w:val="both"/>
        <w:rPr>
          <w:rFonts w:ascii="Traditional Arabic" w:hAnsi="Traditional Arabic" w:cs="Traditional Arabic"/>
          <w:b/>
          <w:color w:val="0D0D0D" w:themeColor="text1" w:themeTint="F2"/>
          <w:rtl/>
        </w:rPr>
      </w:pPr>
      <w:r w:rsidRPr="00B87BE1">
        <w:rPr>
          <w:rFonts w:ascii="Traditional Arabic" w:hAnsi="Traditional Arabic" w:cs="Traditional Arabic"/>
          <w:b/>
          <w:color w:val="0D0D0D" w:themeColor="text1" w:themeTint="F2"/>
          <w:rtl/>
        </w:rPr>
        <w:lastRenderedPageBreak/>
        <w:t xml:space="preserve">ومع ذلك، فإن الاستفادة القصوى من أنظمة ذكاء الأعمال لا تقتصر على جودة مخرجاتها التقنية فحسب، بل تعتمد بشكل حاسم على قبول المستخدمين لهذه الأنظمة ورغبتهم في استخدامها. فمهما كانت جودة البيانات والتحليلات التي يقدمها نظام ذكاء الأعمال، فإن قيمتها الفعلية لا تتحقق إلا من خلال تبني المستخدمين لها واستخدامها الفعلي في عملية اتخاذ القرار </w:t>
      </w:r>
      <w:r w:rsidR="00AC7421" w:rsidRPr="00B87BE1">
        <w:rPr>
          <w:rFonts w:ascii="Traditional Arabic" w:hAnsi="Traditional Arabic" w:cs="Traditional Arabic"/>
          <w:bCs/>
          <w:color w:val="0D0D0D" w:themeColor="text1" w:themeTint="F2"/>
        </w:rPr>
        <w:t>(</w:t>
      </w:r>
      <w:r w:rsidR="00A63087" w:rsidRPr="00B87BE1">
        <w:rPr>
          <w:rFonts w:ascii="Traditional Arabic" w:hAnsi="Traditional Arabic" w:cs="Traditional Arabic"/>
          <w:bCs/>
          <w:color w:val="0D0D0D" w:themeColor="text1" w:themeTint="F2"/>
        </w:rPr>
        <w:t>Al-</w:t>
      </w:r>
      <w:proofErr w:type="spellStart"/>
      <w:r w:rsidR="00A63087" w:rsidRPr="00B87BE1">
        <w:rPr>
          <w:rFonts w:ascii="Traditional Arabic" w:hAnsi="Traditional Arabic" w:cs="Traditional Arabic"/>
          <w:bCs/>
          <w:color w:val="0D0D0D" w:themeColor="text1" w:themeTint="F2"/>
        </w:rPr>
        <w:t>Daraba</w:t>
      </w:r>
      <w:proofErr w:type="spellEnd"/>
      <w:r w:rsidR="00A63087" w:rsidRPr="00B87BE1">
        <w:rPr>
          <w:rFonts w:ascii="Traditional Arabic" w:hAnsi="Traditional Arabic" w:cs="Traditional Arabic"/>
          <w:bCs/>
          <w:color w:val="0D0D0D" w:themeColor="text1" w:themeTint="F2"/>
        </w:rPr>
        <w:t>, 2025</w:t>
      </w:r>
      <w:r w:rsidR="00AC7421" w:rsidRPr="00B87BE1">
        <w:rPr>
          <w:rFonts w:ascii="Traditional Arabic" w:hAnsi="Traditional Arabic" w:cs="Traditional Arabic"/>
          <w:bCs/>
          <w:color w:val="0D0D0D" w:themeColor="text1" w:themeTint="F2"/>
        </w:rPr>
        <w:t>)</w:t>
      </w:r>
      <w:r w:rsidRPr="00B87BE1">
        <w:rPr>
          <w:rFonts w:ascii="Traditional Arabic" w:hAnsi="Traditional Arabic" w:cs="Traditional Arabic"/>
          <w:b/>
          <w:color w:val="0D0D0D" w:themeColor="text1" w:themeTint="F2"/>
          <w:rtl/>
        </w:rPr>
        <w:t xml:space="preserve">. وفي هذا السياق، تبرز أهمية نموذج قبول التكنولوجيا </w:t>
      </w:r>
      <w:r w:rsidRPr="00B87BE1">
        <w:rPr>
          <w:rFonts w:ascii="Traditional Arabic" w:hAnsi="Traditional Arabic" w:cs="Traditional Arabic"/>
          <w:bCs/>
          <w:color w:val="0D0D0D" w:themeColor="text1" w:themeTint="F2"/>
          <w:rtl/>
        </w:rPr>
        <w:t>(</w:t>
      </w:r>
      <w:r w:rsidRPr="00B87BE1">
        <w:rPr>
          <w:rFonts w:ascii="Traditional Arabic" w:hAnsi="Traditional Arabic" w:cs="Traditional Arabic"/>
          <w:bCs/>
          <w:color w:val="0D0D0D" w:themeColor="text1" w:themeTint="F2"/>
        </w:rPr>
        <w:t>TAM</w:t>
      </w:r>
      <w:r w:rsidRPr="00B87BE1">
        <w:rPr>
          <w:rFonts w:ascii="Traditional Arabic" w:hAnsi="Traditional Arabic" w:cs="Traditional Arabic"/>
          <w:bCs/>
          <w:color w:val="0D0D0D" w:themeColor="text1" w:themeTint="F2"/>
          <w:rtl/>
        </w:rPr>
        <w:t>)،</w:t>
      </w:r>
      <w:r w:rsidRPr="00B87BE1">
        <w:rPr>
          <w:rFonts w:ascii="Traditional Arabic" w:hAnsi="Traditional Arabic" w:cs="Traditional Arabic"/>
          <w:b/>
          <w:color w:val="0D0D0D" w:themeColor="text1" w:themeTint="F2"/>
          <w:rtl/>
        </w:rPr>
        <w:t xml:space="preserve"> الذي يعد من أكثر النماذج استخداماً في الأبحاث التي تتناول تبني أنظمة ذكاء الأعمال</w:t>
      </w:r>
      <w:r w:rsidR="00AC7421" w:rsidRPr="00B87BE1">
        <w:rPr>
          <w:rFonts w:ascii="Traditional Arabic" w:hAnsi="Traditional Arabic" w:cs="Traditional Arabic"/>
          <w:b/>
          <w:color w:val="0D0D0D" w:themeColor="text1" w:themeTint="F2"/>
          <w:rtl/>
        </w:rPr>
        <w:t>، و</w:t>
      </w:r>
      <w:r w:rsidRPr="00B87BE1">
        <w:rPr>
          <w:rFonts w:ascii="Traditional Arabic" w:hAnsi="Traditional Arabic" w:cs="Traditional Arabic"/>
          <w:b/>
          <w:color w:val="0D0D0D" w:themeColor="text1" w:themeTint="F2"/>
          <w:rtl/>
        </w:rPr>
        <w:t>يركز هذا النموذج على العوامل السلوكية كـ الفائدة المدركة وسهولة الاستخدام المدرك</w:t>
      </w:r>
      <w:r w:rsidR="00AC7421" w:rsidRPr="00B87BE1">
        <w:rPr>
          <w:rFonts w:ascii="Traditional Arabic" w:hAnsi="Traditional Arabic" w:cs="Traditional Arabic"/>
          <w:b/>
          <w:color w:val="0D0D0D" w:themeColor="text1" w:themeTint="F2"/>
          <w:rtl/>
        </w:rPr>
        <w:t>ة</w:t>
      </w:r>
      <w:r w:rsidRPr="00B87BE1">
        <w:rPr>
          <w:rFonts w:ascii="Traditional Arabic" w:hAnsi="Traditional Arabic" w:cs="Traditional Arabic"/>
          <w:b/>
          <w:color w:val="0D0D0D" w:themeColor="text1" w:themeTint="F2"/>
          <w:rtl/>
        </w:rPr>
        <w:t xml:space="preserve"> كعوامل رئيسية تحدد مدى تبني الموظفين لأدوات ذكاء الأعمال</w:t>
      </w:r>
      <w:r w:rsidR="00AC7421" w:rsidRPr="00B87BE1">
        <w:rPr>
          <w:rFonts w:ascii="Traditional Arabic" w:hAnsi="Traditional Arabic" w:cs="Traditional Arabic"/>
          <w:b/>
          <w:color w:val="0D0D0D" w:themeColor="text1" w:themeTint="F2"/>
          <w:rtl/>
        </w:rPr>
        <w:t xml:space="preserve"> </w:t>
      </w:r>
      <w:r w:rsidR="00AC7421" w:rsidRPr="00B87BE1">
        <w:rPr>
          <w:rFonts w:ascii="Traditional Arabic" w:hAnsi="Traditional Arabic" w:cs="Traditional Arabic"/>
          <w:bCs/>
          <w:color w:val="0D0D0D" w:themeColor="text1" w:themeTint="F2"/>
          <w:rtl/>
        </w:rPr>
        <w:t>(</w:t>
      </w:r>
      <w:r w:rsidR="00AC7421" w:rsidRPr="00B87BE1">
        <w:rPr>
          <w:rFonts w:ascii="Traditional Arabic" w:hAnsi="Traditional Arabic" w:cs="Traditional Arabic"/>
          <w:bCs/>
          <w:color w:val="0D0D0D" w:themeColor="text1" w:themeTint="F2"/>
        </w:rPr>
        <w:t>Chi &amp; Mahmud, 2020</w:t>
      </w:r>
      <w:r w:rsidR="00AC7421" w:rsidRPr="00B87BE1">
        <w:rPr>
          <w:rFonts w:ascii="Traditional Arabic" w:hAnsi="Traditional Arabic" w:cs="Traditional Arabic"/>
          <w:bCs/>
          <w:color w:val="0D0D0D" w:themeColor="text1" w:themeTint="F2"/>
          <w:rtl/>
        </w:rPr>
        <w:t>).</w:t>
      </w:r>
    </w:p>
    <w:p w14:paraId="196E1288" w14:textId="0EB02DA2" w:rsidR="00AC7421" w:rsidRPr="00B87BE1" w:rsidRDefault="00323C27" w:rsidP="007F52A4">
      <w:pPr>
        <w:pStyle w:val="NormalWeb"/>
        <w:bidi/>
        <w:spacing w:before="0" w:beforeAutospacing="0" w:after="240" w:afterAutospacing="0" w:line="360" w:lineRule="auto"/>
        <w:jc w:val="both"/>
        <w:rPr>
          <w:rFonts w:ascii="Traditional Arabic" w:hAnsi="Traditional Arabic" w:cs="Traditional Arabic"/>
          <w:b/>
          <w:color w:val="0D0D0D" w:themeColor="text1" w:themeTint="F2"/>
        </w:rPr>
      </w:pPr>
      <w:r w:rsidRPr="00B87BE1">
        <w:rPr>
          <w:rFonts w:ascii="Traditional Arabic" w:hAnsi="Traditional Arabic" w:cs="Traditional Arabic"/>
          <w:b/>
          <w:color w:val="0D0D0D" w:themeColor="text1" w:themeTint="F2"/>
          <w:rtl/>
        </w:rPr>
        <w:t>و</w:t>
      </w:r>
      <w:r w:rsidR="00AC7421" w:rsidRPr="00B87BE1">
        <w:rPr>
          <w:rFonts w:ascii="Traditional Arabic" w:hAnsi="Traditional Arabic" w:cs="Traditional Arabic"/>
          <w:b/>
          <w:color w:val="0D0D0D" w:themeColor="text1" w:themeTint="F2"/>
          <w:rtl/>
        </w:rPr>
        <w:t>تشير دراسة</w:t>
      </w:r>
      <w:r w:rsidR="00AC7421" w:rsidRPr="00B87BE1">
        <w:rPr>
          <w:rFonts w:ascii="Traditional Arabic" w:hAnsi="Traditional Arabic" w:cs="Traditional Arabic"/>
          <w:bCs/>
          <w:color w:val="0D0D0D" w:themeColor="text1" w:themeTint="F2"/>
          <w:rtl/>
        </w:rPr>
        <w:t xml:space="preserve"> </w:t>
      </w:r>
      <w:proofErr w:type="spellStart"/>
      <w:r w:rsidR="00AC7421" w:rsidRPr="00B87BE1">
        <w:rPr>
          <w:rFonts w:ascii="Traditional Arabic" w:hAnsi="Traditional Arabic" w:cs="Traditional Arabic"/>
          <w:bCs/>
          <w:color w:val="0D0D0D" w:themeColor="text1" w:themeTint="F2"/>
        </w:rPr>
        <w:t>Isiaku</w:t>
      </w:r>
      <w:proofErr w:type="spellEnd"/>
      <w:r w:rsidR="00AC7421" w:rsidRPr="00B87BE1">
        <w:rPr>
          <w:rFonts w:ascii="Traditional Arabic" w:hAnsi="Traditional Arabic" w:cs="Traditional Arabic"/>
          <w:bCs/>
          <w:color w:val="0D0D0D" w:themeColor="text1" w:themeTint="F2"/>
        </w:rPr>
        <w:t xml:space="preserve"> &amp; </w:t>
      </w:r>
      <w:proofErr w:type="spellStart"/>
      <w:r w:rsidR="00AC7421" w:rsidRPr="00B87BE1">
        <w:rPr>
          <w:rFonts w:ascii="Traditional Arabic" w:hAnsi="Traditional Arabic" w:cs="Traditional Arabic"/>
          <w:bCs/>
          <w:color w:val="0D0D0D" w:themeColor="text1" w:themeTint="F2"/>
        </w:rPr>
        <w:t>Adalier</w:t>
      </w:r>
      <w:proofErr w:type="spellEnd"/>
      <w:r w:rsidR="00AC7421" w:rsidRPr="00B87BE1">
        <w:rPr>
          <w:rFonts w:ascii="Traditional Arabic" w:hAnsi="Traditional Arabic" w:cs="Traditional Arabic"/>
          <w:bCs/>
          <w:color w:val="0D0D0D" w:themeColor="text1" w:themeTint="F2"/>
        </w:rPr>
        <w:t xml:space="preserve"> (2024)</w:t>
      </w:r>
      <w:r w:rsidR="00AC7421" w:rsidRPr="00B87BE1">
        <w:rPr>
          <w:rFonts w:ascii="Traditional Arabic" w:hAnsi="Traditional Arabic" w:cs="Traditional Arabic"/>
          <w:bCs/>
          <w:color w:val="0D0D0D" w:themeColor="text1" w:themeTint="F2"/>
          <w:rtl/>
        </w:rPr>
        <w:t xml:space="preserve"> </w:t>
      </w:r>
      <w:r w:rsidR="00AC7421" w:rsidRPr="00B87BE1">
        <w:rPr>
          <w:rFonts w:ascii="Traditional Arabic" w:hAnsi="Traditional Arabic" w:cs="Traditional Arabic"/>
          <w:b/>
          <w:color w:val="0D0D0D" w:themeColor="text1" w:themeTint="F2"/>
          <w:rtl/>
        </w:rPr>
        <w:t>إلى الدور المحوري لنموذج قبول التكنولوجيا</w:t>
      </w:r>
      <w:r w:rsidR="00AC7421" w:rsidRPr="00B87BE1">
        <w:rPr>
          <w:rFonts w:ascii="Traditional Arabic" w:hAnsi="Traditional Arabic" w:cs="Traditional Arabic"/>
          <w:bCs/>
          <w:color w:val="0D0D0D" w:themeColor="text1" w:themeTint="F2"/>
          <w:rtl/>
        </w:rPr>
        <w:t xml:space="preserve"> (</w:t>
      </w:r>
      <w:r w:rsidR="00AC7421" w:rsidRPr="00B87BE1">
        <w:rPr>
          <w:rFonts w:ascii="Traditional Arabic" w:hAnsi="Traditional Arabic" w:cs="Traditional Arabic"/>
          <w:bCs/>
          <w:color w:val="0D0D0D" w:themeColor="text1" w:themeTint="F2"/>
        </w:rPr>
        <w:t>TAM</w:t>
      </w:r>
      <w:r w:rsidR="00AC7421" w:rsidRPr="00B87BE1">
        <w:rPr>
          <w:rFonts w:ascii="Traditional Arabic" w:hAnsi="Traditional Arabic" w:cs="Traditional Arabic"/>
          <w:bCs/>
          <w:color w:val="0D0D0D" w:themeColor="text1" w:themeTint="F2"/>
          <w:rtl/>
        </w:rPr>
        <w:t xml:space="preserve">) </w:t>
      </w:r>
      <w:r w:rsidR="00AC7421" w:rsidRPr="00B87BE1">
        <w:rPr>
          <w:rFonts w:ascii="Traditional Arabic" w:hAnsi="Traditional Arabic" w:cs="Traditional Arabic"/>
          <w:b/>
          <w:color w:val="0D0D0D" w:themeColor="text1" w:themeTint="F2"/>
          <w:rtl/>
        </w:rPr>
        <w:t xml:space="preserve">في تفسير تبني أنظمة ذكاء الأعمال في البنوك التجارية. فقد أظهرت النتائج أن الإدراك لفائدة الاستخدام والإدراك بسهولة الاستخدام يمثلان عوامل أساسية في تعزيز النية السلوكية لاستخدام هذه الأنظمة، حيث أن سهولة الاستخدام تؤثر إيجابيًا على الفائدة المدركة، والتي بدورها ترتبط بقوة بالنية لاستخدام النظام. كما كشفت النتائج أن العوامل التنظيمية مثل دعم الإدارة العليا والتوافق التنظيمي تعزز تأثير متغيرات </w:t>
      </w:r>
      <w:r w:rsidR="00AC7421" w:rsidRPr="00B87BE1">
        <w:rPr>
          <w:rFonts w:ascii="Traditional Arabic" w:hAnsi="Traditional Arabic" w:cs="Traditional Arabic"/>
          <w:bCs/>
          <w:color w:val="0D0D0D" w:themeColor="text1" w:themeTint="F2"/>
        </w:rPr>
        <w:t>TAM</w:t>
      </w:r>
      <w:r w:rsidR="00AC7421" w:rsidRPr="00B87BE1">
        <w:rPr>
          <w:rFonts w:ascii="Traditional Arabic" w:hAnsi="Traditional Arabic" w:cs="Traditional Arabic"/>
          <w:b/>
          <w:color w:val="0D0D0D" w:themeColor="text1" w:themeTint="F2"/>
          <w:rtl/>
        </w:rPr>
        <w:t>، مما يبرز أهمية دمج البعد التكنولوجي مع السياق التنظيمي لضمان الاستخدام المستدام لأنظمة ذكاء الأعمال.</w:t>
      </w:r>
    </w:p>
    <w:p w14:paraId="21DDC49C" w14:textId="1EDB43C1" w:rsidR="00873AC3" w:rsidRPr="00B87BE1" w:rsidRDefault="00873AC3" w:rsidP="00873AC3">
      <w:pPr>
        <w:pStyle w:val="NormalWeb"/>
        <w:bidi/>
        <w:spacing w:before="0" w:beforeAutospacing="0" w:after="240" w:afterAutospacing="0" w:line="360" w:lineRule="auto"/>
        <w:jc w:val="both"/>
        <w:rPr>
          <w:rFonts w:ascii="Traditional Arabic" w:hAnsi="Traditional Arabic" w:cs="Traditional Arabic"/>
          <w:b/>
          <w:color w:val="0D0D0D" w:themeColor="text1" w:themeTint="F2"/>
          <w:lang w:val="en-GB" w:bidi="ar-EG"/>
        </w:rPr>
      </w:pPr>
      <w:r w:rsidRPr="00B87BE1">
        <w:rPr>
          <w:rFonts w:ascii="Traditional Arabic" w:hAnsi="Traditional Arabic" w:cs="Traditional Arabic"/>
          <w:b/>
          <w:color w:val="0D0D0D" w:themeColor="text1" w:themeTint="F2"/>
          <w:rtl/>
          <w:lang w:val="en-GB" w:bidi="ar-EG"/>
        </w:rPr>
        <w:t>وقد اختارت الباحثة نموذج قبول التكنولوجيا (</w:t>
      </w:r>
      <w:r w:rsidRPr="00B87BE1">
        <w:rPr>
          <w:rFonts w:ascii="Traditional Arabic" w:hAnsi="Traditional Arabic" w:cs="Traditional Arabic"/>
          <w:b/>
          <w:color w:val="0D0D0D" w:themeColor="text1" w:themeTint="F2"/>
          <w:lang w:val="en-GB" w:bidi="ar-EG"/>
        </w:rPr>
        <w:t>TAM</w:t>
      </w:r>
      <w:r w:rsidRPr="00B87BE1">
        <w:rPr>
          <w:rFonts w:ascii="Traditional Arabic" w:hAnsi="Traditional Arabic" w:cs="Traditional Arabic"/>
          <w:b/>
          <w:color w:val="0D0D0D" w:themeColor="text1" w:themeTint="F2"/>
          <w:rtl/>
          <w:lang w:val="en-GB" w:bidi="ar-EG"/>
        </w:rPr>
        <w:t xml:space="preserve">) الذي طوّره </w:t>
      </w:r>
      <w:r w:rsidRPr="00B87BE1">
        <w:rPr>
          <w:rFonts w:ascii="Traditional Arabic" w:hAnsi="Traditional Arabic" w:cs="Traditional Arabic"/>
          <w:b/>
          <w:color w:val="0D0D0D" w:themeColor="text1" w:themeTint="F2"/>
          <w:lang w:val="en-GB" w:bidi="ar-EG"/>
        </w:rPr>
        <w:t>Davis</w:t>
      </w:r>
      <w:r w:rsidRPr="00B87BE1">
        <w:rPr>
          <w:rFonts w:ascii="Traditional Arabic" w:hAnsi="Traditional Arabic" w:cs="Traditional Arabic"/>
          <w:b/>
          <w:color w:val="0D0D0D" w:themeColor="text1" w:themeTint="F2"/>
          <w:rtl/>
          <w:lang w:val="en-GB" w:bidi="ar-EG"/>
        </w:rPr>
        <w:t xml:space="preserve"> (1989) لعدة مسوّغات منهجية ونظرية. أولاً: أثبت النموذج فاعليته في تفسير تبني التقنيات المصرفية الرقمية، كما أكدته دراسات حديثة في القطاع المصرفي مثل دراسة </w:t>
      </w:r>
      <w:proofErr w:type="spellStart"/>
      <w:r w:rsidRPr="00B87BE1">
        <w:rPr>
          <w:rFonts w:ascii="Traditional Arabic" w:hAnsi="Traditional Arabic" w:cs="Traditional Arabic"/>
          <w:b/>
          <w:color w:val="0D0D0D" w:themeColor="text1" w:themeTint="F2"/>
          <w:lang w:val="en-GB" w:bidi="ar-EG"/>
        </w:rPr>
        <w:t>Isiaku</w:t>
      </w:r>
      <w:proofErr w:type="spellEnd"/>
      <w:r w:rsidRPr="00B87BE1">
        <w:rPr>
          <w:rFonts w:ascii="Traditional Arabic" w:hAnsi="Traditional Arabic" w:cs="Traditional Arabic"/>
          <w:b/>
          <w:color w:val="0D0D0D" w:themeColor="text1" w:themeTint="F2"/>
          <w:lang w:val="en-GB" w:bidi="ar-EG"/>
        </w:rPr>
        <w:t xml:space="preserve"> &amp; </w:t>
      </w:r>
      <w:proofErr w:type="spellStart"/>
      <w:r w:rsidRPr="00B87BE1">
        <w:rPr>
          <w:rFonts w:ascii="Traditional Arabic" w:hAnsi="Traditional Arabic" w:cs="Traditional Arabic"/>
          <w:b/>
          <w:color w:val="0D0D0D" w:themeColor="text1" w:themeTint="F2"/>
          <w:lang w:val="en-GB" w:bidi="ar-EG"/>
        </w:rPr>
        <w:t>Adalier</w:t>
      </w:r>
      <w:proofErr w:type="spellEnd"/>
      <w:r w:rsidRPr="00B87BE1">
        <w:rPr>
          <w:rFonts w:ascii="Traditional Arabic" w:hAnsi="Traditional Arabic" w:cs="Traditional Arabic"/>
          <w:b/>
          <w:color w:val="0D0D0D" w:themeColor="text1" w:themeTint="F2"/>
          <w:rtl/>
          <w:lang w:val="en-GB" w:bidi="ar-EG"/>
        </w:rPr>
        <w:t xml:space="preserve"> (2024) التي طُبّقت على البنوك التجارية. ثانياً: يركز النموذج على إدراكات المستخدمين (الفائدة المُدركة وسهولة الاستخدام المُدركة)، وهو ما يتناسب تماماً مع طبيعة الدراسة الحالية التي تستهدف المديرين كوحدة تحليل. ثالثاً: على الرغم من وجود نماذج بديلة أكثر تعقيداً كنموذج النظرية الموحدة لقبول واستخدام التكنولوجيا (</w:t>
      </w:r>
      <w:r w:rsidRPr="00B87BE1">
        <w:rPr>
          <w:rFonts w:ascii="Traditional Arabic" w:hAnsi="Traditional Arabic" w:cs="Traditional Arabic"/>
          <w:b/>
          <w:color w:val="0D0D0D" w:themeColor="text1" w:themeTint="F2"/>
          <w:lang w:val="en-GB" w:bidi="ar-EG"/>
        </w:rPr>
        <w:t>UTAUT</w:t>
      </w:r>
      <w:r w:rsidRPr="00B87BE1">
        <w:rPr>
          <w:rFonts w:ascii="Traditional Arabic" w:hAnsi="Traditional Arabic" w:cs="Traditional Arabic"/>
          <w:b/>
          <w:color w:val="0D0D0D" w:themeColor="text1" w:themeTint="F2"/>
          <w:rtl/>
          <w:lang w:val="en-GB" w:bidi="ar-EG"/>
        </w:rPr>
        <w:t xml:space="preserve">) ونموذج </w:t>
      </w:r>
      <w:r w:rsidRPr="00B87BE1">
        <w:rPr>
          <w:rFonts w:ascii="Traditional Arabic" w:hAnsi="Traditional Arabic" w:cs="Traditional Arabic"/>
          <w:b/>
          <w:color w:val="0D0D0D" w:themeColor="text1" w:themeTint="F2"/>
          <w:lang w:val="en-GB" w:bidi="ar-EG"/>
        </w:rPr>
        <w:t>TOE</w:t>
      </w:r>
      <w:r w:rsidRPr="00B87BE1">
        <w:rPr>
          <w:rFonts w:ascii="Traditional Arabic" w:hAnsi="Traditional Arabic" w:cs="Traditional Arabic"/>
          <w:b/>
          <w:color w:val="0D0D0D" w:themeColor="text1" w:themeTint="F2"/>
          <w:rtl/>
          <w:lang w:val="en-GB" w:bidi="ar-EG"/>
        </w:rPr>
        <w:t xml:space="preserve">، إلا أن </w:t>
      </w:r>
      <w:r w:rsidRPr="00B87BE1">
        <w:rPr>
          <w:rFonts w:ascii="Traditional Arabic" w:hAnsi="Traditional Arabic" w:cs="Traditional Arabic"/>
          <w:b/>
          <w:color w:val="0D0D0D" w:themeColor="text1" w:themeTint="F2"/>
          <w:lang w:val="en-GB" w:bidi="ar-EG"/>
        </w:rPr>
        <w:t>TAM</w:t>
      </w:r>
      <w:r w:rsidRPr="00B87BE1">
        <w:rPr>
          <w:rFonts w:ascii="Traditional Arabic" w:hAnsi="Traditional Arabic" w:cs="Traditional Arabic"/>
          <w:b/>
          <w:color w:val="0D0D0D" w:themeColor="text1" w:themeTint="F2"/>
          <w:rtl/>
          <w:lang w:val="en-GB" w:bidi="ar-EG"/>
        </w:rPr>
        <w:t xml:space="preserve"> يتميز بالبساطة والقدرة التفسيرية العالية، مما يجعله أكثر ملاءمة لدراسة قبول أنظمة ذكاء الأعمال من منظور سلوكي-إدراكي. رابعاً: يُمهّد هذا الاختيار النظري لدراسة الدور الوسيط لجودة القرارات الاستراتيجية، إذ يُفترض أن القبول التكنولوجي (المُقاس بـ </w:t>
      </w:r>
      <w:r w:rsidRPr="00B87BE1">
        <w:rPr>
          <w:rFonts w:ascii="Traditional Arabic" w:hAnsi="Traditional Arabic" w:cs="Traditional Arabic"/>
          <w:b/>
          <w:color w:val="0D0D0D" w:themeColor="text1" w:themeTint="F2"/>
          <w:lang w:val="en-GB" w:bidi="ar-EG"/>
        </w:rPr>
        <w:t>TAM</w:t>
      </w:r>
      <w:r w:rsidRPr="00B87BE1">
        <w:rPr>
          <w:rFonts w:ascii="Traditional Arabic" w:hAnsi="Traditional Arabic" w:cs="Traditional Arabic"/>
          <w:b/>
          <w:color w:val="0D0D0D" w:themeColor="text1" w:themeTint="F2"/>
          <w:rtl/>
          <w:lang w:val="en-GB" w:bidi="ar-EG"/>
        </w:rPr>
        <w:t>) يُحسّن جودة القرارات، والتي بدورها تُعزز الابتكار التنظيمي.</w:t>
      </w:r>
    </w:p>
    <w:p w14:paraId="1D8A2589" w14:textId="21BB883E" w:rsidR="004674F5" w:rsidRPr="00B87BE1" w:rsidRDefault="00222113" w:rsidP="007F52A4">
      <w:pPr>
        <w:pStyle w:val="NormalWeb"/>
        <w:bidi/>
        <w:spacing w:before="0" w:beforeAutospacing="0" w:after="240" w:afterAutospacing="0" w:line="360" w:lineRule="auto"/>
        <w:jc w:val="both"/>
        <w:rPr>
          <w:rFonts w:ascii="Traditional Arabic" w:hAnsi="Traditional Arabic" w:cs="Traditional Arabic"/>
          <w:b/>
          <w:color w:val="0D0D0D" w:themeColor="text1" w:themeTint="F2"/>
        </w:rPr>
      </w:pPr>
      <w:r w:rsidRPr="00B87BE1">
        <w:rPr>
          <w:rFonts w:ascii="Traditional Arabic" w:hAnsi="Traditional Arabic" w:cs="Traditional Arabic"/>
          <w:b/>
          <w:color w:val="0D0D0D" w:themeColor="text1" w:themeTint="F2"/>
          <w:rtl/>
        </w:rPr>
        <w:t>إن هذا التركيز على العامل السلوكي وقبول المديرين لأنظمة ذكاء الأعمال (</w:t>
      </w:r>
      <w:r w:rsidRPr="00B87BE1">
        <w:rPr>
          <w:rFonts w:ascii="Traditional Arabic" w:hAnsi="Traditional Arabic" w:cs="Traditional Arabic"/>
          <w:bCs/>
          <w:color w:val="0D0D0D" w:themeColor="text1" w:themeTint="F2"/>
        </w:rPr>
        <w:t>TAM</w:t>
      </w:r>
      <w:r w:rsidRPr="00B87BE1">
        <w:rPr>
          <w:rFonts w:ascii="Traditional Arabic" w:hAnsi="Traditional Arabic" w:cs="Traditional Arabic"/>
          <w:b/>
          <w:color w:val="0D0D0D" w:themeColor="text1" w:themeTint="F2"/>
          <w:rtl/>
        </w:rPr>
        <w:t xml:space="preserve">) يمثل نقطة انطلاق جوهرية لتحليل الدور الوسيط لجودة القرارات الاستراتيجية، إذ لا يمكن تحقيق الأهداف الاستراتيجية المتمثلة في تعزيز الكفاءة والفعالية والميزة التنافسية المستدامة في القطاع المصرفي إلا عبر تحويل الأصول المعلوماتية إلى قرارات عالية الجودة يتم تبنيها فعلياً من قبل متخذي القرارات.  ويأتي ذلك </w:t>
      </w:r>
      <w:r w:rsidR="004674F5" w:rsidRPr="00B87BE1">
        <w:rPr>
          <w:rFonts w:ascii="Traditional Arabic" w:hAnsi="Traditional Arabic" w:cs="Traditional Arabic"/>
          <w:b/>
          <w:color w:val="0D0D0D" w:themeColor="text1" w:themeTint="F2"/>
          <w:rtl/>
        </w:rPr>
        <w:t xml:space="preserve">في ظل التدفق الهائل للبيانات، يصبح من المحتم استثمار هذه الكميات الضخمة من المعلومات لاستخلاص رؤى وإحصاءات ذات قيمة من خلال توظيف أدوات ومنهجيات ذكاء الأعمال، ويهدف هذا التوظيف إلى دعم اتخاذ قرارات </w:t>
      </w:r>
      <w:r w:rsidR="00115502" w:rsidRPr="00B87BE1">
        <w:rPr>
          <w:rFonts w:ascii="Traditional Arabic" w:hAnsi="Traditional Arabic" w:cs="Traditional Arabic"/>
          <w:b/>
          <w:color w:val="0D0D0D" w:themeColor="text1" w:themeTint="F2"/>
          <w:rtl/>
        </w:rPr>
        <w:t>استراتيجي</w:t>
      </w:r>
      <w:r w:rsidR="004674F5" w:rsidRPr="00B87BE1">
        <w:rPr>
          <w:rFonts w:ascii="Traditional Arabic" w:hAnsi="Traditional Arabic" w:cs="Traditional Arabic"/>
          <w:b/>
          <w:color w:val="0D0D0D" w:themeColor="text1" w:themeTint="F2"/>
          <w:rtl/>
        </w:rPr>
        <w:t xml:space="preserve">ة قابلة للتنفيذ. </w:t>
      </w:r>
      <w:r w:rsidR="00034415" w:rsidRPr="00B87BE1">
        <w:rPr>
          <w:rFonts w:ascii="Traditional Arabic" w:hAnsi="Traditional Arabic" w:cs="Traditional Arabic"/>
          <w:b/>
          <w:color w:val="0D0D0D" w:themeColor="text1" w:themeTint="F2"/>
          <w:rtl/>
        </w:rPr>
        <w:t>و</w:t>
      </w:r>
      <w:r w:rsidR="004674F5" w:rsidRPr="00B87BE1">
        <w:rPr>
          <w:rFonts w:ascii="Traditional Arabic" w:hAnsi="Traditional Arabic" w:cs="Traditional Arabic"/>
          <w:b/>
          <w:color w:val="0D0D0D" w:themeColor="text1" w:themeTint="F2"/>
          <w:rtl/>
        </w:rPr>
        <w:t xml:space="preserve">يمتلك ذكاء الأعمال القدرة على دعم المستويات العليا في اتخاذ القرارات من خلال تحليل الاتجاهات التاريخية والحالية، وتقديم تنبؤات دقيقة لعمليات المنظمات المستقبلية، إن ذكاء الأعمال لا يقتصر على كونه </w:t>
      </w:r>
      <w:r w:rsidR="004674F5" w:rsidRPr="00B87BE1">
        <w:rPr>
          <w:rFonts w:ascii="Traditional Arabic" w:hAnsi="Traditional Arabic" w:cs="Traditional Arabic"/>
          <w:b/>
          <w:color w:val="0D0D0D" w:themeColor="text1" w:themeTint="F2"/>
          <w:rtl/>
        </w:rPr>
        <w:lastRenderedPageBreak/>
        <w:t>منتجاً تقنياً، أو مجرد تقنية بحد ذاتها، أو منهجية محددة، بل هو مزيج متكامل من كل هذه العناصر، يهدف إلى الاستفادة القصوى من الأصول المعلوماتية للمنظمة لتحقيق أداء أعمال محسن ومتميز</w:t>
      </w:r>
      <w:r w:rsidR="00034415" w:rsidRPr="00B87BE1">
        <w:rPr>
          <w:rFonts w:ascii="Traditional Arabic" w:hAnsi="Traditional Arabic" w:cs="Traditional Arabic"/>
          <w:b/>
          <w:color w:val="0D0D0D" w:themeColor="text1" w:themeTint="F2"/>
          <w:rtl/>
        </w:rPr>
        <w:t xml:space="preserve"> </w:t>
      </w:r>
      <w:r w:rsidR="004674F5" w:rsidRPr="00B87BE1">
        <w:rPr>
          <w:rFonts w:ascii="Traditional Arabic" w:hAnsi="Traditional Arabic" w:cs="Traditional Arabic"/>
          <w:b/>
          <w:color w:val="0D0D0D" w:themeColor="text1" w:themeTint="F2"/>
          <w:rtl/>
        </w:rPr>
        <w:t>(الفار ومبارز، 2023). وفي سياق متصل أكد الغريب (2022) أن المؤسسات المصرفية تولي اهتماماً خاصاً لاستخدام أنظمة ذكاء الأعمال لتحديد الاتجاهات السوقية، واكتشاف الفرص المتاحة، وتقييم التهديدات المحتملة في بيئة الأعمال، كما تسهم المعلومات المستقاة من أنظمة ذكاء الأعمال بشكل كبير في صياغة ال</w:t>
      </w:r>
      <w:r w:rsidR="00115502" w:rsidRPr="00B87BE1">
        <w:rPr>
          <w:rFonts w:ascii="Traditional Arabic" w:hAnsi="Traditional Arabic" w:cs="Traditional Arabic"/>
          <w:b/>
          <w:color w:val="0D0D0D" w:themeColor="text1" w:themeTint="F2"/>
          <w:rtl/>
        </w:rPr>
        <w:t>استراتيجي</w:t>
      </w:r>
      <w:r w:rsidR="004674F5" w:rsidRPr="00B87BE1">
        <w:rPr>
          <w:rFonts w:ascii="Traditional Arabic" w:hAnsi="Traditional Arabic" w:cs="Traditional Arabic"/>
          <w:b/>
          <w:color w:val="0D0D0D" w:themeColor="text1" w:themeTint="F2"/>
          <w:rtl/>
        </w:rPr>
        <w:t>ة التنظيمية، وتقدم دعماً جوهرياً للمدراء التنفيذيين في عملية اتخاذ القرارات الحاسمة</w:t>
      </w:r>
      <w:r w:rsidR="004674F5" w:rsidRPr="00B87BE1">
        <w:rPr>
          <w:rFonts w:ascii="Traditional Arabic" w:hAnsi="Traditional Arabic" w:cs="Traditional Arabic"/>
          <w:b/>
          <w:color w:val="0D0D0D" w:themeColor="text1" w:themeTint="F2"/>
        </w:rPr>
        <w:t>.</w:t>
      </w:r>
    </w:p>
    <w:p w14:paraId="57CEB696" w14:textId="3F9E7535" w:rsidR="004674F5" w:rsidRPr="00B87BE1" w:rsidRDefault="004674F5" w:rsidP="007F52A4">
      <w:p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وتضطلع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بأهمية محورية في تحقيق الأهداف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التي يسعى صناع القرار إلى بلوغها ضمن مستوياتها المختلفة، سواء كانت قصيرة، متوسطة، أو طويلة المدى، وتصاغ هذه القرارات استناداً إلى الأهداف التي تحددها المؤسسة، والتي تمثل التجسيد الفعلي لما تطمح المؤسسة إلى إنجازه، وتعد فعالية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وجودتها من أبرز العوامل التي تؤثر بشكل مباشر في نمو المؤسسات المصرفية واستمراريتها في السوق، وفي قدرتها على تحقيق النجاح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فهي تعكس عملياً كافة جوانب التنظيم الإداري، وبالتالي فإن ازدهار المصارف يعتمد بشكل كبير على الأسس والمنهجيات المتبعة في اتخاذ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بالإضافة إلى أسس إجراءاتها، وتنفيذها، ومراقبتها (الدهيمي، 2021)</w:t>
      </w:r>
      <w:r w:rsidRPr="00B87BE1">
        <w:rPr>
          <w:rFonts w:ascii="Traditional Arabic" w:hAnsi="Traditional Arabic" w:cs="Traditional Arabic"/>
          <w:b/>
          <w:color w:val="0D0D0D" w:themeColor="text1" w:themeTint="F2"/>
          <w:sz w:val="24"/>
          <w:szCs w:val="24"/>
        </w:rPr>
        <w:t>.</w:t>
      </w:r>
    </w:p>
    <w:p w14:paraId="1AE95B71" w14:textId="672E0C90" w:rsidR="00F11CE1" w:rsidRPr="00B87BE1" w:rsidRDefault="004674F5"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وتشكل عملية صياغة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ضمن البنوك والمؤسسات المصرفية إحدى المسؤوليات الجوهرية التي تقع على عاتق الإدارة العليا فيها، نظراً لدورها المحوري في صون الاستقرار المصرفي والمالي، والمساهمة في استقرار الاقتصاد الوطني بشكل عام (حبوش، 2020)</w:t>
      </w:r>
      <w:r w:rsidRPr="00B87BE1">
        <w:rPr>
          <w:rFonts w:ascii="Traditional Arabic" w:hAnsi="Traditional Arabic" w:cs="Traditional Arabic"/>
          <w:b/>
          <w:color w:val="EE0000"/>
          <w:sz w:val="24"/>
          <w:szCs w:val="24"/>
          <w:rtl/>
        </w:rPr>
        <w:t>.</w:t>
      </w:r>
    </w:p>
    <w:p w14:paraId="303F6CB6" w14:textId="29D3F428" w:rsidR="004674F5" w:rsidRPr="00B87BE1" w:rsidRDefault="00F11CE1" w:rsidP="007F52A4">
      <w:p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و</w:t>
      </w:r>
      <w:r w:rsidR="004674F5" w:rsidRPr="00B87BE1">
        <w:rPr>
          <w:rFonts w:ascii="Traditional Arabic" w:hAnsi="Traditional Arabic" w:cs="Traditional Arabic"/>
          <w:b/>
          <w:color w:val="0D0D0D" w:themeColor="text1" w:themeTint="F2"/>
          <w:sz w:val="24"/>
          <w:szCs w:val="24"/>
          <w:rtl/>
        </w:rPr>
        <w:t>يتطلب اتخاذ القرارات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ة توظيف كميات هائلة من الموارد والإمكانات التنظيمية المتاحة للمصرف، ويتضمن ذلك تخصيص قدر ملموس من الموارد والأصول التي يجب تأمينها، سواء من البيئة الداخلية أو الخارجية للمصرف، وتحمل هذه القرارات تأثيرات معقدة تمتد لتشمل غالبية مجالات النشاط داخل المصرف. لذا، تكمن خطورة بالغة في اتخاذ قرارات غير مناسبة نتيجة لأي خطأ قد يرتكبه متخذو القرارات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ة، الأمر الذي قد يؤدي إلى تكبد خسائر فادحة في موارد وإمكانات المصرف، وبالتالي تهديد كيانه واستمراريته (الأبجي وسليمان، 2020)</w:t>
      </w:r>
      <w:r w:rsidR="004674F5" w:rsidRPr="00B87BE1">
        <w:rPr>
          <w:rFonts w:ascii="Traditional Arabic" w:hAnsi="Traditional Arabic" w:cs="Traditional Arabic"/>
          <w:b/>
          <w:color w:val="0D0D0D" w:themeColor="text1" w:themeTint="F2"/>
          <w:sz w:val="24"/>
          <w:szCs w:val="24"/>
        </w:rPr>
        <w:t>.</w:t>
      </w:r>
    </w:p>
    <w:p w14:paraId="0C3A6241" w14:textId="3FDCCEEC" w:rsidR="004674F5" w:rsidRPr="00B87BE1" w:rsidRDefault="004674F5" w:rsidP="007F52A4">
      <w:p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ولقد غدا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المؤسسي أحد التوجهات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البارزة التي تعتمد عليها المنظمات في قطاعات ومجالات متعددة، فقد أصبح تبني ممارسات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جزءاً لا يتجزأ من </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ات العديد من المنظمات، بل وحتى الدول، حيث يتم دمج نتائجه في جوانب وأبعاد مؤسسية عديدة بهدف تجاوز التحديات والصعوبات التي تفرضها بيئة العمل المتغيرة وضمان الاستمرارية فيها، بناءً عليه، يعد موضوع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المؤسسي من الممارسات الحيوية لتطوير الأداء التنظيمي، لا سيما في المنظمات التي تعتمد في أنشطتها على تقديم الخدمات المرتبطة بتلبية رغبات واحتياجات شرائح واسعة ومتنوعة من المجتمع، وذلك لضمان توافق تلك الخدمات مع تطلعاتهم المتجددة والمتغيرة باستمرار (الوكيل، 2021)</w:t>
      </w:r>
      <w:r w:rsidRPr="00B87BE1">
        <w:rPr>
          <w:rFonts w:ascii="Traditional Arabic" w:hAnsi="Traditional Arabic" w:cs="Traditional Arabic"/>
          <w:b/>
          <w:color w:val="0D0D0D" w:themeColor="text1" w:themeTint="F2"/>
          <w:sz w:val="24"/>
          <w:szCs w:val="24"/>
        </w:rPr>
        <w:t>.</w:t>
      </w:r>
    </w:p>
    <w:p w14:paraId="114FD348" w14:textId="3E693A36" w:rsidR="00971583" w:rsidRPr="00B87BE1" w:rsidRDefault="004674F5"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ويعتبر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بمثابة آلية حيوية تبرهن من خلالها المنظمات على نجاحها وقدرتها على الاستدامة. يتحقق ذلك عبر تبني منهج تنظيمي مبتكر في إدارة شؤونها، بهدف تحقيق تميز وتفرد عن المنظمات المنافسة، ومواكبة المتطلبات المتجددة للسوق، وضمان الحصانة ضد الفشل والاندثار، ويشمل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إحداث تغييرات في الهيكل التنظيمي، وتصميم عمليات تنظيمية متطورة، واستبعاد الأنشطة التي لا تسهم بفاعلية، وتبني </w:t>
      </w:r>
      <w:r w:rsidRPr="00B87BE1">
        <w:rPr>
          <w:rFonts w:ascii="Traditional Arabic" w:hAnsi="Traditional Arabic" w:cs="Traditional Arabic"/>
          <w:b/>
          <w:color w:val="0D0D0D" w:themeColor="text1" w:themeTint="F2"/>
          <w:sz w:val="24"/>
          <w:szCs w:val="24"/>
          <w:rtl/>
        </w:rPr>
        <w:lastRenderedPageBreak/>
        <w:t>أساليب قيادية داعمة تعمل على الارتقاء بكفاءة الموظفين وقدراتهم، وتحفيزهم على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المستمر، ويضمن هذا التوجه تقديم منتجات جديدة، أو تجديد وتطوير المنتجات القائمة شكلاً ونوعاً، بالإضافة إلى التحسين المستمر للعمليات التشغيلية (الحجاحجة، 2024)</w:t>
      </w:r>
      <w:r w:rsidRPr="00B87BE1">
        <w:rPr>
          <w:rFonts w:ascii="Traditional Arabic" w:hAnsi="Traditional Arabic" w:cs="Traditional Arabic"/>
          <w:b/>
          <w:color w:val="0D0D0D" w:themeColor="text1" w:themeTint="F2"/>
          <w:sz w:val="24"/>
          <w:szCs w:val="24"/>
        </w:rPr>
        <w:t>.</w:t>
      </w:r>
    </w:p>
    <w:p w14:paraId="1970600E" w14:textId="6FBF19DB" w:rsidR="004674F5" w:rsidRPr="00B87BE1" w:rsidRDefault="004674F5"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ويتجلى السلوك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ي عندما يقوم الموظفون في بيئة العمل بتوليد أفكار جديدة ومفيدة، ثم تشجيع هذه الأفكار ودعمها، وصولاً إلى تنفيذها، مما يفضي إلى تحقيق الكفاءة التنظيمية والنجاح الشامل للمنظمة </w:t>
      </w:r>
      <w:r w:rsidRPr="00B87BE1">
        <w:rPr>
          <w:rFonts w:ascii="Traditional Arabic" w:hAnsi="Traditional Arabic" w:cs="Traditional Arabic"/>
          <w:b/>
          <w:color w:val="0D0D0D" w:themeColor="text1" w:themeTint="F2"/>
          <w:sz w:val="24"/>
          <w:szCs w:val="24"/>
        </w:rPr>
        <w:t>.(</w:t>
      </w:r>
      <w:r w:rsidRPr="00B87BE1">
        <w:rPr>
          <w:rFonts w:ascii="Traditional Arabic" w:hAnsi="Traditional Arabic" w:cs="Traditional Arabic"/>
          <w:bCs/>
          <w:color w:val="0D0D0D" w:themeColor="text1" w:themeTint="F2"/>
          <w:sz w:val="24"/>
          <w:szCs w:val="24"/>
        </w:rPr>
        <w:t>Schuckert et al</w:t>
      </w:r>
      <w:r w:rsidR="003036F0" w:rsidRPr="00B87BE1">
        <w:rPr>
          <w:rFonts w:ascii="Traditional Arabic" w:hAnsi="Traditional Arabic" w:cs="Traditional Arabic"/>
          <w:bCs/>
          <w:color w:val="0D0D0D" w:themeColor="text1" w:themeTint="F2"/>
          <w:sz w:val="24"/>
          <w:szCs w:val="24"/>
        </w:rPr>
        <w:t>.</w:t>
      </w:r>
      <w:r w:rsidRPr="00B87BE1">
        <w:rPr>
          <w:rFonts w:ascii="Traditional Arabic" w:hAnsi="Traditional Arabic" w:cs="Traditional Arabic"/>
          <w:bCs/>
          <w:color w:val="0D0D0D" w:themeColor="text1" w:themeTint="F2"/>
          <w:sz w:val="24"/>
          <w:szCs w:val="24"/>
        </w:rPr>
        <w:t>, 2018</w:t>
      </w:r>
      <w:r w:rsidRPr="00B87BE1">
        <w:rPr>
          <w:rFonts w:ascii="Traditional Arabic" w:hAnsi="Traditional Arabic" w:cs="Traditional Arabic"/>
          <w:b/>
          <w:color w:val="0D0D0D" w:themeColor="text1" w:themeTint="F2"/>
          <w:sz w:val="24"/>
          <w:szCs w:val="24"/>
        </w:rPr>
        <w:t>)</w:t>
      </w:r>
    </w:p>
    <w:p w14:paraId="590D9D47" w14:textId="4F6A36F4" w:rsidR="000E388D" w:rsidRPr="00B87BE1" w:rsidRDefault="004674F5" w:rsidP="007F52A4">
      <w:pPr>
        <w:bidi/>
        <w:spacing w:after="240" w:line="360" w:lineRule="auto"/>
        <w:jc w:val="both"/>
        <w:rPr>
          <w:rFonts w:ascii="Traditional Arabic" w:hAnsi="Traditional Arabic" w:cs="Traditional Arabic"/>
          <w:b/>
          <w:color w:val="0D0D0D" w:themeColor="text1" w:themeTint="F2"/>
          <w:sz w:val="24"/>
          <w:szCs w:val="24"/>
          <w:rtl/>
          <w:lang w:bidi="ar-EG"/>
        </w:rPr>
      </w:pPr>
      <w:r w:rsidRPr="00B87BE1">
        <w:rPr>
          <w:rFonts w:ascii="Traditional Arabic" w:hAnsi="Traditional Arabic" w:cs="Traditional Arabic"/>
          <w:b/>
          <w:color w:val="0D0D0D" w:themeColor="text1" w:themeTint="F2"/>
          <w:sz w:val="24"/>
          <w:szCs w:val="24"/>
          <w:rtl/>
        </w:rPr>
        <w:t xml:space="preserve">في ضوء ما سبق، </w:t>
      </w:r>
      <w:r w:rsidR="000E388D" w:rsidRPr="00B87BE1">
        <w:rPr>
          <w:rFonts w:ascii="Traditional Arabic" w:hAnsi="Traditional Arabic" w:cs="Traditional Arabic"/>
          <w:b/>
          <w:color w:val="0D0D0D" w:themeColor="text1" w:themeTint="F2"/>
          <w:sz w:val="24"/>
          <w:szCs w:val="24"/>
          <w:rtl/>
        </w:rPr>
        <w:t xml:space="preserve">يتضح أن </w:t>
      </w:r>
      <w:r w:rsidRPr="00B87BE1">
        <w:rPr>
          <w:rFonts w:ascii="Traditional Arabic" w:hAnsi="Traditional Arabic" w:cs="Traditional Arabic"/>
          <w:b/>
          <w:color w:val="0D0D0D" w:themeColor="text1" w:themeTint="F2"/>
          <w:sz w:val="24"/>
          <w:szCs w:val="24"/>
          <w:rtl/>
        </w:rPr>
        <w:t xml:space="preserve">ذكاء الأعمال </w:t>
      </w:r>
      <w:r w:rsidR="000E388D" w:rsidRPr="00B87BE1">
        <w:rPr>
          <w:rFonts w:ascii="Traditional Arabic" w:hAnsi="Traditional Arabic" w:cs="Traditional Arabic"/>
          <w:b/>
          <w:color w:val="0D0D0D" w:themeColor="text1" w:themeTint="F2"/>
          <w:sz w:val="24"/>
          <w:szCs w:val="24"/>
          <w:rtl/>
        </w:rPr>
        <w:t>وجودة القرارات ال</w:t>
      </w:r>
      <w:r w:rsidR="00115502" w:rsidRPr="00B87BE1">
        <w:rPr>
          <w:rFonts w:ascii="Traditional Arabic" w:hAnsi="Traditional Arabic" w:cs="Traditional Arabic"/>
          <w:b/>
          <w:color w:val="0D0D0D" w:themeColor="text1" w:themeTint="F2"/>
          <w:sz w:val="24"/>
          <w:szCs w:val="24"/>
          <w:rtl/>
        </w:rPr>
        <w:t>استراتيجي</w:t>
      </w:r>
      <w:r w:rsidR="000E388D" w:rsidRPr="00B87BE1">
        <w:rPr>
          <w:rFonts w:ascii="Traditional Arabic" w:hAnsi="Traditional Arabic" w:cs="Traditional Arabic"/>
          <w:b/>
          <w:color w:val="0D0D0D" w:themeColor="text1" w:themeTint="F2"/>
          <w:sz w:val="24"/>
          <w:szCs w:val="24"/>
          <w:rtl/>
        </w:rPr>
        <w:t xml:space="preserve">ة </w:t>
      </w:r>
      <w:r w:rsidR="00AB0250" w:rsidRPr="00B87BE1">
        <w:rPr>
          <w:rFonts w:ascii="Traditional Arabic" w:hAnsi="Traditional Arabic" w:cs="Traditional Arabic"/>
          <w:b/>
          <w:color w:val="0D0D0D" w:themeColor="text1" w:themeTint="F2"/>
          <w:sz w:val="24"/>
          <w:szCs w:val="24"/>
          <w:rtl/>
        </w:rPr>
        <w:t>تمثلان فلسفة إدارية معاصرة يجب الاستفادة منهما في العلاقات والتأثير المتبادل على ال</w:t>
      </w:r>
      <w:r w:rsidR="00115502" w:rsidRPr="00B87BE1">
        <w:rPr>
          <w:rFonts w:ascii="Traditional Arabic" w:hAnsi="Traditional Arabic" w:cs="Traditional Arabic"/>
          <w:b/>
          <w:color w:val="0D0D0D" w:themeColor="text1" w:themeTint="F2"/>
          <w:sz w:val="24"/>
          <w:szCs w:val="24"/>
          <w:rtl/>
        </w:rPr>
        <w:t>ابتكار</w:t>
      </w:r>
      <w:r w:rsidR="00AB0250" w:rsidRPr="00B87BE1">
        <w:rPr>
          <w:rFonts w:ascii="Traditional Arabic" w:hAnsi="Traditional Arabic" w:cs="Traditional Arabic"/>
          <w:b/>
          <w:color w:val="0D0D0D" w:themeColor="text1" w:themeTint="F2"/>
          <w:sz w:val="24"/>
          <w:szCs w:val="24"/>
          <w:rtl/>
        </w:rPr>
        <w:t xml:space="preserve"> التنظيمي</w:t>
      </w:r>
      <w:r w:rsidR="00631B1A" w:rsidRPr="00B87BE1">
        <w:rPr>
          <w:rFonts w:ascii="Traditional Arabic" w:hAnsi="Traditional Arabic" w:cs="Traditional Arabic"/>
          <w:b/>
          <w:color w:val="0D0D0D" w:themeColor="text1" w:themeTint="F2"/>
          <w:sz w:val="24"/>
          <w:szCs w:val="24"/>
          <w:rtl/>
        </w:rPr>
        <w:t xml:space="preserve"> في القطاع المصرفي الذي يتسم بالديناميكية والتنافسية الشديدة</w:t>
      </w:r>
      <w:r w:rsidRPr="00B87BE1">
        <w:rPr>
          <w:rFonts w:ascii="Traditional Arabic" w:hAnsi="Traditional Arabic" w:cs="Traditional Arabic"/>
          <w:b/>
          <w:color w:val="0D0D0D" w:themeColor="text1" w:themeTint="F2"/>
          <w:sz w:val="24"/>
          <w:szCs w:val="24"/>
          <w:rtl/>
        </w:rPr>
        <w:t>،</w:t>
      </w:r>
      <w:r w:rsidR="000E1C76" w:rsidRPr="00B87BE1">
        <w:rPr>
          <w:rFonts w:ascii="Traditional Arabic" w:hAnsi="Traditional Arabic" w:cs="Traditional Arabic"/>
          <w:b/>
          <w:color w:val="0D0D0D" w:themeColor="text1" w:themeTint="F2"/>
          <w:sz w:val="24"/>
          <w:szCs w:val="24"/>
          <w:rtl/>
        </w:rPr>
        <w:t xml:space="preserve"> </w:t>
      </w:r>
      <w:r w:rsidR="00631B1A" w:rsidRPr="00B87BE1">
        <w:rPr>
          <w:rFonts w:ascii="Traditional Arabic" w:hAnsi="Traditional Arabic" w:cs="Traditional Arabic"/>
          <w:b/>
          <w:color w:val="0D0D0D" w:themeColor="text1" w:themeTint="F2"/>
          <w:sz w:val="24"/>
          <w:szCs w:val="24"/>
          <w:rtl/>
        </w:rPr>
        <w:t xml:space="preserve">لكن </w:t>
      </w:r>
      <w:r w:rsidR="000E1C76" w:rsidRPr="00B87BE1">
        <w:rPr>
          <w:rFonts w:ascii="Traditional Arabic" w:hAnsi="Traditional Arabic" w:cs="Traditional Arabic"/>
          <w:b/>
          <w:color w:val="0D0D0D" w:themeColor="text1" w:themeTint="F2"/>
          <w:sz w:val="24"/>
          <w:szCs w:val="24"/>
          <w:rtl/>
        </w:rPr>
        <w:t>ط</w:t>
      </w:r>
      <w:r w:rsidR="00631B1A" w:rsidRPr="00B87BE1">
        <w:rPr>
          <w:rFonts w:ascii="Traditional Arabic" w:hAnsi="Traditional Arabic" w:cs="Traditional Arabic"/>
          <w:b/>
          <w:color w:val="0D0D0D" w:themeColor="text1" w:themeTint="F2"/>
          <w:sz w:val="24"/>
          <w:szCs w:val="24"/>
          <w:rtl/>
        </w:rPr>
        <w:t xml:space="preserve">بيعة هذه العلاقة </w:t>
      </w:r>
      <w:r w:rsidR="000724E1" w:rsidRPr="00B87BE1">
        <w:rPr>
          <w:rFonts w:ascii="Traditional Arabic" w:hAnsi="Traditional Arabic" w:cs="Traditional Arabic"/>
          <w:b/>
          <w:color w:val="0D0D0D" w:themeColor="text1" w:themeTint="F2"/>
          <w:sz w:val="24"/>
          <w:szCs w:val="24"/>
          <w:rtl/>
        </w:rPr>
        <w:t>وأ</w:t>
      </w:r>
      <w:r w:rsidR="00631B1A" w:rsidRPr="00B87BE1">
        <w:rPr>
          <w:rFonts w:ascii="Traditional Arabic" w:hAnsi="Traditional Arabic" w:cs="Traditional Arabic"/>
          <w:b/>
          <w:color w:val="0D0D0D" w:themeColor="text1" w:themeTint="F2"/>
          <w:sz w:val="24"/>
          <w:szCs w:val="24"/>
          <w:rtl/>
        </w:rPr>
        <w:t>ثارها غير معروفة</w:t>
      </w:r>
      <w:r w:rsidR="000724E1" w:rsidRPr="00B87BE1">
        <w:rPr>
          <w:rFonts w:ascii="Traditional Arabic" w:hAnsi="Traditional Arabic" w:cs="Traditional Arabic"/>
          <w:b/>
          <w:color w:val="0D0D0D" w:themeColor="text1" w:themeTint="F2"/>
          <w:sz w:val="24"/>
          <w:szCs w:val="24"/>
          <w:rtl/>
        </w:rPr>
        <w:t>،</w:t>
      </w:r>
      <w:r w:rsidR="00631B1A" w:rsidRPr="00B87BE1">
        <w:rPr>
          <w:rFonts w:ascii="Traditional Arabic" w:hAnsi="Traditional Arabic" w:cs="Traditional Arabic"/>
          <w:b/>
          <w:color w:val="0D0D0D" w:themeColor="text1" w:themeTint="F2"/>
          <w:sz w:val="24"/>
          <w:szCs w:val="24"/>
          <w:rtl/>
        </w:rPr>
        <w:t xml:space="preserve"> ولم يتم التطرق اليها في دراسات </w:t>
      </w:r>
      <w:r w:rsidR="000E1C76" w:rsidRPr="00B87BE1">
        <w:rPr>
          <w:rFonts w:ascii="Traditional Arabic" w:hAnsi="Traditional Arabic" w:cs="Traditional Arabic"/>
          <w:b/>
          <w:color w:val="0D0D0D" w:themeColor="text1" w:themeTint="F2"/>
          <w:sz w:val="24"/>
          <w:szCs w:val="24"/>
          <w:rtl/>
        </w:rPr>
        <w:t>سابقة في القطاع المصرفي بالمملكة العربية السعودية على حد علم الباحثة</w:t>
      </w:r>
      <w:r w:rsidR="00EA53DD" w:rsidRPr="00B87BE1">
        <w:rPr>
          <w:rFonts w:ascii="Traditional Arabic" w:hAnsi="Traditional Arabic" w:cs="Traditional Arabic"/>
          <w:b/>
          <w:color w:val="0D0D0D" w:themeColor="text1" w:themeTint="F2"/>
          <w:sz w:val="24"/>
          <w:szCs w:val="24"/>
          <w:rtl/>
        </w:rPr>
        <w:t>،</w:t>
      </w:r>
      <w:r w:rsidR="000E1C76" w:rsidRPr="00B87BE1">
        <w:rPr>
          <w:rFonts w:ascii="Traditional Arabic" w:hAnsi="Traditional Arabic" w:cs="Traditional Arabic"/>
          <w:b/>
          <w:color w:val="0D0D0D" w:themeColor="text1" w:themeTint="F2"/>
          <w:sz w:val="24"/>
          <w:szCs w:val="24"/>
          <w:rtl/>
        </w:rPr>
        <w:t xml:space="preserve"> </w:t>
      </w:r>
      <w:r w:rsidR="000724E1" w:rsidRPr="00B87BE1">
        <w:rPr>
          <w:rFonts w:ascii="Traditional Arabic" w:hAnsi="Traditional Arabic" w:cs="Traditional Arabic"/>
          <w:b/>
          <w:color w:val="0D0D0D" w:themeColor="text1" w:themeTint="F2"/>
          <w:sz w:val="24"/>
          <w:szCs w:val="24"/>
          <w:rtl/>
        </w:rPr>
        <w:t xml:space="preserve">حيث </w:t>
      </w:r>
      <w:r w:rsidRPr="00B87BE1">
        <w:rPr>
          <w:rFonts w:ascii="Traditional Arabic" w:hAnsi="Traditional Arabic" w:cs="Traditional Arabic"/>
          <w:b/>
          <w:color w:val="0D0D0D" w:themeColor="text1" w:themeTint="F2"/>
          <w:sz w:val="24"/>
          <w:szCs w:val="24"/>
          <w:rtl/>
        </w:rPr>
        <w:t>تبرز جودة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كعنصر حاسم يحدد مدى فعالية هذه الرؤى</w:t>
      </w:r>
      <w:r w:rsidR="00963425"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color w:val="0D0D0D" w:themeColor="text1" w:themeTint="F2"/>
          <w:sz w:val="24"/>
          <w:szCs w:val="24"/>
          <w:rtl/>
        </w:rPr>
        <w:t xml:space="preserve"> </w:t>
      </w:r>
      <w:r w:rsidR="00963425" w:rsidRPr="00B87BE1">
        <w:rPr>
          <w:rFonts w:ascii="Traditional Arabic" w:hAnsi="Traditional Arabic" w:cs="Traditional Arabic"/>
          <w:b/>
          <w:color w:val="0D0D0D" w:themeColor="text1" w:themeTint="F2"/>
          <w:sz w:val="24"/>
          <w:szCs w:val="24"/>
          <w:rtl/>
        </w:rPr>
        <w:t xml:space="preserve">والتي ليست فقط مبنية على معلومات دقيقة يوفرها ذكاء الأعمال، بل تتسم أيضًا بالجودة العالية لتمكينها من دفع </w:t>
      </w:r>
      <w:r w:rsidRPr="00B87BE1">
        <w:rPr>
          <w:rFonts w:ascii="Traditional Arabic" w:hAnsi="Traditional Arabic" w:cs="Traditional Arabic"/>
          <w:b/>
          <w:color w:val="0D0D0D" w:themeColor="text1" w:themeTint="F2"/>
          <w:sz w:val="24"/>
          <w:szCs w:val="24"/>
          <w:rtl/>
        </w:rPr>
        <w:t>عجلة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w:t>
      </w:r>
      <w:r w:rsidR="00BA12F0" w:rsidRPr="00B87BE1">
        <w:rPr>
          <w:rFonts w:ascii="Traditional Arabic" w:hAnsi="Traditional Arabic" w:cs="Traditional Arabic"/>
          <w:b/>
          <w:color w:val="0D0D0D" w:themeColor="text1" w:themeTint="F2"/>
          <w:sz w:val="24"/>
          <w:szCs w:val="24"/>
        </w:rPr>
        <w:t xml:space="preserve"> </w:t>
      </w:r>
      <w:r w:rsidR="00BA12F0" w:rsidRPr="00B87BE1">
        <w:rPr>
          <w:rFonts w:ascii="Traditional Arabic" w:hAnsi="Traditional Arabic" w:cs="Traditional Arabic"/>
          <w:b/>
          <w:color w:val="0D0D0D" w:themeColor="text1" w:themeTint="F2"/>
          <w:sz w:val="24"/>
          <w:szCs w:val="24"/>
          <w:rtl/>
        </w:rPr>
        <w:t xml:space="preserve">في </w:t>
      </w:r>
      <w:r w:rsidRPr="00B87BE1">
        <w:rPr>
          <w:rFonts w:ascii="Traditional Arabic" w:hAnsi="Traditional Arabic" w:cs="Traditional Arabic"/>
          <w:b/>
          <w:color w:val="0D0D0D" w:themeColor="text1" w:themeTint="F2"/>
          <w:sz w:val="24"/>
          <w:szCs w:val="24"/>
          <w:rtl/>
        </w:rPr>
        <w:t xml:space="preserve">المنظمات،. من هنا، تسعى هذه الدراسة إلى سد الفجوة في الأدبيات من خلال استكشاف </w:t>
      </w:r>
      <w:r w:rsidR="00BA12F0" w:rsidRPr="00B87BE1">
        <w:rPr>
          <w:rFonts w:ascii="Traditional Arabic" w:hAnsi="Traditional Arabic" w:cs="Traditional Arabic"/>
          <w:b/>
          <w:color w:val="0D0D0D" w:themeColor="text1" w:themeTint="F2"/>
          <w:sz w:val="24"/>
          <w:szCs w:val="24"/>
          <w:rtl/>
        </w:rPr>
        <w:t xml:space="preserve">تأثير </w:t>
      </w:r>
      <w:r w:rsidRPr="00B87BE1">
        <w:rPr>
          <w:rFonts w:ascii="Traditional Arabic" w:hAnsi="Traditional Arabic" w:cs="Traditional Arabic"/>
          <w:b/>
          <w:color w:val="0D0D0D" w:themeColor="text1" w:themeTint="F2"/>
          <w:sz w:val="24"/>
          <w:szCs w:val="24"/>
          <w:rtl/>
        </w:rPr>
        <w:t>الدور الوسيط لجودة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في العلاقة بين ذكاء الأعمال وال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في القطاع المصرفي، مقدمة بذلك إطارًا شاملاً لفهم كيفية تحويل البيانات إلى </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فعال ومستدام</w:t>
      </w:r>
      <w:r w:rsidR="00C11026" w:rsidRPr="00B87BE1">
        <w:rPr>
          <w:rFonts w:ascii="Traditional Arabic" w:hAnsi="Traditional Arabic" w:cs="Traditional Arabic"/>
          <w:b/>
          <w:color w:val="0D0D0D" w:themeColor="text1" w:themeTint="F2"/>
          <w:sz w:val="24"/>
          <w:szCs w:val="24"/>
          <w:rtl/>
        </w:rPr>
        <w:t>.</w:t>
      </w:r>
    </w:p>
    <w:p w14:paraId="1433590F" w14:textId="416FC560" w:rsidR="00A562EE" w:rsidRPr="00B87BE1" w:rsidRDefault="00A562EE" w:rsidP="00A562EE">
      <w:pPr>
        <w:bidi/>
        <w:spacing w:after="240" w:line="360" w:lineRule="auto"/>
        <w:jc w:val="both"/>
        <w:rPr>
          <w:rFonts w:ascii="Traditional Arabic" w:hAnsi="Traditional Arabic" w:cs="Traditional Arabic"/>
          <w:b/>
          <w:color w:val="0D0D0D" w:themeColor="text1" w:themeTint="F2"/>
          <w:sz w:val="24"/>
          <w:szCs w:val="24"/>
          <w:rtl/>
          <w:lang w:bidi="ar-EG"/>
        </w:rPr>
      </w:pPr>
      <w:r w:rsidRPr="00B87BE1">
        <w:rPr>
          <w:rFonts w:ascii="Traditional Arabic" w:hAnsi="Traditional Arabic" w:cs="Traditional Arabic"/>
          <w:b/>
          <w:color w:val="0D0D0D" w:themeColor="text1" w:themeTint="F2"/>
          <w:sz w:val="24"/>
          <w:szCs w:val="24"/>
          <w:rtl/>
          <w:lang w:bidi="ar-EG"/>
        </w:rPr>
        <w:t xml:space="preserve">تكشف مراجعة الدراسات السابقة أن الأدبيات الإدارية قد تناولت العلاقة بين ذكاء الأعمال واتخاذ القرارات في سياقات متعددة، كالقطاع المصرفي الأردني (العتوم، 2020) والقطري (عبيدات، 2022) والليبي (سليم والشريف، 2025). كما درست علاقة الابتكار التنظيمي بالميزة التنافسية في المصارف السورية (جديد، 2020). غير أن هذه الدراسات لم تتناول: (1) العلاقة التسلسلية المركّبة بين قبول أنظمة ذكاء الأعمال وفق نموذج </w:t>
      </w:r>
      <w:r w:rsidRPr="00B87BE1">
        <w:rPr>
          <w:rFonts w:ascii="Traditional Arabic" w:hAnsi="Traditional Arabic" w:cs="Traditional Arabic"/>
          <w:b/>
          <w:color w:val="0D0D0D" w:themeColor="text1" w:themeTint="F2"/>
          <w:sz w:val="24"/>
          <w:szCs w:val="24"/>
          <w:lang w:bidi="ar-EG"/>
        </w:rPr>
        <w:t>TAM</w:t>
      </w:r>
      <w:r w:rsidRPr="00B87BE1">
        <w:rPr>
          <w:rFonts w:ascii="Traditional Arabic" w:hAnsi="Traditional Arabic" w:cs="Traditional Arabic"/>
          <w:b/>
          <w:color w:val="0D0D0D" w:themeColor="text1" w:themeTint="F2"/>
          <w:sz w:val="24"/>
          <w:szCs w:val="24"/>
          <w:rtl/>
          <w:lang w:bidi="ar-EG"/>
        </w:rPr>
        <w:t xml:space="preserve"> وجودة القرارات الاستراتيجية والابتكار التنظيمي، (2) الدور الوسيط لجودة القرارات في تفسير آلية تأثير قبول</w:t>
      </w:r>
      <w:r w:rsidR="0033043F" w:rsidRPr="00B87BE1">
        <w:rPr>
          <w:rFonts w:ascii="Traditional Arabic" w:hAnsi="Traditional Arabic" w:cs="Traditional Arabic" w:hint="cs"/>
          <w:b/>
          <w:color w:val="0D0D0D" w:themeColor="text1" w:themeTint="F2"/>
          <w:sz w:val="24"/>
          <w:szCs w:val="24"/>
          <w:rtl/>
          <w:lang w:bidi="ar-EG"/>
        </w:rPr>
        <w:t xml:space="preserve"> انظمة</w:t>
      </w:r>
      <w:r w:rsidRPr="00B87BE1">
        <w:rPr>
          <w:rFonts w:ascii="Traditional Arabic" w:hAnsi="Traditional Arabic" w:cs="Traditional Arabic"/>
          <w:b/>
          <w:color w:val="0D0D0D" w:themeColor="text1" w:themeTint="F2"/>
          <w:sz w:val="24"/>
          <w:szCs w:val="24"/>
          <w:rtl/>
          <w:lang w:bidi="ar-EG"/>
        </w:rPr>
        <w:t xml:space="preserve"> ذكاء الأعمال على الابتكار، (3) السياق المصرفي السعودي تحديداً رغم خصوصيته في ظل رؤية 2030. ومن ثمّ تظهر فجوة بحثية تتمثل في غياب نموذج تحليلي يدمج بين قبول أنظمة ذكاء الأعمال (وفق </w:t>
      </w:r>
      <w:r w:rsidRPr="00B87BE1">
        <w:rPr>
          <w:rFonts w:ascii="Traditional Arabic" w:hAnsi="Traditional Arabic" w:cs="Traditional Arabic"/>
          <w:b/>
          <w:color w:val="0D0D0D" w:themeColor="text1" w:themeTint="F2"/>
          <w:sz w:val="24"/>
          <w:szCs w:val="24"/>
          <w:lang w:bidi="ar-EG"/>
        </w:rPr>
        <w:t>TAM</w:t>
      </w:r>
      <w:r w:rsidRPr="00B87BE1">
        <w:rPr>
          <w:rFonts w:ascii="Traditional Arabic" w:hAnsi="Traditional Arabic" w:cs="Traditional Arabic"/>
          <w:b/>
          <w:color w:val="0D0D0D" w:themeColor="text1" w:themeTint="F2"/>
          <w:sz w:val="24"/>
          <w:szCs w:val="24"/>
          <w:rtl/>
          <w:lang w:bidi="ar-EG"/>
        </w:rPr>
        <w:t>) وجودة القرارات الاستراتيجية والابتكار التنظيمي في المصارف العاملة بمدينة الرياض. وعليه، تسعى الدراسة الحالية إلى سد هذه الفجوة السياقية والمنهجية.</w:t>
      </w:r>
    </w:p>
    <w:p w14:paraId="6654D88D" w14:textId="15C7BE45" w:rsidR="00436B59" w:rsidRPr="00B87BE1" w:rsidRDefault="00883E09" w:rsidP="007F52A4">
      <w:pPr>
        <w:pStyle w:val="Heading1"/>
        <w:bidi/>
        <w:spacing w:before="0" w:after="240" w:line="360" w:lineRule="auto"/>
        <w:rPr>
          <w:rFonts w:ascii="Traditional Arabic" w:hAnsi="Traditional Arabic" w:cs="Traditional Arabic"/>
          <w:bCs/>
          <w:color w:val="0D0D0D" w:themeColor="text1" w:themeTint="F2"/>
          <w:sz w:val="28"/>
          <w:szCs w:val="28"/>
          <w:rtl/>
        </w:rPr>
      </w:pPr>
      <w:bookmarkStart w:id="4" w:name="_Toc215399828"/>
      <w:r w:rsidRPr="00B87BE1">
        <w:rPr>
          <w:rFonts w:ascii="Traditional Arabic" w:hAnsi="Traditional Arabic" w:cs="Traditional Arabic"/>
          <w:bCs/>
          <w:color w:val="0D0D0D" w:themeColor="text1" w:themeTint="F2"/>
          <w:sz w:val="28"/>
          <w:szCs w:val="28"/>
          <w:rtl/>
        </w:rPr>
        <w:t>مشكلة الدراسة</w:t>
      </w:r>
      <w:r w:rsidR="004674F5" w:rsidRPr="00B87BE1">
        <w:rPr>
          <w:rFonts w:ascii="Traditional Arabic" w:hAnsi="Traditional Arabic" w:cs="Traditional Arabic"/>
          <w:bCs/>
          <w:color w:val="0D0D0D" w:themeColor="text1" w:themeTint="F2"/>
          <w:sz w:val="28"/>
          <w:szCs w:val="28"/>
          <w:rtl/>
        </w:rPr>
        <w:t>:</w:t>
      </w:r>
      <w:bookmarkEnd w:id="4"/>
    </w:p>
    <w:p w14:paraId="664E47C8" w14:textId="77777777" w:rsidR="00685B9B" w:rsidRPr="00B87BE1" w:rsidRDefault="00685B9B" w:rsidP="00685B9B">
      <w:p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تُشير التقارير الصادرة عن البنك المركزي السعودي (ساما) إلى تزايد استثمارات المصارف السعودية في أنظمة ذكاء الأعمال والتحول الرقمي، حيث بلغت نسبة البنوك المشاركة في البيئة التجريبية التشريعية (</w:t>
      </w:r>
      <w:r w:rsidRPr="00B87BE1">
        <w:rPr>
          <w:rFonts w:ascii="Traditional Arabic" w:hAnsi="Traditional Arabic" w:cs="Traditional Arabic"/>
          <w:b/>
          <w:color w:val="0D0D0D" w:themeColor="text1" w:themeTint="F2"/>
          <w:sz w:val="24"/>
          <w:szCs w:val="24"/>
        </w:rPr>
        <w:t>Sandbox</w:t>
      </w:r>
      <w:r w:rsidRPr="00B87BE1">
        <w:rPr>
          <w:rFonts w:ascii="Traditional Arabic" w:hAnsi="Traditional Arabic" w:cs="Traditional Arabic"/>
          <w:b/>
          <w:color w:val="0D0D0D" w:themeColor="text1" w:themeTint="F2"/>
          <w:sz w:val="24"/>
          <w:szCs w:val="24"/>
          <w:rtl/>
        </w:rPr>
        <w:t>) أكثر من 70% من إجمالي المصارف العاملة بحلول عام 2024 (البنك المركزي السعودي، 2024). إلا أن الأدبيات تكشف عن قصور في فهم آليات تحويل هذه الاستثمارات إلى قرارات استراتيجية عالية الجودة تُفضي إلى ابتكار تنظيمي فعّال.</w:t>
      </w:r>
    </w:p>
    <w:p w14:paraId="6424A908" w14:textId="77777777" w:rsidR="00685B9B" w:rsidRPr="00B87BE1" w:rsidRDefault="00685B9B" w:rsidP="00685B9B">
      <w:p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lastRenderedPageBreak/>
        <w:t xml:space="preserve">ويتجلى هذا القصور في محدودية الدراسات التي تربط بين ثلاثة متغيرات جوهرية: قبول أنظمة ذكاء الأعمال (وفق نموذج </w:t>
      </w:r>
      <w:r w:rsidRPr="00B87BE1">
        <w:rPr>
          <w:rFonts w:ascii="Traditional Arabic" w:hAnsi="Traditional Arabic" w:cs="Traditional Arabic"/>
          <w:b/>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وجودة القرارات الاستراتيجية، والابتكار التنظيمي في السياق المصرفي السعودي. كما تفتقر الأدبيات إلى نموذج تحليلي يختبر الدور الوسيط لجودة القرارات في هذه العلاقة. وقد أشارت دراسة جديد (2020) إلى أن مؤشرات الابتكار التنظيمي المتعلقة بالمناخ التنظيمي الداعم للابتكار في المصارف جاءت بدرجة متوسطة، فيما جاءت العلاقة ضعيفة بين الابتكار التنظيمي المتوافر وقدرة المصرف على تحقيق الميزة التنافسية، مما يُبرز الحاجة إلى فهم العوامل المؤثرة في تعزيز الابتكار.</w:t>
      </w:r>
    </w:p>
    <w:p w14:paraId="6D758EE4" w14:textId="77777777" w:rsidR="00685B9B" w:rsidRPr="00B87BE1" w:rsidRDefault="00685B9B" w:rsidP="00685B9B">
      <w:p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وعلى الرغم من الأهمية القصوى التي تحظى بها القرارات الاستراتيجية وتأثيرها العميق على مسار المؤسسات، إلا أنها لم تنل القدر الكافي من الاهتمام في القطاع المصرفي مقارنة بالقرارات التشغيلية والإدارية الأخرى. يُعزى هذا القصور إلى الطبيعة الحساسة لهذه القرارات وما قد يترتب على أي خطأ في اتخاذها من عواقب وخيمة على مستقبل المؤسسات المصرفية، مما يستلزم إخضاعها لعمليات فحص دقيقة وتدقيق منهجي ومراجعة مستمرة لضمان سلامتها (الأبجي وسليمان، 2020).</w:t>
      </w:r>
    </w:p>
    <w:p w14:paraId="51F7ABC0" w14:textId="77777777" w:rsidR="00685B9B" w:rsidRPr="00B87BE1" w:rsidRDefault="00685B9B" w:rsidP="00685B9B">
      <w:p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وفي ظل هذه التحديات والبيئة التنافسية الشديدة، أصبح تبني التقنيات الحديثة -وعلى رأسها ذكاء الأعمال- ضرورة استراتيجية للمؤسسات المصرفية. فذكاء الأعمال يحوّل البيانات الخام إلى رؤى قابلة للتنفيذ، مما يُمكّن المديرين التنفيذيين من فهم الاتجاهات، وتتبع مؤشرات الأداء الرئيسية، وربطها بالاستراتيجيات العامة للمؤسسة. كما يُسهم في تحسين العمليات التشغيلية، وتعزيز تجربة العملاء، ودعم تقييم الأداء والتحليل التنافسي (الفار ومبارز، 2023).</w:t>
      </w:r>
    </w:p>
    <w:p w14:paraId="2584C662" w14:textId="77777777" w:rsidR="00685B9B" w:rsidRPr="00B87BE1" w:rsidRDefault="00685B9B" w:rsidP="00685B9B">
      <w:p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ويؤكد هذا التوجه ما أشارت إليه دراسة سدرة (</w:t>
      </w:r>
      <w:r w:rsidRPr="00B87BE1">
        <w:rPr>
          <w:rFonts w:ascii="Traditional Arabic" w:hAnsi="Traditional Arabic" w:cs="Traditional Arabic"/>
          <w:b/>
          <w:color w:val="0D0D0D" w:themeColor="text1" w:themeTint="F2"/>
          <w:sz w:val="24"/>
          <w:szCs w:val="24"/>
        </w:rPr>
        <w:t>Sidra, 2025</w:t>
      </w:r>
      <w:r w:rsidRPr="00B87BE1">
        <w:rPr>
          <w:rFonts w:ascii="Traditional Arabic" w:hAnsi="Traditional Arabic" w:cs="Traditional Arabic"/>
          <w:b/>
          <w:color w:val="0D0D0D" w:themeColor="text1" w:themeTint="F2"/>
          <w:sz w:val="24"/>
          <w:szCs w:val="24"/>
          <w:rtl/>
        </w:rPr>
        <w:t>) من أن الذكاء الاصطناعي -كجزء من ذكاء الأعمال- يدعم اتخاذ القرار من خلال التحليلات المستندة إلى البيانات، وأن القطاع المالي يقود الاستثمارات في الذكاء الاصطناعي في الشرق الأوسط. كما أن الدعم التنظيمي من قبل البنك المركزي السعودي (ساما) لتبني هذه التقنيات من خلال البيئة التجريبية التشريعية يُشير إلى بيئة تنظيمية داعمة للابتكار، لكنه في الوقت ذاته يُبرز تحديات تتعلق بالتحيزات في الخوارزميات ومخاطر الأمن السيبراني والحاجة لمواكبة اللوائح التنظيمية.</w:t>
      </w:r>
    </w:p>
    <w:p w14:paraId="71BB6B13" w14:textId="77777777" w:rsidR="00685B9B" w:rsidRPr="00B87BE1" w:rsidRDefault="00685B9B" w:rsidP="00685B9B">
      <w:p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علاوةً على ذلك، أظهرت دراسة الزعنون ومزهر (</w:t>
      </w:r>
      <w:proofErr w:type="spellStart"/>
      <w:r w:rsidRPr="00B87BE1">
        <w:rPr>
          <w:rFonts w:ascii="Traditional Arabic" w:hAnsi="Traditional Arabic" w:cs="Traditional Arabic"/>
          <w:b/>
          <w:color w:val="0D0D0D" w:themeColor="text1" w:themeTint="F2"/>
          <w:sz w:val="24"/>
          <w:szCs w:val="24"/>
        </w:rPr>
        <w:t>Alzanoon</w:t>
      </w:r>
      <w:proofErr w:type="spellEnd"/>
      <w:r w:rsidRPr="00B87BE1">
        <w:rPr>
          <w:rFonts w:ascii="Traditional Arabic" w:hAnsi="Traditional Arabic" w:cs="Traditional Arabic"/>
          <w:b/>
          <w:color w:val="0D0D0D" w:themeColor="text1" w:themeTint="F2"/>
          <w:sz w:val="24"/>
          <w:szCs w:val="24"/>
        </w:rPr>
        <w:t xml:space="preserve"> &amp; </w:t>
      </w:r>
      <w:proofErr w:type="spellStart"/>
      <w:r w:rsidRPr="00B87BE1">
        <w:rPr>
          <w:rFonts w:ascii="Traditional Arabic" w:hAnsi="Traditional Arabic" w:cs="Traditional Arabic"/>
          <w:b/>
          <w:color w:val="0D0D0D" w:themeColor="text1" w:themeTint="F2"/>
          <w:sz w:val="24"/>
          <w:szCs w:val="24"/>
        </w:rPr>
        <w:t>Mizher</w:t>
      </w:r>
      <w:proofErr w:type="spellEnd"/>
      <w:r w:rsidRPr="00B87BE1">
        <w:rPr>
          <w:rFonts w:ascii="Traditional Arabic" w:hAnsi="Traditional Arabic" w:cs="Traditional Arabic"/>
          <w:b/>
          <w:color w:val="0D0D0D" w:themeColor="text1" w:themeTint="F2"/>
          <w:sz w:val="24"/>
          <w:szCs w:val="24"/>
        </w:rPr>
        <w:t>, 2020</w:t>
      </w:r>
      <w:r w:rsidRPr="00B87BE1">
        <w:rPr>
          <w:rFonts w:ascii="Traditional Arabic" w:hAnsi="Traditional Arabic" w:cs="Traditional Arabic"/>
          <w:b/>
          <w:color w:val="0D0D0D" w:themeColor="text1" w:themeTint="F2"/>
          <w:sz w:val="24"/>
          <w:szCs w:val="24"/>
          <w:rtl/>
        </w:rPr>
        <w:t>) أن أنظمة ذكاء الأعمال تؤثر بشكل كبير على التوجهات الريادية للمؤسسات المصرفية، مثل الاستباقية والمغامرة التنافسية، وأوصت بتطوير هذه الأنظمة لرصد قدرات المنافسين واستراتيجياتهم وتقديم خدمات مصرفية مبتكرة.</w:t>
      </w:r>
    </w:p>
    <w:p w14:paraId="3E07B110" w14:textId="77777777" w:rsidR="00685B9B" w:rsidRPr="00B87BE1" w:rsidRDefault="00685B9B" w:rsidP="00685B9B">
      <w:p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وبوجهٍ عام، تواجه البنوك في القطاع المصرفي تحديات متجددة ناجمة عن التقلبات المستمرة في تفضيلات العملاء والتطورات المتسارعة في الصناعة المصرفية على الأصعدة المحلية والإقليمية والدولية. وهذا يستوجب تفكيراً استراتيجياً متواصلاً لتقديم خدمات مبتكرة تلبي الاحتياجات المتغيرة للعملاء، مما يتطلب اعتماد مداخل حديثة أبرزها ذكاء الأعمال -مع مراعاة أهمية قبول المستخدمين لهذه الأنظمة كعامل حاسم في تفعيل دورها- إضافةً إلى جودة القرارات الاستراتيجية.</w:t>
      </w:r>
    </w:p>
    <w:p w14:paraId="482081B6" w14:textId="77777777" w:rsidR="00685B9B" w:rsidRPr="00B87BE1" w:rsidRDefault="00685B9B" w:rsidP="00685B9B">
      <w:p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lastRenderedPageBreak/>
        <w:t>من هنا رأت الباحثة ضرورة دراسة هذه الظاهرة للتعرف على الدور الوسيط لجودة القرارات الاستراتيجية في العلاقة بين ذكاء الأعمال والابتكار التنظيمي في سياق المصارف العاملة بمدينة الرياض، بهدف فهم كيفية تعظيم الاستفادة من استثمارات البنوك في تقنيات ذكاء الأعمال لتحقيق الابتكار التنظيمي المنشود.</w:t>
      </w:r>
    </w:p>
    <w:p w14:paraId="221D0739" w14:textId="77777777" w:rsidR="00685B9B" w:rsidRPr="00B87BE1" w:rsidRDefault="00685B9B" w:rsidP="00685B9B">
      <w:p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وتتجلى أبعاد هذه المشكلة في عدة مؤشرات، منها:</w:t>
      </w:r>
    </w:p>
    <w:p w14:paraId="0CD1B543" w14:textId="77777777" w:rsidR="00685B9B" w:rsidRPr="00B87BE1" w:rsidRDefault="00685B9B" w:rsidP="00B07735">
      <w:pPr>
        <w:pStyle w:val="ListParagraph"/>
        <w:numPr>
          <w:ilvl w:val="0"/>
          <w:numId w:val="9"/>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تباين مستويات توظيف مخرجات ذكاء الأعمال في القرارات الاستراتيجية بين المصارف.</w:t>
      </w:r>
    </w:p>
    <w:p w14:paraId="6423802A" w14:textId="77777777" w:rsidR="00685B9B" w:rsidRPr="00B87BE1" w:rsidRDefault="00685B9B" w:rsidP="00B07735">
      <w:pPr>
        <w:pStyle w:val="ListParagraph"/>
        <w:numPr>
          <w:ilvl w:val="0"/>
          <w:numId w:val="9"/>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ضعف الربط بين جودة هذه القرارات ومخرجات الابتكار التنظيمي.</w:t>
      </w:r>
    </w:p>
    <w:p w14:paraId="40F8A745" w14:textId="77777777" w:rsidR="00685B9B" w:rsidRPr="00B87BE1" w:rsidRDefault="00685B9B" w:rsidP="00B07735">
      <w:pPr>
        <w:pStyle w:val="ListParagraph"/>
        <w:numPr>
          <w:ilvl w:val="0"/>
          <w:numId w:val="9"/>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محدودية الأطر التحليلية التي تفسر هذه العلاقات في البيئة المصرفية السعودية.</w:t>
      </w:r>
    </w:p>
    <w:p w14:paraId="1392A156" w14:textId="77777777" w:rsidR="00685B9B" w:rsidRPr="00B87BE1" w:rsidRDefault="00685B9B" w:rsidP="00685B9B">
      <w:p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وفي ضوء ذلك، يمكن صياغة مشكلة الدراسة في التساؤل الرئيسي التالي:</w:t>
      </w:r>
    </w:p>
    <w:p w14:paraId="5C3748E7" w14:textId="3A269322" w:rsidR="00685B9B" w:rsidRPr="00B87BE1" w:rsidRDefault="00685B9B" w:rsidP="00685B9B">
      <w:pPr>
        <w:bidi/>
        <w:spacing w:after="240" w:line="360" w:lineRule="auto"/>
        <w:jc w:val="both"/>
        <w:rPr>
          <w:rFonts w:ascii="Traditional Arabic" w:hAnsi="Traditional Arabic" w:cs="Traditional Arabic"/>
          <w:bCs/>
          <w:color w:val="0D0D0D" w:themeColor="text1" w:themeTint="F2"/>
          <w:sz w:val="24"/>
          <w:szCs w:val="24"/>
          <w:rtl/>
        </w:rPr>
      </w:pPr>
      <w:r w:rsidRPr="00B87BE1">
        <w:rPr>
          <w:rFonts w:ascii="Traditional Arabic" w:hAnsi="Traditional Arabic" w:cs="Traditional Arabic"/>
          <w:bCs/>
          <w:color w:val="0D0D0D" w:themeColor="text1" w:themeTint="F2"/>
          <w:sz w:val="24"/>
          <w:szCs w:val="24"/>
          <w:rtl/>
        </w:rPr>
        <w:t>"ما الدور الوسيط لجودة القرارات الاستراتيجية في العلاقة بين قبول المديرين لأنظمة ذكاء الأعمال (وفق ن</w:t>
      </w:r>
      <w:r w:rsidR="00BD2ACC" w:rsidRPr="00B87BE1">
        <w:rPr>
          <w:rFonts w:ascii="Traditional Arabic" w:hAnsi="Traditional Arabic" w:cs="Traditional Arabic" w:hint="cs"/>
          <w:bCs/>
          <w:color w:val="0D0D0D" w:themeColor="text1" w:themeTint="F2"/>
          <w:sz w:val="24"/>
          <w:szCs w:val="24"/>
          <w:rtl/>
        </w:rPr>
        <w:t>موذج</w:t>
      </w:r>
      <w:r w:rsidRPr="00B87BE1">
        <w:rPr>
          <w:rFonts w:ascii="Traditional Arabic" w:hAnsi="Traditional Arabic" w:cs="Traditional Arabic"/>
          <w:bCs/>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Pr>
        <w:t>TAM</w:t>
      </w:r>
      <w:r w:rsidRPr="00B87BE1">
        <w:rPr>
          <w:rFonts w:ascii="Traditional Arabic" w:hAnsi="Traditional Arabic" w:cs="Traditional Arabic"/>
          <w:bCs/>
          <w:color w:val="0D0D0D" w:themeColor="text1" w:themeTint="F2"/>
          <w:sz w:val="24"/>
          <w:szCs w:val="24"/>
          <w:rtl/>
        </w:rPr>
        <w:t>) والابتكار التنظيمي في المصارف العاملة بمدينة الرياض؟"</w:t>
      </w:r>
    </w:p>
    <w:p w14:paraId="20D29E10" w14:textId="1BFC07BD" w:rsidR="009C4F53" w:rsidRPr="00B87BE1" w:rsidRDefault="009C4F53" w:rsidP="008452C8">
      <w:pPr>
        <w:pStyle w:val="Heading1"/>
        <w:bidi/>
        <w:spacing w:before="0" w:after="240" w:line="360" w:lineRule="auto"/>
        <w:rPr>
          <w:rFonts w:ascii="Traditional Arabic" w:hAnsi="Traditional Arabic" w:cs="Traditional Arabic"/>
          <w:bCs/>
          <w:color w:val="0D0D0D" w:themeColor="text1" w:themeTint="F2"/>
          <w:sz w:val="28"/>
          <w:szCs w:val="28"/>
          <w:rtl/>
        </w:rPr>
      </w:pPr>
      <w:bookmarkStart w:id="5" w:name="_Toc215399829"/>
      <w:r w:rsidRPr="00B87BE1">
        <w:rPr>
          <w:rFonts w:ascii="Traditional Arabic" w:hAnsi="Traditional Arabic" w:cs="Traditional Arabic" w:hint="cs"/>
          <w:bCs/>
          <w:color w:val="0D0D0D" w:themeColor="text1" w:themeTint="F2"/>
          <w:sz w:val="28"/>
          <w:szCs w:val="28"/>
          <w:rtl/>
        </w:rPr>
        <w:t>تساؤلات الدراسة</w:t>
      </w:r>
      <w:bookmarkEnd w:id="5"/>
    </w:p>
    <w:p w14:paraId="1B33FBCD" w14:textId="77777777" w:rsidR="00F37901" w:rsidRPr="00B87BE1" w:rsidRDefault="00F37901" w:rsidP="00647DE2">
      <w:pPr>
        <w:bidi/>
        <w:spacing w:after="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تسعى الدراسة الحالية للإجابة عن التساؤلات التالية:</w:t>
      </w:r>
    </w:p>
    <w:p w14:paraId="71C95677" w14:textId="6129F7D8" w:rsidR="00F37901" w:rsidRPr="00B87BE1" w:rsidRDefault="00F37901" w:rsidP="00F37901">
      <w:pPr>
        <w:bidi/>
        <w:spacing w:after="0" w:line="360" w:lineRule="auto"/>
        <w:jc w:val="both"/>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أولاً: أسئلة مستوى المتغيرات:</w:t>
      </w:r>
    </w:p>
    <w:p w14:paraId="54070FC3" w14:textId="34FF9260" w:rsidR="00F37901" w:rsidRPr="00B87BE1" w:rsidRDefault="00F37901" w:rsidP="00B07735">
      <w:pPr>
        <w:pStyle w:val="ListParagraph"/>
        <w:numPr>
          <w:ilvl w:val="0"/>
          <w:numId w:val="8"/>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 xml:space="preserve">ما مستوى قبول المديرين لأنظمة ذكاء الأعمال وفق نموذج </w:t>
      </w:r>
      <w:r w:rsidRPr="00B87BE1">
        <w:rPr>
          <w:rFonts w:ascii="Traditional Arabic" w:hAnsi="Traditional Arabic" w:cs="Traditional Arabic"/>
          <w:b/>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xml:space="preserve"> في المصارف العاملة بمدينة الرياض؟</w:t>
      </w:r>
    </w:p>
    <w:p w14:paraId="2DF4817C" w14:textId="4B98664A" w:rsidR="00F37901" w:rsidRPr="00B87BE1" w:rsidRDefault="00F37901" w:rsidP="00B07735">
      <w:pPr>
        <w:pStyle w:val="ListParagraph"/>
        <w:numPr>
          <w:ilvl w:val="0"/>
          <w:numId w:val="8"/>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ما مستوى جودة القرارات الاستراتيجية في المصارف العاملة بمدينة الرياض؟</w:t>
      </w:r>
    </w:p>
    <w:p w14:paraId="18183D21" w14:textId="40FF30C3" w:rsidR="00F37901" w:rsidRPr="00B87BE1" w:rsidRDefault="00F37901" w:rsidP="00B07735">
      <w:pPr>
        <w:pStyle w:val="ListParagraph"/>
        <w:numPr>
          <w:ilvl w:val="0"/>
          <w:numId w:val="8"/>
        </w:numPr>
        <w:bidi/>
        <w:spacing w:after="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ما مستوى الابتكار التنظيمي في المصارف العاملة بمدينة الرياض؟</w:t>
      </w:r>
    </w:p>
    <w:p w14:paraId="621C3CA4" w14:textId="094F1211" w:rsidR="00F37901" w:rsidRPr="00B87BE1" w:rsidRDefault="00F37901" w:rsidP="00F37901">
      <w:pPr>
        <w:bidi/>
        <w:spacing w:after="0" w:line="360" w:lineRule="auto"/>
        <w:jc w:val="both"/>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ثانياً: أسئلة العلاقات والوساطة:</w:t>
      </w:r>
    </w:p>
    <w:p w14:paraId="704F5716" w14:textId="60AC5412" w:rsidR="00F37901" w:rsidRPr="00B87BE1" w:rsidRDefault="00F37901" w:rsidP="00B07735">
      <w:pPr>
        <w:pStyle w:val="ListParagraph"/>
        <w:numPr>
          <w:ilvl w:val="0"/>
          <w:numId w:val="8"/>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ما أثر قبول أنظمة ذكاء الأعمال على جودة القرارات الاستراتيجية والابتكار التنظيمي؟</w:t>
      </w:r>
    </w:p>
    <w:p w14:paraId="2ECCDC55" w14:textId="11712FEA" w:rsidR="00F37901" w:rsidRPr="00B87BE1" w:rsidRDefault="00F37901" w:rsidP="00B07735">
      <w:pPr>
        <w:pStyle w:val="ListParagraph"/>
        <w:numPr>
          <w:ilvl w:val="0"/>
          <w:numId w:val="8"/>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ما أثر جودة القرارات الاستراتيجية على الابتكار التنظيمي؟</w:t>
      </w:r>
    </w:p>
    <w:p w14:paraId="042D6DBE" w14:textId="5038FD91" w:rsidR="00F37901" w:rsidRPr="00B87BE1" w:rsidRDefault="00F37901" w:rsidP="00B07735">
      <w:pPr>
        <w:pStyle w:val="ListParagraph"/>
        <w:numPr>
          <w:ilvl w:val="0"/>
          <w:numId w:val="8"/>
        </w:numPr>
        <w:bidi/>
        <w:spacing w:after="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هل تتوسط جودة القرارات الاستراتيجية العلاقة بين قبول أنظمة ذكاء الأعمال والابتكار التنظيمي؟</w:t>
      </w:r>
    </w:p>
    <w:p w14:paraId="395635F5" w14:textId="14D88D18" w:rsidR="00F37901" w:rsidRPr="00B87BE1" w:rsidRDefault="00F37901" w:rsidP="00647DE2">
      <w:pPr>
        <w:bidi/>
        <w:spacing w:after="0" w:line="360" w:lineRule="auto"/>
        <w:jc w:val="both"/>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ثالثاً: سؤال الفروق:</w:t>
      </w:r>
    </w:p>
    <w:p w14:paraId="5EB609EF" w14:textId="3CCDE385" w:rsidR="00F37901" w:rsidRPr="00B87BE1" w:rsidRDefault="00F37901" w:rsidP="00B07735">
      <w:pPr>
        <w:pStyle w:val="ListParagraph"/>
        <w:numPr>
          <w:ilvl w:val="0"/>
          <w:numId w:val="8"/>
        </w:num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هل توجد فروق ذات دلالة إحصائية في مستوى متغيرات الدراسة تُعزى للمتغيرات الديموغرافية (المستوى الإداري، سنوات الخبرة)؟</w:t>
      </w:r>
    </w:p>
    <w:p w14:paraId="15174074" w14:textId="19544584" w:rsidR="00883E09" w:rsidRPr="00B87BE1" w:rsidRDefault="00C11026" w:rsidP="007F52A4">
      <w:pPr>
        <w:pStyle w:val="Heading1"/>
        <w:bidi/>
        <w:spacing w:before="0" w:after="240" w:line="360" w:lineRule="auto"/>
        <w:rPr>
          <w:rFonts w:ascii="Traditional Arabic" w:hAnsi="Traditional Arabic" w:cs="Traditional Arabic"/>
          <w:bCs/>
          <w:color w:val="0D0D0D" w:themeColor="text1" w:themeTint="F2"/>
          <w:sz w:val="28"/>
          <w:szCs w:val="28"/>
          <w:rtl/>
        </w:rPr>
      </w:pPr>
      <w:bookmarkStart w:id="6" w:name="_Toc215399830"/>
      <w:r w:rsidRPr="00B87BE1">
        <w:rPr>
          <w:rFonts w:ascii="Traditional Arabic" w:hAnsi="Traditional Arabic" w:cs="Traditional Arabic"/>
          <w:bCs/>
          <w:color w:val="0D0D0D" w:themeColor="text1" w:themeTint="F2"/>
          <w:sz w:val="28"/>
          <w:szCs w:val="28"/>
          <w:rtl/>
        </w:rPr>
        <w:lastRenderedPageBreak/>
        <w:t>أهمية الدراسة</w:t>
      </w:r>
      <w:bookmarkEnd w:id="6"/>
      <w:r w:rsidRPr="00B87BE1">
        <w:rPr>
          <w:rFonts w:ascii="Traditional Arabic" w:hAnsi="Traditional Arabic" w:cs="Traditional Arabic"/>
          <w:bCs/>
          <w:color w:val="0D0D0D" w:themeColor="text1" w:themeTint="F2"/>
          <w:sz w:val="28"/>
          <w:szCs w:val="28"/>
          <w:rtl/>
        </w:rPr>
        <w:t xml:space="preserve"> </w:t>
      </w:r>
    </w:p>
    <w:p w14:paraId="7AFE833B" w14:textId="77777777" w:rsidR="004674F5" w:rsidRPr="00B87BE1" w:rsidRDefault="004674F5" w:rsidP="007F52A4">
      <w:pPr>
        <w:pStyle w:val="Heading2"/>
        <w:bidi/>
        <w:spacing w:before="0" w:after="240" w:line="360" w:lineRule="auto"/>
        <w:rPr>
          <w:rFonts w:ascii="Traditional Arabic" w:hAnsi="Traditional Arabic" w:cs="Traditional Arabic"/>
          <w:bCs/>
          <w:color w:val="0D0D0D" w:themeColor="text1" w:themeTint="F2"/>
          <w:sz w:val="24"/>
          <w:szCs w:val="24"/>
          <w:rtl/>
        </w:rPr>
      </w:pPr>
      <w:bookmarkStart w:id="7" w:name="_Toc215399831"/>
      <w:r w:rsidRPr="00B87BE1">
        <w:rPr>
          <w:rFonts w:ascii="Traditional Arabic" w:hAnsi="Traditional Arabic" w:cs="Traditional Arabic"/>
          <w:bCs/>
          <w:color w:val="0D0D0D" w:themeColor="text1" w:themeTint="F2"/>
          <w:sz w:val="24"/>
          <w:szCs w:val="24"/>
          <w:rtl/>
        </w:rPr>
        <w:t>أولاً: الأهمية النظرية</w:t>
      </w:r>
      <w:bookmarkEnd w:id="7"/>
    </w:p>
    <w:p w14:paraId="78926963" w14:textId="77777777" w:rsidR="002C4BEE" w:rsidRPr="00B87BE1" w:rsidRDefault="002C4BEE" w:rsidP="002C4BEE">
      <w:pPr>
        <w:bidi/>
        <w:spacing w:after="240" w:line="360" w:lineRule="auto"/>
        <w:jc w:val="both"/>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تتجلى الأهمية النظرية لهذه الدراسة في الإسهامات التالية:</w:t>
      </w:r>
    </w:p>
    <w:p w14:paraId="23E1F5C6" w14:textId="0D05204C" w:rsidR="002C4BEE" w:rsidRPr="00B87BE1" w:rsidRDefault="002C4BEE" w:rsidP="00B07735">
      <w:pPr>
        <w:pStyle w:val="ListParagraph"/>
        <w:numPr>
          <w:ilvl w:val="0"/>
          <w:numId w:val="6"/>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سد الفجوة المعرفية: تُعدّ هذه الدراسة من الدراسات القليلة التي تختبر الدور الوسيط لجودة القرارات الاستراتيجية في العلاقة بين قبول أنظمة ذكاء الأعمال والابتكار التنظيمي في السياق المصرفي السعودي.</w:t>
      </w:r>
    </w:p>
    <w:p w14:paraId="0E9271E4" w14:textId="4802AE2D" w:rsidR="002C4BEE" w:rsidRPr="00B87BE1" w:rsidRDefault="002C4BEE" w:rsidP="00B07735">
      <w:pPr>
        <w:pStyle w:val="ListParagraph"/>
        <w:numPr>
          <w:ilvl w:val="0"/>
          <w:numId w:val="6"/>
        </w:num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 xml:space="preserve">الإسهام المنهجي: تقدم الدراسة نموذجاً تحليلياً يدمج بين نموذج </w:t>
      </w:r>
      <w:r w:rsidRPr="00B87BE1">
        <w:rPr>
          <w:rFonts w:ascii="Traditional Arabic" w:hAnsi="Traditional Arabic" w:cs="Traditional Arabic"/>
          <w:b/>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xml:space="preserve"> وجودة القرارات والابتكار التنظيمي، مع التحقق من صلاحية القياس في البيئة السعودية.</w:t>
      </w:r>
    </w:p>
    <w:p w14:paraId="10FD76E2" w14:textId="6140D0AD" w:rsidR="004674F5" w:rsidRPr="00B87BE1" w:rsidRDefault="004674F5" w:rsidP="002C4BEE">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 فعلى الرغم من تزايد الاهتمام بكل متغير على حدة، إلا أن الدراسات التي تتناول الدور الوسيط لجودة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في العلاقة بين ذكاء الأعمال وال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لا تزال محدودة، خاصة في البيئة العربية والسعودية على وجه الخصوص. لذا، فإن هذه الدراسة ستسهم في سد هذه الفجوة المعرفية من خلال:</w:t>
      </w:r>
    </w:p>
    <w:p w14:paraId="66C666BC" w14:textId="2FCE1BB7" w:rsidR="004674F5" w:rsidRPr="00B87BE1" w:rsidRDefault="004674F5" w:rsidP="00B07735">
      <w:pPr>
        <w:pStyle w:val="ListParagraph"/>
        <w:numPr>
          <w:ilvl w:val="0"/>
          <w:numId w:val="1"/>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 xml:space="preserve">تقديم رؤى معمقة حول كيفية تأثير </w:t>
      </w:r>
      <w:r w:rsidR="002F501A" w:rsidRPr="00B87BE1">
        <w:rPr>
          <w:rFonts w:ascii="Traditional Arabic" w:hAnsi="Traditional Arabic" w:cs="Traditional Arabic"/>
          <w:b/>
          <w:color w:val="0D0D0D" w:themeColor="text1" w:themeTint="F2"/>
          <w:sz w:val="24"/>
          <w:szCs w:val="24"/>
          <w:rtl/>
        </w:rPr>
        <w:t xml:space="preserve">قبول المديرين واستخدامهم الفعلي لأنظمة ذكاء الأعمال وفق نموذج </w:t>
      </w:r>
      <w:r w:rsidR="002F501A" w:rsidRPr="00B87BE1">
        <w:rPr>
          <w:rFonts w:ascii="Traditional Arabic" w:hAnsi="Traditional Arabic" w:cs="Traditional Arabic"/>
          <w:bCs/>
          <w:color w:val="0D0D0D" w:themeColor="text1" w:themeTint="F2"/>
          <w:sz w:val="24"/>
          <w:szCs w:val="24"/>
        </w:rPr>
        <w:t>TAM</w:t>
      </w:r>
      <w:r w:rsidR="002F501A"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tl/>
        </w:rPr>
        <w:t>على جودة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وال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w:t>
      </w:r>
      <w:r w:rsidR="002F501A" w:rsidRPr="00B87BE1">
        <w:rPr>
          <w:rFonts w:ascii="Traditional Arabic" w:hAnsi="Traditional Arabic" w:cs="Traditional Arabic"/>
          <w:b/>
          <w:color w:val="0D0D0D" w:themeColor="text1" w:themeTint="F2"/>
          <w:sz w:val="24"/>
          <w:szCs w:val="24"/>
          <w:rtl/>
        </w:rPr>
        <w:t>التنظيمي، لبيان</w:t>
      </w:r>
      <w:r w:rsidR="004F045D" w:rsidRPr="00B87BE1">
        <w:rPr>
          <w:rFonts w:ascii="Traditional Arabic" w:hAnsi="Traditional Arabic" w:cs="Traditional Arabic"/>
          <w:b/>
          <w:color w:val="0D0D0D" w:themeColor="text1" w:themeTint="F2"/>
          <w:sz w:val="24"/>
          <w:szCs w:val="24"/>
          <w:rtl/>
        </w:rPr>
        <w:t xml:space="preserve"> الدور </w:t>
      </w:r>
      <w:r w:rsidR="002F501A" w:rsidRPr="00B87BE1">
        <w:rPr>
          <w:rFonts w:ascii="Traditional Arabic" w:hAnsi="Traditional Arabic" w:cs="Traditional Arabic"/>
          <w:b/>
          <w:color w:val="0D0D0D" w:themeColor="text1" w:themeTint="F2"/>
          <w:sz w:val="24"/>
          <w:szCs w:val="24"/>
          <w:rtl/>
        </w:rPr>
        <w:t>البارز لذكاء</w:t>
      </w:r>
      <w:r w:rsidR="004F045D" w:rsidRPr="00B87BE1">
        <w:rPr>
          <w:rFonts w:ascii="Traditional Arabic" w:hAnsi="Traditional Arabic" w:cs="Traditional Arabic"/>
          <w:b/>
          <w:color w:val="0D0D0D" w:themeColor="text1" w:themeTint="F2"/>
          <w:sz w:val="24"/>
          <w:szCs w:val="24"/>
          <w:rtl/>
        </w:rPr>
        <w:t xml:space="preserve"> الاعمال في كونه متغيراً </w:t>
      </w:r>
      <w:r w:rsidR="002F501A" w:rsidRPr="00B87BE1">
        <w:rPr>
          <w:rFonts w:ascii="Traditional Arabic" w:hAnsi="Traditional Arabic" w:cs="Traditional Arabic"/>
          <w:b/>
          <w:color w:val="0D0D0D" w:themeColor="text1" w:themeTint="F2"/>
          <w:sz w:val="24"/>
          <w:szCs w:val="24"/>
          <w:rtl/>
        </w:rPr>
        <w:t>مستقلاً يدعم</w:t>
      </w:r>
      <w:r w:rsidR="004F045D" w:rsidRPr="00B87BE1">
        <w:rPr>
          <w:rFonts w:ascii="Traditional Arabic" w:hAnsi="Traditional Arabic" w:cs="Traditional Arabic"/>
          <w:b/>
          <w:color w:val="0D0D0D" w:themeColor="text1" w:themeTint="F2"/>
          <w:sz w:val="24"/>
          <w:szCs w:val="24"/>
          <w:rtl/>
        </w:rPr>
        <w:t xml:space="preserve"> ا</w:t>
      </w:r>
      <w:r w:rsidRPr="00B87BE1">
        <w:rPr>
          <w:rFonts w:ascii="Traditional Arabic" w:hAnsi="Traditional Arabic" w:cs="Traditional Arabic"/>
          <w:b/>
          <w:color w:val="0D0D0D" w:themeColor="text1" w:themeTint="F2"/>
          <w:sz w:val="24"/>
          <w:szCs w:val="24"/>
          <w:rtl/>
        </w:rPr>
        <w:t>لتوجهات الريادية للمؤسسات</w:t>
      </w:r>
      <w:r w:rsidR="004F045D" w:rsidRPr="00B87BE1">
        <w:rPr>
          <w:rFonts w:ascii="Traditional Arabic" w:hAnsi="Traditional Arabic" w:cs="Traditional Arabic"/>
          <w:b/>
          <w:color w:val="0D0D0D" w:themeColor="text1" w:themeTint="F2"/>
          <w:sz w:val="24"/>
          <w:szCs w:val="24"/>
          <w:rtl/>
        </w:rPr>
        <w:t xml:space="preserve"> في جوانب متعددة</w:t>
      </w:r>
      <w:r w:rsidRPr="00B87BE1">
        <w:rPr>
          <w:rFonts w:ascii="Traditional Arabic" w:hAnsi="Traditional Arabic" w:cs="Traditional Arabic"/>
          <w:b/>
          <w:color w:val="0D0D0D" w:themeColor="text1" w:themeTint="F2"/>
          <w:sz w:val="24"/>
          <w:szCs w:val="24"/>
          <w:rtl/>
        </w:rPr>
        <w:t xml:space="preserve">، </w:t>
      </w:r>
      <w:r w:rsidR="004B3A3B" w:rsidRPr="00B87BE1">
        <w:rPr>
          <w:rFonts w:ascii="Traditional Arabic" w:hAnsi="Traditional Arabic" w:cs="Traditional Arabic"/>
          <w:b/>
          <w:color w:val="0D0D0D" w:themeColor="text1" w:themeTint="F2"/>
          <w:sz w:val="24"/>
          <w:szCs w:val="24"/>
          <w:rtl/>
        </w:rPr>
        <w:t>ف</w:t>
      </w:r>
      <w:r w:rsidR="002F501A" w:rsidRPr="00B87BE1">
        <w:rPr>
          <w:rFonts w:ascii="Traditional Arabic" w:hAnsi="Traditional Arabic" w:cs="Traditional Arabic"/>
          <w:b/>
          <w:color w:val="0D0D0D" w:themeColor="text1" w:themeTint="F2"/>
          <w:sz w:val="24"/>
          <w:szCs w:val="24"/>
          <w:rtl/>
        </w:rPr>
        <w:t xml:space="preserve">قبول أنظمة </w:t>
      </w:r>
      <w:r w:rsidR="004B3A3B" w:rsidRPr="00B87BE1">
        <w:rPr>
          <w:rFonts w:ascii="Traditional Arabic" w:hAnsi="Traditional Arabic" w:cs="Traditional Arabic"/>
          <w:b/>
          <w:color w:val="0D0D0D" w:themeColor="text1" w:themeTint="F2"/>
          <w:sz w:val="24"/>
          <w:szCs w:val="24"/>
          <w:rtl/>
        </w:rPr>
        <w:t>ذكاء الاعمال</w:t>
      </w:r>
      <w:r w:rsidR="002F501A" w:rsidRPr="00B87BE1">
        <w:rPr>
          <w:rFonts w:ascii="Traditional Arabic" w:hAnsi="Traditional Arabic" w:cs="Traditional Arabic"/>
          <w:b/>
          <w:color w:val="0D0D0D" w:themeColor="text1" w:themeTint="F2"/>
          <w:sz w:val="24"/>
          <w:szCs w:val="24"/>
          <w:rtl/>
        </w:rPr>
        <w:t xml:space="preserve"> وفق نموذج </w:t>
      </w:r>
      <w:r w:rsidR="002F501A" w:rsidRPr="00B87BE1">
        <w:rPr>
          <w:rFonts w:ascii="Traditional Arabic" w:hAnsi="Traditional Arabic" w:cs="Traditional Arabic"/>
          <w:bCs/>
          <w:color w:val="0D0D0D" w:themeColor="text1" w:themeTint="F2"/>
          <w:sz w:val="24"/>
          <w:szCs w:val="24"/>
        </w:rPr>
        <w:t>TAM</w:t>
      </w:r>
      <w:r w:rsidR="004B3A3B" w:rsidRPr="00B87BE1">
        <w:rPr>
          <w:rFonts w:ascii="Traditional Arabic" w:hAnsi="Traditional Arabic" w:cs="Traditional Arabic"/>
          <w:b/>
          <w:color w:val="0D0D0D" w:themeColor="text1" w:themeTint="F2"/>
          <w:sz w:val="24"/>
          <w:szCs w:val="24"/>
          <w:rtl/>
        </w:rPr>
        <w:t xml:space="preserve"> يساعد المؤسسات </w:t>
      </w:r>
      <w:r w:rsidR="00B227E6" w:rsidRPr="00B87BE1">
        <w:rPr>
          <w:rFonts w:ascii="Traditional Arabic" w:hAnsi="Traditional Arabic" w:cs="Traditional Arabic"/>
          <w:b/>
          <w:color w:val="0D0D0D" w:themeColor="text1" w:themeTint="F2"/>
          <w:sz w:val="24"/>
          <w:szCs w:val="24"/>
          <w:rtl/>
        </w:rPr>
        <w:t>ع</w:t>
      </w:r>
      <w:r w:rsidR="004B3A3B" w:rsidRPr="00B87BE1">
        <w:rPr>
          <w:rFonts w:ascii="Traditional Arabic" w:hAnsi="Traditional Arabic" w:cs="Traditional Arabic"/>
          <w:b/>
          <w:color w:val="0D0D0D" w:themeColor="text1" w:themeTint="F2"/>
          <w:sz w:val="24"/>
          <w:szCs w:val="24"/>
          <w:rtl/>
        </w:rPr>
        <w:t xml:space="preserve">لى </w:t>
      </w:r>
      <w:r w:rsidR="002F501A" w:rsidRPr="00B87BE1">
        <w:rPr>
          <w:rFonts w:ascii="Traditional Arabic" w:hAnsi="Traditional Arabic" w:cs="Traditional Arabic"/>
          <w:b/>
          <w:color w:val="0D0D0D" w:themeColor="text1" w:themeTint="F2"/>
          <w:sz w:val="24"/>
          <w:szCs w:val="24"/>
          <w:rtl/>
        </w:rPr>
        <w:t>التنبؤ بالاتجاهات</w:t>
      </w:r>
      <w:r w:rsidR="00B227E6" w:rsidRPr="00B87BE1">
        <w:rPr>
          <w:rFonts w:ascii="Traditional Arabic" w:hAnsi="Traditional Arabic" w:cs="Traditional Arabic"/>
          <w:b/>
          <w:color w:val="0D0D0D" w:themeColor="text1" w:themeTint="F2"/>
          <w:sz w:val="24"/>
          <w:szCs w:val="24"/>
          <w:rtl/>
        </w:rPr>
        <w:t xml:space="preserve"> المستقبلية التي تمهد الطريق ل</w:t>
      </w:r>
      <w:r w:rsidR="00FB719F" w:rsidRPr="00B87BE1">
        <w:rPr>
          <w:rFonts w:ascii="Traditional Arabic" w:hAnsi="Traditional Arabic" w:cs="Traditional Arabic"/>
          <w:b/>
          <w:color w:val="0D0D0D" w:themeColor="text1" w:themeTint="F2"/>
          <w:sz w:val="24"/>
          <w:szCs w:val="24"/>
          <w:rtl/>
        </w:rPr>
        <w:t>ل</w:t>
      </w:r>
      <w:r w:rsidR="00B227E6" w:rsidRPr="00B87BE1">
        <w:rPr>
          <w:rFonts w:ascii="Traditional Arabic" w:hAnsi="Traditional Arabic" w:cs="Traditional Arabic"/>
          <w:b/>
          <w:color w:val="0D0D0D" w:themeColor="text1" w:themeTint="F2"/>
          <w:sz w:val="24"/>
          <w:szCs w:val="24"/>
          <w:rtl/>
        </w:rPr>
        <w:t>منافسة</w:t>
      </w:r>
      <w:r w:rsidR="00FB719F" w:rsidRPr="00B87BE1">
        <w:rPr>
          <w:rFonts w:ascii="Traditional Arabic" w:hAnsi="Traditional Arabic" w:cs="Traditional Arabic"/>
          <w:b/>
          <w:color w:val="0D0D0D" w:themeColor="text1" w:themeTint="F2"/>
          <w:sz w:val="24"/>
          <w:szCs w:val="24"/>
          <w:rtl/>
        </w:rPr>
        <w:t xml:space="preserve"> بين </w:t>
      </w:r>
      <w:r w:rsidR="00B227E6" w:rsidRPr="00B87BE1">
        <w:rPr>
          <w:rFonts w:ascii="Traditional Arabic" w:hAnsi="Traditional Arabic" w:cs="Traditional Arabic"/>
          <w:b/>
          <w:color w:val="0D0D0D" w:themeColor="text1" w:themeTint="F2"/>
          <w:sz w:val="24"/>
          <w:szCs w:val="24"/>
          <w:rtl/>
        </w:rPr>
        <w:t xml:space="preserve">المؤسسات </w:t>
      </w:r>
      <w:r w:rsidR="00FB719F" w:rsidRPr="00B87BE1">
        <w:rPr>
          <w:rFonts w:ascii="Traditional Arabic" w:hAnsi="Traditional Arabic" w:cs="Traditional Arabic"/>
          <w:b/>
          <w:color w:val="0D0D0D" w:themeColor="text1" w:themeTint="F2"/>
          <w:sz w:val="24"/>
          <w:szCs w:val="24"/>
          <w:rtl/>
        </w:rPr>
        <w:t xml:space="preserve">قي </w:t>
      </w:r>
      <w:r w:rsidR="00B227E6" w:rsidRPr="00B87BE1">
        <w:rPr>
          <w:rFonts w:ascii="Traditional Arabic" w:hAnsi="Traditional Arabic" w:cs="Traditional Arabic"/>
          <w:b/>
          <w:color w:val="0D0D0D" w:themeColor="text1" w:themeTint="F2"/>
          <w:sz w:val="24"/>
          <w:szCs w:val="24"/>
          <w:rtl/>
        </w:rPr>
        <w:t>بيئة ديناميكية متغيرة على الدوام</w:t>
      </w:r>
      <w:r w:rsidR="002C01BD" w:rsidRPr="00B87BE1">
        <w:rPr>
          <w:rFonts w:ascii="Traditional Arabic" w:hAnsi="Traditional Arabic" w:cs="Traditional Arabic"/>
          <w:bCs/>
          <w:color w:val="0D0D0D" w:themeColor="text1" w:themeTint="F2"/>
          <w:sz w:val="24"/>
          <w:szCs w:val="24"/>
          <w:rtl/>
        </w:rPr>
        <w:t xml:space="preserve"> </w:t>
      </w:r>
      <w:r w:rsidR="00FB719F" w:rsidRPr="00B87BE1">
        <w:rPr>
          <w:rFonts w:ascii="Traditional Arabic" w:hAnsi="Traditional Arabic" w:cs="Traditional Arabic"/>
          <w:bCs/>
          <w:color w:val="0D0D0D" w:themeColor="text1" w:themeTint="F2"/>
          <w:sz w:val="24"/>
          <w:szCs w:val="24"/>
          <w:rtl/>
        </w:rPr>
        <w:t>(</w:t>
      </w:r>
      <w:r w:rsidR="00FB719F" w:rsidRPr="00B87BE1">
        <w:rPr>
          <w:rFonts w:ascii="Traditional Arabic" w:hAnsi="Traditional Arabic" w:cs="Traditional Arabic"/>
          <w:bCs/>
          <w:color w:val="0D0D0D" w:themeColor="text1" w:themeTint="F2"/>
          <w:sz w:val="24"/>
          <w:szCs w:val="24"/>
        </w:rPr>
        <w:t>Purity et al., 2017</w:t>
      </w:r>
      <w:r w:rsidR="00FB719F" w:rsidRPr="00B87BE1">
        <w:rPr>
          <w:rFonts w:ascii="Traditional Arabic" w:hAnsi="Traditional Arabic" w:cs="Traditional Arabic"/>
          <w:bCs/>
          <w:color w:val="0D0D0D" w:themeColor="text1" w:themeTint="F2"/>
          <w:sz w:val="24"/>
          <w:szCs w:val="24"/>
          <w:rtl/>
        </w:rPr>
        <w:t>).</w:t>
      </w:r>
    </w:p>
    <w:p w14:paraId="646021B2" w14:textId="485439D1" w:rsidR="004674F5" w:rsidRPr="00B87BE1" w:rsidRDefault="004674F5" w:rsidP="00B07735">
      <w:pPr>
        <w:pStyle w:val="ListParagraph"/>
        <w:numPr>
          <w:ilvl w:val="0"/>
          <w:numId w:val="1"/>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بلورة فهم أعمق لمفهوم جودة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ليس فقط كناتج لعملية اتخاذ القرار، بل كمتغير وسيط حيوي يحدد مدى فعالية العلاقة بين المدخلات والمخرجات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وهذا يفتح آفاقاً جديدة للنقاش النظري حول ديناميكيات اتخاذ القرار في البيئات المعقدة.</w:t>
      </w:r>
    </w:p>
    <w:p w14:paraId="41081191" w14:textId="3F809E42" w:rsidR="004674F5" w:rsidRPr="00B87BE1" w:rsidRDefault="004674F5" w:rsidP="00B07735">
      <w:pPr>
        <w:pStyle w:val="ListParagraph"/>
        <w:numPr>
          <w:ilvl w:val="0"/>
          <w:numId w:val="1"/>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 xml:space="preserve">تسعى الدراسة إلى بناء نموذج تحليلي يربط بين المتغيرات الثلاثة، مما يوفر إطاراً نظرياً يمكن للباحثين الآخرين استخدامه لاختبار العلاقات المماثلة في قطاعات وصناعات أخرى، أو لتطوير نماذج أكثر تعقيداً تتضمن متغيرات إضافية. هذا النموذج سيكون بمثابة </w:t>
      </w:r>
      <w:r w:rsidR="00B76F1A" w:rsidRPr="00B87BE1">
        <w:rPr>
          <w:rFonts w:ascii="Traditional Arabic" w:hAnsi="Traditional Arabic" w:cs="Traditional Arabic"/>
          <w:b/>
          <w:color w:val="0D0D0D" w:themeColor="text1" w:themeTint="F2"/>
          <w:sz w:val="24"/>
          <w:szCs w:val="24"/>
          <w:rtl/>
        </w:rPr>
        <w:t>إضافة للنماذج الأخرى في هذا السياق التي تساعد</w:t>
      </w:r>
      <w:r w:rsidR="003E23A8" w:rsidRPr="00B87BE1">
        <w:rPr>
          <w:rFonts w:ascii="Traditional Arabic" w:hAnsi="Traditional Arabic" w:cs="Traditional Arabic"/>
          <w:b/>
          <w:color w:val="0D0D0D" w:themeColor="text1" w:themeTint="F2"/>
          <w:sz w:val="24"/>
          <w:szCs w:val="24"/>
          <w:rtl/>
        </w:rPr>
        <w:t xml:space="preserve"> </w:t>
      </w:r>
      <w:r w:rsidR="002F501A" w:rsidRPr="00B87BE1">
        <w:rPr>
          <w:rFonts w:ascii="Traditional Arabic" w:hAnsi="Traditional Arabic" w:cs="Traditional Arabic"/>
          <w:b/>
          <w:color w:val="0D0D0D" w:themeColor="text1" w:themeTint="F2"/>
          <w:sz w:val="24"/>
          <w:szCs w:val="24"/>
          <w:rtl/>
        </w:rPr>
        <w:t>على انطلاقة</w:t>
      </w:r>
      <w:r w:rsidRPr="00B87BE1">
        <w:rPr>
          <w:rFonts w:ascii="Traditional Arabic" w:hAnsi="Traditional Arabic" w:cs="Traditional Arabic"/>
          <w:b/>
          <w:color w:val="0D0D0D" w:themeColor="text1" w:themeTint="F2"/>
          <w:sz w:val="24"/>
          <w:szCs w:val="24"/>
          <w:rtl/>
        </w:rPr>
        <w:t xml:space="preserve"> لأبحاث </w:t>
      </w:r>
      <w:r w:rsidR="002F501A" w:rsidRPr="00B87BE1">
        <w:rPr>
          <w:rFonts w:ascii="Traditional Arabic" w:hAnsi="Traditional Arabic" w:cs="Traditional Arabic"/>
          <w:b/>
          <w:color w:val="0D0D0D" w:themeColor="text1" w:themeTint="F2"/>
          <w:sz w:val="24"/>
          <w:szCs w:val="24"/>
          <w:rtl/>
        </w:rPr>
        <w:t>مستقبلية كنموذج</w:t>
      </w:r>
      <w:r w:rsidR="008F309B" w:rsidRPr="00B87BE1">
        <w:rPr>
          <w:rFonts w:ascii="Traditional Arabic" w:hAnsi="Traditional Arabic" w:cs="Traditional Arabic"/>
          <w:b/>
          <w:color w:val="0D0D0D" w:themeColor="text1" w:themeTint="F2"/>
          <w:sz w:val="24"/>
          <w:szCs w:val="24"/>
          <w:rtl/>
        </w:rPr>
        <w:t xml:space="preserve"> </w:t>
      </w:r>
      <w:r w:rsidR="003E23A8" w:rsidRPr="00B87BE1">
        <w:rPr>
          <w:rFonts w:ascii="Traditional Arabic" w:hAnsi="Traditional Arabic" w:cs="Traditional Arabic"/>
          <w:b/>
          <w:color w:val="0D0D0D" w:themeColor="text1" w:themeTint="F2"/>
          <w:sz w:val="24"/>
          <w:szCs w:val="24"/>
          <w:rtl/>
        </w:rPr>
        <w:t>(إ</w:t>
      </w:r>
      <w:r w:rsidR="00B76F1A" w:rsidRPr="00B87BE1">
        <w:rPr>
          <w:rFonts w:ascii="Traditional Arabic" w:hAnsi="Traditional Arabic" w:cs="Traditional Arabic"/>
          <w:b/>
          <w:color w:val="0D0D0D" w:themeColor="text1" w:themeTint="F2"/>
          <w:sz w:val="24"/>
          <w:szCs w:val="24"/>
          <w:rtl/>
        </w:rPr>
        <w:t>براهيم وعبده</w:t>
      </w:r>
      <w:r w:rsidR="003E23A8" w:rsidRPr="00B87BE1">
        <w:rPr>
          <w:rFonts w:ascii="Traditional Arabic" w:hAnsi="Traditional Arabic" w:cs="Traditional Arabic"/>
          <w:b/>
          <w:color w:val="0D0D0D" w:themeColor="text1" w:themeTint="F2"/>
          <w:sz w:val="24"/>
          <w:szCs w:val="24"/>
          <w:rtl/>
        </w:rPr>
        <w:t xml:space="preserve">، </w:t>
      </w:r>
      <w:r w:rsidR="008F309B" w:rsidRPr="00B87BE1">
        <w:rPr>
          <w:rFonts w:ascii="Traditional Arabic" w:hAnsi="Traditional Arabic" w:cs="Traditional Arabic"/>
          <w:b/>
          <w:color w:val="0D0D0D" w:themeColor="text1" w:themeTint="F2"/>
          <w:sz w:val="24"/>
          <w:szCs w:val="24"/>
          <w:rtl/>
        </w:rPr>
        <w:t>2023</w:t>
      </w:r>
      <w:r w:rsidR="00B76F1A" w:rsidRPr="00B87BE1">
        <w:rPr>
          <w:rFonts w:ascii="Traditional Arabic" w:hAnsi="Traditional Arabic" w:cs="Traditional Arabic"/>
          <w:b/>
          <w:color w:val="0D0D0D" w:themeColor="text1" w:themeTint="F2"/>
          <w:sz w:val="24"/>
          <w:szCs w:val="24"/>
          <w:rtl/>
        </w:rPr>
        <w:t>)</w:t>
      </w:r>
      <w:r w:rsidR="003E23A8" w:rsidRPr="00B87BE1">
        <w:rPr>
          <w:rFonts w:ascii="Traditional Arabic" w:hAnsi="Traditional Arabic" w:cs="Traditional Arabic"/>
          <w:b/>
          <w:color w:val="0D0D0D" w:themeColor="text1" w:themeTint="F2"/>
          <w:sz w:val="24"/>
          <w:szCs w:val="24"/>
          <w:rtl/>
        </w:rPr>
        <w:t>.</w:t>
      </w:r>
    </w:p>
    <w:p w14:paraId="70BABB74" w14:textId="6B29AF59" w:rsidR="002F501A" w:rsidRPr="00B87BE1" w:rsidRDefault="002F501A" w:rsidP="00B07735">
      <w:pPr>
        <w:pStyle w:val="ListParagraph"/>
        <w:numPr>
          <w:ilvl w:val="0"/>
          <w:numId w:val="1"/>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تساهم الدراسة في إثراء الأدبيات من خلال دمج نموذج قبول التكنولوجيا (</w:t>
      </w:r>
      <w:r w:rsidRPr="00B87BE1">
        <w:rPr>
          <w:rFonts w:ascii="Traditional Arabic" w:hAnsi="Traditional Arabic" w:cs="Traditional Arabic"/>
          <w:bCs/>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مع جودة القرارات والابتكار. حيث تقدم الدراسة نموذجاً مفاهيمياً جديداً يختبر الوساطة التسلسلية بين ذكاء الأعمال وقبول المستخدمين له (</w:t>
      </w:r>
      <w:r w:rsidRPr="00B87BE1">
        <w:rPr>
          <w:rFonts w:ascii="Traditional Arabic" w:hAnsi="Traditional Arabic" w:cs="Traditional Arabic"/>
          <w:bCs/>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xml:space="preserve">)، وكيف يؤدي هذا القبول إلى </w:t>
      </w:r>
      <w:r w:rsidRPr="00B87BE1">
        <w:rPr>
          <w:rFonts w:ascii="Traditional Arabic" w:hAnsi="Traditional Arabic" w:cs="Traditional Arabic"/>
          <w:b/>
          <w:color w:val="0D0D0D" w:themeColor="text1" w:themeTint="F2"/>
          <w:sz w:val="24"/>
          <w:szCs w:val="24"/>
          <w:rtl/>
        </w:rPr>
        <w:lastRenderedPageBreak/>
        <w:t>تحسين جودة القرارات الاستراتيجية، ومن ثم تعزيز الابتكار التنظيمي. هذا الدمج يمثل إضافة نوعية لفهم الآليات السلوكية التي تحول الاستثمار في تكنولوجيا ذكاء الأعمال إلى نتائج تنظيمية ملموسة.</w:t>
      </w:r>
    </w:p>
    <w:p w14:paraId="1C2F9B7A" w14:textId="2C574BA3" w:rsidR="004674F5" w:rsidRPr="00B87BE1" w:rsidRDefault="004674F5" w:rsidP="00B07735">
      <w:pPr>
        <w:pStyle w:val="ListParagraph"/>
        <w:numPr>
          <w:ilvl w:val="0"/>
          <w:numId w:val="1"/>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نظراً لندرة الدراسات العربية التي تتناول هذا الموضوع بهذه الشمولية، فإن هذه الدراسة ستكون إضافة قيمة للمكتبة العربية، ومرجعاً للباحثين والطلاب المهتمين بمجالات ذكاء الأعمال</w:t>
      </w:r>
      <w:r w:rsidR="002F501A" w:rsidRPr="00B87BE1">
        <w:rPr>
          <w:rFonts w:ascii="Traditional Arabic" w:hAnsi="Traditional Arabic" w:cs="Traditional Arabic"/>
          <w:b/>
          <w:color w:val="0D0D0D" w:themeColor="text1" w:themeTint="F2"/>
          <w:sz w:val="24"/>
          <w:szCs w:val="24"/>
          <w:rtl/>
        </w:rPr>
        <w:t xml:space="preserve"> وفق نموذج </w:t>
      </w:r>
      <w:r w:rsidR="002F501A" w:rsidRPr="00B87BE1">
        <w:rPr>
          <w:rFonts w:ascii="Traditional Arabic" w:hAnsi="Traditional Arabic" w:cs="Traditional Arabic"/>
          <w:bCs/>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الإدارة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وال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في </w:t>
      </w:r>
      <w:r w:rsidR="0033043F" w:rsidRPr="00B87BE1">
        <w:rPr>
          <w:rFonts w:ascii="Traditional Arabic" w:hAnsi="Traditional Arabic" w:cs="Traditional Arabic"/>
          <w:b/>
          <w:color w:val="0D0D0D" w:themeColor="text1" w:themeTint="F2"/>
          <w:sz w:val="24"/>
          <w:szCs w:val="24"/>
          <w:rtl/>
        </w:rPr>
        <w:t>المصارف العاملة بمدينة الرياض</w:t>
      </w:r>
      <w:r w:rsidRPr="00B87BE1">
        <w:rPr>
          <w:rFonts w:ascii="Traditional Arabic" w:hAnsi="Traditional Arabic" w:cs="Traditional Arabic"/>
          <w:b/>
          <w:color w:val="0D0D0D" w:themeColor="text1" w:themeTint="F2"/>
          <w:sz w:val="24"/>
          <w:szCs w:val="24"/>
          <w:rtl/>
        </w:rPr>
        <w:t xml:space="preserve"> والمنطقة ككل</w:t>
      </w:r>
      <w:r w:rsidR="00495D7D" w:rsidRPr="00B87BE1">
        <w:rPr>
          <w:rFonts w:ascii="Traditional Arabic" w:hAnsi="Traditional Arabic" w:cs="Traditional Arabic"/>
          <w:b/>
          <w:color w:val="0D0D0D" w:themeColor="text1" w:themeTint="F2"/>
          <w:sz w:val="24"/>
          <w:szCs w:val="24"/>
          <w:rtl/>
        </w:rPr>
        <w:t>.</w:t>
      </w:r>
    </w:p>
    <w:p w14:paraId="54CEDC43" w14:textId="2E6D2F2E" w:rsidR="002F501A" w:rsidRPr="00B87BE1" w:rsidRDefault="002F501A" w:rsidP="00B07735">
      <w:pPr>
        <w:pStyle w:val="ListParagraph"/>
        <w:numPr>
          <w:ilvl w:val="0"/>
          <w:numId w:val="1"/>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تساهم الدراسة في سد الفجوة المعرفية عبر تطبيق نظرية قائمة ومحددة (</w:t>
      </w:r>
      <w:r w:rsidRPr="00B87BE1">
        <w:rPr>
          <w:rFonts w:ascii="Traditional Arabic" w:hAnsi="Traditional Arabic" w:cs="Traditional Arabic"/>
          <w:bCs/>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لتفسير وتحديد متغير ذكاء الأعمال، والذي يُصنَّف كمتغير إداري متعدد التخصصات ومتكامل وصعب القياس نظراً لكثرة أبعاده..</w:t>
      </w:r>
    </w:p>
    <w:p w14:paraId="137368A3" w14:textId="1F6855EE" w:rsidR="0099335F" w:rsidRPr="00B87BE1" w:rsidRDefault="0099335F" w:rsidP="00B07735">
      <w:pPr>
        <w:pStyle w:val="ListParagraph"/>
        <w:numPr>
          <w:ilvl w:val="0"/>
          <w:numId w:val="1"/>
        </w:num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قدم الدراسة رؤى معمقة حول كيفية تأثير ذكاء الأعمال، من خلال قياس القبول الفردي والتصورات الذاتية لقبول التكنولوجيا لدى المديرين على التوجهات الريادية والتنبؤ بالاتجاهات المستقبلية للمؤسسات</w:t>
      </w:r>
    </w:p>
    <w:p w14:paraId="696C4B9E" w14:textId="77777777" w:rsidR="004674F5" w:rsidRPr="00B87BE1" w:rsidRDefault="004674F5" w:rsidP="007F52A4">
      <w:pPr>
        <w:pStyle w:val="Heading2"/>
        <w:bidi/>
        <w:spacing w:before="0" w:after="240" w:line="360" w:lineRule="auto"/>
        <w:rPr>
          <w:rFonts w:ascii="Traditional Arabic" w:hAnsi="Traditional Arabic" w:cs="Traditional Arabic"/>
          <w:bCs/>
          <w:color w:val="0D0D0D" w:themeColor="text1" w:themeTint="F2"/>
          <w:sz w:val="24"/>
          <w:szCs w:val="24"/>
          <w:rtl/>
        </w:rPr>
      </w:pPr>
      <w:bookmarkStart w:id="8" w:name="_Toc215399832"/>
      <w:r w:rsidRPr="00B87BE1">
        <w:rPr>
          <w:rFonts w:ascii="Traditional Arabic" w:hAnsi="Traditional Arabic" w:cs="Traditional Arabic"/>
          <w:bCs/>
          <w:color w:val="0D0D0D" w:themeColor="text1" w:themeTint="F2"/>
          <w:sz w:val="24"/>
          <w:szCs w:val="24"/>
          <w:rtl/>
        </w:rPr>
        <w:t>ثانياً: الأهمية التطبيقية</w:t>
      </w:r>
      <w:bookmarkEnd w:id="8"/>
    </w:p>
    <w:p w14:paraId="7A9DE45B" w14:textId="7518B604" w:rsidR="004674F5" w:rsidRPr="00B87BE1" w:rsidRDefault="004674F5"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لا تقتصر أهمية هذه الدراسة على الجانب النظري فحسب، بل تمتد لتشمل جوانب تطبيقية وعملية بالغة الأهمية للمؤسسات المصرفية في المملكة العربية السعودية، ولصناع القرار والمهتمين بتطوير القطاع المالي، وفي ظل التحديات الراهنة والمستقبلية التي يواجهها هذا القطاع، تقدم الدراسة رؤى وتوصيات عملية يمكن أن تسهم في تعزيز الأداء التنافسي وال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ي للبنوك. وتتجلى الأهمية التطبيقية للدراسة في النقاط التالية:</w:t>
      </w:r>
    </w:p>
    <w:p w14:paraId="164E6FD9" w14:textId="3A6A3AF7" w:rsidR="004674F5" w:rsidRPr="00B87BE1" w:rsidRDefault="004674F5" w:rsidP="00B07735">
      <w:pPr>
        <w:pStyle w:val="ListParagraph"/>
        <w:numPr>
          <w:ilvl w:val="0"/>
          <w:numId w:val="2"/>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قد توفر الدراسة للبنوك السعودية وخاصة الإدارة العليا ومتخذي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فهماً أعمق لكيفية استغلال</w:t>
      </w:r>
      <w:r w:rsidR="00BB68BB" w:rsidRPr="00B87BE1">
        <w:rPr>
          <w:rFonts w:ascii="Traditional Arabic" w:hAnsi="Traditional Arabic" w:cs="Traditional Arabic"/>
          <w:b/>
          <w:color w:val="0D0D0D" w:themeColor="text1" w:themeTint="F2"/>
          <w:sz w:val="24"/>
          <w:szCs w:val="24"/>
          <w:rtl/>
        </w:rPr>
        <w:t xml:space="preserve"> القبول التكنولوجي في تعزيز </w:t>
      </w:r>
      <w:r w:rsidRPr="00B87BE1">
        <w:rPr>
          <w:rFonts w:ascii="Traditional Arabic" w:hAnsi="Traditional Arabic" w:cs="Traditional Arabic"/>
          <w:b/>
          <w:color w:val="0D0D0D" w:themeColor="text1" w:themeTint="F2"/>
          <w:sz w:val="24"/>
          <w:szCs w:val="24"/>
          <w:rtl/>
        </w:rPr>
        <w:t>إمكانات ذكاء الأعمال لتحسين جودة قراراتهم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ة، وهذا الفهم سيمكنهم من تطوير </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ات أكثر فعالية تعزز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وتضمن استمرارية النمو في بيئة متغيرة.</w:t>
      </w:r>
      <w:r w:rsidR="000E38AE" w:rsidRPr="00B87BE1">
        <w:rPr>
          <w:rFonts w:ascii="Traditional Arabic" w:hAnsi="Traditional Arabic" w:cs="Traditional Arabic"/>
          <w:b/>
          <w:color w:val="0D0D0D" w:themeColor="text1" w:themeTint="F2"/>
          <w:sz w:val="24"/>
          <w:szCs w:val="24"/>
          <w:rtl/>
        </w:rPr>
        <w:t xml:space="preserve"> ومما </w:t>
      </w:r>
      <w:r w:rsidR="00107BDA" w:rsidRPr="00B87BE1">
        <w:rPr>
          <w:rFonts w:ascii="Traditional Arabic" w:hAnsi="Traditional Arabic" w:cs="Traditional Arabic"/>
          <w:b/>
          <w:color w:val="0D0D0D" w:themeColor="text1" w:themeTint="F2"/>
          <w:sz w:val="24"/>
          <w:szCs w:val="24"/>
          <w:rtl/>
        </w:rPr>
        <w:t>يشير إلى</w:t>
      </w:r>
      <w:r w:rsidR="000E38AE" w:rsidRPr="00B87BE1">
        <w:rPr>
          <w:rFonts w:ascii="Traditional Arabic" w:hAnsi="Traditional Arabic" w:cs="Traditional Arabic"/>
          <w:b/>
          <w:color w:val="0D0D0D" w:themeColor="text1" w:themeTint="F2"/>
          <w:sz w:val="24"/>
          <w:szCs w:val="24"/>
          <w:rtl/>
        </w:rPr>
        <w:t xml:space="preserve"> ذلك دراسة</w:t>
      </w:r>
      <w:r w:rsidR="003E23A8" w:rsidRPr="00B87BE1">
        <w:rPr>
          <w:rFonts w:ascii="Traditional Arabic" w:hAnsi="Traditional Arabic" w:cs="Traditional Arabic"/>
          <w:b/>
          <w:color w:val="0D0D0D" w:themeColor="text1" w:themeTint="F2"/>
          <w:sz w:val="24"/>
          <w:szCs w:val="24"/>
          <w:rtl/>
        </w:rPr>
        <w:t xml:space="preserve"> </w:t>
      </w:r>
      <w:r w:rsidR="005D7954" w:rsidRPr="00B87BE1">
        <w:rPr>
          <w:rFonts w:ascii="Traditional Arabic" w:hAnsi="Traditional Arabic" w:cs="Traditional Arabic"/>
          <w:b/>
          <w:color w:val="0D0D0D" w:themeColor="text1" w:themeTint="F2"/>
          <w:sz w:val="24"/>
          <w:szCs w:val="24"/>
          <w:rtl/>
        </w:rPr>
        <w:t>(الدهيمي</w:t>
      </w:r>
      <w:r w:rsidR="003E23A8" w:rsidRPr="00B87BE1">
        <w:rPr>
          <w:rFonts w:ascii="Traditional Arabic" w:hAnsi="Traditional Arabic" w:cs="Traditional Arabic"/>
          <w:b/>
          <w:color w:val="0D0D0D" w:themeColor="text1" w:themeTint="F2"/>
          <w:sz w:val="24"/>
          <w:szCs w:val="24"/>
          <w:rtl/>
        </w:rPr>
        <w:t>،</w:t>
      </w:r>
      <w:r w:rsidR="005D7954" w:rsidRPr="00B87BE1">
        <w:rPr>
          <w:rFonts w:ascii="Traditional Arabic" w:hAnsi="Traditional Arabic" w:cs="Traditional Arabic"/>
          <w:b/>
          <w:color w:val="0D0D0D" w:themeColor="text1" w:themeTint="F2"/>
          <w:sz w:val="24"/>
          <w:szCs w:val="24"/>
          <w:rtl/>
        </w:rPr>
        <w:t xml:space="preserve"> 2021؛  </w:t>
      </w:r>
      <w:r w:rsidR="000E38AE" w:rsidRPr="00B87BE1">
        <w:rPr>
          <w:rFonts w:ascii="Traditional Arabic" w:hAnsi="Traditional Arabic" w:cs="Traditional Arabic"/>
          <w:b/>
          <w:color w:val="0D0D0D" w:themeColor="text1" w:themeTint="F2"/>
          <w:sz w:val="24"/>
          <w:szCs w:val="24"/>
          <w:rtl/>
        </w:rPr>
        <w:t>فريد  وعامر</w:t>
      </w:r>
      <w:r w:rsidR="003E23A8" w:rsidRPr="00B87BE1">
        <w:rPr>
          <w:rFonts w:ascii="Traditional Arabic" w:hAnsi="Traditional Arabic" w:cs="Traditional Arabic"/>
          <w:b/>
          <w:color w:val="0D0D0D" w:themeColor="text1" w:themeTint="F2"/>
          <w:sz w:val="24"/>
          <w:szCs w:val="24"/>
          <w:rtl/>
        </w:rPr>
        <w:t>،</w:t>
      </w:r>
      <w:r w:rsidR="005D7954" w:rsidRPr="00B87BE1">
        <w:rPr>
          <w:rFonts w:ascii="Traditional Arabic" w:hAnsi="Traditional Arabic" w:cs="Traditional Arabic"/>
          <w:b/>
          <w:color w:val="0D0D0D" w:themeColor="text1" w:themeTint="F2"/>
          <w:sz w:val="24"/>
          <w:szCs w:val="24"/>
        </w:rPr>
        <w:t xml:space="preserve"> </w:t>
      </w:r>
      <w:r w:rsidR="000E38AE" w:rsidRPr="00B87BE1">
        <w:rPr>
          <w:rFonts w:ascii="Traditional Arabic" w:hAnsi="Traditional Arabic" w:cs="Traditional Arabic"/>
          <w:b/>
          <w:color w:val="0D0D0D" w:themeColor="text1" w:themeTint="F2"/>
          <w:sz w:val="24"/>
          <w:szCs w:val="24"/>
          <w:rtl/>
        </w:rPr>
        <w:t>2021</w:t>
      </w:r>
      <w:r w:rsidR="00107BDA" w:rsidRPr="00B87BE1">
        <w:rPr>
          <w:rFonts w:ascii="Traditional Arabic" w:hAnsi="Traditional Arabic" w:cs="Traditional Arabic"/>
          <w:b/>
          <w:color w:val="0D0D0D" w:themeColor="text1" w:themeTint="F2"/>
          <w:sz w:val="24"/>
          <w:szCs w:val="24"/>
          <w:rtl/>
        </w:rPr>
        <w:t>)</w:t>
      </w:r>
      <w:r w:rsidR="003E23A8" w:rsidRPr="00B87BE1">
        <w:rPr>
          <w:rFonts w:ascii="Traditional Arabic" w:hAnsi="Traditional Arabic" w:cs="Traditional Arabic"/>
          <w:b/>
          <w:color w:val="0D0D0D" w:themeColor="text1" w:themeTint="F2"/>
          <w:sz w:val="24"/>
          <w:szCs w:val="24"/>
          <w:rtl/>
        </w:rPr>
        <w:t>.</w:t>
      </w:r>
    </w:p>
    <w:p w14:paraId="5A2583D0" w14:textId="7CA94ABF" w:rsidR="004674F5" w:rsidRPr="00B87BE1" w:rsidRDefault="004674F5" w:rsidP="00B07735">
      <w:pPr>
        <w:pStyle w:val="ListParagraph"/>
        <w:numPr>
          <w:ilvl w:val="0"/>
          <w:numId w:val="2"/>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يمكن للبنوك تحديد نقاط القوة والضعف في عمليات اتخاذ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لديها، وبالتالي تطوير آليات وأدوات لتحسين جودة هذه القرارات، مما ينعكس إيجاباً على قدرتها على الاستجابة للتغيرات السوقية وتحديات المنافسة.</w:t>
      </w:r>
      <w:r w:rsidR="00107BDA" w:rsidRPr="00B87BE1">
        <w:rPr>
          <w:rFonts w:ascii="Traditional Arabic" w:hAnsi="Traditional Arabic" w:cs="Traditional Arabic"/>
          <w:b/>
          <w:color w:val="0D0D0D" w:themeColor="text1" w:themeTint="F2"/>
          <w:sz w:val="24"/>
          <w:szCs w:val="24"/>
          <w:rtl/>
        </w:rPr>
        <w:t xml:space="preserve">وهذا ما أشارت إليه </w:t>
      </w:r>
      <w:r w:rsidR="00107BDA" w:rsidRPr="00B87BE1">
        <w:rPr>
          <w:rFonts w:ascii="Traditional Arabic" w:eastAsia="Times New Roman" w:hAnsi="Traditional Arabic" w:cs="Traditional Arabic"/>
          <w:b/>
          <w:color w:val="0D0D0D" w:themeColor="text1" w:themeTint="F2"/>
          <w:sz w:val="24"/>
          <w:szCs w:val="24"/>
          <w:rtl/>
        </w:rPr>
        <w:t xml:space="preserve">دراسة </w:t>
      </w:r>
      <w:r w:rsidR="00700DA7" w:rsidRPr="00B87BE1">
        <w:rPr>
          <w:rFonts w:ascii="Traditional Arabic" w:eastAsia="Times New Roman" w:hAnsi="Traditional Arabic" w:cs="Traditional Arabic"/>
          <w:b/>
          <w:color w:val="0D0D0D" w:themeColor="text1" w:themeTint="F2"/>
          <w:sz w:val="24"/>
          <w:szCs w:val="24"/>
          <w:rtl/>
        </w:rPr>
        <w:t>(</w:t>
      </w:r>
      <w:r w:rsidR="00107BDA" w:rsidRPr="00B87BE1">
        <w:rPr>
          <w:rFonts w:ascii="Traditional Arabic" w:eastAsia="Times New Roman" w:hAnsi="Traditional Arabic" w:cs="Traditional Arabic"/>
          <w:b/>
          <w:color w:val="0D0D0D" w:themeColor="text1" w:themeTint="F2"/>
          <w:sz w:val="24"/>
          <w:szCs w:val="24"/>
          <w:rtl/>
        </w:rPr>
        <w:t xml:space="preserve">سليم </w:t>
      </w:r>
      <w:r w:rsidR="00700DA7" w:rsidRPr="00B87BE1">
        <w:rPr>
          <w:rFonts w:ascii="Traditional Arabic" w:eastAsia="Times New Roman" w:hAnsi="Traditional Arabic" w:cs="Traditional Arabic"/>
          <w:b/>
          <w:color w:val="0D0D0D" w:themeColor="text1" w:themeTint="F2"/>
          <w:sz w:val="24"/>
          <w:szCs w:val="24"/>
          <w:rtl/>
        </w:rPr>
        <w:t>و</w:t>
      </w:r>
      <w:r w:rsidR="00107BDA" w:rsidRPr="00B87BE1">
        <w:rPr>
          <w:rFonts w:ascii="Traditional Arabic" w:eastAsia="Times New Roman" w:hAnsi="Traditional Arabic" w:cs="Traditional Arabic"/>
          <w:b/>
          <w:color w:val="0D0D0D" w:themeColor="text1" w:themeTint="F2"/>
          <w:sz w:val="24"/>
          <w:szCs w:val="24"/>
          <w:rtl/>
        </w:rPr>
        <w:t>الشريف</w:t>
      </w:r>
      <w:r w:rsidR="00700DA7" w:rsidRPr="00B87BE1">
        <w:rPr>
          <w:rFonts w:ascii="Traditional Arabic" w:eastAsia="Times New Roman" w:hAnsi="Traditional Arabic" w:cs="Traditional Arabic"/>
          <w:b/>
          <w:color w:val="0D0D0D" w:themeColor="text1" w:themeTint="F2"/>
          <w:sz w:val="24"/>
          <w:szCs w:val="24"/>
          <w:rtl/>
        </w:rPr>
        <w:t xml:space="preserve">، </w:t>
      </w:r>
      <w:r w:rsidR="00107BDA" w:rsidRPr="00B87BE1">
        <w:rPr>
          <w:rFonts w:ascii="Traditional Arabic" w:eastAsia="Times New Roman" w:hAnsi="Traditional Arabic" w:cs="Traditional Arabic"/>
          <w:b/>
          <w:color w:val="0D0D0D" w:themeColor="text1" w:themeTint="F2"/>
          <w:sz w:val="24"/>
          <w:szCs w:val="24"/>
          <w:rtl/>
        </w:rPr>
        <w:t>2025)</w:t>
      </w:r>
      <w:r w:rsidR="00700DA7" w:rsidRPr="00B87BE1">
        <w:rPr>
          <w:rFonts w:ascii="Traditional Arabic" w:eastAsia="Times New Roman" w:hAnsi="Traditional Arabic" w:cs="Traditional Arabic"/>
          <w:b/>
          <w:color w:val="0D0D0D" w:themeColor="text1" w:themeTint="F2"/>
          <w:sz w:val="24"/>
          <w:szCs w:val="24"/>
          <w:rtl/>
        </w:rPr>
        <w:t>.</w:t>
      </w:r>
    </w:p>
    <w:p w14:paraId="77407D9F" w14:textId="3343D4C7" w:rsidR="008178D8" w:rsidRPr="00B87BE1" w:rsidRDefault="008178D8" w:rsidP="00B07735">
      <w:pPr>
        <w:pStyle w:val="ListParagraph"/>
        <w:numPr>
          <w:ilvl w:val="0"/>
          <w:numId w:val="2"/>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تُمكّن الدراسة المصارف من تصميم برامج تدريبية لتعزيز الفائدة المُدركة (</w:t>
      </w:r>
      <w:r w:rsidRPr="00B87BE1">
        <w:rPr>
          <w:rFonts w:ascii="Traditional Arabic" w:hAnsi="Traditional Arabic" w:cs="Traditional Arabic"/>
          <w:b/>
          <w:color w:val="0D0D0D" w:themeColor="text1" w:themeTint="F2"/>
          <w:sz w:val="24"/>
          <w:szCs w:val="24"/>
        </w:rPr>
        <w:t>PU</w:t>
      </w:r>
      <w:r w:rsidRPr="00B87BE1">
        <w:rPr>
          <w:rFonts w:ascii="Traditional Arabic" w:hAnsi="Traditional Arabic" w:cs="Traditional Arabic"/>
          <w:b/>
          <w:color w:val="0D0D0D" w:themeColor="text1" w:themeTint="F2"/>
          <w:sz w:val="24"/>
          <w:szCs w:val="24"/>
          <w:rtl/>
        </w:rPr>
        <w:t>) وسهولة الاستخدام المُدركة (</w:t>
      </w:r>
      <w:r w:rsidRPr="00B87BE1">
        <w:rPr>
          <w:rFonts w:ascii="Traditional Arabic" w:hAnsi="Traditional Arabic" w:cs="Traditional Arabic"/>
          <w:b/>
          <w:color w:val="0D0D0D" w:themeColor="text1" w:themeTint="F2"/>
          <w:sz w:val="24"/>
          <w:szCs w:val="24"/>
        </w:rPr>
        <w:t>PEOU</w:t>
      </w:r>
      <w:r w:rsidRPr="00B87BE1">
        <w:rPr>
          <w:rFonts w:ascii="Traditional Arabic" w:hAnsi="Traditional Arabic" w:cs="Traditional Arabic"/>
          <w:b/>
          <w:color w:val="0D0D0D" w:themeColor="text1" w:themeTint="F2"/>
          <w:sz w:val="24"/>
          <w:szCs w:val="24"/>
          <w:rtl/>
        </w:rPr>
        <w:t>) لدى المديرين، فضلاً عن تطوير آليات تحسين جودة القرارات من خلال رفع جودة المعلومات وتحليل البدائل الاستراتيجية.</w:t>
      </w:r>
    </w:p>
    <w:p w14:paraId="3C97E3D6" w14:textId="26C6502E" w:rsidR="004674F5" w:rsidRPr="00B87BE1" w:rsidRDefault="004674F5" w:rsidP="00B07735">
      <w:pPr>
        <w:pStyle w:val="ListParagraph"/>
        <w:numPr>
          <w:ilvl w:val="0"/>
          <w:numId w:val="2"/>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 xml:space="preserve">قد توفر الدراسة مؤشرات واضحة حول كيفية توجيه استثماراتها في أنظمة ذكاء الأعمال لضمان تحقيق أقصى عائد على هذه الاستثمارات، فبدلاً من مجرد تبني التكنولوجيا، </w:t>
      </w:r>
      <w:r w:rsidR="00BB68BB" w:rsidRPr="00B87BE1">
        <w:rPr>
          <w:rFonts w:ascii="Traditional Arabic" w:hAnsi="Traditional Arabic" w:cs="Traditional Arabic"/>
          <w:b/>
          <w:color w:val="0D0D0D" w:themeColor="text1" w:themeTint="F2"/>
          <w:sz w:val="24"/>
          <w:szCs w:val="24"/>
          <w:rtl/>
        </w:rPr>
        <w:t>يضمن القياس بـ (</w:t>
      </w:r>
      <w:r w:rsidR="00BB68BB" w:rsidRPr="00B87BE1">
        <w:rPr>
          <w:rFonts w:ascii="Traditional Arabic" w:hAnsi="Traditional Arabic" w:cs="Traditional Arabic"/>
          <w:bCs/>
          <w:color w:val="0D0D0D" w:themeColor="text1" w:themeTint="F2"/>
          <w:sz w:val="24"/>
          <w:szCs w:val="24"/>
        </w:rPr>
        <w:t>TAM</w:t>
      </w:r>
      <w:r w:rsidR="00BB68BB" w:rsidRPr="00B87BE1">
        <w:rPr>
          <w:rFonts w:ascii="Traditional Arabic" w:hAnsi="Traditional Arabic" w:cs="Traditional Arabic"/>
          <w:b/>
          <w:color w:val="0D0D0D" w:themeColor="text1" w:themeTint="F2"/>
          <w:sz w:val="24"/>
          <w:szCs w:val="24"/>
          <w:rtl/>
        </w:rPr>
        <w:t xml:space="preserve">) أن تكون هذه الاستثمارات ذات قيمة مضافة حقيقية من خلال مساعدة </w:t>
      </w:r>
      <w:r w:rsidR="00BB68BB" w:rsidRPr="00B87BE1">
        <w:rPr>
          <w:rFonts w:ascii="Traditional Arabic" w:hAnsi="Traditional Arabic" w:cs="Traditional Arabic"/>
          <w:b/>
          <w:color w:val="0D0D0D" w:themeColor="text1" w:themeTint="F2"/>
          <w:sz w:val="24"/>
          <w:szCs w:val="24"/>
          <w:rtl/>
        </w:rPr>
        <w:lastRenderedPageBreak/>
        <w:t>البنوك على فهم كيفية تحويل البيانات إلى قرارات استراتيجية فعالة تدعم الابتكار التنظيمي عبر الاستخدام والقبول الفعلي،</w:t>
      </w:r>
      <w:r w:rsidRPr="00B87BE1">
        <w:rPr>
          <w:rFonts w:ascii="Traditional Arabic" w:hAnsi="Traditional Arabic" w:cs="Traditional Arabic"/>
          <w:b/>
          <w:color w:val="0D0D0D" w:themeColor="text1" w:themeTint="F2"/>
          <w:sz w:val="24"/>
          <w:szCs w:val="24"/>
          <w:rtl/>
        </w:rPr>
        <w:t xml:space="preserve"> مما يضمن أن تكون هذه الاستثمارات ذات قيمة مضافة حقيقية.</w:t>
      </w:r>
    </w:p>
    <w:p w14:paraId="73DAF7B8" w14:textId="01B00500" w:rsidR="00883E09" w:rsidRPr="00B87BE1" w:rsidRDefault="004674F5" w:rsidP="00B07735">
      <w:pPr>
        <w:pStyle w:val="ListParagraph"/>
        <w:numPr>
          <w:ilvl w:val="0"/>
          <w:numId w:val="2"/>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تتماشى هذه الدراسة مع أهداف رؤية المملكة 2030 التي تركز على تطوير القطاع المالي وتعزيز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والتحول الرقمي. فمن خلال تقديم توصيات عملية لتحسين جودة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وتعزيز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في القطاع المصرفي، تسهم الدراسة بشكل مباشر في تحقيق مستهدفات الرؤية المتعلقة بتنمية اقتصاد متنوع ومستدام.</w:t>
      </w:r>
    </w:p>
    <w:p w14:paraId="692D1591" w14:textId="3640AD73" w:rsidR="00BB68BB" w:rsidRPr="00B87BE1" w:rsidRDefault="00BB68BB" w:rsidP="00B07735">
      <w:pPr>
        <w:pStyle w:val="ListParagraph"/>
        <w:numPr>
          <w:ilvl w:val="0"/>
          <w:numId w:val="2"/>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 xml:space="preserve">تساعد الدراسة الإدارة العليا في </w:t>
      </w:r>
      <w:r w:rsidR="0033043F" w:rsidRPr="00B87BE1">
        <w:rPr>
          <w:rFonts w:ascii="Traditional Arabic" w:hAnsi="Traditional Arabic" w:cs="Traditional Arabic"/>
          <w:b/>
          <w:color w:val="0D0D0D" w:themeColor="text1" w:themeTint="F2"/>
          <w:sz w:val="24"/>
          <w:szCs w:val="24"/>
          <w:rtl/>
        </w:rPr>
        <w:t>المصارف العاملة بمدينة الرياض</w:t>
      </w:r>
      <w:r w:rsidRPr="00B87BE1">
        <w:rPr>
          <w:rFonts w:ascii="Traditional Arabic" w:hAnsi="Traditional Arabic" w:cs="Traditional Arabic"/>
          <w:b/>
          <w:color w:val="0D0D0D" w:themeColor="text1" w:themeTint="F2"/>
          <w:sz w:val="24"/>
          <w:szCs w:val="24"/>
          <w:rtl/>
        </w:rPr>
        <w:t xml:space="preserve"> على فهم العوامل السلوكية المحددة مثل الفائدة المتصورة وسهولة الاستخدام التي تزيد من قبول أنظمة ذكاء الأعمال واستخدامها الفعلي من قبل المديرين</w:t>
      </w:r>
      <w:r w:rsidR="00F83A16" w:rsidRPr="00B87BE1">
        <w:rPr>
          <w:rFonts w:ascii="Traditional Arabic" w:hAnsi="Traditional Arabic" w:cs="Traditional Arabic"/>
          <w:b/>
          <w:color w:val="0D0D0D" w:themeColor="text1" w:themeTint="F2"/>
          <w:sz w:val="24"/>
          <w:szCs w:val="24"/>
          <w:rtl/>
        </w:rPr>
        <w:t>، و</w:t>
      </w:r>
      <w:r w:rsidRPr="00B87BE1">
        <w:rPr>
          <w:rFonts w:ascii="Traditional Arabic" w:hAnsi="Traditional Arabic" w:cs="Traditional Arabic"/>
          <w:b/>
          <w:color w:val="0D0D0D" w:themeColor="text1" w:themeTint="F2"/>
          <w:sz w:val="24"/>
          <w:szCs w:val="24"/>
          <w:rtl/>
        </w:rPr>
        <w:t>هذا الفهم يمكن البنوك من تصميم برامج تدريبية أو تعديلات على الأنظمة لزيادة التبني.</w:t>
      </w:r>
    </w:p>
    <w:p w14:paraId="02921591" w14:textId="35AC4CC2" w:rsidR="00F83A16" w:rsidRPr="00B87BE1" w:rsidRDefault="00D1618A" w:rsidP="00B07735">
      <w:pPr>
        <w:pStyle w:val="ListParagraph"/>
        <w:numPr>
          <w:ilvl w:val="0"/>
          <w:numId w:val="2"/>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تسهم الدراسة في تعزيز الابتكار التنظيمي من خلال تقديم رؤى عملية توضح كيف يمكن لزيادة قبول المديرين لأنظمة ذكاء الأعمال أن تدفع عجلة الابتكار وتوفير البيئة المناسبة لتوليد الأفكار الجديدة، مع التركيز على الكفاءة والفعالية والقدرة على تحقيق الميزة التنافسية المستدامة.</w:t>
      </w:r>
    </w:p>
    <w:p w14:paraId="0BF61E03" w14:textId="77777777" w:rsidR="009C4F53" w:rsidRPr="00B87BE1" w:rsidRDefault="009C4F53" w:rsidP="00642F67">
      <w:pPr>
        <w:pStyle w:val="Heading1"/>
        <w:bidi/>
        <w:spacing w:before="0" w:line="360" w:lineRule="auto"/>
        <w:rPr>
          <w:rFonts w:ascii="Traditional Arabic" w:hAnsi="Traditional Arabic" w:cs="Traditional Arabic"/>
          <w:bCs/>
          <w:color w:val="0D0D0D" w:themeColor="text1" w:themeTint="F2"/>
          <w:sz w:val="28"/>
          <w:szCs w:val="28"/>
          <w:rtl/>
        </w:rPr>
      </w:pPr>
      <w:bookmarkStart w:id="9" w:name="_Toc215399833"/>
      <w:r w:rsidRPr="00B87BE1">
        <w:rPr>
          <w:rFonts w:ascii="Traditional Arabic" w:hAnsi="Traditional Arabic" w:cs="Traditional Arabic"/>
          <w:bCs/>
          <w:color w:val="0D0D0D" w:themeColor="text1" w:themeTint="F2"/>
          <w:sz w:val="28"/>
          <w:szCs w:val="28"/>
          <w:rtl/>
        </w:rPr>
        <w:t>أهداف الدراسة:</w:t>
      </w:r>
      <w:bookmarkEnd w:id="9"/>
    </w:p>
    <w:p w14:paraId="68FBAC22" w14:textId="77777777" w:rsidR="00A562EE" w:rsidRPr="00B87BE1" w:rsidRDefault="00A562EE" w:rsidP="00642F67">
      <w:pPr>
        <w:bidi/>
        <w:spacing w:after="0" w:line="276"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تهدف الدراسة الحالية إلى تحقيق الأهداف التالية في المصارف العاملة بمدينة الرياض:</w:t>
      </w:r>
    </w:p>
    <w:p w14:paraId="2BD00BD1" w14:textId="0F591271" w:rsidR="00A562EE" w:rsidRPr="00B87BE1" w:rsidRDefault="00A562EE" w:rsidP="00642F67">
      <w:pPr>
        <w:bidi/>
        <w:spacing w:after="0" w:line="276" w:lineRule="auto"/>
        <w:jc w:val="both"/>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أهداف القياس:</w:t>
      </w:r>
    </w:p>
    <w:p w14:paraId="67621DBA" w14:textId="503D1556" w:rsidR="00A562EE" w:rsidRPr="00B87BE1" w:rsidRDefault="00A562EE" w:rsidP="00B07735">
      <w:pPr>
        <w:pStyle w:val="ListParagraph"/>
        <w:numPr>
          <w:ilvl w:val="2"/>
          <w:numId w:val="6"/>
        </w:numPr>
        <w:bidi/>
        <w:spacing w:after="0" w:line="276" w:lineRule="auto"/>
        <w:ind w:left="565"/>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 xml:space="preserve">قياس مستوى قبول المديرين لأنظمة ذكاء الأعمال وفق نموذج </w:t>
      </w:r>
      <w:r w:rsidRPr="00B87BE1">
        <w:rPr>
          <w:rFonts w:ascii="Traditional Arabic" w:hAnsi="Traditional Arabic" w:cs="Traditional Arabic"/>
          <w:b/>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xml:space="preserve"> (الفائدة المُدركة، سهولة الاستخدام المُدركة، نية الاستخدام).</w:t>
      </w:r>
    </w:p>
    <w:p w14:paraId="3A1B4961" w14:textId="0DD98AB7" w:rsidR="00A562EE" w:rsidRPr="00B87BE1" w:rsidRDefault="00A562EE" w:rsidP="00B07735">
      <w:pPr>
        <w:pStyle w:val="ListParagraph"/>
        <w:numPr>
          <w:ilvl w:val="2"/>
          <w:numId w:val="6"/>
        </w:numPr>
        <w:bidi/>
        <w:spacing w:after="0" w:line="276" w:lineRule="auto"/>
        <w:ind w:left="565"/>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قياس مستوى جودة القرارات الاستراتيجية لدى المديرين.</w:t>
      </w:r>
    </w:p>
    <w:p w14:paraId="43DADBCA" w14:textId="0CC5E042" w:rsidR="00A562EE" w:rsidRPr="00B87BE1" w:rsidRDefault="00A562EE" w:rsidP="00B07735">
      <w:pPr>
        <w:pStyle w:val="ListParagraph"/>
        <w:numPr>
          <w:ilvl w:val="2"/>
          <w:numId w:val="6"/>
        </w:numPr>
        <w:bidi/>
        <w:spacing w:after="0" w:line="276" w:lineRule="auto"/>
        <w:ind w:left="565"/>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قياس مستوى الابتكار التنظيمي.</w:t>
      </w:r>
    </w:p>
    <w:p w14:paraId="1FDBB283" w14:textId="46A02EBD" w:rsidR="00A562EE" w:rsidRPr="00B87BE1" w:rsidRDefault="00A562EE" w:rsidP="00642F67">
      <w:pPr>
        <w:bidi/>
        <w:spacing w:after="0" w:line="276" w:lineRule="auto"/>
        <w:jc w:val="both"/>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أهداف اختبار العلاقات المباشرة:</w:t>
      </w:r>
    </w:p>
    <w:p w14:paraId="4A5C02BD" w14:textId="223CCDCE" w:rsidR="00A562EE" w:rsidRPr="00B87BE1" w:rsidRDefault="00A562EE" w:rsidP="00B07735">
      <w:pPr>
        <w:pStyle w:val="ListParagraph"/>
        <w:numPr>
          <w:ilvl w:val="2"/>
          <w:numId w:val="6"/>
        </w:numPr>
        <w:bidi/>
        <w:spacing w:after="0" w:line="276" w:lineRule="auto"/>
        <w:ind w:left="565"/>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اختبار أثر قبول أنظمة ذكاء الأعمال على جودة القرارات الاستراتيجية.</w:t>
      </w:r>
    </w:p>
    <w:p w14:paraId="46E1DA83" w14:textId="1E57E769" w:rsidR="00A562EE" w:rsidRPr="00B87BE1" w:rsidRDefault="00A562EE" w:rsidP="00B07735">
      <w:pPr>
        <w:pStyle w:val="ListParagraph"/>
        <w:numPr>
          <w:ilvl w:val="2"/>
          <w:numId w:val="6"/>
        </w:numPr>
        <w:bidi/>
        <w:spacing w:after="0" w:line="276" w:lineRule="auto"/>
        <w:ind w:left="565"/>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اختبار أثر جودة القرارات الاستراتيجية على الابتكار التنظيمي.</w:t>
      </w:r>
    </w:p>
    <w:p w14:paraId="6188A2DD" w14:textId="02010544" w:rsidR="00A562EE" w:rsidRPr="00B87BE1" w:rsidRDefault="00A562EE" w:rsidP="00B07735">
      <w:pPr>
        <w:pStyle w:val="ListParagraph"/>
        <w:numPr>
          <w:ilvl w:val="2"/>
          <w:numId w:val="6"/>
        </w:numPr>
        <w:bidi/>
        <w:spacing w:after="0" w:line="276" w:lineRule="auto"/>
        <w:ind w:left="565"/>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اختبار أثر قبول أنظمة ذكاء الأعمال على الابتكار التنظيمي.</w:t>
      </w:r>
    </w:p>
    <w:p w14:paraId="20789BA9" w14:textId="6391C06F" w:rsidR="00A562EE" w:rsidRPr="00B87BE1" w:rsidRDefault="00A562EE" w:rsidP="00642F67">
      <w:pPr>
        <w:bidi/>
        <w:spacing w:after="0" w:line="276" w:lineRule="auto"/>
        <w:jc w:val="both"/>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أهداف اختبار الوساطة والنموذج الكلي:</w:t>
      </w:r>
    </w:p>
    <w:p w14:paraId="4DF86228" w14:textId="6D3D3DBB" w:rsidR="00A562EE" w:rsidRPr="00B87BE1" w:rsidRDefault="00A562EE" w:rsidP="00B07735">
      <w:pPr>
        <w:pStyle w:val="ListParagraph"/>
        <w:numPr>
          <w:ilvl w:val="2"/>
          <w:numId w:val="6"/>
        </w:numPr>
        <w:bidi/>
        <w:spacing w:after="0" w:line="276" w:lineRule="auto"/>
        <w:ind w:left="565"/>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اختبار الدور الوسيط لجودة القرارات الاستراتيجية في العلاقة بين قبول أنظمة ذكاء الأعمال والابتكار التنظيمي.</w:t>
      </w:r>
    </w:p>
    <w:p w14:paraId="4CDA8879" w14:textId="570526DC" w:rsidR="00A562EE" w:rsidRPr="00B87BE1" w:rsidRDefault="00A562EE" w:rsidP="00B07735">
      <w:pPr>
        <w:pStyle w:val="ListParagraph"/>
        <w:numPr>
          <w:ilvl w:val="2"/>
          <w:numId w:val="6"/>
        </w:numPr>
        <w:bidi/>
        <w:spacing w:after="0" w:line="276" w:lineRule="auto"/>
        <w:ind w:left="565"/>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اختبار النموذج التحليلي المتكامل باستخدام نمذجة المعادلات البنائية (</w:t>
      </w:r>
      <w:r w:rsidRPr="00B87BE1">
        <w:rPr>
          <w:rFonts w:ascii="Traditional Arabic" w:hAnsi="Traditional Arabic" w:cs="Traditional Arabic"/>
          <w:b/>
          <w:color w:val="0D0D0D" w:themeColor="text1" w:themeTint="F2"/>
          <w:sz w:val="24"/>
          <w:szCs w:val="24"/>
        </w:rPr>
        <w:t>SEM-PLS</w:t>
      </w:r>
      <w:r w:rsidRPr="00B87BE1">
        <w:rPr>
          <w:rFonts w:ascii="Traditional Arabic" w:hAnsi="Traditional Arabic" w:cs="Traditional Arabic"/>
          <w:b/>
          <w:color w:val="0D0D0D" w:themeColor="text1" w:themeTint="F2"/>
          <w:sz w:val="24"/>
          <w:szCs w:val="24"/>
          <w:rtl/>
        </w:rPr>
        <w:t>).</w:t>
      </w:r>
    </w:p>
    <w:p w14:paraId="36CD8236" w14:textId="5F91A717" w:rsidR="00A562EE" w:rsidRPr="00B87BE1" w:rsidRDefault="00A562EE" w:rsidP="00642F67">
      <w:pPr>
        <w:bidi/>
        <w:spacing w:after="0" w:line="276" w:lineRule="auto"/>
        <w:jc w:val="both"/>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هدف استكشاف الفروق:</w:t>
      </w:r>
    </w:p>
    <w:p w14:paraId="5A4E79C5" w14:textId="570EC2AC" w:rsidR="00A562EE" w:rsidRPr="00B87BE1" w:rsidRDefault="00A562EE" w:rsidP="00B07735">
      <w:pPr>
        <w:pStyle w:val="ListParagraph"/>
        <w:numPr>
          <w:ilvl w:val="2"/>
          <w:numId w:val="6"/>
        </w:numPr>
        <w:bidi/>
        <w:spacing w:after="240" w:line="276" w:lineRule="auto"/>
        <w:ind w:left="565"/>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التعرّف على دلالة الفروق في مستوى متغيرات الدراسة وفقاً للمتغيرات الديموغرافية (المستوى الإداري، سنوات الخبرة، نوع المصرف).</w:t>
      </w:r>
    </w:p>
    <w:p w14:paraId="69389CED" w14:textId="69C9A005" w:rsidR="00A16E60" w:rsidRPr="00B87BE1" w:rsidRDefault="009C4F53" w:rsidP="007F52A4">
      <w:pPr>
        <w:pStyle w:val="Heading1"/>
        <w:bidi/>
        <w:spacing w:before="0" w:after="240" w:line="360" w:lineRule="auto"/>
        <w:rPr>
          <w:rFonts w:ascii="Traditional Arabic" w:hAnsi="Traditional Arabic" w:cs="Traditional Arabic"/>
          <w:bCs/>
          <w:color w:val="0D0D0D" w:themeColor="text1" w:themeTint="F2"/>
          <w:sz w:val="28"/>
          <w:szCs w:val="28"/>
          <w:rtl/>
        </w:rPr>
      </w:pPr>
      <w:bookmarkStart w:id="10" w:name="_Toc215399834"/>
      <w:r w:rsidRPr="00B87BE1">
        <w:rPr>
          <w:rFonts w:ascii="Traditional Arabic" w:hAnsi="Traditional Arabic" w:cs="Traditional Arabic" w:hint="cs"/>
          <w:bCs/>
          <w:color w:val="0D0D0D" w:themeColor="text1" w:themeTint="F2"/>
          <w:sz w:val="28"/>
          <w:szCs w:val="28"/>
          <w:rtl/>
        </w:rPr>
        <w:lastRenderedPageBreak/>
        <w:t>فروض</w:t>
      </w:r>
      <w:r w:rsidR="00A16E60" w:rsidRPr="00B87BE1">
        <w:rPr>
          <w:rFonts w:ascii="Traditional Arabic" w:hAnsi="Traditional Arabic" w:cs="Traditional Arabic"/>
          <w:bCs/>
          <w:color w:val="0D0D0D" w:themeColor="text1" w:themeTint="F2"/>
          <w:sz w:val="28"/>
          <w:szCs w:val="28"/>
          <w:rtl/>
        </w:rPr>
        <w:t xml:space="preserve"> الدراسة:</w:t>
      </w:r>
      <w:bookmarkEnd w:id="10"/>
    </w:p>
    <w:p w14:paraId="558A3F59" w14:textId="77777777" w:rsidR="004674F5" w:rsidRPr="00B87BE1" w:rsidRDefault="004674F5" w:rsidP="007F52A4">
      <w:pPr>
        <w:pStyle w:val="ListParagraph"/>
        <w:bidi/>
        <w:spacing w:after="240" w:line="360" w:lineRule="auto"/>
        <w:ind w:left="0"/>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تسعى الدراسة لاختبار الفرضيات التالية:</w:t>
      </w:r>
    </w:p>
    <w:p w14:paraId="124CBE7C" w14:textId="441BDE95" w:rsidR="00E113A9" w:rsidRPr="0090573F" w:rsidRDefault="0090573F" w:rsidP="00E113A9">
      <w:pPr>
        <w:pStyle w:val="ListParagraph"/>
        <w:bidi/>
        <w:spacing w:after="240" w:line="360" w:lineRule="auto"/>
        <w:ind w:left="0"/>
        <w:jc w:val="both"/>
        <w:rPr>
          <w:rFonts w:ascii="Traditional Arabic" w:hAnsi="Traditional Arabic" w:cs="Traditional Arabic"/>
          <w:bCs/>
          <w:color w:val="0D0D0D" w:themeColor="text1" w:themeTint="F2"/>
          <w:sz w:val="24"/>
          <w:szCs w:val="24"/>
          <w:rtl/>
        </w:rPr>
      </w:pPr>
      <w:r w:rsidRPr="0090573F">
        <w:rPr>
          <w:rFonts w:ascii="Traditional Arabic" w:hAnsi="Traditional Arabic" w:cs="Traditional Arabic"/>
          <w:bCs/>
          <w:color w:val="0D0D0D" w:themeColor="text1" w:themeTint="F2"/>
          <w:sz w:val="24"/>
          <w:szCs w:val="24"/>
          <w:highlight w:val="yellow"/>
        </w:rPr>
        <w:t>H1</w:t>
      </w:r>
      <w:r w:rsidRPr="0090573F">
        <w:rPr>
          <w:rFonts w:ascii="Traditional Arabic" w:hAnsi="Traditional Arabic" w:cs="Traditional Arabic"/>
          <w:bCs/>
          <w:color w:val="0D0D0D" w:themeColor="text1" w:themeTint="F2"/>
          <w:sz w:val="24"/>
          <w:szCs w:val="24"/>
          <w:highlight w:val="yellow"/>
          <w:rtl/>
        </w:rPr>
        <w:t xml:space="preserve">: يؤثر قبول أنظمة ذكاء الأعمال (وفق نموذج </w:t>
      </w:r>
      <w:r w:rsidRPr="0090573F">
        <w:rPr>
          <w:rFonts w:ascii="Traditional Arabic" w:hAnsi="Traditional Arabic" w:cs="Traditional Arabic"/>
          <w:bCs/>
          <w:color w:val="0D0D0D" w:themeColor="text1" w:themeTint="F2"/>
          <w:sz w:val="24"/>
          <w:szCs w:val="24"/>
          <w:highlight w:val="yellow"/>
        </w:rPr>
        <w:t>TAM</w:t>
      </w:r>
      <w:r w:rsidRPr="0090573F">
        <w:rPr>
          <w:rFonts w:ascii="Traditional Arabic" w:hAnsi="Traditional Arabic" w:cs="Traditional Arabic"/>
          <w:bCs/>
          <w:color w:val="0D0D0D" w:themeColor="text1" w:themeTint="F2"/>
          <w:sz w:val="24"/>
          <w:szCs w:val="24"/>
          <w:highlight w:val="yellow"/>
          <w:rtl/>
        </w:rPr>
        <w:t>) تأثيراً إيجابياً ذا دلالة إحصائية في جودة القرارات الاستراتيجية في المصارف العاملة بمدينة الرياض عند مستوى دلالة (</w:t>
      </w:r>
      <w:r w:rsidRPr="0090573F">
        <w:rPr>
          <w:rFonts w:ascii="Cambria" w:hAnsi="Cambria" w:cs="Cambria"/>
          <w:bCs/>
          <w:color w:val="0D0D0D" w:themeColor="text1" w:themeTint="F2"/>
          <w:sz w:val="24"/>
          <w:szCs w:val="24"/>
          <w:highlight w:val="yellow"/>
        </w:rPr>
        <w:t>α</w:t>
      </w:r>
      <w:r w:rsidRPr="0090573F">
        <w:rPr>
          <w:rFonts w:ascii="Traditional Arabic" w:hAnsi="Traditional Arabic" w:cs="Traditional Arabic"/>
          <w:bCs/>
          <w:color w:val="0D0D0D" w:themeColor="text1" w:themeTint="F2"/>
          <w:sz w:val="24"/>
          <w:szCs w:val="24"/>
          <w:highlight w:val="yellow"/>
        </w:rPr>
        <w:t xml:space="preserve"> &lt; 0.05</w:t>
      </w:r>
      <w:r w:rsidRPr="0090573F">
        <w:rPr>
          <w:rFonts w:ascii="Traditional Arabic" w:hAnsi="Traditional Arabic" w:cs="Traditional Arabic"/>
          <w:bCs/>
          <w:color w:val="0D0D0D" w:themeColor="text1" w:themeTint="F2"/>
          <w:sz w:val="24"/>
          <w:szCs w:val="24"/>
          <w:highlight w:val="yellow"/>
          <w:rtl/>
        </w:rPr>
        <w:t>)</w:t>
      </w:r>
      <w:r w:rsidR="00E113A9" w:rsidRPr="0090573F">
        <w:rPr>
          <w:rFonts w:ascii="Traditional Arabic" w:hAnsi="Traditional Arabic" w:cs="Traditional Arabic"/>
          <w:bCs/>
          <w:color w:val="0D0D0D" w:themeColor="text1" w:themeTint="F2"/>
          <w:sz w:val="24"/>
          <w:szCs w:val="24"/>
          <w:highlight w:val="yellow"/>
          <w:rtl/>
        </w:rPr>
        <w:t>.</w:t>
      </w:r>
    </w:p>
    <w:p w14:paraId="514F9789" w14:textId="0F17E76B" w:rsidR="00313607" w:rsidRPr="00B87BE1" w:rsidRDefault="00313607"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 xml:space="preserve">استهدفت </w:t>
      </w:r>
      <w:r w:rsidR="00643684" w:rsidRPr="00B87BE1">
        <w:rPr>
          <w:rFonts w:ascii="Traditional Arabic" w:hAnsi="Traditional Arabic" w:cs="Traditional Arabic"/>
          <w:b/>
          <w:color w:val="0D0D0D" w:themeColor="text1" w:themeTint="F2"/>
          <w:sz w:val="24"/>
          <w:szCs w:val="24"/>
          <w:rtl/>
        </w:rPr>
        <w:t xml:space="preserve">الدراسات التالية </w:t>
      </w:r>
      <w:r w:rsidR="00C35345" w:rsidRPr="00B87BE1">
        <w:rPr>
          <w:rFonts w:ascii="Traditional Arabic" w:hAnsi="Traditional Arabic" w:cs="Traditional Arabic"/>
          <w:b/>
          <w:color w:val="0D0D0D" w:themeColor="text1" w:themeTint="F2"/>
          <w:sz w:val="24"/>
          <w:szCs w:val="24"/>
          <w:rtl/>
        </w:rPr>
        <w:t xml:space="preserve">سليم والشرف </w:t>
      </w:r>
      <w:r w:rsidR="00AD30AB" w:rsidRPr="00B87BE1">
        <w:rPr>
          <w:rFonts w:ascii="Traditional Arabic" w:hAnsi="Traditional Arabic" w:cs="Traditional Arabic"/>
          <w:b/>
          <w:color w:val="0D0D0D" w:themeColor="text1" w:themeTint="F2"/>
          <w:sz w:val="24"/>
          <w:szCs w:val="24"/>
          <w:rtl/>
        </w:rPr>
        <w:t>(</w:t>
      </w:r>
      <w:r w:rsidR="00C35345" w:rsidRPr="00B87BE1">
        <w:rPr>
          <w:rFonts w:ascii="Traditional Arabic" w:hAnsi="Traditional Arabic" w:cs="Traditional Arabic"/>
          <w:b/>
          <w:color w:val="0D0D0D" w:themeColor="text1" w:themeTint="F2"/>
          <w:sz w:val="24"/>
          <w:szCs w:val="24"/>
          <w:rtl/>
        </w:rPr>
        <w:t>2025</w:t>
      </w:r>
      <w:r w:rsidR="00AD30AB" w:rsidRPr="00B87BE1">
        <w:rPr>
          <w:rFonts w:ascii="Traditional Arabic" w:hAnsi="Traditional Arabic" w:cs="Traditional Arabic"/>
          <w:b/>
          <w:color w:val="0D0D0D" w:themeColor="text1" w:themeTint="F2"/>
          <w:sz w:val="24"/>
          <w:szCs w:val="24"/>
          <w:rtl/>
        </w:rPr>
        <w:t>) و</w:t>
      </w:r>
      <w:r w:rsidR="00A10F1C" w:rsidRPr="00B87BE1">
        <w:rPr>
          <w:rFonts w:ascii="Traditional Arabic" w:hAnsi="Traditional Arabic" w:cs="Traditional Arabic"/>
          <w:b/>
          <w:color w:val="0D0D0D" w:themeColor="text1" w:themeTint="F2"/>
          <w:sz w:val="24"/>
          <w:szCs w:val="24"/>
          <w:rtl/>
        </w:rPr>
        <w:t>العتيبي</w:t>
      </w:r>
      <w:r w:rsidR="00AD30AB" w:rsidRPr="00B87BE1">
        <w:rPr>
          <w:rFonts w:ascii="Traditional Arabic" w:hAnsi="Traditional Arabic" w:cs="Traditional Arabic"/>
          <w:b/>
          <w:color w:val="0D0D0D" w:themeColor="text1" w:themeTint="F2"/>
          <w:sz w:val="24"/>
          <w:szCs w:val="24"/>
          <w:rtl/>
        </w:rPr>
        <w:t xml:space="preserve"> (</w:t>
      </w:r>
      <w:r w:rsidR="00A10F1C" w:rsidRPr="00B87BE1">
        <w:rPr>
          <w:rFonts w:ascii="Traditional Arabic" w:hAnsi="Traditional Arabic" w:cs="Traditional Arabic"/>
          <w:b/>
          <w:color w:val="0D0D0D" w:themeColor="text1" w:themeTint="F2"/>
          <w:sz w:val="24"/>
          <w:szCs w:val="24"/>
          <w:rtl/>
        </w:rPr>
        <w:t>2025</w:t>
      </w:r>
      <w:r w:rsidR="00AD30AB" w:rsidRPr="00B87BE1">
        <w:rPr>
          <w:rFonts w:ascii="Traditional Arabic" w:hAnsi="Traditional Arabic" w:cs="Traditional Arabic"/>
          <w:b/>
          <w:color w:val="0D0D0D" w:themeColor="text1" w:themeTint="F2"/>
          <w:sz w:val="24"/>
          <w:szCs w:val="24"/>
          <w:rtl/>
        </w:rPr>
        <w:t>) و</w:t>
      </w:r>
      <w:r w:rsidR="00A10F1C" w:rsidRPr="00B87BE1">
        <w:rPr>
          <w:rFonts w:ascii="Traditional Arabic" w:hAnsi="Traditional Arabic" w:cs="Traditional Arabic"/>
          <w:b/>
          <w:color w:val="0D0D0D" w:themeColor="text1" w:themeTint="F2"/>
          <w:sz w:val="24"/>
          <w:szCs w:val="24"/>
          <w:rtl/>
        </w:rPr>
        <w:t>الفار ومبارز</w:t>
      </w:r>
      <w:r w:rsidR="00AD30AB" w:rsidRPr="00B87BE1">
        <w:rPr>
          <w:rFonts w:ascii="Traditional Arabic" w:hAnsi="Traditional Arabic" w:cs="Traditional Arabic"/>
          <w:b/>
          <w:color w:val="0D0D0D" w:themeColor="text1" w:themeTint="F2"/>
          <w:sz w:val="24"/>
          <w:szCs w:val="24"/>
          <w:rtl/>
        </w:rPr>
        <w:t xml:space="preserve"> (</w:t>
      </w:r>
      <w:r w:rsidR="00A10F1C" w:rsidRPr="00B87BE1">
        <w:rPr>
          <w:rFonts w:ascii="Traditional Arabic" w:hAnsi="Traditional Arabic" w:cs="Traditional Arabic"/>
          <w:b/>
          <w:color w:val="0D0D0D" w:themeColor="text1" w:themeTint="F2"/>
          <w:sz w:val="24"/>
          <w:szCs w:val="24"/>
          <w:rtl/>
        </w:rPr>
        <w:t>2023</w:t>
      </w:r>
      <w:r w:rsidR="00AD30AB" w:rsidRPr="00B87BE1">
        <w:rPr>
          <w:rFonts w:ascii="Traditional Arabic" w:hAnsi="Traditional Arabic" w:cs="Traditional Arabic"/>
          <w:b/>
          <w:color w:val="0D0D0D" w:themeColor="text1" w:themeTint="F2"/>
          <w:sz w:val="24"/>
          <w:szCs w:val="24"/>
          <w:rtl/>
        </w:rPr>
        <w:t>)</w:t>
      </w:r>
      <w:r w:rsidR="00A10F1C" w:rsidRPr="00B87BE1">
        <w:rPr>
          <w:rFonts w:ascii="Traditional Arabic" w:hAnsi="Traditional Arabic" w:cs="Traditional Arabic"/>
          <w:b/>
          <w:color w:val="0D0D0D" w:themeColor="text1" w:themeTint="F2"/>
          <w:sz w:val="24"/>
          <w:szCs w:val="24"/>
          <w:rtl/>
        </w:rPr>
        <w:t xml:space="preserve"> </w:t>
      </w:r>
      <w:r w:rsidR="00AD30AB" w:rsidRPr="00B87BE1">
        <w:rPr>
          <w:rFonts w:ascii="Traditional Arabic" w:hAnsi="Traditional Arabic" w:cs="Traditional Arabic"/>
          <w:b/>
          <w:color w:val="0D0D0D" w:themeColor="text1" w:themeTint="F2"/>
          <w:sz w:val="24"/>
          <w:szCs w:val="24"/>
          <w:rtl/>
        </w:rPr>
        <w:t>و</w:t>
      </w:r>
      <w:r w:rsidR="00A10F1C" w:rsidRPr="00B87BE1">
        <w:rPr>
          <w:rFonts w:ascii="Traditional Arabic" w:hAnsi="Traditional Arabic" w:cs="Traditional Arabic"/>
          <w:b/>
          <w:color w:val="0D0D0D" w:themeColor="text1" w:themeTint="F2"/>
          <w:sz w:val="24"/>
          <w:szCs w:val="24"/>
          <w:rtl/>
        </w:rPr>
        <w:t>العتوم</w:t>
      </w:r>
      <w:r w:rsidR="00AD30AB" w:rsidRPr="00B87BE1">
        <w:rPr>
          <w:rFonts w:ascii="Traditional Arabic" w:hAnsi="Traditional Arabic" w:cs="Traditional Arabic"/>
          <w:b/>
          <w:color w:val="0D0D0D" w:themeColor="text1" w:themeTint="F2"/>
          <w:sz w:val="24"/>
          <w:szCs w:val="24"/>
          <w:rtl/>
        </w:rPr>
        <w:t xml:space="preserve"> (</w:t>
      </w:r>
      <w:r w:rsidR="00A10F1C" w:rsidRPr="00B87BE1">
        <w:rPr>
          <w:rFonts w:ascii="Traditional Arabic" w:hAnsi="Traditional Arabic" w:cs="Traditional Arabic"/>
          <w:b/>
          <w:color w:val="0D0D0D" w:themeColor="text1" w:themeTint="F2"/>
          <w:sz w:val="24"/>
          <w:szCs w:val="24"/>
          <w:rtl/>
        </w:rPr>
        <w:t>2020</w:t>
      </w:r>
      <w:r w:rsidR="00AD30AB" w:rsidRPr="00B87BE1">
        <w:rPr>
          <w:rFonts w:ascii="Traditional Arabic" w:hAnsi="Traditional Arabic" w:cs="Traditional Arabic"/>
          <w:b/>
          <w:color w:val="0D0D0D" w:themeColor="text1" w:themeTint="F2"/>
          <w:sz w:val="24"/>
          <w:szCs w:val="24"/>
          <w:rtl/>
        </w:rPr>
        <w:t>)</w:t>
      </w:r>
      <w:r w:rsidR="00A10F1C" w:rsidRPr="00B87BE1">
        <w:rPr>
          <w:rFonts w:ascii="Traditional Arabic" w:hAnsi="Traditional Arabic" w:cs="Traditional Arabic"/>
          <w:b/>
          <w:color w:val="0D0D0D" w:themeColor="text1" w:themeTint="F2"/>
          <w:sz w:val="24"/>
          <w:szCs w:val="24"/>
          <w:rtl/>
        </w:rPr>
        <w:t xml:space="preserve"> </w:t>
      </w:r>
      <w:r w:rsidR="00AD30AB" w:rsidRPr="00B87BE1">
        <w:rPr>
          <w:rFonts w:ascii="Traditional Arabic" w:hAnsi="Traditional Arabic" w:cs="Traditional Arabic"/>
          <w:b/>
          <w:color w:val="0D0D0D" w:themeColor="text1" w:themeTint="F2"/>
          <w:sz w:val="24"/>
          <w:szCs w:val="24"/>
          <w:rtl/>
        </w:rPr>
        <w:t>و</w:t>
      </w:r>
      <w:r w:rsidR="00643684" w:rsidRPr="00B87BE1">
        <w:rPr>
          <w:rFonts w:ascii="Traditional Arabic" w:hAnsi="Traditional Arabic" w:cs="Traditional Arabic"/>
          <w:b/>
          <w:color w:val="0D0D0D" w:themeColor="text1" w:themeTint="F2"/>
          <w:sz w:val="24"/>
          <w:szCs w:val="24"/>
          <w:rtl/>
        </w:rPr>
        <w:t xml:space="preserve">عبيدات </w:t>
      </w:r>
      <w:r w:rsidR="00AD30AB" w:rsidRPr="00B87BE1">
        <w:rPr>
          <w:rFonts w:ascii="Traditional Arabic" w:hAnsi="Traditional Arabic" w:cs="Traditional Arabic"/>
          <w:b/>
          <w:color w:val="0D0D0D" w:themeColor="text1" w:themeTint="F2"/>
          <w:sz w:val="24"/>
          <w:szCs w:val="24"/>
          <w:rtl/>
        </w:rPr>
        <w:t>(</w:t>
      </w:r>
      <w:r w:rsidR="00643684" w:rsidRPr="00B87BE1">
        <w:rPr>
          <w:rFonts w:ascii="Traditional Arabic" w:hAnsi="Traditional Arabic" w:cs="Traditional Arabic"/>
          <w:b/>
          <w:color w:val="0D0D0D" w:themeColor="text1" w:themeTint="F2"/>
          <w:sz w:val="24"/>
          <w:szCs w:val="24"/>
          <w:rtl/>
        </w:rPr>
        <w:t xml:space="preserve">2022) إلى بيان العلاقة بين ذكاء الأعمال وبعض المتغيرات مثل أداء العاملين بالبنك حيث خلصت الدراسة إلى وجود علاقة طردية </w:t>
      </w:r>
      <w:r w:rsidR="00F44A9C" w:rsidRPr="00B87BE1">
        <w:rPr>
          <w:rFonts w:ascii="Traditional Arabic" w:hAnsi="Traditional Arabic" w:cs="Traditional Arabic"/>
          <w:b/>
          <w:color w:val="0D0D0D" w:themeColor="text1" w:themeTint="F2"/>
          <w:sz w:val="24"/>
          <w:szCs w:val="24"/>
          <w:rtl/>
        </w:rPr>
        <w:t>إ</w:t>
      </w:r>
      <w:r w:rsidR="00643684" w:rsidRPr="00B87BE1">
        <w:rPr>
          <w:rFonts w:ascii="Traditional Arabic" w:hAnsi="Traditional Arabic" w:cs="Traditional Arabic"/>
          <w:b/>
          <w:color w:val="0D0D0D" w:themeColor="text1" w:themeTint="F2"/>
          <w:sz w:val="24"/>
          <w:szCs w:val="24"/>
          <w:rtl/>
        </w:rPr>
        <w:t>يجابية بين ذكاء الأعمال و</w:t>
      </w:r>
      <w:r w:rsidR="00157AE1" w:rsidRPr="00B87BE1">
        <w:rPr>
          <w:rFonts w:ascii="Traditional Arabic" w:hAnsi="Traditional Arabic" w:cs="Traditional Arabic"/>
          <w:b/>
          <w:color w:val="0D0D0D" w:themeColor="text1" w:themeTint="F2"/>
          <w:sz w:val="24"/>
          <w:szCs w:val="24"/>
          <w:rtl/>
        </w:rPr>
        <w:t>أداء العاملين وأيضا</w:t>
      </w:r>
      <w:r w:rsidR="00F44A9C" w:rsidRPr="00B87BE1">
        <w:rPr>
          <w:rFonts w:ascii="Traditional Arabic" w:hAnsi="Traditional Arabic" w:cs="Traditional Arabic"/>
          <w:b/>
          <w:color w:val="0D0D0D" w:themeColor="text1" w:themeTint="F2"/>
          <w:sz w:val="24"/>
          <w:szCs w:val="24"/>
          <w:rtl/>
        </w:rPr>
        <w:t>ً</w:t>
      </w:r>
      <w:r w:rsidR="00157AE1" w:rsidRPr="00B87BE1">
        <w:rPr>
          <w:rFonts w:ascii="Traditional Arabic" w:hAnsi="Traditional Arabic" w:cs="Traditional Arabic"/>
          <w:b/>
          <w:color w:val="0D0D0D" w:themeColor="text1" w:themeTint="F2"/>
          <w:sz w:val="24"/>
          <w:szCs w:val="24"/>
          <w:rtl/>
        </w:rPr>
        <w:t xml:space="preserve"> إلى علاقة ذكاء الأعمال واتخاذ قرارات </w:t>
      </w:r>
      <w:r w:rsidR="00115502" w:rsidRPr="00B87BE1">
        <w:rPr>
          <w:rFonts w:ascii="Traditional Arabic" w:hAnsi="Traditional Arabic" w:cs="Traditional Arabic"/>
          <w:b/>
          <w:color w:val="0D0D0D" w:themeColor="text1" w:themeTint="F2"/>
          <w:sz w:val="24"/>
          <w:szCs w:val="24"/>
          <w:rtl/>
        </w:rPr>
        <w:t>استراتيجي</w:t>
      </w:r>
      <w:r w:rsidR="00157AE1" w:rsidRPr="00B87BE1">
        <w:rPr>
          <w:rFonts w:ascii="Traditional Arabic" w:hAnsi="Traditional Arabic" w:cs="Traditional Arabic"/>
          <w:b/>
          <w:color w:val="0D0D0D" w:themeColor="text1" w:themeTint="F2"/>
          <w:sz w:val="24"/>
          <w:szCs w:val="24"/>
          <w:rtl/>
        </w:rPr>
        <w:t>ة قابلة للتنفيذ، حيث تمتلك ذكاء الأعمال (</w:t>
      </w:r>
      <w:r w:rsidR="00157AE1" w:rsidRPr="00B87BE1">
        <w:rPr>
          <w:rFonts w:ascii="Traditional Arabic" w:hAnsi="Traditional Arabic" w:cs="Traditional Arabic"/>
          <w:bCs/>
          <w:color w:val="0D0D0D" w:themeColor="text1" w:themeTint="F2"/>
          <w:sz w:val="24"/>
          <w:szCs w:val="24"/>
        </w:rPr>
        <w:t>BI</w:t>
      </w:r>
      <w:r w:rsidR="00157AE1" w:rsidRPr="00B87BE1">
        <w:rPr>
          <w:rFonts w:ascii="Traditional Arabic" w:hAnsi="Traditional Arabic" w:cs="Traditional Arabic"/>
          <w:b/>
          <w:color w:val="0D0D0D" w:themeColor="text1" w:themeTint="F2"/>
          <w:sz w:val="24"/>
          <w:szCs w:val="24"/>
          <w:rtl/>
        </w:rPr>
        <w:t>) القدرات التي تدعم اتخاذ القرارات العليا للأعمال</w:t>
      </w:r>
      <w:r w:rsidR="008F6BD3" w:rsidRPr="00B87BE1">
        <w:rPr>
          <w:rFonts w:ascii="Traditional Arabic" w:hAnsi="Traditional Arabic" w:cs="Traditional Arabic"/>
          <w:b/>
          <w:color w:val="0D0D0D" w:themeColor="text1" w:themeTint="F2"/>
          <w:sz w:val="24"/>
          <w:szCs w:val="24"/>
          <w:rtl/>
        </w:rPr>
        <w:t xml:space="preserve">، كما </w:t>
      </w:r>
      <w:r w:rsidR="008F2F7B" w:rsidRPr="00B87BE1">
        <w:rPr>
          <w:rFonts w:ascii="Traditional Arabic" w:hAnsi="Traditional Arabic" w:cs="Traditional Arabic"/>
          <w:b/>
          <w:color w:val="0D0D0D" w:themeColor="text1" w:themeTint="F2"/>
          <w:sz w:val="24"/>
          <w:szCs w:val="24"/>
          <w:rtl/>
        </w:rPr>
        <w:t xml:space="preserve">أشارت إلى </w:t>
      </w:r>
      <w:r w:rsidR="008F6BD3" w:rsidRPr="00B87BE1">
        <w:rPr>
          <w:rFonts w:ascii="Traditional Arabic" w:hAnsi="Traditional Arabic" w:cs="Traditional Arabic"/>
          <w:b/>
          <w:color w:val="0D0D0D" w:themeColor="text1" w:themeTint="F2"/>
          <w:sz w:val="24"/>
          <w:szCs w:val="24"/>
          <w:rtl/>
        </w:rPr>
        <w:t>وجود أثر  لذكاء الأعمال بأبعاده المجتمعة (الذكاء التنافسي، جمع وتحليل البيانات، كفاية التقنيات ال</w:t>
      </w:r>
      <w:r w:rsidR="00115502" w:rsidRPr="00B87BE1">
        <w:rPr>
          <w:rFonts w:ascii="Traditional Arabic" w:hAnsi="Traditional Arabic" w:cs="Traditional Arabic"/>
          <w:b/>
          <w:color w:val="0D0D0D" w:themeColor="text1" w:themeTint="F2"/>
          <w:sz w:val="24"/>
          <w:szCs w:val="24"/>
          <w:rtl/>
        </w:rPr>
        <w:t>استراتيجي</w:t>
      </w:r>
      <w:r w:rsidR="008F6BD3" w:rsidRPr="00B87BE1">
        <w:rPr>
          <w:rFonts w:ascii="Traditional Arabic" w:hAnsi="Traditional Arabic" w:cs="Traditional Arabic"/>
          <w:b/>
          <w:color w:val="0D0D0D" w:themeColor="text1" w:themeTint="F2"/>
          <w:sz w:val="24"/>
          <w:szCs w:val="24"/>
          <w:rtl/>
        </w:rPr>
        <w:t>ة، إدارة أداء الأعمال) على إدارة الأزمات في البنوك التجارية</w:t>
      </w:r>
      <w:r w:rsidR="00F44A9C" w:rsidRPr="00B87BE1">
        <w:rPr>
          <w:rFonts w:ascii="Traditional Arabic" w:hAnsi="Traditional Arabic" w:cs="Traditional Arabic"/>
          <w:b/>
          <w:color w:val="0D0D0D" w:themeColor="text1" w:themeTint="F2"/>
          <w:sz w:val="24"/>
          <w:szCs w:val="24"/>
          <w:rtl/>
        </w:rPr>
        <w:t>.</w:t>
      </w:r>
    </w:p>
    <w:p w14:paraId="1C943154" w14:textId="11D48214" w:rsidR="00E113A9" w:rsidRPr="0090573F" w:rsidRDefault="0090573F" w:rsidP="00E113A9">
      <w:pPr>
        <w:bidi/>
        <w:spacing w:after="240" w:line="360" w:lineRule="auto"/>
        <w:jc w:val="both"/>
        <w:rPr>
          <w:rFonts w:ascii="Traditional Arabic" w:hAnsi="Traditional Arabic" w:cs="Traditional Arabic"/>
          <w:bCs/>
          <w:color w:val="0D0D0D" w:themeColor="text1" w:themeTint="F2"/>
          <w:sz w:val="24"/>
          <w:szCs w:val="24"/>
          <w:rtl/>
        </w:rPr>
      </w:pPr>
      <w:r w:rsidRPr="0090573F">
        <w:rPr>
          <w:rFonts w:ascii="Traditional Arabic" w:hAnsi="Traditional Arabic" w:cs="Traditional Arabic"/>
          <w:bCs/>
          <w:color w:val="0D0D0D" w:themeColor="text1" w:themeTint="F2"/>
          <w:sz w:val="24"/>
          <w:szCs w:val="24"/>
          <w:highlight w:val="yellow"/>
        </w:rPr>
        <w:t>H2</w:t>
      </w:r>
      <w:r w:rsidRPr="0090573F">
        <w:rPr>
          <w:rFonts w:ascii="Traditional Arabic" w:hAnsi="Traditional Arabic" w:cs="Traditional Arabic"/>
          <w:bCs/>
          <w:color w:val="0D0D0D" w:themeColor="text1" w:themeTint="F2"/>
          <w:sz w:val="24"/>
          <w:szCs w:val="24"/>
          <w:highlight w:val="yellow"/>
          <w:rtl/>
        </w:rPr>
        <w:t>: تؤثر جودة القرارات الاستراتيجية تأثيراً إيجابياً ذا دلالة إحصائية في الابتكار التنظيمي في المصارف العاملة بمدينة الرياض عند مستوى دلالة (</w:t>
      </w:r>
      <w:r w:rsidRPr="0090573F">
        <w:rPr>
          <w:rFonts w:ascii="Cambria" w:hAnsi="Cambria" w:cs="Cambria"/>
          <w:bCs/>
          <w:color w:val="0D0D0D" w:themeColor="text1" w:themeTint="F2"/>
          <w:sz w:val="24"/>
          <w:szCs w:val="24"/>
          <w:highlight w:val="yellow"/>
        </w:rPr>
        <w:t>α</w:t>
      </w:r>
      <w:r w:rsidRPr="0090573F">
        <w:rPr>
          <w:rFonts w:ascii="Traditional Arabic" w:hAnsi="Traditional Arabic" w:cs="Traditional Arabic"/>
          <w:bCs/>
          <w:color w:val="0D0D0D" w:themeColor="text1" w:themeTint="F2"/>
          <w:sz w:val="24"/>
          <w:szCs w:val="24"/>
          <w:highlight w:val="yellow"/>
        </w:rPr>
        <w:t xml:space="preserve"> &lt; 0.05</w:t>
      </w:r>
      <w:r w:rsidRPr="0090573F">
        <w:rPr>
          <w:rFonts w:ascii="Traditional Arabic" w:hAnsi="Traditional Arabic" w:cs="Traditional Arabic"/>
          <w:bCs/>
          <w:color w:val="0D0D0D" w:themeColor="text1" w:themeTint="F2"/>
          <w:sz w:val="24"/>
          <w:szCs w:val="24"/>
          <w:highlight w:val="yellow"/>
          <w:rtl/>
        </w:rPr>
        <w:t>)</w:t>
      </w:r>
      <w:r w:rsidR="00683601" w:rsidRPr="0090573F">
        <w:rPr>
          <w:rFonts w:ascii="Traditional Arabic" w:hAnsi="Traditional Arabic" w:cs="Traditional Arabic"/>
          <w:bCs/>
          <w:color w:val="0D0D0D" w:themeColor="text1" w:themeTint="F2"/>
          <w:sz w:val="24"/>
          <w:szCs w:val="24"/>
          <w:highlight w:val="yellow"/>
          <w:rtl/>
        </w:rPr>
        <w:t>.</w:t>
      </w:r>
    </w:p>
    <w:p w14:paraId="14594FB8" w14:textId="6E380610" w:rsidR="00B51432" w:rsidRPr="00B87BE1" w:rsidRDefault="00B51432"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تناولت بعض ال</w:t>
      </w:r>
      <w:r w:rsidR="006E70D3" w:rsidRPr="00B87BE1">
        <w:rPr>
          <w:rFonts w:ascii="Traditional Arabic" w:hAnsi="Traditional Arabic" w:cs="Traditional Arabic"/>
          <w:b/>
          <w:color w:val="0D0D0D" w:themeColor="text1" w:themeTint="F2"/>
          <w:sz w:val="24"/>
          <w:szCs w:val="24"/>
          <w:rtl/>
        </w:rPr>
        <w:t>د</w:t>
      </w:r>
      <w:r w:rsidRPr="00B87BE1">
        <w:rPr>
          <w:rFonts w:ascii="Traditional Arabic" w:hAnsi="Traditional Arabic" w:cs="Traditional Arabic"/>
          <w:b/>
          <w:color w:val="0D0D0D" w:themeColor="text1" w:themeTint="F2"/>
          <w:sz w:val="24"/>
          <w:szCs w:val="24"/>
          <w:rtl/>
        </w:rPr>
        <w:t>راسات العلاقة بين الذكاء واتخاذ ال</w:t>
      </w:r>
      <w:r w:rsidR="006E70D3" w:rsidRPr="00B87BE1">
        <w:rPr>
          <w:rFonts w:ascii="Traditional Arabic" w:hAnsi="Traditional Arabic" w:cs="Traditional Arabic"/>
          <w:b/>
          <w:color w:val="0D0D0D" w:themeColor="text1" w:themeTint="F2"/>
          <w:sz w:val="24"/>
          <w:szCs w:val="24"/>
          <w:rtl/>
        </w:rPr>
        <w:t>قرارات ال</w:t>
      </w:r>
      <w:r w:rsidR="00115502" w:rsidRPr="00B87BE1">
        <w:rPr>
          <w:rFonts w:ascii="Traditional Arabic" w:hAnsi="Traditional Arabic" w:cs="Traditional Arabic"/>
          <w:b/>
          <w:color w:val="0D0D0D" w:themeColor="text1" w:themeTint="F2"/>
          <w:sz w:val="24"/>
          <w:szCs w:val="24"/>
          <w:rtl/>
        </w:rPr>
        <w:t>استراتيجي</w:t>
      </w:r>
      <w:r w:rsidR="006E70D3" w:rsidRPr="00B87BE1">
        <w:rPr>
          <w:rFonts w:ascii="Traditional Arabic" w:hAnsi="Traditional Arabic" w:cs="Traditional Arabic"/>
          <w:b/>
          <w:color w:val="0D0D0D" w:themeColor="text1" w:themeTint="F2"/>
          <w:sz w:val="24"/>
          <w:szCs w:val="24"/>
          <w:rtl/>
        </w:rPr>
        <w:t>ة منها در</w:t>
      </w:r>
      <w:r w:rsidR="00F44A9C" w:rsidRPr="00B87BE1">
        <w:rPr>
          <w:rFonts w:ascii="Traditional Arabic" w:hAnsi="Traditional Arabic" w:cs="Traditional Arabic"/>
          <w:b/>
          <w:color w:val="0D0D0D" w:themeColor="text1" w:themeTint="F2"/>
          <w:sz w:val="24"/>
          <w:szCs w:val="24"/>
          <w:rtl/>
        </w:rPr>
        <w:t>ا</w:t>
      </w:r>
      <w:r w:rsidR="006E70D3" w:rsidRPr="00B87BE1">
        <w:rPr>
          <w:rFonts w:ascii="Traditional Arabic" w:hAnsi="Traditional Arabic" w:cs="Traditional Arabic"/>
          <w:b/>
          <w:color w:val="0D0D0D" w:themeColor="text1" w:themeTint="F2"/>
          <w:sz w:val="24"/>
          <w:szCs w:val="24"/>
          <w:rtl/>
        </w:rPr>
        <w:t xml:space="preserve">سة فريد </w:t>
      </w:r>
      <w:r w:rsidR="00F44A9C" w:rsidRPr="00B87BE1">
        <w:rPr>
          <w:rFonts w:ascii="Traditional Arabic" w:hAnsi="Traditional Arabic" w:cs="Traditional Arabic"/>
          <w:b/>
          <w:color w:val="0D0D0D" w:themeColor="text1" w:themeTint="F2"/>
          <w:sz w:val="24"/>
          <w:szCs w:val="24"/>
          <w:rtl/>
        </w:rPr>
        <w:t>و</w:t>
      </w:r>
      <w:r w:rsidR="006E70D3" w:rsidRPr="00B87BE1">
        <w:rPr>
          <w:rFonts w:ascii="Traditional Arabic" w:hAnsi="Traditional Arabic" w:cs="Traditional Arabic"/>
          <w:b/>
          <w:color w:val="0D0D0D" w:themeColor="text1" w:themeTint="F2"/>
          <w:sz w:val="24"/>
          <w:szCs w:val="24"/>
          <w:rtl/>
        </w:rPr>
        <w:t xml:space="preserve">عامر </w:t>
      </w:r>
      <w:r w:rsidR="00F44A9C" w:rsidRPr="00B87BE1">
        <w:rPr>
          <w:rFonts w:ascii="Traditional Arabic" w:hAnsi="Traditional Arabic" w:cs="Traditional Arabic"/>
          <w:b/>
          <w:color w:val="0D0D0D" w:themeColor="text1" w:themeTint="F2"/>
          <w:sz w:val="24"/>
          <w:szCs w:val="24"/>
          <w:rtl/>
        </w:rPr>
        <w:t>(</w:t>
      </w:r>
      <w:r w:rsidR="006E70D3" w:rsidRPr="00B87BE1">
        <w:rPr>
          <w:rFonts w:ascii="Traditional Arabic" w:hAnsi="Traditional Arabic" w:cs="Traditional Arabic"/>
          <w:b/>
          <w:color w:val="0D0D0D" w:themeColor="text1" w:themeTint="F2"/>
          <w:sz w:val="24"/>
          <w:szCs w:val="24"/>
          <w:rtl/>
        </w:rPr>
        <w:t>2021) والتي  هدفت</w:t>
      </w:r>
      <w:r w:rsidRPr="00B87BE1">
        <w:rPr>
          <w:rFonts w:ascii="Traditional Arabic" w:hAnsi="Traditional Arabic" w:cs="Traditional Arabic"/>
          <w:b/>
          <w:color w:val="0D0D0D" w:themeColor="text1" w:themeTint="F2"/>
          <w:sz w:val="24"/>
          <w:szCs w:val="24"/>
          <w:rtl/>
        </w:rPr>
        <w:t xml:space="preserve"> للتعرف على العلاقة بين أبعاد </w:t>
      </w:r>
      <w:r w:rsidR="00AD30AB" w:rsidRPr="00B87BE1">
        <w:rPr>
          <w:rFonts w:ascii="Traditional Arabic" w:hAnsi="Traditional Arabic" w:cs="Traditional Arabic"/>
          <w:b/>
          <w:color w:val="0D0D0D" w:themeColor="text1" w:themeTint="F2"/>
          <w:sz w:val="24"/>
          <w:szCs w:val="24"/>
          <w:rtl/>
        </w:rPr>
        <w:t>الذكاء</w:t>
      </w:r>
      <w:r w:rsidR="00F44A9C" w:rsidRPr="00B87BE1">
        <w:rPr>
          <w:rFonts w:ascii="Traditional Arabic" w:hAnsi="Traditional Arabic" w:cs="Traditional Arabic"/>
          <w:b/>
          <w:color w:val="0D0D0D" w:themeColor="text1" w:themeTint="F2"/>
          <w:sz w:val="24"/>
          <w:szCs w:val="24"/>
          <w:rtl/>
        </w:rPr>
        <w:t xml:space="preserve">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 (</w:t>
      </w:r>
      <w:r w:rsidR="001A3490" w:rsidRPr="00B87BE1">
        <w:rPr>
          <w:rFonts w:ascii="Traditional Arabic" w:hAnsi="Traditional Arabic" w:cs="Traditional Arabic"/>
          <w:b/>
          <w:color w:val="0D0D0D" w:themeColor="text1" w:themeTint="F2"/>
          <w:sz w:val="24"/>
          <w:szCs w:val="24"/>
          <w:rtl/>
        </w:rPr>
        <w:t>الاستشراف</w:t>
      </w:r>
      <w:r w:rsidRPr="00B87BE1">
        <w:rPr>
          <w:rFonts w:ascii="Traditional Arabic" w:hAnsi="Traditional Arabic" w:cs="Traditional Arabic"/>
          <w:b/>
          <w:color w:val="0D0D0D" w:themeColor="text1" w:themeTint="F2"/>
          <w:sz w:val="24"/>
          <w:szCs w:val="24"/>
          <w:rtl/>
        </w:rPr>
        <w:t xml:space="preserve">، </w:t>
      </w:r>
      <w:r w:rsidR="001A3490" w:rsidRPr="00B87BE1">
        <w:rPr>
          <w:rFonts w:ascii="Traditional Arabic" w:hAnsi="Traditional Arabic" w:cs="Traditional Arabic"/>
          <w:b/>
          <w:color w:val="0D0D0D" w:themeColor="text1" w:themeTint="F2"/>
          <w:sz w:val="24"/>
          <w:szCs w:val="24"/>
          <w:rtl/>
        </w:rPr>
        <w:t>الرؤية</w:t>
      </w:r>
      <w:r w:rsidRPr="00B87BE1">
        <w:rPr>
          <w:rFonts w:ascii="Traditional Arabic" w:hAnsi="Traditional Arabic" w:cs="Traditional Arabic"/>
          <w:b/>
          <w:color w:val="0D0D0D" w:themeColor="text1" w:themeTint="F2"/>
          <w:sz w:val="24"/>
          <w:szCs w:val="24"/>
          <w:rtl/>
        </w:rPr>
        <w:t xml:space="preserve"> </w:t>
      </w:r>
      <w:r w:rsidR="001A3490" w:rsidRPr="00B87BE1">
        <w:rPr>
          <w:rFonts w:ascii="Traditional Arabic" w:hAnsi="Traditional Arabic" w:cs="Traditional Arabic"/>
          <w:b/>
          <w:color w:val="0D0D0D" w:themeColor="text1" w:themeTint="F2"/>
          <w:sz w:val="24"/>
          <w:szCs w:val="24"/>
          <w:rtl/>
        </w:rPr>
        <w:t>المستقبلية</w:t>
      </w:r>
      <w:r w:rsidRPr="00B87BE1">
        <w:rPr>
          <w:rFonts w:ascii="Traditional Arabic" w:hAnsi="Traditional Arabic" w:cs="Traditional Arabic"/>
          <w:b/>
          <w:color w:val="0D0D0D" w:themeColor="text1" w:themeTint="F2"/>
          <w:sz w:val="24"/>
          <w:szCs w:val="24"/>
          <w:rtl/>
        </w:rPr>
        <w:t xml:space="preserve">، التفكير النظامي، </w:t>
      </w:r>
      <w:r w:rsidR="001A3490" w:rsidRPr="00B87BE1">
        <w:rPr>
          <w:rFonts w:ascii="Traditional Arabic" w:hAnsi="Traditional Arabic" w:cs="Traditional Arabic"/>
          <w:b/>
          <w:color w:val="0D0D0D" w:themeColor="text1" w:themeTint="F2"/>
          <w:sz w:val="24"/>
          <w:szCs w:val="24"/>
          <w:rtl/>
        </w:rPr>
        <w:t>الشراكة</w:t>
      </w:r>
      <w:r w:rsidRPr="00B87BE1">
        <w:rPr>
          <w:rFonts w:ascii="Traditional Arabic" w:hAnsi="Traditional Arabic" w:cs="Traditional Arabic"/>
          <w:b/>
          <w:color w:val="0D0D0D" w:themeColor="text1" w:themeTint="F2"/>
          <w:sz w:val="24"/>
          <w:szCs w:val="24"/>
          <w:rtl/>
        </w:rPr>
        <w:t xml:space="preserve">) </w:t>
      </w:r>
      <w:r w:rsidR="00F44A9C" w:rsidRPr="00B87BE1">
        <w:rPr>
          <w:rFonts w:ascii="Traditional Arabic" w:hAnsi="Traditional Arabic" w:cs="Traditional Arabic"/>
          <w:b/>
          <w:color w:val="0D0D0D" w:themeColor="text1" w:themeTint="F2"/>
          <w:sz w:val="24"/>
          <w:szCs w:val="24"/>
          <w:rtl/>
        </w:rPr>
        <w:t>واتخاذ</w:t>
      </w:r>
      <w:r w:rsidRPr="00B87BE1">
        <w:rPr>
          <w:rFonts w:ascii="Traditional Arabic" w:hAnsi="Traditional Arabic" w:cs="Traditional Arabic"/>
          <w:b/>
          <w:color w:val="0D0D0D" w:themeColor="text1" w:themeTint="F2"/>
          <w:sz w:val="24"/>
          <w:szCs w:val="24"/>
          <w:rtl/>
        </w:rPr>
        <w:t xml:space="preserve"> </w:t>
      </w:r>
      <w:r w:rsidR="001A3490" w:rsidRPr="00B87BE1">
        <w:rPr>
          <w:rFonts w:ascii="Traditional Arabic" w:hAnsi="Traditional Arabic" w:cs="Traditional Arabic"/>
          <w:b/>
          <w:color w:val="0D0D0D" w:themeColor="text1" w:themeTint="F2"/>
          <w:sz w:val="24"/>
          <w:szCs w:val="24"/>
          <w:rtl/>
        </w:rPr>
        <w:t xml:space="preserve"> القرارات </w:t>
      </w:r>
      <w:r w:rsidRPr="00B87BE1">
        <w:rPr>
          <w:rFonts w:ascii="Traditional Arabic" w:hAnsi="Traditional Arabic" w:cs="Traditional Arabic"/>
          <w:b/>
          <w:color w:val="0D0D0D" w:themeColor="text1" w:themeTint="F2"/>
          <w:sz w:val="24"/>
          <w:szCs w:val="24"/>
          <w:rtl/>
        </w:rPr>
        <w:t>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الرشيدة مع دراسة أثر الخبرة الدولية لمتخذ القرار كمتغير معدل في العلاقة بين بين المتغير المستقل (أبعاد الذكاء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والمتغير التابع (اتخاذ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ة)، وتوصلت الدراسة إلى النتائج التالية وجود علاقة معنوية </w:t>
      </w:r>
      <w:r w:rsidR="00F44A9C" w:rsidRPr="00B87BE1">
        <w:rPr>
          <w:rFonts w:ascii="Traditional Arabic" w:hAnsi="Traditional Arabic" w:cs="Traditional Arabic"/>
          <w:b/>
          <w:color w:val="0D0D0D" w:themeColor="text1" w:themeTint="F2"/>
          <w:sz w:val="24"/>
          <w:szCs w:val="24"/>
          <w:rtl/>
        </w:rPr>
        <w:t>إ</w:t>
      </w:r>
      <w:r w:rsidRPr="00B87BE1">
        <w:rPr>
          <w:rFonts w:ascii="Traditional Arabic" w:hAnsi="Traditional Arabic" w:cs="Traditional Arabic"/>
          <w:b/>
          <w:color w:val="0D0D0D" w:themeColor="text1" w:themeTint="F2"/>
          <w:sz w:val="24"/>
          <w:szCs w:val="24"/>
          <w:rtl/>
        </w:rPr>
        <w:t>يجابية بين أبعاد الذكاء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 والقرارات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ة الرشيدة، كما توصلت الدارسة إلى وجود تأثير معنوي إيجابي للخبرة الدولية لمتخذ القرار كمتغير </w:t>
      </w:r>
      <w:r w:rsidR="00C969AE" w:rsidRPr="00B87BE1">
        <w:rPr>
          <w:rFonts w:ascii="Traditional Arabic" w:hAnsi="Traditional Arabic" w:cs="Traditional Arabic"/>
          <w:b/>
          <w:color w:val="0D0D0D" w:themeColor="text1" w:themeTint="F2"/>
          <w:sz w:val="24"/>
          <w:szCs w:val="24"/>
          <w:rtl/>
        </w:rPr>
        <w:t>يدل</w:t>
      </w:r>
      <w:r w:rsidRPr="00B87BE1">
        <w:rPr>
          <w:rFonts w:ascii="Traditional Arabic" w:hAnsi="Traditional Arabic" w:cs="Traditional Arabic"/>
          <w:b/>
          <w:color w:val="0D0D0D" w:themeColor="text1" w:themeTint="F2"/>
          <w:sz w:val="24"/>
          <w:szCs w:val="24"/>
          <w:rtl/>
        </w:rPr>
        <w:t xml:space="preserve"> على العلاقة بين المتغير المستقل (أبعاد الذكاء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والمتغير التابع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w:t>
      </w:r>
      <w:r w:rsidR="006E70D3" w:rsidRPr="00B87BE1">
        <w:rPr>
          <w:rFonts w:ascii="Traditional Arabic" w:hAnsi="Traditional Arabic" w:cs="Traditional Arabic"/>
          <w:b/>
          <w:color w:val="0D0D0D" w:themeColor="text1" w:themeTint="F2"/>
          <w:sz w:val="24"/>
          <w:szCs w:val="24"/>
          <w:rtl/>
        </w:rPr>
        <w:t>.</w:t>
      </w:r>
    </w:p>
    <w:p w14:paraId="52C8618A" w14:textId="319A5C26" w:rsidR="00683601" w:rsidRPr="0090573F" w:rsidRDefault="0090573F" w:rsidP="00683601">
      <w:pPr>
        <w:bidi/>
        <w:spacing w:after="240" w:line="360" w:lineRule="auto"/>
        <w:jc w:val="both"/>
        <w:rPr>
          <w:rFonts w:ascii="Traditional Arabic" w:hAnsi="Traditional Arabic" w:cs="Traditional Arabic"/>
          <w:bCs/>
          <w:color w:val="0D0D0D" w:themeColor="text1" w:themeTint="F2"/>
          <w:sz w:val="24"/>
          <w:szCs w:val="24"/>
        </w:rPr>
      </w:pPr>
      <w:r w:rsidRPr="0090573F">
        <w:rPr>
          <w:rFonts w:ascii="Traditional Arabic" w:hAnsi="Traditional Arabic" w:cs="Traditional Arabic"/>
          <w:bCs/>
          <w:color w:val="0D0D0D" w:themeColor="text1" w:themeTint="F2"/>
          <w:sz w:val="24"/>
          <w:szCs w:val="24"/>
          <w:highlight w:val="yellow"/>
        </w:rPr>
        <w:t>H3</w:t>
      </w:r>
      <w:r w:rsidRPr="0090573F">
        <w:rPr>
          <w:rFonts w:ascii="Traditional Arabic" w:hAnsi="Traditional Arabic" w:cs="Traditional Arabic"/>
          <w:bCs/>
          <w:color w:val="0D0D0D" w:themeColor="text1" w:themeTint="F2"/>
          <w:sz w:val="24"/>
          <w:szCs w:val="24"/>
          <w:highlight w:val="yellow"/>
          <w:rtl/>
        </w:rPr>
        <w:t xml:space="preserve">: يؤثر قبول أنظمة ذكاء الأعمال (وفق نموذج </w:t>
      </w:r>
      <w:r w:rsidRPr="0090573F">
        <w:rPr>
          <w:rFonts w:ascii="Traditional Arabic" w:hAnsi="Traditional Arabic" w:cs="Traditional Arabic"/>
          <w:bCs/>
          <w:color w:val="0D0D0D" w:themeColor="text1" w:themeTint="F2"/>
          <w:sz w:val="24"/>
          <w:szCs w:val="24"/>
          <w:highlight w:val="yellow"/>
        </w:rPr>
        <w:t>TAM</w:t>
      </w:r>
      <w:r w:rsidRPr="0090573F">
        <w:rPr>
          <w:rFonts w:ascii="Traditional Arabic" w:hAnsi="Traditional Arabic" w:cs="Traditional Arabic"/>
          <w:bCs/>
          <w:color w:val="0D0D0D" w:themeColor="text1" w:themeTint="F2"/>
          <w:sz w:val="24"/>
          <w:szCs w:val="24"/>
          <w:highlight w:val="yellow"/>
          <w:rtl/>
        </w:rPr>
        <w:t>) تأثيراً إيجابياً ذا دلالة إحصائية في الابتكار التنظيمي في المصارف العاملة بمدينة الرياض عند مستوى دلالة (</w:t>
      </w:r>
      <w:r w:rsidRPr="0090573F">
        <w:rPr>
          <w:rFonts w:ascii="Cambria" w:hAnsi="Cambria" w:cs="Cambria"/>
          <w:bCs/>
          <w:color w:val="0D0D0D" w:themeColor="text1" w:themeTint="F2"/>
          <w:sz w:val="24"/>
          <w:szCs w:val="24"/>
          <w:highlight w:val="yellow"/>
        </w:rPr>
        <w:t>α</w:t>
      </w:r>
      <w:r w:rsidRPr="0090573F">
        <w:rPr>
          <w:rFonts w:ascii="Traditional Arabic" w:hAnsi="Traditional Arabic" w:cs="Traditional Arabic"/>
          <w:bCs/>
          <w:color w:val="0D0D0D" w:themeColor="text1" w:themeTint="F2"/>
          <w:sz w:val="24"/>
          <w:szCs w:val="24"/>
          <w:highlight w:val="yellow"/>
        </w:rPr>
        <w:t xml:space="preserve"> &lt; 0.05</w:t>
      </w:r>
      <w:r w:rsidRPr="0090573F">
        <w:rPr>
          <w:rFonts w:ascii="Traditional Arabic" w:hAnsi="Traditional Arabic" w:cs="Traditional Arabic"/>
          <w:bCs/>
          <w:color w:val="0D0D0D" w:themeColor="text1" w:themeTint="F2"/>
          <w:sz w:val="24"/>
          <w:szCs w:val="24"/>
          <w:highlight w:val="yellow"/>
          <w:rtl/>
        </w:rPr>
        <w:t>)</w:t>
      </w:r>
      <w:r w:rsidR="0051327F" w:rsidRPr="0090573F">
        <w:rPr>
          <w:rFonts w:ascii="Traditional Arabic" w:hAnsi="Traditional Arabic" w:cs="Traditional Arabic"/>
          <w:bCs/>
          <w:color w:val="0D0D0D" w:themeColor="text1" w:themeTint="F2"/>
          <w:sz w:val="24"/>
          <w:szCs w:val="24"/>
          <w:highlight w:val="yellow"/>
          <w:rtl/>
        </w:rPr>
        <w:t>.</w:t>
      </w:r>
    </w:p>
    <w:p w14:paraId="6325CCBB" w14:textId="02649275" w:rsidR="00865B01" w:rsidRPr="00B87BE1" w:rsidRDefault="002240EF"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 xml:space="preserve">وهذا ما خلصت إليه </w:t>
      </w:r>
      <w:r w:rsidR="00356F12" w:rsidRPr="00B87BE1">
        <w:rPr>
          <w:rFonts w:ascii="Traditional Arabic" w:hAnsi="Traditional Arabic" w:cs="Traditional Arabic"/>
          <w:b/>
          <w:color w:val="0D0D0D" w:themeColor="text1" w:themeTint="F2"/>
          <w:sz w:val="24"/>
          <w:szCs w:val="24"/>
          <w:rtl/>
        </w:rPr>
        <w:t xml:space="preserve">الدراسات التالية الوكيل </w:t>
      </w:r>
      <w:r w:rsidR="00C969AE" w:rsidRPr="00B87BE1">
        <w:rPr>
          <w:rFonts w:ascii="Traditional Arabic" w:hAnsi="Traditional Arabic" w:cs="Traditional Arabic"/>
          <w:b/>
          <w:color w:val="0D0D0D" w:themeColor="text1" w:themeTint="F2"/>
          <w:sz w:val="24"/>
          <w:szCs w:val="24"/>
          <w:rtl/>
        </w:rPr>
        <w:t>(</w:t>
      </w:r>
      <w:r w:rsidR="00356F12" w:rsidRPr="00B87BE1">
        <w:rPr>
          <w:rFonts w:ascii="Traditional Arabic" w:hAnsi="Traditional Arabic" w:cs="Traditional Arabic"/>
          <w:b/>
          <w:color w:val="0D0D0D" w:themeColor="text1" w:themeTint="F2"/>
          <w:sz w:val="24"/>
          <w:szCs w:val="24"/>
          <w:rtl/>
        </w:rPr>
        <w:t>202</w:t>
      </w:r>
      <w:r w:rsidR="00204EA0" w:rsidRPr="00B87BE1">
        <w:rPr>
          <w:rFonts w:ascii="Traditional Arabic" w:hAnsi="Traditional Arabic" w:cs="Traditional Arabic"/>
          <w:b/>
          <w:color w:val="0D0D0D" w:themeColor="text1" w:themeTint="F2"/>
          <w:sz w:val="24"/>
          <w:szCs w:val="24"/>
          <w:rtl/>
        </w:rPr>
        <w:t>1</w:t>
      </w:r>
      <w:r w:rsidR="00C969AE" w:rsidRPr="00B87BE1">
        <w:rPr>
          <w:rFonts w:ascii="Traditional Arabic" w:hAnsi="Traditional Arabic" w:cs="Traditional Arabic"/>
          <w:b/>
          <w:color w:val="0D0D0D" w:themeColor="text1" w:themeTint="F2"/>
          <w:sz w:val="24"/>
          <w:szCs w:val="24"/>
          <w:rtl/>
        </w:rPr>
        <w:t>)</w:t>
      </w:r>
      <w:r w:rsidR="00356F12" w:rsidRPr="00B87BE1">
        <w:rPr>
          <w:rFonts w:ascii="Traditional Arabic" w:hAnsi="Traditional Arabic" w:cs="Traditional Arabic"/>
          <w:b/>
          <w:color w:val="0D0D0D" w:themeColor="text1" w:themeTint="F2"/>
          <w:sz w:val="24"/>
          <w:szCs w:val="24"/>
          <w:rtl/>
        </w:rPr>
        <w:t xml:space="preserve"> </w:t>
      </w:r>
      <w:r w:rsidR="00C969AE" w:rsidRPr="00B87BE1">
        <w:rPr>
          <w:rFonts w:ascii="Traditional Arabic" w:hAnsi="Traditional Arabic" w:cs="Traditional Arabic"/>
          <w:b/>
          <w:color w:val="0D0D0D" w:themeColor="text1" w:themeTint="F2"/>
          <w:sz w:val="24"/>
          <w:szCs w:val="24"/>
          <w:rtl/>
        </w:rPr>
        <w:t>و</w:t>
      </w:r>
      <w:r w:rsidR="00204EA0" w:rsidRPr="00B87BE1">
        <w:rPr>
          <w:rFonts w:ascii="Traditional Arabic" w:hAnsi="Traditional Arabic" w:cs="Traditional Arabic"/>
          <w:b/>
          <w:color w:val="0D0D0D" w:themeColor="text1" w:themeTint="F2"/>
          <w:sz w:val="24"/>
          <w:szCs w:val="24"/>
          <w:rtl/>
        </w:rPr>
        <w:t xml:space="preserve">جديد </w:t>
      </w:r>
      <w:r w:rsidR="00C969AE" w:rsidRPr="00B87BE1">
        <w:rPr>
          <w:rFonts w:ascii="Traditional Arabic" w:hAnsi="Traditional Arabic" w:cs="Traditional Arabic"/>
          <w:b/>
          <w:color w:val="0D0D0D" w:themeColor="text1" w:themeTint="F2"/>
          <w:sz w:val="24"/>
          <w:szCs w:val="24"/>
          <w:rtl/>
        </w:rPr>
        <w:t>(</w:t>
      </w:r>
      <w:r w:rsidR="00204EA0" w:rsidRPr="00B87BE1">
        <w:rPr>
          <w:rFonts w:ascii="Traditional Arabic" w:hAnsi="Traditional Arabic" w:cs="Traditional Arabic"/>
          <w:b/>
          <w:color w:val="0D0D0D" w:themeColor="text1" w:themeTint="F2"/>
          <w:sz w:val="24"/>
          <w:szCs w:val="24"/>
          <w:rtl/>
        </w:rPr>
        <w:t>2020</w:t>
      </w:r>
      <w:r w:rsidR="00C969AE" w:rsidRPr="00B87BE1">
        <w:rPr>
          <w:rFonts w:ascii="Traditional Arabic" w:hAnsi="Traditional Arabic" w:cs="Traditional Arabic"/>
          <w:b/>
          <w:color w:val="0D0D0D" w:themeColor="text1" w:themeTint="F2"/>
          <w:sz w:val="24"/>
          <w:szCs w:val="24"/>
          <w:rtl/>
        </w:rPr>
        <w:t>)</w:t>
      </w:r>
      <w:r w:rsidR="00204EA0" w:rsidRPr="00B87BE1">
        <w:rPr>
          <w:rFonts w:ascii="Traditional Arabic" w:hAnsi="Traditional Arabic" w:cs="Traditional Arabic"/>
          <w:b/>
          <w:color w:val="0D0D0D" w:themeColor="text1" w:themeTint="F2"/>
          <w:sz w:val="24"/>
          <w:szCs w:val="24"/>
          <w:rtl/>
        </w:rPr>
        <w:t xml:space="preserve"> </w:t>
      </w:r>
      <w:r w:rsidR="00C969AE" w:rsidRPr="00B87BE1">
        <w:rPr>
          <w:rFonts w:ascii="Traditional Arabic" w:hAnsi="Traditional Arabic" w:cs="Traditional Arabic"/>
          <w:b/>
          <w:color w:val="0D0D0D" w:themeColor="text1" w:themeTint="F2"/>
          <w:sz w:val="24"/>
          <w:szCs w:val="24"/>
          <w:rtl/>
        </w:rPr>
        <w:t>و</w:t>
      </w:r>
      <w:r w:rsidR="00356F12" w:rsidRPr="00B87BE1">
        <w:rPr>
          <w:rFonts w:ascii="Traditional Arabic" w:hAnsi="Traditional Arabic" w:cs="Traditional Arabic"/>
          <w:b/>
          <w:color w:val="0D0D0D" w:themeColor="text1" w:themeTint="F2"/>
          <w:sz w:val="24"/>
          <w:szCs w:val="24"/>
          <w:rtl/>
        </w:rPr>
        <w:t xml:space="preserve">أحمد </w:t>
      </w:r>
      <w:r w:rsidR="00C969AE" w:rsidRPr="00B87BE1">
        <w:rPr>
          <w:rFonts w:ascii="Traditional Arabic" w:hAnsi="Traditional Arabic" w:cs="Traditional Arabic"/>
          <w:b/>
          <w:color w:val="0D0D0D" w:themeColor="text1" w:themeTint="F2"/>
          <w:sz w:val="24"/>
          <w:szCs w:val="24"/>
          <w:rtl/>
        </w:rPr>
        <w:t>(</w:t>
      </w:r>
      <w:r w:rsidR="00356F12" w:rsidRPr="00B87BE1">
        <w:rPr>
          <w:rFonts w:ascii="Traditional Arabic" w:hAnsi="Traditional Arabic" w:cs="Traditional Arabic"/>
          <w:b/>
          <w:color w:val="0D0D0D" w:themeColor="text1" w:themeTint="F2"/>
          <w:sz w:val="24"/>
          <w:szCs w:val="24"/>
          <w:rtl/>
        </w:rPr>
        <w:t>2019</w:t>
      </w:r>
      <w:r w:rsidR="00204EA0" w:rsidRPr="00B87BE1">
        <w:rPr>
          <w:rFonts w:ascii="Traditional Arabic" w:hAnsi="Traditional Arabic" w:cs="Traditional Arabic"/>
          <w:b/>
          <w:color w:val="0D0D0D" w:themeColor="text1" w:themeTint="F2"/>
          <w:sz w:val="24"/>
          <w:szCs w:val="24"/>
          <w:rtl/>
        </w:rPr>
        <w:t>)</w:t>
      </w:r>
      <w:r w:rsidR="00D47CDE" w:rsidRPr="00B87BE1">
        <w:rPr>
          <w:rFonts w:ascii="Traditional Arabic" w:hAnsi="Traditional Arabic" w:cs="Traditional Arabic"/>
          <w:b/>
          <w:color w:val="0D0D0D" w:themeColor="text1" w:themeTint="F2"/>
          <w:sz w:val="24"/>
          <w:szCs w:val="24"/>
          <w:rtl/>
        </w:rPr>
        <w:t xml:space="preserve"> حيث وجدت </w:t>
      </w:r>
      <w:r w:rsidR="00095386" w:rsidRPr="00B87BE1">
        <w:rPr>
          <w:rFonts w:ascii="Traditional Arabic" w:hAnsi="Traditional Arabic" w:cs="Traditional Arabic"/>
          <w:b/>
          <w:color w:val="0D0D0D" w:themeColor="text1" w:themeTint="F2"/>
          <w:sz w:val="24"/>
          <w:szCs w:val="24"/>
          <w:rtl/>
        </w:rPr>
        <w:t>علاقات ارتباط</w:t>
      </w:r>
      <w:r w:rsidR="00D47CDE" w:rsidRPr="00B87BE1">
        <w:rPr>
          <w:rFonts w:ascii="Traditional Arabic" w:hAnsi="Traditional Arabic" w:cs="Traditional Arabic"/>
          <w:b/>
          <w:color w:val="0D0D0D" w:themeColor="text1" w:themeTint="F2"/>
          <w:sz w:val="24"/>
          <w:szCs w:val="24"/>
          <w:rtl/>
        </w:rPr>
        <w:t>ية</w:t>
      </w:r>
      <w:r w:rsidR="00095386" w:rsidRPr="00B87BE1">
        <w:rPr>
          <w:rFonts w:ascii="Traditional Arabic" w:hAnsi="Traditional Arabic" w:cs="Traditional Arabic"/>
          <w:b/>
          <w:color w:val="0D0D0D" w:themeColor="text1" w:themeTint="F2"/>
          <w:sz w:val="24"/>
          <w:szCs w:val="24"/>
          <w:rtl/>
        </w:rPr>
        <w:t xml:space="preserve"> والتأثير عند مستوى معنوية 0.05</w:t>
      </w:r>
      <w:r w:rsidR="00095386" w:rsidRPr="00B87BE1">
        <w:rPr>
          <w:rFonts w:ascii="Traditional Arabic" w:hAnsi="Traditional Arabic" w:cs="Traditional Arabic"/>
          <w:bCs/>
          <w:color w:val="0D0D0D" w:themeColor="text1" w:themeTint="F2"/>
          <w:sz w:val="24"/>
          <w:szCs w:val="24"/>
          <w:rtl/>
        </w:rPr>
        <w:t>=</w:t>
      </w:r>
      <w:r w:rsidR="00095386" w:rsidRPr="00B87BE1">
        <w:rPr>
          <w:rFonts w:ascii="Cambria" w:hAnsi="Cambria" w:cs="Cambria"/>
          <w:bCs/>
          <w:color w:val="0D0D0D" w:themeColor="text1" w:themeTint="F2"/>
          <w:sz w:val="24"/>
          <w:szCs w:val="24"/>
        </w:rPr>
        <w:t>α</w:t>
      </w:r>
      <w:r w:rsidR="00095386" w:rsidRPr="00B87BE1">
        <w:rPr>
          <w:rFonts w:ascii="Traditional Arabic" w:hAnsi="Traditional Arabic" w:cs="Traditional Arabic"/>
          <w:b/>
          <w:color w:val="0D0D0D" w:themeColor="text1" w:themeTint="F2"/>
          <w:sz w:val="24"/>
          <w:szCs w:val="24"/>
          <w:rtl/>
        </w:rPr>
        <w:t xml:space="preserve"> بين متغيرات البحث </w:t>
      </w:r>
      <w:r w:rsidR="00C969AE" w:rsidRPr="00B87BE1">
        <w:rPr>
          <w:rFonts w:ascii="Traditional Arabic" w:hAnsi="Traditional Arabic" w:cs="Traditional Arabic"/>
          <w:b/>
          <w:color w:val="0D0D0D" w:themeColor="text1" w:themeTint="F2"/>
          <w:sz w:val="24"/>
          <w:szCs w:val="24"/>
          <w:rtl/>
        </w:rPr>
        <w:t xml:space="preserve">المتمثلة في </w:t>
      </w:r>
      <w:r w:rsidR="00095386" w:rsidRPr="00B87BE1">
        <w:rPr>
          <w:rFonts w:ascii="Traditional Arabic" w:hAnsi="Traditional Arabic" w:cs="Traditional Arabic"/>
          <w:b/>
          <w:color w:val="0D0D0D" w:themeColor="text1" w:themeTint="F2"/>
          <w:sz w:val="24"/>
          <w:szCs w:val="24"/>
          <w:rtl/>
        </w:rPr>
        <w:t>ال</w:t>
      </w:r>
      <w:r w:rsidR="00115502" w:rsidRPr="00B87BE1">
        <w:rPr>
          <w:rFonts w:ascii="Traditional Arabic" w:hAnsi="Traditional Arabic" w:cs="Traditional Arabic"/>
          <w:b/>
          <w:color w:val="0D0D0D" w:themeColor="text1" w:themeTint="F2"/>
          <w:sz w:val="24"/>
          <w:szCs w:val="24"/>
          <w:rtl/>
        </w:rPr>
        <w:t>ابتكار</w:t>
      </w:r>
      <w:r w:rsidR="00095386" w:rsidRPr="00B87BE1">
        <w:rPr>
          <w:rFonts w:ascii="Traditional Arabic" w:hAnsi="Traditional Arabic" w:cs="Traditional Arabic"/>
          <w:b/>
          <w:color w:val="0D0D0D" w:themeColor="text1" w:themeTint="F2"/>
          <w:sz w:val="24"/>
          <w:szCs w:val="24"/>
          <w:rtl/>
        </w:rPr>
        <w:t xml:space="preserve"> المؤسسي التنظيمي والبشر</w:t>
      </w:r>
      <w:r w:rsidR="00C969AE" w:rsidRPr="00B87BE1">
        <w:rPr>
          <w:rFonts w:ascii="Traditional Arabic" w:hAnsi="Traditional Arabic" w:cs="Traditional Arabic"/>
          <w:b/>
          <w:color w:val="0D0D0D" w:themeColor="text1" w:themeTint="F2"/>
          <w:sz w:val="24"/>
          <w:szCs w:val="24"/>
          <w:rtl/>
        </w:rPr>
        <w:t>ي</w:t>
      </w:r>
      <w:r w:rsidR="00095386" w:rsidRPr="00B87BE1">
        <w:rPr>
          <w:rFonts w:ascii="Traditional Arabic" w:hAnsi="Traditional Arabic" w:cs="Traditional Arabic"/>
          <w:b/>
          <w:color w:val="0D0D0D" w:themeColor="text1" w:themeTint="F2"/>
          <w:sz w:val="24"/>
          <w:szCs w:val="24"/>
          <w:rtl/>
        </w:rPr>
        <w:t xml:space="preserve"> وبين الصورة الذهنية للبنك والصورة الذهنية للبنك من وجهة نظر الموظفين</w:t>
      </w:r>
      <w:r w:rsidR="00C336B6" w:rsidRPr="00B87BE1">
        <w:rPr>
          <w:rFonts w:ascii="Traditional Arabic" w:hAnsi="Traditional Arabic" w:cs="Traditional Arabic"/>
          <w:b/>
          <w:color w:val="0D0D0D" w:themeColor="text1" w:themeTint="F2"/>
          <w:sz w:val="24"/>
          <w:szCs w:val="24"/>
          <w:rtl/>
        </w:rPr>
        <w:t>، وأيضا</w:t>
      </w:r>
      <w:r w:rsidR="00C969AE" w:rsidRPr="00B87BE1">
        <w:rPr>
          <w:rFonts w:ascii="Traditional Arabic" w:hAnsi="Traditional Arabic" w:cs="Traditional Arabic"/>
          <w:b/>
          <w:color w:val="0D0D0D" w:themeColor="text1" w:themeTint="F2"/>
          <w:sz w:val="24"/>
          <w:szCs w:val="24"/>
          <w:rtl/>
        </w:rPr>
        <w:t>ً</w:t>
      </w:r>
      <w:r w:rsidR="00C336B6" w:rsidRPr="00B87BE1">
        <w:rPr>
          <w:rFonts w:ascii="Traditional Arabic" w:hAnsi="Traditional Arabic" w:cs="Traditional Arabic"/>
          <w:b/>
          <w:color w:val="0D0D0D" w:themeColor="text1" w:themeTint="F2"/>
          <w:sz w:val="24"/>
          <w:szCs w:val="24"/>
          <w:rtl/>
        </w:rPr>
        <w:t xml:space="preserve"> العلاقة بين ال</w:t>
      </w:r>
      <w:r w:rsidR="00115502" w:rsidRPr="00B87BE1">
        <w:rPr>
          <w:rFonts w:ascii="Traditional Arabic" w:hAnsi="Traditional Arabic" w:cs="Traditional Arabic"/>
          <w:b/>
          <w:color w:val="0D0D0D" w:themeColor="text1" w:themeTint="F2"/>
          <w:sz w:val="24"/>
          <w:szCs w:val="24"/>
          <w:rtl/>
        </w:rPr>
        <w:t>ابتكار</w:t>
      </w:r>
      <w:r w:rsidR="00C336B6" w:rsidRPr="00B87BE1">
        <w:rPr>
          <w:rFonts w:ascii="Traditional Arabic" w:hAnsi="Traditional Arabic" w:cs="Traditional Arabic"/>
          <w:b/>
          <w:color w:val="0D0D0D" w:themeColor="text1" w:themeTint="F2"/>
          <w:sz w:val="24"/>
          <w:szCs w:val="24"/>
          <w:rtl/>
        </w:rPr>
        <w:t xml:space="preserve"> التنظيمي والميزة التنافسية حيث </w:t>
      </w:r>
      <w:r w:rsidR="00095386" w:rsidRPr="00B87BE1">
        <w:rPr>
          <w:rFonts w:ascii="Traditional Arabic" w:hAnsi="Traditional Arabic" w:cs="Traditional Arabic"/>
          <w:b/>
          <w:color w:val="0D0D0D" w:themeColor="text1" w:themeTint="F2"/>
          <w:sz w:val="24"/>
          <w:szCs w:val="24"/>
          <w:rtl/>
        </w:rPr>
        <w:t>وجد</w:t>
      </w:r>
      <w:r w:rsidR="00C336B6" w:rsidRPr="00B87BE1">
        <w:rPr>
          <w:rFonts w:ascii="Traditional Arabic" w:hAnsi="Traditional Arabic" w:cs="Traditional Arabic"/>
          <w:b/>
          <w:color w:val="0D0D0D" w:themeColor="text1" w:themeTint="F2"/>
          <w:sz w:val="24"/>
          <w:szCs w:val="24"/>
          <w:rtl/>
        </w:rPr>
        <w:t>ت</w:t>
      </w:r>
      <w:r w:rsidR="00095386" w:rsidRPr="00B87BE1">
        <w:rPr>
          <w:rFonts w:ascii="Traditional Arabic" w:hAnsi="Traditional Arabic" w:cs="Traditional Arabic"/>
          <w:b/>
          <w:color w:val="0D0D0D" w:themeColor="text1" w:themeTint="F2"/>
          <w:sz w:val="24"/>
          <w:szCs w:val="24"/>
          <w:rtl/>
        </w:rPr>
        <w:t xml:space="preserve"> علاقة طردية ضعيفة بين ال</w:t>
      </w:r>
      <w:r w:rsidR="00115502" w:rsidRPr="00B87BE1">
        <w:rPr>
          <w:rFonts w:ascii="Traditional Arabic" w:hAnsi="Traditional Arabic" w:cs="Traditional Arabic"/>
          <w:b/>
          <w:color w:val="0D0D0D" w:themeColor="text1" w:themeTint="F2"/>
          <w:sz w:val="24"/>
          <w:szCs w:val="24"/>
          <w:rtl/>
        </w:rPr>
        <w:t>ابتكار</w:t>
      </w:r>
      <w:r w:rsidR="00095386" w:rsidRPr="00B87BE1">
        <w:rPr>
          <w:rFonts w:ascii="Traditional Arabic" w:hAnsi="Traditional Arabic" w:cs="Traditional Arabic"/>
          <w:b/>
          <w:color w:val="0D0D0D" w:themeColor="text1" w:themeTint="F2"/>
          <w:sz w:val="24"/>
          <w:szCs w:val="24"/>
          <w:rtl/>
        </w:rPr>
        <w:t xml:space="preserve"> التنظيمي المتوافر في المصرف محل الدراسة وبين قدرة المصرف على تحقيق الميزة التنافسية ضمن الظروف الراهنة</w:t>
      </w:r>
      <w:r w:rsidR="00C336B6" w:rsidRPr="00B87BE1">
        <w:rPr>
          <w:rFonts w:ascii="Traditional Arabic" w:hAnsi="Traditional Arabic" w:cs="Traditional Arabic"/>
          <w:b/>
          <w:color w:val="0D0D0D" w:themeColor="text1" w:themeTint="F2"/>
          <w:sz w:val="24"/>
          <w:szCs w:val="24"/>
          <w:rtl/>
        </w:rPr>
        <w:t>، وبين ترتيبات العمل وال</w:t>
      </w:r>
      <w:r w:rsidR="00115502" w:rsidRPr="00B87BE1">
        <w:rPr>
          <w:rFonts w:ascii="Traditional Arabic" w:hAnsi="Traditional Arabic" w:cs="Traditional Arabic"/>
          <w:b/>
          <w:color w:val="0D0D0D" w:themeColor="text1" w:themeTint="F2"/>
          <w:sz w:val="24"/>
          <w:szCs w:val="24"/>
          <w:rtl/>
        </w:rPr>
        <w:t>ابتكار</w:t>
      </w:r>
      <w:r w:rsidR="00C336B6" w:rsidRPr="00B87BE1">
        <w:rPr>
          <w:rFonts w:ascii="Traditional Arabic" w:hAnsi="Traditional Arabic" w:cs="Traditional Arabic"/>
          <w:b/>
          <w:color w:val="0D0D0D" w:themeColor="text1" w:themeTint="F2"/>
          <w:sz w:val="24"/>
          <w:szCs w:val="24"/>
          <w:rtl/>
        </w:rPr>
        <w:t xml:space="preserve"> التنظيمي، حيث </w:t>
      </w:r>
      <w:r w:rsidR="00C969AE" w:rsidRPr="00B87BE1">
        <w:rPr>
          <w:rFonts w:ascii="Traditional Arabic" w:hAnsi="Traditional Arabic" w:cs="Traditional Arabic"/>
          <w:b/>
          <w:color w:val="0D0D0D" w:themeColor="text1" w:themeTint="F2"/>
          <w:sz w:val="24"/>
          <w:szCs w:val="24"/>
          <w:rtl/>
        </w:rPr>
        <w:t xml:space="preserve">تدل </w:t>
      </w:r>
      <w:r w:rsidR="00C336B6" w:rsidRPr="00B87BE1">
        <w:rPr>
          <w:rFonts w:ascii="Traditional Arabic" w:hAnsi="Traditional Arabic" w:cs="Traditional Arabic"/>
          <w:b/>
          <w:color w:val="0D0D0D" w:themeColor="text1" w:themeTint="F2"/>
          <w:sz w:val="24"/>
          <w:szCs w:val="24"/>
          <w:rtl/>
        </w:rPr>
        <w:t>ال</w:t>
      </w:r>
      <w:r w:rsidR="00204EA0" w:rsidRPr="00B87BE1">
        <w:rPr>
          <w:rFonts w:ascii="Traditional Arabic" w:hAnsi="Traditional Arabic" w:cs="Traditional Arabic"/>
          <w:b/>
          <w:color w:val="0D0D0D" w:themeColor="text1" w:themeTint="F2"/>
          <w:sz w:val="24"/>
          <w:szCs w:val="24"/>
          <w:rtl/>
        </w:rPr>
        <w:t xml:space="preserve">نتائج </w:t>
      </w:r>
      <w:r w:rsidR="00C336B6" w:rsidRPr="00B87BE1">
        <w:rPr>
          <w:rFonts w:ascii="Traditional Arabic" w:hAnsi="Traditional Arabic" w:cs="Traditional Arabic"/>
          <w:b/>
          <w:color w:val="0D0D0D" w:themeColor="text1" w:themeTint="F2"/>
          <w:sz w:val="24"/>
          <w:szCs w:val="24"/>
          <w:rtl/>
        </w:rPr>
        <w:t>ع</w:t>
      </w:r>
      <w:r w:rsidR="00C969AE" w:rsidRPr="00B87BE1">
        <w:rPr>
          <w:rFonts w:ascii="Traditional Arabic" w:hAnsi="Traditional Arabic" w:cs="Traditional Arabic"/>
          <w:b/>
          <w:color w:val="0D0D0D" w:themeColor="text1" w:themeTint="F2"/>
          <w:sz w:val="24"/>
          <w:szCs w:val="24"/>
          <w:rtl/>
        </w:rPr>
        <w:t>لى</w:t>
      </w:r>
      <w:r w:rsidR="00C336B6" w:rsidRPr="00B87BE1">
        <w:rPr>
          <w:rFonts w:ascii="Traditional Arabic" w:hAnsi="Traditional Arabic" w:cs="Traditional Arabic"/>
          <w:b/>
          <w:color w:val="0D0D0D" w:themeColor="text1" w:themeTint="F2"/>
          <w:sz w:val="24"/>
          <w:szCs w:val="24"/>
          <w:rtl/>
        </w:rPr>
        <w:t xml:space="preserve"> </w:t>
      </w:r>
      <w:r w:rsidR="00204EA0" w:rsidRPr="00B87BE1">
        <w:rPr>
          <w:rFonts w:ascii="Traditional Arabic" w:hAnsi="Traditional Arabic" w:cs="Traditional Arabic"/>
          <w:b/>
          <w:color w:val="0D0D0D" w:themeColor="text1" w:themeTint="F2"/>
          <w:sz w:val="24"/>
          <w:szCs w:val="24"/>
          <w:rtl/>
        </w:rPr>
        <w:t xml:space="preserve"> وجو</w:t>
      </w:r>
      <w:r w:rsidR="001D08F6" w:rsidRPr="00B87BE1">
        <w:rPr>
          <w:rFonts w:ascii="Traditional Arabic" w:hAnsi="Traditional Arabic" w:cs="Traditional Arabic"/>
          <w:b/>
          <w:color w:val="0D0D0D" w:themeColor="text1" w:themeTint="F2"/>
          <w:sz w:val="24"/>
          <w:szCs w:val="24"/>
          <w:rtl/>
        </w:rPr>
        <w:t xml:space="preserve">د </w:t>
      </w:r>
      <w:r w:rsidR="00204EA0" w:rsidRPr="00B87BE1">
        <w:rPr>
          <w:rFonts w:ascii="Traditional Arabic" w:hAnsi="Traditional Arabic" w:cs="Traditional Arabic"/>
          <w:b/>
          <w:color w:val="0D0D0D" w:themeColor="text1" w:themeTint="F2"/>
          <w:sz w:val="24"/>
          <w:szCs w:val="24"/>
          <w:rtl/>
        </w:rPr>
        <w:lastRenderedPageBreak/>
        <w:t>ارتباط معنوي إيجابي بين كلا</w:t>
      </w:r>
      <w:r w:rsidR="00C969AE" w:rsidRPr="00B87BE1">
        <w:rPr>
          <w:rFonts w:ascii="Traditional Arabic" w:hAnsi="Traditional Arabic" w:cs="Traditional Arabic"/>
          <w:b/>
          <w:color w:val="0D0D0D" w:themeColor="text1" w:themeTint="F2"/>
          <w:sz w:val="24"/>
          <w:szCs w:val="24"/>
          <w:rtl/>
        </w:rPr>
        <w:t>ً</w:t>
      </w:r>
      <w:r w:rsidR="00204EA0" w:rsidRPr="00B87BE1">
        <w:rPr>
          <w:rFonts w:ascii="Traditional Arabic" w:hAnsi="Traditional Arabic" w:cs="Traditional Arabic"/>
          <w:b/>
          <w:color w:val="0D0D0D" w:themeColor="text1" w:themeTint="F2"/>
          <w:sz w:val="24"/>
          <w:szCs w:val="24"/>
          <w:rtl/>
        </w:rPr>
        <w:t xml:space="preserve"> من أبعاد ترتيبات العمل المرن وأبعاد ال</w:t>
      </w:r>
      <w:r w:rsidR="00115502" w:rsidRPr="00B87BE1">
        <w:rPr>
          <w:rFonts w:ascii="Traditional Arabic" w:hAnsi="Traditional Arabic" w:cs="Traditional Arabic"/>
          <w:b/>
          <w:color w:val="0D0D0D" w:themeColor="text1" w:themeTint="F2"/>
          <w:sz w:val="24"/>
          <w:szCs w:val="24"/>
          <w:rtl/>
        </w:rPr>
        <w:t>ابتكار</w:t>
      </w:r>
      <w:r w:rsidR="00204EA0" w:rsidRPr="00B87BE1">
        <w:rPr>
          <w:rFonts w:ascii="Traditional Arabic" w:hAnsi="Traditional Arabic" w:cs="Traditional Arabic"/>
          <w:b/>
          <w:color w:val="0D0D0D" w:themeColor="text1" w:themeTint="F2"/>
          <w:sz w:val="24"/>
          <w:szCs w:val="24"/>
          <w:rtl/>
        </w:rPr>
        <w:t xml:space="preserve"> التنظيمي، ووجود ارتباط معنوي إيجابي قوي بين المرونة في كمية العمل، ووجود تأثير معنوي إيجابي بين كلا</w:t>
      </w:r>
      <w:r w:rsidR="00C969AE" w:rsidRPr="00B87BE1">
        <w:rPr>
          <w:rFonts w:ascii="Traditional Arabic" w:hAnsi="Traditional Arabic" w:cs="Traditional Arabic"/>
          <w:b/>
          <w:color w:val="0D0D0D" w:themeColor="text1" w:themeTint="F2"/>
          <w:sz w:val="24"/>
          <w:szCs w:val="24"/>
          <w:rtl/>
        </w:rPr>
        <w:t>ً</w:t>
      </w:r>
      <w:r w:rsidR="00204EA0" w:rsidRPr="00B87BE1">
        <w:rPr>
          <w:rFonts w:ascii="Traditional Arabic" w:hAnsi="Traditional Arabic" w:cs="Traditional Arabic"/>
          <w:b/>
          <w:color w:val="0D0D0D" w:themeColor="text1" w:themeTint="F2"/>
          <w:sz w:val="24"/>
          <w:szCs w:val="24"/>
          <w:rtl/>
        </w:rPr>
        <w:t xml:space="preserve"> من المرونة في مكان العمل</w:t>
      </w:r>
      <w:r w:rsidR="001D08F6" w:rsidRPr="00B87BE1">
        <w:rPr>
          <w:rFonts w:ascii="Traditional Arabic" w:hAnsi="Traditional Arabic" w:cs="Traditional Arabic"/>
          <w:b/>
          <w:color w:val="0D0D0D" w:themeColor="text1" w:themeTint="F2"/>
          <w:sz w:val="24"/>
          <w:szCs w:val="24"/>
          <w:rtl/>
        </w:rPr>
        <w:t>،</w:t>
      </w:r>
      <w:r w:rsidR="00204EA0" w:rsidRPr="00B87BE1">
        <w:rPr>
          <w:rFonts w:ascii="Traditional Arabic" w:hAnsi="Traditional Arabic" w:cs="Traditional Arabic"/>
          <w:b/>
          <w:color w:val="0D0D0D" w:themeColor="text1" w:themeTint="F2"/>
          <w:sz w:val="24"/>
          <w:szCs w:val="24"/>
          <w:rtl/>
        </w:rPr>
        <w:t xml:space="preserve"> والمرونة في استمرارية العمل على </w:t>
      </w:r>
      <w:r w:rsidR="00115502" w:rsidRPr="00B87BE1">
        <w:rPr>
          <w:rFonts w:ascii="Traditional Arabic" w:hAnsi="Traditional Arabic" w:cs="Traditional Arabic"/>
          <w:b/>
          <w:color w:val="0D0D0D" w:themeColor="text1" w:themeTint="F2"/>
          <w:sz w:val="24"/>
          <w:szCs w:val="24"/>
          <w:rtl/>
        </w:rPr>
        <w:t>ابتكار</w:t>
      </w:r>
      <w:r w:rsidR="00204EA0" w:rsidRPr="00B87BE1">
        <w:rPr>
          <w:rFonts w:ascii="Traditional Arabic" w:hAnsi="Traditional Arabic" w:cs="Traditional Arabic"/>
          <w:b/>
          <w:color w:val="0D0D0D" w:themeColor="text1" w:themeTint="F2"/>
          <w:sz w:val="24"/>
          <w:szCs w:val="24"/>
          <w:rtl/>
        </w:rPr>
        <w:t xml:space="preserve"> المنتج والعملية</w:t>
      </w:r>
      <w:r w:rsidR="00C969AE" w:rsidRPr="00B87BE1">
        <w:rPr>
          <w:rFonts w:ascii="Traditional Arabic" w:hAnsi="Traditional Arabic" w:cs="Traditional Arabic"/>
          <w:b/>
          <w:color w:val="0D0D0D" w:themeColor="text1" w:themeTint="F2"/>
          <w:sz w:val="24"/>
          <w:szCs w:val="24"/>
          <w:rtl/>
        </w:rPr>
        <w:t>.</w:t>
      </w:r>
    </w:p>
    <w:p w14:paraId="283D74E3" w14:textId="2D06AF61" w:rsidR="0051327F" w:rsidRPr="0090573F" w:rsidRDefault="0090573F" w:rsidP="0051327F">
      <w:pPr>
        <w:bidi/>
        <w:spacing w:after="240" w:line="360" w:lineRule="auto"/>
        <w:jc w:val="both"/>
        <w:rPr>
          <w:rFonts w:ascii="Traditional Arabic" w:hAnsi="Traditional Arabic" w:cs="Traditional Arabic"/>
          <w:bCs/>
          <w:color w:val="0D0D0D" w:themeColor="text1" w:themeTint="F2"/>
          <w:sz w:val="24"/>
          <w:szCs w:val="24"/>
        </w:rPr>
      </w:pPr>
      <w:r w:rsidRPr="0090573F">
        <w:rPr>
          <w:rFonts w:ascii="Traditional Arabic" w:hAnsi="Traditional Arabic" w:cs="Traditional Arabic"/>
          <w:bCs/>
          <w:color w:val="0D0D0D" w:themeColor="text1" w:themeTint="F2"/>
          <w:sz w:val="24"/>
          <w:szCs w:val="24"/>
          <w:highlight w:val="yellow"/>
        </w:rPr>
        <w:t>H4</w:t>
      </w:r>
      <w:r w:rsidRPr="0090573F">
        <w:rPr>
          <w:rFonts w:ascii="Traditional Arabic" w:hAnsi="Traditional Arabic" w:cs="Traditional Arabic"/>
          <w:bCs/>
          <w:color w:val="0D0D0D" w:themeColor="text1" w:themeTint="F2"/>
          <w:sz w:val="24"/>
          <w:szCs w:val="24"/>
          <w:highlight w:val="yellow"/>
          <w:rtl/>
        </w:rPr>
        <w:t>: تتوسط جودة القرارات الاستراتيجية وساطةً جزئية العلاقةَ بين قبول أنظمة ذكاء الأعمال والابتكار التنظيمي في المصارف العاملة بمدينة الرياض عند مستوى دلالة (</w:t>
      </w:r>
      <w:r w:rsidRPr="0090573F">
        <w:rPr>
          <w:rFonts w:ascii="Cambria" w:hAnsi="Cambria" w:cs="Cambria"/>
          <w:bCs/>
          <w:color w:val="0D0D0D" w:themeColor="text1" w:themeTint="F2"/>
          <w:sz w:val="24"/>
          <w:szCs w:val="24"/>
          <w:highlight w:val="yellow"/>
        </w:rPr>
        <w:t>α</w:t>
      </w:r>
      <w:r w:rsidRPr="0090573F">
        <w:rPr>
          <w:rFonts w:ascii="Traditional Arabic" w:hAnsi="Traditional Arabic" w:cs="Traditional Arabic"/>
          <w:bCs/>
          <w:color w:val="0D0D0D" w:themeColor="text1" w:themeTint="F2"/>
          <w:sz w:val="24"/>
          <w:szCs w:val="24"/>
          <w:highlight w:val="yellow"/>
        </w:rPr>
        <w:t xml:space="preserve"> &lt; 0.05</w:t>
      </w:r>
      <w:r w:rsidRPr="0090573F">
        <w:rPr>
          <w:rFonts w:ascii="Traditional Arabic" w:hAnsi="Traditional Arabic" w:cs="Traditional Arabic"/>
          <w:bCs/>
          <w:color w:val="0D0D0D" w:themeColor="text1" w:themeTint="F2"/>
          <w:sz w:val="24"/>
          <w:szCs w:val="24"/>
          <w:highlight w:val="yellow"/>
          <w:rtl/>
        </w:rPr>
        <w:t>)</w:t>
      </w:r>
      <w:r w:rsidR="0051327F" w:rsidRPr="0090573F">
        <w:rPr>
          <w:rFonts w:ascii="Traditional Arabic" w:hAnsi="Traditional Arabic" w:cs="Traditional Arabic"/>
          <w:bCs/>
          <w:color w:val="0D0D0D" w:themeColor="text1" w:themeTint="F2"/>
          <w:sz w:val="24"/>
          <w:szCs w:val="24"/>
          <w:highlight w:val="yellow"/>
          <w:rtl/>
        </w:rPr>
        <w:t>.</w:t>
      </w:r>
    </w:p>
    <w:p w14:paraId="1D54B88B" w14:textId="07432400" w:rsidR="002240EF" w:rsidRPr="00B87BE1" w:rsidRDefault="002240EF"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 xml:space="preserve">وهذا ما خلصت إليه </w:t>
      </w:r>
      <w:r w:rsidR="00E43B87" w:rsidRPr="00B87BE1">
        <w:rPr>
          <w:rFonts w:ascii="Traditional Arabic" w:hAnsi="Traditional Arabic" w:cs="Traditional Arabic"/>
          <w:b/>
          <w:color w:val="0D0D0D" w:themeColor="text1" w:themeTint="F2"/>
          <w:sz w:val="24"/>
          <w:szCs w:val="24"/>
          <w:rtl/>
        </w:rPr>
        <w:t>بعض الدراسات حيث لعبت بعض المتغيرات دوراً وسيطا</w:t>
      </w:r>
      <w:r w:rsidR="00C969AE" w:rsidRPr="00B87BE1">
        <w:rPr>
          <w:rFonts w:ascii="Traditional Arabic" w:hAnsi="Traditional Arabic" w:cs="Traditional Arabic"/>
          <w:b/>
          <w:color w:val="0D0D0D" w:themeColor="text1" w:themeTint="F2"/>
          <w:sz w:val="24"/>
          <w:szCs w:val="24"/>
          <w:rtl/>
        </w:rPr>
        <w:t>ً</w:t>
      </w:r>
      <w:r w:rsidR="00E43B87" w:rsidRPr="00B87BE1">
        <w:rPr>
          <w:rFonts w:ascii="Traditional Arabic" w:hAnsi="Traditional Arabic" w:cs="Traditional Arabic"/>
          <w:b/>
          <w:color w:val="0D0D0D" w:themeColor="text1" w:themeTint="F2"/>
          <w:sz w:val="24"/>
          <w:szCs w:val="24"/>
          <w:rtl/>
        </w:rPr>
        <w:t xml:space="preserve"> أو معدلاً </w:t>
      </w:r>
      <w:r w:rsidR="009E4E1D" w:rsidRPr="00B87BE1">
        <w:rPr>
          <w:rFonts w:ascii="Traditional Arabic" w:hAnsi="Traditional Arabic" w:cs="Traditional Arabic"/>
          <w:b/>
          <w:color w:val="0D0D0D" w:themeColor="text1" w:themeTint="F2"/>
          <w:sz w:val="24"/>
          <w:szCs w:val="24"/>
          <w:rtl/>
        </w:rPr>
        <w:t>مثل دراسة</w:t>
      </w:r>
      <w:r w:rsidR="000B622A" w:rsidRPr="00B87BE1">
        <w:rPr>
          <w:rFonts w:ascii="Traditional Arabic" w:hAnsi="Traditional Arabic" w:cs="Traditional Arabic"/>
          <w:b/>
          <w:color w:val="0D0D0D" w:themeColor="text1" w:themeTint="F2"/>
          <w:sz w:val="24"/>
          <w:szCs w:val="24"/>
          <w:rtl/>
        </w:rPr>
        <w:t xml:space="preserve"> ابراهيم وعبده (2023) حيث كانت الريادة الاستر</w:t>
      </w:r>
      <w:r w:rsidR="00D97702" w:rsidRPr="00B87BE1">
        <w:rPr>
          <w:rFonts w:ascii="Traditional Arabic" w:hAnsi="Traditional Arabic" w:cs="Traditional Arabic"/>
          <w:b/>
          <w:color w:val="0D0D0D" w:themeColor="text1" w:themeTint="F2"/>
          <w:sz w:val="24"/>
          <w:szCs w:val="24"/>
          <w:rtl/>
        </w:rPr>
        <w:t>ا</w:t>
      </w:r>
      <w:r w:rsidR="000B622A" w:rsidRPr="00B87BE1">
        <w:rPr>
          <w:rFonts w:ascii="Traditional Arabic" w:hAnsi="Traditional Arabic" w:cs="Traditional Arabic"/>
          <w:b/>
          <w:color w:val="0D0D0D" w:themeColor="text1" w:themeTint="F2"/>
          <w:sz w:val="24"/>
          <w:szCs w:val="24"/>
          <w:rtl/>
        </w:rPr>
        <w:t>تيجية هي المتغير الوسيط بين الذكاء الاستر</w:t>
      </w:r>
      <w:r w:rsidR="00D97702" w:rsidRPr="00B87BE1">
        <w:rPr>
          <w:rFonts w:ascii="Traditional Arabic" w:hAnsi="Traditional Arabic" w:cs="Traditional Arabic"/>
          <w:b/>
          <w:color w:val="0D0D0D" w:themeColor="text1" w:themeTint="F2"/>
          <w:sz w:val="24"/>
          <w:szCs w:val="24"/>
          <w:rtl/>
        </w:rPr>
        <w:t>ا</w:t>
      </w:r>
      <w:r w:rsidR="000B622A" w:rsidRPr="00B87BE1">
        <w:rPr>
          <w:rFonts w:ascii="Traditional Arabic" w:hAnsi="Traditional Arabic" w:cs="Traditional Arabic"/>
          <w:b/>
          <w:color w:val="0D0D0D" w:themeColor="text1" w:themeTint="F2"/>
          <w:sz w:val="24"/>
          <w:szCs w:val="24"/>
          <w:rtl/>
        </w:rPr>
        <w:t xml:space="preserve">تيجي والأداء المستدام </w:t>
      </w:r>
      <w:r w:rsidR="00A07FE2" w:rsidRPr="00B87BE1">
        <w:rPr>
          <w:rFonts w:ascii="Traditional Arabic" w:hAnsi="Traditional Arabic" w:cs="Traditional Arabic"/>
          <w:b/>
          <w:color w:val="0D0D0D" w:themeColor="text1" w:themeTint="F2"/>
          <w:sz w:val="24"/>
          <w:szCs w:val="24"/>
          <w:rtl/>
        </w:rPr>
        <w:t>وكذلك دراسة فريد</w:t>
      </w:r>
      <w:r w:rsidR="00C969AE" w:rsidRPr="00B87BE1">
        <w:rPr>
          <w:rFonts w:ascii="Traditional Arabic" w:hAnsi="Traditional Arabic" w:cs="Traditional Arabic"/>
          <w:b/>
          <w:color w:val="0D0D0D" w:themeColor="text1" w:themeTint="F2"/>
          <w:sz w:val="24"/>
          <w:szCs w:val="24"/>
          <w:rtl/>
        </w:rPr>
        <w:t xml:space="preserve"> </w:t>
      </w:r>
      <w:r w:rsidR="00A07FE2" w:rsidRPr="00B87BE1">
        <w:rPr>
          <w:rFonts w:ascii="Traditional Arabic" w:hAnsi="Traditional Arabic" w:cs="Traditional Arabic"/>
          <w:b/>
          <w:color w:val="0D0D0D" w:themeColor="text1" w:themeTint="F2"/>
          <w:sz w:val="24"/>
          <w:szCs w:val="24"/>
          <w:rtl/>
        </w:rPr>
        <w:t>وعامر</w:t>
      </w:r>
      <w:r w:rsidR="00A07FE2" w:rsidRPr="00B87BE1">
        <w:rPr>
          <w:rFonts w:ascii="Traditional Arabic" w:hAnsi="Traditional Arabic" w:cs="Traditional Arabic"/>
          <w:b/>
          <w:color w:val="0D0D0D" w:themeColor="text1" w:themeTint="F2"/>
          <w:sz w:val="24"/>
          <w:szCs w:val="24"/>
        </w:rPr>
        <w:t xml:space="preserve"> </w:t>
      </w:r>
      <w:r w:rsidR="00A07FE2" w:rsidRPr="00B87BE1">
        <w:rPr>
          <w:rFonts w:ascii="Traditional Arabic" w:hAnsi="Traditional Arabic" w:cs="Traditional Arabic"/>
          <w:b/>
          <w:color w:val="0D0D0D" w:themeColor="text1" w:themeTint="F2"/>
          <w:sz w:val="24"/>
          <w:szCs w:val="24"/>
          <w:rtl/>
        </w:rPr>
        <w:t>(2021) حيث كانت ال</w:t>
      </w:r>
      <w:r w:rsidR="00C969AE" w:rsidRPr="00B87BE1">
        <w:rPr>
          <w:rFonts w:ascii="Traditional Arabic" w:hAnsi="Traditional Arabic" w:cs="Traditional Arabic"/>
          <w:b/>
          <w:color w:val="0D0D0D" w:themeColor="text1" w:themeTint="F2"/>
          <w:sz w:val="24"/>
          <w:szCs w:val="24"/>
          <w:rtl/>
        </w:rPr>
        <w:t>خ</w:t>
      </w:r>
      <w:r w:rsidR="00A07FE2" w:rsidRPr="00B87BE1">
        <w:rPr>
          <w:rFonts w:ascii="Traditional Arabic" w:hAnsi="Traditional Arabic" w:cs="Traditional Arabic"/>
          <w:b/>
          <w:color w:val="0D0D0D" w:themeColor="text1" w:themeTint="F2"/>
          <w:sz w:val="24"/>
          <w:szCs w:val="24"/>
          <w:rtl/>
        </w:rPr>
        <w:t>برة الدولية هي المثغير المعدل بين أبع</w:t>
      </w:r>
      <w:r w:rsidR="00DE56D7" w:rsidRPr="00B87BE1">
        <w:rPr>
          <w:rFonts w:ascii="Traditional Arabic" w:hAnsi="Traditional Arabic" w:cs="Traditional Arabic"/>
          <w:b/>
          <w:color w:val="0D0D0D" w:themeColor="text1" w:themeTint="F2"/>
          <w:sz w:val="24"/>
          <w:szCs w:val="24"/>
          <w:rtl/>
        </w:rPr>
        <w:t>اد</w:t>
      </w:r>
      <w:r w:rsidR="00A07FE2" w:rsidRPr="00B87BE1">
        <w:rPr>
          <w:rFonts w:ascii="Traditional Arabic" w:hAnsi="Traditional Arabic" w:cs="Traditional Arabic"/>
          <w:b/>
          <w:color w:val="0D0D0D" w:themeColor="text1" w:themeTint="F2"/>
          <w:sz w:val="24"/>
          <w:szCs w:val="24"/>
          <w:rtl/>
        </w:rPr>
        <w:t xml:space="preserve"> الذكاء ال</w:t>
      </w:r>
      <w:r w:rsidR="00115502" w:rsidRPr="00B87BE1">
        <w:rPr>
          <w:rFonts w:ascii="Traditional Arabic" w:hAnsi="Traditional Arabic" w:cs="Traditional Arabic"/>
          <w:b/>
          <w:color w:val="0D0D0D" w:themeColor="text1" w:themeTint="F2"/>
          <w:sz w:val="24"/>
          <w:szCs w:val="24"/>
          <w:rtl/>
        </w:rPr>
        <w:t>استراتيجي</w:t>
      </w:r>
      <w:r w:rsidR="00A07FE2" w:rsidRPr="00B87BE1">
        <w:rPr>
          <w:rFonts w:ascii="Traditional Arabic" w:hAnsi="Traditional Arabic" w:cs="Traditional Arabic"/>
          <w:b/>
          <w:color w:val="0D0D0D" w:themeColor="text1" w:themeTint="F2"/>
          <w:sz w:val="24"/>
          <w:szCs w:val="24"/>
          <w:rtl/>
        </w:rPr>
        <w:t xml:space="preserve"> والقرارات ال</w:t>
      </w:r>
      <w:r w:rsidR="00115502" w:rsidRPr="00B87BE1">
        <w:rPr>
          <w:rFonts w:ascii="Traditional Arabic" w:hAnsi="Traditional Arabic" w:cs="Traditional Arabic"/>
          <w:b/>
          <w:color w:val="0D0D0D" w:themeColor="text1" w:themeTint="F2"/>
          <w:sz w:val="24"/>
          <w:szCs w:val="24"/>
          <w:rtl/>
        </w:rPr>
        <w:t>استراتيجي</w:t>
      </w:r>
      <w:r w:rsidR="00A07FE2" w:rsidRPr="00B87BE1">
        <w:rPr>
          <w:rFonts w:ascii="Traditional Arabic" w:hAnsi="Traditional Arabic" w:cs="Traditional Arabic"/>
          <w:b/>
          <w:color w:val="0D0D0D" w:themeColor="text1" w:themeTint="F2"/>
          <w:sz w:val="24"/>
          <w:szCs w:val="24"/>
          <w:rtl/>
        </w:rPr>
        <w:t>ة الرشيدة.</w:t>
      </w:r>
    </w:p>
    <w:p w14:paraId="0CBC8E93" w14:textId="30F37308" w:rsidR="009C4F53" w:rsidRPr="00B87BE1" w:rsidRDefault="0020214F" w:rsidP="00FE2F52">
      <w:pPr>
        <w:bidi/>
        <w:spacing w:after="240" w:line="360" w:lineRule="auto"/>
        <w:jc w:val="both"/>
        <w:rPr>
          <w:rFonts w:ascii="Traditional Arabic" w:eastAsia="Calibri" w:hAnsi="Traditional Arabic" w:cs="Traditional Arabic"/>
          <w:bCs/>
          <w:color w:val="0D0D0D" w:themeColor="text1" w:themeTint="F2"/>
          <w:sz w:val="24"/>
          <w:szCs w:val="24"/>
          <w:rtl/>
        </w:rPr>
      </w:pPr>
      <w:r w:rsidRPr="00B87BE1">
        <w:rPr>
          <w:rFonts w:ascii="Traditional Arabic" w:eastAsia="Calibri" w:hAnsi="Traditional Arabic" w:cs="Traditional Arabic"/>
          <w:b/>
          <w:color w:val="0D0D0D" w:themeColor="text1" w:themeTint="F2"/>
          <w:sz w:val="24"/>
          <w:szCs w:val="24"/>
          <w:rtl/>
        </w:rPr>
        <w:t xml:space="preserve">أما الدراسة الحالية فكانت جودة القرارات الاستراتيجية كمتغير وسيط </w:t>
      </w:r>
      <w:r w:rsidR="00BB1DA1" w:rsidRPr="00B87BE1">
        <w:rPr>
          <w:rFonts w:ascii="Traditional Arabic" w:eastAsia="Calibri" w:hAnsi="Traditional Arabic" w:cs="Traditional Arabic"/>
          <w:b/>
          <w:color w:val="0D0D0D" w:themeColor="text1" w:themeTint="F2"/>
          <w:sz w:val="24"/>
          <w:szCs w:val="24"/>
          <w:rtl/>
        </w:rPr>
        <w:t xml:space="preserve">جزئي </w:t>
      </w:r>
      <w:r w:rsidRPr="00B87BE1">
        <w:rPr>
          <w:rFonts w:ascii="Traditional Arabic" w:eastAsia="Calibri" w:hAnsi="Traditional Arabic" w:cs="Traditional Arabic"/>
          <w:b/>
          <w:color w:val="0D0D0D" w:themeColor="text1" w:themeTint="F2"/>
          <w:sz w:val="24"/>
          <w:szCs w:val="24"/>
          <w:rtl/>
        </w:rPr>
        <w:t>في العلاقة بين ذكاء الأعمال والابتكار التنظيمي</w:t>
      </w:r>
      <w:r w:rsidR="00BB1DA1" w:rsidRPr="00B87BE1">
        <w:rPr>
          <w:rFonts w:ascii="Traditional Arabic" w:eastAsia="Calibri" w:hAnsi="Traditional Arabic" w:cs="Traditional Arabic"/>
          <w:b/>
          <w:color w:val="0D0D0D" w:themeColor="text1" w:themeTint="F2"/>
          <w:sz w:val="24"/>
          <w:szCs w:val="24"/>
          <w:rtl/>
        </w:rPr>
        <w:t xml:space="preserve"> ، لأنه </w:t>
      </w:r>
      <w:r w:rsidR="00BB1DA1" w:rsidRPr="00B87BE1">
        <w:rPr>
          <w:rFonts w:ascii="Traditional Arabic" w:hAnsi="Traditional Arabic" w:cs="Traditional Arabic"/>
          <w:b/>
          <w:color w:val="0D0D0D" w:themeColor="text1" w:themeTint="F2"/>
          <w:sz w:val="24"/>
          <w:szCs w:val="24"/>
          <w:rtl/>
        </w:rPr>
        <w:t>يؤثر على قوة أو اتجاه العلاقة بين المتغيرين(التابع أو المستقل)</w:t>
      </w:r>
      <w:r w:rsidR="007F52A4" w:rsidRPr="00B87BE1">
        <w:rPr>
          <w:rFonts w:ascii="Traditional Arabic" w:eastAsia="Calibri" w:hAnsi="Traditional Arabic" w:cs="Traditional Arabic" w:hint="cs"/>
          <w:b/>
          <w:color w:val="0D0D0D" w:themeColor="text1" w:themeTint="F2"/>
          <w:sz w:val="24"/>
          <w:szCs w:val="24"/>
          <w:rtl/>
        </w:rPr>
        <w:t xml:space="preserve"> </w:t>
      </w:r>
      <w:r w:rsidRPr="00B87BE1">
        <w:rPr>
          <w:rFonts w:ascii="Traditional Arabic" w:eastAsia="Calibri" w:hAnsi="Traditional Arabic" w:cs="Traditional Arabic"/>
          <w:b/>
          <w:color w:val="0D0D0D" w:themeColor="text1" w:themeTint="F2"/>
          <w:sz w:val="24"/>
          <w:szCs w:val="24"/>
          <w:rtl/>
        </w:rPr>
        <w:t>(الحوشي،2107</w:t>
      </w:r>
      <w:r w:rsidRPr="00B87BE1">
        <w:rPr>
          <w:rFonts w:ascii="Traditional Arabic" w:eastAsia="Calibri" w:hAnsi="Traditional Arabic" w:cs="Traditional Arabic"/>
          <w:bCs/>
          <w:color w:val="0D0D0D" w:themeColor="text1" w:themeTint="F2"/>
          <w:sz w:val="24"/>
          <w:szCs w:val="24"/>
          <w:rtl/>
        </w:rPr>
        <w:t>؛</w:t>
      </w:r>
      <w:r w:rsidR="0007553B">
        <w:rPr>
          <w:rFonts w:ascii="Traditional Arabic" w:hAnsi="Traditional Arabic" w:cs="Traditional Arabic" w:hint="cs"/>
          <w:b/>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tl/>
        </w:rPr>
        <w:t>البلبيسي 2017</w:t>
      </w:r>
      <w:r w:rsidRPr="00B87BE1">
        <w:rPr>
          <w:rFonts w:ascii="Traditional Arabic" w:eastAsia="Calibri" w:hAnsi="Traditional Arabic" w:cs="Traditional Arabic"/>
          <w:b/>
          <w:color w:val="0D0D0D" w:themeColor="text1" w:themeTint="F2"/>
          <w:sz w:val="24"/>
          <w:szCs w:val="24"/>
          <w:rtl/>
        </w:rPr>
        <w:t xml:space="preserve">؛ </w:t>
      </w:r>
      <w:r w:rsidRPr="00B87BE1">
        <w:rPr>
          <w:rFonts w:ascii="Traditional Arabic" w:eastAsia="Calibri" w:hAnsi="Traditional Arabic" w:cs="Traditional Arabic"/>
          <w:bCs/>
          <w:color w:val="0D0D0D" w:themeColor="text1" w:themeTint="F2"/>
          <w:sz w:val="24"/>
          <w:szCs w:val="24"/>
        </w:rPr>
        <w:t>Putu et al., 2014</w:t>
      </w:r>
      <w:r w:rsidRPr="00B87BE1">
        <w:rPr>
          <w:rFonts w:ascii="Traditional Arabic" w:eastAsia="Calibri" w:hAnsi="Traditional Arabic" w:cs="Traditional Arabic"/>
          <w:bCs/>
          <w:color w:val="0D0D0D" w:themeColor="text1" w:themeTint="F2"/>
          <w:sz w:val="24"/>
          <w:szCs w:val="24"/>
          <w:rtl/>
        </w:rPr>
        <w:t>)</w:t>
      </w:r>
      <w:r w:rsidR="007F52A4" w:rsidRPr="00B87BE1">
        <w:rPr>
          <w:rFonts w:ascii="Traditional Arabic" w:eastAsia="Calibri" w:hAnsi="Traditional Arabic" w:cs="Traditional Arabic" w:hint="cs"/>
          <w:bCs/>
          <w:color w:val="0D0D0D" w:themeColor="text1" w:themeTint="F2"/>
          <w:sz w:val="24"/>
          <w:szCs w:val="24"/>
          <w:rtl/>
        </w:rPr>
        <w:t>.</w:t>
      </w:r>
    </w:p>
    <w:p w14:paraId="6E3E18B9" w14:textId="7B009F20" w:rsidR="009C4F53" w:rsidRPr="00B87BE1" w:rsidRDefault="009C4F53" w:rsidP="00163E96">
      <w:pPr>
        <w:pStyle w:val="Heading1"/>
        <w:bidi/>
        <w:spacing w:before="0" w:line="360" w:lineRule="auto"/>
        <w:rPr>
          <w:rFonts w:ascii="Traditional Arabic" w:hAnsi="Traditional Arabic" w:cs="Traditional Arabic"/>
          <w:bCs/>
          <w:color w:val="0D0D0D" w:themeColor="text1" w:themeTint="F2"/>
          <w:sz w:val="28"/>
          <w:szCs w:val="28"/>
          <w:rtl/>
        </w:rPr>
      </w:pPr>
      <w:bookmarkStart w:id="11" w:name="_Toc215399835"/>
      <w:r w:rsidRPr="00B87BE1">
        <w:rPr>
          <w:rFonts w:ascii="Traditional Arabic" w:hAnsi="Traditional Arabic" w:cs="Traditional Arabic" w:hint="cs"/>
          <w:bCs/>
          <w:color w:val="0D0D0D" w:themeColor="text1" w:themeTint="F2"/>
          <w:sz w:val="28"/>
          <w:szCs w:val="28"/>
          <w:rtl/>
        </w:rPr>
        <w:t>مفاهيم الدراسة</w:t>
      </w:r>
      <w:bookmarkEnd w:id="11"/>
    </w:p>
    <w:p w14:paraId="5F475E00" w14:textId="77777777" w:rsidR="009C4F53" w:rsidRPr="00B87BE1" w:rsidRDefault="009C4F53" w:rsidP="00163E96">
      <w:pPr>
        <w:bidi/>
        <w:spacing w:after="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تضمنت الدراسة المصطلحات التالية:</w:t>
      </w:r>
    </w:p>
    <w:p w14:paraId="4FEE1C50" w14:textId="77777777" w:rsidR="009C4F53" w:rsidRPr="00B87BE1" w:rsidRDefault="009C4F53" w:rsidP="00B07735">
      <w:pPr>
        <w:pStyle w:val="ListParagraph"/>
        <w:numPr>
          <w:ilvl w:val="0"/>
          <w:numId w:val="4"/>
        </w:numPr>
        <w:bidi/>
        <w:spacing w:after="0" w:line="360" w:lineRule="auto"/>
        <w:jc w:val="both"/>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ذكاء الأعمال</w:t>
      </w:r>
    </w:p>
    <w:p w14:paraId="7CC0FBA1" w14:textId="77777777" w:rsidR="009C4F53" w:rsidRPr="00B87BE1" w:rsidRDefault="009C4F53" w:rsidP="00163E96">
      <w:pPr>
        <w:bidi/>
        <w:spacing w:after="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عرفها زمزم (2018، ص. 34) بأنها: "إجراءات موجهة نحو المستخدم النهائي تعتمد على توظيف التكنولوجيا ومجموعة من النماذج الرياضية والمنهجيات التحليلية للحصول على معلومات ومعرفة مفيدة لتحسين وتطوير جودة القرارات".</w:t>
      </w:r>
    </w:p>
    <w:p w14:paraId="759E58E4" w14:textId="029CDB61" w:rsidR="00E211E9" w:rsidRPr="00B87BE1" w:rsidRDefault="00E211E9" w:rsidP="00163E96">
      <w:pPr>
        <w:bidi/>
        <w:spacing w:after="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Cs/>
          <w:color w:val="0D0D0D" w:themeColor="text1" w:themeTint="F2"/>
          <w:sz w:val="24"/>
          <w:szCs w:val="24"/>
          <w:rtl/>
        </w:rPr>
        <w:t>التعريف الإجرائي:</w:t>
      </w:r>
      <w:r w:rsidRPr="00B87BE1">
        <w:rPr>
          <w:rFonts w:ascii="Traditional Arabic" w:hAnsi="Traditional Arabic" w:cs="Traditional Arabic"/>
          <w:b/>
          <w:color w:val="0D0D0D" w:themeColor="text1" w:themeTint="F2"/>
          <w:sz w:val="24"/>
          <w:szCs w:val="24"/>
          <w:rtl/>
        </w:rPr>
        <w:t xml:space="preserve"> يُقاس قبول أنظمة ذكاء الأعمال في هذه الدراسة من خلال ثلاثة أبعاد وفق نموذج </w:t>
      </w:r>
      <w:r w:rsidRPr="00B87BE1">
        <w:rPr>
          <w:rFonts w:ascii="Traditional Arabic" w:hAnsi="Traditional Arabic" w:cs="Traditional Arabic"/>
          <w:b/>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الفائدة المُدركة (</w:t>
      </w:r>
      <w:r w:rsidRPr="00B87BE1">
        <w:rPr>
          <w:rFonts w:ascii="Traditional Arabic" w:hAnsi="Traditional Arabic" w:cs="Traditional Arabic"/>
          <w:b/>
          <w:color w:val="0D0D0D" w:themeColor="text1" w:themeTint="F2"/>
          <w:sz w:val="24"/>
          <w:szCs w:val="24"/>
        </w:rPr>
        <w:t>Perceived Usefulness</w:t>
      </w:r>
      <w:r w:rsidRPr="00B87BE1">
        <w:rPr>
          <w:rFonts w:ascii="Traditional Arabic" w:hAnsi="Traditional Arabic" w:cs="Traditional Arabic"/>
          <w:b/>
          <w:color w:val="0D0D0D" w:themeColor="text1" w:themeTint="F2"/>
          <w:sz w:val="24"/>
          <w:szCs w:val="24"/>
          <w:rtl/>
        </w:rPr>
        <w:t>)، وسهولة الاستخدام المُدركة (</w:t>
      </w:r>
      <w:r w:rsidRPr="00B87BE1">
        <w:rPr>
          <w:rFonts w:ascii="Traditional Arabic" w:hAnsi="Traditional Arabic" w:cs="Traditional Arabic"/>
          <w:b/>
          <w:color w:val="0D0D0D" w:themeColor="text1" w:themeTint="F2"/>
          <w:sz w:val="24"/>
          <w:szCs w:val="24"/>
        </w:rPr>
        <w:t>Perceived Ease of Use</w:t>
      </w:r>
      <w:r w:rsidRPr="00B87BE1">
        <w:rPr>
          <w:rFonts w:ascii="Traditional Arabic" w:hAnsi="Traditional Arabic" w:cs="Traditional Arabic"/>
          <w:b/>
          <w:color w:val="0D0D0D" w:themeColor="text1" w:themeTint="F2"/>
          <w:sz w:val="24"/>
          <w:szCs w:val="24"/>
          <w:rtl/>
        </w:rPr>
        <w:t>)، ونية الاستخدام (</w:t>
      </w:r>
      <w:r w:rsidRPr="00B87BE1">
        <w:rPr>
          <w:rFonts w:ascii="Traditional Arabic" w:hAnsi="Traditional Arabic" w:cs="Traditional Arabic"/>
          <w:b/>
          <w:color w:val="0D0D0D" w:themeColor="text1" w:themeTint="F2"/>
          <w:sz w:val="24"/>
          <w:szCs w:val="24"/>
        </w:rPr>
        <w:t>Intention to Use</w:t>
      </w:r>
      <w:r w:rsidRPr="00B87BE1">
        <w:rPr>
          <w:rFonts w:ascii="Traditional Arabic" w:hAnsi="Traditional Arabic" w:cs="Traditional Arabic"/>
          <w:b/>
          <w:color w:val="0D0D0D" w:themeColor="text1" w:themeTint="F2"/>
          <w:sz w:val="24"/>
          <w:szCs w:val="24"/>
          <w:rtl/>
        </w:rPr>
        <w:t>)، وذلك باستخدام مقياس ليكرت الخماسي عبر استبانة موجهة للمديرين في المصارف السعودية.</w:t>
      </w:r>
    </w:p>
    <w:p w14:paraId="05C76D64" w14:textId="77777777" w:rsidR="009C4F53" w:rsidRPr="00B87BE1" w:rsidRDefault="009C4F53" w:rsidP="00163E96">
      <w:pPr>
        <w:bidi/>
        <w:spacing w:after="0" w:line="360" w:lineRule="auto"/>
        <w:jc w:val="both"/>
        <w:rPr>
          <w:rFonts w:ascii="Traditional Arabic" w:hAnsi="Traditional Arabic" w:cs="Traditional Arabic"/>
          <w:bCs/>
          <w:color w:val="0D0D0D" w:themeColor="text1" w:themeTint="F2"/>
          <w:sz w:val="24"/>
          <w:szCs w:val="24"/>
          <w:rtl/>
        </w:rPr>
      </w:pPr>
      <w:r w:rsidRPr="00B87BE1">
        <w:rPr>
          <w:rFonts w:ascii="Traditional Arabic" w:hAnsi="Traditional Arabic" w:cs="Traditional Arabic"/>
          <w:bCs/>
          <w:color w:val="0D0D0D" w:themeColor="text1" w:themeTint="F2"/>
          <w:sz w:val="24"/>
          <w:szCs w:val="24"/>
          <w:rtl/>
        </w:rPr>
        <w:t>ويمكن تعريف الأبعاد الداخلية لهذا المتغير على النحو التالي:</w:t>
      </w:r>
    </w:p>
    <w:p w14:paraId="4EBC3F23" w14:textId="1F7A06DA" w:rsidR="009C4F53" w:rsidRPr="00B87BE1" w:rsidRDefault="00BF7747" w:rsidP="00163E96">
      <w:pPr>
        <w:bidi/>
        <w:spacing w:after="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وتُعرَّف الفائدة المُدركة إجرائياً بأنها: "الدرجة الكلية التي يحصل عليها المدير على فقرات بُعد الفائدة المُدركة في الاستبانة، والتي تعكس مدى اعتقاده بأن استخدام أنظمة ذكاء الأعمال سيُحسّن أداءه الوظيفي".</w:t>
      </w:r>
    </w:p>
    <w:p w14:paraId="26CF0931" w14:textId="24776378" w:rsidR="009C4F53" w:rsidRPr="00B87BE1" w:rsidRDefault="008E55F7" w:rsidP="00163E96">
      <w:pPr>
        <w:bidi/>
        <w:spacing w:after="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وتُعرَّف سهولة الاستخدام المُدركة إجرائياً بأنها: "الدرجة الكلية التي يحصل عليها المدير على فقرات بُعد سهولة الاستخدام المُدركة في الاستبانة، والتي تعكس مدى اعتقاده بأن استخدام أنظمة ذكاء الأعمال يتم بيسر ودون جهد".</w:t>
      </w:r>
    </w:p>
    <w:p w14:paraId="738B8CD3" w14:textId="51BFE990" w:rsidR="005876E8" w:rsidRPr="00B87BE1" w:rsidRDefault="005876E8" w:rsidP="00163E96">
      <w:pPr>
        <w:bidi/>
        <w:spacing w:after="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وتُعرَّف نية الاستخدام إجرائياً بأنها: "الدرجة الكلية التي يحصل عليها المدير على فقرات بُعد نية الاستخدام في الاستبانة، والتي تعكس مدى استعداده ورغبته في استخدام أنظمة ذكاء الأعمال مستقبلاً".</w:t>
      </w:r>
    </w:p>
    <w:p w14:paraId="79112D77" w14:textId="77777777" w:rsidR="009C4F53" w:rsidRPr="00B87BE1" w:rsidRDefault="009C4F53" w:rsidP="00B07735">
      <w:pPr>
        <w:pStyle w:val="ListParagraph"/>
        <w:numPr>
          <w:ilvl w:val="0"/>
          <w:numId w:val="4"/>
        </w:numPr>
        <w:bidi/>
        <w:spacing w:after="0" w:line="360" w:lineRule="auto"/>
        <w:jc w:val="both"/>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lastRenderedPageBreak/>
        <w:t>جودة القرارات الاستراتيجية</w:t>
      </w:r>
    </w:p>
    <w:p w14:paraId="230A1A5B" w14:textId="77777777" w:rsidR="009C4F53" w:rsidRPr="00B87BE1" w:rsidRDefault="009C4F53" w:rsidP="00163E96">
      <w:pPr>
        <w:bidi/>
        <w:spacing w:after="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عرفه العبادي (2017، ص. 259) بأنه: "القدرة على توفير الخيارات والبدائل المتعددة، وقياس صحة القرارات المتخذة أو مدى انحرافها، مع إمكانية خلق الأفكار الجديدة وتقويمها، فضلاً عن تحديد مدى ملاءمة زمن تنفيذ القرار للغاية المراد الوصول إليها".</w:t>
      </w:r>
    </w:p>
    <w:p w14:paraId="3CC0D4B1" w14:textId="137B5ABB" w:rsidR="00E211E9" w:rsidRPr="00B87BE1" w:rsidRDefault="00E211E9" w:rsidP="00163E96">
      <w:pPr>
        <w:bidi/>
        <w:spacing w:after="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Cs/>
          <w:color w:val="0D0D0D" w:themeColor="text1" w:themeTint="F2"/>
          <w:sz w:val="24"/>
          <w:szCs w:val="24"/>
          <w:rtl/>
        </w:rPr>
        <w:t>التعريف الإجرائي:</w:t>
      </w:r>
      <w:r w:rsidRPr="00B87BE1">
        <w:rPr>
          <w:rFonts w:ascii="Traditional Arabic" w:hAnsi="Traditional Arabic" w:cs="Traditional Arabic"/>
          <w:b/>
          <w:color w:val="0D0D0D" w:themeColor="text1" w:themeTint="F2"/>
          <w:sz w:val="24"/>
          <w:szCs w:val="24"/>
          <w:rtl/>
        </w:rPr>
        <w:t xml:space="preserve"> تُقاس جودة القرارات الاستراتيجية في هذه الدراسة من خلال أبعاد: جودة المعلومات، وتحليل البدائل، وملاءمة التوقيت، والموضوعية في التقييم، وذلك باستخدام مقياس ليكرت الخماسي عبر استبانة موجهة للمديرين في المصارف السعودية.</w:t>
      </w:r>
    </w:p>
    <w:p w14:paraId="3B37FA33" w14:textId="77777777" w:rsidR="009C4F53" w:rsidRPr="00B87BE1" w:rsidRDefault="009C4F53" w:rsidP="00B07735">
      <w:pPr>
        <w:pStyle w:val="ListParagraph"/>
        <w:numPr>
          <w:ilvl w:val="0"/>
          <w:numId w:val="4"/>
        </w:numPr>
        <w:bidi/>
        <w:spacing w:after="0" w:line="360" w:lineRule="auto"/>
        <w:jc w:val="both"/>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الابتكار التنظيمي</w:t>
      </w:r>
    </w:p>
    <w:p w14:paraId="6D864F51" w14:textId="77777777" w:rsidR="009C4F53" w:rsidRPr="00B87BE1" w:rsidRDefault="009C4F53" w:rsidP="00163E96">
      <w:pPr>
        <w:bidi/>
        <w:spacing w:after="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يعرفه هاوي وآخرون</w:t>
      </w:r>
      <w:r w:rsidRPr="00B87BE1">
        <w:rPr>
          <w:rFonts w:ascii="Traditional Arabic" w:hAnsi="Traditional Arabic" w:cs="Traditional Arabic"/>
          <w:bCs/>
          <w:color w:val="0D0D0D" w:themeColor="text1" w:themeTint="F2"/>
          <w:sz w:val="24"/>
          <w:szCs w:val="24"/>
          <w:rtl/>
        </w:rPr>
        <w:t xml:space="preserve"> (</w:t>
      </w:r>
      <w:r w:rsidRPr="00B87BE1">
        <w:rPr>
          <w:rFonts w:ascii="Traditional Arabic" w:hAnsi="Traditional Arabic" w:cs="Traditional Arabic"/>
          <w:bCs/>
          <w:color w:val="0D0D0D" w:themeColor="text1" w:themeTint="F2"/>
          <w:sz w:val="24"/>
          <w:szCs w:val="24"/>
        </w:rPr>
        <w:t>2022, p. 2</w:t>
      </w:r>
      <w:r w:rsidRPr="00B87BE1">
        <w:rPr>
          <w:rFonts w:ascii="Traditional Arabic" w:hAnsi="Traditional Arabic" w:cs="Traditional Arabic"/>
          <w:bCs/>
          <w:color w:val="0D0D0D" w:themeColor="text1" w:themeTint="F2"/>
          <w:sz w:val="24"/>
          <w:szCs w:val="24"/>
          <w:rtl/>
        </w:rPr>
        <w:t xml:space="preserve"> </w:t>
      </w:r>
      <w:r w:rsidRPr="00B87BE1">
        <w:rPr>
          <w:rFonts w:ascii="Traditional Arabic" w:hAnsi="Traditional Arabic" w:cs="Traditional Arabic"/>
          <w:bCs/>
          <w:color w:val="0D0D0D" w:themeColor="text1" w:themeTint="F2"/>
          <w:sz w:val="24"/>
          <w:szCs w:val="24"/>
        </w:rPr>
        <w:t xml:space="preserve">  (Hoai et al.,</w:t>
      </w:r>
      <w:r w:rsidRPr="00B87BE1">
        <w:rPr>
          <w:rFonts w:ascii="Traditional Arabic" w:hAnsi="Traditional Arabic" w:cs="Traditional Arabic"/>
          <w:b/>
          <w:color w:val="0D0D0D" w:themeColor="text1" w:themeTint="F2"/>
          <w:sz w:val="24"/>
          <w:szCs w:val="24"/>
          <w:rtl/>
        </w:rPr>
        <w:t>بأنه</w:t>
      </w:r>
      <w:r w:rsidRPr="00B87BE1">
        <w:rPr>
          <w:rFonts w:ascii="Traditional Arabic" w:hAnsi="Traditional Arabic" w:cs="Traditional Arabic"/>
          <w:bCs/>
          <w:color w:val="0D0D0D" w:themeColor="text1" w:themeTint="F2"/>
          <w:sz w:val="24"/>
          <w:szCs w:val="24"/>
          <w:rtl/>
        </w:rPr>
        <w:t>: "</w:t>
      </w:r>
      <w:r w:rsidRPr="00B87BE1">
        <w:rPr>
          <w:rFonts w:ascii="Traditional Arabic" w:hAnsi="Traditional Arabic" w:cs="Traditional Arabic"/>
          <w:b/>
          <w:color w:val="0D0D0D" w:themeColor="text1" w:themeTint="F2"/>
          <w:sz w:val="24"/>
          <w:szCs w:val="24"/>
          <w:rtl/>
        </w:rPr>
        <w:t>تطبيق الأفكار الإبداعي التي تشجع على العمل بطرق جديدة، وتحسن من الأداء التنظيمي".</w:t>
      </w:r>
    </w:p>
    <w:p w14:paraId="093BDAB7" w14:textId="31AC11F9" w:rsidR="00E211E9" w:rsidRPr="00B87BE1" w:rsidRDefault="00E211E9" w:rsidP="00E211E9">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Cs/>
          <w:color w:val="0D0D0D" w:themeColor="text1" w:themeTint="F2"/>
          <w:sz w:val="24"/>
          <w:szCs w:val="24"/>
          <w:rtl/>
        </w:rPr>
        <w:t>التعريف الإجرائي:</w:t>
      </w:r>
      <w:r w:rsidRPr="00B87BE1">
        <w:rPr>
          <w:rFonts w:ascii="Traditional Arabic" w:hAnsi="Traditional Arabic" w:cs="Traditional Arabic"/>
          <w:b/>
          <w:color w:val="0D0D0D" w:themeColor="text1" w:themeTint="F2"/>
          <w:sz w:val="24"/>
          <w:szCs w:val="24"/>
          <w:rtl/>
        </w:rPr>
        <w:t xml:space="preserve"> يُقاس الابتكار التنظيمي في هذه الدراسة من خلال ثلاثة أبعاد: ابتكار المنتجات/الخدمات، وابتكار العمليات، والثقافة التنظيمية الداعمة للابتكار، وذلك باستخدام مقياس ليكرت الخماسي عبر استبانة موجهة للمديرين في المصارف السعودية.</w:t>
      </w:r>
    </w:p>
    <w:p w14:paraId="08A0DA23" w14:textId="77777777" w:rsidR="005876E8" w:rsidRPr="00B87BE1" w:rsidRDefault="005876E8" w:rsidP="005876E8">
      <w:pPr>
        <w:bidi/>
        <w:spacing w:after="240" w:line="360" w:lineRule="auto"/>
        <w:jc w:val="center"/>
        <w:rPr>
          <w:rFonts w:ascii="Traditional Arabic" w:hAnsi="Traditional Arabic" w:cs="Traditional Arabic"/>
          <w:b/>
          <w:bCs/>
          <w:color w:val="0D0D0D" w:themeColor="text1" w:themeTint="F2"/>
          <w:sz w:val="24"/>
          <w:szCs w:val="24"/>
          <w:lang w:val="en-GB"/>
        </w:rPr>
      </w:pPr>
      <w:r w:rsidRPr="00B87BE1">
        <w:rPr>
          <w:rFonts w:ascii="Traditional Arabic" w:hAnsi="Traditional Arabic" w:cs="Traditional Arabic"/>
          <w:b/>
          <w:bCs/>
          <w:color w:val="0D0D0D" w:themeColor="text1" w:themeTint="F2"/>
          <w:sz w:val="24"/>
          <w:szCs w:val="24"/>
          <w:rtl/>
          <w:lang w:val="en-GB"/>
        </w:rPr>
        <w:t>جدول رقم (1): ملخص متغيرات الدراسة وأبعادها ومصادر القياس</w:t>
      </w:r>
    </w:p>
    <w:tbl>
      <w:tblPr>
        <w:tblStyle w:val="TableGrid"/>
        <w:bidiVisual/>
        <w:tblW w:w="0" w:type="auto"/>
        <w:tblLook w:val="04A0" w:firstRow="1" w:lastRow="0" w:firstColumn="1" w:lastColumn="0" w:noHBand="0" w:noVBand="1"/>
      </w:tblPr>
      <w:tblGrid>
        <w:gridCol w:w="1362"/>
        <w:gridCol w:w="633"/>
        <w:gridCol w:w="2553"/>
        <w:gridCol w:w="2863"/>
        <w:gridCol w:w="1366"/>
      </w:tblGrid>
      <w:tr w:rsidR="005876E8" w:rsidRPr="00B87BE1" w14:paraId="28BE0994" w14:textId="77777777" w:rsidTr="005876E8">
        <w:tc>
          <w:tcPr>
            <w:tcW w:w="0" w:type="auto"/>
            <w:vAlign w:val="center"/>
            <w:hideMark/>
          </w:tcPr>
          <w:p w14:paraId="1DDD2817" w14:textId="77777777" w:rsidR="005876E8" w:rsidRPr="00B87BE1" w:rsidRDefault="005876E8" w:rsidP="005876E8">
            <w:pPr>
              <w:bidi/>
              <w:spacing w:after="0" w:line="240" w:lineRule="auto"/>
              <w:jc w:val="center"/>
              <w:rPr>
                <w:rFonts w:ascii="Traditional Arabic" w:hAnsi="Traditional Arabic" w:cs="Traditional Arabic"/>
                <w:b/>
                <w:bCs/>
                <w:color w:val="0D0D0D" w:themeColor="text1" w:themeTint="F2"/>
                <w:sz w:val="24"/>
                <w:szCs w:val="24"/>
                <w:lang w:val="en-GB"/>
              </w:rPr>
            </w:pPr>
            <w:r w:rsidRPr="00B87BE1">
              <w:rPr>
                <w:rFonts w:ascii="Traditional Arabic" w:hAnsi="Traditional Arabic" w:cs="Traditional Arabic"/>
                <w:b/>
                <w:bCs/>
                <w:color w:val="0D0D0D" w:themeColor="text1" w:themeTint="F2"/>
                <w:sz w:val="24"/>
                <w:szCs w:val="24"/>
                <w:rtl/>
                <w:lang w:val="en-GB"/>
              </w:rPr>
              <w:t>المتغير</w:t>
            </w:r>
          </w:p>
        </w:tc>
        <w:tc>
          <w:tcPr>
            <w:tcW w:w="0" w:type="auto"/>
            <w:vAlign w:val="center"/>
            <w:hideMark/>
          </w:tcPr>
          <w:p w14:paraId="4857B6BF" w14:textId="77777777" w:rsidR="005876E8" w:rsidRPr="00B87BE1" w:rsidRDefault="005876E8" w:rsidP="005876E8">
            <w:pPr>
              <w:bidi/>
              <w:spacing w:after="0" w:line="240" w:lineRule="auto"/>
              <w:jc w:val="center"/>
              <w:rPr>
                <w:rFonts w:ascii="Traditional Arabic" w:hAnsi="Traditional Arabic" w:cs="Traditional Arabic"/>
                <w:b/>
                <w:bCs/>
                <w:color w:val="0D0D0D" w:themeColor="text1" w:themeTint="F2"/>
                <w:sz w:val="24"/>
                <w:szCs w:val="24"/>
                <w:lang w:val="en-GB"/>
              </w:rPr>
            </w:pPr>
            <w:r w:rsidRPr="00B87BE1">
              <w:rPr>
                <w:rFonts w:ascii="Traditional Arabic" w:hAnsi="Traditional Arabic" w:cs="Traditional Arabic"/>
                <w:b/>
                <w:bCs/>
                <w:color w:val="0D0D0D" w:themeColor="text1" w:themeTint="F2"/>
                <w:sz w:val="24"/>
                <w:szCs w:val="24"/>
                <w:rtl/>
                <w:lang w:val="en-GB"/>
              </w:rPr>
              <w:t>النوع</w:t>
            </w:r>
          </w:p>
        </w:tc>
        <w:tc>
          <w:tcPr>
            <w:tcW w:w="0" w:type="auto"/>
            <w:vAlign w:val="center"/>
            <w:hideMark/>
          </w:tcPr>
          <w:p w14:paraId="680AA6A9" w14:textId="77777777" w:rsidR="005876E8" w:rsidRPr="00B87BE1" w:rsidRDefault="005876E8" w:rsidP="005876E8">
            <w:pPr>
              <w:bidi/>
              <w:spacing w:after="0" w:line="240" w:lineRule="auto"/>
              <w:jc w:val="center"/>
              <w:rPr>
                <w:rFonts w:ascii="Traditional Arabic" w:hAnsi="Traditional Arabic" w:cs="Traditional Arabic"/>
                <w:b/>
                <w:bCs/>
                <w:color w:val="0D0D0D" w:themeColor="text1" w:themeTint="F2"/>
                <w:sz w:val="24"/>
                <w:szCs w:val="24"/>
                <w:lang w:val="en-GB"/>
              </w:rPr>
            </w:pPr>
            <w:r w:rsidRPr="00B87BE1">
              <w:rPr>
                <w:rFonts w:ascii="Traditional Arabic" w:hAnsi="Traditional Arabic" w:cs="Traditional Arabic"/>
                <w:b/>
                <w:bCs/>
                <w:color w:val="0D0D0D" w:themeColor="text1" w:themeTint="F2"/>
                <w:sz w:val="24"/>
                <w:szCs w:val="24"/>
                <w:rtl/>
                <w:lang w:val="en-GB"/>
              </w:rPr>
              <w:t>التعريف النظري</w:t>
            </w:r>
          </w:p>
        </w:tc>
        <w:tc>
          <w:tcPr>
            <w:tcW w:w="0" w:type="auto"/>
            <w:vAlign w:val="center"/>
            <w:hideMark/>
          </w:tcPr>
          <w:p w14:paraId="7BA88319" w14:textId="77777777" w:rsidR="005876E8" w:rsidRPr="00B87BE1" w:rsidRDefault="005876E8" w:rsidP="005876E8">
            <w:pPr>
              <w:bidi/>
              <w:spacing w:after="0" w:line="240" w:lineRule="auto"/>
              <w:jc w:val="center"/>
              <w:rPr>
                <w:rFonts w:ascii="Traditional Arabic" w:hAnsi="Traditional Arabic" w:cs="Traditional Arabic"/>
                <w:b/>
                <w:bCs/>
                <w:color w:val="0D0D0D" w:themeColor="text1" w:themeTint="F2"/>
                <w:sz w:val="24"/>
                <w:szCs w:val="24"/>
                <w:lang w:val="en-GB"/>
              </w:rPr>
            </w:pPr>
            <w:r w:rsidRPr="00B87BE1">
              <w:rPr>
                <w:rFonts w:ascii="Traditional Arabic" w:hAnsi="Traditional Arabic" w:cs="Traditional Arabic"/>
                <w:b/>
                <w:bCs/>
                <w:color w:val="0D0D0D" w:themeColor="text1" w:themeTint="F2"/>
                <w:sz w:val="24"/>
                <w:szCs w:val="24"/>
                <w:rtl/>
                <w:lang w:val="en-GB"/>
              </w:rPr>
              <w:t>الأبعاد</w:t>
            </w:r>
          </w:p>
        </w:tc>
        <w:tc>
          <w:tcPr>
            <w:tcW w:w="0" w:type="auto"/>
            <w:vAlign w:val="center"/>
            <w:hideMark/>
          </w:tcPr>
          <w:p w14:paraId="0ABA50E5" w14:textId="77777777" w:rsidR="005876E8" w:rsidRPr="00B87BE1" w:rsidRDefault="005876E8" w:rsidP="005876E8">
            <w:pPr>
              <w:bidi/>
              <w:spacing w:after="0" w:line="240" w:lineRule="auto"/>
              <w:jc w:val="center"/>
              <w:rPr>
                <w:rFonts w:ascii="Traditional Arabic" w:hAnsi="Traditional Arabic" w:cs="Traditional Arabic"/>
                <w:b/>
                <w:bCs/>
                <w:color w:val="0D0D0D" w:themeColor="text1" w:themeTint="F2"/>
                <w:sz w:val="24"/>
                <w:szCs w:val="24"/>
                <w:lang w:val="en-GB"/>
              </w:rPr>
            </w:pPr>
            <w:r w:rsidRPr="00B87BE1">
              <w:rPr>
                <w:rFonts w:ascii="Traditional Arabic" w:hAnsi="Traditional Arabic" w:cs="Traditional Arabic"/>
                <w:b/>
                <w:bCs/>
                <w:color w:val="0D0D0D" w:themeColor="text1" w:themeTint="F2"/>
                <w:sz w:val="24"/>
                <w:szCs w:val="24"/>
                <w:rtl/>
                <w:lang w:val="en-GB"/>
              </w:rPr>
              <w:t>مصدر الأداة</w:t>
            </w:r>
          </w:p>
        </w:tc>
      </w:tr>
      <w:tr w:rsidR="005876E8" w:rsidRPr="00B87BE1" w14:paraId="7005E63B" w14:textId="77777777" w:rsidTr="005876E8">
        <w:tc>
          <w:tcPr>
            <w:tcW w:w="0" w:type="auto"/>
            <w:vAlign w:val="center"/>
            <w:hideMark/>
          </w:tcPr>
          <w:p w14:paraId="1D8248F0"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rtl/>
                <w:lang w:val="en-GB"/>
              </w:rPr>
              <w:t>قبول أنظمة ذكاء الأعمال</w:t>
            </w:r>
          </w:p>
        </w:tc>
        <w:tc>
          <w:tcPr>
            <w:tcW w:w="0" w:type="auto"/>
            <w:vAlign w:val="center"/>
            <w:hideMark/>
          </w:tcPr>
          <w:p w14:paraId="2A34CE52"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rtl/>
                <w:lang w:val="en-GB"/>
              </w:rPr>
              <w:t>مستقل</w:t>
            </w:r>
          </w:p>
        </w:tc>
        <w:tc>
          <w:tcPr>
            <w:tcW w:w="0" w:type="auto"/>
            <w:vAlign w:val="center"/>
            <w:hideMark/>
          </w:tcPr>
          <w:p w14:paraId="46DBDCEE"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rtl/>
                <w:lang w:val="en-GB"/>
              </w:rPr>
              <w:t>درجة تقبّل المستخدمين للتكنولوجيا بناءً على إدراكاتهم</w:t>
            </w:r>
          </w:p>
        </w:tc>
        <w:tc>
          <w:tcPr>
            <w:tcW w:w="0" w:type="auto"/>
            <w:vAlign w:val="center"/>
            <w:hideMark/>
          </w:tcPr>
          <w:p w14:paraId="7BB778B0"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rtl/>
                <w:lang w:val="en-GB"/>
              </w:rPr>
              <w:t>الفائدة المُدركة، سهولة الاستخدام المُدركة، نية الاستخدام</w:t>
            </w:r>
          </w:p>
        </w:tc>
        <w:tc>
          <w:tcPr>
            <w:tcW w:w="0" w:type="auto"/>
            <w:vAlign w:val="center"/>
            <w:hideMark/>
          </w:tcPr>
          <w:p w14:paraId="489DFD29"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lang w:val="en-GB"/>
              </w:rPr>
              <w:t>Davis (1989)</w:t>
            </w:r>
          </w:p>
        </w:tc>
      </w:tr>
      <w:tr w:rsidR="005876E8" w:rsidRPr="00B87BE1" w14:paraId="0CFE1542" w14:textId="77777777" w:rsidTr="005876E8">
        <w:tc>
          <w:tcPr>
            <w:tcW w:w="0" w:type="auto"/>
            <w:vAlign w:val="center"/>
            <w:hideMark/>
          </w:tcPr>
          <w:p w14:paraId="2D5E6B8F"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rtl/>
                <w:lang w:val="en-GB"/>
              </w:rPr>
              <w:t>جودة القرارات الاستراتيجية</w:t>
            </w:r>
          </w:p>
        </w:tc>
        <w:tc>
          <w:tcPr>
            <w:tcW w:w="0" w:type="auto"/>
            <w:vAlign w:val="center"/>
            <w:hideMark/>
          </w:tcPr>
          <w:p w14:paraId="1A5105D3"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rtl/>
                <w:lang w:val="en-GB"/>
              </w:rPr>
              <w:t>وسيط</w:t>
            </w:r>
          </w:p>
        </w:tc>
        <w:tc>
          <w:tcPr>
            <w:tcW w:w="0" w:type="auto"/>
            <w:vAlign w:val="center"/>
            <w:hideMark/>
          </w:tcPr>
          <w:p w14:paraId="31591DF6"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rtl/>
                <w:lang w:val="en-GB"/>
              </w:rPr>
              <w:t>القدرة على توفير بدائل متعددة وقياس صحة القرارات وملاءمة توقيتها</w:t>
            </w:r>
          </w:p>
        </w:tc>
        <w:tc>
          <w:tcPr>
            <w:tcW w:w="0" w:type="auto"/>
            <w:vAlign w:val="center"/>
            <w:hideMark/>
          </w:tcPr>
          <w:p w14:paraId="42DF2395"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rtl/>
                <w:lang w:val="en-GB"/>
              </w:rPr>
              <w:t>جودة المعلومات، التحليل الموضوعي، التوافق مع الأهداف، فعالية القرار</w:t>
            </w:r>
          </w:p>
        </w:tc>
        <w:tc>
          <w:tcPr>
            <w:tcW w:w="0" w:type="auto"/>
            <w:vAlign w:val="center"/>
            <w:hideMark/>
          </w:tcPr>
          <w:p w14:paraId="7B1AEEDA"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rtl/>
                <w:lang w:val="en-GB"/>
              </w:rPr>
            </w:pPr>
            <w:r w:rsidRPr="00B87BE1">
              <w:rPr>
                <w:rFonts w:ascii="Traditional Arabic" w:hAnsi="Traditional Arabic" w:cs="Traditional Arabic"/>
                <w:b/>
                <w:color w:val="0D0D0D" w:themeColor="text1" w:themeTint="F2"/>
                <w:sz w:val="24"/>
                <w:szCs w:val="24"/>
                <w:rtl/>
                <w:lang w:val="en-GB"/>
              </w:rPr>
              <w:t>العبادي</w:t>
            </w:r>
          </w:p>
          <w:p w14:paraId="0564F455" w14:textId="183D19FE"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lang w:val="en-GB"/>
              </w:rPr>
              <w:t xml:space="preserve"> (2017)</w:t>
            </w:r>
          </w:p>
        </w:tc>
      </w:tr>
      <w:tr w:rsidR="005876E8" w:rsidRPr="00B87BE1" w14:paraId="3D6CF6FC" w14:textId="77777777" w:rsidTr="005876E8">
        <w:tc>
          <w:tcPr>
            <w:tcW w:w="0" w:type="auto"/>
            <w:vAlign w:val="center"/>
            <w:hideMark/>
          </w:tcPr>
          <w:p w14:paraId="0A82372F"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rtl/>
                <w:lang w:val="en-GB"/>
              </w:rPr>
              <w:t>الابتكار التنظيمي</w:t>
            </w:r>
          </w:p>
        </w:tc>
        <w:tc>
          <w:tcPr>
            <w:tcW w:w="0" w:type="auto"/>
            <w:vAlign w:val="center"/>
            <w:hideMark/>
          </w:tcPr>
          <w:p w14:paraId="408BAE03"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rtl/>
                <w:lang w:val="en-GB"/>
              </w:rPr>
              <w:t>تابع</w:t>
            </w:r>
          </w:p>
        </w:tc>
        <w:tc>
          <w:tcPr>
            <w:tcW w:w="0" w:type="auto"/>
            <w:vAlign w:val="center"/>
            <w:hideMark/>
          </w:tcPr>
          <w:p w14:paraId="499F7BCF"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rtl/>
                <w:lang w:val="en-GB"/>
              </w:rPr>
              <w:t>تطبيق الأفكار الإبداعية لتحسين الأداء التنظيمي</w:t>
            </w:r>
          </w:p>
        </w:tc>
        <w:tc>
          <w:tcPr>
            <w:tcW w:w="0" w:type="auto"/>
            <w:vAlign w:val="center"/>
            <w:hideMark/>
          </w:tcPr>
          <w:p w14:paraId="065DA26C"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rtl/>
                <w:lang w:val="en-GB"/>
              </w:rPr>
              <w:t>ابتكار المنتجات/الخدمات، ابتكار العمليات، الثقافة الداعمة للابتكار</w:t>
            </w:r>
          </w:p>
        </w:tc>
        <w:tc>
          <w:tcPr>
            <w:tcW w:w="0" w:type="auto"/>
            <w:vAlign w:val="center"/>
            <w:hideMark/>
          </w:tcPr>
          <w:p w14:paraId="512CC421" w14:textId="77777777" w:rsidR="005876E8" w:rsidRPr="00B87BE1" w:rsidRDefault="005876E8" w:rsidP="005876E8">
            <w:pPr>
              <w:bidi/>
              <w:spacing w:after="0" w:line="240" w:lineRule="auto"/>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lang w:val="en-GB"/>
              </w:rPr>
              <w:t>Hoai et al. (2022)</w:t>
            </w:r>
          </w:p>
        </w:tc>
      </w:tr>
    </w:tbl>
    <w:p w14:paraId="184C08F3" w14:textId="77777777" w:rsidR="005876E8" w:rsidRPr="00B87BE1" w:rsidRDefault="005876E8" w:rsidP="005876E8">
      <w:pPr>
        <w:bidi/>
        <w:spacing w:after="240" w:line="360" w:lineRule="auto"/>
        <w:jc w:val="both"/>
        <w:rPr>
          <w:rFonts w:ascii="Traditional Arabic" w:hAnsi="Traditional Arabic" w:cs="Traditional Arabic"/>
          <w:b/>
          <w:color w:val="0D0D0D" w:themeColor="text1" w:themeTint="F2"/>
          <w:sz w:val="24"/>
          <w:szCs w:val="24"/>
          <w:rtl/>
          <w:lang w:val="en-GB"/>
        </w:rPr>
      </w:pPr>
      <w:r w:rsidRPr="00B87BE1">
        <w:rPr>
          <w:rFonts w:ascii="Traditional Arabic" w:hAnsi="Traditional Arabic" w:cs="Traditional Arabic"/>
          <w:b/>
          <w:bCs/>
          <w:color w:val="0D0D0D" w:themeColor="text1" w:themeTint="F2"/>
          <w:sz w:val="24"/>
          <w:szCs w:val="24"/>
          <w:rtl/>
          <w:lang w:val="en-GB"/>
        </w:rPr>
        <w:t>ملاحظة</w:t>
      </w:r>
      <w:r w:rsidRPr="00B87BE1">
        <w:rPr>
          <w:rFonts w:ascii="Traditional Arabic" w:hAnsi="Traditional Arabic" w:cs="Traditional Arabic"/>
          <w:b/>
          <w:bCs/>
          <w:color w:val="0D0D0D" w:themeColor="text1" w:themeTint="F2"/>
          <w:sz w:val="24"/>
          <w:szCs w:val="24"/>
          <w:lang w:val="en-GB"/>
        </w:rPr>
        <w:t>:</w:t>
      </w:r>
      <w:r w:rsidRPr="00B87BE1">
        <w:rPr>
          <w:rFonts w:ascii="Traditional Arabic" w:hAnsi="Traditional Arabic" w:cs="Traditional Arabic"/>
          <w:b/>
          <w:color w:val="0D0D0D" w:themeColor="text1" w:themeTint="F2"/>
          <w:sz w:val="24"/>
          <w:szCs w:val="24"/>
          <w:lang w:val="en-GB"/>
        </w:rPr>
        <w:t xml:space="preserve"> </w:t>
      </w:r>
      <w:r w:rsidRPr="00B87BE1">
        <w:rPr>
          <w:rFonts w:ascii="Traditional Arabic" w:hAnsi="Traditional Arabic" w:cs="Traditional Arabic"/>
          <w:b/>
          <w:color w:val="0D0D0D" w:themeColor="text1" w:themeTint="F2"/>
          <w:sz w:val="24"/>
          <w:szCs w:val="24"/>
          <w:rtl/>
          <w:lang w:val="en-GB"/>
        </w:rPr>
        <w:t>سيُقاس قبول أنظمة ذكاء الأعمال كمتغير من الدرجة الثانية يتكون من ثلاثة أبعاد فرعية، وسيتم تحليل هذه الأبعاد مجتمعة ومنفصلة وفق متطلبات التحليل الإحصائي</w:t>
      </w:r>
      <w:r w:rsidRPr="00B87BE1">
        <w:rPr>
          <w:rFonts w:ascii="Traditional Arabic" w:hAnsi="Traditional Arabic" w:cs="Traditional Arabic"/>
          <w:b/>
          <w:color w:val="0D0D0D" w:themeColor="text1" w:themeTint="F2"/>
          <w:sz w:val="24"/>
          <w:szCs w:val="24"/>
          <w:lang w:val="en-GB"/>
        </w:rPr>
        <w:t>.</w:t>
      </w:r>
    </w:p>
    <w:p w14:paraId="15036A01" w14:textId="77777777" w:rsidR="00163E96" w:rsidRPr="00B87BE1" w:rsidRDefault="00163E96" w:rsidP="00163E96">
      <w:pPr>
        <w:bidi/>
        <w:spacing w:after="240" w:line="360" w:lineRule="auto"/>
        <w:jc w:val="both"/>
        <w:rPr>
          <w:rFonts w:ascii="Traditional Arabic" w:hAnsi="Traditional Arabic" w:cs="Traditional Arabic"/>
          <w:b/>
          <w:color w:val="0D0D0D" w:themeColor="text1" w:themeTint="F2"/>
          <w:sz w:val="24"/>
          <w:szCs w:val="24"/>
          <w:lang w:val="en-GB"/>
        </w:rPr>
      </w:pPr>
    </w:p>
    <w:p w14:paraId="5C5464F9" w14:textId="7CD41A50" w:rsidR="00FE2F52" w:rsidRPr="00B87BE1" w:rsidRDefault="003E1040" w:rsidP="008452C8">
      <w:pPr>
        <w:pStyle w:val="Heading1"/>
        <w:bidi/>
        <w:spacing w:before="0" w:after="240" w:line="360" w:lineRule="auto"/>
        <w:rPr>
          <w:rFonts w:ascii="Traditional Arabic" w:hAnsi="Traditional Arabic" w:cs="Traditional Arabic"/>
          <w:bCs/>
          <w:color w:val="0D0D0D" w:themeColor="text1" w:themeTint="F2"/>
          <w:sz w:val="28"/>
          <w:szCs w:val="28"/>
          <w:rtl/>
        </w:rPr>
      </w:pPr>
      <w:bookmarkStart w:id="12" w:name="_Toc215399836"/>
      <w:r w:rsidRPr="00B87BE1">
        <w:rPr>
          <w:rFonts w:ascii="Traditional Arabic" w:hAnsi="Traditional Arabic" w:cs="Traditional Arabic"/>
          <w:bCs/>
          <w:color w:val="0D0D0D" w:themeColor="text1" w:themeTint="F2"/>
          <w:sz w:val="28"/>
          <w:szCs w:val="28"/>
          <w:rtl/>
        </w:rPr>
        <w:t>ا</w:t>
      </w:r>
      <w:r w:rsidR="00533AA9" w:rsidRPr="00B87BE1">
        <w:rPr>
          <w:rFonts w:ascii="Traditional Arabic" w:hAnsi="Traditional Arabic" w:cs="Traditional Arabic"/>
          <w:bCs/>
          <w:color w:val="0D0D0D" w:themeColor="text1" w:themeTint="F2"/>
          <w:sz w:val="28"/>
          <w:szCs w:val="28"/>
          <w:rtl/>
        </w:rPr>
        <w:t xml:space="preserve">لدراسات </w:t>
      </w:r>
      <w:r w:rsidR="009C4F53" w:rsidRPr="00B87BE1">
        <w:rPr>
          <w:rFonts w:ascii="Traditional Arabic" w:hAnsi="Traditional Arabic" w:cs="Traditional Arabic" w:hint="cs"/>
          <w:bCs/>
          <w:color w:val="0D0D0D" w:themeColor="text1" w:themeTint="F2"/>
          <w:sz w:val="28"/>
          <w:szCs w:val="28"/>
          <w:rtl/>
        </w:rPr>
        <w:t>السابقة</w:t>
      </w:r>
      <w:bookmarkEnd w:id="12"/>
    </w:p>
    <w:p w14:paraId="5F0A0EBD" w14:textId="77AA538E" w:rsidR="00D00A5E" w:rsidRPr="00B87BE1" w:rsidRDefault="004674F5" w:rsidP="00FE2F52">
      <w:pPr>
        <w:tabs>
          <w:tab w:val="left" w:pos="4936"/>
        </w:tabs>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Cs/>
          <w:color w:val="0D0D0D" w:themeColor="text1" w:themeTint="F2"/>
          <w:sz w:val="24"/>
          <w:szCs w:val="24"/>
          <w:rtl/>
        </w:rPr>
        <w:t>أولاً: الدراسات المرتبطة بذكاء الأعمال</w:t>
      </w:r>
    </w:p>
    <w:p w14:paraId="45BFA138" w14:textId="1127F928" w:rsidR="00D00A5E" w:rsidRPr="00B87BE1" w:rsidRDefault="00D00A5E" w:rsidP="00FE2F52">
      <w:pPr>
        <w:tabs>
          <w:tab w:val="left" w:pos="4936"/>
        </w:tabs>
        <w:bidi/>
        <w:spacing w:after="240" w:line="360" w:lineRule="auto"/>
        <w:jc w:val="both"/>
        <w:rPr>
          <w:rFonts w:ascii="Traditional Arabic" w:hAnsi="Traditional Arabic" w:cs="Traditional Arabic"/>
          <w:color w:val="0D0D0D" w:themeColor="text1" w:themeTint="F2"/>
          <w:sz w:val="24"/>
          <w:szCs w:val="24"/>
        </w:rPr>
      </w:pPr>
      <w:r w:rsidRPr="00B87BE1">
        <w:rPr>
          <w:rFonts w:ascii="Traditional Arabic" w:hAnsi="Traditional Arabic" w:cs="Traditional Arabic"/>
          <w:color w:val="0D0D0D" w:themeColor="text1" w:themeTint="F2"/>
          <w:sz w:val="24"/>
          <w:szCs w:val="24"/>
          <w:rtl/>
        </w:rPr>
        <w:t xml:space="preserve">دراسة سليم </w:t>
      </w:r>
      <w:r w:rsidR="00DE56D7" w:rsidRPr="00B87BE1">
        <w:rPr>
          <w:rFonts w:ascii="Traditional Arabic" w:hAnsi="Traditional Arabic" w:cs="Traditional Arabic"/>
          <w:color w:val="0D0D0D" w:themeColor="text1" w:themeTint="F2"/>
          <w:sz w:val="24"/>
          <w:szCs w:val="24"/>
          <w:rtl/>
        </w:rPr>
        <w:t>و</w:t>
      </w:r>
      <w:r w:rsidRPr="00B87BE1">
        <w:rPr>
          <w:rFonts w:ascii="Traditional Arabic" w:hAnsi="Traditional Arabic" w:cs="Traditional Arabic"/>
          <w:color w:val="0D0D0D" w:themeColor="text1" w:themeTint="F2"/>
          <w:sz w:val="24"/>
          <w:szCs w:val="24"/>
          <w:rtl/>
        </w:rPr>
        <w:t>الشريف (2025) التي هدفت إلى معرفة دور ذكاء الأعمال وأبعاده المختلفة (تجميع البيانات وتخزينها، المعالجة التحليلية للبيانات، التنقيب في البيانات، وتقنيات عرض المعلومات) في اتخاذ القرارات ال</w:t>
      </w:r>
      <w:r w:rsidR="00115502" w:rsidRPr="00B87BE1">
        <w:rPr>
          <w:rFonts w:ascii="Traditional Arabic" w:hAnsi="Traditional Arabic" w:cs="Traditional Arabic"/>
          <w:color w:val="0D0D0D" w:themeColor="text1" w:themeTint="F2"/>
          <w:sz w:val="24"/>
          <w:szCs w:val="24"/>
          <w:rtl/>
        </w:rPr>
        <w:t>استراتيجي</w:t>
      </w:r>
      <w:r w:rsidRPr="00B87BE1">
        <w:rPr>
          <w:rFonts w:ascii="Traditional Arabic" w:hAnsi="Traditional Arabic" w:cs="Traditional Arabic"/>
          <w:color w:val="0D0D0D" w:themeColor="text1" w:themeTint="F2"/>
          <w:sz w:val="24"/>
          <w:szCs w:val="24"/>
          <w:rtl/>
        </w:rPr>
        <w:t>ة</w:t>
      </w:r>
      <w:r w:rsidRPr="00B87BE1">
        <w:rPr>
          <w:rFonts w:ascii="Traditional Arabic" w:hAnsi="Traditional Arabic" w:cs="Traditional Arabic"/>
          <w:color w:val="0D0D0D" w:themeColor="text1" w:themeTint="F2"/>
          <w:sz w:val="24"/>
          <w:szCs w:val="24"/>
        </w:rPr>
        <w:t>.</w:t>
      </w:r>
      <w:r w:rsidRPr="00B87BE1">
        <w:rPr>
          <w:rFonts w:ascii="Traditional Arabic" w:hAnsi="Traditional Arabic" w:cs="Traditional Arabic"/>
          <w:color w:val="0D0D0D" w:themeColor="text1" w:themeTint="F2"/>
          <w:sz w:val="24"/>
          <w:szCs w:val="24"/>
          <w:rtl/>
        </w:rPr>
        <w:t xml:space="preserve"> حيث تكون مجتمع الدراسة من جميع العاملين بشركات التأمين بمدينة </w:t>
      </w:r>
      <w:r w:rsidRPr="00B87BE1">
        <w:rPr>
          <w:rFonts w:ascii="Traditional Arabic" w:hAnsi="Traditional Arabic" w:cs="Traditional Arabic"/>
          <w:color w:val="0D0D0D" w:themeColor="text1" w:themeTint="F2"/>
          <w:sz w:val="24"/>
          <w:szCs w:val="24"/>
          <w:rtl/>
        </w:rPr>
        <w:lastRenderedPageBreak/>
        <w:t xml:space="preserve">مصراتة، والبالغ عددهم (100) عامل، وقد تم استخدام أسلوب المسح الشامل في هذه الدراسة، والاعتماد على المنهج الوصفي والتحليلي، واستخدمت الاستبانة كأداة لجمع البيانات، وتم تحليل البيانات باستخدام برنامج التحليل الإحصائي </w:t>
      </w:r>
      <w:r w:rsidRPr="00B87BE1">
        <w:rPr>
          <w:rFonts w:ascii="Traditional Arabic" w:hAnsi="Traditional Arabic" w:cs="Traditional Arabic"/>
          <w:color w:val="0D0D0D" w:themeColor="text1" w:themeTint="F2"/>
          <w:sz w:val="24"/>
          <w:szCs w:val="24"/>
        </w:rPr>
        <w:t>(SPSS)</w:t>
      </w:r>
      <w:r w:rsidR="00F92F61" w:rsidRPr="00B87BE1">
        <w:rPr>
          <w:rFonts w:ascii="Traditional Arabic" w:hAnsi="Traditional Arabic" w:cs="Traditional Arabic"/>
          <w:color w:val="0D0D0D" w:themeColor="text1" w:themeTint="F2"/>
          <w:sz w:val="24"/>
          <w:szCs w:val="24"/>
          <w:rtl/>
        </w:rPr>
        <w:t>.</w:t>
      </w:r>
      <w:r w:rsidRPr="00B87BE1">
        <w:rPr>
          <w:rFonts w:ascii="Traditional Arabic" w:hAnsi="Traditional Arabic" w:cs="Traditional Arabic"/>
          <w:color w:val="0D0D0D" w:themeColor="text1" w:themeTint="F2"/>
          <w:sz w:val="24"/>
          <w:szCs w:val="24"/>
          <w:rtl/>
        </w:rPr>
        <w:t xml:space="preserve"> وتوصلت الدراسة إلى عدة نتائج أهمها: إن درجة تطبيق الشركات لأبعاد الدراسة المتمثلة في (تجميع البيانات وتخزينها، المعالجة التحليلية للبيانات، التنقيب في البيانات، وتقنيات عرض المعلومات) مرتفعة، وكذلك وجود علاقة طردية موجبة متوسطة بين (تجميع البيانات وتخزينها، والمعالجة التحليلية للبيانات، والتنقيب في البيانات، وتقنيات عرض المعلومات) واتخاذ القرارات ال</w:t>
      </w:r>
      <w:r w:rsidR="00115502" w:rsidRPr="00B87BE1">
        <w:rPr>
          <w:rFonts w:ascii="Traditional Arabic" w:hAnsi="Traditional Arabic" w:cs="Traditional Arabic"/>
          <w:color w:val="0D0D0D" w:themeColor="text1" w:themeTint="F2"/>
          <w:sz w:val="24"/>
          <w:szCs w:val="24"/>
          <w:rtl/>
        </w:rPr>
        <w:t>استراتيجي</w:t>
      </w:r>
      <w:r w:rsidRPr="00B87BE1">
        <w:rPr>
          <w:rFonts w:ascii="Traditional Arabic" w:hAnsi="Traditional Arabic" w:cs="Traditional Arabic"/>
          <w:color w:val="0D0D0D" w:themeColor="text1" w:themeTint="F2"/>
          <w:sz w:val="24"/>
          <w:szCs w:val="24"/>
          <w:rtl/>
        </w:rPr>
        <w:t>ة، حيث كانت العلاقة الأقوى بين تقنيات عرض المعلومات واتخاذ القرارات ال</w:t>
      </w:r>
      <w:r w:rsidR="00115502" w:rsidRPr="00B87BE1">
        <w:rPr>
          <w:rFonts w:ascii="Traditional Arabic" w:hAnsi="Traditional Arabic" w:cs="Traditional Arabic"/>
          <w:color w:val="0D0D0D" w:themeColor="text1" w:themeTint="F2"/>
          <w:sz w:val="24"/>
          <w:szCs w:val="24"/>
          <w:rtl/>
        </w:rPr>
        <w:t>استراتيجي</w:t>
      </w:r>
      <w:r w:rsidRPr="00B87BE1">
        <w:rPr>
          <w:rFonts w:ascii="Traditional Arabic" w:hAnsi="Traditional Arabic" w:cs="Traditional Arabic"/>
          <w:color w:val="0D0D0D" w:themeColor="text1" w:themeTint="F2"/>
          <w:sz w:val="24"/>
          <w:szCs w:val="24"/>
          <w:rtl/>
        </w:rPr>
        <w:t>ة، ووجود دور ذي دلالة إحصائية لذكاء الأعمال وأبعاده (تجميع البيانات وتخزينها، المعالجة التحليلية للبيانات، التنقيب في البيانات، وتقنيات عرض المعلومات) على اتخاذ القرارات ال</w:t>
      </w:r>
      <w:r w:rsidR="00115502" w:rsidRPr="00B87BE1">
        <w:rPr>
          <w:rFonts w:ascii="Traditional Arabic" w:hAnsi="Traditional Arabic" w:cs="Traditional Arabic"/>
          <w:color w:val="0D0D0D" w:themeColor="text1" w:themeTint="F2"/>
          <w:sz w:val="24"/>
          <w:szCs w:val="24"/>
          <w:rtl/>
        </w:rPr>
        <w:t>استراتيجي</w:t>
      </w:r>
      <w:r w:rsidRPr="00B87BE1">
        <w:rPr>
          <w:rFonts w:ascii="Traditional Arabic" w:hAnsi="Traditional Arabic" w:cs="Traditional Arabic"/>
          <w:color w:val="0D0D0D" w:themeColor="text1" w:themeTint="F2"/>
          <w:sz w:val="24"/>
          <w:szCs w:val="24"/>
          <w:rtl/>
        </w:rPr>
        <w:t>ة لدى شركات التأمين بمدينة مصراتة</w:t>
      </w:r>
      <w:r w:rsidRPr="00B87BE1">
        <w:rPr>
          <w:rFonts w:ascii="Traditional Arabic" w:hAnsi="Traditional Arabic" w:cs="Traditional Arabic"/>
          <w:color w:val="0D0D0D" w:themeColor="text1" w:themeTint="F2"/>
          <w:sz w:val="24"/>
          <w:szCs w:val="24"/>
        </w:rPr>
        <w:t>.</w:t>
      </w:r>
    </w:p>
    <w:p w14:paraId="629C1D1F" w14:textId="77A120F6" w:rsidR="004674F5" w:rsidRPr="00B87BE1" w:rsidRDefault="00E14E2E" w:rsidP="00FE2F52">
      <w:pPr>
        <w:tabs>
          <w:tab w:val="left" w:pos="4936"/>
        </w:tabs>
        <w:bidi/>
        <w:spacing w:after="240" w:line="360" w:lineRule="auto"/>
        <w:jc w:val="both"/>
        <w:rPr>
          <w:rFonts w:ascii="Traditional Arabic" w:hAnsi="Traditional Arabic" w:cs="Traditional Arabic"/>
          <w:color w:val="0D0D0D" w:themeColor="text1" w:themeTint="F2"/>
          <w:sz w:val="24"/>
          <w:szCs w:val="24"/>
          <w:rtl/>
        </w:rPr>
      </w:pPr>
      <w:r w:rsidRPr="00B87BE1">
        <w:rPr>
          <w:rFonts w:ascii="Traditional Arabic" w:hAnsi="Traditional Arabic" w:cs="Traditional Arabic"/>
          <w:color w:val="0D0D0D" w:themeColor="text1" w:themeTint="F2"/>
          <w:sz w:val="24"/>
          <w:szCs w:val="24"/>
          <w:rtl/>
        </w:rPr>
        <w:t>دراسة</w:t>
      </w:r>
      <w:r w:rsidR="004674F5" w:rsidRPr="00B87BE1">
        <w:rPr>
          <w:rFonts w:ascii="Traditional Arabic" w:hAnsi="Traditional Arabic" w:cs="Traditional Arabic"/>
          <w:color w:val="0D0D0D" w:themeColor="text1" w:themeTint="F2"/>
          <w:sz w:val="24"/>
          <w:szCs w:val="24"/>
          <w:rtl/>
        </w:rPr>
        <w:t xml:space="preserve"> العتيبي (2025) </w:t>
      </w:r>
      <w:r w:rsidR="00B049D1" w:rsidRPr="00B87BE1">
        <w:rPr>
          <w:rFonts w:ascii="Traditional Arabic" w:hAnsi="Traditional Arabic" w:cs="Traditional Arabic"/>
          <w:color w:val="0D0D0D" w:themeColor="text1" w:themeTint="F2"/>
          <w:sz w:val="24"/>
          <w:szCs w:val="24"/>
          <w:rtl/>
        </w:rPr>
        <w:t xml:space="preserve">التي </w:t>
      </w:r>
      <w:r w:rsidR="004674F5" w:rsidRPr="00B87BE1">
        <w:rPr>
          <w:rFonts w:ascii="Traditional Arabic" w:hAnsi="Traditional Arabic" w:cs="Traditional Arabic"/>
          <w:color w:val="0D0D0D" w:themeColor="text1" w:themeTint="F2"/>
          <w:sz w:val="24"/>
          <w:szCs w:val="24"/>
          <w:rtl/>
        </w:rPr>
        <w:t>هدفت إلى الكشف عن أثر ذكاء الأعمال على أداء العاملين في البنك الأهلي السعودي، وذلك من خلال الوقوف على مستوى تطبيق ذكاء الأعمال في البنك الأهلي السعودي بمدينة الطائف، والكشف عن مستوى أداء العاملين في البنك الأهلي السعودي بمدينة الطائف، والتعرف على طبيعة العلاقة بين ذكاء الأعمال وأداء العاملين في البنك الأهلي السعودي بمدينة الطائف، ولتحقيق أهداف الدراسة تم استخدام المنهج الوصفي التحليلي، كما تم الاعتماد على الاستبيان كأداة لجمع البيانات، طبقت على عينة من العاملين في البنك الأهلي السعودي بمدينة الطائف بلغت (۸۰) موظفا</w:t>
      </w:r>
      <w:r w:rsidR="00F92F61" w:rsidRPr="00B87BE1">
        <w:rPr>
          <w:rFonts w:ascii="Traditional Arabic" w:hAnsi="Traditional Arabic" w:cs="Traditional Arabic"/>
          <w:color w:val="0D0D0D" w:themeColor="text1" w:themeTint="F2"/>
          <w:sz w:val="24"/>
          <w:szCs w:val="24"/>
          <w:rtl/>
        </w:rPr>
        <w:t>ً</w:t>
      </w:r>
      <w:r w:rsidR="004674F5" w:rsidRPr="00B87BE1">
        <w:rPr>
          <w:rFonts w:ascii="Traditional Arabic" w:hAnsi="Traditional Arabic" w:cs="Traditional Arabic"/>
          <w:color w:val="0D0D0D" w:themeColor="text1" w:themeTint="F2"/>
          <w:sz w:val="24"/>
          <w:szCs w:val="24"/>
          <w:rtl/>
        </w:rPr>
        <w:t>، وقد خلصت الدراسة إلى عدد من النتائج أبرزها: جاء مستوى تطبيق ذكاء الأعمال في البنك الأهلي السعودي بمدينة الطائف بدرجة عالية بمتوسط حسابي (٤.٤٥)، وانحراف معياري (٠.٥٦٩)، كما كشفت النتائج أن مستوى أداء العاملين في البنك الأهلي السعودي بمدينة الطائف جاء بدرجة عالية بمتوسط حسابي (٤.٢٩)، وانحراف معياري (٠.٧٤٠)، كما وضحت النتائج وجود علاقة طردية بين تطبيق ذكاء الأعمال وأداء العاملين في البنك الأهلي السعودي بمدينة الطائف</w:t>
      </w:r>
      <w:r w:rsidR="00F92F61" w:rsidRPr="00B87BE1">
        <w:rPr>
          <w:rFonts w:ascii="Traditional Arabic" w:hAnsi="Traditional Arabic" w:cs="Traditional Arabic"/>
          <w:color w:val="0D0D0D" w:themeColor="text1" w:themeTint="F2"/>
          <w:sz w:val="24"/>
          <w:szCs w:val="24"/>
          <w:rtl/>
        </w:rPr>
        <w:t>.</w:t>
      </w:r>
      <w:r w:rsidR="004674F5" w:rsidRPr="00B87BE1">
        <w:rPr>
          <w:rFonts w:ascii="Traditional Arabic" w:hAnsi="Traditional Arabic" w:cs="Traditional Arabic"/>
          <w:color w:val="0D0D0D" w:themeColor="text1" w:themeTint="F2"/>
          <w:sz w:val="24"/>
          <w:szCs w:val="24"/>
          <w:rtl/>
        </w:rPr>
        <w:t xml:space="preserve"> </w:t>
      </w:r>
    </w:p>
    <w:p w14:paraId="1A161990" w14:textId="7CB44447" w:rsidR="004674F5" w:rsidRPr="00B87BE1" w:rsidRDefault="00B049D1" w:rsidP="00FE2F52">
      <w:pPr>
        <w:tabs>
          <w:tab w:val="left" w:pos="4936"/>
        </w:tabs>
        <w:bidi/>
        <w:spacing w:after="240" w:line="360" w:lineRule="auto"/>
        <w:jc w:val="both"/>
        <w:rPr>
          <w:rFonts w:ascii="Traditional Arabic" w:hAnsi="Traditional Arabic" w:cs="Traditional Arabic"/>
          <w:color w:val="0D0D0D" w:themeColor="text1" w:themeTint="F2"/>
          <w:sz w:val="24"/>
          <w:szCs w:val="24"/>
          <w:rtl/>
        </w:rPr>
      </w:pPr>
      <w:r w:rsidRPr="00B87BE1">
        <w:rPr>
          <w:rFonts w:ascii="Traditional Arabic" w:hAnsi="Traditional Arabic" w:cs="Traditional Arabic"/>
          <w:color w:val="0D0D0D" w:themeColor="text1" w:themeTint="F2"/>
          <w:sz w:val="24"/>
          <w:szCs w:val="24"/>
          <w:rtl/>
        </w:rPr>
        <w:t>ودراسة</w:t>
      </w:r>
      <w:r w:rsidR="004674F5" w:rsidRPr="00B87BE1">
        <w:rPr>
          <w:rFonts w:ascii="Traditional Arabic" w:hAnsi="Traditional Arabic" w:cs="Traditional Arabic"/>
          <w:color w:val="0D0D0D" w:themeColor="text1" w:themeTint="F2"/>
          <w:sz w:val="24"/>
          <w:szCs w:val="24"/>
          <w:rtl/>
        </w:rPr>
        <w:t xml:space="preserve"> الفار ومبارز (2023) حيث هدفت إلى التعريف بذكاء الأعمال كتقنية من تقنيات المعلومات التي تساعد متخذي القرارات في عملية اتخاذ القرار بالأدوات والمنهجيات الآلية لاتخاذ قرارات مناسبة في الوقت المناسب في قطاع البنوك. ويرى الباحثان أنه في ظل التقدم التكنولوجي ووجود كميات كبيرة من البيانات، فلابد من استخدام هذه البيانات المتراكمة للحصول على إحصاءات قيمة. وهذا ما يعرف باسم ذكاء الأعمال، وذلك لاتخاذ قرارات </w:t>
      </w:r>
      <w:r w:rsidR="00115502" w:rsidRPr="00B87BE1">
        <w:rPr>
          <w:rFonts w:ascii="Traditional Arabic" w:hAnsi="Traditional Arabic" w:cs="Traditional Arabic"/>
          <w:color w:val="0D0D0D" w:themeColor="text1" w:themeTint="F2"/>
          <w:sz w:val="24"/>
          <w:szCs w:val="24"/>
          <w:rtl/>
        </w:rPr>
        <w:t>استراتيجي</w:t>
      </w:r>
      <w:r w:rsidR="004674F5" w:rsidRPr="00B87BE1">
        <w:rPr>
          <w:rFonts w:ascii="Traditional Arabic" w:hAnsi="Traditional Arabic" w:cs="Traditional Arabic"/>
          <w:color w:val="0D0D0D" w:themeColor="text1" w:themeTint="F2"/>
          <w:sz w:val="24"/>
          <w:szCs w:val="24"/>
          <w:rtl/>
        </w:rPr>
        <w:t>ة قابلة للتنفيذ، حيث تمتلك ذكاء الأعمال (</w:t>
      </w:r>
      <w:r w:rsidR="004674F5" w:rsidRPr="00B87BE1">
        <w:rPr>
          <w:rFonts w:ascii="Traditional Arabic" w:hAnsi="Traditional Arabic" w:cs="Traditional Arabic"/>
          <w:color w:val="0D0D0D" w:themeColor="text1" w:themeTint="F2"/>
          <w:sz w:val="24"/>
          <w:szCs w:val="24"/>
        </w:rPr>
        <w:t>BI</w:t>
      </w:r>
      <w:r w:rsidR="004674F5" w:rsidRPr="00B87BE1">
        <w:rPr>
          <w:rFonts w:ascii="Traditional Arabic" w:hAnsi="Traditional Arabic" w:cs="Traditional Arabic"/>
          <w:color w:val="0D0D0D" w:themeColor="text1" w:themeTint="F2"/>
          <w:sz w:val="24"/>
          <w:szCs w:val="24"/>
          <w:rtl/>
        </w:rPr>
        <w:t>) القدرات التي تدعم اتخاذ القرارات العليا للأعمال من خلال تكوين اتجاهات الماضي والحاضر والتنبؤ لعمليات المنظمات في المستقبل، فذكاء الأعمال ليس منتج أو تقنية أو منهجية، بل هو مزيج من كل ذلك للاستفادة من أصول المعلومات لتحقيق أعمال محسّنة الأداء.</w:t>
      </w:r>
    </w:p>
    <w:p w14:paraId="5CDF60FC" w14:textId="260D71C1" w:rsidR="004674F5" w:rsidRPr="00B87BE1" w:rsidRDefault="00E952BE" w:rsidP="00FE2F52">
      <w:pPr>
        <w:tabs>
          <w:tab w:val="left" w:pos="4936"/>
        </w:tabs>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color w:val="0D0D0D" w:themeColor="text1" w:themeTint="F2"/>
          <w:sz w:val="24"/>
          <w:szCs w:val="24"/>
          <w:rtl/>
        </w:rPr>
        <w:t>و</w:t>
      </w:r>
      <w:r w:rsidR="00B049D1" w:rsidRPr="00B87BE1">
        <w:rPr>
          <w:rFonts w:ascii="Traditional Arabic" w:hAnsi="Traditional Arabic" w:cs="Traditional Arabic"/>
          <w:color w:val="0D0D0D" w:themeColor="text1" w:themeTint="F2"/>
          <w:sz w:val="24"/>
          <w:szCs w:val="24"/>
          <w:rtl/>
        </w:rPr>
        <w:t xml:space="preserve">دراسة </w:t>
      </w:r>
      <w:r w:rsidR="004674F5" w:rsidRPr="00B87BE1">
        <w:rPr>
          <w:rFonts w:ascii="Traditional Arabic" w:hAnsi="Traditional Arabic" w:cs="Traditional Arabic"/>
          <w:color w:val="0D0D0D" w:themeColor="text1" w:themeTint="F2"/>
          <w:sz w:val="24"/>
          <w:szCs w:val="24"/>
          <w:rtl/>
        </w:rPr>
        <w:t xml:space="preserve">عبيدات (2022) حيث هدفت إلى معرفة أثر نظم ذكاء الأعمال بأبعاد (المعالجة التحليلية الفورية، جمع وتحليل البيانات، إدارة أداء الأعمال) في التحسين المستمر في البنوك القطرية. اتبعت الدراسة المنهج الوصفي، وتكونت عينة الدراسة من 411 مفردة، واعتمدت على الاستبانة كأداة. </w:t>
      </w:r>
      <w:r w:rsidR="00F92F61" w:rsidRPr="00B87BE1">
        <w:rPr>
          <w:rFonts w:ascii="Traditional Arabic" w:hAnsi="Traditional Arabic" w:cs="Traditional Arabic"/>
          <w:color w:val="0D0D0D" w:themeColor="text1" w:themeTint="F2"/>
          <w:sz w:val="24"/>
          <w:szCs w:val="24"/>
          <w:rtl/>
        </w:rPr>
        <w:t>و</w:t>
      </w:r>
      <w:r w:rsidR="004674F5" w:rsidRPr="00B87BE1">
        <w:rPr>
          <w:rFonts w:ascii="Traditional Arabic" w:hAnsi="Traditional Arabic" w:cs="Traditional Arabic"/>
          <w:color w:val="0D0D0D" w:themeColor="text1" w:themeTint="F2"/>
          <w:sz w:val="24"/>
          <w:szCs w:val="24"/>
          <w:rtl/>
        </w:rPr>
        <w:t>توصلت الدراسة إلى النتائج التالية: وجود أثر دال إحصائياً لنظم ذكاء</w:t>
      </w:r>
      <w:r w:rsidR="004674F5" w:rsidRPr="00B87BE1">
        <w:rPr>
          <w:rFonts w:ascii="Traditional Arabic" w:hAnsi="Traditional Arabic" w:cs="Traditional Arabic"/>
          <w:b/>
          <w:color w:val="0D0D0D" w:themeColor="text1" w:themeTint="F2"/>
          <w:sz w:val="24"/>
          <w:szCs w:val="24"/>
          <w:rtl/>
        </w:rPr>
        <w:t xml:space="preserve"> الأعمال بأبعاد على التحسين في المستمر في البنوك القطرية، وجاءت متغيرات ذكاء الأعمال والتحسين المستمر بأبعادهم بمستوى أهمية مرتفع.</w:t>
      </w:r>
    </w:p>
    <w:p w14:paraId="00987BD1" w14:textId="3F4566B2" w:rsidR="004674F5" w:rsidRPr="00B87BE1" w:rsidRDefault="00B049D1"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lastRenderedPageBreak/>
        <w:t>كما أجريت دارسة</w:t>
      </w:r>
      <w:r w:rsidR="004674F5" w:rsidRPr="00B87BE1">
        <w:rPr>
          <w:rFonts w:ascii="Traditional Arabic" w:hAnsi="Traditional Arabic" w:cs="Traditional Arabic"/>
          <w:b/>
          <w:color w:val="0D0D0D" w:themeColor="text1" w:themeTint="F2"/>
          <w:sz w:val="24"/>
          <w:szCs w:val="24"/>
          <w:rtl/>
        </w:rPr>
        <w:t xml:space="preserve"> العتوم (2020) </w:t>
      </w:r>
      <w:r w:rsidRPr="00B87BE1">
        <w:rPr>
          <w:rFonts w:ascii="Traditional Arabic" w:hAnsi="Traditional Arabic" w:cs="Traditional Arabic"/>
          <w:b/>
          <w:color w:val="0D0D0D" w:themeColor="text1" w:themeTint="F2"/>
          <w:sz w:val="24"/>
          <w:szCs w:val="24"/>
          <w:rtl/>
        </w:rPr>
        <w:t xml:space="preserve">التي هدفت إلى </w:t>
      </w:r>
      <w:r w:rsidR="004674F5" w:rsidRPr="00B87BE1">
        <w:rPr>
          <w:rFonts w:ascii="Traditional Arabic" w:hAnsi="Traditional Arabic" w:cs="Traditional Arabic"/>
          <w:b/>
          <w:color w:val="0D0D0D" w:themeColor="text1" w:themeTint="F2"/>
          <w:sz w:val="24"/>
          <w:szCs w:val="24"/>
          <w:rtl/>
        </w:rPr>
        <w:t>بيان أثر ذكاء الأعمال على إدارة الأزمات في البنوك التجارية الأردنية في مدينة عمان، حيث تكون مجتمع الدراسة من كافة العاملين في البنوك التجارية الأردنية في مدينة عمان وعددها (4) وتمت الدراسة على البنوك التجارية التالية: بنك الاتحاد الأردني، وبنك القاهرة عمان، وبنك الأردن، والبنك الأهلي الأردني، أما عينة الدراسة فقد شملت كافة الموظفين العاملين في الإدارتين العليا والوسطى في كل من بنك الاتحاد الأردني، وبنك القاهرة عمان، وبنك الأردن، والبنك الأهلي الأردني، والذين تم اختيارهم بشكل عشوائي والبالغ عددهم (419) فردا</w:t>
      </w:r>
      <w:r w:rsidR="00F92F61" w:rsidRPr="00B87BE1">
        <w:rPr>
          <w:rFonts w:ascii="Traditional Arabic" w:hAnsi="Traditional Arabic" w:cs="Traditional Arabic"/>
          <w:b/>
          <w:color w:val="0D0D0D" w:themeColor="text1" w:themeTint="F2"/>
          <w:sz w:val="24"/>
          <w:szCs w:val="24"/>
          <w:rtl/>
        </w:rPr>
        <w:t>ً</w:t>
      </w:r>
      <w:r w:rsidR="004674F5" w:rsidRPr="00B87BE1">
        <w:rPr>
          <w:rFonts w:ascii="Traditional Arabic" w:hAnsi="Traditional Arabic" w:cs="Traditional Arabic"/>
          <w:b/>
          <w:color w:val="0D0D0D" w:themeColor="text1" w:themeTint="F2"/>
          <w:sz w:val="24"/>
          <w:szCs w:val="24"/>
          <w:rtl/>
        </w:rPr>
        <w:t>. ولتحقيق أهداف الدراسة تم استخدام المنهج الكمي (الوصفي التحليلي). وقد توصلت الدراسة إلى عدد من النتائج أبرزها وجود أثر ذو دلالة إحصائية لذكاء الأعمال بأبعاده المجتمعة (الذكاء التنافسي، جمع وتحليل البيانات، كفاية التقنيات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ة، إدارة أداء الأعمال) عند مستوى دلالة إحصائية على إدارة الأزمات في البنوك التجارية في مدينة عمان. ووجود أثر ذو دلالة إحصائية لذكاء الأعمال بأبعاده المجتمعة (الذكاء التنافسي، جمع وتحليل البيانات، كفاية التقنيات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ة) عند مستوى دلالة إحصائية على استشعار إشارات الإنذار في البنوك التجارية في مدينة عمان. ووجود أثر ذو دلالة إحصائية لذكاء الأعمال بأبعاده المجتمعة (الذكاء التنافسي، إدارة أداء الأعمال) عند مستوى دلالة إحصائية على الاستعداد لحدوث الأزمة في البنوك التجارية في مدينة عمان. ووجود أثر ذو دلالة إحصائية لذكاء الأعمال بأبعاده المجتمعة (جمع وتحليل البيانات، كفاية التقنيات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ة) عند مستوى دلالة إحصائية على احتواء الأضرار (الاستجابة) في البنوك التجارية في مدينة عمان. ووجود أثر ذو دلالة إحصائية لذكاء الأعمال بأبعاده المجتمعة (الذكاء التنافسي، جمع وتحليل البيانات، كفاية التقنيات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ة، إدارة أداء الأعمال) عند مستوى دلالة إحصائية على استعادة النشاط في البنوك التجارية في مدينة عمان. ووجود أثر ذو دلالة إحصائية لذكاء الأعمال بأبعاده المجتمعة (الذكاء التنافسي، كفاية التقنيات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 xml:space="preserve">ة) عند مستوى دلالة إحصائية على التعلم من الأزمة في البنوك التجارية في مدينة عمان. </w:t>
      </w:r>
    </w:p>
    <w:p w14:paraId="74D2B35A" w14:textId="22107A92" w:rsidR="004674F5" w:rsidRPr="00B87BE1" w:rsidRDefault="009123E6"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ودراسة</w:t>
      </w:r>
      <w:r w:rsidR="0063694C" w:rsidRPr="00B87BE1">
        <w:rPr>
          <w:rFonts w:ascii="Traditional Arabic" w:hAnsi="Traditional Arabic" w:cs="Traditional Arabic"/>
          <w:b/>
          <w:color w:val="0D0D0D" w:themeColor="text1" w:themeTint="F2"/>
          <w:sz w:val="24"/>
          <w:szCs w:val="24"/>
          <w:rtl/>
        </w:rPr>
        <w:t xml:space="preserve"> تونسكي </w:t>
      </w:r>
      <w:r w:rsidR="004674F5" w:rsidRPr="00B87BE1">
        <w:rPr>
          <w:rFonts w:ascii="Traditional Arabic" w:hAnsi="Traditional Arabic" w:cs="Traditional Arabic"/>
          <w:b/>
          <w:color w:val="0D0D0D" w:themeColor="text1" w:themeTint="F2"/>
          <w:sz w:val="24"/>
          <w:szCs w:val="24"/>
          <w:rtl/>
        </w:rPr>
        <w:t xml:space="preserve"> (</w:t>
      </w:r>
      <w:proofErr w:type="spellStart"/>
      <w:r w:rsidR="004674F5" w:rsidRPr="00B87BE1">
        <w:rPr>
          <w:rFonts w:ascii="Traditional Arabic" w:hAnsi="Traditional Arabic" w:cs="Traditional Arabic"/>
          <w:bCs/>
          <w:color w:val="0D0D0D" w:themeColor="text1" w:themeTint="F2"/>
          <w:sz w:val="24"/>
          <w:szCs w:val="24"/>
        </w:rPr>
        <w:t>Tunowski</w:t>
      </w:r>
      <w:proofErr w:type="spellEnd"/>
      <w:r w:rsidR="004674F5" w:rsidRPr="00B87BE1">
        <w:rPr>
          <w:rFonts w:ascii="Traditional Arabic" w:hAnsi="Traditional Arabic" w:cs="Traditional Arabic"/>
          <w:bCs/>
          <w:color w:val="0D0D0D" w:themeColor="text1" w:themeTint="F2"/>
          <w:sz w:val="24"/>
          <w:szCs w:val="24"/>
        </w:rPr>
        <w:t>, 2022</w:t>
      </w:r>
      <w:r w:rsidR="004674F5"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tl/>
        </w:rPr>
        <w:t>ح</w:t>
      </w:r>
      <w:r w:rsidR="004674F5" w:rsidRPr="00B87BE1">
        <w:rPr>
          <w:rFonts w:ascii="Traditional Arabic" w:hAnsi="Traditional Arabic" w:cs="Traditional Arabic"/>
          <w:b/>
          <w:color w:val="0D0D0D" w:themeColor="text1" w:themeTint="F2"/>
          <w:sz w:val="24"/>
          <w:szCs w:val="24"/>
          <w:rtl/>
        </w:rPr>
        <w:t xml:space="preserve">يث </w:t>
      </w:r>
      <w:r w:rsidRPr="00B87BE1">
        <w:rPr>
          <w:rFonts w:ascii="Traditional Arabic" w:hAnsi="Traditional Arabic" w:cs="Traditional Arabic"/>
          <w:b/>
          <w:color w:val="0D0D0D" w:themeColor="text1" w:themeTint="F2"/>
          <w:sz w:val="24"/>
          <w:szCs w:val="24"/>
          <w:rtl/>
        </w:rPr>
        <w:t xml:space="preserve">هدفت إلى </w:t>
      </w:r>
      <w:r w:rsidR="004674F5" w:rsidRPr="00B87BE1">
        <w:rPr>
          <w:rFonts w:ascii="Traditional Arabic" w:hAnsi="Traditional Arabic" w:cs="Traditional Arabic"/>
          <w:b/>
          <w:color w:val="0D0D0D" w:themeColor="text1" w:themeTint="F2"/>
          <w:sz w:val="24"/>
          <w:szCs w:val="24"/>
          <w:rtl/>
        </w:rPr>
        <w:t xml:space="preserve">تحديد ما إذا كانت أنظمة </w:t>
      </w:r>
      <w:r w:rsidR="004674F5" w:rsidRPr="00B87BE1">
        <w:rPr>
          <w:rFonts w:ascii="Traditional Arabic" w:hAnsi="Traditional Arabic" w:cs="Traditional Arabic"/>
          <w:bCs/>
          <w:color w:val="0D0D0D" w:themeColor="text1" w:themeTint="F2"/>
          <w:sz w:val="24"/>
          <w:szCs w:val="24"/>
        </w:rPr>
        <w:t>Business Intelligence (BI)</w:t>
      </w:r>
      <w:r w:rsidR="004674F5" w:rsidRPr="00B87BE1">
        <w:rPr>
          <w:rFonts w:ascii="Traditional Arabic" w:hAnsi="Traditional Arabic" w:cs="Traditional Arabic"/>
          <w:b/>
          <w:color w:val="0D0D0D" w:themeColor="text1" w:themeTint="F2"/>
          <w:sz w:val="24"/>
          <w:szCs w:val="24"/>
          <w:rtl/>
        </w:rPr>
        <w:t xml:space="preserve"> توفر الاستدامة للبنوك التجارية من خلال التأثير على وضعها المالي. أشارت النتائج إلى تأثير إيجابي لاستخدام نظام معلومات الأعمال على جوانب محددة من الوضع المالي للبنوك التجارية. ويتعلق هذا التأثير تحديدًا ب</w:t>
      </w:r>
      <w:r w:rsidR="00483E14" w:rsidRPr="00B87BE1">
        <w:rPr>
          <w:rFonts w:ascii="Traditional Arabic" w:hAnsi="Traditional Arabic" w:cs="Traditional Arabic"/>
          <w:b/>
          <w:color w:val="0D0D0D" w:themeColor="text1" w:themeTint="F2"/>
          <w:sz w:val="24"/>
          <w:szCs w:val="24"/>
          <w:rtl/>
        </w:rPr>
        <w:t>ال</w:t>
      </w:r>
      <w:r w:rsidR="004674F5" w:rsidRPr="00B87BE1">
        <w:rPr>
          <w:rFonts w:ascii="Traditional Arabic" w:hAnsi="Traditional Arabic" w:cs="Traditional Arabic"/>
          <w:b/>
          <w:color w:val="0D0D0D" w:themeColor="text1" w:themeTint="F2"/>
          <w:sz w:val="24"/>
          <w:szCs w:val="24"/>
          <w:rtl/>
        </w:rPr>
        <w:t>مجالات الإنتاجية، وجودة الأصول والخصوم، والربحية، والديون. وتتيح النتائج المعمَّمة لهذه الدراسة تحديد علاقات السبب والنتيجة بين استخدام نظام معلومات الأعمال في البنوك التجارية وتحسين مؤشرات الوضع المالي، بالإضافة إلى الخدمات المصرفية المستدامة.</w:t>
      </w:r>
    </w:p>
    <w:p w14:paraId="18184D25" w14:textId="5AD482E7" w:rsidR="009D14F2" w:rsidRPr="00B87BE1" w:rsidRDefault="009D14F2"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تناولت الدراسات السابقة أثر ذكاء ال</w:t>
      </w:r>
      <w:r w:rsidR="00483E14" w:rsidRPr="00B87BE1">
        <w:rPr>
          <w:rFonts w:ascii="Traditional Arabic" w:hAnsi="Traditional Arabic" w:cs="Traditional Arabic"/>
          <w:b/>
          <w:color w:val="0D0D0D" w:themeColor="text1" w:themeTint="F2"/>
          <w:sz w:val="24"/>
          <w:szCs w:val="24"/>
          <w:rtl/>
        </w:rPr>
        <w:t>أ</w:t>
      </w:r>
      <w:r w:rsidRPr="00B87BE1">
        <w:rPr>
          <w:rFonts w:ascii="Traditional Arabic" w:hAnsi="Traditional Arabic" w:cs="Traditional Arabic"/>
          <w:b/>
          <w:color w:val="0D0D0D" w:themeColor="text1" w:themeTint="F2"/>
          <w:sz w:val="24"/>
          <w:szCs w:val="24"/>
          <w:rtl/>
        </w:rPr>
        <w:t>عمال وت</w:t>
      </w:r>
      <w:r w:rsidR="00470EC8" w:rsidRPr="00B87BE1">
        <w:rPr>
          <w:rFonts w:ascii="Traditional Arabic" w:hAnsi="Traditional Arabic" w:cs="Traditional Arabic"/>
          <w:b/>
          <w:color w:val="0D0D0D" w:themeColor="text1" w:themeTint="F2"/>
          <w:sz w:val="24"/>
          <w:szCs w:val="24"/>
          <w:rtl/>
        </w:rPr>
        <w:t>أ</w:t>
      </w:r>
      <w:r w:rsidRPr="00B87BE1">
        <w:rPr>
          <w:rFonts w:ascii="Traditional Arabic" w:hAnsi="Traditional Arabic" w:cs="Traditional Arabic"/>
          <w:b/>
          <w:color w:val="0D0D0D" w:themeColor="text1" w:themeTint="F2"/>
          <w:sz w:val="24"/>
          <w:szCs w:val="24"/>
          <w:rtl/>
        </w:rPr>
        <w:t xml:space="preserve">ثيرها على </w:t>
      </w:r>
      <w:r w:rsidR="00D00A5E" w:rsidRPr="00B87BE1">
        <w:rPr>
          <w:rFonts w:ascii="Traditional Arabic" w:hAnsi="Traditional Arabic" w:cs="Traditional Arabic"/>
          <w:b/>
          <w:color w:val="0D0D0D" w:themeColor="text1" w:themeTint="F2"/>
          <w:sz w:val="24"/>
          <w:szCs w:val="24"/>
          <w:rtl/>
        </w:rPr>
        <w:t>القرارات ال</w:t>
      </w:r>
      <w:r w:rsidR="00115502" w:rsidRPr="00B87BE1">
        <w:rPr>
          <w:rFonts w:ascii="Traditional Arabic" w:hAnsi="Traditional Arabic" w:cs="Traditional Arabic"/>
          <w:b/>
          <w:color w:val="0D0D0D" w:themeColor="text1" w:themeTint="F2"/>
          <w:sz w:val="24"/>
          <w:szCs w:val="24"/>
          <w:rtl/>
        </w:rPr>
        <w:t>استراتيجي</w:t>
      </w:r>
      <w:r w:rsidR="00D00A5E" w:rsidRPr="00B87BE1">
        <w:rPr>
          <w:rFonts w:ascii="Traditional Arabic" w:hAnsi="Traditional Arabic" w:cs="Traditional Arabic"/>
          <w:b/>
          <w:color w:val="0D0D0D" w:themeColor="text1" w:themeTint="F2"/>
          <w:sz w:val="24"/>
          <w:szCs w:val="24"/>
          <w:rtl/>
        </w:rPr>
        <w:t>ة و</w:t>
      </w:r>
      <w:r w:rsidRPr="00B87BE1">
        <w:rPr>
          <w:rFonts w:ascii="Traditional Arabic" w:hAnsi="Traditional Arabic" w:cs="Traditional Arabic"/>
          <w:b/>
          <w:color w:val="0D0D0D" w:themeColor="text1" w:themeTint="F2"/>
          <w:sz w:val="24"/>
          <w:szCs w:val="24"/>
          <w:rtl/>
        </w:rPr>
        <w:t>ال</w:t>
      </w:r>
      <w:r w:rsidR="00242B84" w:rsidRPr="00B87BE1">
        <w:rPr>
          <w:rFonts w:ascii="Traditional Arabic" w:hAnsi="Traditional Arabic" w:cs="Traditional Arabic"/>
          <w:b/>
          <w:color w:val="0D0D0D" w:themeColor="text1" w:themeTint="F2"/>
          <w:sz w:val="24"/>
          <w:szCs w:val="24"/>
          <w:rtl/>
        </w:rPr>
        <w:t>تقليل</w:t>
      </w:r>
      <w:r w:rsidR="00470EC8" w:rsidRPr="00B87BE1">
        <w:rPr>
          <w:rFonts w:ascii="Traditional Arabic" w:hAnsi="Traditional Arabic" w:cs="Traditional Arabic"/>
          <w:b/>
          <w:color w:val="0D0D0D" w:themeColor="text1" w:themeTint="F2"/>
          <w:sz w:val="24"/>
          <w:szCs w:val="24"/>
          <w:rtl/>
        </w:rPr>
        <w:t xml:space="preserve"> من الأزمات التي تمر بها البنوك و</w:t>
      </w:r>
      <w:r w:rsidR="002825A0" w:rsidRPr="00B87BE1">
        <w:rPr>
          <w:rFonts w:ascii="Traditional Arabic" w:hAnsi="Traditional Arabic" w:cs="Traditional Arabic"/>
          <w:b/>
          <w:color w:val="0D0D0D" w:themeColor="text1" w:themeTint="F2"/>
          <w:sz w:val="24"/>
          <w:szCs w:val="24"/>
          <w:rtl/>
        </w:rPr>
        <w:t xml:space="preserve">وضع </w:t>
      </w:r>
      <w:r w:rsidR="00470EC8" w:rsidRPr="00B87BE1">
        <w:rPr>
          <w:rFonts w:ascii="Traditional Arabic" w:hAnsi="Traditional Arabic" w:cs="Traditional Arabic"/>
          <w:b/>
          <w:color w:val="0D0D0D" w:themeColor="text1" w:themeTint="F2"/>
          <w:sz w:val="24"/>
          <w:szCs w:val="24"/>
          <w:rtl/>
        </w:rPr>
        <w:t xml:space="preserve"> التصورات المقترحة لتحسين اتخاذ القرارات في البنوك</w:t>
      </w:r>
      <w:r w:rsidR="00127E37" w:rsidRPr="00B87BE1">
        <w:rPr>
          <w:rFonts w:ascii="Traditional Arabic" w:hAnsi="Traditional Arabic" w:cs="Traditional Arabic"/>
          <w:b/>
          <w:color w:val="0D0D0D" w:themeColor="text1" w:themeTint="F2"/>
          <w:sz w:val="24"/>
          <w:szCs w:val="24"/>
          <w:rtl/>
        </w:rPr>
        <w:t>،</w:t>
      </w:r>
      <w:r w:rsidR="00470EC8" w:rsidRPr="00B87BE1">
        <w:rPr>
          <w:rFonts w:ascii="Traditional Arabic" w:hAnsi="Traditional Arabic" w:cs="Traditional Arabic"/>
          <w:b/>
          <w:color w:val="0D0D0D" w:themeColor="text1" w:themeTint="F2"/>
          <w:sz w:val="24"/>
          <w:szCs w:val="24"/>
          <w:rtl/>
        </w:rPr>
        <w:t xml:space="preserve"> </w:t>
      </w:r>
      <w:r w:rsidR="00127E37" w:rsidRPr="00B87BE1">
        <w:rPr>
          <w:rFonts w:ascii="Traditional Arabic" w:hAnsi="Traditional Arabic" w:cs="Traditional Arabic"/>
          <w:b/>
          <w:color w:val="0D0D0D" w:themeColor="text1" w:themeTint="F2"/>
          <w:sz w:val="24"/>
          <w:szCs w:val="24"/>
          <w:rtl/>
        </w:rPr>
        <w:t xml:space="preserve">وهذا </w:t>
      </w:r>
      <w:r w:rsidR="008869B6" w:rsidRPr="00B87BE1">
        <w:rPr>
          <w:rFonts w:ascii="Traditional Arabic" w:hAnsi="Traditional Arabic" w:cs="Traditional Arabic"/>
          <w:b/>
          <w:color w:val="0D0D0D" w:themeColor="text1" w:themeTint="F2"/>
          <w:sz w:val="24"/>
          <w:szCs w:val="24"/>
          <w:rtl/>
        </w:rPr>
        <w:t xml:space="preserve">يبين مدى </w:t>
      </w:r>
      <w:r w:rsidR="00242B84" w:rsidRPr="00B87BE1">
        <w:rPr>
          <w:rFonts w:ascii="Traditional Arabic" w:hAnsi="Traditional Arabic" w:cs="Traditional Arabic"/>
          <w:b/>
          <w:color w:val="0D0D0D" w:themeColor="text1" w:themeTint="F2"/>
          <w:sz w:val="24"/>
          <w:szCs w:val="24"/>
          <w:rtl/>
        </w:rPr>
        <w:t>ضرورة  وأهمية ذكاء الأعمال  وت</w:t>
      </w:r>
      <w:r w:rsidR="00483E14" w:rsidRPr="00B87BE1">
        <w:rPr>
          <w:rFonts w:ascii="Traditional Arabic" w:hAnsi="Traditional Arabic" w:cs="Traditional Arabic"/>
          <w:b/>
          <w:color w:val="0D0D0D" w:themeColor="text1" w:themeTint="F2"/>
          <w:sz w:val="24"/>
          <w:szCs w:val="24"/>
          <w:rtl/>
        </w:rPr>
        <w:t>أ</w:t>
      </w:r>
      <w:r w:rsidR="00242B84" w:rsidRPr="00B87BE1">
        <w:rPr>
          <w:rFonts w:ascii="Traditional Arabic" w:hAnsi="Traditional Arabic" w:cs="Traditional Arabic"/>
          <w:b/>
          <w:color w:val="0D0D0D" w:themeColor="text1" w:themeTint="F2"/>
          <w:sz w:val="24"/>
          <w:szCs w:val="24"/>
          <w:rtl/>
        </w:rPr>
        <w:t>ثيره على بعض المتغيرات .</w:t>
      </w:r>
    </w:p>
    <w:p w14:paraId="6B69C5A2" w14:textId="3DA36615" w:rsidR="00AB6F15" w:rsidRPr="00B87BE1" w:rsidRDefault="00AB6F15"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بينما الدراسة الحالية تناولت مدى تأثير ذكاء الأعمال كمتغير مستقل على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كمتغير تابع ، التعرف على التأثير </w:t>
      </w:r>
      <w:r w:rsidRPr="00B87BE1">
        <w:rPr>
          <w:rStyle w:val="Strong"/>
          <w:rFonts w:ascii="Traditional Arabic" w:hAnsi="Traditional Arabic" w:cs="Traditional Arabic"/>
          <w:b w:val="0"/>
          <w:color w:val="0D0D0D" w:themeColor="text1" w:themeTint="F2"/>
          <w:sz w:val="24"/>
          <w:szCs w:val="24"/>
          <w:rtl/>
        </w:rPr>
        <w:t>غير المباشر</w:t>
      </w:r>
      <w:r w:rsidRPr="00B87BE1">
        <w:rPr>
          <w:rFonts w:ascii="Traditional Arabic" w:hAnsi="Traditional Arabic" w:cs="Traditional Arabic"/>
          <w:b/>
          <w:color w:val="0D0D0D" w:themeColor="text1" w:themeTint="F2"/>
          <w:sz w:val="24"/>
          <w:szCs w:val="24"/>
          <w:rtl/>
        </w:rPr>
        <w:t xml:space="preserve"> لذكاء الأعمال على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عبر جودة القرارات </w:t>
      </w:r>
      <w:r w:rsidR="006829D7" w:rsidRPr="00B87BE1">
        <w:rPr>
          <w:rFonts w:ascii="Traditional Arabic" w:hAnsi="Traditional Arabic" w:cs="Traditional Arabic"/>
          <w:b/>
          <w:color w:val="0D0D0D" w:themeColor="text1" w:themeTint="F2"/>
          <w:sz w:val="24"/>
          <w:szCs w:val="24"/>
          <w:rtl/>
        </w:rPr>
        <w:t>ال</w:t>
      </w:r>
      <w:r w:rsidR="00115502" w:rsidRPr="00B87BE1">
        <w:rPr>
          <w:rFonts w:ascii="Traditional Arabic" w:hAnsi="Traditional Arabic" w:cs="Traditional Arabic"/>
          <w:b/>
          <w:color w:val="0D0D0D" w:themeColor="text1" w:themeTint="F2"/>
          <w:sz w:val="24"/>
          <w:szCs w:val="24"/>
          <w:rtl/>
        </w:rPr>
        <w:t>استراتيجي</w:t>
      </w:r>
      <w:r w:rsidR="006829D7" w:rsidRPr="00B87BE1">
        <w:rPr>
          <w:rFonts w:ascii="Traditional Arabic" w:hAnsi="Traditional Arabic" w:cs="Traditional Arabic"/>
          <w:b/>
          <w:color w:val="0D0D0D" w:themeColor="text1" w:themeTint="F2"/>
          <w:sz w:val="24"/>
          <w:szCs w:val="24"/>
          <w:rtl/>
        </w:rPr>
        <w:t>ة كمتغير وسيط .</w:t>
      </w:r>
    </w:p>
    <w:p w14:paraId="523766E7" w14:textId="72A097E8" w:rsidR="004674F5" w:rsidRPr="00B87BE1" w:rsidRDefault="004674F5" w:rsidP="007F52A4">
      <w:pPr>
        <w:pStyle w:val="Heading2"/>
        <w:bidi/>
        <w:spacing w:before="0" w:after="240" w:line="360" w:lineRule="auto"/>
        <w:rPr>
          <w:rFonts w:ascii="Traditional Arabic" w:hAnsi="Traditional Arabic" w:cs="Traditional Arabic"/>
          <w:bCs/>
          <w:color w:val="0D0D0D" w:themeColor="text1" w:themeTint="F2"/>
          <w:sz w:val="24"/>
          <w:szCs w:val="24"/>
          <w:rtl/>
        </w:rPr>
      </w:pPr>
      <w:bookmarkStart w:id="13" w:name="_Toc215399837"/>
      <w:r w:rsidRPr="00B87BE1">
        <w:rPr>
          <w:rFonts w:ascii="Traditional Arabic" w:hAnsi="Traditional Arabic" w:cs="Traditional Arabic"/>
          <w:bCs/>
          <w:color w:val="0D0D0D" w:themeColor="text1" w:themeTint="F2"/>
          <w:sz w:val="24"/>
          <w:szCs w:val="24"/>
          <w:rtl/>
        </w:rPr>
        <w:lastRenderedPageBreak/>
        <w:t>ثانياً: الدراسات المرتبطة بالقرارات ال</w:t>
      </w:r>
      <w:r w:rsidR="00115502" w:rsidRPr="00B87BE1">
        <w:rPr>
          <w:rFonts w:ascii="Traditional Arabic" w:hAnsi="Traditional Arabic" w:cs="Traditional Arabic"/>
          <w:bCs/>
          <w:color w:val="0D0D0D" w:themeColor="text1" w:themeTint="F2"/>
          <w:sz w:val="24"/>
          <w:szCs w:val="24"/>
          <w:rtl/>
        </w:rPr>
        <w:t>استراتيجي</w:t>
      </w:r>
      <w:r w:rsidRPr="00B87BE1">
        <w:rPr>
          <w:rFonts w:ascii="Traditional Arabic" w:hAnsi="Traditional Arabic" w:cs="Traditional Arabic"/>
          <w:bCs/>
          <w:color w:val="0D0D0D" w:themeColor="text1" w:themeTint="F2"/>
          <w:sz w:val="24"/>
          <w:szCs w:val="24"/>
          <w:rtl/>
        </w:rPr>
        <w:t>ة</w:t>
      </w:r>
      <w:bookmarkEnd w:id="13"/>
    </w:p>
    <w:p w14:paraId="32737DD1" w14:textId="34682C59" w:rsidR="004674F5" w:rsidRPr="00B87BE1" w:rsidRDefault="009123E6"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دراسة</w:t>
      </w:r>
      <w:r w:rsidR="004674F5" w:rsidRPr="00B87BE1">
        <w:rPr>
          <w:rFonts w:ascii="Traditional Arabic" w:hAnsi="Traditional Arabic" w:cs="Traditional Arabic"/>
          <w:b/>
          <w:color w:val="0D0D0D" w:themeColor="text1" w:themeTint="F2"/>
          <w:sz w:val="24"/>
          <w:szCs w:val="24"/>
          <w:rtl/>
        </w:rPr>
        <w:t xml:space="preserve"> الدهيمي (2021) </w:t>
      </w:r>
      <w:r w:rsidR="00082FF4" w:rsidRPr="00B87BE1">
        <w:rPr>
          <w:rFonts w:ascii="Traditional Arabic" w:hAnsi="Traditional Arabic" w:cs="Traditional Arabic"/>
          <w:b/>
          <w:color w:val="0D0D0D" w:themeColor="text1" w:themeTint="F2"/>
          <w:sz w:val="24"/>
          <w:szCs w:val="24"/>
          <w:rtl/>
        </w:rPr>
        <w:t xml:space="preserve">حيث </w:t>
      </w:r>
      <w:r w:rsidR="004674F5" w:rsidRPr="00B87BE1">
        <w:rPr>
          <w:rFonts w:ascii="Traditional Arabic" w:hAnsi="Traditional Arabic" w:cs="Traditional Arabic"/>
          <w:b/>
          <w:color w:val="0D0D0D" w:themeColor="text1" w:themeTint="F2"/>
          <w:sz w:val="24"/>
          <w:szCs w:val="24"/>
          <w:rtl/>
        </w:rPr>
        <w:t>هدفت الدراسة إلى تحليل أثر فاعلية القرارات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 xml:space="preserve">ة في التميز التنظيمي من خلال التمكين الوظيفي كمتغير وسيط. </w:t>
      </w:r>
      <w:r w:rsidR="00483E14" w:rsidRPr="00B87BE1">
        <w:rPr>
          <w:rFonts w:ascii="Traditional Arabic" w:hAnsi="Traditional Arabic" w:cs="Traditional Arabic"/>
          <w:b/>
          <w:color w:val="0D0D0D" w:themeColor="text1" w:themeTint="F2"/>
          <w:sz w:val="24"/>
          <w:szCs w:val="24"/>
          <w:rtl/>
        </w:rPr>
        <w:t>و</w:t>
      </w:r>
      <w:r w:rsidR="004674F5" w:rsidRPr="00B87BE1">
        <w:rPr>
          <w:rFonts w:ascii="Traditional Arabic" w:hAnsi="Traditional Arabic" w:cs="Traditional Arabic"/>
          <w:b/>
          <w:color w:val="0D0D0D" w:themeColor="text1" w:themeTint="F2"/>
          <w:sz w:val="24"/>
          <w:szCs w:val="24"/>
          <w:rtl/>
        </w:rPr>
        <w:t>اعتمدت الدراسة على المنهج الوصفي، و</w:t>
      </w:r>
      <w:r w:rsidR="00483E14" w:rsidRPr="00B87BE1">
        <w:rPr>
          <w:rFonts w:ascii="Traditional Arabic" w:hAnsi="Traditional Arabic" w:cs="Traditional Arabic"/>
          <w:b/>
          <w:color w:val="0D0D0D" w:themeColor="text1" w:themeTint="F2"/>
          <w:sz w:val="24"/>
          <w:szCs w:val="24"/>
          <w:rtl/>
        </w:rPr>
        <w:t xml:space="preserve">قد </w:t>
      </w:r>
      <w:r w:rsidR="004674F5" w:rsidRPr="00B87BE1">
        <w:rPr>
          <w:rFonts w:ascii="Traditional Arabic" w:hAnsi="Traditional Arabic" w:cs="Traditional Arabic"/>
          <w:b/>
          <w:color w:val="0D0D0D" w:themeColor="text1" w:themeTint="F2"/>
          <w:sz w:val="24"/>
          <w:szCs w:val="24"/>
          <w:rtl/>
        </w:rPr>
        <w:t xml:space="preserve">تكونت عينة الدراسة من </w:t>
      </w:r>
      <w:r w:rsidR="00483E14" w:rsidRPr="00B87BE1">
        <w:rPr>
          <w:rFonts w:ascii="Traditional Arabic" w:hAnsi="Traditional Arabic" w:cs="Traditional Arabic"/>
          <w:b/>
          <w:color w:val="0D0D0D" w:themeColor="text1" w:themeTint="F2"/>
          <w:sz w:val="24"/>
          <w:szCs w:val="24"/>
          <w:rtl/>
        </w:rPr>
        <w:t>(</w:t>
      </w:r>
      <w:r w:rsidR="004674F5" w:rsidRPr="00B87BE1">
        <w:rPr>
          <w:rFonts w:ascii="Traditional Arabic" w:hAnsi="Traditional Arabic" w:cs="Traditional Arabic"/>
          <w:b/>
          <w:color w:val="0D0D0D" w:themeColor="text1" w:themeTint="F2"/>
          <w:sz w:val="24"/>
          <w:szCs w:val="24"/>
          <w:rtl/>
        </w:rPr>
        <w:t>336</w:t>
      </w:r>
      <w:r w:rsidR="00483E14" w:rsidRPr="00B87BE1">
        <w:rPr>
          <w:rFonts w:ascii="Traditional Arabic" w:hAnsi="Traditional Arabic" w:cs="Traditional Arabic"/>
          <w:b/>
          <w:color w:val="0D0D0D" w:themeColor="text1" w:themeTint="F2"/>
          <w:sz w:val="24"/>
          <w:szCs w:val="24"/>
          <w:rtl/>
        </w:rPr>
        <w:t>)</w:t>
      </w:r>
      <w:r w:rsidR="004674F5" w:rsidRPr="00B87BE1">
        <w:rPr>
          <w:rFonts w:ascii="Traditional Arabic" w:hAnsi="Traditional Arabic" w:cs="Traditional Arabic"/>
          <w:b/>
          <w:color w:val="0D0D0D" w:themeColor="text1" w:themeTint="F2"/>
          <w:sz w:val="24"/>
          <w:szCs w:val="24"/>
          <w:rtl/>
        </w:rPr>
        <w:t xml:space="preserve"> مدير من مدراء البنوك التجارية، واعتمدت على الاستبانة كأداة. </w:t>
      </w:r>
      <w:r w:rsidR="00483E14" w:rsidRPr="00B87BE1">
        <w:rPr>
          <w:rFonts w:ascii="Traditional Arabic" w:hAnsi="Traditional Arabic" w:cs="Traditional Arabic"/>
          <w:b/>
          <w:color w:val="0D0D0D" w:themeColor="text1" w:themeTint="F2"/>
          <w:sz w:val="24"/>
          <w:szCs w:val="24"/>
          <w:rtl/>
        </w:rPr>
        <w:t>و</w:t>
      </w:r>
      <w:r w:rsidR="004674F5" w:rsidRPr="00B87BE1">
        <w:rPr>
          <w:rFonts w:ascii="Traditional Arabic" w:hAnsi="Traditional Arabic" w:cs="Traditional Arabic"/>
          <w:b/>
          <w:color w:val="0D0D0D" w:themeColor="text1" w:themeTint="F2"/>
          <w:sz w:val="24"/>
          <w:szCs w:val="24"/>
          <w:rtl/>
        </w:rPr>
        <w:t>توصلت الدراسة إلى النتائج التالية: أن مستوى فاعلية القرارات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ة والتميز التنظيمي والتمكين الوظيفي في البنوك التجارية القطرية قد جاءت مرتفعة، كما أشارت لوجود أثر ذو دلالة إحصائية لفاعلية القرارات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ة في التميز التنظيمي، ووجود أثر ذو دلالة إحصائية لفاعلية القرارات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ة في التمكين الوظيفي، وكذلك وجود أثر ذو دلالة إحصائية للتمكين الوظيفي في التميز التنظيمي، وأخيراً وجود أثر ذو دلالة إحصائية لفاعلية القرارات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 xml:space="preserve">ة في التميز التنظيمي من خلال التمكين الوظيفي </w:t>
      </w:r>
      <w:r w:rsidR="00483E14" w:rsidRPr="00B87BE1">
        <w:rPr>
          <w:rFonts w:ascii="Traditional Arabic" w:hAnsi="Traditional Arabic" w:cs="Traditional Arabic"/>
          <w:b/>
          <w:color w:val="0D0D0D" w:themeColor="text1" w:themeTint="F2"/>
          <w:sz w:val="24"/>
          <w:szCs w:val="24"/>
          <w:rtl/>
        </w:rPr>
        <w:t xml:space="preserve">باعتباره </w:t>
      </w:r>
      <w:r w:rsidR="004674F5" w:rsidRPr="00B87BE1">
        <w:rPr>
          <w:rFonts w:ascii="Traditional Arabic" w:hAnsi="Traditional Arabic" w:cs="Traditional Arabic"/>
          <w:b/>
          <w:color w:val="0D0D0D" w:themeColor="text1" w:themeTint="F2"/>
          <w:sz w:val="24"/>
          <w:szCs w:val="24"/>
          <w:rtl/>
        </w:rPr>
        <w:t>متغيراً وسيطاً.</w:t>
      </w:r>
    </w:p>
    <w:p w14:paraId="13AE82DC" w14:textId="78D94C9F" w:rsidR="004674F5" w:rsidRPr="00B87BE1" w:rsidRDefault="004674F5"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كما</w:t>
      </w:r>
      <w:r w:rsidR="00E952BE" w:rsidRPr="00B87BE1">
        <w:rPr>
          <w:rFonts w:ascii="Traditional Arabic" w:hAnsi="Traditional Arabic" w:cs="Traditional Arabic"/>
          <w:b/>
          <w:color w:val="0D0D0D" w:themeColor="text1" w:themeTint="F2"/>
          <w:sz w:val="24"/>
          <w:szCs w:val="24"/>
          <w:rtl/>
        </w:rPr>
        <w:t xml:space="preserve"> أجريت</w:t>
      </w:r>
      <w:r w:rsidR="00082FF4" w:rsidRPr="00B87BE1">
        <w:rPr>
          <w:rFonts w:ascii="Traditional Arabic" w:hAnsi="Traditional Arabic" w:cs="Traditional Arabic"/>
          <w:b/>
          <w:color w:val="0D0D0D" w:themeColor="text1" w:themeTint="F2"/>
          <w:sz w:val="24"/>
          <w:szCs w:val="24"/>
          <w:rtl/>
        </w:rPr>
        <w:t xml:space="preserve"> دراسة </w:t>
      </w:r>
      <w:r w:rsidRPr="00B87BE1">
        <w:rPr>
          <w:rFonts w:ascii="Traditional Arabic" w:hAnsi="Traditional Arabic" w:cs="Traditional Arabic"/>
          <w:b/>
          <w:color w:val="0D0D0D" w:themeColor="text1" w:themeTint="F2"/>
          <w:sz w:val="24"/>
          <w:szCs w:val="24"/>
          <w:rtl/>
        </w:rPr>
        <w:t>جرار (</w:t>
      </w:r>
      <w:r w:rsidRPr="00B87BE1">
        <w:rPr>
          <w:rFonts w:ascii="Traditional Arabic" w:hAnsi="Traditional Arabic" w:cs="Traditional Arabic"/>
          <w:bCs/>
          <w:color w:val="0D0D0D" w:themeColor="text1" w:themeTint="F2"/>
          <w:sz w:val="24"/>
          <w:szCs w:val="24"/>
        </w:rPr>
        <w:t>Jarrar, 2021</w:t>
      </w:r>
      <w:r w:rsidRPr="00B87BE1">
        <w:rPr>
          <w:rFonts w:ascii="Traditional Arabic" w:hAnsi="Traditional Arabic" w:cs="Traditional Arabic"/>
          <w:bCs/>
          <w:color w:val="0D0D0D" w:themeColor="text1" w:themeTint="F2"/>
          <w:sz w:val="24"/>
          <w:szCs w:val="24"/>
          <w:rtl/>
        </w:rPr>
        <w:t>)</w:t>
      </w:r>
      <w:r w:rsidR="00E952BE" w:rsidRPr="00B87BE1">
        <w:rPr>
          <w:rFonts w:ascii="Traditional Arabic" w:hAnsi="Traditional Arabic" w:cs="Traditional Arabic"/>
          <w:bCs/>
          <w:color w:val="0D0D0D" w:themeColor="text1" w:themeTint="F2"/>
          <w:sz w:val="24"/>
          <w:szCs w:val="24"/>
          <w:rtl/>
        </w:rPr>
        <w:t xml:space="preserve"> التي </w:t>
      </w:r>
      <w:r w:rsidR="00E952BE" w:rsidRPr="00B87BE1">
        <w:rPr>
          <w:rFonts w:ascii="Traditional Arabic" w:hAnsi="Traditional Arabic" w:cs="Traditional Arabic"/>
          <w:b/>
          <w:color w:val="0D0D0D" w:themeColor="text1" w:themeTint="F2"/>
          <w:sz w:val="24"/>
          <w:szCs w:val="24"/>
          <w:rtl/>
        </w:rPr>
        <w:t xml:space="preserve">هدفت </w:t>
      </w:r>
      <w:r w:rsidRPr="00B87BE1">
        <w:rPr>
          <w:rFonts w:ascii="Traditional Arabic" w:hAnsi="Traditional Arabic" w:cs="Traditional Arabic"/>
          <w:b/>
          <w:color w:val="0D0D0D" w:themeColor="text1" w:themeTint="F2"/>
          <w:sz w:val="24"/>
          <w:szCs w:val="24"/>
          <w:rtl/>
        </w:rPr>
        <w:t xml:space="preserve"> </w:t>
      </w:r>
      <w:r w:rsidR="00E14E2E" w:rsidRPr="00B87BE1">
        <w:rPr>
          <w:rFonts w:ascii="Traditional Arabic" w:hAnsi="Traditional Arabic" w:cs="Traditional Arabic"/>
          <w:b/>
          <w:color w:val="0D0D0D" w:themeColor="text1" w:themeTint="F2"/>
          <w:sz w:val="24"/>
          <w:szCs w:val="24"/>
          <w:rtl/>
        </w:rPr>
        <w:t>إلى بيان مدى</w:t>
      </w:r>
      <w:r w:rsidRPr="00B87BE1">
        <w:rPr>
          <w:rFonts w:ascii="Traditional Arabic" w:hAnsi="Traditional Arabic" w:cs="Traditional Arabic"/>
          <w:b/>
          <w:color w:val="0D0D0D" w:themeColor="text1" w:themeTint="F2"/>
          <w:sz w:val="24"/>
          <w:szCs w:val="24"/>
          <w:rtl/>
        </w:rPr>
        <w:t xml:space="preserve"> تأثير التحيز المعرفي وأبعاده (وهم السيطرة، وتحيز الفرضيات السابقة، وتحيز الالتزام المتصاعد والتمثيل، وتحيز التوافر) على اتخاذ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ة. من حيث المنهجية، </w:t>
      </w:r>
      <w:r w:rsidR="00483E14" w:rsidRPr="00B87BE1">
        <w:rPr>
          <w:rFonts w:ascii="Traditional Arabic" w:hAnsi="Traditional Arabic" w:cs="Traditional Arabic"/>
          <w:b/>
          <w:color w:val="0D0D0D" w:themeColor="text1" w:themeTint="F2"/>
          <w:sz w:val="24"/>
          <w:szCs w:val="24"/>
          <w:rtl/>
        </w:rPr>
        <w:t>و</w:t>
      </w:r>
      <w:r w:rsidRPr="00B87BE1">
        <w:rPr>
          <w:rFonts w:ascii="Traditional Arabic" w:hAnsi="Traditional Arabic" w:cs="Traditional Arabic"/>
          <w:b/>
          <w:color w:val="0D0D0D" w:themeColor="text1" w:themeTint="F2"/>
          <w:sz w:val="24"/>
          <w:szCs w:val="24"/>
          <w:rtl/>
        </w:rPr>
        <w:t xml:space="preserve">استخدمت الدراسة أسلوب العينة العشوائية. طبقت الدراسة استبيانًا كأداة بحث وزعت على 138 مصرفيًا (موظفين على مستوى الإدارة) في المناصب الإدارية. تظهر النتائج تأثيرًا إيجابيًا وهامًا لوهم السيطرة والتمثيل. </w:t>
      </w:r>
      <w:r w:rsidR="00483E14" w:rsidRPr="00B87BE1">
        <w:rPr>
          <w:rFonts w:ascii="Traditional Arabic" w:hAnsi="Traditional Arabic" w:cs="Traditional Arabic"/>
          <w:b/>
          <w:color w:val="0D0D0D" w:themeColor="text1" w:themeTint="F2"/>
          <w:sz w:val="24"/>
          <w:szCs w:val="24"/>
          <w:rtl/>
        </w:rPr>
        <w:t>وقد أ</w:t>
      </w:r>
      <w:r w:rsidRPr="00B87BE1">
        <w:rPr>
          <w:rFonts w:ascii="Traditional Arabic" w:hAnsi="Traditional Arabic" w:cs="Traditional Arabic"/>
          <w:b/>
          <w:color w:val="0D0D0D" w:themeColor="text1" w:themeTint="F2"/>
          <w:sz w:val="24"/>
          <w:szCs w:val="24"/>
          <w:rtl/>
        </w:rPr>
        <w:t>ظهر</w:t>
      </w:r>
      <w:r w:rsidR="00483E14" w:rsidRPr="00B87BE1">
        <w:rPr>
          <w:rFonts w:ascii="Traditional Arabic" w:hAnsi="Traditional Arabic" w:cs="Traditional Arabic"/>
          <w:b/>
          <w:color w:val="0D0D0D" w:themeColor="text1" w:themeTint="F2"/>
          <w:sz w:val="24"/>
          <w:szCs w:val="24"/>
          <w:rtl/>
        </w:rPr>
        <w:t>ت</w:t>
      </w:r>
      <w:r w:rsidRPr="00B87BE1">
        <w:rPr>
          <w:rFonts w:ascii="Traditional Arabic" w:hAnsi="Traditional Arabic" w:cs="Traditional Arabic"/>
          <w:b/>
          <w:color w:val="0D0D0D" w:themeColor="text1" w:themeTint="F2"/>
          <w:sz w:val="24"/>
          <w:szCs w:val="24"/>
          <w:rtl/>
        </w:rPr>
        <w:t xml:space="preserve"> النتائج أن وهم السيطرة، وتحيز الفرضيات السابقة، وتحيز الالتزام المتصاعد والتمثيل، وتحيز التوافر يؤثر بشكل كبير على اتخاذ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ة في البنوك الأردنية. يستنتج أنه سيتم قبول الفرضية الصفرية، وبالتالي سيتم رفض الفرضية البديلة بناءً على المستويات المعنوية للفرضيات الأولية والثانوية. لم تكن عوامل تحيز </w:t>
      </w:r>
      <w:r w:rsidR="00483E14" w:rsidRPr="00B87BE1">
        <w:rPr>
          <w:rFonts w:ascii="Traditional Arabic" w:hAnsi="Traditional Arabic" w:cs="Traditional Arabic"/>
          <w:b/>
          <w:color w:val="0D0D0D" w:themeColor="text1" w:themeTint="F2"/>
          <w:sz w:val="24"/>
          <w:szCs w:val="24"/>
          <w:rtl/>
        </w:rPr>
        <w:t>ل</w:t>
      </w:r>
      <w:r w:rsidRPr="00B87BE1">
        <w:rPr>
          <w:rFonts w:ascii="Traditional Arabic" w:hAnsi="Traditional Arabic" w:cs="Traditional Arabic"/>
          <w:b/>
          <w:color w:val="0D0D0D" w:themeColor="text1" w:themeTint="F2"/>
          <w:sz w:val="24"/>
          <w:szCs w:val="24"/>
          <w:rtl/>
        </w:rPr>
        <w:t xml:space="preserve">لالتزام المتصاعد، وتحيز التوافر، والاستدلال بالقياس ذات دلالة إحصائية. </w:t>
      </w:r>
    </w:p>
    <w:p w14:paraId="5B8FF2D8" w14:textId="5E49E38D" w:rsidR="00612EA0" w:rsidRPr="00B87BE1" w:rsidRDefault="00612EA0" w:rsidP="007F52A4">
      <w:p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 xml:space="preserve">دراسة فريد  </w:t>
      </w:r>
      <w:r w:rsidR="00C35345" w:rsidRPr="00B87BE1">
        <w:rPr>
          <w:rFonts w:ascii="Traditional Arabic" w:hAnsi="Traditional Arabic" w:cs="Traditional Arabic"/>
          <w:b/>
          <w:color w:val="0D0D0D" w:themeColor="text1" w:themeTint="F2"/>
          <w:sz w:val="24"/>
          <w:szCs w:val="24"/>
          <w:rtl/>
        </w:rPr>
        <w:t>و</w:t>
      </w:r>
      <w:r w:rsidR="00B51432" w:rsidRPr="00B87BE1">
        <w:rPr>
          <w:rFonts w:ascii="Traditional Arabic" w:hAnsi="Traditional Arabic" w:cs="Traditional Arabic"/>
          <w:b/>
          <w:color w:val="0D0D0D" w:themeColor="text1" w:themeTint="F2"/>
          <w:sz w:val="24"/>
          <w:szCs w:val="24"/>
          <w:rtl/>
        </w:rPr>
        <w:t xml:space="preserve">عامر (2021) </w:t>
      </w:r>
      <w:r w:rsidRPr="00B87BE1">
        <w:rPr>
          <w:rFonts w:ascii="Traditional Arabic" w:hAnsi="Traditional Arabic" w:cs="Traditional Arabic"/>
          <w:b/>
          <w:color w:val="0D0D0D" w:themeColor="text1" w:themeTint="F2"/>
          <w:sz w:val="24"/>
          <w:szCs w:val="24"/>
          <w:rtl/>
        </w:rPr>
        <w:t>ا</w:t>
      </w:r>
      <w:r w:rsidR="00B51432" w:rsidRPr="00B87BE1">
        <w:rPr>
          <w:rFonts w:ascii="Traditional Arabic" w:hAnsi="Traditional Arabic" w:cs="Traditional Arabic"/>
          <w:b/>
          <w:color w:val="0D0D0D" w:themeColor="text1" w:themeTint="F2"/>
          <w:sz w:val="24"/>
          <w:szCs w:val="24"/>
          <w:rtl/>
        </w:rPr>
        <w:t xml:space="preserve">لتي </w:t>
      </w:r>
      <w:r w:rsidR="00184514" w:rsidRPr="00B87BE1">
        <w:rPr>
          <w:rFonts w:ascii="Traditional Arabic" w:hAnsi="Traditional Arabic" w:cs="Traditional Arabic"/>
          <w:b/>
          <w:color w:val="0D0D0D" w:themeColor="text1" w:themeTint="F2"/>
          <w:sz w:val="24"/>
          <w:szCs w:val="24"/>
          <w:rtl/>
        </w:rPr>
        <w:t>ا</w:t>
      </w:r>
      <w:r w:rsidRPr="00B87BE1">
        <w:rPr>
          <w:rFonts w:ascii="Traditional Arabic" w:hAnsi="Traditional Arabic" w:cs="Traditional Arabic"/>
          <w:b/>
          <w:color w:val="0D0D0D" w:themeColor="text1" w:themeTint="F2"/>
          <w:sz w:val="24"/>
          <w:szCs w:val="24"/>
          <w:rtl/>
        </w:rPr>
        <w:t xml:space="preserve">ستهدفت </w:t>
      </w:r>
      <w:r w:rsidR="00184514" w:rsidRPr="00B87BE1">
        <w:rPr>
          <w:rFonts w:ascii="Traditional Arabic" w:hAnsi="Traditional Arabic" w:cs="Traditional Arabic"/>
          <w:b/>
          <w:color w:val="0D0D0D" w:themeColor="text1" w:themeTint="F2"/>
          <w:sz w:val="24"/>
          <w:szCs w:val="24"/>
          <w:rtl/>
        </w:rPr>
        <w:t>إلى ا</w:t>
      </w:r>
      <w:r w:rsidRPr="00B87BE1">
        <w:rPr>
          <w:rFonts w:ascii="Traditional Arabic" w:hAnsi="Traditional Arabic" w:cs="Traditional Arabic"/>
          <w:b/>
          <w:color w:val="0D0D0D" w:themeColor="text1" w:themeTint="F2"/>
          <w:sz w:val="24"/>
          <w:szCs w:val="24"/>
          <w:rtl/>
        </w:rPr>
        <w:t xml:space="preserve">لتعرف على العلاقة بين أبعاد ﺍﻟـﺫﻜاء ﺍﻹﺴـﺘﺭﺍﺘﻴﺠﻲ (ﺍﻻﺴﺘﺸﺭﺍﻑ، ﺍﻟﺭﺅﻴﺔ </w:t>
      </w:r>
      <w:r w:rsidR="001A3490" w:rsidRPr="00B87BE1">
        <w:rPr>
          <w:rFonts w:ascii="Traditional Arabic" w:hAnsi="Traditional Arabic" w:cs="Traditional Arabic"/>
          <w:b/>
          <w:color w:val="0D0D0D" w:themeColor="text1" w:themeTint="F2"/>
          <w:sz w:val="24"/>
          <w:szCs w:val="24"/>
          <w:rtl/>
        </w:rPr>
        <w:t>المستقبلية</w:t>
      </w:r>
      <w:r w:rsidRPr="00B87BE1">
        <w:rPr>
          <w:rFonts w:ascii="Traditional Arabic" w:hAnsi="Traditional Arabic" w:cs="Traditional Arabic"/>
          <w:b/>
          <w:color w:val="0D0D0D" w:themeColor="text1" w:themeTint="F2"/>
          <w:sz w:val="24"/>
          <w:szCs w:val="24"/>
          <w:rtl/>
        </w:rPr>
        <w:t xml:space="preserve">، التفكير النظامي، </w:t>
      </w:r>
      <w:r w:rsidR="001A3490" w:rsidRPr="00B87BE1">
        <w:rPr>
          <w:rFonts w:ascii="Traditional Arabic" w:hAnsi="Traditional Arabic" w:cs="Traditional Arabic"/>
          <w:b/>
          <w:color w:val="0D0D0D" w:themeColor="text1" w:themeTint="F2"/>
          <w:sz w:val="24"/>
          <w:szCs w:val="24"/>
          <w:rtl/>
        </w:rPr>
        <w:t>الشراكة</w:t>
      </w:r>
      <w:r w:rsidRPr="00B87BE1">
        <w:rPr>
          <w:rFonts w:ascii="Traditional Arabic" w:hAnsi="Traditional Arabic" w:cs="Traditional Arabic"/>
          <w:b/>
          <w:color w:val="0D0D0D" w:themeColor="text1" w:themeTint="F2"/>
          <w:sz w:val="24"/>
          <w:szCs w:val="24"/>
          <w:rtl/>
        </w:rPr>
        <w:t xml:space="preserve">) </w:t>
      </w:r>
      <w:r w:rsidR="001A3490" w:rsidRPr="00B87BE1">
        <w:rPr>
          <w:rFonts w:ascii="Traditional Arabic" w:hAnsi="Traditional Arabic" w:cs="Traditional Arabic"/>
          <w:b/>
          <w:color w:val="0D0D0D" w:themeColor="text1" w:themeTint="F2"/>
          <w:sz w:val="24"/>
          <w:szCs w:val="24"/>
          <w:rtl/>
        </w:rPr>
        <w:t>واتخاذ</w:t>
      </w:r>
      <w:r w:rsidRPr="00B87BE1">
        <w:rPr>
          <w:rFonts w:ascii="Traditional Arabic" w:hAnsi="Traditional Arabic" w:cs="Traditional Arabic"/>
          <w:b/>
          <w:color w:val="0D0D0D" w:themeColor="text1" w:themeTint="F2"/>
          <w:sz w:val="24"/>
          <w:szCs w:val="24"/>
          <w:rtl/>
        </w:rPr>
        <w:t xml:space="preserve"> </w:t>
      </w:r>
      <w:r w:rsidR="001A3490" w:rsidRPr="00B87BE1">
        <w:rPr>
          <w:rFonts w:ascii="Traditional Arabic" w:hAnsi="Traditional Arabic" w:cs="Traditional Arabic"/>
          <w:b/>
          <w:color w:val="0D0D0D" w:themeColor="text1" w:themeTint="F2"/>
          <w:sz w:val="24"/>
          <w:szCs w:val="24"/>
          <w:rtl/>
        </w:rPr>
        <w:t>القرارات</w:t>
      </w:r>
      <w:r w:rsidRPr="00B87BE1">
        <w:rPr>
          <w:rFonts w:ascii="Traditional Arabic" w:hAnsi="Traditional Arabic" w:cs="Traditional Arabic"/>
          <w:b/>
          <w:color w:val="0D0D0D" w:themeColor="text1" w:themeTint="F2"/>
          <w:sz w:val="24"/>
          <w:szCs w:val="24"/>
          <w:rtl/>
        </w:rPr>
        <w:t xml:space="preserve">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الرشيدة مع دراسة أثر الخبرة الدولية لمتخذ القرار كمتغير معدل في العلاقة بين بين المتغير المستقل ( أبعاد الذكاء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والمتغير التابع ( اتخاذ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الرشيدة ) ، واتخذت الدراسة قطاع التأمين المصري للتطبيق في ظل ظروف جائحة كورونا ، ولقد تم استخدام استقصاء بلغت فقراته 29 فقرة ، وتم اختيار عينة عشوائية طبقية من مجتمع الدراسة حيث بلغت 323 ، وتوصلت الدراسة إلى النتائج التالية وجود علاقة معنوية ايجابية بين أبعاد الذكاء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 والقرارات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الرشيدة ، كما توصلت الدارسة إلى وجود تأثير معنوي إيجابي للخبرة الدولية لمتخذ القرار كمتغير معدل على العلاقة بين المتغير المستقل (أبعاد الذكاء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والمتغير التابع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الرشيدة)، ولقد أوصت الدراسة بتعزيز سلوكيات الذكاء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 بين أفراد الإدارة العليا في ش</w:t>
      </w:r>
      <w:r w:rsidR="008469F6" w:rsidRPr="00B87BE1">
        <w:rPr>
          <w:rFonts w:ascii="Traditional Arabic" w:hAnsi="Traditional Arabic" w:cs="Traditional Arabic"/>
          <w:b/>
          <w:color w:val="0D0D0D" w:themeColor="text1" w:themeTint="F2"/>
          <w:sz w:val="24"/>
          <w:szCs w:val="24"/>
          <w:rtl/>
        </w:rPr>
        <w:t>ر</w:t>
      </w:r>
      <w:r w:rsidRPr="00B87BE1">
        <w:rPr>
          <w:rFonts w:ascii="Traditional Arabic" w:hAnsi="Traditional Arabic" w:cs="Traditional Arabic"/>
          <w:b/>
          <w:color w:val="0D0D0D" w:themeColor="text1" w:themeTint="F2"/>
          <w:sz w:val="24"/>
          <w:szCs w:val="24"/>
          <w:rtl/>
        </w:rPr>
        <w:t>كات التأمين</w:t>
      </w:r>
      <w:r w:rsidR="008469F6" w:rsidRPr="00B87BE1">
        <w:rPr>
          <w:rFonts w:ascii="Traditional Arabic" w:hAnsi="Traditional Arabic" w:cs="Traditional Arabic"/>
          <w:b/>
          <w:color w:val="0D0D0D" w:themeColor="text1" w:themeTint="F2"/>
          <w:sz w:val="24"/>
          <w:szCs w:val="24"/>
          <w:rtl/>
        </w:rPr>
        <w:t>.</w:t>
      </w:r>
    </w:p>
    <w:p w14:paraId="28DEF3C9" w14:textId="7F2CA626" w:rsidR="004674F5" w:rsidRPr="00B87BE1" w:rsidRDefault="009123E6"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و</w:t>
      </w:r>
      <w:r w:rsidR="00E14E2E" w:rsidRPr="00B87BE1">
        <w:rPr>
          <w:rFonts w:ascii="Traditional Arabic" w:hAnsi="Traditional Arabic" w:cs="Traditional Arabic"/>
          <w:b/>
          <w:color w:val="0D0D0D" w:themeColor="text1" w:themeTint="F2"/>
          <w:sz w:val="24"/>
          <w:szCs w:val="24"/>
          <w:rtl/>
        </w:rPr>
        <w:t xml:space="preserve">دراسة </w:t>
      </w:r>
      <w:r w:rsidR="004674F5" w:rsidRPr="00B87BE1">
        <w:rPr>
          <w:rFonts w:ascii="Traditional Arabic" w:hAnsi="Traditional Arabic" w:cs="Traditional Arabic"/>
          <w:b/>
          <w:color w:val="0D0D0D" w:themeColor="text1" w:themeTint="F2"/>
          <w:sz w:val="24"/>
          <w:szCs w:val="24"/>
          <w:rtl/>
        </w:rPr>
        <w:t xml:space="preserve">حبوش (2020) </w:t>
      </w:r>
      <w:r w:rsidRPr="00B87BE1">
        <w:rPr>
          <w:rFonts w:ascii="Traditional Arabic" w:hAnsi="Traditional Arabic" w:cs="Traditional Arabic"/>
          <w:b/>
          <w:color w:val="0D0D0D" w:themeColor="text1" w:themeTint="F2"/>
          <w:sz w:val="24"/>
          <w:szCs w:val="24"/>
          <w:rtl/>
        </w:rPr>
        <w:t xml:space="preserve">التي هدفت </w:t>
      </w:r>
      <w:r w:rsidR="004674F5" w:rsidRPr="00B87BE1">
        <w:rPr>
          <w:rFonts w:ascii="Traditional Arabic" w:hAnsi="Traditional Arabic" w:cs="Traditional Arabic"/>
          <w:b/>
          <w:color w:val="0D0D0D" w:themeColor="text1" w:themeTint="F2"/>
          <w:sz w:val="24"/>
          <w:szCs w:val="24"/>
          <w:rtl/>
        </w:rPr>
        <w:t>إلى بيان أثر ممارسات الحاكمية المؤسسية (إطار فعال للحاكمية، كفاءة مجلس الإدارة، التركيز على تحقيق الأهداف، الإفصاح والشفافية، حماية حقوق المساهمين) في صنع القرارات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ة (التعقيد، الاستمرارية، العقلانية والرقابة) بالبنوك التجارية الأردنية. وتكون مجتمع الدراسة من البنوك التجارية الأردنية والبالغ عددها (13) بنك. أما عينة الدراسة اقتصرت على ستة بنوك تم اختيارهم بطريقة العينة القصدية وفقا لمعيار العدد الإجمالي للموظفين الذي يتجاوز (1200) موظفا</w:t>
      </w:r>
      <w:r w:rsidR="008469F6" w:rsidRPr="00B87BE1">
        <w:rPr>
          <w:rFonts w:ascii="Traditional Arabic" w:hAnsi="Traditional Arabic" w:cs="Traditional Arabic"/>
          <w:b/>
          <w:color w:val="0D0D0D" w:themeColor="text1" w:themeTint="F2"/>
          <w:sz w:val="24"/>
          <w:szCs w:val="24"/>
          <w:rtl/>
        </w:rPr>
        <w:t>ً</w:t>
      </w:r>
      <w:r w:rsidR="004674F5" w:rsidRPr="00B87BE1">
        <w:rPr>
          <w:rFonts w:ascii="Traditional Arabic" w:hAnsi="Traditional Arabic" w:cs="Traditional Arabic"/>
          <w:b/>
          <w:color w:val="0D0D0D" w:themeColor="text1" w:themeTint="F2"/>
          <w:sz w:val="24"/>
          <w:szCs w:val="24"/>
          <w:rtl/>
        </w:rPr>
        <w:t xml:space="preserve"> وهي (العربي، الإسكان للتجارة والتمويل، الأردن، القاهرة عمان، </w:t>
      </w:r>
      <w:r w:rsidR="004674F5" w:rsidRPr="00B87BE1">
        <w:rPr>
          <w:rFonts w:ascii="Traditional Arabic" w:hAnsi="Traditional Arabic" w:cs="Traditional Arabic"/>
          <w:b/>
          <w:color w:val="0D0D0D" w:themeColor="text1" w:themeTint="F2"/>
          <w:sz w:val="24"/>
          <w:szCs w:val="24"/>
          <w:rtl/>
        </w:rPr>
        <w:lastRenderedPageBreak/>
        <w:t>الأهلي الأردني، الأردني الكويتي)، وتمثلت في العينة في (160) موظفا. ولتحقيق أهداف الدراسة استخدم المنهج الوصفي التحليلي من خلال استبانة بلغ عدد المستجيبين النهائي (139) فردا</w:t>
      </w:r>
      <w:r w:rsidR="008469F6" w:rsidRPr="00B87BE1">
        <w:rPr>
          <w:rFonts w:ascii="Traditional Arabic" w:hAnsi="Traditional Arabic" w:cs="Traditional Arabic"/>
          <w:b/>
          <w:color w:val="0D0D0D" w:themeColor="text1" w:themeTint="F2"/>
          <w:sz w:val="24"/>
          <w:szCs w:val="24"/>
          <w:rtl/>
        </w:rPr>
        <w:t>ً</w:t>
      </w:r>
      <w:r w:rsidR="004674F5" w:rsidRPr="00B87BE1">
        <w:rPr>
          <w:rFonts w:ascii="Traditional Arabic" w:hAnsi="Traditional Arabic" w:cs="Traditional Arabic"/>
          <w:b/>
          <w:color w:val="0D0D0D" w:themeColor="text1" w:themeTint="F2"/>
          <w:sz w:val="24"/>
          <w:szCs w:val="24"/>
          <w:rtl/>
        </w:rPr>
        <w:t>. توصلت الدراسة إلى عدد من النتائج أبرزها: وجود أثر ذو دلالة إحصائية لممارسات الحاكمية المؤسسية عند مستوى الدلالة (</w:t>
      </w:r>
      <w:r w:rsidR="004674F5" w:rsidRPr="00B87BE1">
        <w:rPr>
          <w:rFonts w:ascii="Cambria" w:hAnsi="Cambria" w:cs="Cambria"/>
          <w:bCs/>
          <w:color w:val="0D0D0D" w:themeColor="text1" w:themeTint="F2"/>
          <w:sz w:val="24"/>
          <w:szCs w:val="24"/>
        </w:rPr>
        <w:t>α</w:t>
      </w:r>
      <w:r w:rsidR="004674F5" w:rsidRPr="00B87BE1">
        <w:rPr>
          <w:rFonts w:ascii="Traditional Arabic" w:hAnsi="Traditional Arabic" w:cs="Traditional Arabic"/>
          <w:bCs/>
          <w:color w:val="0D0D0D" w:themeColor="text1" w:themeTint="F2"/>
          <w:sz w:val="24"/>
          <w:szCs w:val="24"/>
        </w:rPr>
        <w:t xml:space="preserve"> = 0.05</w:t>
      </w:r>
      <w:r w:rsidR="004674F5" w:rsidRPr="00B87BE1">
        <w:rPr>
          <w:rFonts w:ascii="Traditional Arabic" w:hAnsi="Traditional Arabic" w:cs="Traditional Arabic"/>
          <w:b/>
          <w:color w:val="0D0D0D" w:themeColor="text1" w:themeTint="F2"/>
          <w:sz w:val="24"/>
          <w:szCs w:val="24"/>
          <w:rtl/>
        </w:rPr>
        <w:t>) (كفاءة مجلس الإدارة، التركيز على تحقيق الأهداف، الإفصاح والشفافية، حماية حقوق المساهمين) في صنع القرارات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ة (التعقيد، الاستمرارية، العقلانية والرقابة) بالبنوك التجارية الأردنية. وعدم وجود تأثير ذو دلالة إحصائية للإطار الفعال للحاكمية عند مستوى الدلالة (</w:t>
      </w:r>
      <w:r w:rsidR="004674F5" w:rsidRPr="00B87BE1">
        <w:rPr>
          <w:rFonts w:ascii="Cambria" w:hAnsi="Cambria" w:cs="Cambria"/>
          <w:bCs/>
          <w:color w:val="0D0D0D" w:themeColor="text1" w:themeTint="F2"/>
          <w:sz w:val="24"/>
          <w:szCs w:val="24"/>
        </w:rPr>
        <w:t>α</w:t>
      </w:r>
      <w:r w:rsidR="004674F5" w:rsidRPr="00B87BE1">
        <w:rPr>
          <w:rFonts w:ascii="Traditional Arabic" w:hAnsi="Traditional Arabic" w:cs="Traditional Arabic"/>
          <w:bCs/>
          <w:color w:val="0D0D0D" w:themeColor="text1" w:themeTint="F2"/>
          <w:sz w:val="24"/>
          <w:szCs w:val="24"/>
        </w:rPr>
        <w:t xml:space="preserve"> = 0.05</w:t>
      </w:r>
      <w:r w:rsidR="004674F5" w:rsidRPr="00B87BE1">
        <w:rPr>
          <w:rFonts w:ascii="Traditional Arabic" w:hAnsi="Traditional Arabic" w:cs="Traditional Arabic"/>
          <w:b/>
          <w:color w:val="0D0D0D" w:themeColor="text1" w:themeTint="F2"/>
          <w:sz w:val="24"/>
          <w:szCs w:val="24"/>
          <w:rtl/>
        </w:rPr>
        <w:t>) في صنع القرارات ال</w:t>
      </w:r>
      <w:r w:rsidR="00115502" w:rsidRPr="00B87BE1">
        <w:rPr>
          <w:rFonts w:ascii="Traditional Arabic" w:hAnsi="Traditional Arabic" w:cs="Traditional Arabic"/>
          <w:b/>
          <w:color w:val="0D0D0D" w:themeColor="text1" w:themeTint="F2"/>
          <w:sz w:val="24"/>
          <w:szCs w:val="24"/>
          <w:rtl/>
        </w:rPr>
        <w:t>استراتيجي</w:t>
      </w:r>
      <w:r w:rsidR="004674F5" w:rsidRPr="00B87BE1">
        <w:rPr>
          <w:rFonts w:ascii="Traditional Arabic" w:hAnsi="Traditional Arabic" w:cs="Traditional Arabic"/>
          <w:b/>
          <w:color w:val="0D0D0D" w:themeColor="text1" w:themeTint="F2"/>
          <w:sz w:val="24"/>
          <w:szCs w:val="24"/>
          <w:rtl/>
        </w:rPr>
        <w:t xml:space="preserve">ة (التعقيد، الاستمرارية، العقلانية والرقابة) بالبنوك التجارية الأردنية. </w:t>
      </w:r>
    </w:p>
    <w:p w14:paraId="0C3B32E6" w14:textId="2D4547B9" w:rsidR="004674F5" w:rsidRPr="00B87BE1" w:rsidRDefault="004674F5"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 xml:space="preserve">ودراسة عبد الله ووهاب (2019) </w:t>
      </w:r>
      <w:r w:rsidR="009123E6" w:rsidRPr="00B87BE1">
        <w:rPr>
          <w:rFonts w:ascii="Traditional Arabic" w:hAnsi="Traditional Arabic" w:cs="Traditional Arabic"/>
          <w:b/>
          <w:color w:val="0D0D0D" w:themeColor="text1" w:themeTint="F2"/>
          <w:sz w:val="24"/>
          <w:szCs w:val="24"/>
          <w:rtl/>
        </w:rPr>
        <w:t xml:space="preserve">التي </w:t>
      </w:r>
      <w:r w:rsidRPr="00B87BE1">
        <w:rPr>
          <w:rFonts w:ascii="Traditional Arabic" w:hAnsi="Traditional Arabic" w:cs="Traditional Arabic"/>
          <w:b/>
          <w:color w:val="0D0D0D" w:themeColor="text1" w:themeTint="F2"/>
          <w:sz w:val="24"/>
          <w:szCs w:val="24"/>
          <w:rtl/>
        </w:rPr>
        <w:t>هدفت إلى بيان أثر الأنماط المعرفية في تعزيز كفاءة القرار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 (التخطيط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 هيكل المنظمة، الاضطراب البيئي) في ثلاثة مصارف أهلية بالعراق هي الشرق الأوسط العراقي للاستثمار وأشور الدولي وكردستان الدولي للاستثمار. اتبعت الدراسة المنهج الوصفي، وتكونت العينة من 99 موظف و64 مدير بشكل عشوائي من المصارف محل الدراسة، وتم الاعتماد على استبانة. </w:t>
      </w:r>
      <w:r w:rsidR="00CD2032" w:rsidRPr="00B87BE1">
        <w:rPr>
          <w:rFonts w:ascii="Traditional Arabic" w:hAnsi="Traditional Arabic" w:cs="Traditional Arabic"/>
          <w:b/>
          <w:color w:val="0D0D0D" w:themeColor="text1" w:themeTint="F2"/>
          <w:sz w:val="24"/>
          <w:szCs w:val="24"/>
          <w:rtl/>
        </w:rPr>
        <w:t>و</w:t>
      </w:r>
      <w:r w:rsidRPr="00B87BE1">
        <w:rPr>
          <w:rFonts w:ascii="Traditional Arabic" w:hAnsi="Traditional Arabic" w:cs="Traditional Arabic"/>
          <w:b/>
          <w:color w:val="0D0D0D" w:themeColor="text1" w:themeTint="F2"/>
          <w:sz w:val="24"/>
          <w:szCs w:val="24"/>
          <w:rtl/>
        </w:rPr>
        <w:t>توصلت الدراسة للنتائج التالية: أن بعض الأنماط المعرفية تؤثر في تعزيز كفاءة القرار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 في المصارف العراقية محل الدراسة.</w:t>
      </w:r>
    </w:p>
    <w:p w14:paraId="561C62F7" w14:textId="57E8D71F" w:rsidR="004674F5" w:rsidRPr="00B87BE1" w:rsidRDefault="004674F5"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 xml:space="preserve">كما </w:t>
      </w:r>
      <w:r w:rsidR="00E952BE" w:rsidRPr="00B87BE1">
        <w:rPr>
          <w:rFonts w:ascii="Traditional Arabic" w:hAnsi="Traditional Arabic" w:cs="Traditional Arabic"/>
          <w:b/>
          <w:color w:val="0D0D0D" w:themeColor="text1" w:themeTint="F2"/>
          <w:sz w:val="24"/>
          <w:szCs w:val="24"/>
          <w:rtl/>
        </w:rPr>
        <w:t xml:space="preserve">أن </w:t>
      </w:r>
      <w:r w:rsidR="00E14E2E" w:rsidRPr="00B87BE1">
        <w:rPr>
          <w:rFonts w:ascii="Traditional Arabic" w:hAnsi="Traditional Arabic" w:cs="Traditional Arabic"/>
          <w:b/>
          <w:color w:val="0D0D0D" w:themeColor="text1" w:themeTint="F2"/>
          <w:sz w:val="24"/>
          <w:szCs w:val="24"/>
          <w:rtl/>
        </w:rPr>
        <w:t>دراسة</w:t>
      </w:r>
      <w:r w:rsidRPr="00B87BE1">
        <w:rPr>
          <w:rFonts w:ascii="Traditional Arabic" w:hAnsi="Traditional Arabic" w:cs="Traditional Arabic"/>
          <w:b/>
          <w:color w:val="0D0D0D" w:themeColor="text1" w:themeTint="F2"/>
          <w:sz w:val="24"/>
          <w:szCs w:val="24"/>
          <w:rtl/>
        </w:rPr>
        <w:t xml:space="preserve"> أبو تمام (2018)</w:t>
      </w:r>
      <w:r w:rsidR="00E952BE" w:rsidRPr="00B87BE1">
        <w:rPr>
          <w:rFonts w:ascii="Traditional Arabic" w:hAnsi="Traditional Arabic" w:cs="Traditional Arabic"/>
          <w:b/>
          <w:color w:val="0D0D0D" w:themeColor="text1" w:themeTint="F2"/>
          <w:sz w:val="24"/>
          <w:szCs w:val="24"/>
          <w:rtl/>
        </w:rPr>
        <w:t xml:space="preserve"> التي هدفت</w:t>
      </w:r>
      <w:r w:rsidRPr="00B87BE1">
        <w:rPr>
          <w:rFonts w:ascii="Traditional Arabic" w:hAnsi="Traditional Arabic" w:cs="Traditional Arabic"/>
          <w:b/>
          <w:color w:val="0D0D0D" w:themeColor="text1" w:themeTint="F2"/>
          <w:sz w:val="24"/>
          <w:szCs w:val="24"/>
          <w:rtl/>
        </w:rPr>
        <w:t xml:space="preserve"> إلى التعرف على أهمية تطبيق نظم محاسبة التكاليف والإدارية على اتخاذ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وذلك من خلال دراسة ميدانية في البنوك التجارية الأردنية، البالغ عددها (13) بنكا</w:t>
      </w:r>
      <w:r w:rsidR="00CD2032"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color w:val="0D0D0D" w:themeColor="text1" w:themeTint="F2"/>
          <w:sz w:val="24"/>
          <w:szCs w:val="24"/>
          <w:rtl/>
        </w:rPr>
        <w:t xml:space="preserve"> أردنيا</w:t>
      </w:r>
      <w:r w:rsidR="00CD2032"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color w:val="0D0D0D" w:themeColor="text1" w:themeTint="F2"/>
          <w:sz w:val="24"/>
          <w:szCs w:val="24"/>
          <w:rtl/>
        </w:rPr>
        <w:t xml:space="preserve"> تجاريا</w:t>
      </w:r>
      <w:r w:rsidR="00CD2032"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color w:val="0D0D0D" w:themeColor="text1" w:themeTint="F2"/>
          <w:sz w:val="24"/>
          <w:szCs w:val="24"/>
          <w:rtl/>
        </w:rPr>
        <w:t xml:space="preserve"> حسب التقرير الشهري لبورصة عمان، شباط من العام 2018 والمعنية بتطبيق نظم محاسبة التكاليف والإدارة. </w:t>
      </w:r>
      <w:r w:rsidR="00CD2032" w:rsidRPr="00B87BE1">
        <w:rPr>
          <w:rFonts w:ascii="Traditional Arabic" w:hAnsi="Traditional Arabic" w:cs="Traditional Arabic"/>
          <w:b/>
          <w:color w:val="0D0D0D" w:themeColor="text1" w:themeTint="F2"/>
          <w:sz w:val="24"/>
          <w:szCs w:val="24"/>
          <w:rtl/>
        </w:rPr>
        <w:t>و</w:t>
      </w:r>
      <w:r w:rsidRPr="00B87BE1">
        <w:rPr>
          <w:rFonts w:ascii="Traditional Arabic" w:hAnsi="Traditional Arabic" w:cs="Traditional Arabic"/>
          <w:b/>
          <w:color w:val="0D0D0D" w:themeColor="text1" w:themeTint="F2"/>
          <w:sz w:val="24"/>
          <w:szCs w:val="24"/>
          <w:rtl/>
        </w:rPr>
        <w:t>استهدفت الدراسة الإدارة العليا في جميع البنوك التجارية الأردنية ودائرة التطوير والتخطيط والدائرة المالية والدوائر المعنية بتطبيق نظم محاسبة التكاليف والإدارية، ورؤساء أقسام الحسابات والتدقيق والتحليل المالي، والمحاسبين الإداريين ومحاسبي التكاليف، تم توزيع (260) استبانة، خضع منها (181) استبانة صالحة للدراسة. وأشارت نتائج الدراسة إلى أهمية تطبيق نظم محاسبة التكاليف والإدارية على اتخاذ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في البنوك التجارية الأردنية، كما تبين أن آراء عينة الدراسة اتفقت على أن نظم محاسبة التكاليف والإدارية التي تناولتها الدراسة كمتغيرات مستقلة مطبقة ومهمة، كذلك أشارت النتائج إلى وجود أهمية ذات دلالة إحصائية لنظم محاسبة التكاليف والإدارية بمتغيراتها (نظام التكاليف على أساس الأنشطة (</w:t>
      </w:r>
      <w:r w:rsidRPr="00B87BE1">
        <w:rPr>
          <w:rFonts w:ascii="Traditional Arabic" w:hAnsi="Traditional Arabic" w:cs="Traditional Arabic"/>
          <w:bCs/>
          <w:color w:val="0D0D0D" w:themeColor="text1" w:themeTint="F2"/>
          <w:sz w:val="24"/>
          <w:szCs w:val="24"/>
        </w:rPr>
        <w:t>ABC</w:t>
      </w:r>
      <w:r w:rsidRPr="00B87BE1">
        <w:rPr>
          <w:rFonts w:ascii="Traditional Arabic" w:hAnsi="Traditional Arabic" w:cs="Traditional Arabic"/>
          <w:b/>
          <w:color w:val="0D0D0D" w:themeColor="text1" w:themeTint="F2"/>
          <w:sz w:val="24"/>
          <w:szCs w:val="24"/>
          <w:rtl/>
        </w:rPr>
        <w:t>)، نظام الإدارة المبني على أساس الأنشطة (</w:t>
      </w:r>
      <w:r w:rsidRPr="00B87BE1">
        <w:rPr>
          <w:rFonts w:ascii="Traditional Arabic" w:hAnsi="Traditional Arabic" w:cs="Traditional Arabic"/>
          <w:bCs/>
          <w:color w:val="0D0D0D" w:themeColor="text1" w:themeTint="F2"/>
          <w:sz w:val="24"/>
          <w:szCs w:val="24"/>
        </w:rPr>
        <w:t>ABM</w:t>
      </w:r>
      <w:r w:rsidRPr="00B87BE1">
        <w:rPr>
          <w:rFonts w:ascii="Traditional Arabic" w:hAnsi="Traditional Arabic" w:cs="Traditional Arabic"/>
          <w:b/>
          <w:color w:val="0D0D0D" w:themeColor="text1" w:themeTint="F2"/>
          <w:sz w:val="24"/>
          <w:szCs w:val="24"/>
          <w:rtl/>
        </w:rPr>
        <w:t>)، نظام التكاليف المستهدفة (</w:t>
      </w:r>
      <w:r w:rsidRPr="00B87BE1">
        <w:rPr>
          <w:rFonts w:ascii="Traditional Arabic" w:hAnsi="Traditional Arabic" w:cs="Traditional Arabic"/>
          <w:bCs/>
          <w:color w:val="0D0D0D" w:themeColor="text1" w:themeTint="F2"/>
          <w:sz w:val="24"/>
          <w:szCs w:val="24"/>
        </w:rPr>
        <w:t>TC</w:t>
      </w:r>
      <w:r w:rsidRPr="00B87BE1">
        <w:rPr>
          <w:rFonts w:ascii="Traditional Arabic" w:hAnsi="Traditional Arabic" w:cs="Traditional Arabic"/>
          <w:b/>
          <w:color w:val="0D0D0D" w:themeColor="text1" w:themeTint="F2"/>
          <w:sz w:val="24"/>
          <w:szCs w:val="24"/>
          <w:rtl/>
        </w:rPr>
        <w:t>)، نظام بطاقة الأداء المتوازن (</w:t>
      </w:r>
      <w:r w:rsidRPr="00B87BE1">
        <w:rPr>
          <w:rFonts w:ascii="Traditional Arabic" w:hAnsi="Traditional Arabic" w:cs="Traditional Arabic"/>
          <w:bCs/>
          <w:color w:val="0D0D0D" w:themeColor="text1" w:themeTint="F2"/>
          <w:sz w:val="24"/>
          <w:szCs w:val="24"/>
        </w:rPr>
        <w:t>BSC</w:t>
      </w:r>
      <w:r w:rsidRPr="00B87BE1">
        <w:rPr>
          <w:rFonts w:ascii="Traditional Arabic" w:hAnsi="Traditional Arabic" w:cs="Traditional Arabic"/>
          <w:b/>
          <w:color w:val="0D0D0D" w:themeColor="text1" w:themeTint="F2"/>
          <w:sz w:val="24"/>
          <w:szCs w:val="24"/>
          <w:rtl/>
        </w:rPr>
        <w:t>) على اتخاذ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ة في البنوك التجارية الأردنية. </w:t>
      </w:r>
    </w:p>
    <w:p w14:paraId="72C17F6C" w14:textId="524C2787" w:rsidR="00242B84" w:rsidRPr="00B87BE1" w:rsidRDefault="002825A0"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تناولت الدراسات السابقة مدى تأثير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على المؤسسات البنكية ،</w:t>
      </w:r>
      <w:r w:rsidR="00184514" w:rsidRPr="00B87BE1">
        <w:rPr>
          <w:rFonts w:ascii="Traditional Arabic" w:hAnsi="Traditional Arabic" w:cs="Traditional Arabic"/>
          <w:b/>
          <w:color w:val="0D0D0D" w:themeColor="text1" w:themeTint="F2"/>
          <w:sz w:val="24"/>
          <w:szCs w:val="24"/>
          <w:rtl/>
        </w:rPr>
        <w:t xml:space="preserve"> والتي بينت العلاقة بين أبعاد الذكاء الاستر</w:t>
      </w:r>
      <w:r w:rsidR="00D97702" w:rsidRPr="00B87BE1">
        <w:rPr>
          <w:rFonts w:ascii="Traditional Arabic" w:hAnsi="Traditional Arabic" w:cs="Traditional Arabic"/>
          <w:b/>
          <w:color w:val="0D0D0D" w:themeColor="text1" w:themeTint="F2"/>
          <w:sz w:val="24"/>
          <w:szCs w:val="24"/>
          <w:rtl/>
        </w:rPr>
        <w:t>ا</w:t>
      </w:r>
      <w:r w:rsidR="00184514" w:rsidRPr="00B87BE1">
        <w:rPr>
          <w:rFonts w:ascii="Traditional Arabic" w:hAnsi="Traditional Arabic" w:cs="Traditional Arabic"/>
          <w:b/>
          <w:color w:val="0D0D0D" w:themeColor="text1" w:themeTint="F2"/>
          <w:sz w:val="24"/>
          <w:szCs w:val="24"/>
          <w:rtl/>
        </w:rPr>
        <w:t>تيجي واتخاذ القرارات ال</w:t>
      </w:r>
      <w:r w:rsidR="00115502" w:rsidRPr="00B87BE1">
        <w:rPr>
          <w:rFonts w:ascii="Traditional Arabic" w:hAnsi="Traditional Arabic" w:cs="Traditional Arabic"/>
          <w:b/>
          <w:color w:val="0D0D0D" w:themeColor="text1" w:themeTint="F2"/>
          <w:sz w:val="24"/>
          <w:szCs w:val="24"/>
          <w:rtl/>
        </w:rPr>
        <w:t>استراتيجي</w:t>
      </w:r>
      <w:r w:rsidR="00184514" w:rsidRPr="00B87BE1">
        <w:rPr>
          <w:rFonts w:ascii="Traditional Arabic" w:hAnsi="Traditional Arabic" w:cs="Traditional Arabic"/>
          <w:b/>
          <w:color w:val="0D0D0D" w:themeColor="text1" w:themeTint="F2"/>
          <w:sz w:val="24"/>
          <w:szCs w:val="24"/>
          <w:rtl/>
        </w:rPr>
        <w:t>ة الرشيدة،</w:t>
      </w:r>
      <w:r w:rsidRPr="00B87BE1">
        <w:rPr>
          <w:rFonts w:ascii="Traditional Arabic" w:hAnsi="Traditional Arabic" w:cs="Traditional Arabic"/>
          <w:b/>
          <w:color w:val="0D0D0D" w:themeColor="text1" w:themeTint="F2"/>
          <w:sz w:val="24"/>
          <w:szCs w:val="24"/>
          <w:rtl/>
        </w:rPr>
        <w:t xml:space="preserve"> </w:t>
      </w:r>
      <w:r w:rsidR="00262CC5" w:rsidRPr="00B87BE1">
        <w:rPr>
          <w:rFonts w:ascii="Traditional Arabic" w:hAnsi="Traditional Arabic" w:cs="Traditional Arabic"/>
          <w:b/>
          <w:color w:val="0D0D0D" w:themeColor="text1" w:themeTint="F2"/>
          <w:sz w:val="24"/>
          <w:szCs w:val="24"/>
          <w:rtl/>
        </w:rPr>
        <w:t>مع بيان مدى تأثر هذه القرارات ببعض ال</w:t>
      </w:r>
      <w:r w:rsidR="00D97702" w:rsidRPr="00B87BE1">
        <w:rPr>
          <w:rFonts w:ascii="Traditional Arabic" w:hAnsi="Traditional Arabic" w:cs="Traditional Arabic"/>
          <w:b/>
          <w:color w:val="0D0D0D" w:themeColor="text1" w:themeTint="F2"/>
          <w:sz w:val="24"/>
          <w:szCs w:val="24"/>
          <w:rtl/>
        </w:rPr>
        <w:t>إ</w:t>
      </w:r>
      <w:r w:rsidR="00262CC5" w:rsidRPr="00B87BE1">
        <w:rPr>
          <w:rFonts w:ascii="Traditional Arabic" w:hAnsi="Traditional Arabic" w:cs="Traditional Arabic"/>
          <w:b/>
          <w:color w:val="0D0D0D" w:themeColor="text1" w:themeTint="F2"/>
          <w:sz w:val="24"/>
          <w:szCs w:val="24"/>
          <w:rtl/>
        </w:rPr>
        <w:t>جراءات والممارسات التنظيمية وأثرها على التميز التنظيمي للمؤسس</w:t>
      </w:r>
      <w:r w:rsidR="00A660EC" w:rsidRPr="00B87BE1">
        <w:rPr>
          <w:rFonts w:ascii="Traditional Arabic" w:hAnsi="Traditional Arabic" w:cs="Traditional Arabic"/>
          <w:b/>
          <w:color w:val="0D0D0D" w:themeColor="text1" w:themeTint="F2"/>
          <w:sz w:val="24"/>
          <w:szCs w:val="24"/>
          <w:rtl/>
        </w:rPr>
        <w:t>ات التجارية .</w:t>
      </w:r>
    </w:p>
    <w:p w14:paraId="09720A32" w14:textId="77587F8F" w:rsidR="00850B98" w:rsidRPr="00B87BE1" w:rsidRDefault="00850B98"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ولقد تناولت الدراسة الحالية جودة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كمتغير وسيط في التأثير على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وهذا م</w:t>
      </w:r>
      <w:r w:rsidR="00AB6F15" w:rsidRPr="00B87BE1">
        <w:rPr>
          <w:rFonts w:ascii="Traditional Arabic" w:hAnsi="Traditional Arabic" w:cs="Traditional Arabic"/>
          <w:b/>
          <w:color w:val="0D0D0D" w:themeColor="text1" w:themeTint="F2"/>
          <w:sz w:val="24"/>
          <w:szCs w:val="24"/>
          <w:rtl/>
        </w:rPr>
        <w:t>ا</w:t>
      </w:r>
      <w:r w:rsidRPr="00B87BE1">
        <w:rPr>
          <w:rFonts w:ascii="Traditional Arabic" w:hAnsi="Traditional Arabic" w:cs="Traditional Arabic"/>
          <w:b/>
          <w:color w:val="0D0D0D" w:themeColor="text1" w:themeTint="F2"/>
          <w:sz w:val="24"/>
          <w:szCs w:val="24"/>
          <w:rtl/>
        </w:rPr>
        <w:t>لم تتناوله الدراسات السابقة حيث اقتصرت على اتخاذ القرارات وليس جو</w:t>
      </w:r>
      <w:r w:rsidR="00AB6F15" w:rsidRPr="00B87BE1">
        <w:rPr>
          <w:rFonts w:ascii="Traditional Arabic" w:hAnsi="Traditional Arabic" w:cs="Traditional Arabic"/>
          <w:b/>
          <w:color w:val="0D0D0D" w:themeColor="text1" w:themeTint="F2"/>
          <w:sz w:val="24"/>
          <w:szCs w:val="24"/>
          <w:rtl/>
        </w:rPr>
        <w:t xml:space="preserve">دتها </w:t>
      </w:r>
    </w:p>
    <w:p w14:paraId="1A0D8D87" w14:textId="2EC93258" w:rsidR="004674F5" w:rsidRPr="00B87BE1" w:rsidRDefault="004674F5" w:rsidP="007F52A4">
      <w:pPr>
        <w:pStyle w:val="Heading2"/>
        <w:bidi/>
        <w:spacing w:before="0" w:after="240" w:line="360" w:lineRule="auto"/>
        <w:rPr>
          <w:rFonts w:ascii="Traditional Arabic" w:hAnsi="Traditional Arabic" w:cs="Traditional Arabic"/>
          <w:bCs/>
          <w:color w:val="0D0D0D" w:themeColor="text1" w:themeTint="F2"/>
          <w:sz w:val="24"/>
          <w:szCs w:val="24"/>
          <w:rtl/>
        </w:rPr>
      </w:pPr>
      <w:bookmarkStart w:id="14" w:name="_Toc215399838"/>
      <w:r w:rsidRPr="00B87BE1">
        <w:rPr>
          <w:rFonts w:ascii="Traditional Arabic" w:hAnsi="Traditional Arabic" w:cs="Traditional Arabic"/>
          <w:bCs/>
          <w:color w:val="0D0D0D" w:themeColor="text1" w:themeTint="F2"/>
          <w:sz w:val="24"/>
          <w:szCs w:val="24"/>
          <w:rtl/>
        </w:rPr>
        <w:lastRenderedPageBreak/>
        <w:t>ثالثاً: الدراسات المرتبطة بال</w:t>
      </w:r>
      <w:r w:rsidR="00115502" w:rsidRPr="00B87BE1">
        <w:rPr>
          <w:rFonts w:ascii="Traditional Arabic" w:hAnsi="Traditional Arabic" w:cs="Traditional Arabic"/>
          <w:bCs/>
          <w:color w:val="0D0D0D" w:themeColor="text1" w:themeTint="F2"/>
          <w:sz w:val="24"/>
          <w:szCs w:val="24"/>
          <w:rtl/>
        </w:rPr>
        <w:t>ابتكار</w:t>
      </w:r>
      <w:r w:rsidRPr="00B87BE1">
        <w:rPr>
          <w:rFonts w:ascii="Traditional Arabic" w:hAnsi="Traditional Arabic" w:cs="Traditional Arabic"/>
          <w:bCs/>
          <w:color w:val="0D0D0D" w:themeColor="text1" w:themeTint="F2"/>
          <w:sz w:val="24"/>
          <w:szCs w:val="24"/>
          <w:rtl/>
        </w:rPr>
        <w:t xml:space="preserve"> التنظيمي</w:t>
      </w:r>
      <w:bookmarkEnd w:id="14"/>
    </w:p>
    <w:p w14:paraId="14FB27D2" w14:textId="2BB06835" w:rsidR="004674F5" w:rsidRPr="00B87BE1" w:rsidRDefault="00422A22"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 xml:space="preserve">وقد أجريت </w:t>
      </w:r>
      <w:r w:rsidR="007C7850" w:rsidRPr="00B87BE1">
        <w:rPr>
          <w:rFonts w:ascii="Traditional Arabic" w:hAnsi="Traditional Arabic" w:cs="Traditional Arabic"/>
          <w:b/>
          <w:color w:val="0D0D0D" w:themeColor="text1" w:themeTint="F2"/>
          <w:sz w:val="24"/>
          <w:szCs w:val="24"/>
          <w:rtl/>
        </w:rPr>
        <w:t xml:space="preserve">دراسة </w:t>
      </w:r>
      <w:r w:rsidR="004674F5" w:rsidRPr="00B87BE1">
        <w:rPr>
          <w:rFonts w:ascii="Traditional Arabic" w:hAnsi="Traditional Arabic" w:cs="Traditional Arabic"/>
          <w:b/>
          <w:color w:val="0D0D0D" w:themeColor="text1" w:themeTint="F2"/>
          <w:sz w:val="24"/>
          <w:szCs w:val="24"/>
          <w:rtl/>
        </w:rPr>
        <w:t>الوكيل (2021)</w:t>
      </w:r>
      <w:r w:rsidR="007C7850"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tl/>
        </w:rPr>
        <w:t>التي</w:t>
      </w:r>
      <w:r w:rsidR="007C7850" w:rsidRPr="00B87BE1">
        <w:rPr>
          <w:rFonts w:ascii="Traditional Arabic" w:hAnsi="Traditional Arabic" w:cs="Traditional Arabic"/>
          <w:b/>
          <w:color w:val="0D0D0D" w:themeColor="text1" w:themeTint="F2"/>
          <w:sz w:val="24"/>
          <w:szCs w:val="24"/>
          <w:rtl/>
        </w:rPr>
        <w:t xml:space="preserve"> </w:t>
      </w:r>
      <w:r w:rsidR="004674F5" w:rsidRPr="00B87BE1">
        <w:rPr>
          <w:rFonts w:ascii="Traditional Arabic" w:hAnsi="Traditional Arabic" w:cs="Traditional Arabic"/>
          <w:b/>
          <w:color w:val="0D0D0D" w:themeColor="text1" w:themeTint="F2"/>
          <w:sz w:val="24"/>
          <w:szCs w:val="24"/>
          <w:rtl/>
        </w:rPr>
        <w:t>هدفت إلى استطلاع طبيعة العلاقة الارتباطية والتأثيرية بين ال</w:t>
      </w:r>
      <w:r w:rsidR="00115502" w:rsidRPr="00B87BE1">
        <w:rPr>
          <w:rFonts w:ascii="Traditional Arabic" w:hAnsi="Traditional Arabic" w:cs="Traditional Arabic"/>
          <w:b/>
          <w:color w:val="0D0D0D" w:themeColor="text1" w:themeTint="F2"/>
          <w:sz w:val="24"/>
          <w:szCs w:val="24"/>
          <w:rtl/>
        </w:rPr>
        <w:t>ابتكار</w:t>
      </w:r>
      <w:r w:rsidR="004674F5" w:rsidRPr="00B87BE1">
        <w:rPr>
          <w:rFonts w:ascii="Traditional Arabic" w:hAnsi="Traditional Arabic" w:cs="Traditional Arabic"/>
          <w:b/>
          <w:color w:val="0D0D0D" w:themeColor="text1" w:themeTint="F2"/>
          <w:sz w:val="24"/>
          <w:szCs w:val="24"/>
          <w:rtl/>
        </w:rPr>
        <w:t xml:space="preserve"> المؤسسي وبناء الصورة الذهنية للمؤسسات العامة بالتطبيق على عينة من بنك مصر، اعتمدت الدراسة على اختبار مدى صحة العلاقة بين ال</w:t>
      </w:r>
      <w:r w:rsidR="00115502" w:rsidRPr="00B87BE1">
        <w:rPr>
          <w:rFonts w:ascii="Traditional Arabic" w:hAnsi="Traditional Arabic" w:cs="Traditional Arabic"/>
          <w:b/>
          <w:color w:val="0D0D0D" w:themeColor="text1" w:themeTint="F2"/>
          <w:sz w:val="24"/>
          <w:szCs w:val="24"/>
          <w:rtl/>
        </w:rPr>
        <w:t>ابتكار</w:t>
      </w:r>
      <w:r w:rsidR="004674F5" w:rsidRPr="00B87BE1">
        <w:rPr>
          <w:rFonts w:ascii="Traditional Arabic" w:hAnsi="Traditional Arabic" w:cs="Traditional Arabic"/>
          <w:b/>
          <w:color w:val="0D0D0D" w:themeColor="text1" w:themeTint="F2"/>
          <w:sz w:val="24"/>
          <w:szCs w:val="24"/>
          <w:rtl/>
        </w:rPr>
        <w:t xml:space="preserve"> المؤسسي القائم على البعد البشرى والإجراءات التنظيمية على الصورة الذهنية للبنك والصورة الذهنية الداخلية عن البنك لدى الموظفين، تم تطبيق الدراسة على عينة عشوائية قدرها (٢٠٠) مسئول من بنك مصر. تبين من نتائج الدراسة صحة علاقات الارتباط والتأثير عند مستوى معنوية 0.05=</w:t>
      </w:r>
      <w:r w:rsidR="004674F5" w:rsidRPr="00B87BE1">
        <w:rPr>
          <w:rFonts w:ascii="Cambria" w:hAnsi="Cambria" w:cs="Cambria"/>
          <w:b/>
          <w:color w:val="0D0D0D" w:themeColor="text1" w:themeTint="F2"/>
          <w:sz w:val="24"/>
          <w:szCs w:val="24"/>
        </w:rPr>
        <w:t>α</w:t>
      </w:r>
      <w:r w:rsidR="004674F5" w:rsidRPr="00B87BE1">
        <w:rPr>
          <w:rFonts w:ascii="Traditional Arabic" w:hAnsi="Traditional Arabic" w:cs="Traditional Arabic"/>
          <w:b/>
          <w:color w:val="0D0D0D" w:themeColor="text1" w:themeTint="F2"/>
          <w:sz w:val="24"/>
          <w:szCs w:val="24"/>
          <w:rtl/>
        </w:rPr>
        <w:t xml:space="preserve"> بين متغيرات </w:t>
      </w:r>
      <w:r w:rsidR="0038052B" w:rsidRPr="00B87BE1">
        <w:rPr>
          <w:rFonts w:ascii="Traditional Arabic" w:hAnsi="Traditional Arabic" w:cs="Traditional Arabic"/>
          <w:b/>
          <w:color w:val="0D0D0D" w:themeColor="text1" w:themeTint="F2"/>
          <w:sz w:val="24"/>
          <w:szCs w:val="24"/>
          <w:rtl/>
        </w:rPr>
        <w:t>الدراسة المتمثلة في</w:t>
      </w:r>
      <w:r w:rsidR="004674F5" w:rsidRPr="00B87BE1">
        <w:rPr>
          <w:rFonts w:ascii="Traditional Arabic" w:hAnsi="Traditional Arabic" w:cs="Traditional Arabic"/>
          <w:b/>
          <w:color w:val="0D0D0D" w:themeColor="text1" w:themeTint="F2"/>
          <w:sz w:val="24"/>
          <w:szCs w:val="24"/>
          <w:rtl/>
        </w:rPr>
        <w:t xml:space="preserve"> ال</w:t>
      </w:r>
      <w:r w:rsidR="00115502" w:rsidRPr="00B87BE1">
        <w:rPr>
          <w:rFonts w:ascii="Traditional Arabic" w:hAnsi="Traditional Arabic" w:cs="Traditional Arabic"/>
          <w:b/>
          <w:color w:val="0D0D0D" w:themeColor="text1" w:themeTint="F2"/>
          <w:sz w:val="24"/>
          <w:szCs w:val="24"/>
          <w:rtl/>
        </w:rPr>
        <w:t>ابتكار</w:t>
      </w:r>
      <w:r w:rsidR="004674F5" w:rsidRPr="00B87BE1">
        <w:rPr>
          <w:rFonts w:ascii="Traditional Arabic" w:hAnsi="Traditional Arabic" w:cs="Traditional Arabic"/>
          <w:b/>
          <w:color w:val="0D0D0D" w:themeColor="text1" w:themeTint="F2"/>
          <w:sz w:val="24"/>
          <w:szCs w:val="24"/>
          <w:rtl/>
        </w:rPr>
        <w:t xml:space="preserve"> المؤسسي التنظيمي والبشرى وبين الصورة الذهنية للبنك والصورة الذهنية للبنك من وجهة نظر الموظفين.</w:t>
      </w:r>
    </w:p>
    <w:p w14:paraId="02336A7A" w14:textId="6E9E6DA2" w:rsidR="004674F5" w:rsidRPr="00B87BE1" w:rsidRDefault="00E952BE"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 xml:space="preserve">ودراسة </w:t>
      </w:r>
      <w:r w:rsidR="004674F5" w:rsidRPr="00B87BE1">
        <w:rPr>
          <w:rFonts w:ascii="Traditional Arabic" w:hAnsi="Traditional Arabic" w:cs="Traditional Arabic"/>
          <w:b/>
          <w:color w:val="0D0D0D" w:themeColor="text1" w:themeTint="F2"/>
          <w:sz w:val="24"/>
          <w:szCs w:val="24"/>
          <w:rtl/>
        </w:rPr>
        <w:t xml:space="preserve">جديد (2020) </w:t>
      </w:r>
      <w:r w:rsidRPr="00B87BE1">
        <w:rPr>
          <w:rFonts w:ascii="Traditional Arabic" w:hAnsi="Traditional Arabic" w:cs="Traditional Arabic"/>
          <w:b/>
          <w:color w:val="0D0D0D" w:themeColor="text1" w:themeTint="F2"/>
          <w:sz w:val="24"/>
          <w:szCs w:val="24"/>
          <w:rtl/>
        </w:rPr>
        <w:t xml:space="preserve">التي </w:t>
      </w:r>
      <w:r w:rsidR="004674F5" w:rsidRPr="00B87BE1">
        <w:rPr>
          <w:rFonts w:ascii="Traditional Arabic" w:hAnsi="Traditional Arabic" w:cs="Traditional Arabic"/>
          <w:b/>
          <w:color w:val="0D0D0D" w:themeColor="text1" w:themeTint="F2"/>
          <w:sz w:val="24"/>
          <w:szCs w:val="24"/>
          <w:rtl/>
        </w:rPr>
        <w:t>هدفت إلى تقييم ال</w:t>
      </w:r>
      <w:r w:rsidR="00115502" w:rsidRPr="00B87BE1">
        <w:rPr>
          <w:rFonts w:ascii="Traditional Arabic" w:hAnsi="Traditional Arabic" w:cs="Traditional Arabic"/>
          <w:b/>
          <w:color w:val="0D0D0D" w:themeColor="text1" w:themeTint="F2"/>
          <w:sz w:val="24"/>
          <w:szCs w:val="24"/>
          <w:rtl/>
        </w:rPr>
        <w:t>ابتكار</w:t>
      </w:r>
      <w:r w:rsidR="004674F5" w:rsidRPr="00B87BE1">
        <w:rPr>
          <w:rFonts w:ascii="Traditional Arabic" w:hAnsi="Traditional Arabic" w:cs="Traditional Arabic"/>
          <w:b/>
          <w:color w:val="0D0D0D" w:themeColor="text1" w:themeTint="F2"/>
          <w:sz w:val="24"/>
          <w:szCs w:val="24"/>
          <w:rtl/>
        </w:rPr>
        <w:t xml:space="preserve"> التنظيمي ببعده المتعلق بالمناخ التنظيمي الداعم لل</w:t>
      </w:r>
      <w:r w:rsidR="00115502" w:rsidRPr="00B87BE1">
        <w:rPr>
          <w:rFonts w:ascii="Traditional Arabic" w:hAnsi="Traditional Arabic" w:cs="Traditional Arabic"/>
          <w:b/>
          <w:color w:val="0D0D0D" w:themeColor="text1" w:themeTint="F2"/>
          <w:sz w:val="24"/>
          <w:szCs w:val="24"/>
          <w:rtl/>
        </w:rPr>
        <w:t>ابتكار</w:t>
      </w:r>
      <w:r w:rsidR="004674F5" w:rsidRPr="00B87BE1">
        <w:rPr>
          <w:rFonts w:ascii="Traditional Arabic" w:hAnsi="Traditional Arabic" w:cs="Traditional Arabic"/>
          <w:b/>
          <w:color w:val="0D0D0D" w:themeColor="text1" w:themeTint="F2"/>
          <w:sz w:val="24"/>
          <w:szCs w:val="24"/>
          <w:rtl/>
        </w:rPr>
        <w:t xml:space="preserve"> في المصرف التجاري السوري ضمن ظروف الأزمة من خلال تطبيق مقياس استبيان التوقعات الظرفية. توصلت الدراسة إلى عدة وجود تقييم متوسط لمؤشرات ال</w:t>
      </w:r>
      <w:r w:rsidR="00115502" w:rsidRPr="00B87BE1">
        <w:rPr>
          <w:rFonts w:ascii="Traditional Arabic" w:hAnsi="Traditional Arabic" w:cs="Traditional Arabic"/>
          <w:b/>
          <w:color w:val="0D0D0D" w:themeColor="text1" w:themeTint="F2"/>
          <w:sz w:val="24"/>
          <w:szCs w:val="24"/>
          <w:rtl/>
        </w:rPr>
        <w:t>ابتكار</w:t>
      </w:r>
      <w:r w:rsidR="004674F5" w:rsidRPr="00B87BE1">
        <w:rPr>
          <w:rFonts w:ascii="Traditional Arabic" w:hAnsi="Traditional Arabic" w:cs="Traditional Arabic"/>
          <w:b/>
          <w:color w:val="0D0D0D" w:themeColor="text1" w:themeTint="F2"/>
          <w:sz w:val="24"/>
          <w:szCs w:val="24"/>
          <w:rtl/>
        </w:rPr>
        <w:t xml:space="preserve"> التنظيمي المتعلقة بالمناخ التنظيمي الداعم لل</w:t>
      </w:r>
      <w:r w:rsidR="00115502" w:rsidRPr="00B87BE1">
        <w:rPr>
          <w:rFonts w:ascii="Traditional Arabic" w:hAnsi="Traditional Arabic" w:cs="Traditional Arabic"/>
          <w:b/>
          <w:color w:val="0D0D0D" w:themeColor="text1" w:themeTint="F2"/>
          <w:sz w:val="24"/>
          <w:szCs w:val="24"/>
          <w:rtl/>
        </w:rPr>
        <w:t>ابتكار</w:t>
      </w:r>
      <w:r w:rsidR="004674F5" w:rsidRPr="00B87BE1">
        <w:rPr>
          <w:rFonts w:ascii="Traditional Arabic" w:hAnsi="Traditional Arabic" w:cs="Traditional Arabic"/>
          <w:b/>
          <w:color w:val="0D0D0D" w:themeColor="text1" w:themeTint="F2"/>
          <w:sz w:val="24"/>
          <w:szCs w:val="24"/>
          <w:rtl/>
        </w:rPr>
        <w:t xml:space="preserve"> في المصرف التجاري السوري، كما توجد علاقة طردية ضعيفة بين ال</w:t>
      </w:r>
      <w:r w:rsidR="00115502" w:rsidRPr="00B87BE1">
        <w:rPr>
          <w:rFonts w:ascii="Traditional Arabic" w:hAnsi="Traditional Arabic" w:cs="Traditional Arabic"/>
          <w:b/>
          <w:color w:val="0D0D0D" w:themeColor="text1" w:themeTint="F2"/>
          <w:sz w:val="24"/>
          <w:szCs w:val="24"/>
          <w:rtl/>
        </w:rPr>
        <w:t>ابتكار</w:t>
      </w:r>
      <w:r w:rsidR="004674F5" w:rsidRPr="00B87BE1">
        <w:rPr>
          <w:rFonts w:ascii="Traditional Arabic" w:hAnsi="Traditional Arabic" w:cs="Traditional Arabic"/>
          <w:b/>
          <w:color w:val="0D0D0D" w:themeColor="text1" w:themeTint="F2"/>
          <w:sz w:val="24"/>
          <w:szCs w:val="24"/>
          <w:rtl/>
        </w:rPr>
        <w:t xml:space="preserve"> التنظيمي المتوافر في المصرف محل الدراسة وبين قدرة المصرف على تحقيق الميزة التنافسية ضمن الظروف الراهنة.</w:t>
      </w:r>
    </w:p>
    <w:p w14:paraId="09886CDE" w14:textId="15E4F2B6" w:rsidR="004674F5" w:rsidRPr="00B87BE1" w:rsidRDefault="004674F5"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كم</w:t>
      </w:r>
      <w:r w:rsidR="00C6676E" w:rsidRPr="00B87BE1">
        <w:rPr>
          <w:rFonts w:ascii="Traditional Arabic" w:hAnsi="Traditional Arabic" w:cs="Traditional Arabic"/>
          <w:b/>
          <w:color w:val="0D0D0D" w:themeColor="text1" w:themeTint="F2"/>
          <w:sz w:val="24"/>
          <w:szCs w:val="24"/>
          <w:rtl/>
        </w:rPr>
        <w:t xml:space="preserve">ا أن دراسة </w:t>
      </w:r>
      <w:r w:rsidRPr="00B87BE1">
        <w:rPr>
          <w:rFonts w:ascii="Traditional Arabic" w:hAnsi="Traditional Arabic" w:cs="Traditional Arabic"/>
          <w:b/>
          <w:color w:val="0D0D0D" w:themeColor="text1" w:themeTint="F2"/>
          <w:sz w:val="24"/>
          <w:szCs w:val="24"/>
          <w:rtl/>
        </w:rPr>
        <w:t xml:space="preserve">أحمد (2019) </w:t>
      </w:r>
      <w:r w:rsidR="00C6676E" w:rsidRPr="00B87BE1">
        <w:rPr>
          <w:rFonts w:ascii="Traditional Arabic" w:hAnsi="Traditional Arabic" w:cs="Traditional Arabic"/>
          <w:b/>
          <w:color w:val="0D0D0D" w:themeColor="text1" w:themeTint="F2"/>
          <w:sz w:val="24"/>
          <w:szCs w:val="24"/>
          <w:rtl/>
        </w:rPr>
        <w:t xml:space="preserve">التي </w:t>
      </w:r>
      <w:r w:rsidRPr="00B87BE1">
        <w:rPr>
          <w:rFonts w:ascii="Traditional Arabic" w:hAnsi="Traditional Arabic" w:cs="Traditional Arabic"/>
          <w:b/>
          <w:color w:val="0D0D0D" w:themeColor="text1" w:themeTint="F2"/>
          <w:sz w:val="24"/>
          <w:szCs w:val="24"/>
          <w:rtl/>
        </w:rPr>
        <w:t>هدفت إلى الكشف عن أثر ترتيبات العمل المرن في قطاع الخدمات المصرفية على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وأكدت نتائج الدراسة على وجود ارتباط معنوي إيجابي بين كلا</w:t>
      </w:r>
      <w:r w:rsidR="0038052B"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color w:val="0D0D0D" w:themeColor="text1" w:themeTint="F2"/>
          <w:sz w:val="24"/>
          <w:szCs w:val="24"/>
          <w:rtl/>
        </w:rPr>
        <w:t xml:space="preserve"> من أبعاد ترتيبات العمل المرن وأبعاد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ووجود ارتباط معنوي إيجابي قوي بين المرونة في كمية العمل وكلا</w:t>
      </w:r>
      <w:r w:rsidR="00C52BFF"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color w:val="0D0D0D" w:themeColor="text1" w:themeTint="F2"/>
          <w:sz w:val="24"/>
          <w:szCs w:val="24"/>
          <w:rtl/>
        </w:rPr>
        <w:t xml:space="preserve"> من </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العملية وال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الإداري، ووجود تأثير معنوي إيجابي بين كلا</w:t>
      </w:r>
      <w:r w:rsidR="00C52BFF"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color w:val="0D0D0D" w:themeColor="text1" w:themeTint="F2"/>
          <w:sz w:val="24"/>
          <w:szCs w:val="24"/>
          <w:rtl/>
        </w:rPr>
        <w:t xml:space="preserve"> من المرونة في مكان العمل والمرونة في استمرارية العمل على </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المنتج و</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العملية. وأوصت الدراسة بضرورة السماح للموظفين من اختيار مواعيد بدء العمل وانتهاؤه لإعطائهم الحرية في اختيار الأوقات المناسبة للعمل والمتوافقة مع طاقاتهم الجسدية والنفسية، والسماح لهم بإعادة جدولة أوقات العمل وفقاً لاحتياجاتهم الشخصية.</w:t>
      </w:r>
    </w:p>
    <w:p w14:paraId="51C52A03" w14:textId="0CAE6FBB" w:rsidR="004674F5" w:rsidRPr="00B87BE1" w:rsidRDefault="004674F5"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 xml:space="preserve">كما </w:t>
      </w:r>
      <w:r w:rsidR="00C6676E" w:rsidRPr="00B87BE1">
        <w:rPr>
          <w:rFonts w:ascii="Traditional Arabic" w:hAnsi="Traditional Arabic" w:cs="Traditional Arabic"/>
          <w:b/>
          <w:color w:val="0D0D0D" w:themeColor="text1" w:themeTint="F2"/>
          <w:sz w:val="24"/>
          <w:szCs w:val="24"/>
          <w:rtl/>
        </w:rPr>
        <w:t xml:space="preserve">أجريت دراسة </w:t>
      </w:r>
      <w:r w:rsidRPr="00B87BE1">
        <w:rPr>
          <w:rFonts w:ascii="Traditional Arabic" w:hAnsi="Traditional Arabic" w:cs="Traditional Arabic"/>
          <w:b/>
          <w:color w:val="0D0D0D" w:themeColor="text1" w:themeTint="F2"/>
          <w:sz w:val="24"/>
          <w:szCs w:val="24"/>
          <w:rtl/>
        </w:rPr>
        <w:t>البلبيسي (2017)</w:t>
      </w:r>
      <w:r w:rsidR="00C6676E" w:rsidRPr="00B87BE1">
        <w:rPr>
          <w:rFonts w:ascii="Traditional Arabic" w:hAnsi="Traditional Arabic" w:cs="Traditional Arabic"/>
          <w:b/>
          <w:color w:val="0D0D0D" w:themeColor="text1" w:themeTint="F2"/>
          <w:sz w:val="24"/>
          <w:szCs w:val="24"/>
          <w:rtl/>
        </w:rPr>
        <w:t xml:space="preserve"> التي </w:t>
      </w:r>
      <w:r w:rsidRPr="00B87BE1">
        <w:rPr>
          <w:rFonts w:ascii="Traditional Arabic" w:hAnsi="Traditional Arabic" w:cs="Traditional Arabic"/>
          <w:b/>
          <w:color w:val="0D0D0D" w:themeColor="text1" w:themeTint="F2"/>
          <w:sz w:val="24"/>
          <w:szCs w:val="24"/>
          <w:rtl/>
        </w:rPr>
        <w:t>هدفت هذه الدراسة إلى معرفة أثر جودة الخدمة الداخلية على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والدور الوسيط للالتزام التنظيمي في البنوك الأجنبية العاملة في الأردن. ولتحقيق هدف الدراسة تم تصميم استبانة وتوزيعها على 230 موظفا</w:t>
      </w:r>
      <w:r w:rsidR="00C52BFF"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color w:val="0D0D0D" w:themeColor="text1" w:themeTint="F2"/>
          <w:sz w:val="24"/>
          <w:szCs w:val="24"/>
          <w:rtl/>
        </w:rPr>
        <w:t xml:space="preserve"> في البنوك الأجنبية العاملة في الأردن. بعد تحليل البيانات واختبار الفرضيات، توصلت نتائج الدراسة إلى أن هنالك أثر ذو دلالة إحصائية لأبعاد جودة الخدمة الداخلية (الجوانب الملموسة/ الموثوقية/ التعاطف) على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إلا أنه لا يوجد أثر لأبعاد جودة الخدمة الداخلية (الاستجابة/ الضمان) على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كما توصلت إلى وجود أثر ذو دلالة إحصائية لأبعاد جودة الخدمة الداخلية (الجوانب الملموسة/ التعاطف/ الضمان) على الالتزام التنظيمي. كما أظهرت الدراسة أن الالتزام التنظيمي (كمتغير وسيط) يساهم في تقوية العلاقة بين جودة الخدمة الداخلية وال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w:t>
      </w:r>
    </w:p>
    <w:p w14:paraId="03EAD73A" w14:textId="51081D0D" w:rsidR="00C414F9" w:rsidRPr="00B87BE1" w:rsidRDefault="006829D7" w:rsidP="00FE2F52">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تناولت بعض الدراسات على أثر ذكاء  الأعمال إدارة الأزمات واستدامة العمل البنكي التجاري، وكذلك تناولت على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في التميز التنظيمي من خلال التمكين الوظيفي كمتغير وسيط، وفي النهاية تم التطرق إلى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وعلاقته بالمناخ التنظيمي الداعم لل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في المؤسسات البنكية.</w:t>
      </w:r>
    </w:p>
    <w:p w14:paraId="01565F0C" w14:textId="52FB40C9" w:rsidR="004674F5" w:rsidRPr="00B87BE1" w:rsidRDefault="00C52BFF"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lastRenderedPageBreak/>
        <w:t xml:space="preserve"> </w:t>
      </w:r>
      <w:r w:rsidR="00A12E58" w:rsidRPr="00B87BE1">
        <w:rPr>
          <w:rFonts w:ascii="Traditional Arabic" w:hAnsi="Traditional Arabic" w:cs="Traditional Arabic"/>
          <w:b/>
          <w:color w:val="0D0D0D" w:themeColor="text1" w:themeTint="F2"/>
          <w:sz w:val="24"/>
          <w:szCs w:val="24"/>
          <w:rtl/>
        </w:rPr>
        <w:t xml:space="preserve">ولقد تميزت الدراسة الحالية </w:t>
      </w:r>
      <w:r w:rsidR="004674F5" w:rsidRPr="00B87BE1">
        <w:rPr>
          <w:rFonts w:ascii="Traditional Arabic" w:hAnsi="Traditional Arabic" w:cs="Traditional Arabic"/>
          <w:b/>
          <w:color w:val="0D0D0D" w:themeColor="text1" w:themeTint="F2"/>
          <w:sz w:val="24"/>
          <w:szCs w:val="24"/>
          <w:rtl/>
        </w:rPr>
        <w:t>عن الدراسات السابقة بعدة جوانب رئيسية، مما يضفي عليها أهمية علمية وتطبيقية:</w:t>
      </w:r>
    </w:p>
    <w:p w14:paraId="7C52DF9C" w14:textId="35A8E425" w:rsidR="00DB7274" w:rsidRPr="00B87BE1" w:rsidRDefault="0002009B" w:rsidP="00B07735">
      <w:pPr>
        <w:pStyle w:val="ListParagraph"/>
        <w:numPr>
          <w:ilvl w:val="0"/>
          <w:numId w:val="3"/>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 xml:space="preserve">تصميم النموذج الشامل الذي يربط بين </w:t>
      </w:r>
      <w:r w:rsidR="007D345F" w:rsidRPr="00B87BE1">
        <w:rPr>
          <w:rFonts w:ascii="Traditional Arabic" w:hAnsi="Traditional Arabic" w:cs="Traditional Arabic"/>
          <w:b/>
          <w:color w:val="0D0D0D" w:themeColor="text1" w:themeTint="F2"/>
          <w:sz w:val="24"/>
          <w:szCs w:val="24"/>
          <w:rtl/>
        </w:rPr>
        <w:t>ثلاث</w:t>
      </w:r>
      <w:r w:rsidRPr="00B87BE1">
        <w:rPr>
          <w:rFonts w:ascii="Traditional Arabic" w:hAnsi="Traditional Arabic" w:cs="Traditional Arabic"/>
          <w:b/>
          <w:color w:val="0D0D0D" w:themeColor="text1" w:themeTint="F2"/>
          <w:sz w:val="24"/>
          <w:szCs w:val="24"/>
          <w:rtl/>
        </w:rPr>
        <w:t xml:space="preserve"> متغيرات رئيسية </w:t>
      </w:r>
      <w:r w:rsidR="007D345F" w:rsidRPr="00B87BE1">
        <w:rPr>
          <w:rFonts w:ascii="Traditional Arabic" w:hAnsi="Traditional Arabic" w:cs="Traditional Arabic"/>
          <w:b/>
          <w:color w:val="0D0D0D" w:themeColor="text1" w:themeTint="F2"/>
          <w:sz w:val="24"/>
          <w:szCs w:val="24"/>
          <w:rtl/>
        </w:rPr>
        <w:t>(قبول</w:t>
      </w:r>
      <w:r w:rsidR="00D33C68" w:rsidRPr="00B87BE1">
        <w:rPr>
          <w:rFonts w:ascii="Traditional Arabic" w:hAnsi="Traditional Arabic" w:cs="Traditional Arabic"/>
          <w:b/>
          <w:color w:val="0D0D0D" w:themeColor="text1" w:themeTint="F2"/>
          <w:sz w:val="24"/>
          <w:szCs w:val="24"/>
          <w:rtl/>
        </w:rPr>
        <w:t xml:space="preserve"> الموظفين لنظام </w:t>
      </w:r>
      <w:r w:rsidRPr="00B87BE1">
        <w:rPr>
          <w:rFonts w:ascii="Traditional Arabic" w:hAnsi="Traditional Arabic" w:cs="Traditional Arabic"/>
          <w:b/>
          <w:color w:val="0D0D0D" w:themeColor="text1" w:themeTint="F2"/>
          <w:sz w:val="24"/>
          <w:szCs w:val="24"/>
          <w:rtl/>
        </w:rPr>
        <w:t>ذكاء الأعمال</w:t>
      </w:r>
      <w:r w:rsidR="00D33C68" w:rsidRPr="00B87BE1">
        <w:rPr>
          <w:rFonts w:ascii="Traditional Arabic" w:hAnsi="Traditional Arabic" w:cs="Traditional Arabic"/>
          <w:b/>
          <w:color w:val="0D0D0D" w:themeColor="text1" w:themeTint="F2"/>
          <w:sz w:val="24"/>
          <w:szCs w:val="24"/>
          <w:rtl/>
        </w:rPr>
        <w:t xml:space="preserve"> وفق </w:t>
      </w:r>
      <w:r w:rsidR="00D33C68" w:rsidRPr="00B87BE1">
        <w:rPr>
          <w:rFonts w:ascii="Traditional Arabic" w:hAnsi="Traditional Arabic" w:cs="Traditional Arabic"/>
          <w:bCs/>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جودة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في سياق واحد. هذا التكامل بين المتغيرات يوفر رؤية أكثر شمولية للعلاقات السببية والتأثيرية، مقارنة بالدراسات التي تركز على علاقات جزئية</w:t>
      </w:r>
    </w:p>
    <w:p w14:paraId="4289D959" w14:textId="23BF106D" w:rsidR="00E176C1" w:rsidRPr="00B87BE1" w:rsidRDefault="00E176C1" w:rsidP="00B07735">
      <w:pPr>
        <w:numPr>
          <w:ilvl w:val="0"/>
          <w:numId w:val="3"/>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 xml:space="preserve">التعرف على طبيعة العلاقة بين </w:t>
      </w:r>
      <w:r w:rsidR="00D33C68" w:rsidRPr="00B87BE1">
        <w:rPr>
          <w:rFonts w:ascii="Traditional Arabic" w:hAnsi="Traditional Arabic" w:cs="Traditional Arabic"/>
          <w:b/>
          <w:color w:val="0D0D0D" w:themeColor="text1" w:themeTint="F2"/>
          <w:sz w:val="24"/>
          <w:szCs w:val="24"/>
          <w:rtl/>
        </w:rPr>
        <w:t xml:space="preserve">قبول الموظفين لنظام ذكاء الأعمال وفق </w:t>
      </w:r>
      <w:r w:rsidR="00D33C68" w:rsidRPr="00B87BE1">
        <w:rPr>
          <w:rFonts w:ascii="Traditional Arabic" w:hAnsi="Traditional Arabic" w:cs="Traditional Arabic"/>
          <w:bCs/>
          <w:color w:val="0D0D0D" w:themeColor="text1" w:themeTint="F2"/>
          <w:sz w:val="24"/>
          <w:szCs w:val="24"/>
        </w:rPr>
        <w:t>TAM</w:t>
      </w:r>
      <w:r w:rsidR="00D33C68"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tl/>
        </w:rPr>
        <w:t>وال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وكذا التعرف على طبيعة العلاقة بين </w:t>
      </w:r>
      <w:r w:rsidR="00CA2E47" w:rsidRPr="00B87BE1">
        <w:rPr>
          <w:rFonts w:ascii="Traditional Arabic" w:hAnsi="Traditional Arabic" w:cs="Traditional Arabic"/>
          <w:b/>
          <w:color w:val="0D0D0D" w:themeColor="text1" w:themeTint="F2"/>
          <w:sz w:val="24"/>
          <w:szCs w:val="24"/>
          <w:rtl/>
        </w:rPr>
        <w:t xml:space="preserve">قبول الموظفين لنظام ذكاء الأعمال وفق </w:t>
      </w:r>
      <w:r w:rsidR="00CA2E47" w:rsidRPr="00B87BE1">
        <w:rPr>
          <w:rFonts w:ascii="Traditional Arabic" w:hAnsi="Traditional Arabic" w:cs="Traditional Arabic"/>
          <w:bCs/>
          <w:color w:val="0D0D0D" w:themeColor="text1" w:themeTint="F2"/>
          <w:sz w:val="24"/>
          <w:szCs w:val="24"/>
        </w:rPr>
        <w:t>TAM</w:t>
      </w:r>
      <w:r w:rsidR="00CA2E47"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tl/>
        </w:rPr>
        <w:t>وجودة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ة في </w:t>
      </w:r>
      <w:r w:rsidR="0033043F" w:rsidRPr="00B87BE1">
        <w:rPr>
          <w:rFonts w:ascii="Traditional Arabic" w:hAnsi="Traditional Arabic" w:cs="Traditional Arabic"/>
          <w:b/>
          <w:color w:val="0D0D0D" w:themeColor="text1" w:themeTint="F2"/>
          <w:sz w:val="24"/>
          <w:szCs w:val="24"/>
          <w:rtl/>
        </w:rPr>
        <w:t>المصارف العاملة بمدينة الرياض</w:t>
      </w:r>
      <w:r w:rsidR="00C52BFF" w:rsidRPr="00B87BE1">
        <w:rPr>
          <w:rFonts w:ascii="Traditional Arabic" w:hAnsi="Traditional Arabic" w:cs="Traditional Arabic"/>
          <w:b/>
          <w:color w:val="0D0D0D" w:themeColor="text1" w:themeTint="F2"/>
          <w:sz w:val="24"/>
          <w:szCs w:val="24"/>
          <w:rtl/>
        </w:rPr>
        <w:t>.</w:t>
      </w:r>
    </w:p>
    <w:p w14:paraId="4A3B6686" w14:textId="6615B53A" w:rsidR="004674F5" w:rsidRPr="00B87BE1" w:rsidRDefault="004674F5" w:rsidP="00B07735">
      <w:pPr>
        <w:pStyle w:val="ListParagraph"/>
        <w:numPr>
          <w:ilvl w:val="0"/>
          <w:numId w:val="3"/>
        </w:num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التركيز على الدور الوسيط</w:t>
      </w:r>
      <w:r w:rsidRPr="00B87BE1">
        <w:rPr>
          <w:rFonts w:ascii="Traditional Arabic" w:hAnsi="Traditional Arabic" w:cs="Traditional Arabic"/>
          <w:b/>
          <w:color w:val="0D0D0D" w:themeColor="text1" w:themeTint="F2"/>
          <w:sz w:val="24"/>
          <w:szCs w:val="24"/>
        </w:rPr>
        <w:t xml:space="preserve">: </w:t>
      </w:r>
      <w:r w:rsidRPr="00B87BE1">
        <w:rPr>
          <w:rFonts w:ascii="Traditional Arabic" w:hAnsi="Traditional Arabic" w:cs="Traditional Arabic"/>
          <w:b/>
          <w:color w:val="0D0D0D" w:themeColor="text1" w:themeTint="F2"/>
          <w:sz w:val="24"/>
          <w:szCs w:val="24"/>
          <w:rtl/>
        </w:rPr>
        <w:t>تعد هذه الدراسة من الدراسات القليلة التي تتناول "جودة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كمتغير وسيط في العلاقة بين "</w:t>
      </w:r>
      <w:r w:rsidR="007D345F" w:rsidRPr="00B87BE1">
        <w:rPr>
          <w:rFonts w:ascii="Traditional Arabic" w:hAnsi="Traditional Arabic" w:cs="Traditional Arabic"/>
          <w:b/>
          <w:color w:val="0D0D0D" w:themeColor="text1" w:themeTint="F2"/>
          <w:sz w:val="24"/>
          <w:szCs w:val="24"/>
          <w:rtl/>
        </w:rPr>
        <w:t xml:space="preserve"> قبول الموظفين لنظام ذكاء الأعمال وفق </w:t>
      </w:r>
      <w:r w:rsidR="007D345F" w:rsidRPr="00B87BE1">
        <w:rPr>
          <w:rFonts w:ascii="Traditional Arabic" w:hAnsi="Traditional Arabic" w:cs="Traditional Arabic"/>
          <w:bCs/>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و"ال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 فمعظم الدراسات السابقة تناولت هذه المتغيرات بشكل منفصل أو في علاقات ثنائية، دون استكشاف الدور الوسيط لجودة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في هذه العلاقة المعقدة. هذا الجانب يمثل إضافة نوعية للأدبيات القائمة، ويسهم في فهم أعمق للآليات التي من خلالها يؤثر ذكاء الأعمال على ال</w:t>
      </w:r>
      <w:r w:rsidR="00115502" w:rsidRPr="00B87BE1">
        <w:rPr>
          <w:rFonts w:ascii="Traditional Arabic" w:hAnsi="Traditional Arabic" w:cs="Traditional Arabic"/>
          <w:b/>
          <w:color w:val="0D0D0D" w:themeColor="text1" w:themeTint="F2"/>
          <w:sz w:val="24"/>
          <w:szCs w:val="24"/>
          <w:rtl/>
        </w:rPr>
        <w:t>ابتكار</w:t>
      </w:r>
      <w:r w:rsidRPr="00B87BE1">
        <w:rPr>
          <w:rFonts w:ascii="Traditional Arabic" w:hAnsi="Traditional Arabic" w:cs="Traditional Arabic"/>
          <w:b/>
          <w:color w:val="0D0D0D" w:themeColor="text1" w:themeTint="F2"/>
          <w:sz w:val="24"/>
          <w:szCs w:val="24"/>
          <w:rtl/>
        </w:rPr>
        <w:t xml:space="preserve"> التنظيمي</w:t>
      </w:r>
      <w:r w:rsidRPr="00B87BE1">
        <w:rPr>
          <w:rFonts w:ascii="Traditional Arabic" w:hAnsi="Traditional Arabic" w:cs="Traditional Arabic"/>
          <w:b/>
          <w:color w:val="0D0D0D" w:themeColor="text1" w:themeTint="F2"/>
          <w:sz w:val="24"/>
          <w:szCs w:val="24"/>
        </w:rPr>
        <w:t>.</w:t>
      </w:r>
    </w:p>
    <w:p w14:paraId="63D90702" w14:textId="292BEAF7" w:rsidR="004674F5" w:rsidRPr="00B87BE1" w:rsidRDefault="0033043F" w:rsidP="00B07735">
      <w:pPr>
        <w:pStyle w:val="ListParagraph"/>
        <w:numPr>
          <w:ilvl w:val="0"/>
          <w:numId w:val="3"/>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المصارف العاملة بمدينة الرياض</w:t>
      </w:r>
      <w:r w:rsidR="00531FCD" w:rsidRPr="00B87BE1">
        <w:rPr>
          <w:rFonts w:ascii="Traditional Arabic" w:hAnsi="Traditional Arabic" w:cs="Traditional Arabic"/>
          <w:b/>
          <w:color w:val="0D0D0D" w:themeColor="text1" w:themeTint="F2"/>
          <w:sz w:val="24"/>
          <w:szCs w:val="24"/>
          <w:rtl/>
        </w:rPr>
        <w:t>:</w:t>
      </w:r>
      <w:r w:rsidR="004674F5" w:rsidRPr="00B87BE1">
        <w:rPr>
          <w:rFonts w:ascii="Traditional Arabic" w:hAnsi="Traditional Arabic" w:cs="Traditional Arabic"/>
          <w:b/>
          <w:color w:val="0D0D0D" w:themeColor="text1" w:themeTint="F2"/>
          <w:sz w:val="24"/>
          <w:szCs w:val="24"/>
        </w:rPr>
        <w:t xml:space="preserve"> </w:t>
      </w:r>
      <w:r w:rsidR="004674F5" w:rsidRPr="00B87BE1">
        <w:rPr>
          <w:rFonts w:ascii="Traditional Arabic" w:hAnsi="Traditional Arabic" w:cs="Traditional Arabic"/>
          <w:b/>
          <w:color w:val="0D0D0D" w:themeColor="text1" w:themeTint="F2"/>
          <w:sz w:val="24"/>
          <w:szCs w:val="24"/>
          <w:rtl/>
        </w:rPr>
        <w:t xml:space="preserve">على الرغم من وجود دراسات تناولت هذه المتغيرات في قطاعات مصرفية أخرى، إلا أن الدراسات التي تركز على </w:t>
      </w:r>
      <w:r w:rsidRPr="00B87BE1">
        <w:rPr>
          <w:rFonts w:ascii="Traditional Arabic" w:hAnsi="Traditional Arabic" w:cs="Traditional Arabic"/>
          <w:b/>
          <w:color w:val="0D0D0D" w:themeColor="text1" w:themeTint="F2"/>
          <w:sz w:val="24"/>
          <w:szCs w:val="24"/>
          <w:rtl/>
        </w:rPr>
        <w:t>المصارف العاملة بمدينة الرياض</w:t>
      </w:r>
      <w:r w:rsidR="004674F5" w:rsidRPr="00B87BE1">
        <w:rPr>
          <w:rFonts w:ascii="Traditional Arabic" w:hAnsi="Traditional Arabic" w:cs="Traditional Arabic"/>
          <w:b/>
          <w:color w:val="0D0D0D" w:themeColor="text1" w:themeTint="F2"/>
          <w:sz w:val="24"/>
          <w:szCs w:val="24"/>
          <w:rtl/>
        </w:rPr>
        <w:t xml:space="preserve"> لا تزال محدودة. </w:t>
      </w:r>
      <w:r w:rsidR="00C52BFF" w:rsidRPr="00B87BE1">
        <w:rPr>
          <w:rFonts w:ascii="Traditional Arabic" w:hAnsi="Traditional Arabic" w:cs="Traditional Arabic"/>
          <w:b/>
          <w:color w:val="0D0D0D" w:themeColor="text1" w:themeTint="F2"/>
          <w:sz w:val="24"/>
          <w:szCs w:val="24"/>
          <w:rtl/>
        </w:rPr>
        <w:t xml:space="preserve">كما </w:t>
      </w:r>
      <w:r w:rsidR="004674F5" w:rsidRPr="00B87BE1">
        <w:rPr>
          <w:rFonts w:ascii="Traditional Arabic" w:hAnsi="Traditional Arabic" w:cs="Traditional Arabic"/>
          <w:b/>
          <w:color w:val="0D0D0D" w:themeColor="text1" w:themeTint="F2"/>
          <w:sz w:val="24"/>
          <w:szCs w:val="24"/>
          <w:rtl/>
        </w:rPr>
        <w:t>تتميز البيئة المصرفية السعودية بخصائصها الفريدة وتحدياتها، مما يجعل نتائج هذه الدراسة ذات أهمية خاصة للمؤسسات المصرفية في المملكة، وتساهم في سد فجوة بحثية في هذا السياق الجغرافي والاقتصادي</w:t>
      </w:r>
      <w:r w:rsidR="004674F5" w:rsidRPr="00B87BE1">
        <w:rPr>
          <w:rFonts w:ascii="Traditional Arabic" w:hAnsi="Traditional Arabic" w:cs="Traditional Arabic"/>
          <w:b/>
          <w:color w:val="0D0D0D" w:themeColor="text1" w:themeTint="F2"/>
          <w:sz w:val="24"/>
          <w:szCs w:val="24"/>
        </w:rPr>
        <w:t>.</w:t>
      </w:r>
    </w:p>
    <w:p w14:paraId="2782F0E3" w14:textId="634F80AB" w:rsidR="000D667A" w:rsidRPr="00B87BE1" w:rsidRDefault="00B56AA4" w:rsidP="00C414F9">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 xml:space="preserve">ومن هنا </w:t>
      </w:r>
      <w:r w:rsidR="00D4716B" w:rsidRPr="00B87BE1">
        <w:rPr>
          <w:rFonts w:ascii="Traditional Arabic" w:hAnsi="Traditional Arabic" w:cs="Traditional Arabic"/>
          <w:b/>
          <w:color w:val="0D0D0D" w:themeColor="text1" w:themeTint="F2"/>
          <w:sz w:val="24"/>
          <w:szCs w:val="24"/>
          <w:rtl/>
        </w:rPr>
        <w:t>جاءت</w:t>
      </w:r>
      <w:r w:rsidRPr="00B87BE1">
        <w:rPr>
          <w:rFonts w:ascii="Traditional Arabic" w:hAnsi="Traditional Arabic" w:cs="Traditional Arabic"/>
          <w:b/>
          <w:color w:val="0D0D0D" w:themeColor="text1" w:themeTint="F2"/>
          <w:sz w:val="24"/>
          <w:szCs w:val="24"/>
          <w:rtl/>
        </w:rPr>
        <w:t xml:space="preserve"> الدراسة الحالية</w:t>
      </w:r>
      <w:r w:rsidR="00D4716B" w:rsidRPr="00B87BE1">
        <w:rPr>
          <w:rFonts w:ascii="Traditional Arabic" w:hAnsi="Traditional Arabic" w:cs="Traditional Arabic"/>
          <w:b/>
          <w:color w:val="0D0D0D" w:themeColor="text1" w:themeTint="F2"/>
          <w:sz w:val="24"/>
          <w:szCs w:val="24"/>
          <w:rtl/>
        </w:rPr>
        <w:t xml:space="preserve"> لتغطية</w:t>
      </w:r>
      <w:r w:rsidRPr="00B87BE1">
        <w:rPr>
          <w:rFonts w:ascii="Traditional Arabic" w:hAnsi="Traditional Arabic" w:cs="Traditional Arabic"/>
          <w:b/>
          <w:color w:val="0D0D0D" w:themeColor="text1" w:themeTint="F2"/>
          <w:sz w:val="24"/>
          <w:szCs w:val="24"/>
          <w:rtl/>
        </w:rPr>
        <w:t xml:space="preserve"> الفجوة البحثية </w:t>
      </w:r>
      <w:r w:rsidR="00CC6A15" w:rsidRPr="00B87BE1">
        <w:rPr>
          <w:rFonts w:ascii="Traditional Arabic" w:hAnsi="Traditional Arabic" w:cs="Traditional Arabic"/>
          <w:b/>
          <w:color w:val="0D0D0D" w:themeColor="text1" w:themeTint="F2"/>
          <w:sz w:val="24"/>
          <w:szCs w:val="24"/>
          <w:rtl/>
        </w:rPr>
        <w:t xml:space="preserve">التي </w:t>
      </w:r>
      <w:r w:rsidR="00B47BE9" w:rsidRPr="00B87BE1">
        <w:rPr>
          <w:rFonts w:ascii="Traditional Arabic" w:hAnsi="Traditional Arabic" w:cs="Traditional Arabic"/>
          <w:color w:val="0D0D0D" w:themeColor="text1" w:themeTint="F2"/>
          <w:sz w:val="24"/>
          <w:szCs w:val="24"/>
          <w:rtl/>
        </w:rPr>
        <w:t>ت</w:t>
      </w:r>
      <w:r w:rsidR="00B47BE9" w:rsidRPr="00B87BE1">
        <w:rPr>
          <w:rFonts w:ascii="Traditional Arabic" w:eastAsiaTheme="majorEastAsia" w:hAnsi="Traditional Arabic" w:cs="Traditional Arabic"/>
          <w:color w:val="0D0D0D" w:themeColor="text1" w:themeTint="F2"/>
          <w:sz w:val="24"/>
          <w:szCs w:val="24"/>
          <w:rtl/>
        </w:rPr>
        <w:t>سع</w:t>
      </w:r>
      <w:r w:rsidR="00942640" w:rsidRPr="00B87BE1">
        <w:rPr>
          <w:rFonts w:ascii="Traditional Arabic" w:eastAsiaTheme="majorEastAsia" w:hAnsi="Traditional Arabic" w:cs="Traditional Arabic"/>
          <w:color w:val="0D0D0D" w:themeColor="text1" w:themeTint="F2"/>
          <w:sz w:val="24"/>
          <w:szCs w:val="24"/>
          <w:rtl/>
        </w:rPr>
        <w:t>ى</w:t>
      </w:r>
      <w:r w:rsidR="00B47BE9" w:rsidRPr="00B87BE1">
        <w:rPr>
          <w:rFonts w:ascii="Traditional Arabic" w:eastAsiaTheme="majorEastAsia" w:hAnsi="Traditional Arabic" w:cs="Traditional Arabic"/>
          <w:color w:val="0D0D0D" w:themeColor="text1" w:themeTint="F2"/>
          <w:sz w:val="24"/>
          <w:szCs w:val="24"/>
          <w:rtl/>
        </w:rPr>
        <w:t xml:space="preserve"> </w:t>
      </w:r>
      <w:r w:rsidR="00942640" w:rsidRPr="00B87BE1">
        <w:rPr>
          <w:rFonts w:ascii="Traditional Arabic" w:eastAsiaTheme="majorEastAsia" w:hAnsi="Traditional Arabic" w:cs="Traditional Arabic"/>
          <w:color w:val="0D0D0D" w:themeColor="text1" w:themeTint="F2"/>
          <w:sz w:val="24"/>
          <w:szCs w:val="24"/>
          <w:rtl/>
        </w:rPr>
        <w:t>ل</w:t>
      </w:r>
      <w:r w:rsidR="00B47BE9" w:rsidRPr="00B87BE1">
        <w:rPr>
          <w:rFonts w:ascii="Traditional Arabic" w:eastAsiaTheme="majorEastAsia" w:hAnsi="Traditional Arabic" w:cs="Traditional Arabic"/>
          <w:color w:val="0D0D0D" w:themeColor="text1" w:themeTint="F2"/>
          <w:sz w:val="24"/>
          <w:szCs w:val="24"/>
          <w:rtl/>
        </w:rPr>
        <w:t>لتعرف عل</w:t>
      </w:r>
      <w:r w:rsidR="00942640" w:rsidRPr="00B87BE1">
        <w:rPr>
          <w:rFonts w:ascii="Traditional Arabic" w:eastAsiaTheme="majorEastAsia" w:hAnsi="Traditional Arabic" w:cs="Traditional Arabic"/>
          <w:color w:val="0D0D0D" w:themeColor="text1" w:themeTint="F2"/>
          <w:sz w:val="24"/>
          <w:szCs w:val="24"/>
          <w:rtl/>
        </w:rPr>
        <w:t>ى</w:t>
      </w:r>
      <w:r w:rsidR="00B47BE9" w:rsidRPr="00B87BE1">
        <w:rPr>
          <w:rFonts w:ascii="Traditional Arabic" w:eastAsiaTheme="majorEastAsia" w:hAnsi="Traditional Arabic" w:cs="Traditional Arabic"/>
          <w:color w:val="0D0D0D" w:themeColor="text1" w:themeTint="F2"/>
          <w:sz w:val="24"/>
          <w:szCs w:val="24"/>
          <w:rtl/>
        </w:rPr>
        <w:t xml:space="preserve"> طبيعة العلاقات المباشرة وغير المباشرة</w:t>
      </w:r>
      <w:r w:rsidR="00B47BE9" w:rsidRPr="00B87BE1">
        <w:rPr>
          <w:rFonts w:ascii="Traditional Arabic" w:hAnsi="Traditional Arabic" w:cs="Traditional Arabic"/>
          <w:color w:val="0D0D0D" w:themeColor="text1" w:themeTint="F2"/>
          <w:sz w:val="24"/>
          <w:szCs w:val="24"/>
          <w:rtl/>
        </w:rPr>
        <w:t xml:space="preserve"> </w:t>
      </w:r>
      <w:r w:rsidR="00B47BE9" w:rsidRPr="00B87BE1">
        <w:rPr>
          <w:rFonts w:ascii="Traditional Arabic" w:eastAsiaTheme="majorEastAsia" w:hAnsi="Traditional Arabic" w:cs="Traditional Arabic"/>
          <w:color w:val="0D0D0D" w:themeColor="text1" w:themeTint="F2"/>
          <w:sz w:val="24"/>
          <w:szCs w:val="24"/>
          <w:rtl/>
        </w:rPr>
        <w:t>بين مُتغ</w:t>
      </w:r>
      <w:r w:rsidR="00B47BE9" w:rsidRPr="00B87BE1">
        <w:rPr>
          <w:rFonts w:ascii="Traditional Arabic" w:hAnsi="Traditional Arabic" w:cs="Traditional Arabic"/>
          <w:color w:val="0D0D0D" w:themeColor="text1" w:themeTint="F2"/>
          <w:sz w:val="24"/>
          <w:szCs w:val="24"/>
          <w:rtl/>
        </w:rPr>
        <w:t>يرات</w:t>
      </w:r>
      <w:r w:rsidR="00B47BE9" w:rsidRPr="00B87BE1">
        <w:rPr>
          <w:rFonts w:ascii="Traditional Arabic" w:eastAsiaTheme="majorEastAsia" w:hAnsi="Traditional Arabic" w:cs="Traditional Arabic"/>
          <w:color w:val="0D0D0D" w:themeColor="text1" w:themeTint="F2"/>
          <w:sz w:val="24"/>
          <w:szCs w:val="24"/>
          <w:rtl/>
        </w:rPr>
        <w:t xml:space="preserve"> ال</w:t>
      </w:r>
      <w:r w:rsidR="00B47BE9" w:rsidRPr="00B87BE1">
        <w:rPr>
          <w:rFonts w:ascii="Traditional Arabic" w:hAnsi="Traditional Arabic" w:cs="Traditional Arabic"/>
          <w:color w:val="0D0D0D" w:themeColor="text1" w:themeTint="F2"/>
          <w:sz w:val="24"/>
          <w:szCs w:val="24"/>
          <w:rtl/>
        </w:rPr>
        <w:t>دراسة</w:t>
      </w:r>
      <w:r w:rsidR="00B47BE9" w:rsidRPr="00B87BE1">
        <w:rPr>
          <w:rFonts w:ascii="Traditional Arabic" w:eastAsiaTheme="majorEastAsia" w:hAnsi="Traditional Arabic" w:cs="Traditional Arabic"/>
          <w:color w:val="0D0D0D" w:themeColor="text1" w:themeTint="F2"/>
          <w:sz w:val="24"/>
          <w:szCs w:val="24"/>
          <w:rtl/>
        </w:rPr>
        <w:t xml:space="preserve"> من خلال توسيط </w:t>
      </w:r>
      <w:r w:rsidR="00B47BE9" w:rsidRPr="00B87BE1">
        <w:rPr>
          <w:rFonts w:ascii="Traditional Arabic" w:hAnsi="Traditional Arabic" w:cs="Traditional Arabic"/>
          <w:color w:val="0D0D0D" w:themeColor="text1" w:themeTint="F2"/>
          <w:sz w:val="24"/>
          <w:szCs w:val="24"/>
          <w:rtl/>
        </w:rPr>
        <w:t>جودة القرارات ال</w:t>
      </w:r>
      <w:r w:rsidR="00115502" w:rsidRPr="00B87BE1">
        <w:rPr>
          <w:rFonts w:ascii="Traditional Arabic" w:hAnsi="Traditional Arabic" w:cs="Traditional Arabic"/>
          <w:color w:val="0D0D0D" w:themeColor="text1" w:themeTint="F2"/>
          <w:sz w:val="24"/>
          <w:szCs w:val="24"/>
          <w:rtl/>
        </w:rPr>
        <w:t>استراتيجي</w:t>
      </w:r>
      <w:r w:rsidR="00B47BE9" w:rsidRPr="00B87BE1">
        <w:rPr>
          <w:rFonts w:ascii="Traditional Arabic" w:hAnsi="Traditional Arabic" w:cs="Traditional Arabic"/>
          <w:color w:val="0D0D0D" w:themeColor="text1" w:themeTint="F2"/>
          <w:sz w:val="24"/>
          <w:szCs w:val="24"/>
          <w:rtl/>
        </w:rPr>
        <w:t>ة</w:t>
      </w:r>
      <w:r w:rsidR="00B47BE9" w:rsidRPr="00B87BE1">
        <w:rPr>
          <w:rFonts w:ascii="Traditional Arabic" w:eastAsiaTheme="majorEastAsia" w:hAnsi="Traditional Arabic" w:cs="Traditional Arabic"/>
          <w:color w:val="0D0D0D" w:themeColor="text1" w:themeTint="F2"/>
          <w:sz w:val="24"/>
          <w:szCs w:val="24"/>
          <w:rtl/>
        </w:rPr>
        <w:t xml:space="preserve"> في العلاقة بين ذكاء </w:t>
      </w:r>
      <w:r w:rsidR="00B47BE9" w:rsidRPr="00B87BE1">
        <w:rPr>
          <w:rFonts w:ascii="Traditional Arabic" w:hAnsi="Traditional Arabic" w:cs="Traditional Arabic"/>
          <w:color w:val="0D0D0D" w:themeColor="text1" w:themeTint="F2"/>
          <w:sz w:val="24"/>
          <w:szCs w:val="24"/>
          <w:rtl/>
        </w:rPr>
        <w:t>الأعمال وال</w:t>
      </w:r>
      <w:r w:rsidR="00115502" w:rsidRPr="00B87BE1">
        <w:rPr>
          <w:rFonts w:ascii="Traditional Arabic" w:hAnsi="Traditional Arabic" w:cs="Traditional Arabic"/>
          <w:color w:val="0D0D0D" w:themeColor="text1" w:themeTint="F2"/>
          <w:sz w:val="24"/>
          <w:szCs w:val="24"/>
          <w:rtl/>
        </w:rPr>
        <w:t>ابتكار</w:t>
      </w:r>
      <w:r w:rsidR="00B47BE9" w:rsidRPr="00B87BE1">
        <w:rPr>
          <w:rFonts w:ascii="Traditional Arabic" w:hAnsi="Traditional Arabic" w:cs="Traditional Arabic"/>
          <w:color w:val="0D0D0D" w:themeColor="text1" w:themeTint="F2"/>
          <w:sz w:val="24"/>
          <w:szCs w:val="24"/>
          <w:rtl/>
        </w:rPr>
        <w:t xml:space="preserve"> التنظيمي</w:t>
      </w:r>
      <w:r w:rsidR="00942640" w:rsidRPr="00B87BE1">
        <w:rPr>
          <w:rFonts w:ascii="Traditional Arabic" w:hAnsi="Traditional Arabic" w:cs="Traditional Arabic"/>
          <w:bCs/>
          <w:color w:val="0D0D0D" w:themeColor="text1" w:themeTint="F2"/>
          <w:sz w:val="24"/>
          <w:szCs w:val="24"/>
          <w:rtl/>
        </w:rPr>
        <w:t>.</w:t>
      </w:r>
    </w:p>
    <w:p w14:paraId="6AA2DD8D" w14:textId="24C8FE5D" w:rsidR="00E674BA" w:rsidRPr="00B87BE1" w:rsidRDefault="00E674BA" w:rsidP="00163E96">
      <w:pPr>
        <w:pStyle w:val="Heading1"/>
        <w:bidi/>
        <w:spacing w:before="0" w:line="360" w:lineRule="auto"/>
        <w:rPr>
          <w:rFonts w:ascii="Traditional Arabic" w:hAnsi="Traditional Arabic" w:cs="Traditional Arabic"/>
          <w:bCs/>
          <w:color w:val="0D0D0D" w:themeColor="text1" w:themeTint="F2"/>
          <w:sz w:val="28"/>
          <w:szCs w:val="28"/>
        </w:rPr>
      </w:pPr>
      <w:bookmarkStart w:id="15" w:name="_Toc215399839"/>
      <w:r w:rsidRPr="00B87BE1">
        <w:rPr>
          <w:rFonts w:ascii="Traditional Arabic" w:hAnsi="Traditional Arabic" w:cs="Traditional Arabic"/>
          <w:bCs/>
          <w:color w:val="0D0D0D" w:themeColor="text1" w:themeTint="F2"/>
          <w:sz w:val="28"/>
          <w:szCs w:val="28"/>
          <w:rtl/>
        </w:rPr>
        <w:t>حدود الدراسة</w:t>
      </w:r>
      <w:bookmarkEnd w:id="15"/>
      <w:r w:rsidRPr="00B87BE1">
        <w:rPr>
          <w:rFonts w:ascii="Traditional Arabic" w:hAnsi="Traditional Arabic" w:cs="Traditional Arabic"/>
          <w:bCs/>
          <w:color w:val="0D0D0D" w:themeColor="text1" w:themeTint="F2"/>
          <w:sz w:val="28"/>
          <w:szCs w:val="28"/>
          <w:rtl/>
        </w:rPr>
        <w:t xml:space="preserve"> </w:t>
      </w:r>
    </w:p>
    <w:p w14:paraId="08FF714F" w14:textId="77777777" w:rsidR="00EA19A2" w:rsidRPr="00B87BE1" w:rsidRDefault="00EA19A2" w:rsidP="00163E96">
      <w:pPr>
        <w:bidi/>
        <w:spacing w:after="0" w:line="360" w:lineRule="auto"/>
        <w:ind w:left="509"/>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تتحدد الدراسة بالحدود التالية:</w:t>
      </w:r>
    </w:p>
    <w:p w14:paraId="32332331" w14:textId="77777777" w:rsidR="00EA19A2" w:rsidRPr="00B87BE1" w:rsidRDefault="00EA19A2" w:rsidP="00B07735">
      <w:pPr>
        <w:pStyle w:val="ListParagraph"/>
        <w:numPr>
          <w:ilvl w:val="0"/>
          <w:numId w:val="7"/>
        </w:numPr>
        <w:bidi/>
        <w:spacing w:after="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Cs/>
          <w:color w:val="0D0D0D" w:themeColor="text1" w:themeTint="F2"/>
          <w:sz w:val="24"/>
          <w:szCs w:val="24"/>
          <w:rtl/>
        </w:rPr>
        <w:t>الحدود الموضوعية:</w:t>
      </w:r>
      <w:r w:rsidRPr="00B87BE1">
        <w:rPr>
          <w:rFonts w:ascii="Traditional Arabic" w:hAnsi="Traditional Arabic" w:cs="Traditional Arabic"/>
          <w:b/>
          <w:color w:val="0D0D0D" w:themeColor="text1" w:themeTint="F2"/>
          <w:sz w:val="24"/>
          <w:szCs w:val="24"/>
          <w:rtl/>
        </w:rPr>
        <w:t xml:space="preserve"> تقتصر الدراسة على اختبار العلاقة بين قبول أنظمة ذكاء الأعمال (وفق نموذج </w:t>
      </w:r>
      <w:r w:rsidRPr="00B87BE1">
        <w:rPr>
          <w:rFonts w:ascii="Traditional Arabic" w:hAnsi="Traditional Arabic" w:cs="Traditional Arabic"/>
          <w:b/>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xml:space="preserve"> بأبعاده: الفائدة المُدركة، سهولة الاستخدام المُدركة، نية الاستخدام) والابتكار التنظيمي، من خلال الدور الوسيط لجودة القرارات الاستراتيجية.</w:t>
      </w:r>
    </w:p>
    <w:p w14:paraId="2B17799B" w14:textId="1B9B5C5D" w:rsidR="00EA19A2" w:rsidRPr="00B87BE1" w:rsidRDefault="00EA19A2" w:rsidP="00B07735">
      <w:pPr>
        <w:pStyle w:val="ListParagraph"/>
        <w:numPr>
          <w:ilvl w:val="0"/>
          <w:numId w:val="7"/>
        </w:numPr>
        <w:bidi/>
        <w:spacing w:after="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Cs/>
          <w:color w:val="0D0D0D" w:themeColor="text1" w:themeTint="F2"/>
          <w:sz w:val="24"/>
          <w:szCs w:val="24"/>
          <w:rtl/>
        </w:rPr>
        <w:t>الحدود البشرية:</w:t>
      </w:r>
      <w:r w:rsidRPr="00B87BE1">
        <w:rPr>
          <w:rFonts w:ascii="Traditional Arabic" w:hAnsi="Traditional Arabic" w:cs="Traditional Arabic"/>
          <w:b/>
          <w:color w:val="0D0D0D" w:themeColor="text1" w:themeTint="F2"/>
          <w:sz w:val="24"/>
          <w:szCs w:val="24"/>
          <w:rtl/>
        </w:rPr>
        <w:t xml:space="preserve"> تشمل المديرين في الإدارات العليا والوسطى في المصارف السعودية.</w:t>
      </w:r>
    </w:p>
    <w:p w14:paraId="7B28DE95" w14:textId="654F37AB" w:rsidR="00EA19A2" w:rsidRPr="00B87BE1" w:rsidRDefault="00EA19A2" w:rsidP="00B07735">
      <w:pPr>
        <w:pStyle w:val="ListParagraph"/>
        <w:numPr>
          <w:ilvl w:val="0"/>
          <w:numId w:val="7"/>
        </w:numPr>
        <w:bidi/>
        <w:spacing w:after="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Cs/>
          <w:color w:val="0D0D0D" w:themeColor="text1" w:themeTint="F2"/>
          <w:sz w:val="24"/>
          <w:szCs w:val="24"/>
          <w:rtl/>
        </w:rPr>
        <w:t>الحدود المكانية:</w:t>
      </w:r>
      <w:r w:rsidRPr="00B87BE1">
        <w:rPr>
          <w:rFonts w:ascii="Traditional Arabic" w:hAnsi="Traditional Arabic" w:cs="Traditional Arabic"/>
          <w:b/>
          <w:color w:val="0D0D0D" w:themeColor="text1" w:themeTint="F2"/>
          <w:sz w:val="24"/>
          <w:szCs w:val="24"/>
          <w:rtl/>
        </w:rPr>
        <w:t xml:space="preserve"> تُطبَّق الدراسة على المصارف العاملة في مدينة الرياض بالمملكة العربية السعودية.</w:t>
      </w:r>
    </w:p>
    <w:p w14:paraId="2703E94B" w14:textId="6F54D78E" w:rsidR="00EA19A2" w:rsidRPr="00B87BE1" w:rsidRDefault="00EA19A2" w:rsidP="00B07735">
      <w:pPr>
        <w:pStyle w:val="ListParagraph"/>
        <w:numPr>
          <w:ilvl w:val="0"/>
          <w:numId w:val="7"/>
        </w:numPr>
        <w:bidi/>
        <w:spacing w:after="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Cs/>
          <w:color w:val="0D0D0D" w:themeColor="text1" w:themeTint="F2"/>
          <w:sz w:val="24"/>
          <w:szCs w:val="24"/>
          <w:rtl/>
        </w:rPr>
        <w:t>الحدود الزمانية:</w:t>
      </w:r>
      <w:r w:rsidR="000D077F" w:rsidRPr="00B87BE1">
        <w:rPr>
          <w:rFonts w:ascii="Traditional Arabic" w:hAnsi="Traditional Arabic" w:cs="Traditional Arabic"/>
          <w:b/>
          <w:color w:val="0D0D0D" w:themeColor="text1" w:themeTint="F2"/>
          <w:sz w:val="24"/>
          <w:szCs w:val="24"/>
          <w:rtl/>
        </w:rPr>
        <w:t xml:space="preserve"> تُطبَّق هذه الدراسة على البيانات التي سيتم جمعها خلال الفترة من (مارس </w:t>
      </w:r>
      <w:r w:rsidR="000D077F" w:rsidRPr="00B87BE1">
        <w:rPr>
          <w:rFonts w:ascii="Traditional Arabic" w:hAnsi="Traditional Arabic" w:cs="Traditional Arabic" w:hint="cs"/>
          <w:b/>
          <w:color w:val="0D0D0D" w:themeColor="text1" w:themeTint="F2"/>
          <w:sz w:val="24"/>
          <w:szCs w:val="24"/>
          <w:rtl/>
        </w:rPr>
        <w:t>2026م</w:t>
      </w:r>
      <w:r w:rsidR="000D077F" w:rsidRPr="00B87BE1">
        <w:rPr>
          <w:rFonts w:ascii="Traditional Arabic" w:hAnsi="Traditional Arabic" w:cs="Traditional Arabic"/>
          <w:b/>
          <w:color w:val="0D0D0D" w:themeColor="text1" w:themeTint="F2"/>
          <w:sz w:val="24"/>
          <w:szCs w:val="24"/>
          <w:rtl/>
        </w:rPr>
        <w:t xml:space="preserve">) إلى (مايو </w:t>
      </w:r>
      <w:r w:rsidR="000D077F" w:rsidRPr="00B87BE1">
        <w:rPr>
          <w:rFonts w:ascii="Traditional Arabic" w:hAnsi="Traditional Arabic" w:cs="Traditional Arabic" w:hint="cs"/>
          <w:b/>
          <w:color w:val="0D0D0D" w:themeColor="text1" w:themeTint="F2"/>
          <w:sz w:val="24"/>
          <w:szCs w:val="24"/>
          <w:rtl/>
        </w:rPr>
        <w:t>2026</w:t>
      </w:r>
      <w:r w:rsidR="000D077F" w:rsidRPr="00B87BE1">
        <w:rPr>
          <w:rFonts w:ascii="Traditional Arabic" w:hAnsi="Traditional Arabic" w:cs="Traditional Arabic"/>
          <w:b/>
          <w:color w:val="0D0D0D" w:themeColor="text1" w:themeTint="F2"/>
          <w:sz w:val="24"/>
          <w:szCs w:val="24"/>
          <w:rtl/>
        </w:rPr>
        <w:t>)، الموافق للفصل الدراسي الثاني من العام الجامعي</w:t>
      </w:r>
      <w:r w:rsidR="000D077F" w:rsidRPr="00B87BE1">
        <w:rPr>
          <w:rFonts w:ascii="Traditional Arabic" w:hAnsi="Traditional Arabic" w:cs="Traditional Arabic" w:hint="cs"/>
          <w:b/>
          <w:color w:val="0D0D0D" w:themeColor="text1" w:themeTint="F2"/>
          <w:sz w:val="24"/>
          <w:szCs w:val="24"/>
          <w:rtl/>
        </w:rPr>
        <w:t>.</w:t>
      </w:r>
    </w:p>
    <w:p w14:paraId="20027D5E" w14:textId="3AF2DD44" w:rsidR="000D077F" w:rsidRPr="00B87BE1" w:rsidRDefault="000D077F" w:rsidP="00B07735">
      <w:pPr>
        <w:pStyle w:val="ListParagraph"/>
        <w:numPr>
          <w:ilvl w:val="0"/>
          <w:numId w:val="7"/>
        </w:num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Cs/>
          <w:color w:val="0D0D0D" w:themeColor="text1" w:themeTint="F2"/>
          <w:sz w:val="24"/>
          <w:szCs w:val="24"/>
          <w:rtl/>
        </w:rPr>
        <w:lastRenderedPageBreak/>
        <w:t>الحدود المنهجية:</w:t>
      </w:r>
      <w:r w:rsidRPr="00B87BE1">
        <w:rPr>
          <w:rFonts w:ascii="Traditional Arabic" w:hAnsi="Traditional Arabic" w:cs="Traditional Arabic"/>
          <w:b/>
          <w:color w:val="0D0D0D" w:themeColor="text1" w:themeTint="F2"/>
          <w:sz w:val="24"/>
          <w:szCs w:val="24"/>
          <w:rtl/>
        </w:rPr>
        <w:t xml:space="preserve"> تقتصر الدراسة على المنهج الكمي الوصفي التحليلي باستخدام الاستبانة كأداة رئيسة لجمع البيانات. وستُستخدم بعض المتغيرات الديموغرافية كمتغيرات ضابطة (مثل المستوى الإداري، سنوات الخبرة)، كما سيتم فحص القيم الشاذة والانحياز الإحصائي قبل تنفيذ نماذج المعادلات الهيكلية والتعامل معها وفق المعايير الإحصائية المُعتمدة.</w:t>
      </w:r>
    </w:p>
    <w:p w14:paraId="0E27CCF0" w14:textId="03F6279B" w:rsidR="00257F01" w:rsidRPr="00B87BE1" w:rsidRDefault="00257F01" w:rsidP="00901EBF">
      <w:pPr>
        <w:pStyle w:val="Heading1"/>
        <w:bidi/>
        <w:spacing w:before="0" w:line="360" w:lineRule="auto"/>
        <w:rPr>
          <w:rFonts w:ascii="Traditional Arabic" w:hAnsi="Traditional Arabic" w:cs="Traditional Arabic"/>
          <w:bCs/>
          <w:color w:val="0D0D0D" w:themeColor="text1" w:themeTint="F2"/>
          <w:sz w:val="28"/>
          <w:szCs w:val="28"/>
          <w:rtl/>
        </w:rPr>
      </w:pPr>
      <w:bookmarkStart w:id="16" w:name="_Toc215399840"/>
      <w:r w:rsidRPr="00B87BE1">
        <w:rPr>
          <w:rFonts w:ascii="Traditional Arabic" w:hAnsi="Traditional Arabic" w:cs="Traditional Arabic"/>
          <w:bCs/>
          <w:color w:val="0D0D0D" w:themeColor="text1" w:themeTint="F2"/>
          <w:sz w:val="28"/>
          <w:szCs w:val="28"/>
          <w:rtl/>
        </w:rPr>
        <w:t xml:space="preserve">إجراءات </w:t>
      </w:r>
      <w:r w:rsidR="00E674BA" w:rsidRPr="00B87BE1">
        <w:rPr>
          <w:rFonts w:ascii="Traditional Arabic" w:hAnsi="Traditional Arabic" w:cs="Traditional Arabic" w:hint="cs"/>
          <w:bCs/>
          <w:color w:val="0D0D0D" w:themeColor="text1" w:themeTint="F2"/>
          <w:sz w:val="28"/>
          <w:szCs w:val="28"/>
          <w:rtl/>
        </w:rPr>
        <w:t xml:space="preserve">ومنهجية </w:t>
      </w:r>
      <w:r w:rsidRPr="00B87BE1">
        <w:rPr>
          <w:rFonts w:ascii="Traditional Arabic" w:hAnsi="Traditional Arabic" w:cs="Traditional Arabic"/>
          <w:bCs/>
          <w:color w:val="0D0D0D" w:themeColor="text1" w:themeTint="F2"/>
          <w:sz w:val="28"/>
          <w:szCs w:val="28"/>
          <w:rtl/>
        </w:rPr>
        <w:t>الدراسة</w:t>
      </w:r>
      <w:bookmarkEnd w:id="16"/>
    </w:p>
    <w:p w14:paraId="19351B93" w14:textId="7329301D" w:rsidR="00533AA9" w:rsidRPr="00B87BE1" w:rsidRDefault="00533AA9" w:rsidP="00901EBF">
      <w:pPr>
        <w:pStyle w:val="Heading2"/>
        <w:bidi/>
        <w:spacing w:before="0" w:line="360" w:lineRule="auto"/>
        <w:rPr>
          <w:rFonts w:ascii="Traditional Arabic" w:hAnsi="Traditional Arabic" w:cs="Traditional Arabic"/>
          <w:bCs/>
          <w:color w:val="0D0D0D" w:themeColor="text1" w:themeTint="F2"/>
          <w:sz w:val="24"/>
          <w:szCs w:val="24"/>
          <w:rtl/>
        </w:rPr>
      </w:pPr>
      <w:bookmarkStart w:id="17" w:name="_Toc215399841"/>
      <w:r w:rsidRPr="00B87BE1">
        <w:rPr>
          <w:rFonts w:ascii="Traditional Arabic" w:hAnsi="Traditional Arabic" w:cs="Traditional Arabic"/>
          <w:bCs/>
          <w:color w:val="0D0D0D" w:themeColor="text1" w:themeTint="F2"/>
          <w:sz w:val="24"/>
          <w:szCs w:val="24"/>
          <w:rtl/>
        </w:rPr>
        <w:t>منهج الدراسة:</w:t>
      </w:r>
      <w:bookmarkEnd w:id="17"/>
    </w:p>
    <w:p w14:paraId="1E76583C" w14:textId="42DE494E" w:rsidR="000620CC" w:rsidRPr="00B87BE1" w:rsidRDefault="000620CC" w:rsidP="000620CC">
      <w:pPr>
        <w:tabs>
          <w:tab w:val="left" w:pos="567"/>
        </w:tabs>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hint="cs"/>
          <w:b/>
          <w:color w:val="0D0D0D" w:themeColor="text1" w:themeTint="F2"/>
          <w:sz w:val="24"/>
          <w:szCs w:val="24"/>
          <w:rtl/>
        </w:rPr>
        <w:t>اعتمدت الباحثة المنهج</w:t>
      </w:r>
      <w:r w:rsidRPr="00B87BE1">
        <w:rPr>
          <w:rFonts w:ascii="Traditional Arabic" w:hAnsi="Traditional Arabic" w:cs="Traditional Arabic"/>
          <w:b/>
          <w:color w:val="0D0D0D" w:themeColor="text1" w:themeTint="F2"/>
          <w:sz w:val="24"/>
          <w:szCs w:val="24"/>
          <w:rtl/>
        </w:rPr>
        <w:t xml:space="preserve"> الوصفي التحليلي في هذه الدراسة، وذلك انطلاقاً من طبيعة المشكلة البحثية وأهدافها. ويُعرَّف هذا المنهج بأنه الأسلوب الذي يُمكّن الباحث من الحصول على معلومات دقيقة حول الظواهر المدروسة استناداً إلى حقائق الواقع، من خلال جمع البيانات باستخدام الأدوات البحثية المناسبة (المحمودي، 2019).</w:t>
      </w:r>
    </w:p>
    <w:p w14:paraId="3D23B569" w14:textId="264CFFA5" w:rsidR="000620CC" w:rsidRPr="00B87BE1" w:rsidRDefault="000620CC" w:rsidP="00901EBF">
      <w:pPr>
        <w:tabs>
          <w:tab w:val="left" w:pos="567"/>
        </w:tabs>
        <w:bidi/>
        <w:spacing w:after="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 xml:space="preserve">وقد </w:t>
      </w:r>
      <w:r w:rsidR="00901EBF" w:rsidRPr="00B87BE1">
        <w:rPr>
          <w:rFonts w:ascii="Traditional Arabic" w:hAnsi="Traditional Arabic" w:cs="Traditional Arabic" w:hint="cs"/>
          <w:b/>
          <w:color w:val="0D0D0D" w:themeColor="text1" w:themeTint="F2"/>
          <w:sz w:val="24"/>
          <w:szCs w:val="24"/>
          <w:rtl/>
        </w:rPr>
        <w:t>تم اختيار</w:t>
      </w:r>
      <w:r w:rsidRPr="00B87BE1">
        <w:rPr>
          <w:rFonts w:ascii="Traditional Arabic" w:hAnsi="Traditional Arabic" w:cs="Traditional Arabic"/>
          <w:b/>
          <w:color w:val="0D0D0D" w:themeColor="text1" w:themeTint="F2"/>
          <w:sz w:val="24"/>
          <w:szCs w:val="24"/>
          <w:rtl/>
        </w:rPr>
        <w:t xml:space="preserve"> هذا المنهج للمسوّغات التالية:</w:t>
      </w:r>
    </w:p>
    <w:p w14:paraId="1DF35F27" w14:textId="4610B10F" w:rsidR="000620CC" w:rsidRPr="00B87BE1" w:rsidRDefault="000620CC" w:rsidP="00B07735">
      <w:pPr>
        <w:pStyle w:val="ListParagraph"/>
        <w:numPr>
          <w:ilvl w:val="1"/>
          <w:numId w:val="6"/>
        </w:numPr>
        <w:tabs>
          <w:tab w:val="left" w:pos="567"/>
        </w:tabs>
        <w:bidi/>
        <w:spacing w:after="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يُتيح تحليل العلاقات المباشرة وغير المباشرة بين متغيرات الدراسة (قبول أنظمة ذكاء الأعمال، جودة القرارات الاستراتيجية، الابتكار التنظيمي).</w:t>
      </w:r>
    </w:p>
    <w:p w14:paraId="1C962520" w14:textId="44C4E5EA" w:rsidR="000620CC" w:rsidRPr="00B87BE1" w:rsidRDefault="000620CC" w:rsidP="00B07735">
      <w:pPr>
        <w:pStyle w:val="ListParagraph"/>
        <w:numPr>
          <w:ilvl w:val="1"/>
          <w:numId w:val="6"/>
        </w:numPr>
        <w:tabs>
          <w:tab w:val="left" w:pos="567"/>
        </w:tabs>
        <w:bidi/>
        <w:spacing w:after="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يُمكّن من جمع بيانات كمية قابلة للتحليل الإحصائي واختبار الفرضيات.</w:t>
      </w:r>
    </w:p>
    <w:p w14:paraId="01496F29" w14:textId="263DA2AB" w:rsidR="000620CC" w:rsidRPr="00B87BE1" w:rsidRDefault="000620CC" w:rsidP="00B07735">
      <w:pPr>
        <w:pStyle w:val="ListParagraph"/>
        <w:numPr>
          <w:ilvl w:val="1"/>
          <w:numId w:val="6"/>
        </w:numPr>
        <w:tabs>
          <w:tab w:val="left" w:pos="567"/>
        </w:tabs>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يُناسب دراسة السياقات التنظيمية في القطاع المصرفي، إذ يُوفر فهماً معمقاً لتصورات المديرين واتجاهاتهم.</w:t>
      </w:r>
    </w:p>
    <w:p w14:paraId="6C1FA1E1" w14:textId="667C9998" w:rsidR="00533AA9" w:rsidRPr="00B87BE1" w:rsidRDefault="00533AA9" w:rsidP="00901EBF">
      <w:pPr>
        <w:pStyle w:val="Heading2"/>
        <w:bidi/>
        <w:spacing w:before="0" w:line="360" w:lineRule="auto"/>
        <w:rPr>
          <w:rFonts w:ascii="Traditional Arabic" w:hAnsi="Traditional Arabic" w:cs="Traditional Arabic"/>
          <w:bCs/>
          <w:color w:val="0D0D0D" w:themeColor="text1" w:themeTint="F2"/>
          <w:sz w:val="24"/>
          <w:szCs w:val="24"/>
          <w:rtl/>
        </w:rPr>
      </w:pPr>
      <w:bookmarkStart w:id="18" w:name="_Toc215399842"/>
      <w:r w:rsidRPr="00B87BE1">
        <w:rPr>
          <w:rFonts w:ascii="Traditional Arabic" w:hAnsi="Traditional Arabic" w:cs="Traditional Arabic"/>
          <w:bCs/>
          <w:color w:val="0D0D0D" w:themeColor="text1" w:themeTint="F2"/>
          <w:sz w:val="24"/>
          <w:szCs w:val="24"/>
          <w:rtl/>
        </w:rPr>
        <w:t>مجتمع وعينة الدراسة:</w:t>
      </w:r>
      <w:bookmarkEnd w:id="18"/>
    </w:p>
    <w:p w14:paraId="384C2DE2" w14:textId="77777777" w:rsidR="000620CC" w:rsidRPr="00B87BE1" w:rsidRDefault="000620CC" w:rsidP="00901EBF">
      <w:pPr>
        <w:bidi/>
        <w:spacing w:after="0" w:line="360" w:lineRule="auto"/>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مجتمع الدراسة</w:t>
      </w:r>
    </w:p>
    <w:p w14:paraId="5D890720" w14:textId="77777777" w:rsidR="000620CC" w:rsidRPr="00B87BE1" w:rsidRDefault="000620CC" w:rsidP="000620CC">
      <w:pPr>
        <w:bidi/>
        <w:spacing w:after="240" w:line="360" w:lineRule="auto"/>
        <w:ind w:firstLine="720"/>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يتكون مجتمع الدراسة من جميع المديرين في الإدارات العليا والوسطى في المصارف العاملة بمدينة الرياض بالمملكة العربية السعودية، ويشمل ذلك: المديرين العامين، ومديري الإدارات، ورؤساء الأقسام.</w:t>
      </w:r>
    </w:p>
    <w:p w14:paraId="6CE33029" w14:textId="77777777" w:rsidR="000620CC" w:rsidRPr="00B87BE1" w:rsidRDefault="000620CC" w:rsidP="00901EBF">
      <w:pPr>
        <w:bidi/>
        <w:spacing w:after="0" w:line="360" w:lineRule="auto"/>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عينة الدراسة</w:t>
      </w:r>
    </w:p>
    <w:p w14:paraId="62BB976B" w14:textId="77777777" w:rsidR="000620CC" w:rsidRPr="00B87BE1" w:rsidRDefault="000620CC" w:rsidP="000620CC">
      <w:pPr>
        <w:bidi/>
        <w:spacing w:after="240" w:line="360" w:lineRule="auto"/>
        <w:ind w:firstLine="720"/>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اختِيرت عينة طبقية عشوائية من مجتمع الدراسة، وذلك لضمان تمثيل الفئات الإدارية المختلفة. وحُدد حجم العينة بناءً على معادلات القدرة الإحصائية المناسبة لنمذجة المعادلات البنائية.</w:t>
      </w:r>
    </w:p>
    <w:p w14:paraId="51ACCDE5" w14:textId="77777777" w:rsidR="000620CC" w:rsidRPr="00B87BE1" w:rsidRDefault="000620CC" w:rsidP="00901EBF">
      <w:pPr>
        <w:bidi/>
        <w:spacing w:after="0" w:line="360" w:lineRule="auto"/>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معايير اختيار العينة</w:t>
      </w:r>
    </w:p>
    <w:p w14:paraId="6D63A4DA" w14:textId="64A1C61D" w:rsidR="000620CC" w:rsidRPr="00B87BE1" w:rsidRDefault="00901EBF" w:rsidP="00901EBF">
      <w:pPr>
        <w:bidi/>
        <w:spacing w:after="0" w:line="360" w:lineRule="auto"/>
        <w:ind w:firstLine="720"/>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hint="cs"/>
          <w:b/>
          <w:color w:val="0D0D0D" w:themeColor="text1" w:themeTint="F2"/>
          <w:sz w:val="24"/>
          <w:szCs w:val="24"/>
          <w:rtl/>
        </w:rPr>
        <w:t>تم مراعات</w:t>
      </w:r>
      <w:r w:rsidR="000620CC" w:rsidRPr="00B87BE1">
        <w:rPr>
          <w:rFonts w:ascii="Traditional Arabic" w:hAnsi="Traditional Arabic" w:cs="Traditional Arabic"/>
          <w:b/>
          <w:color w:val="0D0D0D" w:themeColor="text1" w:themeTint="F2"/>
          <w:sz w:val="24"/>
          <w:szCs w:val="24"/>
          <w:rtl/>
        </w:rPr>
        <w:t xml:space="preserve"> المعايير التالية في اختيار أفراد العينة:</w:t>
      </w:r>
    </w:p>
    <w:p w14:paraId="22B83728" w14:textId="2A9DAB94" w:rsidR="000620CC" w:rsidRPr="00B87BE1" w:rsidRDefault="000620CC" w:rsidP="00B07735">
      <w:pPr>
        <w:pStyle w:val="ListParagraph"/>
        <w:numPr>
          <w:ilvl w:val="1"/>
          <w:numId w:val="6"/>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المستوى الإداري: شمول المديرين من الإدارات العليا والوسطى لضمان تنوع وجهات النظر.</w:t>
      </w:r>
    </w:p>
    <w:p w14:paraId="1028CC08" w14:textId="4C409A90" w:rsidR="000620CC" w:rsidRPr="00B87BE1" w:rsidRDefault="000620CC" w:rsidP="00B07735">
      <w:pPr>
        <w:pStyle w:val="ListParagraph"/>
        <w:numPr>
          <w:ilvl w:val="1"/>
          <w:numId w:val="6"/>
        </w:numPr>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lastRenderedPageBreak/>
        <w:t>الخبرة في استخدام أنظمة ذكاء الأعمال: التركيز على المديرين الذين لديهم تعامل مع هذه الأنظمة.</w:t>
      </w:r>
    </w:p>
    <w:p w14:paraId="5ACE39CE" w14:textId="7FB591D4" w:rsidR="000620CC" w:rsidRPr="00B87BE1" w:rsidRDefault="000620CC" w:rsidP="00B07735">
      <w:pPr>
        <w:pStyle w:val="ListParagraph"/>
        <w:numPr>
          <w:ilvl w:val="1"/>
          <w:numId w:val="6"/>
        </w:num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التنوع الديموغرافي: مراعاة التوازن في خصائص العينة من حيث الجنس والخبرة العملية.</w:t>
      </w:r>
    </w:p>
    <w:p w14:paraId="53C775D2" w14:textId="0455E8FD" w:rsidR="00C057DE" w:rsidRPr="00B87BE1" w:rsidRDefault="007F4183" w:rsidP="000620CC">
      <w:pPr>
        <w:pStyle w:val="Heading2"/>
        <w:bidi/>
        <w:spacing w:after="240" w:line="360" w:lineRule="auto"/>
        <w:rPr>
          <w:rFonts w:ascii="Traditional Arabic" w:hAnsi="Traditional Arabic" w:cs="Traditional Arabic"/>
          <w:bCs/>
          <w:color w:val="0D0D0D" w:themeColor="text1" w:themeTint="F2"/>
          <w:sz w:val="24"/>
          <w:szCs w:val="24"/>
          <w:rtl/>
        </w:rPr>
      </w:pPr>
      <w:bookmarkStart w:id="19" w:name="_Toc215399843"/>
      <w:r w:rsidRPr="00B87BE1">
        <w:rPr>
          <w:rFonts w:ascii="Traditional Arabic" w:hAnsi="Traditional Arabic" w:cs="Traditional Arabic"/>
          <w:bCs/>
          <w:color w:val="0D0D0D" w:themeColor="text1" w:themeTint="F2"/>
          <w:sz w:val="24"/>
          <w:szCs w:val="24"/>
          <w:rtl/>
        </w:rPr>
        <w:t>وسائل جمع بيانات الدراسة:</w:t>
      </w:r>
      <w:bookmarkEnd w:id="19"/>
    </w:p>
    <w:p w14:paraId="79C13583" w14:textId="587B415B" w:rsidR="002A6FF8" w:rsidRPr="00B87BE1" w:rsidRDefault="00C057DE" w:rsidP="00DD2DAC">
      <w:pPr>
        <w:pStyle w:val="ListParagraph"/>
        <w:bidi/>
        <w:spacing w:after="240" w:line="360" w:lineRule="auto"/>
        <w:ind w:left="0"/>
        <w:jc w:val="both"/>
        <w:rPr>
          <w:rFonts w:ascii="Traditional Arabic" w:hAnsi="Traditional Arabic" w:cs="Traditional Arabic"/>
          <w:b/>
          <w:color w:val="0D0D0D" w:themeColor="text1" w:themeTint="F2"/>
          <w:sz w:val="24"/>
          <w:szCs w:val="24"/>
          <w:lang w:val="en-GB"/>
        </w:rPr>
      </w:pPr>
      <w:r w:rsidRPr="00B87BE1">
        <w:rPr>
          <w:rFonts w:ascii="Traditional Arabic" w:hAnsi="Traditional Arabic" w:cs="Traditional Arabic"/>
          <w:b/>
          <w:color w:val="0D0D0D" w:themeColor="text1" w:themeTint="F2"/>
          <w:sz w:val="24"/>
          <w:szCs w:val="24"/>
          <w:rtl/>
        </w:rPr>
        <w:t>سيتم الاعتماد على الاستبانة كأداة رئيسة للحصول على استجابات أفراد عينة الدراسة، وعرف العساف (2012،</w:t>
      </w:r>
      <w:r w:rsidR="00355506" w:rsidRPr="00B87BE1">
        <w:rPr>
          <w:rFonts w:ascii="Traditional Arabic" w:hAnsi="Traditional Arabic" w:cs="Traditional Arabic"/>
          <w:b/>
          <w:color w:val="0D0D0D" w:themeColor="text1" w:themeTint="F2"/>
          <w:sz w:val="24"/>
          <w:szCs w:val="24"/>
          <w:rtl/>
        </w:rPr>
        <w:t xml:space="preserve"> ص.</w:t>
      </w:r>
      <w:r w:rsidRPr="00B87BE1">
        <w:rPr>
          <w:rFonts w:ascii="Traditional Arabic" w:hAnsi="Traditional Arabic" w:cs="Traditional Arabic"/>
          <w:b/>
          <w:color w:val="0D0D0D" w:themeColor="text1" w:themeTint="F2"/>
          <w:sz w:val="24"/>
          <w:szCs w:val="24"/>
          <w:rtl/>
        </w:rPr>
        <w:t xml:space="preserve"> 65) الاستبانة بأنها "عبارة عن أداة يشمل محتواها مجموعة من الأسئلة أو العبارات المكتوبة مزودة بإجاباتها أو الآراء المحتملة بهدف الحصول على إجابات أفراد العينة على أسئلة الدراسة. وسيتم الاطلاع على الأدب التربوي والدراسات السابقة ذات الصلة بموضوع الدراسة، والاستفادة منها في بناء الاستبانة وصياغة فقراتها.</w:t>
      </w:r>
      <w:r w:rsidR="00DD2DAC" w:rsidRPr="00B87BE1">
        <w:rPr>
          <w:rFonts w:ascii="Traditional Arabic" w:hAnsi="Traditional Arabic" w:cs="Traditional Arabic" w:hint="cs"/>
          <w:b/>
          <w:color w:val="0D0D0D" w:themeColor="text1" w:themeTint="F2"/>
          <w:sz w:val="24"/>
          <w:szCs w:val="24"/>
          <w:rtl/>
        </w:rPr>
        <w:t xml:space="preserve"> </w:t>
      </w:r>
      <w:r w:rsidR="002A6FF8" w:rsidRPr="00B87BE1">
        <w:rPr>
          <w:rFonts w:ascii="Traditional Arabic" w:hAnsi="Traditional Arabic" w:cs="Traditional Arabic" w:hint="cs"/>
          <w:b/>
          <w:color w:val="0D0D0D" w:themeColor="text1" w:themeTint="F2"/>
          <w:sz w:val="24"/>
          <w:szCs w:val="24"/>
          <w:rtl/>
        </w:rPr>
        <w:t>وسيتم استخدام</w:t>
      </w:r>
      <w:r w:rsidR="002A6FF8" w:rsidRPr="00B87BE1">
        <w:rPr>
          <w:rFonts w:ascii="Traditional Arabic" w:hAnsi="Traditional Arabic" w:cs="Traditional Arabic"/>
          <w:b/>
          <w:color w:val="0D0D0D" w:themeColor="text1" w:themeTint="F2"/>
          <w:sz w:val="24"/>
          <w:szCs w:val="24"/>
          <w:rtl/>
        </w:rPr>
        <w:t xml:space="preserve"> مقياس ليكرت الخماسي لقياس استجابات أفراد العينة، وفق التدرج التالي: (1) غير موافق بشدة، (2) غير موافق، (3) محايد، (4) موافق، (5) موافق بشدة</w:t>
      </w:r>
      <w:r w:rsidR="002A6FF8" w:rsidRPr="00B87BE1">
        <w:rPr>
          <w:rFonts w:ascii="Traditional Arabic" w:hAnsi="Traditional Arabic" w:cs="Traditional Arabic"/>
          <w:b/>
          <w:color w:val="0D0D0D" w:themeColor="text1" w:themeTint="F2"/>
          <w:sz w:val="24"/>
          <w:szCs w:val="24"/>
          <w:lang w:val="en-GB"/>
        </w:rPr>
        <w:t>.</w:t>
      </w:r>
    </w:p>
    <w:p w14:paraId="44A6BFD2" w14:textId="77777777" w:rsidR="00C057DE" w:rsidRPr="00B87BE1" w:rsidRDefault="00C057DE" w:rsidP="008452C8">
      <w:pPr>
        <w:pStyle w:val="Heading2"/>
        <w:bidi/>
        <w:spacing w:before="0" w:after="240" w:line="360" w:lineRule="auto"/>
        <w:rPr>
          <w:rFonts w:ascii="Traditional Arabic" w:hAnsi="Traditional Arabic" w:cs="Traditional Arabic"/>
          <w:bCs/>
          <w:color w:val="0D0D0D" w:themeColor="text1" w:themeTint="F2"/>
          <w:sz w:val="24"/>
          <w:szCs w:val="24"/>
          <w:rtl/>
        </w:rPr>
      </w:pPr>
      <w:bookmarkStart w:id="20" w:name="_Toc215399844"/>
      <w:r w:rsidRPr="00B87BE1">
        <w:rPr>
          <w:rFonts w:ascii="Traditional Arabic" w:hAnsi="Traditional Arabic" w:cs="Traditional Arabic"/>
          <w:bCs/>
          <w:color w:val="0D0D0D" w:themeColor="text1" w:themeTint="F2"/>
          <w:sz w:val="24"/>
          <w:szCs w:val="24"/>
          <w:rtl/>
        </w:rPr>
        <w:t>صدق أداة الدراسة</w:t>
      </w:r>
      <w:bookmarkEnd w:id="20"/>
    </w:p>
    <w:p w14:paraId="4C19AB9D" w14:textId="77777777" w:rsidR="00C057DE" w:rsidRPr="00B87BE1" w:rsidRDefault="00C057DE" w:rsidP="00B07735">
      <w:pPr>
        <w:pStyle w:val="ListParagraph"/>
        <w:numPr>
          <w:ilvl w:val="0"/>
          <w:numId w:val="5"/>
        </w:numPr>
        <w:bidi/>
        <w:spacing w:after="0" w:line="360" w:lineRule="auto"/>
        <w:jc w:val="both"/>
        <w:rPr>
          <w:rFonts w:ascii="Traditional Arabic" w:hAnsi="Traditional Arabic" w:cs="Traditional Arabic"/>
          <w:bCs/>
          <w:color w:val="0D0D0D" w:themeColor="text1" w:themeTint="F2"/>
          <w:sz w:val="24"/>
          <w:szCs w:val="24"/>
          <w:rtl/>
          <w:lang w:bidi="ar-JO"/>
        </w:rPr>
      </w:pPr>
      <w:bookmarkStart w:id="21" w:name="_Toc341351755"/>
      <w:bookmarkStart w:id="22" w:name="_Toc341552928"/>
      <w:bookmarkStart w:id="23" w:name="_Toc342167310"/>
      <w:bookmarkStart w:id="24" w:name="_Toc342682457"/>
      <w:r w:rsidRPr="00B87BE1">
        <w:rPr>
          <w:rFonts w:ascii="Traditional Arabic" w:hAnsi="Traditional Arabic" w:cs="Traditional Arabic"/>
          <w:bCs/>
          <w:color w:val="0D0D0D" w:themeColor="text1" w:themeTint="F2"/>
          <w:sz w:val="24"/>
          <w:szCs w:val="24"/>
          <w:rtl/>
          <w:lang w:bidi="ar-JO"/>
        </w:rPr>
        <w:t>الصدق الظاهري</w:t>
      </w:r>
      <w:bookmarkEnd w:id="21"/>
      <w:bookmarkEnd w:id="22"/>
      <w:bookmarkEnd w:id="23"/>
      <w:bookmarkEnd w:id="24"/>
    </w:p>
    <w:p w14:paraId="0FD97516" w14:textId="77777777" w:rsidR="00C057DE" w:rsidRPr="00B87BE1" w:rsidRDefault="00C057DE"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سيتم استخدام أسلوب الصدق الظاهري، بهدف التأكد من مدى صلاحية الاستبانة وملاءمتها لأغراض البحث، وذلك من خلال عرضها على مجموعة من المحكمين من الأكاديميين والمختصين، وسيطلب منهم إبداء الرأي فيما يتعلق بمدى صدق وصلاحية كل فقرة من فقرات الاستبانة ومدى مناسبتها لقياس ما وضعت لقياسيه، وإدخال التعديلات اللازمة سواء بالحذف أو الاضافة أو إعادة الصياغة. وفي ضوء ذلك سيقدم السادة المحكمين العديد من التعديلات الجوهرية على أداة الدراسة، وسيتم الاستجابة لهذه التعديلات، وإعادة صياغة الاستبانة في ضوء الملاحظات التي سيقدمها المحكمين، حتى تأخذ الاستبانة شكلها النهائي.</w:t>
      </w:r>
    </w:p>
    <w:p w14:paraId="246D98AC" w14:textId="77777777" w:rsidR="00C057DE" w:rsidRPr="00B87BE1" w:rsidRDefault="00C057DE" w:rsidP="00B07735">
      <w:pPr>
        <w:pStyle w:val="ListParagraph"/>
        <w:numPr>
          <w:ilvl w:val="0"/>
          <w:numId w:val="5"/>
        </w:numPr>
        <w:bidi/>
        <w:spacing w:after="0" w:line="360" w:lineRule="auto"/>
        <w:jc w:val="both"/>
        <w:rPr>
          <w:rFonts w:ascii="Traditional Arabic" w:hAnsi="Traditional Arabic" w:cs="Traditional Arabic"/>
          <w:bCs/>
          <w:color w:val="0D0D0D" w:themeColor="text1" w:themeTint="F2"/>
          <w:sz w:val="24"/>
          <w:szCs w:val="24"/>
          <w:lang w:bidi="ar-JO"/>
        </w:rPr>
      </w:pPr>
      <w:r w:rsidRPr="00B87BE1">
        <w:rPr>
          <w:rFonts w:ascii="Traditional Arabic" w:hAnsi="Traditional Arabic" w:cs="Traditional Arabic"/>
          <w:bCs/>
          <w:color w:val="0D0D0D" w:themeColor="text1" w:themeTint="F2"/>
          <w:sz w:val="24"/>
          <w:szCs w:val="24"/>
          <w:rtl/>
          <w:lang w:bidi="ar-JO"/>
        </w:rPr>
        <w:t>صدق الاتساق الداخلي</w:t>
      </w:r>
    </w:p>
    <w:p w14:paraId="1B86C37F" w14:textId="4D9AA275" w:rsidR="00C057DE" w:rsidRPr="00B87BE1" w:rsidRDefault="00C057DE"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 xml:space="preserve">ويتم من خلال الاتساق الداخلي معرفة مدى اتساق كل فقرة من فقرات الأداتين مع المحور الذي تنتمي إليه هذه الفقرة، ولحساب صدق الاتساق الداخلي للأداتين سيتم حساب معامل ارتباط بيرسون </w:t>
      </w:r>
      <w:r w:rsidR="00A86EBC" w:rsidRPr="00B87BE1">
        <w:rPr>
          <w:rFonts w:ascii="Traditional Arabic" w:hAnsi="Traditional Arabic" w:cs="Traditional Arabic"/>
          <w:bCs/>
          <w:color w:val="0D0D0D" w:themeColor="text1" w:themeTint="F2"/>
          <w:sz w:val="24"/>
          <w:szCs w:val="24"/>
          <w:rtl/>
        </w:rPr>
        <w:t>(</w:t>
      </w:r>
      <w:r w:rsidR="00A86EBC" w:rsidRPr="00B87BE1">
        <w:rPr>
          <w:rFonts w:ascii="Traditional Arabic" w:hAnsi="Traditional Arabic" w:cs="Traditional Arabic"/>
          <w:bCs/>
          <w:color w:val="0D0D0D" w:themeColor="text1" w:themeTint="F2"/>
          <w:sz w:val="24"/>
          <w:szCs w:val="24"/>
        </w:rPr>
        <w:t>Pearson Correlation Coefficient</w:t>
      </w:r>
      <w:r w:rsidR="00A86EBC" w:rsidRPr="00B87BE1">
        <w:rPr>
          <w:rFonts w:ascii="Traditional Arabic" w:hAnsi="Traditional Arabic" w:cs="Traditional Arabic"/>
          <w:bCs/>
          <w:color w:val="0D0D0D" w:themeColor="text1" w:themeTint="F2"/>
          <w:sz w:val="24"/>
          <w:szCs w:val="24"/>
          <w:rtl/>
        </w:rPr>
        <w:t>)</w:t>
      </w:r>
      <w:r w:rsidRPr="00B87BE1">
        <w:rPr>
          <w:rFonts w:ascii="Traditional Arabic" w:hAnsi="Traditional Arabic" w:cs="Traditional Arabic"/>
          <w:bCs/>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tl/>
        </w:rPr>
        <w:t>والذي من خلاله سيتم حساب معاملات الارتباط بين درجة كل فقرة والدرجة الكلية للمحور الذي تنتمي إليه، وذلك بهدف التحقق من مدى صدق الأداة ككل، وذلك عبر عينة استطلاعية من خارج عينة الدراسة.</w:t>
      </w:r>
    </w:p>
    <w:p w14:paraId="1C069DC7" w14:textId="77777777" w:rsidR="00C057DE" w:rsidRPr="00B87BE1" w:rsidRDefault="00C057DE" w:rsidP="00901EBF">
      <w:pPr>
        <w:pStyle w:val="Heading2"/>
        <w:bidi/>
        <w:spacing w:before="0" w:line="360" w:lineRule="auto"/>
        <w:rPr>
          <w:rFonts w:ascii="Traditional Arabic" w:hAnsi="Traditional Arabic" w:cs="Traditional Arabic"/>
          <w:bCs/>
          <w:color w:val="0D0D0D" w:themeColor="text1" w:themeTint="F2"/>
          <w:sz w:val="24"/>
          <w:szCs w:val="24"/>
        </w:rPr>
      </w:pPr>
      <w:bookmarkStart w:id="25" w:name="_Toc215399845"/>
      <w:r w:rsidRPr="00B87BE1">
        <w:rPr>
          <w:rFonts w:ascii="Traditional Arabic" w:hAnsi="Traditional Arabic" w:cs="Traditional Arabic"/>
          <w:bCs/>
          <w:color w:val="0D0D0D" w:themeColor="text1" w:themeTint="F2"/>
          <w:sz w:val="24"/>
          <w:szCs w:val="24"/>
          <w:rtl/>
        </w:rPr>
        <w:lastRenderedPageBreak/>
        <w:t>ثبات أداة الاستبانة</w:t>
      </w:r>
      <w:bookmarkEnd w:id="25"/>
    </w:p>
    <w:p w14:paraId="43912EAB" w14:textId="44DFAF70" w:rsidR="00C057DE" w:rsidRPr="00B87BE1" w:rsidRDefault="00C057DE" w:rsidP="007F52A4">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المقصود بثبات الاستبانة أنها تعطي النتائج نفسها تقريباً لو تكرر تطبيقها أكثر من مرة على نفس الأشخاص في ظروف مماثلة. وسيتم حساب ثبات الاستبانة وذلك بطريقتين الأولى باستخدام كل من معامل ألفا كرونباخ</w:t>
      </w:r>
      <w:r w:rsidRPr="00B87BE1">
        <w:rPr>
          <w:rFonts w:ascii="Traditional Arabic" w:hAnsi="Traditional Arabic" w:cs="Traditional Arabic"/>
          <w:bCs/>
          <w:color w:val="0D0D0D" w:themeColor="text1" w:themeTint="F2"/>
          <w:sz w:val="24"/>
          <w:szCs w:val="24"/>
        </w:rPr>
        <w:t>Cronbach's Alpha</w:t>
      </w:r>
      <w:r w:rsidRPr="00B87BE1">
        <w:rPr>
          <w:rFonts w:ascii="Traditional Arabic" w:hAnsi="Traditional Arabic" w:cs="Traditional Arabic"/>
          <w:b/>
          <w:color w:val="0D0D0D" w:themeColor="text1" w:themeTint="F2"/>
          <w:sz w:val="24"/>
          <w:szCs w:val="24"/>
        </w:rPr>
        <w:t xml:space="preserve"> </w:t>
      </w:r>
      <w:r w:rsidRPr="00B87BE1">
        <w:rPr>
          <w:rFonts w:ascii="Traditional Arabic" w:hAnsi="Traditional Arabic" w:cs="Traditional Arabic"/>
          <w:b/>
          <w:color w:val="0D0D0D" w:themeColor="text1" w:themeTint="F2"/>
          <w:sz w:val="24"/>
          <w:szCs w:val="24"/>
          <w:rtl/>
        </w:rPr>
        <w:t xml:space="preserve"> والثانية معامل الثبات بطريقة التجزئة النصفية لسبيرمان- براون </w:t>
      </w:r>
      <w:r w:rsidRPr="00B87BE1">
        <w:rPr>
          <w:rFonts w:ascii="Traditional Arabic" w:hAnsi="Traditional Arabic" w:cs="Traditional Arabic"/>
          <w:bCs/>
          <w:color w:val="0D0D0D" w:themeColor="text1" w:themeTint="F2"/>
          <w:sz w:val="24"/>
          <w:szCs w:val="24"/>
        </w:rPr>
        <w:t>Spearman-Brown Coefficient)</w:t>
      </w:r>
      <w:r w:rsidRPr="00B87BE1">
        <w:rPr>
          <w:rFonts w:ascii="Traditional Arabic" w:hAnsi="Traditional Arabic" w:cs="Traditional Arabic"/>
          <w:bCs/>
          <w:color w:val="0D0D0D" w:themeColor="text1" w:themeTint="F2"/>
          <w:sz w:val="24"/>
          <w:szCs w:val="24"/>
          <w:rtl/>
        </w:rPr>
        <w:t>).</w:t>
      </w:r>
    </w:p>
    <w:p w14:paraId="2770DAC6" w14:textId="333A0917" w:rsidR="00C61182" w:rsidRPr="00B87BE1" w:rsidRDefault="00C61182" w:rsidP="00163E96">
      <w:pPr>
        <w:pStyle w:val="Heading2"/>
        <w:bidi/>
        <w:spacing w:before="0" w:line="360" w:lineRule="auto"/>
        <w:rPr>
          <w:rFonts w:ascii="Traditional Arabic" w:hAnsi="Traditional Arabic" w:cs="Traditional Arabic"/>
          <w:bCs/>
          <w:color w:val="0D0D0D" w:themeColor="text1" w:themeTint="F2"/>
          <w:sz w:val="24"/>
          <w:szCs w:val="24"/>
          <w:rtl/>
        </w:rPr>
      </w:pPr>
      <w:bookmarkStart w:id="26" w:name="_Toc215399846"/>
      <w:r w:rsidRPr="00B87BE1">
        <w:rPr>
          <w:rFonts w:ascii="Traditional Arabic" w:hAnsi="Traditional Arabic" w:cs="Traditional Arabic"/>
          <w:bCs/>
          <w:color w:val="0D0D0D" w:themeColor="text1" w:themeTint="F2"/>
          <w:sz w:val="24"/>
          <w:szCs w:val="24"/>
          <w:rtl/>
        </w:rPr>
        <w:t>المعالجات الإحصائية  المقترحة:</w:t>
      </w:r>
      <w:bookmarkEnd w:id="26"/>
    </w:p>
    <w:p w14:paraId="304E87B8" w14:textId="03B3C654" w:rsidR="007D0045" w:rsidRPr="00B87BE1" w:rsidRDefault="007D0045" w:rsidP="00163E96">
      <w:pPr>
        <w:bidi/>
        <w:spacing w:after="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hint="cs"/>
          <w:b/>
          <w:color w:val="0D0D0D" w:themeColor="text1" w:themeTint="F2"/>
          <w:sz w:val="24"/>
          <w:szCs w:val="24"/>
          <w:rtl/>
        </w:rPr>
        <w:t>سيتم تحليل</w:t>
      </w:r>
      <w:r w:rsidRPr="00B87BE1">
        <w:rPr>
          <w:rFonts w:ascii="Traditional Arabic" w:hAnsi="Traditional Arabic" w:cs="Traditional Arabic"/>
          <w:b/>
          <w:color w:val="0D0D0D" w:themeColor="text1" w:themeTint="F2"/>
          <w:sz w:val="24"/>
          <w:szCs w:val="24"/>
          <w:rtl/>
        </w:rPr>
        <w:t xml:space="preserve"> البيانات باستخدام برنامجي </w:t>
      </w:r>
      <w:r w:rsidRPr="00B87BE1">
        <w:rPr>
          <w:rFonts w:ascii="Traditional Arabic" w:hAnsi="Traditional Arabic" w:cs="Traditional Arabic"/>
          <w:b/>
          <w:color w:val="0D0D0D" w:themeColor="text1" w:themeTint="F2"/>
          <w:sz w:val="24"/>
          <w:szCs w:val="24"/>
        </w:rPr>
        <w:t>SPSS</w:t>
      </w:r>
      <w:r w:rsidRPr="00B87BE1">
        <w:rPr>
          <w:rFonts w:ascii="Traditional Arabic" w:hAnsi="Traditional Arabic" w:cs="Traditional Arabic"/>
          <w:b/>
          <w:color w:val="0D0D0D" w:themeColor="text1" w:themeTint="F2"/>
          <w:sz w:val="24"/>
          <w:szCs w:val="24"/>
          <w:rtl/>
        </w:rPr>
        <w:t xml:space="preserve"> (الإصدار 26) و</w:t>
      </w:r>
      <w:proofErr w:type="spellStart"/>
      <w:r w:rsidRPr="00B87BE1">
        <w:rPr>
          <w:rFonts w:ascii="Traditional Arabic" w:hAnsi="Traditional Arabic" w:cs="Traditional Arabic"/>
          <w:b/>
          <w:color w:val="0D0D0D" w:themeColor="text1" w:themeTint="F2"/>
          <w:sz w:val="24"/>
          <w:szCs w:val="24"/>
        </w:rPr>
        <w:t>SmartPLS</w:t>
      </w:r>
      <w:proofErr w:type="spellEnd"/>
      <w:r w:rsidRPr="00B87BE1">
        <w:rPr>
          <w:rFonts w:ascii="Traditional Arabic" w:hAnsi="Traditional Arabic" w:cs="Traditional Arabic"/>
          <w:b/>
          <w:color w:val="0D0D0D" w:themeColor="text1" w:themeTint="F2"/>
          <w:sz w:val="24"/>
          <w:szCs w:val="24"/>
          <w:rtl/>
        </w:rPr>
        <w:t xml:space="preserve"> (الإصدار 4)، وتُطبَّق الأساليب الإحصائية التالية:</w:t>
      </w:r>
    </w:p>
    <w:p w14:paraId="4FB96F24" w14:textId="77777777" w:rsidR="007D0045" w:rsidRPr="00B87BE1" w:rsidRDefault="007D0045" w:rsidP="00163E96">
      <w:pPr>
        <w:bidi/>
        <w:spacing w:after="0" w:line="360" w:lineRule="auto"/>
        <w:jc w:val="both"/>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أساليب الإحصاء الوصفي</w:t>
      </w:r>
    </w:p>
    <w:p w14:paraId="17E994FE" w14:textId="1ADDEEF5" w:rsidR="007D0045" w:rsidRPr="00B87BE1" w:rsidRDefault="007D0045" w:rsidP="00B07735">
      <w:pPr>
        <w:pStyle w:val="ListParagraph"/>
        <w:numPr>
          <w:ilvl w:val="1"/>
          <w:numId w:val="6"/>
        </w:numPr>
        <w:bidi/>
        <w:spacing w:after="0" w:line="360" w:lineRule="auto"/>
        <w:ind w:left="707"/>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Cs/>
          <w:color w:val="0D0D0D" w:themeColor="text1" w:themeTint="F2"/>
          <w:sz w:val="24"/>
          <w:szCs w:val="24"/>
          <w:rtl/>
        </w:rPr>
        <w:t>التكرارات والنسب المئوية:</w:t>
      </w:r>
      <w:r w:rsidRPr="00B87BE1">
        <w:rPr>
          <w:rFonts w:ascii="Traditional Arabic" w:hAnsi="Traditional Arabic" w:cs="Traditional Arabic"/>
          <w:b/>
          <w:color w:val="0D0D0D" w:themeColor="text1" w:themeTint="F2"/>
          <w:sz w:val="24"/>
          <w:szCs w:val="24"/>
          <w:rtl/>
        </w:rPr>
        <w:t xml:space="preserve"> لوصف خصائص عينة الدراسة الديموغرافية والوظيفية.</w:t>
      </w:r>
    </w:p>
    <w:p w14:paraId="770590BD" w14:textId="41371353" w:rsidR="007D0045" w:rsidRPr="00B87BE1" w:rsidRDefault="007D0045" w:rsidP="00B07735">
      <w:pPr>
        <w:pStyle w:val="ListParagraph"/>
        <w:numPr>
          <w:ilvl w:val="1"/>
          <w:numId w:val="6"/>
        </w:numPr>
        <w:bidi/>
        <w:spacing w:after="0" w:line="360" w:lineRule="auto"/>
        <w:ind w:left="707"/>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Cs/>
          <w:color w:val="0D0D0D" w:themeColor="text1" w:themeTint="F2"/>
          <w:sz w:val="24"/>
          <w:szCs w:val="24"/>
          <w:rtl/>
        </w:rPr>
        <w:t>المتوسطات الحسابية والانحرافات المعيارية:</w:t>
      </w:r>
      <w:r w:rsidRPr="00B87BE1">
        <w:rPr>
          <w:rFonts w:ascii="Traditional Arabic" w:hAnsi="Traditional Arabic" w:cs="Traditional Arabic"/>
          <w:b/>
          <w:color w:val="0D0D0D" w:themeColor="text1" w:themeTint="F2"/>
          <w:sz w:val="24"/>
          <w:szCs w:val="24"/>
          <w:rtl/>
        </w:rPr>
        <w:t xml:space="preserve"> لتحديد مستوى استجابات أفراد العينة على محاور الدراسة وأبعادها.</w:t>
      </w:r>
    </w:p>
    <w:p w14:paraId="2B8E92E8" w14:textId="487B4313" w:rsidR="007D0045" w:rsidRPr="00B87BE1" w:rsidRDefault="007D0045" w:rsidP="00163E96">
      <w:pPr>
        <w:bidi/>
        <w:spacing w:after="0" w:line="360" w:lineRule="auto"/>
        <w:jc w:val="both"/>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أساليب الإحصاء الاستدلالي</w:t>
      </w:r>
    </w:p>
    <w:p w14:paraId="17A685A8" w14:textId="27191C9C" w:rsidR="007D0045" w:rsidRPr="00B87BE1" w:rsidRDefault="007D0045" w:rsidP="00B07735">
      <w:pPr>
        <w:pStyle w:val="ListParagraph"/>
        <w:numPr>
          <w:ilvl w:val="1"/>
          <w:numId w:val="6"/>
        </w:numPr>
        <w:bidi/>
        <w:spacing w:after="0" w:line="360" w:lineRule="auto"/>
        <w:ind w:left="707"/>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 xml:space="preserve">معامل ارتباط بيرسون: لاختبار العلاقات الثنائية بين متغيرات الدراسة (الفرضيات </w:t>
      </w:r>
      <w:r w:rsidRPr="00B87BE1">
        <w:rPr>
          <w:rFonts w:ascii="Traditional Arabic" w:hAnsi="Traditional Arabic" w:cs="Traditional Arabic"/>
          <w:b/>
          <w:color w:val="0D0D0D" w:themeColor="text1" w:themeTint="F2"/>
          <w:sz w:val="24"/>
          <w:szCs w:val="24"/>
        </w:rPr>
        <w:t>H1</w:t>
      </w:r>
      <w:r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Pr>
        <w:t>H2</w:t>
      </w:r>
      <w:r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Pr>
        <w:t>H3</w:t>
      </w:r>
      <w:r w:rsidRPr="00B87BE1">
        <w:rPr>
          <w:rFonts w:ascii="Traditional Arabic" w:hAnsi="Traditional Arabic" w:cs="Traditional Arabic"/>
          <w:b/>
          <w:color w:val="0D0D0D" w:themeColor="text1" w:themeTint="F2"/>
          <w:sz w:val="24"/>
          <w:szCs w:val="24"/>
          <w:rtl/>
        </w:rPr>
        <w:t>).</w:t>
      </w:r>
    </w:p>
    <w:p w14:paraId="6A623A6C" w14:textId="68728ED5" w:rsidR="007D0045" w:rsidRPr="00B87BE1" w:rsidRDefault="007D0045" w:rsidP="00B07735">
      <w:pPr>
        <w:pStyle w:val="ListParagraph"/>
        <w:numPr>
          <w:ilvl w:val="1"/>
          <w:numId w:val="6"/>
        </w:numPr>
        <w:bidi/>
        <w:spacing w:after="0" w:line="360" w:lineRule="auto"/>
        <w:ind w:left="707"/>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tl/>
        </w:rPr>
        <w:t>نمذجة المعادلات البنائية (</w:t>
      </w:r>
      <w:r w:rsidRPr="00B87BE1">
        <w:rPr>
          <w:rFonts w:ascii="Traditional Arabic" w:hAnsi="Traditional Arabic" w:cs="Traditional Arabic"/>
          <w:b/>
          <w:color w:val="0D0D0D" w:themeColor="text1" w:themeTint="F2"/>
          <w:sz w:val="24"/>
          <w:szCs w:val="24"/>
        </w:rPr>
        <w:t>SEM-PLS</w:t>
      </w:r>
      <w:r w:rsidRPr="00B87BE1">
        <w:rPr>
          <w:rFonts w:ascii="Traditional Arabic" w:hAnsi="Traditional Arabic" w:cs="Traditional Arabic"/>
          <w:b/>
          <w:color w:val="0D0D0D" w:themeColor="text1" w:themeTint="F2"/>
          <w:sz w:val="24"/>
          <w:szCs w:val="24"/>
          <w:rtl/>
        </w:rPr>
        <w:t xml:space="preserve">): لاختبار النموذج الكلي والدور الوسيط لجودة القرارات الاستراتيجية (الفرضية </w:t>
      </w:r>
      <w:r w:rsidRPr="00B87BE1">
        <w:rPr>
          <w:rFonts w:ascii="Traditional Arabic" w:hAnsi="Traditional Arabic" w:cs="Traditional Arabic"/>
          <w:b/>
          <w:color w:val="0D0D0D" w:themeColor="text1" w:themeTint="F2"/>
          <w:sz w:val="24"/>
          <w:szCs w:val="24"/>
        </w:rPr>
        <w:t>H4</w:t>
      </w:r>
      <w:r w:rsidRPr="00B87BE1">
        <w:rPr>
          <w:rFonts w:ascii="Traditional Arabic" w:hAnsi="Traditional Arabic" w:cs="Traditional Arabic"/>
          <w:b/>
          <w:color w:val="0D0D0D" w:themeColor="text1" w:themeTint="F2"/>
          <w:sz w:val="24"/>
          <w:szCs w:val="24"/>
          <w:rtl/>
        </w:rPr>
        <w:t>).</w:t>
      </w:r>
    </w:p>
    <w:p w14:paraId="55682A82" w14:textId="7238FF7D" w:rsidR="007D0045" w:rsidRPr="00B87BE1" w:rsidRDefault="007D0045" w:rsidP="00163E96">
      <w:pPr>
        <w:bidi/>
        <w:spacing w:after="0" w:line="360" w:lineRule="auto"/>
        <w:jc w:val="both"/>
        <w:rPr>
          <w:rFonts w:ascii="Traditional Arabic" w:hAnsi="Traditional Arabic" w:cs="Traditional Arabic"/>
          <w:bCs/>
          <w:color w:val="0D0D0D" w:themeColor="text1" w:themeTint="F2"/>
          <w:sz w:val="24"/>
          <w:szCs w:val="24"/>
        </w:rPr>
      </w:pPr>
      <w:r w:rsidRPr="00B87BE1">
        <w:rPr>
          <w:rFonts w:ascii="Traditional Arabic" w:hAnsi="Traditional Arabic" w:cs="Traditional Arabic"/>
          <w:bCs/>
          <w:color w:val="0D0D0D" w:themeColor="text1" w:themeTint="F2"/>
          <w:sz w:val="24"/>
          <w:szCs w:val="24"/>
          <w:rtl/>
        </w:rPr>
        <w:t>اختبار الوساطة</w:t>
      </w:r>
    </w:p>
    <w:p w14:paraId="522637B2" w14:textId="6EFF455E" w:rsidR="007D0045" w:rsidRPr="00B87BE1" w:rsidRDefault="007D0045" w:rsidP="00163E96">
      <w:pPr>
        <w:bidi/>
        <w:spacing w:after="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hint="cs"/>
          <w:b/>
          <w:color w:val="0D0D0D" w:themeColor="text1" w:themeTint="F2"/>
          <w:sz w:val="24"/>
          <w:szCs w:val="24"/>
          <w:rtl/>
        </w:rPr>
        <w:t>سيتم اخبتار</w:t>
      </w:r>
      <w:r w:rsidRPr="00B87BE1">
        <w:rPr>
          <w:rFonts w:ascii="Traditional Arabic" w:hAnsi="Traditional Arabic" w:cs="Traditional Arabic"/>
          <w:b/>
          <w:color w:val="0D0D0D" w:themeColor="text1" w:themeTint="F2"/>
          <w:sz w:val="24"/>
          <w:szCs w:val="24"/>
          <w:rtl/>
        </w:rPr>
        <w:t xml:space="preserve"> الدور الوسيط لجودة القرارات الاستراتيجية باستخدام أسلوب </w:t>
      </w:r>
      <w:r w:rsidRPr="00B87BE1">
        <w:rPr>
          <w:rFonts w:ascii="Traditional Arabic" w:hAnsi="Traditional Arabic" w:cs="Traditional Arabic"/>
          <w:b/>
          <w:color w:val="0D0D0D" w:themeColor="text1" w:themeTint="F2"/>
          <w:sz w:val="24"/>
          <w:szCs w:val="24"/>
        </w:rPr>
        <w:t>Bootstrap</w:t>
      </w:r>
      <w:r w:rsidRPr="00B87BE1">
        <w:rPr>
          <w:rFonts w:ascii="Traditional Arabic" w:hAnsi="Traditional Arabic" w:cs="Traditional Arabic"/>
          <w:b/>
          <w:color w:val="0D0D0D" w:themeColor="text1" w:themeTint="F2"/>
          <w:sz w:val="24"/>
          <w:szCs w:val="24"/>
          <w:rtl/>
        </w:rPr>
        <w:t xml:space="preserve"> ضمن نمذجة المعادلات البنائية (</w:t>
      </w:r>
      <w:r w:rsidRPr="00B87BE1">
        <w:rPr>
          <w:rFonts w:ascii="Traditional Arabic" w:hAnsi="Traditional Arabic" w:cs="Traditional Arabic"/>
          <w:b/>
          <w:color w:val="0D0D0D" w:themeColor="text1" w:themeTint="F2"/>
          <w:sz w:val="24"/>
          <w:szCs w:val="24"/>
        </w:rPr>
        <w:t>SEM-PLS</w:t>
      </w:r>
      <w:r w:rsidRPr="00B87BE1">
        <w:rPr>
          <w:rFonts w:ascii="Traditional Arabic" w:hAnsi="Traditional Arabic" w:cs="Traditional Arabic"/>
          <w:b/>
          <w:color w:val="0D0D0D" w:themeColor="text1" w:themeTint="F2"/>
          <w:sz w:val="24"/>
          <w:szCs w:val="24"/>
          <w:rtl/>
        </w:rPr>
        <w:t>)، و</w:t>
      </w:r>
      <w:r w:rsidRPr="00B87BE1">
        <w:rPr>
          <w:rFonts w:ascii="Traditional Arabic" w:hAnsi="Traditional Arabic" w:cs="Traditional Arabic" w:hint="cs"/>
          <w:b/>
          <w:color w:val="0D0D0D" w:themeColor="text1" w:themeTint="F2"/>
          <w:sz w:val="24"/>
          <w:szCs w:val="24"/>
          <w:rtl/>
        </w:rPr>
        <w:t>س</w:t>
      </w:r>
      <w:r w:rsidRPr="00B87BE1">
        <w:rPr>
          <w:rFonts w:ascii="Traditional Arabic" w:hAnsi="Traditional Arabic" w:cs="Traditional Arabic"/>
          <w:b/>
          <w:color w:val="0D0D0D" w:themeColor="text1" w:themeTint="F2"/>
          <w:sz w:val="24"/>
          <w:szCs w:val="24"/>
          <w:rtl/>
        </w:rPr>
        <w:t>يُحدد نوع الوساطة (كلية أو جزئية) بناءً على دلالة المسارات المباشرة وغير المباشرة.</w:t>
      </w:r>
    </w:p>
    <w:p w14:paraId="703F7AB2" w14:textId="16B0A7BF" w:rsidR="000D077F" w:rsidRPr="00B87BE1" w:rsidRDefault="000D077F" w:rsidP="000D077F">
      <w:pPr>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وسيتم استخدام نمذجة المعادلات الهيكلية بالحد الأدنى للمربعات الجزئية (</w:t>
      </w:r>
      <w:r w:rsidRPr="00B87BE1">
        <w:rPr>
          <w:rFonts w:ascii="Traditional Arabic" w:hAnsi="Traditional Arabic" w:cs="Traditional Arabic"/>
          <w:b/>
          <w:color w:val="0D0D0D" w:themeColor="text1" w:themeTint="F2"/>
          <w:sz w:val="24"/>
          <w:szCs w:val="24"/>
        </w:rPr>
        <w:t>SEM-PLS</w:t>
      </w:r>
      <w:r w:rsidRPr="00B87BE1">
        <w:rPr>
          <w:rFonts w:ascii="Traditional Arabic" w:hAnsi="Traditional Arabic" w:cs="Traditional Arabic"/>
          <w:b/>
          <w:color w:val="0D0D0D" w:themeColor="text1" w:themeTint="F2"/>
          <w:sz w:val="24"/>
          <w:szCs w:val="24"/>
          <w:rtl/>
        </w:rPr>
        <w:t xml:space="preserve">) باستخدام برنامج </w:t>
      </w:r>
      <w:proofErr w:type="spellStart"/>
      <w:r w:rsidRPr="00B87BE1">
        <w:rPr>
          <w:rFonts w:ascii="Traditional Arabic" w:hAnsi="Traditional Arabic" w:cs="Traditional Arabic"/>
          <w:b/>
          <w:color w:val="0D0D0D" w:themeColor="text1" w:themeTint="F2"/>
          <w:sz w:val="24"/>
          <w:szCs w:val="24"/>
        </w:rPr>
        <w:t>SmartPLS</w:t>
      </w:r>
      <w:proofErr w:type="spellEnd"/>
      <w:r w:rsidRPr="00B87BE1">
        <w:rPr>
          <w:rFonts w:ascii="Traditional Arabic" w:hAnsi="Traditional Arabic" w:cs="Traditional Arabic"/>
          <w:b/>
          <w:color w:val="0D0D0D" w:themeColor="text1" w:themeTint="F2"/>
          <w:sz w:val="24"/>
          <w:szCs w:val="24"/>
          <w:rtl/>
        </w:rPr>
        <w:t xml:space="preserve"> (الإصدار 4) لاختبار النموذج المفاهيمي وفرضية الدور الوسيط لجودة القرارات الاستراتيجية. ويُعدّ هذا الأسلوب مناسباً للدراسة الحالية نظراً لقدرته على التعامل مع النماذج المُركّبة التي تتضمن متغيرات وسيطة، فضلاً عن عدم اشتراطه التوزيع الطبيعي للبيانات.</w:t>
      </w:r>
    </w:p>
    <w:p w14:paraId="2ECB27EF" w14:textId="3C36ECBB" w:rsidR="000B16D6" w:rsidRPr="00B87BE1" w:rsidRDefault="000B16D6" w:rsidP="007F52A4">
      <w:pPr>
        <w:bidi/>
        <w:spacing w:after="240" w:line="360" w:lineRule="auto"/>
        <w:ind w:left="720"/>
        <w:jc w:val="center"/>
        <w:rPr>
          <w:rFonts w:ascii="Traditional Arabic" w:eastAsia="Calibri" w:hAnsi="Traditional Arabic" w:cs="Traditional Arabic"/>
          <w:bCs/>
          <w:color w:val="0D0D0D" w:themeColor="text1" w:themeTint="F2"/>
          <w:sz w:val="24"/>
          <w:szCs w:val="24"/>
          <w:rtl/>
        </w:rPr>
      </w:pPr>
      <w:r w:rsidRPr="00B87BE1">
        <w:rPr>
          <w:rFonts w:ascii="Traditional Arabic" w:eastAsia="Calibri" w:hAnsi="Traditional Arabic" w:cs="Traditional Arabic"/>
          <w:bCs/>
          <w:color w:val="0D0D0D" w:themeColor="text1" w:themeTint="F2"/>
          <w:sz w:val="24"/>
          <w:szCs w:val="24"/>
          <w:rtl/>
        </w:rPr>
        <w:t>جدول</w:t>
      </w:r>
      <w:r w:rsidR="000D077F" w:rsidRPr="00B87BE1">
        <w:rPr>
          <w:rFonts w:ascii="Traditional Arabic" w:eastAsia="Calibri" w:hAnsi="Traditional Arabic" w:cs="Traditional Arabic" w:hint="cs"/>
          <w:bCs/>
          <w:color w:val="0D0D0D" w:themeColor="text1" w:themeTint="F2"/>
          <w:sz w:val="24"/>
          <w:szCs w:val="24"/>
          <w:rtl/>
        </w:rPr>
        <w:t xml:space="preserve"> (2)</w:t>
      </w:r>
      <w:r w:rsidR="009F294D" w:rsidRPr="00B87BE1">
        <w:rPr>
          <w:rFonts w:ascii="Traditional Arabic" w:eastAsia="Calibri" w:hAnsi="Traditional Arabic" w:cs="Traditional Arabic"/>
          <w:bCs/>
          <w:color w:val="0D0D0D" w:themeColor="text1" w:themeTint="F2"/>
          <w:sz w:val="24"/>
          <w:szCs w:val="24"/>
          <w:rtl/>
        </w:rPr>
        <w:t>:</w:t>
      </w:r>
      <w:r w:rsidRPr="00B87BE1">
        <w:rPr>
          <w:rFonts w:ascii="Traditional Arabic" w:eastAsia="Calibri" w:hAnsi="Traditional Arabic" w:cs="Traditional Arabic"/>
          <w:bCs/>
          <w:color w:val="0D0D0D" w:themeColor="text1" w:themeTint="F2"/>
          <w:sz w:val="24"/>
          <w:szCs w:val="24"/>
          <w:rtl/>
        </w:rPr>
        <w:t xml:space="preserve"> يوضح العلاقة بين الفرضيات البحثية </w:t>
      </w:r>
      <w:r w:rsidR="009F294D" w:rsidRPr="00B87BE1">
        <w:rPr>
          <w:rFonts w:ascii="Traditional Arabic" w:eastAsia="Calibri" w:hAnsi="Traditional Arabic" w:cs="Traditional Arabic"/>
          <w:bCs/>
          <w:color w:val="0D0D0D" w:themeColor="text1" w:themeTint="F2"/>
          <w:sz w:val="24"/>
          <w:szCs w:val="24"/>
          <w:rtl/>
        </w:rPr>
        <w:t>والأساليب الإحصائية</w:t>
      </w:r>
    </w:p>
    <w:tbl>
      <w:tblPr>
        <w:tblStyle w:val="TableGrid"/>
        <w:bidiVisual/>
        <w:tblW w:w="5000" w:type="pct"/>
        <w:tblLook w:val="04A0" w:firstRow="1" w:lastRow="0" w:firstColumn="1" w:lastColumn="0" w:noHBand="0" w:noVBand="1"/>
      </w:tblPr>
      <w:tblGrid>
        <w:gridCol w:w="914"/>
        <w:gridCol w:w="4575"/>
        <w:gridCol w:w="3288"/>
      </w:tblGrid>
      <w:tr w:rsidR="007D0045" w:rsidRPr="00B87BE1" w14:paraId="0458A16E" w14:textId="77777777" w:rsidTr="007D0045">
        <w:tc>
          <w:tcPr>
            <w:tcW w:w="521" w:type="pct"/>
            <w:vAlign w:val="center"/>
            <w:hideMark/>
          </w:tcPr>
          <w:p w14:paraId="5489D21A" w14:textId="77777777" w:rsidR="007D0045" w:rsidRPr="00B87BE1" w:rsidRDefault="007D0045" w:rsidP="007D0045">
            <w:pPr>
              <w:bidi/>
              <w:spacing w:after="0" w:line="278" w:lineRule="auto"/>
              <w:jc w:val="center"/>
              <w:rPr>
                <w:rFonts w:ascii="Traditional Arabic" w:hAnsi="Traditional Arabic" w:cs="Traditional Arabic"/>
                <w:b/>
                <w:bCs/>
                <w:lang w:val="en-GB"/>
              </w:rPr>
            </w:pPr>
            <w:r w:rsidRPr="00B87BE1">
              <w:rPr>
                <w:rFonts w:ascii="Traditional Arabic" w:hAnsi="Traditional Arabic" w:cs="Traditional Arabic"/>
                <w:b/>
                <w:bCs/>
                <w:rtl/>
              </w:rPr>
              <w:t>الفرضية</w:t>
            </w:r>
          </w:p>
        </w:tc>
        <w:tc>
          <w:tcPr>
            <w:tcW w:w="2606" w:type="pct"/>
            <w:vAlign w:val="center"/>
            <w:hideMark/>
          </w:tcPr>
          <w:p w14:paraId="464E09CF" w14:textId="77777777" w:rsidR="007D0045" w:rsidRPr="00B87BE1" w:rsidRDefault="007D0045" w:rsidP="007D0045">
            <w:pPr>
              <w:bidi/>
              <w:spacing w:after="0" w:line="278" w:lineRule="auto"/>
              <w:jc w:val="center"/>
              <w:rPr>
                <w:rFonts w:ascii="Traditional Arabic" w:hAnsi="Traditional Arabic" w:cs="Traditional Arabic"/>
                <w:b/>
                <w:bCs/>
                <w:lang w:val="en-GB"/>
              </w:rPr>
            </w:pPr>
            <w:r w:rsidRPr="00B87BE1">
              <w:rPr>
                <w:rFonts w:ascii="Traditional Arabic" w:hAnsi="Traditional Arabic" w:cs="Traditional Arabic"/>
                <w:b/>
                <w:bCs/>
                <w:rtl/>
              </w:rPr>
              <w:t>المتغيرات</w:t>
            </w:r>
          </w:p>
        </w:tc>
        <w:tc>
          <w:tcPr>
            <w:tcW w:w="1873" w:type="pct"/>
            <w:vAlign w:val="center"/>
            <w:hideMark/>
          </w:tcPr>
          <w:p w14:paraId="3ADB2649" w14:textId="77777777" w:rsidR="007D0045" w:rsidRPr="00B87BE1" w:rsidRDefault="007D0045" w:rsidP="007D0045">
            <w:pPr>
              <w:bidi/>
              <w:spacing w:after="0" w:line="278" w:lineRule="auto"/>
              <w:jc w:val="center"/>
              <w:rPr>
                <w:rFonts w:ascii="Traditional Arabic" w:hAnsi="Traditional Arabic" w:cs="Traditional Arabic"/>
                <w:b/>
                <w:bCs/>
                <w:lang w:val="en-GB"/>
              </w:rPr>
            </w:pPr>
            <w:r w:rsidRPr="00B87BE1">
              <w:rPr>
                <w:rFonts w:ascii="Traditional Arabic" w:hAnsi="Traditional Arabic" w:cs="Traditional Arabic"/>
                <w:b/>
                <w:bCs/>
                <w:rtl/>
              </w:rPr>
              <w:t>الأسلوب الإحصائي</w:t>
            </w:r>
          </w:p>
        </w:tc>
      </w:tr>
      <w:tr w:rsidR="007D0045" w:rsidRPr="00B87BE1" w14:paraId="4D7B8175" w14:textId="77777777" w:rsidTr="007D0045">
        <w:tc>
          <w:tcPr>
            <w:tcW w:w="521" w:type="pct"/>
            <w:vAlign w:val="center"/>
            <w:hideMark/>
          </w:tcPr>
          <w:p w14:paraId="5735A372" w14:textId="77777777" w:rsidR="007D0045" w:rsidRPr="00B87BE1" w:rsidRDefault="007D0045" w:rsidP="007D0045">
            <w:pPr>
              <w:bidi/>
              <w:spacing w:after="0" w:line="278" w:lineRule="auto"/>
              <w:jc w:val="center"/>
              <w:rPr>
                <w:rFonts w:ascii="Traditional Arabic" w:hAnsi="Traditional Arabic" w:cs="Traditional Arabic"/>
                <w:lang w:val="en-GB"/>
              </w:rPr>
            </w:pPr>
            <w:r w:rsidRPr="00B87BE1">
              <w:rPr>
                <w:rFonts w:ascii="Traditional Arabic" w:hAnsi="Traditional Arabic" w:cs="Traditional Arabic"/>
                <w:lang w:val="en-GB"/>
              </w:rPr>
              <w:t>H1</w:t>
            </w:r>
          </w:p>
        </w:tc>
        <w:tc>
          <w:tcPr>
            <w:tcW w:w="2606" w:type="pct"/>
            <w:vAlign w:val="center"/>
            <w:hideMark/>
          </w:tcPr>
          <w:p w14:paraId="3FCC25E1" w14:textId="77777777" w:rsidR="007D0045" w:rsidRPr="00B87BE1" w:rsidRDefault="007D0045" w:rsidP="007D0045">
            <w:pPr>
              <w:bidi/>
              <w:spacing w:after="0" w:line="278" w:lineRule="auto"/>
              <w:jc w:val="center"/>
              <w:rPr>
                <w:rFonts w:ascii="Traditional Arabic" w:hAnsi="Traditional Arabic" w:cs="Traditional Arabic"/>
                <w:lang w:val="en-GB"/>
              </w:rPr>
            </w:pPr>
            <w:r w:rsidRPr="00B87BE1">
              <w:rPr>
                <w:rFonts w:ascii="Traditional Arabic" w:hAnsi="Traditional Arabic" w:cs="Traditional Arabic"/>
                <w:rtl/>
              </w:rPr>
              <w:t xml:space="preserve">قبول أنظمة ذكاء الأعمال </w:t>
            </w:r>
            <w:r w:rsidRPr="00B87BE1">
              <w:rPr>
                <w:rFonts w:ascii="Times New Roman" w:hAnsi="Times New Roman" w:cs="Times New Roman" w:hint="cs"/>
                <w:rtl/>
              </w:rPr>
              <w:t>←</w:t>
            </w:r>
            <w:r w:rsidRPr="00B87BE1">
              <w:rPr>
                <w:rFonts w:ascii="Traditional Arabic" w:hAnsi="Traditional Arabic" w:cs="Traditional Arabic"/>
                <w:rtl/>
              </w:rPr>
              <w:t xml:space="preserve"> </w:t>
            </w:r>
            <w:r w:rsidRPr="00B87BE1">
              <w:rPr>
                <w:rFonts w:ascii="Traditional Arabic" w:hAnsi="Traditional Arabic" w:cs="Traditional Arabic" w:hint="cs"/>
                <w:rtl/>
              </w:rPr>
              <w:t>جودة</w:t>
            </w:r>
            <w:r w:rsidRPr="00B87BE1">
              <w:rPr>
                <w:rFonts w:ascii="Traditional Arabic" w:hAnsi="Traditional Arabic" w:cs="Traditional Arabic"/>
                <w:rtl/>
              </w:rPr>
              <w:t xml:space="preserve"> </w:t>
            </w:r>
            <w:r w:rsidRPr="00B87BE1">
              <w:rPr>
                <w:rFonts w:ascii="Traditional Arabic" w:hAnsi="Traditional Arabic" w:cs="Traditional Arabic" w:hint="cs"/>
                <w:rtl/>
              </w:rPr>
              <w:t>القرارات</w:t>
            </w:r>
          </w:p>
        </w:tc>
        <w:tc>
          <w:tcPr>
            <w:tcW w:w="1873" w:type="pct"/>
            <w:vAlign w:val="center"/>
            <w:hideMark/>
          </w:tcPr>
          <w:p w14:paraId="15D5FDEF" w14:textId="77777777" w:rsidR="007D0045" w:rsidRPr="00B87BE1" w:rsidRDefault="007D0045" w:rsidP="007D0045">
            <w:pPr>
              <w:bidi/>
              <w:spacing w:after="0" w:line="278" w:lineRule="auto"/>
              <w:jc w:val="center"/>
              <w:rPr>
                <w:rFonts w:ascii="Traditional Arabic" w:hAnsi="Traditional Arabic" w:cs="Traditional Arabic"/>
                <w:lang w:val="en-GB"/>
              </w:rPr>
            </w:pPr>
            <w:r w:rsidRPr="00B87BE1">
              <w:rPr>
                <w:rFonts w:ascii="Traditional Arabic" w:hAnsi="Traditional Arabic" w:cs="Traditional Arabic"/>
                <w:rtl/>
              </w:rPr>
              <w:t>معامل ارتباط بيرسون + تحليل المسار</w:t>
            </w:r>
          </w:p>
        </w:tc>
      </w:tr>
      <w:tr w:rsidR="007D0045" w:rsidRPr="00B87BE1" w14:paraId="0A34D3D3" w14:textId="77777777" w:rsidTr="007D0045">
        <w:tc>
          <w:tcPr>
            <w:tcW w:w="521" w:type="pct"/>
            <w:vAlign w:val="center"/>
            <w:hideMark/>
          </w:tcPr>
          <w:p w14:paraId="162231DC" w14:textId="77777777" w:rsidR="007D0045" w:rsidRPr="00B87BE1" w:rsidRDefault="007D0045" w:rsidP="007D0045">
            <w:pPr>
              <w:bidi/>
              <w:spacing w:after="0" w:line="278" w:lineRule="auto"/>
              <w:jc w:val="center"/>
              <w:rPr>
                <w:rFonts w:ascii="Traditional Arabic" w:hAnsi="Traditional Arabic" w:cs="Traditional Arabic"/>
                <w:lang w:val="en-GB"/>
              </w:rPr>
            </w:pPr>
            <w:r w:rsidRPr="00B87BE1">
              <w:rPr>
                <w:rFonts w:ascii="Traditional Arabic" w:hAnsi="Traditional Arabic" w:cs="Traditional Arabic"/>
                <w:lang w:val="en-GB"/>
              </w:rPr>
              <w:t>H2</w:t>
            </w:r>
          </w:p>
        </w:tc>
        <w:tc>
          <w:tcPr>
            <w:tcW w:w="2606" w:type="pct"/>
            <w:vAlign w:val="center"/>
            <w:hideMark/>
          </w:tcPr>
          <w:p w14:paraId="38DF7BEC" w14:textId="77777777" w:rsidR="007D0045" w:rsidRPr="00B87BE1" w:rsidRDefault="007D0045" w:rsidP="007D0045">
            <w:pPr>
              <w:bidi/>
              <w:spacing w:after="0" w:line="278" w:lineRule="auto"/>
              <w:jc w:val="center"/>
              <w:rPr>
                <w:rFonts w:ascii="Traditional Arabic" w:hAnsi="Traditional Arabic" w:cs="Traditional Arabic"/>
                <w:lang w:val="en-GB"/>
              </w:rPr>
            </w:pPr>
            <w:r w:rsidRPr="00B87BE1">
              <w:rPr>
                <w:rFonts w:ascii="Traditional Arabic" w:hAnsi="Traditional Arabic" w:cs="Traditional Arabic"/>
                <w:rtl/>
              </w:rPr>
              <w:t xml:space="preserve">جودة القرارات </w:t>
            </w:r>
            <w:r w:rsidRPr="00B87BE1">
              <w:rPr>
                <w:rFonts w:ascii="Times New Roman" w:hAnsi="Times New Roman" w:cs="Times New Roman" w:hint="cs"/>
                <w:rtl/>
              </w:rPr>
              <w:t>←</w:t>
            </w:r>
            <w:r w:rsidRPr="00B87BE1">
              <w:rPr>
                <w:rFonts w:ascii="Traditional Arabic" w:hAnsi="Traditional Arabic" w:cs="Traditional Arabic"/>
                <w:rtl/>
              </w:rPr>
              <w:t xml:space="preserve"> </w:t>
            </w:r>
            <w:r w:rsidRPr="00B87BE1">
              <w:rPr>
                <w:rFonts w:ascii="Traditional Arabic" w:hAnsi="Traditional Arabic" w:cs="Traditional Arabic" w:hint="cs"/>
                <w:rtl/>
              </w:rPr>
              <w:t>الابتكار</w:t>
            </w:r>
            <w:r w:rsidRPr="00B87BE1">
              <w:rPr>
                <w:rFonts w:ascii="Traditional Arabic" w:hAnsi="Traditional Arabic" w:cs="Traditional Arabic"/>
                <w:rtl/>
              </w:rPr>
              <w:t xml:space="preserve"> </w:t>
            </w:r>
            <w:r w:rsidRPr="00B87BE1">
              <w:rPr>
                <w:rFonts w:ascii="Traditional Arabic" w:hAnsi="Traditional Arabic" w:cs="Traditional Arabic" w:hint="cs"/>
                <w:rtl/>
              </w:rPr>
              <w:t>التنظيمي</w:t>
            </w:r>
          </w:p>
        </w:tc>
        <w:tc>
          <w:tcPr>
            <w:tcW w:w="1873" w:type="pct"/>
            <w:vAlign w:val="center"/>
            <w:hideMark/>
          </w:tcPr>
          <w:p w14:paraId="70A1CCA5" w14:textId="77777777" w:rsidR="007D0045" w:rsidRPr="00B87BE1" w:rsidRDefault="007D0045" w:rsidP="007D0045">
            <w:pPr>
              <w:bidi/>
              <w:spacing w:after="0" w:line="278" w:lineRule="auto"/>
              <w:jc w:val="center"/>
              <w:rPr>
                <w:rFonts w:ascii="Traditional Arabic" w:hAnsi="Traditional Arabic" w:cs="Traditional Arabic"/>
                <w:lang w:val="en-GB"/>
              </w:rPr>
            </w:pPr>
            <w:r w:rsidRPr="00B87BE1">
              <w:rPr>
                <w:rFonts w:ascii="Traditional Arabic" w:hAnsi="Traditional Arabic" w:cs="Traditional Arabic"/>
                <w:rtl/>
              </w:rPr>
              <w:t>معامل ارتباط بيرسون + تحليل المسار</w:t>
            </w:r>
          </w:p>
        </w:tc>
      </w:tr>
      <w:tr w:rsidR="007D0045" w:rsidRPr="00B87BE1" w14:paraId="3945F18B" w14:textId="77777777" w:rsidTr="007D0045">
        <w:tc>
          <w:tcPr>
            <w:tcW w:w="521" w:type="pct"/>
            <w:vAlign w:val="center"/>
            <w:hideMark/>
          </w:tcPr>
          <w:p w14:paraId="27AEFF20" w14:textId="77777777" w:rsidR="007D0045" w:rsidRPr="00B87BE1" w:rsidRDefault="007D0045" w:rsidP="007D0045">
            <w:pPr>
              <w:bidi/>
              <w:spacing w:after="0" w:line="278" w:lineRule="auto"/>
              <w:jc w:val="center"/>
              <w:rPr>
                <w:rFonts w:ascii="Traditional Arabic" w:hAnsi="Traditional Arabic" w:cs="Traditional Arabic"/>
                <w:lang w:val="en-GB"/>
              </w:rPr>
            </w:pPr>
            <w:r w:rsidRPr="00B87BE1">
              <w:rPr>
                <w:rFonts w:ascii="Traditional Arabic" w:hAnsi="Traditional Arabic" w:cs="Traditional Arabic"/>
                <w:lang w:val="en-GB"/>
              </w:rPr>
              <w:t>H3</w:t>
            </w:r>
          </w:p>
        </w:tc>
        <w:tc>
          <w:tcPr>
            <w:tcW w:w="2606" w:type="pct"/>
            <w:vAlign w:val="center"/>
            <w:hideMark/>
          </w:tcPr>
          <w:p w14:paraId="7F7E2E4F" w14:textId="77777777" w:rsidR="007D0045" w:rsidRPr="00B87BE1" w:rsidRDefault="007D0045" w:rsidP="007D0045">
            <w:pPr>
              <w:bidi/>
              <w:spacing w:after="0" w:line="278" w:lineRule="auto"/>
              <w:jc w:val="center"/>
              <w:rPr>
                <w:rFonts w:ascii="Traditional Arabic" w:hAnsi="Traditional Arabic" w:cs="Traditional Arabic"/>
                <w:lang w:val="en-GB"/>
              </w:rPr>
            </w:pPr>
            <w:r w:rsidRPr="00B87BE1">
              <w:rPr>
                <w:rFonts w:ascii="Traditional Arabic" w:hAnsi="Traditional Arabic" w:cs="Traditional Arabic"/>
                <w:rtl/>
              </w:rPr>
              <w:t xml:space="preserve">قبول أنظمة ذكاء الأعمال </w:t>
            </w:r>
            <w:r w:rsidRPr="00B87BE1">
              <w:rPr>
                <w:rFonts w:ascii="Times New Roman" w:hAnsi="Times New Roman" w:cs="Times New Roman" w:hint="cs"/>
                <w:rtl/>
              </w:rPr>
              <w:t>←</w:t>
            </w:r>
            <w:r w:rsidRPr="00B87BE1">
              <w:rPr>
                <w:rFonts w:ascii="Traditional Arabic" w:hAnsi="Traditional Arabic" w:cs="Traditional Arabic"/>
                <w:rtl/>
              </w:rPr>
              <w:t xml:space="preserve"> </w:t>
            </w:r>
            <w:r w:rsidRPr="00B87BE1">
              <w:rPr>
                <w:rFonts w:ascii="Traditional Arabic" w:hAnsi="Traditional Arabic" w:cs="Traditional Arabic" w:hint="cs"/>
                <w:rtl/>
              </w:rPr>
              <w:t>الابتكار</w:t>
            </w:r>
            <w:r w:rsidRPr="00B87BE1">
              <w:rPr>
                <w:rFonts w:ascii="Traditional Arabic" w:hAnsi="Traditional Arabic" w:cs="Traditional Arabic"/>
                <w:rtl/>
              </w:rPr>
              <w:t xml:space="preserve"> </w:t>
            </w:r>
            <w:r w:rsidRPr="00B87BE1">
              <w:rPr>
                <w:rFonts w:ascii="Traditional Arabic" w:hAnsi="Traditional Arabic" w:cs="Traditional Arabic" w:hint="cs"/>
                <w:rtl/>
              </w:rPr>
              <w:t>التنظيمي</w:t>
            </w:r>
          </w:p>
        </w:tc>
        <w:tc>
          <w:tcPr>
            <w:tcW w:w="1873" w:type="pct"/>
            <w:vAlign w:val="center"/>
            <w:hideMark/>
          </w:tcPr>
          <w:p w14:paraId="26C39C0A" w14:textId="77777777" w:rsidR="007D0045" w:rsidRPr="00B87BE1" w:rsidRDefault="007D0045" w:rsidP="007D0045">
            <w:pPr>
              <w:bidi/>
              <w:spacing w:after="0" w:line="278" w:lineRule="auto"/>
              <w:jc w:val="center"/>
              <w:rPr>
                <w:rFonts w:ascii="Traditional Arabic" w:hAnsi="Traditional Arabic" w:cs="Traditional Arabic"/>
                <w:lang w:val="en-GB"/>
              </w:rPr>
            </w:pPr>
            <w:r w:rsidRPr="00B87BE1">
              <w:rPr>
                <w:rFonts w:ascii="Traditional Arabic" w:hAnsi="Traditional Arabic" w:cs="Traditional Arabic"/>
                <w:rtl/>
              </w:rPr>
              <w:t>معامل ارتباط بيرسون + تحليل المسار</w:t>
            </w:r>
          </w:p>
        </w:tc>
      </w:tr>
      <w:tr w:rsidR="007D0045" w:rsidRPr="00B87BE1" w14:paraId="6F32AD54" w14:textId="77777777" w:rsidTr="007D0045">
        <w:tc>
          <w:tcPr>
            <w:tcW w:w="521" w:type="pct"/>
            <w:vAlign w:val="center"/>
            <w:hideMark/>
          </w:tcPr>
          <w:p w14:paraId="4B502707" w14:textId="77777777" w:rsidR="007D0045" w:rsidRPr="00B87BE1" w:rsidRDefault="007D0045" w:rsidP="007D0045">
            <w:pPr>
              <w:bidi/>
              <w:spacing w:after="0" w:line="278" w:lineRule="auto"/>
              <w:jc w:val="center"/>
              <w:rPr>
                <w:rFonts w:ascii="Traditional Arabic" w:hAnsi="Traditional Arabic" w:cs="Traditional Arabic"/>
                <w:lang w:val="en-GB"/>
              </w:rPr>
            </w:pPr>
            <w:r w:rsidRPr="00B87BE1">
              <w:rPr>
                <w:rFonts w:ascii="Traditional Arabic" w:hAnsi="Traditional Arabic" w:cs="Traditional Arabic"/>
                <w:lang w:val="en-GB"/>
              </w:rPr>
              <w:t>H4</w:t>
            </w:r>
          </w:p>
        </w:tc>
        <w:tc>
          <w:tcPr>
            <w:tcW w:w="2606" w:type="pct"/>
            <w:vAlign w:val="center"/>
            <w:hideMark/>
          </w:tcPr>
          <w:p w14:paraId="5CF626F6" w14:textId="77777777" w:rsidR="007D0045" w:rsidRPr="00B87BE1" w:rsidRDefault="007D0045" w:rsidP="007D0045">
            <w:pPr>
              <w:bidi/>
              <w:spacing w:after="0" w:line="278" w:lineRule="auto"/>
              <w:jc w:val="center"/>
              <w:rPr>
                <w:rFonts w:ascii="Traditional Arabic" w:hAnsi="Traditional Arabic" w:cs="Traditional Arabic"/>
                <w:lang w:val="en-GB"/>
              </w:rPr>
            </w:pPr>
            <w:r w:rsidRPr="00B87BE1">
              <w:rPr>
                <w:rFonts w:ascii="Traditional Arabic" w:hAnsi="Traditional Arabic" w:cs="Traditional Arabic"/>
                <w:rtl/>
              </w:rPr>
              <w:t xml:space="preserve">الوساطة: ذكاء الأعمال </w:t>
            </w:r>
            <w:r w:rsidRPr="00B87BE1">
              <w:rPr>
                <w:rFonts w:ascii="Times New Roman" w:hAnsi="Times New Roman" w:cs="Times New Roman" w:hint="cs"/>
                <w:rtl/>
              </w:rPr>
              <w:t>←</w:t>
            </w:r>
            <w:r w:rsidRPr="00B87BE1">
              <w:rPr>
                <w:rFonts w:ascii="Traditional Arabic" w:hAnsi="Traditional Arabic" w:cs="Traditional Arabic"/>
                <w:rtl/>
              </w:rPr>
              <w:t xml:space="preserve"> </w:t>
            </w:r>
            <w:r w:rsidRPr="00B87BE1">
              <w:rPr>
                <w:rFonts w:ascii="Traditional Arabic" w:hAnsi="Traditional Arabic" w:cs="Traditional Arabic" w:hint="cs"/>
                <w:rtl/>
              </w:rPr>
              <w:t>جودة</w:t>
            </w:r>
            <w:r w:rsidRPr="00B87BE1">
              <w:rPr>
                <w:rFonts w:ascii="Traditional Arabic" w:hAnsi="Traditional Arabic" w:cs="Traditional Arabic"/>
                <w:rtl/>
              </w:rPr>
              <w:t xml:space="preserve"> </w:t>
            </w:r>
            <w:r w:rsidRPr="00B87BE1">
              <w:rPr>
                <w:rFonts w:ascii="Traditional Arabic" w:hAnsi="Traditional Arabic" w:cs="Traditional Arabic" w:hint="cs"/>
                <w:rtl/>
              </w:rPr>
              <w:t>القرارات</w:t>
            </w:r>
            <w:r w:rsidRPr="00B87BE1">
              <w:rPr>
                <w:rFonts w:ascii="Traditional Arabic" w:hAnsi="Traditional Arabic" w:cs="Traditional Arabic"/>
                <w:rtl/>
              </w:rPr>
              <w:t xml:space="preserve"> </w:t>
            </w:r>
            <w:r w:rsidRPr="00B87BE1">
              <w:rPr>
                <w:rFonts w:ascii="Times New Roman" w:hAnsi="Times New Roman" w:cs="Times New Roman" w:hint="cs"/>
                <w:rtl/>
              </w:rPr>
              <w:t>←</w:t>
            </w:r>
            <w:r w:rsidRPr="00B87BE1">
              <w:rPr>
                <w:rFonts w:ascii="Traditional Arabic" w:hAnsi="Traditional Arabic" w:cs="Traditional Arabic"/>
                <w:rtl/>
              </w:rPr>
              <w:t xml:space="preserve"> </w:t>
            </w:r>
            <w:r w:rsidRPr="00B87BE1">
              <w:rPr>
                <w:rFonts w:ascii="Traditional Arabic" w:hAnsi="Traditional Arabic" w:cs="Traditional Arabic" w:hint="cs"/>
                <w:rtl/>
              </w:rPr>
              <w:t>الابتكار</w:t>
            </w:r>
          </w:p>
        </w:tc>
        <w:tc>
          <w:tcPr>
            <w:tcW w:w="1873" w:type="pct"/>
            <w:vAlign w:val="center"/>
            <w:hideMark/>
          </w:tcPr>
          <w:p w14:paraId="6A418906" w14:textId="77777777" w:rsidR="007D0045" w:rsidRPr="00B87BE1" w:rsidRDefault="007D0045" w:rsidP="007D0045">
            <w:pPr>
              <w:bidi/>
              <w:spacing w:after="0" w:line="278" w:lineRule="auto"/>
              <w:jc w:val="center"/>
              <w:rPr>
                <w:rFonts w:ascii="Traditional Arabic" w:hAnsi="Traditional Arabic" w:cs="Traditional Arabic"/>
                <w:lang w:val="en-GB"/>
              </w:rPr>
            </w:pPr>
            <w:r w:rsidRPr="00B87BE1">
              <w:rPr>
                <w:rFonts w:ascii="Traditional Arabic" w:hAnsi="Traditional Arabic" w:cs="Traditional Arabic"/>
                <w:lang w:val="en-GB"/>
              </w:rPr>
              <w:t>SEM-PLS + Bootstrap</w:t>
            </w:r>
          </w:p>
        </w:tc>
      </w:tr>
    </w:tbl>
    <w:p w14:paraId="2C095480" w14:textId="77777777" w:rsidR="000D077F" w:rsidRPr="00B87BE1" w:rsidRDefault="000D077F" w:rsidP="000D077F">
      <w:pPr>
        <w:rPr>
          <w:rtl/>
        </w:rPr>
      </w:pPr>
      <w:bookmarkStart w:id="27" w:name="_Toc215399847"/>
    </w:p>
    <w:p w14:paraId="73807E75" w14:textId="77777777" w:rsidR="000D077F" w:rsidRPr="00B87BE1" w:rsidRDefault="000D077F" w:rsidP="000D077F">
      <w:pPr>
        <w:rPr>
          <w:rtl/>
        </w:rPr>
      </w:pPr>
    </w:p>
    <w:p w14:paraId="77195195" w14:textId="24214964" w:rsidR="00E674BA" w:rsidRPr="00B87BE1" w:rsidRDefault="00E674BA" w:rsidP="000D077F">
      <w:pPr>
        <w:pStyle w:val="Heading1"/>
        <w:bidi/>
        <w:spacing w:after="240" w:line="360" w:lineRule="auto"/>
        <w:rPr>
          <w:rFonts w:ascii="Traditional Arabic" w:hAnsi="Traditional Arabic" w:cs="Traditional Arabic"/>
          <w:bCs/>
          <w:color w:val="0D0D0D" w:themeColor="text1" w:themeTint="F2"/>
          <w:sz w:val="28"/>
          <w:szCs w:val="28"/>
          <w:rtl/>
        </w:rPr>
      </w:pPr>
      <w:r w:rsidRPr="00B87BE1">
        <w:rPr>
          <w:rFonts w:ascii="Traditional Arabic" w:hAnsi="Traditional Arabic" w:cs="Traditional Arabic"/>
          <w:bCs/>
          <w:color w:val="0D0D0D" w:themeColor="text1" w:themeTint="F2"/>
          <w:sz w:val="28"/>
          <w:szCs w:val="28"/>
          <w:rtl/>
        </w:rPr>
        <w:lastRenderedPageBreak/>
        <w:t>نموذج الدراسة</w:t>
      </w:r>
      <w:bookmarkEnd w:id="27"/>
    </w:p>
    <w:p w14:paraId="215BB1F9" w14:textId="16990FEF" w:rsidR="00E674BA" w:rsidRPr="00B87BE1" w:rsidRDefault="00BD2ACC" w:rsidP="00822230">
      <w:pPr>
        <w:bidi/>
        <w:rPr>
          <w:rFonts w:ascii="Traditional Arabic" w:hAnsi="Traditional Arabic" w:cs="Traditional Arabic"/>
          <w:rtl/>
        </w:rPr>
      </w:pPr>
      <w:r w:rsidRPr="00B87BE1">
        <w:rPr>
          <w:rFonts w:ascii="Traditional Arabic" w:hAnsi="Traditional Arabic" w:cs="Traditional Arabic"/>
          <w:noProof/>
          <w:rtl/>
        </w:rPr>
        <mc:AlternateContent>
          <mc:Choice Requires="wps">
            <w:drawing>
              <wp:anchor distT="0" distB="0" distL="114300" distR="114300" simplePos="0" relativeHeight="251662848" behindDoc="0" locked="0" layoutInCell="1" allowOverlap="1" wp14:anchorId="0A8F89DD" wp14:editId="602453A4">
                <wp:simplePos x="0" y="0"/>
                <wp:positionH relativeFrom="margin">
                  <wp:posOffset>-81280</wp:posOffset>
                </wp:positionH>
                <wp:positionV relativeFrom="paragraph">
                  <wp:posOffset>233680</wp:posOffset>
                </wp:positionV>
                <wp:extent cx="1379220" cy="504825"/>
                <wp:effectExtent l="0" t="0" r="11430" b="28575"/>
                <wp:wrapNone/>
                <wp:docPr id="2053839402" name="مستطيل مستدير الزوايا 4"/>
                <wp:cNvGraphicFramePr/>
                <a:graphic xmlns:a="http://schemas.openxmlformats.org/drawingml/2006/main">
                  <a:graphicData uri="http://schemas.microsoft.com/office/word/2010/wordprocessingShape">
                    <wps:wsp>
                      <wps:cNvSpPr/>
                      <wps:spPr>
                        <a:xfrm>
                          <a:off x="0" y="0"/>
                          <a:ext cx="1379220" cy="504825"/>
                        </a:xfrm>
                        <a:prstGeom prst="roundRect">
                          <a:avLst/>
                        </a:prstGeom>
                        <a:noFill/>
                      </wps:spPr>
                      <wps:style>
                        <a:lnRef idx="2">
                          <a:schemeClr val="dk1"/>
                        </a:lnRef>
                        <a:fillRef idx="1">
                          <a:schemeClr val="lt1"/>
                        </a:fillRef>
                        <a:effectRef idx="0">
                          <a:schemeClr val="dk1"/>
                        </a:effectRef>
                        <a:fontRef idx="minor">
                          <a:schemeClr val="dk1"/>
                        </a:fontRef>
                      </wps:style>
                      <wps:txbx>
                        <w:txbxContent>
                          <w:p w14:paraId="63940A90" w14:textId="77777777" w:rsidR="00E674BA" w:rsidRPr="00E80733" w:rsidRDefault="00E674BA" w:rsidP="00E674BA">
                            <w:pPr>
                              <w:spacing w:after="0" w:line="240" w:lineRule="auto"/>
                              <w:jc w:val="center"/>
                              <w:rPr>
                                <w:rFonts w:ascii="Sakkal Majalla" w:hAnsi="Sakkal Majalla" w:cs="Sakkal Majalla"/>
                                <w:b/>
                                <w:bCs/>
                                <w:rtl/>
                              </w:rPr>
                            </w:pPr>
                            <w:r w:rsidRPr="00E80733">
                              <w:rPr>
                                <w:rFonts w:ascii="Sakkal Majalla" w:hAnsi="Sakkal Majalla" w:cs="Sakkal Majalla"/>
                                <w:b/>
                                <w:bCs/>
                                <w:rtl/>
                              </w:rPr>
                              <w:t>المتغير التابع</w:t>
                            </w:r>
                          </w:p>
                          <w:p w14:paraId="41662069" w14:textId="41CA552A" w:rsidR="00E674BA" w:rsidRPr="00E80733" w:rsidRDefault="00E674BA" w:rsidP="00E674BA">
                            <w:pPr>
                              <w:spacing w:after="0" w:line="240" w:lineRule="auto"/>
                              <w:jc w:val="center"/>
                              <w:rPr>
                                <w:rFonts w:ascii="Sakkal Majalla" w:hAnsi="Sakkal Majalla" w:cs="Sakkal Majalla"/>
                                <w:b/>
                                <w:bCs/>
                              </w:rPr>
                            </w:pPr>
                            <w:r w:rsidRPr="00E80733">
                              <w:rPr>
                                <w:rFonts w:ascii="Sakkal Majalla" w:hAnsi="Sakkal Majalla" w:cs="Sakkal Majalla"/>
                                <w:b/>
                                <w:bCs/>
                                <w:rtl/>
                              </w:rPr>
                              <w:t>الابتكار التنظيم</w:t>
                            </w:r>
                            <w:r w:rsidR="00276C4F">
                              <w:rPr>
                                <w:rFonts w:ascii="Sakkal Majalla" w:hAnsi="Sakkal Majalla" w:cs="Sakkal Majalla" w:hint="cs"/>
                                <w:b/>
                                <w:bCs/>
                                <w:rtl/>
                              </w:rPr>
                              <w:t xml:space="preserve">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8F89DD" id="مستطيل مستدير الزوايا 4" o:spid="_x0000_s1026" style="position:absolute;left:0;text-align:left;margin-left:-6.4pt;margin-top:18.4pt;width:108.6pt;height:39.7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" filled="f" strokecolor="black [3200]" strokeweight="2pt">
                <v:textbox>
                  <w:txbxContent>
                    <w:p w14:paraId="63940A90" w14:textId="77777777" w:rsidR="00E674BA" w:rsidRPr="00E80733" w:rsidRDefault="00E674BA" w:rsidP="00E674BA">
                      <w:pPr>
                        <w:spacing w:after="0" w:line="240" w:lineRule="auto"/>
                        <w:jc w:val="center"/>
                        <w:rPr>
                          <w:rFonts w:ascii="Sakkal Majalla" w:hAnsi="Sakkal Majalla" w:cs="Sakkal Majalla"/>
                          <w:b/>
                          <w:bCs/>
                          <w:rtl/>
                        </w:rPr>
                      </w:pPr>
                      <w:r w:rsidRPr="00E80733">
                        <w:rPr>
                          <w:rFonts w:ascii="Sakkal Majalla" w:hAnsi="Sakkal Majalla" w:cs="Sakkal Majalla"/>
                          <w:b/>
                          <w:bCs/>
                          <w:rtl/>
                        </w:rPr>
                        <w:t>المتغير التابع</w:t>
                      </w:r>
                    </w:p>
                    <w:p w14:paraId="41662069" w14:textId="41CA552A" w:rsidR="00E674BA" w:rsidRPr="00E80733" w:rsidRDefault="00E674BA" w:rsidP="00E674BA">
                      <w:pPr>
                        <w:spacing w:after="0" w:line="240" w:lineRule="auto"/>
                        <w:jc w:val="center"/>
                        <w:rPr>
                          <w:rFonts w:ascii="Sakkal Majalla" w:hAnsi="Sakkal Majalla" w:cs="Sakkal Majalla"/>
                          <w:b/>
                          <w:bCs/>
                        </w:rPr>
                      </w:pPr>
                      <w:r w:rsidRPr="00E80733">
                        <w:rPr>
                          <w:rFonts w:ascii="Sakkal Majalla" w:hAnsi="Sakkal Majalla" w:cs="Sakkal Majalla"/>
                          <w:b/>
                          <w:bCs/>
                          <w:rtl/>
                        </w:rPr>
                        <w:t>الابتكار التنظيم</w:t>
                      </w:r>
                      <w:r w:rsidR="00276C4F">
                        <w:rPr>
                          <w:rFonts w:ascii="Sakkal Majalla" w:hAnsi="Sakkal Majalla" w:cs="Sakkal Majalla" w:hint="cs"/>
                          <w:b/>
                          <w:bCs/>
                          <w:rtl/>
                        </w:rPr>
                        <w:t xml:space="preserve">ي </w:t>
                      </w:r>
                    </w:p>
                  </w:txbxContent>
                </v:textbox>
                <w10:wrap anchorx="margin"/>
              </v:roundrect>
            </w:pict>
          </mc:Fallback>
        </mc:AlternateContent>
      </w:r>
      <w:r w:rsidRPr="00B87BE1">
        <w:rPr>
          <w:rFonts w:ascii="Traditional Arabic" w:hAnsi="Traditional Arabic" w:cs="Traditional Arabic"/>
          <w:noProof/>
          <w:rtl/>
        </w:rPr>
        <mc:AlternateContent>
          <mc:Choice Requires="wps">
            <w:drawing>
              <wp:anchor distT="0" distB="0" distL="114300" distR="114300" simplePos="0" relativeHeight="251665920" behindDoc="0" locked="0" layoutInCell="1" allowOverlap="1" wp14:anchorId="36F1EDE8" wp14:editId="2020931F">
                <wp:simplePos x="0" y="0"/>
                <wp:positionH relativeFrom="margin">
                  <wp:posOffset>1671320</wp:posOffset>
                </wp:positionH>
                <wp:positionV relativeFrom="paragraph">
                  <wp:posOffset>233680</wp:posOffset>
                </wp:positionV>
                <wp:extent cx="1796415" cy="542925"/>
                <wp:effectExtent l="0" t="0" r="13335" b="28575"/>
                <wp:wrapNone/>
                <wp:docPr id="8" name="مستطيل مستدير الزوايا 8"/>
                <wp:cNvGraphicFramePr/>
                <a:graphic xmlns:a="http://schemas.openxmlformats.org/drawingml/2006/main">
                  <a:graphicData uri="http://schemas.microsoft.com/office/word/2010/wordprocessingShape">
                    <wps:wsp>
                      <wps:cNvSpPr/>
                      <wps:spPr>
                        <a:xfrm>
                          <a:off x="0" y="0"/>
                          <a:ext cx="1796415" cy="542925"/>
                        </a:xfrm>
                        <a:prstGeom prst="roundRect">
                          <a:avLst/>
                        </a:prstGeom>
                        <a:noFill/>
                      </wps:spPr>
                      <wps:style>
                        <a:lnRef idx="2">
                          <a:schemeClr val="dk1"/>
                        </a:lnRef>
                        <a:fillRef idx="1">
                          <a:schemeClr val="lt1"/>
                        </a:fillRef>
                        <a:effectRef idx="0">
                          <a:schemeClr val="dk1"/>
                        </a:effectRef>
                        <a:fontRef idx="minor">
                          <a:schemeClr val="dk1"/>
                        </a:fontRef>
                      </wps:style>
                      <wps:txbx>
                        <w:txbxContent>
                          <w:p w14:paraId="499F005D" w14:textId="77777777" w:rsidR="00E674BA" w:rsidRDefault="00E674BA" w:rsidP="00E674BA">
                            <w:pPr>
                              <w:spacing w:after="0"/>
                              <w:jc w:val="center"/>
                              <w:rPr>
                                <w:rFonts w:ascii="Sakkal Majalla" w:hAnsi="Sakkal Majalla" w:cs="Sakkal Majalla"/>
                                <w:b/>
                                <w:bCs/>
                                <w:rtl/>
                              </w:rPr>
                            </w:pPr>
                            <w:r w:rsidRPr="00E80733">
                              <w:rPr>
                                <w:rFonts w:ascii="Sakkal Majalla" w:hAnsi="Sakkal Majalla" w:cs="Sakkal Majalla"/>
                                <w:b/>
                                <w:bCs/>
                                <w:rtl/>
                              </w:rPr>
                              <w:t>المتغير الوسيط</w:t>
                            </w:r>
                          </w:p>
                          <w:p w14:paraId="73DDBE9B" w14:textId="77777777" w:rsidR="00E674BA" w:rsidRPr="00E80733" w:rsidRDefault="00E674BA" w:rsidP="00E674BA">
                            <w:pPr>
                              <w:spacing w:after="0"/>
                              <w:jc w:val="center"/>
                              <w:rPr>
                                <w:rFonts w:ascii="Sakkal Majalla" w:hAnsi="Sakkal Majalla" w:cs="Sakkal Majalla"/>
                                <w:b/>
                                <w:bCs/>
                                <w:rtl/>
                              </w:rPr>
                            </w:pPr>
                            <w:r>
                              <w:rPr>
                                <w:rFonts w:ascii="Sakkal Majalla" w:hAnsi="Sakkal Majalla" w:cs="Sakkal Majalla" w:hint="cs"/>
                                <w:b/>
                                <w:bCs/>
                                <w:rtl/>
                              </w:rPr>
                              <w:t xml:space="preserve">جودة القرارات الاستراتيجية </w:t>
                            </w:r>
                          </w:p>
                          <w:p w14:paraId="1CE643CF" w14:textId="77777777" w:rsidR="00E674BA" w:rsidRPr="00E80733" w:rsidRDefault="00E674BA" w:rsidP="00E674BA">
                            <w:pPr>
                              <w:spacing w:after="0"/>
                              <w:rPr>
                                <w:rFonts w:ascii="Sakkal Majalla" w:hAnsi="Sakkal Majalla" w:cs="Sakkal Majalla"/>
                                <w:b/>
                                <w:bCs/>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F1EDE8" id="مستطيل مستدير الزوايا 8" o:spid="_x0000_s1027" style="position:absolute;left:0;text-align:left;margin-left:131.6pt;margin-top:18.4pt;width:141.45pt;height:42.7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" filled="f" strokecolor="black [3200]" strokeweight="2pt">
                <v:textbox>
                  <w:txbxContent>
                    <w:p w14:paraId="499F005D" w14:textId="77777777" w:rsidR="00E674BA" w:rsidRDefault="00E674BA" w:rsidP="00E674BA">
                      <w:pPr>
                        <w:spacing w:after="0"/>
                        <w:jc w:val="center"/>
                        <w:rPr>
                          <w:rFonts w:ascii="Sakkal Majalla" w:hAnsi="Sakkal Majalla" w:cs="Sakkal Majalla"/>
                          <w:b/>
                          <w:bCs/>
                          <w:rtl/>
                        </w:rPr>
                      </w:pPr>
                      <w:r w:rsidRPr="00E80733">
                        <w:rPr>
                          <w:rFonts w:ascii="Sakkal Majalla" w:hAnsi="Sakkal Majalla" w:cs="Sakkal Majalla"/>
                          <w:b/>
                          <w:bCs/>
                          <w:rtl/>
                        </w:rPr>
                        <w:t>المتغير الوسيط</w:t>
                      </w:r>
                    </w:p>
                    <w:p w14:paraId="73DDBE9B" w14:textId="77777777" w:rsidR="00E674BA" w:rsidRPr="00E80733" w:rsidRDefault="00E674BA" w:rsidP="00E674BA">
                      <w:pPr>
                        <w:spacing w:after="0"/>
                        <w:jc w:val="center"/>
                        <w:rPr>
                          <w:rFonts w:ascii="Sakkal Majalla" w:hAnsi="Sakkal Majalla" w:cs="Sakkal Majalla"/>
                          <w:b/>
                          <w:bCs/>
                          <w:rtl/>
                        </w:rPr>
                      </w:pPr>
                      <w:r>
                        <w:rPr>
                          <w:rFonts w:ascii="Sakkal Majalla" w:hAnsi="Sakkal Majalla" w:cs="Sakkal Majalla" w:hint="cs"/>
                          <w:b/>
                          <w:bCs/>
                          <w:rtl/>
                        </w:rPr>
                        <w:t xml:space="preserve">جودة القرارات الاستراتيجية </w:t>
                      </w:r>
                    </w:p>
                    <w:p w14:paraId="1CE643CF" w14:textId="77777777" w:rsidR="00E674BA" w:rsidRPr="00E80733" w:rsidRDefault="00E674BA" w:rsidP="00E674BA">
                      <w:pPr>
                        <w:spacing w:after="0"/>
                        <w:rPr>
                          <w:rFonts w:ascii="Sakkal Majalla" w:hAnsi="Sakkal Majalla" w:cs="Sakkal Majalla"/>
                          <w:b/>
                          <w:bCs/>
                        </w:rPr>
                      </w:pPr>
                    </w:p>
                  </w:txbxContent>
                </v:textbox>
                <w10:wrap anchorx="margin"/>
              </v:roundrect>
            </w:pict>
          </mc:Fallback>
        </mc:AlternateContent>
      </w:r>
      <w:r w:rsidRPr="00B87BE1">
        <w:rPr>
          <w:rFonts w:ascii="Traditional Arabic" w:hAnsi="Traditional Arabic" w:cs="Traditional Arabic"/>
          <w:noProof/>
          <w:rtl/>
        </w:rPr>
        <mc:AlternateContent>
          <mc:Choice Requires="wps">
            <w:drawing>
              <wp:anchor distT="0" distB="0" distL="114300" distR="114300" simplePos="0" relativeHeight="251661824" behindDoc="0" locked="0" layoutInCell="1" allowOverlap="1" wp14:anchorId="41422D4C" wp14:editId="0C3DCDB5">
                <wp:simplePos x="0" y="0"/>
                <wp:positionH relativeFrom="column">
                  <wp:posOffset>3785235</wp:posOffset>
                </wp:positionH>
                <wp:positionV relativeFrom="paragraph">
                  <wp:posOffset>220345</wp:posOffset>
                </wp:positionV>
                <wp:extent cx="1392555" cy="563880"/>
                <wp:effectExtent l="0" t="0" r="17145" b="26670"/>
                <wp:wrapNone/>
                <wp:docPr id="1" name="مستطيل مستدير الزوايا 1"/>
                <wp:cNvGraphicFramePr/>
                <a:graphic xmlns:a="http://schemas.openxmlformats.org/drawingml/2006/main">
                  <a:graphicData uri="http://schemas.microsoft.com/office/word/2010/wordprocessingShape">
                    <wps:wsp>
                      <wps:cNvSpPr/>
                      <wps:spPr>
                        <a:xfrm>
                          <a:off x="0" y="0"/>
                          <a:ext cx="1392555" cy="563880"/>
                        </a:xfrm>
                        <a:prstGeom prst="roundRect">
                          <a:avLst/>
                        </a:prstGeom>
                        <a:noFill/>
                      </wps:spPr>
                      <wps:style>
                        <a:lnRef idx="2">
                          <a:schemeClr val="dk1"/>
                        </a:lnRef>
                        <a:fillRef idx="1">
                          <a:schemeClr val="lt1"/>
                        </a:fillRef>
                        <a:effectRef idx="0">
                          <a:schemeClr val="dk1"/>
                        </a:effectRef>
                        <a:fontRef idx="minor">
                          <a:schemeClr val="dk1"/>
                        </a:fontRef>
                      </wps:style>
                      <wps:txbx>
                        <w:txbxContent>
                          <w:p w14:paraId="05F63DC8" w14:textId="77777777" w:rsidR="00E674BA" w:rsidRPr="00CF37EF" w:rsidRDefault="00E674BA" w:rsidP="00E674BA">
                            <w:pPr>
                              <w:spacing w:after="0" w:line="240" w:lineRule="auto"/>
                              <w:jc w:val="center"/>
                              <w:rPr>
                                <w:rFonts w:ascii="Sakkal Majalla" w:hAnsi="Sakkal Majalla" w:cs="Sakkal Majalla"/>
                                <w:b/>
                                <w:bCs/>
                                <w:sz w:val="20"/>
                                <w:szCs w:val="20"/>
                                <w:rtl/>
                              </w:rPr>
                            </w:pPr>
                            <w:r w:rsidRPr="00CF37EF">
                              <w:rPr>
                                <w:rFonts w:ascii="Sakkal Majalla" w:hAnsi="Sakkal Majalla" w:cs="Sakkal Majalla"/>
                                <w:b/>
                                <w:bCs/>
                                <w:sz w:val="20"/>
                                <w:szCs w:val="20"/>
                                <w:rtl/>
                              </w:rPr>
                              <w:t>المتغير المستقل</w:t>
                            </w:r>
                          </w:p>
                          <w:p w14:paraId="52ACC8C5" w14:textId="77777777" w:rsidR="00E674BA" w:rsidRPr="00CF37EF" w:rsidRDefault="00E674BA" w:rsidP="00E674BA">
                            <w:pPr>
                              <w:bidi/>
                              <w:spacing w:after="0" w:line="240" w:lineRule="auto"/>
                              <w:jc w:val="center"/>
                              <w:rPr>
                                <w:rFonts w:ascii="Sakkal Majalla" w:hAnsi="Sakkal Majalla" w:cs="Sakkal Majalla"/>
                                <w:b/>
                                <w:bCs/>
                                <w:sz w:val="20"/>
                                <w:szCs w:val="20"/>
                              </w:rPr>
                            </w:pPr>
                            <w:r w:rsidRPr="00CF37EF">
                              <w:rPr>
                                <w:rFonts w:ascii="Sakkal Majalla" w:hAnsi="Sakkal Majalla" w:cs="Sakkal Majalla"/>
                                <w:b/>
                                <w:bCs/>
                                <w:sz w:val="20"/>
                                <w:szCs w:val="20"/>
                                <w:rtl/>
                              </w:rPr>
                              <w:t>ذكاء الأعمال</w:t>
                            </w:r>
                            <w:r>
                              <w:rPr>
                                <w:rFonts w:ascii="Sakkal Majalla" w:hAnsi="Sakkal Majalla" w:cs="Sakkal Majalla" w:hint="cs"/>
                                <w:b/>
                                <w:bCs/>
                                <w:sz w:val="20"/>
                                <w:szCs w:val="20"/>
                                <w:rtl/>
                              </w:rPr>
                              <w:t xml:space="preserve"> وفق </w:t>
                            </w:r>
                            <w:r>
                              <w:rPr>
                                <w:rFonts w:ascii="Sakkal Majalla" w:hAnsi="Sakkal Majalla" w:cs="Sakkal Majalla"/>
                                <w:b/>
                                <w:bCs/>
                                <w:sz w:val="20"/>
                                <w:szCs w:val="20"/>
                              </w:rPr>
                              <w:t>TAM</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422D4C" id="مستطيل مستدير الزوايا 1" o:spid="_x0000_s1028" style="position:absolute;left:0;text-align:left;margin-left:298.05pt;margin-top:17.35pt;width:109.65pt;height:44.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" filled="f" strokecolor="black [3200]" strokeweight="2pt">
                <v:textbox>
                  <w:txbxContent>
                    <w:p w14:paraId="05F63DC8" w14:textId="77777777" w:rsidR="00E674BA" w:rsidRPr="00CF37EF" w:rsidRDefault="00E674BA" w:rsidP="00E674BA">
                      <w:pPr>
                        <w:spacing w:after="0" w:line="240" w:lineRule="auto"/>
                        <w:jc w:val="center"/>
                        <w:rPr>
                          <w:rFonts w:ascii="Sakkal Majalla" w:hAnsi="Sakkal Majalla" w:cs="Sakkal Majalla"/>
                          <w:b/>
                          <w:bCs/>
                          <w:sz w:val="20"/>
                          <w:szCs w:val="20"/>
                          <w:rtl/>
                        </w:rPr>
                      </w:pPr>
                      <w:r w:rsidRPr="00CF37EF">
                        <w:rPr>
                          <w:rFonts w:ascii="Sakkal Majalla" w:hAnsi="Sakkal Majalla" w:cs="Sakkal Majalla"/>
                          <w:b/>
                          <w:bCs/>
                          <w:sz w:val="20"/>
                          <w:szCs w:val="20"/>
                          <w:rtl/>
                        </w:rPr>
                        <w:t>المتغير المستقل</w:t>
                      </w:r>
                    </w:p>
                    <w:p w14:paraId="52ACC8C5" w14:textId="77777777" w:rsidR="00E674BA" w:rsidRPr="00CF37EF" w:rsidRDefault="00E674BA" w:rsidP="00E674BA">
                      <w:pPr>
                        <w:bidi/>
                        <w:spacing w:after="0" w:line="240" w:lineRule="auto"/>
                        <w:jc w:val="center"/>
                        <w:rPr>
                          <w:rFonts w:ascii="Sakkal Majalla" w:hAnsi="Sakkal Majalla" w:cs="Sakkal Majalla"/>
                          <w:b/>
                          <w:bCs/>
                          <w:sz w:val="20"/>
                          <w:szCs w:val="20"/>
                        </w:rPr>
                      </w:pPr>
                      <w:r w:rsidRPr="00CF37EF">
                        <w:rPr>
                          <w:rFonts w:ascii="Sakkal Majalla" w:hAnsi="Sakkal Majalla" w:cs="Sakkal Majalla"/>
                          <w:b/>
                          <w:bCs/>
                          <w:sz w:val="20"/>
                          <w:szCs w:val="20"/>
                          <w:rtl/>
                        </w:rPr>
                        <w:t>ذكاء الأعمال</w:t>
                      </w:r>
                      <w:r>
                        <w:rPr>
                          <w:rFonts w:ascii="Sakkal Majalla" w:hAnsi="Sakkal Majalla" w:cs="Sakkal Majalla" w:hint="cs"/>
                          <w:b/>
                          <w:bCs/>
                          <w:sz w:val="20"/>
                          <w:szCs w:val="20"/>
                          <w:rtl/>
                        </w:rPr>
                        <w:t xml:space="preserve"> وفق </w:t>
                      </w:r>
                      <w:r>
                        <w:rPr>
                          <w:rFonts w:ascii="Sakkal Majalla" w:hAnsi="Sakkal Majalla" w:cs="Sakkal Majalla"/>
                          <w:b/>
                          <w:bCs/>
                          <w:sz w:val="20"/>
                          <w:szCs w:val="20"/>
                        </w:rPr>
                        <w:t>TAM</w:t>
                      </w:r>
                    </w:p>
                  </w:txbxContent>
                </v:textbox>
              </v:roundrect>
            </w:pict>
          </mc:Fallback>
        </mc:AlternateContent>
      </w:r>
      <w:r w:rsidR="00E674BA" w:rsidRPr="00B87BE1">
        <w:rPr>
          <w:rFonts w:ascii="Traditional Arabic" w:hAnsi="Traditional Arabic" w:cs="Traditional Arabic"/>
          <w:rtl/>
        </w:rPr>
        <w:t xml:space="preserve"> </w:t>
      </w:r>
      <w:bookmarkStart w:id="28" w:name="_Toc213311338"/>
      <w:bookmarkStart w:id="29" w:name="_Toc213311565"/>
      <w:bookmarkStart w:id="30" w:name="_Toc215399848"/>
      <w:r w:rsidR="00E674BA" w:rsidRPr="00B87BE1">
        <w:rPr>
          <w:rFonts w:ascii="Traditional Arabic" w:hAnsi="Traditional Arabic" w:cs="Traditional Arabic"/>
          <w:rtl/>
        </w:rPr>
        <w:t>تم تصميم هذا النموذج بالاستعانة بدراسة (إبراهيم وعبده، 2023)</w:t>
      </w:r>
      <w:bookmarkEnd w:id="28"/>
      <w:bookmarkEnd w:id="29"/>
      <w:bookmarkEnd w:id="30"/>
    </w:p>
    <w:p w14:paraId="55C76636" w14:textId="192B9DDF" w:rsidR="00E674BA" w:rsidRPr="00B87BE1" w:rsidRDefault="00BD2ACC" w:rsidP="00E674BA">
      <w:pPr>
        <w:spacing w:after="240" w:line="360" w:lineRule="auto"/>
        <w:jc w:val="both"/>
        <w:rPr>
          <w:rFonts w:ascii="Traditional Arabic" w:hAnsi="Traditional Arabic" w:cs="Traditional Arabic"/>
          <w:bCs/>
          <w:color w:val="0D0D0D" w:themeColor="text1" w:themeTint="F2"/>
          <w:sz w:val="24"/>
          <w:szCs w:val="24"/>
          <w:rtl/>
        </w:rPr>
      </w:pPr>
      <w:r w:rsidRPr="00B87BE1">
        <w:rPr>
          <w:rFonts w:ascii="Traditional Arabic" w:hAnsi="Traditional Arabic" w:cs="Traditional Arabic"/>
          <w:bCs/>
          <w:noProof/>
          <w:color w:val="0D0D0D" w:themeColor="text1" w:themeTint="F2"/>
          <w:sz w:val="24"/>
          <w:szCs w:val="24"/>
          <w:rtl/>
          <w:lang w:val="ar-SA"/>
        </w:rPr>
        <mc:AlternateContent>
          <mc:Choice Requires="wps">
            <w:drawing>
              <wp:anchor distT="0" distB="0" distL="114300" distR="114300" simplePos="0" relativeHeight="251667968" behindDoc="0" locked="0" layoutInCell="1" allowOverlap="1" wp14:anchorId="291C7C81" wp14:editId="65ACA940">
                <wp:simplePos x="0" y="0"/>
                <wp:positionH relativeFrom="column">
                  <wp:posOffset>563880</wp:posOffset>
                </wp:positionH>
                <wp:positionV relativeFrom="paragraph">
                  <wp:posOffset>375285</wp:posOffset>
                </wp:positionV>
                <wp:extent cx="45085" cy="259080"/>
                <wp:effectExtent l="19050" t="0" r="31115" b="45720"/>
                <wp:wrapNone/>
                <wp:docPr id="5" name="Arrow: Down 5"/>
                <wp:cNvGraphicFramePr/>
                <a:graphic xmlns:a="http://schemas.openxmlformats.org/drawingml/2006/main">
                  <a:graphicData uri="http://schemas.microsoft.com/office/word/2010/wordprocessingShape">
                    <wps:wsp>
                      <wps:cNvSpPr/>
                      <wps:spPr>
                        <a:xfrm>
                          <a:off x="0" y="0"/>
                          <a:ext cx="45085" cy="2590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8E120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26" type="#_x0000_t67" style="position:absolute;margin-left:44.4pt;margin-top:29.55pt;width:3.55pt;height:20.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" adj="19721" fillcolor="#4f81bd [3204]" strokecolor="#243f60 [1604]" strokeweight="2pt"/>
            </w:pict>
          </mc:Fallback>
        </mc:AlternateContent>
      </w:r>
      <w:r w:rsidRPr="00B87BE1">
        <w:rPr>
          <w:rFonts w:ascii="Traditional Arabic" w:hAnsi="Traditional Arabic" w:cs="Traditional Arabic"/>
          <w:bCs/>
          <w:noProof/>
          <w:color w:val="0D0D0D" w:themeColor="text1" w:themeTint="F2"/>
          <w:sz w:val="24"/>
          <w:szCs w:val="24"/>
          <w:rtl/>
          <w:lang w:val="ar-SA"/>
        </w:rPr>
        <mc:AlternateContent>
          <mc:Choice Requires="wps">
            <w:drawing>
              <wp:anchor distT="0" distB="0" distL="114300" distR="114300" simplePos="0" relativeHeight="251668992" behindDoc="0" locked="0" layoutInCell="1" allowOverlap="1" wp14:anchorId="5C899A1E" wp14:editId="1582E5D1">
                <wp:simplePos x="0" y="0"/>
                <wp:positionH relativeFrom="column">
                  <wp:posOffset>2526030</wp:posOffset>
                </wp:positionH>
                <wp:positionV relativeFrom="paragraph">
                  <wp:posOffset>373380</wp:posOffset>
                </wp:positionV>
                <wp:extent cx="107315" cy="236220"/>
                <wp:effectExtent l="19050" t="0" r="45085" b="30480"/>
                <wp:wrapNone/>
                <wp:docPr id="9" name="Arrow: Down 9"/>
                <wp:cNvGraphicFramePr/>
                <a:graphic xmlns:a="http://schemas.openxmlformats.org/drawingml/2006/main">
                  <a:graphicData uri="http://schemas.microsoft.com/office/word/2010/wordprocessingShape">
                    <wps:wsp>
                      <wps:cNvSpPr/>
                      <wps:spPr>
                        <a:xfrm flipH="1">
                          <a:off x="0" y="0"/>
                          <a:ext cx="107315" cy="2362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0BD32" id="Arrow: Down 9" o:spid="_x0000_s1026" type="#_x0000_t67" style="position:absolute;margin-left:198.9pt;margin-top:29.4pt;width:8.45pt;height:18.6pt;flip:x;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" adj="16694" fillcolor="#4f81bd [3204]" strokecolor="#243f60 [1604]" strokeweight="2pt"/>
            </w:pict>
          </mc:Fallback>
        </mc:AlternateContent>
      </w:r>
      <w:r w:rsidR="00E674BA" w:rsidRPr="00B87BE1">
        <w:rPr>
          <w:rFonts w:ascii="Traditional Arabic" w:hAnsi="Traditional Arabic" w:cs="Traditional Arabic"/>
          <w:bCs/>
          <w:noProof/>
          <w:color w:val="0D0D0D" w:themeColor="text1" w:themeTint="F2"/>
          <w:sz w:val="24"/>
          <w:szCs w:val="24"/>
          <w:rtl/>
          <w:lang w:val="ar-SA"/>
        </w:rPr>
        <mc:AlternateContent>
          <mc:Choice Requires="wps">
            <w:drawing>
              <wp:anchor distT="0" distB="0" distL="114300" distR="114300" simplePos="0" relativeHeight="251670016" behindDoc="0" locked="0" layoutInCell="1" allowOverlap="1" wp14:anchorId="1FE90FFF" wp14:editId="5EC93604">
                <wp:simplePos x="0" y="0"/>
                <wp:positionH relativeFrom="column">
                  <wp:posOffset>4454979</wp:posOffset>
                </wp:positionH>
                <wp:positionV relativeFrom="paragraph">
                  <wp:posOffset>399415</wp:posOffset>
                </wp:positionV>
                <wp:extent cx="45085" cy="278130"/>
                <wp:effectExtent l="19050" t="0" r="31115" b="45720"/>
                <wp:wrapNone/>
                <wp:docPr id="12" name="Arrow: Down 12"/>
                <wp:cNvGraphicFramePr/>
                <a:graphic xmlns:a="http://schemas.openxmlformats.org/drawingml/2006/main">
                  <a:graphicData uri="http://schemas.microsoft.com/office/word/2010/wordprocessingShape">
                    <wps:wsp>
                      <wps:cNvSpPr/>
                      <wps:spPr>
                        <a:xfrm>
                          <a:off x="0" y="0"/>
                          <a:ext cx="45085" cy="2781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3597BE2" id="Arrow: Down 12" o:spid="_x0000_s1026" type="#_x0000_t67" style="position:absolute;margin-left:350.8pt;margin-top:31.45pt;width:3.55pt;height:21.9pt;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" adj="19849" fillcolor="#4f81bd [3204]" strokecolor="#243f60 [1604]" strokeweight="2pt"/>
            </w:pict>
          </mc:Fallback>
        </mc:AlternateContent>
      </w:r>
    </w:p>
    <w:p w14:paraId="5DA90DC4" w14:textId="77777777" w:rsidR="00E674BA" w:rsidRPr="00B87BE1" w:rsidRDefault="00E674BA" w:rsidP="00E674BA">
      <w:pPr>
        <w:spacing w:after="240" w:line="360" w:lineRule="auto"/>
        <w:jc w:val="both"/>
        <w:rPr>
          <w:rFonts w:ascii="Traditional Arabic" w:hAnsi="Traditional Arabic" w:cs="Traditional Arabic"/>
          <w:bCs/>
          <w:color w:val="0D0D0D" w:themeColor="text1" w:themeTint="F2"/>
          <w:sz w:val="24"/>
          <w:szCs w:val="24"/>
          <w:rtl/>
        </w:rPr>
      </w:pPr>
      <w:r w:rsidRPr="00B87BE1">
        <w:rPr>
          <w:rFonts w:ascii="Traditional Arabic" w:hAnsi="Traditional Arabic" w:cs="Traditional Arabic"/>
          <w:bCs/>
          <w:noProof/>
          <w:color w:val="0D0D0D" w:themeColor="text1" w:themeTint="F2"/>
          <w:sz w:val="24"/>
          <w:szCs w:val="24"/>
          <w:rtl/>
        </w:rPr>
        <mc:AlternateContent>
          <mc:Choice Requires="wps">
            <w:drawing>
              <wp:anchor distT="0" distB="0" distL="114300" distR="114300" simplePos="0" relativeHeight="251663872" behindDoc="0" locked="0" layoutInCell="1" allowOverlap="1" wp14:anchorId="0E9328B5" wp14:editId="3E8D4E0B">
                <wp:simplePos x="0" y="0"/>
                <wp:positionH relativeFrom="margin">
                  <wp:posOffset>3693795</wp:posOffset>
                </wp:positionH>
                <wp:positionV relativeFrom="paragraph">
                  <wp:posOffset>115298</wp:posOffset>
                </wp:positionV>
                <wp:extent cx="1491615" cy="1428750"/>
                <wp:effectExtent l="0" t="0" r="13335" b="19050"/>
                <wp:wrapNone/>
                <wp:docPr id="6" name="مستطيل مستدير الزوايا 6"/>
                <wp:cNvGraphicFramePr/>
                <a:graphic xmlns:a="http://schemas.openxmlformats.org/drawingml/2006/main">
                  <a:graphicData uri="http://schemas.microsoft.com/office/word/2010/wordprocessingShape">
                    <wps:wsp>
                      <wps:cNvSpPr/>
                      <wps:spPr>
                        <a:xfrm>
                          <a:off x="0" y="0"/>
                          <a:ext cx="1491615" cy="1428750"/>
                        </a:xfrm>
                        <a:prstGeom prst="roundRect">
                          <a:avLst/>
                        </a:prstGeom>
                        <a:noFill/>
                      </wps:spPr>
                      <wps:style>
                        <a:lnRef idx="2">
                          <a:schemeClr val="accent6"/>
                        </a:lnRef>
                        <a:fillRef idx="1">
                          <a:schemeClr val="lt1"/>
                        </a:fillRef>
                        <a:effectRef idx="0">
                          <a:schemeClr val="accent6"/>
                        </a:effectRef>
                        <a:fontRef idx="minor">
                          <a:schemeClr val="dk1"/>
                        </a:fontRef>
                      </wps:style>
                      <wps:txbx>
                        <w:txbxContent>
                          <w:p w14:paraId="48C42DA5" w14:textId="4E806A2C" w:rsidR="00E674BA" w:rsidRDefault="00E674BA" w:rsidP="00E674BA">
                            <w:pPr>
                              <w:bidi/>
                              <w:spacing w:after="0"/>
                              <w:rPr>
                                <w:rStyle w:val="Strong"/>
                                <w:rFonts w:ascii="Sakkal Majalla" w:hAnsi="Sakkal Majalla" w:cs="Sakkal Majalla"/>
                                <w:sz w:val="20"/>
                                <w:szCs w:val="20"/>
                                <w:rtl/>
                              </w:rPr>
                            </w:pPr>
                            <w:r w:rsidRPr="00AB2F14">
                              <w:rPr>
                                <w:rStyle w:val="Strong"/>
                                <w:rFonts w:ascii="Sakkal Majalla" w:hAnsi="Sakkal Majalla" w:cs="Sakkal Majalla"/>
                                <w:sz w:val="20"/>
                                <w:szCs w:val="20"/>
                                <w:rtl/>
                              </w:rPr>
                              <w:t xml:space="preserve">- </w:t>
                            </w:r>
                            <w:r>
                              <w:rPr>
                                <w:rStyle w:val="Strong"/>
                                <w:rFonts w:ascii="Sakkal Majalla" w:hAnsi="Sakkal Majalla" w:cs="Sakkal Majalla" w:hint="cs"/>
                                <w:sz w:val="20"/>
                                <w:szCs w:val="20"/>
                                <w:rtl/>
                              </w:rPr>
                              <w:t>الفائدة الم</w:t>
                            </w:r>
                            <w:r w:rsidR="00BD2ACC">
                              <w:rPr>
                                <w:rStyle w:val="Strong"/>
                                <w:rFonts w:ascii="Sakkal Majalla" w:hAnsi="Sakkal Majalla" w:cs="Sakkal Majalla" w:hint="cs"/>
                                <w:sz w:val="20"/>
                                <w:szCs w:val="20"/>
                                <w:rtl/>
                              </w:rPr>
                              <w:t>دركة</w:t>
                            </w:r>
                          </w:p>
                          <w:p w14:paraId="2917FDCA" w14:textId="0731D026" w:rsidR="00E674BA" w:rsidRDefault="00E674BA" w:rsidP="00E674BA">
                            <w:pPr>
                              <w:bidi/>
                              <w:spacing w:after="0"/>
                              <w:rPr>
                                <w:rStyle w:val="Strong"/>
                                <w:rFonts w:ascii="Sakkal Majalla" w:hAnsi="Sakkal Majalla" w:cs="Sakkal Majalla"/>
                                <w:sz w:val="20"/>
                                <w:szCs w:val="20"/>
                                <w:rtl/>
                              </w:rPr>
                            </w:pPr>
                            <w:r>
                              <w:rPr>
                                <w:rStyle w:val="Strong"/>
                                <w:rFonts w:ascii="Sakkal Majalla" w:hAnsi="Sakkal Majalla" w:cs="Sakkal Majalla" w:hint="cs"/>
                                <w:sz w:val="20"/>
                                <w:szCs w:val="20"/>
                                <w:rtl/>
                              </w:rPr>
                              <w:t>سهولة الاستخدام الم</w:t>
                            </w:r>
                            <w:r w:rsidR="00BD2ACC">
                              <w:rPr>
                                <w:rStyle w:val="Strong"/>
                                <w:rFonts w:ascii="Sakkal Majalla" w:hAnsi="Sakkal Majalla" w:cs="Sakkal Majalla" w:hint="cs"/>
                                <w:sz w:val="20"/>
                                <w:szCs w:val="20"/>
                                <w:rtl/>
                              </w:rPr>
                              <w:t>دركة</w:t>
                            </w:r>
                          </w:p>
                          <w:p w14:paraId="187008F9" w14:textId="77777777" w:rsidR="00E674BA" w:rsidRPr="00AB2F14" w:rsidRDefault="00E674BA" w:rsidP="00E674BA">
                            <w:pPr>
                              <w:bidi/>
                              <w:spacing w:after="0"/>
                              <w:rPr>
                                <w:b/>
                                <w:bCs/>
                                <w:sz w:val="20"/>
                                <w:szCs w:val="20"/>
                                <w:rtl/>
                              </w:rPr>
                            </w:pPr>
                            <w:r>
                              <w:rPr>
                                <w:rStyle w:val="Strong"/>
                                <w:rFonts w:ascii="Sakkal Majalla" w:hAnsi="Sakkal Majalla" w:cs="Sakkal Majalla" w:hint="cs"/>
                                <w:sz w:val="20"/>
                                <w:szCs w:val="20"/>
                                <w:rtl/>
                              </w:rPr>
                              <w:t>نية الاستخدام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9328B5" id="مستطيل مستدير الزوايا 6" o:spid="_x0000_s1029" style="position:absolute;left:0;text-align:left;margin-left:290.85pt;margin-top:9.1pt;width:117.45pt;height:112.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" filled="f" strokecolor="#f79646 [3209]" strokeweight="2pt">
                <v:textbox>
                  <w:txbxContent>
                    <w:p w14:paraId="48C42DA5" w14:textId="4E806A2C" w:rsidR="00E674BA" w:rsidRDefault="00E674BA" w:rsidP="00E674BA">
                      <w:pPr>
                        <w:bidi/>
                        <w:spacing w:after="0"/>
                        <w:rPr>
                          <w:rStyle w:val="Strong"/>
                          <w:rFonts w:ascii="Sakkal Majalla" w:hAnsi="Sakkal Majalla" w:cs="Sakkal Majalla"/>
                          <w:sz w:val="20"/>
                          <w:szCs w:val="20"/>
                          <w:rtl/>
                        </w:rPr>
                      </w:pPr>
                      <w:r w:rsidRPr="00AB2F14">
                        <w:rPr>
                          <w:rStyle w:val="Strong"/>
                          <w:rFonts w:ascii="Sakkal Majalla" w:hAnsi="Sakkal Majalla" w:cs="Sakkal Majalla"/>
                          <w:sz w:val="20"/>
                          <w:szCs w:val="20"/>
                          <w:rtl/>
                        </w:rPr>
                        <w:t xml:space="preserve">- </w:t>
                      </w:r>
                      <w:r>
                        <w:rPr>
                          <w:rStyle w:val="Strong"/>
                          <w:rFonts w:ascii="Sakkal Majalla" w:hAnsi="Sakkal Majalla" w:cs="Sakkal Majalla" w:hint="cs"/>
                          <w:sz w:val="20"/>
                          <w:szCs w:val="20"/>
                          <w:rtl/>
                        </w:rPr>
                        <w:t>الفائدة الم</w:t>
                      </w:r>
                      <w:r w:rsidR="00BD2ACC">
                        <w:rPr>
                          <w:rStyle w:val="Strong"/>
                          <w:rFonts w:ascii="Sakkal Majalla" w:hAnsi="Sakkal Majalla" w:cs="Sakkal Majalla" w:hint="cs"/>
                          <w:sz w:val="20"/>
                          <w:szCs w:val="20"/>
                          <w:rtl/>
                        </w:rPr>
                        <w:t>دركة</w:t>
                      </w:r>
                    </w:p>
                    <w:p w14:paraId="2917FDCA" w14:textId="0731D026" w:rsidR="00E674BA" w:rsidRDefault="00E674BA" w:rsidP="00E674BA">
                      <w:pPr>
                        <w:bidi/>
                        <w:spacing w:after="0"/>
                        <w:rPr>
                          <w:rStyle w:val="Strong"/>
                          <w:rFonts w:ascii="Sakkal Majalla" w:hAnsi="Sakkal Majalla" w:cs="Sakkal Majalla"/>
                          <w:sz w:val="20"/>
                          <w:szCs w:val="20"/>
                          <w:rtl/>
                        </w:rPr>
                      </w:pPr>
                      <w:r>
                        <w:rPr>
                          <w:rStyle w:val="Strong"/>
                          <w:rFonts w:ascii="Sakkal Majalla" w:hAnsi="Sakkal Majalla" w:cs="Sakkal Majalla" w:hint="cs"/>
                          <w:sz w:val="20"/>
                          <w:szCs w:val="20"/>
                          <w:rtl/>
                        </w:rPr>
                        <w:t>سهولة الاستخدام الم</w:t>
                      </w:r>
                      <w:r w:rsidR="00BD2ACC">
                        <w:rPr>
                          <w:rStyle w:val="Strong"/>
                          <w:rFonts w:ascii="Sakkal Majalla" w:hAnsi="Sakkal Majalla" w:cs="Sakkal Majalla" w:hint="cs"/>
                          <w:sz w:val="20"/>
                          <w:szCs w:val="20"/>
                          <w:rtl/>
                        </w:rPr>
                        <w:t>دركة</w:t>
                      </w:r>
                    </w:p>
                    <w:p w14:paraId="187008F9" w14:textId="77777777" w:rsidR="00E674BA" w:rsidRPr="00AB2F14" w:rsidRDefault="00E674BA" w:rsidP="00E674BA">
                      <w:pPr>
                        <w:bidi/>
                        <w:spacing w:after="0"/>
                        <w:rPr>
                          <w:b/>
                          <w:bCs/>
                          <w:sz w:val="20"/>
                          <w:szCs w:val="20"/>
                          <w:rtl/>
                        </w:rPr>
                      </w:pPr>
                      <w:r>
                        <w:rPr>
                          <w:rStyle w:val="Strong"/>
                          <w:rFonts w:ascii="Sakkal Majalla" w:hAnsi="Sakkal Majalla" w:cs="Sakkal Majalla" w:hint="cs"/>
                          <w:sz w:val="20"/>
                          <w:szCs w:val="20"/>
                          <w:rtl/>
                        </w:rPr>
                        <w:t>نية الاستخدام</w:t>
                      </w:r>
                    </w:p>
                  </w:txbxContent>
                </v:textbox>
                <w10:wrap anchorx="margin"/>
              </v:roundrect>
            </w:pict>
          </mc:Fallback>
        </mc:AlternateContent>
      </w:r>
      <w:r w:rsidRPr="00B87BE1">
        <w:rPr>
          <w:rFonts w:ascii="Traditional Arabic" w:hAnsi="Traditional Arabic" w:cs="Traditional Arabic"/>
          <w:bCs/>
          <w:noProof/>
          <w:color w:val="0D0D0D" w:themeColor="text1" w:themeTint="F2"/>
          <w:sz w:val="24"/>
          <w:szCs w:val="24"/>
          <w:rtl/>
        </w:rPr>
        <mc:AlternateContent>
          <mc:Choice Requires="wps">
            <w:drawing>
              <wp:anchor distT="0" distB="0" distL="114300" distR="114300" simplePos="0" relativeHeight="251666944" behindDoc="0" locked="0" layoutInCell="1" allowOverlap="1" wp14:anchorId="4DF7CEDE" wp14:editId="36C7F071">
                <wp:simplePos x="0" y="0"/>
                <wp:positionH relativeFrom="margin">
                  <wp:posOffset>-19050</wp:posOffset>
                </wp:positionH>
                <wp:positionV relativeFrom="paragraph">
                  <wp:posOffset>112395</wp:posOffset>
                </wp:positionV>
                <wp:extent cx="1322070" cy="1428750"/>
                <wp:effectExtent l="0" t="0" r="11430" b="19050"/>
                <wp:wrapNone/>
                <wp:docPr id="2" name="مستطيل مستدير الزوايا 6"/>
                <wp:cNvGraphicFramePr/>
                <a:graphic xmlns:a="http://schemas.openxmlformats.org/drawingml/2006/main">
                  <a:graphicData uri="http://schemas.microsoft.com/office/word/2010/wordprocessingShape">
                    <wps:wsp>
                      <wps:cNvSpPr/>
                      <wps:spPr>
                        <a:xfrm>
                          <a:off x="0" y="0"/>
                          <a:ext cx="1322070" cy="1428750"/>
                        </a:xfrm>
                        <a:prstGeom prst="roundRect">
                          <a:avLst/>
                        </a:prstGeom>
                        <a:noFill/>
                      </wps:spPr>
                      <wps:style>
                        <a:lnRef idx="2">
                          <a:schemeClr val="accent6"/>
                        </a:lnRef>
                        <a:fillRef idx="1">
                          <a:schemeClr val="lt1"/>
                        </a:fillRef>
                        <a:effectRef idx="0">
                          <a:schemeClr val="accent6"/>
                        </a:effectRef>
                        <a:fontRef idx="minor">
                          <a:schemeClr val="dk1"/>
                        </a:fontRef>
                      </wps:style>
                      <wps:txbx>
                        <w:txbxContent>
                          <w:p w14:paraId="1D150317" w14:textId="77777777" w:rsidR="00E674BA" w:rsidRPr="00AA52D3" w:rsidRDefault="00E674BA" w:rsidP="00E674BA">
                            <w:pPr>
                              <w:bidi/>
                              <w:spacing w:after="0"/>
                              <w:rPr>
                                <w:rFonts w:ascii="Sakkal Majalla" w:hAnsi="Sakkal Majalla" w:cs="Sakkal Majalla"/>
                                <w:sz w:val="20"/>
                                <w:szCs w:val="20"/>
                                <w:rtl/>
                              </w:rPr>
                            </w:pPr>
                            <w:r>
                              <w:rPr>
                                <w:rStyle w:val="Strong"/>
                                <w:rFonts w:ascii="Sakkal Majalla" w:hAnsi="Sakkal Majalla" w:cs="Sakkal Majalla" w:hint="cs"/>
                                <w:sz w:val="20"/>
                                <w:szCs w:val="20"/>
                                <w:rtl/>
                              </w:rPr>
                              <w:t>-</w:t>
                            </w:r>
                            <w:r w:rsidRPr="00AA52D3">
                              <w:rPr>
                                <w:rStyle w:val="Strong"/>
                                <w:rFonts w:ascii="Sakkal Majalla" w:hAnsi="Sakkal Majalla" w:cs="Sakkal Majalla"/>
                                <w:sz w:val="20"/>
                                <w:szCs w:val="20"/>
                                <w:rtl/>
                              </w:rPr>
                              <w:t>ابتكار المنتج</w:t>
                            </w:r>
                          </w:p>
                          <w:p w14:paraId="4A243989" w14:textId="77777777" w:rsidR="00E674BA" w:rsidRPr="00AA52D3" w:rsidRDefault="00E674BA" w:rsidP="00E674BA">
                            <w:pPr>
                              <w:bidi/>
                              <w:spacing w:after="0"/>
                              <w:rPr>
                                <w:rStyle w:val="Strong"/>
                                <w:rFonts w:ascii="Sakkal Majalla" w:hAnsi="Sakkal Majalla" w:cs="Sakkal Majalla"/>
                                <w:sz w:val="20"/>
                                <w:szCs w:val="20"/>
                              </w:rPr>
                            </w:pPr>
                            <w:r>
                              <w:rPr>
                                <w:rStyle w:val="Strong"/>
                                <w:rFonts w:ascii="Sakkal Majalla" w:hAnsi="Sakkal Majalla" w:cs="Sakkal Majalla" w:hint="cs"/>
                                <w:sz w:val="20"/>
                                <w:szCs w:val="20"/>
                                <w:rtl/>
                              </w:rPr>
                              <w:t>-</w:t>
                            </w:r>
                            <w:r w:rsidRPr="00AA52D3">
                              <w:rPr>
                                <w:rStyle w:val="Strong"/>
                                <w:rFonts w:ascii="Sakkal Majalla" w:hAnsi="Sakkal Majalla" w:cs="Sakkal Majalla"/>
                                <w:sz w:val="20"/>
                                <w:szCs w:val="20"/>
                                <w:rtl/>
                              </w:rPr>
                              <w:t>الابتكار التنظيمي (الإداري)</w:t>
                            </w:r>
                          </w:p>
                          <w:p w14:paraId="6AC00EBD" w14:textId="77777777" w:rsidR="00E674BA" w:rsidRPr="00AA52D3" w:rsidRDefault="00E674BA" w:rsidP="00E674BA">
                            <w:pPr>
                              <w:bidi/>
                              <w:spacing w:after="0"/>
                              <w:rPr>
                                <w:rFonts w:ascii="Sakkal Majalla" w:hAnsi="Sakkal Majalla" w:cs="Sakkal Majalla"/>
                                <w:b/>
                                <w:bCs/>
                                <w:sz w:val="20"/>
                                <w:szCs w:val="20"/>
                                <w:rtl/>
                              </w:rPr>
                            </w:pPr>
                            <w:r>
                              <w:rPr>
                                <w:rStyle w:val="Strong"/>
                                <w:rFonts w:ascii="Sakkal Majalla" w:hAnsi="Sakkal Majalla" w:cs="Sakkal Majalla" w:hint="cs"/>
                                <w:sz w:val="20"/>
                                <w:szCs w:val="20"/>
                                <w:rtl/>
                              </w:rPr>
                              <w:t>-</w:t>
                            </w:r>
                            <w:r w:rsidRPr="00AA52D3">
                              <w:rPr>
                                <w:rStyle w:val="Strong"/>
                                <w:rFonts w:ascii="Sakkal Majalla" w:hAnsi="Sakkal Majalla" w:cs="Sakkal Majalla"/>
                                <w:sz w:val="20"/>
                                <w:szCs w:val="20"/>
                                <w:rtl/>
                              </w:rPr>
                              <w:t>الثقافة التنظيمية الداعمة للابتكار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F7CEDE" id="_x0000_s1030" style="position:absolute;left:0;text-align:left;margin-left:-1.5pt;margin-top:8.85pt;width:104.1pt;height:112.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" filled="f" strokecolor="#f79646 [3209]" strokeweight="2pt">
                <v:textbox>
                  <w:txbxContent>
                    <w:p w14:paraId="1D150317" w14:textId="77777777" w:rsidR="00E674BA" w:rsidRPr="00AA52D3" w:rsidRDefault="00E674BA" w:rsidP="00E674BA">
                      <w:pPr>
                        <w:bidi/>
                        <w:spacing w:after="0"/>
                        <w:rPr>
                          <w:rFonts w:ascii="Sakkal Majalla" w:hAnsi="Sakkal Majalla" w:cs="Sakkal Majalla"/>
                          <w:sz w:val="20"/>
                          <w:szCs w:val="20"/>
                          <w:rtl/>
                        </w:rPr>
                      </w:pPr>
                      <w:r>
                        <w:rPr>
                          <w:rStyle w:val="Strong"/>
                          <w:rFonts w:ascii="Sakkal Majalla" w:hAnsi="Sakkal Majalla" w:cs="Sakkal Majalla" w:hint="cs"/>
                          <w:sz w:val="20"/>
                          <w:szCs w:val="20"/>
                          <w:rtl/>
                        </w:rPr>
                        <w:t>-</w:t>
                      </w:r>
                      <w:r w:rsidRPr="00AA52D3">
                        <w:rPr>
                          <w:rStyle w:val="Strong"/>
                          <w:rFonts w:ascii="Sakkal Majalla" w:hAnsi="Sakkal Majalla" w:cs="Sakkal Majalla"/>
                          <w:sz w:val="20"/>
                          <w:szCs w:val="20"/>
                          <w:rtl/>
                        </w:rPr>
                        <w:t>ابتكار المنتج</w:t>
                      </w:r>
                    </w:p>
                    <w:p w14:paraId="4A243989" w14:textId="77777777" w:rsidR="00E674BA" w:rsidRPr="00AA52D3" w:rsidRDefault="00E674BA" w:rsidP="00E674BA">
                      <w:pPr>
                        <w:bidi/>
                        <w:spacing w:after="0"/>
                        <w:rPr>
                          <w:rStyle w:val="Strong"/>
                          <w:rFonts w:ascii="Sakkal Majalla" w:hAnsi="Sakkal Majalla" w:cs="Sakkal Majalla"/>
                          <w:sz w:val="20"/>
                          <w:szCs w:val="20"/>
                        </w:rPr>
                      </w:pPr>
                      <w:r>
                        <w:rPr>
                          <w:rStyle w:val="Strong"/>
                          <w:rFonts w:ascii="Sakkal Majalla" w:hAnsi="Sakkal Majalla" w:cs="Sakkal Majalla" w:hint="cs"/>
                          <w:sz w:val="20"/>
                          <w:szCs w:val="20"/>
                          <w:rtl/>
                        </w:rPr>
                        <w:t>-</w:t>
                      </w:r>
                      <w:r w:rsidRPr="00AA52D3">
                        <w:rPr>
                          <w:rStyle w:val="Strong"/>
                          <w:rFonts w:ascii="Sakkal Majalla" w:hAnsi="Sakkal Majalla" w:cs="Sakkal Majalla"/>
                          <w:sz w:val="20"/>
                          <w:szCs w:val="20"/>
                          <w:rtl/>
                        </w:rPr>
                        <w:t>الابتكار التنظيمي (الإداري)</w:t>
                      </w:r>
                    </w:p>
                    <w:p w14:paraId="6AC00EBD" w14:textId="77777777" w:rsidR="00E674BA" w:rsidRPr="00AA52D3" w:rsidRDefault="00E674BA" w:rsidP="00E674BA">
                      <w:pPr>
                        <w:bidi/>
                        <w:spacing w:after="0"/>
                        <w:rPr>
                          <w:rFonts w:ascii="Sakkal Majalla" w:hAnsi="Sakkal Majalla" w:cs="Sakkal Majalla"/>
                          <w:b/>
                          <w:bCs/>
                          <w:sz w:val="20"/>
                          <w:szCs w:val="20"/>
                          <w:rtl/>
                        </w:rPr>
                      </w:pPr>
                      <w:r>
                        <w:rPr>
                          <w:rStyle w:val="Strong"/>
                          <w:rFonts w:ascii="Sakkal Majalla" w:hAnsi="Sakkal Majalla" w:cs="Sakkal Majalla" w:hint="cs"/>
                          <w:sz w:val="20"/>
                          <w:szCs w:val="20"/>
                          <w:rtl/>
                        </w:rPr>
                        <w:t>-</w:t>
                      </w:r>
                      <w:r w:rsidRPr="00AA52D3">
                        <w:rPr>
                          <w:rStyle w:val="Strong"/>
                          <w:rFonts w:ascii="Sakkal Majalla" w:hAnsi="Sakkal Majalla" w:cs="Sakkal Majalla"/>
                          <w:sz w:val="20"/>
                          <w:szCs w:val="20"/>
                          <w:rtl/>
                        </w:rPr>
                        <w:t>الثقافة التنظيمية الداعمة للابتكار</w:t>
                      </w:r>
                    </w:p>
                  </w:txbxContent>
                </v:textbox>
                <w10:wrap anchorx="margin"/>
              </v:roundrect>
            </w:pict>
          </mc:Fallback>
        </mc:AlternateContent>
      </w:r>
      <w:r w:rsidRPr="00B87BE1">
        <w:rPr>
          <w:rFonts w:ascii="Traditional Arabic" w:hAnsi="Traditional Arabic" w:cs="Traditional Arabic"/>
          <w:bCs/>
          <w:noProof/>
          <w:color w:val="0D0D0D" w:themeColor="text1" w:themeTint="F2"/>
          <w:sz w:val="24"/>
          <w:szCs w:val="24"/>
          <w:rtl/>
        </w:rPr>
        <mc:AlternateContent>
          <mc:Choice Requires="wps">
            <w:drawing>
              <wp:anchor distT="0" distB="0" distL="114300" distR="114300" simplePos="0" relativeHeight="251664896" behindDoc="0" locked="0" layoutInCell="1" allowOverlap="1" wp14:anchorId="2F5FF811" wp14:editId="0FBC75ED">
                <wp:simplePos x="0" y="0"/>
                <wp:positionH relativeFrom="column">
                  <wp:posOffset>1807464</wp:posOffset>
                </wp:positionH>
                <wp:positionV relativeFrom="paragraph">
                  <wp:posOffset>105665</wp:posOffset>
                </wp:positionV>
                <wp:extent cx="1371600" cy="1371600"/>
                <wp:effectExtent l="0" t="0" r="19050" b="19050"/>
                <wp:wrapNone/>
                <wp:docPr id="7" name="مستطيل مستدير الزوايا 7"/>
                <wp:cNvGraphicFramePr/>
                <a:graphic xmlns:a="http://schemas.openxmlformats.org/drawingml/2006/main">
                  <a:graphicData uri="http://schemas.microsoft.com/office/word/2010/wordprocessingShape">
                    <wps:wsp>
                      <wps:cNvSpPr/>
                      <wps:spPr>
                        <a:xfrm>
                          <a:off x="0" y="0"/>
                          <a:ext cx="1371600" cy="1371600"/>
                        </a:xfrm>
                        <a:prstGeom prst="roundRect">
                          <a:avLst/>
                        </a:prstGeom>
                        <a:noFill/>
                      </wps:spPr>
                      <wps:style>
                        <a:lnRef idx="2">
                          <a:schemeClr val="accent6"/>
                        </a:lnRef>
                        <a:fillRef idx="1">
                          <a:schemeClr val="lt1"/>
                        </a:fillRef>
                        <a:effectRef idx="0">
                          <a:schemeClr val="accent6"/>
                        </a:effectRef>
                        <a:fontRef idx="minor">
                          <a:schemeClr val="dk1"/>
                        </a:fontRef>
                      </wps:style>
                      <wps:txbx>
                        <w:txbxContent>
                          <w:p w14:paraId="65025DEC" w14:textId="77777777" w:rsidR="00E674BA" w:rsidRPr="00CF37EF" w:rsidRDefault="00E674BA" w:rsidP="00E674BA">
                            <w:pPr>
                              <w:bidi/>
                              <w:spacing w:after="0"/>
                              <w:rPr>
                                <w:rFonts w:ascii="Sakkal Majalla" w:hAnsi="Sakkal Majalla" w:cs="Sakkal Majalla"/>
                                <w:sz w:val="20"/>
                                <w:szCs w:val="20"/>
                                <w:rtl/>
                              </w:rPr>
                            </w:pPr>
                            <w:r>
                              <w:rPr>
                                <w:rStyle w:val="Strong"/>
                                <w:rFonts w:ascii="Sakkal Majalla" w:hAnsi="Sakkal Majalla" w:cs="Sakkal Majalla" w:hint="cs"/>
                                <w:sz w:val="20"/>
                                <w:szCs w:val="20"/>
                                <w:rtl/>
                              </w:rPr>
                              <w:t>-</w:t>
                            </w:r>
                            <w:r w:rsidRPr="00CF37EF">
                              <w:rPr>
                                <w:rStyle w:val="Strong"/>
                                <w:rFonts w:ascii="Sakkal Majalla" w:hAnsi="Sakkal Majalla" w:cs="Sakkal Majalla"/>
                                <w:sz w:val="20"/>
                                <w:szCs w:val="20"/>
                                <w:rtl/>
                              </w:rPr>
                              <w:t>جودة المعلومات</w:t>
                            </w:r>
                          </w:p>
                          <w:p w14:paraId="26DA0AD7" w14:textId="77777777" w:rsidR="00E674BA" w:rsidRPr="009D2971" w:rsidRDefault="00E674BA" w:rsidP="00E674BA">
                            <w:pPr>
                              <w:bidi/>
                              <w:spacing w:after="0"/>
                              <w:rPr>
                                <w:rStyle w:val="Strong"/>
                                <w:rFonts w:ascii="Sakkal Majalla" w:hAnsi="Sakkal Majalla" w:cs="Sakkal Majalla"/>
                                <w:sz w:val="20"/>
                                <w:szCs w:val="20"/>
                                <w:rtl/>
                              </w:rPr>
                            </w:pPr>
                            <w:r>
                              <w:rPr>
                                <w:rStyle w:val="Strong"/>
                                <w:rFonts w:ascii="Sakkal Majalla" w:hAnsi="Sakkal Majalla" w:cs="Sakkal Majalla" w:hint="cs"/>
                                <w:sz w:val="20"/>
                                <w:szCs w:val="20"/>
                                <w:rtl/>
                              </w:rPr>
                              <w:t>-</w:t>
                            </w:r>
                            <w:r w:rsidRPr="009D2971">
                              <w:rPr>
                                <w:rStyle w:val="Strong"/>
                                <w:rFonts w:ascii="Sakkal Majalla" w:hAnsi="Sakkal Majalla" w:cs="Sakkal Majalla"/>
                                <w:sz w:val="20"/>
                                <w:szCs w:val="20"/>
                                <w:rtl/>
                              </w:rPr>
                              <w:t>خبرة متخذ القرار</w:t>
                            </w:r>
                          </w:p>
                          <w:p w14:paraId="15DEA75C" w14:textId="77777777" w:rsidR="00E674BA" w:rsidRPr="009D2971" w:rsidRDefault="00E674BA" w:rsidP="00E674BA">
                            <w:pPr>
                              <w:bidi/>
                              <w:spacing w:after="0"/>
                              <w:rPr>
                                <w:rFonts w:ascii="Sakkal Majalla" w:hAnsi="Sakkal Majalla" w:cs="Sakkal Majalla"/>
                                <w:sz w:val="20"/>
                                <w:szCs w:val="20"/>
                                <w:rtl/>
                              </w:rPr>
                            </w:pPr>
                            <w:r>
                              <w:rPr>
                                <w:rStyle w:val="Strong"/>
                                <w:rFonts w:ascii="Sakkal Majalla" w:hAnsi="Sakkal Majalla" w:cs="Sakkal Majalla" w:hint="cs"/>
                                <w:sz w:val="20"/>
                                <w:szCs w:val="20"/>
                                <w:rtl/>
                              </w:rPr>
                              <w:t>-</w:t>
                            </w:r>
                            <w:r w:rsidRPr="009D2971">
                              <w:rPr>
                                <w:rStyle w:val="Strong"/>
                                <w:rFonts w:ascii="Sakkal Majalla" w:hAnsi="Sakkal Majalla" w:cs="Sakkal Majalla"/>
                                <w:sz w:val="20"/>
                                <w:szCs w:val="20"/>
                                <w:rtl/>
                              </w:rPr>
                              <w:t>التحليل الموضوعي</w:t>
                            </w:r>
                            <w:r w:rsidRPr="009D2971">
                              <w:rPr>
                                <w:rFonts w:ascii="Sakkal Majalla" w:hAnsi="Sakkal Majalla" w:cs="Sakkal Majalla"/>
                                <w:sz w:val="20"/>
                                <w:szCs w:val="20"/>
                              </w:rPr>
                              <w:t>:</w:t>
                            </w:r>
                          </w:p>
                          <w:p w14:paraId="19C73251" w14:textId="77777777" w:rsidR="00E674BA" w:rsidRDefault="00E674BA" w:rsidP="00E674BA">
                            <w:pPr>
                              <w:bidi/>
                              <w:spacing w:after="0"/>
                              <w:rPr>
                                <w:rStyle w:val="Strong"/>
                                <w:rFonts w:ascii="Sakkal Majalla" w:hAnsi="Sakkal Majalla" w:cs="Sakkal Majalla"/>
                                <w:sz w:val="20"/>
                                <w:szCs w:val="20"/>
                                <w:rtl/>
                              </w:rPr>
                            </w:pPr>
                            <w:r>
                              <w:rPr>
                                <w:rStyle w:val="Strong"/>
                                <w:rFonts w:ascii="Sakkal Majalla" w:hAnsi="Sakkal Majalla" w:cs="Sakkal Majalla" w:hint="cs"/>
                                <w:sz w:val="20"/>
                                <w:szCs w:val="20"/>
                                <w:rtl/>
                              </w:rPr>
                              <w:t>-ا</w:t>
                            </w:r>
                            <w:r w:rsidRPr="009D2971">
                              <w:rPr>
                                <w:rStyle w:val="Strong"/>
                                <w:rFonts w:ascii="Sakkal Majalla" w:hAnsi="Sakkal Majalla" w:cs="Sakkal Majalla"/>
                                <w:sz w:val="20"/>
                                <w:szCs w:val="20"/>
                                <w:rtl/>
                              </w:rPr>
                              <w:t>لتوافق مع الأهداف الاستراتيجية</w:t>
                            </w:r>
                            <w:r>
                              <w:rPr>
                                <w:rStyle w:val="Strong"/>
                                <w:rFonts w:ascii="Sakkal Majalla" w:hAnsi="Sakkal Majalla" w:cs="Sakkal Majalla" w:hint="cs"/>
                                <w:sz w:val="20"/>
                                <w:szCs w:val="20"/>
                                <w:rtl/>
                              </w:rPr>
                              <w:t xml:space="preserve">       </w:t>
                            </w:r>
                          </w:p>
                          <w:p w14:paraId="09E20241" w14:textId="77777777" w:rsidR="00E674BA" w:rsidRPr="00CF37EF" w:rsidRDefault="00E674BA" w:rsidP="00E674BA">
                            <w:pPr>
                              <w:bidi/>
                              <w:spacing w:after="0"/>
                              <w:rPr>
                                <w:rStyle w:val="Strong"/>
                                <w:rFonts w:ascii="Sakkal Majalla" w:hAnsi="Sakkal Majalla" w:cs="Sakkal Majalla"/>
                                <w:sz w:val="20"/>
                                <w:szCs w:val="20"/>
                                <w:rtl/>
                              </w:rPr>
                            </w:pPr>
                            <w:r>
                              <w:rPr>
                                <w:rStyle w:val="Strong"/>
                                <w:rFonts w:ascii="Sakkal Majalla" w:hAnsi="Sakkal Majalla" w:cs="Sakkal Majalla" w:hint="cs"/>
                                <w:sz w:val="20"/>
                                <w:szCs w:val="20"/>
                                <w:rtl/>
                              </w:rPr>
                              <w:t>-</w:t>
                            </w:r>
                            <w:r w:rsidRPr="00CF37EF">
                              <w:rPr>
                                <w:rStyle w:val="Strong"/>
                                <w:rFonts w:ascii="Sakkal Majalla" w:hAnsi="Sakkal Majalla" w:cs="Sakkal Majalla"/>
                                <w:sz w:val="20"/>
                                <w:szCs w:val="20"/>
                                <w:rtl/>
                              </w:rPr>
                              <w:t>فعالية وكفاءة القرار</w:t>
                            </w:r>
                          </w:p>
                          <w:p w14:paraId="3E7D2D43" w14:textId="77777777" w:rsidR="00E674BA" w:rsidRPr="00E80733" w:rsidRDefault="00E674BA" w:rsidP="00E674BA">
                            <w:pPr>
                              <w:bidi/>
                              <w:rPr>
                                <w:rFonts w:ascii="Sakkal Majalla" w:hAnsi="Sakkal Majalla" w:cs="Sakkal Majalla"/>
                                <w:b/>
                                <w:bCs/>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5FF811" id="مستطيل مستدير الزوايا 7" o:spid="_x0000_s1031" style="position:absolute;left:0;text-align:left;margin-left:142.3pt;margin-top:8.3pt;width:108pt;height:10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" filled="f" strokecolor="#f79646 [3209]" strokeweight="2pt">
                <v:textbox>
                  <w:txbxContent>
                    <w:p w14:paraId="65025DEC" w14:textId="77777777" w:rsidR="00E674BA" w:rsidRPr="00CF37EF" w:rsidRDefault="00E674BA" w:rsidP="00E674BA">
                      <w:pPr>
                        <w:bidi/>
                        <w:spacing w:after="0"/>
                        <w:rPr>
                          <w:rFonts w:ascii="Sakkal Majalla" w:hAnsi="Sakkal Majalla" w:cs="Sakkal Majalla"/>
                          <w:sz w:val="20"/>
                          <w:szCs w:val="20"/>
                          <w:rtl/>
                        </w:rPr>
                      </w:pPr>
                      <w:r>
                        <w:rPr>
                          <w:rStyle w:val="Strong"/>
                          <w:rFonts w:ascii="Sakkal Majalla" w:hAnsi="Sakkal Majalla" w:cs="Sakkal Majalla" w:hint="cs"/>
                          <w:sz w:val="20"/>
                          <w:szCs w:val="20"/>
                          <w:rtl/>
                        </w:rPr>
                        <w:t>-</w:t>
                      </w:r>
                      <w:r w:rsidRPr="00CF37EF">
                        <w:rPr>
                          <w:rStyle w:val="Strong"/>
                          <w:rFonts w:ascii="Sakkal Majalla" w:hAnsi="Sakkal Majalla" w:cs="Sakkal Majalla"/>
                          <w:sz w:val="20"/>
                          <w:szCs w:val="20"/>
                          <w:rtl/>
                        </w:rPr>
                        <w:t>جودة المعلومات</w:t>
                      </w:r>
                    </w:p>
                    <w:p w14:paraId="26DA0AD7" w14:textId="77777777" w:rsidR="00E674BA" w:rsidRPr="009D2971" w:rsidRDefault="00E674BA" w:rsidP="00E674BA">
                      <w:pPr>
                        <w:bidi/>
                        <w:spacing w:after="0"/>
                        <w:rPr>
                          <w:rStyle w:val="Strong"/>
                          <w:rFonts w:ascii="Sakkal Majalla" w:hAnsi="Sakkal Majalla" w:cs="Sakkal Majalla"/>
                          <w:sz w:val="20"/>
                          <w:szCs w:val="20"/>
                          <w:rtl/>
                        </w:rPr>
                      </w:pPr>
                      <w:r>
                        <w:rPr>
                          <w:rStyle w:val="Strong"/>
                          <w:rFonts w:ascii="Sakkal Majalla" w:hAnsi="Sakkal Majalla" w:cs="Sakkal Majalla" w:hint="cs"/>
                          <w:sz w:val="20"/>
                          <w:szCs w:val="20"/>
                          <w:rtl/>
                        </w:rPr>
                        <w:t>-</w:t>
                      </w:r>
                      <w:r w:rsidRPr="009D2971">
                        <w:rPr>
                          <w:rStyle w:val="Strong"/>
                          <w:rFonts w:ascii="Sakkal Majalla" w:hAnsi="Sakkal Majalla" w:cs="Sakkal Majalla"/>
                          <w:sz w:val="20"/>
                          <w:szCs w:val="20"/>
                          <w:rtl/>
                        </w:rPr>
                        <w:t>خبرة متخذ القرار</w:t>
                      </w:r>
                    </w:p>
                    <w:p w14:paraId="15DEA75C" w14:textId="77777777" w:rsidR="00E674BA" w:rsidRPr="009D2971" w:rsidRDefault="00E674BA" w:rsidP="00E674BA">
                      <w:pPr>
                        <w:bidi/>
                        <w:spacing w:after="0"/>
                        <w:rPr>
                          <w:rFonts w:ascii="Sakkal Majalla" w:hAnsi="Sakkal Majalla" w:cs="Sakkal Majalla"/>
                          <w:sz w:val="20"/>
                          <w:szCs w:val="20"/>
                          <w:rtl/>
                        </w:rPr>
                      </w:pPr>
                      <w:r>
                        <w:rPr>
                          <w:rStyle w:val="Strong"/>
                          <w:rFonts w:ascii="Sakkal Majalla" w:hAnsi="Sakkal Majalla" w:cs="Sakkal Majalla" w:hint="cs"/>
                          <w:sz w:val="20"/>
                          <w:szCs w:val="20"/>
                          <w:rtl/>
                        </w:rPr>
                        <w:t>-</w:t>
                      </w:r>
                      <w:r w:rsidRPr="009D2971">
                        <w:rPr>
                          <w:rStyle w:val="Strong"/>
                          <w:rFonts w:ascii="Sakkal Majalla" w:hAnsi="Sakkal Majalla" w:cs="Sakkal Majalla"/>
                          <w:sz w:val="20"/>
                          <w:szCs w:val="20"/>
                          <w:rtl/>
                        </w:rPr>
                        <w:t>التحليل الموضوعي</w:t>
                      </w:r>
                      <w:r w:rsidRPr="009D2971">
                        <w:rPr>
                          <w:rFonts w:ascii="Sakkal Majalla" w:hAnsi="Sakkal Majalla" w:cs="Sakkal Majalla"/>
                          <w:sz w:val="20"/>
                          <w:szCs w:val="20"/>
                        </w:rPr>
                        <w:t>:</w:t>
                      </w:r>
                    </w:p>
                    <w:p w14:paraId="19C73251" w14:textId="77777777" w:rsidR="00E674BA" w:rsidRDefault="00E674BA" w:rsidP="00E674BA">
                      <w:pPr>
                        <w:bidi/>
                        <w:spacing w:after="0"/>
                        <w:rPr>
                          <w:rStyle w:val="Strong"/>
                          <w:rFonts w:ascii="Sakkal Majalla" w:hAnsi="Sakkal Majalla" w:cs="Sakkal Majalla"/>
                          <w:sz w:val="20"/>
                          <w:szCs w:val="20"/>
                          <w:rtl/>
                        </w:rPr>
                      </w:pPr>
                      <w:r>
                        <w:rPr>
                          <w:rStyle w:val="Strong"/>
                          <w:rFonts w:ascii="Sakkal Majalla" w:hAnsi="Sakkal Majalla" w:cs="Sakkal Majalla" w:hint="cs"/>
                          <w:sz w:val="20"/>
                          <w:szCs w:val="20"/>
                          <w:rtl/>
                        </w:rPr>
                        <w:t>-ا</w:t>
                      </w:r>
                      <w:r w:rsidRPr="009D2971">
                        <w:rPr>
                          <w:rStyle w:val="Strong"/>
                          <w:rFonts w:ascii="Sakkal Majalla" w:hAnsi="Sakkal Majalla" w:cs="Sakkal Majalla"/>
                          <w:sz w:val="20"/>
                          <w:szCs w:val="20"/>
                          <w:rtl/>
                        </w:rPr>
                        <w:t>لتوافق مع الأهداف الاستراتيجية</w:t>
                      </w:r>
                      <w:r>
                        <w:rPr>
                          <w:rStyle w:val="Strong"/>
                          <w:rFonts w:ascii="Sakkal Majalla" w:hAnsi="Sakkal Majalla" w:cs="Sakkal Majalla" w:hint="cs"/>
                          <w:sz w:val="20"/>
                          <w:szCs w:val="20"/>
                          <w:rtl/>
                        </w:rPr>
                        <w:t xml:space="preserve">       </w:t>
                      </w:r>
                    </w:p>
                    <w:p w14:paraId="09E20241" w14:textId="77777777" w:rsidR="00E674BA" w:rsidRPr="00CF37EF" w:rsidRDefault="00E674BA" w:rsidP="00E674BA">
                      <w:pPr>
                        <w:bidi/>
                        <w:spacing w:after="0"/>
                        <w:rPr>
                          <w:rStyle w:val="Strong"/>
                          <w:rFonts w:ascii="Sakkal Majalla" w:hAnsi="Sakkal Majalla" w:cs="Sakkal Majalla"/>
                          <w:sz w:val="20"/>
                          <w:szCs w:val="20"/>
                          <w:rtl/>
                        </w:rPr>
                      </w:pPr>
                      <w:r>
                        <w:rPr>
                          <w:rStyle w:val="Strong"/>
                          <w:rFonts w:ascii="Sakkal Majalla" w:hAnsi="Sakkal Majalla" w:cs="Sakkal Majalla" w:hint="cs"/>
                          <w:sz w:val="20"/>
                          <w:szCs w:val="20"/>
                          <w:rtl/>
                        </w:rPr>
                        <w:t>-</w:t>
                      </w:r>
                      <w:r w:rsidRPr="00CF37EF">
                        <w:rPr>
                          <w:rStyle w:val="Strong"/>
                          <w:rFonts w:ascii="Sakkal Majalla" w:hAnsi="Sakkal Majalla" w:cs="Sakkal Majalla"/>
                          <w:sz w:val="20"/>
                          <w:szCs w:val="20"/>
                          <w:rtl/>
                        </w:rPr>
                        <w:t>فعالية وكفاءة القرار</w:t>
                      </w:r>
                    </w:p>
                    <w:p w14:paraId="3E7D2D43" w14:textId="77777777" w:rsidR="00E674BA" w:rsidRPr="00E80733" w:rsidRDefault="00E674BA" w:rsidP="00E674BA">
                      <w:pPr>
                        <w:bidi/>
                        <w:rPr>
                          <w:rFonts w:ascii="Sakkal Majalla" w:hAnsi="Sakkal Majalla" w:cs="Sakkal Majalla"/>
                          <w:b/>
                          <w:bCs/>
                        </w:rPr>
                      </w:pPr>
                    </w:p>
                  </w:txbxContent>
                </v:textbox>
              </v:roundrect>
            </w:pict>
          </mc:Fallback>
        </mc:AlternateContent>
      </w:r>
    </w:p>
    <w:p w14:paraId="3982047A" w14:textId="77777777" w:rsidR="00E674BA" w:rsidRPr="00B87BE1" w:rsidRDefault="00E674BA" w:rsidP="00E674BA">
      <w:pPr>
        <w:tabs>
          <w:tab w:val="right" w:pos="8306"/>
        </w:tabs>
        <w:spacing w:after="240" w:line="360" w:lineRule="auto"/>
        <w:jc w:val="both"/>
        <w:rPr>
          <w:rFonts w:ascii="Traditional Arabic" w:hAnsi="Traditional Arabic" w:cs="Traditional Arabic"/>
          <w:bCs/>
          <w:color w:val="0D0D0D" w:themeColor="text1" w:themeTint="F2"/>
          <w:sz w:val="24"/>
          <w:szCs w:val="24"/>
          <w:rtl/>
        </w:rPr>
      </w:pPr>
      <w:r w:rsidRPr="00B87BE1">
        <w:rPr>
          <w:rFonts w:ascii="Traditional Arabic" w:hAnsi="Traditional Arabic" w:cs="Traditional Arabic"/>
          <w:bCs/>
          <w:noProof/>
          <w:color w:val="0D0D0D" w:themeColor="text1" w:themeTint="F2"/>
          <w:sz w:val="24"/>
          <w:szCs w:val="24"/>
          <w:u w:val="single"/>
          <w:rtl/>
          <w:lang w:val="ar-SA"/>
        </w:rPr>
        <mc:AlternateContent>
          <mc:Choice Requires="wps">
            <w:drawing>
              <wp:anchor distT="0" distB="0" distL="114300" distR="114300" simplePos="0" relativeHeight="251672064" behindDoc="0" locked="0" layoutInCell="1" allowOverlap="1" wp14:anchorId="4C04BF17" wp14:editId="6D23C5D2">
                <wp:simplePos x="0" y="0"/>
                <wp:positionH relativeFrom="column">
                  <wp:posOffset>1337310</wp:posOffset>
                </wp:positionH>
                <wp:positionV relativeFrom="paragraph">
                  <wp:posOffset>332359</wp:posOffset>
                </wp:positionV>
                <wp:extent cx="447675" cy="590550"/>
                <wp:effectExtent l="0" t="0" r="28575" b="19050"/>
                <wp:wrapNone/>
                <wp:docPr id="11" name="Arrow: Left 11"/>
                <wp:cNvGraphicFramePr/>
                <a:graphic xmlns:a="http://schemas.openxmlformats.org/drawingml/2006/main">
                  <a:graphicData uri="http://schemas.microsoft.com/office/word/2010/wordprocessingShape">
                    <wps:wsp>
                      <wps:cNvSpPr/>
                      <wps:spPr>
                        <a:xfrm>
                          <a:off x="0" y="0"/>
                          <a:ext cx="447675" cy="590550"/>
                        </a:xfrm>
                        <a:prstGeom prst="leftArrow">
                          <a:avLst/>
                        </a:prstGeom>
                      </wps:spPr>
                      <wps:style>
                        <a:lnRef idx="2">
                          <a:schemeClr val="accent6"/>
                        </a:lnRef>
                        <a:fillRef idx="1">
                          <a:schemeClr val="lt1"/>
                        </a:fillRef>
                        <a:effectRef idx="0">
                          <a:schemeClr val="accent6"/>
                        </a:effectRef>
                        <a:fontRef idx="minor">
                          <a:schemeClr val="dk1"/>
                        </a:fontRef>
                      </wps:style>
                      <wps:txbx>
                        <w:txbxContent>
                          <w:p w14:paraId="633E3F46" w14:textId="77777777" w:rsidR="00E674BA" w:rsidRPr="00625C9C" w:rsidRDefault="00E674BA" w:rsidP="00E674BA">
                            <w:pPr>
                              <w:rPr>
                                <w:sz w:val="16"/>
                                <w:szCs w:val="16"/>
                              </w:rPr>
                            </w:pPr>
                            <w:r w:rsidRPr="00625C9C">
                              <w:rPr>
                                <w:sz w:val="16"/>
                                <w:szCs w:val="16"/>
                              </w:rPr>
                              <w:t>H3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04BF1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1" o:spid="_x0000_s1032" type="#_x0000_t66" style="position:absolute;left:0;text-align:left;margin-left:105.3pt;margin-top:26.15pt;width:35.25pt;height:4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" adj="10800" fillcolor="white [3201]" strokecolor="#f79646 [3209]" strokeweight="2pt">
                <v:textbox>
                  <w:txbxContent>
                    <w:p w14:paraId="633E3F46" w14:textId="77777777" w:rsidR="00E674BA" w:rsidRPr="00625C9C" w:rsidRDefault="00E674BA" w:rsidP="00E674BA">
                      <w:pPr>
                        <w:rPr>
                          <w:sz w:val="16"/>
                          <w:szCs w:val="16"/>
                        </w:rPr>
                      </w:pPr>
                      <w:r w:rsidRPr="00625C9C">
                        <w:rPr>
                          <w:sz w:val="16"/>
                          <w:szCs w:val="16"/>
                        </w:rPr>
                        <w:t>H3</w:t>
                      </w:r>
                    </w:p>
                  </w:txbxContent>
                </v:textbox>
              </v:shape>
            </w:pict>
          </mc:Fallback>
        </mc:AlternateContent>
      </w:r>
      <w:r w:rsidRPr="00B87BE1">
        <w:rPr>
          <w:rFonts w:ascii="Traditional Arabic" w:hAnsi="Traditional Arabic" w:cs="Traditional Arabic"/>
          <w:bCs/>
          <w:noProof/>
          <w:color w:val="0D0D0D" w:themeColor="text1" w:themeTint="F2"/>
          <w:sz w:val="24"/>
          <w:szCs w:val="24"/>
          <w:u w:val="single"/>
          <w:rtl/>
          <w:lang w:val="ar-SA"/>
        </w:rPr>
        <mc:AlternateContent>
          <mc:Choice Requires="wps">
            <w:drawing>
              <wp:anchor distT="0" distB="0" distL="114300" distR="114300" simplePos="0" relativeHeight="251671040" behindDoc="0" locked="0" layoutInCell="1" allowOverlap="1" wp14:anchorId="1068FBC8" wp14:editId="268FF01D">
                <wp:simplePos x="0" y="0"/>
                <wp:positionH relativeFrom="column">
                  <wp:posOffset>3215640</wp:posOffset>
                </wp:positionH>
                <wp:positionV relativeFrom="paragraph">
                  <wp:posOffset>349504</wp:posOffset>
                </wp:positionV>
                <wp:extent cx="461010" cy="571500"/>
                <wp:effectExtent l="0" t="0" r="15240" b="19050"/>
                <wp:wrapNone/>
                <wp:docPr id="10" name="Arrow: Left 10"/>
                <wp:cNvGraphicFramePr/>
                <a:graphic xmlns:a="http://schemas.openxmlformats.org/drawingml/2006/main">
                  <a:graphicData uri="http://schemas.microsoft.com/office/word/2010/wordprocessingShape">
                    <wps:wsp>
                      <wps:cNvSpPr/>
                      <wps:spPr>
                        <a:xfrm>
                          <a:off x="0" y="0"/>
                          <a:ext cx="461010" cy="571500"/>
                        </a:xfrm>
                        <a:prstGeom prst="leftArrow">
                          <a:avLst/>
                        </a:prstGeom>
                      </wps:spPr>
                      <wps:style>
                        <a:lnRef idx="2">
                          <a:schemeClr val="accent6"/>
                        </a:lnRef>
                        <a:fillRef idx="1">
                          <a:schemeClr val="lt1"/>
                        </a:fillRef>
                        <a:effectRef idx="0">
                          <a:schemeClr val="accent6"/>
                        </a:effectRef>
                        <a:fontRef idx="minor">
                          <a:schemeClr val="dk1"/>
                        </a:fontRef>
                      </wps:style>
                      <wps:txbx>
                        <w:txbxContent>
                          <w:p w14:paraId="660E5BC2" w14:textId="77777777" w:rsidR="00E674BA" w:rsidRPr="00625C9C" w:rsidRDefault="00E674BA" w:rsidP="00E674BA">
                            <w:pPr>
                              <w:rPr>
                                <w:sz w:val="16"/>
                                <w:szCs w:val="16"/>
                              </w:rPr>
                            </w:pPr>
                            <w:r w:rsidRPr="00625C9C">
                              <w:rPr>
                                <w:sz w:val="16"/>
                                <w:szCs w:val="16"/>
                              </w:rPr>
                              <w:t>H2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8FBC8" id="Arrow: Left 10" o:spid="_x0000_s1033" type="#_x0000_t66" style="position:absolute;left:0;text-align:left;margin-left:253.2pt;margin-top:27.5pt;width:36.3pt;height:4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" adj="10800" fillcolor="white [3201]" strokecolor="#f79646 [3209]" strokeweight="2pt">
                <v:textbox>
                  <w:txbxContent>
                    <w:p w14:paraId="660E5BC2" w14:textId="77777777" w:rsidR="00E674BA" w:rsidRPr="00625C9C" w:rsidRDefault="00E674BA" w:rsidP="00E674BA">
                      <w:pPr>
                        <w:rPr>
                          <w:sz w:val="16"/>
                          <w:szCs w:val="16"/>
                        </w:rPr>
                      </w:pPr>
                      <w:r w:rsidRPr="00625C9C">
                        <w:rPr>
                          <w:sz w:val="16"/>
                          <w:szCs w:val="16"/>
                        </w:rPr>
                        <w:t>H2</w:t>
                      </w:r>
                    </w:p>
                  </w:txbxContent>
                </v:textbox>
              </v:shape>
            </w:pict>
          </mc:Fallback>
        </mc:AlternateContent>
      </w:r>
      <w:r w:rsidRPr="00B87BE1">
        <w:rPr>
          <w:rFonts w:ascii="Traditional Arabic" w:hAnsi="Traditional Arabic" w:cs="Traditional Arabic"/>
          <w:bCs/>
          <w:color w:val="0D0D0D" w:themeColor="text1" w:themeTint="F2"/>
          <w:sz w:val="24"/>
          <w:szCs w:val="24"/>
        </w:rPr>
        <w:tab/>
      </w:r>
    </w:p>
    <w:p w14:paraId="4BF281DA" w14:textId="77777777" w:rsidR="00E674BA" w:rsidRPr="00B87BE1" w:rsidRDefault="00E674BA" w:rsidP="00E674BA">
      <w:pPr>
        <w:spacing w:after="240" w:line="360" w:lineRule="auto"/>
        <w:jc w:val="both"/>
        <w:rPr>
          <w:rFonts w:ascii="Traditional Arabic" w:hAnsi="Traditional Arabic" w:cs="Traditional Arabic"/>
          <w:bCs/>
          <w:color w:val="0D0D0D" w:themeColor="text1" w:themeTint="F2"/>
          <w:sz w:val="24"/>
          <w:szCs w:val="24"/>
          <w:rtl/>
        </w:rPr>
      </w:pPr>
      <w:r w:rsidRPr="00B87BE1">
        <w:rPr>
          <w:rFonts w:ascii="Traditional Arabic" w:hAnsi="Traditional Arabic" w:cs="Traditional Arabic"/>
          <w:bCs/>
          <w:noProof/>
          <w:color w:val="0D0D0D" w:themeColor="text1" w:themeTint="F2"/>
          <w:sz w:val="24"/>
          <w:szCs w:val="24"/>
          <w:u w:val="single"/>
          <w:rtl/>
          <w:lang w:val="ar-SA"/>
        </w:rPr>
        <mc:AlternateContent>
          <mc:Choice Requires="wps">
            <w:drawing>
              <wp:anchor distT="0" distB="0" distL="114300" distR="114300" simplePos="0" relativeHeight="251674112" behindDoc="0" locked="0" layoutInCell="1" allowOverlap="1" wp14:anchorId="7AFB54CF" wp14:editId="16F185F5">
                <wp:simplePos x="0" y="0"/>
                <wp:positionH relativeFrom="column">
                  <wp:posOffset>207010</wp:posOffset>
                </wp:positionH>
                <wp:positionV relativeFrom="paragraph">
                  <wp:posOffset>418556</wp:posOffset>
                </wp:positionV>
                <wp:extent cx="361950" cy="514350"/>
                <wp:effectExtent l="19050" t="19050" r="38100" b="19050"/>
                <wp:wrapNone/>
                <wp:docPr id="30" name="Arrow: Up 30"/>
                <wp:cNvGraphicFramePr/>
                <a:graphic xmlns:a="http://schemas.openxmlformats.org/drawingml/2006/main">
                  <a:graphicData uri="http://schemas.microsoft.com/office/word/2010/wordprocessingShape">
                    <wps:wsp>
                      <wps:cNvSpPr/>
                      <wps:spPr>
                        <a:xfrm>
                          <a:off x="0" y="0"/>
                          <a:ext cx="361950" cy="514350"/>
                        </a:xfrm>
                        <a:prstGeom prst="up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48A56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30" o:spid="_x0000_s1026" type="#_x0000_t68" style="position:absolute;left:0;text-align:left;margin-left:16.3pt;margin-top:32.95pt;width:28.5pt;height:40.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" adj="7600" fillcolor="white [3201]" strokecolor="#f79646 [3209]" strokeweight="2pt"/>
            </w:pict>
          </mc:Fallback>
        </mc:AlternateContent>
      </w:r>
      <w:r w:rsidRPr="00B87BE1">
        <w:rPr>
          <w:rFonts w:ascii="Traditional Arabic" w:hAnsi="Traditional Arabic" w:cs="Traditional Arabic"/>
          <w:bCs/>
          <w:noProof/>
          <w:color w:val="0D0D0D" w:themeColor="text1" w:themeTint="F2"/>
          <w:sz w:val="24"/>
          <w:szCs w:val="24"/>
          <w:u w:val="single"/>
          <w:rtl/>
          <w:lang w:val="ar-SA"/>
        </w:rPr>
        <mc:AlternateContent>
          <mc:Choice Requires="wps">
            <w:drawing>
              <wp:anchor distT="0" distB="0" distL="114300" distR="114300" simplePos="0" relativeHeight="251675136" behindDoc="0" locked="0" layoutInCell="1" allowOverlap="1" wp14:anchorId="4AACCC1D" wp14:editId="621F52A5">
                <wp:simplePos x="0" y="0"/>
                <wp:positionH relativeFrom="column">
                  <wp:posOffset>4406900</wp:posOffset>
                </wp:positionH>
                <wp:positionV relativeFrom="paragraph">
                  <wp:posOffset>412206</wp:posOffset>
                </wp:positionV>
                <wp:extent cx="361950" cy="514350"/>
                <wp:effectExtent l="19050" t="19050" r="38100" b="19050"/>
                <wp:wrapNone/>
                <wp:docPr id="4" name="Arrow: Up 30"/>
                <wp:cNvGraphicFramePr/>
                <a:graphic xmlns:a="http://schemas.openxmlformats.org/drawingml/2006/main">
                  <a:graphicData uri="http://schemas.microsoft.com/office/word/2010/wordprocessingShape">
                    <wps:wsp>
                      <wps:cNvSpPr/>
                      <wps:spPr>
                        <a:xfrm>
                          <a:off x="0" y="0"/>
                          <a:ext cx="361950" cy="514350"/>
                        </a:xfrm>
                        <a:prstGeom prst="up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E3051" id="Arrow: Up 30" o:spid="_x0000_s1026" type="#_x0000_t68" style="position:absolute;left:0;text-align:left;margin-left:347pt;margin-top:32.45pt;width:28.5pt;height:40.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" adj="7600" fillcolor="white [3201]" strokecolor="#f79646 [3209]" strokeweight="2pt"/>
            </w:pict>
          </mc:Fallback>
        </mc:AlternateContent>
      </w:r>
    </w:p>
    <w:p w14:paraId="316C779D" w14:textId="77777777" w:rsidR="00E674BA" w:rsidRPr="00B87BE1" w:rsidRDefault="00E674BA" w:rsidP="00E674BA">
      <w:pPr>
        <w:tabs>
          <w:tab w:val="left" w:pos="4936"/>
        </w:tabs>
        <w:bidi/>
        <w:spacing w:after="240" w:line="360" w:lineRule="auto"/>
        <w:rPr>
          <w:rFonts w:ascii="Traditional Arabic" w:hAnsi="Traditional Arabic" w:cs="Traditional Arabic"/>
          <w:color w:val="0D0D0D" w:themeColor="text1" w:themeTint="F2"/>
          <w:sz w:val="24"/>
          <w:szCs w:val="24"/>
          <w:rtl/>
        </w:rPr>
      </w:pPr>
      <w:r w:rsidRPr="00B87BE1">
        <w:rPr>
          <w:rFonts w:ascii="Traditional Arabic" w:hAnsi="Traditional Arabic" w:cs="Traditional Arabic"/>
          <w:bCs/>
          <w:noProof/>
          <w:color w:val="0D0D0D" w:themeColor="text1" w:themeTint="F2"/>
          <w:sz w:val="24"/>
          <w:szCs w:val="24"/>
        </w:rPr>
        <mc:AlternateContent>
          <mc:Choice Requires="wps">
            <w:drawing>
              <wp:anchor distT="0" distB="0" distL="114300" distR="114300" simplePos="0" relativeHeight="251673088" behindDoc="0" locked="0" layoutInCell="1" allowOverlap="1" wp14:anchorId="66B2632C" wp14:editId="64938A04">
                <wp:simplePos x="0" y="0"/>
                <wp:positionH relativeFrom="column">
                  <wp:posOffset>315868</wp:posOffset>
                </wp:positionH>
                <wp:positionV relativeFrom="paragraph">
                  <wp:posOffset>200207</wp:posOffset>
                </wp:positionV>
                <wp:extent cx="4305300" cy="247650"/>
                <wp:effectExtent l="0" t="0" r="19050" b="19050"/>
                <wp:wrapNone/>
                <wp:docPr id="24" name="Flowchart: Process 24"/>
                <wp:cNvGraphicFramePr/>
                <a:graphic xmlns:a="http://schemas.openxmlformats.org/drawingml/2006/main">
                  <a:graphicData uri="http://schemas.microsoft.com/office/word/2010/wordprocessingShape">
                    <wps:wsp>
                      <wps:cNvSpPr/>
                      <wps:spPr>
                        <a:xfrm>
                          <a:off x="0" y="0"/>
                          <a:ext cx="4305300" cy="247650"/>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14:paraId="4FE320EE" w14:textId="77777777" w:rsidR="00E674BA" w:rsidRDefault="00E674BA" w:rsidP="00E674BA">
                            <w:pPr>
                              <w:jc w:val="center"/>
                            </w:pPr>
                            <w: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B2632C" id="_x0000_t109" coordsize="21600,21600" o:spt="109" path="m,l,21600r21600,l21600,xe">
                <v:stroke joinstyle="miter"/>
                <v:path gradientshapeok="t" o:connecttype="rect"/>
              </v:shapetype>
              <v:shape id="Flowchart: Process 24" o:spid="_x0000_s1034" type="#_x0000_t109" style="position:absolute;left:0;text-align:left;margin-left:24.85pt;margin-top:15.75pt;width:339pt;height:1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" fillcolor="white [3201]" strokecolor="#f79646 [3209]" strokeweight="2pt">
                <v:textbox>
                  <w:txbxContent>
                    <w:p w14:paraId="4FE320EE" w14:textId="77777777" w:rsidR="00E674BA" w:rsidRDefault="00E674BA" w:rsidP="00E674BA">
                      <w:pPr>
                        <w:jc w:val="center"/>
                      </w:pPr>
                      <w:r>
                        <w:t>H1</w:t>
                      </w:r>
                    </w:p>
                  </w:txbxContent>
                </v:textbox>
              </v:shape>
            </w:pict>
          </mc:Fallback>
        </mc:AlternateContent>
      </w:r>
    </w:p>
    <w:p w14:paraId="29359FB2" w14:textId="77777777" w:rsidR="00E674BA" w:rsidRPr="00B87BE1" w:rsidRDefault="00E674BA" w:rsidP="00E674BA">
      <w:pPr>
        <w:tabs>
          <w:tab w:val="left" w:pos="4936"/>
        </w:tabs>
        <w:bidi/>
        <w:spacing w:after="0" w:line="360" w:lineRule="auto"/>
        <w:jc w:val="center"/>
        <w:rPr>
          <w:rFonts w:ascii="Traditional Arabic" w:hAnsi="Traditional Arabic" w:cs="Traditional Arabic"/>
          <w:color w:val="0D0D0D" w:themeColor="text1" w:themeTint="F2"/>
          <w:sz w:val="24"/>
          <w:szCs w:val="24"/>
          <w:rtl/>
        </w:rPr>
      </w:pPr>
      <w:r w:rsidRPr="00B87BE1">
        <w:rPr>
          <w:rFonts w:ascii="Traditional Arabic" w:hAnsi="Traditional Arabic" w:cs="Traditional Arabic"/>
          <w:bCs/>
          <w:color w:val="0D0D0D" w:themeColor="text1" w:themeTint="F2"/>
          <w:sz w:val="24"/>
          <w:szCs w:val="24"/>
          <w:rtl/>
        </w:rPr>
        <w:t>شكل رقم (1) النموذج المقترح للعلاقات بين متغيرات البحث</w:t>
      </w:r>
    </w:p>
    <w:p w14:paraId="093C4B74" w14:textId="77777777" w:rsidR="00E674BA" w:rsidRPr="00B87BE1" w:rsidRDefault="00E674BA" w:rsidP="00E674BA">
      <w:pPr>
        <w:tabs>
          <w:tab w:val="left" w:pos="4936"/>
        </w:tabs>
        <w:bidi/>
        <w:spacing w:after="240" w:line="360" w:lineRule="auto"/>
        <w:jc w:val="both"/>
        <w:rPr>
          <w:rFonts w:ascii="Traditional Arabic" w:hAnsi="Traditional Arabic" w:cs="Traditional Arabic"/>
          <w:b/>
          <w:color w:val="0D0D0D" w:themeColor="text1" w:themeTint="F2"/>
          <w:sz w:val="24"/>
          <w:szCs w:val="24"/>
        </w:rPr>
      </w:pPr>
      <w:r w:rsidRPr="00B87BE1">
        <w:rPr>
          <w:rFonts w:ascii="Traditional Arabic" w:hAnsi="Traditional Arabic" w:cs="Traditional Arabic"/>
          <w:color w:val="0D0D0D" w:themeColor="text1" w:themeTint="F2"/>
          <w:sz w:val="24"/>
          <w:szCs w:val="24"/>
          <w:rtl/>
        </w:rPr>
        <w:t xml:space="preserve">وأوضحت الباحثة من العرض السابق أن ما يميز الدراسة الحالية هو احتوائها على بعض المُتغيرات لفهم دور كل من ذكاء الأعمال وفق نموذج </w:t>
      </w:r>
      <w:r w:rsidRPr="00B87BE1">
        <w:rPr>
          <w:rFonts w:ascii="Traditional Arabic" w:hAnsi="Traditional Arabic" w:cs="Traditional Arabic"/>
          <w:color w:val="0D0D0D" w:themeColor="text1" w:themeTint="F2"/>
          <w:sz w:val="24"/>
          <w:szCs w:val="24"/>
        </w:rPr>
        <w:t>TAM</w:t>
      </w:r>
      <w:r w:rsidRPr="00B87BE1">
        <w:rPr>
          <w:rFonts w:ascii="Traditional Arabic" w:hAnsi="Traditional Arabic" w:cs="Traditional Arabic"/>
          <w:color w:val="0D0D0D" w:themeColor="text1" w:themeTint="F2"/>
          <w:sz w:val="24"/>
          <w:szCs w:val="24"/>
          <w:rtl/>
        </w:rPr>
        <w:t xml:space="preserve"> وجودة القرارات الاستراتيجية في تحسين الابتكار التنظيمي،  وذلك في البيئة السعودية بصفة عامة، وفي مدينة الرياض بصفة خاصة، </w:t>
      </w:r>
      <w:r w:rsidRPr="00B87BE1">
        <w:rPr>
          <w:rFonts w:ascii="Traditional Arabic" w:hAnsi="Traditional Arabic" w:cs="Traditional Arabic"/>
          <w:b/>
          <w:color w:val="0D0D0D" w:themeColor="text1" w:themeTint="F2"/>
          <w:sz w:val="24"/>
          <w:szCs w:val="24"/>
          <w:rtl/>
        </w:rPr>
        <w:t>حيث تم اعتماد نظرية التعديل والتفسير في سياق المتغير الوسيط تعني أن المتغير الوسيط لا يكتفي فقط بتمرير التأثير من المتغير المستقل إلى المتغير التابع، بل يمكن أن يعمل أيضًا على تعديل العلاقة بينهما أو تفسيرها بعمق أكثر ، بالإضافة إلى ذلك، يمكن أن يؤثر المتغير الوسيط على قوة أو اتجاه العلاقة بين المتغيرين، أي أنه قد يعكس تأثيرات جزئية أو كلية في العلاقة</w:t>
      </w:r>
      <w:r w:rsidRPr="00B87BE1">
        <w:rPr>
          <w:rFonts w:ascii="Traditional Arabic" w:hAnsi="Traditional Arabic" w:cs="Traditional Arabic"/>
          <w:b/>
          <w:color w:val="0D0D0D" w:themeColor="text1" w:themeTint="F2"/>
          <w:sz w:val="24"/>
          <w:szCs w:val="24"/>
        </w:rPr>
        <w:t>.</w:t>
      </w:r>
    </w:p>
    <w:p w14:paraId="6927682C" w14:textId="77777777" w:rsidR="00E674BA" w:rsidRPr="00B87BE1" w:rsidRDefault="00E674BA" w:rsidP="00E674BA">
      <w:pPr>
        <w:tabs>
          <w:tab w:val="left" w:pos="4936"/>
        </w:tabs>
        <w:bidi/>
        <w:spacing w:after="240" w:line="360" w:lineRule="auto"/>
        <w:jc w:val="both"/>
        <w:rPr>
          <w:rFonts w:ascii="Traditional Arabic" w:hAnsi="Traditional Arabic" w:cs="Traditional Arabic"/>
          <w:color w:val="0D0D0D" w:themeColor="text1" w:themeTint="F2"/>
          <w:sz w:val="24"/>
          <w:szCs w:val="24"/>
          <w:rtl/>
        </w:rPr>
      </w:pPr>
      <w:r w:rsidRPr="00B87BE1">
        <w:rPr>
          <w:rFonts w:ascii="Traditional Arabic" w:hAnsi="Traditional Arabic" w:cs="Traditional Arabic"/>
          <w:color w:val="0D0D0D" w:themeColor="text1" w:themeTint="F2"/>
          <w:sz w:val="24"/>
          <w:szCs w:val="24"/>
          <w:rtl/>
        </w:rPr>
        <w:t xml:space="preserve">وعليه تسعى الدراسة الحالية إلى التعرف على طبيعة العلاقات المباشرة وغير المباشرة بين مُتغيرات الدراسة من خلال توسيط جودة القرارات الاستراتيجية في العلاقة بين ذكاء الأعمال وفق نموذج </w:t>
      </w:r>
      <w:r w:rsidRPr="00B87BE1">
        <w:rPr>
          <w:rFonts w:ascii="Traditional Arabic" w:hAnsi="Traditional Arabic" w:cs="Traditional Arabic"/>
          <w:color w:val="0D0D0D" w:themeColor="text1" w:themeTint="F2"/>
          <w:sz w:val="24"/>
          <w:szCs w:val="24"/>
        </w:rPr>
        <w:t>TAM</w:t>
      </w:r>
      <w:r w:rsidRPr="00B87BE1">
        <w:rPr>
          <w:rFonts w:ascii="Traditional Arabic" w:hAnsi="Traditional Arabic" w:cs="Traditional Arabic"/>
          <w:color w:val="0D0D0D" w:themeColor="text1" w:themeTint="F2"/>
          <w:sz w:val="24"/>
          <w:szCs w:val="24"/>
          <w:rtl/>
        </w:rPr>
        <w:t xml:space="preserve"> والابتكار التنظيمي</w:t>
      </w:r>
      <w:r w:rsidRPr="00B87BE1">
        <w:rPr>
          <w:rFonts w:ascii="Traditional Arabic" w:hAnsi="Traditional Arabic" w:cs="Traditional Arabic"/>
          <w:bCs/>
          <w:color w:val="0D0D0D" w:themeColor="text1" w:themeTint="F2"/>
          <w:sz w:val="24"/>
          <w:szCs w:val="24"/>
          <w:rtl/>
        </w:rPr>
        <w:t>،</w:t>
      </w:r>
      <w:r w:rsidRPr="00B87BE1">
        <w:rPr>
          <w:rFonts w:ascii="Traditional Arabic" w:hAnsi="Traditional Arabic" w:cs="Traditional Arabic"/>
          <w:color w:val="0D0D0D" w:themeColor="text1" w:themeTint="F2"/>
          <w:sz w:val="24"/>
          <w:szCs w:val="24"/>
          <w:rtl/>
        </w:rPr>
        <w:t xml:space="preserve"> مما يسهم في تبني مُتغيرات الدارسة الحالية لقطاعات جديدة تختلف في طبيعتها، وفي ظروف البيئة المحيطة بها عن القطاعات التي أجريت فيها الدراسات والبحوث السابقة.</w:t>
      </w:r>
    </w:p>
    <w:p w14:paraId="27D44151" w14:textId="2DCD85ED" w:rsidR="00E674BA" w:rsidRPr="00B87BE1" w:rsidRDefault="00E674BA" w:rsidP="00E674BA">
      <w:pPr>
        <w:tabs>
          <w:tab w:val="left" w:pos="4936"/>
        </w:tabs>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 xml:space="preserve">ويمكن بيان العلاقات المباشرة وغير </w:t>
      </w:r>
      <w:r w:rsidR="00822230" w:rsidRPr="00B87BE1">
        <w:rPr>
          <w:rFonts w:ascii="Traditional Arabic" w:hAnsi="Traditional Arabic" w:cs="Traditional Arabic" w:hint="cs"/>
          <w:b/>
          <w:color w:val="0D0D0D" w:themeColor="text1" w:themeTint="F2"/>
          <w:sz w:val="24"/>
          <w:szCs w:val="24"/>
          <w:rtl/>
        </w:rPr>
        <w:t>المباشرة، كما</w:t>
      </w:r>
      <w:r w:rsidRPr="00B87BE1">
        <w:rPr>
          <w:rFonts w:ascii="Traditional Arabic" w:hAnsi="Traditional Arabic" w:cs="Traditional Arabic"/>
          <w:b/>
          <w:color w:val="0D0D0D" w:themeColor="text1" w:themeTint="F2"/>
          <w:sz w:val="24"/>
          <w:szCs w:val="24"/>
          <w:rtl/>
        </w:rPr>
        <w:t xml:space="preserve"> هو موضح أدناه: </w:t>
      </w:r>
    </w:p>
    <w:p w14:paraId="14DA9865" w14:textId="77777777" w:rsidR="00E674BA" w:rsidRPr="00B87BE1" w:rsidRDefault="00E674BA" w:rsidP="00E674BA">
      <w:pPr>
        <w:tabs>
          <w:tab w:val="left" w:pos="4936"/>
        </w:tabs>
        <w:bidi/>
        <w:spacing w:after="240" w:line="360" w:lineRule="auto"/>
        <w:rPr>
          <w:rFonts w:ascii="Traditional Arabic" w:hAnsi="Traditional Arabic" w:cs="Traditional Arabic"/>
          <w:b/>
          <w:color w:val="0D0D0D" w:themeColor="text1" w:themeTint="F2"/>
          <w:sz w:val="24"/>
          <w:szCs w:val="24"/>
        </w:rPr>
      </w:pPr>
      <w:r w:rsidRPr="00B87BE1">
        <w:rPr>
          <w:rFonts w:ascii="Traditional Arabic" w:hAnsi="Traditional Arabic" w:cs="Traditional Arabic"/>
          <w:b/>
          <w:color w:val="0D0D0D" w:themeColor="text1" w:themeTint="F2"/>
          <w:sz w:val="24"/>
          <w:szCs w:val="24"/>
        </w:rPr>
        <w:t xml:space="preserve">H1 </w:t>
      </w:r>
      <w:r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color w:val="0D0D0D" w:themeColor="text1" w:themeTint="F2"/>
          <w:sz w:val="24"/>
          <w:szCs w:val="24"/>
        </w:rPr>
        <w:t xml:space="preserve"> </w:t>
      </w:r>
      <w:r w:rsidRPr="00B87BE1">
        <w:rPr>
          <w:rFonts w:ascii="Traditional Arabic" w:hAnsi="Traditional Arabic" w:cs="Traditional Arabic"/>
          <w:b/>
          <w:color w:val="0D0D0D" w:themeColor="text1" w:themeTint="F2"/>
          <w:sz w:val="24"/>
          <w:szCs w:val="24"/>
          <w:rtl/>
        </w:rPr>
        <w:t xml:space="preserve">تأثير قبول الموظفين لنظام ذكاء الأعمال وفق </w:t>
      </w:r>
      <w:r w:rsidRPr="00B87BE1">
        <w:rPr>
          <w:rFonts w:ascii="Traditional Arabic" w:hAnsi="Traditional Arabic" w:cs="Traditional Arabic"/>
          <w:bCs/>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xml:space="preserve"> على جودة اتخاذ القرارات الاستراتيجية.</w:t>
      </w:r>
    </w:p>
    <w:p w14:paraId="2115179C" w14:textId="77777777" w:rsidR="00E674BA" w:rsidRPr="00B87BE1" w:rsidRDefault="00E674BA" w:rsidP="00E674BA">
      <w:pPr>
        <w:tabs>
          <w:tab w:val="left" w:pos="4936"/>
        </w:tabs>
        <w:bidi/>
        <w:spacing w:after="240" w:line="360" w:lineRule="auto"/>
        <w:rPr>
          <w:rStyle w:val="Strong"/>
          <w:rFonts w:ascii="Traditional Arabic" w:hAnsi="Traditional Arabic" w:cs="Traditional Arabic"/>
          <w:b w:val="0"/>
          <w:color w:val="0D0D0D" w:themeColor="text1" w:themeTint="F2"/>
          <w:sz w:val="24"/>
          <w:szCs w:val="24"/>
        </w:rPr>
      </w:pPr>
      <w:r w:rsidRPr="00B87BE1">
        <w:rPr>
          <w:rFonts w:ascii="Traditional Arabic" w:hAnsi="Traditional Arabic" w:cs="Traditional Arabic"/>
          <w:b/>
          <w:color w:val="0D0D0D" w:themeColor="text1" w:themeTint="F2"/>
          <w:sz w:val="24"/>
          <w:szCs w:val="24"/>
        </w:rPr>
        <w:t>H2</w:t>
      </w:r>
      <w:r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Pr>
        <w:t xml:space="preserve">- </w:t>
      </w:r>
      <w:r w:rsidRPr="00B87BE1">
        <w:rPr>
          <w:rFonts w:ascii="Traditional Arabic" w:hAnsi="Traditional Arabic" w:cs="Traditional Arabic"/>
          <w:b/>
          <w:color w:val="0D0D0D" w:themeColor="text1" w:themeTint="F2"/>
          <w:sz w:val="24"/>
          <w:szCs w:val="24"/>
          <w:rtl/>
        </w:rPr>
        <w:t xml:space="preserve">تأثير </w:t>
      </w:r>
      <w:r w:rsidRPr="00B87BE1">
        <w:rPr>
          <w:rStyle w:val="Strong"/>
          <w:rFonts w:ascii="Traditional Arabic" w:hAnsi="Traditional Arabic" w:cs="Traditional Arabic"/>
          <w:bCs w:val="0"/>
          <w:color w:val="0D0D0D" w:themeColor="text1" w:themeTint="F2"/>
          <w:sz w:val="24"/>
          <w:szCs w:val="24"/>
          <w:rtl/>
        </w:rPr>
        <w:t>جودة اتخاذ القرارات</w:t>
      </w:r>
      <w:r w:rsidRPr="00B87BE1">
        <w:rPr>
          <w:rFonts w:ascii="Traditional Arabic" w:hAnsi="Traditional Arabic" w:cs="Traditional Arabic"/>
          <w:b/>
          <w:color w:val="0D0D0D" w:themeColor="text1" w:themeTint="F2"/>
          <w:sz w:val="24"/>
          <w:szCs w:val="24"/>
          <w:rtl/>
        </w:rPr>
        <w:t xml:space="preserve"> الاستراتيجية</w:t>
      </w:r>
      <w:r w:rsidRPr="00B87BE1">
        <w:rPr>
          <w:rFonts w:ascii="Traditional Arabic" w:hAnsi="Traditional Arabic" w:cs="Traditional Arabic"/>
          <w:bCs/>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tl/>
        </w:rPr>
        <w:t>المباشر على</w:t>
      </w:r>
      <w:r w:rsidRPr="00B87BE1">
        <w:rPr>
          <w:rFonts w:ascii="Traditional Arabic" w:hAnsi="Traditional Arabic" w:cs="Traditional Arabic"/>
          <w:bCs/>
          <w:color w:val="0D0D0D" w:themeColor="text1" w:themeTint="F2"/>
          <w:sz w:val="24"/>
          <w:szCs w:val="24"/>
          <w:rtl/>
        </w:rPr>
        <w:t xml:space="preserve"> </w:t>
      </w:r>
      <w:r w:rsidRPr="00B87BE1">
        <w:rPr>
          <w:rStyle w:val="Strong"/>
          <w:rFonts w:ascii="Traditional Arabic" w:hAnsi="Traditional Arabic" w:cs="Traditional Arabic"/>
          <w:bCs w:val="0"/>
          <w:color w:val="0D0D0D" w:themeColor="text1" w:themeTint="F2"/>
          <w:sz w:val="24"/>
          <w:szCs w:val="24"/>
          <w:rtl/>
        </w:rPr>
        <w:t>الابتكار التنظيمي</w:t>
      </w:r>
    </w:p>
    <w:p w14:paraId="1FF8192B" w14:textId="767B9BB4" w:rsidR="00E674BA" w:rsidRPr="00B87BE1" w:rsidRDefault="00E674BA" w:rsidP="00DE18FE">
      <w:pPr>
        <w:tabs>
          <w:tab w:val="left" w:pos="4936"/>
        </w:tabs>
        <w:bidi/>
        <w:spacing w:after="240" w:line="360" w:lineRule="auto"/>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Pr>
        <w:t>- H3</w:t>
      </w:r>
      <w:r w:rsidRPr="00B87BE1">
        <w:rPr>
          <w:rFonts w:ascii="Traditional Arabic" w:hAnsi="Traditional Arabic" w:cs="Traditional Arabic"/>
          <w:b/>
          <w:color w:val="0D0D0D" w:themeColor="text1" w:themeTint="F2"/>
          <w:sz w:val="24"/>
          <w:szCs w:val="24"/>
          <w:rtl/>
        </w:rPr>
        <w:t xml:space="preserve">التأثير </w:t>
      </w:r>
      <w:r w:rsidRPr="00B87BE1">
        <w:rPr>
          <w:rStyle w:val="Strong"/>
          <w:rFonts w:ascii="Traditional Arabic" w:hAnsi="Traditional Arabic" w:cs="Traditional Arabic"/>
          <w:bCs w:val="0"/>
          <w:color w:val="0D0D0D" w:themeColor="text1" w:themeTint="F2"/>
          <w:sz w:val="24"/>
          <w:szCs w:val="24"/>
          <w:rtl/>
        </w:rPr>
        <w:t>غير المباشر</w:t>
      </w:r>
      <w:r w:rsidRPr="00B87BE1">
        <w:rPr>
          <w:rFonts w:ascii="Traditional Arabic" w:hAnsi="Traditional Arabic" w:cs="Traditional Arabic"/>
          <w:b/>
          <w:color w:val="0D0D0D" w:themeColor="text1" w:themeTint="F2"/>
          <w:sz w:val="24"/>
          <w:szCs w:val="24"/>
          <w:rtl/>
        </w:rPr>
        <w:t xml:space="preserve"> لقبول المديرين لنظام ذكاء الأعمال وفق </w:t>
      </w:r>
      <w:r w:rsidRPr="00B87BE1">
        <w:rPr>
          <w:rFonts w:ascii="Traditional Arabic" w:hAnsi="Traditional Arabic" w:cs="Traditional Arabic"/>
          <w:bCs/>
          <w:color w:val="0D0D0D" w:themeColor="text1" w:themeTint="F2"/>
          <w:sz w:val="24"/>
          <w:szCs w:val="24"/>
        </w:rPr>
        <w:t>TAM</w:t>
      </w:r>
      <w:r w:rsidRPr="00B87BE1">
        <w:rPr>
          <w:rFonts w:ascii="Traditional Arabic" w:hAnsi="Traditional Arabic" w:cs="Traditional Arabic"/>
          <w:b/>
          <w:color w:val="0D0D0D" w:themeColor="text1" w:themeTint="F2"/>
          <w:sz w:val="24"/>
          <w:szCs w:val="24"/>
          <w:rtl/>
        </w:rPr>
        <w:t xml:space="preserve"> على الابتكار التنظيمي عبر جودة القرارات الاستراتيجية (حسب نظرية الوساطة)</w:t>
      </w:r>
      <w:r w:rsidRPr="00B87BE1">
        <w:rPr>
          <w:rFonts w:ascii="Traditional Arabic" w:hAnsi="Traditional Arabic" w:cs="Traditional Arabic"/>
          <w:b/>
          <w:color w:val="0D0D0D" w:themeColor="text1" w:themeTint="F2"/>
          <w:sz w:val="24"/>
          <w:szCs w:val="24"/>
        </w:rPr>
        <w:t>.</w:t>
      </w:r>
    </w:p>
    <w:p w14:paraId="382C80DA" w14:textId="77777777" w:rsidR="004E4092" w:rsidRPr="00B87BE1" w:rsidRDefault="004E4092" w:rsidP="004E4092">
      <w:pPr>
        <w:bidi/>
        <w:spacing w:after="240" w:line="360" w:lineRule="auto"/>
        <w:jc w:val="both"/>
        <w:rPr>
          <w:rFonts w:ascii="Traditional Arabic" w:hAnsi="Traditional Arabic" w:cs="Traditional Arabic"/>
          <w:bCs/>
          <w:color w:val="0D0D0D" w:themeColor="text1" w:themeTint="F2"/>
          <w:sz w:val="24"/>
          <w:szCs w:val="24"/>
          <w:lang w:bidi="ar-JO"/>
        </w:rPr>
      </w:pPr>
      <w:r w:rsidRPr="00B87BE1">
        <w:rPr>
          <w:rFonts w:ascii="Traditional Arabic" w:hAnsi="Traditional Arabic" w:cs="Traditional Arabic"/>
          <w:bCs/>
          <w:color w:val="0D0D0D" w:themeColor="text1" w:themeTint="F2"/>
          <w:sz w:val="24"/>
          <w:szCs w:val="24"/>
          <w:rtl/>
          <w:lang w:bidi="ar-JO"/>
        </w:rPr>
        <w:lastRenderedPageBreak/>
        <w:t>تنظيم فصول الأطروحة</w:t>
      </w:r>
    </w:p>
    <w:p w14:paraId="285D220F" w14:textId="77777777" w:rsidR="00873A85" w:rsidRPr="00B87BE1" w:rsidRDefault="00873A85" w:rsidP="00873A85">
      <w:pPr>
        <w:bidi/>
        <w:spacing w:after="240" w:line="360" w:lineRule="auto"/>
        <w:jc w:val="both"/>
        <w:rPr>
          <w:rFonts w:ascii="Traditional Arabic" w:hAnsi="Traditional Arabic" w:cs="Traditional Arabic"/>
          <w:b/>
          <w:color w:val="0D0D0D" w:themeColor="text1" w:themeTint="F2"/>
          <w:sz w:val="24"/>
          <w:szCs w:val="24"/>
          <w:lang w:bidi="ar-JO"/>
        </w:rPr>
      </w:pPr>
      <w:r w:rsidRPr="00B87BE1">
        <w:rPr>
          <w:rFonts w:ascii="Traditional Arabic" w:hAnsi="Traditional Arabic" w:cs="Traditional Arabic"/>
          <w:b/>
          <w:color w:val="0D0D0D" w:themeColor="text1" w:themeTint="F2"/>
          <w:sz w:val="24"/>
          <w:szCs w:val="24"/>
          <w:rtl/>
          <w:lang w:bidi="ar-JO"/>
        </w:rPr>
        <w:t>تتألف هذه الأطروحة من خمسة فصول مُنظّمة على النحو التالي:</w:t>
      </w:r>
    </w:p>
    <w:p w14:paraId="792E4CFB" w14:textId="03F12C9F" w:rsidR="00873A85" w:rsidRPr="00B87BE1" w:rsidRDefault="00873A85" w:rsidP="00873A85">
      <w:pPr>
        <w:bidi/>
        <w:spacing w:after="240" w:line="360" w:lineRule="auto"/>
        <w:jc w:val="both"/>
        <w:rPr>
          <w:rFonts w:ascii="Traditional Arabic" w:hAnsi="Traditional Arabic" w:cs="Traditional Arabic"/>
          <w:b/>
          <w:color w:val="0D0D0D" w:themeColor="text1" w:themeTint="F2"/>
          <w:sz w:val="24"/>
          <w:szCs w:val="24"/>
          <w:lang w:bidi="ar-JO"/>
        </w:rPr>
      </w:pPr>
      <w:r w:rsidRPr="00B87BE1">
        <w:rPr>
          <w:rFonts w:ascii="Traditional Arabic" w:hAnsi="Traditional Arabic" w:cs="Traditional Arabic"/>
          <w:b/>
          <w:color w:val="0D0D0D" w:themeColor="text1" w:themeTint="F2"/>
          <w:sz w:val="24"/>
          <w:szCs w:val="24"/>
          <w:rtl/>
          <w:lang w:bidi="ar-JO"/>
        </w:rPr>
        <w:t xml:space="preserve">- </w:t>
      </w:r>
      <w:r w:rsidRPr="00B87BE1">
        <w:rPr>
          <w:rFonts w:ascii="Traditional Arabic" w:hAnsi="Traditional Arabic" w:cs="Traditional Arabic"/>
          <w:bCs/>
          <w:color w:val="0D0D0D" w:themeColor="text1" w:themeTint="F2"/>
          <w:sz w:val="24"/>
          <w:szCs w:val="24"/>
          <w:rtl/>
          <w:lang w:bidi="ar-JO"/>
        </w:rPr>
        <w:t>الفصل الأول (الإطار العام):</w:t>
      </w:r>
      <w:r w:rsidRPr="00B87BE1">
        <w:rPr>
          <w:rFonts w:ascii="Traditional Arabic" w:hAnsi="Traditional Arabic" w:cs="Traditional Arabic"/>
          <w:b/>
          <w:color w:val="0D0D0D" w:themeColor="text1" w:themeTint="F2"/>
          <w:sz w:val="24"/>
          <w:szCs w:val="24"/>
          <w:rtl/>
          <w:lang w:bidi="ar-JO"/>
        </w:rPr>
        <w:t xml:space="preserve"> يتناول المقدمة، ومشكلة الدراسة، والتساؤلات، والأهداف، والأهمية النظرية والتطبيقية، والحدود، والمفاهيم الإجرائية.</w:t>
      </w:r>
    </w:p>
    <w:p w14:paraId="07567BE3" w14:textId="1B515EAB" w:rsidR="00873A85" w:rsidRPr="00B87BE1" w:rsidRDefault="00873A85" w:rsidP="00873A85">
      <w:pPr>
        <w:bidi/>
        <w:spacing w:after="240" w:line="360" w:lineRule="auto"/>
        <w:jc w:val="both"/>
        <w:rPr>
          <w:rFonts w:ascii="Traditional Arabic" w:hAnsi="Traditional Arabic" w:cs="Traditional Arabic"/>
          <w:b/>
          <w:color w:val="0D0D0D" w:themeColor="text1" w:themeTint="F2"/>
          <w:sz w:val="24"/>
          <w:szCs w:val="24"/>
          <w:lang w:bidi="ar-JO"/>
        </w:rPr>
      </w:pPr>
      <w:r w:rsidRPr="00B87BE1">
        <w:rPr>
          <w:rFonts w:ascii="Traditional Arabic" w:hAnsi="Traditional Arabic" w:cs="Traditional Arabic"/>
          <w:b/>
          <w:color w:val="0D0D0D" w:themeColor="text1" w:themeTint="F2"/>
          <w:sz w:val="24"/>
          <w:szCs w:val="24"/>
          <w:rtl/>
          <w:lang w:bidi="ar-JO"/>
        </w:rPr>
        <w:t xml:space="preserve">- </w:t>
      </w:r>
      <w:r w:rsidRPr="00B87BE1">
        <w:rPr>
          <w:rFonts w:ascii="Traditional Arabic" w:hAnsi="Traditional Arabic" w:cs="Traditional Arabic"/>
          <w:bCs/>
          <w:color w:val="0D0D0D" w:themeColor="text1" w:themeTint="F2"/>
          <w:sz w:val="24"/>
          <w:szCs w:val="24"/>
          <w:rtl/>
          <w:lang w:bidi="ar-JO"/>
        </w:rPr>
        <w:t>الفصل الثاني (الإطار النظري والدراسات السابقة):</w:t>
      </w:r>
      <w:r w:rsidRPr="00B87BE1">
        <w:rPr>
          <w:rFonts w:ascii="Traditional Arabic" w:hAnsi="Traditional Arabic" w:cs="Traditional Arabic"/>
          <w:b/>
          <w:color w:val="0D0D0D" w:themeColor="text1" w:themeTint="F2"/>
          <w:sz w:val="24"/>
          <w:szCs w:val="24"/>
          <w:rtl/>
          <w:lang w:bidi="ar-JO"/>
        </w:rPr>
        <w:t xml:space="preserve"> يستعرض الأدبيات المتعلقة بقبول أنظمة ذكاء الأعمال ونموذج </w:t>
      </w:r>
      <w:r w:rsidRPr="00B87BE1">
        <w:rPr>
          <w:rFonts w:ascii="Traditional Arabic" w:hAnsi="Traditional Arabic" w:cs="Traditional Arabic"/>
          <w:b/>
          <w:color w:val="0D0D0D" w:themeColor="text1" w:themeTint="F2"/>
          <w:sz w:val="24"/>
          <w:szCs w:val="24"/>
          <w:lang w:bidi="ar-JO"/>
        </w:rPr>
        <w:t>TAM</w:t>
      </w:r>
      <w:r w:rsidRPr="00B87BE1">
        <w:rPr>
          <w:rFonts w:ascii="Traditional Arabic" w:hAnsi="Traditional Arabic" w:cs="Traditional Arabic"/>
          <w:b/>
          <w:color w:val="0D0D0D" w:themeColor="text1" w:themeTint="F2"/>
          <w:sz w:val="24"/>
          <w:szCs w:val="24"/>
          <w:rtl/>
          <w:lang w:bidi="ar-JO"/>
        </w:rPr>
        <w:t>، وجودة القرارات الاستراتيجية، والابتكار التنظيمي، مع تحليل الدراسات السابقة والتعقيب عليها.</w:t>
      </w:r>
    </w:p>
    <w:p w14:paraId="48BBC61C" w14:textId="2EECCA8F" w:rsidR="00873A85" w:rsidRPr="00B87BE1" w:rsidRDefault="00873A85" w:rsidP="00873A85">
      <w:pPr>
        <w:bidi/>
        <w:spacing w:after="240" w:line="360" w:lineRule="auto"/>
        <w:jc w:val="both"/>
        <w:rPr>
          <w:rFonts w:ascii="Traditional Arabic" w:hAnsi="Traditional Arabic" w:cs="Traditional Arabic"/>
          <w:b/>
          <w:color w:val="0D0D0D" w:themeColor="text1" w:themeTint="F2"/>
          <w:sz w:val="24"/>
          <w:szCs w:val="24"/>
          <w:lang w:bidi="ar-JO"/>
        </w:rPr>
      </w:pPr>
      <w:r w:rsidRPr="00B87BE1">
        <w:rPr>
          <w:rFonts w:ascii="Traditional Arabic" w:hAnsi="Traditional Arabic" w:cs="Traditional Arabic"/>
          <w:b/>
          <w:color w:val="0D0D0D" w:themeColor="text1" w:themeTint="F2"/>
          <w:sz w:val="24"/>
          <w:szCs w:val="24"/>
          <w:rtl/>
          <w:lang w:bidi="ar-JO"/>
        </w:rPr>
        <w:t xml:space="preserve">- </w:t>
      </w:r>
      <w:r w:rsidRPr="00B87BE1">
        <w:rPr>
          <w:rFonts w:ascii="Traditional Arabic" w:hAnsi="Traditional Arabic" w:cs="Traditional Arabic"/>
          <w:bCs/>
          <w:color w:val="0D0D0D" w:themeColor="text1" w:themeTint="F2"/>
          <w:sz w:val="24"/>
          <w:szCs w:val="24"/>
          <w:rtl/>
          <w:lang w:bidi="ar-JO"/>
        </w:rPr>
        <w:t>الفصل الثالث (منهجية الدراسة):</w:t>
      </w:r>
      <w:r w:rsidRPr="00B87BE1">
        <w:rPr>
          <w:rFonts w:ascii="Traditional Arabic" w:hAnsi="Traditional Arabic" w:cs="Traditional Arabic"/>
          <w:b/>
          <w:color w:val="0D0D0D" w:themeColor="text1" w:themeTint="F2"/>
          <w:sz w:val="24"/>
          <w:szCs w:val="24"/>
          <w:rtl/>
          <w:lang w:bidi="ar-JO"/>
        </w:rPr>
        <w:t xml:space="preserve"> يعرض تصميم الدراسة، والمجتمع والعينة، وأداة جمع البيانات، وإجراءات الصدق والثبات، والأساليب الإحصائية المُستخدمة.</w:t>
      </w:r>
    </w:p>
    <w:p w14:paraId="71704688" w14:textId="584BC90B" w:rsidR="00873A85" w:rsidRPr="00B87BE1" w:rsidRDefault="00873A85" w:rsidP="00873A85">
      <w:pPr>
        <w:bidi/>
        <w:spacing w:after="240" w:line="360" w:lineRule="auto"/>
        <w:jc w:val="both"/>
        <w:rPr>
          <w:rFonts w:ascii="Traditional Arabic" w:hAnsi="Traditional Arabic" w:cs="Traditional Arabic"/>
          <w:b/>
          <w:color w:val="0D0D0D" w:themeColor="text1" w:themeTint="F2"/>
          <w:sz w:val="24"/>
          <w:szCs w:val="24"/>
          <w:lang w:bidi="ar-JO"/>
        </w:rPr>
      </w:pPr>
      <w:r w:rsidRPr="00B87BE1">
        <w:rPr>
          <w:rFonts w:ascii="Traditional Arabic" w:hAnsi="Traditional Arabic" w:cs="Traditional Arabic"/>
          <w:b/>
          <w:color w:val="0D0D0D" w:themeColor="text1" w:themeTint="F2"/>
          <w:sz w:val="24"/>
          <w:szCs w:val="24"/>
          <w:rtl/>
          <w:lang w:bidi="ar-JO"/>
        </w:rPr>
        <w:t xml:space="preserve">- </w:t>
      </w:r>
      <w:r w:rsidRPr="00B87BE1">
        <w:rPr>
          <w:rFonts w:ascii="Traditional Arabic" w:hAnsi="Traditional Arabic" w:cs="Traditional Arabic"/>
          <w:bCs/>
          <w:color w:val="0D0D0D" w:themeColor="text1" w:themeTint="F2"/>
          <w:sz w:val="24"/>
          <w:szCs w:val="24"/>
          <w:rtl/>
          <w:lang w:bidi="ar-JO"/>
        </w:rPr>
        <w:t>الفصل الرابع (عرض النتائج وتحليلها):</w:t>
      </w:r>
      <w:r w:rsidRPr="00B87BE1">
        <w:rPr>
          <w:rFonts w:ascii="Traditional Arabic" w:hAnsi="Traditional Arabic" w:cs="Traditional Arabic"/>
          <w:b/>
          <w:color w:val="0D0D0D" w:themeColor="text1" w:themeTint="F2"/>
          <w:sz w:val="24"/>
          <w:szCs w:val="24"/>
          <w:rtl/>
          <w:lang w:bidi="ar-JO"/>
        </w:rPr>
        <w:t xml:space="preserve"> يتضمن عرض نتائج التحليل الوصفي، واختبار الفرضيات باستخدام نمذجة المعادلات البنائية (</w:t>
      </w:r>
      <w:r w:rsidRPr="00B87BE1">
        <w:rPr>
          <w:rFonts w:ascii="Traditional Arabic" w:hAnsi="Traditional Arabic" w:cs="Traditional Arabic"/>
          <w:b/>
          <w:color w:val="0D0D0D" w:themeColor="text1" w:themeTint="F2"/>
          <w:sz w:val="24"/>
          <w:szCs w:val="24"/>
          <w:lang w:bidi="ar-JO"/>
        </w:rPr>
        <w:t>SEM-PLS</w:t>
      </w:r>
      <w:r w:rsidRPr="00B87BE1">
        <w:rPr>
          <w:rFonts w:ascii="Traditional Arabic" w:hAnsi="Traditional Arabic" w:cs="Traditional Arabic"/>
          <w:b/>
          <w:color w:val="0D0D0D" w:themeColor="text1" w:themeTint="F2"/>
          <w:sz w:val="24"/>
          <w:szCs w:val="24"/>
          <w:rtl/>
          <w:lang w:bidi="ar-JO"/>
        </w:rPr>
        <w:t>)، وتحليل الدور الوسيط لجودة القرارات الاستراتيجية.</w:t>
      </w:r>
    </w:p>
    <w:p w14:paraId="02EEDF11" w14:textId="7B533EA7" w:rsidR="00873A85" w:rsidRPr="00B87BE1" w:rsidRDefault="00873A85" w:rsidP="00873A85">
      <w:pPr>
        <w:bidi/>
        <w:spacing w:after="240" w:line="360" w:lineRule="auto"/>
        <w:jc w:val="both"/>
        <w:rPr>
          <w:rFonts w:ascii="Traditional Arabic" w:hAnsi="Traditional Arabic" w:cs="Traditional Arabic"/>
          <w:b/>
          <w:color w:val="0D0D0D" w:themeColor="text1" w:themeTint="F2"/>
          <w:sz w:val="24"/>
          <w:szCs w:val="24"/>
          <w:lang w:bidi="ar-JO"/>
        </w:rPr>
      </w:pPr>
      <w:r w:rsidRPr="00B87BE1">
        <w:rPr>
          <w:rFonts w:ascii="Traditional Arabic" w:hAnsi="Traditional Arabic" w:cs="Traditional Arabic"/>
          <w:b/>
          <w:color w:val="0D0D0D" w:themeColor="text1" w:themeTint="F2"/>
          <w:sz w:val="24"/>
          <w:szCs w:val="24"/>
          <w:rtl/>
          <w:lang w:bidi="ar-JO"/>
        </w:rPr>
        <w:t xml:space="preserve">- </w:t>
      </w:r>
      <w:r w:rsidRPr="00B87BE1">
        <w:rPr>
          <w:rFonts w:ascii="Traditional Arabic" w:hAnsi="Traditional Arabic" w:cs="Traditional Arabic"/>
          <w:bCs/>
          <w:color w:val="0D0D0D" w:themeColor="text1" w:themeTint="F2"/>
          <w:sz w:val="24"/>
          <w:szCs w:val="24"/>
          <w:rtl/>
          <w:lang w:bidi="ar-JO"/>
        </w:rPr>
        <w:t xml:space="preserve">الفصل الخامس (مناقشة النتائج والتوصيات): </w:t>
      </w:r>
      <w:r w:rsidRPr="00B87BE1">
        <w:rPr>
          <w:rFonts w:ascii="Traditional Arabic" w:hAnsi="Traditional Arabic" w:cs="Traditional Arabic"/>
          <w:b/>
          <w:color w:val="0D0D0D" w:themeColor="text1" w:themeTint="F2"/>
          <w:sz w:val="24"/>
          <w:szCs w:val="24"/>
          <w:rtl/>
          <w:lang w:bidi="ar-JO"/>
        </w:rPr>
        <w:t>يُناقش النتائج في ضوء الدراسات السابقة، ويُقدّم التوصيات التطبيقية والمقترحات البحثية المستقبلية.</w:t>
      </w:r>
    </w:p>
    <w:p w14:paraId="78DE8914" w14:textId="77777777" w:rsidR="00C414F9" w:rsidRPr="00B87BE1" w:rsidRDefault="00C414F9">
      <w:pPr>
        <w:spacing w:after="200" w:line="276" w:lineRule="auto"/>
        <w:rPr>
          <w:rFonts w:ascii="Traditional Arabic" w:eastAsiaTheme="majorEastAsia" w:hAnsi="Traditional Arabic" w:cs="Traditional Arabic"/>
          <w:bCs/>
          <w:color w:val="0D0D0D" w:themeColor="text1" w:themeTint="F2"/>
          <w:sz w:val="32"/>
          <w:szCs w:val="32"/>
          <w:rtl/>
        </w:rPr>
      </w:pPr>
      <w:r w:rsidRPr="00B87BE1">
        <w:rPr>
          <w:rFonts w:ascii="Traditional Arabic" w:hAnsi="Traditional Arabic" w:cs="Traditional Arabic"/>
          <w:bCs/>
          <w:color w:val="0D0D0D" w:themeColor="text1" w:themeTint="F2"/>
          <w:rtl/>
        </w:rPr>
        <w:br w:type="page"/>
      </w:r>
    </w:p>
    <w:p w14:paraId="1CC194DD" w14:textId="0DA11CE7" w:rsidR="007F4183" w:rsidRPr="00B87BE1" w:rsidRDefault="007F4183" w:rsidP="004839C9">
      <w:pPr>
        <w:pStyle w:val="Heading1"/>
        <w:bidi/>
        <w:spacing w:before="0" w:line="360" w:lineRule="auto"/>
        <w:jc w:val="center"/>
        <w:rPr>
          <w:rFonts w:ascii="Traditional Arabic" w:hAnsi="Traditional Arabic" w:cs="Traditional Arabic"/>
          <w:bCs/>
          <w:color w:val="0D0D0D" w:themeColor="text1" w:themeTint="F2"/>
          <w:rtl/>
        </w:rPr>
      </w:pPr>
      <w:bookmarkStart w:id="31" w:name="_Toc215399850"/>
      <w:r w:rsidRPr="00B87BE1">
        <w:rPr>
          <w:rFonts w:ascii="Traditional Arabic" w:hAnsi="Traditional Arabic" w:cs="Traditional Arabic"/>
          <w:bCs/>
          <w:color w:val="0D0D0D" w:themeColor="text1" w:themeTint="F2"/>
          <w:rtl/>
        </w:rPr>
        <w:lastRenderedPageBreak/>
        <w:t>المراجع</w:t>
      </w:r>
      <w:bookmarkEnd w:id="31"/>
    </w:p>
    <w:p w14:paraId="6C03986A" w14:textId="77777777" w:rsidR="00495D7D" w:rsidRPr="00B87BE1" w:rsidRDefault="00495D7D" w:rsidP="000070FD">
      <w:pPr>
        <w:pStyle w:val="Heading1"/>
        <w:bidi/>
        <w:spacing w:before="0" w:line="360" w:lineRule="auto"/>
        <w:rPr>
          <w:rFonts w:ascii="Traditional Arabic" w:hAnsi="Traditional Arabic" w:cs="Traditional Arabic"/>
          <w:bCs/>
          <w:color w:val="0D0D0D" w:themeColor="text1" w:themeTint="F2"/>
          <w:sz w:val="28"/>
          <w:szCs w:val="28"/>
          <w:rtl/>
        </w:rPr>
      </w:pPr>
      <w:bookmarkStart w:id="32" w:name="_Toc215399851"/>
      <w:r w:rsidRPr="00B87BE1">
        <w:rPr>
          <w:rFonts w:ascii="Traditional Arabic" w:hAnsi="Traditional Arabic" w:cs="Traditional Arabic"/>
          <w:bCs/>
          <w:color w:val="0D0D0D" w:themeColor="text1" w:themeTint="F2"/>
          <w:sz w:val="28"/>
          <w:szCs w:val="28"/>
          <w:rtl/>
        </w:rPr>
        <w:t>أولاً: المراجع العربية:</w:t>
      </w:r>
      <w:bookmarkEnd w:id="32"/>
    </w:p>
    <w:p w14:paraId="31AC3302" w14:textId="21FD9F12"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الأبجي، كوثر، وسليمان، أحمد. (2020). إطار مقترح للمراجعة الإدارية للقرارات ال</w:t>
      </w:r>
      <w:r w:rsidR="00115502" w:rsidRPr="00B87BE1">
        <w:rPr>
          <w:rFonts w:ascii="Traditional Arabic" w:eastAsia="Times New Roman" w:hAnsi="Traditional Arabic" w:cs="Traditional Arabic"/>
          <w:b/>
          <w:color w:val="0D0D0D" w:themeColor="text1" w:themeTint="F2"/>
          <w:sz w:val="24"/>
          <w:szCs w:val="24"/>
          <w:rtl/>
        </w:rPr>
        <w:t>استراتيجي</w:t>
      </w:r>
      <w:r w:rsidRPr="00B87BE1">
        <w:rPr>
          <w:rFonts w:ascii="Traditional Arabic" w:eastAsia="Times New Roman" w:hAnsi="Traditional Arabic" w:cs="Traditional Arabic"/>
          <w:b/>
          <w:color w:val="0D0D0D" w:themeColor="text1" w:themeTint="F2"/>
          <w:sz w:val="24"/>
          <w:szCs w:val="24"/>
          <w:rtl/>
        </w:rPr>
        <w:t>ة في المصارف الإسلامية</w:t>
      </w:r>
      <w:r w:rsidRPr="00B87BE1">
        <w:rPr>
          <w:rFonts w:ascii="Traditional Arabic" w:eastAsia="Times New Roman" w:hAnsi="Traditional Arabic" w:cs="Traditional Arabic"/>
          <w:b/>
          <w:color w:val="0D0D0D" w:themeColor="text1" w:themeTint="F2"/>
          <w:sz w:val="24"/>
          <w:szCs w:val="24"/>
        </w:rPr>
        <w:t>. </w:t>
      </w:r>
      <w:r w:rsidRPr="00B87BE1">
        <w:rPr>
          <w:rFonts w:ascii="Traditional Arabic" w:eastAsia="Times New Roman" w:hAnsi="Traditional Arabic" w:cs="Traditional Arabic"/>
          <w:b/>
          <w:i/>
          <w:iCs/>
          <w:color w:val="0D0D0D" w:themeColor="text1" w:themeTint="F2"/>
          <w:sz w:val="24"/>
          <w:szCs w:val="24"/>
          <w:rtl/>
        </w:rPr>
        <w:t>مجلة الاقتصاد الإسلامي، 40</w:t>
      </w:r>
      <w:r w:rsidRPr="00B87BE1">
        <w:rPr>
          <w:rFonts w:ascii="Traditional Arabic" w:eastAsia="Times New Roman" w:hAnsi="Traditional Arabic" w:cs="Traditional Arabic"/>
          <w:b/>
          <w:color w:val="0D0D0D" w:themeColor="text1" w:themeTint="F2"/>
          <w:sz w:val="24"/>
          <w:szCs w:val="24"/>
          <w:rtl/>
        </w:rPr>
        <w:t>(474)، 510-514.</w:t>
      </w:r>
    </w:p>
    <w:p w14:paraId="5C54DCCF" w14:textId="27E77B28" w:rsidR="00D372D0" w:rsidRPr="00B87BE1" w:rsidRDefault="00D372D0" w:rsidP="000070FD">
      <w:pPr>
        <w:bidi/>
        <w:spacing w:after="0" w:line="360" w:lineRule="auto"/>
        <w:ind w:left="720" w:hanging="720"/>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إبراهيم، شيماء،</w:t>
      </w:r>
      <w:r w:rsidR="002B2085"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tl/>
        </w:rPr>
        <w:t>عبده، منال.</w:t>
      </w:r>
      <w:r w:rsidR="006B3AD2"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tl/>
        </w:rPr>
        <w:t>(2023). الدور الوسيط للريادة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في العلاقة بين ممارسات الذكاء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 والأداء المستدام</w:t>
      </w:r>
      <w:r w:rsidR="000F7C9C"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color w:val="0D0D0D" w:themeColor="text1" w:themeTint="F2"/>
          <w:sz w:val="24"/>
          <w:szCs w:val="24"/>
          <w:rtl/>
        </w:rPr>
        <w:t xml:space="preserve"> دراسة تطبيقية على مستشفيات</w:t>
      </w:r>
      <w:r w:rsidR="00C3442F"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tl/>
        </w:rPr>
        <w:t>عين شمس</w:t>
      </w:r>
      <w:r w:rsidR="000F7C9C"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i/>
          <w:iCs/>
          <w:color w:val="0D0D0D" w:themeColor="text1" w:themeTint="F2"/>
          <w:sz w:val="24"/>
          <w:szCs w:val="24"/>
          <w:rtl/>
        </w:rPr>
        <w:t xml:space="preserve"> مجلة البحوث المالية والتجارية</w:t>
      </w:r>
      <w:r w:rsidRPr="00B87BE1">
        <w:rPr>
          <w:rFonts w:ascii="Traditional Arabic" w:hAnsi="Traditional Arabic" w:cs="Traditional Arabic"/>
          <w:b/>
          <w:color w:val="0D0D0D" w:themeColor="text1" w:themeTint="F2"/>
          <w:sz w:val="24"/>
          <w:szCs w:val="24"/>
          <w:rtl/>
        </w:rPr>
        <w:t>،</w:t>
      </w:r>
      <w:r w:rsidR="00A00273" w:rsidRPr="00B87BE1">
        <w:rPr>
          <w:rFonts w:ascii="Traditional Arabic" w:hAnsi="Traditional Arabic" w:cs="Traditional Arabic"/>
          <w:b/>
          <w:color w:val="0D0D0D" w:themeColor="text1" w:themeTint="F2"/>
          <w:sz w:val="24"/>
          <w:szCs w:val="24"/>
          <w:rtl/>
        </w:rPr>
        <w:t xml:space="preserve"> </w:t>
      </w:r>
      <w:r w:rsidR="00A00273" w:rsidRPr="00B87BE1">
        <w:rPr>
          <w:rFonts w:ascii="Traditional Arabic" w:hAnsi="Traditional Arabic" w:cs="Traditional Arabic"/>
          <w:b/>
          <w:i/>
          <w:iCs/>
          <w:color w:val="0D0D0D" w:themeColor="text1" w:themeTint="F2"/>
          <w:sz w:val="24"/>
          <w:szCs w:val="24"/>
          <w:rtl/>
        </w:rPr>
        <w:t>24</w:t>
      </w:r>
      <w:r w:rsidR="00A00273" w:rsidRPr="00B87BE1">
        <w:rPr>
          <w:rFonts w:ascii="Traditional Arabic" w:hAnsi="Traditional Arabic" w:cs="Traditional Arabic"/>
          <w:b/>
          <w:color w:val="0D0D0D" w:themeColor="text1" w:themeTint="F2"/>
          <w:sz w:val="24"/>
          <w:szCs w:val="24"/>
          <w:rtl/>
        </w:rPr>
        <w:t xml:space="preserve">(2)، 90- 113. </w:t>
      </w:r>
      <w:hyperlink r:id="rId9" w:history="1">
        <w:r w:rsidR="00361607" w:rsidRPr="00B87BE1">
          <w:rPr>
            <w:rStyle w:val="Hyperlink"/>
            <w:rFonts w:ascii="Traditional Arabic" w:hAnsi="Traditional Arabic" w:cs="Traditional Arabic"/>
            <w:b/>
            <w:sz w:val="24"/>
            <w:szCs w:val="24"/>
          </w:rPr>
          <w:t>https://doi.org/10.21608/jsst.2023.189488.1547</w:t>
        </w:r>
      </w:hyperlink>
    </w:p>
    <w:p w14:paraId="362DAEC4" w14:textId="1364E08F"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أبو تمام، ميساء</w:t>
      </w:r>
      <w:r w:rsidR="00A00273" w:rsidRPr="00B87BE1">
        <w:rPr>
          <w:rFonts w:ascii="Traditional Arabic" w:eastAsia="Times New Roman" w:hAnsi="Traditional Arabic" w:cs="Traditional Arabic"/>
          <w:b/>
          <w:color w:val="0D0D0D" w:themeColor="text1" w:themeTint="F2"/>
          <w:sz w:val="24"/>
          <w:szCs w:val="24"/>
          <w:rtl/>
        </w:rPr>
        <w:t xml:space="preserve">. (2018). </w:t>
      </w:r>
      <w:r w:rsidR="00A00273" w:rsidRPr="00B87BE1">
        <w:rPr>
          <w:rFonts w:ascii="Traditional Arabic" w:eastAsia="Times New Roman" w:hAnsi="Traditional Arabic" w:cs="Traditional Arabic"/>
          <w:b/>
          <w:i/>
          <w:iCs/>
          <w:color w:val="0D0D0D" w:themeColor="text1" w:themeTint="F2"/>
          <w:sz w:val="24"/>
          <w:szCs w:val="24"/>
          <w:rtl/>
        </w:rPr>
        <w:t>أ</w:t>
      </w:r>
      <w:r w:rsidRPr="00B87BE1">
        <w:rPr>
          <w:rFonts w:ascii="Traditional Arabic" w:eastAsia="Times New Roman" w:hAnsi="Traditional Arabic" w:cs="Traditional Arabic"/>
          <w:b/>
          <w:i/>
          <w:iCs/>
          <w:color w:val="0D0D0D" w:themeColor="text1" w:themeTint="F2"/>
          <w:sz w:val="24"/>
          <w:szCs w:val="24"/>
          <w:rtl/>
        </w:rPr>
        <w:t>همية تطبيق نظم محاسبة التكاليف والإدارية على اتخاذ القرارات ال</w:t>
      </w:r>
      <w:r w:rsidR="00115502" w:rsidRPr="00B87BE1">
        <w:rPr>
          <w:rFonts w:ascii="Traditional Arabic" w:eastAsia="Times New Roman" w:hAnsi="Traditional Arabic" w:cs="Traditional Arabic"/>
          <w:b/>
          <w:i/>
          <w:iCs/>
          <w:color w:val="0D0D0D" w:themeColor="text1" w:themeTint="F2"/>
          <w:sz w:val="24"/>
          <w:szCs w:val="24"/>
          <w:rtl/>
        </w:rPr>
        <w:t>استراتيجي</w:t>
      </w:r>
      <w:r w:rsidRPr="00B87BE1">
        <w:rPr>
          <w:rFonts w:ascii="Traditional Arabic" w:eastAsia="Times New Roman" w:hAnsi="Traditional Arabic" w:cs="Traditional Arabic"/>
          <w:b/>
          <w:i/>
          <w:iCs/>
          <w:color w:val="0D0D0D" w:themeColor="text1" w:themeTint="F2"/>
          <w:sz w:val="24"/>
          <w:szCs w:val="24"/>
          <w:rtl/>
        </w:rPr>
        <w:t>ة: دراسة ميدانية في البنوك التجارية الأردنية</w:t>
      </w:r>
      <w:r w:rsidRPr="00B87BE1">
        <w:rPr>
          <w:rFonts w:ascii="Traditional Arabic" w:eastAsia="Times New Roman" w:hAnsi="Traditional Arabic" w:cs="Traditional Arabic"/>
          <w:b/>
          <w:color w:val="0D0D0D" w:themeColor="text1" w:themeTint="F2"/>
          <w:sz w:val="24"/>
          <w:szCs w:val="24"/>
          <w:rtl/>
        </w:rPr>
        <w:t> </w:t>
      </w:r>
      <w:r w:rsidR="00A00273" w:rsidRPr="00B87BE1">
        <w:rPr>
          <w:rFonts w:ascii="Traditional Arabic" w:eastAsia="Times New Roman" w:hAnsi="Traditional Arabic" w:cs="Traditional Arabic"/>
          <w:b/>
          <w:color w:val="0D0D0D" w:themeColor="text1" w:themeTint="F2"/>
          <w:sz w:val="24"/>
          <w:szCs w:val="24"/>
          <w:rtl/>
        </w:rPr>
        <w:t>[أطروح</w:t>
      </w:r>
      <w:r w:rsidRPr="00B87BE1">
        <w:rPr>
          <w:rFonts w:ascii="Traditional Arabic" w:eastAsia="Times New Roman" w:hAnsi="Traditional Arabic" w:cs="Traditional Arabic"/>
          <w:b/>
          <w:color w:val="0D0D0D" w:themeColor="text1" w:themeTint="F2"/>
          <w:sz w:val="24"/>
          <w:szCs w:val="24"/>
          <w:rtl/>
        </w:rPr>
        <w:t>ة دكتوراه غير منشورة</w:t>
      </w:r>
      <w:r w:rsidR="00A00273"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 جامعة العلوم الإسلامية العالمية.</w:t>
      </w:r>
    </w:p>
    <w:p w14:paraId="11966348" w14:textId="64490898"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أحمد، علي. (2019). أثر ترتيبات العمل المرن في قطاع الخدمات المصرفية على ال</w:t>
      </w:r>
      <w:r w:rsidR="00115502" w:rsidRPr="00B87BE1">
        <w:rPr>
          <w:rFonts w:ascii="Traditional Arabic" w:eastAsia="Times New Roman" w:hAnsi="Traditional Arabic" w:cs="Traditional Arabic"/>
          <w:b/>
          <w:color w:val="0D0D0D" w:themeColor="text1" w:themeTint="F2"/>
          <w:sz w:val="24"/>
          <w:szCs w:val="24"/>
          <w:rtl/>
        </w:rPr>
        <w:t>ابتكار</w:t>
      </w:r>
      <w:r w:rsidRPr="00B87BE1">
        <w:rPr>
          <w:rFonts w:ascii="Traditional Arabic" w:eastAsia="Times New Roman" w:hAnsi="Traditional Arabic" w:cs="Traditional Arabic"/>
          <w:b/>
          <w:color w:val="0D0D0D" w:themeColor="text1" w:themeTint="F2"/>
          <w:sz w:val="24"/>
          <w:szCs w:val="24"/>
          <w:rtl/>
        </w:rPr>
        <w:t xml:space="preserve"> التنظيمي: دراسة تطبيقية على العاملين بالبنوك التجارية بمدينة المنصورة</w:t>
      </w:r>
      <w:r w:rsidR="00A00273" w:rsidRPr="00B87BE1">
        <w:rPr>
          <w:rFonts w:ascii="Traditional Arabic" w:eastAsia="Times New Roman" w:hAnsi="Traditional Arabic" w:cs="Traditional Arabic"/>
          <w:b/>
          <w:color w:val="0D0D0D" w:themeColor="text1" w:themeTint="F2"/>
          <w:sz w:val="24"/>
          <w:szCs w:val="24"/>
          <w:rtl/>
        </w:rPr>
        <w:t xml:space="preserve">. </w:t>
      </w:r>
      <w:r w:rsidRPr="00B87BE1">
        <w:rPr>
          <w:rFonts w:ascii="Traditional Arabic" w:eastAsia="Times New Roman" w:hAnsi="Traditional Arabic" w:cs="Traditional Arabic"/>
          <w:b/>
          <w:i/>
          <w:iCs/>
          <w:color w:val="0D0D0D" w:themeColor="text1" w:themeTint="F2"/>
          <w:sz w:val="24"/>
          <w:szCs w:val="24"/>
          <w:rtl/>
        </w:rPr>
        <w:t>مجلة الدراسات والبحوث التجارية، 39</w:t>
      </w:r>
      <w:r w:rsidRPr="00B87BE1">
        <w:rPr>
          <w:rFonts w:ascii="Traditional Arabic" w:eastAsia="Times New Roman" w:hAnsi="Traditional Arabic" w:cs="Traditional Arabic"/>
          <w:b/>
          <w:color w:val="0D0D0D" w:themeColor="text1" w:themeTint="F2"/>
          <w:sz w:val="24"/>
          <w:szCs w:val="24"/>
          <w:rtl/>
        </w:rPr>
        <w:t>(1)، 483-522.</w:t>
      </w:r>
    </w:p>
    <w:p w14:paraId="772358DA" w14:textId="77777777" w:rsidR="00163E96" w:rsidRPr="00B87BE1" w:rsidRDefault="00163E96" w:rsidP="00163E96">
      <w:pPr>
        <w:bidi/>
        <w:spacing w:after="0" w:line="360" w:lineRule="auto"/>
        <w:ind w:left="720" w:hanging="720"/>
        <w:jc w:val="both"/>
        <w:rPr>
          <w:rFonts w:ascii="Traditional Arabic" w:eastAsia="Times New Roman" w:hAnsi="Traditional Arabic" w:cs="Traditional Arabic"/>
          <w:b/>
          <w:color w:val="0D0D0D" w:themeColor="text1" w:themeTint="F2"/>
          <w:sz w:val="24"/>
          <w:szCs w:val="24"/>
          <w:lang w:val="en-GB"/>
        </w:rPr>
      </w:pPr>
      <w:r w:rsidRPr="00B87BE1">
        <w:rPr>
          <w:rFonts w:ascii="Traditional Arabic" w:eastAsia="Times New Roman" w:hAnsi="Traditional Arabic" w:cs="Traditional Arabic"/>
          <w:b/>
          <w:color w:val="0D0D0D" w:themeColor="text1" w:themeTint="F2"/>
          <w:sz w:val="24"/>
          <w:szCs w:val="24"/>
          <w:rtl/>
        </w:rPr>
        <w:t>البنك المركزي السعودي. (2024). التقرير السنوي لقطاع التقنية المالية. الرياض: البنك المركزي السعودي</w:t>
      </w:r>
      <w:r w:rsidRPr="00B87BE1">
        <w:rPr>
          <w:rFonts w:ascii="Traditional Arabic" w:eastAsia="Times New Roman" w:hAnsi="Traditional Arabic" w:cs="Traditional Arabic"/>
          <w:b/>
          <w:color w:val="0D0D0D" w:themeColor="text1" w:themeTint="F2"/>
          <w:sz w:val="24"/>
          <w:szCs w:val="24"/>
          <w:lang w:val="en-GB"/>
        </w:rPr>
        <w:t>.</w:t>
      </w:r>
    </w:p>
    <w:p w14:paraId="516B7EF9" w14:textId="73D73CF4" w:rsidR="00B20109" w:rsidRPr="00B87BE1" w:rsidRDefault="00B20109" w:rsidP="00163E96">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 xml:space="preserve">البطاينة، أحمد. (2021). أثر ذكاء الأعمال في أداء سلسلة التوريد في شركة ألبان اليوم. </w:t>
      </w:r>
      <w:r w:rsidRPr="00B87BE1">
        <w:rPr>
          <w:rFonts w:ascii="Traditional Arabic" w:eastAsia="Times New Roman" w:hAnsi="Traditional Arabic" w:cs="Traditional Arabic"/>
          <w:b/>
          <w:i/>
          <w:iCs/>
          <w:color w:val="0D0D0D" w:themeColor="text1" w:themeTint="F2"/>
          <w:sz w:val="24"/>
          <w:szCs w:val="24"/>
          <w:rtl/>
        </w:rPr>
        <w:t>المجلة العالمية للاقتصاد والأعمال</w:t>
      </w:r>
      <w:r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i/>
          <w:iCs/>
          <w:color w:val="0D0D0D" w:themeColor="text1" w:themeTint="F2"/>
          <w:sz w:val="24"/>
          <w:szCs w:val="24"/>
          <w:rtl/>
        </w:rPr>
        <w:t xml:space="preserve"> 1</w:t>
      </w:r>
      <w:r w:rsidRPr="00B87BE1">
        <w:rPr>
          <w:rFonts w:ascii="Traditional Arabic" w:eastAsia="Times New Roman" w:hAnsi="Traditional Arabic" w:cs="Traditional Arabic"/>
          <w:b/>
          <w:color w:val="0D0D0D" w:themeColor="text1" w:themeTint="F2"/>
          <w:sz w:val="24"/>
          <w:szCs w:val="24"/>
          <w:rtl/>
        </w:rPr>
        <w:t>(11)، 31-45.</w:t>
      </w:r>
    </w:p>
    <w:p w14:paraId="23F2EAAE" w14:textId="62DAC276"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البلبيسي، ميس، والنعيمي، محمد</w:t>
      </w:r>
      <w:r w:rsidR="00A00273" w:rsidRPr="00B87BE1">
        <w:rPr>
          <w:rFonts w:ascii="Traditional Arabic" w:eastAsia="Times New Roman" w:hAnsi="Traditional Arabic" w:cs="Traditional Arabic"/>
          <w:b/>
          <w:color w:val="0D0D0D" w:themeColor="text1" w:themeTint="F2"/>
          <w:sz w:val="24"/>
          <w:szCs w:val="24"/>
          <w:rtl/>
        </w:rPr>
        <w:t>. (2017)</w:t>
      </w:r>
      <w:r w:rsidR="00A00273" w:rsidRPr="00B87BE1">
        <w:rPr>
          <w:rFonts w:ascii="Traditional Arabic" w:eastAsia="Times New Roman" w:hAnsi="Traditional Arabic" w:cs="Traditional Arabic"/>
          <w:b/>
          <w:i/>
          <w:iCs/>
          <w:color w:val="0D0D0D" w:themeColor="text1" w:themeTint="F2"/>
          <w:sz w:val="24"/>
          <w:szCs w:val="24"/>
          <w:rtl/>
        </w:rPr>
        <w:t xml:space="preserve">. </w:t>
      </w:r>
      <w:r w:rsidRPr="00B87BE1">
        <w:rPr>
          <w:rFonts w:ascii="Traditional Arabic" w:eastAsia="Times New Roman" w:hAnsi="Traditional Arabic" w:cs="Traditional Arabic"/>
          <w:b/>
          <w:i/>
          <w:iCs/>
          <w:color w:val="0D0D0D" w:themeColor="text1" w:themeTint="F2"/>
          <w:sz w:val="24"/>
          <w:szCs w:val="24"/>
        </w:rPr>
        <w:t> </w:t>
      </w:r>
      <w:r w:rsidRPr="00B87BE1">
        <w:rPr>
          <w:rFonts w:ascii="Traditional Arabic" w:eastAsia="Times New Roman" w:hAnsi="Traditional Arabic" w:cs="Traditional Arabic"/>
          <w:b/>
          <w:i/>
          <w:iCs/>
          <w:color w:val="0D0D0D" w:themeColor="text1" w:themeTint="F2"/>
          <w:sz w:val="24"/>
          <w:szCs w:val="24"/>
          <w:rtl/>
        </w:rPr>
        <w:t>أثر جودة الخدمة الداخلية على ال</w:t>
      </w:r>
      <w:r w:rsidR="00115502" w:rsidRPr="00B87BE1">
        <w:rPr>
          <w:rFonts w:ascii="Traditional Arabic" w:eastAsia="Times New Roman" w:hAnsi="Traditional Arabic" w:cs="Traditional Arabic"/>
          <w:b/>
          <w:i/>
          <w:iCs/>
          <w:color w:val="0D0D0D" w:themeColor="text1" w:themeTint="F2"/>
          <w:sz w:val="24"/>
          <w:szCs w:val="24"/>
          <w:rtl/>
        </w:rPr>
        <w:t>ابتكار</w:t>
      </w:r>
      <w:r w:rsidRPr="00B87BE1">
        <w:rPr>
          <w:rFonts w:ascii="Traditional Arabic" w:eastAsia="Times New Roman" w:hAnsi="Traditional Arabic" w:cs="Traditional Arabic"/>
          <w:b/>
          <w:i/>
          <w:iCs/>
          <w:color w:val="0D0D0D" w:themeColor="text1" w:themeTint="F2"/>
          <w:sz w:val="24"/>
          <w:szCs w:val="24"/>
          <w:rtl/>
        </w:rPr>
        <w:t xml:space="preserve"> التنظيمي والدور الوسيط للالتزام التنظيمي: دراسة تطبيقية في البنوك الأجنبية العاملة في الأردن</w:t>
      </w:r>
      <w:r w:rsidRPr="00B87BE1">
        <w:rPr>
          <w:rFonts w:ascii="Traditional Arabic" w:eastAsia="Times New Roman" w:hAnsi="Traditional Arabic" w:cs="Traditional Arabic"/>
          <w:b/>
          <w:color w:val="0D0D0D" w:themeColor="text1" w:themeTint="F2"/>
          <w:sz w:val="24"/>
          <w:szCs w:val="24"/>
          <w:rtl/>
        </w:rPr>
        <w:t> </w:t>
      </w:r>
      <w:r w:rsidR="00A00273"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رسالة ماجستير غير منشورة</w:t>
      </w:r>
      <w:r w:rsidR="00A00273"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 الجامعة الأردنية.</w:t>
      </w:r>
    </w:p>
    <w:p w14:paraId="3921CEFB" w14:textId="5E373FB6"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جديد، رشا. (2020). دور ال</w:t>
      </w:r>
      <w:r w:rsidR="00115502" w:rsidRPr="00B87BE1">
        <w:rPr>
          <w:rFonts w:ascii="Traditional Arabic" w:eastAsia="Times New Roman" w:hAnsi="Traditional Arabic" w:cs="Traditional Arabic"/>
          <w:b/>
          <w:color w:val="0D0D0D" w:themeColor="text1" w:themeTint="F2"/>
          <w:sz w:val="24"/>
          <w:szCs w:val="24"/>
          <w:rtl/>
        </w:rPr>
        <w:t>ابتكار</w:t>
      </w:r>
      <w:r w:rsidRPr="00B87BE1">
        <w:rPr>
          <w:rFonts w:ascii="Traditional Arabic" w:eastAsia="Times New Roman" w:hAnsi="Traditional Arabic" w:cs="Traditional Arabic"/>
          <w:b/>
          <w:color w:val="0D0D0D" w:themeColor="text1" w:themeTint="F2"/>
          <w:sz w:val="24"/>
          <w:szCs w:val="24"/>
          <w:rtl/>
        </w:rPr>
        <w:t xml:space="preserve"> التنظيمي في تحقيق الميزة التنافسية: نموذج المصرف التجاري السوري</w:t>
      </w:r>
      <w:r w:rsidRPr="00B87BE1">
        <w:rPr>
          <w:rFonts w:ascii="Traditional Arabic" w:eastAsia="Times New Roman" w:hAnsi="Traditional Arabic" w:cs="Traditional Arabic"/>
          <w:b/>
          <w:color w:val="0D0D0D" w:themeColor="text1" w:themeTint="F2"/>
          <w:sz w:val="24"/>
          <w:szCs w:val="24"/>
        </w:rPr>
        <w:t>. </w:t>
      </w:r>
      <w:r w:rsidRPr="00B87BE1">
        <w:rPr>
          <w:rFonts w:ascii="Traditional Arabic" w:eastAsia="Times New Roman" w:hAnsi="Traditional Arabic" w:cs="Traditional Arabic"/>
          <w:b/>
          <w:i/>
          <w:iCs/>
          <w:color w:val="0D0D0D" w:themeColor="text1" w:themeTint="F2"/>
          <w:sz w:val="24"/>
          <w:szCs w:val="24"/>
          <w:rtl/>
        </w:rPr>
        <w:t>مجلة جامعة تشرين للبحوث والدراسات العلمية - سلسلة العلوم الاقتصادية والقانونية، 42</w:t>
      </w:r>
      <w:r w:rsidRPr="00B87BE1">
        <w:rPr>
          <w:rFonts w:ascii="Traditional Arabic" w:eastAsia="Times New Roman" w:hAnsi="Traditional Arabic" w:cs="Traditional Arabic"/>
          <w:b/>
          <w:color w:val="0D0D0D" w:themeColor="text1" w:themeTint="F2"/>
          <w:sz w:val="24"/>
          <w:szCs w:val="24"/>
          <w:rtl/>
        </w:rPr>
        <w:t>(3)، 51-64.</w:t>
      </w:r>
    </w:p>
    <w:p w14:paraId="610E4EBF" w14:textId="5CC32FD6"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حبوش، ماهر</w:t>
      </w:r>
      <w:r w:rsidRPr="00B87BE1">
        <w:rPr>
          <w:rFonts w:ascii="Traditional Arabic" w:eastAsia="Times New Roman" w:hAnsi="Traditional Arabic" w:cs="Traditional Arabic"/>
          <w:b/>
          <w:color w:val="0D0D0D" w:themeColor="text1" w:themeTint="F2"/>
          <w:sz w:val="24"/>
          <w:szCs w:val="24"/>
        </w:rPr>
        <w:t>. (</w:t>
      </w:r>
      <w:r w:rsidRPr="00B87BE1">
        <w:rPr>
          <w:rFonts w:ascii="Traditional Arabic" w:eastAsia="Times New Roman" w:hAnsi="Traditional Arabic" w:cs="Traditional Arabic"/>
          <w:bCs/>
          <w:color w:val="0D0D0D" w:themeColor="text1" w:themeTint="F2"/>
          <w:sz w:val="24"/>
          <w:szCs w:val="24"/>
        </w:rPr>
        <w:t>2020</w:t>
      </w:r>
      <w:r w:rsidRPr="00B87BE1">
        <w:rPr>
          <w:rFonts w:ascii="Traditional Arabic" w:eastAsia="Times New Roman" w:hAnsi="Traditional Arabic" w:cs="Traditional Arabic"/>
          <w:b/>
          <w:color w:val="0D0D0D" w:themeColor="text1" w:themeTint="F2"/>
          <w:sz w:val="24"/>
          <w:szCs w:val="24"/>
        </w:rPr>
        <w:t>). </w:t>
      </w:r>
      <w:r w:rsidRPr="00B87BE1">
        <w:rPr>
          <w:rFonts w:ascii="Traditional Arabic" w:eastAsia="Times New Roman" w:hAnsi="Traditional Arabic" w:cs="Traditional Arabic"/>
          <w:b/>
          <w:i/>
          <w:iCs/>
          <w:color w:val="0D0D0D" w:themeColor="text1" w:themeTint="F2"/>
          <w:sz w:val="24"/>
          <w:szCs w:val="24"/>
          <w:rtl/>
        </w:rPr>
        <w:t>أثر ممارسات الحاكمية المؤسسية في صنع القرارات ال</w:t>
      </w:r>
      <w:r w:rsidR="00115502" w:rsidRPr="00B87BE1">
        <w:rPr>
          <w:rFonts w:ascii="Traditional Arabic" w:eastAsia="Times New Roman" w:hAnsi="Traditional Arabic" w:cs="Traditional Arabic"/>
          <w:b/>
          <w:i/>
          <w:iCs/>
          <w:color w:val="0D0D0D" w:themeColor="text1" w:themeTint="F2"/>
          <w:sz w:val="24"/>
          <w:szCs w:val="24"/>
          <w:rtl/>
        </w:rPr>
        <w:t>استراتيجي</w:t>
      </w:r>
      <w:r w:rsidRPr="00B87BE1">
        <w:rPr>
          <w:rFonts w:ascii="Traditional Arabic" w:eastAsia="Times New Roman" w:hAnsi="Traditional Arabic" w:cs="Traditional Arabic"/>
          <w:b/>
          <w:i/>
          <w:iCs/>
          <w:color w:val="0D0D0D" w:themeColor="text1" w:themeTint="F2"/>
          <w:sz w:val="24"/>
          <w:szCs w:val="24"/>
          <w:rtl/>
        </w:rPr>
        <w:t>ة بالبنوك التجارية الأردنية</w:t>
      </w:r>
      <w:r w:rsidRPr="00B87BE1">
        <w:rPr>
          <w:rFonts w:ascii="Traditional Arabic" w:eastAsia="Times New Roman" w:hAnsi="Traditional Arabic" w:cs="Traditional Arabic"/>
          <w:b/>
          <w:color w:val="0D0D0D" w:themeColor="text1" w:themeTint="F2"/>
          <w:sz w:val="24"/>
          <w:szCs w:val="24"/>
          <w:rtl/>
        </w:rPr>
        <w:t> </w:t>
      </w:r>
      <w:r w:rsidR="00A00273"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رسالة ماجستير غير منشورة</w:t>
      </w:r>
      <w:r w:rsidR="00A00273"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 جامعة عمان العربية.</w:t>
      </w:r>
    </w:p>
    <w:p w14:paraId="0597C768" w14:textId="07CDC95F" w:rsidR="00697994"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الحجاحجة، دعاء</w:t>
      </w:r>
      <w:r w:rsidRPr="00B87BE1">
        <w:rPr>
          <w:rFonts w:ascii="Traditional Arabic" w:eastAsia="Times New Roman" w:hAnsi="Traditional Arabic" w:cs="Traditional Arabic"/>
          <w:b/>
          <w:color w:val="0D0D0D" w:themeColor="text1" w:themeTint="F2"/>
          <w:sz w:val="24"/>
          <w:szCs w:val="24"/>
        </w:rPr>
        <w:t>. (</w:t>
      </w:r>
      <w:r w:rsidRPr="00B87BE1">
        <w:rPr>
          <w:rFonts w:ascii="Traditional Arabic" w:eastAsia="Times New Roman" w:hAnsi="Traditional Arabic" w:cs="Traditional Arabic"/>
          <w:bCs/>
          <w:color w:val="0D0D0D" w:themeColor="text1" w:themeTint="F2"/>
          <w:sz w:val="24"/>
          <w:szCs w:val="24"/>
        </w:rPr>
        <w:t>2024</w:t>
      </w:r>
      <w:r w:rsidRPr="00B87BE1">
        <w:rPr>
          <w:rFonts w:ascii="Traditional Arabic" w:eastAsia="Times New Roman" w:hAnsi="Traditional Arabic" w:cs="Traditional Arabic"/>
          <w:b/>
          <w:color w:val="0D0D0D" w:themeColor="text1" w:themeTint="F2"/>
          <w:sz w:val="24"/>
          <w:szCs w:val="24"/>
        </w:rPr>
        <w:t>). </w:t>
      </w:r>
      <w:r w:rsidRPr="00B87BE1">
        <w:rPr>
          <w:rFonts w:ascii="Traditional Arabic" w:eastAsia="Times New Roman" w:hAnsi="Traditional Arabic" w:cs="Traditional Arabic"/>
          <w:b/>
          <w:i/>
          <w:iCs/>
          <w:color w:val="0D0D0D" w:themeColor="text1" w:themeTint="F2"/>
          <w:sz w:val="24"/>
          <w:szCs w:val="24"/>
          <w:rtl/>
        </w:rPr>
        <w:t>أثر الاستشراف ال</w:t>
      </w:r>
      <w:r w:rsidR="00115502" w:rsidRPr="00B87BE1">
        <w:rPr>
          <w:rFonts w:ascii="Traditional Arabic" w:eastAsia="Times New Roman" w:hAnsi="Traditional Arabic" w:cs="Traditional Arabic"/>
          <w:b/>
          <w:i/>
          <w:iCs/>
          <w:color w:val="0D0D0D" w:themeColor="text1" w:themeTint="F2"/>
          <w:sz w:val="24"/>
          <w:szCs w:val="24"/>
          <w:rtl/>
        </w:rPr>
        <w:t>استراتيجي</w:t>
      </w:r>
      <w:r w:rsidRPr="00B87BE1">
        <w:rPr>
          <w:rFonts w:ascii="Traditional Arabic" w:eastAsia="Times New Roman" w:hAnsi="Traditional Arabic" w:cs="Traditional Arabic"/>
          <w:b/>
          <w:i/>
          <w:iCs/>
          <w:color w:val="0D0D0D" w:themeColor="text1" w:themeTint="F2"/>
          <w:sz w:val="24"/>
          <w:szCs w:val="24"/>
          <w:rtl/>
        </w:rPr>
        <w:t xml:space="preserve"> في فاعلية إدارة الأزمات: الدور الوسيط لل</w:t>
      </w:r>
      <w:r w:rsidR="00115502" w:rsidRPr="00B87BE1">
        <w:rPr>
          <w:rFonts w:ascii="Traditional Arabic" w:eastAsia="Times New Roman" w:hAnsi="Traditional Arabic" w:cs="Traditional Arabic"/>
          <w:b/>
          <w:i/>
          <w:iCs/>
          <w:color w:val="0D0D0D" w:themeColor="text1" w:themeTint="F2"/>
          <w:sz w:val="24"/>
          <w:szCs w:val="24"/>
          <w:rtl/>
        </w:rPr>
        <w:t>ابتكار</w:t>
      </w:r>
      <w:r w:rsidRPr="00B87BE1">
        <w:rPr>
          <w:rFonts w:ascii="Traditional Arabic" w:eastAsia="Times New Roman" w:hAnsi="Traditional Arabic" w:cs="Traditional Arabic"/>
          <w:b/>
          <w:i/>
          <w:iCs/>
          <w:color w:val="0D0D0D" w:themeColor="text1" w:themeTint="F2"/>
          <w:sz w:val="24"/>
          <w:szCs w:val="24"/>
          <w:rtl/>
        </w:rPr>
        <w:t xml:space="preserve"> المنظمي في البنوك التجارية الأردنية</w:t>
      </w:r>
      <w:r w:rsidRPr="00B87BE1">
        <w:rPr>
          <w:rFonts w:ascii="Traditional Arabic" w:eastAsia="Times New Roman" w:hAnsi="Traditional Arabic" w:cs="Traditional Arabic"/>
          <w:b/>
          <w:color w:val="0D0D0D" w:themeColor="text1" w:themeTint="F2"/>
          <w:sz w:val="24"/>
          <w:szCs w:val="24"/>
          <w:rtl/>
        </w:rPr>
        <w:t> </w:t>
      </w:r>
      <w:r w:rsidR="00A00273" w:rsidRPr="00B87BE1">
        <w:rPr>
          <w:rFonts w:ascii="Traditional Arabic" w:eastAsia="Times New Roman" w:hAnsi="Traditional Arabic" w:cs="Traditional Arabic"/>
          <w:b/>
          <w:color w:val="0D0D0D" w:themeColor="text1" w:themeTint="F2"/>
          <w:sz w:val="24"/>
          <w:szCs w:val="24"/>
          <w:rtl/>
        </w:rPr>
        <w:t>[أطروحة</w:t>
      </w:r>
      <w:r w:rsidRPr="00B87BE1">
        <w:rPr>
          <w:rFonts w:ascii="Traditional Arabic" w:eastAsia="Times New Roman" w:hAnsi="Traditional Arabic" w:cs="Traditional Arabic"/>
          <w:b/>
          <w:color w:val="0D0D0D" w:themeColor="text1" w:themeTint="F2"/>
          <w:sz w:val="24"/>
          <w:szCs w:val="24"/>
          <w:rtl/>
        </w:rPr>
        <w:t xml:space="preserve"> دكتوراه غير منشورة</w:t>
      </w:r>
      <w:r w:rsidR="00A00273"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 جامعة العلوم الإسلامية العالمية.</w:t>
      </w:r>
    </w:p>
    <w:p w14:paraId="09B7FD78" w14:textId="023C84DD" w:rsidR="00697994" w:rsidRPr="00B87BE1" w:rsidRDefault="00697994"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الحواشي ، محمد محمود .</w:t>
      </w:r>
      <w:r w:rsidR="00FF135C"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tl/>
        </w:rPr>
        <w:t>(2017).</w:t>
      </w:r>
      <w:r w:rsidR="00FF135C"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i/>
          <w:iCs/>
          <w:color w:val="0D0D0D" w:themeColor="text1" w:themeTint="F2"/>
          <w:sz w:val="24"/>
          <w:szCs w:val="24"/>
          <w:rtl/>
        </w:rPr>
        <w:t>التأثير المباشر وغير المباشر لمستوى الإفصاح عن المسؤولية الإجتماعية على قيمة الشركة: دراسة تطبيقية على الشركات المقيدة بالبورصة المصرية</w:t>
      </w:r>
      <w:r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i/>
          <w:iCs/>
          <w:color w:val="0D0D0D" w:themeColor="text1" w:themeTint="F2"/>
          <w:sz w:val="24"/>
          <w:szCs w:val="24"/>
          <w:rtl/>
        </w:rPr>
        <w:t xml:space="preserve"> مجلة البحوث المحاسبية</w:t>
      </w:r>
      <w:r w:rsidR="00FF135C" w:rsidRPr="00B87BE1">
        <w:rPr>
          <w:rFonts w:ascii="Traditional Arabic" w:hAnsi="Traditional Arabic" w:cs="Traditional Arabic"/>
          <w:b/>
          <w:i/>
          <w:iCs/>
          <w:color w:val="0D0D0D" w:themeColor="text1" w:themeTint="F2"/>
          <w:sz w:val="24"/>
          <w:szCs w:val="24"/>
          <w:rtl/>
        </w:rPr>
        <w:t xml:space="preserve"> ب</w:t>
      </w:r>
      <w:r w:rsidRPr="00B87BE1">
        <w:rPr>
          <w:rFonts w:ascii="Traditional Arabic" w:hAnsi="Traditional Arabic" w:cs="Traditional Arabic"/>
          <w:b/>
          <w:i/>
          <w:iCs/>
          <w:color w:val="0D0D0D" w:themeColor="text1" w:themeTint="F2"/>
          <w:sz w:val="24"/>
          <w:szCs w:val="24"/>
          <w:rtl/>
        </w:rPr>
        <w:t>جامعة طنطا</w:t>
      </w:r>
      <w:r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i/>
          <w:iCs/>
          <w:color w:val="0D0D0D" w:themeColor="text1" w:themeTint="F2"/>
          <w:sz w:val="24"/>
          <w:szCs w:val="24"/>
          <w:rtl/>
        </w:rPr>
        <w:t xml:space="preserve"> 4</w:t>
      </w:r>
      <w:r w:rsidRPr="00B87BE1">
        <w:rPr>
          <w:rFonts w:ascii="Traditional Arabic" w:hAnsi="Traditional Arabic" w:cs="Traditional Arabic"/>
          <w:b/>
          <w:color w:val="0D0D0D" w:themeColor="text1" w:themeTint="F2"/>
          <w:sz w:val="24"/>
          <w:szCs w:val="24"/>
          <w:rtl/>
        </w:rPr>
        <w:t>(2)،</w:t>
      </w:r>
      <w:r w:rsidR="00FF135C"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color w:val="0D0D0D" w:themeColor="text1" w:themeTint="F2"/>
          <w:sz w:val="24"/>
          <w:szCs w:val="24"/>
          <w:rtl/>
        </w:rPr>
        <w:t>393-444.</w:t>
      </w:r>
    </w:p>
    <w:p w14:paraId="16B9F813" w14:textId="5B8E1E22"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Pr>
      </w:pPr>
      <w:r w:rsidRPr="00B87BE1">
        <w:rPr>
          <w:rFonts w:ascii="Traditional Arabic" w:eastAsia="Times New Roman" w:hAnsi="Traditional Arabic" w:cs="Traditional Arabic"/>
          <w:b/>
          <w:color w:val="0D0D0D" w:themeColor="text1" w:themeTint="F2"/>
          <w:sz w:val="24"/>
          <w:szCs w:val="24"/>
          <w:rtl/>
        </w:rPr>
        <w:t>الدهيمي، فهد</w:t>
      </w:r>
      <w:r w:rsidRPr="00B87BE1">
        <w:rPr>
          <w:rFonts w:ascii="Traditional Arabic" w:eastAsia="Times New Roman" w:hAnsi="Traditional Arabic" w:cs="Traditional Arabic"/>
          <w:b/>
          <w:color w:val="0D0D0D" w:themeColor="text1" w:themeTint="F2"/>
          <w:sz w:val="24"/>
          <w:szCs w:val="24"/>
        </w:rPr>
        <w:t>. (</w:t>
      </w:r>
      <w:r w:rsidRPr="00B87BE1">
        <w:rPr>
          <w:rFonts w:ascii="Traditional Arabic" w:eastAsia="Times New Roman" w:hAnsi="Traditional Arabic" w:cs="Traditional Arabic"/>
          <w:bCs/>
          <w:color w:val="0D0D0D" w:themeColor="text1" w:themeTint="F2"/>
          <w:sz w:val="24"/>
          <w:szCs w:val="24"/>
        </w:rPr>
        <w:t>2021</w:t>
      </w:r>
      <w:r w:rsidRPr="00B87BE1">
        <w:rPr>
          <w:rFonts w:ascii="Traditional Arabic" w:eastAsia="Times New Roman" w:hAnsi="Traditional Arabic" w:cs="Traditional Arabic"/>
          <w:b/>
          <w:color w:val="0D0D0D" w:themeColor="text1" w:themeTint="F2"/>
          <w:sz w:val="24"/>
          <w:szCs w:val="24"/>
        </w:rPr>
        <w:t>). </w:t>
      </w:r>
      <w:r w:rsidRPr="00B87BE1">
        <w:rPr>
          <w:rFonts w:ascii="Traditional Arabic" w:eastAsia="Times New Roman" w:hAnsi="Traditional Arabic" w:cs="Traditional Arabic"/>
          <w:b/>
          <w:i/>
          <w:iCs/>
          <w:color w:val="0D0D0D" w:themeColor="text1" w:themeTint="F2"/>
          <w:sz w:val="24"/>
          <w:szCs w:val="24"/>
          <w:rtl/>
        </w:rPr>
        <w:t>أثر فاعلية القرارات ال</w:t>
      </w:r>
      <w:r w:rsidR="00115502" w:rsidRPr="00B87BE1">
        <w:rPr>
          <w:rFonts w:ascii="Traditional Arabic" w:eastAsia="Times New Roman" w:hAnsi="Traditional Arabic" w:cs="Traditional Arabic"/>
          <w:b/>
          <w:i/>
          <w:iCs/>
          <w:color w:val="0D0D0D" w:themeColor="text1" w:themeTint="F2"/>
          <w:sz w:val="24"/>
          <w:szCs w:val="24"/>
          <w:rtl/>
        </w:rPr>
        <w:t>استراتيجي</w:t>
      </w:r>
      <w:r w:rsidRPr="00B87BE1">
        <w:rPr>
          <w:rFonts w:ascii="Traditional Arabic" w:eastAsia="Times New Roman" w:hAnsi="Traditional Arabic" w:cs="Traditional Arabic"/>
          <w:b/>
          <w:i/>
          <w:iCs/>
          <w:color w:val="0D0D0D" w:themeColor="text1" w:themeTint="F2"/>
          <w:sz w:val="24"/>
          <w:szCs w:val="24"/>
          <w:rtl/>
        </w:rPr>
        <w:t>ة في التميز التنظيمي، من خلال التمكين الوظيفي، متغير</w:t>
      </w:r>
      <w:r w:rsidR="00A569C7" w:rsidRPr="00B87BE1">
        <w:rPr>
          <w:rFonts w:ascii="Traditional Arabic" w:eastAsia="Times New Roman" w:hAnsi="Traditional Arabic" w:cs="Traditional Arabic"/>
          <w:b/>
          <w:i/>
          <w:iCs/>
          <w:color w:val="0D0D0D" w:themeColor="text1" w:themeTint="F2"/>
          <w:sz w:val="24"/>
          <w:szCs w:val="24"/>
          <w:rtl/>
        </w:rPr>
        <w:t>ً</w:t>
      </w:r>
      <w:r w:rsidRPr="00B87BE1">
        <w:rPr>
          <w:rFonts w:ascii="Traditional Arabic" w:eastAsia="Times New Roman" w:hAnsi="Traditional Arabic" w:cs="Traditional Arabic"/>
          <w:b/>
          <w:i/>
          <w:iCs/>
          <w:color w:val="0D0D0D" w:themeColor="text1" w:themeTint="F2"/>
          <w:sz w:val="24"/>
          <w:szCs w:val="24"/>
          <w:rtl/>
        </w:rPr>
        <w:t>ا وسيط</w:t>
      </w:r>
      <w:r w:rsidR="00A569C7" w:rsidRPr="00B87BE1">
        <w:rPr>
          <w:rFonts w:ascii="Traditional Arabic" w:eastAsia="Times New Roman" w:hAnsi="Traditional Arabic" w:cs="Traditional Arabic"/>
          <w:b/>
          <w:i/>
          <w:iCs/>
          <w:color w:val="0D0D0D" w:themeColor="text1" w:themeTint="F2"/>
          <w:sz w:val="24"/>
          <w:szCs w:val="24"/>
          <w:rtl/>
        </w:rPr>
        <w:t>ً</w:t>
      </w:r>
      <w:r w:rsidRPr="00B87BE1">
        <w:rPr>
          <w:rFonts w:ascii="Traditional Arabic" w:eastAsia="Times New Roman" w:hAnsi="Traditional Arabic" w:cs="Traditional Arabic"/>
          <w:b/>
          <w:i/>
          <w:iCs/>
          <w:color w:val="0D0D0D" w:themeColor="text1" w:themeTint="F2"/>
          <w:sz w:val="24"/>
          <w:szCs w:val="24"/>
          <w:rtl/>
        </w:rPr>
        <w:t>ا: دراسة ميدانية على البنوك التجارية القطرية</w:t>
      </w:r>
      <w:r w:rsidRPr="00B87BE1">
        <w:rPr>
          <w:rFonts w:ascii="Traditional Arabic" w:eastAsia="Times New Roman" w:hAnsi="Traditional Arabic" w:cs="Traditional Arabic"/>
          <w:b/>
          <w:color w:val="0D0D0D" w:themeColor="text1" w:themeTint="F2"/>
          <w:sz w:val="24"/>
          <w:szCs w:val="24"/>
          <w:rtl/>
        </w:rPr>
        <w:t> </w:t>
      </w:r>
      <w:r w:rsidR="00A00273" w:rsidRPr="00B87BE1">
        <w:rPr>
          <w:rFonts w:ascii="Traditional Arabic" w:eastAsia="Times New Roman" w:hAnsi="Traditional Arabic" w:cs="Traditional Arabic"/>
          <w:b/>
          <w:color w:val="0D0D0D" w:themeColor="text1" w:themeTint="F2"/>
          <w:sz w:val="24"/>
          <w:szCs w:val="24"/>
          <w:rtl/>
        </w:rPr>
        <w:t xml:space="preserve">[أطروحة </w:t>
      </w:r>
      <w:r w:rsidRPr="00B87BE1">
        <w:rPr>
          <w:rFonts w:ascii="Traditional Arabic" w:eastAsia="Times New Roman" w:hAnsi="Traditional Arabic" w:cs="Traditional Arabic"/>
          <w:b/>
          <w:color w:val="0D0D0D" w:themeColor="text1" w:themeTint="F2"/>
          <w:sz w:val="24"/>
          <w:szCs w:val="24"/>
          <w:rtl/>
        </w:rPr>
        <w:t>دكتوراه غير منشورة</w:t>
      </w:r>
      <w:r w:rsidR="00A00273"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 جامعة مؤتة.</w:t>
      </w:r>
    </w:p>
    <w:p w14:paraId="674C0925" w14:textId="77777777" w:rsidR="00A569C7" w:rsidRPr="00B87BE1" w:rsidRDefault="00B20109" w:rsidP="000070FD">
      <w:pPr>
        <w:bidi/>
        <w:spacing w:after="0" w:line="360" w:lineRule="auto"/>
        <w:ind w:left="720" w:hanging="720"/>
        <w:jc w:val="both"/>
        <w:rPr>
          <w:rFonts w:ascii="Traditional Arabic"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lastRenderedPageBreak/>
        <w:t xml:space="preserve">زمزم، هدى. (2018). </w:t>
      </w:r>
      <w:r w:rsidRPr="00B87BE1">
        <w:rPr>
          <w:rFonts w:ascii="Traditional Arabic" w:eastAsia="Times New Roman" w:hAnsi="Traditional Arabic" w:cs="Traditional Arabic"/>
          <w:b/>
          <w:i/>
          <w:iCs/>
          <w:color w:val="0D0D0D" w:themeColor="text1" w:themeTint="F2"/>
          <w:sz w:val="24"/>
          <w:szCs w:val="24"/>
          <w:rtl/>
        </w:rPr>
        <w:t>أثر نظم المعلومات الإدارية على ذكاء الأعمال</w:t>
      </w:r>
      <w:r w:rsidRPr="00B87BE1">
        <w:rPr>
          <w:rFonts w:ascii="Traditional Arabic" w:eastAsia="Times New Roman" w:hAnsi="Traditional Arabic" w:cs="Traditional Arabic"/>
          <w:b/>
          <w:color w:val="0D0D0D" w:themeColor="text1" w:themeTint="F2"/>
          <w:sz w:val="24"/>
          <w:szCs w:val="24"/>
          <w:rtl/>
        </w:rPr>
        <w:t xml:space="preserve"> </w:t>
      </w:r>
      <w:r w:rsidR="00A569C7"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رسالة ماجستير غير منشورة</w:t>
      </w:r>
      <w:r w:rsidR="00A569C7"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 جامعة عمان العربية.</w:t>
      </w:r>
    </w:p>
    <w:p w14:paraId="7A8B64AB" w14:textId="4AAB2832" w:rsidR="00697994" w:rsidRPr="00B87BE1" w:rsidRDefault="00CA7C45" w:rsidP="000070FD">
      <w:pPr>
        <w:bidi/>
        <w:spacing w:after="0" w:line="360" w:lineRule="auto"/>
        <w:ind w:left="720" w:hanging="720"/>
        <w:jc w:val="both"/>
        <w:rPr>
          <w:rFonts w:ascii="Traditional Arabic" w:hAnsi="Traditional Arabic" w:cs="Traditional Arabic"/>
          <w:b/>
          <w:color w:val="0D0D0D" w:themeColor="text1" w:themeTint="F2"/>
          <w:sz w:val="24"/>
          <w:szCs w:val="24"/>
          <w:rtl/>
        </w:rPr>
      </w:pPr>
      <w:r w:rsidRPr="00B87BE1">
        <w:rPr>
          <w:rFonts w:ascii="Traditional Arabic" w:hAnsi="Traditional Arabic" w:cs="Traditional Arabic"/>
          <w:b/>
          <w:color w:val="0D0D0D" w:themeColor="text1" w:themeTint="F2"/>
          <w:sz w:val="24"/>
          <w:szCs w:val="24"/>
          <w:rtl/>
        </w:rPr>
        <w:t>سليم، فاطمة، الشريف، حسن</w:t>
      </w:r>
      <w:r w:rsidR="00A569C7"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color w:val="0D0D0D" w:themeColor="text1" w:themeTint="F2"/>
          <w:sz w:val="24"/>
          <w:szCs w:val="24"/>
          <w:rtl/>
        </w:rPr>
        <w:t xml:space="preserve"> (2025) . دور ذكاء الأعمال في اتخاذ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دراسة ميدانية على شركات التأمين بمدينة مصراتة</w:t>
      </w:r>
      <w:r w:rsidR="00A569C7"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i/>
          <w:iCs/>
          <w:color w:val="0D0D0D" w:themeColor="text1" w:themeTint="F2"/>
          <w:sz w:val="24"/>
          <w:szCs w:val="24"/>
          <w:rtl/>
        </w:rPr>
        <w:t>مجلة البحوث المستدامة في العلوم الإنسانية</w:t>
      </w:r>
      <w:r w:rsidRPr="00B87BE1">
        <w:rPr>
          <w:rFonts w:ascii="Traditional Arabic" w:hAnsi="Traditional Arabic" w:cs="Traditional Arabic"/>
          <w:b/>
          <w:color w:val="0D0D0D" w:themeColor="text1" w:themeTint="F2"/>
          <w:sz w:val="24"/>
          <w:szCs w:val="24"/>
          <w:rtl/>
        </w:rPr>
        <w:t>،</w:t>
      </w:r>
      <w:r w:rsidR="00A569C7" w:rsidRPr="00B87BE1">
        <w:rPr>
          <w:rFonts w:ascii="Traditional Arabic" w:hAnsi="Traditional Arabic" w:cs="Traditional Arabic"/>
          <w:b/>
          <w:color w:val="0D0D0D" w:themeColor="text1" w:themeTint="F2"/>
          <w:sz w:val="24"/>
          <w:szCs w:val="24"/>
          <w:rtl/>
        </w:rPr>
        <w:t xml:space="preserve"> </w:t>
      </w:r>
      <w:r w:rsidR="00A569C7" w:rsidRPr="00B87BE1">
        <w:rPr>
          <w:rFonts w:ascii="Traditional Arabic" w:hAnsi="Traditional Arabic" w:cs="Traditional Arabic"/>
          <w:b/>
          <w:i/>
          <w:iCs/>
          <w:color w:val="0D0D0D" w:themeColor="text1" w:themeTint="F2"/>
          <w:sz w:val="24"/>
          <w:szCs w:val="24"/>
          <w:rtl/>
        </w:rPr>
        <w:t>2</w:t>
      </w:r>
      <w:r w:rsidR="00A569C7" w:rsidRPr="00B87BE1">
        <w:rPr>
          <w:rFonts w:ascii="Traditional Arabic" w:hAnsi="Traditional Arabic" w:cs="Traditional Arabic"/>
          <w:b/>
          <w:color w:val="0D0D0D" w:themeColor="text1" w:themeTint="F2"/>
          <w:sz w:val="24"/>
          <w:szCs w:val="24"/>
          <w:rtl/>
        </w:rPr>
        <w:t xml:space="preserve">(1)، 1- 26. </w:t>
      </w:r>
    </w:p>
    <w:p w14:paraId="6A31F415" w14:textId="7A371FA3"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العبادي، حيدر. (2017). توظيف التكامل السلوكي لفريق الإدارة العليا لتحسين جودة القرارات ال</w:t>
      </w:r>
      <w:r w:rsidR="00115502" w:rsidRPr="00B87BE1">
        <w:rPr>
          <w:rFonts w:ascii="Traditional Arabic" w:eastAsia="Times New Roman" w:hAnsi="Traditional Arabic" w:cs="Traditional Arabic"/>
          <w:b/>
          <w:color w:val="0D0D0D" w:themeColor="text1" w:themeTint="F2"/>
          <w:sz w:val="24"/>
          <w:szCs w:val="24"/>
          <w:rtl/>
        </w:rPr>
        <w:t>استراتيجي</w:t>
      </w:r>
      <w:r w:rsidRPr="00B87BE1">
        <w:rPr>
          <w:rFonts w:ascii="Traditional Arabic" w:eastAsia="Times New Roman" w:hAnsi="Traditional Arabic" w:cs="Traditional Arabic"/>
          <w:b/>
          <w:color w:val="0D0D0D" w:themeColor="text1" w:themeTint="F2"/>
          <w:sz w:val="24"/>
          <w:szCs w:val="24"/>
          <w:rtl/>
        </w:rPr>
        <w:t>ة: الدور الوسيط للإجماع ال</w:t>
      </w:r>
      <w:r w:rsidR="00115502" w:rsidRPr="00B87BE1">
        <w:rPr>
          <w:rFonts w:ascii="Traditional Arabic" w:eastAsia="Times New Roman" w:hAnsi="Traditional Arabic" w:cs="Traditional Arabic"/>
          <w:b/>
          <w:color w:val="0D0D0D" w:themeColor="text1" w:themeTint="F2"/>
          <w:sz w:val="24"/>
          <w:szCs w:val="24"/>
          <w:rtl/>
        </w:rPr>
        <w:t>استراتيجي</w:t>
      </w:r>
      <w:r w:rsidRPr="00B87BE1">
        <w:rPr>
          <w:rFonts w:ascii="Traditional Arabic" w:eastAsia="Times New Roman" w:hAnsi="Traditional Arabic" w:cs="Traditional Arabic"/>
          <w:b/>
          <w:color w:val="0D0D0D" w:themeColor="text1" w:themeTint="F2"/>
          <w:sz w:val="24"/>
          <w:szCs w:val="24"/>
          <w:rtl/>
        </w:rPr>
        <w:t xml:space="preserve">ة دراسة استطلاعية لآراء رؤساء وأعضاء مجالس الإدارة لعينة من الشركات الصناعية العراقية. </w:t>
      </w:r>
      <w:r w:rsidRPr="00B87BE1">
        <w:rPr>
          <w:rFonts w:ascii="Traditional Arabic" w:eastAsia="Times New Roman" w:hAnsi="Traditional Arabic" w:cs="Traditional Arabic"/>
          <w:b/>
          <w:i/>
          <w:iCs/>
          <w:color w:val="0D0D0D" w:themeColor="text1" w:themeTint="F2"/>
          <w:sz w:val="24"/>
          <w:szCs w:val="24"/>
          <w:rtl/>
        </w:rPr>
        <w:t>مجلة كلية الإدارة والاقتصاد بجامعة البصرة، 9</w:t>
      </w:r>
      <w:r w:rsidRPr="00B87BE1">
        <w:rPr>
          <w:rFonts w:ascii="Traditional Arabic" w:eastAsia="Times New Roman" w:hAnsi="Traditional Arabic" w:cs="Traditional Arabic"/>
          <w:b/>
          <w:color w:val="0D0D0D" w:themeColor="text1" w:themeTint="F2"/>
          <w:sz w:val="24"/>
          <w:szCs w:val="24"/>
          <w:rtl/>
        </w:rPr>
        <w:t>(18)، 242-292.</w:t>
      </w:r>
    </w:p>
    <w:p w14:paraId="196DAE8F" w14:textId="4AF46E50"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عبد الله، عبد الله، ووهاب، كمال. (2019). أثر الأنماط المعرفية في تعزيز كفاءة القرار ال</w:t>
      </w:r>
      <w:r w:rsidR="00115502" w:rsidRPr="00B87BE1">
        <w:rPr>
          <w:rFonts w:ascii="Traditional Arabic" w:eastAsia="Times New Roman" w:hAnsi="Traditional Arabic" w:cs="Traditional Arabic"/>
          <w:b/>
          <w:color w:val="0D0D0D" w:themeColor="text1" w:themeTint="F2"/>
          <w:sz w:val="24"/>
          <w:szCs w:val="24"/>
          <w:rtl/>
        </w:rPr>
        <w:t>استراتيجي</w:t>
      </w:r>
      <w:r w:rsidRPr="00B87BE1">
        <w:rPr>
          <w:rFonts w:ascii="Traditional Arabic" w:eastAsia="Times New Roman" w:hAnsi="Traditional Arabic" w:cs="Traditional Arabic"/>
          <w:b/>
          <w:color w:val="0D0D0D" w:themeColor="text1" w:themeTint="F2"/>
          <w:sz w:val="24"/>
          <w:szCs w:val="24"/>
          <w:rtl/>
        </w:rPr>
        <w:t xml:space="preserve">: دراسة استطلاعية في مصارف أهلية مختارة. </w:t>
      </w:r>
      <w:r w:rsidRPr="00B87BE1">
        <w:rPr>
          <w:rFonts w:ascii="Traditional Arabic" w:eastAsia="Times New Roman" w:hAnsi="Traditional Arabic" w:cs="Traditional Arabic"/>
          <w:b/>
          <w:i/>
          <w:iCs/>
          <w:color w:val="0D0D0D" w:themeColor="text1" w:themeTint="F2"/>
          <w:sz w:val="24"/>
          <w:szCs w:val="24"/>
          <w:rtl/>
        </w:rPr>
        <w:t>مجلة تكريت للعلوم الإدارية والاقتصادية، 15</w:t>
      </w:r>
      <w:r w:rsidRPr="00B87BE1">
        <w:rPr>
          <w:rFonts w:ascii="Traditional Arabic" w:eastAsia="Times New Roman" w:hAnsi="Traditional Arabic" w:cs="Traditional Arabic"/>
          <w:b/>
          <w:color w:val="0D0D0D" w:themeColor="text1" w:themeTint="F2"/>
          <w:sz w:val="24"/>
          <w:szCs w:val="24"/>
          <w:rtl/>
        </w:rPr>
        <w:t>(48)، 210-231.</w:t>
      </w:r>
    </w:p>
    <w:p w14:paraId="1FCE7121" w14:textId="2B2C2EEF"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عبيدات، أرام</w:t>
      </w:r>
      <w:r w:rsidRPr="00B87BE1">
        <w:rPr>
          <w:rFonts w:ascii="Traditional Arabic" w:eastAsia="Times New Roman" w:hAnsi="Traditional Arabic" w:cs="Traditional Arabic"/>
          <w:b/>
          <w:color w:val="0D0D0D" w:themeColor="text1" w:themeTint="F2"/>
          <w:sz w:val="24"/>
          <w:szCs w:val="24"/>
        </w:rPr>
        <w:t>. (</w:t>
      </w:r>
      <w:r w:rsidRPr="00B87BE1">
        <w:rPr>
          <w:rFonts w:ascii="Traditional Arabic" w:eastAsia="Times New Roman" w:hAnsi="Traditional Arabic" w:cs="Traditional Arabic"/>
          <w:bCs/>
          <w:color w:val="0D0D0D" w:themeColor="text1" w:themeTint="F2"/>
          <w:sz w:val="24"/>
          <w:szCs w:val="24"/>
        </w:rPr>
        <w:t>2022</w:t>
      </w:r>
      <w:r w:rsidRPr="00B87BE1">
        <w:rPr>
          <w:rFonts w:ascii="Traditional Arabic" w:eastAsia="Times New Roman" w:hAnsi="Traditional Arabic" w:cs="Traditional Arabic"/>
          <w:b/>
          <w:color w:val="0D0D0D" w:themeColor="text1" w:themeTint="F2"/>
          <w:sz w:val="24"/>
          <w:szCs w:val="24"/>
        </w:rPr>
        <w:t>). </w:t>
      </w:r>
      <w:r w:rsidRPr="00B87BE1">
        <w:rPr>
          <w:rFonts w:ascii="Traditional Arabic" w:eastAsia="Times New Roman" w:hAnsi="Traditional Arabic" w:cs="Traditional Arabic"/>
          <w:b/>
          <w:i/>
          <w:iCs/>
          <w:color w:val="0D0D0D" w:themeColor="text1" w:themeTint="F2"/>
          <w:sz w:val="24"/>
          <w:szCs w:val="24"/>
          <w:rtl/>
        </w:rPr>
        <w:t>أثر نظم ذكاء الأعمال على التحسين المستمر في البنوك القطرية</w:t>
      </w:r>
      <w:r w:rsidRPr="00B87BE1">
        <w:rPr>
          <w:rFonts w:ascii="Traditional Arabic" w:eastAsia="Times New Roman" w:hAnsi="Traditional Arabic" w:cs="Traditional Arabic"/>
          <w:b/>
          <w:color w:val="0D0D0D" w:themeColor="text1" w:themeTint="F2"/>
          <w:sz w:val="24"/>
          <w:szCs w:val="24"/>
          <w:rtl/>
        </w:rPr>
        <w:t> </w:t>
      </w:r>
      <w:r w:rsidR="0015494A"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رسالة ماجستير غير منشورة</w:t>
      </w:r>
      <w:r w:rsidR="0015494A"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 جامعة عمان العربية.</w:t>
      </w:r>
    </w:p>
    <w:p w14:paraId="4DD6B5E9" w14:textId="4EC9B073"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العتوم، روان</w:t>
      </w:r>
      <w:r w:rsidRPr="00B87BE1">
        <w:rPr>
          <w:rFonts w:ascii="Traditional Arabic" w:eastAsia="Times New Roman" w:hAnsi="Traditional Arabic" w:cs="Traditional Arabic"/>
          <w:b/>
          <w:color w:val="0D0D0D" w:themeColor="text1" w:themeTint="F2"/>
          <w:sz w:val="24"/>
          <w:szCs w:val="24"/>
        </w:rPr>
        <w:t>. (</w:t>
      </w:r>
      <w:r w:rsidRPr="00B87BE1">
        <w:rPr>
          <w:rFonts w:ascii="Traditional Arabic" w:eastAsia="Times New Roman" w:hAnsi="Traditional Arabic" w:cs="Traditional Arabic"/>
          <w:bCs/>
          <w:color w:val="0D0D0D" w:themeColor="text1" w:themeTint="F2"/>
          <w:sz w:val="24"/>
          <w:szCs w:val="24"/>
        </w:rPr>
        <w:t>2020</w:t>
      </w:r>
      <w:r w:rsidRPr="00B87BE1">
        <w:rPr>
          <w:rFonts w:ascii="Traditional Arabic" w:eastAsia="Times New Roman" w:hAnsi="Traditional Arabic" w:cs="Traditional Arabic"/>
          <w:b/>
          <w:color w:val="0D0D0D" w:themeColor="text1" w:themeTint="F2"/>
          <w:sz w:val="24"/>
          <w:szCs w:val="24"/>
        </w:rPr>
        <w:t>). </w:t>
      </w:r>
      <w:r w:rsidRPr="00B87BE1">
        <w:rPr>
          <w:rFonts w:ascii="Traditional Arabic" w:eastAsia="Times New Roman" w:hAnsi="Traditional Arabic" w:cs="Traditional Arabic"/>
          <w:b/>
          <w:i/>
          <w:iCs/>
          <w:color w:val="0D0D0D" w:themeColor="text1" w:themeTint="F2"/>
          <w:sz w:val="24"/>
          <w:szCs w:val="24"/>
          <w:rtl/>
        </w:rPr>
        <w:t>أثر ذكاء الأعمال على إدارة الأزمات في البنوك التجارية الأردنية</w:t>
      </w:r>
      <w:r w:rsidRPr="00B87BE1">
        <w:rPr>
          <w:rFonts w:ascii="Traditional Arabic" w:eastAsia="Times New Roman" w:hAnsi="Traditional Arabic" w:cs="Traditional Arabic"/>
          <w:b/>
          <w:color w:val="0D0D0D" w:themeColor="text1" w:themeTint="F2"/>
          <w:sz w:val="24"/>
          <w:szCs w:val="24"/>
          <w:rtl/>
        </w:rPr>
        <w:t> </w:t>
      </w:r>
      <w:r w:rsidR="0015494A"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رسالة ماجستير غير منشورة</w:t>
      </w:r>
      <w:r w:rsidR="0015494A"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 جامعة الاسراء الخاصة.</w:t>
      </w:r>
    </w:p>
    <w:p w14:paraId="410D8AF4" w14:textId="77777777"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العتيبي، نوف. (2025). أثر نظم ذكاء الأعمال على أداء العاملين في البنك الأهلي السعودي بمدينة الطائف</w:t>
      </w:r>
      <w:r w:rsidRPr="00B87BE1">
        <w:rPr>
          <w:rFonts w:ascii="Traditional Arabic" w:eastAsia="Times New Roman" w:hAnsi="Traditional Arabic" w:cs="Traditional Arabic"/>
          <w:b/>
          <w:color w:val="0D0D0D" w:themeColor="text1" w:themeTint="F2"/>
          <w:sz w:val="24"/>
          <w:szCs w:val="24"/>
        </w:rPr>
        <w:t>. </w:t>
      </w:r>
      <w:r w:rsidRPr="00B87BE1">
        <w:rPr>
          <w:rFonts w:ascii="Traditional Arabic" w:eastAsia="Times New Roman" w:hAnsi="Traditional Arabic" w:cs="Traditional Arabic"/>
          <w:b/>
          <w:i/>
          <w:iCs/>
          <w:color w:val="0D0D0D" w:themeColor="text1" w:themeTint="F2"/>
          <w:sz w:val="24"/>
          <w:szCs w:val="24"/>
          <w:rtl/>
        </w:rPr>
        <w:t>المجلة العربية للآداب والدراسات الانسانية، 1</w:t>
      </w:r>
      <w:r w:rsidRPr="00B87BE1">
        <w:rPr>
          <w:rFonts w:ascii="Traditional Arabic" w:eastAsia="Times New Roman" w:hAnsi="Traditional Arabic" w:cs="Traditional Arabic"/>
          <w:b/>
          <w:color w:val="0D0D0D" w:themeColor="text1" w:themeTint="F2"/>
          <w:sz w:val="24"/>
          <w:szCs w:val="24"/>
          <w:rtl/>
        </w:rPr>
        <w:t>(34)، 469-508.</w:t>
      </w:r>
    </w:p>
    <w:p w14:paraId="3F988E47" w14:textId="77777777"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 xml:space="preserve">العساف، صالح محمد. (2012). </w:t>
      </w:r>
      <w:r w:rsidRPr="00B87BE1">
        <w:rPr>
          <w:rFonts w:ascii="Traditional Arabic" w:eastAsia="Times New Roman" w:hAnsi="Traditional Arabic" w:cs="Traditional Arabic"/>
          <w:b/>
          <w:i/>
          <w:iCs/>
          <w:color w:val="0D0D0D" w:themeColor="text1" w:themeTint="F2"/>
          <w:sz w:val="24"/>
          <w:szCs w:val="24"/>
          <w:rtl/>
        </w:rPr>
        <w:t>المدخل إلى البحث في العلوم السلوكية</w:t>
      </w:r>
      <w:r w:rsidRPr="00B87BE1">
        <w:rPr>
          <w:rFonts w:ascii="Traditional Arabic" w:eastAsia="Times New Roman" w:hAnsi="Traditional Arabic" w:cs="Traditional Arabic"/>
          <w:b/>
          <w:color w:val="0D0D0D" w:themeColor="text1" w:themeTint="F2"/>
          <w:sz w:val="24"/>
          <w:szCs w:val="24"/>
          <w:rtl/>
        </w:rPr>
        <w:t>. دار الزهراء.</w:t>
      </w:r>
    </w:p>
    <w:p w14:paraId="5A971940" w14:textId="229C60B9"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 xml:space="preserve">عيال، عواد. (2022). </w:t>
      </w:r>
      <w:r w:rsidRPr="00B87BE1">
        <w:rPr>
          <w:rFonts w:ascii="Traditional Arabic" w:eastAsia="Times New Roman" w:hAnsi="Traditional Arabic" w:cs="Traditional Arabic"/>
          <w:b/>
          <w:i/>
          <w:iCs/>
          <w:color w:val="0D0D0D" w:themeColor="text1" w:themeTint="F2"/>
          <w:sz w:val="24"/>
          <w:szCs w:val="24"/>
          <w:rtl/>
        </w:rPr>
        <w:t>أثر ذكاء الأعمال في الأداء المنظمي في البنوك التجارية الأردنية</w:t>
      </w:r>
      <w:r w:rsidRPr="00B87BE1">
        <w:rPr>
          <w:rFonts w:ascii="Traditional Arabic" w:eastAsia="Times New Roman" w:hAnsi="Traditional Arabic" w:cs="Traditional Arabic"/>
          <w:b/>
          <w:color w:val="0D0D0D" w:themeColor="text1" w:themeTint="F2"/>
          <w:sz w:val="24"/>
          <w:szCs w:val="24"/>
          <w:rtl/>
        </w:rPr>
        <w:t xml:space="preserve"> </w:t>
      </w:r>
      <w:r w:rsidR="00A569C7"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رسالة ماجستير غير منشورة</w:t>
      </w:r>
      <w:r w:rsidR="00A569C7" w:rsidRPr="00B87BE1">
        <w:rPr>
          <w:rFonts w:ascii="Traditional Arabic" w:eastAsia="Times New Roman" w:hAnsi="Traditional Arabic" w:cs="Traditional Arabic"/>
          <w:b/>
          <w:color w:val="0D0D0D" w:themeColor="text1" w:themeTint="F2"/>
          <w:sz w:val="24"/>
          <w:szCs w:val="24"/>
          <w:rtl/>
        </w:rPr>
        <w:t>]</w:t>
      </w:r>
      <w:r w:rsidRPr="00B87BE1">
        <w:rPr>
          <w:rFonts w:ascii="Traditional Arabic" w:eastAsia="Times New Roman" w:hAnsi="Traditional Arabic" w:cs="Traditional Arabic"/>
          <w:b/>
          <w:color w:val="0D0D0D" w:themeColor="text1" w:themeTint="F2"/>
          <w:sz w:val="24"/>
          <w:szCs w:val="24"/>
          <w:rtl/>
        </w:rPr>
        <w:t>. جامعة العلوم الإسلامية العالمية.</w:t>
      </w:r>
    </w:p>
    <w:p w14:paraId="71B095D2" w14:textId="3C82EF22"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الغريب، أيمن. (2022). دور ذكاء الأعمال بالقطاع الخاص في تعزيز الإبداع التنظيمي: دراسة تطبيقية في قطاع البنوك بمحافظة دمياط</w:t>
      </w:r>
      <w:r w:rsidR="00A569C7" w:rsidRPr="00B87BE1">
        <w:rPr>
          <w:rFonts w:ascii="Traditional Arabic" w:eastAsia="Times New Roman" w:hAnsi="Traditional Arabic" w:cs="Traditional Arabic"/>
          <w:b/>
          <w:color w:val="0D0D0D" w:themeColor="text1" w:themeTint="F2"/>
          <w:sz w:val="24"/>
          <w:szCs w:val="24"/>
          <w:rtl/>
        </w:rPr>
        <w:t xml:space="preserve">. </w:t>
      </w:r>
      <w:r w:rsidRPr="00B87BE1">
        <w:rPr>
          <w:rFonts w:ascii="Traditional Arabic" w:eastAsia="Times New Roman" w:hAnsi="Traditional Arabic" w:cs="Traditional Arabic"/>
          <w:b/>
          <w:i/>
          <w:iCs/>
          <w:color w:val="0D0D0D" w:themeColor="text1" w:themeTint="F2"/>
          <w:sz w:val="24"/>
          <w:szCs w:val="24"/>
          <w:rtl/>
        </w:rPr>
        <w:t>المجلة العلمية للدراسات التجارية والبيئية، 13</w:t>
      </w:r>
      <w:r w:rsidRPr="00B87BE1">
        <w:rPr>
          <w:rFonts w:ascii="Traditional Arabic" w:eastAsia="Times New Roman" w:hAnsi="Traditional Arabic" w:cs="Traditional Arabic"/>
          <w:b/>
          <w:color w:val="0D0D0D" w:themeColor="text1" w:themeTint="F2"/>
          <w:sz w:val="24"/>
          <w:szCs w:val="24"/>
          <w:rtl/>
        </w:rPr>
        <w:t>(2)، 421-457.</w:t>
      </w:r>
    </w:p>
    <w:p w14:paraId="1C7A2813" w14:textId="77777777" w:rsidR="00CA7C45"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الفار، محمد، ومبارز، أسامة. (2023). إطار مقترح لتحسين اتخاذ القرار في البنوك المصرية باستخدام تقنيات ذكاء الأعمال</w:t>
      </w:r>
      <w:r w:rsidRPr="00B87BE1">
        <w:rPr>
          <w:rFonts w:ascii="Traditional Arabic" w:eastAsia="Times New Roman" w:hAnsi="Traditional Arabic" w:cs="Traditional Arabic"/>
          <w:b/>
          <w:color w:val="0D0D0D" w:themeColor="text1" w:themeTint="F2"/>
          <w:sz w:val="24"/>
          <w:szCs w:val="24"/>
        </w:rPr>
        <w:t>. </w:t>
      </w:r>
      <w:r w:rsidRPr="00B87BE1">
        <w:rPr>
          <w:rFonts w:ascii="Traditional Arabic" w:eastAsia="Times New Roman" w:hAnsi="Traditional Arabic" w:cs="Traditional Arabic"/>
          <w:b/>
          <w:i/>
          <w:iCs/>
          <w:color w:val="0D0D0D" w:themeColor="text1" w:themeTint="F2"/>
          <w:sz w:val="24"/>
          <w:szCs w:val="24"/>
          <w:rtl/>
        </w:rPr>
        <w:t>المجلة الأكاديمية للعلوم الاجتماعية، 1</w:t>
      </w:r>
      <w:r w:rsidRPr="00B87BE1">
        <w:rPr>
          <w:rFonts w:ascii="Traditional Arabic" w:eastAsia="Times New Roman" w:hAnsi="Traditional Arabic" w:cs="Traditional Arabic"/>
          <w:b/>
          <w:color w:val="0D0D0D" w:themeColor="text1" w:themeTint="F2"/>
          <w:sz w:val="24"/>
          <w:szCs w:val="24"/>
          <w:rtl/>
        </w:rPr>
        <w:t>(2)، 1-17.</w:t>
      </w:r>
    </w:p>
    <w:p w14:paraId="45BA4762" w14:textId="1B7F281D" w:rsidR="00CA7C45" w:rsidRPr="00B87BE1" w:rsidRDefault="00CA7C45" w:rsidP="000070FD">
      <w:pPr>
        <w:bidi/>
        <w:spacing w:after="0" w:line="360" w:lineRule="auto"/>
        <w:ind w:left="720" w:hanging="720"/>
        <w:jc w:val="both"/>
        <w:rPr>
          <w:rFonts w:ascii="Traditional Arabic" w:hAnsi="Traditional Arabic" w:cs="Traditional Arabic"/>
          <w:b/>
          <w:color w:val="0070C0"/>
          <w:sz w:val="24"/>
          <w:szCs w:val="24"/>
          <w:u w:val="single"/>
          <w:rtl/>
        </w:rPr>
      </w:pPr>
      <w:r w:rsidRPr="00B87BE1">
        <w:rPr>
          <w:rFonts w:ascii="Traditional Arabic" w:hAnsi="Traditional Arabic" w:cs="Traditional Arabic"/>
          <w:b/>
          <w:color w:val="0D0D0D" w:themeColor="text1" w:themeTint="F2"/>
          <w:sz w:val="24"/>
          <w:szCs w:val="24"/>
          <w:rtl/>
        </w:rPr>
        <w:t>فريد، شريف ، عامر، أحمد.(2021). العلاقة بين أبعاد الذكاء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 xml:space="preserve"> واتخاذ القرارات ال</w:t>
      </w:r>
      <w:r w:rsidR="00115502" w:rsidRPr="00B87BE1">
        <w:rPr>
          <w:rFonts w:ascii="Traditional Arabic" w:hAnsi="Traditional Arabic" w:cs="Traditional Arabic"/>
          <w:b/>
          <w:color w:val="0D0D0D" w:themeColor="text1" w:themeTint="F2"/>
          <w:sz w:val="24"/>
          <w:szCs w:val="24"/>
          <w:rtl/>
        </w:rPr>
        <w:t>استراتيجي</w:t>
      </w:r>
      <w:r w:rsidRPr="00B87BE1">
        <w:rPr>
          <w:rFonts w:ascii="Traditional Arabic" w:hAnsi="Traditional Arabic" w:cs="Traditional Arabic"/>
          <w:b/>
          <w:color w:val="0D0D0D" w:themeColor="text1" w:themeTint="F2"/>
          <w:sz w:val="24"/>
          <w:szCs w:val="24"/>
          <w:rtl/>
        </w:rPr>
        <w:t>ة الرشيدة في ضوء الخبرة الدولية كمتغير معدل دراسة تطبيقية على شركات التأمين بجمهوربة مصر العربية</w:t>
      </w:r>
      <w:r w:rsidR="00A569C7" w:rsidRPr="00B87BE1">
        <w:rPr>
          <w:rFonts w:ascii="Traditional Arabic" w:hAnsi="Traditional Arabic" w:cs="Traditional Arabic"/>
          <w:b/>
          <w:color w:val="0D0D0D" w:themeColor="text1" w:themeTint="F2"/>
          <w:sz w:val="24"/>
          <w:szCs w:val="24"/>
          <w:rtl/>
        </w:rPr>
        <w:t>.</w:t>
      </w:r>
      <w:r w:rsidRPr="00B87BE1">
        <w:rPr>
          <w:rFonts w:ascii="Traditional Arabic" w:hAnsi="Traditional Arabic" w:cs="Traditional Arabic"/>
          <w:b/>
          <w:color w:val="0D0D0D" w:themeColor="text1" w:themeTint="F2"/>
          <w:sz w:val="24"/>
          <w:szCs w:val="24"/>
          <w:rtl/>
        </w:rPr>
        <w:t xml:space="preserve"> </w:t>
      </w:r>
      <w:r w:rsidRPr="00B87BE1">
        <w:rPr>
          <w:rFonts w:ascii="Traditional Arabic" w:hAnsi="Traditional Arabic" w:cs="Traditional Arabic"/>
          <w:b/>
          <w:i/>
          <w:iCs/>
          <w:color w:val="0D0D0D" w:themeColor="text1" w:themeTint="F2"/>
          <w:sz w:val="24"/>
          <w:szCs w:val="24"/>
          <w:rtl/>
        </w:rPr>
        <w:t>المجلة العلمية للدراسات التجارية والبيئية</w:t>
      </w:r>
      <w:r w:rsidR="00A569C7" w:rsidRPr="00B87BE1">
        <w:rPr>
          <w:rFonts w:ascii="Traditional Arabic" w:hAnsi="Traditional Arabic" w:cs="Traditional Arabic"/>
          <w:b/>
          <w:color w:val="0D0D0D" w:themeColor="text1" w:themeTint="F2"/>
          <w:sz w:val="24"/>
          <w:szCs w:val="24"/>
          <w:rtl/>
        </w:rPr>
        <w:t xml:space="preserve">، </w:t>
      </w:r>
      <w:r w:rsidR="00A569C7" w:rsidRPr="00B87BE1">
        <w:rPr>
          <w:rFonts w:ascii="Traditional Arabic" w:hAnsi="Traditional Arabic" w:cs="Traditional Arabic"/>
          <w:b/>
          <w:i/>
          <w:iCs/>
          <w:color w:val="0D0D0D" w:themeColor="text1" w:themeTint="F2"/>
          <w:sz w:val="24"/>
          <w:szCs w:val="24"/>
          <w:rtl/>
        </w:rPr>
        <w:t>12</w:t>
      </w:r>
      <w:r w:rsidR="00A569C7" w:rsidRPr="00B87BE1">
        <w:rPr>
          <w:rFonts w:ascii="Traditional Arabic" w:hAnsi="Traditional Arabic" w:cs="Traditional Arabic"/>
          <w:b/>
          <w:color w:val="0D0D0D" w:themeColor="text1" w:themeTint="F2"/>
          <w:sz w:val="24"/>
          <w:szCs w:val="24"/>
          <w:rtl/>
        </w:rPr>
        <w:t>(4)، 65- 96.</w:t>
      </w:r>
      <w:r w:rsidR="0015494A" w:rsidRPr="00B87BE1">
        <w:rPr>
          <w:rFonts w:ascii="Traditional Arabic" w:hAnsi="Traditional Arabic" w:cs="Traditional Arabic"/>
          <w:b/>
          <w:color w:val="0D0D0D" w:themeColor="text1" w:themeTint="F2"/>
          <w:sz w:val="24"/>
          <w:szCs w:val="24"/>
          <w:rtl/>
        </w:rPr>
        <w:t xml:space="preserve"> </w:t>
      </w:r>
      <w:hyperlink r:id="rId10" w:history="1">
        <w:r w:rsidRPr="00B87BE1">
          <w:rPr>
            <w:rStyle w:val="Hyperlink"/>
            <w:rFonts w:ascii="Traditional Arabic" w:hAnsi="Traditional Arabic" w:cs="Traditional Arabic"/>
            <w:b/>
            <w:color w:val="0070C0"/>
            <w:sz w:val="24"/>
            <w:szCs w:val="24"/>
          </w:rPr>
          <w:t>https://doi.org/10.21608/jces.2021.218367</w:t>
        </w:r>
      </w:hyperlink>
    </w:p>
    <w:p w14:paraId="6058ACF8" w14:textId="20C66127"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 xml:space="preserve">المحمودي، محمد. (2019). </w:t>
      </w:r>
      <w:r w:rsidRPr="00B87BE1">
        <w:rPr>
          <w:rFonts w:ascii="Traditional Arabic" w:eastAsia="Times New Roman" w:hAnsi="Traditional Arabic" w:cs="Traditional Arabic"/>
          <w:b/>
          <w:i/>
          <w:iCs/>
          <w:color w:val="0D0D0D" w:themeColor="text1" w:themeTint="F2"/>
          <w:sz w:val="24"/>
          <w:szCs w:val="24"/>
          <w:rtl/>
        </w:rPr>
        <w:t>مناهج البحث العلمي</w:t>
      </w:r>
      <w:r w:rsidRPr="00B87BE1">
        <w:rPr>
          <w:rFonts w:ascii="Traditional Arabic" w:eastAsia="Times New Roman" w:hAnsi="Traditional Arabic" w:cs="Traditional Arabic"/>
          <w:b/>
          <w:color w:val="0D0D0D" w:themeColor="text1" w:themeTint="F2"/>
          <w:sz w:val="24"/>
          <w:szCs w:val="24"/>
          <w:rtl/>
        </w:rPr>
        <w:t>. دار الكتب.</w:t>
      </w:r>
    </w:p>
    <w:p w14:paraId="44F09CA1" w14:textId="2FF5B12A" w:rsidR="00B20109" w:rsidRPr="00B87BE1" w:rsidRDefault="00B20109" w:rsidP="000070FD">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rPr>
      </w:pPr>
      <w:r w:rsidRPr="00B87BE1">
        <w:rPr>
          <w:rFonts w:ascii="Traditional Arabic" w:eastAsia="Times New Roman" w:hAnsi="Traditional Arabic" w:cs="Traditional Arabic"/>
          <w:b/>
          <w:color w:val="0D0D0D" w:themeColor="text1" w:themeTint="F2"/>
          <w:sz w:val="24"/>
          <w:szCs w:val="24"/>
          <w:rtl/>
        </w:rPr>
        <w:t>الوكيل، إيمان. (2021). أثر ال</w:t>
      </w:r>
      <w:r w:rsidR="00115502" w:rsidRPr="00B87BE1">
        <w:rPr>
          <w:rFonts w:ascii="Traditional Arabic" w:eastAsia="Times New Roman" w:hAnsi="Traditional Arabic" w:cs="Traditional Arabic"/>
          <w:b/>
          <w:color w:val="0D0D0D" w:themeColor="text1" w:themeTint="F2"/>
          <w:sz w:val="24"/>
          <w:szCs w:val="24"/>
          <w:rtl/>
        </w:rPr>
        <w:t>ابتكار</w:t>
      </w:r>
      <w:r w:rsidRPr="00B87BE1">
        <w:rPr>
          <w:rFonts w:ascii="Traditional Arabic" w:eastAsia="Times New Roman" w:hAnsi="Traditional Arabic" w:cs="Traditional Arabic"/>
          <w:b/>
          <w:color w:val="0D0D0D" w:themeColor="text1" w:themeTint="F2"/>
          <w:sz w:val="24"/>
          <w:szCs w:val="24"/>
          <w:rtl/>
        </w:rPr>
        <w:t xml:space="preserve"> المؤسسي على بناء الصورة الذهنية للمؤسسات العامة: دراسة حالة بنك مصر</w:t>
      </w:r>
      <w:r w:rsidR="0015494A" w:rsidRPr="00B87BE1">
        <w:rPr>
          <w:rFonts w:ascii="Traditional Arabic" w:eastAsia="Times New Roman" w:hAnsi="Traditional Arabic" w:cs="Traditional Arabic"/>
          <w:b/>
          <w:color w:val="0D0D0D" w:themeColor="text1" w:themeTint="F2"/>
          <w:sz w:val="24"/>
          <w:szCs w:val="24"/>
          <w:rtl/>
        </w:rPr>
        <w:t xml:space="preserve">. </w:t>
      </w:r>
      <w:r w:rsidRPr="00B87BE1">
        <w:rPr>
          <w:rFonts w:ascii="Traditional Arabic" w:eastAsia="Times New Roman" w:hAnsi="Traditional Arabic" w:cs="Traditional Arabic"/>
          <w:b/>
          <w:i/>
          <w:iCs/>
          <w:color w:val="0D0D0D" w:themeColor="text1" w:themeTint="F2"/>
          <w:sz w:val="24"/>
          <w:szCs w:val="24"/>
          <w:rtl/>
        </w:rPr>
        <w:t>مجلة كلية الاقتصاد والعلوم السياسية، 22</w:t>
      </w:r>
      <w:r w:rsidRPr="00B87BE1">
        <w:rPr>
          <w:rFonts w:ascii="Traditional Arabic" w:eastAsia="Times New Roman" w:hAnsi="Traditional Arabic" w:cs="Traditional Arabic"/>
          <w:b/>
          <w:color w:val="0D0D0D" w:themeColor="text1" w:themeTint="F2"/>
          <w:sz w:val="24"/>
          <w:szCs w:val="24"/>
          <w:rtl/>
        </w:rPr>
        <w:t>(2)، 215-246.</w:t>
      </w:r>
    </w:p>
    <w:p w14:paraId="57EC828A" w14:textId="77777777" w:rsidR="00163E96" w:rsidRPr="00B87BE1" w:rsidRDefault="00163E96" w:rsidP="00163E96">
      <w:pPr>
        <w:bidi/>
        <w:spacing w:after="0" w:line="360" w:lineRule="auto"/>
        <w:ind w:left="720" w:hanging="720"/>
        <w:jc w:val="both"/>
        <w:rPr>
          <w:rFonts w:ascii="Traditional Arabic" w:eastAsia="Times New Roman" w:hAnsi="Traditional Arabic" w:cs="Traditional Arabic"/>
          <w:b/>
          <w:color w:val="0D0D0D" w:themeColor="text1" w:themeTint="F2"/>
          <w:sz w:val="24"/>
          <w:szCs w:val="24"/>
          <w:rtl/>
          <w:lang w:val="en-GB"/>
        </w:rPr>
      </w:pPr>
    </w:p>
    <w:p w14:paraId="5920A720" w14:textId="28CD7D89" w:rsidR="00EE4A33" w:rsidRPr="00B87BE1" w:rsidRDefault="00495D7D" w:rsidP="000070FD">
      <w:pPr>
        <w:pStyle w:val="Heading1"/>
        <w:bidi/>
        <w:spacing w:before="0" w:line="360" w:lineRule="auto"/>
        <w:rPr>
          <w:rFonts w:ascii="Traditional Arabic" w:hAnsi="Traditional Arabic" w:cs="Traditional Arabic"/>
          <w:bCs/>
          <w:color w:val="0D0D0D" w:themeColor="text1" w:themeTint="F2"/>
          <w:sz w:val="28"/>
          <w:szCs w:val="28"/>
          <w:rtl/>
        </w:rPr>
      </w:pPr>
      <w:bookmarkStart w:id="33" w:name="_Toc215399852"/>
      <w:r w:rsidRPr="00B87BE1">
        <w:rPr>
          <w:rFonts w:ascii="Traditional Arabic" w:hAnsi="Traditional Arabic" w:cs="Traditional Arabic"/>
          <w:bCs/>
          <w:color w:val="0D0D0D" w:themeColor="text1" w:themeTint="F2"/>
          <w:sz w:val="28"/>
          <w:szCs w:val="28"/>
          <w:rtl/>
        </w:rPr>
        <w:lastRenderedPageBreak/>
        <w:t>ثانياً: المراجع الأجنبية:</w:t>
      </w:r>
      <w:bookmarkEnd w:id="33"/>
    </w:p>
    <w:p w14:paraId="79F21047" w14:textId="77777777" w:rsidR="00091DBD" w:rsidRPr="00B87BE1" w:rsidRDefault="00091DBD" w:rsidP="000070FD">
      <w:pPr>
        <w:spacing w:after="0" w:line="360" w:lineRule="auto"/>
        <w:ind w:left="720" w:hanging="720"/>
        <w:jc w:val="both"/>
        <w:rPr>
          <w:rFonts w:ascii="Times New Roman" w:eastAsia="Times New Roman" w:hAnsi="Times New Roman" w:cs="Times New Roman"/>
          <w:bCs/>
          <w:color w:val="0D0D0D" w:themeColor="text1" w:themeTint="F2"/>
          <w:sz w:val="24"/>
          <w:szCs w:val="24"/>
          <w:rtl/>
        </w:rPr>
      </w:pPr>
      <w:r w:rsidRPr="00B87BE1">
        <w:rPr>
          <w:rFonts w:ascii="Times New Roman" w:eastAsia="Times New Roman" w:hAnsi="Times New Roman" w:cs="Times New Roman"/>
          <w:bCs/>
          <w:color w:val="0D0D0D" w:themeColor="text1" w:themeTint="F2"/>
          <w:sz w:val="24"/>
          <w:szCs w:val="24"/>
        </w:rPr>
        <w:t>Al-</w:t>
      </w:r>
      <w:proofErr w:type="spellStart"/>
      <w:r w:rsidRPr="00B87BE1">
        <w:rPr>
          <w:rFonts w:ascii="Times New Roman" w:eastAsia="Times New Roman" w:hAnsi="Times New Roman" w:cs="Times New Roman"/>
          <w:bCs/>
          <w:color w:val="0D0D0D" w:themeColor="text1" w:themeTint="F2"/>
          <w:sz w:val="24"/>
          <w:szCs w:val="24"/>
        </w:rPr>
        <w:t>Daraba</w:t>
      </w:r>
      <w:proofErr w:type="spellEnd"/>
      <w:r w:rsidRPr="00B87BE1">
        <w:rPr>
          <w:rFonts w:ascii="Times New Roman" w:eastAsia="Times New Roman" w:hAnsi="Times New Roman" w:cs="Times New Roman"/>
          <w:bCs/>
          <w:color w:val="0D0D0D" w:themeColor="text1" w:themeTint="F2"/>
          <w:sz w:val="24"/>
          <w:szCs w:val="24"/>
        </w:rPr>
        <w:t>, K., Al-shami, S. A., Rashid, N., &amp; Qureshi, M. I. (2025). Systematic review of factors influencing adoption of business intelligence systems. </w:t>
      </w:r>
      <w:r w:rsidRPr="00B87BE1">
        <w:rPr>
          <w:rFonts w:ascii="Times New Roman" w:eastAsia="Times New Roman" w:hAnsi="Times New Roman" w:cs="Times New Roman"/>
          <w:bCs/>
          <w:i/>
          <w:iCs/>
          <w:color w:val="0D0D0D" w:themeColor="text1" w:themeTint="F2"/>
          <w:sz w:val="24"/>
          <w:szCs w:val="24"/>
        </w:rPr>
        <w:t>Discover Sustainability</w:t>
      </w:r>
      <w:r w:rsidRPr="00B87BE1">
        <w:rPr>
          <w:rFonts w:ascii="Times New Roman" w:eastAsia="Times New Roman" w:hAnsi="Times New Roman" w:cs="Times New Roman"/>
          <w:bCs/>
          <w:color w:val="0D0D0D" w:themeColor="text1" w:themeTint="F2"/>
          <w:sz w:val="24"/>
          <w:szCs w:val="24"/>
        </w:rPr>
        <w:t>, </w:t>
      </w:r>
      <w:r w:rsidRPr="00B87BE1">
        <w:rPr>
          <w:rFonts w:ascii="Times New Roman" w:eastAsia="Times New Roman" w:hAnsi="Times New Roman" w:cs="Times New Roman"/>
          <w:bCs/>
          <w:i/>
          <w:iCs/>
          <w:color w:val="0D0D0D" w:themeColor="text1" w:themeTint="F2"/>
          <w:sz w:val="24"/>
          <w:szCs w:val="24"/>
        </w:rPr>
        <w:t>6</w:t>
      </w:r>
      <w:r w:rsidRPr="00B87BE1">
        <w:rPr>
          <w:rFonts w:ascii="Times New Roman" w:eastAsia="Times New Roman" w:hAnsi="Times New Roman" w:cs="Times New Roman"/>
          <w:bCs/>
          <w:color w:val="0D0D0D" w:themeColor="text1" w:themeTint="F2"/>
          <w:sz w:val="24"/>
          <w:szCs w:val="24"/>
        </w:rPr>
        <w:t>(1), 936.-950.</w:t>
      </w:r>
    </w:p>
    <w:p w14:paraId="0DD32C01" w14:textId="77777777" w:rsidR="00091DBD" w:rsidRPr="00B87BE1" w:rsidRDefault="00091DBD" w:rsidP="00091DBD">
      <w:pPr>
        <w:spacing w:after="0" w:line="360" w:lineRule="auto"/>
        <w:ind w:left="720" w:hanging="720"/>
        <w:jc w:val="both"/>
        <w:rPr>
          <w:rFonts w:ascii="Times New Roman" w:eastAsia="Times New Roman" w:hAnsi="Times New Roman" w:cs="Times New Roman"/>
          <w:bCs/>
          <w:color w:val="0D0D0D" w:themeColor="text1" w:themeTint="F2"/>
          <w:sz w:val="24"/>
          <w:szCs w:val="24"/>
          <w:rtl/>
        </w:rPr>
      </w:pPr>
      <w:proofErr w:type="spellStart"/>
      <w:r w:rsidRPr="00B87BE1">
        <w:rPr>
          <w:rFonts w:ascii="Times New Roman" w:eastAsia="Times New Roman" w:hAnsi="Times New Roman" w:cs="Times New Roman"/>
          <w:bCs/>
          <w:color w:val="0D0D0D" w:themeColor="text1" w:themeTint="F2"/>
          <w:sz w:val="24"/>
          <w:szCs w:val="24"/>
        </w:rPr>
        <w:t>Alzanoon</w:t>
      </w:r>
      <w:proofErr w:type="spellEnd"/>
      <w:r w:rsidRPr="00B87BE1">
        <w:rPr>
          <w:rFonts w:ascii="Times New Roman" w:eastAsia="Times New Roman" w:hAnsi="Times New Roman" w:cs="Times New Roman"/>
          <w:bCs/>
          <w:color w:val="0D0D0D" w:themeColor="text1" w:themeTint="F2"/>
          <w:sz w:val="24"/>
          <w:szCs w:val="24"/>
        </w:rPr>
        <w:t xml:space="preserve">, M., &amp; </w:t>
      </w:r>
      <w:proofErr w:type="spellStart"/>
      <w:r w:rsidRPr="00B87BE1">
        <w:rPr>
          <w:rFonts w:ascii="Times New Roman" w:eastAsia="Times New Roman" w:hAnsi="Times New Roman" w:cs="Times New Roman"/>
          <w:bCs/>
          <w:color w:val="0D0D0D" w:themeColor="text1" w:themeTint="F2"/>
          <w:sz w:val="24"/>
          <w:szCs w:val="24"/>
        </w:rPr>
        <w:t>Mizher</w:t>
      </w:r>
      <w:proofErr w:type="spellEnd"/>
      <w:r w:rsidRPr="00B87BE1">
        <w:rPr>
          <w:rFonts w:ascii="Times New Roman" w:eastAsia="Times New Roman" w:hAnsi="Times New Roman" w:cs="Times New Roman"/>
          <w:bCs/>
          <w:color w:val="0D0D0D" w:themeColor="text1" w:themeTint="F2"/>
          <w:sz w:val="24"/>
          <w:szCs w:val="24"/>
        </w:rPr>
        <w:t xml:space="preserve">, R. (2020, August 22). </w:t>
      </w:r>
      <w:r w:rsidRPr="00B87BE1">
        <w:rPr>
          <w:rFonts w:ascii="Times New Roman" w:eastAsia="Times New Roman" w:hAnsi="Times New Roman" w:cs="Times New Roman"/>
          <w:bCs/>
          <w:i/>
          <w:iCs/>
          <w:color w:val="0D0D0D" w:themeColor="text1" w:themeTint="F2"/>
          <w:sz w:val="24"/>
          <w:szCs w:val="24"/>
        </w:rPr>
        <w:t>The Impact of Using Business Intelligence (BI) Systems on Entrepreneurial Orientations of Palestinian Banking Sector: Bank of Palestine as a model</w:t>
      </w:r>
      <w:r w:rsidRPr="00B87BE1">
        <w:rPr>
          <w:rFonts w:ascii="Times New Roman" w:eastAsia="Times New Roman" w:hAnsi="Times New Roman" w:cs="Times New Roman"/>
          <w:bCs/>
          <w:color w:val="0D0D0D" w:themeColor="text1" w:themeTint="F2"/>
          <w:sz w:val="24"/>
          <w:szCs w:val="24"/>
        </w:rPr>
        <w:t xml:space="preserve">. The 1st International Conference on Information Technology &amp; Business ICITB2020. Retrieved from </w:t>
      </w:r>
      <w:hyperlink r:id="rId11" w:history="1">
        <w:r w:rsidRPr="00B87BE1">
          <w:rPr>
            <w:rStyle w:val="Hyperlink"/>
            <w:rFonts w:ascii="Times New Roman" w:eastAsia="Times New Roman" w:hAnsi="Times New Roman" w:cs="Times New Roman"/>
            <w:bCs/>
            <w:sz w:val="24"/>
            <w:szCs w:val="24"/>
          </w:rPr>
          <w:t>https://papers.ssrn.com/sol3/papers.cfm?abstract_id=3679070</w:t>
        </w:r>
      </w:hyperlink>
    </w:p>
    <w:p w14:paraId="56677C89" w14:textId="77777777" w:rsidR="00091DBD" w:rsidRPr="00B87BE1" w:rsidRDefault="00091DBD" w:rsidP="000070FD">
      <w:pPr>
        <w:spacing w:after="0" w:line="360" w:lineRule="auto"/>
        <w:ind w:left="720" w:hanging="720"/>
        <w:jc w:val="both"/>
        <w:rPr>
          <w:rFonts w:ascii="Times New Roman" w:eastAsia="Times New Roman" w:hAnsi="Times New Roman" w:cs="Times New Roman"/>
          <w:bCs/>
          <w:color w:val="0D0D0D" w:themeColor="text1" w:themeTint="F2"/>
          <w:sz w:val="24"/>
          <w:szCs w:val="24"/>
          <w:rtl/>
        </w:rPr>
      </w:pPr>
      <w:r w:rsidRPr="00B87BE1">
        <w:rPr>
          <w:rFonts w:ascii="Times New Roman" w:eastAsia="Times New Roman" w:hAnsi="Times New Roman" w:cs="Times New Roman"/>
          <w:bCs/>
          <w:color w:val="0D0D0D" w:themeColor="text1" w:themeTint="F2"/>
          <w:sz w:val="24"/>
          <w:szCs w:val="24"/>
        </w:rPr>
        <w:t xml:space="preserve">Davis, F. D. (1989). Perceived usefulness, perceived ease of use, and user acceptance of information technology. </w:t>
      </w:r>
      <w:r w:rsidRPr="00B87BE1">
        <w:rPr>
          <w:rFonts w:ascii="Times New Roman" w:eastAsia="Times New Roman" w:hAnsi="Times New Roman" w:cs="Times New Roman"/>
          <w:bCs/>
          <w:i/>
          <w:iCs/>
          <w:color w:val="0D0D0D" w:themeColor="text1" w:themeTint="F2"/>
          <w:sz w:val="24"/>
          <w:szCs w:val="24"/>
        </w:rPr>
        <w:t>MIS Quarterly, 13</w:t>
      </w:r>
      <w:r w:rsidRPr="00B87BE1">
        <w:rPr>
          <w:rFonts w:ascii="Times New Roman" w:eastAsia="Times New Roman" w:hAnsi="Times New Roman" w:cs="Times New Roman"/>
          <w:bCs/>
          <w:color w:val="0D0D0D" w:themeColor="text1" w:themeTint="F2"/>
          <w:sz w:val="24"/>
          <w:szCs w:val="24"/>
        </w:rPr>
        <w:t>(3), 319-340.</w:t>
      </w:r>
    </w:p>
    <w:p w14:paraId="5B2180A4" w14:textId="77777777" w:rsidR="00091DBD" w:rsidRPr="00B87BE1" w:rsidRDefault="00091DBD" w:rsidP="000070FD">
      <w:pPr>
        <w:spacing w:after="0" w:line="360" w:lineRule="auto"/>
        <w:ind w:left="720" w:hanging="720"/>
        <w:jc w:val="both"/>
        <w:rPr>
          <w:rFonts w:ascii="Times New Roman" w:eastAsia="Times New Roman" w:hAnsi="Times New Roman" w:cs="Times New Roman"/>
          <w:bCs/>
          <w:color w:val="0D0D0D" w:themeColor="text1" w:themeTint="F2"/>
          <w:sz w:val="24"/>
          <w:szCs w:val="24"/>
        </w:rPr>
      </w:pPr>
      <w:r w:rsidRPr="00B87BE1">
        <w:rPr>
          <w:rFonts w:ascii="Times New Roman" w:eastAsia="Times New Roman" w:hAnsi="Times New Roman" w:cs="Times New Roman"/>
          <w:bCs/>
          <w:color w:val="0D0D0D" w:themeColor="text1" w:themeTint="F2"/>
          <w:sz w:val="24"/>
          <w:szCs w:val="24"/>
        </w:rPr>
        <w:t>Grabińska, A., &amp; Ziora, L. (2019). The application of Business Intelligence systems in logistics. Review of selected practical examples. </w:t>
      </w:r>
      <w:r w:rsidRPr="00B87BE1">
        <w:rPr>
          <w:rFonts w:ascii="Times New Roman" w:eastAsia="Times New Roman" w:hAnsi="Times New Roman" w:cs="Times New Roman"/>
          <w:bCs/>
          <w:i/>
          <w:iCs/>
          <w:color w:val="0D0D0D" w:themeColor="text1" w:themeTint="F2"/>
          <w:sz w:val="24"/>
          <w:szCs w:val="24"/>
        </w:rPr>
        <w:t>System Safety: Human-Technical Facility-Environment</w:t>
      </w:r>
      <w:r w:rsidRPr="00B87BE1">
        <w:rPr>
          <w:rFonts w:ascii="Times New Roman" w:eastAsia="Times New Roman" w:hAnsi="Times New Roman" w:cs="Times New Roman"/>
          <w:bCs/>
          <w:color w:val="0D0D0D" w:themeColor="text1" w:themeTint="F2"/>
          <w:sz w:val="24"/>
          <w:szCs w:val="24"/>
        </w:rPr>
        <w:t>, </w:t>
      </w:r>
      <w:r w:rsidRPr="00B87BE1">
        <w:rPr>
          <w:rFonts w:ascii="Times New Roman" w:eastAsia="Times New Roman" w:hAnsi="Times New Roman" w:cs="Times New Roman"/>
          <w:bCs/>
          <w:i/>
          <w:iCs/>
          <w:color w:val="0D0D0D" w:themeColor="text1" w:themeTint="F2"/>
          <w:sz w:val="24"/>
          <w:szCs w:val="24"/>
        </w:rPr>
        <w:t>1</w:t>
      </w:r>
      <w:r w:rsidRPr="00B87BE1">
        <w:rPr>
          <w:rFonts w:ascii="Times New Roman" w:eastAsia="Times New Roman" w:hAnsi="Times New Roman" w:cs="Times New Roman"/>
          <w:bCs/>
          <w:color w:val="0D0D0D" w:themeColor="text1" w:themeTint="F2"/>
          <w:sz w:val="24"/>
          <w:szCs w:val="24"/>
        </w:rPr>
        <w:t>(1), 1028-1035.</w:t>
      </w:r>
    </w:p>
    <w:p w14:paraId="2F50EA7F" w14:textId="77777777" w:rsidR="00091DBD" w:rsidRPr="00B87BE1" w:rsidRDefault="00091DBD" w:rsidP="004839C9">
      <w:pPr>
        <w:spacing w:after="0" w:line="360" w:lineRule="auto"/>
        <w:ind w:left="720" w:hanging="720"/>
        <w:jc w:val="both"/>
        <w:rPr>
          <w:rFonts w:ascii="Times New Roman" w:eastAsia="Times New Roman" w:hAnsi="Times New Roman" w:cs="Times New Roman"/>
          <w:bCs/>
          <w:color w:val="0D0D0D" w:themeColor="text1" w:themeTint="F2"/>
          <w:sz w:val="24"/>
          <w:szCs w:val="24"/>
          <w:rtl/>
        </w:rPr>
      </w:pPr>
      <w:r w:rsidRPr="00B87BE1">
        <w:rPr>
          <w:rFonts w:ascii="Times New Roman" w:eastAsia="Times New Roman" w:hAnsi="Times New Roman" w:cs="Times New Roman"/>
          <w:bCs/>
          <w:color w:val="0D0D0D" w:themeColor="text1" w:themeTint="F2"/>
          <w:sz w:val="24"/>
          <w:szCs w:val="24"/>
        </w:rPr>
        <w:t>Hoai, T. T., Hung, B. Q., &amp; Nguyen, N. P. (2022). The impact of internal control systems on the intensity of innovation and organizational performance of public sector organizations in Vietnam: the moderating role of transformational leadership. </w:t>
      </w:r>
      <w:proofErr w:type="spellStart"/>
      <w:r w:rsidRPr="00B87BE1">
        <w:rPr>
          <w:rFonts w:ascii="Times New Roman" w:eastAsia="Times New Roman" w:hAnsi="Times New Roman" w:cs="Times New Roman"/>
          <w:bCs/>
          <w:i/>
          <w:iCs/>
          <w:color w:val="0D0D0D" w:themeColor="text1" w:themeTint="F2"/>
          <w:sz w:val="24"/>
          <w:szCs w:val="24"/>
        </w:rPr>
        <w:t>Heliyon</w:t>
      </w:r>
      <w:proofErr w:type="spellEnd"/>
      <w:r w:rsidRPr="00B87BE1">
        <w:rPr>
          <w:rFonts w:ascii="Times New Roman" w:eastAsia="Times New Roman" w:hAnsi="Times New Roman" w:cs="Times New Roman"/>
          <w:bCs/>
          <w:i/>
          <w:iCs/>
          <w:color w:val="0D0D0D" w:themeColor="text1" w:themeTint="F2"/>
          <w:sz w:val="24"/>
          <w:szCs w:val="24"/>
        </w:rPr>
        <w:t>, 8</w:t>
      </w:r>
      <w:r w:rsidRPr="00B87BE1">
        <w:rPr>
          <w:rFonts w:ascii="Times New Roman" w:eastAsia="Times New Roman" w:hAnsi="Times New Roman" w:cs="Times New Roman"/>
          <w:bCs/>
          <w:color w:val="0D0D0D" w:themeColor="text1" w:themeTint="F2"/>
          <w:sz w:val="24"/>
          <w:szCs w:val="24"/>
        </w:rPr>
        <w:t>(2), 1-10.</w:t>
      </w:r>
    </w:p>
    <w:p w14:paraId="4E40D896" w14:textId="77777777" w:rsidR="00091DBD" w:rsidRPr="00B87BE1" w:rsidRDefault="00091DBD" w:rsidP="000070FD">
      <w:pPr>
        <w:spacing w:after="0" w:line="360" w:lineRule="auto"/>
        <w:ind w:left="720" w:hanging="720"/>
        <w:jc w:val="both"/>
        <w:rPr>
          <w:rFonts w:ascii="Times New Roman" w:eastAsia="Times New Roman" w:hAnsi="Times New Roman" w:cs="Times New Roman"/>
          <w:bCs/>
          <w:color w:val="0D0D0D" w:themeColor="text1" w:themeTint="F2"/>
          <w:sz w:val="24"/>
          <w:szCs w:val="24"/>
        </w:rPr>
      </w:pPr>
      <w:proofErr w:type="spellStart"/>
      <w:r w:rsidRPr="00B87BE1">
        <w:rPr>
          <w:rFonts w:ascii="Times New Roman" w:eastAsia="Times New Roman" w:hAnsi="Times New Roman" w:cs="Times New Roman"/>
          <w:bCs/>
          <w:color w:val="0D0D0D" w:themeColor="text1" w:themeTint="F2"/>
          <w:sz w:val="24"/>
          <w:szCs w:val="24"/>
        </w:rPr>
        <w:t>Isiaku</w:t>
      </w:r>
      <w:proofErr w:type="spellEnd"/>
      <w:r w:rsidRPr="00B87BE1">
        <w:rPr>
          <w:rFonts w:ascii="Times New Roman" w:eastAsia="Times New Roman" w:hAnsi="Times New Roman" w:cs="Times New Roman"/>
          <w:bCs/>
          <w:color w:val="0D0D0D" w:themeColor="text1" w:themeTint="F2"/>
          <w:sz w:val="24"/>
          <w:szCs w:val="24"/>
        </w:rPr>
        <w:t xml:space="preserve">, L., &amp; </w:t>
      </w:r>
      <w:proofErr w:type="spellStart"/>
      <w:r w:rsidRPr="00B87BE1">
        <w:rPr>
          <w:rFonts w:ascii="Times New Roman" w:eastAsia="Times New Roman" w:hAnsi="Times New Roman" w:cs="Times New Roman"/>
          <w:bCs/>
          <w:color w:val="0D0D0D" w:themeColor="text1" w:themeTint="F2"/>
          <w:sz w:val="24"/>
          <w:szCs w:val="24"/>
        </w:rPr>
        <w:t>Adalier</w:t>
      </w:r>
      <w:proofErr w:type="spellEnd"/>
      <w:r w:rsidRPr="00B87BE1">
        <w:rPr>
          <w:rFonts w:ascii="Times New Roman" w:eastAsia="Times New Roman" w:hAnsi="Times New Roman" w:cs="Times New Roman"/>
          <w:bCs/>
          <w:color w:val="0D0D0D" w:themeColor="text1" w:themeTint="F2"/>
          <w:sz w:val="24"/>
          <w:szCs w:val="24"/>
        </w:rPr>
        <w:t>, A. (2024). Determinants of business intelligence systems adoption in Nigerian banks: The role of perceived usefulness and ease of use. </w:t>
      </w:r>
      <w:r w:rsidRPr="00B87BE1">
        <w:rPr>
          <w:rFonts w:ascii="Times New Roman" w:eastAsia="Times New Roman" w:hAnsi="Times New Roman" w:cs="Times New Roman"/>
          <w:bCs/>
          <w:i/>
          <w:iCs/>
          <w:color w:val="0D0D0D" w:themeColor="text1" w:themeTint="F2"/>
          <w:sz w:val="24"/>
          <w:szCs w:val="24"/>
        </w:rPr>
        <w:t>Information Development</w:t>
      </w:r>
      <w:r w:rsidRPr="00B87BE1">
        <w:rPr>
          <w:rFonts w:ascii="Times New Roman" w:eastAsia="Times New Roman" w:hAnsi="Times New Roman" w:cs="Times New Roman"/>
          <w:bCs/>
          <w:color w:val="0D0D0D" w:themeColor="text1" w:themeTint="F2"/>
          <w:sz w:val="24"/>
          <w:szCs w:val="24"/>
        </w:rPr>
        <w:t>, 1(1), 1-21..</w:t>
      </w:r>
      <w:r w:rsidRPr="00B87BE1">
        <w:rPr>
          <w:rFonts w:ascii="Times New Roman" w:eastAsia="Times New Roman" w:hAnsi="Times New Roman" w:cs="Times New Roman"/>
          <w:bCs/>
          <w:color w:val="0D0D0D" w:themeColor="text1" w:themeTint="F2"/>
          <w:sz w:val="24"/>
          <w:szCs w:val="24"/>
          <w:rtl/>
        </w:rPr>
        <w:t>‏</w:t>
      </w:r>
    </w:p>
    <w:p w14:paraId="28C1D327" w14:textId="77777777" w:rsidR="00091DBD" w:rsidRPr="00B87BE1" w:rsidRDefault="00091DBD" w:rsidP="000070FD">
      <w:pPr>
        <w:spacing w:after="0" w:line="360" w:lineRule="auto"/>
        <w:ind w:left="720" w:hanging="720"/>
        <w:jc w:val="both"/>
        <w:rPr>
          <w:rFonts w:ascii="Times New Roman" w:eastAsia="Times New Roman" w:hAnsi="Times New Roman" w:cs="Times New Roman"/>
          <w:bCs/>
          <w:color w:val="0D0D0D" w:themeColor="text1" w:themeTint="F2"/>
          <w:sz w:val="24"/>
          <w:szCs w:val="24"/>
        </w:rPr>
      </w:pPr>
      <w:r w:rsidRPr="00B87BE1">
        <w:rPr>
          <w:rFonts w:ascii="Times New Roman" w:eastAsia="Times New Roman" w:hAnsi="Times New Roman" w:cs="Times New Roman"/>
          <w:bCs/>
          <w:color w:val="0D0D0D" w:themeColor="text1" w:themeTint="F2"/>
          <w:sz w:val="24"/>
          <w:szCs w:val="24"/>
        </w:rPr>
        <w:t>Jarrar, A. (2021). The association between cognitive biases and the quality of strategic decision making: Evidence from Jordanian banks.</w:t>
      </w:r>
      <w:r w:rsidRPr="00B87BE1">
        <w:rPr>
          <w:rFonts w:ascii="Times New Roman" w:eastAsia="Times New Roman" w:hAnsi="Times New Roman" w:cs="Times New Roman"/>
          <w:bCs/>
          <w:i/>
          <w:iCs/>
          <w:color w:val="0D0D0D" w:themeColor="text1" w:themeTint="F2"/>
          <w:sz w:val="24"/>
          <w:szCs w:val="24"/>
        </w:rPr>
        <w:t> Banks and Bank Systems, 16</w:t>
      </w:r>
      <w:r w:rsidRPr="00B87BE1">
        <w:rPr>
          <w:rFonts w:ascii="Times New Roman" w:eastAsia="Times New Roman" w:hAnsi="Times New Roman" w:cs="Times New Roman"/>
          <w:bCs/>
          <w:color w:val="0D0D0D" w:themeColor="text1" w:themeTint="F2"/>
          <w:sz w:val="24"/>
          <w:szCs w:val="24"/>
        </w:rPr>
        <w:t>(2), 1-11.</w:t>
      </w:r>
    </w:p>
    <w:p w14:paraId="2ECE3EC9" w14:textId="77777777" w:rsidR="00091DBD" w:rsidRPr="00B87BE1" w:rsidRDefault="00091DBD" w:rsidP="000070FD">
      <w:pPr>
        <w:spacing w:after="0" w:line="360" w:lineRule="auto"/>
        <w:ind w:left="720" w:hanging="720"/>
        <w:jc w:val="both"/>
        <w:rPr>
          <w:rFonts w:ascii="Times New Roman" w:eastAsia="Times New Roman" w:hAnsi="Times New Roman" w:cs="Times New Roman"/>
          <w:bCs/>
          <w:color w:val="0D0D0D" w:themeColor="text1" w:themeTint="F2"/>
          <w:sz w:val="24"/>
          <w:szCs w:val="24"/>
          <w:rtl/>
        </w:rPr>
      </w:pPr>
      <w:r w:rsidRPr="00B87BE1">
        <w:rPr>
          <w:rFonts w:ascii="Times New Roman" w:hAnsi="Times New Roman" w:cs="Times New Roman"/>
          <w:bCs/>
          <w:color w:val="0D0D0D" w:themeColor="text1" w:themeTint="F2"/>
          <w:sz w:val="24"/>
          <w:szCs w:val="24"/>
        </w:rPr>
        <w:t xml:space="preserve">Martini, N. N. G., </w:t>
      </w:r>
      <w:proofErr w:type="spellStart"/>
      <w:r w:rsidRPr="00B87BE1">
        <w:rPr>
          <w:rFonts w:ascii="Times New Roman" w:hAnsi="Times New Roman" w:cs="Times New Roman"/>
          <w:bCs/>
          <w:color w:val="0D0D0D" w:themeColor="text1" w:themeTint="F2"/>
          <w:sz w:val="24"/>
          <w:szCs w:val="24"/>
        </w:rPr>
        <w:t>Moeljadi</w:t>
      </w:r>
      <w:proofErr w:type="spellEnd"/>
      <w:r w:rsidRPr="00B87BE1">
        <w:rPr>
          <w:rFonts w:ascii="Times New Roman" w:hAnsi="Times New Roman" w:cs="Times New Roman"/>
          <w:bCs/>
          <w:color w:val="0D0D0D" w:themeColor="text1" w:themeTint="F2"/>
          <w:sz w:val="24"/>
          <w:szCs w:val="24"/>
        </w:rPr>
        <w:t xml:space="preserve">, D., &amp; </w:t>
      </w:r>
      <w:proofErr w:type="spellStart"/>
      <w:r w:rsidRPr="00B87BE1">
        <w:rPr>
          <w:rFonts w:ascii="Times New Roman" w:hAnsi="Times New Roman" w:cs="Times New Roman"/>
          <w:bCs/>
          <w:color w:val="0D0D0D" w:themeColor="text1" w:themeTint="F2"/>
          <w:sz w:val="24"/>
          <w:szCs w:val="24"/>
        </w:rPr>
        <w:t>Djazuli</w:t>
      </w:r>
      <w:proofErr w:type="spellEnd"/>
      <w:r w:rsidRPr="00B87BE1">
        <w:rPr>
          <w:rFonts w:ascii="Times New Roman" w:hAnsi="Times New Roman" w:cs="Times New Roman"/>
          <w:bCs/>
          <w:color w:val="0D0D0D" w:themeColor="text1" w:themeTint="F2"/>
          <w:sz w:val="24"/>
          <w:szCs w:val="24"/>
        </w:rPr>
        <w:t>, A. (2014). Factors Affecting</w:t>
      </w:r>
      <w:r w:rsidRPr="00B87BE1">
        <w:rPr>
          <w:rFonts w:ascii="Times New Roman" w:hAnsi="Times New Roman" w:cs="Times New Roman"/>
          <w:bCs/>
          <w:color w:val="0D0D0D" w:themeColor="text1" w:themeTint="F2"/>
          <w:sz w:val="24"/>
          <w:szCs w:val="24"/>
          <w:rtl/>
        </w:rPr>
        <w:t xml:space="preserve"> </w:t>
      </w:r>
      <w:r w:rsidRPr="00B87BE1">
        <w:rPr>
          <w:rFonts w:ascii="Times New Roman" w:hAnsi="Times New Roman" w:cs="Times New Roman"/>
          <w:bCs/>
          <w:color w:val="0D0D0D" w:themeColor="text1" w:themeTint="F2"/>
          <w:sz w:val="24"/>
          <w:szCs w:val="24"/>
        </w:rPr>
        <w:t>Firms Value of Indonesia Public Manufacturing Firms.</w:t>
      </w:r>
      <w:r w:rsidRPr="00B87BE1">
        <w:rPr>
          <w:rFonts w:ascii="Times New Roman" w:hAnsi="Times New Roman" w:cs="Times New Roman"/>
          <w:bCs/>
          <w:i/>
          <w:iCs/>
          <w:color w:val="0D0D0D" w:themeColor="text1" w:themeTint="F2"/>
          <w:sz w:val="24"/>
          <w:szCs w:val="24"/>
          <w:rtl/>
        </w:rPr>
        <w:t xml:space="preserve"> </w:t>
      </w:r>
      <w:r w:rsidRPr="00B87BE1">
        <w:rPr>
          <w:rFonts w:ascii="Times New Roman" w:hAnsi="Times New Roman" w:cs="Times New Roman"/>
          <w:bCs/>
          <w:i/>
          <w:iCs/>
          <w:color w:val="0D0D0D" w:themeColor="text1" w:themeTint="F2"/>
          <w:sz w:val="24"/>
          <w:szCs w:val="24"/>
        </w:rPr>
        <w:t>International Journal of Business and</w:t>
      </w:r>
      <w:r w:rsidRPr="00B87BE1">
        <w:rPr>
          <w:rFonts w:ascii="Times New Roman" w:hAnsi="Times New Roman" w:cs="Times New Roman"/>
          <w:bCs/>
          <w:i/>
          <w:iCs/>
          <w:color w:val="0D0D0D" w:themeColor="text1" w:themeTint="F2"/>
          <w:sz w:val="24"/>
          <w:szCs w:val="24"/>
          <w:rtl/>
        </w:rPr>
        <w:t xml:space="preserve"> </w:t>
      </w:r>
      <w:r w:rsidRPr="00B87BE1">
        <w:rPr>
          <w:rFonts w:ascii="Times New Roman" w:hAnsi="Times New Roman" w:cs="Times New Roman"/>
          <w:bCs/>
          <w:i/>
          <w:iCs/>
          <w:color w:val="0D0D0D" w:themeColor="text1" w:themeTint="F2"/>
          <w:sz w:val="24"/>
          <w:szCs w:val="24"/>
        </w:rPr>
        <w:t>Management</w:t>
      </w:r>
      <w:r w:rsidRPr="00B87BE1">
        <w:rPr>
          <w:rFonts w:ascii="Times New Roman" w:hAnsi="Times New Roman" w:cs="Times New Roman"/>
          <w:bCs/>
          <w:i/>
          <w:iCs/>
          <w:color w:val="0D0D0D" w:themeColor="text1" w:themeTint="F2"/>
          <w:sz w:val="24"/>
          <w:szCs w:val="24"/>
          <w:rtl/>
        </w:rPr>
        <w:t xml:space="preserve"> </w:t>
      </w:r>
      <w:r w:rsidRPr="00B87BE1">
        <w:rPr>
          <w:rFonts w:ascii="Times New Roman" w:hAnsi="Times New Roman" w:cs="Times New Roman"/>
          <w:bCs/>
          <w:i/>
          <w:iCs/>
          <w:color w:val="0D0D0D" w:themeColor="text1" w:themeTint="F2"/>
          <w:sz w:val="24"/>
          <w:szCs w:val="24"/>
        </w:rPr>
        <w:t>Invention, 3</w:t>
      </w:r>
      <w:r w:rsidRPr="00B87BE1">
        <w:rPr>
          <w:rFonts w:ascii="Times New Roman" w:hAnsi="Times New Roman" w:cs="Times New Roman"/>
          <w:bCs/>
          <w:color w:val="0D0D0D" w:themeColor="text1" w:themeTint="F2"/>
          <w:sz w:val="24"/>
          <w:szCs w:val="24"/>
        </w:rPr>
        <w:t>(2), 35-44.</w:t>
      </w:r>
    </w:p>
    <w:p w14:paraId="394B60AA" w14:textId="77777777" w:rsidR="00091DBD" w:rsidRPr="00B87BE1" w:rsidRDefault="00091DBD" w:rsidP="000070FD">
      <w:pPr>
        <w:spacing w:after="0" w:line="360" w:lineRule="auto"/>
        <w:ind w:left="720" w:hanging="720"/>
        <w:jc w:val="both"/>
        <w:rPr>
          <w:rFonts w:ascii="Times New Roman" w:eastAsia="Times New Roman" w:hAnsi="Times New Roman" w:cs="Times New Roman"/>
          <w:bCs/>
          <w:color w:val="0D0D0D" w:themeColor="text1" w:themeTint="F2"/>
          <w:sz w:val="24"/>
          <w:szCs w:val="24"/>
        </w:rPr>
      </w:pPr>
      <w:r w:rsidRPr="00B87BE1">
        <w:rPr>
          <w:rFonts w:ascii="Times New Roman" w:hAnsi="Times New Roman" w:cs="Times New Roman"/>
          <w:bCs/>
          <w:color w:val="0D0D0D" w:themeColor="text1" w:themeTint="F2"/>
          <w:sz w:val="24"/>
          <w:szCs w:val="24"/>
        </w:rPr>
        <w:t xml:space="preserve">Purity, N. &amp; Anigbogu, N. &amp; Ifeoma, A. (2017). The Effect of Strategic Intelligence on Business Success in Selected Commercial Banks in South-East, Nigeria. international Journal of Trend in Scientific Research and Development (IJTSRD), Vol.1 , Issue. 6, Nnamdi Azikiwe University, </w:t>
      </w:r>
      <w:proofErr w:type="spellStart"/>
      <w:r w:rsidRPr="00B87BE1">
        <w:rPr>
          <w:rFonts w:ascii="Times New Roman" w:hAnsi="Times New Roman" w:cs="Times New Roman"/>
          <w:bCs/>
          <w:color w:val="0D0D0D" w:themeColor="text1" w:themeTint="F2"/>
          <w:sz w:val="24"/>
          <w:szCs w:val="24"/>
        </w:rPr>
        <w:t>Awka</w:t>
      </w:r>
      <w:proofErr w:type="spellEnd"/>
      <w:r w:rsidRPr="00B87BE1">
        <w:rPr>
          <w:rFonts w:ascii="Times New Roman" w:hAnsi="Times New Roman" w:cs="Times New Roman"/>
          <w:bCs/>
          <w:color w:val="0D0D0D" w:themeColor="text1" w:themeTint="F2"/>
          <w:sz w:val="24"/>
          <w:szCs w:val="24"/>
        </w:rPr>
        <w:t>, Anambra State, Nigeria</w:t>
      </w:r>
    </w:p>
    <w:p w14:paraId="1BC823B7" w14:textId="77777777" w:rsidR="00091DBD" w:rsidRPr="00B87BE1" w:rsidRDefault="00091DBD" w:rsidP="000070FD">
      <w:pPr>
        <w:spacing w:after="0" w:line="360" w:lineRule="auto"/>
        <w:ind w:left="720" w:hanging="720"/>
        <w:jc w:val="both"/>
        <w:rPr>
          <w:rFonts w:ascii="Times New Roman" w:eastAsia="Times New Roman" w:hAnsi="Times New Roman" w:cs="Times New Roman"/>
          <w:bCs/>
          <w:color w:val="0D0D0D" w:themeColor="text1" w:themeTint="F2"/>
          <w:sz w:val="24"/>
          <w:szCs w:val="24"/>
        </w:rPr>
      </w:pPr>
      <w:r w:rsidRPr="00B87BE1">
        <w:rPr>
          <w:rFonts w:ascii="Times New Roman" w:eastAsia="Times New Roman" w:hAnsi="Times New Roman" w:cs="Times New Roman"/>
          <w:bCs/>
          <w:color w:val="0D0D0D" w:themeColor="text1" w:themeTint="F2"/>
          <w:sz w:val="24"/>
          <w:szCs w:val="24"/>
        </w:rPr>
        <w:t xml:space="preserve">Schuckert, M., Kim, T. T., Paek, S., &amp; Lee, G. (2018). Motivate to innovate: How authentic and transformational leaders influence employees’ psychological capital and service </w:t>
      </w:r>
      <w:r w:rsidRPr="00B87BE1">
        <w:rPr>
          <w:rFonts w:ascii="Times New Roman" w:eastAsia="Times New Roman" w:hAnsi="Times New Roman" w:cs="Times New Roman"/>
          <w:bCs/>
          <w:color w:val="0D0D0D" w:themeColor="text1" w:themeTint="F2"/>
          <w:sz w:val="24"/>
          <w:szCs w:val="24"/>
        </w:rPr>
        <w:lastRenderedPageBreak/>
        <w:t xml:space="preserve">innovation behavior. </w:t>
      </w:r>
      <w:r w:rsidRPr="00B87BE1">
        <w:rPr>
          <w:rFonts w:ascii="Times New Roman" w:eastAsia="Times New Roman" w:hAnsi="Times New Roman" w:cs="Times New Roman"/>
          <w:bCs/>
          <w:i/>
          <w:iCs/>
          <w:color w:val="0D0D0D" w:themeColor="text1" w:themeTint="F2"/>
          <w:sz w:val="24"/>
          <w:szCs w:val="24"/>
        </w:rPr>
        <w:t>International Journal of Contemporary Hospitality Management, 30</w:t>
      </w:r>
      <w:r w:rsidRPr="00B87BE1">
        <w:rPr>
          <w:rFonts w:ascii="Times New Roman" w:eastAsia="Times New Roman" w:hAnsi="Times New Roman" w:cs="Times New Roman"/>
          <w:bCs/>
          <w:color w:val="0D0D0D" w:themeColor="text1" w:themeTint="F2"/>
          <w:sz w:val="24"/>
          <w:szCs w:val="24"/>
        </w:rPr>
        <w:t>(2), 776-796</w:t>
      </w:r>
      <w:r w:rsidRPr="00B87BE1">
        <w:rPr>
          <w:rFonts w:ascii="Times New Roman" w:eastAsia="Times New Roman" w:hAnsi="Times New Roman" w:cs="Times New Roman"/>
          <w:bCs/>
          <w:color w:val="0D0D0D" w:themeColor="text1" w:themeTint="F2"/>
          <w:sz w:val="24"/>
          <w:szCs w:val="24"/>
          <w:rtl/>
        </w:rPr>
        <w:t>.</w:t>
      </w:r>
    </w:p>
    <w:p w14:paraId="680EE1AB" w14:textId="77777777" w:rsidR="00091DBD" w:rsidRPr="00B87BE1" w:rsidRDefault="00091DBD" w:rsidP="000070FD">
      <w:pPr>
        <w:spacing w:after="0" w:line="360" w:lineRule="auto"/>
        <w:ind w:left="720" w:hanging="720"/>
        <w:jc w:val="both"/>
        <w:rPr>
          <w:rFonts w:ascii="Times New Roman" w:eastAsia="Times New Roman" w:hAnsi="Times New Roman" w:cs="Times New Roman"/>
          <w:bCs/>
          <w:color w:val="0D0D0D" w:themeColor="text1" w:themeTint="F2"/>
          <w:sz w:val="24"/>
          <w:szCs w:val="24"/>
        </w:rPr>
      </w:pPr>
      <w:proofErr w:type="spellStart"/>
      <w:r w:rsidRPr="00B87BE1">
        <w:rPr>
          <w:rFonts w:ascii="Times New Roman" w:eastAsia="Times New Roman" w:hAnsi="Times New Roman" w:cs="Times New Roman"/>
          <w:bCs/>
          <w:color w:val="0D0D0D" w:themeColor="text1" w:themeTint="F2"/>
          <w:sz w:val="24"/>
          <w:szCs w:val="24"/>
        </w:rPr>
        <w:t>Tunowski</w:t>
      </w:r>
      <w:proofErr w:type="spellEnd"/>
      <w:r w:rsidRPr="00B87BE1">
        <w:rPr>
          <w:rFonts w:ascii="Times New Roman" w:eastAsia="Times New Roman" w:hAnsi="Times New Roman" w:cs="Times New Roman"/>
          <w:bCs/>
          <w:color w:val="0D0D0D" w:themeColor="text1" w:themeTint="F2"/>
          <w:sz w:val="24"/>
          <w:szCs w:val="24"/>
        </w:rPr>
        <w:t>, R. (2020). Sustainability of commercial banks supported by business intelligence system. </w:t>
      </w:r>
      <w:r w:rsidRPr="00B87BE1">
        <w:rPr>
          <w:rFonts w:ascii="Times New Roman" w:eastAsia="Times New Roman" w:hAnsi="Times New Roman" w:cs="Times New Roman"/>
          <w:bCs/>
          <w:i/>
          <w:iCs/>
          <w:color w:val="0D0D0D" w:themeColor="text1" w:themeTint="F2"/>
          <w:sz w:val="24"/>
          <w:szCs w:val="24"/>
        </w:rPr>
        <w:t>Sustainability, 12</w:t>
      </w:r>
      <w:r w:rsidRPr="00B87BE1">
        <w:rPr>
          <w:rFonts w:ascii="Times New Roman" w:eastAsia="Times New Roman" w:hAnsi="Times New Roman" w:cs="Times New Roman"/>
          <w:bCs/>
          <w:color w:val="0D0D0D" w:themeColor="text1" w:themeTint="F2"/>
          <w:sz w:val="24"/>
          <w:szCs w:val="24"/>
        </w:rPr>
        <w:t>(11), 1-17.</w:t>
      </w:r>
      <w:r w:rsidRPr="00B87BE1">
        <w:rPr>
          <w:rFonts w:ascii="Times New Roman" w:eastAsia="Times New Roman" w:hAnsi="Times New Roman" w:cs="Times New Roman"/>
          <w:bCs/>
          <w:color w:val="0D0D0D" w:themeColor="text1" w:themeTint="F2"/>
          <w:sz w:val="24"/>
          <w:szCs w:val="24"/>
          <w:rtl/>
        </w:rPr>
        <w:t>‏</w:t>
      </w:r>
    </w:p>
    <w:p w14:paraId="414E5A9A" w14:textId="77777777" w:rsidR="00091DBD" w:rsidRPr="00D73B22" w:rsidRDefault="00091DBD" w:rsidP="000070FD">
      <w:pPr>
        <w:spacing w:after="0" w:line="360" w:lineRule="auto"/>
        <w:ind w:left="720" w:hanging="720"/>
        <w:jc w:val="both"/>
        <w:rPr>
          <w:rFonts w:ascii="Times New Roman" w:eastAsia="Times New Roman" w:hAnsi="Times New Roman" w:cs="Times New Roman"/>
          <w:bCs/>
          <w:color w:val="0D0D0D" w:themeColor="text1" w:themeTint="F2"/>
          <w:sz w:val="24"/>
          <w:szCs w:val="24"/>
        </w:rPr>
      </w:pPr>
      <w:r w:rsidRPr="00B87BE1">
        <w:rPr>
          <w:rFonts w:ascii="Times New Roman" w:eastAsia="Times New Roman" w:hAnsi="Times New Roman" w:cs="Times New Roman"/>
          <w:bCs/>
          <w:color w:val="0D0D0D" w:themeColor="text1" w:themeTint="F2"/>
          <w:sz w:val="24"/>
          <w:szCs w:val="24"/>
        </w:rPr>
        <w:t xml:space="preserve">Sidra Capital. (2025, April). </w:t>
      </w:r>
      <w:r w:rsidRPr="00B87BE1">
        <w:rPr>
          <w:rFonts w:ascii="Times New Roman" w:eastAsia="Times New Roman" w:hAnsi="Times New Roman" w:cs="Times New Roman"/>
          <w:bCs/>
          <w:i/>
          <w:iCs/>
          <w:color w:val="0D0D0D" w:themeColor="text1" w:themeTint="F2"/>
          <w:sz w:val="24"/>
          <w:szCs w:val="24"/>
        </w:rPr>
        <w:t>The Rise of AI in the Saudi Financial Sector: Opportunities and Challenges</w:t>
      </w:r>
      <w:r w:rsidRPr="00B87BE1">
        <w:rPr>
          <w:rFonts w:ascii="Times New Roman" w:eastAsia="Times New Roman" w:hAnsi="Times New Roman" w:cs="Times New Roman"/>
          <w:bCs/>
          <w:color w:val="0D0D0D" w:themeColor="text1" w:themeTint="F2"/>
          <w:sz w:val="24"/>
          <w:szCs w:val="24"/>
        </w:rPr>
        <w:t xml:space="preserve">. Retrieved from </w:t>
      </w:r>
      <w:hyperlink r:id="rId12" w:history="1">
        <w:r w:rsidRPr="00B87BE1">
          <w:rPr>
            <w:rStyle w:val="Hyperlink"/>
            <w:rFonts w:ascii="Times New Roman" w:eastAsia="Times New Roman" w:hAnsi="Times New Roman" w:cs="Times New Roman"/>
            <w:bCs/>
            <w:sz w:val="24"/>
            <w:szCs w:val="24"/>
          </w:rPr>
          <w:t>https://sidracapital.com/ar/insight/rise-of-ai-in-saudi-arabias-financial-sector-opportunities-and-challenges/</w:t>
        </w:r>
      </w:hyperlink>
    </w:p>
    <w:p w14:paraId="2F8571FF" w14:textId="77777777" w:rsidR="00CF2FE6" w:rsidRDefault="00CF2FE6"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5AB9EC6B"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512940A2"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6A0CA0B1"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4A69CB8E"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04F98B7F"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029E9A5C"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6E5E0001"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6BF1AD52"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7236F8AC"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0468F1AF"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0070A25A"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36B15549"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41088D7E"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3ED275FC"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7AFC0398"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2034B892"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1A5FC207"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1FB07B16"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4130A2E1" w14:textId="77777777" w:rsidR="00CB373C"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tl/>
        </w:rPr>
      </w:pPr>
    </w:p>
    <w:p w14:paraId="2A468353" w14:textId="77777777" w:rsidR="00CB373C" w:rsidRPr="00CB373C" w:rsidRDefault="00CB373C" w:rsidP="00CB373C">
      <w:pPr>
        <w:bidi/>
        <w:spacing w:line="240" w:lineRule="auto"/>
        <w:jc w:val="center"/>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noProof/>
          <w:kern w:val="2"/>
          <w:sz w:val="28"/>
          <w:szCs w:val="28"/>
          <w:lang w:bidi="ar-EG"/>
          <w14:ligatures w14:val="standardContextual"/>
        </w:rPr>
        <w:lastRenderedPageBreak/>
        <w:drawing>
          <wp:inline distT="0" distB="0" distL="0" distR="0" wp14:anchorId="1F003376" wp14:editId="65C305E3">
            <wp:extent cx="1518285" cy="670560"/>
            <wp:effectExtent l="0" t="0" r="5715" b="0"/>
            <wp:docPr id="1457750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18285" cy="670560"/>
                    </a:xfrm>
                    <a:prstGeom prst="rect">
                      <a:avLst/>
                    </a:prstGeom>
                    <a:noFill/>
                  </pic:spPr>
                </pic:pic>
              </a:graphicData>
            </a:graphic>
          </wp:inline>
        </w:drawing>
      </w:r>
    </w:p>
    <w:p w14:paraId="6E28C3D7"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2CEE1441" w14:textId="77777777" w:rsidR="00CB373C" w:rsidRPr="00CB373C" w:rsidRDefault="00CB373C" w:rsidP="00CB373C">
      <w:pPr>
        <w:bidi/>
        <w:spacing w:line="240" w:lineRule="auto"/>
        <w:jc w:val="center"/>
        <w:rPr>
          <w:rFonts w:ascii="Traditional Arabic" w:eastAsia="Aptos" w:hAnsi="Traditional Arabic" w:cs="Traditional Arabic"/>
          <w:bCs/>
          <w:kern w:val="2"/>
          <w:sz w:val="28"/>
          <w:szCs w:val="28"/>
          <w:rtl/>
          <w14:ligatures w14:val="standardContextual"/>
        </w:rPr>
      </w:pPr>
      <w:r w:rsidRPr="00CB373C">
        <w:rPr>
          <w:rFonts w:ascii="Traditional Arabic" w:eastAsia="Aptos" w:hAnsi="Traditional Arabic" w:cs="Traditional Arabic"/>
          <w:bCs/>
          <w:kern w:val="2"/>
          <w:sz w:val="28"/>
          <w:szCs w:val="28"/>
          <w:rtl/>
          <w14:ligatures w14:val="standardContextual"/>
        </w:rPr>
        <w:t>جامعة ميدأوشن</w:t>
      </w:r>
    </w:p>
    <w:p w14:paraId="448BD2E9" w14:textId="77777777" w:rsidR="00CB373C" w:rsidRPr="00CB373C" w:rsidRDefault="00CB373C" w:rsidP="00CB373C">
      <w:pPr>
        <w:bidi/>
        <w:spacing w:line="240" w:lineRule="auto"/>
        <w:jc w:val="center"/>
        <w:rPr>
          <w:rFonts w:ascii="Traditional Arabic" w:eastAsia="Aptos" w:hAnsi="Traditional Arabic" w:cs="Traditional Arabic"/>
          <w:bCs/>
          <w:kern w:val="2"/>
          <w:sz w:val="24"/>
          <w:szCs w:val="24"/>
          <w:rtl/>
          <w14:ligatures w14:val="standardContextual"/>
        </w:rPr>
      </w:pPr>
      <w:r w:rsidRPr="00CB373C">
        <w:rPr>
          <w:rFonts w:ascii="Traditional Arabic" w:eastAsia="Aptos" w:hAnsi="Traditional Arabic" w:cs="Traditional Arabic"/>
          <w:bCs/>
          <w:kern w:val="2"/>
          <w:sz w:val="24"/>
          <w:szCs w:val="24"/>
          <w:rtl/>
          <w14:ligatures w14:val="standardContextual"/>
        </w:rPr>
        <w:t>كلية الإدارة</w:t>
      </w:r>
    </w:p>
    <w:p w14:paraId="4327118E" w14:textId="77777777" w:rsidR="00CB373C" w:rsidRPr="00CB373C" w:rsidRDefault="00CB373C" w:rsidP="00CB373C">
      <w:pPr>
        <w:bidi/>
        <w:spacing w:line="240" w:lineRule="auto"/>
        <w:jc w:val="center"/>
        <w:rPr>
          <w:rFonts w:ascii="Traditional Arabic" w:eastAsia="Aptos" w:hAnsi="Traditional Arabic" w:cs="Traditional Arabic"/>
          <w:bCs/>
          <w:kern w:val="2"/>
          <w:sz w:val="28"/>
          <w:szCs w:val="28"/>
          <w:rtl/>
          <w14:ligatures w14:val="standardContextual"/>
        </w:rPr>
      </w:pPr>
    </w:p>
    <w:p w14:paraId="4CD9576A" w14:textId="77777777" w:rsidR="00CB373C" w:rsidRPr="00CB373C" w:rsidRDefault="00CB373C" w:rsidP="00CB373C">
      <w:pPr>
        <w:bidi/>
        <w:spacing w:line="240" w:lineRule="auto"/>
        <w:jc w:val="center"/>
        <w:rPr>
          <w:rFonts w:ascii="Traditional Arabic" w:eastAsia="Aptos" w:hAnsi="Traditional Arabic" w:cs="Traditional Arabic"/>
          <w:bCs/>
          <w:kern w:val="2"/>
          <w:sz w:val="40"/>
          <w:szCs w:val="40"/>
          <w:rtl/>
          <w14:ligatures w14:val="standardContextual"/>
        </w:rPr>
      </w:pPr>
      <w:r w:rsidRPr="00CB373C">
        <w:rPr>
          <w:rFonts w:ascii="Traditional Arabic" w:eastAsia="Aptos" w:hAnsi="Traditional Arabic" w:cs="Traditional Arabic"/>
          <w:bCs/>
          <w:kern w:val="2"/>
          <w:sz w:val="40"/>
          <w:szCs w:val="40"/>
          <w:rtl/>
          <w14:ligatures w14:val="standardContextual"/>
        </w:rPr>
        <w:t>الفصل الثاني: الإطار النظري والدراسات السابقة</w:t>
      </w:r>
    </w:p>
    <w:p w14:paraId="48FB6DC0" w14:textId="77777777" w:rsidR="00CB373C" w:rsidRPr="00CB373C" w:rsidRDefault="00CB373C" w:rsidP="00CB373C">
      <w:pPr>
        <w:bidi/>
        <w:spacing w:before="240" w:line="240" w:lineRule="auto"/>
        <w:jc w:val="center"/>
        <w:rPr>
          <w:rFonts w:ascii="Traditional Arabic" w:eastAsia="Aptos" w:hAnsi="Traditional Arabic" w:cs="Traditional Arabic"/>
          <w:bCs/>
          <w:kern w:val="2"/>
          <w:sz w:val="36"/>
          <w:szCs w:val="36"/>
          <w:lang w:bidi="ar-EG"/>
          <w14:ligatures w14:val="standardContextual"/>
        </w:rPr>
      </w:pPr>
      <w:r w:rsidRPr="00CB373C">
        <w:rPr>
          <w:rFonts w:ascii="Traditional Arabic" w:eastAsia="Aptos" w:hAnsi="Traditional Arabic" w:cs="Traditional Arabic"/>
          <w:bCs/>
          <w:kern w:val="2"/>
          <w:sz w:val="36"/>
          <w:szCs w:val="36"/>
          <w:rtl/>
          <w14:ligatures w14:val="standardContextual"/>
        </w:rPr>
        <w:t>ذكاء الأعمال والابتكار التنظيمي: الدور الوسيط لجودة القرارات الاستراتيجية في المصارف العاملة بمدينة الرياض</w:t>
      </w:r>
    </w:p>
    <w:p w14:paraId="70AE3C55" w14:textId="77777777" w:rsidR="00CB373C" w:rsidRPr="00CB373C" w:rsidRDefault="00CB373C" w:rsidP="00CB373C">
      <w:pPr>
        <w:bidi/>
        <w:spacing w:line="240" w:lineRule="auto"/>
        <w:jc w:val="center"/>
        <w:rPr>
          <w:rFonts w:ascii="Traditional Arabic" w:eastAsia="Aptos" w:hAnsi="Traditional Arabic" w:cs="Traditional Arabic"/>
          <w:bCs/>
          <w:kern w:val="2"/>
          <w:sz w:val="28"/>
          <w:szCs w:val="28"/>
          <w:rtl/>
          <w14:ligatures w14:val="standardContextual"/>
        </w:rPr>
      </w:pPr>
    </w:p>
    <w:p w14:paraId="674D840F" w14:textId="77777777" w:rsidR="00CB373C" w:rsidRPr="00CB373C" w:rsidRDefault="00CB373C" w:rsidP="00CB373C">
      <w:pPr>
        <w:bidi/>
        <w:spacing w:line="240" w:lineRule="auto"/>
        <w:jc w:val="center"/>
        <w:rPr>
          <w:rFonts w:ascii="Traditional Arabic" w:eastAsia="Aptos" w:hAnsi="Traditional Arabic" w:cs="Traditional Arabic"/>
          <w:bCs/>
          <w:kern w:val="2"/>
          <w:sz w:val="28"/>
          <w:szCs w:val="28"/>
          <w:rtl/>
          <w14:ligatures w14:val="standardContextual"/>
        </w:rPr>
      </w:pPr>
    </w:p>
    <w:p w14:paraId="23D024F8" w14:textId="77777777" w:rsidR="00CB373C" w:rsidRPr="00CB373C" w:rsidRDefault="00CB373C" w:rsidP="00CB373C">
      <w:pPr>
        <w:bidi/>
        <w:spacing w:line="240" w:lineRule="auto"/>
        <w:jc w:val="center"/>
        <w:rPr>
          <w:rFonts w:ascii="Traditional Arabic" w:eastAsia="Aptos" w:hAnsi="Traditional Arabic" w:cs="Traditional Arabic"/>
          <w:bCs/>
          <w:kern w:val="2"/>
          <w:sz w:val="28"/>
          <w:szCs w:val="28"/>
          <w:rtl/>
          <w14:ligatures w14:val="standardContextual"/>
        </w:rPr>
      </w:pPr>
      <w:r w:rsidRPr="00CB373C">
        <w:rPr>
          <w:rFonts w:ascii="Traditional Arabic" w:eastAsia="Aptos" w:hAnsi="Traditional Arabic" w:cs="Traditional Arabic"/>
          <w:bCs/>
          <w:kern w:val="2"/>
          <w:sz w:val="28"/>
          <w:szCs w:val="28"/>
          <w:rtl/>
          <w14:ligatures w14:val="standardContextual"/>
        </w:rPr>
        <w:t>إعداد</w:t>
      </w:r>
    </w:p>
    <w:p w14:paraId="0326F8B1" w14:textId="77777777" w:rsidR="00CB373C" w:rsidRPr="00CB373C" w:rsidRDefault="00CB373C" w:rsidP="00CB373C">
      <w:pPr>
        <w:bidi/>
        <w:spacing w:line="240" w:lineRule="auto"/>
        <w:jc w:val="center"/>
        <w:rPr>
          <w:rFonts w:ascii="Traditional Arabic" w:eastAsia="Aptos" w:hAnsi="Traditional Arabic" w:cs="Traditional Arabic"/>
          <w:bCs/>
          <w:kern w:val="2"/>
          <w:sz w:val="28"/>
          <w:szCs w:val="28"/>
          <w:rtl/>
          <w14:ligatures w14:val="standardContextual"/>
        </w:rPr>
      </w:pPr>
      <w:r w:rsidRPr="00CB373C">
        <w:rPr>
          <w:rFonts w:ascii="Traditional Arabic" w:eastAsia="Aptos" w:hAnsi="Traditional Arabic" w:cs="Traditional Arabic"/>
          <w:bCs/>
          <w:kern w:val="2"/>
          <w:sz w:val="28"/>
          <w:szCs w:val="28"/>
          <w:rtl/>
          <w14:ligatures w14:val="standardContextual"/>
        </w:rPr>
        <w:t>فوزيه عبدالله الدبيان</w:t>
      </w:r>
    </w:p>
    <w:p w14:paraId="091F536E" w14:textId="77777777" w:rsidR="00CB373C" w:rsidRPr="00CB373C" w:rsidRDefault="00CB373C" w:rsidP="00CB373C">
      <w:pPr>
        <w:bidi/>
        <w:spacing w:line="240" w:lineRule="auto"/>
        <w:jc w:val="center"/>
        <w:rPr>
          <w:rFonts w:ascii="Traditional Arabic" w:eastAsia="Aptos" w:hAnsi="Traditional Arabic" w:cs="Traditional Arabic"/>
          <w:bCs/>
          <w:kern w:val="2"/>
          <w:sz w:val="24"/>
          <w:szCs w:val="24"/>
          <w:rtl/>
          <w14:ligatures w14:val="standardContextual"/>
        </w:rPr>
      </w:pPr>
      <w:r w:rsidRPr="00CB373C">
        <w:rPr>
          <w:rFonts w:ascii="Traditional Arabic" w:eastAsia="Aptos" w:hAnsi="Traditional Arabic" w:cs="Traditional Arabic"/>
          <w:bCs/>
          <w:kern w:val="2"/>
          <w:sz w:val="24"/>
          <w:szCs w:val="24"/>
          <w:rtl/>
          <w14:ligatures w14:val="standardContextual"/>
        </w:rPr>
        <w:t>المملكة العربية السعودية</w:t>
      </w:r>
    </w:p>
    <w:p w14:paraId="11D04E20" w14:textId="77777777" w:rsidR="00CB373C" w:rsidRPr="00CB373C" w:rsidRDefault="00CB373C" w:rsidP="00CB373C">
      <w:pPr>
        <w:bidi/>
        <w:spacing w:line="240" w:lineRule="auto"/>
        <w:jc w:val="center"/>
        <w:rPr>
          <w:rFonts w:ascii="Traditional Arabic" w:eastAsia="Aptos" w:hAnsi="Traditional Arabic" w:cs="Traditional Arabic"/>
          <w:bCs/>
          <w:kern w:val="2"/>
          <w:sz w:val="24"/>
          <w:szCs w:val="24"/>
          <w:rtl/>
          <w14:ligatures w14:val="standardContextual"/>
        </w:rPr>
      </w:pPr>
      <w:r w:rsidRPr="00CB373C">
        <w:rPr>
          <w:rFonts w:ascii="Traditional Arabic" w:eastAsia="Aptos" w:hAnsi="Traditional Arabic" w:cs="Traditional Arabic"/>
          <w:bCs/>
          <w:kern w:val="2"/>
          <w:sz w:val="24"/>
          <w:szCs w:val="24"/>
          <w:rtl/>
          <w14:ligatures w14:val="standardContextual"/>
        </w:rPr>
        <w:t>رسالة مقدمة لجامعة ميدأوشن لاستكمال متطلبات نيل درجة الدكتوراة</w:t>
      </w:r>
    </w:p>
    <w:p w14:paraId="7F51DDB4" w14:textId="77777777" w:rsidR="00CB373C" w:rsidRPr="00CB373C" w:rsidRDefault="00CB373C" w:rsidP="00CB373C">
      <w:pPr>
        <w:bidi/>
        <w:spacing w:line="240" w:lineRule="auto"/>
        <w:jc w:val="center"/>
        <w:rPr>
          <w:rFonts w:ascii="Traditional Arabic" w:eastAsia="Aptos" w:hAnsi="Traditional Arabic" w:cs="Traditional Arabic"/>
          <w:bCs/>
          <w:kern w:val="2"/>
          <w:sz w:val="24"/>
          <w:szCs w:val="24"/>
          <w:rtl/>
          <w14:ligatures w14:val="standardContextual"/>
        </w:rPr>
      </w:pPr>
      <w:r w:rsidRPr="00CB373C">
        <w:rPr>
          <w:rFonts w:ascii="Traditional Arabic" w:eastAsia="Aptos" w:hAnsi="Traditional Arabic" w:cs="Traditional Arabic"/>
          <w:bCs/>
          <w:kern w:val="2"/>
          <w:sz w:val="24"/>
          <w:szCs w:val="24"/>
          <w:rtl/>
          <w14:ligatures w14:val="standardContextual"/>
        </w:rPr>
        <w:t>في</w:t>
      </w:r>
    </w:p>
    <w:p w14:paraId="02B34D46" w14:textId="77777777" w:rsidR="00CB373C" w:rsidRPr="00CB373C" w:rsidRDefault="00CB373C" w:rsidP="00CB373C">
      <w:pPr>
        <w:bidi/>
        <w:spacing w:line="240" w:lineRule="auto"/>
        <w:jc w:val="center"/>
        <w:rPr>
          <w:rFonts w:ascii="Traditional Arabic" w:eastAsia="Aptos" w:hAnsi="Traditional Arabic" w:cs="Traditional Arabic"/>
          <w:bCs/>
          <w:kern w:val="2"/>
          <w:sz w:val="24"/>
          <w:szCs w:val="24"/>
          <w:rtl/>
          <w14:ligatures w14:val="standardContextual"/>
        </w:rPr>
      </w:pPr>
      <w:r w:rsidRPr="00CB373C">
        <w:rPr>
          <w:rFonts w:ascii="Traditional Arabic" w:eastAsia="Aptos" w:hAnsi="Traditional Arabic" w:cs="Traditional Arabic"/>
          <w:bCs/>
          <w:kern w:val="2"/>
          <w:sz w:val="24"/>
          <w:szCs w:val="24"/>
          <w:rtl/>
          <w14:ligatures w14:val="standardContextual"/>
        </w:rPr>
        <w:t>تخصص الإدارة</w:t>
      </w:r>
    </w:p>
    <w:p w14:paraId="33A83080" w14:textId="77777777" w:rsidR="00CB373C" w:rsidRPr="00CB373C" w:rsidRDefault="00CB373C" w:rsidP="00CB373C">
      <w:pPr>
        <w:bidi/>
        <w:spacing w:line="240" w:lineRule="auto"/>
        <w:jc w:val="both"/>
        <w:rPr>
          <w:rFonts w:ascii="Traditional Arabic" w:eastAsia="Aptos" w:hAnsi="Traditional Arabic" w:cs="Traditional Arabic"/>
          <w:bCs/>
          <w:kern w:val="2"/>
          <w:sz w:val="28"/>
          <w:szCs w:val="28"/>
          <w:rtl/>
          <w14:ligatures w14:val="standardContextual"/>
        </w:rPr>
      </w:pPr>
    </w:p>
    <w:p w14:paraId="56596F93" w14:textId="77777777" w:rsidR="00CB373C" w:rsidRPr="00CB373C" w:rsidRDefault="00CB373C" w:rsidP="00CB373C">
      <w:pPr>
        <w:bidi/>
        <w:spacing w:before="120" w:after="120" w:line="240" w:lineRule="auto"/>
        <w:jc w:val="center"/>
        <w:rPr>
          <w:rFonts w:ascii="Traditional Arabic" w:eastAsia="Calibri" w:hAnsi="Traditional Arabic" w:cs="Traditional Arabic"/>
          <w:bCs/>
          <w:color w:val="0D0D0D"/>
          <w:sz w:val="16"/>
          <w:szCs w:val="16"/>
          <w:rtl/>
        </w:rPr>
      </w:pPr>
      <w:r w:rsidRPr="00CB373C">
        <w:rPr>
          <w:rFonts w:ascii="Traditional Arabic" w:eastAsia="Calibri" w:hAnsi="Traditional Arabic" w:cs="Traditional Arabic"/>
          <w:bCs/>
          <w:color w:val="0D0D0D"/>
          <w:sz w:val="16"/>
          <w:szCs w:val="16"/>
          <w:rtl/>
        </w:rPr>
        <w:t>1447ه  - 2026 م</w:t>
      </w:r>
    </w:p>
    <w:p w14:paraId="401A3969" w14:textId="77777777" w:rsidR="00CB373C" w:rsidRPr="00CB373C" w:rsidRDefault="00CB373C" w:rsidP="00CB373C">
      <w:pPr>
        <w:bidi/>
        <w:spacing w:before="120" w:after="120" w:line="240" w:lineRule="auto"/>
        <w:jc w:val="center"/>
        <w:rPr>
          <w:rFonts w:ascii="Traditional Arabic" w:eastAsia="Calibri" w:hAnsi="Traditional Arabic" w:cs="Traditional Arabic"/>
          <w:bCs/>
          <w:color w:val="0D0D0D"/>
          <w:sz w:val="16"/>
          <w:szCs w:val="16"/>
          <w:rtl/>
        </w:rPr>
      </w:pPr>
    </w:p>
    <w:p w14:paraId="49195746" w14:textId="77777777" w:rsidR="00CB373C" w:rsidRPr="00CB373C" w:rsidRDefault="00CB373C" w:rsidP="00CB373C">
      <w:pPr>
        <w:bidi/>
        <w:spacing w:before="120" w:after="120" w:line="240" w:lineRule="auto"/>
        <w:jc w:val="center"/>
        <w:rPr>
          <w:rFonts w:ascii="Traditional Arabic" w:eastAsia="Calibri" w:hAnsi="Traditional Arabic" w:cs="Traditional Arabic"/>
          <w:bCs/>
          <w:color w:val="0D0D0D"/>
          <w:sz w:val="16"/>
          <w:szCs w:val="16"/>
          <w:rtl/>
        </w:rPr>
      </w:pPr>
      <w:r w:rsidRPr="00CB373C">
        <w:rPr>
          <w:rFonts w:ascii="Traditional Arabic" w:eastAsia="Calibri" w:hAnsi="Traditional Arabic" w:cs="Traditional Arabic"/>
          <w:bCs/>
          <w:color w:val="0D0D0D"/>
          <w:sz w:val="16"/>
          <w:szCs w:val="16"/>
          <w:rtl/>
        </w:rPr>
        <w:t>(افوزيه الدبيان  /1447 )</w:t>
      </w:r>
    </w:p>
    <w:p w14:paraId="6C35E202" w14:textId="77777777" w:rsidR="00CB373C" w:rsidRPr="00CB373C" w:rsidRDefault="00CB373C" w:rsidP="00CB373C">
      <w:pPr>
        <w:bidi/>
        <w:spacing w:before="120" w:after="120" w:line="240" w:lineRule="auto"/>
        <w:jc w:val="center"/>
        <w:rPr>
          <w:rFonts w:ascii="Traditional Arabic" w:eastAsia="Calibri" w:hAnsi="Traditional Arabic" w:cs="Traditional Arabic"/>
          <w:bCs/>
          <w:color w:val="0D0D0D"/>
          <w:sz w:val="16"/>
          <w:szCs w:val="16"/>
          <w:rtl/>
        </w:rPr>
      </w:pPr>
    </w:p>
    <w:p w14:paraId="6A2C4ECD" w14:textId="77777777" w:rsidR="00CB373C" w:rsidRPr="00CB373C" w:rsidRDefault="00CB373C" w:rsidP="00CB373C">
      <w:pPr>
        <w:keepNext/>
        <w:keepLines/>
        <w:bidi/>
        <w:spacing w:after="0" w:line="360" w:lineRule="auto"/>
        <w:outlineLvl w:val="0"/>
        <w:rPr>
          <w:rFonts w:ascii="Traditional Arabic" w:eastAsia="Times New Roman" w:hAnsi="Traditional Arabic" w:cs="Traditional Arabic"/>
          <w:bCs/>
          <w:color w:val="0D0D0D"/>
          <w:sz w:val="32"/>
          <w:szCs w:val="32"/>
          <w:rtl/>
        </w:rPr>
      </w:pPr>
    </w:p>
    <w:p w14:paraId="40D7F3DA"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14:ligatures w14:val="standardContextual"/>
        </w:rPr>
      </w:pPr>
    </w:p>
    <w:p w14:paraId="37B2C2D2"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5FE8B6D9"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7DBB8463" w14:textId="77777777" w:rsidR="00CB373C" w:rsidRPr="00CB373C" w:rsidRDefault="00CB373C" w:rsidP="00CB373C">
      <w:pPr>
        <w:bidi/>
        <w:spacing w:line="240" w:lineRule="auto"/>
        <w:jc w:val="center"/>
        <w:rPr>
          <w:rFonts w:ascii="Traditional Arabic" w:eastAsia="Aptos" w:hAnsi="Traditional Arabic" w:cs="Traditional Arabic"/>
          <w:b/>
          <w:bCs/>
          <w:kern w:val="2"/>
          <w:sz w:val="32"/>
          <w:szCs w:val="32"/>
          <w:rtl/>
          <w:lang w:bidi="ar-EG"/>
          <w14:ligatures w14:val="standardContextual"/>
        </w:rPr>
      </w:pPr>
      <w:r w:rsidRPr="00CB373C">
        <w:rPr>
          <w:rFonts w:ascii="Traditional Arabic" w:eastAsia="Aptos" w:hAnsi="Traditional Arabic" w:cs="Traditional Arabic"/>
          <w:b/>
          <w:bCs/>
          <w:kern w:val="2"/>
          <w:sz w:val="32"/>
          <w:szCs w:val="32"/>
          <w:rtl/>
          <w:lang w:bidi="ar-EG"/>
          <w14:ligatures w14:val="standardContextual"/>
        </w:rPr>
        <w:t>قائمة المحتويات</w:t>
      </w:r>
    </w:p>
    <w:p w14:paraId="1DD2B6D7"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37BD06BC" w14:textId="77777777" w:rsidR="00CB373C" w:rsidRPr="00CB373C" w:rsidRDefault="00CB373C" w:rsidP="00CB373C">
      <w:pPr>
        <w:tabs>
          <w:tab w:val="right" w:leader="dot" w:pos="9016"/>
        </w:tabs>
        <w:bidi/>
        <w:spacing w:after="0" w:line="278" w:lineRule="auto"/>
        <w:jc w:val="both"/>
        <w:rPr>
          <w:rFonts w:ascii="Traditional Arabic" w:eastAsia="Aptos" w:hAnsi="Traditional Arabic" w:cs="Traditional Arabic"/>
          <w:noProof/>
          <w:kern w:val="2"/>
          <w:sz w:val="24"/>
          <w:szCs w:val="24"/>
          <w:rtl/>
          <w14:ligatures w14:val="standardContextual"/>
        </w:rPr>
      </w:pPr>
      <w:r w:rsidRPr="00CB373C">
        <w:rPr>
          <w:rFonts w:ascii="Traditional Arabic" w:eastAsia="Aptos" w:hAnsi="Traditional Arabic" w:cs="Traditional Arabic"/>
          <w:kern w:val="2"/>
          <w:sz w:val="24"/>
          <w:szCs w:val="24"/>
          <w:rtl/>
          <w:lang w:bidi="ar-EG"/>
          <w14:ligatures w14:val="standardContextual"/>
        </w:rPr>
        <w:fldChar w:fldCharType="begin"/>
      </w:r>
      <w:r w:rsidRPr="00CB373C">
        <w:rPr>
          <w:rFonts w:ascii="Traditional Arabic" w:eastAsia="Aptos" w:hAnsi="Traditional Arabic" w:cs="Traditional Arabic"/>
          <w:kern w:val="2"/>
          <w:sz w:val="24"/>
          <w:szCs w:val="24"/>
          <w:rtl/>
          <w:lang w:bidi="ar-EG"/>
          <w14:ligatures w14:val="standardContextual"/>
        </w:rPr>
        <w:instrText xml:space="preserve"> </w:instrText>
      </w:r>
      <w:r w:rsidRPr="00CB373C">
        <w:rPr>
          <w:rFonts w:ascii="Traditional Arabic" w:eastAsia="Aptos" w:hAnsi="Traditional Arabic" w:cs="Traditional Arabic"/>
          <w:kern w:val="2"/>
          <w:sz w:val="24"/>
          <w:szCs w:val="24"/>
          <w:lang w:bidi="ar-EG"/>
          <w14:ligatures w14:val="standardContextual"/>
        </w:rPr>
        <w:instrText>TOC</w:instrText>
      </w:r>
      <w:r w:rsidRPr="00CB373C">
        <w:rPr>
          <w:rFonts w:ascii="Traditional Arabic" w:eastAsia="Aptos" w:hAnsi="Traditional Arabic" w:cs="Traditional Arabic"/>
          <w:kern w:val="2"/>
          <w:sz w:val="24"/>
          <w:szCs w:val="24"/>
          <w:rtl/>
          <w:lang w:bidi="ar-EG"/>
          <w14:ligatures w14:val="standardContextual"/>
        </w:rPr>
        <w:instrText xml:space="preserve"> \</w:instrText>
      </w:r>
      <w:r w:rsidRPr="00CB373C">
        <w:rPr>
          <w:rFonts w:ascii="Traditional Arabic" w:eastAsia="Aptos" w:hAnsi="Traditional Arabic" w:cs="Traditional Arabic"/>
          <w:kern w:val="2"/>
          <w:sz w:val="24"/>
          <w:szCs w:val="24"/>
          <w:lang w:bidi="ar-EG"/>
          <w14:ligatures w14:val="standardContextual"/>
        </w:rPr>
        <w:instrText>o "1-3" \h \z \u</w:instrText>
      </w:r>
      <w:r w:rsidRPr="00CB373C">
        <w:rPr>
          <w:rFonts w:ascii="Traditional Arabic" w:eastAsia="Aptos" w:hAnsi="Traditional Arabic" w:cs="Traditional Arabic"/>
          <w:kern w:val="2"/>
          <w:sz w:val="24"/>
          <w:szCs w:val="24"/>
          <w:rtl/>
          <w:lang w:bidi="ar-EG"/>
          <w14:ligatures w14:val="standardContextual"/>
        </w:rPr>
        <w:instrText xml:space="preserve"> </w:instrText>
      </w:r>
      <w:r w:rsidRPr="00CB373C">
        <w:rPr>
          <w:rFonts w:ascii="Traditional Arabic" w:eastAsia="Aptos" w:hAnsi="Traditional Arabic" w:cs="Traditional Arabic"/>
          <w:kern w:val="2"/>
          <w:sz w:val="24"/>
          <w:szCs w:val="24"/>
          <w:rtl/>
          <w:lang w:bidi="ar-EG"/>
          <w14:ligatures w14:val="standardContextual"/>
        </w:rPr>
        <w:fldChar w:fldCharType="separate"/>
      </w:r>
      <w:hyperlink w:anchor="_Toc222423535"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الفصل الثاني: الإطار النظري والدراسات السابقة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Toc222423535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4</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69B82FB7" w14:textId="77777777" w:rsidR="00CB373C" w:rsidRPr="00CB373C" w:rsidRDefault="00CB373C" w:rsidP="00CB373C">
      <w:pPr>
        <w:tabs>
          <w:tab w:val="left" w:pos="1200"/>
          <w:tab w:val="right" w:leader="dot" w:pos="9016"/>
        </w:tabs>
        <w:bidi/>
        <w:spacing w:after="0" w:line="278" w:lineRule="auto"/>
        <w:ind w:left="240"/>
        <w:jc w:val="both"/>
        <w:rPr>
          <w:rFonts w:ascii="Traditional Arabic" w:eastAsia="Aptos" w:hAnsi="Traditional Arabic" w:cs="Traditional Arabic"/>
          <w:noProof/>
          <w:kern w:val="2"/>
          <w:sz w:val="24"/>
          <w:szCs w:val="24"/>
          <w:rtl/>
          <w14:ligatures w14:val="standardContextual"/>
        </w:rPr>
      </w:pPr>
      <w:hyperlink w:anchor="_Toc222423538"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2.1</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المقدمة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Toc222423538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4</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5A0B5C04" w14:textId="77777777" w:rsidR="00CB373C" w:rsidRPr="00CB373C" w:rsidRDefault="00CB373C" w:rsidP="00CB373C">
      <w:pPr>
        <w:tabs>
          <w:tab w:val="left" w:pos="1200"/>
          <w:tab w:val="right" w:leader="dot" w:pos="9016"/>
        </w:tabs>
        <w:bidi/>
        <w:spacing w:after="0" w:line="278" w:lineRule="auto"/>
        <w:ind w:left="240"/>
        <w:jc w:val="both"/>
        <w:rPr>
          <w:rFonts w:ascii="Traditional Arabic" w:eastAsia="Aptos" w:hAnsi="Traditional Arabic" w:cs="Traditional Arabic"/>
          <w:noProof/>
          <w:kern w:val="2"/>
          <w:sz w:val="24"/>
          <w:szCs w:val="24"/>
          <w:rtl/>
          <w14:ligatures w14:val="standardContextual"/>
        </w:rPr>
      </w:pPr>
      <w:hyperlink w:anchor="_Toc222423539"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2.2</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السياق المصرفي السعودي والتحول الرقمي كبيئة حاكمة للدراسة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Toc222423539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4</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00D5EBCF"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40"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2.2.1</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التحول الرقمي في القطاع المالي السعودي: من رقمنة القنوات إلى إعادة تشكيل نموذج الأعمال</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Toc222423540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4</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29C41C52"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41"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2.2.2</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الدور التنظيمي في تمكين الابتكار مع ضبط المخاطر</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Toc222423541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5</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637F5180"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42"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2.2.3</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الرياض كحاضنة مصرفية كثيفة البيانات والقرارات</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Toc222423542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5</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26668D6E"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43"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2.2.4</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تصاعد المدفوعات الرقمية ونمو منظومة التقنية المالية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Toc222423543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6</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474C82BD"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44"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2.2.5</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دلالات السياق على منطق النموذج وفروضه</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Toc222423544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6</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5D4054F7" w14:textId="77777777" w:rsidR="00CB373C" w:rsidRPr="00CB373C" w:rsidRDefault="00CB373C" w:rsidP="00CB373C">
      <w:pPr>
        <w:tabs>
          <w:tab w:val="left" w:pos="1200"/>
          <w:tab w:val="right" w:leader="dot" w:pos="9016"/>
        </w:tabs>
        <w:bidi/>
        <w:spacing w:after="0" w:line="278" w:lineRule="auto"/>
        <w:ind w:left="240"/>
        <w:jc w:val="both"/>
        <w:rPr>
          <w:rFonts w:ascii="Traditional Arabic" w:eastAsia="Aptos" w:hAnsi="Traditional Arabic" w:cs="Traditional Arabic"/>
          <w:noProof/>
          <w:kern w:val="2"/>
          <w:sz w:val="24"/>
          <w:szCs w:val="24"/>
          <w:rtl/>
          <w14:ligatures w14:val="standardContextual"/>
        </w:rPr>
      </w:pPr>
      <w:hyperlink w:anchor="_Toc222423545"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2.3</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ذكاء الأعمال في المصارف: المفهوم، الوظائف، وتطبيقاته الاستراتيجية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Toc222423545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6</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08086C70"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46"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2.3.1</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ضبط المفهوم وحدوده داخل نظم دعم القرار</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Toc222423546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6</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4634BCF5"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47"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2.3.2</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التمييز بين ذكاء الأعمال والتحليلات والذكاء الاصطناعي</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Toc222423547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7</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7041ECA6"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48"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2.3.3</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البنية المعمارية لذكاء الأعمال في المصارف: من بيانات متشعبة إلى رؤية متماسكة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Toc222423548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7</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2C20A0DB"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49"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2.3.4</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مجالات التطبيق المصرفي من إدارة المخاطر إلى إدارة القيمة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Toc222423549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8</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7AC7B178"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50"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2.3.5</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تحديات التطبيق في المصارف</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Toc222423550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10</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59F04679" w14:textId="77777777" w:rsidR="00CB373C" w:rsidRPr="00CB373C" w:rsidRDefault="00CB373C" w:rsidP="00CB373C">
      <w:pPr>
        <w:tabs>
          <w:tab w:val="left" w:pos="1200"/>
          <w:tab w:val="right" w:leader="dot" w:pos="9016"/>
        </w:tabs>
        <w:bidi/>
        <w:spacing w:after="0" w:line="278" w:lineRule="auto"/>
        <w:ind w:left="240"/>
        <w:jc w:val="both"/>
        <w:rPr>
          <w:rFonts w:ascii="Traditional Arabic" w:eastAsia="Aptos" w:hAnsi="Traditional Arabic" w:cs="Traditional Arabic"/>
          <w:noProof/>
          <w:kern w:val="2"/>
          <w:sz w:val="24"/>
          <w:szCs w:val="24"/>
          <w:rtl/>
          <w14:ligatures w14:val="standardContextual"/>
        </w:rPr>
      </w:pPr>
      <w:hyperlink w:anchor="_Toc222423551"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2.4</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قبول أنظمة ذكاء الأعمال: نموذج قبول التكنولوجيا (</w:t>
        </w:r>
        <w:r w:rsidRPr="00CB373C">
          <w:rPr>
            <w:rFonts w:ascii="Traditional Arabic" w:eastAsia="Aptos" w:hAnsi="Traditional Arabic" w:cs="Traditional Arabic"/>
            <w:b/>
            <w:bCs/>
            <w:noProof/>
            <w:color w:val="467886"/>
            <w:kern w:val="2"/>
            <w:sz w:val="24"/>
            <w:szCs w:val="24"/>
            <w:u w:val="single"/>
            <w:lang w:bidi="ar-EG"/>
            <w14:ligatures w14:val="standardContextual"/>
          </w:rPr>
          <w:t>TAM</w:t>
        </w:r>
        <w:r w:rsidRPr="00CB373C">
          <w:rPr>
            <w:rFonts w:ascii="Traditional Arabic" w:eastAsia="Aptos" w:hAnsi="Traditional Arabic" w:cs="Traditional Arabic"/>
            <w:b/>
            <w:bCs/>
            <w:noProof/>
            <w:color w:val="467886"/>
            <w:kern w:val="2"/>
            <w:sz w:val="24"/>
            <w:szCs w:val="24"/>
            <w:u w:val="single"/>
            <w:rtl/>
            <w:lang w:bidi="ar-EG"/>
            <w14:ligatures w14:val="standardContextual"/>
          </w:rPr>
          <w:t>) وتكييفه على بيئة البنوك</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Toc222423551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11</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71CC6FCA"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52"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2.4.1</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الأساس النظري لنموذج قبول التكنولوجيا في بحوث نظم المعلومات</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Toc222423552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11</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4AE97E6F"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53"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2.4.2</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البنى الجوهرية للنموذج وملاءمته لوحدة تحليل المديرين في القطاع المصرفي</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Toc222423553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11</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7AA45172"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54"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2.4.3</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 xml:space="preserve">تكييف </w:t>
        </w:r>
        <w:r w:rsidRPr="00CB373C">
          <w:rPr>
            <w:rFonts w:ascii="Traditional Arabic" w:eastAsia="Aptos" w:hAnsi="Traditional Arabic" w:cs="Traditional Arabic"/>
            <w:b/>
            <w:bCs/>
            <w:noProof/>
            <w:color w:val="467886"/>
            <w:kern w:val="2"/>
            <w:sz w:val="24"/>
            <w:szCs w:val="24"/>
            <w:u w:val="single"/>
            <w:lang w:bidi="ar-EG"/>
            <w14:ligatures w14:val="standardContextual"/>
          </w:rPr>
          <w:t>TAM</w:t>
        </w:r>
        <w:r w:rsidRPr="00CB373C">
          <w:rPr>
            <w:rFonts w:ascii="Traditional Arabic" w:eastAsia="Aptos" w:hAnsi="Traditional Arabic" w:cs="Traditional Arabic"/>
            <w:b/>
            <w:bCs/>
            <w:noProof/>
            <w:color w:val="467886"/>
            <w:kern w:val="2"/>
            <w:sz w:val="24"/>
            <w:szCs w:val="24"/>
            <w:u w:val="single"/>
            <w:rtl/>
            <w:lang w:bidi="ar-EG"/>
            <w14:ligatures w14:val="standardContextual"/>
          </w:rPr>
          <w:t xml:space="preserve"> لقياس قبول أنظمة ذكاء الأعمال في المصارف</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Toc222423554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12</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0CD57C8D"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55"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2.4.4</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المتغيرات المساندة الشائعة في البيئات المصرفية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Toc222423555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12</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7517E3B1"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56"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2.4.5</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من النية إلى الاستخدام الفعلي – تحويل القبول إلى ممارسة قرار استراتيجي</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Toc222423556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13</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3086FF87" w14:textId="77777777" w:rsidR="00CB373C" w:rsidRPr="00CB373C" w:rsidRDefault="00CB373C" w:rsidP="00CB373C">
      <w:pPr>
        <w:tabs>
          <w:tab w:val="left" w:pos="1200"/>
          <w:tab w:val="right" w:leader="dot" w:pos="9016"/>
        </w:tabs>
        <w:bidi/>
        <w:spacing w:after="0" w:line="278" w:lineRule="auto"/>
        <w:ind w:left="240"/>
        <w:jc w:val="both"/>
        <w:rPr>
          <w:rFonts w:ascii="Traditional Arabic" w:eastAsia="Aptos" w:hAnsi="Traditional Arabic" w:cs="Traditional Arabic"/>
          <w:noProof/>
          <w:kern w:val="2"/>
          <w:sz w:val="24"/>
          <w:szCs w:val="24"/>
          <w:rtl/>
          <w14:ligatures w14:val="standardContextual"/>
        </w:rPr>
      </w:pPr>
      <w:hyperlink w:anchor="_Toc222423557"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2.5</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جودة القرارات الاستراتيجية: المفهوم، الأبعاد، وكيف تتحسن بالبيانات</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Toc222423557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14</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4605AC31"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58"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2.5.1</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طبيعة القرار الاستراتيجي وخصائصه في المنظمات المصرفية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Toc222423558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14</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62ABBEF2"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59"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2.5.2</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جودة عملية اتخاذ القرار وجودة القرار ذاته</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Toc222423559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15</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71C9405F"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60"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2.5.3</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الأبعاد التشغيلية لجودة القرارات الاستراتيجية في الدراسة الحالية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Toc222423560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15</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50B78362"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61"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2.5.4</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منطق القرار القائم على البيانات: كيف تُحسّن التحليلات جودة القرار الاستراتيجي</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Toc222423561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17</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2B381EA5" w14:textId="77777777" w:rsidR="00CB373C" w:rsidRPr="00CB373C" w:rsidRDefault="00CB373C" w:rsidP="00CB373C">
      <w:pPr>
        <w:tabs>
          <w:tab w:val="left" w:pos="1200"/>
          <w:tab w:val="right" w:leader="dot" w:pos="9016"/>
        </w:tabs>
        <w:bidi/>
        <w:spacing w:after="0" w:line="278" w:lineRule="auto"/>
        <w:ind w:left="240"/>
        <w:jc w:val="both"/>
        <w:rPr>
          <w:rFonts w:ascii="Traditional Arabic" w:eastAsia="Aptos" w:hAnsi="Traditional Arabic" w:cs="Traditional Arabic"/>
          <w:noProof/>
          <w:kern w:val="2"/>
          <w:sz w:val="24"/>
          <w:szCs w:val="24"/>
          <w:rtl/>
          <w14:ligatures w14:val="standardContextual"/>
        </w:rPr>
      </w:pPr>
      <w:hyperlink w:anchor="_Toc222423562"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2.6</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الابتكار التنظيمي في المصارف: المفهوم والأبعاد ومحدداته</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Toc222423562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18</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22FC63D4"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63"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2.6.1</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التأصيل المفاهيمي للابتكار التنظيمي في البيئة المصرفية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Toc222423563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18</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478E8538"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64"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2.6.2</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الأبعاد التشغيلية للابتكار التنظيمي المعتمدة في الدراسة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Toc222423564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18</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4199A0F1"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65"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2.6.3</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الابتكار في الخدمات المالية بوصفه نتيجة للرقمنة والبيانات وجودة القرار</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Toc222423565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19</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3DC01119"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66"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2.6.4</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محددات الابتكار التنظيمي في المصارف</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Toc222423566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20</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0C5CB3DE" w14:textId="77777777" w:rsidR="00CB373C" w:rsidRPr="00CB373C" w:rsidRDefault="00CB373C" w:rsidP="00CB373C">
      <w:pPr>
        <w:tabs>
          <w:tab w:val="left" w:pos="1200"/>
          <w:tab w:val="right" w:leader="dot" w:pos="9016"/>
        </w:tabs>
        <w:bidi/>
        <w:spacing w:after="0" w:line="278" w:lineRule="auto"/>
        <w:ind w:left="240"/>
        <w:jc w:val="both"/>
        <w:rPr>
          <w:rFonts w:ascii="Traditional Arabic" w:eastAsia="Aptos" w:hAnsi="Traditional Arabic" w:cs="Traditional Arabic"/>
          <w:noProof/>
          <w:kern w:val="2"/>
          <w:sz w:val="24"/>
          <w:szCs w:val="24"/>
          <w:rtl/>
          <w14:ligatures w14:val="standardContextual"/>
        </w:rPr>
      </w:pPr>
      <w:hyperlink w:anchor="_Toc222423567"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2.7</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الإطار التفسيري للعلاقات بين المتغيرات وتطوير الفرضيات</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Toc222423567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21</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5B6CFF93"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68"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2.7.1</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الأساس النظري للعلاقة بين قبول أنظمة ذكاء الأعمال وجودة القرارات الاستراتيجية (</w:t>
        </w:r>
        <w:r w:rsidRPr="00CB373C">
          <w:rPr>
            <w:rFonts w:ascii="Traditional Arabic" w:eastAsia="Aptos" w:hAnsi="Traditional Arabic" w:cs="Traditional Arabic"/>
            <w:b/>
            <w:bCs/>
            <w:noProof/>
            <w:color w:val="467886"/>
            <w:kern w:val="2"/>
            <w:sz w:val="24"/>
            <w:szCs w:val="24"/>
            <w:u w:val="single"/>
            <w:lang w:bidi="ar-EG"/>
            <w14:ligatures w14:val="standardContextual"/>
          </w:rPr>
          <w:t>H1</w:t>
        </w:r>
        <w:r w:rsidRPr="00CB373C">
          <w:rPr>
            <w:rFonts w:ascii="Traditional Arabic" w:eastAsia="Aptos" w:hAnsi="Traditional Arabic" w:cs="Traditional Arabic"/>
            <w:b/>
            <w:bCs/>
            <w:noProof/>
            <w:color w:val="467886"/>
            <w:kern w:val="2"/>
            <w:sz w:val="24"/>
            <w:szCs w:val="24"/>
            <w:u w:val="single"/>
            <w:rtl/>
            <w:lang w:bidi="ar-EG"/>
            <w14:ligatures w14:val="standardContextual"/>
          </w:rPr>
          <w:t>)</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Toc222423568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21</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7F957F84"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69"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2.7.2</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الأساس النظري للعلاقة بين جودة القرارات الاستراتيجية والابتكار التنظيمي (</w:t>
        </w:r>
        <w:r w:rsidRPr="00CB373C">
          <w:rPr>
            <w:rFonts w:ascii="Traditional Arabic" w:eastAsia="Aptos" w:hAnsi="Traditional Arabic" w:cs="Traditional Arabic"/>
            <w:b/>
            <w:bCs/>
            <w:noProof/>
            <w:color w:val="467886"/>
            <w:kern w:val="2"/>
            <w:sz w:val="24"/>
            <w:szCs w:val="24"/>
            <w:u w:val="single"/>
            <w:lang w:bidi="ar-EG"/>
            <w14:ligatures w14:val="standardContextual"/>
          </w:rPr>
          <w:t>H2</w:t>
        </w:r>
        <w:r w:rsidRPr="00CB373C">
          <w:rPr>
            <w:rFonts w:ascii="Traditional Arabic" w:eastAsia="Aptos" w:hAnsi="Traditional Arabic" w:cs="Traditional Arabic"/>
            <w:b/>
            <w:bCs/>
            <w:noProof/>
            <w:color w:val="467886"/>
            <w:kern w:val="2"/>
            <w:sz w:val="24"/>
            <w:szCs w:val="24"/>
            <w:u w:val="single"/>
            <w:rtl/>
            <w:lang w:bidi="ar-EG"/>
            <w14:ligatures w14:val="standardContextual"/>
          </w:rPr>
          <w:t>)</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Toc222423569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22</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2549F858"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70"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2.7.3</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المسار المباشر بين قبول أنظمة ذكاء الأعمال والابتكار التنظيمي (</w:t>
        </w:r>
        <w:r w:rsidRPr="00CB373C">
          <w:rPr>
            <w:rFonts w:ascii="Traditional Arabic" w:eastAsia="Aptos" w:hAnsi="Traditional Arabic" w:cs="Traditional Arabic"/>
            <w:b/>
            <w:bCs/>
            <w:noProof/>
            <w:color w:val="467886"/>
            <w:kern w:val="2"/>
            <w:sz w:val="24"/>
            <w:szCs w:val="24"/>
            <w:u w:val="single"/>
            <w:lang w:bidi="ar-EG"/>
            <w14:ligatures w14:val="standardContextual"/>
          </w:rPr>
          <w:t>H3</w:t>
        </w:r>
        <w:r w:rsidRPr="00CB373C">
          <w:rPr>
            <w:rFonts w:ascii="Traditional Arabic" w:eastAsia="Aptos" w:hAnsi="Traditional Arabic" w:cs="Traditional Arabic"/>
            <w:b/>
            <w:bCs/>
            <w:noProof/>
            <w:color w:val="467886"/>
            <w:kern w:val="2"/>
            <w:sz w:val="24"/>
            <w:szCs w:val="24"/>
            <w:u w:val="single"/>
            <w:rtl/>
            <w:lang w:bidi="ar-EG"/>
            <w14:ligatures w14:val="standardContextual"/>
          </w:rPr>
          <w:t>)</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Toc222423570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23</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21C91885"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71"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2.7.4</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منطق الوساطة: جودة القرارات الاستراتيجية كآلية تفسيرية (</w:t>
        </w:r>
        <w:r w:rsidRPr="00CB373C">
          <w:rPr>
            <w:rFonts w:ascii="Traditional Arabic" w:eastAsia="Aptos" w:hAnsi="Traditional Arabic" w:cs="Traditional Arabic"/>
            <w:b/>
            <w:bCs/>
            <w:noProof/>
            <w:color w:val="467886"/>
            <w:kern w:val="2"/>
            <w:sz w:val="24"/>
            <w:szCs w:val="24"/>
            <w:u w:val="single"/>
            <w:lang w:bidi="ar-EG"/>
            <w14:ligatures w14:val="standardContextual"/>
          </w:rPr>
          <w:t>H4</w:t>
        </w:r>
        <w:r w:rsidRPr="00CB373C">
          <w:rPr>
            <w:rFonts w:ascii="Traditional Arabic" w:eastAsia="Aptos" w:hAnsi="Traditional Arabic" w:cs="Traditional Arabic"/>
            <w:b/>
            <w:bCs/>
            <w:noProof/>
            <w:color w:val="467886"/>
            <w:kern w:val="2"/>
            <w:sz w:val="24"/>
            <w:szCs w:val="24"/>
            <w:u w:val="single"/>
            <w:rtl/>
            <w:lang w:bidi="ar-EG"/>
            <w14:ligatures w14:val="standardContextual"/>
          </w:rPr>
          <w:t>)</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Toc222423571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23</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3ABE63E8"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72"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2.7.5</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توصيف النموذج المفاهيمي بصياغة تفسيرية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Toc222423572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24</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350BA0F6" w14:textId="77777777" w:rsidR="00CB373C" w:rsidRPr="00CB373C" w:rsidRDefault="00CB373C" w:rsidP="00CB373C">
      <w:pPr>
        <w:tabs>
          <w:tab w:val="left" w:pos="1200"/>
          <w:tab w:val="right" w:leader="dot" w:pos="9016"/>
        </w:tabs>
        <w:bidi/>
        <w:spacing w:after="0" w:line="278" w:lineRule="auto"/>
        <w:ind w:left="240"/>
        <w:jc w:val="both"/>
        <w:rPr>
          <w:rFonts w:ascii="Traditional Arabic" w:eastAsia="Aptos" w:hAnsi="Traditional Arabic" w:cs="Traditional Arabic"/>
          <w:noProof/>
          <w:kern w:val="2"/>
          <w:sz w:val="24"/>
          <w:szCs w:val="24"/>
          <w:rtl/>
          <w14:ligatures w14:val="standardContextual"/>
        </w:rPr>
      </w:pPr>
      <w:hyperlink w:anchor="_Toc222423573"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2.8</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الدراسات السابقة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Toc222423573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25</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1A2AC381"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74"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2.8.1</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الدراسات المرتبطة بذكاء الأعمال</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Toc222423574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25</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759ADFEF"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75"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2.8.2</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الدراسات المرتبطة بالقرارات الاستراتيجية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Toc222423575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29</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518DDD3E"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76"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2.8.3</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الدراسات المرتبطة بالابتكار التنظيمي</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Toc222423576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31</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4A6D7275"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77"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2.8.4</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جودة الخدمة الداخلية والالتزام التنظيمي كآلية وسيطة نحو الابتكار</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Toc222423577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32</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63CCD1A9" w14:textId="77777777" w:rsidR="00CB373C" w:rsidRPr="00CB373C" w:rsidRDefault="00CB373C" w:rsidP="00CB373C">
      <w:pPr>
        <w:tabs>
          <w:tab w:val="left" w:pos="1466"/>
          <w:tab w:val="right" w:leader="dot" w:pos="9016"/>
        </w:tabs>
        <w:bidi/>
        <w:spacing w:after="0" w:line="278" w:lineRule="auto"/>
        <w:ind w:left="480"/>
        <w:jc w:val="both"/>
        <w:rPr>
          <w:rFonts w:ascii="Traditional Arabic" w:eastAsia="Aptos" w:hAnsi="Traditional Arabic" w:cs="Traditional Arabic"/>
          <w:noProof/>
          <w:kern w:val="2"/>
          <w:sz w:val="24"/>
          <w:szCs w:val="24"/>
          <w:rtl/>
          <w14:ligatures w14:val="standardContextual"/>
        </w:rPr>
      </w:pPr>
      <w:hyperlink w:anchor="_Toc222423578"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2.8.5</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التعقيب على الدراسات السابقة</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Toc222423578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32</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43943475" w14:textId="77777777" w:rsidR="00CB373C" w:rsidRPr="00CB373C" w:rsidRDefault="00CB373C" w:rsidP="00CB373C">
      <w:pPr>
        <w:tabs>
          <w:tab w:val="left" w:pos="1200"/>
          <w:tab w:val="right" w:leader="dot" w:pos="9016"/>
        </w:tabs>
        <w:bidi/>
        <w:spacing w:after="0" w:line="278" w:lineRule="auto"/>
        <w:ind w:left="240"/>
        <w:jc w:val="both"/>
        <w:rPr>
          <w:rFonts w:ascii="Traditional Arabic" w:eastAsia="Aptos" w:hAnsi="Traditional Arabic" w:cs="Traditional Arabic"/>
          <w:noProof/>
          <w:kern w:val="2"/>
          <w:sz w:val="24"/>
          <w:szCs w:val="24"/>
          <w:rtl/>
          <w14:ligatures w14:val="standardContextual"/>
        </w:rPr>
      </w:pPr>
      <w:hyperlink w:anchor="_Toc222423579"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2.9</w:t>
        </w:r>
        <w:r w:rsidRPr="00CB373C">
          <w:rPr>
            <w:rFonts w:ascii="Traditional Arabic" w:eastAsia="Aptos" w:hAnsi="Traditional Arabic" w:cs="Traditional Arabic"/>
            <w:noProof/>
            <w:kern w:val="2"/>
            <w:sz w:val="24"/>
            <w:szCs w:val="24"/>
            <w:rtl/>
            <w14:ligatures w14:val="standardContextual"/>
          </w:rPr>
          <w:tab/>
        </w:r>
        <w:r w:rsidRPr="00CB373C">
          <w:rPr>
            <w:rFonts w:ascii="Traditional Arabic" w:eastAsia="Aptos" w:hAnsi="Traditional Arabic" w:cs="Traditional Arabic"/>
            <w:b/>
            <w:bCs/>
            <w:noProof/>
            <w:color w:val="467886"/>
            <w:kern w:val="2"/>
            <w:sz w:val="24"/>
            <w:szCs w:val="24"/>
            <w:u w:val="single"/>
            <w:rtl/>
            <w:lang w:bidi="ar-EG"/>
            <w14:ligatures w14:val="standardContextual"/>
          </w:rPr>
          <w:t>خاتمة الفصل</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Toc222423579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35</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27AD5435" w14:textId="77777777" w:rsidR="00CB373C" w:rsidRPr="00CB373C" w:rsidRDefault="00CB373C" w:rsidP="00CB373C">
      <w:pPr>
        <w:tabs>
          <w:tab w:val="right" w:leader="dot" w:pos="9016"/>
        </w:tabs>
        <w:bidi/>
        <w:spacing w:after="0" w:line="278" w:lineRule="auto"/>
        <w:ind w:left="240"/>
        <w:jc w:val="both"/>
        <w:rPr>
          <w:rFonts w:ascii="Traditional Arabic" w:eastAsia="Aptos" w:hAnsi="Traditional Arabic" w:cs="Traditional Arabic"/>
          <w:noProof/>
          <w:kern w:val="2"/>
          <w:sz w:val="24"/>
          <w:szCs w:val="24"/>
          <w:rtl/>
          <w14:ligatures w14:val="standardContextual"/>
        </w:rPr>
      </w:pPr>
      <w:hyperlink w:anchor="_Toc222423580" w:history="1">
        <w:r w:rsidRPr="00CB373C">
          <w:rPr>
            <w:rFonts w:ascii="Traditional Arabic" w:eastAsia="Aptos" w:hAnsi="Traditional Arabic" w:cs="Traditional Arabic"/>
            <w:b/>
            <w:bCs/>
            <w:noProof/>
            <w:color w:val="467886"/>
            <w:kern w:val="2"/>
            <w:sz w:val="24"/>
            <w:szCs w:val="24"/>
            <w:u w:val="single"/>
            <w:rtl/>
            <w:lang w:bidi="ar-EG"/>
            <w14:ligatures w14:val="standardContextual"/>
          </w:rPr>
          <w:t>قائمة المراجع</w:t>
        </w:r>
        <w:r w:rsidRPr="00CB373C">
          <w:rPr>
            <w:rFonts w:ascii="Traditional Arabic" w:eastAsia="Aptos" w:hAnsi="Traditional Arabic" w:cs="Traditional Arabic"/>
            <w:noProof/>
            <w:webHidden/>
            <w:kern w:val="2"/>
            <w:sz w:val="24"/>
            <w:szCs w:val="24"/>
            <w:rtl/>
            <w14:ligatures w14:val="standardContextual"/>
          </w:rPr>
          <w:tab/>
        </w:r>
        <w:r w:rsidRPr="00CB373C">
          <w:rPr>
            <w:rFonts w:ascii="Traditional Arabic" w:eastAsia="Aptos" w:hAnsi="Traditional Arabic" w:cs="Traditional Arabic"/>
            <w:noProof/>
            <w:color w:val="467886"/>
            <w:kern w:val="2"/>
            <w:sz w:val="24"/>
            <w:szCs w:val="24"/>
            <w:u w:val="single"/>
            <w:rtl/>
            <w14:ligatures w14:val="standardContextual"/>
          </w:rPr>
          <w:fldChar w:fldCharType="begin"/>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webHidden/>
            <w:kern w:val="2"/>
            <w:sz w:val="24"/>
            <w:szCs w:val="24"/>
            <w14:ligatures w14:val="standardContextual"/>
          </w:rPr>
          <w:instrText>PAGEREF</w:instrText>
        </w:r>
        <w:r w:rsidRPr="00CB373C">
          <w:rPr>
            <w:rFonts w:ascii="Traditional Arabic" w:eastAsia="Aptos" w:hAnsi="Traditional Arabic" w:cs="Traditional Arabic"/>
            <w:noProof/>
            <w:webHidden/>
            <w:kern w:val="2"/>
            <w:sz w:val="24"/>
            <w:szCs w:val="24"/>
            <w:rtl/>
            <w14:ligatures w14:val="standardContextual"/>
          </w:rPr>
          <w:instrText xml:space="preserve"> _</w:instrText>
        </w:r>
        <w:r w:rsidRPr="00CB373C">
          <w:rPr>
            <w:rFonts w:ascii="Traditional Arabic" w:eastAsia="Aptos" w:hAnsi="Traditional Arabic" w:cs="Traditional Arabic"/>
            <w:noProof/>
            <w:webHidden/>
            <w:kern w:val="2"/>
            <w:sz w:val="24"/>
            <w:szCs w:val="24"/>
            <w14:ligatures w14:val="standardContextual"/>
          </w:rPr>
          <w:instrText>Toc222423580 \h</w:instrText>
        </w:r>
        <w:r w:rsidRPr="00CB373C">
          <w:rPr>
            <w:rFonts w:ascii="Traditional Arabic" w:eastAsia="Aptos" w:hAnsi="Traditional Arabic" w:cs="Traditional Arabic"/>
            <w:noProof/>
            <w:webHidden/>
            <w:kern w:val="2"/>
            <w:sz w:val="24"/>
            <w:szCs w:val="24"/>
            <w:rtl/>
            <w14:ligatures w14:val="standardContextual"/>
          </w:rPr>
          <w:instrText xml:space="preserve"> </w:instrText>
        </w:r>
        <w:r w:rsidRPr="00CB373C">
          <w:rPr>
            <w:rFonts w:ascii="Traditional Arabic" w:eastAsia="Aptos" w:hAnsi="Traditional Arabic" w:cs="Traditional Arabic"/>
            <w:noProof/>
            <w:color w:val="467886"/>
            <w:kern w:val="2"/>
            <w:sz w:val="24"/>
            <w:szCs w:val="24"/>
            <w:u w:val="single"/>
            <w:rtl/>
            <w14:ligatures w14:val="standardContextual"/>
          </w:rPr>
        </w:r>
        <w:r w:rsidRPr="00CB373C">
          <w:rPr>
            <w:rFonts w:ascii="Traditional Arabic" w:eastAsia="Aptos" w:hAnsi="Traditional Arabic" w:cs="Traditional Arabic"/>
            <w:noProof/>
            <w:color w:val="467886"/>
            <w:kern w:val="2"/>
            <w:sz w:val="24"/>
            <w:szCs w:val="24"/>
            <w:u w:val="single"/>
            <w:rtl/>
            <w14:ligatures w14:val="standardContextual"/>
          </w:rPr>
          <w:fldChar w:fldCharType="separate"/>
        </w:r>
        <w:r w:rsidRPr="00CB373C">
          <w:rPr>
            <w:rFonts w:ascii="Traditional Arabic" w:eastAsia="Aptos" w:hAnsi="Traditional Arabic" w:cs="Traditional Arabic"/>
            <w:noProof/>
            <w:webHidden/>
            <w:kern w:val="2"/>
            <w:sz w:val="24"/>
            <w:szCs w:val="24"/>
            <w:rtl/>
            <w14:ligatures w14:val="standardContextual"/>
          </w:rPr>
          <w:t>38</w:t>
        </w:r>
        <w:r w:rsidRPr="00CB373C">
          <w:rPr>
            <w:rFonts w:ascii="Traditional Arabic" w:eastAsia="Aptos" w:hAnsi="Traditional Arabic" w:cs="Traditional Arabic"/>
            <w:noProof/>
            <w:color w:val="467886"/>
            <w:kern w:val="2"/>
            <w:sz w:val="24"/>
            <w:szCs w:val="24"/>
            <w:u w:val="single"/>
            <w:rtl/>
            <w14:ligatures w14:val="standardContextual"/>
          </w:rPr>
          <w:fldChar w:fldCharType="end"/>
        </w:r>
      </w:hyperlink>
    </w:p>
    <w:p w14:paraId="3F8437B7" w14:textId="77777777" w:rsidR="00CB373C" w:rsidRPr="00CB373C" w:rsidRDefault="00CB373C" w:rsidP="00CB373C">
      <w:pPr>
        <w:bidi/>
        <w:spacing w:after="0"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fldChar w:fldCharType="end"/>
      </w:r>
    </w:p>
    <w:p w14:paraId="4E5A45BD"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783250D4"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3D53C7CE"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52250E2A"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729D4369"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16301167"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4D18527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391F9178"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0B1C68F6"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5BF359F7" w14:textId="77777777" w:rsidR="00CB373C" w:rsidRPr="00CB373C" w:rsidRDefault="00CB373C" w:rsidP="00CB373C">
      <w:pPr>
        <w:keepNext/>
        <w:keepLines/>
        <w:bidi/>
        <w:spacing w:before="360" w:after="80" w:line="278" w:lineRule="auto"/>
        <w:jc w:val="center"/>
        <w:outlineLvl w:val="0"/>
        <w:rPr>
          <w:rFonts w:ascii="Traditional Arabic" w:eastAsia="Times New Roman" w:hAnsi="Traditional Arabic" w:cs="Traditional Arabic"/>
          <w:b/>
          <w:bCs/>
          <w:color w:val="000000"/>
          <w:kern w:val="2"/>
          <w:sz w:val="40"/>
          <w:szCs w:val="40"/>
          <w:rtl/>
          <w:lang w:bidi="ar-EG"/>
          <w14:ligatures w14:val="standardContextual"/>
        </w:rPr>
      </w:pPr>
      <w:bookmarkStart w:id="34" w:name="_Toc222423535"/>
      <w:r w:rsidRPr="00CB373C">
        <w:rPr>
          <w:rFonts w:ascii="Traditional Arabic" w:eastAsia="Times New Roman" w:hAnsi="Traditional Arabic" w:cs="Traditional Arabic"/>
          <w:b/>
          <w:bCs/>
          <w:color w:val="000000"/>
          <w:kern w:val="2"/>
          <w:sz w:val="40"/>
          <w:szCs w:val="40"/>
          <w:rtl/>
          <w:lang w:bidi="ar-EG"/>
          <w14:ligatures w14:val="standardContextual"/>
        </w:rPr>
        <w:lastRenderedPageBreak/>
        <w:t>الفصل الثاني: الإطار النظري والدراسات السابقة</w:t>
      </w:r>
      <w:bookmarkEnd w:id="34"/>
    </w:p>
    <w:p w14:paraId="21CF4634" w14:textId="77777777" w:rsidR="00CB373C" w:rsidRPr="00CB373C" w:rsidRDefault="00CB373C" w:rsidP="00CB373C">
      <w:pPr>
        <w:keepNext/>
        <w:keepLines/>
        <w:bidi/>
        <w:spacing w:before="360" w:after="80" w:line="278" w:lineRule="auto"/>
        <w:ind w:left="432" w:hanging="432"/>
        <w:outlineLvl w:val="0"/>
        <w:rPr>
          <w:rFonts w:ascii="Traditional Arabic" w:eastAsia="Times New Roman" w:hAnsi="Traditional Arabic" w:cs="Traditional Arabic"/>
          <w:vanish/>
          <w:color w:val="0F4761"/>
          <w:kern w:val="2"/>
          <w:sz w:val="40"/>
          <w:szCs w:val="40"/>
          <w:rtl/>
          <w:lang w:bidi="ar-EG"/>
          <w14:ligatures w14:val="standardContextual"/>
        </w:rPr>
      </w:pPr>
      <w:bookmarkStart w:id="35" w:name="_Toc222423536"/>
      <w:bookmarkEnd w:id="35"/>
    </w:p>
    <w:p w14:paraId="27C4FAD4" w14:textId="77777777" w:rsidR="00CB373C" w:rsidRPr="00CB373C" w:rsidRDefault="00CB373C" w:rsidP="00CB373C">
      <w:pPr>
        <w:keepNext/>
        <w:keepLines/>
        <w:bidi/>
        <w:spacing w:before="360" w:after="80" w:line="278" w:lineRule="auto"/>
        <w:ind w:left="432" w:hanging="432"/>
        <w:outlineLvl w:val="0"/>
        <w:rPr>
          <w:rFonts w:ascii="Traditional Arabic" w:eastAsia="Times New Roman" w:hAnsi="Traditional Arabic" w:cs="Traditional Arabic"/>
          <w:vanish/>
          <w:color w:val="0F4761"/>
          <w:kern w:val="2"/>
          <w:sz w:val="40"/>
          <w:szCs w:val="40"/>
          <w:rtl/>
          <w:lang w:bidi="ar-EG"/>
          <w14:ligatures w14:val="standardContextual"/>
        </w:rPr>
      </w:pPr>
      <w:bookmarkStart w:id="36" w:name="_Toc222423537"/>
      <w:bookmarkEnd w:id="36"/>
    </w:p>
    <w:p w14:paraId="4AD76ADC" w14:textId="77777777" w:rsidR="00CB373C" w:rsidRPr="00CB373C" w:rsidRDefault="00CB373C" w:rsidP="00CB373C">
      <w:pPr>
        <w:keepNext/>
        <w:keepLines/>
        <w:numPr>
          <w:ilvl w:val="1"/>
          <w:numId w:val="0"/>
        </w:numPr>
        <w:bidi/>
        <w:spacing w:before="160" w:after="80" w:line="278" w:lineRule="auto"/>
        <w:ind w:left="576" w:hanging="576"/>
        <w:outlineLvl w:val="1"/>
        <w:rPr>
          <w:rFonts w:ascii="Traditional Arabic" w:eastAsia="Times New Roman" w:hAnsi="Traditional Arabic" w:cs="Traditional Arabic"/>
          <w:b/>
          <w:bCs/>
          <w:color w:val="000000"/>
          <w:kern w:val="2"/>
          <w:sz w:val="32"/>
          <w:szCs w:val="32"/>
          <w:rtl/>
          <w:lang w:bidi="ar-EG"/>
          <w14:ligatures w14:val="standardContextual"/>
        </w:rPr>
      </w:pPr>
      <w:bookmarkStart w:id="37" w:name="_Toc222423538"/>
      <w:r w:rsidRPr="00CB373C">
        <w:rPr>
          <w:rFonts w:ascii="Traditional Arabic" w:eastAsia="Times New Roman" w:hAnsi="Traditional Arabic" w:cs="Traditional Arabic"/>
          <w:b/>
          <w:bCs/>
          <w:color w:val="000000"/>
          <w:kern w:val="2"/>
          <w:sz w:val="32"/>
          <w:szCs w:val="32"/>
          <w:rtl/>
          <w:lang w:bidi="ar-EG"/>
          <w14:ligatures w14:val="standardContextual"/>
        </w:rPr>
        <w:t>المقدمة</w:t>
      </w:r>
      <w:bookmarkEnd w:id="37"/>
    </w:p>
    <w:p w14:paraId="452B5D94"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يهدف هذا الفصل إلى بناء الأساس النظري والتحليلي الذي تستند إليه الدراسة في تفسير العلاقات بين متغيراتها الرئيسة في سياق المصارف العاملة بمدينة الرياض، وذلك من خلال محورين متكاملين: الإطار النظري الذي يعرّف المفاهيم ويوضح أبعادها وآليات تأثيرها، ثم الدراسات السابقة التي ترصد ما توصلت إليه الأدبيات الحديثة وتكشف الفجوات التي تسعى هذه الدراسة إلى سدها. وتنبع أهمية هذا الفصل من كونه يقدّم المنطق التفسيري لمسارات النموذج المقترح واختبار فروضه (</w:t>
      </w:r>
      <w:r w:rsidRPr="00CB373C">
        <w:rPr>
          <w:rFonts w:ascii="Traditional Arabic" w:eastAsia="Aptos" w:hAnsi="Traditional Arabic" w:cs="Traditional Arabic"/>
          <w:kern w:val="2"/>
          <w:sz w:val="28"/>
          <w:szCs w:val="28"/>
          <w:lang w:bidi="ar-EG"/>
          <w14:ligatures w14:val="standardContextual"/>
        </w:rPr>
        <w:t>H1–H4</w:t>
      </w:r>
      <w:r w:rsidRPr="00CB373C">
        <w:rPr>
          <w:rFonts w:ascii="Traditional Arabic" w:eastAsia="Aptos" w:hAnsi="Traditional Arabic" w:cs="Traditional Arabic"/>
          <w:kern w:val="2"/>
          <w:sz w:val="28"/>
          <w:szCs w:val="28"/>
          <w:rtl/>
          <w:lang w:bidi="ar-EG"/>
          <w14:ligatures w14:val="standardContextual"/>
        </w:rPr>
        <w:t>)، بما يضمن اتساقاً منهجياً بين الإطار المفاهيمي وأداة القياس والتحليل الإحصائي في الفصول اللاحقة.</w:t>
      </w:r>
    </w:p>
    <w:p w14:paraId="2BB1C092"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يرتكز منطق الفصل على أن القيمة التنظيمية لأنظمة ذكاء الأعمال لا تتحقق بمجرد وجودها تقنياً داخل المصرف، بل تتشكل فعلياً عندما يقبلها المديرون ويتبنون استخدامها ضمن عمليات التفكير الاستراتيجي وصنع القرار. لذلك فإن المتغير المستقل في هذه الدراسة هو قبول أنظمة ذكاء الأعمال وفق نموذج قبول التكنولوجيا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وليس توفر ذكاء الأعمال بصفته بنية تقنية. ويُفهم القبول هنا باعتباره إدراكاً سلوكياً-إدراكياً يتمثل في الفائدة المدركة وسهولة الاستخدام المدركة ونية الاستخدام، وهو ما يجعل مخرجات ذكاء الأعمال قابلة للتحويل إلى قرارات أكثر جودة.</w:t>
      </w:r>
    </w:p>
    <w:p w14:paraId="5D3577A8"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وبناءً على ذلك، يؤسس الفصل لمسارات الفروض على نحو مترابط: يوضح كيف يقود القبول إلى تحسين جودة القرارات الاستراتيجية (</w:t>
      </w:r>
      <w:r w:rsidRPr="00CB373C">
        <w:rPr>
          <w:rFonts w:ascii="Traditional Arabic" w:eastAsia="Aptos" w:hAnsi="Traditional Arabic" w:cs="Traditional Arabic"/>
          <w:kern w:val="2"/>
          <w:sz w:val="28"/>
          <w:szCs w:val="28"/>
          <w:lang w:bidi="ar-EG"/>
          <w14:ligatures w14:val="standardContextual"/>
        </w:rPr>
        <w:t>H1</w:t>
      </w:r>
      <w:r w:rsidRPr="00CB373C">
        <w:rPr>
          <w:rFonts w:ascii="Traditional Arabic" w:eastAsia="Aptos" w:hAnsi="Traditional Arabic" w:cs="Traditional Arabic"/>
          <w:kern w:val="2"/>
          <w:sz w:val="28"/>
          <w:szCs w:val="28"/>
          <w:rtl/>
          <w:lang w:bidi="ar-EG"/>
          <w14:ligatures w14:val="standardContextual"/>
        </w:rPr>
        <w:t>)، وكيف تنعكس جودة القرارات على الابتكار التنظيمي (</w:t>
      </w:r>
      <w:r w:rsidRPr="00CB373C">
        <w:rPr>
          <w:rFonts w:ascii="Traditional Arabic" w:eastAsia="Aptos" w:hAnsi="Traditional Arabic" w:cs="Traditional Arabic"/>
          <w:kern w:val="2"/>
          <w:sz w:val="28"/>
          <w:szCs w:val="28"/>
          <w:lang w:bidi="ar-EG"/>
          <w14:ligatures w14:val="standardContextual"/>
        </w:rPr>
        <w:t>H2</w:t>
      </w:r>
      <w:r w:rsidRPr="00CB373C">
        <w:rPr>
          <w:rFonts w:ascii="Traditional Arabic" w:eastAsia="Aptos" w:hAnsi="Traditional Arabic" w:cs="Traditional Arabic"/>
          <w:kern w:val="2"/>
          <w:sz w:val="28"/>
          <w:szCs w:val="28"/>
          <w:rtl/>
          <w:lang w:bidi="ar-EG"/>
          <w14:ligatures w14:val="standardContextual"/>
        </w:rPr>
        <w:t>)، وكيف يمكن أن يظهر أثر مباشر للقبول على الابتكار (</w:t>
      </w:r>
      <w:r w:rsidRPr="00CB373C">
        <w:rPr>
          <w:rFonts w:ascii="Traditional Arabic" w:eastAsia="Aptos" w:hAnsi="Traditional Arabic" w:cs="Traditional Arabic"/>
          <w:kern w:val="2"/>
          <w:sz w:val="28"/>
          <w:szCs w:val="28"/>
          <w:lang w:bidi="ar-EG"/>
          <w14:ligatures w14:val="standardContextual"/>
        </w:rPr>
        <w:t>H3</w:t>
      </w:r>
      <w:r w:rsidRPr="00CB373C">
        <w:rPr>
          <w:rFonts w:ascii="Traditional Arabic" w:eastAsia="Aptos" w:hAnsi="Traditional Arabic" w:cs="Traditional Arabic"/>
          <w:kern w:val="2"/>
          <w:sz w:val="28"/>
          <w:szCs w:val="28"/>
          <w:rtl/>
          <w:lang w:bidi="ar-EG"/>
          <w14:ligatures w14:val="standardContextual"/>
        </w:rPr>
        <w:t>)، ثم يفسر منطق الوساطة الذي يجعل جودة القرارات قناة رئيسة لانتقال أثر القبول إلى الابتكار (</w:t>
      </w:r>
      <w:r w:rsidRPr="00CB373C">
        <w:rPr>
          <w:rFonts w:ascii="Traditional Arabic" w:eastAsia="Aptos" w:hAnsi="Traditional Arabic" w:cs="Traditional Arabic"/>
          <w:kern w:val="2"/>
          <w:sz w:val="28"/>
          <w:szCs w:val="28"/>
          <w:lang w:bidi="ar-EG"/>
          <w14:ligatures w14:val="standardContextual"/>
        </w:rPr>
        <w:t>H4</w:t>
      </w:r>
      <w:r w:rsidRPr="00CB373C">
        <w:rPr>
          <w:rFonts w:ascii="Traditional Arabic" w:eastAsia="Aptos" w:hAnsi="Traditional Arabic" w:cs="Traditional Arabic"/>
          <w:kern w:val="2"/>
          <w:sz w:val="28"/>
          <w:szCs w:val="28"/>
          <w:rtl/>
          <w:lang w:bidi="ar-EG"/>
          <w14:ligatures w14:val="standardContextual"/>
        </w:rPr>
        <w:t>). ويختلف هذا الفصل عن الفصل الأول في أنه لا يعرض المشكلة والأهداف والأسئلة فقط، بل يقدم الإطار النظري والمراجعة النقدية التي تبرر النموذج وتدعمه علمياً.</w:t>
      </w:r>
    </w:p>
    <w:p w14:paraId="673C40F8" w14:textId="77777777" w:rsidR="00CB373C" w:rsidRPr="00CB373C" w:rsidRDefault="00CB373C" w:rsidP="00CB373C">
      <w:pPr>
        <w:keepNext/>
        <w:keepLines/>
        <w:numPr>
          <w:ilvl w:val="1"/>
          <w:numId w:val="0"/>
        </w:numPr>
        <w:bidi/>
        <w:spacing w:before="160" w:after="80" w:line="278" w:lineRule="auto"/>
        <w:ind w:left="576" w:hanging="576"/>
        <w:outlineLvl w:val="1"/>
        <w:rPr>
          <w:rFonts w:ascii="Traditional Arabic" w:eastAsia="Times New Roman" w:hAnsi="Traditional Arabic" w:cs="Traditional Arabic"/>
          <w:b/>
          <w:bCs/>
          <w:color w:val="000000"/>
          <w:kern w:val="2"/>
          <w:sz w:val="32"/>
          <w:szCs w:val="32"/>
          <w:rtl/>
          <w:lang w:bidi="ar-EG"/>
          <w14:ligatures w14:val="standardContextual"/>
        </w:rPr>
      </w:pPr>
      <w:bookmarkStart w:id="38" w:name="_Toc222423539"/>
      <w:r w:rsidRPr="00CB373C">
        <w:rPr>
          <w:rFonts w:ascii="Traditional Arabic" w:eastAsia="Times New Roman" w:hAnsi="Traditional Arabic" w:cs="Traditional Arabic"/>
          <w:b/>
          <w:bCs/>
          <w:color w:val="000000"/>
          <w:kern w:val="2"/>
          <w:sz w:val="32"/>
          <w:szCs w:val="32"/>
          <w:rtl/>
          <w:lang w:bidi="ar-EG"/>
          <w14:ligatures w14:val="standardContextual"/>
        </w:rPr>
        <w:t>السياق المصرفي السعودي والتحول الرقمي كبيئة حاكمة للدراسة</w:t>
      </w:r>
      <w:bookmarkEnd w:id="38"/>
    </w:p>
    <w:p w14:paraId="0D955B3D" w14:textId="77777777" w:rsidR="00CB373C" w:rsidRPr="00CB373C" w:rsidRDefault="00CB373C" w:rsidP="00CB373C">
      <w:pPr>
        <w:keepNext/>
        <w:keepLines/>
        <w:numPr>
          <w:ilvl w:val="2"/>
          <w:numId w:val="0"/>
        </w:numPr>
        <w:bidi/>
        <w:spacing w:before="160" w:after="80" w:line="278" w:lineRule="auto"/>
        <w:ind w:left="720" w:hanging="720"/>
        <w:outlineLvl w:val="2"/>
        <w:rPr>
          <w:rFonts w:ascii="Traditional Arabic" w:eastAsia="Times New Roman" w:hAnsi="Traditional Arabic" w:cs="Traditional Arabic"/>
          <w:b/>
          <w:bCs/>
          <w:color w:val="000000"/>
          <w:kern w:val="2"/>
          <w:sz w:val="28"/>
          <w:szCs w:val="28"/>
          <w:rtl/>
          <w:lang w:bidi="ar-EG"/>
          <w14:ligatures w14:val="standardContextual"/>
        </w:rPr>
      </w:pPr>
      <w:bookmarkStart w:id="39" w:name="_Toc222423540"/>
      <w:r w:rsidRPr="00CB373C">
        <w:rPr>
          <w:rFonts w:ascii="Traditional Arabic" w:eastAsia="Times New Roman" w:hAnsi="Traditional Arabic" w:cs="Traditional Arabic"/>
          <w:b/>
          <w:bCs/>
          <w:color w:val="000000"/>
          <w:kern w:val="2"/>
          <w:sz w:val="28"/>
          <w:szCs w:val="28"/>
          <w:rtl/>
          <w:lang w:bidi="ar-EG"/>
          <w14:ligatures w14:val="standardContextual"/>
        </w:rPr>
        <w:t>التحول الرقمي في القطاع المالي السعودي: من رقمنة القنوات إلى إعادة تشكيل نموذج الأعمال</w:t>
      </w:r>
      <w:bookmarkEnd w:id="39"/>
    </w:p>
    <w:p w14:paraId="35D9F147"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شهد القطاع المالي السعودي خلال السنوات الأخيرة تحولاً رقمياً متسارعاً لم يعد مقتصراً على نقل الخدمات إلى قنوات إلكترونية، بل اتجه نحو إعادة تنظيم طريقة إنتاج الخدمة المالية وتوزيعها وإدارتها داخل المصارف. ويتجلى ذلك في توسع الخدمات المصرفية الرقمية، وتنامي الاعتماد على التطبيقات والمنصات، وتزايد الطلب على حلول مدفوعات أكثر مرونة وأماناً، وهو ما خلق بيئة تنافسية تتقدم فيها المؤسسات القادرة على توظيف البيانات والتحليلات بسرعة وفاعلية (</w:t>
      </w:r>
      <w:proofErr w:type="spellStart"/>
      <w:r w:rsidRPr="00CB373C">
        <w:rPr>
          <w:rFonts w:ascii="Traditional Arabic" w:eastAsia="Aptos" w:hAnsi="Traditional Arabic" w:cs="Traditional Arabic"/>
          <w:kern w:val="2"/>
          <w:sz w:val="28"/>
          <w:szCs w:val="28"/>
          <w:lang w:bidi="ar-EG"/>
          <w14:ligatures w14:val="standardContextual"/>
        </w:rPr>
        <w:t>Alnemer</w:t>
      </w:r>
      <w:proofErr w:type="spellEnd"/>
      <w:r w:rsidRPr="00CB373C">
        <w:rPr>
          <w:rFonts w:ascii="Traditional Arabic" w:eastAsia="Aptos" w:hAnsi="Traditional Arabic" w:cs="Traditional Arabic"/>
          <w:kern w:val="2"/>
          <w:sz w:val="28"/>
          <w:szCs w:val="28"/>
          <w:lang w:bidi="ar-EG"/>
          <w14:ligatures w14:val="standardContextual"/>
        </w:rPr>
        <w:t>, 2022</w:t>
      </w:r>
      <w:r w:rsidRPr="00CB373C">
        <w:rPr>
          <w:rFonts w:ascii="Traditional Arabic" w:eastAsia="Aptos" w:hAnsi="Traditional Arabic" w:cs="Traditional Arabic"/>
          <w:kern w:val="2"/>
          <w:sz w:val="28"/>
          <w:szCs w:val="28"/>
          <w:rtl/>
          <w:lang w:bidi="ar-EG"/>
          <w14:ligatures w14:val="standardContextual"/>
        </w:rPr>
        <w:t>). وفي هذا السياق، لا تُقرأ الرقمنة باعتبارها مشروع تقنية منفصل، وإنما كتغيير مؤسسي يمسّ العمليات، وتجربة العميل، وسلاسل القيمة، ومعايير السرعة والجودة في اتخاذ القرار. كما أن التحول الرقمي على مستوى المملكة ارتبط بتركيز واضح على تطوير البنية التحتية للاتصالات وتقنية المعلومات وتمكين الجهات من دمج البيانات وتحسين الخدمات، بما يوفر قاعدة عامة داعمة لتحديث القطاع المالي وتوسيع نطاق الخدمات الرقمية</w:t>
      </w:r>
      <w:r w:rsidRPr="00CB373C">
        <w:rPr>
          <w:rFonts w:ascii="Traditional Arabic" w:eastAsia="Aptos" w:hAnsi="Traditional Arabic" w:cs="Traditional Arabic"/>
          <w:kern w:val="2"/>
          <w:sz w:val="28"/>
          <w:szCs w:val="28"/>
          <w:rtl/>
          <w:lang w:bidi="ar-EG"/>
          <w14:ligatures w14:val="standardContextual"/>
        </w:rPr>
        <w:br/>
        <w:t>(حسن والغبيري، 2020).</w:t>
      </w:r>
    </w:p>
    <w:p w14:paraId="0509FA87" w14:textId="77777777" w:rsidR="00CB373C" w:rsidRPr="00CB373C" w:rsidRDefault="00CB373C" w:rsidP="00CB373C">
      <w:pPr>
        <w:keepNext/>
        <w:keepLines/>
        <w:numPr>
          <w:ilvl w:val="2"/>
          <w:numId w:val="0"/>
        </w:numPr>
        <w:bidi/>
        <w:spacing w:before="160" w:after="80" w:line="278" w:lineRule="auto"/>
        <w:ind w:left="720" w:hanging="720"/>
        <w:outlineLvl w:val="2"/>
        <w:rPr>
          <w:rFonts w:ascii="Traditional Arabic" w:eastAsia="Times New Roman" w:hAnsi="Traditional Arabic" w:cs="Traditional Arabic"/>
          <w:b/>
          <w:bCs/>
          <w:color w:val="000000"/>
          <w:kern w:val="2"/>
          <w:sz w:val="28"/>
          <w:szCs w:val="28"/>
          <w:rtl/>
          <w:lang w:bidi="ar-EG"/>
          <w14:ligatures w14:val="standardContextual"/>
        </w:rPr>
      </w:pPr>
      <w:bookmarkStart w:id="40" w:name="_Toc222423541"/>
      <w:r w:rsidRPr="00CB373C">
        <w:rPr>
          <w:rFonts w:ascii="Traditional Arabic" w:eastAsia="Times New Roman" w:hAnsi="Traditional Arabic" w:cs="Traditional Arabic"/>
          <w:b/>
          <w:bCs/>
          <w:color w:val="000000"/>
          <w:kern w:val="2"/>
          <w:sz w:val="28"/>
          <w:szCs w:val="28"/>
          <w:rtl/>
          <w:lang w:bidi="ar-EG"/>
          <w14:ligatures w14:val="standardContextual"/>
        </w:rPr>
        <w:lastRenderedPageBreak/>
        <w:t>الدور التنظيمي في تمكين الابتكار مع ضبط المخاطر</w:t>
      </w:r>
      <w:bookmarkEnd w:id="40"/>
    </w:p>
    <w:p w14:paraId="6ADCB654"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تكتسب الجهات التنظيمية في السعودية دوراً مركباً في سياق التحول الرقمي؛ فهي من ناحية تدفع مسار الابتكار عبر تهيئة بيئة مناسبة لظهور حلول تقنية مالية جديدة، ومن ناحية أخرى تُعنى بحوكمة المخاطر المرتبطة بالأمن السيبراني والامتثال وحماية المستهلك. وتشير الأدبيات التي تناولت تبني التقنية المالية في البنوك السعودية إلى أن دعم التنظيمات الحكومية يمثل عاملاً بيئياً مؤثراً في تسريع تبني الحلول الرقمية، وأن نضج البنية الرقمية داخل المصارف يضاعف أثر هذا الدعم على قرارات</w:t>
      </w:r>
      <w:r w:rsidRPr="00CB373C">
        <w:rPr>
          <w:rFonts w:ascii="Traditional Arabic" w:eastAsia="Aptos" w:hAnsi="Traditional Arabic" w:cs="Traditional Arabic"/>
          <w:kern w:val="2"/>
          <w:sz w:val="28"/>
          <w:szCs w:val="28"/>
          <w:rtl/>
          <w:lang w:bidi="ar-EG"/>
          <w14:ligatures w14:val="standardContextual"/>
        </w:rPr>
        <w:br/>
        <w:t>التبني (</w:t>
      </w:r>
      <w:proofErr w:type="spellStart"/>
      <w:r w:rsidRPr="00CB373C">
        <w:rPr>
          <w:rFonts w:ascii="Traditional Arabic" w:eastAsia="Aptos" w:hAnsi="Traditional Arabic" w:cs="Traditional Arabic"/>
          <w:kern w:val="2"/>
          <w:sz w:val="28"/>
          <w:szCs w:val="28"/>
          <w:lang w:bidi="ar-EG"/>
          <w14:ligatures w14:val="standardContextual"/>
        </w:rPr>
        <w:t>Alrsheedi</w:t>
      </w:r>
      <w:proofErr w:type="spellEnd"/>
      <w:r w:rsidRPr="00CB373C">
        <w:rPr>
          <w:rFonts w:ascii="Traditional Arabic" w:eastAsia="Aptos" w:hAnsi="Traditional Arabic" w:cs="Traditional Arabic"/>
          <w:kern w:val="2"/>
          <w:sz w:val="28"/>
          <w:szCs w:val="28"/>
          <w:lang w:bidi="ar-EG"/>
          <w14:ligatures w14:val="standardContextual"/>
        </w:rPr>
        <w:t xml:space="preserve"> et al., 2025</w:t>
      </w:r>
      <w:r w:rsidRPr="00CB373C">
        <w:rPr>
          <w:rFonts w:ascii="Traditional Arabic" w:eastAsia="Aptos" w:hAnsi="Traditional Arabic" w:cs="Traditional Arabic"/>
          <w:kern w:val="2"/>
          <w:sz w:val="28"/>
          <w:szCs w:val="28"/>
          <w:rtl/>
          <w:lang w:bidi="ar-EG"/>
          <w14:ligatures w14:val="standardContextual"/>
        </w:rPr>
        <w:t>). وعلى المستوى البنيوي لمنظومة التقنية المالية، تبرز أهمية التنسيق بين الجهات المنظمة والقطاع المالي في ترخيص الأنشطة وتوجيهها؛ إذ توضح دراسة منظومة التقنية المالية في السعودية أن جزءاً كبيراً من الشركات العاملة يقع تحت إشراف الجهات التنظيمية (مثل البنك المركزي وهيئة السوق المالية والجهات المرتبطة بالمدفوعات)، بما يعكس حضوراً تنظيمياً مباشراً في تشكيل السوق وديناميكيته (الجارالله، 2025). كما أن إدخال أطر حديثة مثل المصرفية المفتوحة يقدم مثالاً واضحاً على التنظيم بوصفه أداة تمكين؛ فقد أظهرت دراسة عن تجربة المصرفية المفتوحة في السعودية أن إطلاق إطار المصرفية المفتوحة عام 2022 جاء ضمن توجهات التحول المرتبطة برؤية 2030 مع هدف معلن يتمثل في تطوير قطاع المدفوعات وتعزيز موقع المملكة ضمن خارطة التقنية المالية (</w:t>
      </w:r>
      <w:proofErr w:type="spellStart"/>
      <w:r w:rsidRPr="00CB373C">
        <w:rPr>
          <w:rFonts w:ascii="Traditional Arabic" w:eastAsia="Aptos" w:hAnsi="Traditional Arabic" w:cs="Traditional Arabic"/>
          <w:kern w:val="2"/>
          <w:sz w:val="28"/>
          <w:szCs w:val="28"/>
          <w:lang w:bidi="ar-EG"/>
          <w14:ligatures w14:val="standardContextual"/>
        </w:rPr>
        <w:t>Mutambik</w:t>
      </w:r>
      <w:proofErr w:type="spellEnd"/>
      <w:r w:rsidRPr="00CB373C">
        <w:rPr>
          <w:rFonts w:ascii="Traditional Arabic" w:eastAsia="Aptos" w:hAnsi="Traditional Arabic" w:cs="Traditional Arabic"/>
          <w:kern w:val="2"/>
          <w:sz w:val="28"/>
          <w:szCs w:val="28"/>
          <w:lang w:bidi="ar-EG"/>
          <w14:ligatures w14:val="standardContextual"/>
        </w:rPr>
        <w:t>, 2023</w:t>
      </w:r>
      <w:r w:rsidRPr="00CB373C">
        <w:rPr>
          <w:rFonts w:ascii="Traditional Arabic" w:eastAsia="Aptos" w:hAnsi="Traditional Arabic" w:cs="Traditional Arabic"/>
          <w:kern w:val="2"/>
          <w:sz w:val="28"/>
          <w:szCs w:val="28"/>
          <w:rtl/>
          <w:lang w:bidi="ar-EG"/>
          <w14:ligatures w14:val="standardContextual"/>
        </w:rPr>
        <w:t>).</w:t>
      </w:r>
    </w:p>
    <w:p w14:paraId="304B9194" w14:textId="77777777" w:rsidR="00CB373C" w:rsidRPr="00CB373C" w:rsidRDefault="00CB373C" w:rsidP="00CB373C">
      <w:pPr>
        <w:keepNext/>
        <w:keepLines/>
        <w:numPr>
          <w:ilvl w:val="2"/>
          <w:numId w:val="0"/>
        </w:numPr>
        <w:bidi/>
        <w:spacing w:before="160" w:after="80" w:line="278" w:lineRule="auto"/>
        <w:ind w:left="720" w:hanging="720"/>
        <w:outlineLvl w:val="2"/>
        <w:rPr>
          <w:rFonts w:ascii="Traditional Arabic" w:eastAsia="Times New Roman" w:hAnsi="Traditional Arabic" w:cs="Traditional Arabic"/>
          <w:b/>
          <w:bCs/>
          <w:color w:val="000000"/>
          <w:kern w:val="2"/>
          <w:sz w:val="28"/>
          <w:szCs w:val="28"/>
          <w:rtl/>
          <w:lang w:bidi="ar-EG"/>
          <w14:ligatures w14:val="standardContextual"/>
        </w:rPr>
      </w:pPr>
      <w:bookmarkStart w:id="41" w:name="_Toc222423542"/>
      <w:r w:rsidRPr="00CB373C">
        <w:rPr>
          <w:rFonts w:ascii="Traditional Arabic" w:eastAsia="Times New Roman" w:hAnsi="Traditional Arabic" w:cs="Traditional Arabic"/>
          <w:b/>
          <w:bCs/>
          <w:color w:val="000000"/>
          <w:kern w:val="2"/>
          <w:sz w:val="28"/>
          <w:szCs w:val="28"/>
          <w:rtl/>
          <w:lang w:bidi="ar-EG"/>
          <w14:ligatures w14:val="standardContextual"/>
        </w:rPr>
        <w:t>الرياض كحاضنة مصرفية كثيفة البيانات والقرارات</w:t>
      </w:r>
      <w:bookmarkEnd w:id="41"/>
    </w:p>
    <w:p w14:paraId="5E1CA55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اختيار مدينة الرياض كسياق تطبيقي للدراسة لا يرتبط فقط بكونها العاصمة الإدارية، بل لأنها تمثل مركزاً تتقاطع فيه الإدارة العليا للمصارف، والمؤسسات الرقابية، والمشروعات الاقتصادية الكبرى، بما يجعلها بيئة تتسم بكثافة القرارات الاستراتيجية وتدفقات البيانات المرتبطة بها. ومن الناحية المكانية-الاقتصادية، تُعد حيادية المكان أقل حضوراً في القطاع المالي مقارنة بقطاعات أخرى؛ إذ تميل الأنشطة العليا (التخطيط، إدارة المخاطر، تطوير المنتجات، التحول الرقمي) إلى التركز حيث تتوافر الشبكات المؤسسية والقدرات البشرية والبنى الداعمة. ويعزز ذلك وجود مناطق أعمال مركزية حديثة في الرياض مثل حي الملك عبدالله المالي الذي يُوصف في الأدبيات الحضرية بأنه أحد أحدث مراكز الأعمال المركزية في المدينة، بما يعكس اتجاهاً نحو تعميق الدور المالي والاقتصادي للرياض بوصفها قلباً مؤسسياً تتجمع فيه وظائف الأعمال المتقدمة (</w:t>
      </w:r>
      <w:r w:rsidRPr="00CB373C">
        <w:rPr>
          <w:rFonts w:ascii="Traditional Arabic" w:eastAsia="Aptos" w:hAnsi="Traditional Arabic" w:cs="Traditional Arabic"/>
          <w:kern w:val="2"/>
          <w:sz w:val="28"/>
          <w:szCs w:val="28"/>
          <w:lang w:bidi="ar-EG"/>
          <w14:ligatures w14:val="standardContextual"/>
        </w:rPr>
        <w:t xml:space="preserve">Abdelfattah &amp; </w:t>
      </w:r>
      <w:proofErr w:type="spellStart"/>
      <w:r w:rsidRPr="00CB373C">
        <w:rPr>
          <w:rFonts w:ascii="Traditional Arabic" w:eastAsia="Aptos" w:hAnsi="Traditional Arabic" w:cs="Traditional Arabic"/>
          <w:kern w:val="2"/>
          <w:sz w:val="28"/>
          <w:szCs w:val="28"/>
          <w:lang w:bidi="ar-EG"/>
          <w14:ligatures w14:val="standardContextual"/>
        </w:rPr>
        <w:t>Nasreldin</w:t>
      </w:r>
      <w:proofErr w:type="spellEnd"/>
      <w:r w:rsidRPr="00CB373C">
        <w:rPr>
          <w:rFonts w:ascii="Traditional Arabic" w:eastAsia="Aptos" w:hAnsi="Traditional Arabic" w:cs="Traditional Arabic"/>
          <w:kern w:val="2"/>
          <w:sz w:val="28"/>
          <w:szCs w:val="28"/>
          <w:lang w:bidi="ar-EG"/>
          <w14:ligatures w14:val="standardContextual"/>
        </w:rPr>
        <w:t>, 2025</w:t>
      </w:r>
      <w:r w:rsidRPr="00CB373C">
        <w:rPr>
          <w:rFonts w:ascii="Traditional Arabic" w:eastAsia="Aptos" w:hAnsi="Traditional Arabic" w:cs="Traditional Arabic"/>
          <w:kern w:val="2"/>
          <w:sz w:val="28"/>
          <w:szCs w:val="28"/>
          <w:rtl/>
          <w:lang w:bidi="ar-EG"/>
          <w14:ligatures w14:val="standardContextual"/>
        </w:rPr>
        <w:t>).</w:t>
      </w:r>
    </w:p>
    <w:p w14:paraId="0BFF0A5E" w14:textId="77777777" w:rsidR="00CB373C" w:rsidRPr="00CB373C" w:rsidRDefault="00CB373C" w:rsidP="00CB373C">
      <w:pPr>
        <w:keepNext/>
        <w:keepLines/>
        <w:numPr>
          <w:ilvl w:val="2"/>
          <w:numId w:val="0"/>
        </w:numPr>
        <w:bidi/>
        <w:spacing w:before="160" w:after="80" w:line="278" w:lineRule="auto"/>
        <w:ind w:left="720" w:hanging="720"/>
        <w:outlineLvl w:val="2"/>
        <w:rPr>
          <w:rFonts w:ascii="Traditional Arabic" w:eastAsia="Times New Roman" w:hAnsi="Traditional Arabic" w:cs="Traditional Arabic"/>
          <w:b/>
          <w:bCs/>
          <w:color w:val="000000"/>
          <w:kern w:val="2"/>
          <w:sz w:val="28"/>
          <w:szCs w:val="28"/>
          <w:rtl/>
          <w:lang w:bidi="ar-EG"/>
          <w14:ligatures w14:val="standardContextual"/>
        </w:rPr>
      </w:pPr>
      <w:bookmarkStart w:id="42" w:name="_Toc222423543"/>
      <w:r w:rsidRPr="00CB373C">
        <w:rPr>
          <w:rFonts w:ascii="Traditional Arabic" w:eastAsia="Times New Roman" w:hAnsi="Traditional Arabic" w:cs="Traditional Arabic"/>
          <w:b/>
          <w:bCs/>
          <w:color w:val="000000"/>
          <w:kern w:val="2"/>
          <w:sz w:val="28"/>
          <w:szCs w:val="28"/>
          <w:rtl/>
          <w:lang w:bidi="ar-EG"/>
          <w14:ligatures w14:val="standardContextual"/>
        </w:rPr>
        <w:t>تصاعد المدفوعات الرقمية ونمو منظومة التقنية المالية</w:t>
      </w:r>
      <w:bookmarkEnd w:id="42"/>
    </w:p>
    <w:p w14:paraId="523D67E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تدعم المؤشرات البحثية الخاصة بالسوق السعودي فرضية أن التحول الرقمي لم يعد هامشياً؛ فالدراسات التي تناولت سلوك تبني المدفوعات الإلكترونية في السعودية توصلت إلى أن تبني نظم الدفع يرتبط بعوامل تتقاطع مع جوهر نماذج القبول التقني، مثل المنفعة المتصورة وسهولة الاستخدام والثقة والأمان، وهي عوامل تتكرر في سياقات المدفوعات والتطبيقات البنكية (</w:t>
      </w:r>
      <w:r w:rsidRPr="00CB373C">
        <w:rPr>
          <w:rFonts w:ascii="Traditional Arabic" w:eastAsia="Aptos" w:hAnsi="Traditional Arabic" w:cs="Traditional Arabic"/>
          <w:kern w:val="2"/>
          <w:sz w:val="28"/>
          <w:szCs w:val="28"/>
          <w:lang w:bidi="ar-EG"/>
          <w14:ligatures w14:val="standardContextual"/>
        </w:rPr>
        <w:t>Chen et al., 2022</w:t>
      </w:r>
      <w:r w:rsidRPr="00CB373C">
        <w:rPr>
          <w:rFonts w:ascii="Traditional Arabic" w:eastAsia="Aptos" w:hAnsi="Traditional Arabic" w:cs="Traditional Arabic"/>
          <w:kern w:val="2"/>
          <w:sz w:val="28"/>
          <w:szCs w:val="28"/>
          <w:rtl/>
          <w:lang w:bidi="ar-EG"/>
          <w14:ligatures w14:val="standardContextual"/>
        </w:rPr>
        <w:t xml:space="preserve">؛ </w:t>
      </w:r>
      <w:proofErr w:type="spellStart"/>
      <w:r w:rsidRPr="00CB373C">
        <w:rPr>
          <w:rFonts w:ascii="Traditional Arabic" w:eastAsia="Aptos" w:hAnsi="Traditional Arabic" w:cs="Traditional Arabic"/>
          <w:kern w:val="2"/>
          <w:sz w:val="28"/>
          <w:szCs w:val="28"/>
          <w:lang w:bidi="ar-EG"/>
          <w14:ligatures w14:val="standardContextual"/>
        </w:rPr>
        <w:t>Almaiah</w:t>
      </w:r>
      <w:proofErr w:type="spellEnd"/>
      <w:r w:rsidRPr="00CB373C">
        <w:rPr>
          <w:rFonts w:ascii="Traditional Arabic" w:eastAsia="Aptos" w:hAnsi="Traditional Arabic" w:cs="Traditional Arabic"/>
          <w:kern w:val="2"/>
          <w:sz w:val="28"/>
          <w:szCs w:val="28"/>
          <w:lang w:bidi="ar-EG"/>
          <w14:ligatures w14:val="standardContextual"/>
        </w:rPr>
        <w:t xml:space="preserve"> et al., 2022</w:t>
      </w:r>
      <w:r w:rsidRPr="00CB373C">
        <w:rPr>
          <w:rFonts w:ascii="Traditional Arabic" w:eastAsia="Aptos" w:hAnsi="Traditional Arabic" w:cs="Traditional Arabic"/>
          <w:kern w:val="2"/>
          <w:sz w:val="28"/>
          <w:szCs w:val="28"/>
          <w:rtl/>
          <w:lang w:bidi="ar-EG"/>
          <w14:ligatures w14:val="standardContextual"/>
        </w:rPr>
        <w:t>). ويُلاحظ كذلك اتساع قاعدة التطبيقات المالية وارتفاع تفاعل المستخدمين معها، بما يعكس انتقالاً تدريجياً من استخدام اختياري إلى سلوك مالي يومي. وعلى مستوى المنظومة، تُظهر دراسة تحليلية للتقنية المالية في المملكة أن عدد شركات التقنية المالية شهد نمواً متسارعاً خلال الفترة 2018–2023، مع توسع ملحوظ في مجالات مثل المدفوعات وحلول الأعمال والبنى التحتية المصرفية، وهو ما يعكس اتساع السوق وتنوعه وتزايد اعتماده على البيانات والمعالجات الرقمية (الجارالله، 2025).</w:t>
      </w:r>
    </w:p>
    <w:p w14:paraId="18C6F144" w14:textId="77777777" w:rsidR="00CB373C" w:rsidRPr="00CB373C" w:rsidRDefault="00CB373C" w:rsidP="00CB373C">
      <w:pPr>
        <w:keepNext/>
        <w:keepLines/>
        <w:numPr>
          <w:ilvl w:val="2"/>
          <w:numId w:val="0"/>
        </w:numPr>
        <w:bidi/>
        <w:spacing w:before="160" w:after="80" w:line="278" w:lineRule="auto"/>
        <w:ind w:left="720" w:hanging="720"/>
        <w:outlineLvl w:val="2"/>
        <w:rPr>
          <w:rFonts w:ascii="Traditional Arabic" w:eastAsia="Times New Roman" w:hAnsi="Traditional Arabic" w:cs="Traditional Arabic"/>
          <w:b/>
          <w:bCs/>
          <w:color w:val="000000"/>
          <w:kern w:val="2"/>
          <w:sz w:val="28"/>
          <w:szCs w:val="28"/>
          <w:rtl/>
          <w:lang w:bidi="ar-EG"/>
          <w14:ligatures w14:val="standardContextual"/>
        </w:rPr>
      </w:pPr>
      <w:bookmarkStart w:id="43" w:name="_Toc222423544"/>
      <w:r w:rsidRPr="00CB373C">
        <w:rPr>
          <w:rFonts w:ascii="Traditional Arabic" w:eastAsia="Times New Roman" w:hAnsi="Traditional Arabic" w:cs="Traditional Arabic"/>
          <w:b/>
          <w:bCs/>
          <w:color w:val="000000"/>
          <w:kern w:val="2"/>
          <w:sz w:val="28"/>
          <w:szCs w:val="28"/>
          <w:rtl/>
          <w:lang w:bidi="ar-EG"/>
          <w14:ligatures w14:val="standardContextual"/>
        </w:rPr>
        <w:lastRenderedPageBreak/>
        <w:t>دلالات السياق على منطق النموذج وفروضه</w:t>
      </w:r>
      <w:bookmarkEnd w:id="43"/>
    </w:p>
    <w:p w14:paraId="23227EF8"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إن تداخل التحول الرقمي مع التنظيم ومع نمو المدفوعات والتقنية المالية يوضح أن القيمة في القطاع المصرفي السعودي باتت تتشكل عبر القدرة على تحويل البيانات إلى قرارات استراتيجية عالية الجودة ثم إلى مخرجات ابتكارية. لذلك يصبح منطق نموذج الدراسة أكثر اتساقاً مع الواقع: قبول المديرين للتقنيات التحليلية وما يرتبط بها من نظم معلومات ليس مجرد موقف، بل مدخل تشغيلي يؤثر في جودة القرار (عبر جودة المعلومات وتحليل البدائل والتوقيت) ثم ينعكس على الابتكار. هذا الترابط يفسر لماذا تُفهم الوساطة في هذه الدراسة كآلية تحويل: من قبول إلى قرار إلى ابتكار، داخل بيئة مصرفية تتسارع فيها المنافسة الرقمية وتزداد فيها كلفة القرار غير الدقيق.</w:t>
      </w:r>
    </w:p>
    <w:p w14:paraId="7D6DAB95" w14:textId="77777777" w:rsidR="00CB373C" w:rsidRPr="00CB373C" w:rsidRDefault="00CB373C" w:rsidP="00CB373C">
      <w:pPr>
        <w:keepNext/>
        <w:keepLines/>
        <w:numPr>
          <w:ilvl w:val="1"/>
          <w:numId w:val="0"/>
        </w:numPr>
        <w:bidi/>
        <w:spacing w:before="160" w:after="80" w:line="278" w:lineRule="auto"/>
        <w:ind w:left="576" w:hanging="576"/>
        <w:outlineLvl w:val="1"/>
        <w:rPr>
          <w:rFonts w:ascii="Traditional Arabic" w:eastAsia="Times New Roman" w:hAnsi="Traditional Arabic" w:cs="Traditional Arabic"/>
          <w:b/>
          <w:bCs/>
          <w:color w:val="000000"/>
          <w:kern w:val="2"/>
          <w:sz w:val="32"/>
          <w:szCs w:val="32"/>
          <w:rtl/>
          <w:lang w:bidi="ar-EG"/>
          <w14:ligatures w14:val="standardContextual"/>
        </w:rPr>
      </w:pPr>
      <w:bookmarkStart w:id="44" w:name="_Toc222423545"/>
      <w:r w:rsidRPr="00CB373C">
        <w:rPr>
          <w:rFonts w:ascii="Traditional Arabic" w:eastAsia="Times New Roman" w:hAnsi="Traditional Arabic" w:cs="Traditional Arabic"/>
          <w:b/>
          <w:bCs/>
          <w:color w:val="000000"/>
          <w:kern w:val="2"/>
          <w:sz w:val="32"/>
          <w:szCs w:val="32"/>
          <w:rtl/>
          <w:lang w:bidi="ar-EG"/>
          <w14:ligatures w14:val="standardContextual"/>
        </w:rPr>
        <w:t>ذكاء الأعمال في المصارف: المفهوم، الوظائف، وتطبيقاته الاستراتيجية</w:t>
      </w:r>
      <w:bookmarkEnd w:id="44"/>
    </w:p>
    <w:p w14:paraId="735C7BDF" w14:textId="77777777" w:rsidR="00CB373C" w:rsidRPr="00CB373C" w:rsidRDefault="00CB373C" w:rsidP="00CB373C">
      <w:pPr>
        <w:keepNext/>
        <w:keepLines/>
        <w:numPr>
          <w:ilvl w:val="2"/>
          <w:numId w:val="0"/>
        </w:numPr>
        <w:bidi/>
        <w:spacing w:before="160" w:after="80" w:line="278" w:lineRule="auto"/>
        <w:ind w:left="720" w:hanging="720"/>
        <w:outlineLvl w:val="2"/>
        <w:rPr>
          <w:rFonts w:ascii="Traditional Arabic" w:eastAsia="Times New Roman" w:hAnsi="Traditional Arabic" w:cs="Traditional Arabic"/>
          <w:b/>
          <w:bCs/>
          <w:color w:val="000000"/>
          <w:kern w:val="2"/>
          <w:sz w:val="28"/>
          <w:szCs w:val="28"/>
          <w:rtl/>
          <w:lang w:bidi="ar-EG"/>
          <w14:ligatures w14:val="standardContextual"/>
        </w:rPr>
      </w:pPr>
      <w:bookmarkStart w:id="45" w:name="_Toc222423546"/>
      <w:r w:rsidRPr="00CB373C">
        <w:rPr>
          <w:rFonts w:ascii="Traditional Arabic" w:eastAsia="Times New Roman" w:hAnsi="Traditional Arabic" w:cs="Traditional Arabic"/>
          <w:b/>
          <w:bCs/>
          <w:color w:val="000000"/>
          <w:kern w:val="2"/>
          <w:sz w:val="28"/>
          <w:szCs w:val="28"/>
          <w:rtl/>
          <w:lang w:bidi="ar-EG"/>
          <w14:ligatures w14:val="standardContextual"/>
        </w:rPr>
        <w:t>ضبط المفهوم وحدوده داخل نظم دعم القرار</w:t>
      </w:r>
      <w:bookmarkEnd w:id="45"/>
    </w:p>
    <w:p w14:paraId="3E0906E2"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يُفهم ذكاء الأعمال (</w:t>
      </w:r>
      <w:r w:rsidRPr="00CB373C">
        <w:rPr>
          <w:rFonts w:ascii="Traditional Arabic" w:eastAsia="Aptos" w:hAnsi="Traditional Arabic" w:cs="Traditional Arabic"/>
          <w:kern w:val="2"/>
          <w:sz w:val="28"/>
          <w:szCs w:val="28"/>
          <w:lang w:bidi="ar-EG"/>
          <w14:ligatures w14:val="standardContextual"/>
        </w:rPr>
        <w:t>Business Intelligence: BI</w:t>
      </w:r>
      <w:r w:rsidRPr="00CB373C">
        <w:rPr>
          <w:rFonts w:ascii="Traditional Arabic" w:eastAsia="Aptos" w:hAnsi="Traditional Arabic" w:cs="Traditional Arabic"/>
          <w:kern w:val="2"/>
          <w:sz w:val="28"/>
          <w:szCs w:val="28"/>
          <w:rtl/>
          <w:lang w:bidi="ar-EG"/>
          <w14:ligatures w14:val="standardContextual"/>
        </w:rPr>
        <w:t>) في الأدبيات المعاصرة بوصفه منظومة متكاملة من الأدوات والمنهجيات والممارسات التي تُعنى بدمج البيانات وتحليلها وعرضها على نحوٍ يُنتج معرفة قابلة للاستخدام لدعم القرارات الإدارية والاستراتيجية. ولا يقتصر جوهر ذكاء الأعمال على إنتاج التقارير، بل يمتد إلى بناء سلسلة قيمة تبدأ من جمع البيانات وتوحيدها، مروراً بتحويلها إلى مؤشرات ومعانٍ، وانتهاءً بتوفير لوحات قياس ومخرجات تحليلية تُعين الإدارة على الفهم والمقارنة والمفاضلة (</w:t>
      </w:r>
      <w:r w:rsidRPr="00CB373C">
        <w:rPr>
          <w:rFonts w:ascii="Traditional Arabic" w:eastAsia="Aptos" w:hAnsi="Traditional Arabic" w:cs="Traditional Arabic"/>
          <w:kern w:val="2"/>
          <w:sz w:val="28"/>
          <w:szCs w:val="28"/>
          <w:lang w:bidi="ar-EG"/>
          <w14:ligatures w14:val="standardContextual"/>
        </w:rPr>
        <w:t>Al-</w:t>
      </w:r>
      <w:proofErr w:type="spellStart"/>
      <w:r w:rsidRPr="00CB373C">
        <w:rPr>
          <w:rFonts w:ascii="Traditional Arabic" w:eastAsia="Aptos" w:hAnsi="Traditional Arabic" w:cs="Traditional Arabic"/>
          <w:kern w:val="2"/>
          <w:sz w:val="28"/>
          <w:szCs w:val="28"/>
          <w:lang w:bidi="ar-EG"/>
          <w14:ligatures w14:val="standardContextual"/>
        </w:rPr>
        <w:t>Daraba</w:t>
      </w:r>
      <w:proofErr w:type="spellEnd"/>
      <w:r w:rsidRPr="00CB373C">
        <w:rPr>
          <w:rFonts w:ascii="Traditional Arabic" w:eastAsia="Aptos" w:hAnsi="Traditional Arabic" w:cs="Traditional Arabic"/>
          <w:kern w:val="2"/>
          <w:sz w:val="28"/>
          <w:szCs w:val="28"/>
          <w:lang w:bidi="ar-EG"/>
          <w14:ligatures w14:val="standardContextual"/>
        </w:rPr>
        <w:t xml:space="preserve"> et al., 2025</w:t>
      </w:r>
      <w:r w:rsidRPr="00CB373C">
        <w:rPr>
          <w:rFonts w:ascii="Traditional Arabic" w:eastAsia="Aptos" w:hAnsi="Traditional Arabic" w:cs="Traditional Arabic"/>
          <w:kern w:val="2"/>
          <w:sz w:val="28"/>
          <w:szCs w:val="28"/>
          <w:rtl/>
          <w:lang w:bidi="ar-EG"/>
          <w14:ligatures w14:val="standardContextual"/>
        </w:rPr>
        <w:t>). وفي البيئات المصرفية تحديداً، تتضاعف أهمية هذا الدور لأن القرار غالباً ما يرتبط بمخاطر مرتفعة (ائتمانية وتشغيلية وامتثال)، ويُبنى على بيانات متعددة المصادر والسرعة.</w:t>
      </w:r>
    </w:p>
    <w:p w14:paraId="7B59E317"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ويتسق هذا التعريف مع ما انتهت إليه الدراسات العربية التطبيقية في القطاع المصرفي، إذ تُبرز أن قيمة ذكاء الأعمال تتجسد حين يُستخدم لتحديد الاتجاهات والفرص والتهديدات في بيئة الأعمال، وأن المعلومات المستمدة منه تُسهم في صياغة الاستراتيجية وتوجيه المديرين نحو قرارات أكثر اتساقاً مع متطلبات السوق (الغريب، 2022). وعليه، فإن ذكاء الأعمال في المصارف يُنظر إليه كرافعة معرفية تدعم العقلانية المحدودة في القرار عبر تحسين جودة المدخلات وتوقيت الإحاطة بالمعلومة.</w:t>
      </w:r>
    </w:p>
    <w:p w14:paraId="4269E523" w14:textId="77777777" w:rsidR="00CB373C" w:rsidRPr="00CB373C" w:rsidRDefault="00CB373C" w:rsidP="00CB373C">
      <w:pPr>
        <w:keepNext/>
        <w:keepLines/>
        <w:numPr>
          <w:ilvl w:val="2"/>
          <w:numId w:val="0"/>
        </w:numPr>
        <w:bidi/>
        <w:spacing w:before="160" w:after="80" w:line="278" w:lineRule="auto"/>
        <w:ind w:left="720" w:hanging="720"/>
        <w:outlineLvl w:val="2"/>
        <w:rPr>
          <w:rFonts w:ascii="Traditional Arabic" w:eastAsia="Times New Roman" w:hAnsi="Traditional Arabic" w:cs="Traditional Arabic"/>
          <w:b/>
          <w:bCs/>
          <w:color w:val="000000"/>
          <w:kern w:val="2"/>
          <w:sz w:val="28"/>
          <w:szCs w:val="28"/>
          <w:rtl/>
          <w:lang w:bidi="ar-EG"/>
          <w14:ligatures w14:val="standardContextual"/>
        </w:rPr>
      </w:pPr>
      <w:bookmarkStart w:id="46" w:name="_Toc222423547"/>
      <w:r w:rsidRPr="00CB373C">
        <w:rPr>
          <w:rFonts w:ascii="Traditional Arabic" w:eastAsia="Times New Roman" w:hAnsi="Traditional Arabic" w:cs="Traditional Arabic"/>
          <w:b/>
          <w:bCs/>
          <w:color w:val="000000"/>
          <w:kern w:val="2"/>
          <w:sz w:val="28"/>
          <w:szCs w:val="28"/>
          <w:rtl/>
          <w:lang w:bidi="ar-EG"/>
          <w14:ligatures w14:val="standardContextual"/>
        </w:rPr>
        <w:t>التمييز بين ذكاء الأعمال والتحليلات والذكاء الاصطناعي</w:t>
      </w:r>
      <w:bookmarkEnd w:id="46"/>
    </w:p>
    <w:p w14:paraId="73884C40"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يُعد الخلط بين ذكاء الأعمال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والتحليلات (</w:t>
      </w:r>
      <w:r w:rsidRPr="00CB373C">
        <w:rPr>
          <w:rFonts w:ascii="Traditional Arabic" w:eastAsia="Aptos" w:hAnsi="Traditional Arabic" w:cs="Traditional Arabic"/>
          <w:kern w:val="2"/>
          <w:sz w:val="28"/>
          <w:szCs w:val="28"/>
          <w:lang w:bidi="ar-EG"/>
          <w14:ligatures w14:val="standardContextual"/>
        </w:rPr>
        <w:t>Analytics</w:t>
      </w:r>
      <w:r w:rsidRPr="00CB373C">
        <w:rPr>
          <w:rFonts w:ascii="Traditional Arabic" w:eastAsia="Aptos" w:hAnsi="Traditional Arabic" w:cs="Traditional Arabic"/>
          <w:kern w:val="2"/>
          <w:sz w:val="28"/>
          <w:szCs w:val="28"/>
          <w:rtl/>
          <w:lang w:bidi="ar-EG"/>
          <w14:ligatures w14:val="standardContextual"/>
        </w:rPr>
        <w:t>) والذكاء الاصطناعي (</w:t>
      </w:r>
      <w:r w:rsidRPr="00CB373C">
        <w:rPr>
          <w:rFonts w:ascii="Traditional Arabic" w:eastAsia="Aptos" w:hAnsi="Traditional Arabic" w:cs="Traditional Arabic"/>
          <w:kern w:val="2"/>
          <w:sz w:val="28"/>
          <w:szCs w:val="28"/>
          <w:lang w:bidi="ar-EG"/>
          <w14:ligatures w14:val="standardContextual"/>
        </w:rPr>
        <w:t>AI</w:t>
      </w:r>
      <w:r w:rsidRPr="00CB373C">
        <w:rPr>
          <w:rFonts w:ascii="Traditional Arabic" w:eastAsia="Aptos" w:hAnsi="Traditional Arabic" w:cs="Traditional Arabic"/>
          <w:kern w:val="2"/>
          <w:sz w:val="28"/>
          <w:szCs w:val="28"/>
          <w:rtl/>
          <w:lang w:bidi="ar-EG"/>
          <w14:ligatures w14:val="standardContextual"/>
        </w:rPr>
        <w:t>) من القضايا المفاهيمية الشائعة، ويترتب عليه اضطراب في بناء النماذج البحثية وقياس الأثر. تقدم الأدبيات الحديثة تصوراً أكثر دقة يضع هذه المفاهيم في علاقة طبقية: إذ يُعد ذكاء الأعمال مظلةً تنظيمية وتقنية تُعنى أساساً بإدارة البيانات وتجهيزها وعرضها بصورة داعمة للقرار، بينما تمثل التحليلات امتداداً منهجياً يركز على تفسير الأنماط والتنبؤ والاقتراح عبر نماذج كمية/حسابية؛ في حين يأتي الذكاء الاصطناعي كطبقة أعمق تُدخل الأتمتة والتعلم من البيانات والاستدلال المتقدم (</w:t>
      </w:r>
      <w:r w:rsidRPr="00CB373C">
        <w:rPr>
          <w:rFonts w:ascii="Traditional Arabic" w:eastAsia="Aptos" w:hAnsi="Traditional Arabic" w:cs="Traditional Arabic"/>
          <w:kern w:val="2"/>
          <w:sz w:val="28"/>
          <w:szCs w:val="28"/>
          <w:lang w:bidi="ar-EG"/>
          <w14:ligatures w14:val="standardContextual"/>
        </w:rPr>
        <w:t>Eggert &amp; Alberts, 2020</w:t>
      </w:r>
      <w:r w:rsidRPr="00CB373C">
        <w:rPr>
          <w:rFonts w:ascii="Traditional Arabic" w:eastAsia="Aptos" w:hAnsi="Traditional Arabic" w:cs="Traditional Arabic"/>
          <w:kern w:val="2"/>
          <w:sz w:val="28"/>
          <w:szCs w:val="28"/>
          <w:rtl/>
          <w:lang w:bidi="ar-EG"/>
          <w14:ligatures w14:val="standardContextual"/>
        </w:rPr>
        <w:t>).</w:t>
      </w:r>
    </w:p>
    <w:p w14:paraId="4EE2199A"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وبهذا المعنى، فإن التحليلات الوصفية والتشخيصية (</w:t>
      </w:r>
      <w:r w:rsidRPr="00CB373C">
        <w:rPr>
          <w:rFonts w:ascii="Traditional Arabic" w:eastAsia="Aptos" w:hAnsi="Traditional Arabic" w:cs="Traditional Arabic"/>
          <w:kern w:val="2"/>
          <w:sz w:val="28"/>
          <w:szCs w:val="28"/>
          <w:lang w:bidi="ar-EG"/>
          <w14:ligatures w14:val="standardContextual"/>
        </w:rPr>
        <w:t>Descriptive/Diagnostic</w:t>
      </w:r>
      <w:r w:rsidRPr="00CB373C">
        <w:rPr>
          <w:rFonts w:ascii="Traditional Arabic" w:eastAsia="Aptos" w:hAnsi="Traditional Arabic" w:cs="Traditional Arabic"/>
          <w:kern w:val="2"/>
          <w:sz w:val="28"/>
          <w:szCs w:val="28"/>
          <w:rtl/>
          <w:lang w:bidi="ar-EG"/>
          <w14:ligatures w14:val="standardContextual"/>
        </w:rPr>
        <w:t xml:space="preserve">) تُعد أقرب لجوهر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التقليدي (التقارير، القياس، التلخيص، المقارنات)، بينما تُعبر التحليلات التنبؤية والتوجيهية (</w:t>
      </w:r>
      <w:r w:rsidRPr="00CB373C">
        <w:rPr>
          <w:rFonts w:ascii="Traditional Arabic" w:eastAsia="Aptos" w:hAnsi="Traditional Arabic" w:cs="Traditional Arabic"/>
          <w:kern w:val="2"/>
          <w:sz w:val="28"/>
          <w:szCs w:val="28"/>
          <w:lang w:bidi="ar-EG"/>
          <w14:ligatures w14:val="standardContextual"/>
        </w:rPr>
        <w:t>Predictive/Prescriptive</w:t>
      </w:r>
      <w:r w:rsidRPr="00CB373C">
        <w:rPr>
          <w:rFonts w:ascii="Traditional Arabic" w:eastAsia="Aptos" w:hAnsi="Traditional Arabic" w:cs="Traditional Arabic"/>
          <w:kern w:val="2"/>
          <w:sz w:val="28"/>
          <w:szCs w:val="28"/>
          <w:rtl/>
          <w:lang w:bidi="ar-EG"/>
          <w14:ligatures w14:val="standardContextual"/>
        </w:rPr>
        <w:t>) عن مرحلة أكثر تقدماً تُبنى غالباً على نفس البنية المعلوماتية لذكاء الأعمال، لكنها تتطلب نماذج ومعايير إضافية (</w:t>
      </w:r>
      <w:r w:rsidRPr="00CB373C">
        <w:rPr>
          <w:rFonts w:ascii="Traditional Arabic" w:eastAsia="Aptos" w:hAnsi="Traditional Arabic" w:cs="Traditional Arabic"/>
          <w:kern w:val="2"/>
          <w:sz w:val="28"/>
          <w:szCs w:val="28"/>
          <w:lang w:bidi="ar-EG"/>
          <w14:ligatures w14:val="standardContextual"/>
        </w:rPr>
        <w:t>Eggert &amp; Alberts, 2020</w:t>
      </w:r>
      <w:r w:rsidRPr="00CB373C">
        <w:rPr>
          <w:rFonts w:ascii="Traditional Arabic" w:eastAsia="Aptos" w:hAnsi="Traditional Arabic" w:cs="Traditional Arabic"/>
          <w:kern w:val="2"/>
          <w:sz w:val="28"/>
          <w:szCs w:val="28"/>
          <w:rtl/>
          <w:lang w:bidi="ar-EG"/>
          <w14:ligatures w14:val="standardContextual"/>
        </w:rPr>
        <w:t xml:space="preserve">). وفي السياق المصرفي، يتعزز هذا التداخل عملياً لأن الأنشطة الحرجة—مثل تقدير المخاطر أو كشف </w:t>
      </w:r>
      <w:r w:rsidRPr="00CB373C">
        <w:rPr>
          <w:rFonts w:ascii="Traditional Arabic" w:eastAsia="Aptos" w:hAnsi="Traditional Arabic" w:cs="Traditional Arabic"/>
          <w:kern w:val="2"/>
          <w:sz w:val="28"/>
          <w:szCs w:val="28"/>
          <w:rtl/>
          <w:lang w:bidi="ar-EG"/>
          <w14:ligatures w14:val="standardContextual"/>
        </w:rPr>
        <w:lastRenderedPageBreak/>
        <w:t xml:space="preserve">الاحتيال—تحتاج عادةً إلى مزيج من بنية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(تكامل البيانات، مستودعات/مخازن بيانات، لوحات قياس) وأدوات تحليل متقدم، وقد تُستكمل بخوارزميات تعلم آلي ضمن منظومة أوسع لإدارة القرار (</w:t>
      </w:r>
      <w:r w:rsidRPr="00CB373C">
        <w:rPr>
          <w:rFonts w:ascii="Traditional Arabic" w:eastAsia="Aptos" w:hAnsi="Traditional Arabic" w:cs="Traditional Arabic"/>
          <w:kern w:val="2"/>
          <w:sz w:val="28"/>
          <w:szCs w:val="28"/>
          <w:lang w:bidi="ar-EG"/>
          <w14:ligatures w14:val="standardContextual"/>
        </w:rPr>
        <w:t>Hernandez Aros et al., 2024</w:t>
      </w:r>
      <w:r w:rsidRPr="00CB373C">
        <w:rPr>
          <w:rFonts w:ascii="Traditional Arabic" w:eastAsia="Aptos" w:hAnsi="Traditional Arabic" w:cs="Traditional Arabic"/>
          <w:kern w:val="2"/>
          <w:sz w:val="28"/>
          <w:szCs w:val="28"/>
          <w:rtl/>
          <w:lang w:bidi="ar-EG"/>
          <w14:ligatures w14:val="standardContextual"/>
        </w:rPr>
        <w:t>).</w:t>
      </w:r>
    </w:p>
    <w:p w14:paraId="52FD0794" w14:textId="77777777" w:rsidR="00CB373C" w:rsidRPr="00CB373C" w:rsidRDefault="00CB373C" w:rsidP="00CB373C">
      <w:pPr>
        <w:keepNext/>
        <w:keepLines/>
        <w:numPr>
          <w:ilvl w:val="2"/>
          <w:numId w:val="0"/>
        </w:numPr>
        <w:bidi/>
        <w:spacing w:before="160" w:after="80" w:line="278" w:lineRule="auto"/>
        <w:ind w:left="720" w:hanging="720"/>
        <w:outlineLvl w:val="2"/>
        <w:rPr>
          <w:rFonts w:ascii="Traditional Arabic" w:eastAsia="Times New Roman" w:hAnsi="Traditional Arabic" w:cs="Traditional Arabic"/>
          <w:b/>
          <w:bCs/>
          <w:color w:val="000000"/>
          <w:kern w:val="2"/>
          <w:sz w:val="28"/>
          <w:szCs w:val="28"/>
          <w:rtl/>
          <w:lang w:bidi="ar-EG"/>
          <w14:ligatures w14:val="standardContextual"/>
        </w:rPr>
      </w:pPr>
      <w:bookmarkStart w:id="47" w:name="_Toc222423548"/>
      <w:r w:rsidRPr="00CB373C">
        <w:rPr>
          <w:rFonts w:ascii="Traditional Arabic" w:eastAsia="Times New Roman" w:hAnsi="Traditional Arabic" w:cs="Traditional Arabic"/>
          <w:b/>
          <w:bCs/>
          <w:color w:val="000000"/>
          <w:kern w:val="2"/>
          <w:sz w:val="28"/>
          <w:szCs w:val="28"/>
          <w:rtl/>
          <w:lang w:bidi="ar-EG"/>
          <w14:ligatures w14:val="standardContextual"/>
        </w:rPr>
        <w:t>البنية المعمارية لذكاء الأعمال في المصارف: من بيانات متشعبة إلى رؤية متماسكة</w:t>
      </w:r>
      <w:bookmarkEnd w:id="47"/>
    </w:p>
    <w:p w14:paraId="5018A26A"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تقوم أنظمة ذكاء الأعمال المصرفية على بنية معمارية هدفها معالجة التعقيد المصدري للبيانات قبل معالجة التعقيد التحليلي. ويظهر هذا التعقيد في تنوع مصادر البيانات داخل البنك: أنظمة البنك الأساسية (</w:t>
      </w:r>
      <w:r w:rsidRPr="00CB373C">
        <w:rPr>
          <w:rFonts w:ascii="Traditional Arabic" w:eastAsia="Aptos" w:hAnsi="Traditional Arabic" w:cs="Traditional Arabic"/>
          <w:kern w:val="2"/>
          <w:sz w:val="28"/>
          <w:szCs w:val="28"/>
          <w:lang w:bidi="ar-EG"/>
          <w14:ligatures w14:val="standardContextual"/>
        </w:rPr>
        <w:t>Core Banking</w:t>
      </w:r>
      <w:r w:rsidRPr="00CB373C">
        <w:rPr>
          <w:rFonts w:ascii="Traditional Arabic" w:eastAsia="Aptos" w:hAnsi="Traditional Arabic" w:cs="Traditional Arabic"/>
          <w:kern w:val="2"/>
          <w:sz w:val="28"/>
          <w:szCs w:val="28"/>
          <w:rtl/>
          <w:lang w:bidi="ar-EG"/>
          <w14:ligatures w14:val="standardContextual"/>
        </w:rPr>
        <w:t xml:space="preserve">)، بيانات القنوات الرقمية، إدارة علاقات العملاء، أنظمة المخاطر والالتزام، بيانات المدفوعات، وسجلات العمليات التشغيلية. ومن ثمّ تُبنى معماريات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على مبدأ التوحيد والمواءمة (</w:t>
      </w:r>
      <w:r w:rsidRPr="00CB373C">
        <w:rPr>
          <w:rFonts w:ascii="Traditional Arabic" w:eastAsia="Aptos" w:hAnsi="Traditional Arabic" w:cs="Traditional Arabic"/>
          <w:kern w:val="2"/>
          <w:sz w:val="28"/>
          <w:szCs w:val="28"/>
          <w:lang w:bidi="ar-EG"/>
          <w14:ligatures w14:val="standardContextual"/>
        </w:rPr>
        <w:t>Integration &amp; Harmonization</w:t>
      </w:r>
      <w:r w:rsidRPr="00CB373C">
        <w:rPr>
          <w:rFonts w:ascii="Traditional Arabic" w:eastAsia="Aptos" w:hAnsi="Traditional Arabic" w:cs="Traditional Arabic"/>
          <w:kern w:val="2"/>
          <w:sz w:val="28"/>
          <w:szCs w:val="28"/>
          <w:rtl/>
          <w:lang w:bidi="ar-EG"/>
          <w14:ligatures w14:val="standardContextual"/>
        </w:rPr>
        <w:t>) بحيث تصبح البيانات قابلة للمقارنة والتجميع على مستوى المصرف ككل (</w:t>
      </w:r>
      <w:r w:rsidRPr="00CB373C">
        <w:rPr>
          <w:rFonts w:ascii="Traditional Arabic" w:eastAsia="Aptos" w:hAnsi="Traditional Arabic" w:cs="Traditional Arabic"/>
          <w:kern w:val="2"/>
          <w:sz w:val="28"/>
          <w:szCs w:val="28"/>
          <w:lang w:bidi="ar-EG"/>
          <w14:ligatures w14:val="standardContextual"/>
        </w:rPr>
        <w:t>Al-</w:t>
      </w:r>
      <w:proofErr w:type="spellStart"/>
      <w:r w:rsidRPr="00CB373C">
        <w:rPr>
          <w:rFonts w:ascii="Traditional Arabic" w:eastAsia="Aptos" w:hAnsi="Traditional Arabic" w:cs="Traditional Arabic"/>
          <w:kern w:val="2"/>
          <w:sz w:val="28"/>
          <w:szCs w:val="28"/>
          <w:lang w:bidi="ar-EG"/>
          <w14:ligatures w14:val="standardContextual"/>
        </w:rPr>
        <w:t>Daraba</w:t>
      </w:r>
      <w:proofErr w:type="spellEnd"/>
      <w:r w:rsidRPr="00CB373C">
        <w:rPr>
          <w:rFonts w:ascii="Traditional Arabic" w:eastAsia="Aptos" w:hAnsi="Traditional Arabic" w:cs="Traditional Arabic"/>
          <w:kern w:val="2"/>
          <w:sz w:val="28"/>
          <w:szCs w:val="28"/>
          <w:lang w:bidi="ar-EG"/>
          <w14:ligatures w14:val="standardContextual"/>
        </w:rPr>
        <w:t xml:space="preserve"> et al., 2025</w:t>
      </w:r>
      <w:r w:rsidRPr="00CB373C">
        <w:rPr>
          <w:rFonts w:ascii="Traditional Arabic" w:eastAsia="Aptos" w:hAnsi="Traditional Arabic" w:cs="Traditional Arabic"/>
          <w:kern w:val="2"/>
          <w:sz w:val="28"/>
          <w:szCs w:val="28"/>
          <w:rtl/>
          <w:lang w:bidi="ar-EG"/>
          <w14:ligatures w14:val="standardContextual"/>
        </w:rPr>
        <w:t>).</w:t>
      </w:r>
    </w:p>
    <w:p w14:paraId="5C1B9AB1"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مصادر البيانات وتكاملها</w:t>
      </w:r>
    </w:p>
    <w:p w14:paraId="2A0A5E8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تبدأ سلسلة القيمة عادةً من ربط مصادر البيانات، ثم المرور بعمليات استخراج–تحويل–تحميل (</w:t>
      </w:r>
      <w:r w:rsidRPr="00CB373C">
        <w:rPr>
          <w:rFonts w:ascii="Traditional Arabic" w:eastAsia="Aptos" w:hAnsi="Traditional Arabic" w:cs="Traditional Arabic"/>
          <w:kern w:val="2"/>
          <w:sz w:val="28"/>
          <w:szCs w:val="28"/>
          <w:lang w:bidi="ar-EG"/>
          <w14:ligatures w14:val="standardContextual"/>
        </w:rPr>
        <w:t>ETL</w:t>
      </w:r>
      <w:r w:rsidRPr="00CB373C">
        <w:rPr>
          <w:rFonts w:ascii="Traditional Arabic" w:eastAsia="Aptos" w:hAnsi="Traditional Arabic" w:cs="Traditional Arabic"/>
          <w:kern w:val="2"/>
          <w:sz w:val="28"/>
          <w:szCs w:val="28"/>
          <w:rtl/>
          <w:lang w:bidi="ar-EG"/>
          <w14:ligatures w14:val="standardContextual"/>
        </w:rPr>
        <w:t xml:space="preserve">) التي تُنقّي البيانات وتُوحد صيغها وتُراجع اتساقها قبل تحميلها في مستودع بيانات أو مخزن مركزي. وتؤكد تطبيقات لوحات الأداء—حتى في دراسات خارج القطاع المصرفي—أن بناء مستودع بيانات عبر </w:t>
      </w:r>
      <w:r w:rsidRPr="00CB373C">
        <w:rPr>
          <w:rFonts w:ascii="Traditional Arabic" w:eastAsia="Aptos" w:hAnsi="Traditional Arabic" w:cs="Traditional Arabic"/>
          <w:kern w:val="2"/>
          <w:sz w:val="28"/>
          <w:szCs w:val="28"/>
          <w:lang w:bidi="ar-EG"/>
          <w14:ligatures w14:val="standardContextual"/>
        </w:rPr>
        <w:t>ETL</w:t>
      </w:r>
      <w:r w:rsidRPr="00CB373C">
        <w:rPr>
          <w:rFonts w:ascii="Traditional Arabic" w:eastAsia="Aptos" w:hAnsi="Traditional Arabic" w:cs="Traditional Arabic"/>
          <w:kern w:val="2"/>
          <w:sz w:val="28"/>
          <w:szCs w:val="28"/>
          <w:rtl/>
          <w:lang w:bidi="ar-EG"/>
          <w14:ligatures w14:val="standardContextual"/>
        </w:rPr>
        <w:t xml:space="preserve"> يمثل خطوة تأسيسية لإنتاج مؤشرات قابلة للاعتماد ومخرجات بصرية قابلة للتفسير (</w:t>
      </w:r>
      <w:r w:rsidRPr="00CB373C">
        <w:rPr>
          <w:rFonts w:ascii="Traditional Arabic" w:eastAsia="Aptos" w:hAnsi="Traditional Arabic" w:cs="Traditional Arabic"/>
          <w:kern w:val="2"/>
          <w:sz w:val="28"/>
          <w:szCs w:val="28"/>
          <w:lang w:bidi="ar-EG"/>
          <w14:ligatures w14:val="standardContextual"/>
        </w:rPr>
        <w:t>Gonçalves et al., 2023</w:t>
      </w:r>
      <w:r w:rsidRPr="00CB373C">
        <w:rPr>
          <w:rFonts w:ascii="Traditional Arabic" w:eastAsia="Aptos" w:hAnsi="Traditional Arabic" w:cs="Traditional Arabic"/>
          <w:kern w:val="2"/>
          <w:sz w:val="28"/>
          <w:szCs w:val="28"/>
          <w:rtl/>
          <w:lang w:bidi="ar-EG"/>
          <w14:ligatures w14:val="standardContextual"/>
        </w:rPr>
        <w:t xml:space="preserve">). في المصارف، تصبح </w:t>
      </w:r>
      <w:r w:rsidRPr="00CB373C">
        <w:rPr>
          <w:rFonts w:ascii="Traditional Arabic" w:eastAsia="Aptos" w:hAnsi="Traditional Arabic" w:cs="Traditional Arabic"/>
          <w:kern w:val="2"/>
          <w:sz w:val="28"/>
          <w:szCs w:val="28"/>
          <w:lang w:bidi="ar-EG"/>
          <w14:ligatures w14:val="standardContextual"/>
        </w:rPr>
        <w:t>ETL</w:t>
      </w:r>
      <w:r w:rsidRPr="00CB373C">
        <w:rPr>
          <w:rFonts w:ascii="Traditional Arabic" w:eastAsia="Aptos" w:hAnsi="Traditional Arabic" w:cs="Traditional Arabic"/>
          <w:kern w:val="2"/>
          <w:sz w:val="28"/>
          <w:szCs w:val="28"/>
          <w:rtl/>
          <w:lang w:bidi="ar-EG"/>
          <w14:ligatures w14:val="standardContextual"/>
        </w:rPr>
        <w:t xml:space="preserve"> أكثر حساسية لأن أي خطأ في التحويل أو التوقيت قد ينعكس مباشرةً على تقارير الامتثال أو قرارات المخاطر.</w:t>
      </w:r>
    </w:p>
    <w:p w14:paraId="6AD84B69"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مستودعات البيانات ولوحات القيادة والتحليلات</w:t>
      </w:r>
    </w:p>
    <w:p w14:paraId="06D1DF1A"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بعد مرحلة المستودع، تأتي طبقة العرض (</w:t>
      </w:r>
      <w:r w:rsidRPr="00CB373C">
        <w:rPr>
          <w:rFonts w:ascii="Traditional Arabic" w:eastAsia="Aptos" w:hAnsi="Traditional Arabic" w:cs="Traditional Arabic"/>
          <w:kern w:val="2"/>
          <w:sz w:val="28"/>
          <w:szCs w:val="28"/>
          <w:lang w:bidi="ar-EG"/>
          <w14:ligatures w14:val="standardContextual"/>
        </w:rPr>
        <w:t>Presentation Layer</w:t>
      </w:r>
      <w:r w:rsidRPr="00CB373C">
        <w:rPr>
          <w:rFonts w:ascii="Traditional Arabic" w:eastAsia="Aptos" w:hAnsi="Traditional Arabic" w:cs="Traditional Arabic"/>
          <w:kern w:val="2"/>
          <w:sz w:val="28"/>
          <w:szCs w:val="28"/>
          <w:rtl/>
          <w:lang w:bidi="ar-EG"/>
          <w14:ligatures w14:val="standardContextual"/>
        </w:rPr>
        <w:t>) التي تشمل التقارير ولوحات القيادة (</w:t>
      </w:r>
      <w:r w:rsidRPr="00CB373C">
        <w:rPr>
          <w:rFonts w:ascii="Traditional Arabic" w:eastAsia="Aptos" w:hAnsi="Traditional Arabic" w:cs="Traditional Arabic"/>
          <w:kern w:val="2"/>
          <w:sz w:val="28"/>
          <w:szCs w:val="28"/>
          <w:lang w:bidi="ar-EG"/>
          <w14:ligatures w14:val="standardContextual"/>
        </w:rPr>
        <w:t>Dashboards</w:t>
      </w:r>
      <w:r w:rsidRPr="00CB373C">
        <w:rPr>
          <w:rFonts w:ascii="Traditional Arabic" w:eastAsia="Aptos" w:hAnsi="Traditional Arabic" w:cs="Traditional Arabic"/>
          <w:kern w:val="2"/>
          <w:sz w:val="28"/>
          <w:szCs w:val="28"/>
          <w:rtl/>
          <w:lang w:bidi="ar-EG"/>
          <w14:ligatures w14:val="standardContextual"/>
        </w:rPr>
        <w:t>) ومؤشرات الأداء (</w:t>
      </w:r>
      <w:r w:rsidRPr="00CB373C">
        <w:rPr>
          <w:rFonts w:ascii="Traditional Arabic" w:eastAsia="Aptos" w:hAnsi="Traditional Arabic" w:cs="Traditional Arabic"/>
          <w:kern w:val="2"/>
          <w:sz w:val="28"/>
          <w:szCs w:val="28"/>
          <w:lang w:bidi="ar-EG"/>
          <w14:ligatures w14:val="standardContextual"/>
        </w:rPr>
        <w:t>KPIs</w:t>
      </w:r>
      <w:r w:rsidRPr="00CB373C">
        <w:rPr>
          <w:rFonts w:ascii="Traditional Arabic" w:eastAsia="Aptos" w:hAnsi="Traditional Arabic" w:cs="Traditional Arabic"/>
          <w:kern w:val="2"/>
          <w:sz w:val="28"/>
          <w:szCs w:val="28"/>
          <w:rtl/>
          <w:lang w:bidi="ar-EG"/>
          <w14:ligatures w14:val="standardContextual"/>
        </w:rPr>
        <w:t>) والتحليلات التفاعلية. وتمتاز لوحات القيادة المصرفية بأنها ليست مجرد عرض، بل أداة متابعة مستمرة تربط الأداء التشغيلي والأهداف الاستراتيجية ضمن نموذج قياس يتيح المقارنة عبر الزمن والوحدات (</w:t>
      </w:r>
      <w:r w:rsidRPr="00CB373C">
        <w:rPr>
          <w:rFonts w:ascii="Traditional Arabic" w:eastAsia="Aptos" w:hAnsi="Traditional Arabic" w:cs="Traditional Arabic"/>
          <w:kern w:val="2"/>
          <w:sz w:val="28"/>
          <w:szCs w:val="28"/>
          <w:lang w:bidi="ar-EG"/>
          <w14:ligatures w14:val="standardContextual"/>
        </w:rPr>
        <w:t>Gonçalves et al., 2023</w:t>
      </w:r>
      <w:r w:rsidRPr="00CB373C">
        <w:rPr>
          <w:rFonts w:ascii="Traditional Arabic" w:eastAsia="Aptos" w:hAnsi="Traditional Arabic" w:cs="Traditional Arabic"/>
          <w:kern w:val="2"/>
          <w:sz w:val="28"/>
          <w:szCs w:val="28"/>
          <w:rtl/>
          <w:lang w:bidi="ar-EG"/>
          <w14:ligatures w14:val="standardContextual"/>
        </w:rPr>
        <w:t>). وتُظهر الأدبيات العربية كذلك أن نجاح أنظمة ذكاء الأعمال لا يتحدد فقط بتوفر الأدوات، بل بمنظومة عوامل حرجة تشمل جودة البيانات، ودعم الإدارة العليا، ومشاركة المستخدم، والتدريب، ووضوح الرؤية، وهي عوامل تشكل البيئة التي تسمح بتحويل البنية التقنية إلى منفعة فعلية (مشايخ وآخرون، 2023).</w:t>
      </w:r>
    </w:p>
    <w:p w14:paraId="3C68A7E9" w14:textId="77777777" w:rsidR="00CB373C" w:rsidRPr="00CB373C" w:rsidRDefault="00CB373C" w:rsidP="00CB373C">
      <w:pPr>
        <w:keepNext/>
        <w:keepLines/>
        <w:numPr>
          <w:ilvl w:val="2"/>
          <w:numId w:val="0"/>
        </w:numPr>
        <w:bidi/>
        <w:spacing w:before="160" w:after="80" w:line="278" w:lineRule="auto"/>
        <w:ind w:left="720" w:hanging="720"/>
        <w:outlineLvl w:val="2"/>
        <w:rPr>
          <w:rFonts w:ascii="Traditional Arabic" w:eastAsia="Times New Roman" w:hAnsi="Traditional Arabic" w:cs="Traditional Arabic"/>
          <w:b/>
          <w:bCs/>
          <w:color w:val="000000"/>
          <w:kern w:val="2"/>
          <w:sz w:val="28"/>
          <w:szCs w:val="28"/>
          <w:rtl/>
          <w:lang w:bidi="ar-EG"/>
          <w14:ligatures w14:val="standardContextual"/>
        </w:rPr>
      </w:pPr>
      <w:bookmarkStart w:id="48" w:name="_Toc222423549"/>
      <w:r w:rsidRPr="00CB373C">
        <w:rPr>
          <w:rFonts w:ascii="Traditional Arabic" w:eastAsia="Times New Roman" w:hAnsi="Traditional Arabic" w:cs="Traditional Arabic"/>
          <w:b/>
          <w:bCs/>
          <w:color w:val="000000"/>
          <w:kern w:val="2"/>
          <w:sz w:val="28"/>
          <w:szCs w:val="28"/>
          <w:rtl/>
          <w:lang w:bidi="ar-EG"/>
          <w14:ligatures w14:val="standardContextual"/>
        </w:rPr>
        <w:t>مجالات التطبيق المصرفي من إدارة المخاطر إلى إدارة القيمة</w:t>
      </w:r>
      <w:bookmarkEnd w:id="48"/>
    </w:p>
    <w:p w14:paraId="15FE69B8"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لا تعمل تطبيقات ذكاء الأعمال في المصارف بمعزل عن وظيفة البنك الأساسية؛ بل تتموضع حيث تكون تكلفة الخطأ أعلى، والعائد من جودة القرار أكبر.</w:t>
      </w:r>
    </w:p>
    <w:p w14:paraId="5C2A63AD"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إدارة المخاطر والرقابة التشغيلية</w:t>
      </w:r>
    </w:p>
    <w:p w14:paraId="613EC7A7"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تتزايد أهمية ذكاء الأعمال في إدارة المخاطر حين يُستخدم لتقليل مخاطر الأنظمة والعمليات عبر تحسين الرؤية الشاملة للمدخلات والمخرجات ومؤشرات الانحراف. وفي هذا السياق تقدم دراسة القضاة وآخرون (2025) دليلاً تطبيقياً على أن عناصر نظم ذكاء الأعمال (مثل تجميع/تحليل/تخزين البيانات وإدارة الأداء والذكاء التنافسي) ترتبط بالحد من مخاطر نظم المعلومات في البيئة </w:t>
      </w:r>
      <w:r w:rsidRPr="00CB373C">
        <w:rPr>
          <w:rFonts w:ascii="Traditional Arabic" w:eastAsia="Aptos" w:hAnsi="Traditional Arabic" w:cs="Traditional Arabic"/>
          <w:kern w:val="2"/>
          <w:sz w:val="28"/>
          <w:szCs w:val="28"/>
          <w:rtl/>
          <w:lang w:bidi="ar-EG"/>
          <w14:ligatures w14:val="standardContextual"/>
        </w:rPr>
        <w:lastRenderedPageBreak/>
        <w:t>التنظيمية، مع إبراز دور الأنظمة التكاملية مثل تخطيط الموارد (</w:t>
      </w:r>
      <w:r w:rsidRPr="00CB373C">
        <w:rPr>
          <w:rFonts w:ascii="Traditional Arabic" w:eastAsia="Aptos" w:hAnsi="Traditional Arabic" w:cs="Traditional Arabic"/>
          <w:kern w:val="2"/>
          <w:sz w:val="28"/>
          <w:szCs w:val="28"/>
          <w:lang w:bidi="ar-EG"/>
          <w14:ligatures w14:val="standardContextual"/>
        </w:rPr>
        <w:t>ERP</w:t>
      </w:r>
      <w:r w:rsidRPr="00CB373C">
        <w:rPr>
          <w:rFonts w:ascii="Traditional Arabic" w:eastAsia="Aptos" w:hAnsi="Traditional Arabic" w:cs="Traditional Arabic"/>
          <w:kern w:val="2"/>
          <w:sz w:val="28"/>
          <w:szCs w:val="28"/>
          <w:rtl/>
          <w:lang w:bidi="ar-EG"/>
          <w14:ligatures w14:val="standardContextual"/>
        </w:rPr>
        <w:t>) في تعزيز هذا الأثر (القضاة وآخرون، 2025). ورغم أن مجال الدراسة خارج البنوك مباشرة، إلا أن المنطق ذاته ينطبق على المصارف من حيث مركزية البيانات وحساسية الضوابط.</w:t>
      </w:r>
    </w:p>
    <w:p w14:paraId="407E2969"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كشف الاحتيال والجرائم المالية</w:t>
      </w:r>
    </w:p>
    <w:p w14:paraId="43076F85"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يمثل كشف الاحتيال مجالاً يوضح بجلاء العلاقة بين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والتحليلات والذكاء الاصطناعي: فالبنوك تحتاج أولاً إلى بنية بيانات موحدة ثم أدوات تحليل قادرة على التقاط الأنماط الشاذة. وتبين مراجعة أدبية حديثة حول كشف الاحتيال المالي عبر التعلم الآلي أن الاتجاه العام يتزايد نحو نماذج تعتمد بيانات واقعية واسعة النطاق ومقاييس أداء متعددة، بما يعكس الحاجة إلى خطوط بيانات مستقرة وحوكمة قوية لضمان دقة النماذج وموثوقيتها (</w:t>
      </w:r>
      <w:r w:rsidRPr="00CB373C">
        <w:rPr>
          <w:rFonts w:ascii="Traditional Arabic" w:eastAsia="Aptos" w:hAnsi="Traditional Arabic" w:cs="Traditional Arabic"/>
          <w:kern w:val="2"/>
          <w:sz w:val="28"/>
          <w:szCs w:val="28"/>
          <w:lang w:bidi="ar-EG"/>
          <w14:ligatures w14:val="standardContextual"/>
        </w:rPr>
        <w:t>Hernandez Aros et al., 2024</w:t>
      </w:r>
      <w:r w:rsidRPr="00CB373C">
        <w:rPr>
          <w:rFonts w:ascii="Traditional Arabic" w:eastAsia="Aptos" w:hAnsi="Traditional Arabic" w:cs="Traditional Arabic"/>
          <w:kern w:val="2"/>
          <w:sz w:val="28"/>
          <w:szCs w:val="28"/>
          <w:rtl/>
          <w:lang w:bidi="ar-EG"/>
          <w14:ligatures w14:val="standardContextual"/>
        </w:rPr>
        <w:t>). وبالنتيجة، فإن ذكاء الأعمال هنا يعمل كطبقة تمكينية: يضمن جودة البيانات وتاريخيتها وقابليتها للدمج، بينما تتولى التحليلات/الذكاء الاصطناعي مهمة الاستدلال والكشف.</w:t>
      </w:r>
    </w:p>
    <w:p w14:paraId="0F4E1B02"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تحليل العملاء وتوجيه القرارات التسويقية والخدمية</w:t>
      </w:r>
    </w:p>
    <w:p w14:paraId="426EDF76"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في المصارف، لا تقتصر إدارة علاقة العميل على التفاعل الخدمي، بل تُبنى على فهم سلوك العميل وقيمته ومخاطره. وتشير دراسة الغريب (2022) إلى أن المعلومات المستمدة من نظام ذكاء الأعمال تساعد في صياغة الاستراتيجية وفي دعم المديرين التنفيذيين أثناء اتخاذ القرار، مع التنبيه إلى أن جوانب البنية التحتية لذكاء الأعمال تحتاج غالباً إلى تحسين لضمان سرعة الاستجابة وتوسيع الاستخدام داخل المؤسسة (الغريب، 2022). ويمكن قراءة هذا الاستنتاج كإشارة إلى أن التحول نحو قرار متمحور حول العميل يتطلب بنية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ناضجة، وإلا بقيت الرؤى جزئية ومحدودة الأثر.</w:t>
      </w:r>
    </w:p>
    <w:p w14:paraId="327F9380"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الامتثال وقياس الأداء</w:t>
      </w:r>
    </w:p>
    <w:p w14:paraId="634A62F9"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تزداد قيمة ذكاء الأعمال أيضاً في الامتثال وقياس الأداء، لأن كثيراً من متطلبات الالتزام والرقابة تتعلق بتتبع المؤشرات، وتفسير الانحراف، وإصدار تقارير دقيقة في وقت مناسب. ومع ذلك، تُظهر الأدبيات السلوكية للقرار أن تحسن المعلومات لا يلغي تلقائياً الانحيازات أو أخطاء الحكم، خصوصاً في المجالات التي يختلط فيها الحكم المهني بالقياس الكمي. فدراسة </w:t>
      </w:r>
      <w:r w:rsidRPr="00CB373C">
        <w:rPr>
          <w:rFonts w:ascii="Traditional Arabic" w:eastAsia="Aptos" w:hAnsi="Traditional Arabic" w:cs="Traditional Arabic"/>
          <w:kern w:val="2"/>
          <w:sz w:val="28"/>
          <w:szCs w:val="28"/>
          <w:lang w:bidi="ar-EG"/>
          <w14:ligatures w14:val="standardContextual"/>
        </w:rPr>
        <w:t>Ogbeide</w:t>
      </w:r>
      <w:r w:rsidRPr="00CB373C">
        <w:rPr>
          <w:rFonts w:ascii="Traditional Arabic" w:eastAsia="Aptos" w:hAnsi="Traditional Arabic" w:cs="Traditional Arabic"/>
          <w:kern w:val="2"/>
          <w:sz w:val="28"/>
          <w:szCs w:val="28"/>
          <w:rtl/>
          <w:lang w:bidi="ar-EG"/>
          <w14:ligatures w14:val="standardContextual"/>
        </w:rPr>
        <w:t xml:space="preserve"> وزملائه (2023) حول تقييم مخاطر غسل الأموال تلفت إلى أن الخبراء قد يقعون في أنماط من الثقة الزائدة وتفضيل الأخطاء الإيجابية الكاذبة على السلبية الكاذبة، ما يستدعي آليات تغذية راجعة وتحسين مستمر لعملية </w:t>
      </w:r>
      <w:r w:rsidRPr="00CB373C">
        <w:rPr>
          <w:rFonts w:ascii="Traditional Arabic" w:eastAsia="Aptos" w:hAnsi="Traditional Arabic" w:cs="Traditional Arabic"/>
          <w:kern w:val="2"/>
          <w:sz w:val="28"/>
          <w:szCs w:val="28"/>
          <w:rtl/>
          <w:lang w:bidi="ar-EG"/>
          <w14:ligatures w14:val="standardContextual"/>
        </w:rPr>
        <w:br/>
        <w:t>الحكم (</w:t>
      </w:r>
      <w:r w:rsidRPr="00CB373C">
        <w:rPr>
          <w:rFonts w:ascii="Traditional Arabic" w:eastAsia="Aptos" w:hAnsi="Traditional Arabic" w:cs="Traditional Arabic"/>
          <w:kern w:val="2"/>
          <w:sz w:val="28"/>
          <w:szCs w:val="28"/>
          <w:lang w:bidi="ar-EG"/>
          <w14:ligatures w14:val="standardContextual"/>
        </w:rPr>
        <w:t>Ogbeide et al., 2023</w:t>
      </w:r>
      <w:r w:rsidRPr="00CB373C">
        <w:rPr>
          <w:rFonts w:ascii="Traditional Arabic" w:eastAsia="Aptos" w:hAnsi="Traditional Arabic" w:cs="Traditional Arabic"/>
          <w:kern w:val="2"/>
          <w:sz w:val="28"/>
          <w:szCs w:val="28"/>
          <w:rtl/>
          <w:lang w:bidi="ar-EG"/>
          <w14:ligatures w14:val="standardContextual"/>
        </w:rPr>
        <w:t>). ومن ثمّ، فإن ذكاء الأعمال – حين يُدمج مع ممارسات مراجعة القرار – لا يرفع جودة القرار عبر البيانات فقط، بل عبر تصميم بيئة قرار تقل فيها الأخطاء المنهجية.</w:t>
      </w:r>
    </w:p>
    <w:p w14:paraId="37C3E39E" w14:textId="77777777" w:rsidR="00CB373C" w:rsidRPr="00CB373C" w:rsidRDefault="00CB373C" w:rsidP="00CB373C">
      <w:pPr>
        <w:keepNext/>
        <w:keepLines/>
        <w:numPr>
          <w:ilvl w:val="2"/>
          <w:numId w:val="0"/>
        </w:numPr>
        <w:bidi/>
        <w:spacing w:before="160" w:after="80" w:line="278" w:lineRule="auto"/>
        <w:ind w:left="720" w:hanging="720"/>
        <w:outlineLvl w:val="2"/>
        <w:rPr>
          <w:rFonts w:ascii="Traditional Arabic" w:eastAsia="Times New Roman" w:hAnsi="Traditional Arabic" w:cs="Traditional Arabic"/>
          <w:b/>
          <w:bCs/>
          <w:color w:val="000000"/>
          <w:kern w:val="2"/>
          <w:sz w:val="28"/>
          <w:szCs w:val="28"/>
          <w:rtl/>
          <w:lang w:bidi="ar-EG"/>
          <w14:ligatures w14:val="standardContextual"/>
        </w:rPr>
      </w:pPr>
      <w:bookmarkStart w:id="49" w:name="_Toc222423550"/>
      <w:r w:rsidRPr="00CB373C">
        <w:rPr>
          <w:rFonts w:ascii="Traditional Arabic" w:eastAsia="Times New Roman" w:hAnsi="Traditional Arabic" w:cs="Traditional Arabic"/>
          <w:b/>
          <w:bCs/>
          <w:color w:val="000000"/>
          <w:kern w:val="2"/>
          <w:sz w:val="28"/>
          <w:szCs w:val="28"/>
          <w:rtl/>
          <w:lang w:bidi="ar-EG"/>
          <w14:ligatures w14:val="standardContextual"/>
        </w:rPr>
        <w:t>تحديات التطبيق في المصارف</w:t>
      </w:r>
      <w:bookmarkEnd w:id="49"/>
    </w:p>
    <w:p w14:paraId="70FFF338"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على الرغم من الوعود الكبيرة لذكاء الأعمال، إلا أن الفشل الجزئي أو ضعف العائد يظهر غالباً عند نقطة التحويل من رؤية إلى قرار. ويمكن تجميع أبرز التحديات فيما يلي:</w:t>
      </w:r>
    </w:p>
    <w:p w14:paraId="2622AED8"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جودة البيانات وحوكمتها</w:t>
      </w:r>
    </w:p>
    <w:p w14:paraId="1B9A65EB"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تُعد جودة البيانات الشرط الأولي لفعالية أي مخرجات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فالتكرار والتجزؤ وعدم الاتساق يخلق تقارير متناقضة ويهدم الثقة. وتقدم مراجعة </w:t>
      </w:r>
      <w:r w:rsidRPr="00CB373C">
        <w:rPr>
          <w:rFonts w:ascii="Traditional Arabic" w:eastAsia="Aptos" w:hAnsi="Traditional Arabic" w:cs="Traditional Arabic"/>
          <w:kern w:val="2"/>
          <w:sz w:val="28"/>
          <w:szCs w:val="28"/>
          <w:lang w:bidi="ar-EG"/>
          <w14:ligatures w14:val="standardContextual"/>
        </w:rPr>
        <w:t>Bernardo</w:t>
      </w:r>
      <w:r w:rsidRPr="00CB373C">
        <w:rPr>
          <w:rFonts w:ascii="Traditional Arabic" w:eastAsia="Aptos" w:hAnsi="Traditional Arabic" w:cs="Traditional Arabic"/>
          <w:kern w:val="2"/>
          <w:sz w:val="28"/>
          <w:szCs w:val="28"/>
          <w:rtl/>
          <w:lang w:bidi="ar-EG"/>
          <w14:ligatures w14:val="standardContextual"/>
        </w:rPr>
        <w:t xml:space="preserve"> وزملائه (2024) حول حوكمة البيانات وإدارة الجودة إطاراً منهجياً يوضح أن الحوكمة ليست إجراءً شكلياً، بل منظومة سياسات وأدوار ونضج مؤسسي يُمكّن من تعظيم قيمة البيانات وضبط مخاطرها (</w:t>
      </w:r>
      <w:r w:rsidRPr="00CB373C">
        <w:rPr>
          <w:rFonts w:ascii="Traditional Arabic" w:eastAsia="Aptos" w:hAnsi="Traditional Arabic" w:cs="Traditional Arabic"/>
          <w:kern w:val="2"/>
          <w:sz w:val="28"/>
          <w:szCs w:val="28"/>
          <w:lang w:bidi="ar-EG"/>
          <w14:ligatures w14:val="standardContextual"/>
        </w:rPr>
        <w:t xml:space="preserve">Bernardo et </w:t>
      </w:r>
      <w:r w:rsidRPr="00CB373C">
        <w:rPr>
          <w:rFonts w:ascii="Traditional Arabic" w:eastAsia="Aptos" w:hAnsi="Traditional Arabic" w:cs="Traditional Arabic"/>
          <w:kern w:val="2"/>
          <w:sz w:val="28"/>
          <w:szCs w:val="28"/>
          <w:lang w:bidi="ar-EG"/>
          <w14:ligatures w14:val="standardContextual"/>
        </w:rPr>
        <w:lastRenderedPageBreak/>
        <w:t>al., 2024</w:t>
      </w:r>
      <w:r w:rsidRPr="00CB373C">
        <w:rPr>
          <w:rFonts w:ascii="Traditional Arabic" w:eastAsia="Aptos" w:hAnsi="Traditional Arabic" w:cs="Traditional Arabic"/>
          <w:kern w:val="2"/>
          <w:sz w:val="28"/>
          <w:szCs w:val="28"/>
          <w:rtl/>
          <w:lang w:bidi="ar-EG"/>
          <w14:ligatures w14:val="standardContextual"/>
        </w:rPr>
        <w:t xml:space="preserve">). ويتقاطع ذلك مع ما توصلت إليه مراجعة </w:t>
      </w:r>
      <w:r w:rsidRPr="00CB373C">
        <w:rPr>
          <w:rFonts w:ascii="Traditional Arabic" w:eastAsia="Aptos" w:hAnsi="Traditional Arabic" w:cs="Traditional Arabic"/>
          <w:kern w:val="2"/>
          <w:sz w:val="28"/>
          <w:szCs w:val="28"/>
          <w:lang w:bidi="ar-EG"/>
          <w14:ligatures w14:val="standardContextual"/>
        </w:rPr>
        <w:t>Al-</w:t>
      </w:r>
      <w:proofErr w:type="spellStart"/>
      <w:r w:rsidRPr="00CB373C">
        <w:rPr>
          <w:rFonts w:ascii="Traditional Arabic" w:eastAsia="Aptos" w:hAnsi="Traditional Arabic" w:cs="Traditional Arabic"/>
          <w:kern w:val="2"/>
          <w:sz w:val="28"/>
          <w:szCs w:val="28"/>
          <w:lang w:bidi="ar-EG"/>
          <w14:ligatures w14:val="standardContextual"/>
        </w:rPr>
        <w:t>Daraba</w:t>
      </w:r>
      <w:proofErr w:type="spellEnd"/>
      <w:r w:rsidRPr="00CB373C">
        <w:rPr>
          <w:rFonts w:ascii="Traditional Arabic" w:eastAsia="Aptos" w:hAnsi="Traditional Arabic" w:cs="Traditional Arabic"/>
          <w:kern w:val="2"/>
          <w:sz w:val="28"/>
          <w:szCs w:val="28"/>
          <w:rtl/>
          <w:lang w:bidi="ar-EG"/>
          <w14:ligatures w14:val="standardContextual"/>
        </w:rPr>
        <w:t xml:space="preserve"> وزملائه (2025) من أن كثيراً من المنظمات لا تستفيد بالكامل من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بسبب تحديات مرتبطة بالتبني والتنفيذ والعوامل التنظيمية المصاحبة (</w:t>
      </w:r>
      <w:r w:rsidRPr="00CB373C">
        <w:rPr>
          <w:rFonts w:ascii="Traditional Arabic" w:eastAsia="Aptos" w:hAnsi="Traditional Arabic" w:cs="Traditional Arabic"/>
          <w:kern w:val="2"/>
          <w:sz w:val="28"/>
          <w:szCs w:val="28"/>
          <w:lang w:bidi="ar-EG"/>
          <w14:ligatures w14:val="standardContextual"/>
        </w:rPr>
        <w:t>Al-</w:t>
      </w:r>
      <w:proofErr w:type="spellStart"/>
      <w:r w:rsidRPr="00CB373C">
        <w:rPr>
          <w:rFonts w:ascii="Traditional Arabic" w:eastAsia="Aptos" w:hAnsi="Traditional Arabic" w:cs="Traditional Arabic"/>
          <w:kern w:val="2"/>
          <w:sz w:val="28"/>
          <w:szCs w:val="28"/>
          <w:lang w:bidi="ar-EG"/>
          <w14:ligatures w14:val="standardContextual"/>
        </w:rPr>
        <w:t>Daraba</w:t>
      </w:r>
      <w:proofErr w:type="spellEnd"/>
      <w:r w:rsidRPr="00CB373C">
        <w:rPr>
          <w:rFonts w:ascii="Traditional Arabic" w:eastAsia="Aptos" w:hAnsi="Traditional Arabic" w:cs="Traditional Arabic"/>
          <w:kern w:val="2"/>
          <w:sz w:val="28"/>
          <w:szCs w:val="28"/>
          <w:lang w:bidi="ar-EG"/>
          <w14:ligatures w14:val="standardContextual"/>
        </w:rPr>
        <w:t xml:space="preserve"> et al., 2025</w:t>
      </w:r>
      <w:r w:rsidRPr="00CB373C">
        <w:rPr>
          <w:rFonts w:ascii="Traditional Arabic" w:eastAsia="Aptos" w:hAnsi="Traditional Arabic" w:cs="Traditional Arabic"/>
          <w:kern w:val="2"/>
          <w:sz w:val="28"/>
          <w:szCs w:val="28"/>
          <w:rtl/>
          <w:lang w:bidi="ar-EG"/>
          <w14:ligatures w14:val="standardContextual"/>
        </w:rPr>
        <w:t>).</w:t>
      </w:r>
    </w:p>
    <w:p w14:paraId="0D44ACDC"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الخصوصية والأمن السيبراني</w:t>
      </w:r>
    </w:p>
    <w:p w14:paraId="1EA82826"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الخصوصية والأمن السيبراني في المصارف ليستا اعتبارات لاحقة، بل جزء من هندسة النظام. وتناقش دراسة </w:t>
      </w:r>
      <w:proofErr w:type="spellStart"/>
      <w:r w:rsidRPr="00CB373C">
        <w:rPr>
          <w:rFonts w:ascii="Traditional Arabic" w:eastAsia="Aptos" w:hAnsi="Traditional Arabic" w:cs="Traditional Arabic"/>
          <w:kern w:val="2"/>
          <w:sz w:val="28"/>
          <w:szCs w:val="28"/>
          <w:lang w:bidi="ar-EG"/>
          <w14:ligatures w14:val="standardContextual"/>
        </w:rPr>
        <w:t>Golebiowska</w:t>
      </w:r>
      <w:proofErr w:type="spellEnd"/>
      <w:r w:rsidRPr="00CB373C">
        <w:rPr>
          <w:rFonts w:ascii="Traditional Arabic" w:eastAsia="Aptos" w:hAnsi="Traditional Arabic" w:cs="Traditional Arabic"/>
          <w:kern w:val="2"/>
          <w:sz w:val="28"/>
          <w:szCs w:val="28"/>
          <w:rtl/>
          <w:lang w:bidi="ar-EG"/>
          <w14:ligatures w14:val="standardContextual"/>
        </w:rPr>
        <w:t xml:space="preserve"> وزملائه (2021) جوانب الأمن السيبراني المرتبطة بتحليلات ذكاء الأعمال في سياق البيانات الضخمة، وتلفت إلى تنامي الضغوط التنظيمية وتعدد المخاطر التي تستهدف البيانات، بما يفرض تكاملاً بين الحلول التقنية والإطار القانوني/التنظيمي (</w:t>
      </w:r>
      <w:proofErr w:type="spellStart"/>
      <w:r w:rsidRPr="00CB373C">
        <w:rPr>
          <w:rFonts w:ascii="Traditional Arabic" w:eastAsia="Aptos" w:hAnsi="Traditional Arabic" w:cs="Traditional Arabic"/>
          <w:kern w:val="2"/>
          <w:sz w:val="28"/>
          <w:szCs w:val="28"/>
          <w:lang w:bidi="ar-EG"/>
          <w14:ligatures w14:val="standardContextual"/>
        </w:rPr>
        <w:t>Golebiowska</w:t>
      </w:r>
      <w:proofErr w:type="spellEnd"/>
      <w:r w:rsidRPr="00CB373C">
        <w:rPr>
          <w:rFonts w:ascii="Traditional Arabic" w:eastAsia="Aptos" w:hAnsi="Traditional Arabic" w:cs="Traditional Arabic"/>
          <w:kern w:val="2"/>
          <w:sz w:val="28"/>
          <w:szCs w:val="28"/>
          <w:lang w:bidi="ar-EG"/>
          <w14:ligatures w14:val="standardContextual"/>
        </w:rPr>
        <w:t xml:space="preserve"> et al., 2021</w:t>
      </w:r>
      <w:r w:rsidRPr="00CB373C">
        <w:rPr>
          <w:rFonts w:ascii="Traditional Arabic" w:eastAsia="Aptos" w:hAnsi="Traditional Arabic" w:cs="Traditional Arabic"/>
          <w:kern w:val="2"/>
          <w:sz w:val="28"/>
          <w:szCs w:val="28"/>
          <w:rtl/>
          <w:lang w:bidi="ar-EG"/>
          <w14:ligatures w14:val="standardContextual"/>
        </w:rPr>
        <w:t>). وهذا ينعكس عملياً على تصميم سياسات الوصول للبيانات، وإدارة الهويات، ومراقبة الاستخدام.</w:t>
      </w:r>
    </w:p>
    <w:p w14:paraId="3419046F"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فجوة التحويل من الرؤى إلى قرارات</w:t>
      </w:r>
    </w:p>
    <w:p w14:paraId="3ECBECDE"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حتى مع توافر بنية تقنية جيدة، قد تبقى الفائدة محدودة إذا لم تُدمج مخرجات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في روتين القرار. وتبيّن دراسة </w:t>
      </w:r>
      <w:r w:rsidRPr="00CB373C">
        <w:rPr>
          <w:rFonts w:ascii="Traditional Arabic" w:eastAsia="Aptos" w:hAnsi="Traditional Arabic" w:cs="Traditional Arabic"/>
          <w:kern w:val="2"/>
          <w:sz w:val="28"/>
          <w:szCs w:val="28"/>
          <w:lang w:bidi="ar-EG"/>
          <w14:ligatures w14:val="standardContextual"/>
        </w:rPr>
        <w:t>Maghsoudi</w:t>
      </w:r>
      <w:r w:rsidRPr="00CB373C">
        <w:rPr>
          <w:rFonts w:ascii="Traditional Arabic" w:eastAsia="Aptos" w:hAnsi="Traditional Arabic" w:cs="Traditional Arabic"/>
          <w:kern w:val="2"/>
          <w:sz w:val="28"/>
          <w:szCs w:val="28"/>
          <w:rtl/>
          <w:lang w:bidi="ar-EG"/>
          <w14:ligatures w14:val="standardContextual"/>
        </w:rPr>
        <w:t xml:space="preserve"> و</w:t>
      </w:r>
      <w:proofErr w:type="spellStart"/>
      <w:r w:rsidRPr="00CB373C">
        <w:rPr>
          <w:rFonts w:ascii="Traditional Arabic" w:eastAsia="Aptos" w:hAnsi="Traditional Arabic" w:cs="Traditional Arabic"/>
          <w:kern w:val="2"/>
          <w:sz w:val="28"/>
          <w:szCs w:val="28"/>
          <w:lang w:bidi="ar-EG"/>
          <w14:ligatures w14:val="standardContextual"/>
        </w:rPr>
        <w:t>Nezafati</w:t>
      </w:r>
      <w:proofErr w:type="spellEnd"/>
      <w:r w:rsidRPr="00CB373C">
        <w:rPr>
          <w:rFonts w:ascii="Traditional Arabic" w:eastAsia="Aptos" w:hAnsi="Traditional Arabic" w:cs="Traditional Arabic"/>
          <w:kern w:val="2"/>
          <w:sz w:val="28"/>
          <w:szCs w:val="28"/>
          <w:rtl/>
          <w:lang w:bidi="ar-EG"/>
          <w14:ligatures w14:val="standardContextual"/>
        </w:rPr>
        <w:t xml:space="preserve"> (2023) أن القبول التنظيمي لتنفيذ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يتأثر بتفاعل عوامل متعددة على مدى زمني، وأن نماذج التنفيذ (مثل التوجه نحو ذكاء الأعمال ذاتي الخدمة) قد تُحدث فروقاً في مستويات القبول مع مرور الوقت (</w:t>
      </w:r>
      <w:r w:rsidRPr="00CB373C">
        <w:rPr>
          <w:rFonts w:ascii="Traditional Arabic" w:eastAsia="Aptos" w:hAnsi="Traditional Arabic" w:cs="Traditional Arabic"/>
          <w:kern w:val="2"/>
          <w:sz w:val="28"/>
          <w:szCs w:val="28"/>
          <w:lang w:bidi="ar-EG"/>
          <w14:ligatures w14:val="standardContextual"/>
        </w:rPr>
        <w:t xml:space="preserve">Maghsoudi &amp; </w:t>
      </w:r>
      <w:proofErr w:type="spellStart"/>
      <w:r w:rsidRPr="00CB373C">
        <w:rPr>
          <w:rFonts w:ascii="Traditional Arabic" w:eastAsia="Aptos" w:hAnsi="Traditional Arabic" w:cs="Traditional Arabic"/>
          <w:kern w:val="2"/>
          <w:sz w:val="28"/>
          <w:szCs w:val="28"/>
          <w:lang w:bidi="ar-EG"/>
          <w14:ligatures w14:val="standardContextual"/>
        </w:rPr>
        <w:t>Nezafati</w:t>
      </w:r>
      <w:proofErr w:type="spellEnd"/>
      <w:r w:rsidRPr="00CB373C">
        <w:rPr>
          <w:rFonts w:ascii="Traditional Arabic" w:eastAsia="Aptos" w:hAnsi="Traditional Arabic" w:cs="Traditional Arabic"/>
          <w:kern w:val="2"/>
          <w:sz w:val="28"/>
          <w:szCs w:val="28"/>
          <w:lang w:bidi="ar-EG"/>
          <w14:ligatures w14:val="standardContextual"/>
        </w:rPr>
        <w:t>, 2023</w:t>
      </w:r>
      <w:r w:rsidRPr="00CB373C">
        <w:rPr>
          <w:rFonts w:ascii="Traditional Arabic" w:eastAsia="Aptos" w:hAnsi="Traditional Arabic" w:cs="Traditional Arabic"/>
          <w:kern w:val="2"/>
          <w:sz w:val="28"/>
          <w:szCs w:val="28"/>
          <w:rtl/>
          <w:lang w:bidi="ar-EG"/>
          <w14:ligatures w14:val="standardContextual"/>
        </w:rPr>
        <w:t xml:space="preserve">). ويكتسب هذا الاستنتاج أهمية مباشرة في الدراسة الحالية، لأنه يهيئ الأرضية لفكرة أن قيمة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تمر عبر سلوك المستخدمين وتبنيهم—وهو ما ستعالجه الدراسة لاحقاً عبر نموذج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w:t>
      </w:r>
    </w:p>
    <w:p w14:paraId="304AD29F"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417EECA9"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3D49F380" w14:textId="77777777" w:rsidR="00CB373C" w:rsidRPr="00CB373C" w:rsidRDefault="00CB373C" w:rsidP="00CB373C">
      <w:pPr>
        <w:keepNext/>
        <w:keepLines/>
        <w:numPr>
          <w:ilvl w:val="1"/>
          <w:numId w:val="0"/>
        </w:numPr>
        <w:bidi/>
        <w:spacing w:before="160" w:after="80" w:line="278" w:lineRule="auto"/>
        <w:ind w:left="576" w:hanging="576"/>
        <w:jc w:val="both"/>
        <w:outlineLvl w:val="1"/>
        <w:rPr>
          <w:rFonts w:ascii="Traditional Arabic" w:eastAsia="Times New Roman" w:hAnsi="Traditional Arabic" w:cs="Traditional Arabic"/>
          <w:b/>
          <w:bCs/>
          <w:color w:val="000000"/>
          <w:kern w:val="2"/>
          <w:sz w:val="32"/>
          <w:szCs w:val="32"/>
          <w:rtl/>
          <w:lang w:bidi="ar-EG"/>
          <w14:ligatures w14:val="standardContextual"/>
        </w:rPr>
      </w:pPr>
      <w:bookmarkStart w:id="50" w:name="_Toc222423551"/>
      <w:r w:rsidRPr="00CB373C">
        <w:rPr>
          <w:rFonts w:ascii="Traditional Arabic" w:eastAsia="Times New Roman" w:hAnsi="Traditional Arabic" w:cs="Traditional Arabic"/>
          <w:b/>
          <w:bCs/>
          <w:color w:val="000000"/>
          <w:kern w:val="2"/>
          <w:sz w:val="32"/>
          <w:szCs w:val="32"/>
          <w:rtl/>
          <w:lang w:bidi="ar-EG"/>
          <w14:ligatures w14:val="standardContextual"/>
        </w:rPr>
        <w:t>قبول أنظمة ذكاء الأعمال: نموذج قبول التكنولوجيا (</w:t>
      </w:r>
      <w:r w:rsidRPr="00CB373C">
        <w:rPr>
          <w:rFonts w:ascii="Traditional Arabic" w:eastAsia="Times New Roman" w:hAnsi="Traditional Arabic" w:cs="Traditional Arabic"/>
          <w:b/>
          <w:bCs/>
          <w:color w:val="000000"/>
          <w:kern w:val="2"/>
          <w:sz w:val="32"/>
          <w:szCs w:val="32"/>
          <w:lang w:bidi="ar-EG"/>
          <w14:ligatures w14:val="standardContextual"/>
        </w:rPr>
        <w:t>TAM</w:t>
      </w:r>
      <w:r w:rsidRPr="00CB373C">
        <w:rPr>
          <w:rFonts w:ascii="Traditional Arabic" w:eastAsia="Times New Roman" w:hAnsi="Traditional Arabic" w:cs="Traditional Arabic"/>
          <w:b/>
          <w:bCs/>
          <w:color w:val="000000"/>
          <w:kern w:val="2"/>
          <w:sz w:val="32"/>
          <w:szCs w:val="32"/>
          <w:rtl/>
          <w:lang w:bidi="ar-EG"/>
          <w14:ligatures w14:val="standardContextual"/>
        </w:rPr>
        <w:t>) وتكييفه على بيئة البنوك</w:t>
      </w:r>
      <w:bookmarkEnd w:id="50"/>
    </w:p>
    <w:p w14:paraId="590F42C0" w14:textId="77777777" w:rsidR="00CB373C" w:rsidRPr="00CB373C" w:rsidRDefault="00CB373C" w:rsidP="00CB373C">
      <w:pPr>
        <w:keepNext/>
        <w:keepLines/>
        <w:numPr>
          <w:ilvl w:val="2"/>
          <w:numId w:val="0"/>
        </w:numPr>
        <w:bidi/>
        <w:spacing w:before="160" w:after="80" w:line="278" w:lineRule="auto"/>
        <w:ind w:left="720" w:hanging="720"/>
        <w:outlineLvl w:val="2"/>
        <w:rPr>
          <w:rFonts w:ascii="Traditional Arabic" w:eastAsia="Times New Roman" w:hAnsi="Traditional Arabic" w:cs="Traditional Arabic"/>
          <w:b/>
          <w:bCs/>
          <w:color w:val="000000"/>
          <w:kern w:val="2"/>
          <w:sz w:val="28"/>
          <w:szCs w:val="28"/>
          <w:rtl/>
          <w:lang w:bidi="ar-EG"/>
          <w14:ligatures w14:val="standardContextual"/>
        </w:rPr>
      </w:pPr>
      <w:bookmarkStart w:id="51" w:name="_Toc222423552"/>
      <w:r w:rsidRPr="00CB373C">
        <w:rPr>
          <w:rFonts w:ascii="Traditional Arabic" w:eastAsia="Times New Roman" w:hAnsi="Traditional Arabic" w:cs="Traditional Arabic"/>
          <w:b/>
          <w:bCs/>
          <w:color w:val="000000"/>
          <w:kern w:val="2"/>
          <w:sz w:val="28"/>
          <w:szCs w:val="28"/>
          <w:rtl/>
          <w:lang w:bidi="ar-EG"/>
          <w14:ligatures w14:val="standardContextual"/>
        </w:rPr>
        <w:t>الأساس النظري لنموذج قبول التكنولوجيا في بحوث نظم المعلومات</w:t>
      </w:r>
      <w:bookmarkEnd w:id="51"/>
    </w:p>
    <w:p w14:paraId="3980A40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يُعدّ نموذج قبول التكنولوجيا (</w:t>
      </w:r>
      <w:r w:rsidRPr="00CB373C">
        <w:rPr>
          <w:rFonts w:ascii="Traditional Arabic" w:eastAsia="Aptos" w:hAnsi="Traditional Arabic" w:cs="Traditional Arabic"/>
          <w:kern w:val="2"/>
          <w:sz w:val="28"/>
          <w:szCs w:val="28"/>
          <w:lang w:bidi="ar-EG"/>
          <w14:ligatures w14:val="standardContextual"/>
        </w:rPr>
        <w:t>Technology Acceptance Model: TAM</w:t>
      </w:r>
      <w:r w:rsidRPr="00CB373C">
        <w:rPr>
          <w:rFonts w:ascii="Traditional Arabic" w:eastAsia="Aptos" w:hAnsi="Traditional Arabic" w:cs="Traditional Arabic"/>
          <w:kern w:val="2"/>
          <w:sz w:val="28"/>
          <w:szCs w:val="28"/>
          <w:rtl/>
          <w:lang w:bidi="ar-EG"/>
          <w14:ligatures w14:val="standardContextual"/>
        </w:rPr>
        <w:t>) من أكثر الأطر استخداماً في تفسير سلوك الأفراد تجاه تبني نظم المعلومات داخل المنظمات، لأنه ينطلق من فرضية بسيطة لكنها شديدة العملية: التقنيات لا تُحدث أثراً تنظيمياً بمجرد توافرها، بل حين يقتنع المستخدم بقيمتها ويتمكن من استخدامها دون عبء معرفي أو تشغيلي. وفي صورته الأصلية، طُوِّر النموذج لتفسير قبول المستخدم لتكنولوجيا المعلومات عبر بنيتين إدراكيتين مركزيتين هما الفائدة المدركة (</w:t>
      </w:r>
      <w:r w:rsidRPr="00CB373C">
        <w:rPr>
          <w:rFonts w:ascii="Traditional Arabic" w:eastAsia="Aptos" w:hAnsi="Traditional Arabic" w:cs="Traditional Arabic"/>
          <w:kern w:val="2"/>
          <w:sz w:val="28"/>
          <w:szCs w:val="28"/>
          <w:lang w:bidi="ar-EG"/>
          <w14:ligatures w14:val="standardContextual"/>
        </w:rPr>
        <w:t>Perceived Usefulness: PU</w:t>
      </w:r>
      <w:r w:rsidRPr="00CB373C">
        <w:rPr>
          <w:rFonts w:ascii="Traditional Arabic" w:eastAsia="Aptos" w:hAnsi="Traditional Arabic" w:cs="Traditional Arabic"/>
          <w:kern w:val="2"/>
          <w:sz w:val="28"/>
          <w:szCs w:val="28"/>
          <w:rtl/>
          <w:lang w:bidi="ar-EG"/>
          <w14:ligatures w14:val="standardContextual"/>
        </w:rPr>
        <w:t>) وسهولة الاستخدام المدركة (</w:t>
      </w:r>
      <w:r w:rsidRPr="00CB373C">
        <w:rPr>
          <w:rFonts w:ascii="Traditional Arabic" w:eastAsia="Aptos" w:hAnsi="Traditional Arabic" w:cs="Traditional Arabic"/>
          <w:kern w:val="2"/>
          <w:sz w:val="28"/>
          <w:szCs w:val="28"/>
          <w:lang w:bidi="ar-EG"/>
          <w14:ligatures w14:val="standardContextual"/>
        </w:rPr>
        <w:t>Perceived Ease of Use: PEOU</w:t>
      </w:r>
      <w:r w:rsidRPr="00CB373C">
        <w:rPr>
          <w:rFonts w:ascii="Traditional Arabic" w:eastAsia="Aptos" w:hAnsi="Traditional Arabic" w:cs="Traditional Arabic"/>
          <w:kern w:val="2"/>
          <w:sz w:val="28"/>
          <w:szCs w:val="28"/>
          <w:rtl/>
          <w:lang w:bidi="ar-EG"/>
          <w14:ligatures w14:val="standardContextual"/>
        </w:rPr>
        <w:t>)، بحيث تؤثران في نوايا الاستخدام، ثم تنعكس تلك النوايا—بدرجات متفاوتة—على الاستخدام الفعلي (</w:t>
      </w:r>
      <w:r w:rsidRPr="00CB373C">
        <w:rPr>
          <w:rFonts w:ascii="Traditional Arabic" w:eastAsia="Aptos" w:hAnsi="Traditional Arabic" w:cs="Traditional Arabic"/>
          <w:kern w:val="2"/>
          <w:sz w:val="28"/>
          <w:szCs w:val="28"/>
          <w:lang w:bidi="ar-EG"/>
          <w14:ligatures w14:val="standardContextual"/>
        </w:rPr>
        <w:t>Davis, 1989</w:t>
      </w:r>
      <w:r w:rsidRPr="00CB373C">
        <w:rPr>
          <w:rFonts w:ascii="Traditional Arabic" w:eastAsia="Aptos" w:hAnsi="Traditional Arabic" w:cs="Traditional Arabic"/>
          <w:kern w:val="2"/>
          <w:sz w:val="28"/>
          <w:szCs w:val="28"/>
          <w:rtl/>
          <w:lang w:bidi="ar-EG"/>
          <w14:ligatures w14:val="standardContextual"/>
        </w:rPr>
        <w:t>).</w:t>
      </w:r>
    </w:p>
    <w:p w14:paraId="1720958E"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ومع تراكم التطبيقات عبر قطاعات متعددة، اتجهت دراسات حديثة إلى إعادة اختبار صلابة العلاقات الرئيسة في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وإبراز دور العوامل السابقة (</w:t>
      </w:r>
      <w:r w:rsidRPr="00CB373C">
        <w:rPr>
          <w:rFonts w:ascii="Traditional Arabic" w:eastAsia="Aptos" w:hAnsi="Traditional Arabic" w:cs="Traditional Arabic"/>
          <w:kern w:val="2"/>
          <w:sz w:val="28"/>
          <w:szCs w:val="28"/>
          <w:lang w:bidi="ar-EG"/>
          <w14:ligatures w14:val="standardContextual"/>
        </w:rPr>
        <w:t>Antecedents</w:t>
      </w:r>
      <w:r w:rsidRPr="00CB373C">
        <w:rPr>
          <w:rFonts w:ascii="Traditional Arabic" w:eastAsia="Aptos" w:hAnsi="Traditional Arabic" w:cs="Traditional Arabic"/>
          <w:kern w:val="2"/>
          <w:sz w:val="28"/>
          <w:szCs w:val="28"/>
          <w:rtl/>
          <w:lang w:bidi="ar-EG"/>
          <w14:ligatures w14:val="standardContextual"/>
        </w:rPr>
        <w:t xml:space="preserve">) التي تغذي </w:t>
      </w:r>
      <w:r w:rsidRPr="00CB373C">
        <w:rPr>
          <w:rFonts w:ascii="Traditional Arabic" w:eastAsia="Aptos" w:hAnsi="Traditional Arabic" w:cs="Traditional Arabic"/>
          <w:kern w:val="2"/>
          <w:sz w:val="28"/>
          <w:szCs w:val="28"/>
          <w:lang w:bidi="ar-EG"/>
          <w14:ligatures w14:val="standardContextual"/>
        </w:rPr>
        <w:t>PU</w:t>
      </w:r>
      <w:r w:rsidRPr="00CB373C">
        <w:rPr>
          <w:rFonts w:ascii="Traditional Arabic" w:eastAsia="Aptos" w:hAnsi="Traditional Arabic" w:cs="Traditional Arabic"/>
          <w:kern w:val="2"/>
          <w:sz w:val="28"/>
          <w:szCs w:val="28"/>
          <w:rtl/>
          <w:lang w:bidi="ar-EG"/>
          <w14:ligatures w14:val="standardContextual"/>
        </w:rPr>
        <w:t xml:space="preserve"> و</w:t>
      </w:r>
      <w:r w:rsidRPr="00CB373C">
        <w:rPr>
          <w:rFonts w:ascii="Traditional Arabic" w:eastAsia="Aptos" w:hAnsi="Traditional Arabic" w:cs="Traditional Arabic"/>
          <w:kern w:val="2"/>
          <w:sz w:val="28"/>
          <w:szCs w:val="28"/>
          <w:lang w:bidi="ar-EG"/>
          <w14:ligatures w14:val="standardContextual"/>
        </w:rPr>
        <w:t>PEOU</w:t>
      </w:r>
      <w:r w:rsidRPr="00CB373C">
        <w:rPr>
          <w:rFonts w:ascii="Traditional Arabic" w:eastAsia="Aptos" w:hAnsi="Traditional Arabic" w:cs="Traditional Arabic"/>
          <w:kern w:val="2"/>
          <w:sz w:val="28"/>
          <w:szCs w:val="28"/>
          <w:rtl/>
          <w:lang w:bidi="ar-EG"/>
          <w14:ligatures w14:val="standardContextual"/>
        </w:rPr>
        <w:t xml:space="preserve"> بحسب طبيعة التكنولوجيا والسياق؛ فالمراجعات الكمية الحديثة تشير إلى أن </w:t>
      </w:r>
      <w:r w:rsidRPr="00CB373C">
        <w:rPr>
          <w:rFonts w:ascii="Traditional Arabic" w:eastAsia="Aptos" w:hAnsi="Traditional Arabic" w:cs="Traditional Arabic"/>
          <w:kern w:val="2"/>
          <w:sz w:val="28"/>
          <w:szCs w:val="28"/>
          <w:lang w:bidi="ar-EG"/>
          <w14:ligatures w14:val="standardContextual"/>
        </w:rPr>
        <w:t>PU</w:t>
      </w:r>
      <w:r w:rsidRPr="00CB373C">
        <w:rPr>
          <w:rFonts w:ascii="Traditional Arabic" w:eastAsia="Aptos" w:hAnsi="Traditional Arabic" w:cs="Traditional Arabic"/>
          <w:kern w:val="2"/>
          <w:sz w:val="28"/>
          <w:szCs w:val="28"/>
          <w:rtl/>
          <w:lang w:bidi="ar-EG"/>
          <w14:ligatures w14:val="standardContextual"/>
        </w:rPr>
        <w:t xml:space="preserve"> و</w:t>
      </w:r>
      <w:r w:rsidRPr="00CB373C">
        <w:rPr>
          <w:rFonts w:ascii="Traditional Arabic" w:eastAsia="Aptos" w:hAnsi="Traditional Arabic" w:cs="Traditional Arabic"/>
          <w:kern w:val="2"/>
          <w:sz w:val="28"/>
          <w:szCs w:val="28"/>
          <w:lang w:bidi="ar-EG"/>
          <w14:ligatures w14:val="standardContextual"/>
        </w:rPr>
        <w:t>PEOU</w:t>
      </w:r>
      <w:r w:rsidRPr="00CB373C">
        <w:rPr>
          <w:rFonts w:ascii="Traditional Arabic" w:eastAsia="Aptos" w:hAnsi="Traditional Arabic" w:cs="Traditional Arabic"/>
          <w:kern w:val="2"/>
          <w:sz w:val="28"/>
          <w:szCs w:val="28"/>
          <w:rtl/>
          <w:lang w:bidi="ar-EG"/>
          <w14:ligatures w14:val="standardContextual"/>
        </w:rPr>
        <w:t xml:space="preserve"> يظلان محورين تفسيريين متكررين عند دراسة نوايا تبني التكنولوجيا، مع اختلاف قوة المسارات تبعاً لطبيعة الاستخدام وطبيعة المستخدمين والسياق المؤسسي</w:t>
      </w:r>
      <w:r w:rsidRPr="00CB373C">
        <w:rPr>
          <w:rFonts w:ascii="Traditional Arabic" w:eastAsia="Aptos" w:hAnsi="Traditional Arabic" w:cs="Traditional Arabic"/>
          <w:kern w:val="2"/>
          <w:sz w:val="28"/>
          <w:szCs w:val="28"/>
          <w:lang w:bidi="ar-EG"/>
          <w14:ligatures w14:val="standardContextual"/>
        </w:rPr>
        <w:t xml:space="preserve">(Liu et al., 2024) </w:t>
      </w:r>
      <w:r w:rsidRPr="00CB373C">
        <w:rPr>
          <w:rFonts w:ascii="Traditional Arabic" w:eastAsia="Aptos" w:hAnsi="Traditional Arabic" w:cs="Traditional Arabic"/>
          <w:kern w:val="2"/>
          <w:sz w:val="28"/>
          <w:szCs w:val="28"/>
          <w:rtl/>
          <w:lang w:bidi="ar-EG"/>
          <w14:ligatures w14:val="standardContextual"/>
        </w:rPr>
        <w:t>.</w:t>
      </w:r>
    </w:p>
    <w:p w14:paraId="58161E3C" w14:textId="77777777" w:rsidR="00CB373C" w:rsidRPr="00CB373C" w:rsidRDefault="00CB373C" w:rsidP="00CB373C">
      <w:pPr>
        <w:keepNext/>
        <w:keepLines/>
        <w:numPr>
          <w:ilvl w:val="2"/>
          <w:numId w:val="0"/>
        </w:numPr>
        <w:bidi/>
        <w:spacing w:before="160" w:after="80" w:line="278" w:lineRule="auto"/>
        <w:ind w:left="720" w:hanging="720"/>
        <w:outlineLvl w:val="2"/>
        <w:rPr>
          <w:rFonts w:ascii="Traditional Arabic" w:eastAsia="Times New Roman" w:hAnsi="Traditional Arabic" w:cs="Traditional Arabic"/>
          <w:b/>
          <w:bCs/>
          <w:color w:val="000000"/>
          <w:kern w:val="2"/>
          <w:sz w:val="28"/>
          <w:szCs w:val="28"/>
          <w:rtl/>
          <w:lang w:bidi="ar-EG"/>
          <w14:ligatures w14:val="standardContextual"/>
        </w:rPr>
      </w:pPr>
      <w:bookmarkStart w:id="52" w:name="_Toc222423553"/>
      <w:r w:rsidRPr="00CB373C">
        <w:rPr>
          <w:rFonts w:ascii="Traditional Arabic" w:eastAsia="Times New Roman" w:hAnsi="Traditional Arabic" w:cs="Traditional Arabic"/>
          <w:b/>
          <w:bCs/>
          <w:color w:val="000000"/>
          <w:kern w:val="2"/>
          <w:sz w:val="28"/>
          <w:szCs w:val="28"/>
          <w:rtl/>
          <w:lang w:bidi="ar-EG"/>
          <w14:ligatures w14:val="standardContextual"/>
        </w:rPr>
        <w:lastRenderedPageBreak/>
        <w:t>البنى الجوهرية للنموذج وملاءمته لوحدة تحليل المديرين في القطاع المصرفي</w:t>
      </w:r>
      <w:bookmarkEnd w:id="52"/>
    </w:p>
    <w:p w14:paraId="6392BFBB"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تكمن قيمة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بالنسبة للدراسات التنظيمية – ومنها الدراسات المصرفية – في أنه ينقل النقاش من سؤال هل التقنية موجودة؟ إلى سؤال أكثر حساسية: هل يراها المستخدمون نافعة وسهلة، وهل لديهم نية جادة لدمجها في عملهم؟. وهذا التحول مهم عندما تكون وحدة التحليل المديرين؛ لأن المدير لا يتعامل مع التقنية بوصفها خدمة ترفيهية، بل بوصفها أداة تترتب عليها تبعات مساءلة ومخاطر؛ ومن ثمّ تصبح الفائدة المدركة مرتبطة بما إذا كانت التقنية تساعده فعلاً في رفع جودة حكمه الإداري، بينما ترتبط سهولة الاستخدام المدركة بما إذا كانت التقنية تقلل عبء العمل وتزيد سرعة الوصول للمعلومة بدلاً من تعقيد الإجراءات.</w:t>
      </w:r>
    </w:p>
    <w:p w14:paraId="0FD26445"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وتدعم التطبيقات المصرفية العربية هذا المنطق؛ فعلى سبيل المثال، طبقت دراسة في مصر نموذج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(مع امتدادات قريبة من </w:t>
      </w:r>
      <w:r w:rsidRPr="00CB373C">
        <w:rPr>
          <w:rFonts w:ascii="Traditional Arabic" w:eastAsia="Aptos" w:hAnsi="Traditional Arabic" w:cs="Traditional Arabic"/>
          <w:kern w:val="2"/>
          <w:sz w:val="28"/>
          <w:szCs w:val="28"/>
          <w:lang w:bidi="ar-EG"/>
          <w14:ligatures w14:val="standardContextual"/>
        </w:rPr>
        <w:t>TAM1/TAM2</w:t>
      </w:r>
      <w:r w:rsidRPr="00CB373C">
        <w:rPr>
          <w:rFonts w:ascii="Traditional Arabic" w:eastAsia="Aptos" w:hAnsi="Traditional Arabic" w:cs="Traditional Arabic"/>
          <w:kern w:val="2"/>
          <w:sz w:val="28"/>
          <w:szCs w:val="28"/>
          <w:rtl/>
          <w:lang w:bidi="ar-EG"/>
          <w14:ligatures w14:val="standardContextual"/>
        </w:rPr>
        <w:t>) لتفسير النية السلوكية لاستخدام خدمات مصرفية قائمة على التقنية المالية عبر الهاتف المحمول، ووجدت—ضمن نتائجها—أن الثقة وسهولة الاستخدام تتقدم كعوامل ذات أثر في النية السلوكية للاستخدام</w:t>
      </w:r>
      <w:r w:rsidRPr="00CB373C">
        <w:rPr>
          <w:rFonts w:ascii="Traditional Arabic" w:eastAsia="Aptos" w:hAnsi="Traditional Arabic" w:cs="Traditional Arabic"/>
          <w:kern w:val="2"/>
          <w:sz w:val="28"/>
          <w:szCs w:val="28"/>
          <w:lang w:bidi="ar-EG"/>
          <w14:ligatures w14:val="standardContextual"/>
        </w:rPr>
        <w:t xml:space="preserve">(Rady, 2023) </w:t>
      </w:r>
      <w:r w:rsidRPr="00CB373C">
        <w:rPr>
          <w:rFonts w:ascii="Traditional Arabic" w:eastAsia="Aptos" w:hAnsi="Traditional Arabic" w:cs="Traditional Arabic"/>
          <w:kern w:val="2"/>
          <w:sz w:val="28"/>
          <w:szCs w:val="28"/>
          <w:rtl/>
          <w:lang w:bidi="ar-EG"/>
          <w14:ligatures w14:val="standardContextual"/>
        </w:rPr>
        <w:t>. كما تشير دراسة عربية أخرى إلى أن خصائص مثل المنفعة المدركة وسهولة الاستخدام ترتبط بمستوى الثقة الإلكترونية لدى مستخدمي الموبايل البنكي، مع التأكيد على أهمية تحسين واجهات الاستخدام وتعزيز الوعي لتقوية الثقة واستدامة الاستخدام (</w:t>
      </w:r>
      <w:r w:rsidRPr="00CB373C">
        <w:rPr>
          <w:rFonts w:ascii="Traditional Arabic" w:eastAsia="Aptos" w:hAnsi="Traditional Arabic" w:cs="Traditional Arabic"/>
          <w:kern w:val="2"/>
          <w:sz w:val="28"/>
          <w:szCs w:val="28"/>
          <w:lang w:bidi="ar-EG"/>
          <w14:ligatures w14:val="standardContextual"/>
        </w:rPr>
        <w:t>Mahmoud, 2022</w:t>
      </w:r>
      <w:r w:rsidRPr="00CB373C">
        <w:rPr>
          <w:rFonts w:ascii="Traditional Arabic" w:eastAsia="Aptos" w:hAnsi="Traditional Arabic" w:cs="Traditional Arabic"/>
          <w:kern w:val="2"/>
          <w:sz w:val="28"/>
          <w:szCs w:val="28"/>
          <w:rtl/>
          <w:lang w:bidi="ar-EG"/>
          <w14:ligatures w14:val="standardContextual"/>
        </w:rPr>
        <w:t>).</w:t>
      </w:r>
    </w:p>
    <w:p w14:paraId="155D5DCC" w14:textId="77777777" w:rsidR="00CB373C" w:rsidRPr="00CB373C" w:rsidRDefault="00CB373C" w:rsidP="00CB373C">
      <w:pPr>
        <w:keepNext/>
        <w:keepLines/>
        <w:numPr>
          <w:ilvl w:val="2"/>
          <w:numId w:val="0"/>
        </w:numPr>
        <w:bidi/>
        <w:spacing w:before="160" w:after="80" w:line="278" w:lineRule="auto"/>
        <w:ind w:left="720" w:hanging="720"/>
        <w:outlineLvl w:val="2"/>
        <w:rPr>
          <w:rFonts w:ascii="Traditional Arabic" w:eastAsia="Times New Roman" w:hAnsi="Traditional Arabic" w:cs="Traditional Arabic"/>
          <w:b/>
          <w:bCs/>
          <w:color w:val="000000"/>
          <w:kern w:val="2"/>
          <w:sz w:val="28"/>
          <w:szCs w:val="28"/>
          <w:rtl/>
          <w:lang w:bidi="ar-EG"/>
          <w14:ligatures w14:val="standardContextual"/>
        </w:rPr>
      </w:pPr>
      <w:bookmarkStart w:id="53" w:name="_Toc222423554"/>
      <w:r w:rsidRPr="00CB373C">
        <w:rPr>
          <w:rFonts w:ascii="Traditional Arabic" w:eastAsia="Times New Roman" w:hAnsi="Traditional Arabic" w:cs="Traditional Arabic"/>
          <w:b/>
          <w:bCs/>
          <w:color w:val="000000"/>
          <w:kern w:val="2"/>
          <w:sz w:val="28"/>
          <w:szCs w:val="28"/>
          <w:rtl/>
          <w:lang w:bidi="ar-EG"/>
          <w14:ligatures w14:val="standardContextual"/>
        </w:rPr>
        <w:t xml:space="preserve">تكييف </w:t>
      </w:r>
      <w:r w:rsidRPr="00CB373C">
        <w:rPr>
          <w:rFonts w:ascii="Traditional Arabic" w:eastAsia="Times New Roman" w:hAnsi="Traditional Arabic" w:cs="Traditional Arabic"/>
          <w:b/>
          <w:bCs/>
          <w:color w:val="000000"/>
          <w:kern w:val="2"/>
          <w:sz w:val="28"/>
          <w:szCs w:val="28"/>
          <w:lang w:bidi="ar-EG"/>
          <w14:ligatures w14:val="standardContextual"/>
        </w:rPr>
        <w:t>TAM</w:t>
      </w:r>
      <w:r w:rsidRPr="00CB373C">
        <w:rPr>
          <w:rFonts w:ascii="Traditional Arabic" w:eastAsia="Times New Roman" w:hAnsi="Traditional Arabic" w:cs="Traditional Arabic"/>
          <w:b/>
          <w:bCs/>
          <w:color w:val="000000"/>
          <w:kern w:val="2"/>
          <w:sz w:val="28"/>
          <w:szCs w:val="28"/>
          <w:rtl/>
          <w:lang w:bidi="ar-EG"/>
          <w14:ligatures w14:val="standardContextual"/>
        </w:rPr>
        <w:t xml:space="preserve"> لقياس قبول أنظمة ذكاء الأعمال في المصارف</w:t>
      </w:r>
      <w:bookmarkEnd w:id="53"/>
    </w:p>
    <w:p w14:paraId="39E40D76"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عند الانتقال من تطبيقات مصرفية موجهة للعملاء (مثل الموبايل البنكي) إلى نظم داخلية موجهة لصناع القرار (مثل ذكاء الأعمال)، يصبح القبول أكثر ارتباطاً بقدرة المدير على تحويل المخرجات التحليلية إلى قرار. فذكاء الأعمال قد يقدّم تقارير ولوحات قيادة وتنبؤات، لكن هذه المخرجات لا تكتسب معنى تنظيميّاً إذا بقيت خارج دائرة التفكير الاستراتيجي. ولهذا يُعد تكييف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على ذكاء الأعمال مناسباً، لأنه يسمح بقياس ما إذا كان المدير يرى النظام مفيداً في تحسين الأداء القراري (</w:t>
      </w:r>
      <w:r w:rsidRPr="00CB373C">
        <w:rPr>
          <w:rFonts w:ascii="Traditional Arabic" w:eastAsia="Aptos" w:hAnsi="Traditional Arabic" w:cs="Traditional Arabic"/>
          <w:kern w:val="2"/>
          <w:sz w:val="28"/>
          <w:szCs w:val="28"/>
          <w:lang w:bidi="ar-EG"/>
          <w14:ligatures w14:val="standardContextual"/>
        </w:rPr>
        <w:t>PU</w:t>
      </w:r>
      <w:r w:rsidRPr="00CB373C">
        <w:rPr>
          <w:rFonts w:ascii="Traditional Arabic" w:eastAsia="Aptos" w:hAnsi="Traditional Arabic" w:cs="Traditional Arabic"/>
          <w:kern w:val="2"/>
          <w:sz w:val="28"/>
          <w:szCs w:val="28"/>
          <w:rtl/>
          <w:lang w:bidi="ar-EG"/>
          <w14:ligatures w14:val="standardContextual"/>
        </w:rPr>
        <w:t>)، وسهلاً بما يكفي كي لا يتحول استخدامه إلى عبء (</w:t>
      </w:r>
      <w:r w:rsidRPr="00CB373C">
        <w:rPr>
          <w:rFonts w:ascii="Traditional Arabic" w:eastAsia="Aptos" w:hAnsi="Traditional Arabic" w:cs="Traditional Arabic"/>
          <w:kern w:val="2"/>
          <w:sz w:val="28"/>
          <w:szCs w:val="28"/>
          <w:lang w:bidi="ar-EG"/>
          <w14:ligatures w14:val="standardContextual"/>
        </w:rPr>
        <w:t>PEOU</w:t>
      </w:r>
      <w:r w:rsidRPr="00CB373C">
        <w:rPr>
          <w:rFonts w:ascii="Traditional Arabic" w:eastAsia="Aptos" w:hAnsi="Traditional Arabic" w:cs="Traditional Arabic"/>
          <w:kern w:val="2"/>
          <w:sz w:val="28"/>
          <w:szCs w:val="28"/>
          <w:rtl/>
          <w:lang w:bidi="ar-EG"/>
          <w14:ligatures w14:val="standardContextual"/>
        </w:rPr>
        <w:t>)، ثم قياس نية الاستخدام بوصفها مؤشراً على الاستعداد لإدماج النظام في الممارسة اليومية لاتخاذ القرار.</w:t>
      </w:r>
    </w:p>
    <w:p w14:paraId="7CE5441A"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وتؤكد الأدبيات الحديثة الخاصة بتبني ذكاء الأعمال أن الاهتمام بالبعد الفردي (</w:t>
      </w:r>
      <w:r w:rsidRPr="00CB373C">
        <w:rPr>
          <w:rFonts w:ascii="Traditional Arabic" w:eastAsia="Aptos" w:hAnsi="Traditional Arabic" w:cs="Traditional Arabic"/>
          <w:kern w:val="2"/>
          <w:sz w:val="28"/>
          <w:szCs w:val="28"/>
          <w:lang w:bidi="ar-EG"/>
          <w14:ligatures w14:val="standardContextual"/>
        </w:rPr>
        <w:t>User-centric</w:t>
      </w:r>
      <w:r w:rsidRPr="00CB373C">
        <w:rPr>
          <w:rFonts w:ascii="Traditional Arabic" w:eastAsia="Aptos" w:hAnsi="Traditional Arabic" w:cs="Traditional Arabic"/>
          <w:kern w:val="2"/>
          <w:sz w:val="28"/>
          <w:szCs w:val="28"/>
          <w:rtl/>
          <w:lang w:bidi="ar-EG"/>
          <w14:ligatures w14:val="standardContextual"/>
        </w:rPr>
        <w:t xml:space="preserve">) ليس مسألة ثانوية، بل يمثل شرطاً لاستدامة الاستثمار في الأنظمة التحليلية. فمراجعة منهجية حديثة حول تبني نظم ذكاء الأعمال تشير بوضوح إلى أن دمج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مع أطر على مستوى المنظمة مثل (</w:t>
      </w:r>
      <w:r w:rsidRPr="00CB373C">
        <w:rPr>
          <w:rFonts w:ascii="Traditional Arabic" w:eastAsia="Aptos" w:hAnsi="Traditional Arabic" w:cs="Traditional Arabic"/>
          <w:kern w:val="2"/>
          <w:sz w:val="28"/>
          <w:szCs w:val="28"/>
          <w:lang w:bidi="ar-EG"/>
          <w14:ligatures w14:val="standardContextual"/>
        </w:rPr>
        <w:t>TOE</w:t>
      </w:r>
      <w:r w:rsidRPr="00CB373C">
        <w:rPr>
          <w:rFonts w:ascii="Traditional Arabic" w:eastAsia="Aptos" w:hAnsi="Traditional Arabic" w:cs="Traditional Arabic"/>
          <w:kern w:val="2"/>
          <w:sz w:val="28"/>
          <w:szCs w:val="28"/>
          <w:rtl/>
          <w:lang w:bidi="ar-EG"/>
          <w14:ligatures w14:val="standardContextual"/>
        </w:rPr>
        <w:t>) يساعد في فهم التبني على مستويين: مستوى المؤسسة ومستوى المستخدم، وأن هذا الدمج ما يزال بحاجة إلى مزيد من الاختبار في سياقات مختلفة، مع إبراز دعم الإدارة العليا والتوافق والتعقيد والضغط التنافسي كعوامل متكررة في تفسير تبني ذكاء الأعمال</w:t>
      </w:r>
      <w:r w:rsidRPr="00CB373C">
        <w:rPr>
          <w:rFonts w:ascii="Traditional Arabic" w:eastAsia="Aptos" w:hAnsi="Traditional Arabic" w:cs="Traditional Arabic"/>
          <w:kern w:val="2"/>
          <w:sz w:val="28"/>
          <w:szCs w:val="28"/>
          <w:lang w:bidi="ar-EG"/>
          <w14:ligatures w14:val="standardContextual"/>
        </w:rPr>
        <w:t>(Al-</w:t>
      </w:r>
      <w:proofErr w:type="spellStart"/>
      <w:r w:rsidRPr="00CB373C">
        <w:rPr>
          <w:rFonts w:ascii="Traditional Arabic" w:eastAsia="Aptos" w:hAnsi="Traditional Arabic" w:cs="Traditional Arabic"/>
          <w:kern w:val="2"/>
          <w:sz w:val="28"/>
          <w:szCs w:val="28"/>
          <w:lang w:bidi="ar-EG"/>
          <w14:ligatures w14:val="standardContextual"/>
        </w:rPr>
        <w:t>Daraba</w:t>
      </w:r>
      <w:proofErr w:type="spellEnd"/>
      <w:r w:rsidRPr="00CB373C">
        <w:rPr>
          <w:rFonts w:ascii="Traditional Arabic" w:eastAsia="Aptos" w:hAnsi="Traditional Arabic" w:cs="Traditional Arabic"/>
          <w:kern w:val="2"/>
          <w:sz w:val="28"/>
          <w:szCs w:val="28"/>
          <w:lang w:bidi="ar-EG"/>
          <w14:ligatures w14:val="standardContextual"/>
        </w:rPr>
        <w:t xml:space="preserve"> et al., 2025) </w:t>
      </w:r>
      <w:r w:rsidRPr="00CB373C">
        <w:rPr>
          <w:rFonts w:ascii="Traditional Arabic" w:eastAsia="Aptos" w:hAnsi="Traditional Arabic" w:cs="Traditional Arabic"/>
          <w:kern w:val="2"/>
          <w:sz w:val="28"/>
          <w:szCs w:val="28"/>
          <w:rtl/>
          <w:lang w:bidi="ar-EG"/>
          <w14:ligatures w14:val="standardContextual"/>
        </w:rPr>
        <w:t>.</w:t>
      </w:r>
    </w:p>
    <w:p w14:paraId="02728A4B"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54" w:name="_Toc222423555"/>
      <w:r w:rsidRPr="00CB373C">
        <w:rPr>
          <w:rFonts w:ascii="Traditional Arabic" w:eastAsia="Times New Roman" w:hAnsi="Traditional Arabic" w:cs="Traditional Arabic"/>
          <w:b/>
          <w:bCs/>
          <w:color w:val="000000"/>
          <w:kern w:val="2"/>
          <w:sz w:val="28"/>
          <w:szCs w:val="28"/>
          <w:rtl/>
          <w:lang w:bidi="ar-EG"/>
          <w14:ligatures w14:val="standardContextual"/>
        </w:rPr>
        <w:t>المتغيرات المساندة الشائعة في البيئات المصرفية</w:t>
      </w:r>
      <w:bookmarkEnd w:id="54"/>
    </w:p>
    <w:p w14:paraId="7F3001A2"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على الرغم من أن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يتميز بالبساطة، إلا أن بيئة البنوك تفرض اعتبارات قد لا تُلتقط بالتركيز على </w:t>
      </w:r>
      <w:r w:rsidRPr="00CB373C">
        <w:rPr>
          <w:rFonts w:ascii="Traditional Arabic" w:eastAsia="Aptos" w:hAnsi="Traditional Arabic" w:cs="Traditional Arabic"/>
          <w:kern w:val="2"/>
          <w:sz w:val="28"/>
          <w:szCs w:val="28"/>
          <w:lang w:bidi="ar-EG"/>
          <w14:ligatures w14:val="standardContextual"/>
        </w:rPr>
        <w:t>PU</w:t>
      </w:r>
      <w:r w:rsidRPr="00CB373C">
        <w:rPr>
          <w:rFonts w:ascii="Traditional Arabic" w:eastAsia="Aptos" w:hAnsi="Traditional Arabic" w:cs="Traditional Arabic"/>
          <w:kern w:val="2"/>
          <w:sz w:val="28"/>
          <w:szCs w:val="28"/>
          <w:rtl/>
          <w:lang w:bidi="ar-EG"/>
          <w14:ligatures w14:val="standardContextual"/>
        </w:rPr>
        <w:t xml:space="preserve"> و</w:t>
      </w:r>
      <w:r w:rsidRPr="00CB373C">
        <w:rPr>
          <w:rFonts w:ascii="Traditional Arabic" w:eastAsia="Aptos" w:hAnsi="Traditional Arabic" w:cs="Traditional Arabic"/>
          <w:kern w:val="2"/>
          <w:sz w:val="28"/>
          <w:szCs w:val="28"/>
          <w:lang w:bidi="ar-EG"/>
          <w14:ligatures w14:val="standardContextual"/>
        </w:rPr>
        <w:t>PEOU</w:t>
      </w:r>
      <w:r w:rsidRPr="00CB373C">
        <w:rPr>
          <w:rFonts w:ascii="Traditional Arabic" w:eastAsia="Aptos" w:hAnsi="Traditional Arabic" w:cs="Traditional Arabic"/>
          <w:kern w:val="2"/>
          <w:sz w:val="28"/>
          <w:szCs w:val="28"/>
          <w:rtl/>
          <w:lang w:bidi="ar-EG"/>
          <w14:ligatures w14:val="standardContextual"/>
        </w:rPr>
        <w:t xml:space="preserve"> وحدهما. هنا تظهر المتغيرات المساندة بوصفها سوابق تفسيرية (</w:t>
      </w:r>
      <w:r w:rsidRPr="00CB373C">
        <w:rPr>
          <w:rFonts w:ascii="Traditional Arabic" w:eastAsia="Aptos" w:hAnsi="Traditional Arabic" w:cs="Traditional Arabic"/>
          <w:kern w:val="2"/>
          <w:sz w:val="28"/>
          <w:szCs w:val="28"/>
          <w:lang w:bidi="ar-EG"/>
          <w14:ligatures w14:val="standardContextual"/>
        </w:rPr>
        <w:t>External Variables</w:t>
      </w:r>
      <w:r w:rsidRPr="00CB373C">
        <w:rPr>
          <w:rFonts w:ascii="Traditional Arabic" w:eastAsia="Aptos" w:hAnsi="Traditional Arabic" w:cs="Traditional Arabic"/>
          <w:kern w:val="2"/>
          <w:sz w:val="28"/>
          <w:szCs w:val="28"/>
          <w:rtl/>
          <w:lang w:bidi="ar-EG"/>
          <w14:ligatures w14:val="standardContextual"/>
        </w:rPr>
        <w:t xml:space="preserve">) تؤثر في إدراكات </w:t>
      </w:r>
      <w:r w:rsidRPr="00CB373C">
        <w:rPr>
          <w:rFonts w:ascii="Traditional Arabic" w:eastAsia="Aptos" w:hAnsi="Traditional Arabic" w:cs="Traditional Arabic"/>
          <w:kern w:val="2"/>
          <w:sz w:val="28"/>
          <w:szCs w:val="28"/>
          <w:lang w:bidi="ar-EG"/>
          <w14:ligatures w14:val="standardContextual"/>
        </w:rPr>
        <w:t>PU</w:t>
      </w:r>
      <w:r w:rsidRPr="00CB373C">
        <w:rPr>
          <w:rFonts w:ascii="Traditional Arabic" w:eastAsia="Aptos" w:hAnsi="Traditional Arabic" w:cs="Traditional Arabic"/>
          <w:kern w:val="2"/>
          <w:sz w:val="28"/>
          <w:szCs w:val="28"/>
          <w:rtl/>
          <w:lang w:bidi="ar-EG"/>
          <w14:ligatures w14:val="standardContextual"/>
        </w:rPr>
        <w:t xml:space="preserve"> و</w:t>
      </w:r>
      <w:r w:rsidRPr="00CB373C">
        <w:rPr>
          <w:rFonts w:ascii="Traditional Arabic" w:eastAsia="Aptos" w:hAnsi="Traditional Arabic" w:cs="Traditional Arabic"/>
          <w:kern w:val="2"/>
          <w:sz w:val="28"/>
          <w:szCs w:val="28"/>
          <w:lang w:bidi="ar-EG"/>
          <w14:ligatures w14:val="standardContextual"/>
        </w:rPr>
        <w:t>PEOU</w:t>
      </w:r>
      <w:r w:rsidRPr="00CB373C">
        <w:rPr>
          <w:rFonts w:ascii="Traditional Arabic" w:eastAsia="Aptos" w:hAnsi="Traditional Arabic" w:cs="Traditional Arabic"/>
          <w:kern w:val="2"/>
          <w:sz w:val="28"/>
          <w:szCs w:val="28"/>
          <w:rtl/>
          <w:lang w:bidi="ar-EG"/>
          <w14:ligatures w14:val="standardContextual"/>
        </w:rPr>
        <w:t xml:space="preserve"> والنية، دون أن تغيّر جوهر النموذج. ويمكن تلخيص أهمها في السياق المصرفي في خمس مجموعات مترابطة:</w:t>
      </w:r>
    </w:p>
    <w:p w14:paraId="6FBBB25D" w14:textId="77777777" w:rsidR="00CB373C" w:rsidRPr="00CB373C" w:rsidRDefault="00CB373C" w:rsidP="00CB373C">
      <w:pPr>
        <w:numPr>
          <w:ilvl w:val="0"/>
          <w:numId w:val="10"/>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b/>
          <w:bCs/>
          <w:kern w:val="2"/>
          <w:sz w:val="28"/>
          <w:szCs w:val="28"/>
          <w:rtl/>
          <w:lang w:bidi="ar-EG"/>
          <w14:ligatures w14:val="standardContextual"/>
        </w:rPr>
        <w:lastRenderedPageBreak/>
        <w:t>الثقة والأمن والخصوصية:</w:t>
      </w:r>
      <w:r w:rsidRPr="00CB373C">
        <w:rPr>
          <w:rFonts w:ascii="Traditional Arabic" w:eastAsia="Aptos" w:hAnsi="Traditional Arabic" w:cs="Traditional Arabic"/>
          <w:kern w:val="2"/>
          <w:sz w:val="28"/>
          <w:szCs w:val="28"/>
          <w:rtl/>
          <w:lang w:bidi="ar-EG"/>
          <w14:ligatures w14:val="standardContextual"/>
        </w:rPr>
        <w:t xml:space="preserve"> البنوك تتعامل مع بيانات عالية الحساسية، وبالتالي يؤثر إدراك المستخدم لمستوى الأمان والموثوقية في تفاعله مع الأنظمة. وفي السياق السعودي—ولو في تطبيق مصرفي موجّه للعملاء—أظهرت دراسة اعتمدت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أن </w:t>
      </w:r>
      <w:r w:rsidRPr="00CB373C">
        <w:rPr>
          <w:rFonts w:ascii="Traditional Arabic" w:eastAsia="Aptos" w:hAnsi="Traditional Arabic" w:cs="Traditional Arabic"/>
          <w:kern w:val="2"/>
          <w:sz w:val="28"/>
          <w:szCs w:val="28"/>
          <w:lang w:bidi="ar-EG"/>
          <w14:ligatures w14:val="standardContextual"/>
        </w:rPr>
        <w:t>PU</w:t>
      </w:r>
      <w:r w:rsidRPr="00CB373C">
        <w:rPr>
          <w:rFonts w:ascii="Traditional Arabic" w:eastAsia="Aptos" w:hAnsi="Traditional Arabic" w:cs="Traditional Arabic"/>
          <w:kern w:val="2"/>
          <w:sz w:val="28"/>
          <w:szCs w:val="28"/>
          <w:rtl/>
          <w:lang w:bidi="ar-EG"/>
          <w14:ligatures w14:val="standardContextual"/>
        </w:rPr>
        <w:t xml:space="preserve"> و</w:t>
      </w:r>
      <w:r w:rsidRPr="00CB373C">
        <w:rPr>
          <w:rFonts w:ascii="Traditional Arabic" w:eastAsia="Aptos" w:hAnsi="Traditional Arabic" w:cs="Traditional Arabic"/>
          <w:kern w:val="2"/>
          <w:sz w:val="28"/>
          <w:szCs w:val="28"/>
          <w:lang w:bidi="ar-EG"/>
          <w14:ligatures w14:val="standardContextual"/>
        </w:rPr>
        <w:t>PEOU</w:t>
      </w:r>
      <w:r w:rsidRPr="00CB373C">
        <w:rPr>
          <w:rFonts w:ascii="Traditional Arabic" w:eastAsia="Aptos" w:hAnsi="Traditional Arabic" w:cs="Traditional Arabic"/>
          <w:kern w:val="2"/>
          <w:sz w:val="28"/>
          <w:szCs w:val="28"/>
          <w:rtl/>
          <w:lang w:bidi="ar-EG"/>
          <w14:ligatures w14:val="standardContextual"/>
        </w:rPr>
        <w:t xml:space="preserve"> يرتبطان إيجابياً بتبني الخدمات المصرفية الرقمية، مع إدخال الثقة كمتغير إضافي، بما يعكس مركزية هذا البعد في التكنولوجيا المالية والمصرفية </w:t>
      </w:r>
      <w:r w:rsidRPr="00CB373C">
        <w:rPr>
          <w:rFonts w:ascii="Traditional Arabic" w:eastAsia="Aptos" w:hAnsi="Traditional Arabic" w:cs="Traditional Arabic"/>
          <w:kern w:val="2"/>
          <w:sz w:val="28"/>
          <w:szCs w:val="28"/>
          <w:lang w:bidi="ar-EG"/>
          <w14:ligatures w14:val="standardContextual"/>
        </w:rPr>
        <w:t>(</w:t>
      </w:r>
      <w:proofErr w:type="spellStart"/>
      <w:r w:rsidRPr="00CB373C">
        <w:rPr>
          <w:rFonts w:ascii="Traditional Arabic" w:eastAsia="Aptos" w:hAnsi="Traditional Arabic" w:cs="Traditional Arabic"/>
          <w:kern w:val="2"/>
          <w:sz w:val="28"/>
          <w:szCs w:val="28"/>
          <w:lang w:bidi="ar-EG"/>
          <w14:ligatures w14:val="standardContextual"/>
        </w:rPr>
        <w:t>Alnemer</w:t>
      </w:r>
      <w:proofErr w:type="spellEnd"/>
      <w:r w:rsidRPr="00CB373C">
        <w:rPr>
          <w:rFonts w:ascii="Traditional Arabic" w:eastAsia="Aptos" w:hAnsi="Traditional Arabic" w:cs="Traditional Arabic"/>
          <w:kern w:val="2"/>
          <w:sz w:val="28"/>
          <w:szCs w:val="28"/>
          <w:lang w:bidi="ar-EG"/>
          <w14:ligatures w14:val="standardContextual"/>
        </w:rPr>
        <w:t>, 2022)</w:t>
      </w:r>
      <w:r w:rsidRPr="00CB373C">
        <w:rPr>
          <w:rFonts w:ascii="Traditional Arabic" w:eastAsia="Aptos" w:hAnsi="Traditional Arabic" w:cs="Traditional Arabic"/>
          <w:kern w:val="2"/>
          <w:sz w:val="28"/>
          <w:szCs w:val="28"/>
          <w:rtl/>
          <w:lang w:bidi="ar-EG"/>
          <w14:ligatures w14:val="standardContextual"/>
        </w:rPr>
        <w:t xml:space="preserve">. وعلى مستوى دراسات عربية في المجال المصرفي، تناولت دراسة منشورة في المجلة المصرية للدراسات التجارية علاقة أمن البيانات والثقة بمواقف العملاء تجاه تبني تطبيقات التقنية المالية في البنوك ضمن إطار يستلهم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وهو ما يعزز منطق إدراج الأمن/الثقة كعوامل مفسرة للقبول في التقنيات المالية</w:t>
      </w:r>
      <w:r w:rsidRPr="00CB373C">
        <w:rPr>
          <w:rFonts w:ascii="Traditional Arabic" w:eastAsia="Aptos" w:hAnsi="Traditional Arabic" w:cs="Traditional Arabic"/>
          <w:kern w:val="2"/>
          <w:sz w:val="28"/>
          <w:szCs w:val="28"/>
          <w:lang w:bidi="ar-EG"/>
          <w14:ligatures w14:val="standardContextual"/>
        </w:rPr>
        <w:t>(El-</w:t>
      </w:r>
      <w:proofErr w:type="spellStart"/>
      <w:r w:rsidRPr="00CB373C">
        <w:rPr>
          <w:rFonts w:ascii="Traditional Arabic" w:eastAsia="Aptos" w:hAnsi="Traditional Arabic" w:cs="Traditional Arabic"/>
          <w:kern w:val="2"/>
          <w:sz w:val="28"/>
          <w:szCs w:val="28"/>
          <w:lang w:bidi="ar-EG"/>
          <w14:ligatures w14:val="standardContextual"/>
        </w:rPr>
        <w:t>Hendawy</w:t>
      </w:r>
      <w:proofErr w:type="spellEnd"/>
      <w:r w:rsidRPr="00CB373C">
        <w:rPr>
          <w:rFonts w:ascii="Traditional Arabic" w:eastAsia="Aptos" w:hAnsi="Traditional Arabic" w:cs="Traditional Arabic"/>
          <w:kern w:val="2"/>
          <w:sz w:val="28"/>
          <w:szCs w:val="28"/>
          <w:lang w:bidi="ar-EG"/>
          <w14:ligatures w14:val="standardContextual"/>
        </w:rPr>
        <w:t xml:space="preserve"> &amp; </w:t>
      </w:r>
      <w:proofErr w:type="spellStart"/>
      <w:r w:rsidRPr="00CB373C">
        <w:rPr>
          <w:rFonts w:ascii="Traditional Arabic" w:eastAsia="Aptos" w:hAnsi="Traditional Arabic" w:cs="Traditional Arabic"/>
          <w:kern w:val="2"/>
          <w:sz w:val="28"/>
          <w:szCs w:val="28"/>
          <w:lang w:bidi="ar-EG"/>
          <w14:ligatures w14:val="standardContextual"/>
        </w:rPr>
        <w:t>Metawea</w:t>
      </w:r>
      <w:proofErr w:type="spellEnd"/>
      <w:r w:rsidRPr="00CB373C">
        <w:rPr>
          <w:rFonts w:ascii="Traditional Arabic" w:eastAsia="Aptos" w:hAnsi="Traditional Arabic" w:cs="Traditional Arabic"/>
          <w:kern w:val="2"/>
          <w:sz w:val="28"/>
          <w:szCs w:val="28"/>
          <w:lang w:bidi="ar-EG"/>
          <w14:ligatures w14:val="standardContextual"/>
        </w:rPr>
        <w:t xml:space="preserve">, 2025) </w:t>
      </w:r>
      <w:r w:rsidRPr="00CB373C">
        <w:rPr>
          <w:rFonts w:ascii="Traditional Arabic" w:eastAsia="Aptos" w:hAnsi="Traditional Arabic" w:cs="Traditional Arabic"/>
          <w:kern w:val="2"/>
          <w:sz w:val="28"/>
          <w:szCs w:val="28"/>
          <w:rtl/>
          <w:lang w:bidi="ar-EG"/>
          <w14:ligatures w14:val="standardContextual"/>
        </w:rPr>
        <w:t>.</w:t>
      </w:r>
    </w:p>
    <w:p w14:paraId="0EB69D23" w14:textId="77777777" w:rsidR="00CB373C" w:rsidRPr="00CB373C" w:rsidRDefault="00CB373C" w:rsidP="00CB373C">
      <w:pPr>
        <w:numPr>
          <w:ilvl w:val="0"/>
          <w:numId w:val="10"/>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b/>
          <w:bCs/>
          <w:kern w:val="2"/>
          <w:sz w:val="28"/>
          <w:szCs w:val="28"/>
          <w:rtl/>
          <w:lang w:bidi="ar-EG"/>
          <w14:ligatures w14:val="standardContextual"/>
        </w:rPr>
        <w:t>دعم الإدارة العليا والتدريب:</w:t>
      </w:r>
      <w:r w:rsidRPr="00CB373C">
        <w:rPr>
          <w:rFonts w:ascii="Traditional Arabic" w:eastAsia="Aptos" w:hAnsi="Traditional Arabic" w:cs="Traditional Arabic"/>
          <w:kern w:val="2"/>
          <w:sz w:val="28"/>
          <w:szCs w:val="28"/>
          <w:rtl/>
          <w:lang w:bidi="ar-EG"/>
          <w14:ligatures w14:val="standardContextual"/>
        </w:rPr>
        <w:t xml:space="preserve"> يقترن ذكاء الأعمال غالباً بتغيير في الثقافة التشغيلية (من الحدس إلى القرار القائم على البيانات). لذا، فإن إشارات الدعم المؤسسي—مثل توفير التدريب وتخصيص الموارد وإزالة العوائق—تعمل عملياً على رفع </w:t>
      </w:r>
      <w:r w:rsidRPr="00CB373C">
        <w:rPr>
          <w:rFonts w:ascii="Traditional Arabic" w:eastAsia="Aptos" w:hAnsi="Traditional Arabic" w:cs="Traditional Arabic"/>
          <w:kern w:val="2"/>
          <w:sz w:val="28"/>
          <w:szCs w:val="28"/>
          <w:lang w:bidi="ar-EG"/>
          <w14:ligatures w14:val="standardContextual"/>
        </w:rPr>
        <w:t>PEOU</w:t>
      </w:r>
      <w:r w:rsidRPr="00CB373C">
        <w:rPr>
          <w:rFonts w:ascii="Traditional Arabic" w:eastAsia="Aptos" w:hAnsi="Traditional Arabic" w:cs="Traditional Arabic"/>
          <w:kern w:val="2"/>
          <w:sz w:val="28"/>
          <w:szCs w:val="28"/>
          <w:rtl/>
          <w:lang w:bidi="ar-EG"/>
          <w14:ligatures w14:val="standardContextual"/>
        </w:rPr>
        <w:t xml:space="preserve"> عبر تقليل صعوبات الاستخدام، كما قد ترفع </w:t>
      </w:r>
      <w:r w:rsidRPr="00CB373C">
        <w:rPr>
          <w:rFonts w:ascii="Traditional Arabic" w:eastAsia="Aptos" w:hAnsi="Traditional Arabic" w:cs="Traditional Arabic"/>
          <w:kern w:val="2"/>
          <w:sz w:val="28"/>
          <w:szCs w:val="28"/>
          <w:lang w:bidi="ar-EG"/>
          <w14:ligatures w14:val="standardContextual"/>
        </w:rPr>
        <w:t>PU</w:t>
      </w:r>
      <w:r w:rsidRPr="00CB373C">
        <w:rPr>
          <w:rFonts w:ascii="Traditional Arabic" w:eastAsia="Aptos" w:hAnsi="Traditional Arabic" w:cs="Traditional Arabic"/>
          <w:kern w:val="2"/>
          <w:sz w:val="28"/>
          <w:szCs w:val="28"/>
          <w:rtl/>
          <w:lang w:bidi="ar-EG"/>
          <w14:ligatures w14:val="standardContextual"/>
        </w:rPr>
        <w:t xml:space="preserve"> عبر توضيح كيف سيُستخدم النظام في تحسين القرار. وتؤكد نتائج المراجعة المنهجية أن دعم الإدارة العليا من أكثر المحددات تكراراً في تفسير تبني نظم ذكاء الأعمال </w:t>
      </w:r>
      <w:r w:rsidRPr="00CB373C">
        <w:rPr>
          <w:rFonts w:ascii="Traditional Arabic" w:eastAsia="Aptos" w:hAnsi="Traditional Arabic" w:cs="Traditional Arabic"/>
          <w:kern w:val="2"/>
          <w:sz w:val="28"/>
          <w:szCs w:val="28"/>
          <w:lang w:bidi="ar-EG"/>
          <w14:ligatures w14:val="standardContextual"/>
        </w:rPr>
        <w:t>(Al-</w:t>
      </w:r>
      <w:proofErr w:type="spellStart"/>
      <w:r w:rsidRPr="00CB373C">
        <w:rPr>
          <w:rFonts w:ascii="Traditional Arabic" w:eastAsia="Aptos" w:hAnsi="Traditional Arabic" w:cs="Traditional Arabic"/>
          <w:kern w:val="2"/>
          <w:sz w:val="28"/>
          <w:szCs w:val="28"/>
          <w:lang w:bidi="ar-EG"/>
          <w14:ligatures w14:val="standardContextual"/>
        </w:rPr>
        <w:t>Daraba</w:t>
      </w:r>
      <w:proofErr w:type="spellEnd"/>
      <w:r w:rsidRPr="00CB373C">
        <w:rPr>
          <w:rFonts w:ascii="Traditional Arabic" w:eastAsia="Aptos" w:hAnsi="Traditional Arabic" w:cs="Traditional Arabic"/>
          <w:kern w:val="2"/>
          <w:sz w:val="28"/>
          <w:szCs w:val="28"/>
          <w:lang w:bidi="ar-EG"/>
          <w14:ligatures w14:val="standardContextual"/>
        </w:rPr>
        <w:t xml:space="preserve"> et al., 2025)</w:t>
      </w:r>
      <w:r w:rsidRPr="00CB373C">
        <w:rPr>
          <w:rFonts w:ascii="Traditional Arabic" w:eastAsia="Aptos" w:hAnsi="Traditional Arabic" w:cs="Traditional Arabic"/>
          <w:kern w:val="2"/>
          <w:sz w:val="28"/>
          <w:szCs w:val="28"/>
          <w:rtl/>
          <w:lang w:bidi="ar-EG"/>
          <w14:ligatures w14:val="standardContextual"/>
        </w:rPr>
        <w:t>.</w:t>
      </w:r>
    </w:p>
    <w:p w14:paraId="0EB70B3B" w14:textId="77777777" w:rsidR="00CB373C" w:rsidRPr="00CB373C" w:rsidRDefault="00CB373C" w:rsidP="00CB373C">
      <w:pPr>
        <w:numPr>
          <w:ilvl w:val="0"/>
          <w:numId w:val="10"/>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b/>
          <w:bCs/>
          <w:kern w:val="2"/>
          <w:sz w:val="28"/>
          <w:szCs w:val="28"/>
          <w:rtl/>
          <w:lang w:bidi="ar-EG"/>
          <w14:ligatures w14:val="standardContextual"/>
        </w:rPr>
        <w:t>التوافق مع العمل (</w:t>
      </w:r>
      <w:r w:rsidRPr="00CB373C">
        <w:rPr>
          <w:rFonts w:ascii="Traditional Arabic" w:eastAsia="Aptos" w:hAnsi="Traditional Arabic" w:cs="Traditional Arabic"/>
          <w:b/>
          <w:bCs/>
          <w:kern w:val="2"/>
          <w:sz w:val="28"/>
          <w:szCs w:val="28"/>
          <w:lang w:bidi="ar-EG"/>
          <w14:ligatures w14:val="standardContextual"/>
        </w:rPr>
        <w:t>Compatibility</w:t>
      </w:r>
      <w:r w:rsidRPr="00CB373C">
        <w:rPr>
          <w:rFonts w:ascii="Traditional Arabic" w:eastAsia="Aptos" w:hAnsi="Traditional Arabic" w:cs="Traditional Arabic"/>
          <w:b/>
          <w:bCs/>
          <w:kern w:val="2"/>
          <w:sz w:val="28"/>
          <w:szCs w:val="28"/>
          <w:rtl/>
          <w:lang w:bidi="ar-EG"/>
          <w14:ligatures w14:val="standardContextual"/>
        </w:rPr>
        <w:t>) وتعقيد النظام (</w:t>
      </w:r>
      <w:r w:rsidRPr="00CB373C">
        <w:rPr>
          <w:rFonts w:ascii="Traditional Arabic" w:eastAsia="Aptos" w:hAnsi="Traditional Arabic" w:cs="Traditional Arabic"/>
          <w:b/>
          <w:bCs/>
          <w:kern w:val="2"/>
          <w:sz w:val="28"/>
          <w:szCs w:val="28"/>
          <w:lang w:bidi="ar-EG"/>
          <w14:ligatures w14:val="standardContextual"/>
        </w:rPr>
        <w:t>Complexity</w:t>
      </w:r>
      <w:r w:rsidRPr="00CB373C">
        <w:rPr>
          <w:rFonts w:ascii="Traditional Arabic" w:eastAsia="Aptos" w:hAnsi="Traditional Arabic" w:cs="Traditional Arabic"/>
          <w:b/>
          <w:bCs/>
          <w:kern w:val="2"/>
          <w:sz w:val="28"/>
          <w:szCs w:val="28"/>
          <w:rtl/>
          <w:lang w:bidi="ar-EG"/>
          <w14:ligatures w14:val="standardContextual"/>
        </w:rPr>
        <w:t>):</w:t>
      </w:r>
      <w:r w:rsidRPr="00CB373C">
        <w:rPr>
          <w:rFonts w:ascii="Traditional Arabic" w:eastAsia="Aptos" w:hAnsi="Traditional Arabic" w:cs="Traditional Arabic"/>
          <w:kern w:val="2"/>
          <w:sz w:val="28"/>
          <w:szCs w:val="28"/>
          <w:rtl/>
          <w:lang w:bidi="ar-EG"/>
          <w14:ligatures w14:val="standardContextual"/>
        </w:rPr>
        <w:t xml:space="preserve"> قد يكون النظام متقدماً تقنياً لكنه غير منسجم مع طريقة عمل المدير أو احتياجاته القرارية. هنا ينخفض إدراك المنفعة حتى إن كانت المخرجات دقيقة. وبالعكس، كلما شعر المستخدم بأن أدوات ذكاء الأعمال تتوافق مع مهامه (تقارير مخاطر، مؤشرات أداء، تحليل سوق)، ارتفعت </w:t>
      </w:r>
      <w:r w:rsidRPr="00CB373C">
        <w:rPr>
          <w:rFonts w:ascii="Traditional Arabic" w:eastAsia="Aptos" w:hAnsi="Traditional Arabic" w:cs="Traditional Arabic"/>
          <w:kern w:val="2"/>
          <w:sz w:val="28"/>
          <w:szCs w:val="28"/>
          <w:lang w:bidi="ar-EG"/>
          <w14:ligatures w14:val="standardContextual"/>
        </w:rPr>
        <w:t>PU</w:t>
      </w:r>
      <w:r w:rsidRPr="00CB373C">
        <w:rPr>
          <w:rFonts w:ascii="Traditional Arabic" w:eastAsia="Aptos" w:hAnsi="Traditional Arabic" w:cs="Traditional Arabic"/>
          <w:kern w:val="2"/>
          <w:sz w:val="28"/>
          <w:szCs w:val="28"/>
          <w:rtl/>
          <w:lang w:bidi="ar-EG"/>
          <w14:ligatures w14:val="standardContextual"/>
        </w:rPr>
        <w:t xml:space="preserve"> وارتفعت احتمالية استمرار الاستخدام.</w:t>
      </w:r>
    </w:p>
    <w:p w14:paraId="1F367CCD" w14:textId="77777777" w:rsidR="00CB373C" w:rsidRPr="00CB373C" w:rsidRDefault="00CB373C" w:rsidP="00CB373C">
      <w:pPr>
        <w:numPr>
          <w:ilvl w:val="0"/>
          <w:numId w:val="10"/>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b/>
          <w:bCs/>
          <w:kern w:val="2"/>
          <w:sz w:val="28"/>
          <w:szCs w:val="28"/>
          <w:rtl/>
          <w:lang w:bidi="ar-EG"/>
          <w14:ligatures w14:val="standardContextual"/>
        </w:rPr>
        <w:t>الاستعداد التنظيمي والبيئي (</w:t>
      </w:r>
      <w:r w:rsidRPr="00CB373C">
        <w:rPr>
          <w:rFonts w:ascii="Traditional Arabic" w:eastAsia="Aptos" w:hAnsi="Traditional Arabic" w:cs="Traditional Arabic"/>
          <w:b/>
          <w:bCs/>
          <w:kern w:val="2"/>
          <w:sz w:val="28"/>
          <w:szCs w:val="28"/>
          <w:lang w:bidi="ar-EG"/>
          <w14:ligatures w14:val="standardContextual"/>
        </w:rPr>
        <w:t>Organizational/Environmental Readiness</w:t>
      </w:r>
      <w:r w:rsidRPr="00CB373C">
        <w:rPr>
          <w:rFonts w:ascii="Traditional Arabic" w:eastAsia="Aptos" w:hAnsi="Traditional Arabic" w:cs="Traditional Arabic"/>
          <w:b/>
          <w:bCs/>
          <w:kern w:val="2"/>
          <w:sz w:val="28"/>
          <w:szCs w:val="28"/>
          <w:rtl/>
          <w:lang w:bidi="ar-EG"/>
          <w14:ligatures w14:val="standardContextual"/>
        </w:rPr>
        <w:t>):</w:t>
      </w:r>
      <w:r w:rsidRPr="00CB373C">
        <w:rPr>
          <w:rFonts w:ascii="Traditional Arabic" w:eastAsia="Aptos" w:hAnsi="Traditional Arabic" w:cs="Traditional Arabic"/>
          <w:kern w:val="2"/>
          <w:sz w:val="28"/>
          <w:szCs w:val="28"/>
          <w:rtl/>
          <w:lang w:bidi="ar-EG"/>
          <w14:ligatures w14:val="standardContextual"/>
        </w:rPr>
        <w:t xml:space="preserve"> تُظهر دراسات حديثة في القطاع المصرفي أن تبني ذكاء الأعمال لا تحدده العوامل الفردية وحدها؛ ففي البنوك الأردنية مثلاً، أوضحت دراسة أن عوامل (</w:t>
      </w:r>
      <w:r w:rsidRPr="00CB373C">
        <w:rPr>
          <w:rFonts w:ascii="Traditional Arabic" w:eastAsia="Aptos" w:hAnsi="Traditional Arabic" w:cs="Traditional Arabic"/>
          <w:kern w:val="2"/>
          <w:sz w:val="28"/>
          <w:szCs w:val="28"/>
          <w:lang w:bidi="ar-EG"/>
          <w14:ligatures w14:val="standardContextual"/>
        </w:rPr>
        <w:t>TOE</w:t>
      </w:r>
      <w:r w:rsidRPr="00CB373C">
        <w:rPr>
          <w:rFonts w:ascii="Traditional Arabic" w:eastAsia="Aptos" w:hAnsi="Traditional Arabic" w:cs="Traditional Arabic"/>
          <w:kern w:val="2"/>
          <w:sz w:val="28"/>
          <w:szCs w:val="28"/>
          <w:rtl/>
          <w:lang w:bidi="ar-EG"/>
          <w14:ligatures w14:val="standardContextual"/>
        </w:rPr>
        <w:t>) ترتبط إيجابياً بتبني ذكاء الأعمال، وأن التبني ينعكس في تحسين أداء اتخاذ القرار (</w:t>
      </w:r>
      <w:r w:rsidRPr="00CB373C">
        <w:rPr>
          <w:rFonts w:ascii="Traditional Arabic" w:eastAsia="Aptos" w:hAnsi="Traditional Arabic" w:cs="Traditional Arabic"/>
          <w:kern w:val="2"/>
          <w:sz w:val="28"/>
          <w:szCs w:val="28"/>
          <w:lang w:bidi="ar-EG"/>
          <w14:ligatures w14:val="standardContextual"/>
        </w:rPr>
        <w:t>decision-making performance</w:t>
      </w:r>
      <w:r w:rsidRPr="00CB373C">
        <w:rPr>
          <w:rFonts w:ascii="Traditional Arabic" w:eastAsia="Aptos" w:hAnsi="Traditional Arabic" w:cs="Traditional Arabic"/>
          <w:kern w:val="2"/>
          <w:sz w:val="28"/>
          <w:szCs w:val="28"/>
          <w:rtl/>
          <w:lang w:bidi="ar-EG"/>
          <w14:ligatures w14:val="standardContextual"/>
        </w:rPr>
        <w:t xml:space="preserve">)، وهو ما يشير إلى وجود سلسلة تأثير تبدأ من بيئة التبني وتنتهي بنتائج قرار </w:t>
      </w:r>
      <w:r w:rsidRPr="00CB373C">
        <w:rPr>
          <w:rFonts w:ascii="Traditional Arabic" w:eastAsia="Aptos" w:hAnsi="Traditional Arabic" w:cs="Traditional Arabic"/>
          <w:kern w:val="2"/>
          <w:sz w:val="28"/>
          <w:szCs w:val="28"/>
          <w:rtl/>
          <w:lang w:bidi="ar-EG"/>
          <w14:ligatures w14:val="standardContextual"/>
        </w:rPr>
        <w:br/>
        <w:t>أفضل (</w:t>
      </w:r>
      <w:proofErr w:type="spellStart"/>
      <w:r w:rsidRPr="00CB373C">
        <w:rPr>
          <w:rFonts w:ascii="Traditional Arabic" w:eastAsia="Aptos" w:hAnsi="Traditional Arabic" w:cs="Traditional Arabic"/>
          <w:kern w:val="2"/>
          <w:sz w:val="28"/>
          <w:szCs w:val="28"/>
          <w:lang w:bidi="ar-EG"/>
          <w14:ligatures w14:val="standardContextual"/>
        </w:rPr>
        <w:t>Qatawneh</w:t>
      </w:r>
      <w:proofErr w:type="spellEnd"/>
      <w:r w:rsidRPr="00CB373C">
        <w:rPr>
          <w:rFonts w:ascii="Traditional Arabic" w:eastAsia="Aptos" w:hAnsi="Traditional Arabic" w:cs="Traditional Arabic"/>
          <w:kern w:val="2"/>
          <w:sz w:val="28"/>
          <w:szCs w:val="28"/>
          <w:lang w:bidi="ar-EG"/>
          <w14:ligatures w14:val="standardContextual"/>
        </w:rPr>
        <w:t>, 2024</w:t>
      </w:r>
      <w:r w:rsidRPr="00CB373C">
        <w:rPr>
          <w:rFonts w:ascii="Traditional Arabic" w:eastAsia="Aptos" w:hAnsi="Traditional Arabic" w:cs="Traditional Arabic"/>
          <w:kern w:val="2"/>
          <w:sz w:val="28"/>
          <w:szCs w:val="28"/>
          <w:rtl/>
          <w:lang w:bidi="ar-EG"/>
          <w14:ligatures w14:val="standardContextual"/>
        </w:rPr>
        <w:t>).</w:t>
      </w:r>
    </w:p>
    <w:p w14:paraId="085E77F4" w14:textId="77777777" w:rsidR="00CB373C" w:rsidRPr="00CB373C" w:rsidRDefault="00CB373C" w:rsidP="00CB373C">
      <w:pPr>
        <w:numPr>
          <w:ilvl w:val="0"/>
          <w:numId w:val="10"/>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b/>
          <w:bCs/>
          <w:kern w:val="2"/>
          <w:sz w:val="28"/>
          <w:szCs w:val="28"/>
          <w:rtl/>
          <w:lang w:bidi="ar-EG"/>
          <w14:ligatures w14:val="standardContextual"/>
        </w:rPr>
        <w:t>الخبرة والتدرّج في التبني:</w:t>
      </w:r>
      <w:r w:rsidRPr="00CB373C">
        <w:rPr>
          <w:rFonts w:ascii="Traditional Arabic" w:eastAsia="Aptos" w:hAnsi="Traditional Arabic" w:cs="Traditional Arabic"/>
          <w:kern w:val="2"/>
          <w:sz w:val="28"/>
          <w:szCs w:val="28"/>
          <w:rtl/>
          <w:lang w:bidi="ar-EG"/>
          <w14:ligatures w14:val="standardContextual"/>
        </w:rPr>
        <w:t xml:space="preserve"> لا يتشكل القبول دفعة واحدة، بل يتطور مع الخبرة والتعرض المتكرر للنظام. وتبين دراسة حديثة عن استخدام ذكاء الأعمال والتحليلات في البنوك أن العوامل التقنية والتنظيمية والبيئية تؤثر في الاستخدام، وأن خبرة العاملين تعدل بعض هذه العلاقات، بما يلمح إلى أن القبول قد يتغير مع الزمن ومع تراكم التجربة</w:t>
      </w:r>
      <w:r w:rsidRPr="00CB373C">
        <w:rPr>
          <w:rFonts w:ascii="Traditional Arabic" w:eastAsia="Aptos" w:hAnsi="Traditional Arabic" w:cs="Traditional Arabic"/>
          <w:kern w:val="2"/>
          <w:sz w:val="28"/>
          <w:szCs w:val="28"/>
          <w:lang w:bidi="ar-EG"/>
          <w14:ligatures w14:val="standardContextual"/>
        </w:rPr>
        <w:t xml:space="preserve">(Mohammed et al., 2024) </w:t>
      </w:r>
      <w:r w:rsidRPr="00CB373C">
        <w:rPr>
          <w:rFonts w:ascii="Traditional Arabic" w:eastAsia="Aptos" w:hAnsi="Traditional Arabic" w:cs="Traditional Arabic"/>
          <w:kern w:val="2"/>
          <w:sz w:val="28"/>
          <w:szCs w:val="28"/>
          <w:rtl/>
          <w:lang w:bidi="ar-EG"/>
          <w14:ligatures w14:val="standardContextual"/>
        </w:rPr>
        <w:t>.</w:t>
      </w:r>
    </w:p>
    <w:p w14:paraId="2B2C76F3" w14:textId="77777777" w:rsidR="00CB373C" w:rsidRPr="00CB373C" w:rsidRDefault="00CB373C" w:rsidP="00CB373C">
      <w:pPr>
        <w:keepNext/>
        <w:keepLines/>
        <w:numPr>
          <w:ilvl w:val="2"/>
          <w:numId w:val="0"/>
        </w:numPr>
        <w:bidi/>
        <w:spacing w:before="160" w:after="80" w:line="278" w:lineRule="auto"/>
        <w:ind w:left="720" w:hanging="720"/>
        <w:outlineLvl w:val="2"/>
        <w:rPr>
          <w:rFonts w:ascii="Traditional Arabic" w:eastAsia="Times New Roman" w:hAnsi="Traditional Arabic" w:cs="Traditional Arabic"/>
          <w:b/>
          <w:bCs/>
          <w:color w:val="000000"/>
          <w:kern w:val="2"/>
          <w:sz w:val="28"/>
          <w:szCs w:val="28"/>
          <w:rtl/>
          <w:lang w:bidi="ar-EG"/>
          <w14:ligatures w14:val="standardContextual"/>
        </w:rPr>
      </w:pPr>
      <w:bookmarkStart w:id="55" w:name="_Toc222423556"/>
      <w:r w:rsidRPr="00CB373C">
        <w:rPr>
          <w:rFonts w:ascii="Traditional Arabic" w:eastAsia="Times New Roman" w:hAnsi="Traditional Arabic" w:cs="Traditional Arabic"/>
          <w:b/>
          <w:bCs/>
          <w:color w:val="000000"/>
          <w:kern w:val="2"/>
          <w:sz w:val="28"/>
          <w:szCs w:val="28"/>
          <w:rtl/>
          <w:lang w:bidi="ar-EG"/>
          <w14:ligatures w14:val="standardContextual"/>
        </w:rPr>
        <w:t>من النية إلى الاستخدام الفعلي – تحويل القبول إلى ممارسة قرار استراتيجي</w:t>
      </w:r>
      <w:bookmarkEnd w:id="55"/>
    </w:p>
    <w:p w14:paraId="63DC21AA"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يظل أحد التحديات التطبيقية في بحوث القبول هو الفجوة بين نية الاستخدام والاستخدام الفعلي، خصوصاً في الأنظمة التحليلية التي تحتاج إلى مهارات ووقت وتغييرات في الروتين الإداري. وتلفت الأدبيات الخاصة بنظم ذكاء الأعمال إلى أن ما يهم المنظمة ليس مجرد الدخول للنظام، بل مستوى الاستخدام وجودته: هل يقتصر على الاستخدام الروتيني (قراءة تقارير جاهزة)، أم يتطور إلى استخدام متقدم (تحليل تفاعلي، بناء سيناريوهات، اختبار بدائل)؟</w:t>
      </w:r>
    </w:p>
    <w:p w14:paraId="0F046B59"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lastRenderedPageBreak/>
        <w:t xml:space="preserve">وفي هذا السياق، تقدم دراسة منشورة في </w:t>
      </w:r>
      <w:r w:rsidRPr="00CB373C">
        <w:rPr>
          <w:rFonts w:ascii="Traditional Arabic" w:eastAsia="Aptos" w:hAnsi="Traditional Arabic" w:cs="Traditional Arabic"/>
          <w:kern w:val="2"/>
          <w:sz w:val="28"/>
          <w:szCs w:val="28"/>
          <w:lang w:bidi="ar-EG"/>
          <w14:ligatures w14:val="standardContextual"/>
        </w:rPr>
        <w:t>Information &amp; Management</w:t>
      </w:r>
      <w:r w:rsidRPr="00CB373C">
        <w:rPr>
          <w:rFonts w:ascii="Traditional Arabic" w:eastAsia="Aptos" w:hAnsi="Traditional Arabic" w:cs="Traditional Arabic"/>
          <w:kern w:val="2"/>
          <w:sz w:val="28"/>
          <w:szCs w:val="28"/>
          <w:rtl/>
          <w:lang w:bidi="ar-EG"/>
          <w14:ligatures w14:val="standardContextual"/>
        </w:rPr>
        <w:t xml:space="preserve"> تمييزاً مهماً بين الاستخدام الروتيني والاستخدام المتقدم لنظم ذكاء الأعمال، وتشير إلى أن جودة النظام والبيانات والمعلومات والخدمة تؤثر في أنماط الاستخدام، وأن الاستفادة الأكبر للأداء الفردي ترتبط غالباً بالاستخدام المتقدم أكثر من الروتيني</w:t>
      </w:r>
      <w:r w:rsidRPr="00CB373C">
        <w:rPr>
          <w:rFonts w:ascii="Traditional Arabic" w:eastAsia="Aptos" w:hAnsi="Traditional Arabic" w:cs="Traditional Arabic"/>
          <w:kern w:val="2"/>
          <w:sz w:val="28"/>
          <w:szCs w:val="28"/>
          <w:lang w:bidi="ar-EG"/>
          <w14:ligatures w14:val="standardContextual"/>
        </w:rPr>
        <w:t xml:space="preserve">(Mudau et al., 2024) </w:t>
      </w:r>
      <w:r w:rsidRPr="00CB373C">
        <w:rPr>
          <w:rFonts w:ascii="Traditional Arabic" w:eastAsia="Aptos" w:hAnsi="Traditional Arabic" w:cs="Traditional Arabic"/>
          <w:kern w:val="2"/>
          <w:sz w:val="28"/>
          <w:szCs w:val="28"/>
          <w:rtl/>
          <w:lang w:bidi="ar-EG"/>
          <w14:ligatures w14:val="standardContextual"/>
        </w:rPr>
        <w:t xml:space="preserve"> وهذا التفريق ذو دلالة مباشرة للدراسة الحالية؛ لأنه يوضح أن قبول المدير للنظام—حتى لو عُبر عنه بنية إيجابية—لا يكفي وحده ما لم يُترجم إلى اعتماد فعلي على مخرجات ذكاء الأعمال عند تقييم البدائل، وترجيح المخاطر، وتحديد التوقيت الأمثل للقرار.</w:t>
      </w:r>
    </w:p>
    <w:p w14:paraId="37970116"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كما أن قبول التطبيق يتأثر بطريقة تنفيذ المشروع نفسها؛ فدراسة أخرى تشير إلى أن استراتيجية التنفيذ (مثل ذكاء الأعمال ذاتي الخدمة) قد تولّد قبولاً أعلى على المدى الأطول مقارنة بالتطبيقات التقليدية، بما يعني أن القبول قد يكون نتيجة لتفاعل قرارات التصميم</w:t>
      </w:r>
      <w:r w:rsidRPr="00CB373C">
        <w:rPr>
          <w:rFonts w:ascii="Traditional Arabic" w:eastAsia="Aptos" w:hAnsi="Traditional Arabic" w:cs="Traditional Arabic" w:hint="cs"/>
          <w:kern w:val="2"/>
          <w:sz w:val="28"/>
          <w:szCs w:val="28"/>
          <w:rtl/>
          <w:lang w:bidi="ar-EG"/>
          <w14:ligatures w14:val="standardContextual"/>
        </w:rPr>
        <w:t xml:space="preserve"> </w:t>
      </w:r>
      <w:r w:rsidRPr="00CB373C">
        <w:rPr>
          <w:rFonts w:ascii="Traditional Arabic" w:eastAsia="Aptos" w:hAnsi="Traditional Arabic" w:cs="Traditional Arabic"/>
          <w:kern w:val="2"/>
          <w:sz w:val="28"/>
          <w:szCs w:val="28"/>
          <w:rtl/>
          <w:lang w:bidi="ar-EG"/>
          <w14:ligatures w14:val="standardContextual"/>
        </w:rPr>
        <w:t xml:space="preserve">والتنفيذ مع إدراكات </w:t>
      </w:r>
      <w:r w:rsidRPr="00CB373C">
        <w:rPr>
          <w:rFonts w:ascii="Traditional Arabic" w:eastAsia="Aptos" w:hAnsi="Traditional Arabic" w:cs="Traditional Arabic"/>
          <w:kern w:val="2"/>
          <w:sz w:val="28"/>
          <w:szCs w:val="28"/>
          <w:rtl/>
          <w:lang w:bidi="ar-EG"/>
          <w14:ligatures w14:val="standardContextual"/>
        </w:rPr>
        <w:br/>
        <w:t>المستخدمين</w:t>
      </w:r>
      <w:r w:rsidRPr="00CB373C">
        <w:rPr>
          <w:rFonts w:ascii="Traditional Arabic" w:eastAsia="Aptos" w:hAnsi="Traditional Arabic" w:cs="Traditional Arabic"/>
          <w:kern w:val="2"/>
          <w:sz w:val="28"/>
          <w:szCs w:val="28"/>
          <w:lang w:bidi="ar-EG"/>
          <w14:ligatures w14:val="standardContextual"/>
        </w:rPr>
        <w:t xml:space="preserve">(Maghsoudi &amp; </w:t>
      </w:r>
      <w:proofErr w:type="spellStart"/>
      <w:r w:rsidRPr="00CB373C">
        <w:rPr>
          <w:rFonts w:ascii="Traditional Arabic" w:eastAsia="Aptos" w:hAnsi="Traditional Arabic" w:cs="Traditional Arabic"/>
          <w:kern w:val="2"/>
          <w:sz w:val="28"/>
          <w:szCs w:val="28"/>
          <w:lang w:bidi="ar-EG"/>
          <w14:ligatures w14:val="standardContextual"/>
        </w:rPr>
        <w:t>Nezafati</w:t>
      </w:r>
      <w:proofErr w:type="spellEnd"/>
      <w:r w:rsidRPr="00CB373C">
        <w:rPr>
          <w:rFonts w:ascii="Traditional Arabic" w:eastAsia="Aptos" w:hAnsi="Traditional Arabic" w:cs="Traditional Arabic"/>
          <w:kern w:val="2"/>
          <w:sz w:val="28"/>
          <w:szCs w:val="28"/>
          <w:lang w:bidi="ar-EG"/>
          <w14:ligatures w14:val="standardContextual"/>
        </w:rPr>
        <w:t xml:space="preserve">, 2023) </w:t>
      </w:r>
      <w:r w:rsidRPr="00CB373C">
        <w:rPr>
          <w:rFonts w:ascii="Traditional Arabic" w:eastAsia="Aptos" w:hAnsi="Traditional Arabic" w:cs="Traditional Arabic"/>
          <w:kern w:val="2"/>
          <w:sz w:val="28"/>
          <w:szCs w:val="28"/>
          <w:rtl/>
          <w:lang w:bidi="ar-EG"/>
          <w14:ligatures w14:val="standardContextual"/>
        </w:rPr>
        <w:t>.</w:t>
      </w:r>
    </w:p>
    <w:p w14:paraId="371174F8"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وعليه، فإن تكييف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في هذه الدراسة لا يستهدف وصف وجود ذكاء الأعمال داخل المصرف، بل قياس قبول المديرين للنظام عبر (</w:t>
      </w:r>
      <w:r w:rsidRPr="00CB373C">
        <w:rPr>
          <w:rFonts w:ascii="Traditional Arabic" w:eastAsia="Aptos" w:hAnsi="Traditional Arabic" w:cs="Traditional Arabic"/>
          <w:kern w:val="2"/>
          <w:sz w:val="28"/>
          <w:szCs w:val="28"/>
          <w:lang w:bidi="ar-EG"/>
          <w14:ligatures w14:val="standardContextual"/>
        </w:rPr>
        <w:t>PU</w:t>
      </w:r>
      <w:r w:rsidRPr="00CB373C">
        <w:rPr>
          <w:rFonts w:ascii="Traditional Arabic" w:eastAsia="Aptos" w:hAnsi="Traditional Arabic" w:cs="Traditional Arabic"/>
          <w:kern w:val="2"/>
          <w:sz w:val="28"/>
          <w:szCs w:val="28"/>
          <w:rtl/>
          <w:lang w:bidi="ar-EG"/>
          <w14:ligatures w14:val="standardContextual"/>
        </w:rPr>
        <w:t xml:space="preserve"> و</w:t>
      </w:r>
      <w:r w:rsidRPr="00CB373C">
        <w:rPr>
          <w:rFonts w:ascii="Traditional Arabic" w:eastAsia="Aptos" w:hAnsi="Traditional Arabic" w:cs="Traditional Arabic"/>
          <w:kern w:val="2"/>
          <w:sz w:val="28"/>
          <w:szCs w:val="28"/>
          <w:lang w:bidi="ar-EG"/>
          <w14:ligatures w14:val="standardContextual"/>
        </w:rPr>
        <w:t>PEOU</w:t>
      </w:r>
      <w:r w:rsidRPr="00CB373C">
        <w:rPr>
          <w:rFonts w:ascii="Traditional Arabic" w:eastAsia="Aptos" w:hAnsi="Traditional Arabic" w:cs="Traditional Arabic"/>
          <w:kern w:val="2"/>
          <w:sz w:val="28"/>
          <w:szCs w:val="28"/>
          <w:rtl/>
          <w:lang w:bidi="ar-EG"/>
          <w14:ligatures w14:val="standardContextual"/>
        </w:rPr>
        <w:t xml:space="preserve"> والنية)، بوصفه المدخل الذي يفسر كيف يصبح ذكاء الأعمال جزءاً من عملية اتخاذ القرار الاستراتيجي، وهو ما يمهد منطقياً لاختبار أثر هذا القبول على جودة القرارات ومن ثم الابتكار التنظيمي في الفصول اللاحقة.</w:t>
      </w:r>
    </w:p>
    <w:p w14:paraId="33C12EFA" w14:textId="77777777" w:rsidR="00CB373C" w:rsidRPr="00CB373C" w:rsidRDefault="00CB373C" w:rsidP="00CB373C">
      <w:pPr>
        <w:keepNext/>
        <w:keepLines/>
        <w:numPr>
          <w:ilvl w:val="1"/>
          <w:numId w:val="0"/>
        </w:numPr>
        <w:bidi/>
        <w:spacing w:before="160" w:after="80" w:line="278" w:lineRule="auto"/>
        <w:ind w:left="576" w:hanging="576"/>
        <w:jc w:val="both"/>
        <w:outlineLvl w:val="1"/>
        <w:rPr>
          <w:rFonts w:ascii="Traditional Arabic" w:eastAsia="Times New Roman" w:hAnsi="Traditional Arabic" w:cs="Traditional Arabic"/>
          <w:b/>
          <w:bCs/>
          <w:color w:val="000000"/>
          <w:kern w:val="2"/>
          <w:sz w:val="32"/>
          <w:szCs w:val="32"/>
          <w:rtl/>
          <w:lang w:bidi="ar-EG"/>
          <w14:ligatures w14:val="standardContextual"/>
        </w:rPr>
      </w:pPr>
      <w:bookmarkStart w:id="56" w:name="_Toc222423557"/>
      <w:r w:rsidRPr="00CB373C">
        <w:rPr>
          <w:rFonts w:ascii="Traditional Arabic" w:eastAsia="Times New Roman" w:hAnsi="Traditional Arabic" w:cs="Traditional Arabic"/>
          <w:b/>
          <w:bCs/>
          <w:color w:val="000000"/>
          <w:kern w:val="2"/>
          <w:sz w:val="32"/>
          <w:szCs w:val="32"/>
          <w:rtl/>
          <w:lang w:bidi="ar-EG"/>
          <w14:ligatures w14:val="standardContextual"/>
        </w:rPr>
        <w:t>جودة القرارات الاستراتيجية: المفهوم، الأبعاد، وكيف تتحسن بالبيانات</w:t>
      </w:r>
      <w:bookmarkEnd w:id="56"/>
    </w:p>
    <w:p w14:paraId="15340158"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57" w:name="_Toc222423558"/>
      <w:r w:rsidRPr="00CB373C">
        <w:rPr>
          <w:rFonts w:ascii="Traditional Arabic" w:eastAsia="Times New Roman" w:hAnsi="Traditional Arabic" w:cs="Traditional Arabic"/>
          <w:b/>
          <w:bCs/>
          <w:color w:val="000000"/>
          <w:kern w:val="2"/>
          <w:sz w:val="28"/>
          <w:szCs w:val="28"/>
          <w:rtl/>
          <w:lang w:bidi="ar-EG"/>
          <w14:ligatures w14:val="standardContextual"/>
        </w:rPr>
        <w:t>طبيعة القرار الاستراتيجي وخصائصه في المنظمات المصرفية</w:t>
      </w:r>
      <w:bookmarkEnd w:id="57"/>
    </w:p>
    <w:p w14:paraId="07243C4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يُنظر إلى القرار الاستراتيجي بوصفه قراراً عالي الأثر يُحدِّد اتجاه المنظمة على المدى المتوسط والطويل، ويتصل بتخصيص الموارد وبناء القدرات وتحديد الأولويات، بما يجعل نتائجه ممتدة زمنياً وغير سهلة التصحيح إذا اتضح قصورها بعد التنفيذ. وتزداد حساسية هذا النوع من القرارات في البنوك تحديداً لأن البيئة المصرفية تتسم بتشابك المخاطر (الائتمان، السوق، التشغيل، والامتثال) وبسرعة تغير المتطلبات التنظيمية وتوقعات العملاء، فضلاً عن الاعتماد المتنامي على القنوات الرقمية والبيانات. لذلك، ترتبط القرارات الاستراتيجية عادةً بدرجة من التعقيد (تعدد المتغيرات وتداخلها)، وعدم اليقين (صعوبة التنبؤ الكامل بالنتائج)، والأثر طويل المدى (ارتباط القرار بمسار مؤسسي ممتد)، وهي خصائص تجعل الجودة معياراً مركزياً، لا مجرد اتخاذ قرار في حد ذاته (</w:t>
      </w:r>
      <w:r w:rsidRPr="00CB373C">
        <w:rPr>
          <w:rFonts w:ascii="Traditional Arabic" w:eastAsia="Aptos" w:hAnsi="Traditional Arabic" w:cs="Traditional Arabic"/>
          <w:kern w:val="2"/>
          <w:sz w:val="28"/>
          <w:szCs w:val="28"/>
          <w:lang w:bidi="ar-EG"/>
          <w14:ligatures w14:val="standardContextual"/>
        </w:rPr>
        <w:t>Al-Hashimi et al., 2022</w:t>
      </w:r>
      <w:r w:rsidRPr="00CB373C">
        <w:rPr>
          <w:rFonts w:ascii="Traditional Arabic" w:eastAsia="Aptos" w:hAnsi="Traditional Arabic" w:cs="Traditional Arabic"/>
          <w:kern w:val="2"/>
          <w:sz w:val="28"/>
          <w:szCs w:val="28"/>
          <w:rtl/>
          <w:lang w:bidi="ar-EG"/>
          <w14:ligatures w14:val="standardContextual"/>
        </w:rPr>
        <w:t>).</w:t>
      </w:r>
    </w:p>
    <w:p w14:paraId="14282E55"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6486268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0980027A"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58" w:name="_Toc222423559"/>
      <w:r w:rsidRPr="00CB373C">
        <w:rPr>
          <w:rFonts w:ascii="Traditional Arabic" w:eastAsia="Times New Roman" w:hAnsi="Traditional Arabic" w:cs="Traditional Arabic"/>
          <w:b/>
          <w:bCs/>
          <w:color w:val="000000"/>
          <w:kern w:val="2"/>
          <w:sz w:val="28"/>
          <w:szCs w:val="28"/>
          <w:rtl/>
          <w:lang w:bidi="ar-EG"/>
          <w14:ligatures w14:val="standardContextual"/>
        </w:rPr>
        <w:t>جودة عملية اتخاذ القرار وجودة القرار ذاته</w:t>
      </w:r>
      <w:bookmarkEnd w:id="58"/>
    </w:p>
    <w:p w14:paraId="0EEBAD1C"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تتطلب الكتابات الحديثة في الإدارة الاستراتيجية ضبطاً مفاهيمياً يميّز بين مستويين مترابطين من الجودة:</w:t>
      </w:r>
    </w:p>
    <w:p w14:paraId="025CB3C9"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3969EABB"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جودة عملية اتخاذ القرار (</w:t>
      </w:r>
      <w:r w:rsidRPr="00CB373C">
        <w:rPr>
          <w:rFonts w:ascii="Traditional Arabic" w:eastAsia="Aptos" w:hAnsi="Traditional Arabic" w:cs="Traditional Arabic"/>
          <w:kern w:val="2"/>
          <w:sz w:val="28"/>
          <w:szCs w:val="28"/>
          <w:lang w:bidi="ar-EG"/>
          <w14:ligatures w14:val="standardContextual"/>
        </w:rPr>
        <w:t>Decision-Making Process Quality</w:t>
      </w:r>
      <w:r w:rsidRPr="00CB373C">
        <w:rPr>
          <w:rFonts w:ascii="Traditional Arabic" w:eastAsia="Aptos" w:hAnsi="Traditional Arabic" w:cs="Traditional Arabic"/>
          <w:kern w:val="2"/>
          <w:sz w:val="28"/>
          <w:szCs w:val="28"/>
          <w:rtl/>
          <w:lang w:bidi="ar-EG"/>
          <w14:ligatures w14:val="standardContextual"/>
        </w:rPr>
        <w:t xml:space="preserve">): وتشير إلى خصائص الإجراء الذي يُنتج القرار؛ مثل مقدار التحليل المنظم للمعلومات، ودرجة المشاركة، ومتانة التبرير، ووضوح قواعد المفاضلة، وإدارة المصالح والسياسة </w:t>
      </w:r>
      <w:r w:rsidRPr="00CB373C">
        <w:rPr>
          <w:rFonts w:ascii="Traditional Arabic" w:eastAsia="Aptos" w:hAnsi="Traditional Arabic" w:cs="Traditional Arabic"/>
          <w:kern w:val="2"/>
          <w:sz w:val="28"/>
          <w:szCs w:val="28"/>
          <w:rtl/>
          <w:lang w:bidi="ar-EG"/>
          <w14:ligatures w14:val="standardContextual"/>
        </w:rPr>
        <w:lastRenderedPageBreak/>
        <w:t>التنظيمية بصورة بناءة. وتُعد العقلانية الإجرائية (</w:t>
      </w:r>
      <w:r w:rsidRPr="00CB373C">
        <w:rPr>
          <w:rFonts w:ascii="Traditional Arabic" w:eastAsia="Aptos" w:hAnsi="Traditional Arabic" w:cs="Traditional Arabic"/>
          <w:kern w:val="2"/>
          <w:sz w:val="28"/>
          <w:szCs w:val="28"/>
          <w:lang w:bidi="ar-EG"/>
          <w14:ligatures w14:val="standardContextual"/>
        </w:rPr>
        <w:t>Procedural Rationality</w:t>
      </w:r>
      <w:r w:rsidRPr="00CB373C">
        <w:rPr>
          <w:rFonts w:ascii="Traditional Arabic" w:eastAsia="Aptos" w:hAnsi="Traditional Arabic" w:cs="Traditional Arabic"/>
          <w:kern w:val="2"/>
          <w:sz w:val="28"/>
          <w:szCs w:val="28"/>
          <w:rtl/>
          <w:lang w:bidi="ar-EG"/>
          <w14:ligatures w14:val="standardContextual"/>
        </w:rPr>
        <w:t>) مثالاً تفسيرياً مهماً؛ إذ تُفهم بوصفها مدى اعتماد القادة على جمع معلومات ملائمة، وتحليلها بصورة متأنية، قبل اعتماد القرار وتوجيهه للتنفيذ (</w:t>
      </w:r>
      <w:r w:rsidRPr="00CB373C">
        <w:rPr>
          <w:rFonts w:ascii="Traditional Arabic" w:eastAsia="Aptos" w:hAnsi="Traditional Arabic" w:cs="Traditional Arabic"/>
          <w:kern w:val="2"/>
          <w:sz w:val="28"/>
          <w:szCs w:val="28"/>
          <w:lang w:bidi="ar-EG"/>
          <w14:ligatures w14:val="standardContextual"/>
        </w:rPr>
        <w:t>Al-Hashimi et al., 2022</w:t>
      </w:r>
      <w:r w:rsidRPr="00CB373C">
        <w:rPr>
          <w:rFonts w:ascii="Traditional Arabic" w:eastAsia="Aptos" w:hAnsi="Traditional Arabic" w:cs="Traditional Arabic"/>
          <w:kern w:val="2"/>
          <w:sz w:val="28"/>
          <w:szCs w:val="28"/>
          <w:rtl/>
          <w:lang w:bidi="ar-EG"/>
          <w14:ligatures w14:val="standardContextual"/>
        </w:rPr>
        <w:t>).</w:t>
      </w:r>
    </w:p>
    <w:p w14:paraId="2F5ED11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جودة القرار ذاته (</w:t>
      </w:r>
      <w:r w:rsidRPr="00CB373C">
        <w:rPr>
          <w:rFonts w:ascii="Traditional Arabic" w:eastAsia="Aptos" w:hAnsi="Traditional Arabic" w:cs="Traditional Arabic"/>
          <w:kern w:val="2"/>
          <w:sz w:val="28"/>
          <w:szCs w:val="28"/>
          <w:lang w:bidi="ar-EG"/>
          <w14:ligatures w14:val="standardContextual"/>
        </w:rPr>
        <w:t>Decision Outcome Quality</w:t>
      </w:r>
      <w:r w:rsidRPr="00CB373C">
        <w:rPr>
          <w:rFonts w:ascii="Traditional Arabic" w:eastAsia="Aptos" w:hAnsi="Traditional Arabic" w:cs="Traditional Arabic"/>
          <w:kern w:val="2"/>
          <w:sz w:val="28"/>
          <w:szCs w:val="28"/>
          <w:rtl/>
          <w:lang w:bidi="ar-EG"/>
          <w14:ligatures w14:val="standardContextual"/>
        </w:rPr>
        <w:t>)، وهي تقييم مخرجات القرار من حيث ملاءمته للأهداف، واتساقه مع القيود، وقابليته للتنفيذ، وفاعليته المتوقعة مقارنةً بالبدائل المتاحة.</w:t>
      </w:r>
    </w:p>
    <w:p w14:paraId="63874E7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ورغم هذا التمييز، فإن الأدبيات تميل إلى التأكيد على أن جودة القرار لا تنفصل عملياً عن جودة العملية التي أنتجته؛ لأن ضعف العملية (كتحيزات الإدراك أو قصور المعلومات أو سوء تقدير الزمن) ينعكس غالباً على مخرجات أقل ملاءمة. وفي السياق المصرفي، تؤكد دراسات سلوكية أن الانحيازات المعرفية لدى المديرين قد تُضعف جودة القرار الاستراتيجي، حتى في مؤسسات تمتلك موارد وقدرات قوية، ما يعني أن المعلومة وحدها لا تكفي دون آليات تقويم تُحسن الحكم الإداري وتحد من الانحرافات (</w:t>
      </w:r>
      <w:r w:rsidRPr="00CB373C">
        <w:rPr>
          <w:rFonts w:ascii="Traditional Arabic" w:eastAsia="Aptos" w:hAnsi="Traditional Arabic" w:cs="Traditional Arabic"/>
          <w:kern w:val="2"/>
          <w:sz w:val="28"/>
          <w:szCs w:val="28"/>
          <w:lang w:bidi="ar-EG"/>
          <w14:ligatures w14:val="standardContextual"/>
        </w:rPr>
        <w:t>Jarrar, 2021</w:t>
      </w:r>
      <w:r w:rsidRPr="00CB373C">
        <w:rPr>
          <w:rFonts w:ascii="Traditional Arabic" w:eastAsia="Aptos" w:hAnsi="Traditional Arabic" w:cs="Traditional Arabic"/>
          <w:kern w:val="2"/>
          <w:sz w:val="28"/>
          <w:szCs w:val="28"/>
          <w:rtl/>
          <w:lang w:bidi="ar-EG"/>
          <w14:ligatures w14:val="standardContextual"/>
        </w:rPr>
        <w:t>).</w:t>
      </w:r>
    </w:p>
    <w:p w14:paraId="58D93A03"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وبناءً عليه، تتبنى الدراسة الحالية مفهوم جودة القرارات الاستراتيجية بوصفه تقويماً لمخرجات القرار، مع الانطلاق من أن هذه الجودة تتجسد عبر أبعاد تشغيلية قابلة للقياس—تلتقط في الوقت نفسه عناصر جوهرية من جودة العملية (مثل تحليل البدائل والموضوعية) لأنها مؤشرات مباشرة على سلامة الحكم الذي سبق القرار.</w:t>
      </w:r>
    </w:p>
    <w:p w14:paraId="209373B0"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59" w:name="_Toc222423560"/>
      <w:r w:rsidRPr="00CB373C">
        <w:rPr>
          <w:rFonts w:ascii="Traditional Arabic" w:eastAsia="Times New Roman" w:hAnsi="Traditional Arabic" w:cs="Traditional Arabic"/>
          <w:b/>
          <w:bCs/>
          <w:color w:val="000000"/>
          <w:kern w:val="2"/>
          <w:sz w:val="28"/>
          <w:szCs w:val="28"/>
          <w:rtl/>
          <w:lang w:bidi="ar-EG"/>
          <w14:ligatures w14:val="standardContextual"/>
        </w:rPr>
        <w:t>الأبعاد التشغيلية لجودة القرارات الاستراتيجية في الدراسة الحالية</w:t>
      </w:r>
      <w:bookmarkEnd w:id="59"/>
    </w:p>
    <w:p w14:paraId="53C9DE4F"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تعتمد الدراسة أربعة أبعاد مترابطة تُستخدم على نطاق واسع في قياس جودة القرار داخل المنظمات المعتمدة على البيانات، وهي: جودة المعلومات، تحليل البدائل، ملاءمة التوقيت، والموضوعية/التقييم.</w:t>
      </w:r>
    </w:p>
    <w:p w14:paraId="02625F75"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جودة المعلومات (</w:t>
      </w:r>
      <w:r w:rsidRPr="00CB373C">
        <w:rPr>
          <w:rFonts w:ascii="Traditional Arabic" w:eastAsia="Times New Roman" w:hAnsi="Traditional Arabic" w:cs="Traditional Arabic"/>
          <w:b/>
          <w:bCs/>
          <w:i/>
          <w:iCs/>
          <w:color w:val="000000"/>
          <w:kern w:val="2"/>
          <w:sz w:val="28"/>
          <w:szCs w:val="28"/>
          <w:lang w:bidi="ar-EG"/>
          <w14:ligatures w14:val="standardContextual"/>
        </w:rPr>
        <w:t>Information Quality</w:t>
      </w:r>
      <w:r w:rsidRPr="00CB373C">
        <w:rPr>
          <w:rFonts w:ascii="Traditional Arabic" w:eastAsia="Times New Roman" w:hAnsi="Traditional Arabic" w:cs="Traditional Arabic"/>
          <w:b/>
          <w:bCs/>
          <w:i/>
          <w:iCs/>
          <w:color w:val="000000"/>
          <w:kern w:val="2"/>
          <w:sz w:val="28"/>
          <w:szCs w:val="28"/>
          <w:rtl/>
          <w:lang w:bidi="ar-EG"/>
          <w14:ligatures w14:val="standardContextual"/>
        </w:rPr>
        <w:t>)</w:t>
      </w:r>
    </w:p>
    <w:p w14:paraId="12F4CE6B"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تشير جودة المعلومات إلى مدى دقة المعلومات وموثوقيتها وشمولها وحداثتها وملاءمتها لموضوع القرار. وتؤكد الأدبيات أن القرار الجيد غالباً ما يبدأ من مدخلات جيدة؛ فحين تكون البيانات ناقصة أو متقادمة أو غير متسقة، تصبح المفاضلة بين الخيارات مضللة، وتزداد احتمالية اتخاذ قرارات مكلفة. وتذهب بعض الأعمال إلى ربط جودة القرار مباشرةً بجودة البيانات/المعلومات بوصفها درجة قابلية الاستخدام في المهمة الإدارية (</w:t>
      </w:r>
      <w:r w:rsidRPr="00CB373C">
        <w:rPr>
          <w:rFonts w:ascii="Traditional Arabic" w:eastAsia="Aptos" w:hAnsi="Traditional Arabic" w:cs="Traditional Arabic"/>
          <w:kern w:val="2"/>
          <w:sz w:val="28"/>
          <w:szCs w:val="28"/>
          <w:lang w:bidi="ar-EG"/>
          <w14:ligatures w14:val="standardContextual"/>
        </w:rPr>
        <w:t>Wang et al., 2023</w:t>
      </w:r>
      <w:r w:rsidRPr="00CB373C">
        <w:rPr>
          <w:rFonts w:ascii="Traditional Arabic" w:eastAsia="Aptos" w:hAnsi="Traditional Arabic" w:cs="Traditional Arabic"/>
          <w:kern w:val="2"/>
          <w:sz w:val="28"/>
          <w:szCs w:val="28"/>
          <w:rtl/>
          <w:lang w:bidi="ar-EG"/>
          <w14:ligatures w14:val="standardContextual"/>
        </w:rPr>
        <w:t>). كما تُظهر البحوث التجريبية حول لوحات المتابعة (</w:t>
      </w:r>
      <w:r w:rsidRPr="00CB373C">
        <w:rPr>
          <w:rFonts w:ascii="Traditional Arabic" w:eastAsia="Aptos" w:hAnsi="Traditional Arabic" w:cs="Traditional Arabic"/>
          <w:kern w:val="2"/>
          <w:sz w:val="28"/>
          <w:szCs w:val="28"/>
          <w:lang w:bidi="ar-EG"/>
          <w14:ligatures w14:val="standardContextual"/>
        </w:rPr>
        <w:t>Dashboards</w:t>
      </w:r>
      <w:r w:rsidRPr="00CB373C">
        <w:rPr>
          <w:rFonts w:ascii="Traditional Arabic" w:eastAsia="Aptos" w:hAnsi="Traditional Arabic" w:cs="Traditional Arabic"/>
          <w:kern w:val="2"/>
          <w:sz w:val="28"/>
          <w:szCs w:val="28"/>
          <w:rtl/>
          <w:lang w:bidi="ar-EG"/>
          <w14:ligatures w14:val="standardContextual"/>
        </w:rPr>
        <w:t>) أن خصائص مثل اكتمال المعلومات وحداثتها وصياغتها تؤثر في جودة اتخاذ القرار، بصورة غير مباشرة، عبر تقليل تعقيد المهمة المدرك وتعزيز رضا المستخدم عن المعلومات (</w:t>
      </w:r>
      <w:r w:rsidRPr="00CB373C">
        <w:rPr>
          <w:rFonts w:ascii="Traditional Arabic" w:eastAsia="Aptos" w:hAnsi="Traditional Arabic" w:cs="Traditional Arabic"/>
          <w:kern w:val="2"/>
          <w:sz w:val="28"/>
          <w:szCs w:val="28"/>
          <w:lang w:bidi="ar-EG"/>
          <w14:ligatures w14:val="standardContextual"/>
        </w:rPr>
        <w:t>Hjelle et al., 2024</w:t>
      </w:r>
      <w:r w:rsidRPr="00CB373C">
        <w:rPr>
          <w:rFonts w:ascii="Traditional Arabic" w:eastAsia="Aptos" w:hAnsi="Traditional Arabic" w:cs="Traditional Arabic"/>
          <w:kern w:val="2"/>
          <w:sz w:val="28"/>
          <w:szCs w:val="28"/>
          <w:rtl/>
          <w:lang w:bidi="ar-EG"/>
          <w14:ligatures w14:val="standardContextual"/>
        </w:rPr>
        <w:t>). وفي الأدبيات العربية، تُعرض جودة المعلومات عادةً بأبعاد قريبة من (الدقة، الحداثة، الشمولية، والموثوقية)، مع تقرير أثر إيجابي لهذه الأبعاد على فعالية القرارات داخل المنظمات (السائح، 2025).</w:t>
      </w:r>
    </w:p>
    <w:p w14:paraId="549F9A37"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تحليل البدائل وتقييم المفاضلات (</w:t>
      </w:r>
      <w:r w:rsidRPr="00CB373C">
        <w:rPr>
          <w:rFonts w:ascii="Traditional Arabic" w:eastAsia="Times New Roman" w:hAnsi="Traditional Arabic" w:cs="Traditional Arabic"/>
          <w:b/>
          <w:bCs/>
          <w:i/>
          <w:iCs/>
          <w:color w:val="000000"/>
          <w:kern w:val="2"/>
          <w:sz w:val="28"/>
          <w:szCs w:val="28"/>
          <w:lang w:bidi="ar-EG"/>
          <w14:ligatures w14:val="standardContextual"/>
        </w:rPr>
        <w:t>Alternative Analysis</w:t>
      </w:r>
      <w:r w:rsidRPr="00CB373C">
        <w:rPr>
          <w:rFonts w:ascii="Traditional Arabic" w:eastAsia="Times New Roman" w:hAnsi="Traditional Arabic" w:cs="Traditional Arabic"/>
          <w:b/>
          <w:bCs/>
          <w:i/>
          <w:iCs/>
          <w:color w:val="000000"/>
          <w:kern w:val="2"/>
          <w:sz w:val="28"/>
          <w:szCs w:val="28"/>
          <w:rtl/>
          <w:lang w:bidi="ar-EG"/>
          <w14:ligatures w14:val="standardContextual"/>
        </w:rPr>
        <w:t>)</w:t>
      </w:r>
    </w:p>
    <w:p w14:paraId="09EC1B6E"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لا تُقاس جودة القرار بوجود اختيار فحسب، بل بمدى اتساع البدائل المطروحة وعمق تحليلها، وبقدرة الإدارة على تقييم المفاضلات بين العائد والمخاطر والتكلفة والمواءمة مع الاستراتيجية. وهنا تظهر قيمة العملية التحليلية: إذ لا يُفترض أن تقود وفرة البيانات إلى قرار أفضل تلقائياً، ما لم تُترجم إلى مقارنة منظمة بين الخيارات واختبار سيناريوهات متعددة. وفي هذا الصدد، تبرز العقلانية الإجرائية كمدخل يوضح أن تحسين جودة القرار يرتبط بوجود </w:t>
      </w:r>
      <w:r w:rsidRPr="00CB373C">
        <w:rPr>
          <w:rFonts w:ascii="Traditional Arabic" w:eastAsia="Aptos" w:hAnsi="Traditional Arabic" w:cs="Traditional Arabic"/>
          <w:kern w:val="2"/>
          <w:sz w:val="28"/>
          <w:szCs w:val="28"/>
          <w:lang w:bidi="ar-EG"/>
          <w14:ligatures w14:val="standardContextual"/>
        </w:rPr>
        <w:t>deliberation</w:t>
      </w:r>
      <w:r w:rsidRPr="00CB373C">
        <w:rPr>
          <w:rFonts w:ascii="Traditional Arabic" w:eastAsia="Aptos" w:hAnsi="Traditional Arabic" w:cs="Traditional Arabic"/>
          <w:kern w:val="2"/>
          <w:sz w:val="28"/>
          <w:szCs w:val="28"/>
          <w:rtl/>
          <w:lang w:bidi="ar-EG"/>
          <w14:ligatures w14:val="standardContextual"/>
        </w:rPr>
        <w:t xml:space="preserve"> مناسب يجمع المعلومات ذات </w:t>
      </w:r>
      <w:r w:rsidRPr="00CB373C">
        <w:rPr>
          <w:rFonts w:ascii="Traditional Arabic" w:eastAsia="Aptos" w:hAnsi="Traditional Arabic" w:cs="Traditional Arabic"/>
          <w:kern w:val="2"/>
          <w:sz w:val="28"/>
          <w:szCs w:val="28"/>
          <w:rtl/>
          <w:lang w:bidi="ar-EG"/>
          <w14:ligatures w14:val="standardContextual"/>
        </w:rPr>
        <w:lastRenderedPageBreak/>
        <w:t>الصلة ويحللها قبل الحسم (</w:t>
      </w:r>
      <w:r w:rsidRPr="00CB373C">
        <w:rPr>
          <w:rFonts w:ascii="Traditional Arabic" w:eastAsia="Aptos" w:hAnsi="Traditional Arabic" w:cs="Traditional Arabic"/>
          <w:kern w:val="2"/>
          <w:sz w:val="28"/>
          <w:szCs w:val="28"/>
          <w:lang w:bidi="ar-EG"/>
          <w14:ligatures w14:val="standardContextual"/>
        </w:rPr>
        <w:t>Al-Hashimi et al., 2022</w:t>
      </w:r>
      <w:r w:rsidRPr="00CB373C">
        <w:rPr>
          <w:rFonts w:ascii="Traditional Arabic" w:eastAsia="Aptos" w:hAnsi="Traditional Arabic" w:cs="Traditional Arabic"/>
          <w:kern w:val="2"/>
          <w:sz w:val="28"/>
          <w:szCs w:val="28"/>
          <w:rtl/>
          <w:lang w:bidi="ar-EG"/>
          <w14:ligatures w14:val="standardContextual"/>
        </w:rPr>
        <w:t>). وتقدم الدراسات التطبيقية حول نظم ذكاء الأعمال دلالة إضافية مفادها أن إدارة ذكاء الأعمال وجودة البيانات والتصور البصري (</w:t>
      </w:r>
      <w:r w:rsidRPr="00CB373C">
        <w:rPr>
          <w:rFonts w:ascii="Traditional Arabic" w:eastAsia="Aptos" w:hAnsi="Traditional Arabic" w:cs="Traditional Arabic"/>
          <w:kern w:val="2"/>
          <w:sz w:val="28"/>
          <w:szCs w:val="28"/>
          <w:lang w:bidi="ar-EG"/>
          <w14:ligatures w14:val="standardContextual"/>
        </w:rPr>
        <w:t>Data Visualization</w:t>
      </w:r>
      <w:r w:rsidRPr="00CB373C">
        <w:rPr>
          <w:rFonts w:ascii="Traditional Arabic" w:eastAsia="Aptos" w:hAnsi="Traditional Arabic" w:cs="Traditional Arabic"/>
          <w:kern w:val="2"/>
          <w:sz w:val="28"/>
          <w:szCs w:val="28"/>
          <w:rtl/>
          <w:lang w:bidi="ar-EG"/>
          <w14:ligatures w14:val="standardContextual"/>
        </w:rPr>
        <w:t>) ترتبط إيجابياً بجودة القرار الاستراتيجي لدى الإدارة العليا، بما يشير إلى أن التحليل يصبح أكثر نفعاً عندما تتوافر أدوات تُظهر البدائل بوضوح وتدعم المفاضلة (</w:t>
      </w:r>
      <w:r w:rsidRPr="00CB373C">
        <w:rPr>
          <w:rFonts w:ascii="Traditional Arabic" w:eastAsia="Aptos" w:hAnsi="Traditional Arabic" w:cs="Traditional Arabic"/>
          <w:kern w:val="2"/>
          <w:sz w:val="28"/>
          <w:szCs w:val="28"/>
          <w:lang w:bidi="ar-EG"/>
          <w14:ligatures w14:val="standardContextual"/>
        </w:rPr>
        <w:t>Abu-</w:t>
      </w:r>
      <w:proofErr w:type="spellStart"/>
      <w:r w:rsidRPr="00CB373C">
        <w:rPr>
          <w:rFonts w:ascii="Traditional Arabic" w:eastAsia="Aptos" w:hAnsi="Traditional Arabic" w:cs="Traditional Arabic"/>
          <w:kern w:val="2"/>
          <w:sz w:val="28"/>
          <w:szCs w:val="28"/>
          <w:lang w:bidi="ar-EG"/>
          <w14:ligatures w14:val="standardContextual"/>
        </w:rPr>
        <w:t>AlSondos</w:t>
      </w:r>
      <w:proofErr w:type="spellEnd"/>
      <w:r w:rsidRPr="00CB373C">
        <w:rPr>
          <w:rFonts w:ascii="Traditional Arabic" w:eastAsia="Aptos" w:hAnsi="Traditional Arabic" w:cs="Traditional Arabic"/>
          <w:kern w:val="2"/>
          <w:sz w:val="28"/>
          <w:szCs w:val="28"/>
          <w:lang w:bidi="ar-EG"/>
          <w14:ligatures w14:val="standardContextual"/>
        </w:rPr>
        <w:t>, 2023</w:t>
      </w:r>
      <w:r w:rsidRPr="00CB373C">
        <w:rPr>
          <w:rFonts w:ascii="Traditional Arabic" w:eastAsia="Aptos" w:hAnsi="Traditional Arabic" w:cs="Traditional Arabic"/>
          <w:kern w:val="2"/>
          <w:sz w:val="28"/>
          <w:szCs w:val="28"/>
          <w:rtl/>
          <w:lang w:bidi="ar-EG"/>
          <w14:ligatures w14:val="standardContextual"/>
        </w:rPr>
        <w:t>).</w:t>
      </w:r>
    </w:p>
    <w:p w14:paraId="41E51092"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ملاءمة التوقيت والحساسية الزمنية للقرار (</w:t>
      </w:r>
      <w:r w:rsidRPr="00CB373C">
        <w:rPr>
          <w:rFonts w:ascii="Traditional Arabic" w:eastAsia="Times New Roman" w:hAnsi="Traditional Arabic" w:cs="Traditional Arabic"/>
          <w:b/>
          <w:bCs/>
          <w:i/>
          <w:iCs/>
          <w:color w:val="000000"/>
          <w:kern w:val="2"/>
          <w:sz w:val="28"/>
          <w:szCs w:val="28"/>
          <w:lang w:bidi="ar-EG"/>
          <w14:ligatures w14:val="standardContextual"/>
        </w:rPr>
        <w:t>Timeliness</w:t>
      </w:r>
      <w:r w:rsidRPr="00CB373C">
        <w:rPr>
          <w:rFonts w:ascii="Traditional Arabic" w:eastAsia="Times New Roman" w:hAnsi="Traditional Arabic" w:cs="Traditional Arabic"/>
          <w:b/>
          <w:bCs/>
          <w:i/>
          <w:iCs/>
          <w:color w:val="000000"/>
          <w:kern w:val="2"/>
          <w:sz w:val="28"/>
          <w:szCs w:val="28"/>
          <w:rtl/>
          <w:lang w:bidi="ar-EG"/>
          <w14:ligatures w14:val="standardContextual"/>
        </w:rPr>
        <w:t>)</w:t>
      </w:r>
    </w:p>
    <w:p w14:paraId="0BB9811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يرتبط القرار الاستراتيجي بعامل الزمن على مستويين: (أ) توقيت توفر المعلومة ذاتها، و(ب) توقيت اتخاذ القرار وتنفيذه قياساً بنافذة الفرصة أو المخاطر. فحتى المعلومات الدقيقة قد تفقد قيمتها إن وصلت متأخرة، كما أن قراراً صحيحاً من حيث المبدأ قد يصبح أقل كفاءة إن اتُّخذ بعد تغير شروط السوق أو التنظيم أو المنافسة. وتضع أدبيات جودة البيانات الحداثة/التوقيت ضمن الأبعاد الأكثر تكراراً عند تقييم صلاحية البيانات للاستخدام في القرار (</w:t>
      </w:r>
      <w:r w:rsidRPr="00CB373C">
        <w:rPr>
          <w:rFonts w:ascii="Traditional Arabic" w:eastAsia="Aptos" w:hAnsi="Traditional Arabic" w:cs="Traditional Arabic"/>
          <w:kern w:val="2"/>
          <w:sz w:val="28"/>
          <w:szCs w:val="28"/>
          <w:lang w:bidi="ar-EG"/>
          <w14:ligatures w14:val="standardContextual"/>
        </w:rPr>
        <w:t>Wang et al., 2023</w:t>
      </w:r>
      <w:r w:rsidRPr="00CB373C">
        <w:rPr>
          <w:rFonts w:ascii="Traditional Arabic" w:eastAsia="Aptos" w:hAnsi="Traditional Arabic" w:cs="Traditional Arabic"/>
          <w:kern w:val="2"/>
          <w:sz w:val="28"/>
          <w:szCs w:val="28"/>
          <w:rtl/>
          <w:lang w:bidi="ar-EG"/>
          <w14:ligatures w14:val="standardContextual"/>
        </w:rPr>
        <w:t>)، كما تؤكد بحوث لوحات المتابعة أن حداثة المعلومات—مع اكتمالها وصياغتها—تعزز جودة القرار عبر تخفيف الضغط الإدراكي المرتبط بالتعقيد (</w:t>
      </w:r>
      <w:r w:rsidRPr="00CB373C">
        <w:rPr>
          <w:rFonts w:ascii="Traditional Arabic" w:eastAsia="Aptos" w:hAnsi="Traditional Arabic" w:cs="Traditional Arabic"/>
          <w:kern w:val="2"/>
          <w:sz w:val="28"/>
          <w:szCs w:val="28"/>
          <w:lang w:bidi="ar-EG"/>
          <w14:ligatures w14:val="standardContextual"/>
        </w:rPr>
        <w:t>Hjelle et al., 2024</w:t>
      </w:r>
      <w:r w:rsidRPr="00CB373C">
        <w:rPr>
          <w:rFonts w:ascii="Traditional Arabic" w:eastAsia="Aptos" w:hAnsi="Traditional Arabic" w:cs="Traditional Arabic"/>
          <w:kern w:val="2"/>
          <w:sz w:val="28"/>
          <w:szCs w:val="28"/>
          <w:rtl/>
          <w:lang w:bidi="ar-EG"/>
          <w14:ligatures w14:val="standardContextual"/>
        </w:rPr>
        <w:t>). وفي السياق المصرفي العربي، تُظهر نتائج ميدانية أن تكنولوجيا المعلومات ترتبط إحصائياً بجودة القرارات الاستراتيجية في البنوك، وهو ما يمكن تفسيره—جزئياً—بقدرة التقنيات على تسريع دورة المعلومة وتقليل الفجوة الزمنية بين الرصد والاستجابة (الرميمه والحكيمي، 2024).</w:t>
      </w:r>
    </w:p>
    <w:p w14:paraId="66991C5A"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الموضوعية/التقييم وضبط التحيزات (</w:t>
      </w:r>
      <w:r w:rsidRPr="00CB373C">
        <w:rPr>
          <w:rFonts w:ascii="Traditional Arabic" w:eastAsia="Times New Roman" w:hAnsi="Traditional Arabic" w:cs="Traditional Arabic"/>
          <w:b/>
          <w:bCs/>
          <w:i/>
          <w:iCs/>
          <w:color w:val="000000"/>
          <w:kern w:val="2"/>
          <w:sz w:val="28"/>
          <w:szCs w:val="28"/>
          <w:lang w:bidi="ar-EG"/>
          <w14:ligatures w14:val="standardContextual"/>
        </w:rPr>
        <w:t>Objectivity and Evaluation</w:t>
      </w:r>
      <w:r w:rsidRPr="00CB373C">
        <w:rPr>
          <w:rFonts w:ascii="Traditional Arabic" w:eastAsia="Times New Roman" w:hAnsi="Traditional Arabic" w:cs="Traditional Arabic"/>
          <w:b/>
          <w:bCs/>
          <w:i/>
          <w:iCs/>
          <w:color w:val="000000"/>
          <w:kern w:val="2"/>
          <w:sz w:val="28"/>
          <w:szCs w:val="28"/>
          <w:rtl/>
          <w:lang w:bidi="ar-EG"/>
          <w14:ligatures w14:val="standardContextual"/>
        </w:rPr>
        <w:t>)</w:t>
      </w:r>
    </w:p>
    <w:p w14:paraId="1AE184DC"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تمثل الموضوعية بُعداً حاكماً لجودة القرار، لأنها تتصل بطريقة الحكم على المعلومات والبدائل بعيداً عن الانتقائية أو الانحياز أو المصالح الضيقة. وتشير الدراسات السلوكية إلى أن الانحيازات المعرفية (مثل وهم السيطرة أو تحيز الفرضيات السابقة) يمكن أن تقود إلى قرارات استراتيجية أقل جودة، بما يضع الموضوعية في قلب نقاش الجودة، لا بوصفها قيمة أخلاقية فحسب بل كمتطلب معرفي لإنتاج قرار متوازن (</w:t>
      </w:r>
      <w:r w:rsidRPr="00CB373C">
        <w:rPr>
          <w:rFonts w:ascii="Traditional Arabic" w:eastAsia="Aptos" w:hAnsi="Traditional Arabic" w:cs="Traditional Arabic"/>
          <w:kern w:val="2"/>
          <w:sz w:val="28"/>
          <w:szCs w:val="28"/>
          <w:lang w:bidi="ar-EG"/>
          <w14:ligatures w14:val="standardContextual"/>
        </w:rPr>
        <w:t>Jarrar, 2021</w:t>
      </w:r>
      <w:r w:rsidRPr="00CB373C">
        <w:rPr>
          <w:rFonts w:ascii="Traditional Arabic" w:eastAsia="Aptos" w:hAnsi="Traditional Arabic" w:cs="Traditional Arabic"/>
          <w:kern w:val="2"/>
          <w:sz w:val="28"/>
          <w:szCs w:val="28"/>
          <w:rtl/>
          <w:lang w:bidi="ar-EG"/>
          <w14:ligatures w14:val="standardContextual"/>
        </w:rPr>
        <w:t>). ومن زاوية قريبة، تُظهر الأدبيات العربية أن نظم دعم القرار يمكن أن تؤدي دوراً وسيطاً يرفع جودة القرارات الاستراتيجية عبر تنظيم المعرفة الضمنية وتوجيهها في مسارات أكثر انضباطاً، وهو ما يدعم منطق أن الموضوعية تتحسن عندما تُدعم الخبرة البشرية بأدوات منهجية تقلل العشوائية (خالصة وابن عيسي، 2022). كما تُفيد دراسات مشاركة المعلومات بأن تدفق المعلومات داخل الفرق يرفع جودة القرار، لأنه يوسع منظور التقييم ويقلل احتمالات الاقتصار على معلومات مألوفة أو مريحة معرفياً (</w:t>
      </w:r>
      <w:proofErr w:type="spellStart"/>
      <w:r w:rsidRPr="00CB373C">
        <w:rPr>
          <w:rFonts w:ascii="Traditional Arabic" w:eastAsia="Aptos" w:hAnsi="Traditional Arabic" w:cs="Traditional Arabic"/>
          <w:kern w:val="2"/>
          <w:sz w:val="28"/>
          <w:szCs w:val="28"/>
          <w:lang w:bidi="ar-EG"/>
          <w14:ligatures w14:val="standardContextual"/>
        </w:rPr>
        <w:t>Alduais</w:t>
      </w:r>
      <w:proofErr w:type="spellEnd"/>
      <w:r w:rsidRPr="00CB373C">
        <w:rPr>
          <w:rFonts w:ascii="Traditional Arabic" w:eastAsia="Aptos" w:hAnsi="Traditional Arabic" w:cs="Traditional Arabic"/>
          <w:kern w:val="2"/>
          <w:sz w:val="28"/>
          <w:szCs w:val="28"/>
          <w:lang w:bidi="ar-EG"/>
          <w14:ligatures w14:val="standardContextual"/>
        </w:rPr>
        <w:t xml:space="preserve"> et al., 2023</w:t>
      </w:r>
      <w:r w:rsidRPr="00CB373C">
        <w:rPr>
          <w:rFonts w:ascii="Traditional Arabic" w:eastAsia="Aptos" w:hAnsi="Traditional Arabic" w:cs="Traditional Arabic"/>
          <w:kern w:val="2"/>
          <w:sz w:val="28"/>
          <w:szCs w:val="28"/>
          <w:rtl/>
          <w:lang w:bidi="ar-EG"/>
          <w14:ligatures w14:val="standardContextual"/>
        </w:rPr>
        <w:t>).</w:t>
      </w:r>
    </w:p>
    <w:p w14:paraId="58B2AF6E"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60" w:name="_Toc222423561"/>
      <w:r w:rsidRPr="00CB373C">
        <w:rPr>
          <w:rFonts w:ascii="Traditional Arabic" w:eastAsia="Times New Roman" w:hAnsi="Traditional Arabic" w:cs="Traditional Arabic"/>
          <w:b/>
          <w:bCs/>
          <w:color w:val="000000"/>
          <w:kern w:val="2"/>
          <w:sz w:val="28"/>
          <w:szCs w:val="28"/>
          <w:rtl/>
          <w:lang w:bidi="ar-EG"/>
          <w14:ligatures w14:val="standardContextual"/>
        </w:rPr>
        <w:t>منطق القرار القائم على البيانات: كيف تُحسّن التحليلات جودة القرار الاستراتيجي</w:t>
      </w:r>
      <w:bookmarkEnd w:id="60"/>
    </w:p>
    <w:p w14:paraId="5A01020D"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يعد الانتقال إلى القرار القائم على البيانات (</w:t>
      </w:r>
      <w:r w:rsidRPr="00CB373C">
        <w:rPr>
          <w:rFonts w:ascii="Traditional Arabic" w:eastAsia="Aptos" w:hAnsi="Traditional Arabic" w:cs="Traditional Arabic"/>
          <w:kern w:val="2"/>
          <w:sz w:val="28"/>
          <w:szCs w:val="28"/>
          <w:lang w:bidi="ar-EG"/>
          <w14:ligatures w14:val="standardContextual"/>
        </w:rPr>
        <w:t>Data-Driven Decision-Making</w:t>
      </w:r>
      <w:r w:rsidRPr="00CB373C">
        <w:rPr>
          <w:rFonts w:ascii="Traditional Arabic" w:eastAsia="Aptos" w:hAnsi="Traditional Arabic" w:cs="Traditional Arabic"/>
          <w:kern w:val="2"/>
          <w:sz w:val="28"/>
          <w:szCs w:val="28"/>
          <w:rtl/>
          <w:lang w:bidi="ar-EG"/>
          <w14:ligatures w14:val="standardContextual"/>
        </w:rPr>
        <w:t>) أحد أبرز التحولات في الإدارة المعاصرة، لكنه لا يعني استبدال الحكم الإداري بالخوارزميات؛ بل يعني إعادة بناء عملية القرار على أسس أكثر قابلية للفحص والتبرير. وتوضح الأدبيات أن جودة القرار تتحسن حين تتوافر: بيانات عالية الجودة، وقدرات تحليلية مناسبة، وثقافة تنظيمية تدعم الاستفادة من النتائج وتوظيفها (</w:t>
      </w:r>
      <w:r w:rsidRPr="00CB373C">
        <w:rPr>
          <w:rFonts w:ascii="Traditional Arabic" w:eastAsia="Aptos" w:hAnsi="Traditional Arabic" w:cs="Traditional Arabic"/>
          <w:kern w:val="2"/>
          <w:sz w:val="28"/>
          <w:szCs w:val="28"/>
          <w:lang w:bidi="ar-EG"/>
          <w14:ligatures w14:val="standardContextual"/>
        </w:rPr>
        <w:t>Wang et al., 2023</w:t>
      </w:r>
      <w:r w:rsidRPr="00CB373C">
        <w:rPr>
          <w:rFonts w:ascii="Traditional Arabic" w:eastAsia="Aptos" w:hAnsi="Traditional Arabic" w:cs="Traditional Arabic"/>
          <w:kern w:val="2"/>
          <w:sz w:val="28"/>
          <w:szCs w:val="28"/>
          <w:rtl/>
          <w:lang w:bidi="ar-EG"/>
          <w14:ligatures w14:val="standardContextual"/>
        </w:rPr>
        <w:t>). وفي هذا الاتجاه، تقدم دراسة حديثة دليلاً على أن الثقافة القائمة على البيانات وقدرات التحليلات ترتبط بالأداء القراري، مع إبراز دور مهارات محو الأمية البيانية (</w:t>
      </w:r>
      <w:r w:rsidRPr="00CB373C">
        <w:rPr>
          <w:rFonts w:ascii="Traditional Arabic" w:eastAsia="Aptos" w:hAnsi="Traditional Arabic" w:cs="Traditional Arabic"/>
          <w:kern w:val="2"/>
          <w:sz w:val="28"/>
          <w:szCs w:val="28"/>
          <w:lang w:bidi="ar-EG"/>
          <w14:ligatures w14:val="standardContextual"/>
        </w:rPr>
        <w:t>Data Literacy</w:t>
      </w:r>
      <w:r w:rsidRPr="00CB373C">
        <w:rPr>
          <w:rFonts w:ascii="Traditional Arabic" w:eastAsia="Aptos" w:hAnsi="Traditional Arabic" w:cs="Traditional Arabic"/>
          <w:kern w:val="2"/>
          <w:sz w:val="28"/>
          <w:szCs w:val="28"/>
          <w:rtl/>
          <w:lang w:bidi="ar-EG"/>
          <w14:ligatures w14:val="standardContextual"/>
        </w:rPr>
        <w:t>) وإدارة المعرفة بوصفها آليات وسيطة ترفع كفاءة استخدام التحليلات في القرار (</w:t>
      </w:r>
      <w:r w:rsidRPr="00CB373C">
        <w:rPr>
          <w:rFonts w:ascii="Traditional Arabic" w:eastAsia="Aptos" w:hAnsi="Traditional Arabic" w:cs="Traditional Arabic"/>
          <w:kern w:val="2"/>
          <w:sz w:val="28"/>
          <w:szCs w:val="28"/>
          <w:lang w:bidi="ar-EG"/>
          <w14:ligatures w14:val="standardContextual"/>
        </w:rPr>
        <w:t>Fattah et al., 2025</w:t>
      </w:r>
      <w:r w:rsidRPr="00CB373C">
        <w:rPr>
          <w:rFonts w:ascii="Traditional Arabic" w:eastAsia="Aptos" w:hAnsi="Traditional Arabic" w:cs="Traditional Arabic"/>
          <w:kern w:val="2"/>
          <w:sz w:val="28"/>
          <w:szCs w:val="28"/>
          <w:rtl/>
          <w:lang w:bidi="ar-EG"/>
          <w14:ligatures w14:val="standardContextual"/>
        </w:rPr>
        <w:t>).</w:t>
      </w:r>
    </w:p>
    <w:p w14:paraId="73B8868F"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lastRenderedPageBreak/>
        <w:t>ومن منظور تطبيقي قريب من موضوع الدراسة الحالية، تشير بحوث ذكاء الأعمال إلى أن جودة القرار الاستراتيجي ترتفع عندما تُدار منظومة ذكاء الأعمال بصورة فعالة وتتوفر جودة بيانات عالية مع أدوات عرض بصري تساعد الإدارة على الفهم السريع للمؤشرات والاتجاهات (</w:t>
      </w:r>
      <w:r w:rsidRPr="00CB373C">
        <w:rPr>
          <w:rFonts w:ascii="Traditional Arabic" w:eastAsia="Aptos" w:hAnsi="Traditional Arabic" w:cs="Traditional Arabic"/>
          <w:kern w:val="2"/>
          <w:sz w:val="28"/>
          <w:szCs w:val="28"/>
          <w:lang w:bidi="ar-EG"/>
          <w14:ligatures w14:val="standardContextual"/>
        </w:rPr>
        <w:t>Abu-</w:t>
      </w:r>
      <w:proofErr w:type="spellStart"/>
      <w:r w:rsidRPr="00CB373C">
        <w:rPr>
          <w:rFonts w:ascii="Traditional Arabic" w:eastAsia="Aptos" w:hAnsi="Traditional Arabic" w:cs="Traditional Arabic"/>
          <w:kern w:val="2"/>
          <w:sz w:val="28"/>
          <w:szCs w:val="28"/>
          <w:lang w:bidi="ar-EG"/>
          <w14:ligatures w14:val="standardContextual"/>
        </w:rPr>
        <w:t>AlSondos</w:t>
      </w:r>
      <w:proofErr w:type="spellEnd"/>
      <w:r w:rsidRPr="00CB373C">
        <w:rPr>
          <w:rFonts w:ascii="Traditional Arabic" w:eastAsia="Aptos" w:hAnsi="Traditional Arabic" w:cs="Traditional Arabic"/>
          <w:kern w:val="2"/>
          <w:sz w:val="28"/>
          <w:szCs w:val="28"/>
          <w:lang w:bidi="ar-EG"/>
          <w14:ligatures w14:val="standardContextual"/>
        </w:rPr>
        <w:t>, 2023</w:t>
      </w:r>
      <w:r w:rsidRPr="00CB373C">
        <w:rPr>
          <w:rFonts w:ascii="Traditional Arabic" w:eastAsia="Aptos" w:hAnsi="Traditional Arabic" w:cs="Traditional Arabic"/>
          <w:kern w:val="2"/>
          <w:sz w:val="28"/>
          <w:szCs w:val="28"/>
          <w:rtl/>
          <w:lang w:bidi="ar-EG"/>
          <w14:ligatures w14:val="standardContextual"/>
        </w:rPr>
        <w:t>). كما تساند الأدلة العربية في البيئة المصرفية هذا الاتجاه بإظهار أثر ذي دلالة لتكنولوجيا المعلومات في جودة القرارات الاستراتيجية داخل البنوك (الرميمه والحكيمي، 2024).</w:t>
      </w:r>
    </w:p>
    <w:p w14:paraId="090F13FD"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ومع ذلك، فإن الاعتماد على البيانات لا يلغي التحديات؛ فوفرة المؤشرات قد تولد ثقة زائدة أو وهم موضوعية إذا لم تُقرن بآليات تدقيق وتفسير، وإذا لم يُعالج أثر التحيزات المعرفية على التقييم النهائي (</w:t>
      </w:r>
      <w:r w:rsidRPr="00CB373C">
        <w:rPr>
          <w:rFonts w:ascii="Traditional Arabic" w:eastAsia="Aptos" w:hAnsi="Traditional Arabic" w:cs="Traditional Arabic"/>
          <w:kern w:val="2"/>
          <w:sz w:val="28"/>
          <w:szCs w:val="28"/>
          <w:lang w:bidi="ar-EG"/>
          <w14:ligatures w14:val="standardContextual"/>
        </w:rPr>
        <w:t>Jarrar, 2021</w:t>
      </w:r>
      <w:r w:rsidRPr="00CB373C">
        <w:rPr>
          <w:rFonts w:ascii="Traditional Arabic" w:eastAsia="Aptos" w:hAnsi="Traditional Arabic" w:cs="Traditional Arabic"/>
          <w:kern w:val="2"/>
          <w:sz w:val="28"/>
          <w:szCs w:val="28"/>
          <w:rtl/>
          <w:lang w:bidi="ar-EG"/>
          <w14:ligatures w14:val="standardContextual"/>
        </w:rPr>
        <w:t>). لذلك، يصبح الرهان الحقيقي ليس في إنتاج مزيد من التقارير، بل في بناء بيئة قرار تجعل المعلومات قابلة للاستخدام: واضحة، محدثة، متسقة، ومترجمة إلى بدائل وسيناريوهات وتقييمات قابلة للتبرير.</w:t>
      </w:r>
    </w:p>
    <w:p w14:paraId="227E8417"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خلص هذا القسم إلى أن جودة القرارات الاستراتيجية مفهوم مركب يمكن قياسه عبر أبعاد عملية ترتبط بالمعلومة (جودتها وتوقيت توفرها)، وبالتحليل (عمق المفاضلة بين البدائل)، وبالحكم (موضوعية التقييم وضبط الانحيازات). وفي ضوء ذلك، تتضح الصلة المنطقية بموضوع الدراسة: فإذا كان قبول المديرين لأنظمة ذكاء الأعمال يزيد احتمالية الاعتماد على البيانات والتحليلات، فإن جودة القرار تمثل الحلقة التي تُترجم هذا الاعتماد إلى نتائج تنظيمية أعلى—وهو ما سيُستثمر لاحقاً في تفسير دور جودة القرارات كمتغير وسيط في العلاقة بين قبول ذكاء الأعمال والابتكار التنظيمي.</w:t>
      </w:r>
    </w:p>
    <w:p w14:paraId="6A9E1C27" w14:textId="77777777" w:rsidR="00CB373C" w:rsidRPr="00CB373C" w:rsidRDefault="00CB373C" w:rsidP="00CB373C">
      <w:pPr>
        <w:keepNext/>
        <w:keepLines/>
        <w:numPr>
          <w:ilvl w:val="1"/>
          <w:numId w:val="0"/>
        </w:numPr>
        <w:bidi/>
        <w:spacing w:before="160" w:after="80" w:line="278" w:lineRule="auto"/>
        <w:ind w:left="576" w:hanging="576"/>
        <w:jc w:val="both"/>
        <w:outlineLvl w:val="1"/>
        <w:rPr>
          <w:rFonts w:ascii="Traditional Arabic" w:eastAsia="Times New Roman" w:hAnsi="Traditional Arabic" w:cs="Traditional Arabic"/>
          <w:b/>
          <w:bCs/>
          <w:color w:val="000000"/>
          <w:kern w:val="2"/>
          <w:sz w:val="32"/>
          <w:szCs w:val="32"/>
          <w:rtl/>
          <w:lang w:bidi="ar-EG"/>
          <w14:ligatures w14:val="standardContextual"/>
        </w:rPr>
      </w:pPr>
      <w:bookmarkStart w:id="61" w:name="_Toc222423562"/>
      <w:r w:rsidRPr="00CB373C">
        <w:rPr>
          <w:rFonts w:ascii="Traditional Arabic" w:eastAsia="Times New Roman" w:hAnsi="Traditional Arabic" w:cs="Traditional Arabic"/>
          <w:b/>
          <w:bCs/>
          <w:color w:val="000000"/>
          <w:kern w:val="2"/>
          <w:sz w:val="32"/>
          <w:szCs w:val="32"/>
          <w:rtl/>
          <w:lang w:bidi="ar-EG"/>
          <w14:ligatures w14:val="standardContextual"/>
        </w:rPr>
        <w:t>الابتكار التنظيمي في المصارف: المفهوم والأبعاد ومحدداته</w:t>
      </w:r>
      <w:bookmarkEnd w:id="61"/>
    </w:p>
    <w:p w14:paraId="4EAAEE0B"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62" w:name="_Toc222423563"/>
      <w:r w:rsidRPr="00CB373C">
        <w:rPr>
          <w:rFonts w:ascii="Traditional Arabic" w:eastAsia="Times New Roman" w:hAnsi="Traditional Arabic" w:cs="Traditional Arabic"/>
          <w:b/>
          <w:bCs/>
          <w:color w:val="000000"/>
          <w:kern w:val="2"/>
          <w:sz w:val="28"/>
          <w:szCs w:val="28"/>
          <w:rtl/>
          <w:lang w:bidi="ar-EG"/>
          <w14:ligatures w14:val="standardContextual"/>
        </w:rPr>
        <w:t>التأصيل المفاهيمي للابتكار التنظيمي في البيئة المصرفية</w:t>
      </w:r>
      <w:bookmarkEnd w:id="62"/>
    </w:p>
    <w:p w14:paraId="0E7AE8BA"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يُقصد بالابتكار التنظيمي في المصارف قدرة البنك على إدخال تحسينات أو تغييرات ذات معنى في طريقة تصميم خدماته المالية، أو تشغيل عملياته الداخلية، أو إدارة موارده وعلاقاته، بما ينعكس على رفع الكفاءة وتعزيز القيمة المقدمة للعميل وتحسين القدرة التنافسية. وتكتسب هذه الفكرة خصوصيتها في الصناعة المصرفية لأن الابتكار لا يتحقق عادةً عبر اختراع منتج بمعناه الصناعي فحسب، بل يتجسد كثيراً في إعادة هندسة الخدمة، وتطوير تجربة العميل، وإعادة تشكيل آليات خلق القيمة والاحتفاظ بها ضمن قيود تنظيمية ومخاطر عالية. ومن هذا المنطلق، تشير أدبيات الابتكار البنكي إلى أن البنوك تعيش مفارقة مزدوجة: فهي مطالبة بمجاراة موجات الابتكار التي تقودها التقنيات الرقمية وشركات التقنية المالية، وفي الوقت ذاته تُدار داخل هياكل ثقيلة نسبياً من اللوائح والتقاليد وإدارة المخاطر، مما يجعل الابتكار غالباً تدريجياً (</w:t>
      </w:r>
      <w:r w:rsidRPr="00CB373C">
        <w:rPr>
          <w:rFonts w:ascii="Traditional Arabic" w:eastAsia="Aptos" w:hAnsi="Traditional Arabic" w:cs="Traditional Arabic"/>
          <w:kern w:val="2"/>
          <w:sz w:val="28"/>
          <w:szCs w:val="28"/>
          <w:lang w:bidi="ar-EG"/>
          <w14:ligatures w14:val="standardContextual"/>
        </w:rPr>
        <w:t>Incremental</w:t>
      </w:r>
      <w:r w:rsidRPr="00CB373C">
        <w:rPr>
          <w:rFonts w:ascii="Traditional Arabic" w:eastAsia="Aptos" w:hAnsi="Traditional Arabic" w:cs="Traditional Arabic"/>
          <w:kern w:val="2"/>
          <w:sz w:val="28"/>
          <w:szCs w:val="28"/>
          <w:rtl/>
          <w:lang w:bidi="ar-EG"/>
          <w14:ligatures w14:val="standardContextual"/>
        </w:rPr>
        <w:t>) أكثر منه قفزياً (</w:t>
      </w:r>
      <w:r w:rsidRPr="00CB373C">
        <w:rPr>
          <w:rFonts w:ascii="Traditional Arabic" w:eastAsia="Aptos" w:hAnsi="Traditional Arabic" w:cs="Traditional Arabic"/>
          <w:kern w:val="2"/>
          <w:sz w:val="28"/>
          <w:szCs w:val="28"/>
          <w:lang w:bidi="ar-EG"/>
          <w14:ligatures w14:val="standardContextual"/>
        </w:rPr>
        <w:t>Moussavou, 2022</w:t>
      </w:r>
      <w:r w:rsidRPr="00CB373C">
        <w:rPr>
          <w:rFonts w:ascii="Traditional Arabic" w:eastAsia="Aptos" w:hAnsi="Traditional Arabic" w:cs="Traditional Arabic"/>
          <w:kern w:val="2"/>
          <w:sz w:val="28"/>
          <w:szCs w:val="28"/>
          <w:rtl/>
          <w:lang w:bidi="ar-EG"/>
          <w14:ligatures w14:val="standardContextual"/>
        </w:rPr>
        <w:t>).</w:t>
      </w:r>
    </w:p>
    <w:p w14:paraId="1C3EDB0C"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وتعزز هذه القراءة ما خلصت إليه بحوث حديثة حول نماذج الأعمال في البنوك، حيث تُظهر أن التقنيات الرقمية لا تغيّر قنوات الخدمة فقط، بل تعيد ترتيب دوافع الابتكار داخل آليات خلق القيمة وتقديمها والتقاطها، وهو ما يعني أن الابتكار التنظيمي في البنوك يميل إلى أن يكون متعدد الطبقات (عمليات/خدمات/نموذج عمل) وليس بعداً أحادياً (</w:t>
      </w:r>
      <w:r w:rsidRPr="00CB373C">
        <w:rPr>
          <w:rFonts w:ascii="Traditional Arabic" w:eastAsia="Aptos" w:hAnsi="Traditional Arabic" w:cs="Traditional Arabic"/>
          <w:kern w:val="2"/>
          <w:sz w:val="28"/>
          <w:szCs w:val="28"/>
          <w:lang w:bidi="ar-EG"/>
          <w14:ligatures w14:val="standardContextual"/>
        </w:rPr>
        <w:t>Mancuso et al., 2025</w:t>
      </w:r>
      <w:r w:rsidRPr="00CB373C">
        <w:rPr>
          <w:rFonts w:ascii="Traditional Arabic" w:eastAsia="Aptos" w:hAnsi="Traditional Arabic" w:cs="Traditional Arabic"/>
          <w:kern w:val="2"/>
          <w:sz w:val="28"/>
          <w:szCs w:val="28"/>
          <w:rtl/>
          <w:lang w:bidi="ar-EG"/>
          <w14:ligatures w14:val="standardContextual"/>
        </w:rPr>
        <w:t>).</w:t>
      </w:r>
    </w:p>
    <w:p w14:paraId="32662D08"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63" w:name="_Toc222423564"/>
      <w:r w:rsidRPr="00CB373C">
        <w:rPr>
          <w:rFonts w:ascii="Traditional Arabic" w:eastAsia="Times New Roman" w:hAnsi="Traditional Arabic" w:cs="Traditional Arabic"/>
          <w:b/>
          <w:bCs/>
          <w:color w:val="000000"/>
          <w:kern w:val="2"/>
          <w:sz w:val="28"/>
          <w:szCs w:val="28"/>
          <w:rtl/>
          <w:lang w:bidi="ar-EG"/>
          <w14:ligatures w14:val="standardContextual"/>
        </w:rPr>
        <w:t>الأبعاد التشغيلية للابتكار التنظيمي المعتمدة في الدراسة</w:t>
      </w:r>
      <w:bookmarkEnd w:id="63"/>
    </w:p>
    <w:p w14:paraId="14DA654C"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اعتمدت الدراسة الحالية ثلاثة أبعاد مترابطة لقياس الابتكار التنظيمي في المصارف، بما ينسجم مع طبيعة الخدمات المالية من جهة، ومع ما تطرحه الأدبيات الحديثة حول تداخل الابتكار مع الثقافة ونضج البيانات من جهة أخرى.</w:t>
      </w:r>
    </w:p>
    <w:p w14:paraId="196CE2D6"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lastRenderedPageBreak/>
        <w:t>ابتكار المنتجات/الخدمات المصرفية (</w:t>
      </w:r>
      <w:r w:rsidRPr="00CB373C">
        <w:rPr>
          <w:rFonts w:ascii="Traditional Arabic" w:eastAsia="Times New Roman" w:hAnsi="Traditional Arabic" w:cs="Traditional Arabic"/>
          <w:b/>
          <w:bCs/>
          <w:i/>
          <w:iCs/>
          <w:color w:val="000000"/>
          <w:kern w:val="2"/>
          <w:sz w:val="28"/>
          <w:szCs w:val="28"/>
          <w:lang w:bidi="ar-EG"/>
          <w14:ligatures w14:val="standardContextual"/>
        </w:rPr>
        <w:t>Product/Service Innovation</w:t>
      </w:r>
      <w:r w:rsidRPr="00CB373C">
        <w:rPr>
          <w:rFonts w:ascii="Traditional Arabic" w:eastAsia="Times New Roman" w:hAnsi="Traditional Arabic" w:cs="Traditional Arabic"/>
          <w:b/>
          <w:bCs/>
          <w:i/>
          <w:iCs/>
          <w:color w:val="000000"/>
          <w:kern w:val="2"/>
          <w:sz w:val="28"/>
          <w:szCs w:val="28"/>
          <w:rtl/>
          <w:lang w:bidi="ar-EG"/>
          <w14:ligatures w14:val="standardContextual"/>
        </w:rPr>
        <w:t>)</w:t>
      </w:r>
    </w:p>
    <w:p w14:paraId="0146F780"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يرتبط هذا البعد بإدخال خدمات أو مزايا جديدة، أو إعادة تصميم الخدمات القائمة بحيث تصبح أكثر ملاءمة لاحتياجات العملاء، وأكثر قدرة على الاستجابة لتغيرات السوق والتنظيم. وفي الصناعة المصرفية، يبرز هذا النوع من الابتكار غالباً في الخدمات الرقمية، وفي توسيع نطاق المنتجات عبر المنصات، وفي نماذج تقديم الخدمة التي تعتمد على التكامل مع نظم خارجية أو شراكات ضمن المنظومة (</w:t>
      </w:r>
      <w:r w:rsidRPr="00CB373C">
        <w:rPr>
          <w:rFonts w:ascii="Traditional Arabic" w:eastAsia="Aptos" w:hAnsi="Traditional Arabic" w:cs="Traditional Arabic"/>
          <w:kern w:val="2"/>
          <w:sz w:val="28"/>
          <w:szCs w:val="28"/>
          <w:lang w:bidi="ar-EG"/>
          <w14:ligatures w14:val="standardContextual"/>
        </w:rPr>
        <w:t>Ecosystem</w:t>
      </w:r>
      <w:r w:rsidRPr="00CB373C">
        <w:rPr>
          <w:rFonts w:ascii="Traditional Arabic" w:eastAsia="Aptos" w:hAnsi="Traditional Arabic" w:cs="Traditional Arabic"/>
          <w:kern w:val="2"/>
          <w:sz w:val="28"/>
          <w:szCs w:val="28"/>
          <w:rtl/>
          <w:lang w:bidi="ar-EG"/>
          <w14:ligatures w14:val="standardContextual"/>
        </w:rPr>
        <w:t>). وتدعم الأدلة التجريبية الحديثة فكرة أن التحول الرقمي يُترجم إلى ابتكار منتج/خدمة رقمية عندما تتكامل الموارد والقدرات التقنية مع قدرات ديناميكية تسمح بالتكيف وإعادة التشكيل؛ إذ تُظهر دراسة تطبيقية في القطاع البنكي أن التحول الرقمي يعمل كآلية وسيطة تحول القدرات والموارد إلى أداء ابتكار المنتج الرقمي (</w:t>
      </w:r>
      <w:r w:rsidRPr="00CB373C">
        <w:rPr>
          <w:rFonts w:ascii="Traditional Arabic" w:eastAsia="Aptos" w:hAnsi="Traditional Arabic" w:cs="Traditional Arabic"/>
          <w:kern w:val="2"/>
          <w:sz w:val="28"/>
          <w:szCs w:val="28"/>
          <w:lang w:bidi="ar-EG"/>
          <w14:ligatures w14:val="standardContextual"/>
        </w:rPr>
        <w:t>Abdurrahman, 2025</w:t>
      </w:r>
      <w:r w:rsidRPr="00CB373C">
        <w:rPr>
          <w:rFonts w:ascii="Traditional Arabic" w:eastAsia="Aptos" w:hAnsi="Traditional Arabic" w:cs="Traditional Arabic"/>
          <w:kern w:val="2"/>
          <w:sz w:val="28"/>
          <w:szCs w:val="28"/>
          <w:rtl/>
          <w:lang w:bidi="ar-EG"/>
          <w14:ligatures w14:val="standardContextual"/>
        </w:rPr>
        <w:t>).</w:t>
      </w:r>
    </w:p>
    <w:p w14:paraId="1A918F1E"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ابتكار العمليات المصرفية (</w:t>
      </w:r>
      <w:r w:rsidRPr="00CB373C">
        <w:rPr>
          <w:rFonts w:ascii="Traditional Arabic" w:eastAsia="Times New Roman" w:hAnsi="Traditional Arabic" w:cs="Traditional Arabic"/>
          <w:b/>
          <w:bCs/>
          <w:i/>
          <w:iCs/>
          <w:color w:val="000000"/>
          <w:kern w:val="2"/>
          <w:sz w:val="28"/>
          <w:szCs w:val="28"/>
          <w:lang w:bidi="ar-EG"/>
          <w14:ligatures w14:val="standardContextual"/>
        </w:rPr>
        <w:t>Process Innovation</w:t>
      </w:r>
      <w:r w:rsidRPr="00CB373C">
        <w:rPr>
          <w:rFonts w:ascii="Traditional Arabic" w:eastAsia="Times New Roman" w:hAnsi="Traditional Arabic" w:cs="Traditional Arabic"/>
          <w:b/>
          <w:bCs/>
          <w:i/>
          <w:iCs/>
          <w:color w:val="000000"/>
          <w:kern w:val="2"/>
          <w:sz w:val="28"/>
          <w:szCs w:val="28"/>
          <w:rtl/>
          <w:lang w:bidi="ar-EG"/>
          <w14:ligatures w14:val="standardContextual"/>
        </w:rPr>
        <w:t>)</w:t>
      </w:r>
    </w:p>
    <w:p w14:paraId="5D2C2C6B"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يقصد به تطوير طرق تنفيذ العمل داخل البنك بما يرفع الكفاءة ويقلل الأخطاء ويحسن سرعة الاستجابة، مثل تطوير إجراءات الخدمة، أو أتمتة أجزاء من التشغيل، أو إعادة تصميم تدفقات العمل (</w:t>
      </w:r>
      <w:r w:rsidRPr="00CB373C">
        <w:rPr>
          <w:rFonts w:ascii="Traditional Arabic" w:eastAsia="Aptos" w:hAnsi="Traditional Arabic" w:cs="Traditional Arabic"/>
          <w:kern w:val="2"/>
          <w:sz w:val="28"/>
          <w:szCs w:val="28"/>
          <w:lang w:bidi="ar-EG"/>
          <w14:ligatures w14:val="standardContextual"/>
        </w:rPr>
        <w:t>Workflow</w:t>
      </w:r>
      <w:r w:rsidRPr="00CB373C">
        <w:rPr>
          <w:rFonts w:ascii="Traditional Arabic" w:eastAsia="Aptos" w:hAnsi="Traditional Arabic" w:cs="Traditional Arabic"/>
          <w:kern w:val="2"/>
          <w:sz w:val="28"/>
          <w:szCs w:val="28"/>
          <w:rtl/>
          <w:lang w:bidi="ar-EG"/>
          <w14:ligatures w14:val="standardContextual"/>
        </w:rPr>
        <w:t>). وتزداد أهمية هذا البعد في البنوك لأن جزءاً معتبراً من القيمة يتولد من العملية لا من المنتج في حد ذاته: سرعة الموافقة، دقة التحقق، جودة إدارة المخاطر، وفعالية الامتثال. وتفيد أدبيات ثقافة البيانات بأن الابتكار في العمليات يرتبط بالقدرة على تحويل البيانات إلى قرارات تشغيلية أفضل، وأن ثقافة العمل القائمة على البيانات تؤثر إيجابياً في ابتكار العمليات إلى جانب ابتكار المنتجات (</w:t>
      </w:r>
      <w:r w:rsidRPr="00CB373C">
        <w:rPr>
          <w:rFonts w:ascii="Traditional Arabic" w:eastAsia="Aptos" w:hAnsi="Traditional Arabic" w:cs="Traditional Arabic"/>
          <w:kern w:val="2"/>
          <w:sz w:val="28"/>
          <w:szCs w:val="28"/>
          <w:lang w:bidi="ar-EG"/>
          <w14:ligatures w14:val="standardContextual"/>
        </w:rPr>
        <w:t>Chatterjee et al., 2021</w:t>
      </w:r>
      <w:r w:rsidRPr="00CB373C">
        <w:rPr>
          <w:rFonts w:ascii="Traditional Arabic" w:eastAsia="Aptos" w:hAnsi="Traditional Arabic" w:cs="Traditional Arabic"/>
          <w:kern w:val="2"/>
          <w:sz w:val="28"/>
          <w:szCs w:val="28"/>
          <w:rtl/>
          <w:lang w:bidi="ar-EG"/>
          <w14:ligatures w14:val="standardContextual"/>
        </w:rPr>
        <w:t>).</w:t>
      </w:r>
    </w:p>
    <w:p w14:paraId="02B0E4E5"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الثقافة التنظيمية الداعمة للابتكار (</w:t>
      </w:r>
      <w:r w:rsidRPr="00CB373C">
        <w:rPr>
          <w:rFonts w:ascii="Traditional Arabic" w:eastAsia="Times New Roman" w:hAnsi="Traditional Arabic" w:cs="Traditional Arabic"/>
          <w:b/>
          <w:bCs/>
          <w:i/>
          <w:iCs/>
          <w:color w:val="000000"/>
          <w:kern w:val="2"/>
          <w:sz w:val="28"/>
          <w:szCs w:val="28"/>
          <w:lang w:bidi="ar-EG"/>
          <w14:ligatures w14:val="standardContextual"/>
        </w:rPr>
        <w:t>Innovation-Supportive Culture</w:t>
      </w:r>
      <w:r w:rsidRPr="00CB373C">
        <w:rPr>
          <w:rFonts w:ascii="Traditional Arabic" w:eastAsia="Times New Roman" w:hAnsi="Traditional Arabic" w:cs="Traditional Arabic"/>
          <w:b/>
          <w:bCs/>
          <w:i/>
          <w:iCs/>
          <w:color w:val="000000"/>
          <w:kern w:val="2"/>
          <w:sz w:val="28"/>
          <w:szCs w:val="28"/>
          <w:rtl/>
          <w:lang w:bidi="ar-EG"/>
          <w14:ligatures w14:val="standardContextual"/>
        </w:rPr>
        <w:t>)</w:t>
      </w:r>
    </w:p>
    <w:p w14:paraId="5749E315"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لا يستقيم قياس الابتكار التنظيمي في المصارف دون التقاط الجانب الثقافي؛ لأن ثقافة البنك تحدد مساحة التجريب المقبولة، وكيف تُدار الأخطاء، وكيف تُحوّل المعرفة إلى ممارسة، وكيف تُوزّع الثقة والمسؤولية. وتبرز هنا أهمية نضج البيانات بوصفه أحد مكونات الثقافة المعاصرة الداعمة للابتكار؛ إذ خلصت دراسة منشورة في المجلة الأردنية في إدارة الأعمال إلى أن خصائص الثقافة التنظيمية (الثقافة/المناخ/إشراك الموظفين) تؤثر إيجابياً في الابتكار المؤسسي، وأن نضج البيانات—المُمثل في التحليلات وحوكمة البيانات والإلمام بالبيانات—يعزز هذه العلاقة (الجدّاوي، 2024).</w:t>
      </w:r>
    </w:p>
    <w:p w14:paraId="489977D2"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64" w:name="_Toc222423565"/>
      <w:r w:rsidRPr="00CB373C">
        <w:rPr>
          <w:rFonts w:ascii="Traditional Arabic" w:eastAsia="Times New Roman" w:hAnsi="Traditional Arabic" w:cs="Traditional Arabic"/>
          <w:b/>
          <w:bCs/>
          <w:color w:val="000000"/>
          <w:kern w:val="2"/>
          <w:sz w:val="28"/>
          <w:szCs w:val="28"/>
          <w:rtl/>
          <w:lang w:bidi="ar-EG"/>
          <w14:ligatures w14:val="standardContextual"/>
        </w:rPr>
        <w:t>الابتكار في الخدمات المالية بوصفه نتيجة للرقمنة والبيانات وجودة القرار</w:t>
      </w:r>
      <w:bookmarkEnd w:id="64"/>
    </w:p>
    <w:p w14:paraId="42967FF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يميل الابتكار في الخدمات المالية إلى الارتباط الوثيق بالرقمنة لأن الخدمة المصرفية ذات طبيعة غير ملموسة، وتُنتَج وتُستهلك غالباً عبر عمليات معلوماتية. لذلك يصبح للبيانات—ولطرق تحليلها وتوظيفها—دور تأسيسي في تمكين الابتكار: فمن ناحية، تسمح التقنيات الرقمية بإعادة تصميم نقاط التماس مع العميل، ومن ناحية أخرى تخلق تدفقات بيانات مستمرة تُغذّي التعلم التنظيمي وتُحسّن جودة المفاضلة بين البدائل. وتلفت البحوث إلى أن الثقافة القائمة على البيانات ليست مجرد شعار، بل إطار عملي يجعل المنظمة أكثر قدرة على الابتكار في المنتج والعملية لأن القرار يصبح أدق وأسرع وأقل اعتماداً على الانطباعات (</w:t>
      </w:r>
      <w:r w:rsidRPr="00CB373C">
        <w:rPr>
          <w:rFonts w:ascii="Traditional Arabic" w:eastAsia="Aptos" w:hAnsi="Traditional Arabic" w:cs="Traditional Arabic"/>
          <w:kern w:val="2"/>
          <w:sz w:val="28"/>
          <w:szCs w:val="28"/>
          <w:lang w:bidi="ar-EG"/>
          <w14:ligatures w14:val="standardContextual"/>
        </w:rPr>
        <w:t>Chatterjee et al., 2021</w:t>
      </w:r>
      <w:r w:rsidRPr="00CB373C">
        <w:rPr>
          <w:rFonts w:ascii="Traditional Arabic" w:eastAsia="Aptos" w:hAnsi="Traditional Arabic" w:cs="Traditional Arabic"/>
          <w:kern w:val="2"/>
          <w:sz w:val="28"/>
          <w:szCs w:val="28"/>
          <w:rtl/>
          <w:lang w:bidi="ar-EG"/>
          <w14:ligatures w14:val="standardContextual"/>
        </w:rPr>
        <w:t>).</w:t>
      </w:r>
    </w:p>
    <w:p w14:paraId="22B7136C"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lastRenderedPageBreak/>
        <w:t>وفي السياق البنكي، يتضح هذا الترابط كذلك من زاوية القدرات: فقد بينت دراسة على بنوك إندونيسية أن مجموعة من القدرات (التقنية/المنظومية/الحوكمة–المخاطر–الامتثال) تدفع التحول الرقمي والابتكار معاً، بما يشير إلى أن الابتكار في البنوك لا ينفصل عن الاستعداد التنظيمي لإدارة البيانات والمخاطر ضمن إطار حوكمة واضح (</w:t>
      </w:r>
      <w:r w:rsidRPr="00CB373C">
        <w:rPr>
          <w:rFonts w:ascii="Traditional Arabic" w:eastAsia="Aptos" w:hAnsi="Traditional Arabic" w:cs="Traditional Arabic"/>
          <w:kern w:val="2"/>
          <w:sz w:val="28"/>
          <w:szCs w:val="28"/>
          <w:lang w:bidi="ar-EG"/>
          <w14:ligatures w14:val="standardContextual"/>
        </w:rPr>
        <w:t>Abdurrahman et al., 2024</w:t>
      </w:r>
      <w:r w:rsidRPr="00CB373C">
        <w:rPr>
          <w:rFonts w:ascii="Traditional Arabic" w:eastAsia="Aptos" w:hAnsi="Traditional Arabic" w:cs="Traditional Arabic"/>
          <w:kern w:val="2"/>
          <w:sz w:val="28"/>
          <w:szCs w:val="28"/>
          <w:rtl/>
          <w:lang w:bidi="ar-EG"/>
          <w14:ligatures w14:val="standardContextual"/>
        </w:rPr>
        <w:t>).</w:t>
      </w:r>
    </w:p>
    <w:p w14:paraId="6470EC06"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65" w:name="_Toc222423566"/>
      <w:r w:rsidRPr="00CB373C">
        <w:rPr>
          <w:rFonts w:ascii="Traditional Arabic" w:eastAsia="Times New Roman" w:hAnsi="Traditional Arabic" w:cs="Traditional Arabic"/>
          <w:b/>
          <w:bCs/>
          <w:color w:val="000000"/>
          <w:kern w:val="2"/>
          <w:sz w:val="28"/>
          <w:szCs w:val="28"/>
          <w:rtl/>
          <w:lang w:bidi="ar-EG"/>
          <w14:ligatures w14:val="standardContextual"/>
        </w:rPr>
        <w:t>محددات الابتكار التنظيمي في المصارف</w:t>
      </w:r>
      <w:bookmarkEnd w:id="65"/>
    </w:p>
    <w:p w14:paraId="5B1BA18E"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انطلاقاً من الأدبيات، يمكن قراءة ابتكار البنوك كنتيجة لتفاعل خمسة محددات رئيسة تتفق مع طبيعة موضوع الدراسة.</w:t>
      </w:r>
    </w:p>
    <w:p w14:paraId="4E11BCB2"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القيادة وتوجيه السلوك الابتكاري</w:t>
      </w:r>
    </w:p>
    <w:p w14:paraId="1980D906"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تلعب القيادة دوراً مركزياً في البنوك لأنها من يحدد شهية المخاطر وحدود التجريب، كما أنها من يضمن ألا يتحول الابتكار إلى ممارسة معزولة عن استراتيجية البنك. وتشير بحوث حديثة إلى أن القيادة التحويلية قد تعزز أثر العوامل التنظيمية على كثافة الابتكار، بما يدعم فكرة أن القيادة ليست عاملاً مكملاً بل رافعة تُقوّي مسار الابتكار عبر توجيه الموارد وتشكيل المناخ (</w:t>
      </w:r>
      <w:r w:rsidRPr="00CB373C">
        <w:rPr>
          <w:rFonts w:ascii="Traditional Arabic" w:eastAsia="Aptos" w:hAnsi="Traditional Arabic" w:cs="Traditional Arabic"/>
          <w:kern w:val="2"/>
          <w:sz w:val="28"/>
          <w:szCs w:val="28"/>
          <w:lang w:bidi="ar-EG"/>
          <w14:ligatures w14:val="standardContextual"/>
        </w:rPr>
        <w:t>Hoai et al., 2022</w:t>
      </w:r>
      <w:r w:rsidRPr="00CB373C">
        <w:rPr>
          <w:rFonts w:ascii="Traditional Arabic" w:eastAsia="Aptos" w:hAnsi="Traditional Arabic" w:cs="Traditional Arabic"/>
          <w:kern w:val="2"/>
          <w:sz w:val="28"/>
          <w:szCs w:val="28"/>
          <w:rtl/>
          <w:lang w:bidi="ar-EG"/>
          <w14:ligatures w14:val="standardContextual"/>
        </w:rPr>
        <w:t>).</w:t>
      </w:r>
    </w:p>
    <w:p w14:paraId="7F128548"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التعلم التنظيمي بوصفه آلية لتحويل الابتكار إلى أداء</w:t>
      </w:r>
    </w:p>
    <w:p w14:paraId="04900DA7"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في المؤسسات المصرفية، لا يكفي توليد المبادرات؛ بل يجب استيعاب الدروس وتحويلها إلى معرفة تشغيلية قابلة للتكرار. وتقدم دراسة حديثة في سياق البنوك الصومالية دليلاً مباشراً على هذا المنطق، إذ وجدت أن ابتكارات المؤسسة/العملية/الخدمة تُحسّن التعلم التنظيمي، وأن التعلم بدوره يعزز الأداء، بما يجعل التعلم قناة مركزية لترسيخ الابتكار واستدامته (</w:t>
      </w:r>
      <w:r w:rsidRPr="00CB373C">
        <w:rPr>
          <w:rFonts w:ascii="Traditional Arabic" w:eastAsia="Aptos" w:hAnsi="Traditional Arabic" w:cs="Traditional Arabic"/>
          <w:kern w:val="2"/>
          <w:sz w:val="28"/>
          <w:szCs w:val="28"/>
          <w:lang w:bidi="ar-EG"/>
          <w14:ligatures w14:val="standardContextual"/>
        </w:rPr>
        <w:t>Mohamed &amp; Hussein, 2025</w:t>
      </w:r>
      <w:r w:rsidRPr="00CB373C">
        <w:rPr>
          <w:rFonts w:ascii="Traditional Arabic" w:eastAsia="Aptos" w:hAnsi="Traditional Arabic" w:cs="Traditional Arabic"/>
          <w:kern w:val="2"/>
          <w:sz w:val="28"/>
          <w:szCs w:val="28"/>
          <w:rtl/>
          <w:lang w:bidi="ar-EG"/>
          <w14:ligatures w14:val="standardContextual"/>
        </w:rPr>
        <w:t>).</w:t>
      </w:r>
    </w:p>
    <w:p w14:paraId="256861C3"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القدرات الرقمية والقدرات الديناميكية</w:t>
      </w:r>
    </w:p>
    <w:p w14:paraId="307B421E"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تُظهر الأدبيات البنكية أن الابتكار يزداد احتمالاً عندما تتوفر القدرات الرقمية (بنية تقنية، مهارات، تكامل نظم) إلى جانب القدرات الديناميكية التي تسمح بإعادة تشكيل الموارد واستيعاب التغيرات. وفي هذا السياق، يوضح نموذج قائم على دمج منظور الموارد والقدرات الديناميكية أن التحول الرقمي يمكن أن يكون آلية تحويل تنقل أثر القدرات إلى ابتكار المنتج الرقمي (</w:t>
      </w:r>
      <w:r w:rsidRPr="00CB373C">
        <w:rPr>
          <w:rFonts w:ascii="Traditional Arabic" w:eastAsia="Aptos" w:hAnsi="Traditional Arabic" w:cs="Traditional Arabic"/>
          <w:kern w:val="2"/>
          <w:sz w:val="28"/>
          <w:szCs w:val="28"/>
          <w:lang w:bidi="ar-EG"/>
          <w14:ligatures w14:val="standardContextual"/>
        </w:rPr>
        <w:t>Abdurrahman, 2025</w:t>
      </w:r>
      <w:r w:rsidRPr="00CB373C">
        <w:rPr>
          <w:rFonts w:ascii="Traditional Arabic" w:eastAsia="Aptos" w:hAnsi="Traditional Arabic" w:cs="Traditional Arabic"/>
          <w:kern w:val="2"/>
          <w:sz w:val="28"/>
          <w:szCs w:val="28"/>
          <w:rtl/>
          <w:lang w:bidi="ar-EG"/>
          <w14:ligatures w14:val="standardContextual"/>
        </w:rPr>
        <w:t>).</w:t>
      </w:r>
    </w:p>
    <w:p w14:paraId="03A44F4B"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الحوكمة وإدارة المخاطر والامتثال</w:t>
      </w:r>
    </w:p>
    <w:p w14:paraId="5182B448"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الابتكار البنكي محكوم بضوابط صارمة؛ ولذلك يصبح تصميم حوكمة قادرة على الموازنة بين المرونة والانضباط شرطاً لابتكار آمن وقابل للاستمرار. وتظهر الأبحاث أن قدرات الحوكمة–المخاطر–الامتثال (</w:t>
      </w:r>
      <w:r w:rsidRPr="00CB373C">
        <w:rPr>
          <w:rFonts w:ascii="Traditional Arabic" w:eastAsia="Aptos" w:hAnsi="Traditional Arabic" w:cs="Traditional Arabic"/>
          <w:kern w:val="2"/>
          <w:sz w:val="28"/>
          <w:szCs w:val="28"/>
          <w:lang w:bidi="ar-EG"/>
          <w14:ligatures w14:val="standardContextual"/>
        </w:rPr>
        <w:t>GRC</w:t>
      </w:r>
      <w:r w:rsidRPr="00CB373C">
        <w:rPr>
          <w:rFonts w:ascii="Traditional Arabic" w:eastAsia="Aptos" w:hAnsi="Traditional Arabic" w:cs="Traditional Arabic"/>
          <w:kern w:val="2"/>
          <w:sz w:val="28"/>
          <w:szCs w:val="28"/>
          <w:rtl/>
          <w:lang w:bidi="ar-EG"/>
          <w14:ligatures w14:val="standardContextual"/>
        </w:rPr>
        <w:t>) يمكن أن تدعم التحول الرقمي وتُسهم في تحسين النتائج، بما يعني أن الحوكمة لا تعيق الابتكار بالضرورة، بل قد تُهيئ له المسار المؤسسي الصحيح (</w:t>
      </w:r>
      <w:r w:rsidRPr="00CB373C">
        <w:rPr>
          <w:rFonts w:ascii="Traditional Arabic" w:eastAsia="Aptos" w:hAnsi="Traditional Arabic" w:cs="Traditional Arabic"/>
          <w:kern w:val="2"/>
          <w:sz w:val="28"/>
          <w:szCs w:val="28"/>
          <w:lang w:bidi="ar-EG"/>
          <w14:ligatures w14:val="standardContextual"/>
        </w:rPr>
        <w:t>Abdurrahman et al., 2024</w:t>
      </w:r>
      <w:r w:rsidRPr="00CB373C">
        <w:rPr>
          <w:rFonts w:ascii="Traditional Arabic" w:eastAsia="Aptos" w:hAnsi="Traditional Arabic" w:cs="Traditional Arabic"/>
          <w:kern w:val="2"/>
          <w:sz w:val="28"/>
          <w:szCs w:val="28"/>
          <w:rtl/>
          <w:lang w:bidi="ar-EG"/>
          <w14:ligatures w14:val="standardContextual"/>
        </w:rPr>
        <w:t>).</w:t>
      </w:r>
    </w:p>
    <w:p w14:paraId="1E4B054D"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استثمار البيانات ونضجها: من التحليلات إلى حوكمة البيانات ومحو الأمية البيانية</w:t>
      </w:r>
    </w:p>
    <w:p w14:paraId="3F1717F7"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يمثل الاستثمار في البيانات—بمعناه التنظيمي لا التقني فقط—مدخلاً حاسماً للابتكار؛ لأن نضج البيانات يرفع جودة الرؤى ويقلل التباين في التفسير ويُحسن التنسيق بين الوحدات. وقد بينت دراسة الجدّاوي (2024) أن التحليلات وحوكمة البيانات </w:t>
      </w:r>
      <w:r w:rsidRPr="00CB373C">
        <w:rPr>
          <w:rFonts w:ascii="Traditional Arabic" w:eastAsia="Aptos" w:hAnsi="Traditional Arabic" w:cs="Traditional Arabic"/>
          <w:kern w:val="2"/>
          <w:sz w:val="28"/>
          <w:szCs w:val="28"/>
          <w:rtl/>
          <w:lang w:bidi="ar-EG"/>
          <w14:ligatures w14:val="standardContextual"/>
        </w:rPr>
        <w:lastRenderedPageBreak/>
        <w:t>والإلمام بالبيانات تُسهم في رفع الابتكار المؤسسي وتُعدل أثر الثقافة التنظيمية عليه، وهو ما ينسجم مع توجهات حديثة ترى أن نضج البيانات أصبح جزءاً من تعريف الثقافة الابتكارية المعاصرة (الجدّاوي، 2024).</w:t>
      </w:r>
    </w:p>
    <w:p w14:paraId="73FF3306"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يخلص هذا القسم إلى أن الابتكار التنظيمي في المصارف يُفهم بوصفه محصلة تراكمية لابتكارات المنتج/الخدمة، وابتكارات العمليات، وثقافة تنظيمية قادرة على دعم التجريب والتعلم واستثمار البيانات. ومن ثمّ، فإن قياس هذه الأبعاد الثلاثة في الدراسة الحالية يتيح اختبار العلاقات السببية المقترحة لاحقاً: كيف يمكن لقبول نظم ذكاء الأعمال أن يرفع جودة القرار الاستراتيجي، وكيف تنعكس جودة القرار—في النهاية—على الابتكار التنظيمي بوصفه مخرجاً نهائياً للنموذج.</w:t>
      </w:r>
    </w:p>
    <w:p w14:paraId="20555449" w14:textId="77777777" w:rsidR="00CB373C" w:rsidRPr="00CB373C" w:rsidRDefault="00CB373C" w:rsidP="00CB373C">
      <w:pPr>
        <w:keepNext/>
        <w:keepLines/>
        <w:numPr>
          <w:ilvl w:val="1"/>
          <w:numId w:val="0"/>
        </w:numPr>
        <w:bidi/>
        <w:spacing w:before="160" w:after="80" w:line="278" w:lineRule="auto"/>
        <w:ind w:left="576" w:hanging="576"/>
        <w:jc w:val="both"/>
        <w:outlineLvl w:val="1"/>
        <w:rPr>
          <w:rFonts w:ascii="Traditional Arabic" w:eastAsia="Times New Roman" w:hAnsi="Traditional Arabic" w:cs="Traditional Arabic"/>
          <w:b/>
          <w:bCs/>
          <w:color w:val="000000"/>
          <w:kern w:val="2"/>
          <w:sz w:val="32"/>
          <w:szCs w:val="32"/>
          <w:rtl/>
          <w:lang w:bidi="ar-EG"/>
          <w14:ligatures w14:val="standardContextual"/>
        </w:rPr>
      </w:pPr>
      <w:bookmarkStart w:id="66" w:name="_Toc222423567"/>
      <w:r w:rsidRPr="00CB373C">
        <w:rPr>
          <w:rFonts w:ascii="Traditional Arabic" w:eastAsia="Times New Roman" w:hAnsi="Traditional Arabic" w:cs="Traditional Arabic"/>
          <w:b/>
          <w:bCs/>
          <w:color w:val="000000"/>
          <w:kern w:val="2"/>
          <w:sz w:val="32"/>
          <w:szCs w:val="32"/>
          <w:rtl/>
          <w:lang w:bidi="ar-EG"/>
          <w14:ligatures w14:val="standardContextual"/>
        </w:rPr>
        <w:t>الإطار التفسيري للعلاقات بين المتغيرات وتطوير الفرضيات</w:t>
      </w:r>
      <w:bookmarkEnd w:id="66"/>
    </w:p>
    <w:p w14:paraId="048F259A"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يمثل هذا القسم الحلقة التي تربط بين البناء النظري السابق وبين منطق النموذج المقترح للدراسة، وذلك عبر تفسير المسارات المتوقعة بين المتغيرات الثلاثة: قبول أنظمة ذكاء الأعمال وفق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بوصفه متغيراً مستقلاً، وجودة القرارات الاستراتيجية بوصفها متغيراً وسيطاً، والابتكار التنظيمي بوصفه متغيراً تابعاً. ويستند هذا الإطار إلى فكرة محورية مفادها أن القيمة الاستراتيجية لذكاء الأعمال في المصارف لا تنتج تلقائياً من توافر النظام، وإنما من قبول المديرين له وما يترتب عليه من استخدام فعلي يُحسن المدخلات التحليلية وجودة المفاضلة، ثم ينعكس على قدرة المصرف على الابتكار.</w:t>
      </w:r>
    </w:p>
    <w:p w14:paraId="02A23773"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67" w:name="_Toc222423568"/>
      <w:r w:rsidRPr="00CB373C">
        <w:rPr>
          <w:rFonts w:ascii="Traditional Arabic" w:eastAsia="Times New Roman" w:hAnsi="Traditional Arabic" w:cs="Traditional Arabic"/>
          <w:b/>
          <w:bCs/>
          <w:color w:val="000000"/>
          <w:kern w:val="2"/>
          <w:sz w:val="28"/>
          <w:szCs w:val="28"/>
          <w:rtl/>
          <w:lang w:bidi="ar-EG"/>
          <w14:ligatures w14:val="standardContextual"/>
        </w:rPr>
        <w:t>الأساس النظري للعلاقة بين قبول أنظمة ذكاء الأعمال وجودة القرارات الاستراتيجية (</w:t>
      </w:r>
      <w:r w:rsidRPr="00CB373C">
        <w:rPr>
          <w:rFonts w:ascii="Traditional Arabic" w:eastAsia="Times New Roman" w:hAnsi="Traditional Arabic" w:cs="Traditional Arabic"/>
          <w:b/>
          <w:bCs/>
          <w:color w:val="000000"/>
          <w:kern w:val="2"/>
          <w:sz w:val="28"/>
          <w:szCs w:val="28"/>
          <w:lang w:bidi="ar-EG"/>
          <w14:ligatures w14:val="standardContextual"/>
        </w:rPr>
        <w:t>H1</w:t>
      </w:r>
      <w:r w:rsidRPr="00CB373C">
        <w:rPr>
          <w:rFonts w:ascii="Traditional Arabic" w:eastAsia="Times New Roman" w:hAnsi="Traditional Arabic" w:cs="Traditional Arabic"/>
          <w:b/>
          <w:bCs/>
          <w:color w:val="000000"/>
          <w:kern w:val="2"/>
          <w:sz w:val="28"/>
          <w:szCs w:val="28"/>
          <w:rtl/>
          <w:lang w:bidi="ar-EG"/>
          <w14:ligatures w14:val="standardContextual"/>
        </w:rPr>
        <w:t>)</w:t>
      </w:r>
      <w:bookmarkEnd w:id="67"/>
    </w:p>
    <w:p w14:paraId="2435FA97"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يفترض نموذج قبول التكنولوجيا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أن الفائدة المدركة (</w:t>
      </w:r>
      <w:r w:rsidRPr="00CB373C">
        <w:rPr>
          <w:rFonts w:ascii="Traditional Arabic" w:eastAsia="Aptos" w:hAnsi="Traditional Arabic" w:cs="Traditional Arabic"/>
          <w:kern w:val="2"/>
          <w:sz w:val="28"/>
          <w:szCs w:val="28"/>
          <w:lang w:bidi="ar-EG"/>
          <w14:ligatures w14:val="standardContextual"/>
        </w:rPr>
        <w:t>PU</w:t>
      </w:r>
      <w:r w:rsidRPr="00CB373C">
        <w:rPr>
          <w:rFonts w:ascii="Traditional Arabic" w:eastAsia="Aptos" w:hAnsi="Traditional Arabic" w:cs="Traditional Arabic"/>
          <w:kern w:val="2"/>
          <w:sz w:val="28"/>
          <w:szCs w:val="28"/>
          <w:rtl/>
          <w:lang w:bidi="ar-EG"/>
          <w14:ligatures w14:val="standardContextual"/>
        </w:rPr>
        <w:t>) وسهولة الاستخدام المدركة (</w:t>
      </w:r>
      <w:r w:rsidRPr="00CB373C">
        <w:rPr>
          <w:rFonts w:ascii="Traditional Arabic" w:eastAsia="Aptos" w:hAnsi="Traditional Arabic" w:cs="Traditional Arabic"/>
          <w:kern w:val="2"/>
          <w:sz w:val="28"/>
          <w:szCs w:val="28"/>
          <w:lang w:bidi="ar-EG"/>
          <w14:ligatures w14:val="standardContextual"/>
        </w:rPr>
        <w:t>PEOU</w:t>
      </w:r>
      <w:r w:rsidRPr="00CB373C">
        <w:rPr>
          <w:rFonts w:ascii="Traditional Arabic" w:eastAsia="Aptos" w:hAnsi="Traditional Arabic" w:cs="Traditional Arabic"/>
          <w:kern w:val="2"/>
          <w:sz w:val="28"/>
          <w:szCs w:val="28"/>
          <w:rtl/>
          <w:lang w:bidi="ar-EG"/>
          <w14:ligatures w14:val="standardContextual"/>
        </w:rPr>
        <w:t>) تُشكلان أساس النية السلوكية للاستخدام، وأن هذه النية تُترجم—بدرجات متفاوتة—إلى استخدام فعلي يُحدث أثراً تنظيمياً (</w:t>
      </w:r>
      <w:r w:rsidRPr="00CB373C">
        <w:rPr>
          <w:rFonts w:ascii="Traditional Arabic" w:eastAsia="Aptos" w:hAnsi="Traditional Arabic" w:cs="Traditional Arabic"/>
          <w:kern w:val="2"/>
          <w:sz w:val="28"/>
          <w:szCs w:val="28"/>
          <w:lang w:bidi="ar-EG"/>
          <w14:ligatures w14:val="standardContextual"/>
        </w:rPr>
        <w:t>Davis, 1989</w:t>
      </w:r>
      <w:r w:rsidRPr="00CB373C">
        <w:rPr>
          <w:rFonts w:ascii="Traditional Arabic" w:eastAsia="Aptos" w:hAnsi="Traditional Arabic" w:cs="Traditional Arabic"/>
          <w:kern w:val="2"/>
          <w:sz w:val="28"/>
          <w:szCs w:val="28"/>
          <w:rtl/>
          <w:lang w:bidi="ar-EG"/>
          <w14:ligatures w14:val="standardContextual"/>
        </w:rPr>
        <w:t>). وفي سياق المصارف، يصبح هذا الافتراض أكثر حساسية لأن استخدام أنظمة ذكاء الأعمال يتقاطع مباشرة مع مسؤولية القرار الاستراتيجي: فكلما ارتفع إدراك المدير لفائدة النظام في تحسين الأداء القراري، وتراجع العبء الإدراكي المرتبط بتشغيله، زادت احتمالات دمجه في دورة القرار من جمع المعلومات حتى تقييم البدائل. وتعضد الأدلة التطبيقية ذلك؛ إذ تُظهر دراسة قطاع البنوك الأردنية أن تبني ذكاء الأعمال يرتبط بتحسن أداء اتخاذ القرار (</w:t>
      </w:r>
      <w:r w:rsidRPr="00CB373C">
        <w:rPr>
          <w:rFonts w:ascii="Traditional Arabic" w:eastAsia="Aptos" w:hAnsi="Traditional Arabic" w:cs="Traditional Arabic"/>
          <w:kern w:val="2"/>
          <w:sz w:val="28"/>
          <w:szCs w:val="28"/>
          <w:lang w:bidi="ar-EG"/>
          <w14:ligatures w14:val="standardContextual"/>
        </w:rPr>
        <w:t>decision-making performance</w:t>
      </w:r>
      <w:r w:rsidRPr="00CB373C">
        <w:rPr>
          <w:rFonts w:ascii="Traditional Arabic" w:eastAsia="Aptos" w:hAnsi="Traditional Arabic" w:cs="Traditional Arabic"/>
          <w:kern w:val="2"/>
          <w:sz w:val="28"/>
          <w:szCs w:val="28"/>
          <w:rtl/>
          <w:lang w:bidi="ar-EG"/>
          <w14:ligatures w14:val="standardContextual"/>
        </w:rPr>
        <w:t>)، بما يعني أن تبني النظام—بوصفه سلوكاً استخدامياً—يقترن بنتائج قرار أفضل (</w:t>
      </w:r>
      <w:proofErr w:type="spellStart"/>
      <w:r w:rsidRPr="00CB373C">
        <w:rPr>
          <w:rFonts w:ascii="Traditional Arabic" w:eastAsia="Aptos" w:hAnsi="Traditional Arabic" w:cs="Traditional Arabic"/>
          <w:kern w:val="2"/>
          <w:sz w:val="28"/>
          <w:szCs w:val="28"/>
          <w:lang w:bidi="ar-EG"/>
          <w14:ligatures w14:val="standardContextual"/>
        </w:rPr>
        <w:t>Qatawneh</w:t>
      </w:r>
      <w:proofErr w:type="spellEnd"/>
      <w:r w:rsidRPr="00CB373C">
        <w:rPr>
          <w:rFonts w:ascii="Traditional Arabic" w:eastAsia="Aptos" w:hAnsi="Traditional Arabic" w:cs="Traditional Arabic"/>
          <w:kern w:val="2"/>
          <w:sz w:val="28"/>
          <w:szCs w:val="28"/>
          <w:lang w:bidi="ar-EG"/>
          <w14:ligatures w14:val="standardContextual"/>
        </w:rPr>
        <w:t>, 2024</w:t>
      </w:r>
      <w:r w:rsidRPr="00CB373C">
        <w:rPr>
          <w:rFonts w:ascii="Traditional Arabic" w:eastAsia="Aptos" w:hAnsi="Traditional Arabic" w:cs="Traditional Arabic"/>
          <w:kern w:val="2"/>
          <w:sz w:val="28"/>
          <w:szCs w:val="28"/>
          <w:rtl/>
          <w:lang w:bidi="ar-EG"/>
          <w14:ligatures w14:val="standardContextual"/>
        </w:rPr>
        <w:t>).</w:t>
      </w:r>
    </w:p>
    <w:p w14:paraId="45DB3518"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وعلى مستوى كيفية تحسين القرار، توضح نتائج بحوث نظم المعلومات أن جودة المعلومات المعروضة في لوحات المتابعة—من حيث الصياغة والحداثة والاكتمال—تؤثر في جودة القرار عبر تخفيض تعقيد المهمة المدرك وتعزيز الرضا عن المعلومات (</w:t>
      </w:r>
      <w:r w:rsidRPr="00CB373C">
        <w:rPr>
          <w:rFonts w:ascii="Traditional Arabic" w:eastAsia="Aptos" w:hAnsi="Traditional Arabic" w:cs="Traditional Arabic"/>
          <w:kern w:val="2"/>
          <w:sz w:val="28"/>
          <w:szCs w:val="28"/>
          <w:lang w:bidi="ar-EG"/>
          <w14:ligatures w14:val="standardContextual"/>
        </w:rPr>
        <w:t>Hjelle et al., 2024</w:t>
      </w:r>
      <w:r w:rsidRPr="00CB373C">
        <w:rPr>
          <w:rFonts w:ascii="Traditional Arabic" w:eastAsia="Aptos" w:hAnsi="Traditional Arabic" w:cs="Traditional Arabic"/>
          <w:kern w:val="2"/>
          <w:sz w:val="28"/>
          <w:szCs w:val="28"/>
          <w:rtl/>
          <w:lang w:bidi="ar-EG"/>
          <w14:ligatures w14:val="standardContextual"/>
        </w:rPr>
        <w:t>). كما تفيد أدلة أخرى بأن الانتقال من الاستخدام الروتيني إلى الاستخدام المتقدم لخصائص نظم ذكاء الأعمال يرتبط بتحسن الأداء الفردي، وأن جودة النظام والبيانات والمعلومات والخدمة تُعد محددات مهمة لهذا الاستخدام المتقدم (</w:t>
      </w:r>
      <w:r w:rsidRPr="00CB373C">
        <w:rPr>
          <w:rFonts w:ascii="Traditional Arabic" w:eastAsia="Aptos" w:hAnsi="Traditional Arabic" w:cs="Traditional Arabic"/>
          <w:kern w:val="2"/>
          <w:sz w:val="28"/>
          <w:szCs w:val="28"/>
          <w:lang w:bidi="ar-EG"/>
          <w14:ligatures w14:val="standardContextual"/>
        </w:rPr>
        <w:t>Mudau et al., 2024</w:t>
      </w:r>
      <w:r w:rsidRPr="00CB373C">
        <w:rPr>
          <w:rFonts w:ascii="Traditional Arabic" w:eastAsia="Aptos" w:hAnsi="Traditional Arabic" w:cs="Traditional Arabic"/>
          <w:kern w:val="2"/>
          <w:sz w:val="28"/>
          <w:szCs w:val="28"/>
          <w:rtl/>
          <w:lang w:bidi="ar-EG"/>
          <w14:ligatures w14:val="standardContextual"/>
        </w:rPr>
        <w:t>). وفي الأدبيات العربية، تشير تطبيقات على قطاع البنوك إلى أن ذكاء الأعمال يُستخدم في دعم اتخاذ القرارات، ورصد الاتجاهات، وتقديم معلومات تساعد الإدارة في اختيار بدائل أكثر ملاءمة (الغريب، 2022)، كما تؤكد دراسة ميدانية عربية وجود علاقة موجبة بين أبعاد ذكاء الأعمال واتخاذ القرارات الاستراتيجية (سليم والشريف، 2025).</w:t>
      </w:r>
    </w:p>
    <w:p w14:paraId="0590BA15"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وبناءً عليه تُصاغ الفرضية الأولى:</w:t>
      </w:r>
    </w:p>
    <w:p w14:paraId="1C3F5B5F" w14:textId="77777777" w:rsidR="00CB373C" w:rsidRPr="00CB373C" w:rsidRDefault="00CB373C" w:rsidP="00CB373C">
      <w:pPr>
        <w:shd w:val="clear" w:color="auto" w:fill="F2F2F2"/>
        <w:bidi/>
        <w:spacing w:line="240" w:lineRule="auto"/>
        <w:jc w:val="both"/>
        <w:rPr>
          <w:rFonts w:ascii="Traditional Arabic" w:eastAsia="Aptos" w:hAnsi="Traditional Arabic" w:cs="Traditional Arabic"/>
          <w:b/>
          <w:bCs/>
          <w:kern w:val="2"/>
          <w:sz w:val="28"/>
          <w:szCs w:val="28"/>
          <w:rtl/>
          <w:lang w:bidi="ar-EG"/>
          <w14:ligatures w14:val="standardContextual"/>
        </w:rPr>
      </w:pPr>
      <w:r w:rsidRPr="00CB373C">
        <w:rPr>
          <w:rFonts w:ascii="Traditional Arabic" w:eastAsia="Aptos" w:hAnsi="Traditional Arabic" w:cs="Traditional Arabic"/>
          <w:b/>
          <w:bCs/>
          <w:kern w:val="2"/>
          <w:sz w:val="28"/>
          <w:szCs w:val="28"/>
          <w:lang w:bidi="ar-EG"/>
          <w14:ligatures w14:val="standardContextual"/>
        </w:rPr>
        <w:lastRenderedPageBreak/>
        <w:t>H1</w:t>
      </w:r>
      <w:r w:rsidRPr="00CB373C">
        <w:rPr>
          <w:rFonts w:ascii="Traditional Arabic" w:eastAsia="Aptos" w:hAnsi="Traditional Arabic" w:cs="Traditional Arabic"/>
          <w:b/>
          <w:bCs/>
          <w:kern w:val="2"/>
          <w:sz w:val="28"/>
          <w:szCs w:val="28"/>
          <w:rtl/>
          <w:lang w:bidi="ar-EG"/>
          <w14:ligatures w14:val="standardContextual"/>
        </w:rPr>
        <w:t xml:space="preserve">: يؤثر قبول أنظمة ذكاء الأعمال (وفق نموذج </w:t>
      </w:r>
      <w:r w:rsidRPr="00CB373C">
        <w:rPr>
          <w:rFonts w:ascii="Traditional Arabic" w:eastAsia="Aptos" w:hAnsi="Traditional Arabic" w:cs="Traditional Arabic"/>
          <w:b/>
          <w:bCs/>
          <w:kern w:val="2"/>
          <w:sz w:val="28"/>
          <w:szCs w:val="28"/>
          <w:lang w:bidi="ar-EG"/>
          <w14:ligatures w14:val="standardContextual"/>
        </w:rPr>
        <w:t>TAM</w:t>
      </w:r>
      <w:r w:rsidRPr="00CB373C">
        <w:rPr>
          <w:rFonts w:ascii="Traditional Arabic" w:eastAsia="Aptos" w:hAnsi="Traditional Arabic" w:cs="Traditional Arabic"/>
          <w:b/>
          <w:bCs/>
          <w:kern w:val="2"/>
          <w:sz w:val="28"/>
          <w:szCs w:val="28"/>
          <w:rtl/>
          <w:lang w:bidi="ar-EG"/>
          <w14:ligatures w14:val="standardContextual"/>
        </w:rPr>
        <w:t>) تأثيراً إيجابياً ذا دلالة إحصائية في جودة القرارات الاستراتيجية في المصارف العاملة بمدينة الرياض.</w:t>
      </w:r>
    </w:p>
    <w:p w14:paraId="45A117A4"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68" w:name="_Toc222423569"/>
      <w:r w:rsidRPr="00CB373C">
        <w:rPr>
          <w:rFonts w:ascii="Traditional Arabic" w:eastAsia="Times New Roman" w:hAnsi="Traditional Arabic" w:cs="Traditional Arabic"/>
          <w:b/>
          <w:bCs/>
          <w:color w:val="000000"/>
          <w:kern w:val="2"/>
          <w:sz w:val="28"/>
          <w:szCs w:val="28"/>
          <w:rtl/>
          <w:lang w:bidi="ar-EG"/>
          <w14:ligatures w14:val="standardContextual"/>
        </w:rPr>
        <w:t>الأساس النظري للعلاقة بين جودة القرارات الاستراتيجية والابتكار التنظيمي (</w:t>
      </w:r>
      <w:r w:rsidRPr="00CB373C">
        <w:rPr>
          <w:rFonts w:ascii="Traditional Arabic" w:eastAsia="Times New Roman" w:hAnsi="Traditional Arabic" w:cs="Traditional Arabic"/>
          <w:b/>
          <w:bCs/>
          <w:color w:val="000000"/>
          <w:kern w:val="2"/>
          <w:sz w:val="28"/>
          <w:szCs w:val="28"/>
          <w:lang w:bidi="ar-EG"/>
          <w14:ligatures w14:val="standardContextual"/>
        </w:rPr>
        <w:t>H2</w:t>
      </w:r>
      <w:r w:rsidRPr="00CB373C">
        <w:rPr>
          <w:rFonts w:ascii="Traditional Arabic" w:eastAsia="Times New Roman" w:hAnsi="Traditional Arabic" w:cs="Traditional Arabic"/>
          <w:b/>
          <w:bCs/>
          <w:color w:val="000000"/>
          <w:kern w:val="2"/>
          <w:sz w:val="28"/>
          <w:szCs w:val="28"/>
          <w:rtl/>
          <w:lang w:bidi="ar-EG"/>
          <w14:ligatures w14:val="standardContextual"/>
        </w:rPr>
        <w:t>)</w:t>
      </w:r>
      <w:bookmarkEnd w:id="68"/>
    </w:p>
    <w:p w14:paraId="5014B708"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يُفهم الابتكار التنظيمي في المصارف بوصفه نتاجاً تراكميّاً لقرارات تتعلق بتخصيص الموارد، وتحديد شهية المخاطر، واختيار مجالات التجريب، وتوقيت الإطلاق، وهي كلها قرارات لا يمكن فصلها عن معيار الجودة. فالقرار الاستراتيجي عالي الجودة يميل إلى تحسين دقة المفاضلة بين مبادرات الابتكار، وتجنب استنزاف الموارد في مشروعات ذات عائد معرفي ضعيف، كما يزيد قدرة البنك على إدارة المخاطر المصاحبة للتجديد في المنتجات أو العمليات. وتقدم الأدبيات الحديثة دعماً لهذا المنطق؛ إذ تُظهر دراسة منشورة في </w:t>
      </w:r>
      <w:r w:rsidRPr="00CB373C">
        <w:rPr>
          <w:rFonts w:ascii="Traditional Arabic" w:eastAsia="Aptos" w:hAnsi="Traditional Arabic" w:cs="Traditional Arabic"/>
          <w:kern w:val="2"/>
          <w:sz w:val="28"/>
          <w:szCs w:val="28"/>
          <w:lang w:bidi="ar-EG"/>
          <w14:ligatures w14:val="standardContextual"/>
        </w:rPr>
        <w:t>Industrial Marketing Management</w:t>
      </w:r>
      <w:r w:rsidRPr="00CB373C">
        <w:rPr>
          <w:rFonts w:ascii="Traditional Arabic" w:eastAsia="Aptos" w:hAnsi="Traditional Arabic" w:cs="Traditional Arabic"/>
          <w:kern w:val="2"/>
          <w:sz w:val="28"/>
          <w:szCs w:val="28"/>
          <w:rtl/>
          <w:lang w:bidi="ar-EG"/>
          <w14:ligatures w14:val="standardContextual"/>
        </w:rPr>
        <w:t xml:space="preserve"> أن أداء اتخاذ القرار يمثل آلية وسيطة تفسر كيف تسهم الأنظمة المعتمدة على الذكاء الاصطناعي في رفع الأداء الابتكاري، بما يعني أن رفع جودة/أداء القرار ليس نتيجة ثانوية، بل قناة تقود إلى مخرجات ابتكارية أعلى (</w:t>
      </w:r>
      <w:r w:rsidRPr="00CB373C">
        <w:rPr>
          <w:rFonts w:ascii="Traditional Arabic" w:eastAsia="Aptos" w:hAnsi="Traditional Arabic" w:cs="Traditional Arabic"/>
          <w:kern w:val="2"/>
          <w:sz w:val="28"/>
          <w:szCs w:val="28"/>
          <w:lang w:bidi="ar-EG"/>
          <w14:ligatures w14:val="standardContextual"/>
        </w:rPr>
        <w:t>Liu et al., 2025</w:t>
      </w:r>
      <w:r w:rsidRPr="00CB373C">
        <w:rPr>
          <w:rFonts w:ascii="Traditional Arabic" w:eastAsia="Aptos" w:hAnsi="Traditional Arabic" w:cs="Traditional Arabic"/>
          <w:kern w:val="2"/>
          <w:sz w:val="28"/>
          <w:szCs w:val="28"/>
          <w:rtl/>
          <w:lang w:bidi="ar-EG"/>
          <w14:ligatures w14:val="standardContextual"/>
        </w:rPr>
        <w:t>).</w:t>
      </w:r>
    </w:p>
    <w:p w14:paraId="45BEA08C"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ومن زاوية مكملة، تفيد الأدبيات بأن الثقافة القائمة على البيانات—التي تُعد بيئة معرفية مساندة لقرارات أكثر دقة—ترتبط إيجابياً بابتكار المنتجات وابتكار العمليات، وهو ما يعزز فكرة أن القرار الأكثر استناداً للأدلة يُحسن مخرجات الابتكار (</w:t>
      </w:r>
      <w:r w:rsidRPr="00CB373C">
        <w:rPr>
          <w:rFonts w:ascii="Traditional Arabic" w:eastAsia="Aptos" w:hAnsi="Traditional Arabic" w:cs="Traditional Arabic"/>
          <w:kern w:val="2"/>
          <w:sz w:val="28"/>
          <w:szCs w:val="28"/>
          <w:lang w:bidi="ar-EG"/>
          <w14:ligatures w14:val="standardContextual"/>
        </w:rPr>
        <w:t>Chatterjee et al., 2021</w:t>
      </w:r>
      <w:r w:rsidRPr="00CB373C">
        <w:rPr>
          <w:rFonts w:ascii="Traditional Arabic" w:eastAsia="Aptos" w:hAnsi="Traditional Arabic" w:cs="Traditional Arabic"/>
          <w:kern w:val="2"/>
          <w:sz w:val="28"/>
          <w:szCs w:val="28"/>
          <w:rtl/>
          <w:lang w:bidi="ar-EG"/>
          <w14:ligatures w14:val="standardContextual"/>
        </w:rPr>
        <w:t>).</w:t>
      </w:r>
    </w:p>
    <w:p w14:paraId="3D21F14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وبناءً عليه تُصاغ الفرضية الثانية:</w:t>
      </w:r>
    </w:p>
    <w:p w14:paraId="5A310EA6" w14:textId="77777777" w:rsidR="00CB373C" w:rsidRPr="00CB373C" w:rsidRDefault="00CB373C" w:rsidP="00CB373C">
      <w:pPr>
        <w:shd w:val="clear" w:color="auto" w:fill="F2F2F2"/>
        <w:bidi/>
        <w:spacing w:line="240" w:lineRule="auto"/>
        <w:jc w:val="both"/>
        <w:rPr>
          <w:rFonts w:ascii="Traditional Arabic" w:eastAsia="Aptos" w:hAnsi="Traditional Arabic" w:cs="Traditional Arabic"/>
          <w:b/>
          <w:bCs/>
          <w:kern w:val="2"/>
          <w:sz w:val="28"/>
          <w:szCs w:val="28"/>
          <w:rtl/>
          <w:lang w:bidi="ar-EG"/>
          <w14:ligatures w14:val="standardContextual"/>
        </w:rPr>
      </w:pPr>
      <w:r w:rsidRPr="00CB373C">
        <w:rPr>
          <w:rFonts w:ascii="Traditional Arabic" w:eastAsia="Aptos" w:hAnsi="Traditional Arabic" w:cs="Traditional Arabic"/>
          <w:b/>
          <w:bCs/>
          <w:kern w:val="2"/>
          <w:sz w:val="28"/>
          <w:szCs w:val="28"/>
          <w:lang w:bidi="ar-EG"/>
          <w14:ligatures w14:val="standardContextual"/>
        </w:rPr>
        <w:t>H2</w:t>
      </w:r>
      <w:r w:rsidRPr="00CB373C">
        <w:rPr>
          <w:rFonts w:ascii="Traditional Arabic" w:eastAsia="Aptos" w:hAnsi="Traditional Arabic" w:cs="Traditional Arabic"/>
          <w:b/>
          <w:bCs/>
          <w:kern w:val="2"/>
          <w:sz w:val="28"/>
          <w:szCs w:val="28"/>
          <w:rtl/>
          <w:lang w:bidi="ar-EG"/>
          <w14:ligatures w14:val="standardContextual"/>
        </w:rPr>
        <w:t>: تؤثر جودة القرارات الاستراتيجية تأثيراً إيجابياً ذا دلالة إحصائية في الابتكار التنظيمي في المصارف العاملة بمدينة الرياض.</w:t>
      </w:r>
    </w:p>
    <w:p w14:paraId="270BCD73"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69" w:name="_Toc222423570"/>
      <w:r w:rsidRPr="00CB373C">
        <w:rPr>
          <w:rFonts w:ascii="Traditional Arabic" w:eastAsia="Times New Roman" w:hAnsi="Traditional Arabic" w:cs="Traditional Arabic"/>
          <w:b/>
          <w:bCs/>
          <w:color w:val="000000"/>
          <w:kern w:val="2"/>
          <w:sz w:val="28"/>
          <w:szCs w:val="28"/>
          <w:rtl/>
          <w:lang w:bidi="ar-EG"/>
          <w14:ligatures w14:val="standardContextual"/>
        </w:rPr>
        <w:t>المسار المباشر بين قبول أنظمة ذكاء الأعمال والابتكار التنظيمي (</w:t>
      </w:r>
      <w:r w:rsidRPr="00CB373C">
        <w:rPr>
          <w:rFonts w:ascii="Traditional Arabic" w:eastAsia="Times New Roman" w:hAnsi="Traditional Arabic" w:cs="Traditional Arabic"/>
          <w:b/>
          <w:bCs/>
          <w:color w:val="000000"/>
          <w:kern w:val="2"/>
          <w:sz w:val="28"/>
          <w:szCs w:val="28"/>
          <w:lang w:bidi="ar-EG"/>
          <w14:ligatures w14:val="standardContextual"/>
        </w:rPr>
        <w:t>H3</w:t>
      </w:r>
      <w:r w:rsidRPr="00CB373C">
        <w:rPr>
          <w:rFonts w:ascii="Traditional Arabic" w:eastAsia="Times New Roman" w:hAnsi="Traditional Arabic" w:cs="Traditional Arabic"/>
          <w:b/>
          <w:bCs/>
          <w:color w:val="000000"/>
          <w:kern w:val="2"/>
          <w:sz w:val="28"/>
          <w:szCs w:val="28"/>
          <w:rtl/>
          <w:lang w:bidi="ar-EG"/>
          <w14:ligatures w14:val="standardContextual"/>
        </w:rPr>
        <w:t>)</w:t>
      </w:r>
      <w:bookmarkEnd w:id="69"/>
    </w:p>
    <w:p w14:paraId="0AD571C6"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إلى جانب مسار الوساطة، يمكن نظرياً توقع أثر مباشر لقبول أنظمة ذكاء الأعمال على الابتكار التنظيمي. فقبول المديرين للنظام لا يعني مجرد الوصول للمعلومة، بل يعني تسريع التعلم التنظيمي وتقليص فجوة الوقت بين رصد المشكلة وبناء الاستجابة، وهو ما ينعكس على تصميم خدمات جديدة أو تحسين عمليات قائمة. كما أن قبول ذكاء الأعمال يوسع قدرة المصرف على توليد رؤى مشتركة بين الإدارات، وهو شرط مهم لتطوير الابتكار في الخدمات المالية التي تتسم بالتشابك بين التشغيل والمخاطر والامتثال. وتؤكد دراسات ابتكار نماذج الأعمال في القطاع البنكي أن التقنيات الرقمية تُعيد تشكيل محركات الابتكار داخل آليات خلق القيمة وتقديمها والتقاطها، بما يشير إلى أن تبني الأدوات الرقمية والتحليلية—ومنها ذكاء الأعمال—يُعد مدخلاً ابتكارياً بحد ذاته (</w:t>
      </w:r>
      <w:r w:rsidRPr="00CB373C">
        <w:rPr>
          <w:rFonts w:ascii="Traditional Arabic" w:eastAsia="Aptos" w:hAnsi="Traditional Arabic" w:cs="Traditional Arabic"/>
          <w:kern w:val="2"/>
          <w:sz w:val="28"/>
          <w:szCs w:val="28"/>
          <w:lang w:bidi="ar-EG"/>
          <w14:ligatures w14:val="standardContextual"/>
        </w:rPr>
        <w:t>Mancuso et al., 2025</w:t>
      </w:r>
      <w:r w:rsidRPr="00CB373C">
        <w:rPr>
          <w:rFonts w:ascii="Traditional Arabic" w:eastAsia="Aptos" w:hAnsi="Traditional Arabic" w:cs="Traditional Arabic"/>
          <w:kern w:val="2"/>
          <w:sz w:val="28"/>
          <w:szCs w:val="28"/>
          <w:rtl/>
          <w:lang w:bidi="ar-EG"/>
          <w14:ligatures w14:val="standardContextual"/>
        </w:rPr>
        <w:t>).</w:t>
      </w:r>
    </w:p>
    <w:p w14:paraId="397A66DD"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وبناءً عليه تُصاغ الفرضية الثالثة:</w:t>
      </w:r>
    </w:p>
    <w:p w14:paraId="27C8ED06" w14:textId="77777777" w:rsidR="00CB373C" w:rsidRPr="00CB373C" w:rsidRDefault="00CB373C" w:rsidP="00CB373C">
      <w:pPr>
        <w:shd w:val="clear" w:color="auto" w:fill="F2F2F2"/>
        <w:bidi/>
        <w:spacing w:line="240" w:lineRule="auto"/>
        <w:jc w:val="both"/>
        <w:rPr>
          <w:rFonts w:ascii="Traditional Arabic" w:eastAsia="Aptos" w:hAnsi="Traditional Arabic" w:cs="Traditional Arabic"/>
          <w:b/>
          <w:bCs/>
          <w:kern w:val="2"/>
          <w:sz w:val="28"/>
          <w:szCs w:val="28"/>
          <w:rtl/>
          <w:lang w:bidi="ar-EG"/>
          <w14:ligatures w14:val="standardContextual"/>
        </w:rPr>
      </w:pPr>
      <w:r w:rsidRPr="00CB373C">
        <w:rPr>
          <w:rFonts w:ascii="Traditional Arabic" w:eastAsia="Aptos" w:hAnsi="Traditional Arabic" w:cs="Traditional Arabic"/>
          <w:b/>
          <w:bCs/>
          <w:kern w:val="2"/>
          <w:sz w:val="28"/>
          <w:szCs w:val="28"/>
          <w:lang w:bidi="ar-EG"/>
          <w14:ligatures w14:val="standardContextual"/>
        </w:rPr>
        <w:t>H3</w:t>
      </w:r>
      <w:r w:rsidRPr="00CB373C">
        <w:rPr>
          <w:rFonts w:ascii="Traditional Arabic" w:eastAsia="Aptos" w:hAnsi="Traditional Arabic" w:cs="Traditional Arabic"/>
          <w:b/>
          <w:bCs/>
          <w:kern w:val="2"/>
          <w:sz w:val="28"/>
          <w:szCs w:val="28"/>
          <w:rtl/>
          <w:lang w:bidi="ar-EG"/>
          <w14:ligatures w14:val="standardContextual"/>
        </w:rPr>
        <w:t xml:space="preserve">: يؤثر قبول أنظمة ذكاء الأعمال (وفق نموذج </w:t>
      </w:r>
      <w:r w:rsidRPr="00CB373C">
        <w:rPr>
          <w:rFonts w:ascii="Traditional Arabic" w:eastAsia="Aptos" w:hAnsi="Traditional Arabic" w:cs="Traditional Arabic"/>
          <w:b/>
          <w:bCs/>
          <w:kern w:val="2"/>
          <w:sz w:val="28"/>
          <w:szCs w:val="28"/>
          <w:lang w:bidi="ar-EG"/>
          <w14:ligatures w14:val="standardContextual"/>
        </w:rPr>
        <w:t>TAM</w:t>
      </w:r>
      <w:r w:rsidRPr="00CB373C">
        <w:rPr>
          <w:rFonts w:ascii="Traditional Arabic" w:eastAsia="Aptos" w:hAnsi="Traditional Arabic" w:cs="Traditional Arabic"/>
          <w:b/>
          <w:bCs/>
          <w:kern w:val="2"/>
          <w:sz w:val="28"/>
          <w:szCs w:val="28"/>
          <w:rtl/>
          <w:lang w:bidi="ar-EG"/>
          <w14:ligatures w14:val="standardContextual"/>
        </w:rPr>
        <w:t>) تأثيراً إيجابياً ذا دلالة إحصائية في الابتكار التنظيمي في المصارف العاملة بمدينة الرياض.</w:t>
      </w:r>
    </w:p>
    <w:p w14:paraId="6239D69F"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70" w:name="_Toc222423571"/>
      <w:r w:rsidRPr="00CB373C">
        <w:rPr>
          <w:rFonts w:ascii="Traditional Arabic" w:eastAsia="Times New Roman" w:hAnsi="Traditional Arabic" w:cs="Traditional Arabic"/>
          <w:b/>
          <w:bCs/>
          <w:color w:val="000000"/>
          <w:kern w:val="2"/>
          <w:sz w:val="28"/>
          <w:szCs w:val="28"/>
          <w:rtl/>
          <w:lang w:bidi="ar-EG"/>
          <w14:ligatures w14:val="standardContextual"/>
        </w:rPr>
        <w:lastRenderedPageBreak/>
        <w:t>منطق الوساطة: جودة القرارات الاستراتيجية كآلية تفسيرية (</w:t>
      </w:r>
      <w:r w:rsidRPr="00CB373C">
        <w:rPr>
          <w:rFonts w:ascii="Traditional Arabic" w:eastAsia="Times New Roman" w:hAnsi="Traditional Arabic" w:cs="Traditional Arabic"/>
          <w:b/>
          <w:bCs/>
          <w:color w:val="000000"/>
          <w:kern w:val="2"/>
          <w:sz w:val="28"/>
          <w:szCs w:val="28"/>
          <w:lang w:bidi="ar-EG"/>
          <w14:ligatures w14:val="standardContextual"/>
        </w:rPr>
        <w:t>H4</w:t>
      </w:r>
      <w:r w:rsidRPr="00CB373C">
        <w:rPr>
          <w:rFonts w:ascii="Traditional Arabic" w:eastAsia="Times New Roman" w:hAnsi="Traditional Arabic" w:cs="Traditional Arabic"/>
          <w:b/>
          <w:bCs/>
          <w:color w:val="000000"/>
          <w:kern w:val="2"/>
          <w:sz w:val="28"/>
          <w:szCs w:val="28"/>
          <w:rtl/>
          <w:lang w:bidi="ar-EG"/>
          <w14:ligatures w14:val="standardContextual"/>
        </w:rPr>
        <w:t>)</w:t>
      </w:r>
      <w:bookmarkEnd w:id="70"/>
    </w:p>
    <w:p w14:paraId="5FEB6AA0"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تفترض الدراسة أن جودة القرارات الاستراتيجية ليست مجرد نتيجة فرعية لقبول ذكاء الأعمال، بل تمثل آلية تفسيرية تُبين كيف يتحول القبول إلى ابتكار. فمن الناحية المنطقية، حتى عندما يقتنع المدير بفائدة النظام (</w:t>
      </w:r>
      <w:r w:rsidRPr="00CB373C">
        <w:rPr>
          <w:rFonts w:ascii="Traditional Arabic" w:eastAsia="Aptos" w:hAnsi="Traditional Arabic" w:cs="Traditional Arabic"/>
          <w:kern w:val="2"/>
          <w:sz w:val="28"/>
          <w:szCs w:val="28"/>
          <w:lang w:bidi="ar-EG"/>
          <w14:ligatures w14:val="standardContextual"/>
        </w:rPr>
        <w:t>PU</w:t>
      </w:r>
      <w:r w:rsidRPr="00CB373C">
        <w:rPr>
          <w:rFonts w:ascii="Traditional Arabic" w:eastAsia="Aptos" w:hAnsi="Traditional Arabic" w:cs="Traditional Arabic"/>
          <w:kern w:val="2"/>
          <w:sz w:val="28"/>
          <w:szCs w:val="28"/>
          <w:rtl/>
          <w:lang w:bidi="ar-EG"/>
          <w14:ligatures w14:val="standardContextual"/>
        </w:rPr>
        <w:t>) ويتعامل معه بسهولة (</w:t>
      </w:r>
      <w:r w:rsidRPr="00CB373C">
        <w:rPr>
          <w:rFonts w:ascii="Traditional Arabic" w:eastAsia="Aptos" w:hAnsi="Traditional Arabic" w:cs="Traditional Arabic"/>
          <w:kern w:val="2"/>
          <w:sz w:val="28"/>
          <w:szCs w:val="28"/>
          <w:lang w:bidi="ar-EG"/>
          <w14:ligatures w14:val="standardContextual"/>
        </w:rPr>
        <w:t>PEOU</w:t>
      </w:r>
      <w:r w:rsidRPr="00CB373C">
        <w:rPr>
          <w:rFonts w:ascii="Traditional Arabic" w:eastAsia="Aptos" w:hAnsi="Traditional Arabic" w:cs="Traditional Arabic"/>
          <w:kern w:val="2"/>
          <w:sz w:val="28"/>
          <w:szCs w:val="28"/>
          <w:rtl/>
          <w:lang w:bidi="ar-EG"/>
          <w14:ligatures w14:val="standardContextual"/>
        </w:rPr>
        <w:t>)، فإن أثر ذلك على الابتكار سيظل محدوداً إذا لم ينعكس على جودة القرار: أي على جودة المعلومات المستخدمة، وتحليل البدائل، وملاءمة التوقيت، وموضوعية التقييم. وتؤيد الأدبيات فكرة أن القيمة المتحققة من تبني نظم ذكاء الأعمال تعتمد على عوامل تتجاوز البنية التقنية، وتشمل قضايا تنفيذ وتبني واستخدام تؤثر في الاستفادة الفعلية (</w:t>
      </w:r>
      <w:r w:rsidRPr="00CB373C">
        <w:rPr>
          <w:rFonts w:ascii="Traditional Arabic" w:eastAsia="Aptos" w:hAnsi="Traditional Arabic" w:cs="Traditional Arabic"/>
          <w:kern w:val="2"/>
          <w:sz w:val="28"/>
          <w:szCs w:val="28"/>
          <w:lang w:bidi="ar-EG"/>
          <w14:ligatures w14:val="standardContextual"/>
        </w:rPr>
        <w:t>Al-</w:t>
      </w:r>
      <w:proofErr w:type="spellStart"/>
      <w:r w:rsidRPr="00CB373C">
        <w:rPr>
          <w:rFonts w:ascii="Traditional Arabic" w:eastAsia="Aptos" w:hAnsi="Traditional Arabic" w:cs="Traditional Arabic"/>
          <w:kern w:val="2"/>
          <w:sz w:val="28"/>
          <w:szCs w:val="28"/>
          <w:lang w:bidi="ar-EG"/>
          <w14:ligatures w14:val="standardContextual"/>
        </w:rPr>
        <w:t>Daraba</w:t>
      </w:r>
      <w:proofErr w:type="spellEnd"/>
      <w:r w:rsidRPr="00CB373C">
        <w:rPr>
          <w:rFonts w:ascii="Traditional Arabic" w:eastAsia="Aptos" w:hAnsi="Traditional Arabic" w:cs="Traditional Arabic"/>
          <w:kern w:val="2"/>
          <w:sz w:val="28"/>
          <w:szCs w:val="28"/>
          <w:lang w:bidi="ar-EG"/>
          <w14:ligatures w14:val="standardContextual"/>
        </w:rPr>
        <w:t xml:space="preserve"> et al., 2025</w:t>
      </w:r>
      <w:r w:rsidRPr="00CB373C">
        <w:rPr>
          <w:rFonts w:ascii="Traditional Arabic" w:eastAsia="Aptos" w:hAnsi="Traditional Arabic" w:cs="Traditional Arabic"/>
          <w:kern w:val="2"/>
          <w:sz w:val="28"/>
          <w:szCs w:val="28"/>
          <w:rtl/>
          <w:lang w:bidi="ar-EG"/>
          <w14:ligatures w14:val="standardContextual"/>
        </w:rPr>
        <w:t>). كما أن الأدلة التجريبية التي تربط تبني النظم الذكية أو التحليلية بالابتكار عبر أداء اتخاذ القرار توضح نموذجاً تفسيرياً قريباً من منطق الدراسة الحالية، حيث يعمل القرار كحلقة وصل بين التكنولوجيا ونتائج الابتكار (</w:t>
      </w:r>
      <w:r w:rsidRPr="00CB373C">
        <w:rPr>
          <w:rFonts w:ascii="Traditional Arabic" w:eastAsia="Aptos" w:hAnsi="Traditional Arabic" w:cs="Traditional Arabic"/>
          <w:kern w:val="2"/>
          <w:sz w:val="28"/>
          <w:szCs w:val="28"/>
          <w:lang w:bidi="ar-EG"/>
          <w14:ligatures w14:val="standardContextual"/>
        </w:rPr>
        <w:t>Liu et al., 2025</w:t>
      </w:r>
      <w:r w:rsidRPr="00CB373C">
        <w:rPr>
          <w:rFonts w:ascii="Traditional Arabic" w:eastAsia="Aptos" w:hAnsi="Traditional Arabic" w:cs="Traditional Arabic"/>
          <w:kern w:val="2"/>
          <w:sz w:val="28"/>
          <w:szCs w:val="28"/>
          <w:rtl/>
          <w:lang w:bidi="ar-EG"/>
          <w14:ligatures w14:val="standardContextual"/>
        </w:rPr>
        <w:t>).</w:t>
      </w:r>
    </w:p>
    <w:p w14:paraId="6566664C"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وعليه، تتوقع الدراسة أن القبول التكنولوجي لأنظمة ذكاء الأعمال يرفع جودة القرار أولاً، وأن جودة القرار تمثل قناة ترفع قدرة المصرف على الابتكار في المنتجات/الخدمات والعمليات وفي بناء ثقافة تنظيمية داعمة للتجديد.</w:t>
      </w:r>
    </w:p>
    <w:p w14:paraId="246F5A36"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5EE492F8"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01E72DA2"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وبناءً عليه تُصاغ الفرضية الرابعة:</w:t>
      </w:r>
    </w:p>
    <w:p w14:paraId="1CCE44CB" w14:textId="77777777" w:rsidR="00CB373C" w:rsidRPr="00CB373C" w:rsidRDefault="00CB373C" w:rsidP="00CB373C">
      <w:pPr>
        <w:shd w:val="clear" w:color="auto" w:fill="F2F2F2"/>
        <w:bidi/>
        <w:spacing w:line="240" w:lineRule="auto"/>
        <w:jc w:val="both"/>
        <w:rPr>
          <w:rFonts w:ascii="Traditional Arabic" w:eastAsia="Aptos" w:hAnsi="Traditional Arabic" w:cs="Traditional Arabic"/>
          <w:b/>
          <w:bCs/>
          <w:kern w:val="2"/>
          <w:sz w:val="28"/>
          <w:szCs w:val="28"/>
          <w:rtl/>
          <w:lang w:bidi="ar-EG"/>
          <w14:ligatures w14:val="standardContextual"/>
        </w:rPr>
      </w:pPr>
      <w:r w:rsidRPr="00CB373C">
        <w:rPr>
          <w:rFonts w:ascii="Traditional Arabic" w:eastAsia="Aptos" w:hAnsi="Traditional Arabic" w:cs="Traditional Arabic"/>
          <w:b/>
          <w:bCs/>
          <w:kern w:val="2"/>
          <w:sz w:val="28"/>
          <w:szCs w:val="28"/>
          <w:lang w:bidi="ar-EG"/>
          <w14:ligatures w14:val="standardContextual"/>
        </w:rPr>
        <w:t>H4</w:t>
      </w:r>
      <w:r w:rsidRPr="00CB373C">
        <w:rPr>
          <w:rFonts w:ascii="Traditional Arabic" w:eastAsia="Aptos" w:hAnsi="Traditional Arabic" w:cs="Traditional Arabic"/>
          <w:b/>
          <w:bCs/>
          <w:kern w:val="2"/>
          <w:sz w:val="28"/>
          <w:szCs w:val="28"/>
          <w:rtl/>
          <w:lang w:bidi="ar-EG"/>
          <w14:ligatures w14:val="standardContextual"/>
        </w:rPr>
        <w:t>: تتوسط جودة القرارات الاستراتيجية وساطةً جزئية العلاقة بين قبول أنظمة ذكاء الأعمال والابتكار التنظيمي في المصارف العاملة بمدينة الرياض.</w:t>
      </w:r>
    </w:p>
    <w:p w14:paraId="3031E848"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71" w:name="_Toc222423572"/>
      <w:r w:rsidRPr="00CB373C">
        <w:rPr>
          <w:rFonts w:ascii="Traditional Arabic" w:eastAsia="Times New Roman" w:hAnsi="Traditional Arabic" w:cs="Traditional Arabic"/>
          <w:b/>
          <w:bCs/>
          <w:color w:val="000000"/>
          <w:kern w:val="2"/>
          <w:sz w:val="28"/>
          <w:szCs w:val="28"/>
          <w:rtl/>
          <w:lang w:bidi="ar-EG"/>
          <w14:ligatures w14:val="standardContextual"/>
        </w:rPr>
        <w:t>توصيف النموذج المفاهيمي بصياغة تفسيرية</w:t>
      </w:r>
      <w:bookmarkEnd w:id="71"/>
    </w:p>
    <w:p w14:paraId="05A8D60C"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يقوم النموذج المقترح على أن قبول أنظمة ذكاء الأعمال وفق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يُقاس كبناء كامن (من الدرجة الثانية) يتكون من الفائدة المدركة وسهولة الاستخدام المدركة ونية الاستخدام. وينتقل تأثير هذا القبول عبر مسارين: (أ) مسار مباشر نحو الابتكار التنظيمي عبر تعزيز الرؤى وتسريع التعلم التنظيمي، و(ب) مسار غير مباشر عبر جودة القرارات الاستراتيجية التي تُقاس بأبعاد جودة المعلومات، تحليل البدائل، ملاءمة التوقيت، والموضوعية/التقييم. وبذلك يختبر النموذج ما إذا كان الابتكار التنظيمي في المصارف (ابتكار الخدمات/المنتجات، ابتكار العمليات، والثقافة الداعمة للابتكار) يتأثر بالقبول التكنولوجي بذاته، أم أن جوهر الأثر يتحقق عندما تتحول مخرجات ذكاء الأعمال إلى قرارات استراتيجية عالية الجودة تُحسن اختيار المبادرات وتخصيص الموارد وإدارة المخاطر.</w:t>
      </w:r>
    </w:p>
    <w:p w14:paraId="39282D34"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في الختام، خلص الإطار النظري في هذا الفصل إلى بناء تفسير متكامل لكيفية تولّد القيمة التنظيمية من أنظمة ذكاء الأعمال داخل المصارف، انطلاقاً من أن وجود النظام تقنياً لا يكفي لإحداث أثر ملموس ما لم يقترن بقبول المديرين له وفق نموذج قبول التكنولوجيا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وقد بيّن العرض النظري أن الفائدة المدركة وسهولة الاستخدام المدركة ونية الاستخدام تمثل مدخلاً سلوكياً يحدد درجة توظيف مخرجات ذكاء الأعمال في دورة القرار، وأن جودة القرارات الاستراتيجية تتشكل عبر أبعاد تشغيلية واضحة تتمثل في جودة المعلومات، وتحليل البدائل، وملاءمة التوقيت، وموضوعية التقييم. كما أوضح الإطار أن الابتكار </w:t>
      </w:r>
      <w:r w:rsidRPr="00CB373C">
        <w:rPr>
          <w:rFonts w:ascii="Traditional Arabic" w:eastAsia="Aptos" w:hAnsi="Traditional Arabic" w:cs="Traditional Arabic"/>
          <w:kern w:val="2"/>
          <w:sz w:val="28"/>
          <w:szCs w:val="28"/>
          <w:rtl/>
          <w:lang w:bidi="ar-EG"/>
          <w14:ligatures w14:val="standardContextual"/>
        </w:rPr>
        <w:lastRenderedPageBreak/>
        <w:t>التنظيمي في المصارف يظهر في ثلاثة أبعاد مترابطة: ابتكار المنتجات/الخدمات، وابتكار العمليات، والثقافة التنظيمية الداعمة للابتكار، وأن القرارات عالية الجودة تعد قناة مركزية لترجمة الرؤى والتحليلات إلى ممارسات ابتكارية قابلة للتنفيذ.</w:t>
      </w:r>
    </w:p>
    <w:p w14:paraId="555AE920"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ومن ثمّ، يبرر هذا الإطار اختيار أدوات القياس في الفصل الثالث على نحو مباشر: فقبول أنظمة ذكاء الأعمال سيُقاس بأبعاد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الثلاثة، وجودة القرارات الاستراتيجية ستُقاس عبر أبعادها الأربعة المرتبطة بجودة المعلومات وآليات المفاضلة والتوقيت والموضوعية، بينما يُقاس الابتكار التنظيمي عبر أبعاده الثلاثة التي تمثل مخرجات الابتكار في البيئة المصرفية. كما يؤسس هذا البناء النظري لاختبار المسارات المباشرة وغير المباشرة في النموذج باستخدام </w:t>
      </w:r>
      <w:r w:rsidRPr="00CB373C">
        <w:rPr>
          <w:rFonts w:ascii="Traditional Arabic" w:eastAsia="Aptos" w:hAnsi="Traditional Arabic" w:cs="Traditional Arabic"/>
          <w:kern w:val="2"/>
          <w:sz w:val="28"/>
          <w:szCs w:val="28"/>
          <w:lang w:bidi="ar-EG"/>
          <w14:ligatures w14:val="standardContextual"/>
        </w:rPr>
        <w:t>SEM-PLS</w:t>
      </w:r>
      <w:r w:rsidRPr="00CB373C">
        <w:rPr>
          <w:rFonts w:ascii="Traditional Arabic" w:eastAsia="Aptos" w:hAnsi="Traditional Arabic" w:cs="Traditional Arabic"/>
          <w:kern w:val="2"/>
          <w:sz w:val="28"/>
          <w:szCs w:val="28"/>
          <w:rtl/>
          <w:lang w:bidi="ar-EG"/>
          <w14:ligatures w14:val="standardContextual"/>
        </w:rPr>
        <w:t xml:space="preserve"> بما يتسق مع طبيعة المتغيرات وبنية الوساطة المقترحة.</w:t>
      </w:r>
    </w:p>
    <w:p w14:paraId="1BAE442C"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077A13C5" w14:textId="77777777" w:rsidR="00CB373C" w:rsidRPr="00CB373C" w:rsidRDefault="00CB373C" w:rsidP="00CB373C">
      <w:pPr>
        <w:keepNext/>
        <w:keepLines/>
        <w:numPr>
          <w:ilvl w:val="1"/>
          <w:numId w:val="0"/>
        </w:numPr>
        <w:bidi/>
        <w:spacing w:before="160" w:after="80" w:line="278" w:lineRule="auto"/>
        <w:ind w:left="576" w:hanging="576"/>
        <w:jc w:val="both"/>
        <w:outlineLvl w:val="1"/>
        <w:rPr>
          <w:rFonts w:ascii="Traditional Arabic" w:eastAsia="Times New Roman" w:hAnsi="Traditional Arabic" w:cs="Traditional Arabic"/>
          <w:b/>
          <w:bCs/>
          <w:color w:val="000000"/>
          <w:kern w:val="2"/>
          <w:sz w:val="32"/>
          <w:szCs w:val="32"/>
          <w:rtl/>
          <w:lang w:bidi="ar-EG"/>
          <w14:ligatures w14:val="standardContextual"/>
        </w:rPr>
      </w:pPr>
      <w:bookmarkStart w:id="72" w:name="_Toc222423573"/>
      <w:r w:rsidRPr="00CB373C">
        <w:rPr>
          <w:rFonts w:ascii="Traditional Arabic" w:eastAsia="Times New Roman" w:hAnsi="Traditional Arabic" w:cs="Traditional Arabic"/>
          <w:b/>
          <w:bCs/>
          <w:color w:val="000000"/>
          <w:kern w:val="2"/>
          <w:sz w:val="32"/>
          <w:szCs w:val="32"/>
          <w:rtl/>
          <w:lang w:bidi="ar-EG"/>
          <w14:ligatures w14:val="standardContextual"/>
        </w:rPr>
        <w:t>الدراسات السابقة</w:t>
      </w:r>
      <w:bookmarkEnd w:id="72"/>
    </w:p>
    <w:p w14:paraId="7155207D"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يهدف هذا الجزء إلى عرض الدراسات السابقة ذات الصلة بموضوع الدراسة بطريقة منظمة تُبرز (أ) ما تناولته الأدبيات العربية والأجنبية بشأن ذكاء الأعمال في المؤسسات المالية، (ب) ما توصلت إليه الأبحاث حول القرارات الاستراتيجية ومحدداتها ونتائجها التنظيمية، و(ج) ما عالجته الدراسات حول الابتكار التنظيمي في القطاع المصرفي وما يرتبط به من عوامل. ولا يقتصر العرض هنا على التلخيص الوصفي، بل يتضمن قراءة نقدية تُعنى بتحديد وحدة التحليل، ومنهج الدراسة، وأدوات القياس، وحدود التعميم، ثم ربط ذلك بالفجوة التي تتجه الدراسة الحالية لمعالجتها. كما يستهدف هذا الجزء إبراز التداخلات المفاهيمية بين المحاور الثلاثة، إذ تشير كثير من الأدبيات—بدرجات متفاوتة—إلى أن قيمة ذكاء الأعمال لا تتحقق تلقائياً، وإنما تتجسد عندما يُستخدم في تحسين القرار، وحينها يصبح القرار عالي الجودة بوابة منطقية لتعزيز الابتكار التنظيمي. وعليه، سيُعرض هذا القسم وفق ثلاثة محاور رئيسة: الدراسات المرتبطة بذكاء الأعمال، والدراسات المرتبطة بالقرارات الاستراتيجية، والدراسات المرتبطة بالابتكار التنظيمي، مع تعقيب تكاملي يوضح ما تضيفه الدراسة الحالية مقارنة بما سبق.</w:t>
      </w:r>
    </w:p>
    <w:p w14:paraId="69CC56E4"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73" w:name="_Toc222423574"/>
      <w:r w:rsidRPr="00CB373C">
        <w:rPr>
          <w:rFonts w:ascii="Traditional Arabic" w:eastAsia="Times New Roman" w:hAnsi="Traditional Arabic" w:cs="Traditional Arabic"/>
          <w:b/>
          <w:bCs/>
          <w:color w:val="000000"/>
          <w:kern w:val="2"/>
          <w:sz w:val="28"/>
          <w:szCs w:val="28"/>
          <w:rtl/>
          <w:lang w:bidi="ar-EG"/>
          <w14:ligatures w14:val="standardContextual"/>
        </w:rPr>
        <w:t>الدراسات المرتبطة بذكاء الأعمال</w:t>
      </w:r>
      <w:bookmarkEnd w:id="73"/>
    </w:p>
    <w:p w14:paraId="5F2E4FDA"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دراسات ذكاء الأعمال ودعم القرار الاستراتيجي</w:t>
      </w:r>
    </w:p>
    <w:p w14:paraId="0EBA5509"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تشير بعض الدراسات العربية إلى أن أحد أهم مخرجات ذكاء الأعمال يتمثل في دعمه المباشر لعملية اتخاذ القرار، خصوصاً في البيئات التي تتسم بتعدد البيانات وتعقّد البدائل. وفي هذا الإطار، تناولت دراسة سليم والشريف (2025) دور ذكاء الأعمال في اتخاذ القرارات الاستراتيجية عبر أربعة أبعاد تشغيلية: تجميع البيانات وتخزينها، المعالجة التحليلية للبيانات، التنقيب في البيانات، وتقنيات عرض المعلومات. وتميزت الدراسة بأنها انطلقت من سؤال واضح حول كيف يسهم ذكاء الأعمال في القرار، مع قياس مستوى التطبيق ثم اختبار علاقته بعملية اتخاذ القرار. استخدمت الدراسة أسلوب المسح الشامل لمجتمع صغير نسبياً (100 عامل) في شركات التأمين بمدينة مصراتة، مع توظيف الاستبانة وتحليل البيانات عبر (</w:t>
      </w:r>
      <w:r w:rsidRPr="00CB373C">
        <w:rPr>
          <w:rFonts w:ascii="Traditional Arabic" w:eastAsia="Aptos" w:hAnsi="Traditional Arabic" w:cs="Traditional Arabic"/>
          <w:kern w:val="2"/>
          <w:sz w:val="28"/>
          <w:szCs w:val="28"/>
          <w:lang w:bidi="ar-EG"/>
          <w14:ligatures w14:val="standardContextual"/>
        </w:rPr>
        <w:t>SPSS</w:t>
      </w:r>
      <w:r w:rsidRPr="00CB373C">
        <w:rPr>
          <w:rFonts w:ascii="Traditional Arabic" w:eastAsia="Aptos" w:hAnsi="Traditional Arabic" w:cs="Traditional Arabic"/>
          <w:kern w:val="2"/>
          <w:sz w:val="28"/>
          <w:szCs w:val="28"/>
          <w:rtl/>
          <w:lang w:bidi="ar-EG"/>
          <w14:ligatures w14:val="standardContextual"/>
        </w:rPr>
        <w:t>). وأظهرت النتائج ارتفاع درجة تطبيق أبعاد ذكاء الأعمال، ووجود علاقة موجبة متوسطة بين الأبعاد الأربعة وبين اتخاذ القرارات الاستراتيجية، مع تميز تقنيات عرض المعلومات بكونها الأعلى ارتباطاً بالقرار (سليم والشريف، 2025).</w:t>
      </w:r>
    </w:p>
    <w:p w14:paraId="1D5CF0E5"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وتكشف هذه النتائج نقطتين جديرتين بالانتباه: الأولى أن العرض ليس جانباً شكلياً، بل قد يكون قناة حاسمة لترجمة التحليلات إلى فهم إداري قابل للاستثمار؛ والثانية أن العلاقة المتوسطة—لا القوية—قد تشير إلى وجود عوامل وسيطة أو شروط تنظيمية </w:t>
      </w:r>
      <w:r w:rsidRPr="00CB373C">
        <w:rPr>
          <w:rFonts w:ascii="Traditional Arabic" w:eastAsia="Aptos" w:hAnsi="Traditional Arabic" w:cs="Traditional Arabic"/>
          <w:kern w:val="2"/>
          <w:sz w:val="28"/>
          <w:szCs w:val="28"/>
          <w:rtl/>
          <w:lang w:bidi="ar-EG"/>
          <w14:ligatures w14:val="standardContextual"/>
        </w:rPr>
        <w:lastRenderedPageBreak/>
        <w:t>تُحدد متى يتحول ذكاء الأعمال إلى قرار فعّال. ومع ذلك، يظل نطاق التعميم محدوداً بسبب طبيعة القطاع (التأمين لا البنوك)، وصغر حجم المجتمع، فضلاً عن أن الدراسة ركزت على اتخاذ القرار دون التفريق الدقيق بين مستوى جودة القرار بوصفه مخرَجاً يمكن قياسه بأبعاد محددة.</w:t>
      </w:r>
    </w:p>
    <w:p w14:paraId="119244A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وفي سياق ذي صلة، تُعد دراسة الفار ومبارز (2023) أقرب إلى الطرح التفسيري/المفاهيمي الذي يهدف إلى توضيح ذكاء الأعمال كمنظومة تقنية ومعرفية تُعين متخذي القرار في القطاع البنكي على اتخاذ قرارات مناسبة في الوقت المناسب. وتؤكد الدراسة أن وفرة البيانات وتراكمها في البيئة المصرفية لا تخلق قيمة إلا إذا جرى تحويلها إلى مؤشرات واتجاهات وتنبؤات تدعم مستويات القرار العليا، مع إبراز فكرة أن ذكاء الأعمال ليس منتجاً أو منهجية منفصلة، بل مزيج من أدوات وتقنيات وممارسات تستهدف الاستفادة من الأصول المعلوماتية للمنظمة (الفار ومبارز، 2023). ورغم أن هذا النوع من الدراسات لا يقدم اختباراً إحصائياً لعلاقات سببية، إلا أنه يضيف قيمة نظرية من حيث رسم منطق التحول من البيانات إلى القرار الاستراتيجي، وهو منطق تحتاجه الدراسة الحالية لكنها ستذهب أبعد منه نحو القياس الكمي للعلاقات داخل نموذج متكامل.</w:t>
      </w:r>
    </w:p>
    <w:p w14:paraId="335F9A3F"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دراسات ذكاء الأعمال والأداء والتحسين المستمر</w:t>
      </w:r>
    </w:p>
    <w:p w14:paraId="75AD40D8"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يظهر اتجاه ثانٍ في الأدبيات العربية يربط ذكاء الأعمال بنتائج تشغيلية وإدارية مثل أداء العاملين والتحسين المستمر، وهو ما يوسع دائرة فهم الأثر من القرار إلى النتائج التنظيمية. ضمن هذا الاتجاه، تناولت دراسة العتيبي (2025) أثر ذكاء الأعمال على أداء العاملين في البنك الأهلي السعودي بمدينة الطائف، مع التركيز على قياس مستوى تطبيق ذكاء الأعمال ومستوى الأداء ثم فحص العلاقة بينهما. اعتمدت الدراسة المنهج الوصفي التحليلي، واستخدمت الاستبانة على عينة قدرها (80) موظفاً. وقد خلصت إلى أن مستوى تطبيق ذكاء الأعمال جاء مرتفعاً (متوسط 4.45)، وأن أداء العاملين جاء مرتفعاً كذلك (متوسط 4.29)، مع وجود علاقة طردية بين تطبيق ذكاء الأعمال والأداء (العتيبي، 2025).</w:t>
      </w:r>
    </w:p>
    <w:p w14:paraId="129D9622"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وتعد هذه الدراسة مهمة لدراسة الباحثة من زاويتين: أولاً لأنها ضمن سياق سعودي وتطبيق مصرفي مباشر، وثانياً لأنها تقدم مؤشراً عملياً على أن تطبيق ذكاء الأعمال لا ينعكس على القرار فقط، بل يتصل بمستوى الأداء الوظيفي. لكن من زاوية نقدية، يلاحظ أن وحدة التحليل هي العاملون بشكل عام، وليس المديرين تحديداً، وأن المتغير المستقل تم قياسه بوصفه مستوى تطبيق لذكاء الأعمال، وهو ما قد يختلف عن قبول الاستخدام الذي تقوم عليه الدراسة الحالية. كما أن ربط ذكاء الأعمال بالأداء لا يوضح الآلية: هل تحسن الأداء نتيجة تحسين القرار؟ أم نتيجة تحسين الرقابة؟ أم تسهيل الإجراءات؟ وهذه أسئلة تجعل الحاجة قائمة لإدخال متغيرات تفسيرية وسيطة داخل النموذج.</w:t>
      </w:r>
    </w:p>
    <w:p w14:paraId="42954CF9"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وفي سياق التحسين المستمر، درست عبيدات (2022) أثر نظم ذكاء الأعمال بأبعاد: المعالجة التحليلية الفورية، جمع وتحليل البيانات، وإدارة أداء الأعمال، على التحسين المستمر في البنوك القطرية. وتميزت الدراسة بحجم عينة كبير نسبياً (411 مفردة) واستخدام المنهج الوصفي والاستبانة. وأشارت النتائج إلى وجود أثر دال إحصائياً لنظم ذكاء الأعمال بأبعادها على التحسين المستمر، مع ارتفاع مستوى أهمية متغيرات الدراسة (عبيدات، 2022).</w:t>
      </w:r>
    </w:p>
    <w:p w14:paraId="74B6D64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وتقدم هذه الدراسة إضافة مهمة لأنها تربط ذكاء الأعمال بمنطق التطوير المستمر الذي يتقاطع مع مفاهيم الجودة والتحسين في المنظمات الخدمية. غير أن نقدها المنهجي يركز على نقطتين: الأولى أن التحسين المستمر—رغم أهميته—يبقى متغيراً عاماً وقد يلتقط نتائج تشغيلية دون أن يوضح صلب العملية التي تقود إليها (أي القرار الاستراتيجي). والثانية أن الدراسة لا تُفصح في بنيتها الملخصة عن طبيعة القياس: هل ذكاء الأعمال قيس كقدرات تقنية أم كممارسات استخدام؟ وهل التحسين المستمر قيس </w:t>
      </w:r>
      <w:r w:rsidRPr="00CB373C">
        <w:rPr>
          <w:rFonts w:ascii="Traditional Arabic" w:eastAsia="Aptos" w:hAnsi="Traditional Arabic" w:cs="Traditional Arabic"/>
          <w:kern w:val="2"/>
          <w:sz w:val="28"/>
          <w:szCs w:val="28"/>
          <w:rtl/>
          <w:lang w:bidi="ar-EG"/>
          <w14:ligatures w14:val="standardContextual"/>
        </w:rPr>
        <w:lastRenderedPageBreak/>
        <w:t>كاتجاهات ثقافية أم كمؤشرات عمليات؟ وهذا التفصيل يؤثر على مدى قابلية المقارنة المباشرة مع النموذج الذي تقترحه الدراسة الحالية.</w:t>
      </w:r>
    </w:p>
    <w:p w14:paraId="254667BD"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دراسات ذكاء الأعمال في إدارة الأزمات والاستدامة المالية</w:t>
      </w:r>
    </w:p>
    <w:p w14:paraId="19067556"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يرتبط ذكاء الأعمال في الأدبيات أيضاً بإدارة الأزمات، وهو مجال تتضح فيه قيمة البيانات الفورية والتحليل الاستباقي. فقد هدفت دراسة العتوم (2020) إلى بيان أثر ذكاء الأعمال على إدارة الأزمات في البنوك التجارية الأردنية بمدينة عمان. شملت الدراسة أربعة بنوك، وبلغ حجم العينة (419) موظفاً من الإدارتين العليا والوسطى، واعتمدت المنهج الكمي الوصفي التحليلي والاستبانة. وأظهرت النتائج وجود أثر ذي دلالة إحصائية لذكاء الأعمال بأبعاده المجتمعة (الذكاء التنافسي، جمع وتحليل البيانات، كفاية التقنيات الاستراتيجية، إدارة أداء الأعمال) على إدارة الأزمات، كما ظهر أثر على أبعاد فرعية مثل استشعار الإنذار المبكر والاستعداد والاستجابة واستعادة النشاط والتعلم من الأزمة، مع تباينات في قوة الأثر عبر الأبعاد (العتوم، 2020).</w:t>
      </w:r>
    </w:p>
    <w:p w14:paraId="27D01625"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وتكشف هذه الدراسة عن ملمح مهم: ذكاء الأعمال لا يعمل فقط كأداة قرار هادئ في الظروف الاعتيادية، بل قد يرفع جاهزية المؤسسة للتعامل مع الصدمات عبر تحسين الرصد والتحليل وتنسيق الاستجابة. وهذه النتيجة يمكن استثمارها في الدراسة الحالية عند مناقشة أن جودة القرارات الاستراتيجية – في بيئة مصرفية ديناميكية – لا تُقاس بملاءمة البدائل فقط، بل بالقدرة على التكيف مع المخاطر والتغيرات. ومع ذلك، تبقى الدراسة مركزة على إدارة الأزمات كمخرج نهائي، ولا تدخل إلى منطقة الابتكار التنظيمي بوصفه نتيجة استراتيجية بعيدة المدى.</w:t>
      </w:r>
    </w:p>
    <w:p w14:paraId="74EE623B"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وعلى المستوى الدولي، تُشير دراسة تونوسكي (</w:t>
      </w:r>
      <w:proofErr w:type="spellStart"/>
      <w:r w:rsidRPr="00CB373C">
        <w:rPr>
          <w:rFonts w:ascii="Traditional Arabic" w:eastAsia="Aptos" w:hAnsi="Traditional Arabic" w:cs="Traditional Arabic"/>
          <w:kern w:val="2"/>
          <w:sz w:val="28"/>
          <w:szCs w:val="28"/>
          <w:lang w:bidi="ar-EG"/>
          <w14:ligatures w14:val="standardContextual"/>
        </w:rPr>
        <w:t>Tunowski</w:t>
      </w:r>
      <w:proofErr w:type="spellEnd"/>
      <w:r w:rsidRPr="00CB373C">
        <w:rPr>
          <w:rFonts w:ascii="Traditional Arabic" w:eastAsia="Aptos" w:hAnsi="Traditional Arabic" w:cs="Traditional Arabic"/>
          <w:kern w:val="2"/>
          <w:sz w:val="28"/>
          <w:szCs w:val="28"/>
          <w:lang w:bidi="ar-EG"/>
          <w14:ligatures w14:val="standardContextual"/>
        </w:rPr>
        <w:t>, 2022</w:t>
      </w:r>
      <w:r w:rsidRPr="00CB373C">
        <w:rPr>
          <w:rFonts w:ascii="Traditional Arabic" w:eastAsia="Aptos" w:hAnsi="Traditional Arabic" w:cs="Traditional Arabic"/>
          <w:kern w:val="2"/>
          <w:sz w:val="28"/>
          <w:szCs w:val="28"/>
          <w:rtl/>
          <w:lang w:bidi="ar-EG"/>
          <w14:ligatures w14:val="standardContextual"/>
        </w:rPr>
        <w:t xml:space="preserve">) إلى اتجاه بحثي يربط ذكاء الأعمال باستدامة البنوك عبر التأثير في الوضع المالي. وتفيد نتائجها بأن استخدام نظام معلومات الأعمال يؤثر إيجابياً في جوانب محددة من الوضع المالي للبنوك التجارية مثل الإنتاجية وجودة الأصول والخصوم والربحية والديون، وتطرح إمكانية تفسير علاقة سبب/نتيجة بين استخدام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وتحسين مؤشرات الوضع المالي والخدمات المصرفية المستدامة (</w:t>
      </w:r>
      <w:proofErr w:type="spellStart"/>
      <w:r w:rsidRPr="00CB373C">
        <w:rPr>
          <w:rFonts w:ascii="Traditional Arabic" w:eastAsia="Aptos" w:hAnsi="Traditional Arabic" w:cs="Traditional Arabic"/>
          <w:kern w:val="2"/>
          <w:sz w:val="28"/>
          <w:szCs w:val="28"/>
          <w:lang w:bidi="ar-EG"/>
          <w14:ligatures w14:val="standardContextual"/>
        </w:rPr>
        <w:t>Tunowski</w:t>
      </w:r>
      <w:proofErr w:type="spellEnd"/>
      <w:r w:rsidRPr="00CB373C">
        <w:rPr>
          <w:rFonts w:ascii="Traditional Arabic" w:eastAsia="Aptos" w:hAnsi="Traditional Arabic" w:cs="Traditional Arabic"/>
          <w:kern w:val="2"/>
          <w:sz w:val="28"/>
          <w:szCs w:val="28"/>
          <w:lang w:bidi="ar-EG"/>
          <w14:ligatures w14:val="standardContextual"/>
        </w:rPr>
        <w:t>, 2022</w:t>
      </w:r>
      <w:r w:rsidRPr="00CB373C">
        <w:rPr>
          <w:rFonts w:ascii="Traditional Arabic" w:eastAsia="Aptos" w:hAnsi="Traditional Arabic" w:cs="Traditional Arabic"/>
          <w:kern w:val="2"/>
          <w:sz w:val="28"/>
          <w:szCs w:val="28"/>
          <w:rtl/>
          <w:lang w:bidi="ar-EG"/>
          <w14:ligatures w14:val="standardContextual"/>
        </w:rPr>
        <w:t>).</w:t>
      </w:r>
    </w:p>
    <w:p w14:paraId="783B54A3"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ويُلاحظ هنا أن الدراسة تنقل النقاش من القرار إلى الأثر المالي/الاستدامة، وهو مفيد لتأكيد أن ذكاء الأعمال يمكن أن يكون رافعة لأداء قابل للقياس. غير أن الربط بين استخدام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والنتائج المالية قد يتأثر بشدة بعوامل سياقية مثل سياسات البنك، وحجم السوق، ومستوى التنظيم، والحوكمة، وهو ما يجعل تعميم النتائج يحتاج إلى حذر. كما أن الدراسة—بحسب العرض المتاح—تركز على الأثر النهائي دون تفصيل كافٍ للآليات السلوكية والتنظيمية التي تسمح باستخدام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بفعالية.</w:t>
      </w:r>
    </w:p>
    <w:p w14:paraId="172ADDF0"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ويمكن القول إن الأدبيات التي عُرضت تقدم اتفاقاً عاماً على أن ذكاء الأعمال يرتبط بنتائج إيجابية في القرار، والتحسين، والأداء، وإدارة الأزمات، وحتى المؤشرات المالية (سليم والشريف، 2025؛ العتيبي، 2025؛ عبيدات، 2022؛ العتوم، 2020؛ </w:t>
      </w:r>
      <w:proofErr w:type="spellStart"/>
      <w:r w:rsidRPr="00CB373C">
        <w:rPr>
          <w:rFonts w:ascii="Traditional Arabic" w:eastAsia="Aptos" w:hAnsi="Traditional Arabic" w:cs="Traditional Arabic"/>
          <w:kern w:val="2"/>
          <w:sz w:val="28"/>
          <w:szCs w:val="28"/>
          <w:lang w:bidi="ar-EG"/>
          <w14:ligatures w14:val="standardContextual"/>
        </w:rPr>
        <w:t>Tunowski</w:t>
      </w:r>
      <w:proofErr w:type="spellEnd"/>
      <w:r w:rsidRPr="00CB373C">
        <w:rPr>
          <w:rFonts w:ascii="Traditional Arabic" w:eastAsia="Aptos" w:hAnsi="Traditional Arabic" w:cs="Traditional Arabic"/>
          <w:kern w:val="2"/>
          <w:sz w:val="28"/>
          <w:szCs w:val="28"/>
          <w:lang w:bidi="ar-EG"/>
          <w14:ligatures w14:val="standardContextual"/>
        </w:rPr>
        <w:t>, 2022</w:t>
      </w:r>
      <w:r w:rsidRPr="00CB373C">
        <w:rPr>
          <w:rFonts w:ascii="Traditional Arabic" w:eastAsia="Aptos" w:hAnsi="Traditional Arabic" w:cs="Traditional Arabic"/>
          <w:kern w:val="2"/>
          <w:sz w:val="28"/>
          <w:szCs w:val="28"/>
          <w:rtl/>
          <w:lang w:bidi="ar-EG"/>
          <w14:ligatures w14:val="standardContextual"/>
        </w:rPr>
        <w:t>). لكنها تكشف في الوقت نفسه عن ثلاث ثغرات تهم الدراسة الحالية:</w:t>
      </w:r>
    </w:p>
    <w:p w14:paraId="6291093E" w14:textId="77777777" w:rsidR="00CB373C" w:rsidRPr="00CB373C" w:rsidRDefault="00CB373C" w:rsidP="00CB373C">
      <w:pPr>
        <w:numPr>
          <w:ilvl w:val="0"/>
          <w:numId w:val="12"/>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غلبة قياس ذكاء الأعمال كـمستوى تطبيق/قدرات أكثر من قياسه كـقبول استخدام لدى المديرين، وهو محور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الذي تتبناه الدراسة.</w:t>
      </w:r>
    </w:p>
    <w:p w14:paraId="711C6D2E" w14:textId="77777777" w:rsidR="00CB373C" w:rsidRPr="00CB373C" w:rsidRDefault="00CB373C" w:rsidP="00CB373C">
      <w:pPr>
        <w:numPr>
          <w:ilvl w:val="0"/>
          <w:numId w:val="12"/>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محدودية إدخال متغيرات وسيطة تفسر كيف ينتقل أثر ذكاء الأعمال من البيانات إلى النتائج؛ إذ غالباً ما يُفترض الأثر المباشر دون اختبار آلية وسيط.</w:t>
      </w:r>
    </w:p>
    <w:p w14:paraId="6A957FDC" w14:textId="77777777" w:rsidR="00CB373C" w:rsidRPr="00CB373C" w:rsidRDefault="00CB373C" w:rsidP="00CB373C">
      <w:pPr>
        <w:numPr>
          <w:ilvl w:val="0"/>
          <w:numId w:val="12"/>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lastRenderedPageBreak/>
        <w:t>تركّز عدد من الدراسات على مخرجات تشغيلية أو إدارية (الأداء، الأزمات، التحسين المستمر) بينما لا تتناول الابتكار التنظيمي بوصفه مخرجاً استراتيجياً يتطلب قرارات عالية الجودة.</w:t>
      </w:r>
    </w:p>
    <w:p w14:paraId="04570865"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74" w:name="_Toc222423575"/>
      <w:r w:rsidRPr="00CB373C">
        <w:rPr>
          <w:rFonts w:ascii="Traditional Arabic" w:eastAsia="Times New Roman" w:hAnsi="Traditional Arabic" w:cs="Traditional Arabic"/>
          <w:b/>
          <w:bCs/>
          <w:color w:val="000000"/>
          <w:kern w:val="2"/>
          <w:sz w:val="28"/>
          <w:szCs w:val="28"/>
          <w:rtl/>
          <w:lang w:bidi="ar-EG"/>
          <w14:ligatures w14:val="standardContextual"/>
        </w:rPr>
        <w:t>الدراسات المرتبطة بالقرارات الاستراتيجية</w:t>
      </w:r>
      <w:bookmarkEnd w:id="74"/>
    </w:p>
    <w:p w14:paraId="19E9CCA2"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فاعلية القرارات الاستراتيجية ومخرجاتها التنظيمية</w:t>
      </w:r>
    </w:p>
    <w:p w14:paraId="395C1055"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يظهر في الأدبيات العربية اهتمام بقياس فاعلية القرارات الاستراتيجية وربطها بمؤشرات تنظيمية مثل التميز والتمكين. وفي هذا السياق، هدفت دراسة الدهيمي (2021) إلى تحليل أثر فاعلية القرارات الاستراتيجية في التميز التنظيمي من خلال التمكين الوظيفي كمتغير وسيط، وذلك على عينة بلغت (336) مديراً في البنوك التجارية القطرية وباستخدام الاستبانة والمنهج الوصفي. وقد خلصت الدراسة إلى ارتفاع مستويات فاعلية القرارات الاستراتيجية والتميز التنظيمي والتمكين الوظيفي، وإلى وجود أثر مباشر لفاعلية القرارات في التميز، وأثر لفاعلية القرارات في التمكين، وأثر للتمكين في التميز، ثم وجود أثر غير مباشر لفاعلية القرارات في التميز عبر التمكين (الدهيمي، 2021).</w:t>
      </w:r>
    </w:p>
    <w:p w14:paraId="1BEB7089"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وتوفر هذه الدراسة نموذجاً منهجياً مهماً لأنها لا تكتفي بالعلاقات المباشرة، بل تُدخل متغيراً وسيطاً يوضح آلية الانتقال إلى النتائج التنظيمية. وهذا قريب في الفكرة المنهجية من الدراسة الحالية، مع اختلاف جوهري في طبيعة المتغيرات: الدراسة الحالية لا تتناول فاعلية القرار فقط، بل تركز على جودة القرار كوسيط بين قبول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والابتكار التنظيمي.</w:t>
      </w:r>
    </w:p>
    <w:p w14:paraId="32490193"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المحددات المعرفية والسلوكية لصنع القرار الاستراتيجي</w:t>
      </w:r>
    </w:p>
    <w:p w14:paraId="35CE3B05"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تلفت دراسة جرار (</w:t>
      </w:r>
      <w:r w:rsidRPr="00CB373C">
        <w:rPr>
          <w:rFonts w:ascii="Traditional Arabic" w:eastAsia="Aptos" w:hAnsi="Traditional Arabic" w:cs="Traditional Arabic"/>
          <w:kern w:val="2"/>
          <w:sz w:val="28"/>
          <w:szCs w:val="28"/>
          <w:lang w:bidi="ar-EG"/>
          <w14:ligatures w14:val="standardContextual"/>
        </w:rPr>
        <w:t>Jarrar, 2021</w:t>
      </w:r>
      <w:r w:rsidRPr="00CB373C">
        <w:rPr>
          <w:rFonts w:ascii="Traditional Arabic" w:eastAsia="Aptos" w:hAnsi="Traditional Arabic" w:cs="Traditional Arabic"/>
          <w:kern w:val="2"/>
          <w:sz w:val="28"/>
          <w:szCs w:val="28"/>
          <w:rtl/>
          <w:lang w:bidi="ar-EG"/>
          <w14:ligatures w14:val="standardContextual"/>
        </w:rPr>
        <w:t>) النظر إلى جانب غالباً ما يُهمّش في بحوث القرار: التحيزات المعرفية وتأثيرها على صنع القرار الاستراتيجي. اعتمدت الدراسة استبانة وزعتها على (138) مصرفياً في مناصب إدارية، وهدفت إلى قياس تأثير تحيزات مثل وهم السيطرة وتحيز الفرضيات السابقة وتحيز الالتزام المتصاعد والتمثيل وتحيز التوافر على اتخاذ القرارات الاستراتيجية. وأظهرت النتائج وجود تأثيرات معنوية لبعض التحيزات (مثل وهم السيطرة والتمثيل) بينما لم تكن أخرى دالة (</w:t>
      </w:r>
      <w:r w:rsidRPr="00CB373C">
        <w:rPr>
          <w:rFonts w:ascii="Traditional Arabic" w:eastAsia="Aptos" w:hAnsi="Traditional Arabic" w:cs="Traditional Arabic"/>
          <w:kern w:val="2"/>
          <w:sz w:val="28"/>
          <w:szCs w:val="28"/>
          <w:lang w:bidi="ar-EG"/>
          <w14:ligatures w14:val="standardContextual"/>
        </w:rPr>
        <w:t>Jarrar, 2021</w:t>
      </w:r>
      <w:r w:rsidRPr="00CB373C">
        <w:rPr>
          <w:rFonts w:ascii="Traditional Arabic" w:eastAsia="Aptos" w:hAnsi="Traditional Arabic" w:cs="Traditional Arabic"/>
          <w:kern w:val="2"/>
          <w:sz w:val="28"/>
          <w:szCs w:val="28"/>
          <w:rtl/>
          <w:lang w:bidi="ar-EG"/>
          <w14:ligatures w14:val="standardContextual"/>
        </w:rPr>
        <w:t>).</w:t>
      </w:r>
    </w:p>
    <w:p w14:paraId="43BB07C2"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وتُفيد هذه النتائج في تقوية منطق الدراسة الحالية عندما تطرح الموضوعية/التقييم كأحد أبعاد جودة القرار؛ إذ توضح أن جودة القرار لا تُحسَّن بمجرد زيادة المعلومات، بل تحتاج أيضاً إلى تقليل أثر الانحيازات عند تفسير المعلومات واختيار البدائل. وفي السياق نفسه، تناولت دراسة عبد الله ووهاب (2019) أثر الأنماط المعرفية في تعزيز كفاءة القرار الاستراتيجي داخل مصارف عراقية، وخلصت إلى أن بعض الأنماط المعرفية تؤثر في كفاءة القرار الاستراتيجي (عبد الله ووهاب، 2019). ورغم أن الدراسة أقدم زمنياً، إلا أنها تسند فكرة أن خصائص متخذ القرار وخبرته ومعاييره المعرفية تدخل ضمن محددات جودة القرار.</w:t>
      </w:r>
    </w:p>
    <w:p w14:paraId="79256840"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الأبعاد التنظيمية والحوكمية والمحاسبية في صناعة القرار الاستراتيجي</w:t>
      </w:r>
    </w:p>
    <w:p w14:paraId="2B1D6A18"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ضمن الأدبيات العربية، عالجت دراسة حبوش (2020) أثر ممارسات الحاكمية المؤسسية في صنع القرارات الاستراتيجية بالبنوك التجارية الأردنية. تميزت الدراسة بتفكيك الحوكمة إلى مكونات (كفاءة مجلس الإدارة، الإفصاح والشفافية، حماية حقوق المساهمين…)، وربطها بأبعاد القرار الاستراتيجي (التعقيد، الاستمرارية، العقلانية والرقابة). وأظهرت النتائج وجود أثر ذي دلالة لعدد من ممارسات الحوكمة في صنع القرارات الاستراتيجية، مقابل عدم دلالة الإطار الفعال للحاكمية في نموذجها (حبوش، 2020).</w:t>
      </w:r>
    </w:p>
    <w:p w14:paraId="227BE486"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lastRenderedPageBreak/>
        <w:t>ويُقرأ هذا الاستنتاج بوصفه دليلاً على أن البيئة التنظيمية داخل البنك (قواعد الحوكمة والشفافية والرقابة) قد تخلق شروطاً تحسّن القرار أو تعيقه، وهو ما يتقاطع مع فكرة الدراسة الحالية حول أن تفعيل ذكاء الأعمال لا ينفصل عن البيئة المؤسسية الحاكمة. كما تناولت دراسة أبو تمام (2018) أثر تطبيق نظم محاسبة التكاليف والإدارية (</w:t>
      </w:r>
      <w:r w:rsidRPr="00CB373C">
        <w:rPr>
          <w:rFonts w:ascii="Traditional Arabic" w:eastAsia="Aptos" w:hAnsi="Traditional Arabic" w:cs="Traditional Arabic"/>
          <w:kern w:val="2"/>
          <w:sz w:val="28"/>
          <w:szCs w:val="28"/>
          <w:lang w:bidi="ar-EG"/>
          <w14:ligatures w14:val="standardContextual"/>
        </w:rPr>
        <w:t>ABC, ABM, TC, BSC</w:t>
      </w:r>
      <w:r w:rsidRPr="00CB373C">
        <w:rPr>
          <w:rFonts w:ascii="Traditional Arabic" w:eastAsia="Aptos" w:hAnsi="Traditional Arabic" w:cs="Traditional Arabic"/>
          <w:kern w:val="2"/>
          <w:sz w:val="28"/>
          <w:szCs w:val="28"/>
          <w:rtl/>
          <w:lang w:bidi="ar-EG"/>
          <w14:ligatures w14:val="standardContextual"/>
        </w:rPr>
        <w:t>) على اتخاذ القرارات الاستراتيجية في البنوك التجارية الأردنية، وخلصت إلى أهمية هذه النظم ووجود دلالات إحصائية لأثرها على القرار الاستراتيجي (أبو تمام، 2018). ورغم أن الدراسة أقدم، فإنها تُبرز أن القرار الاستراتيجي في البنوك يتأثر كذلك بأدوات القياس والتحليل المحاسبي، أي بالقدرة على تحويل البيانات المالية إلى مؤشرات تدعم المفاضلة.</w:t>
      </w:r>
    </w:p>
    <w:p w14:paraId="05FABF4D"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الذكاء الاستراتيجي والخبرة الدولية كعوامل مؤثرة في القرار</w:t>
      </w:r>
    </w:p>
    <w:p w14:paraId="7F899F8C"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تضيف دراسة فريد وعامر (2021) بعداً مختلفاً عبر ربط الذكاء الاستراتيجي (الاستشراف، الرؤية المستقبلية، التفكير النظامي، الشراكة) بالقرارات الاستراتيجية الرشيدة، مع اختبار الخبرة الدولية لمتخذ القرار كمتغير معدل. وأظهرت النتائج علاقة معنوية إيجابية بين أبعاد الذكاء الاستراتيجي والقرارات الرشيدة، مع دور معدل للخبرة الدولية (فريد وعامر، 2021).</w:t>
      </w:r>
    </w:p>
    <w:p w14:paraId="5DBAAF00"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وتوفر هذه الدراسة فائدة مزدوجة: فهي تؤكد أن جودة القرار الاستراتيجي ليست نتاج بيانات فقط، بل نتاج قدرات إدراكية واستشرافية، كما تُظهر قيمة إدخال متغيرات معدلة/وسيطة لتفسير اختلاف قوة العلاقات، وهو ما ينسجم مع توجه الدراسة الحالية لاختبار وساطة جودة القرار.</w:t>
      </w:r>
    </w:p>
    <w:p w14:paraId="5DD877A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وخلاصة القول، تكشف الدراسات المعروضة عن اتفاق عام على أن القرار الاستراتيجي يتأثر بعوامل معرفية وتنظيمية وحوكمية، وأنه ينعكس على نتائج تنظيمية مثل التميز. إلا أن الملاحظة الأهم مقارنة بالدراسة الحالية أن كثيراً من الأدبيات تركز على صنع القرار أو فاعلية القرار دون أن تُفرد معالجة تشغيلية متماسكة لقياس جودة القرار بأبعاد محددة قابلة للربط مع نظم المعلومات. كما أن الربط بين القرار والابتكار التنظيمي يبقى محدوداً في هذه الدراسات، فضلاً عن غياب إدخال متغير قبول نظم ذكاء الأعمال وفق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كمدخل سلوكي يفسر لماذا تُستخدم البيانات والتحليلات فعلياً في القرار.</w:t>
      </w:r>
    </w:p>
    <w:p w14:paraId="54723327"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75" w:name="_Toc222423576"/>
      <w:r w:rsidRPr="00CB373C">
        <w:rPr>
          <w:rFonts w:ascii="Traditional Arabic" w:eastAsia="Times New Roman" w:hAnsi="Traditional Arabic" w:cs="Traditional Arabic"/>
          <w:b/>
          <w:bCs/>
          <w:color w:val="000000"/>
          <w:kern w:val="2"/>
          <w:sz w:val="28"/>
          <w:szCs w:val="28"/>
          <w:rtl/>
          <w:lang w:bidi="ar-EG"/>
          <w14:ligatures w14:val="standardContextual"/>
        </w:rPr>
        <w:t>الدراسات المرتبطة بالابتكار التنظيمي</w:t>
      </w:r>
      <w:bookmarkEnd w:id="75"/>
    </w:p>
    <w:p w14:paraId="3C214CF0"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الابتكار المؤسسي والصورة الذهنية في المؤسسات المصرفية</w:t>
      </w:r>
    </w:p>
    <w:p w14:paraId="649170FF"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تناولت دراسة الوكيل (2021) طبيعة العلاقة بين الابتكار المؤسسي وبناء الصورة الذهنية للمؤسسات العامة بالتطبيق على بنك مصر، مع اختبار العلاقة بين الابتكار (المنظمي والبشري) والصورة الذهنية الداخلية والخارجية. اعتمدت الدراسة على عينة عشوائية (200) مسؤول، وأظهرت النتائج صحة علاقات الارتباط والتأثير بين الابتكار المؤسسي والصورة الذهنية عند مستوى معنوية (0.05) (الوكيل، 2021).</w:t>
      </w:r>
    </w:p>
    <w:p w14:paraId="3AA8D05C"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وتُظهر هذه الدراسة أن الابتكار التنظيمي لا ينعكس على الأداء الداخلي فحسب، بل يمتد إلى المخرجات الرمزية/التسويقية مثل الصورة الذهنية والثقة العامة، وهو بعد مهم للبنوك. غير أن الدراسة لا تربط الابتكار بشكل مباشر بمدخلات بيانات أو بجودة قرار، ما يجعلها مفيدة في توصيف أثر الابتكار، لكنها لا تقدم تفسيراً لمسارات تولّده داخل المؤسسة.</w:t>
      </w:r>
    </w:p>
    <w:p w14:paraId="794E3E92"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49C36F7C"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lastRenderedPageBreak/>
        <w:t>الابتكار التنظيمي في سياقات الأزمة وعلاقته بالميزة التنافسية</w:t>
      </w:r>
    </w:p>
    <w:p w14:paraId="6998B90B"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تقدم دراسة جديد (2020) معالجة للابتكار التنظيمي في المصرف التجاري السوري ضمن ظروف أزمة، مع التركيز على المناخ التنظيمي الداعم للابتكار وقياس مستوى الابتكار ثم ربطه بالميزة التنافسية. وتوصلت إلى تقييم متوسط لمؤشرات الابتكار المرتبطة بالمناخ الداعم، وإلى علاقة طردية ضعيفة بين الابتكار المتوافر وقدرة المصرف على تحقيق الميزة التنافسية في الظروف الراهنة (جديد، 2020).</w:t>
      </w:r>
    </w:p>
    <w:p w14:paraId="22FFC266"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وتفتح هذه النتائج نافذة تفسيرية مفيدة: الابتكار في البنوك قد يبقى موجوداً لكنه لا يتحول إلى ميزة تنافسية إذا كانت البيئة الضاغطة تحدّ من فعاليته أو إذا كانت القرارات الاستراتيجية لا تمنحه موارد كافية أو توقيتاً مناسباً. وهنا تتضح صلة غير مباشرة بموضوع الدراسة الحالية: جودة القرار (تحليل البدائل، التوقيت، الموضوعية) قد تكون عنصراً فارقاً في تحويل الابتكار إلى أثر تنافسي ملموس.</w:t>
      </w:r>
    </w:p>
    <w:p w14:paraId="48D19001"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ترتيبات العمل المرن كمدخل للابتكار التنظيمي</w:t>
      </w:r>
    </w:p>
    <w:p w14:paraId="2A8E651C"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تناولت دراسة أحمد (2019) أثر ترتيبات العمل المرن في قطاع الخدمات المصرفية على الابتكار التنظيمي. وقد كشفت النتائج عن ارتباط معنوي إيجابي بين أبعاد العمل المرن وأبعاد الابتكار، مع قوة ارتباط خاصة للمرونة في كمية العمل مع ابتكار العملية والابتكار الإداري، إضافة إلى تأثير إيجابي للمرونة في مكان العمل واستمراريته على ابتكار المنتج والعملية (أحمد، 2019).</w:t>
      </w:r>
    </w:p>
    <w:p w14:paraId="33C9A87B"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وتفيد هذه الدراسة في إيضاح أن الابتكار التنظيمي يتغذى من بيئة العمل الداخلية وليس من التكنولوجيا فقط؛ فالتجريب يحتاج إلى مرونة تنظيمية تسمح بتوليد الأفكار وتطبيقها. ومع ذلك، تبقى الدراسة—بحكم تركيزها—بعيدة عن مدخل البيانات وذكاء الأعمال وعن سؤال جودة القرار الاستراتيجي، ما يجعلها داعمة لفهم محددات الابتكار، لكنها لا تفسر العلاقة التي تسعى الدراسة الحالية لاختبارها.</w:t>
      </w:r>
    </w:p>
    <w:p w14:paraId="5A515132"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76" w:name="_Toc222423577"/>
      <w:r w:rsidRPr="00CB373C">
        <w:rPr>
          <w:rFonts w:ascii="Traditional Arabic" w:eastAsia="Times New Roman" w:hAnsi="Traditional Arabic" w:cs="Traditional Arabic"/>
          <w:b/>
          <w:bCs/>
          <w:color w:val="000000"/>
          <w:kern w:val="2"/>
          <w:sz w:val="28"/>
          <w:szCs w:val="28"/>
          <w:rtl/>
          <w:lang w:bidi="ar-EG"/>
          <w14:ligatures w14:val="standardContextual"/>
        </w:rPr>
        <w:t>جودة الخدمة الداخلية والالتزام التنظيمي كآلية وسيطة نحو الابتكار</w:t>
      </w:r>
      <w:bookmarkEnd w:id="76"/>
    </w:p>
    <w:p w14:paraId="7CA4D52F"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تقدم دراسة البلبيسي (2017) نموذجاً يربط جودة الخدمة الداخلية بالابتكار التنظيمي مع إدخال الالتزام التنظيمي كمتغير وسيط في البنوك الأجنبية العاملة في الأردن. اعتمدت الدراسة على استبانة وزعت على (230) موظفاً، وأظهرت نتائجها وجود أثر لأبعاد من جودة الخدمة الداخلية (الجوانب الملموسة، الموثوقية، التعاطف) على الابتكار التنظيمي، مقابل عدم وجود أثر لأبعاد أخرى (الاستجابة، الضمان). كما بينت وجود أثر لبعض الأبعاد على الالتزام التنظيمي، وأن الالتزام يسهم في تقوية العلاقة بين جودة الخدمة الداخلية والابتكار (البلبيسي، 2017).</w:t>
      </w:r>
    </w:p>
    <w:p w14:paraId="5A936D19"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ورغم قدم الدراسة نسبياً، فإن قيمتها تكمن في أنها تُظهر منطق الوساطة في تفسير الابتكار: أي أن الابتكار لا ينتج مباشرةً من متغير واحد، بل عبر آلية داخلية. وهذا ينسجم منهجياً مع الدراسة الحالية التي تفترض وساطة جودة القرارات الاستراتيجية في العلاقة بين قبول ذكاء الأعمال والابتكار التنظيمي.</w:t>
      </w:r>
    </w:p>
    <w:p w14:paraId="64CD503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في المجمل، تتفق الدراسات المعروضة على أن الابتكار التنظيمي في البنوك يرتبط بعوامل داخلية (المرونة، المناخ، جودة الخدمة الداخلية، الابتكار البشري والتنظيمي) وينعكس على مخرجات مثل الصورة الذهنية والميزة التنافسية. إلا أن الملاحظة المحورية أن هذه الدراسات—في معظمها—تتناول الابتكار من زاوية تنظيمية/إدارية دون ربطه صراحةً بمدخلات نظم معلوماتية مثل ذكاء الأعمال، ودون اختبار دور القرار الاستراتيجي كجسر بين المعلومات والابتكار. ومن هنا تبرز الحاجة إلى نموذج يفسر كيف </w:t>
      </w:r>
      <w:r w:rsidRPr="00CB373C">
        <w:rPr>
          <w:rFonts w:ascii="Traditional Arabic" w:eastAsia="Aptos" w:hAnsi="Traditional Arabic" w:cs="Traditional Arabic"/>
          <w:kern w:val="2"/>
          <w:sz w:val="28"/>
          <w:szCs w:val="28"/>
          <w:rtl/>
          <w:lang w:bidi="ar-EG"/>
          <w14:ligatures w14:val="standardContextual"/>
        </w:rPr>
        <w:lastRenderedPageBreak/>
        <w:t>تُصبح البيانات والتحليلات (بعد قبولها من المديرين) جزءاً من قرار عالي الجودة، ثم كيف يفتح ذلك المجال لابتكار تنظيمي أكثر اتساقاً وقابلية للتنفيذ.</w:t>
      </w:r>
    </w:p>
    <w:p w14:paraId="338A4829" w14:textId="77777777" w:rsidR="00CB373C" w:rsidRPr="00CB373C" w:rsidRDefault="00CB373C" w:rsidP="00CB373C">
      <w:pPr>
        <w:keepNext/>
        <w:keepLines/>
        <w:numPr>
          <w:ilvl w:val="2"/>
          <w:numId w:val="0"/>
        </w:numPr>
        <w:bidi/>
        <w:spacing w:before="160" w:after="80" w:line="278" w:lineRule="auto"/>
        <w:ind w:left="720" w:hanging="720"/>
        <w:jc w:val="both"/>
        <w:outlineLvl w:val="2"/>
        <w:rPr>
          <w:rFonts w:ascii="Traditional Arabic" w:eastAsia="Times New Roman" w:hAnsi="Traditional Arabic" w:cs="Traditional Arabic"/>
          <w:b/>
          <w:bCs/>
          <w:color w:val="000000"/>
          <w:kern w:val="2"/>
          <w:sz w:val="28"/>
          <w:szCs w:val="28"/>
          <w:rtl/>
          <w:lang w:bidi="ar-EG"/>
          <w14:ligatures w14:val="standardContextual"/>
        </w:rPr>
      </w:pPr>
      <w:bookmarkStart w:id="77" w:name="_Toc222423578"/>
      <w:r w:rsidRPr="00CB373C">
        <w:rPr>
          <w:rFonts w:ascii="Traditional Arabic" w:eastAsia="Times New Roman" w:hAnsi="Traditional Arabic" w:cs="Traditional Arabic"/>
          <w:b/>
          <w:bCs/>
          <w:color w:val="000000"/>
          <w:kern w:val="2"/>
          <w:sz w:val="28"/>
          <w:szCs w:val="28"/>
          <w:rtl/>
          <w:lang w:bidi="ar-EG"/>
          <w14:ligatures w14:val="standardContextual"/>
        </w:rPr>
        <w:t>التعقيب على الدراسات السابقة</w:t>
      </w:r>
      <w:bookmarkEnd w:id="77"/>
    </w:p>
    <w:p w14:paraId="5AFF16FF"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تكشف مراجعة الدراسات السابقة—في محاورها الثلاثة (ذكاء الأعمال، القرارات الاستراتيجية، الابتكار التنظيمي)—عن اتجاه عام متماسك مفاده أن الاستثمار في نظم ذكاء الأعمال يمكن أن يرتبط بمخرجات تنظيمية إيجابية داخل المؤسسات المالية، لكنه لا يعمل بالضرورة عبر مسار واحد ثابت، بل يتأثر بطبيعة القياس ووحدة التحليل والسياق المؤسسي. فمن جهة، ركزت دراسات ذكاء الأعمال العربية على اختبار الأثر في متغيرات قريبة من القرار والأداء والتحسين، وأظهرت في المجمل علاقات موجبة بين تطبيق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وبعض النتائج؛ مثل دعم القرارات الاستراتيجية (سليم والشريف، 2025)، وتحسين أداء العاملين في بنك سعودي (العتيبي، 2025)، وتعزيز التحسين المستمر في البنوك القطرية (عبيدات، 2022)، ودعم إدارة الأزمات في البنوك الأردنية (العتوم، 2020)، بل وحتى ارتباط استخدام نظم معلومات الأعمال بتحسن مؤشرات مالية مرتبطة بالاستدامة (</w:t>
      </w:r>
      <w:proofErr w:type="spellStart"/>
      <w:r w:rsidRPr="00CB373C">
        <w:rPr>
          <w:rFonts w:ascii="Traditional Arabic" w:eastAsia="Aptos" w:hAnsi="Traditional Arabic" w:cs="Traditional Arabic"/>
          <w:kern w:val="2"/>
          <w:sz w:val="28"/>
          <w:szCs w:val="28"/>
          <w:lang w:bidi="ar-EG"/>
          <w14:ligatures w14:val="standardContextual"/>
        </w:rPr>
        <w:t>Tunowski</w:t>
      </w:r>
      <w:proofErr w:type="spellEnd"/>
      <w:r w:rsidRPr="00CB373C">
        <w:rPr>
          <w:rFonts w:ascii="Traditional Arabic" w:eastAsia="Aptos" w:hAnsi="Traditional Arabic" w:cs="Traditional Arabic"/>
          <w:kern w:val="2"/>
          <w:sz w:val="28"/>
          <w:szCs w:val="28"/>
          <w:lang w:bidi="ar-EG"/>
          <w14:ligatures w14:val="standardContextual"/>
        </w:rPr>
        <w:t>, 2020</w:t>
      </w:r>
      <w:r w:rsidRPr="00CB373C">
        <w:rPr>
          <w:rFonts w:ascii="Traditional Arabic" w:eastAsia="Aptos" w:hAnsi="Traditional Arabic" w:cs="Traditional Arabic"/>
          <w:kern w:val="2"/>
          <w:sz w:val="28"/>
          <w:szCs w:val="28"/>
          <w:rtl/>
          <w:lang w:bidi="ar-EG"/>
          <w14:ligatures w14:val="standardContextual"/>
        </w:rPr>
        <w:t xml:space="preserve">). ومع ذلك، يتضح أن غالبية هذه الأعمال تنظر إلى ذكاء الأعمال بوصفه مستوى تطبيق أو حزمة قدرات أكثر من كونه سلوك استخدام/قبول لدى متخذي القرار، وهو ما يقلل قدرتها على تفسير التفاوت بين مؤسسات تمتلك نظم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لكنها لا تحقق الأثر نفسه على مستوى القرار أو الابتكار.</w:t>
      </w:r>
    </w:p>
    <w:p w14:paraId="07222722"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ومن جهة ثانية، تبرز دراسات القرارات الاستراتيجية أن جودة/فاعلية القرار لا تتحدد بالمعلومات وحدها، بل تتأثر بالبنية التنظيمية والحوكمية والتحيزات المعرفية وقدرات القيادات. فقد بينت دراسة الدهيمي (2021) أن فاعلية القرارات الاستراتيجية ترتبط بالتميز التنظيمي عبر التمكين الوظيفي كوسيط، بينما أوضحت دراسة حبوش (2020) دور ممارسات الحوكمة في صنع القرار الاستراتيجي داخل البنوك. وفي المسار السلوكي، أظهرت دراسة </w:t>
      </w:r>
      <w:r w:rsidRPr="00CB373C">
        <w:rPr>
          <w:rFonts w:ascii="Traditional Arabic" w:eastAsia="Aptos" w:hAnsi="Traditional Arabic" w:cs="Traditional Arabic"/>
          <w:kern w:val="2"/>
          <w:sz w:val="28"/>
          <w:szCs w:val="28"/>
          <w:lang w:bidi="ar-EG"/>
          <w14:ligatures w14:val="standardContextual"/>
        </w:rPr>
        <w:t>Jarrar</w:t>
      </w:r>
      <w:r w:rsidRPr="00CB373C">
        <w:rPr>
          <w:rFonts w:ascii="Traditional Arabic" w:eastAsia="Aptos" w:hAnsi="Traditional Arabic" w:cs="Traditional Arabic"/>
          <w:kern w:val="2"/>
          <w:sz w:val="28"/>
          <w:szCs w:val="28"/>
          <w:rtl/>
          <w:lang w:bidi="ar-EG"/>
          <w14:ligatures w14:val="standardContextual"/>
        </w:rPr>
        <w:t xml:space="preserve"> (2021) أن بعض التحيزات المعرفية تؤثر في جودة صنع القرار الاستراتيجي في بنوك أردنية، بما يلفت إلى أن إتاحة البيانات لا تُنهي تلقائياً مشكلات الحكم الإداري، بل قد تتطلب أدوات تقويم موضوعية وآليات مراجعة. كما دعمت دراسة فريد وعامر (2021) الفكرة القائلة بأن القدرات الاستشرافية والفكر النظامي والخبرة الدولية تُحسن رشادة القرار. ومع أهمية هذه النتائج، يلاحظ أن قسماً كبيراً منها يتناول القرار إما بوصفه صنعاً أو فاعلية دون بناء مفهوم تشغيلي متماسك لـ جودة القرارات الاستراتيجية بوصفها متغيراً قابلًا للقياس بأبعاد دقيقة يمكن ربطها مباشرة بمخرجات ذكاء الأعمال.</w:t>
      </w:r>
    </w:p>
    <w:p w14:paraId="4443E572"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أما دراسات الابتكار التنظيمي في القطاع المصرفي فقد اتجهت إلى تفسير الابتكار عبر عوامل تنظيمية داخلية (المناخ، المرونة، جودة الخدمة الداخلية، الالتزام)، وركزت على انعكاس الابتكار على الصورة الذهنية أو الميزة التنافسية. فقد أثبتت دراسة الوكيل (2021) وجود علاقات ارتباط وتأثير بين الابتكار المؤسسي والصورة الذهنية في بنك مصر، وأشارت دراسة جديد (2020) إلى أن المناخ الداعم للابتكار في المصرف التجاري السوري كان في مستوى متوسط، وأن علاقة الابتكار بالميزة التنافسية جاءت ضعيفة في ظروف الأزمة. كما بيّنت دراسة أحمد (2019) أثر ترتيبات العمل المرن على الابتكار التنظيمي، بينما قدمت دراسة البلبيسي (2017) نموذجاً بوساطة الالتزام التنظيمي بين جودة الخدمة الداخلية والابتكار. إلا أن القاسم المشترك هنا يتمثل في محدودية الربط المباشر بين الابتكار التنظيمي وبين المدخلات الرقمية التحليلية—وخاصة ذكاء الأعمال—وبين جودة القرار كآلية انتقال من البيانات إلى الابتكار.</w:t>
      </w:r>
    </w:p>
    <w:p w14:paraId="7BC612B0"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lastRenderedPageBreak/>
        <w:t>حدود الأدبيات القائمة</w:t>
      </w:r>
    </w:p>
    <w:p w14:paraId="78C7E6B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يمكن تلخيص أبرز حدود الأدبيات التي راجعتها الدراسة في ثلاثة مستويات متداخلة:</w:t>
      </w:r>
    </w:p>
    <w:p w14:paraId="27E9FEC7" w14:textId="77777777" w:rsidR="00CB373C" w:rsidRPr="00CB373C" w:rsidRDefault="00CB373C" w:rsidP="00CB373C">
      <w:pPr>
        <w:numPr>
          <w:ilvl w:val="0"/>
          <w:numId w:val="13"/>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b/>
          <w:bCs/>
          <w:kern w:val="2"/>
          <w:sz w:val="28"/>
          <w:szCs w:val="28"/>
          <w:rtl/>
          <w:lang w:bidi="ar-EG"/>
          <w14:ligatures w14:val="standardContextual"/>
        </w:rPr>
        <w:t>حدود مفاهيمية/قياسية:</w:t>
      </w:r>
      <w:r w:rsidRPr="00CB373C">
        <w:rPr>
          <w:rFonts w:ascii="Traditional Arabic" w:eastAsia="Aptos" w:hAnsi="Traditional Arabic" w:cs="Traditional Arabic"/>
          <w:kern w:val="2"/>
          <w:sz w:val="28"/>
          <w:szCs w:val="28"/>
          <w:rtl/>
          <w:lang w:bidi="ar-EG"/>
          <w14:ligatures w14:val="standardContextual"/>
        </w:rPr>
        <w:t xml:space="preserve"> كثير من الدراسات العربية تقيس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كمستوى تطبيق أو كأبعاد تقنية، دون قياس قبول المستخدمين له وفق نموذج سلوكي مثل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ودون التفريق بين اتخاذ القرار وجودة القرار بوصفها مخرجاً متعدد الأبعاد. كما أن دراسات الابتكار غالباً لا تُحيل الابتكار إلى آليات قرارية يمكن قياسها، بل تركز على عوامل مناخية أو بشرية.</w:t>
      </w:r>
    </w:p>
    <w:p w14:paraId="56DFD01D" w14:textId="77777777" w:rsidR="00CB373C" w:rsidRPr="00CB373C" w:rsidRDefault="00CB373C" w:rsidP="00CB373C">
      <w:pPr>
        <w:numPr>
          <w:ilvl w:val="0"/>
          <w:numId w:val="13"/>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b/>
          <w:bCs/>
          <w:kern w:val="2"/>
          <w:sz w:val="28"/>
          <w:szCs w:val="28"/>
          <w:rtl/>
          <w:lang w:bidi="ar-EG"/>
          <w14:ligatures w14:val="standardContextual"/>
        </w:rPr>
        <w:t>حدود منهجية:</w:t>
      </w:r>
      <w:r w:rsidRPr="00CB373C">
        <w:rPr>
          <w:rFonts w:ascii="Traditional Arabic" w:eastAsia="Aptos" w:hAnsi="Traditional Arabic" w:cs="Traditional Arabic"/>
          <w:kern w:val="2"/>
          <w:sz w:val="28"/>
          <w:szCs w:val="28"/>
          <w:rtl/>
          <w:lang w:bidi="ar-EG"/>
          <w14:ligatures w14:val="standardContextual"/>
        </w:rPr>
        <w:t xml:space="preserve"> يغلب على الدراسات التصميم المقطعي القائم على الاستبانة، مع تركيز على علاقات ثنائية مباشرة. ورغم وجود نماذج وساطة في بعض الدراسات (مثل الدهيمي، 2021؛ البلبيسي، 2017)، فإن الوساطة لم تُوظّف عادةً لشرح انتقال أثر ذكاء الأعمال إلى الابتكار عبر جودة القرار تحديداً.</w:t>
      </w:r>
    </w:p>
    <w:p w14:paraId="633FCEBC" w14:textId="77777777" w:rsidR="00CB373C" w:rsidRPr="00CB373C" w:rsidRDefault="00CB373C" w:rsidP="00CB373C">
      <w:pPr>
        <w:numPr>
          <w:ilvl w:val="0"/>
          <w:numId w:val="13"/>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b/>
          <w:bCs/>
          <w:kern w:val="2"/>
          <w:sz w:val="28"/>
          <w:szCs w:val="28"/>
          <w:rtl/>
          <w:lang w:bidi="ar-EG"/>
          <w14:ligatures w14:val="standardContextual"/>
        </w:rPr>
        <w:t>حدود سياقية:</w:t>
      </w:r>
      <w:r w:rsidRPr="00CB373C">
        <w:rPr>
          <w:rFonts w:ascii="Traditional Arabic" w:eastAsia="Aptos" w:hAnsi="Traditional Arabic" w:cs="Traditional Arabic"/>
          <w:kern w:val="2"/>
          <w:sz w:val="28"/>
          <w:szCs w:val="28"/>
          <w:rtl/>
          <w:lang w:bidi="ar-EG"/>
          <w14:ligatures w14:val="standardContextual"/>
        </w:rPr>
        <w:t xml:space="preserve"> على الرغم من توفر دراسات عربية في الأردن وقطر ومصر، فإن الأدبيات التي تختبر نموذجاً متكاملاً داخل السياق السعودي—وبالأخص المصارف العاملة في مدينة الرياض—ما تزال محدودة، مع اختلافات تنظيمية وتحول رقمي سريع قد يجعل نتائج سياقات أخرى أقل قابلية للتعميم.</w:t>
      </w:r>
    </w:p>
    <w:p w14:paraId="21EAF936"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فجوة البحث (</w:t>
      </w:r>
      <w:r w:rsidRPr="00CB373C">
        <w:rPr>
          <w:rFonts w:ascii="Traditional Arabic" w:eastAsia="Times New Roman" w:hAnsi="Traditional Arabic" w:cs="Traditional Arabic"/>
          <w:b/>
          <w:bCs/>
          <w:i/>
          <w:iCs/>
          <w:color w:val="000000"/>
          <w:kern w:val="2"/>
          <w:sz w:val="28"/>
          <w:szCs w:val="28"/>
          <w:lang w:bidi="ar-EG"/>
          <w14:ligatures w14:val="standardContextual"/>
        </w:rPr>
        <w:t>Research Gap</w:t>
      </w:r>
      <w:r w:rsidRPr="00CB373C">
        <w:rPr>
          <w:rFonts w:ascii="Traditional Arabic" w:eastAsia="Times New Roman" w:hAnsi="Traditional Arabic" w:cs="Traditional Arabic"/>
          <w:b/>
          <w:bCs/>
          <w:i/>
          <w:iCs/>
          <w:color w:val="000000"/>
          <w:kern w:val="2"/>
          <w:sz w:val="28"/>
          <w:szCs w:val="28"/>
          <w:rtl/>
          <w:lang w:bidi="ar-EG"/>
          <w14:ligatures w14:val="standardContextual"/>
        </w:rPr>
        <w:t>)</w:t>
      </w:r>
    </w:p>
    <w:p w14:paraId="4E674A35"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انطلاقاً من التعقيب السابق، تتمثل الفجوة البحثية في غياب نموذج تفسيري متكامل يختبر بصورة مباشرة العلاقة التسلسلية بين:</w:t>
      </w:r>
    </w:p>
    <w:p w14:paraId="6B96B8EE" w14:textId="77777777" w:rsidR="00CB373C" w:rsidRPr="00CB373C" w:rsidRDefault="00CB373C" w:rsidP="00CB373C">
      <w:pPr>
        <w:numPr>
          <w:ilvl w:val="0"/>
          <w:numId w:val="14"/>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قبول المديرين لأنظمة ذكاء الأعمال وفق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(وليس مجرد وجود النظام أو مستوى تطبيقه)،</w:t>
      </w:r>
    </w:p>
    <w:p w14:paraId="10416EF6" w14:textId="77777777" w:rsidR="00CB373C" w:rsidRPr="00CB373C" w:rsidRDefault="00CB373C" w:rsidP="00CB373C">
      <w:pPr>
        <w:numPr>
          <w:ilvl w:val="0"/>
          <w:numId w:val="14"/>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ثم جودة القرارات الاستراتيجية بوصفها آلية تحويل (</w:t>
      </w:r>
      <w:r w:rsidRPr="00CB373C">
        <w:rPr>
          <w:rFonts w:ascii="Traditional Arabic" w:eastAsia="Aptos" w:hAnsi="Traditional Arabic" w:cs="Traditional Arabic"/>
          <w:kern w:val="2"/>
          <w:sz w:val="28"/>
          <w:szCs w:val="28"/>
          <w:lang w:bidi="ar-EG"/>
          <w14:ligatures w14:val="standardContextual"/>
        </w:rPr>
        <w:t>Mechanism</w:t>
      </w:r>
      <w:r w:rsidRPr="00CB373C">
        <w:rPr>
          <w:rFonts w:ascii="Traditional Arabic" w:eastAsia="Aptos" w:hAnsi="Traditional Arabic" w:cs="Traditional Arabic"/>
          <w:kern w:val="2"/>
          <w:sz w:val="28"/>
          <w:szCs w:val="28"/>
          <w:rtl/>
          <w:lang w:bidi="ar-EG"/>
          <w14:ligatures w14:val="standardContextual"/>
        </w:rPr>
        <w:t>) تتشكل عبر أبعاد تشغيلية قابلة للقياس،</w:t>
      </w:r>
    </w:p>
    <w:p w14:paraId="394A8771" w14:textId="77777777" w:rsidR="00CB373C" w:rsidRPr="00CB373C" w:rsidRDefault="00CB373C" w:rsidP="00CB373C">
      <w:pPr>
        <w:numPr>
          <w:ilvl w:val="0"/>
          <w:numId w:val="14"/>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وصولاً إلى الابتكار التنظيمي في المصارف بوصفه مخرجاً استراتيجياً (ابتكار منتجات/خدمات، ابتكار عمليات، ثقافة داعمة للابتكار).</w:t>
      </w:r>
    </w:p>
    <w:p w14:paraId="7B3ADD1A" w14:textId="77777777" w:rsidR="00CB373C" w:rsidRPr="00CB373C" w:rsidRDefault="00CB373C" w:rsidP="00CB373C">
      <w:pPr>
        <w:numPr>
          <w:ilvl w:val="0"/>
          <w:numId w:val="14"/>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هذه الفجوة هي فجوة آلية ومنهجية وسياقية في آن واحد: آلية لأنها تتعلق بغياب تفسير كيف تنتقل فاعلية </w:t>
      </w:r>
      <w:r w:rsidRPr="00CB373C">
        <w:rPr>
          <w:rFonts w:ascii="Traditional Arabic" w:eastAsia="Aptos" w:hAnsi="Traditional Arabic" w:cs="Traditional Arabic"/>
          <w:kern w:val="2"/>
          <w:sz w:val="28"/>
          <w:szCs w:val="28"/>
          <w:lang w:bidi="ar-EG"/>
          <w14:ligatures w14:val="standardContextual"/>
        </w:rPr>
        <w:t>BI</w:t>
      </w:r>
      <w:r w:rsidRPr="00CB373C">
        <w:rPr>
          <w:rFonts w:ascii="Traditional Arabic" w:eastAsia="Aptos" w:hAnsi="Traditional Arabic" w:cs="Traditional Arabic"/>
          <w:kern w:val="2"/>
          <w:sz w:val="28"/>
          <w:szCs w:val="28"/>
          <w:rtl/>
          <w:lang w:bidi="ar-EG"/>
          <w14:ligatures w14:val="standardContextual"/>
        </w:rPr>
        <w:t xml:space="preserve"> إلى الابتكار عبر جودة القرار، ومنهجية لأنها تتطلب اختبار وساطة داخل نموذج كلي، وسياقية لأنها تتعلق بضعف الاختبار في بيئة المصارف بمدينة الرياض.</w:t>
      </w:r>
    </w:p>
    <w:p w14:paraId="1C413398" w14:textId="77777777" w:rsidR="00CB373C" w:rsidRPr="00CB373C" w:rsidRDefault="00CB373C" w:rsidP="00CB373C">
      <w:pPr>
        <w:keepNext/>
        <w:keepLines/>
        <w:numPr>
          <w:ilvl w:val="3"/>
          <w:numId w:val="0"/>
        </w:numPr>
        <w:bidi/>
        <w:spacing w:before="80" w:after="40" w:line="278" w:lineRule="auto"/>
        <w:ind w:left="864" w:hanging="864"/>
        <w:outlineLvl w:val="3"/>
        <w:rPr>
          <w:rFonts w:ascii="Traditional Arabic" w:eastAsia="Times New Roman" w:hAnsi="Traditional Arabic" w:cs="Traditional Arabic"/>
          <w:b/>
          <w:bCs/>
          <w:i/>
          <w:iCs/>
          <w:color w:val="000000"/>
          <w:kern w:val="2"/>
          <w:sz w:val="28"/>
          <w:szCs w:val="28"/>
          <w:rtl/>
          <w:lang w:bidi="ar-EG"/>
          <w14:ligatures w14:val="standardContextual"/>
        </w:rPr>
      </w:pPr>
      <w:r w:rsidRPr="00CB373C">
        <w:rPr>
          <w:rFonts w:ascii="Traditional Arabic" w:eastAsia="Times New Roman" w:hAnsi="Traditional Arabic" w:cs="Traditional Arabic"/>
          <w:b/>
          <w:bCs/>
          <w:i/>
          <w:iCs/>
          <w:color w:val="000000"/>
          <w:kern w:val="2"/>
          <w:sz w:val="28"/>
          <w:szCs w:val="28"/>
          <w:rtl/>
          <w:lang w:bidi="ar-EG"/>
          <w14:ligatures w14:val="standardContextual"/>
        </w:rPr>
        <w:t>ما يميز الدراسة الحالية مقارنة بالدراسات السابقة</w:t>
      </w:r>
    </w:p>
    <w:p w14:paraId="0C651F85"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تتميز الدراسة الحالية عن الأدبيات السابقة بعدة نقاط نوعية متسقة مع الفجوة المذكورة:</w:t>
      </w:r>
    </w:p>
    <w:p w14:paraId="1E76E7DE" w14:textId="77777777" w:rsidR="00CB373C" w:rsidRPr="00CB373C" w:rsidRDefault="00CB373C" w:rsidP="00CB373C">
      <w:pPr>
        <w:numPr>
          <w:ilvl w:val="0"/>
          <w:numId w:val="15"/>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b/>
          <w:bCs/>
          <w:kern w:val="2"/>
          <w:sz w:val="28"/>
          <w:szCs w:val="28"/>
          <w:rtl/>
          <w:lang w:bidi="ar-EG"/>
          <w14:ligatures w14:val="standardContextual"/>
        </w:rPr>
        <w:t>تميّز في مستوى القياس (</w:t>
      </w:r>
      <w:r w:rsidRPr="00CB373C">
        <w:rPr>
          <w:rFonts w:ascii="Traditional Arabic" w:eastAsia="Aptos" w:hAnsi="Traditional Arabic" w:cs="Traditional Arabic"/>
          <w:b/>
          <w:bCs/>
          <w:kern w:val="2"/>
          <w:sz w:val="28"/>
          <w:szCs w:val="28"/>
          <w:lang w:bidi="ar-EG"/>
          <w14:ligatures w14:val="standardContextual"/>
        </w:rPr>
        <w:t>Measurement Focus</w:t>
      </w:r>
      <w:r w:rsidRPr="00CB373C">
        <w:rPr>
          <w:rFonts w:ascii="Traditional Arabic" w:eastAsia="Aptos" w:hAnsi="Traditional Arabic" w:cs="Traditional Arabic"/>
          <w:b/>
          <w:bCs/>
          <w:kern w:val="2"/>
          <w:sz w:val="28"/>
          <w:szCs w:val="28"/>
          <w:rtl/>
          <w:lang w:bidi="ar-EG"/>
          <w14:ligatures w14:val="standardContextual"/>
        </w:rPr>
        <w:t>):</w:t>
      </w:r>
      <w:r w:rsidRPr="00CB373C">
        <w:rPr>
          <w:rFonts w:ascii="Traditional Arabic" w:eastAsia="Aptos" w:hAnsi="Traditional Arabic" w:cs="Traditional Arabic"/>
          <w:kern w:val="2"/>
          <w:sz w:val="28"/>
          <w:szCs w:val="28"/>
          <w:rtl/>
          <w:lang w:bidi="ar-EG"/>
          <w14:ligatures w14:val="standardContextual"/>
        </w:rPr>
        <w:t xml:space="preserve"> لا تتعامل الدراسة مع ذكاء الأعمال بوصفه تطبيقاً تقنياً فقط، بل تقيسه كـ قبول وفق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(الفائدة المدركة، سهولة الاستخدام المدركة، نية الاستخدام) بما يتسق مع طبيعة الاستخدام الفعلي لدى المديرين.</w:t>
      </w:r>
    </w:p>
    <w:p w14:paraId="52A9EC1D" w14:textId="77777777" w:rsidR="00CB373C" w:rsidRPr="00CB373C" w:rsidRDefault="00CB373C" w:rsidP="00CB373C">
      <w:pPr>
        <w:numPr>
          <w:ilvl w:val="0"/>
          <w:numId w:val="15"/>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b/>
          <w:bCs/>
          <w:kern w:val="2"/>
          <w:sz w:val="28"/>
          <w:szCs w:val="28"/>
          <w:rtl/>
          <w:lang w:bidi="ar-EG"/>
          <w14:ligatures w14:val="standardContextual"/>
        </w:rPr>
        <w:t>تميّز في الآلية التفسيرية:</w:t>
      </w:r>
      <w:r w:rsidRPr="00CB373C">
        <w:rPr>
          <w:rFonts w:ascii="Traditional Arabic" w:eastAsia="Aptos" w:hAnsi="Traditional Arabic" w:cs="Traditional Arabic"/>
          <w:kern w:val="2"/>
          <w:sz w:val="28"/>
          <w:szCs w:val="28"/>
          <w:rtl/>
          <w:lang w:bidi="ar-EG"/>
          <w14:ligatures w14:val="standardContextual"/>
        </w:rPr>
        <w:t xml:space="preserve"> تُدخل الدراسة جودة القرارات الاستراتيجية كمتغير وسيط مباشر لتفسير انتقال أثر القبول إلى الابتكار، وهو ما لا يظهر بوضوح في الدراسات التي ركزت على الأداء أو الأزمات أو التحسين المستمر (العتوم، 2020؛ عبيدات، 2022؛ العتيبي، 2025) أو في الدراسات التي تناولت الابتكار دون ربطه بمسار قرار قائم على البيانات (الوكيل، 2021؛ جديد، 2020).</w:t>
      </w:r>
    </w:p>
    <w:p w14:paraId="5BD404C7" w14:textId="77777777" w:rsidR="00CB373C" w:rsidRPr="00CB373C" w:rsidRDefault="00CB373C" w:rsidP="00CB373C">
      <w:pPr>
        <w:numPr>
          <w:ilvl w:val="0"/>
          <w:numId w:val="15"/>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b/>
          <w:bCs/>
          <w:kern w:val="2"/>
          <w:sz w:val="28"/>
          <w:szCs w:val="28"/>
          <w:rtl/>
          <w:lang w:bidi="ar-EG"/>
          <w14:ligatures w14:val="standardContextual"/>
        </w:rPr>
        <w:lastRenderedPageBreak/>
        <w:t>تميّز في وحدة التحليل:</w:t>
      </w:r>
      <w:r w:rsidRPr="00CB373C">
        <w:rPr>
          <w:rFonts w:ascii="Traditional Arabic" w:eastAsia="Aptos" w:hAnsi="Traditional Arabic" w:cs="Traditional Arabic"/>
          <w:kern w:val="2"/>
          <w:sz w:val="28"/>
          <w:szCs w:val="28"/>
          <w:rtl/>
          <w:lang w:bidi="ar-EG"/>
          <w14:ligatures w14:val="standardContextual"/>
        </w:rPr>
        <w:t xml:space="preserve"> تركز الدراسة على المديرين في الإدارات العليا والوسطى بوصفهم صناع القرار الاستراتيجي، بما ينسجم مع طبيعة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كإطار سلوكي إدراكي ومع طبيعة جودة القرار كمتغير وسيط.</w:t>
      </w:r>
    </w:p>
    <w:p w14:paraId="6FC823E0" w14:textId="77777777" w:rsidR="00CB373C" w:rsidRPr="00CB373C" w:rsidRDefault="00CB373C" w:rsidP="00CB373C">
      <w:pPr>
        <w:numPr>
          <w:ilvl w:val="0"/>
          <w:numId w:val="15"/>
        </w:numPr>
        <w:bidi/>
        <w:spacing w:line="240" w:lineRule="auto"/>
        <w:contextualSpacing/>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b/>
          <w:bCs/>
          <w:kern w:val="2"/>
          <w:sz w:val="28"/>
          <w:szCs w:val="28"/>
          <w:rtl/>
          <w:lang w:bidi="ar-EG"/>
          <w14:ligatures w14:val="standardContextual"/>
        </w:rPr>
        <w:t xml:space="preserve">تميّز في السياق: </w:t>
      </w:r>
      <w:r w:rsidRPr="00CB373C">
        <w:rPr>
          <w:rFonts w:ascii="Traditional Arabic" w:eastAsia="Aptos" w:hAnsi="Traditional Arabic" w:cs="Traditional Arabic"/>
          <w:kern w:val="2"/>
          <w:sz w:val="28"/>
          <w:szCs w:val="28"/>
          <w:rtl/>
          <w:lang w:bidi="ar-EG"/>
          <w14:ligatures w14:val="standardContextual"/>
        </w:rPr>
        <w:t>تُختبر العلاقات داخل المصارف العاملة بمدينة الرياض، بما يعزز مساهمة الدراسة في سد فجوة سياقية مرتبطة بخصوصية البيئة السعودية والتحول الرقمي المصرفي.</w:t>
      </w:r>
    </w:p>
    <w:p w14:paraId="6C15438E" w14:textId="77777777" w:rsidR="00CB373C" w:rsidRPr="00CB373C" w:rsidRDefault="00CB373C" w:rsidP="00CB373C">
      <w:pPr>
        <w:numPr>
          <w:ilvl w:val="0"/>
          <w:numId w:val="15"/>
        </w:numPr>
        <w:bidi/>
        <w:spacing w:line="240" w:lineRule="auto"/>
        <w:contextualSpacing/>
        <w:jc w:val="both"/>
        <w:rPr>
          <w:rFonts w:ascii="Traditional Arabic" w:eastAsia="Aptos" w:hAnsi="Traditional Arabic" w:cs="Traditional Arabic"/>
          <w:kern w:val="2"/>
          <w:sz w:val="28"/>
          <w:szCs w:val="28"/>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تميّز في الاختبار الإحصائي للنموذج الكلي: تعتمد الدراسة نمذجة المعادلات البنائية بالحد الأدنى للمربعات الجزئية (</w:t>
      </w:r>
      <w:r w:rsidRPr="00CB373C">
        <w:rPr>
          <w:rFonts w:ascii="Traditional Arabic" w:eastAsia="Aptos" w:hAnsi="Traditional Arabic" w:cs="Traditional Arabic"/>
          <w:kern w:val="2"/>
          <w:sz w:val="28"/>
          <w:szCs w:val="28"/>
          <w:lang w:bidi="ar-EG"/>
          <w14:ligatures w14:val="standardContextual"/>
        </w:rPr>
        <w:t>SEM-PLS</w:t>
      </w:r>
      <w:r w:rsidRPr="00CB373C">
        <w:rPr>
          <w:rFonts w:ascii="Traditional Arabic" w:eastAsia="Aptos" w:hAnsi="Traditional Arabic" w:cs="Traditional Arabic"/>
          <w:kern w:val="2"/>
          <w:sz w:val="28"/>
          <w:szCs w:val="28"/>
          <w:rtl/>
          <w:lang w:bidi="ar-EG"/>
          <w14:ligatures w14:val="standardContextual"/>
        </w:rPr>
        <w:t>) واختبار الوساطة (</w:t>
      </w:r>
      <w:r w:rsidRPr="00CB373C">
        <w:rPr>
          <w:rFonts w:ascii="Traditional Arabic" w:eastAsia="Aptos" w:hAnsi="Traditional Arabic" w:cs="Traditional Arabic"/>
          <w:kern w:val="2"/>
          <w:sz w:val="28"/>
          <w:szCs w:val="28"/>
          <w:lang w:bidi="ar-EG"/>
          <w14:ligatures w14:val="standardContextual"/>
        </w:rPr>
        <w:t>Bootstrap</w:t>
      </w:r>
      <w:r w:rsidRPr="00CB373C">
        <w:rPr>
          <w:rFonts w:ascii="Traditional Arabic" w:eastAsia="Aptos" w:hAnsi="Traditional Arabic" w:cs="Traditional Arabic"/>
          <w:kern w:val="2"/>
          <w:sz w:val="28"/>
          <w:szCs w:val="28"/>
          <w:rtl/>
          <w:lang w:bidi="ar-EG"/>
          <w14:ligatures w14:val="standardContextual"/>
        </w:rPr>
        <w:t>)، بما يسمح بفحص المسارات المباشرة وغير المباشرة في نموذج واحد، وتقديم تفسير أدق مقارنة بالدراسات الثنائية ذات العلاقات المباشرة فقط.</w:t>
      </w:r>
    </w:p>
    <w:p w14:paraId="06CD901B" w14:textId="77777777" w:rsidR="00CB373C" w:rsidRPr="00CB373C" w:rsidRDefault="00CB373C" w:rsidP="00CB373C">
      <w:pPr>
        <w:keepNext/>
        <w:keepLines/>
        <w:numPr>
          <w:ilvl w:val="1"/>
          <w:numId w:val="0"/>
        </w:numPr>
        <w:bidi/>
        <w:spacing w:before="160" w:after="80" w:line="278" w:lineRule="auto"/>
        <w:ind w:left="576" w:hanging="576"/>
        <w:outlineLvl w:val="1"/>
        <w:rPr>
          <w:rFonts w:ascii="Traditional Arabic" w:eastAsia="Times New Roman" w:hAnsi="Traditional Arabic" w:cs="Traditional Arabic"/>
          <w:b/>
          <w:bCs/>
          <w:color w:val="000000"/>
          <w:kern w:val="2"/>
          <w:sz w:val="32"/>
          <w:szCs w:val="32"/>
          <w:rtl/>
          <w:lang w:bidi="ar-EG"/>
          <w14:ligatures w14:val="standardContextual"/>
        </w:rPr>
      </w:pPr>
      <w:bookmarkStart w:id="78" w:name="_Toc222423579"/>
      <w:r w:rsidRPr="00CB373C">
        <w:rPr>
          <w:rFonts w:ascii="Traditional Arabic" w:eastAsia="Times New Roman" w:hAnsi="Traditional Arabic" w:cs="Traditional Arabic"/>
          <w:b/>
          <w:bCs/>
          <w:color w:val="000000"/>
          <w:kern w:val="2"/>
          <w:sz w:val="32"/>
          <w:szCs w:val="32"/>
          <w:rtl/>
          <w:lang w:bidi="ar-EG"/>
          <w14:ligatures w14:val="standardContextual"/>
        </w:rPr>
        <w:t>خاتمة الفصل</w:t>
      </w:r>
      <w:bookmarkEnd w:id="78"/>
    </w:p>
    <w:p w14:paraId="171E167B"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قدم هذا الفصل بناء الأساس العلمي الذي تستند إليه الدراسة في تفسير العلاقة بين قبول أنظمة ذكاء الأعمال والابتكار التنظيمي داخل المصارف العاملة بمدينة الرياض، مع إيضاح الدور التفسيري الذي تؤديه جودة القرارات الاستراتيجية بوصفها آلية تحويل تربط بين الاستثمار التحليلي (ذكاء الأعمال) والمخرجات الاستراتيجية (الابتكار). وقد تحقق ذلك عبر محورين متكاملين: الإطار النظري الذي ضبط المفاهيم وحدد أبعادها التشغيلية ومنطق الترابط بينها، ثم الدراسات السابقة التي قُرئت قراءة نقدية لتبيان ما استقر في الأدبيات، وما بقي غير محسوم أو غير مُختبر بالشكل الذي تعالجه الدراسة الحالية.</w:t>
      </w:r>
    </w:p>
    <w:p w14:paraId="785128C6"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على مستوى الإطار النظري، أوضح الفصل أن التحول الرقمي في القطاع المالي السعودي لا يُفهم باعتباره رقمنة للقنوات فحسب، بل بوصفه إعادة تشكيل لطرق إنتاج الخدمة المالية وإدارة المخاطر وتجربة العميل، بما يرفع كثافة البيانات ويزيد حساسية القرار الاستراتيجي داخل المصارف. ومن هنا جاء تموضع ذكاء الأعمال كرافعة معرفية قادرة على تنظيم البيانات وتحويلها إلى رؤى قابلة للاستخدام، شريطة أن تُدمج هذه الرؤى في دورة القرار فعلياً. كما تم ضبط المفهوم عبر التمييز بين ذكاء الأعمال والتحليلات والذكاء الاصطناعي، وشرح البنية المعمارية لذكاء الأعمال (تكامل المصادر، </w:t>
      </w:r>
      <w:r w:rsidRPr="00CB373C">
        <w:rPr>
          <w:rFonts w:ascii="Traditional Arabic" w:eastAsia="Aptos" w:hAnsi="Traditional Arabic" w:cs="Traditional Arabic"/>
          <w:kern w:val="2"/>
          <w:sz w:val="28"/>
          <w:szCs w:val="28"/>
          <w:lang w:bidi="ar-EG"/>
          <w14:ligatures w14:val="standardContextual"/>
        </w:rPr>
        <w:t>ETL</w:t>
      </w:r>
      <w:r w:rsidRPr="00CB373C">
        <w:rPr>
          <w:rFonts w:ascii="Traditional Arabic" w:eastAsia="Aptos" w:hAnsi="Traditional Arabic" w:cs="Traditional Arabic"/>
          <w:kern w:val="2"/>
          <w:sz w:val="28"/>
          <w:szCs w:val="28"/>
          <w:rtl/>
          <w:lang w:bidi="ar-EG"/>
          <w14:ligatures w14:val="standardContextual"/>
        </w:rPr>
        <w:t>، المستودعات، لوحات القيادة) ومجالات التطبيق المصرفي (المخاطر، الاحتيال، تحليل العملاء، الامتثال وقياس الأداء)، مع إبراز التحديات الأكثر التصاقاً بالمصارف مثل حوكمة البيانات والأمن السيبراني وفجوة التحويل من الرؤى إلى قرارات.</w:t>
      </w:r>
    </w:p>
    <w:p w14:paraId="5C9627B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وبوصف القبول نقطة الارتكاز في منطق الدراسة، بيّن الفصل سبب اعتماد نموذج قبول التكنولوجيا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كإطار سلوكي – إدراكي يقيس القيمة التنظيمية بوصفها نتاجاً لقبول المستخدمين، لا مجرد توافر النظام. وعليه، تم تعريف قبول أنظمة ذكاء الأعمال باعتباره بناءً يتكون من الفائدة المدركة وسهولة الاستخدام المدركة ونية الاستخدام، مع توضيح أن هذا القبول هو ما يجعل مخرجات ذكاء الأعمال قابلة للترجمة إلى قرارات استراتيجية أفضل. ثم انتقل الفصل إلى تحديد مفهوم جودة القرارات الاستراتيجية وضبطه عبر التمييز بين جودة العملية وجودة المخرج، مع تبني أبعاد تشغيلية قابلة للقياس تتمثل في: جودة المعلومات، تحليل البدائل، ملاءمة التوقيت، الموضوعية/التقييم. وأخيراً، تم تأصيل الابتكار التنظيمي في البيئة المصرفية بوصفه ابتكاراً في الخدمات/المنتجات، وابتكاراً في العمليات، وثقافة تنظيمية داعمة للابتكار، مع توضيح أن الابتكار في البنوك غالباً ما يكون "محكوماً" بقيود المخاطر والامتثال، ما يجعل جودة القرار شرطاً فاصلاً بين فكرة ابتكارية قابلة للتنفيذ وأخرى مكلفة أو غير ملائمة.</w:t>
      </w:r>
    </w:p>
    <w:p w14:paraId="077DA392"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انطلاقاً من هذا البناء، طوّر الفصل الإطار التفسيري لمسارات النموذج وصاغ الفروض الأربع بصورة منطقية ومترابطة: أثر قبول أنظمة ذكاء الأعمال على جودة القرارات الاستراتيجية (</w:t>
      </w:r>
      <w:r w:rsidRPr="00CB373C">
        <w:rPr>
          <w:rFonts w:ascii="Traditional Arabic" w:eastAsia="Aptos" w:hAnsi="Traditional Arabic" w:cs="Traditional Arabic"/>
          <w:kern w:val="2"/>
          <w:sz w:val="28"/>
          <w:szCs w:val="28"/>
          <w:lang w:bidi="ar-EG"/>
          <w14:ligatures w14:val="standardContextual"/>
        </w:rPr>
        <w:t>H1</w:t>
      </w:r>
      <w:r w:rsidRPr="00CB373C">
        <w:rPr>
          <w:rFonts w:ascii="Traditional Arabic" w:eastAsia="Aptos" w:hAnsi="Traditional Arabic" w:cs="Traditional Arabic"/>
          <w:kern w:val="2"/>
          <w:sz w:val="28"/>
          <w:szCs w:val="28"/>
          <w:rtl/>
          <w:lang w:bidi="ar-EG"/>
          <w14:ligatures w14:val="standardContextual"/>
        </w:rPr>
        <w:t>)، أثر جودة القرارات على الابتكار التنظيمي (</w:t>
      </w:r>
      <w:r w:rsidRPr="00CB373C">
        <w:rPr>
          <w:rFonts w:ascii="Traditional Arabic" w:eastAsia="Aptos" w:hAnsi="Traditional Arabic" w:cs="Traditional Arabic"/>
          <w:kern w:val="2"/>
          <w:sz w:val="28"/>
          <w:szCs w:val="28"/>
          <w:lang w:bidi="ar-EG"/>
          <w14:ligatures w14:val="standardContextual"/>
        </w:rPr>
        <w:t>H2</w:t>
      </w:r>
      <w:r w:rsidRPr="00CB373C">
        <w:rPr>
          <w:rFonts w:ascii="Traditional Arabic" w:eastAsia="Aptos" w:hAnsi="Traditional Arabic" w:cs="Traditional Arabic"/>
          <w:kern w:val="2"/>
          <w:sz w:val="28"/>
          <w:szCs w:val="28"/>
          <w:rtl/>
          <w:lang w:bidi="ar-EG"/>
          <w14:ligatures w14:val="standardContextual"/>
        </w:rPr>
        <w:t xml:space="preserve">)، الأثر </w:t>
      </w:r>
      <w:r w:rsidRPr="00CB373C">
        <w:rPr>
          <w:rFonts w:ascii="Traditional Arabic" w:eastAsia="Aptos" w:hAnsi="Traditional Arabic" w:cs="Traditional Arabic"/>
          <w:kern w:val="2"/>
          <w:sz w:val="28"/>
          <w:szCs w:val="28"/>
          <w:rtl/>
          <w:lang w:bidi="ar-EG"/>
          <w14:ligatures w14:val="standardContextual"/>
        </w:rPr>
        <w:lastRenderedPageBreak/>
        <w:t>المباشر لقبول ذكاء الأعمال على الابتكار (</w:t>
      </w:r>
      <w:r w:rsidRPr="00CB373C">
        <w:rPr>
          <w:rFonts w:ascii="Traditional Arabic" w:eastAsia="Aptos" w:hAnsi="Traditional Arabic" w:cs="Traditional Arabic"/>
          <w:kern w:val="2"/>
          <w:sz w:val="28"/>
          <w:szCs w:val="28"/>
          <w:lang w:bidi="ar-EG"/>
          <w14:ligatures w14:val="standardContextual"/>
        </w:rPr>
        <w:t>H3</w:t>
      </w:r>
      <w:r w:rsidRPr="00CB373C">
        <w:rPr>
          <w:rFonts w:ascii="Traditional Arabic" w:eastAsia="Aptos" w:hAnsi="Traditional Arabic" w:cs="Traditional Arabic"/>
          <w:kern w:val="2"/>
          <w:sz w:val="28"/>
          <w:szCs w:val="28"/>
          <w:rtl/>
          <w:lang w:bidi="ar-EG"/>
          <w14:ligatures w14:val="standardContextual"/>
        </w:rPr>
        <w:t>)، ثم منطق الوساطة الذي يجعل جودة القرار قناة انتقال رئيسة لأثر القبول على الابتكار (</w:t>
      </w:r>
      <w:r w:rsidRPr="00CB373C">
        <w:rPr>
          <w:rFonts w:ascii="Traditional Arabic" w:eastAsia="Aptos" w:hAnsi="Traditional Arabic" w:cs="Traditional Arabic"/>
          <w:kern w:val="2"/>
          <w:sz w:val="28"/>
          <w:szCs w:val="28"/>
          <w:lang w:bidi="ar-EG"/>
          <w14:ligatures w14:val="standardContextual"/>
        </w:rPr>
        <w:t>H4</w:t>
      </w:r>
      <w:r w:rsidRPr="00CB373C">
        <w:rPr>
          <w:rFonts w:ascii="Traditional Arabic" w:eastAsia="Aptos" w:hAnsi="Traditional Arabic" w:cs="Traditional Arabic"/>
          <w:kern w:val="2"/>
          <w:sz w:val="28"/>
          <w:szCs w:val="28"/>
          <w:rtl/>
          <w:lang w:bidi="ar-EG"/>
          <w14:ligatures w14:val="standardContextual"/>
        </w:rPr>
        <w:t>). وبذلك لم يعد القرار مجرد نتيجة فرعية للبيانات، بل أصبح آلية تفسير توضح كيف تتحول البيانات والتحليلات—بعد قبولها—إلى اختيار أفضل للمبادرات وتوقيت أدق وتقييم أكثر موضوعية، بما يرفع احتمالات الابتكار المستدام داخل المصارف.</w:t>
      </w:r>
    </w:p>
    <w:p w14:paraId="79F8CB96"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 xml:space="preserve">أما على مستوى الدراسات السابقة، فقد أظهر العرض النقدي اتجاهاً عاماً في الأدبيات العربية والأجنبية يربط ذكاء الأعمال بنتائج إيجابية مثل دعم القرار، والتحسين المستمر، والأداء، وإدارة الأزمات، وأحياناً المؤشرات المالية؛ كما أظهرت أدبيات القرار أن الجودة تتأثر بعوامل معرفية وتنظيمية وحوكمية، وأنها قد تتراجع بفعل الانحيازات حتى مع توافر المعلومات؛ فيما ركزت أدبيات الابتكار المصرفي على محددات داخلية (المناخ، المرونة، جودة الخدمة الداخلية، الالتزام) وانعكاسات خارجية (الصورة الذهنية، الميزة التنافسية). لكن هذا العرض، في المقابل، كشف حدوداً واضحة تتصل مباشرة بموضوع الدراسة، أهمها: (1) غلبة قياس ذكاء الأعمال كمستوى تطبيق أو قدرات تقنية أكثر من قياسه كـ قبول استخدام لدى المديرين وفق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(2) محدودية النماذج التي تفسر انتقال أثر ذكاء الأعمال إلى مخرجات استراتيجية عبر وساطة محددة، (3) ندرة الربط المباشر بين جودة القرار والابتكار التنظيمي داخل نموذج واحد، (4) محدودية الاختبار في السياق السعودي وبشكل أدق في مصارف مدينة الرياض بوصفها بيئة كثيفة القرار والبيانات.</w:t>
      </w:r>
    </w:p>
    <w:p w14:paraId="58A7387F"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وعليه، تبلورت فجوة البحث التي تستهدفها الدراسة في غياب نموذج متكامل يختبر المسار التسلسلي: قبول ذكاء الأعمال (</w:t>
      </w:r>
      <w:r w:rsidRPr="00CB373C">
        <w:rPr>
          <w:rFonts w:ascii="Traditional Arabic" w:eastAsia="Aptos" w:hAnsi="Traditional Arabic" w:cs="Traditional Arabic"/>
          <w:kern w:val="2"/>
          <w:sz w:val="28"/>
          <w:szCs w:val="28"/>
          <w:lang w:bidi="ar-EG"/>
          <w14:ligatures w14:val="standardContextual"/>
        </w:rPr>
        <w:t>TAM</w:t>
      </w:r>
      <w:r w:rsidRPr="00CB373C">
        <w:rPr>
          <w:rFonts w:ascii="Traditional Arabic" w:eastAsia="Aptos" w:hAnsi="Traditional Arabic" w:cs="Traditional Arabic"/>
          <w:kern w:val="2"/>
          <w:sz w:val="28"/>
          <w:szCs w:val="28"/>
          <w:rtl/>
          <w:lang w:bidi="ar-EG"/>
          <w14:ligatures w14:val="standardContextual"/>
        </w:rPr>
        <w:t xml:space="preserve">) </w:t>
      </w:r>
      <w:r w:rsidRPr="00CB373C">
        <w:rPr>
          <w:rFonts w:ascii="Times New Roman" w:eastAsia="Aptos" w:hAnsi="Times New Roman" w:cs="Times New Roman" w:hint="cs"/>
          <w:kern w:val="2"/>
          <w:sz w:val="28"/>
          <w:szCs w:val="28"/>
          <w:rtl/>
          <w:lang w:bidi="ar-EG"/>
          <w14:ligatures w14:val="standardContextual"/>
        </w:rPr>
        <w:t>←</w:t>
      </w:r>
      <w:r w:rsidRPr="00CB373C">
        <w:rPr>
          <w:rFonts w:ascii="Traditional Arabic" w:eastAsia="Aptos" w:hAnsi="Traditional Arabic" w:cs="Traditional Arabic"/>
          <w:kern w:val="2"/>
          <w:sz w:val="28"/>
          <w:szCs w:val="28"/>
          <w:rtl/>
          <w:lang w:bidi="ar-EG"/>
          <w14:ligatures w14:val="standardContextual"/>
        </w:rPr>
        <w:t xml:space="preserve"> جودة القرارات الاستراتيجية </w:t>
      </w:r>
      <w:r w:rsidRPr="00CB373C">
        <w:rPr>
          <w:rFonts w:ascii="Times New Roman" w:eastAsia="Aptos" w:hAnsi="Times New Roman" w:cs="Times New Roman" w:hint="cs"/>
          <w:kern w:val="2"/>
          <w:sz w:val="28"/>
          <w:szCs w:val="28"/>
          <w:rtl/>
          <w:lang w:bidi="ar-EG"/>
          <w14:ligatures w14:val="standardContextual"/>
        </w:rPr>
        <w:t>←</w:t>
      </w:r>
      <w:r w:rsidRPr="00CB373C">
        <w:rPr>
          <w:rFonts w:ascii="Traditional Arabic" w:eastAsia="Aptos" w:hAnsi="Traditional Arabic" w:cs="Traditional Arabic"/>
          <w:kern w:val="2"/>
          <w:sz w:val="28"/>
          <w:szCs w:val="28"/>
          <w:rtl/>
          <w:lang w:bidi="ar-EG"/>
          <w14:ligatures w14:val="standardContextual"/>
        </w:rPr>
        <w:t xml:space="preserve"> الابتكار التنظيمي، مع اختبار المسارات المباشرة وغير المباشرة في إطار واحد، وبوحدة تحليل منسجمة مع طبيعة القرار (المديرون في الإدارات العليا والوسطى). ومن ثمّ، فإن ما يميز الدراسة الحالية ليس فقط اختيار المتغيرات، بل طريقة "ترتيبها تفسيريّاً" داخل نموذج آلي، وطريقة اختبارها إحصائياً باستخدام </w:t>
      </w:r>
      <w:r w:rsidRPr="00CB373C">
        <w:rPr>
          <w:rFonts w:ascii="Traditional Arabic" w:eastAsia="Aptos" w:hAnsi="Traditional Arabic" w:cs="Traditional Arabic"/>
          <w:kern w:val="2"/>
          <w:sz w:val="28"/>
          <w:szCs w:val="28"/>
          <w:lang w:bidi="ar-EG"/>
          <w14:ligatures w14:val="standardContextual"/>
        </w:rPr>
        <w:t>SEM-PLS</w:t>
      </w:r>
      <w:r w:rsidRPr="00CB373C">
        <w:rPr>
          <w:rFonts w:ascii="Traditional Arabic" w:eastAsia="Aptos" w:hAnsi="Traditional Arabic" w:cs="Traditional Arabic"/>
          <w:kern w:val="2"/>
          <w:sz w:val="28"/>
          <w:szCs w:val="28"/>
          <w:rtl/>
          <w:lang w:bidi="ar-EG"/>
          <w14:ligatures w14:val="standardContextual"/>
        </w:rPr>
        <w:t xml:space="preserve"> واختبار الوساطة، بما يمنح تفسيراً أدق من العلاقات الثنائية المباشرة التي سادت كثيراً من الدراسات السابقة.</w:t>
      </w:r>
    </w:p>
    <w:p w14:paraId="222F357B"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r w:rsidRPr="00CB373C">
        <w:rPr>
          <w:rFonts w:ascii="Traditional Arabic" w:eastAsia="Aptos" w:hAnsi="Traditional Arabic" w:cs="Traditional Arabic"/>
          <w:kern w:val="2"/>
          <w:sz w:val="28"/>
          <w:szCs w:val="28"/>
          <w:rtl/>
          <w:lang w:bidi="ar-EG"/>
          <w14:ligatures w14:val="standardContextual"/>
        </w:rPr>
        <w:t>وتأسيساً على ما سبق، يمهد هذا الفصل بشكل مباشر للفصل الثالث (المنهجية) عبر: (أ) تثبيت التعريفات التشغيلية التي ستُترجم إلى فقرات أداة القياس، (ب) تحديد أبعاد كل متغير بما يسمح ببناء نموذج قياس مناسب، (ج) تبرير اختيار أسلوب التحليل (</w:t>
      </w:r>
      <w:r w:rsidRPr="00CB373C">
        <w:rPr>
          <w:rFonts w:ascii="Traditional Arabic" w:eastAsia="Aptos" w:hAnsi="Traditional Arabic" w:cs="Traditional Arabic"/>
          <w:kern w:val="2"/>
          <w:sz w:val="28"/>
          <w:szCs w:val="28"/>
          <w:lang w:bidi="ar-EG"/>
          <w14:ligatures w14:val="standardContextual"/>
        </w:rPr>
        <w:t>SEM-PLS</w:t>
      </w:r>
      <w:r w:rsidRPr="00CB373C">
        <w:rPr>
          <w:rFonts w:ascii="Traditional Arabic" w:eastAsia="Aptos" w:hAnsi="Traditional Arabic" w:cs="Traditional Arabic"/>
          <w:kern w:val="2"/>
          <w:sz w:val="28"/>
          <w:szCs w:val="28"/>
          <w:rtl/>
          <w:lang w:bidi="ar-EG"/>
          <w14:ligatures w14:val="standardContextual"/>
        </w:rPr>
        <w:t>) بما يلائم طبيعة النموذج والوساطة، و(د) تحديد منطق العينة ووحدة التحليل في ضوء الفجوة والسياق. وبذلك ينتقل مسار الدراسة من "منطق التفسير النظري والأدلة السابقة" إلى "منطق الاختبار الميداني" الذي سيتولى التحقق من الفروض وتقدير قوة المسارات داخل مصارف مدينة الرياض.</w:t>
      </w:r>
    </w:p>
    <w:p w14:paraId="0823854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55BBD2B9"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218FE152"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27C3BFA9"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1B9C8B1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5F8FC864"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2A078D87"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7ECD4EC7"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25542739"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28718429"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25E7D331"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499DBE6A"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439ECA84" w14:textId="77777777" w:rsidR="00CB373C" w:rsidRPr="00CB373C" w:rsidRDefault="00CB373C" w:rsidP="00CB373C">
      <w:pPr>
        <w:bidi/>
        <w:spacing w:line="240" w:lineRule="auto"/>
        <w:jc w:val="both"/>
        <w:rPr>
          <w:rFonts w:ascii="Traditional Arabic" w:eastAsia="Aptos" w:hAnsi="Traditional Arabic" w:cs="Traditional Arabic"/>
          <w:kern w:val="2"/>
          <w:sz w:val="28"/>
          <w:szCs w:val="28"/>
          <w:rtl/>
          <w:lang w:bidi="ar-EG"/>
          <w14:ligatures w14:val="standardContextual"/>
        </w:rPr>
      </w:pPr>
    </w:p>
    <w:p w14:paraId="3DCBF3E8" w14:textId="77777777" w:rsidR="00CB373C" w:rsidRPr="00CB373C" w:rsidRDefault="00CB373C" w:rsidP="00CB373C">
      <w:pPr>
        <w:keepNext/>
        <w:keepLines/>
        <w:bidi/>
        <w:spacing w:before="160" w:after="80" w:line="278" w:lineRule="auto"/>
        <w:outlineLvl w:val="1"/>
        <w:rPr>
          <w:rFonts w:ascii="Traditional Arabic" w:eastAsia="Times New Roman" w:hAnsi="Traditional Arabic" w:cs="Traditional Arabic"/>
          <w:b/>
          <w:bCs/>
          <w:color w:val="000000"/>
          <w:kern w:val="2"/>
          <w:sz w:val="32"/>
          <w:szCs w:val="32"/>
          <w:rtl/>
          <w:lang w:bidi="ar-EG"/>
          <w14:ligatures w14:val="standardContextual"/>
        </w:rPr>
      </w:pPr>
      <w:bookmarkStart w:id="79" w:name="_Toc222423580"/>
      <w:r w:rsidRPr="00CB373C">
        <w:rPr>
          <w:rFonts w:ascii="Traditional Arabic" w:eastAsia="Times New Roman" w:hAnsi="Traditional Arabic" w:cs="Traditional Arabic"/>
          <w:b/>
          <w:bCs/>
          <w:color w:val="000000"/>
          <w:kern w:val="2"/>
          <w:sz w:val="32"/>
          <w:szCs w:val="32"/>
          <w:rtl/>
          <w:lang w:bidi="ar-EG"/>
          <w14:ligatures w14:val="standardContextual"/>
        </w:rPr>
        <w:t>قائمة المراجع</w:t>
      </w:r>
      <w:bookmarkEnd w:id="79"/>
    </w:p>
    <w:p w14:paraId="5458EFD6" w14:textId="77777777" w:rsidR="00CB373C" w:rsidRPr="00CB373C" w:rsidRDefault="00CB373C" w:rsidP="00CB373C">
      <w:pPr>
        <w:bidi/>
        <w:spacing w:line="240" w:lineRule="auto"/>
        <w:jc w:val="both"/>
        <w:rPr>
          <w:rFonts w:ascii="Traditional Arabic" w:eastAsia="Aptos" w:hAnsi="Traditional Arabic" w:cs="Traditional Arabic"/>
          <w:b/>
          <w:bCs/>
          <w:kern w:val="2"/>
          <w:sz w:val="28"/>
          <w:szCs w:val="28"/>
          <w:rtl/>
          <w:lang w:bidi="ar-EG"/>
          <w14:ligatures w14:val="standardContextual"/>
        </w:rPr>
      </w:pPr>
      <w:r w:rsidRPr="00CB373C">
        <w:rPr>
          <w:rFonts w:ascii="Traditional Arabic" w:eastAsia="Aptos" w:hAnsi="Traditional Arabic" w:cs="Traditional Arabic"/>
          <w:b/>
          <w:bCs/>
          <w:kern w:val="2"/>
          <w:sz w:val="28"/>
          <w:szCs w:val="28"/>
          <w:rtl/>
          <w:lang w:bidi="ar-EG"/>
          <w14:ligatures w14:val="standardContextual"/>
        </w:rPr>
        <w:t>المراجع العربية</w:t>
      </w:r>
    </w:p>
    <w:p w14:paraId="72F5B570"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أبو تمام، ميساء. (2018). أهمية تطبيق نظم محاسبة التكاليف والإدارية على اتخاذ القرارات الاستراتيجية: دراسة ميدانية في البنوك التجارية الأردنية [أطروحة دكتوراه غير منشورة]. جامعة العلوم الإسلامية العالمية.</w:t>
      </w:r>
    </w:p>
    <w:p w14:paraId="573E7B94"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أحمد، علي. (2019). أثر ترتيبات العمل المرن في قطاع الخدمات المصرفية على الابتكار التنظيمي: دراسة تطبيقية على العاملين بالبنوك التجارية بمدينة المنصورة. مجلة الدراسات والبحوث التجارية، 39(1)، 483–522.</w:t>
      </w:r>
    </w:p>
    <w:p w14:paraId="1317BA34"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البلبيسي، ميس، والنعيمي، محمد. (2017). أثر جودة الخدمة الداخلية على الابتكار التنظيمي والدور الوسيط للالتزام التنظيمي: دراسة تطبيقية في البنوك الأجنبية العاملة في الأردن [رسالة ماجستير غير منشورة]. الجامعة الأردنية.</w:t>
      </w:r>
    </w:p>
    <w:p w14:paraId="104F23C7"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 xml:space="preserve">الجارالله، محمد عبد الرحمن محمد. (2025). واقع البنية التحتية الرقمية وتطور قطاع التقنية المالية في المملكة العربية السعودية: دراسة تحليلية (الفترة 2018–2023). </w:t>
      </w:r>
      <w:r w:rsidRPr="00CB373C">
        <w:rPr>
          <w:rFonts w:ascii="Traditional Arabic" w:eastAsia="Aptos" w:hAnsi="Traditional Arabic" w:cs="Traditional Arabic"/>
          <w:i/>
          <w:iCs/>
          <w:kern w:val="2"/>
          <w:sz w:val="24"/>
          <w:szCs w:val="24"/>
          <w:rtl/>
          <w:lang w:bidi="ar-EG"/>
          <w14:ligatures w14:val="standardContextual"/>
        </w:rPr>
        <w:t>المجلة العلمية للدراسات والبحوث المالية والتجارية (كلية التجارة، جامعة دمياط)، 6</w:t>
      </w:r>
      <w:r w:rsidRPr="00CB373C">
        <w:rPr>
          <w:rFonts w:ascii="Traditional Arabic" w:eastAsia="Aptos" w:hAnsi="Traditional Arabic" w:cs="Traditional Arabic"/>
          <w:kern w:val="2"/>
          <w:sz w:val="24"/>
          <w:szCs w:val="24"/>
          <w:rtl/>
          <w:lang w:bidi="ar-EG"/>
          <w14:ligatures w14:val="standardContextual"/>
        </w:rPr>
        <w:t>(1)، 263–310.</w:t>
      </w:r>
    </w:p>
    <w:p w14:paraId="471C3653"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 xml:space="preserve">الجدّاوي، مديح ناير. (2024). العلاقة بين الثقافة التنظيمية والابتكار المؤسسي: الدور المعدل لنضج البيانات. المجلة الأردنية في إدارة الأعمال، 20(3)، 429–459. </w:t>
      </w:r>
      <w:r w:rsidRPr="00CB373C">
        <w:rPr>
          <w:rFonts w:ascii="Aptos" w:eastAsia="Aptos" w:hAnsi="Aptos" w:cs="Arial"/>
          <w:kern w:val="2"/>
          <w:sz w:val="24"/>
          <w:szCs w:val="24"/>
          <w14:ligatures w14:val="standardContextual"/>
        </w:rPr>
        <w:fldChar w:fldCharType="begin"/>
      </w:r>
      <w:r w:rsidRPr="00CB373C">
        <w:rPr>
          <w:rFonts w:ascii="Aptos" w:eastAsia="Aptos" w:hAnsi="Aptos" w:cs="Arial"/>
          <w:kern w:val="2"/>
          <w:sz w:val="24"/>
          <w:szCs w:val="24"/>
          <w14:ligatures w14:val="standardContextual"/>
        </w:rPr>
        <w:instrText>HYPERLINK "https://doi.org/10.35516/jjba.v20i3.841"</w:instrText>
      </w:r>
      <w:r w:rsidRPr="00CB373C">
        <w:rPr>
          <w:rFonts w:ascii="Aptos" w:eastAsia="Aptos" w:hAnsi="Aptos" w:cs="Arial"/>
          <w:kern w:val="2"/>
          <w:sz w:val="24"/>
          <w:szCs w:val="24"/>
          <w14:ligatures w14:val="standardContextual"/>
        </w:rPr>
      </w:r>
      <w:r w:rsidRPr="00CB373C">
        <w:rPr>
          <w:rFonts w:ascii="Aptos" w:eastAsia="Aptos" w:hAnsi="Aptos" w:cs="Arial"/>
          <w:kern w:val="2"/>
          <w:sz w:val="24"/>
          <w:szCs w:val="24"/>
          <w14:ligatures w14:val="standardContextual"/>
        </w:rPr>
        <w:fldChar w:fldCharType="separate"/>
      </w:r>
      <w:r w:rsidRPr="00CB373C">
        <w:rPr>
          <w:rFonts w:ascii="Traditional Arabic" w:eastAsia="Aptos" w:hAnsi="Traditional Arabic" w:cs="Traditional Arabic"/>
          <w:color w:val="467886"/>
          <w:kern w:val="2"/>
          <w:sz w:val="24"/>
          <w:szCs w:val="24"/>
          <w:u w:val="single"/>
          <w:lang w:bidi="ar-EG"/>
          <w14:ligatures w14:val="standardContextual"/>
        </w:rPr>
        <w:t>https://doi.org/10.35516/jjba.v20i3.841</w:t>
      </w:r>
      <w:r w:rsidRPr="00CB373C">
        <w:rPr>
          <w:rFonts w:ascii="Aptos" w:eastAsia="Aptos" w:hAnsi="Aptos" w:cs="Arial"/>
          <w:kern w:val="2"/>
          <w:sz w:val="24"/>
          <w:szCs w:val="24"/>
          <w14:ligatures w14:val="standardContextual"/>
        </w:rPr>
        <w:fldChar w:fldCharType="end"/>
      </w:r>
    </w:p>
    <w:p w14:paraId="205CEE5D"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جديد، رشا نزار. (2020). دور الابتكار التنظيمي في تحقيق الميزة التنافسية: نموذج المصرف التجاري السوري. مجلة جامعة تشرين للدراسات والبحوث العلمية: سلسلة العلوم الاقتصادية والقانونية، 42(3)، 51–64.</w:t>
      </w:r>
    </w:p>
    <w:p w14:paraId="283121F4"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حبوش، ماهر. (2020). أثر ممارسات الحاكمية المؤسسية في صنع القرارات الاستراتيجية بالبنوك التجارية الأردنية [رسالة ماجستير غير منشورة]. جامعة عمان العربية.</w:t>
      </w:r>
    </w:p>
    <w:p w14:paraId="7FF06202"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 xml:space="preserve">حسن، عبد الرحمن حسن حسن محمد، والغبيري، محمد أحمد. (2020). واقع التحول الرقمي للمملكة العربية السعودية: دراسة تحليلية. </w:t>
      </w:r>
      <w:r w:rsidRPr="00CB373C">
        <w:rPr>
          <w:rFonts w:ascii="Traditional Arabic" w:eastAsia="Aptos" w:hAnsi="Traditional Arabic" w:cs="Traditional Arabic"/>
          <w:i/>
          <w:iCs/>
          <w:kern w:val="2"/>
          <w:sz w:val="24"/>
          <w:szCs w:val="24"/>
          <w:rtl/>
          <w:lang w:bidi="ar-EG"/>
          <w14:ligatures w14:val="standardContextual"/>
        </w:rPr>
        <w:t>مجلة العلوم الإدارية والمالية، 4</w:t>
      </w:r>
      <w:r w:rsidRPr="00CB373C">
        <w:rPr>
          <w:rFonts w:ascii="Traditional Arabic" w:eastAsia="Aptos" w:hAnsi="Traditional Arabic" w:cs="Traditional Arabic"/>
          <w:kern w:val="2"/>
          <w:sz w:val="24"/>
          <w:szCs w:val="24"/>
          <w:rtl/>
          <w:lang w:bidi="ar-EG"/>
          <w14:ligatures w14:val="standardContextual"/>
        </w:rPr>
        <w:t xml:space="preserve">(3)، 8–31. </w:t>
      </w:r>
      <w:r w:rsidRPr="00CB373C">
        <w:rPr>
          <w:rFonts w:ascii="Aptos" w:eastAsia="Aptos" w:hAnsi="Aptos" w:cs="Arial"/>
          <w:kern w:val="2"/>
          <w:sz w:val="24"/>
          <w:szCs w:val="24"/>
          <w14:ligatures w14:val="standardContextual"/>
        </w:rPr>
        <w:fldChar w:fldCharType="begin"/>
      </w:r>
      <w:r w:rsidRPr="00CB373C">
        <w:rPr>
          <w:rFonts w:ascii="Aptos" w:eastAsia="Aptos" w:hAnsi="Aptos" w:cs="Arial"/>
          <w:kern w:val="2"/>
          <w:sz w:val="24"/>
          <w:szCs w:val="24"/>
          <w14:ligatures w14:val="standardContextual"/>
        </w:rPr>
        <w:instrText>HYPERLINK "https://doi.org/10.37644/1939-004-003-001"</w:instrText>
      </w:r>
      <w:r w:rsidRPr="00CB373C">
        <w:rPr>
          <w:rFonts w:ascii="Aptos" w:eastAsia="Aptos" w:hAnsi="Aptos" w:cs="Arial"/>
          <w:kern w:val="2"/>
          <w:sz w:val="24"/>
          <w:szCs w:val="24"/>
          <w14:ligatures w14:val="standardContextual"/>
        </w:rPr>
      </w:r>
      <w:r w:rsidRPr="00CB373C">
        <w:rPr>
          <w:rFonts w:ascii="Aptos" w:eastAsia="Aptos" w:hAnsi="Aptos" w:cs="Arial"/>
          <w:kern w:val="2"/>
          <w:sz w:val="24"/>
          <w:szCs w:val="24"/>
          <w14:ligatures w14:val="standardContextual"/>
        </w:rPr>
        <w:fldChar w:fldCharType="separate"/>
      </w:r>
      <w:r w:rsidRPr="00CB373C">
        <w:rPr>
          <w:rFonts w:ascii="Traditional Arabic" w:eastAsia="Aptos" w:hAnsi="Traditional Arabic" w:cs="Traditional Arabic"/>
          <w:color w:val="467886"/>
          <w:kern w:val="2"/>
          <w:sz w:val="24"/>
          <w:szCs w:val="24"/>
          <w:u w:val="single"/>
          <w:lang w:bidi="ar-EG"/>
          <w14:ligatures w14:val="standardContextual"/>
        </w:rPr>
        <w:t>https://doi.org/10.37644/1939-004-003-001</w:t>
      </w:r>
      <w:r w:rsidRPr="00CB373C">
        <w:rPr>
          <w:rFonts w:ascii="Aptos" w:eastAsia="Aptos" w:hAnsi="Aptos" w:cs="Arial"/>
          <w:kern w:val="2"/>
          <w:sz w:val="24"/>
          <w:szCs w:val="24"/>
          <w14:ligatures w14:val="standardContextual"/>
        </w:rPr>
        <w:fldChar w:fldCharType="end"/>
      </w:r>
    </w:p>
    <w:p w14:paraId="43ECD4CC"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lastRenderedPageBreak/>
        <w:t xml:space="preserve">الحندواي، عبد الله محمد عبد الله، ومتيوية، سعد عبد الحميد. (2025). دور الموبايل البنكى فى تعزيز مستوى ثقة العملاء في الخدمات البنكية الإلكترونية. المجلة المصرية للدراسات التجارية، 49(3)، 1–20. </w:t>
      </w:r>
      <w:r w:rsidRPr="00CB373C">
        <w:rPr>
          <w:rFonts w:ascii="Aptos" w:eastAsia="Aptos" w:hAnsi="Aptos" w:cs="Arial"/>
          <w:kern w:val="2"/>
          <w:sz w:val="24"/>
          <w:szCs w:val="24"/>
          <w14:ligatures w14:val="standardContextual"/>
        </w:rPr>
        <w:fldChar w:fldCharType="begin"/>
      </w:r>
      <w:r w:rsidRPr="00CB373C">
        <w:rPr>
          <w:rFonts w:ascii="Aptos" w:eastAsia="Aptos" w:hAnsi="Aptos" w:cs="Arial"/>
          <w:kern w:val="2"/>
          <w:sz w:val="24"/>
          <w:szCs w:val="24"/>
          <w14:ligatures w14:val="standardContextual"/>
        </w:rPr>
        <w:instrText>HYPERLINK "https://doi.org/10.21608/alat.2025.443321"</w:instrText>
      </w:r>
      <w:r w:rsidRPr="00CB373C">
        <w:rPr>
          <w:rFonts w:ascii="Aptos" w:eastAsia="Aptos" w:hAnsi="Aptos" w:cs="Arial"/>
          <w:kern w:val="2"/>
          <w:sz w:val="24"/>
          <w:szCs w:val="24"/>
          <w14:ligatures w14:val="standardContextual"/>
        </w:rPr>
      </w:r>
      <w:r w:rsidRPr="00CB373C">
        <w:rPr>
          <w:rFonts w:ascii="Aptos" w:eastAsia="Aptos" w:hAnsi="Aptos" w:cs="Arial"/>
          <w:kern w:val="2"/>
          <w:sz w:val="24"/>
          <w:szCs w:val="24"/>
          <w14:ligatures w14:val="standardContextual"/>
        </w:rPr>
        <w:fldChar w:fldCharType="separate"/>
      </w:r>
      <w:r w:rsidRPr="00CB373C">
        <w:rPr>
          <w:rFonts w:ascii="Traditional Arabic" w:eastAsia="Aptos" w:hAnsi="Traditional Arabic" w:cs="Traditional Arabic"/>
          <w:color w:val="467886"/>
          <w:kern w:val="2"/>
          <w:sz w:val="24"/>
          <w:szCs w:val="24"/>
          <w:u w:val="single"/>
          <w:lang w:bidi="ar-EG"/>
          <w14:ligatures w14:val="standardContextual"/>
        </w:rPr>
        <w:t>https://doi.org/10.21608/alat.2025.443321</w:t>
      </w:r>
      <w:r w:rsidRPr="00CB373C">
        <w:rPr>
          <w:rFonts w:ascii="Aptos" w:eastAsia="Aptos" w:hAnsi="Aptos" w:cs="Arial"/>
          <w:kern w:val="2"/>
          <w:sz w:val="24"/>
          <w:szCs w:val="24"/>
          <w14:ligatures w14:val="standardContextual"/>
        </w:rPr>
        <w:fldChar w:fldCharType="end"/>
      </w:r>
      <w:r w:rsidRPr="00CB373C">
        <w:rPr>
          <w:rFonts w:ascii="Traditional Arabic" w:eastAsia="Aptos" w:hAnsi="Traditional Arabic" w:cs="Traditional Arabic"/>
          <w:kern w:val="2"/>
          <w:sz w:val="24"/>
          <w:szCs w:val="24"/>
          <w:rtl/>
          <w:lang w:bidi="ar-EG"/>
          <w14:ligatures w14:val="standardContextual"/>
        </w:rPr>
        <w:t xml:space="preserve"> </w:t>
      </w:r>
    </w:p>
    <w:p w14:paraId="6FAC6981"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خالصة، فتح الله، وابن عيسي، عبد القادر. (2022). تعزيز أثر المعرفة الضمنية على جودة القرارات الاستراتيجية باستخدام نظم دعم القرارات: دراسة حالة مجمع صيدال. مجلة العلوم الإدارية والمالية، 6(2)، 153–171.</w:t>
      </w:r>
    </w:p>
    <w:p w14:paraId="44585A12"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الدهيمي، فهد. (2021). أثر فاعلية القرارات الاستراتيجية في التميز التنظيمي من خلال التمكين الوظيفي متغيراً وسيطاً: دراسة ميدانية على البنوك التجارية القطرية [أطروحة دكتوراه غير منشورة]. جامعة مؤتة.</w:t>
      </w:r>
    </w:p>
    <w:p w14:paraId="0C844713"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 xml:space="preserve">راضي، أحمد مصطفى حمدي. (2023). محددات النية السلوكية للعملاء تجاه استخدام الخدمات المصرفية التقنية المالية: أدلة من مصر. المجلة المصرية للدراسات التجارية، 47(2)، 387–420. </w:t>
      </w:r>
      <w:r w:rsidRPr="00CB373C">
        <w:rPr>
          <w:rFonts w:ascii="Aptos" w:eastAsia="Aptos" w:hAnsi="Aptos" w:cs="Arial"/>
          <w:kern w:val="2"/>
          <w:sz w:val="24"/>
          <w:szCs w:val="24"/>
          <w14:ligatures w14:val="standardContextual"/>
        </w:rPr>
        <w:fldChar w:fldCharType="begin"/>
      </w:r>
      <w:r w:rsidRPr="00CB373C">
        <w:rPr>
          <w:rFonts w:ascii="Aptos" w:eastAsia="Aptos" w:hAnsi="Aptos" w:cs="Arial"/>
          <w:kern w:val="2"/>
          <w:sz w:val="24"/>
          <w:szCs w:val="24"/>
          <w14:ligatures w14:val="standardContextual"/>
        </w:rPr>
        <w:instrText>HYPERLINK "https://doi.org/10.21608/alat.2023.293010"</w:instrText>
      </w:r>
      <w:r w:rsidRPr="00CB373C">
        <w:rPr>
          <w:rFonts w:ascii="Aptos" w:eastAsia="Aptos" w:hAnsi="Aptos" w:cs="Arial"/>
          <w:kern w:val="2"/>
          <w:sz w:val="24"/>
          <w:szCs w:val="24"/>
          <w14:ligatures w14:val="standardContextual"/>
        </w:rPr>
      </w:r>
      <w:r w:rsidRPr="00CB373C">
        <w:rPr>
          <w:rFonts w:ascii="Aptos" w:eastAsia="Aptos" w:hAnsi="Aptos" w:cs="Arial"/>
          <w:kern w:val="2"/>
          <w:sz w:val="24"/>
          <w:szCs w:val="24"/>
          <w14:ligatures w14:val="standardContextual"/>
        </w:rPr>
        <w:fldChar w:fldCharType="separate"/>
      </w:r>
      <w:r w:rsidRPr="00CB373C">
        <w:rPr>
          <w:rFonts w:ascii="Traditional Arabic" w:eastAsia="Aptos" w:hAnsi="Traditional Arabic" w:cs="Traditional Arabic"/>
          <w:color w:val="467886"/>
          <w:kern w:val="2"/>
          <w:sz w:val="24"/>
          <w:szCs w:val="24"/>
          <w:u w:val="single"/>
          <w:lang w:bidi="ar-EG"/>
          <w14:ligatures w14:val="standardContextual"/>
        </w:rPr>
        <w:t>https://doi.org/10.21608/alat.2023.293010</w:t>
      </w:r>
      <w:r w:rsidRPr="00CB373C">
        <w:rPr>
          <w:rFonts w:ascii="Aptos" w:eastAsia="Aptos" w:hAnsi="Aptos" w:cs="Arial"/>
          <w:kern w:val="2"/>
          <w:sz w:val="24"/>
          <w:szCs w:val="24"/>
          <w14:ligatures w14:val="standardContextual"/>
        </w:rPr>
        <w:fldChar w:fldCharType="end"/>
      </w:r>
    </w:p>
    <w:p w14:paraId="49A751E8"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 xml:space="preserve">الرميمه، عبدالسلام عبدالرقيب عبدالعزيز، والحكيمي، وائل سلطان عبدالله. (2024). تكنولوجيا المعلومات وأثرها في جودة القرارات الاستراتيجية: دراسة ميدانية في البنوك اليمنية. مجلة جامعة صنعاء للعلوم الإنسانية، 1(1). </w:t>
      </w:r>
      <w:r w:rsidRPr="00CB373C">
        <w:rPr>
          <w:rFonts w:ascii="Aptos" w:eastAsia="Aptos" w:hAnsi="Aptos" w:cs="Arial"/>
          <w:kern w:val="2"/>
          <w:sz w:val="24"/>
          <w:szCs w:val="24"/>
          <w14:ligatures w14:val="standardContextual"/>
        </w:rPr>
        <w:fldChar w:fldCharType="begin"/>
      </w:r>
      <w:r w:rsidRPr="00CB373C">
        <w:rPr>
          <w:rFonts w:ascii="Aptos" w:eastAsia="Aptos" w:hAnsi="Aptos" w:cs="Arial"/>
          <w:kern w:val="2"/>
          <w:sz w:val="24"/>
          <w:szCs w:val="24"/>
          <w14:ligatures w14:val="standardContextual"/>
        </w:rPr>
        <w:instrText>HYPERLINK "https://doi.org/10.59628/jhs.v1i1.582"</w:instrText>
      </w:r>
      <w:r w:rsidRPr="00CB373C">
        <w:rPr>
          <w:rFonts w:ascii="Aptos" w:eastAsia="Aptos" w:hAnsi="Aptos" w:cs="Arial"/>
          <w:kern w:val="2"/>
          <w:sz w:val="24"/>
          <w:szCs w:val="24"/>
          <w14:ligatures w14:val="standardContextual"/>
        </w:rPr>
      </w:r>
      <w:r w:rsidRPr="00CB373C">
        <w:rPr>
          <w:rFonts w:ascii="Aptos" w:eastAsia="Aptos" w:hAnsi="Aptos" w:cs="Arial"/>
          <w:kern w:val="2"/>
          <w:sz w:val="24"/>
          <w:szCs w:val="24"/>
          <w14:ligatures w14:val="standardContextual"/>
        </w:rPr>
        <w:fldChar w:fldCharType="separate"/>
      </w:r>
      <w:r w:rsidRPr="00CB373C">
        <w:rPr>
          <w:rFonts w:ascii="Traditional Arabic" w:eastAsia="Aptos" w:hAnsi="Traditional Arabic" w:cs="Traditional Arabic"/>
          <w:color w:val="467886"/>
          <w:kern w:val="2"/>
          <w:sz w:val="24"/>
          <w:szCs w:val="24"/>
          <w:u w:val="single"/>
          <w:lang w:bidi="ar-EG"/>
          <w14:ligatures w14:val="standardContextual"/>
        </w:rPr>
        <w:t>https://doi.org/10.59628/jhs.v1i1.582</w:t>
      </w:r>
      <w:r w:rsidRPr="00CB373C">
        <w:rPr>
          <w:rFonts w:ascii="Aptos" w:eastAsia="Aptos" w:hAnsi="Aptos" w:cs="Arial"/>
          <w:kern w:val="2"/>
          <w:sz w:val="24"/>
          <w:szCs w:val="24"/>
          <w14:ligatures w14:val="standardContextual"/>
        </w:rPr>
        <w:fldChar w:fldCharType="end"/>
      </w:r>
    </w:p>
    <w:p w14:paraId="32FE1F5A"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 xml:space="preserve">السائح، سندس محمود العارف. (2025). دور جودة المعلومات في اتخاذ القرار الإداري: دراسة ميدانية في شركة تقنية ليبيا للأعمال الهندسية–طرابلس–ليبيا. مجلة جامعة الزيتونة، (55)، 147–166. </w:t>
      </w:r>
      <w:r w:rsidRPr="00CB373C">
        <w:rPr>
          <w:rFonts w:ascii="Aptos" w:eastAsia="Aptos" w:hAnsi="Aptos" w:cs="Arial"/>
          <w:kern w:val="2"/>
          <w:sz w:val="24"/>
          <w:szCs w:val="24"/>
          <w14:ligatures w14:val="standardContextual"/>
        </w:rPr>
        <w:fldChar w:fldCharType="begin"/>
      </w:r>
      <w:r w:rsidRPr="00CB373C">
        <w:rPr>
          <w:rFonts w:ascii="Aptos" w:eastAsia="Aptos" w:hAnsi="Aptos" w:cs="Arial"/>
          <w:kern w:val="2"/>
          <w:sz w:val="24"/>
          <w:szCs w:val="24"/>
          <w14:ligatures w14:val="standardContextual"/>
        </w:rPr>
        <w:instrText>HYPERLINK "https://doi.org/10.35778/jazu.i55.a562"</w:instrText>
      </w:r>
      <w:r w:rsidRPr="00CB373C">
        <w:rPr>
          <w:rFonts w:ascii="Aptos" w:eastAsia="Aptos" w:hAnsi="Aptos" w:cs="Arial"/>
          <w:kern w:val="2"/>
          <w:sz w:val="24"/>
          <w:szCs w:val="24"/>
          <w14:ligatures w14:val="standardContextual"/>
        </w:rPr>
      </w:r>
      <w:r w:rsidRPr="00CB373C">
        <w:rPr>
          <w:rFonts w:ascii="Aptos" w:eastAsia="Aptos" w:hAnsi="Aptos" w:cs="Arial"/>
          <w:kern w:val="2"/>
          <w:sz w:val="24"/>
          <w:szCs w:val="24"/>
          <w14:ligatures w14:val="standardContextual"/>
        </w:rPr>
        <w:fldChar w:fldCharType="separate"/>
      </w:r>
      <w:r w:rsidRPr="00CB373C">
        <w:rPr>
          <w:rFonts w:ascii="Traditional Arabic" w:eastAsia="Aptos" w:hAnsi="Traditional Arabic" w:cs="Traditional Arabic"/>
          <w:color w:val="467886"/>
          <w:kern w:val="2"/>
          <w:sz w:val="24"/>
          <w:szCs w:val="24"/>
          <w:u w:val="single"/>
          <w:lang w:bidi="ar-EG"/>
          <w14:ligatures w14:val="standardContextual"/>
        </w:rPr>
        <w:t>https://doi.org/10.35778/jazu.i55.a562</w:t>
      </w:r>
      <w:r w:rsidRPr="00CB373C">
        <w:rPr>
          <w:rFonts w:ascii="Aptos" w:eastAsia="Aptos" w:hAnsi="Aptos" w:cs="Arial"/>
          <w:kern w:val="2"/>
          <w:sz w:val="24"/>
          <w:szCs w:val="24"/>
          <w14:ligatures w14:val="standardContextual"/>
        </w:rPr>
        <w:fldChar w:fldCharType="end"/>
      </w:r>
    </w:p>
    <w:p w14:paraId="5A059304"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 xml:space="preserve">سليم، فاطمة علي، والشريف، حسن محمد. (2025). دور ذكاء الأعمال في اتخاذ القرارات الاستراتيجية: دراسة ميدانية على شركات التأمين بمدينة مصراتة. مجلة البحوث المستدامة في العلوم الإنسانية، 2(1)، 1–25. </w:t>
      </w:r>
      <w:r w:rsidRPr="00CB373C">
        <w:rPr>
          <w:rFonts w:ascii="Aptos" w:eastAsia="Aptos" w:hAnsi="Aptos" w:cs="Arial"/>
          <w:kern w:val="2"/>
          <w:sz w:val="24"/>
          <w:szCs w:val="24"/>
          <w14:ligatures w14:val="standardContextual"/>
        </w:rPr>
        <w:fldChar w:fldCharType="begin"/>
      </w:r>
      <w:r w:rsidRPr="00CB373C">
        <w:rPr>
          <w:rFonts w:ascii="Aptos" w:eastAsia="Aptos" w:hAnsi="Aptos" w:cs="Arial"/>
          <w:kern w:val="2"/>
          <w:sz w:val="24"/>
          <w:szCs w:val="24"/>
          <w14:ligatures w14:val="standardContextual"/>
        </w:rPr>
        <w:instrText>HYPERLINK "https://doi.org/10.36602/jsrhs.2025.2.1.1"</w:instrText>
      </w:r>
      <w:r w:rsidRPr="00CB373C">
        <w:rPr>
          <w:rFonts w:ascii="Aptos" w:eastAsia="Aptos" w:hAnsi="Aptos" w:cs="Arial"/>
          <w:kern w:val="2"/>
          <w:sz w:val="24"/>
          <w:szCs w:val="24"/>
          <w14:ligatures w14:val="standardContextual"/>
        </w:rPr>
      </w:r>
      <w:r w:rsidRPr="00CB373C">
        <w:rPr>
          <w:rFonts w:ascii="Aptos" w:eastAsia="Aptos" w:hAnsi="Aptos" w:cs="Arial"/>
          <w:kern w:val="2"/>
          <w:sz w:val="24"/>
          <w:szCs w:val="24"/>
          <w14:ligatures w14:val="standardContextual"/>
        </w:rPr>
        <w:fldChar w:fldCharType="separate"/>
      </w:r>
      <w:r w:rsidRPr="00CB373C">
        <w:rPr>
          <w:rFonts w:ascii="Traditional Arabic" w:eastAsia="Aptos" w:hAnsi="Traditional Arabic" w:cs="Traditional Arabic"/>
          <w:color w:val="467886"/>
          <w:kern w:val="2"/>
          <w:sz w:val="24"/>
          <w:szCs w:val="24"/>
          <w:u w:val="single"/>
          <w:lang w:bidi="ar-EG"/>
          <w14:ligatures w14:val="standardContextual"/>
        </w:rPr>
        <w:t>https://doi.org/10.36602/jsrhs.2025.2.1.1</w:t>
      </w:r>
      <w:r w:rsidRPr="00CB373C">
        <w:rPr>
          <w:rFonts w:ascii="Aptos" w:eastAsia="Aptos" w:hAnsi="Aptos" w:cs="Arial"/>
          <w:kern w:val="2"/>
          <w:sz w:val="24"/>
          <w:szCs w:val="24"/>
          <w14:ligatures w14:val="standardContextual"/>
        </w:rPr>
        <w:fldChar w:fldCharType="end"/>
      </w:r>
      <w:r w:rsidRPr="00CB373C">
        <w:rPr>
          <w:rFonts w:ascii="Traditional Arabic" w:eastAsia="Aptos" w:hAnsi="Traditional Arabic" w:cs="Traditional Arabic"/>
          <w:kern w:val="2"/>
          <w:sz w:val="24"/>
          <w:szCs w:val="24"/>
          <w:rtl/>
          <w:lang w:bidi="ar-EG"/>
          <w14:ligatures w14:val="standardContextual"/>
        </w:rPr>
        <w:t xml:space="preserve"> </w:t>
      </w:r>
    </w:p>
    <w:p w14:paraId="22E5D9B2"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عبد الله، عبد الله، ووهاب، كمال. (2019). أثر الأنماط المعرفية في تعزيز كفاءة القرار الاستراتيجي: دراسة استطلاعية في مصارف أهلية مختارة. مجلة تكريت للعلوم الإدارية والاقتصادية، 15(48)، 210–231.</w:t>
      </w:r>
    </w:p>
    <w:p w14:paraId="66DD41F3"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عبيدات، أرام. (2022). أثر نظم ذكاء الأعمال على التحسين المستمر في البنوك القطرية [رسالة ماجستير غير منشورة]. جامعة عمان العربية.</w:t>
      </w:r>
    </w:p>
    <w:p w14:paraId="513801A2"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العتوم، روان. (2020). أثر ذكاء الأعمال على إدارة الأزمات في البنوك التجارية الأردنية [رسالة ماجستير غير منشورة]. جامعة الإسراء الخاصة.</w:t>
      </w:r>
    </w:p>
    <w:p w14:paraId="6CA39571"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العتيبي، نوف. (2025). أثر نظم ذكاء الأعمال على أداء العاملين في البنك الأهلي السعودي بمدينة الطائف. المجلة العربية للآداب والدراسات الإنسانية، 1(34)، 469–508.</w:t>
      </w:r>
    </w:p>
    <w:p w14:paraId="5AA8F7FA"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 xml:space="preserve">الغريب، أيمن فاروق أنور. (2022). دور ذكاء الأعمال بالقطاع الخاص في تعزيز الإبداع التنظيمي: دراسة تطبيقية في قطاع البنوك بمحافظة دمياط. </w:t>
      </w:r>
      <w:r w:rsidRPr="00CB373C">
        <w:rPr>
          <w:rFonts w:ascii="Traditional Arabic" w:eastAsia="Aptos" w:hAnsi="Traditional Arabic" w:cs="Traditional Arabic"/>
          <w:i/>
          <w:iCs/>
          <w:kern w:val="2"/>
          <w:sz w:val="24"/>
          <w:szCs w:val="24"/>
          <w:rtl/>
          <w:lang w:bidi="ar-EG"/>
          <w14:ligatures w14:val="standardContextual"/>
        </w:rPr>
        <w:t>المجلة العلمية للدراسات التجارية والبيئية، 13</w:t>
      </w:r>
      <w:r w:rsidRPr="00CB373C">
        <w:rPr>
          <w:rFonts w:ascii="Traditional Arabic" w:eastAsia="Aptos" w:hAnsi="Traditional Arabic" w:cs="Traditional Arabic"/>
          <w:kern w:val="2"/>
          <w:sz w:val="24"/>
          <w:szCs w:val="24"/>
          <w:rtl/>
          <w:lang w:bidi="ar-EG"/>
          <w14:ligatures w14:val="standardContextual"/>
        </w:rPr>
        <w:t xml:space="preserve">(2)، 421–457. </w:t>
      </w:r>
      <w:r w:rsidRPr="00CB373C">
        <w:rPr>
          <w:rFonts w:ascii="Aptos" w:eastAsia="Aptos" w:hAnsi="Aptos" w:cs="Arial"/>
          <w:kern w:val="2"/>
          <w:sz w:val="24"/>
          <w:szCs w:val="24"/>
          <w14:ligatures w14:val="standardContextual"/>
        </w:rPr>
        <w:fldChar w:fldCharType="begin"/>
      </w:r>
      <w:r w:rsidRPr="00CB373C">
        <w:rPr>
          <w:rFonts w:ascii="Aptos" w:eastAsia="Aptos" w:hAnsi="Aptos" w:cs="Arial"/>
          <w:kern w:val="2"/>
          <w:sz w:val="24"/>
          <w:szCs w:val="24"/>
          <w14:ligatures w14:val="standardContextual"/>
        </w:rPr>
        <w:instrText>HYPERLINK "https://doi.org/10.21608/jces.2022.248096"</w:instrText>
      </w:r>
      <w:r w:rsidRPr="00CB373C">
        <w:rPr>
          <w:rFonts w:ascii="Aptos" w:eastAsia="Aptos" w:hAnsi="Aptos" w:cs="Arial"/>
          <w:kern w:val="2"/>
          <w:sz w:val="24"/>
          <w:szCs w:val="24"/>
          <w14:ligatures w14:val="standardContextual"/>
        </w:rPr>
      </w:r>
      <w:r w:rsidRPr="00CB373C">
        <w:rPr>
          <w:rFonts w:ascii="Aptos" w:eastAsia="Aptos" w:hAnsi="Aptos" w:cs="Arial"/>
          <w:kern w:val="2"/>
          <w:sz w:val="24"/>
          <w:szCs w:val="24"/>
          <w14:ligatures w14:val="standardContextual"/>
        </w:rPr>
        <w:fldChar w:fldCharType="separate"/>
      </w:r>
      <w:r w:rsidRPr="00CB373C">
        <w:rPr>
          <w:rFonts w:ascii="Traditional Arabic" w:eastAsia="Aptos" w:hAnsi="Traditional Arabic" w:cs="Traditional Arabic"/>
          <w:color w:val="467886"/>
          <w:kern w:val="2"/>
          <w:sz w:val="24"/>
          <w:szCs w:val="24"/>
          <w:u w:val="single"/>
          <w:lang w:bidi="ar-EG"/>
          <w14:ligatures w14:val="standardContextual"/>
        </w:rPr>
        <w:t>https://doi.org/10.21608/jces.2022.248096</w:t>
      </w:r>
      <w:r w:rsidRPr="00CB373C">
        <w:rPr>
          <w:rFonts w:ascii="Aptos" w:eastAsia="Aptos" w:hAnsi="Aptos" w:cs="Arial"/>
          <w:kern w:val="2"/>
          <w:sz w:val="24"/>
          <w:szCs w:val="24"/>
          <w14:ligatures w14:val="standardContextual"/>
        </w:rPr>
        <w:fldChar w:fldCharType="end"/>
      </w:r>
      <w:r w:rsidRPr="00CB373C">
        <w:rPr>
          <w:rFonts w:ascii="Traditional Arabic" w:eastAsia="Aptos" w:hAnsi="Traditional Arabic" w:cs="Traditional Arabic"/>
          <w:kern w:val="2"/>
          <w:sz w:val="24"/>
          <w:szCs w:val="24"/>
          <w:rtl/>
          <w:lang w:bidi="ar-EG"/>
          <w14:ligatures w14:val="standardContextual"/>
        </w:rPr>
        <w:t xml:space="preserve"> </w:t>
      </w:r>
    </w:p>
    <w:p w14:paraId="1F3E0944"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الفار، محمد، ومبارز، أسامة. (2023). إطار مقترح لتحسين اتخاذ القرار في البنوك المصرية باستخدام تقنيات ذكاء الأعمال. المجلة الأكاديمية للعلوم الاجتماعية، 1(2)، 1–17.</w:t>
      </w:r>
    </w:p>
    <w:p w14:paraId="29F62835"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lastRenderedPageBreak/>
        <w:t>فريد، شريف، وعامر، أحمد. (2021). العلاقة بين أبعاد الذكاء الاستراتيجي واتخاذ القرارات الاستراتيجية الرشيدة في ضوء الخبرة الدولية كمتغير معدل: دراسة تطبيقية على شركات التأمين بجمهورية مصر العربية. المجلة العلمية للدراسات التجارية والبيئية، 12(4)، 65–96.</w:t>
      </w:r>
    </w:p>
    <w:p w14:paraId="63713D10"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 xml:space="preserve">القضاة، ليث أكرم، ملاحيم، ساري سليمان، العطيات، زكريا أحمد، عطية، موسى أحمد، والقضاة، عبدالله محمد. (2025). أثر نظم ذكاء الأعمال في الحد من مخاطر نظم المعلومات المحاسبية الإلكترونية: الدور المعدل لنظم تخطيط موارد المنشآت: دراسة ميدانية: شركات الاتصالات وتكنولوجيا المعلومات الأردنية. </w:t>
      </w:r>
      <w:r w:rsidRPr="00CB373C">
        <w:rPr>
          <w:rFonts w:ascii="Traditional Arabic" w:eastAsia="Aptos" w:hAnsi="Traditional Arabic" w:cs="Traditional Arabic"/>
          <w:i/>
          <w:iCs/>
          <w:kern w:val="2"/>
          <w:sz w:val="24"/>
          <w:szCs w:val="24"/>
          <w:rtl/>
          <w:lang w:bidi="ar-EG"/>
          <w14:ligatures w14:val="standardContextual"/>
        </w:rPr>
        <w:t>المجلة الأردنية في إدارة الأعمال، 21</w:t>
      </w:r>
      <w:r w:rsidRPr="00CB373C">
        <w:rPr>
          <w:rFonts w:ascii="Traditional Arabic" w:eastAsia="Aptos" w:hAnsi="Traditional Arabic" w:cs="Traditional Arabic"/>
          <w:kern w:val="2"/>
          <w:sz w:val="24"/>
          <w:szCs w:val="24"/>
          <w:rtl/>
          <w:lang w:bidi="ar-EG"/>
          <w14:ligatures w14:val="standardContextual"/>
        </w:rPr>
        <w:t xml:space="preserve">(3)، 317–342. </w:t>
      </w:r>
      <w:r w:rsidRPr="00CB373C">
        <w:rPr>
          <w:rFonts w:ascii="Aptos" w:eastAsia="Aptos" w:hAnsi="Aptos" w:cs="Arial"/>
          <w:kern w:val="2"/>
          <w:sz w:val="24"/>
          <w:szCs w:val="24"/>
          <w14:ligatures w14:val="standardContextual"/>
        </w:rPr>
        <w:fldChar w:fldCharType="begin"/>
      </w:r>
      <w:r w:rsidRPr="00CB373C">
        <w:rPr>
          <w:rFonts w:ascii="Aptos" w:eastAsia="Aptos" w:hAnsi="Aptos" w:cs="Arial"/>
          <w:kern w:val="2"/>
          <w:sz w:val="24"/>
          <w:szCs w:val="24"/>
          <w14:ligatures w14:val="standardContextual"/>
        </w:rPr>
        <w:instrText>HYPERLINK "https://doi.org/10.35516/jjba.v21i3.186"</w:instrText>
      </w:r>
      <w:r w:rsidRPr="00CB373C">
        <w:rPr>
          <w:rFonts w:ascii="Aptos" w:eastAsia="Aptos" w:hAnsi="Aptos" w:cs="Arial"/>
          <w:kern w:val="2"/>
          <w:sz w:val="24"/>
          <w:szCs w:val="24"/>
          <w14:ligatures w14:val="standardContextual"/>
        </w:rPr>
      </w:r>
      <w:r w:rsidRPr="00CB373C">
        <w:rPr>
          <w:rFonts w:ascii="Aptos" w:eastAsia="Aptos" w:hAnsi="Aptos" w:cs="Arial"/>
          <w:kern w:val="2"/>
          <w:sz w:val="24"/>
          <w:szCs w:val="24"/>
          <w14:ligatures w14:val="standardContextual"/>
        </w:rPr>
        <w:fldChar w:fldCharType="separate"/>
      </w:r>
      <w:r w:rsidRPr="00CB373C">
        <w:rPr>
          <w:rFonts w:ascii="Traditional Arabic" w:eastAsia="Aptos" w:hAnsi="Traditional Arabic" w:cs="Traditional Arabic"/>
          <w:color w:val="467886"/>
          <w:kern w:val="2"/>
          <w:sz w:val="24"/>
          <w:szCs w:val="24"/>
          <w:u w:val="single"/>
          <w:lang w:bidi="ar-EG"/>
          <w14:ligatures w14:val="standardContextual"/>
        </w:rPr>
        <w:t>https://doi.org/10.35516/jjba.v21i3.186</w:t>
      </w:r>
      <w:r w:rsidRPr="00CB373C">
        <w:rPr>
          <w:rFonts w:ascii="Aptos" w:eastAsia="Aptos" w:hAnsi="Aptos" w:cs="Arial"/>
          <w:kern w:val="2"/>
          <w:sz w:val="24"/>
          <w:szCs w:val="24"/>
          <w14:ligatures w14:val="standardContextual"/>
        </w:rPr>
        <w:fldChar w:fldCharType="end"/>
      </w:r>
      <w:r w:rsidRPr="00CB373C">
        <w:rPr>
          <w:rFonts w:ascii="Traditional Arabic" w:eastAsia="Aptos" w:hAnsi="Traditional Arabic" w:cs="Traditional Arabic"/>
          <w:kern w:val="2"/>
          <w:sz w:val="24"/>
          <w:szCs w:val="24"/>
          <w:rtl/>
          <w:lang w:bidi="ar-EG"/>
          <w14:ligatures w14:val="standardContextual"/>
        </w:rPr>
        <w:t xml:space="preserve"> </w:t>
      </w:r>
    </w:p>
    <w:p w14:paraId="0A40776A"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 xml:space="preserve">محمود، سارة محمود عبدالعزيز. (2022). دور الموبايل البنكي في تعزيز مستوى ثقة العملاء في الخدمات البنكية الإلكترونية. المجلة العربية لبحوث الإعلام والاتصال، ع(37)، 322–389. </w:t>
      </w:r>
      <w:r w:rsidRPr="00CB373C">
        <w:rPr>
          <w:rFonts w:ascii="Aptos" w:eastAsia="Aptos" w:hAnsi="Aptos" w:cs="Arial"/>
          <w:kern w:val="2"/>
          <w:sz w:val="24"/>
          <w:szCs w:val="24"/>
          <w14:ligatures w14:val="standardContextual"/>
        </w:rPr>
        <w:fldChar w:fldCharType="begin"/>
      </w:r>
      <w:r w:rsidRPr="00CB373C">
        <w:rPr>
          <w:rFonts w:ascii="Aptos" w:eastAsia="Aptos" w:hAnsi="Aptos" w:cs="Arial"/>
          <w:kern w:val="2"/>
          <w:sz w:val="24"/>
          <w:szCs w:val="24"/>
          <w14:ligatures w14:val="standardContextual"/>
        </w:rPr>
        <w:instrText>HYPERLINK "https://doi.org/10.21608/jkom.2022.253091"</w:instrText>
      </w:r>
      <w:r w:rsidRPr="00CB373C">
        <w:rPr>
          <w:rFonts w:ascii="Aptos" w:eastAsia="Aptos" w:hAnsi="Aptos" w:cs="Arial"/>
          <w:kern w:val="2"/>
          <w:sz w:val="24"/>
          <w:szCs w:val="24"/>
          <w14:ligatures w14:val="standardContextual"/>
        </w:rPr>
      </w:r>
      <w:r w:rsidRPr="00CB373C">
        <w:rPr>
          <w:rFonts w:ascii="Aptos" w:eastAsia="Aptos" w:hAnsi="Aptos" w:cs="Arial"/>
          <w:kern w:val="2"/>
          <w:sz w:val="24"/>
          <w:szCs w:val="24"/>
          <w14:ligatures w14:val="standardContextual"/>
        </w:rPr>
        <w:fldChar w:fldCharType="separate"/>
      </w:r>
      <w:r w:rsidRPr="00CB373C">
        <w:rPr>
          <w:rFonts w:ascii="Traditional Arabic" w:eastAsia="Aptos" w:hAnsi="Traditional Arabic" w:cs="Traditional Arabic"/>
          <w:color w:val="467886"/>
          <w:kern w:val="2"/>
          <w:sz w:val="24"/>
          <w:szCs w:val="24"/>
          <w:u w:val="single"/>
          <w:lang w:bidi="ar-EG"/>
          <w14:ligatures w14:val="standardContextual"/>
        </w:rPr>
        <w:t>https://doi.org/10.21608/jkom.2022.253091</w:t>
      </w:r>
      <w:r w:rsidRPr="00CB373C">
        <w:rPr>
          <w:rFonts w:ascii="Aptos" w:eastAsia="Aptos" w:hAnsi="Aptos" w:cs="Arial"/>
          <w:kern w:val="2"/>
          <w:sz w:val="24"/>
          <w:szCs w:val="24"/>
          <w14:ligatures w14:val="standardContextual"/>
        </w:rPr>
        <w:fldChar w:fldCharType="end"/>
      </w:r>
      <w:r w:rsidRPr="00CB373C">
        <w:rPr>
          <w:rFonts w:ascii="Traditional Arabic" w:eastAsia="Aptos" w:hAnsi="Traditional Arabic" w:cs="Traditional Arabic"/>
          <w:kern w:val="2"/>
          <w:sz w:val="24"/>
          <w:szCs w:val="24"/>
          <w:rtl/>
          <w:lang w:bidi="ar-EG"/>
          <w14:ligatures w14:val="standardContextual"/>
        </w:rPr>
        <w:t xml:space="preserve"> </w:t>
      </w:r>
    </w:p>
    <w:p w14:paraId="6631E6DC"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 xml:space="preserve">مشايخ، طلحة عبد الفتاح، العيدروس، هاشم محمد، وخوج، هيثم ذاكر. (2023). العوامل الرئيسية في نجاح أنظمة ذكاء الأعمال في المنظمات. </w:t>
      </w:r>
      <w:r w:rsidRPr="00CB373C">
        <w:rPr>
          <w:rFonts w:ascii="Traditional Arabic" w:eastAsia="Aptos" w:hAnsi="Traditional Arabic" w:cs="Traditional Arabic"/>
          <w:i/>
          <w:iCs/>
          <w:kern w:val="2"/>
          <w:sz w:val="24"/>
          <w:szCs w:val="24"/>
          <w:rtl/>
          <w:lang w:bidi="ar-EG"/>
          <w14:ligatures w14:val="standardContextual"/>
        </w:rPr>
        <w:t>مجلة العلوم الاقتصادية والإدارية والقانونية، 7</w:t>
      </w:r>
      <w:r w:rsidRPr="00CB373C">
        <w:rPr>
          <w:rFonts w:ascii="Traditional Arabic" w:eastAsia="Aptos" w:hAnsi="Traditional Arabic" w:cs="Traditional Arabic"/>
          <w:kern w:val="2"/>
          <w:sz w:val="24"/>
          <w:szCs w:val="24"/>
          <w:rtl/>
          <w:lang w:bidi="ar-EG"/>
          <w14:ligatures w14:val="standardContextual"/>
        </w:rPr>
        <w:t xml:space="preserve">(6)، 134–157. </w:t>
      </w:r>
      <w:r w:rsidRPr="00CB373C">
        <w:rPr>
          <w:rFonts w:ascii="Aptos" w:eastAsia="Aptos" w:hAnsi="Aptos" w:cs="Arial"/>
          <w:kern w:val="2"/>
          <w:sz w:val="24"/>
          <w:szCs w:val="24"/>
          <w14:ligatures w14:val="standardContextual"/>
        </w:rPr>
        <w:fldChar w:fldCharType="begin"/>
      </w:r>
      <w:r w:rsidRPr="00CB373C">
        <w:rPr>
          <w:rFonts w:ascii="Aptos" w:eastAsia="Aptos" w:hAnsi="Aptos" w:cs="Arial"/>
          <w:kern w:val="2"/>
          <w:sz w:val="24"/>
          <w:szCs w:val="24"/>
          <w14:ligatures w14:val="standardContextual"/>
        </w:rPr>
        <w:instrText>HYPERLINK "https://doi.org/10.26389/AJSRP.H111222"</w:instrText>
      </w:r>
      <w:r w:rsidRPr="00CB373C">
        <w:rPr>
          <w:rFonts w:ascii="Aptos" w:eastAsia="Aptos" w:hAnsi="Aptos" w:cs="Arial"/>
          <w:kern w:val="2"/>
          <w:sz w:val="24"/>
          <w:szCs w:val="24"/>
          <w14:ligatures w14:val="standardContextual"/>
        </w:rPr>
      </w:r>
      <w:r w:rsidRPr="00CB373C">
        <w:rPr>
          <w:rFonts w:ascii="Aptos" w:eastAsia="Aptos" w:hAnsi="Aptos" w:cs="Arial"/>
          <w:kern w:val="2"/>
          <w:sz w:val="24"/>
          <w:szCs w:val="24"/>
          <w14:ligatures w14:val="standardContextual"/>
        </w:rPr>
        <w:fldChar w:fldCharType="separate"/>
      </w:r>
      <w:r w:rsidRPr="00CB373C">
        <w:rPr>
          <w:rFonts w:ascii="Traditional Arabic" w:eastAsia="Aptos" w:hAnsi="Traditional Arabic" w:cs="Traditional Arabic"/>
          <w:color w:val="467886"/>
          <w:kern w:val="2"/>
          <w:sz w:val="24"/>
          <w:szCs w:val="24"/>
          <w:u w:val="single"/>
          <w:lang w:bidi="ar-EG"/>
          <w14:ligatures w14:val="standardContextual"/>
        </w:rPr>
        <w:t>https://doi.org/10.26389/AJSRP.H111222</w:t>
      </w:r>
      <w:r w:rsidRPr="00CB373C">
        <w:rPr>
          <w:rFonts w:ascii="Aptos" w:eastAsia="Aptos" w:hAnsi="Aptos" w:cs="Arial"/>
          <w:kern w:val="2"/>
          <w:sz w:val="24"/>
          <w:szCs w:val="24"/>
          <w14:ligatures w14:val="standardContextual"/>
        </w:rPr>
        <w:fldChar w:fldCharType="end"/>
      </w:r>
    </w:p>
    <w:p w14:paraId="23727F75"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r w:rsidRPr="00CB373C">
        <w:rPr>
          <w:rFonts w:ascii="Traditional Arabic" w:eastAsia="Aptos" w:hAnsi="Traditional Arabic" w:cs="Traditional Arabic"/>
          <w:kern w:val="2"/>
          <w:sz w:val="24"/>
          <w:szCs w:val="24"/>
          <w:rtl/>
          <w:lang w:bidi="ar-EG"/>
          <w14:ligatures w14:val="standardContextual"/>
        </w:rPr>
        <w:t xml:space="preserve">الوكيل، إيمان محمد أحمد. (2021). أثر الابتكار المؤسسي على بناء الصورة الذهنية للمؤسسات العامة: دراسة حالة بنك مصر. مجلة كلية الاقتصاد والعلوم السياسية، 22(2)، 215–246. </w:t>
      </w:r>
      <w:r w:rsidRPr="00CB373C">
        <w:rPr>
          <w:rFonts w:ascii="Aptos" w:eastAsia="Aptos" w:hAnsi="Aptos" w:cs="Arial"/>
          <w:kern w:val="2"/>
          <w:sz w:val="24"/>
          <w:szCs w:val="24"/>
          <w14:ligatures w14:val="standardContextual"/>
        </w:rPr>
        <w:fldChar w:fldCharType="begin"/>
      </w:r>
      <w:r w:rsidRPr="00CB373C">
        <w:rPr>
          <w:rFonts w:ascii="Aptos" w:eastAsia="Aptos" w:hAnsi="Aptos" w:cs="Arial"/>
          <w:kern w:val="2"/>
          <w:sz w:val="24"/>
          <w:szCs w:val="24"/>
          <w14:ligatures w14:val="standardContextual"/>
        </w:rPr>
        <w:instrText>HYPERLINK "https://doi.org/10.21608/jpsa.2021.190043"</w:instrText>
      </w:r>
      <w:r w:rsidRPr="00CB373C">
        <w:rPr>
          <w:rFonts w:ascii="Aptos" w:eastAsia="Aptos" w:hAnsi="Aptos" w:cs="Arial"/>
          <w:kern w:val="2"/>
          <w:sz w:val="24"/>
          <w:szCs w:val="24"/>
          <w14:ligatures w14:val="standardContextual"/>
        </w:rPr>
      </w:r>
      <w:r w:rsidRPr="00CB373C">
        <w:rPr>
          <w:rFonts w:ascii="Aptos" w:eastAsia="Aptos" w:hAnsi="Aptos" w:cs="Arial"/>
          <w:kern w:val="2"/>
          <w:sz w:val="24"/>
          <w:szCs w:val="24"/>
          <w14:ligatures w14:val="standardContextual"/>
        </w:rPr>
        <w:fldChar w:fldCharType="separate"/>
      </w:r>
      <w:r w:rsidRPr="00CB373C">
        <w:rPr>
          <w:rFonts w:ascii="Traditional Arabic" w:eastAsia="Aptos" w:hAnsi="Traditional Arabic" w:cs="Traditional Arabic"/>
          <w:color w:val="467886"/>
          <w:kern w:val="2"/>
          <w:sz w:val="24"/>
          <w:szCs w:val="24"/>
          <w:u w:val="single"/>
          <w:lang w:bidi="ar-EG"/>
          <w14:ligatures w14:val="standardContextual"/>
        </w:rPr>
        <w:t>https://doi.org/10.21608/jpsa.2021.190043</w:t>
      </w:r>
      <w:r w:rsidRPr="00CB373C">
        <w:rPr>
          <w:rFonts w:ascii="Aptos" w:eastAsia="Aptos" w:hAnsi="Aptos" w:cs="Arial"/>
          <w:kern w:val="2"/>
          <w:sz w:val="24"/>
          <w:szCs w:val="24"/>
          <w14:ligatures w14:val="standardContextual"/>
        </w:rPr>
        <w:fldChar w:fldCharType="end"/>
      </w:r>
    </w:p>
    <w:p w14:paraId="7A9076CE" w14:textId="77777777" w:rsidR="00CB373C" w:rsidRPr="00CB373C" w:rsidRDefault="00CB373C" w:rsidP="00CB373C">
      <w:pPr>
        <w:bidi/>
        <w:spacing w:line="278" w:lineRule="auto"/>
        <w:ind w:left="1196" w:hanging="1196"/>
        <w:jc w:val="both"/>
        <w:rPr>
          <w:rFonts w:ascii="Traditional Arabic" w:eastAsia="Aptos" w:hAnsi="Traditional Arabic" w:cs="Traditional Arabic"/>
          <w:kern w:val="2"/>
          <w:sz w:val="24"/>
          <w:szCs w:val="24"/>
          <w:rtl/>
          <w:lang w:bidi="ar-EG"/>
          <w14:ligatures w14:val="standardContextual"/>
        </w:rPr>
      </w:pPr>
    </w:p>
    <w:p w14:paraId="132AABBC" w14:textId="77777777" w:rsidR="00CB373C" w:rsidRPr="00CB373C" w:rsidRDefault="00CB373C" w:rsidP="00CB373C">
      <w:pPr>
        <w:bidi/>
        <w:spacing w:line="240" w:lineRule="auto"/>
        <w:jc w:val="both"/>
        <w:rPr>
          <w:rFonts w:ascii="Traditional Arabic" w:eastAsia="Aptos" w:hAnsi="Traditional Arabic" w:cs="Traditional Arabic"/>
          <w:b/>
          <w:bCs/>
          <w:kern w:val="2"/>
          <w:sz w:val="28"/>
          <w:szCs w:val="28"/>
          <w:rtl/>
          <w:lang w:bidi="ar-EG"/>
          <w14:ligatures w14:val="standardContextual"/>
        </w:rPr>
      </w:pPr>
      <w:r w:rsidRPr="00CB373C">
        <w:rPr>
          <w:rFonts w:ascii="Traditional Arabic" w:eastAsia="Aptos" w:hAnsi="Traditional Arabic" w:cs="Traditional Arabic"/>
          <w:b/>
          <w:bCs/>
          <w:kern w:val="2"/>
          <w:sz w:val="28"/>
          <w:szCs w:val="28"/>
          <w:rtl/>
          <w:lang w:bidi="ar-EG"/>
          <w14:ligatures w14:val="standardContextual"/>
        </w:rPr>
        <w:t>المراجع الأجنبية</w:t>
      </w:r>
    </w:p>
    <w:p w14:paraId="670AF82D"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Abdelfattah, D., &amp; </w:t>
      </w:r>
      <w:proofErr w:type="spellStart"/>
      <w:r w:rsidRPr="00CB373C">
        <w:rPr>
          <w:rFonts w:ascii="Traditional Arabic" w:eastAsia="Aptos" w:hAnsi="Traditional Arabic" w:cs="Traditional Arabic"/>
          <w:kern w:val="2"/>
          <w:sz w:val="24"/>
          <w:szCs w:val="24"/>
          <w14:ligatures w14:val="standardContextual"/>
        </w:rPr>
        <w:t>Nasreldin</w:t>
      </w:r>
      <w:proofErr w:type="spellEnd"/>
      <w:r w:rsidRPr="00CB373C">
        <w:rPr>
          <w:rFonts w:ascii="Traditional Arabic" w:eastAsia="Aptos" w:hAnsi="Traditional Arabic" w:cs="Traditional Arabic"/>
          <w:kern w:val="2"/>
          <w:sz w:val="24"/>
          <w:szCs w:val="24"/>
          <w14:ligatures w14:val="standardContextual"/>
        </w:rPr>
        <w:t xml:space="preserve">, R. (2025). Towards inclusive public open space in CBD case study of King Abdallah financial district. </w:t>
      </w:r>
      <w:r w:rsidRPr="00CB373C">
        <w:rPr>
          <w:rFonts w:ascii="Traditional Arabic" w:eastAsia="Aptos" w:hAnsi="Traditional Arabic" w:cs="Traditional Arabic"/>
          <w:i/>
          <w:iCs/>
          <w:kern w:val="2"/>
          <w:sz w:val="24"/>
          <w:szCs w:val="24"/>
          <w14:ligatures w14:val="standardContextual"/>
        </w:rPr>
        <w:t>Journal of Urban Management</w:t>
      </w:r>
      <w:r w:rsidRPr="00CB373C">
        <w:rPr>
          <w:rFonts w:ascii="Traditional Arabic" w:eastAsia="Aptos" w:hAnsi="Traditional Arabic" w:cs="Traditional Arabic"/>
          <w:kern w:val="2"/>
          <w:sz w:val="24"/>
          <w:szCs w:val="24"/>
          <w14:ligatures w14:val="standardContextual"/>
        </w:rPr>
        <w:t xml:space="preserve">. </w:t>
      </w:r>
      <w:hyperlink r:id="rId14" w:tgtFrame="_new" w:history="1">
        <w:r w:rsidRPr="00CB373C">
          <w:rPr>
            <w:rFonts w:ascii="Traditional Arabic" w:eastAsia="Aptos" w:hAnsi="Traditional Arabic" w:cs="Traditional Arabic"/>
            <w:color w:val="467886"/>
            <w:kern w:val="2"/>
            <w:sz w:val="24"/>
            <w:szCs w:val="24"/>
            <w:u w:val="single"/>
            <w14:ligatures w14:val="standardContextual"/>
          </w:rPr>
          <w:t>https://doi.org/10.1016/j.jum.2025.06.007</w:t>
        </w:r>
      </w:hyperlink>
    </w:p>
    <w:p w14:paraId="2ADFCEFC"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Abdurrahman, A. (2025). Examining the impact of digital transformation on digital product innovation performance in banking industry through the integration of resource-based view and dynamic capabilities. </w:t>
      </w:r>
      <w:r w:rsidRPr="00CB373C">
        <w:rPr>
          <w:rFonts w:ascii="Traditional Arabic" w:eastAsia="Aptos" w:hAnsi="Traditional Arabic" w:cs="Traditional Arabic"/>
          <w:i/>
          <w:iCs/>
          <w:kern w:val="2"/>
          <w:sz w:val="24"/>
          <w:szCs w:val="24"/>
          <w14:ligatures w14:val="standardContextual"/>
        </w:rPr>
        <w:t>Journal of Strategy &amp; Innovation, 36</w:t>
      </w:r>
      <w:r w:rsidRPr="00CB373C">
        <w:rPr>
          <w:rFonts w:ascii="Traditional Arabic" w:eastAsia="Aptos" w:hAnsi="Traditional Arabic" w:cs="Traditional Arabic"/>
          <w:kern w:val="2"/>
          <w:sz w:val="24"/>
          <w:szCs w:val="24"/>
          <w14:ligatures w14:val="standardContextual"/>
        </w:rPr>
        <w:t xml:space="preserve">(1), 200540. </w:t>
      </w:r>
      <w:hyperlink r:id="rId15" w:history="1">
        <w:r w:rsidRPr="00CB373C">
          <w:rPr>
            <w:rFonts w:ascii="Traditional Arabic" w:eastAsia="Aptos" w:hAnsi="Traditional Arabic" w:cs="Traditional Arabic"/>
            <w:color w:val="467886"/>
            <w:kern w:val="2"/>
            <w:sz w:val="24"/>
            <w:szCs w:val="24"/>
            <w:u w:val="single"/>
            <w14:ligatures w14:val="standardContextual"/>
          </w:rPr>
          <w:t>https://doi.org/10.1016/j.jsinno.2025.200540</w:t>
        </w:r>
      </w:hyperlink>
      <w:r w:rsidRPr="00CB373C">
        <w:rPr>
          <w:rFonts w:ascii="Traditional Arabic" w:eastAsia="Aptos" w:hAnsi="Traditional Arabic" w:cs="Traditional Arabic"/>
          <w:kern w:val="2"/>
          <w:sz w:val="24"/>
          <w:szCs w:val="24"/>
          <w14:ligatures w14:val="standardContextual"/>
        </w:rPr>
        <w:t xml:space="preserve"> </w:t>
      </w:r>
    </w:p>
    <w:p w14:paraId="67145DF4"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Abdurrahman, A., </w:t>
      </w:r>
      <w:proofErr w:type="spellStart"/>
      <w:r w:rsidRPr="00CB373C">
        <w:rPr>
          <w:rFonts w:ascii="Traditional Arabic" w:eastAsia="Aptos" w:hAnsi="Traditional Arabic" w:cs="Traditional Arabic"/>
          <w:kern w:val="2"/>
          <w:sz w:val="24"/>
          <w:szCs w:val="24"/>
          <w14:ligatures w14:val="standardContextual"/>
        </w:rPr>
        <w:t>Gustomo</w:t>
      </w:r>
      <w:proofErr w:type="spellEnd"/>
      <w:r w:rsidRPr="00CB373C">
        <w:rPr>
          <w:rFonts w:ascii="Traditional Arabic" w:eastAsia="Aptos" w:hAnsi="Traditional Arabic" w:cs="Traditional Arabic"/>
          <w:kern w:val="2"/>
          <w:sz w:val="24"/>
          <w:szCs w:val="24"/>
          <w14:ligatures w14:val="standardContextual"/>
        </w:rPr>
        <w:t xml:space="preserve">, A., &amp; </w:t>
      </w:r>
      <w:proofErr w:type="spellStart"/>
      <w:r w:rsidRPr="00CB373C">
        <w:rPr>
          <w:rFonts w:ascii="Traditional Arabic" w:eastAsia="Aptos" w:hAnsi="Traditional Arabic" w:cs="Traditional Arabic"/>
          <w:kern w:val="2"/>
          <w:sz w:val="24"/>
          <w:szCs w:val="24"/>
          <w14:ligatures w14:val="standardContextual"/>
        </w:rPr>
        <w:t>Prasetio</w:t>
      </w:r>
      <w:proofErr w:type="spellEnd"/>
      <w:r w:rsidRPr="00CB373C">
        <w:rPr>
          <w:rFonts w:ascii="Traditional Arabic" w:eastAsia="Aptos" w:hAnsi="Traditional Arabic" w:cs="Traditional Arabic"/>
          <w:kern w:val="2"/>
          <w:sz w:val="24"/>
          <w:szCs w:val="24"/>
          <w14:ligatures w14:val="standardContextual"/>
        </w:rPr>
        <w:t xml:space="preserve">, E. A. (2024). Impact of dynamic capabilities on digital transformation and innovation to improve banking performance: A TOE framework study. </w:t>
      </w:r>
      <w:r w:rsidRPr="00CB373C">
        <w:rPr>
          <w:rFonts w:ascii="Traditional Arabic" w:eastAsia="Aptos" w:hAnsi="Traditional Arabic" w:cs="Traditional Arabic"/>
          <w:i/>
          <w:iCs/>
          <w:kern w:val="2"/>
          <w:sz w:val="24"/>
          <w:szCs w:val="24"/>
          <w14:ligatures w14:val="standardContextual"/>
        </w:rPr>
        <w:t>Journal of Open Innovation: Technology, Market, and Complexity, 10</w:t>
      </w:r>
      <w:r w:rsidRPr="00CB373C">
        <w:rPr>
          <w:rFonts w:ascii="Traditional Arabic" w:eastAsia="Aptos" w:hAnsi="Traditional Arabic" w:cs="Traditional Arabic"/>
          <w:kern w:val="2"/>
          <w:sz w:val="24"/>
          <w:szCs w:val="24"/>
          <w14:ligatures w14:val="standardContextual"/>
        </w:rPr>
        <w:t xml:space="preserve">(1), 100215. </w:t>
      </w:r>
      <w:hyperlink r:id="rId16" w:history="1">
        <w:r w:rsidRPr="00CB373C">
          <w:rPr>
            <w:rFonts w:ascii="Traditional Arabic" w:eastAsia="Aptos" w:hAnsi="Traditional Arabic" w:cs="Traditional Arabic"/>
            <w:color w:val="467886"/>
            <w:kern w:val="2"/>
            <w:sz w:val="24"/>
            <w:szCs w:val="24"/>
            <w:u w:val="single"/>
            <w14:ligatures w14:val="standardContextual"/>
          </w:rPr>
          <w:t>https://doi.org/10.1016/j.joitmc.2024.100215</w:t>
        </w:r>
      </w:hyperlink>
      <w:r w:rsidRPr="00CB373C">
        <w:rPr>
          <w:rFonts w:ascii="Traditional Arabic" w:eastAsia="Aptos" w:hAnsi="Traditional Arabic" w:cs="Traditional Arabic"/>
          <w:kern w:val="2"/>
          <w:sz w:val="24"/>
          <w:szCs w:val="24"/>
          <w14:ligatures w14:val="standardContextual"/>
        </w:rPr>
        <w:t xml:space="preserve"> </w:t>
      </w:r>
    </w:p>
    <w:p w14:paraId="136553A0"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lastRenderedPageBreak/>
        <w:t>Abu-</w:t>
      </w:r>
      <w:proofErr w:type="spellStart"/>
      <w:r w:rsidRPr="00CB373C">
        <w:rPr>
          <w:rFonts w:ascii="Traditional Arabic" w:eastAsia="Aptos" w:hAnsi="Traditional Arabic" w:cs="Traditional Arabic"/>
          <w:kern w:val="2"/>
          <w:sz w:val="24"/>
          <w:szCs w:val="24"/>
          <w14:ligatures w14:val="standardContextual"/>
        </w:rPr>
        <w:t>AlSondos</w:t>
      </w:r>
      <w:proofErr w:type="spellEnd"/>
      <w:r w:rsidRPr="00CB373C">
        <w:rPr>
          <w:rFonts w:ascii="Traditional Arabic" w:eastAsia="Aptos" w:hAnsi="Traditional Arabic" w:cs="Traditional Arabic"/>
          <w:kern w:val="2"/>
          <w:sz w:val="24"/>
          <w:szCs w:val="24"/>
          <w14:ligatures w14:val="standardContextual"/>
        </w:rPr>
        <w:t xml:space="preserve">, I. A. (2023). The impact of business intelligence system (BIS) on quality of strategic decision-making. </w:t>
      </w:r>
      <w:r w:rsidRPr="00CB373C">
        <w:rPr>
          <w:rFonts w:ascii="Traditional Arabic" w:eastAsia="Aptos" w:hAnsi="Traditional Arabic" w:cs="Traditional Arabic"/>
          <w:i/>
          <w:iCs/>
          <w:kern w:val="2"/>
          <w:sz w:val="24"/>
          <w:szCs w:val="24"/>
          <w14:ligatures w14:val="standardContextual"/>
        </w:rPr>
        <w:t>International Journal of Data and Network Science</w:t>
      </w:r>
      <w:r w:rsidRPr="00CB373C">
        <w:rPr>
          <w:rFonts w:ascii="Traditional Arabic" w:eastAsia="Aptos" w:hAnsi="Traditional Arabic" w:cs="Traditional Arabic"/>
          <w:kern w:val="2"/>
          <w:sz w:val="24"/>
          <w:szCs w:val="24"/>
          <w14:ligatures w14:val="standardContextual"/>
        </w:rPr>
        <w:t xml:space="preserve">, 7(4), 1901–1912. </w:t>
      </w:r>
      <w:hyperlink r:id="rId17" w:tgtFrame="_new" w:history="1">
        <w:r w:rsidRPr="00CB373C">
          <w:rPr>
            <w:rFonts w:ascii="Traditional Arabic" w:eastAsia="Aptos" w:hAnsi="Traditional Arabic" w:cs="Traditional Arabic"/>
            <w:color w:val="467886"/>
            <w:kern w:val="2"/>
            <w:sz w:val="24"/>
            <w:szCs w:val="24"/>
            <w:u w:val="single"/>
            <w14:ligatures w14:val="standardContextual"/>
          </w:rPr>
          <w:t>https://doi.org/10.5267/j.ijdns.2023.7.003</w:t>
        </w:r>
      </w:hyperlink>
      <w:r w:rsidRPr="00CB373C">
        <w:rPr>
          <w:rFonts w:ascii="Traditional Arabic" w:eastAsia="Aptos" w:hAnsi="Traditional Arabic" w:cs="Traditional Arabic"/>
          <w:kern w:val="2"/>
          <w:sz w:val="24"/>
          <w:szCs w:val="24"/>
          <w14:ligatures w14:val="standardContextual"/>
        </w:rPr>
        <w:t xml:space="preserve"> </w:t>
      </w:r>
    </w:p>
    <w:p w14:paraId="3145EFE0"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Al-</w:t>
      </w:r>
      <w:proofErr w:type="spellStart"/>
      <w:r w:rsidRPr="00CB373C">
        <w:rPr>
          <w:rFonts w:ascii="Traditional Arabic" w:eastAsia="Aptos" w:hAnsi="Traditional Arabic" w:cs="Traditional Arabic"/>
          <w:kern w:val="2"/>
          <w:sz w:val="24"/>
          <w:szCs w:val="24"/>
          <w14:ligatures w14:val="standardContextual"/>
        </w:rPr>
        <w:t>Daraba</w:t>
      </w:r>
      <w:proofErr w:type="spellEnd"/>
      <w:r w:rsidRPr="00CB373C">
        <w:rPr>
          <w:rFonts w:ascii="Traditional Arabic" w:eastAsia="Aptos" w:hAnsi="Traditional Arabic" w:cs="Traditional Arabic"/>
          <w:kern w:val="2"/>
          <w:sz w:val="24"/>
          <w:szCs w:val="24"/>
          <w14:ligatures w14:val="standardContextual"/>
        </w:rPr>
        <w:t xml:space="preserve">, K., Al-Shami, S. A., Rashid, N., &amp; Qureshi, M. I. (2025). Systematic review of factors influencing adoption of business intelligence systems. </w:t>
      </w:r>
      <w:r w:rsidRPr="00CB373C">
        <w:rPr>
          <w:rFonts w:ascii="Traditional Arabic" w:eastAsia="Aptos" w:hAnsi="Traditional Arabic" w:cs="Traditional Arabic"/>
          <w:i/>
          <w:iCs/>
          <w:kern w:val="2"/>
          <w:sz w:val="24"/>
          <w:szCs w:val="24"/>
          <w14:ligatures w14:val="standardContextual"/>
        </w:rPr>
        <w:t>Discover Sustainability</w:t>
      </w:r>
      <w:r w:rsidRPr="00CB373C">
        <w:rPr>
          <w:rFonts w:ascii="Traditional Arabic" w:eastAsia="Aptos" w:hAnsi="Traditional Arabic" w:cs="Traditional Arabic"/>
          <w:kern w:val="2"/>
          <w:sz w:val="24"/>
          <w:szCs w:val="24"/>
          <w14:ligatures w14:val="standardContextual"/>
        </w:rPr>
        <w:t xml:space="preserve">, 6, 936. </w:t>
      </w:r>
      <w:hyperlink r:id="rId18" w:history="1">
        <w:r w:rsidRPr="00CB373C">
          <w:rPr>
            <w:rFonts w:ascii="Traditional Arabic" w:eastAsia="Aptos" w:hAnsi="Traditional Arabic" w:cs="Traditional Arabic"/>
            <w:color w:val="467886"/>
            <w:kern w:val="2"/>
            <w:sz w:val="24"/>
            <w:szCs w:val="24"/>
            <w:u w:val="single"/>
            <w14:ligatures w14:val="standardContextual"/>
          </w:rPr>
          <w:t>https://doi.org/10.1007/s43621-025-01876-5</w:t>
        </w:r>
      </w:hyperlink>
      <w:r w:rsidRPr="00CB373C">
        <w:rPr>
          <w:rFonts w:ascii="Traditional Arabic" w:eastAsia="Aptos" w:hAnsi="Traditional Arabic" w:cs="Traditional Arabic"/>
          <w:kern w:val="2"/>
          <w:sz w:val="24"/>
          <w:szCs w:val="24"/>
          <w14:ligatures w14:val="standardContextual"/>
        </w:rPr>
        <w:t xml:space="preserve"> </w:t>
      </w:r>
    </w:p>
    <w:p w14:paraId="63103A8A"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proofErr w:type="spellStart"/>
      <w:r w:rsidRPr="00CB373C">
        <w:rPr>
          <w:rFonts w:ascii="Traditional Arabic" w:eastAsia="Aptos" w:hAnsi="Traditional Arabic" w:cs="Traditional Arabic"/>
          <w:kern w:val="2"/>
          <w:sz w:val="24"/>
          <w:szCs w:val="24"/>
          <w14:ligatures w14:val="standardContextual"/>
        </w:rPr>
        <w:t>Alduais</w:t>
      </w:r>
      <w:proofErr w:type="spellEnd"/>
      <w:r w:rsidRPr="00CB373C">
        <w:rPr>
          <w:rFonts w:ascii="Traditional Arabic" w:eastAsia="Aptos" w:hAnsi="Traditional Arabic" w:cs="Traditional Arabic"/>
          <w:kern w:val="2"/>
          <w:sz w:val="24"/>
          <w:szCs w:val="24"/>
          <w14:ligatures w14:val="standardContextual"/>
        </w:rPr>
        <w:t xml:space="preserve">, F., Raoush, A., Samara, A., &amp; </w:t>
      </w:r>
      <w:proofErr w:type="spellStart"/>
      <w:r w:rsidRPr="00CB373C">
        <w:rPr>
          <w:rFonts w:ascii="Traditional Arabic" w:eastAsia="Aptos" w:hAnsi="Traditional Arabic" w:cs="Traditional Arabic"/>
          <w:kern w:val="2"/>
          <w:sz w:val="24"/>
          <w:szCs w:val="24"/>
          <w14:ligatures w14:val="standardContextual"/>
        </w:rPr>
        <w:t>Sartawi</w:t>
      </w:r>
      <w:proofErr w:type="spellEnd"/>
      <w:r w:rsidRPr="00CB373C">
        <w:rPr>
          <w:rFonts w:ascii="Traditional Arabic" w:eastAsia="Aptos" w:hAnsi="Traditional Arabic" w:cs="Traditional Arabic"/>
          <w:kern w:val="2"/>
          <w:sz w:val="24"/>
          <w:szCs w:val="24"/>
          <w14:ligatures w14:val="standardContextual"/>
        </w:rPr>
        <w:t xml:space="preserve">, K. (2023). The impact of information sharing on the quality of decision-making: From the point of view of employees in Jordanian private hospitals. </w:t>
      </w:r>
      <w:r w:rsidRPr="00CB373C">
        <w:rPr>
          <w:rFonts w:ascii="Traditional Arabic" w:eastAsia="Aptos" w:hAnsi="Traditional Arabic" w:cs="Traditional Arabic"/>
          <w:i/>
          <w:iCs/>
          <w:kern w:val="2"/>
          <w:sz w:val="24"/>
          <w:szCs w:val="24"/>
          <w14:ligatures w14:val="standardContextual"/>
        </w:rPr>
        <w:t>Cogent Business &amp; Management</w:t>
      </w:r>
      <w:r w:rsidRPr="00CB373C">
        <w:rPr>
          <w:rFonts w:ascii="Traditional Arabic" w:eastAsia="Aptos" w:hAnsi="Traditional Arabic" w:cs="Traditional Arabic"/>
          <w:kern w:val="2"/>
          <w:sz w:val="24"/>
          <w:szCs w:val="24"/>
          <w14:ligatures w14:val="standardContextual"/>
        </w:rPr>
        <w:t xml:space="preserve">, 10(1), 2195028. </w:t>
      </w:r>
      <w:hyperlink r:id="rId19" w:tgtFrame="_new" w:history="1">
        <w:r w:rsidRPr="00CB373C">
          <w:rPr>
            <w:rFonts w:ascii="Traditional Arabic" w:eastAsia="Aptos" w:hAnsi="Traditional Arabic" w:cs="Traditional Arabic"/>
            <w:color w:val="467886"/>
            <w:kern w:val="2"/>
            <w:sz w:val="24"/>
            <w:szCs w:val="24"/>
            <w:u w:val="single"/>
            <w14:ligatures w14:val="standardContextual"/>
          </w:rPr>
          <w:t>https://doi.org/10.1080/23311975.2023.2195028</w:t>
        </w:r>
      </w:hyperlink>
      <w:r w:rsidRPr="00CB373C">
        <w:rPr>
          <w:rFonts w:ascii="Traditional Arabic" w:eastAsia="Aptos" w:hAnsi="Traditional Arabic" w:cs="Traditional Arabic"/>
          <w:kern w:val="2"/>
          <w:sz w:val="24"/>
          <w:szCs w:val="24"/>
          <w14:ligatures w14:val="standardContextual"/>
        </w:rPr>
        <w:t xml:space="preserve"> </w:t>
      </w:r>
    </w:p>
    <w:p w14:paraId="00A2BBFE"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Al-Hashimi, K., Weerakkody, V., Elbanna, S., &amp; Schwarz, G. (2022). Strategic decision-making and implementation in public organizations in the Gulf Cooperation Council: The role of procedural rationality. </w:t>
      </w:r>
      <w:r w:rsidRPr="00CB373C">
        <w:rPr>
          <w:rFonts w:ascii="Traditional Arabic" w:eastAsia="Aptos" w:hAnsi="Traditional Arabic" w:cs="Traditional Arabic"/>
          <w:i/>
          <w:iCs/>
          <w:kern w:val="2"/>
          <w:sz w:val="24"/>
          <w:szCs w:val="24"/>
          <w14:ligatures w14:val="standardContextual"/>
        </w:rPr>
        <w:t>Public Administration Review</w:t>
      </w:r>
      <w:r w:rsidRPr="00CB373C">
        <w:rPr>
          <w:rFonts w:ascii="Traditional Arabic" w:eastAsia="Aptos" w:hAnsi="Traditional Arabic" w:cs="Traditional Arabic"/>
          <w:kern w:val="2"/>
          <w:sz w:val="24"/>
          <w:szCs w:val="24"/>
          <w14:ligatures w14:val="standardContextual"/>
        </w:rPr>
        <w:t xml:space="preserve">, 82(5), 905–919. </w:t>
      </w:r>
      <w:hyperlink r:id="rId20" w:history="1">
        <w:r w:rsidRPr="00CB373C">
          <w:rPr>
            <w:rFonts w:ascii="Traditional Arabic" w:eastAsia="Aptos" w:hAnsi="Traditional Arabic" w:cs="Traditional Arabic"/>
            <w:color w:val="467886"/>
            <w:kern w:val="2"/>
            <w:sz w:val="24"/>
            <w:szCs w:val="24"/>
            <w:u w:val="single"/>
            <w14:ligatures w14:val="standardContextual"/>
          </w:rPr>
          <w:t>https://doi.org/10.1111/puar.13447</w:t>
        </w:r>
      </w:hyperlink>
      <w:r w:rsidRPr="00CB373C">
        <w:rPr>
          <w:rFonts w:ascii="Traditional Arabic" w:eastAsia="Aptos" w:hAnsi="Traditional Arabic" w:cs="Traditional Arabic"/>
          <w:kern w:val="2"/>
          <w:sz w:val="24"/>
          <w:szCs w:val="24"/>
          <w14:ligatures w14:val="standardContextual"/>
        </w:rPr>
        <w:t xml:space="preserve"> </w:t>
      </w:r>
    </w:p>
    <w:p w14:paraId="7E12BC69"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Almaiah, M. A., Al-Rahmi, A., </w:t>
      </w:r>
      <w:proofErr w:type="spellStart"/>
      <w:r w:rsidRPr="00CB373C">
        <w:rPr>
          <w:rFonts w:ascii="Traditional Arabic" w:eastAsia="Aptos" w:hAnsi="Traditional Arabic" w:cs="Traditional Arabic"/>
          <w:kern w:val="2"/>
          <w:sz w:val="24"/>
          <w:szCs w:val="24"/>
          <w14:ligatures w14:val="standardContextual"/>
        </w:rPr>
        <w:t>Alturise</w:t>
      </w:r>
      <w:proofErr w:type="spellEnd"/>
      <w:r w:rsidRPr="00CB373C">
        <w:rPr>
          <w:rFonts w:ascii="Traditional Arabic" w:eastAsia="Aptos" w:hAnsi="Traditional Arabic" w:cs="Traditional Arabic"/>
          <w:kern w:val="2"/>
          <w:sz w:val="24"/>
          <w:szCs w:val="24"/>
          <w14:ligatures w14:val="standardContextual"/>
        </w:rPr>
        <w:t xml:space="preserve">, F., Hassan, L., Lutfi, A., </w:t>
      </w:r>
      <w:proofErr w:type="spellStart"/>
      <w:r w:rsidRPr="00CB373C">
        <w:rPr>
          <w:rFonts w:ascii="Traditional Arabic" w:eastAsia="Aptos" w:hAnsi="Traditional Arabic" w:cs="Traditional Arabic"/>
          <w:kern w:val="2"/>
          <w:sz w:val="24"/>
          <w:szCs w:val="24"/>
          <w14:ligatures w14:val="standardContextual"/>
        </w:rPr>
        <w:t>Alrawad</w:t>
      </w:r>
      <w:proofErr w:type="spellEnd"/>
      <w:r w:rsidRPr="00CB373C">
        <w:rPr>
          <w:rFonts w:ascii="Traditional Arabic" w:eastAsia="Aptos" w:hAnsi="Traditional Arabic" w:cs="Traditional Arabic"/>
          <w:kern w:val="2"/>
          <w:sz w:val="24"/>
          <w:szCs w:val="24"/>
          <w14:ligatures w14:val="standardContextual"/>
        </w:rPr>
        <w:t xml:space="preserve">, M., et al. (2022). Investigating the effect of perceived security, perceived trust, and information quality on mobile payment usage through near-field communication (NFC) in Saudi Arabia. </w:t>
      </w:r>
      <w:r w:rsidRPr="00CB373C">
        <w:rPr>
          <w:rFonts w:ascii="Traditional Arabic" w:eastAsia="Aptos" w:hAnsi="Traditional Arabic" w:cs="Traditional Arabic"/>
          <w:i/>
          <w:iCs/>
          <w:kern w:val="2"/>
          <w:sz w:val="24"/>
          <w:szCs w:val="24"/>
          <w14:ligatures w14:val="standardContextual"/>
        </w:rPr>
        <w:t>Electronics</w:t>
      </w:r>
      <w:r w:rsidRPr="00CB373C">
        <w:rPr>
          <w:rFonts w:ascii="Traditional Arabic" w:eastAsia="Aptos" w:hAnsi="Traditional Arabic" w:cs="Traditional Arabic"/>
          <w:kern w:val="2"/>
          <w:sz w:val="24"/>
          <w:szCs w:val="24"/>
          <w14:ligatures w14:val="standardContextual"/>
        </w:rPr>
        <w:t xml:space="preserve">, 11(23), 3926. </w:t>
      </w:r>
      <w:hyperlink r:id="rId21" w:tgtFrame="_new" w:history="1">
        <w:r w:rsidRPr="00CB373C">
          <w:rPr>
            <w:rFonts w:ascii="Traditional Arabic" w:eastAsia="Aptos" w:hAnsi="Traditional Arabic" w:cs="Traditional Arabic"/>
            <w:color w:val="467886"/>
            <w:kern w:val="2"/>
            <w:sz w:val="24"/>
            <w:szCs w:val="24"/>
            <w:u w:val="single"/>
            <w14:ligatures w14:val="standardContextual"/>
          </w:rPr>
          <w:t>https://doi.org/10.3390/electronics11233926</w:t>
        </w:r>
      </w:hyperlink>
    </w:p>
    <w:p w14:paraId="2FD310BE"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proofErr w:type="spellStart"/>
      <w:r w:rsidRPr="00CB373C">
        <w:rPr>
          <w:rFonts w:ascii="Traditional Arabic" w:eastAsia="Aptos" w:hAnsi="Traditional Arabic" w:cs="Traditional Arabic"/>
          <w:kern w:val="2"/>
          <w:sz w:val="24"/>
          <w:szCs w:val="24"/>
          <w14:ligatures w14:val="standardContextual"/>
        </w:rPr>
        <w:t>Alnemer</w:t>
      </w:r>
      <w:proofErr w:type="spellEnd"/>
      <w:r w:rsidRPr="00CB373C">
        <w:rPr>
          <w:rFonts w:ascii="Traditional Arabic" w:eastAsia="Aptos" w:hAnsi="Traditional Arabic" w:cs="Traditional Arabic"/>
          <w:kern w:val="2"/>
          <w:sz w:val="24"/>
          <w:szCs w:val="24"/>
          <w14:ligatures w14:val="standardContextual"/>
        </w:rPr>
        <w:t xml:space="preserve">, H. A. (2022). Determinants of digital banking adoption in the Kingdom of Saudi Arabia: A technology acceptance model approach. </w:t>
      </w:r>
      <w:r w:rsidRPr="00CB373C">
        <w:rPr>
          <w:rFonts w:ascii="Traditional Arabic" w:eastAsia="Aptos" w:hAnsi="Traditional Arabic" w:cs="Traditional Arabic"/>
          <w:i/>
          <w:iCs/>
          <w:kern w:val="2"/>
          <w:sz w:val="24"/>
          <w:szCs w:val="24"/>
          <w14:ligatures w14:val="standardContextual"/>
        </w:rPr>
        <w:t>Digital Business, 2</w:t>
      </w:r>
      <w:r w:rsidRPr="00CB373C">
        <w:rPr>
          <w:rFonts w:ascii="Traditional Arabic" w:eastAsia="Aptos" w:hAnsi="Traditional Arabic" w:cs="Traditional Arabic"/>
          <w:kern w:val="2"/>
          <w:sz w:val="24"/>
          <w:szCs w:val="24"/>
          <w14:ligatures w14:val="standardContextual"/>
        </w:rPr>
        <w:t xml:space="preserve">(2), 100037. </w:t>
      </w:r>
      <w:hyperlink r:id="rId22" w:tgtFrame="_new" w:history="1">
        <w:r w:rsidRPr="00CB373C">
          <w:rPr>
            <w:rFonts w:ascii="Traditional Arabic" w:eastAsia="Aptos" w:hAnsi="Traditional Arabic" w:cs="Traditional Arabic"/>
            <w:color w:val="467886"/>
            <w:kern w:val="2"/>
            <w:sz w:val="24"/>
            <w:szCs w:val="24"/>
            <w:u w:val="single"/>
            <w14:ligatures w14:val="standardContextual"/>
          </w:rPr>
          <w:t>https://doi.org/10.1016/j.digbus.2022.100037</w:t>
        </w:r>
      </w:hyperlink>
      <w:r w:rsidRPr="00CB373C">
        <w:rPr>
          <w:rFonts w:ascii="Traditional Arabic" w:eastAsia="Aptos" w:hAnsi="Traditional Arabic" w:cs="Traditional Arabic"/>
          <w:kern w:val="2"/>
          <w:sz w:val="24"/>
          <w:szCs w:val="24"/>
          <w14:ligatures w14:val="standardContextual"/>
        </w:rPr>
        <w:t xml:space="preserve"> </w:t>
      </w:r>
    </w:p>
    <w:p w14:paraId="4F360D22"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proofErr w:type="spellStart"/>
      <w:r w:rsidRPr="00CB373C">
        <w:rPr>
          <w:rFonts w:ascii="Traditional Arabic" w:eastAsia="Aptos" w:hAnsi="Traditional Arabic" w:cs="Traditional Arabic"/>
          <w:kern w:val="2"/>
          <w:sz w:val="24"/>
          <w:szCs w:val="24"/>
          <w14:ligatures w14:val="standardContextual"/>
        </w:rPr>
        <w:t>Alrsheedi</w:t>
      </w:r>
      <w:proofErr w:type="spellEnd"/>
      <w:r w:rsidRPr="00CB373C">
        <w:rPr>
          <w:rFonts w:ascii="Traditional Arabic" w:eastAsia="Aptos" w:hAnsi="Traditional Arabic" w:cs="Traditional Arabic"/>
          <w:kern w:val="2"/>
          <w:sz w:val="24"/>
          <w:szCs w:val="24"/>
          <w14:ligatures w14:val="standardContextual"/>
        </w:rPr>
        <w:t xml:space="preserve">, A., et al. (2025). Key factors influencing fintech adoption among Saudi banks: A conceptual framework. </w:t>
      </w:r>
      <w:r w:rsidRPr="00CB373C">
        <w:rPr>
          <w:rFonts w:ascii="Traditional Arabic" w:eastAsia="Aptos" w:hAnsi="Traditional Arabic" w:cs="Traditional Arabic"/>
          <w:i/>
          <w:iCs/>
          <w:kern w:val="2"/>
          <w:sz w:val="24"/>
          <w:szCs w:val="24"/>
          <w14:ligatures w14:val="standardContextual"/>
        </w:rPr>
        <w:t>Humanities and Social Sciences Communications</w:t>
      </w:r>
      <w:r w:rsidRPr="00CB373C">
        <w:rPr>
          <w:rFonts w:ascii="Traditional Arabic" w:eastAsia="Aptos" w:hAnsi="Traditional Arabic" w:cs="Traditional Arabic"/>
          <w:kern w:val="2"/>
          <w:sz w:val="24"/>
          <w:szCs w:val="24"/>
          <w14:ligatures w14:val="standardContextual"/>
        </w:rPr>
        <w:t>, 12, 1194. https://doi.org/10.1057/s41599-025-05532-1</w:t>
      </w:r>
    </w:p>
    <w:p w14:paraId="67A2AF76"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Bernardo, B. M. V., São Mamede, H., Barroso, J. M. P., &amp; dos Santos, V. M. P. D. (2024). Data governance &amp; quality management—Innovation and breakthroughs across different fields. </w:t>
      </w:r>
      <w:r w:rsidRPr="00CB373C">
        <w:rPr>
          <w:rFonts w:ascii="Traditional Arabic" w:eastAsia="Aptos" w:hAnsi="Traditional Arabic" w:cs="Traditional Arabic"/>
          <w:i/>
          <w:iCs/>
          <w:kern w:val="2"/>
          <w:sz w:val="24"/>
          <w:szCs w:val="24"/>
          <w14:ligatures w14:val="standardContextual"/>
        </w:rPr>
        <w:t>Journal of Innovation &amp; Knowledge</w:t>
      </w:r>
      <w:r w:rsidRPr="00CB373C">
        <w:rPr>
          <w:rFonts w:ascii="Traditional Arabic" w:eastAsia="Aptos" w:hAnsi="Traditional Arabic" w:cs="Traditional Arabic"/>
          <w:kern w:val="2"/>
          <w:sz w:val="24"/>
          <w:szCs w:val="24"/>
          <w14:ligatures w14:val="standardContextual"/>
        </w:rPr>
        <w:t xml:space="preserve">, 9(4), 100598. </w:t>
      </w:r>
      <w:hyperlink r:id="rId23" w:tgtFrame="_new" w:history="1">
        <w:r w:rsidRPr="00CB373C">
          <w:rPr>
            <w:rFonts w:ascii="Traditional Arabic" w:eastAsia="Aptos" w:hAnsi="Traditional Arabic" w:cs="Traditional Arabic"/>
            <w:color w:val="467886"/>
            <w:kern w:val="2"/>
            <w:sz w:val="24"/>
            <w:szCs w:val="24"/>
            <w:u w:val="single"/>
            <w14:ligatures w14:val="standardContextual"/>
          </w:rPr>
          <w:t>https://doi.org/10.1016/j.jik.2024.100598</w:t>
        </w:r>
      </w:hyperlink>
      <w:r w:rsidRPr="00CB373C">
        <w:rPr>
          <w:rFonts w:ascii="Traditional Arabic" w:eastAsia="Aptos" w:hAnsi="Traditional Arabic" w:cs="Traditional Arabic"/>
          <w:kern w:val="2"/>
          <w:sz w:val="24"/>
          <w:szCs w:val="24"/>
          <w14:ligatures w14:val="standardContextual"/>
        </w:rPr>
        <w:t xml:space="preserve"> </w:t>
      </w:r>
    </w:p>
    <w:p w14:paraId="67322119"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lastRenderedPageBreak/>
        <w:t xml:space="preserve">Chatterjee, S., Chaudhuri, R., &amp; </w:t>
      </w:r>
      <w:proofErr w:type="spellStart"/>
      <w:r w:rsidRPr="00CB373C">
        <w:rPr>
          <w:rFonts w:ascii="Traditional Arabic" w:eastAsia="Aptos" w:hAnsi="Traditional Arabic" w:cs="Traditional Arabic"/>
          <w:kern w:val="2"/>
          <w:sz w:val="24"/>
          <w:szCs w:val="24"/>
          <w14:ligatures w14:val="standardContextual"/>
        </w:rPr>
        <w:t>Vrontis</w:t>
      </w:r>
      <w:proofErr w:type="spellEnd"/>
      <w:r w:rsidRPr="00CB373C">
        <w:rPr>
          <w:rFonts w:ascii="Traditional Arabic" w:eastAsia="Aptos" w:hAnsi="Traditional Arabic" w:cs="Traditional Arabic"/>
          <w:kern w:val="2"/>
          <w:sz w:val="24"/>
          <w:szCs w:val="24"/>
          <w14:ligatures w14:val="standardContextual"/>
        </w:rPr>
        <w:t xml:space="preserve">, D. (2021). Does data-driven culture impact innovation and performance of a firm? An empirical examination. </w:t>
      </w:r>
      <w:r w:rsidRPr="00CB373C">
        <w:rPr>
          <w:rFonts w:ascii="Traditional Arabic" w:eastAsia="Aptos" w:hAnsi="Traditional Arabic" w:cs="Traditional Arabic"/>
          <w:i/>
          <w:iCs/>
          <w:kern w:val="2"/>
          <w:sz w:val="24"/>
          <w:szCs w:val="24"/>
          <w14:ligatures w14:val="standardContextual"/>
        </w:rPr>
        <w:t>Annals of Operations Research</w:t>
      </w:r>
      <w:r w:rsidRPr="00CB373C">
        <w:rPr>
          <w:rFonts w:ascii="Traditional Arabic" w:eastAsia="Aptos" w:hAnsi="Traditional Arabic" w:cs="Traditional Arabic"/>
          <w:kern w:val="2"/>
          <w:sz w:val="24"/>
          <w:szCs w:val="24"/>
          <w14:ligatures w14:val="standardContextual"/>
        </w:rPr>
        <w:t xml:space="preserve">, 333, 601–626. </w:t>
      </w:r>
      <w:hyperlink r:id="rId24" w:history="1">
        <w:r w:rsidRPr="00CB373C">
          <w:rPr>
            <w:rFonts w:ascii="Traditional Arabic" w:eastAsia="Aptos" w:hAnsi="Traditional Arabic" w:cs="Traditional Arabic"/>
            <w:color w:val="467886"/>
            <w:kern w:val="2"/>
            <w:sz w:val="24"/>
            <w:szCs w:val="24"/>
            <w:u w:val="single"/>
            <w14:ligatures w14:val="standardContextual"/>
          </w:rPr>
          <w:t>https://doi.org/10.1007/s10479-020-03887-z</w:t>
        </w:r>
      </w:hyperlink>
      <w:r w:rsidRPr="00CB373C">
        <w:rPr>
          <w:rFonts w:ascii="Traditional Arabic" w:eastAsia="Aptos" w:hAnsi="Traditional Arabic" w:cs="Traditional Arabic"/>
          <w:kern w:val="2"/>
          <w:sz w:val="24"/>
          <w:szCs w:val="24"/>
          <w14:ligatures w14:val="standardContextual"/>
        </w:rPr>
        <w:t xml:space="preserve"> </w:t>
      </w:r>
    </w:p>
    <w:p w14:paraId="092CB71E"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Chen, A. N., Thomas, J. Y., McMurtrey, M. E., &amp; Ellis, M. E. (2022). E-Payment adoption in Saudi Arabia. </w:t>
      </w:r>
      <w:r w:rsidRPr="00CB373C">
        <w:rPr>
          <w:rFonts w:ascii="Traditional Arabic" w:eastAsia="Aptos" w:hAnsi="Traditional Arabic" w:cs="Traditional Arabic"/>
          <w:i/>
          <w:iCs/>
          <w:kern w:val="2"/>
          <w:sz w:val="24"/>
          <w:szCs w:val="24"/>
          <w14:ligatures w14:val="standardContextual"/>
        </w:rPr>
        <w:t>Journal of International Technology and Information Management</w:t>
      </w:r>
      <w:r w:rsidRPr="00CB373C">
        <w:rPr>
          <w:rFonts w:ascii="Traditional Arabic" w:eastAsia="Aptos" w:hAnsi="Traditional Arabic" w:cs="Traditional Arabic"/>
          <w:kern w:val="2"/>
          <w:sz w:val="24"/>
          <w:szCs w:val="24"/>
          <w14:ligatures w14:val="standardContextual"/>
        </w:rPr>
        <w:t>, 31(1), 125–145. https://doi.org/10.58729/1941-6679.1511</w:t>
      </w:r>
    </w:p>
    <w:p w14:paraId="1379B71E"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Davis, F. D. (1989). Perceived usefulness, perceived ease of use, and user acceptance of information technology. </w:t>
      </w:r>
      <w:r w:rsidRPr="00CB373C">
        <w:rPr>
          <w:rFonts w:ascii="Traditional Arabic" w:eastAsia="Aptos" w:hAnsi="Traditional Arabic" w:cs="Traditional Arabic"/>
          <w:i/>
          <w:iCs/>
          <w:kern w:val="2"/>
          <w:sz w:val="24"/>
          <w:szCs w:val="24"/>
          <w14:ligatures w14:val="standardContextual"/>
        </w:rPr>
        <w:t>MIS Quarterly, 13</w:t>
      </w:r>
      <w:r w:rsidRPr="00CB373C">
        <w:rPr>
          <w:rFonts w:ascii="Traditional Arabic" w:eastAsia="Aptos" w:hAnsi="Traditional Arabic" w:cs="Traditional Arabic"/>
          <w:kern w:val="2"/>
          <w:sz w:val="24"/>
          <w:szCs w:val="24"/>
          <w14:ligatures w14:val="standardContextual"/>
        </w:rPr>
        <w:t xml:space="preserve">(3), 319–340. </w:t>
      </w:r>
      <w:hyperlink r:id="rId25" w:tgtFrame="_new" w:history="1">
        <w:r w:rsidRPr="00CB373C">
          <w:rPr>
            <w:rFonts w:ascii="Traditional Arabic" w:eastAsia="Aptos" w:hAnsi="Traditional Arabic" w:cs="Traditional Arabic"/>
            <w:color w:val="467886"/>
            <w:kern w:val="2"/>
            <w:sz w:val="24"/>
            <w:szCs w:val="24"/>
            <w:u w:val="single"/>
            <w14:ligatures w14:val="standardContextual"/>
          </w:rPr>
          <w:t>https://doi.org/10.2307/249008</w:t>
        </w:r>
      </w:hyperlink>
      <w:r w:rsidRPr="00CB373C">
        <w:rPr>
          <w:rFonts w:ascii="Traditional Arabic" w:eastAsia="Aptos" w:hAnsi="Traditional Arabic" w:cs="Traditional Arabic"/>
          <w:kern w:val="2"/>
          <w:sz w:val="24"/>
          <w:szCs w:val="24"/>
          <w14:ligatures w14:val="standardContextual"/>
        </w:rPr>
        <w:t xml:space="preserve"> </w:t>
      </w:r>
    </w:p>
    <w:p w14:paraId="3F72BCBC"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Eggert, M., &amp; Alberts, J. (2020). Frontiers of business intelligence and analytics 3.0: A taxonomy-based literature review and research agenda. </w:t>
      </w:r>
      <w:r w:rsidRPr="00CB373C">
        <w:rPr>
          <w:rFonts w:ascii="Traditional Arabic" w:eastAsia="Aptos" w:hAnsi="Traditional Arabic" w:cs="Traditional Arabic"/>
          <w:i/>
          <w:iCs/>
          <w:kern w:val="2"/>
          <w:sz w:val="24"/>
          <w:szCs w:val="24"/>
          <w14:ligatures w14:val="standardContextual"/>
        </w:rPr>
        <w:t>Business Research</w:t>
      </w:r>
      <w:r w:rsidRPr="00CB373C">
        <w:rPr>
          <w:rFonts w:ascii="Traditional Arabic" w:eastAsia="Aptos" w:hAnsi="Traditional Arabic" w:cs="Traditional Arabic"/>
          <w:kern w:val="2"/>
          <w:sz w:val="24"/>
          <w:szCs w:val="24"/>
          <w14:ligatures w14:val="standardContextual"/>
        </w:rPr>
        <w:t xml:space="preserve">, 13, 685–739. </w:t>
      </w:r>
      <w:hyperlink r:id="rId26" w:tgtFrame="_new" w:history="1">
        <w:r w:rsidRPr="00CB373C">
          <w:rPr>
            <w:rFonts w:ascii="Traditional Arabic" w:eastAsia="Aptos" w:hAnsi="Traditional Arabic" w:cs="Traditional Arabic"/>
            <w:color w:val="467886"/>
            <w:kern w:val="2"/>
            <w:sz w:val="24"/>
            <w:szCs w:val="24"/>
            <w:u w:val="single"/>
            <w14:ligatures w14:val="standardContextual"/>
          </w:rPr>
          <w:t>https://doi.org/10.1007/s40685-020-00108-y</w:t>
        </w:r>
      </w:hyperlink>
      <w:r w:rsidRPr="00CB373C">
        <w:rPr>
          <w:rFonts w:ascii="Traditional Arabic" w:eastAsia="Aptos" w:hAnsi="Traditional Arabic" w:cs="Traditional Arabic"/>
          <w:kern w:val="2"/>
          <w:sz w:val="24"/>
          <w:szCs w:val="24"/>
          <w14:ligatures w14:val="standardContextual"/>
        </w:rPr>
        <w:t xml:space="preserve"> </w:t>
      </w:r>
    </w:p>
    <w:p w14:paraId="2FBF5309"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Fattah, I. A., Prabowo, H., Tjhin, V. U., &amp; Rahim, R. K. (2025). The interplay between business analytics capabilities and decision-making performance in Indonesia's public sector. </w:t>
      </w:r>
      <w:r w:rsidRPr="00CB373C">
        <w:rPr>
          <w:rFonts w:ascii="Traditional Arabic" w:eastAsia="Aptos" w:hAnsi="Traditional Arabic" w:cs="Traditional Arabic"/>
          <w:i/>
          <w:iCs/>
          <w:kern w:val="2"/>
          <w:sz w:val="24"/>
          <w:szCs w:val="24"/>
          <w14:ligatures w14:val="standardContextual"/>
        </w:rPr>
        <w:t>Digital Business</w:t>
      </w:r>
      <w:r w:rsidRPr="00CB373C">
        <w:rPr>
          <w:rFonts w:ascii="Traditional Arabic" w:eastAsia="Aptos" w:hAnsi="Traditional Arabic" w:cs="Traditional Arabic"/>
          <w:kern w:val="2"/>
          <w:sz w:val="24"/>
          <w:szCs w:val="24"/>
          <w14:ligatures w14:val="standardContextual"/>
        </w:rPr>
        <w:t xml:space="preserve">, 5(2), 100132. </w:t>
      </w:r>
      <w:hyperlink r:id="rId27" w:history="1">
        <w:r w:rsidRPr="00CB373C">
          <w:rPr>
            <w:rFonts w:ascii="Traditional Arabic" w:eastAsia="Aptos" w:hAnsi="Traditional Arabic" w:cs="Traditional Arabic"/>
            <w:color w:val="467886"/>
            <w:kern w:val="2"/>
            <w:sz w:val="24"/>
            <w:szCs w:val="24"/>
            <w:u w:val="single"/>
            <w14:ligatures w14:val="standardContextual"/>
          </w:rPr>
          <w:t>https://doi.org/10.1016/j.digbus.2025.100132</w:t>
        </w:r>
      </w:hyperlink>
      <w:r w:rsidRPr="00CB373C">
        <w:rPr>
          <w:rFonts w:ascii="Traditional Arabic" w:eastAsia="Aptos" w:hAnsi="Traditional Arabic" w:cs="Traditional Arabic"/>
          <w:kern w:val="2"/>
          <w:sz w:val="24"/>
          <w:szCs w:val="24"/>
          <w14:ligatures w14:val="standardContextual"/>
        </w:rPr>
        <w:t xml:space="preserve"> </w:t>
      </w:r>
    </w:p>
    <w:p w14:paraId="59E158D5"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proofErr w:type="spellStart"/>
      <w:r w:rsidRPr="00CB373C">
        <w:rPr>
          <w:rFonts w:ascii="Traditional Arabic" w:eastAsia="Aptos" w:hAnsi="Traditional Arabic" w:cs="Traditional Arabic"/>
          <w:kern w:val="2"/>
          <w:sz w:val="24"/>
          <w:szCs w:val="24"/>
          <w14:ligatures w14:val="standardContextual"/>
        </w:rPr>
        <w:t>Golebiowska</w:t>
      </w:r>
      <w:proofErr w:type="spellEnd"/>
      <w:r w:rsidRPr="00CB373C">
        <w:rPr>
          <w:rFonts w:ascii="Traditional Arabic" w:eastAsia="Aptos" w:hAnsi="Traditional Arabic" w:cs="Traditional Arabic"/>
          <w:kern w:val="2"/>
          <w:sz w:val="24"/>
          <w:szCs w:val="24"/>
          <w14:ligatures w14:val="standardContextual"/>
        </w:rPr>
        <w:t xml:space="preserve">, A., Jakubczak, W., Prokopowicz, D., &amp; Jakubczak, R. (2021). Cybersecurity of business intelligence analytics based on the processing of large sets of information with the use of sentiment analysis and big data. </w:t>
      </w:r>
      <w:r w:rsidRPr="00CB373C">
        <w:rPr>
          <w:rFonts w:ascii="Traditional Arabic" w:eastAsia="Aptos" w:hAnsi="Traditional Arabic" w:cs="Traditional Arabic"/>
          <w:i/>
          <w:iCs/>
          <w:kern w:val="2"/>
          <w:sz w:val="24"/>
          <w:szCs w:val="24"/>
          <w14:ligatures w14:val="standardContextual"/>
        </w:rPr>
        <w:t>European Research Studies Journal</w:t>
      </w:r>
      <w:r w:rsidRPr="00CB373C">
        <w:rPr>
          <w:rFonts w:ascii="Traditional Arabic" w:eastAsia="Aptos" w:hAnsi="Traditional Arabic" w:cs="Traditional Arabic"/>
          <w:kern w:val="2"/>
          <w:sz w:val="24"/>
          <w:szCs w:val="24"/>
          <w14:ligatures w14:val="standardContextual"/>
        </w:rPr>
        <w:t xml:space="preserve">, 24(4, Part 1), 850–871. </w:t>
      </w:r>
    </w:p>
    <w:p w14:paraId="3519D80B"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Gonçalves, C. T., Gonçalves, M. J. A., &amp; </w:t>
      </w:r>
      <w:proofErr w:type="spellStart"/>
      <w:r w:rsidRPr="00CB373C">
        <w:rPr>
          <w:rFonts w:ascii="Traditional Arabic" w:eastAsia="Aptos" w:hAnsi="Traditional Arabic" w:cs="Traditional Arabic"/>
          <w:kern w:val="2"/>
          <w:sz w:val="24"/>
          <w:szCs w:val="24"/>
          <w14:ligatures w14:val="standardContextual"/>
        </w:rPr>
        <w:t>Campante</w:t>
      </w:r>
      <w:proofErr w:type="spellEnd"/>
      <w:r w:rsidRPr="00CB373C">
        <w:rPr>
          <w:rFonts w:ascii="Traditional Arabic" w:eastAsia="Aptos" w:hAnsi="Traditional Arabic" w:cs="Traditional Arabic"/>
          <w:kern w:val="2"/>
          <w:sz w:val="24"/>
          <w:szCs w:val="24"/>
          <w14:ligatures w14:val="standardContextual"/>
        </w:rPr>
        <w:t xml:space="preserve">, M. I. (2023). Developing integrated performance dashboards </w:t>
      </w:r>
      <w:proofErr w:type="spellStart"/>
      <w:r w:rsidRPr="00CB373C">
        <w:rPr>
          <w:rFonts w:ascii="Traditional Arabic" w:eastAsia="Aptos" w:hAnsi="Traditional Arabic" w:cs="Traditional Arabic"/>
          <w:kern w:val="2"/>
          <w:sz w:val="24"/>
          <w:szCs w:val="24"/>
          <w14:ligatures w14:val="standardContextual"/>
        </w:rPr>
        <w:t>visualisations</w:t>
      </w:r>
      <w:proofErr w:type="spellEnd"/>
      <w:r w:rsidRPr="00CB373C">
        <w:rPr>
          <w:rFonts w:ascii="Traditional Arabic" w:eastAsia="Aptos" w:hAnsi="Traditional Arabic" w:cs="Traditional Arabic"/>
          <w:kern w:val="2"/>
          <w:sz w:val="24"/>
          <w:szCs w:val="24"/>
          <w14:ligatures w14:val="standardContextual"/>
        </w:rPr>
        <w:t xml:space="preserve"> using Power BI as a platform. </w:t>
      </w:r>
      <w:r w:rsidRPr="00CB373C">
        <w:rPr>
          <w:rFonts w:ascii="Traditional Arabic" w:eastAsia="Aptos" w:hAnsi="Traditional Arabic" w:cs="Traditional Arabic"/>
          <w:i/>
          <w:iCs/>
          <w:kern w:val="2"/>
          <w:sz w:val="24"/>
          <w:szCs w:val="24"/>
          <w14:ligatures w14:val="standardContextual"/>
        </w:rPr>
        <w:t>Information</w:t>
      </w:r>
      <w:r w:rsidRPr="00CB373C">
        <w:rPr>
          <w:rFonts w:ascii="Traditional Arabic" w:eastAsia="Aptos" w:hAnsi="Traditional Arabic" w:cs="Traditional Arabic"/>
          <w:kern w:val="2"/>
          <w:sz w:val="24"/>
          <w:szCs w:val="24"/>
          <w14:ligatures w14:val="standardContextual"/>
        </w:rPr>
        <w:t xml:space="preserve">, 14(11), 614. </w:t>
      </w:r>
      <w:hyperlink r:id="rId28" w:tgtFrame="_new" w:history="1">
        <w:r w:rsidRPr="00CB373C">
          <w:rPr>
            <w:rFonts w:ascii="Traditional Arabic" w:eastAsia="Aptos" w:hAnsi="Traditional Arabic" w:cs="Traditional Arabic"/>
            <w:color w:val="467886"/>
            <w:kern w:val="2"/>
            <w:sz w:val="24"/>
            <w:szCs w:val="24"/>
            <w:u w:val="single"/>
            <w14:ligatures w14:val="standardContextual"/>
          </w:rPr>
          <w:t>https://doi.org/10.3390/info14110614</w:t>
        </w:r>
      </w:hyperlink>
      <w:r w:rsidRPr="00CB373C">
        <w:rPr>
          <w:rFonts w:ascii="Traditional Arabic" w:eastAsia="Aptos" w:hAnsi="Traditional Arabic" w:cs="Traditional Arabic"/>
          <w:kern w:val="2"/>
          <w:sz w:val="24"/>
          <w:szCs w:val="24"/>
          <w14:ligatures w14:val="standardContextual"/>
        </w:rPr>
        <w:t xml:space="preserve"> </w:t>
      </w:r>
    </w:p>
    <w:p w14:paraId="3B81F0B8"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Hernandez Aros, L., Bustamante Molano, L. X., Gutierrez-Portela, F., Moreno Hernandez, J. J., &amp; Rodríguez Barrero, M. S. (2024). Financial fraud detection through the application of machine learning techniques: A literature review. </w:t>
      </w:r>
      <w:r w:rsidRPr="00CB373C">
        <w:rPr>
          <w:rFonts w:ascii="Traditional Arabic" w:eastAsia="Aptos" w:hAnsi="Traditional Arabic" w:cs="Traditional Arabic"/>
          <w:i/>
          <w:iCs/>
          <w:kern w:val="2"/>
          <w:sz w:val="24"/>
          <w:szCs w:val="24"/>
          <w14:ligatures w14:val="standardContextual"/>
        </w:rPr>
        <w:t>Humanities and Social Sciences Communications</w:t>
      </w:r>
      <w:r w:rsidRPr="00CB373C">
        <w:rPr>
          <w:rFonts w:ascii="Traditional Arabic" w:eastAsia="Aptos" w:hAnsi="Traditional Arabic" w:cs="Traditional Arabic"/>
          <w:kern w:val="2"/>
          <w:sz w:val="24"/>
          <w:szCs w:val="24"/>
          <w14:ligatures w14:val="standardContextual"/>
        </w:rPr>
        <w:t xml:space="preserve">, 11, Article 1130. </w:t>
      </w:r>
      <w:hyperlink r:id="rId29" w:tgtFrame="_new" w:history="1">
        <w:r w:rsidRPr="00CB373C">
          <w:rPr>
            <w:rFonts w:ascii="Traditional Arabic" w:eastAsia="Aptos" w:hAnsi="Traditional Arabic" w:cs="Traditional Arabic"/>
            <w:color w:val="467886"/>
            <w:kern w:val="2"/>
            <w:sz w:val="24"/>
            <w:szCs w:val="24"/>
            <w:u w:val="single"/>
            <w14:ligatures w14:val="standardContextual"/>
          </w:rPr>
          <w:t>https://doi.org/10.1057/s41599-024-03606-0</w:t>
        </w:r>
      </w:hyperlink>
      <w:r w:rsidRPr="00CB373C">
        <w:rPr>
          <w:rFonts w:ascii="Traditional Arabic" w:eastAsia="Aptos" w:hAnsi="Traditional Arabic" w:cs="Traditional Arabic"/>
          <w:kern w:val="2"/>
          <w:sz w:val="24"/>
          <w:szCs w:val="24"/>
          <w14:ligatures w14:val="standardContextual"/>
        </w:rPr>
        <w:t xml:space="preserve"> </w:t>
      </w:r>
    </w:p>
    <w:p w14:paraId="02FC8AB4"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Hjelle, S., </w:t>
      </w:r>
      <w:proofErr w:type="spellStart"/>
      <w:r w:rsidRPr="00CB373C">
        <w:rPr>
          <w:rFonts w:ascii="Traditional Arabic" w:eastAsia="Aptos" w:hAnsi="Traditional Arabic" w:cs="Traditional Arabic"/>
          <w:kern w:val="2"/>
          <w:sz w:val="24"/>
          <w:szCs w:val="24"/>
          <w14:ligatures w14:val="standardContextual"/>
        </w:rPr>
        <w:t>Mikalef</w:t>
      </w:r>
      <w:proofErr w:type="spellEnd"/>
      <w:r w:rsidRPr="00CB373C">
        <w:rPr>
          <w:rFonts w:ascii="Traditional Arabic" w:eastAsia="Aptos" w:hAnsi="Traditional Arabic" w:cs="Traditional Arabic"/>
          <w:kern w:val="2"/>
          <w:sz w:val="24"/>
          <w:szCs w:val="24"/>
          <w14:ligatures w14:val="standardContextual"/>
        </w:rPr>
        <w:t xml:space="preserve">, P., </w:t>
      </w:r>
      <w:proofErr w:type="spellStart"/>
      <w:r w:rsidRPr="00CB373C">
        <w:rPr>
          <w:rFonts w:ascii="Traditional Arabic" w:eastAsia="Aptos" w:hAnsi="Traditional Arabic" w:cs="Traditional Arabic"/>
          <w:kern w:val="2"/>
          <w:sz w:val="24"/>
          <w:szCs w:val="24"/>
          <w14:ligatures w14:val="standardContextual"/>
        </w:rPr>
        <w:t>Altwaijry</w:t>
      </w:r>
      <w:proofErr w:type="spellEnd"/>
      <w:r w:rsidRPr="00CB373C">
        <w:rPr>
          <w:rFonts w:ascii="Traditional Arabic" w:eastAsia="Aptos" w:hAnsi="Traditional Arabic" w:cs="Traditional Arabic"/>
          <w:kern w:val="2"/>
          <w:sz w:val="24"/>
          <w:szCs w:val="24"/>
          <w14:ligatures w14:val="standardContextual"/>
        </w:rPr>
        <w:t xml:space="preserve">, N., &amp; Parida, V. (2024). Organizational decision making and analytics: An experimental study on dashboard visualizations. </w:t>
      </w:r>
      <w:r w:rsidRPr="00CB373C">
        <w:rPr>
          <w:rFonts w:ascii="Traditional Arabic" w:eastAsia="Aptos" w:hAnsi="Traditional Arabic" w:cs="Traditional Arabic"/>
          <w:i/>
          <w:iCs/>
          <w:kern w:val="2"/>
          <w:sz w:val="24"/>
          <w:szCs w:val="24"/>
          <w14:ligatures w14:val="standardContextual"/>
        </w:rPr>
        <w:t>Information &amp; Management</w:t>
      </w:r>
      <w:r w:rsidRPr="00CB373C">
        <w:rPr>
          <w:rFonts w:ascii="Traditional Arabic" w:eastAsia="Aptos" w:hAnsi="Traditional Arabic" w:cs="Traditional Arabic"/>
          <w:kern w:val="2"/>
          <w:sz w:val="24"/>
          <w:szCs w:val="24"/>
          <w14:ligatures w14:val="standardContextual"/>
        </w:rPr>
        <w:t xml:space="preserve">, 61(6), 104011. </w:t>
      </w:r>
      <w:hyperlink r:id="rId30" w:tgtFrame="_new" w:history="1">
        <w:r w:rsidRPr="00CB373C">
          <w:rPr>
            <w:rFonts w:ascii="Traditional Arabic" w:eastAsia="Aptos" w:hAnsi="Traditional Arabic" w:cs="Traditional Arabic"/>
            <w:color w:val="467886"/>
            <w:kern w:val="2"/>
            <w:sz w:val="24"/>
            <w:szCs w:val="24"/>
            <w:u w:val="single"/>
            <w14:ligatures w14:val="standardContextual"/>
          </w:rPr>
          <w:t>https://doi.org/10.1016/j.im.2024.104011</w:t>
        </w:r>
      </w:hyperlink>
      <w:r w:rsidRPr="00CB373C">
        <w:rPr>
          <w:rFonts w:ascii="Traditional Arabic" w:eastAsia="Aptos" w:hAnsi="Traditional Arabic" w:cs="Traditional Arabic"/>
          <w:kern w:val="2"/>
          <w:sz w:val="24"/>
          <w:szCs w:val="24"/>
          <w14:ligatures w14:val="standardContextual"/>
        </w:rPr>
        <w:t xml:space="preserve"> </w:t>
      </w:r>
    </w:p>
    <w:p w14:paraId="2D61D649"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lastRenderedPageBreak/>
        <w:t xml:space="preserve">Hoai, T. T., Hung, B. Q., &amp; Nguyen, N. P. (2022). The impact of internal control systems on the intensity of innovation and organizational performance of public sector organizations in Vietnam: The moderating role of transformational leadership. </w:t>
      </w:r>
      <w:proofErr w:type="spellStart"/>
      <w:r w:rsidRPr="00CB373C">
        <w:rPr>
          <w:rFonts w:ascii="Traditional Arabic" w:eastAsia="Aptos" w:hAnsi="Traditional Arabic" w:cs="Traditional Arabic"/>
          <w:i/>
          <w:iCs/>
          <w:kern w:val="2"/>
          <w:sz w:val="24"/>
          <w:szCs w:val="24"/>
          <w14:ligatures w14:val="standardContextual"/>
        </w:rPr>
        <w:t>Heliyon</w:t>
      </w:r>
      <w:proofErr w:type="spellEnd"/>
      <w:r w:rsidRPr="00CB373C">
        <w:rPr>
          <w:rFonts w:ascii="Traditional Arabic" w:eastAsia="Aptos" w:hAnsi="Traditional Arabic" w:cs="Traditional Arabic"/>
          <w:i/>
          <w:iCs/>
          <w:kern w:val="2"/>
          <w:sz w:val="24"/>
          <w:szCs w:val="24"/>
          <w14:ligatures w14:val="standardContextual"/>
        </w:rPr>
        <w:t>, 8</w:t>
      </w:r>
      <w:r w:rsidRPr="00CB373C">
        <w:rPr>
          <w:rFonts w:ascii="Traditional Arabic" w:eastAsia="Aptos" w:hAnsi="Traditional Arabic" w:cs="Traditional Arabic"/>
          <w:kern w:val="2"/>
          <w:sz w:val="24"/>
          <w:szCs w:val="24"/>
          <w14:ligatures w14:val="standardContextual"/>
        </w:rPr>
        <w:t xml:space="preserve">(2), e08954. </w:t>
      </w:r>
      <w:hyperlink r:id="rId31" w:tgtFrame="_new" w:history="1">
        <w:r w:rsidRPr="00CB373C">
          <w:rPr>
            <w:rFonts w:ascii="Traditional Arabic" w:eastAsia="Aptos" w:hAnsi="Traditional Arabic" w:cs="Traditional Arabic"/>
            <w:color w:val="467886"/>
            <w:kern w:val="2"/>
            <w:sz w:val="24"/>
            <w:szCs w:val="24"/>
            <w:u w:val="single"/>
            <w14:ligatures w14:val="standardContextual"/>
          </w:rPr>
          <w:t>https://doi.org/10.1016/j.heliyon.2022.e08954</w:t>
        </w:r>
      </w:hyperlink>
      <w:r w:rsidRPr="00CB373C">
        <w:rPr>
          <w:rFonts w:ascii="Traditional Arabic" w:eastAsia="Aptos" w:hAnsi="Traditional Arabic" w:cs="Traditional Arabic"/>
          <w:kern w:val="2"/>
          <w:sz w:val="24"/>
          <w:szCs w:val="24"/>
          <w14:ligatures w14:val="standardContextual"/>
        </w:rPr>
        <w:t xml:space="preserve"> </w:t>
      </w:r>
    </w:p>
    <w:p w14:paraId="1D667F86"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Jarrar, A. (2021). The association between cognitive biases and the quality of strategic decision making: Evidence from Jordanian banks. </w:t>
      </w:r>
      <w:r w:rsidRPr="00CB373C">
        <w:rPr>
          <w:rFonts w:ascii="Traditional Arabic" w:eastAsia="Aptos" w:hAnsi="Traditional Arabic" w:cs="Traditional Arabic"/>
          <w:i/>
          <w:iCs/>
          <w:kern w:val="2"/>
          <w:sz w:val="24"/>
          <w:szCs w:val="24"/>
          <w14:ligatures w14:val="standardContextual"/>
        </w:rPr>
        <w:t>Banks and Bank Systems</w:t>
      </w:r>
      <w:r w:rsidRPr="00CB373C">
        <w:rPr>
          <w:rFonts w:ascii="Traditional Arabic" w:eastAsia="Aptos" w:hAnsi="Traditional Arabic" w:cs="Traditional Arabic"/>
          <w:kern w:val="2"/>
          <w:sz w:val="24"/>
          <w:szCs w:val="24"/>
          <w14:ligatures w14:val="standardContextual"/>
        </w:rPr>
        <w:t xml:space="preserve">, 16(2), 1–11. </w:t>
      </w:r>
      <w:hyperlink r:id="rId32" w:history="1">
        <w:r w:rsidRPr="00CB373C">
          <w:rPr>
            <w:rFonts w:ascii="Traditional Arabic" w:eastAsia="Aptos" w:hAnsi="Traditional Arabic" w:cs="Traditional Arabic"/>
            <w:color w:val="467886"/>
            <w:kern w:val="2"/>
            <w:sz w:val="24"/>
            <w:szCs w:val="24"/>
            <w:u w:val="single"/>
            <w14:ligatures w14:val="standardContextual"/>
          </w:rPr>
          <w:t>https://doi.org/10.21511/bbs.16(2).2021.01</w:t>
        </w:r>
      </w:hyperlink>
      <w:r w:rsidRPr="00CB373C">
        <w:rPr>
          <w:rFonts w:ascii="Traditional Arabic" w:eastAsia="Aptos" w:hAnsi="Traditional Arabic" w:cs="Traditional Arabic"/>
          <w:kern w:val="2"/>
          <w:sz w:val="24"/>
          <w:szCs w:val="24"/>
          <w14:ligatures w14:val="standardContextual"/>
        </w:rPr>
        <w:t xml:space="preserve"> </w:t>
      </w:r>
    </w:p>
    <w:p w14:paraId="0036E95D"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Liu, C., Wang, Y., Evans, M., &amp; Correia, A.-P. (2024). Critical antecedents of mobile learning acceptance and moderation effects: A meta-analysis on technology acceptance model. </w:t>
      </w:r>
      <w:r w:rsidRPr="00CB373C">
        <w:rPr>
          <w:rFonts w:ascii="Traditional Arabic" w:eastAsia="Aptos" w:hAnsi="Traditional Arabic" w:cs="Traditional Arabic"/>
          <w:i/>
          <w:iCs/>
          <w:kern w:val="2"/>
          <w:sz w:val="24"/>
          <w:szCs w:val="24"/>
          <w14:ligatures w14:val="standardContextual"/>
        </w:rPr>
        <w:t>Education and Information Technologies, 29</w:t>
      </w:r>
      <w:r w:rsidRPr="00CB373C">
        <w:rPr>
          <w:rFonts w:ascii="Traditional Arabic" w:eastAsia="Aptos" w:hAnsi="Traditional Arabic" w:cs="Traditional Arabic"/>
          <w:kern w:val="2"/>
          <w:sz w:val="24"/>
          <w:szCs w:val="24"/>
          <w14:ligatures w14:val="standardContextual"/>
        </w:rPr>
        <w:t xml:space="preserve">, 20351–20382. </w:t>
      </w:r>
      <w:hyperlink r:id="rId33" w:history="1">
        <w:r w:rsidRPr="00CB373C">
          <w:rPr>
            <w:rFonts w:ascii="Traditional Arabic" w:eastAsia="Aptos" w:hAnsi="Traditional Arabic" w:cs="Traditional Arabic"/>
            <w:color w:val="467886"/>
            <w:kern w:val="2"/>
            <w:sz w:val="24"/>
            <w:szCs w:val="24"/>
            <w:u w:val="single"/>
            <w14:ligatures w14:val="standardContextual"/>
          </w:rPr>
          <w:t>https://doi.org/10.1007/s10639-024-12645-8</w:t>
        </w:r>
      </w:hyperlink>
      <w:r w:rsidRPr="00CB373C">
        <w:rPr>
          <w:rFonts w:ascii="Traditional Arabic" w:eastAsia="Aptos" w:hAnsi="Traditional Arabic" w:cs="Traditional Arabic"/>
          <w:kern w:val="2"/>
          <w:sz w:val="24"/>
          <w:szCs w:val="24"/>
          <w14:ligatures w14:val="standardContextual"/>
        </w:rPr>
        <w:t xml:space="preserve"> </w:t>
      </w:r>
    </w:p>
    <w:p w14:paraId="55A3324E"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Liu, Y. D., Zhang, J. Z., Zheng, J., &amp; Kamal, M. M. (2025). Artificial intelligence-enabled systems and innovation in B2B firms: The role of strategic agility and decision-making performance. </w:t>
      </w:r>
      <w:r w:rsidRPr="00CB373C">
        <w:rPr>
          <w:rFonts w:ascii="Traditional Arabic" w:eastAsia="Aptos" w:hAnsi="Traditional Arabic" w:cs="Traditional Arabic"/>
          <w:i/>
          <w:iCs/>
          <w:kern w:val="2"/>
          <w:sz w:val="24"/>
          <w:szCs w:val="24"/>
          <w14:ligatures w14:val="standardContextual"/>
        </w:rPr>
        <w:t>Industrial Marketing Management</w:t>
      </w:r>
      <w:r w:rsidRPr="00CB373C">
        <w:rPr>
          <w:rFonts w:ascii="Traditional Arabic" w:eastAsia="Aptos" w:hAnsi="Traditional Arabic" w:cs="Traditional Arabic"/>
          <w:kern w:val="2"/>
          <w:sz w:val="24"/>
          <w:szCs w:val="24"/>
          <w14:ligatures w14:val="standardContextual"/>
        </w:rPr>
        <w:t xml:space="preserve">, 127, 164–174. </w:t>
      </w:r>
      <w:hyperlink r:id="rId34" w:tgtFrame="_new" w:history="1">
        <w:r w:rsidRPr="00CB373C">
          <w:rPr>
            <w:rFonts w:ascii="Traditional Arabic" w:eastAsia="Aptos" w:hAnsi="Traditional Arabic" w:cs="Traditional Arabic"/>
            <w:color w:val="467886"/>
            <w:kern w:val="2"/>
            <w:sz w:val="24"/>
            <w:szCs w:val="24"/>
            <w:u w:val="single"/>
            <w14:ligatures w14:val="standardContextual"/>
          </w:rPr>
          <w:t>https://doi.org/10.1016/j.indmarman.2025.04.003</w:t>
        </w:r>
      </w:hyperlink>
      <w:r w:rsidRPr="00CB373C">
        <w:rPr>
          <w:rFonts w:ascii="Traditional Arabic" w:eastAsia="Aptos" w:hAnsi="Traditional Arabic" w:cs="Traditional Arabic"/>
          <w:kern w:val="2"/>
          <w:sz w:val="24"/>
          <w:szCs w:val="24"/>
          <w14:ligatures w14:val="standardContextual"/>
        </w:rPr>
        <w:t xml:space="preserve"> </w:t>
      </w:r>
    </w:p>
    <w:p w14:paraId="70CDC9E7"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Maghsoudi, M., &amp; </w:t>
      </w:r>
      <w:proofErr w:type="spellStart"/>
      <w:r w:rsidRPr="00CB373C">
        <w:rPr>
          <w:rFonts w:ascii="Traditional Arabic" w:eastAsia="Aptos" w:hAnsi="Traditional Arabic" w:cs="Traditional Arabic"/>
          <w:kern w:val="2"/>
          <w:sz w:val="24"/>
          <w:szCs w:val="24"/>
          <w14:ligatures w14:val="standardContextual"/>
        </w:rPr>
        <w:t>Nezafati</w:t>
      </w:r>
      <w:proofErr w:type="spellEnd"/>
      <w:r w:rsidRPr="00CB373C">
        <w:rPr>
          <w:rFonts w:ascii="Traditional Arabic" w:eastAsia="Aptos" w:hAnsi="Traditional Arabic" w:cs="Traditional Arabic"/>
          <w:kern w:val="2"/>
          <w:sz w:val="24"/>
          <w:szCs w:val="24"/>
          <w14:ligatures w14:val="standardContextual"/>
        </w:rPr>
        <w:t xml:space="preserve">, N. (2023). Navigating the acceptance of implementing business intelligence in organizations: A system dynamics approach. </w:t>
      </w:r>
      <w:r w:rsidRPr="00CB373C">
        <w:rPr>
          <w:rFonts w:ascii="Traditional Arabic" w:eastAsia="Aptos" w:hAnsi="Traditional Arabic" w:cs="Traditional Arabic"/>
          <w:i/>
          <w:iCs/>
          <w:kern w:val="2"/>
          <w:sz w:val="24"/>
          <w:szCs w:val="24"/>
          <w14:ligatures w14:val="standardContextual"/>
        </w:rPr>
        <w:t>Telematics and Informatics Reports, 11</w:t>
      </w:r>
      <w:r w:rsidRPr="00CB373C">
        <w:rPr>
          <w:rFonts w:ascii="Traditional Arabic" w:eastAsia="Aptos" w:hAnsi="Traditional Arabic" w:cs="Traditional Arabic"/>
          <w:kern w:val="2"/>
          <w:sz w:val="24"/>
          <w:szCs w:val="24"/>
          <w14:ligatures w14:val="standardContextual"/>
        </w:rPr>
        <w:t xml:space="preserve">, 100070. </w:t>
      </w:r>
      <w:hyperlink r:id="rId35" w:history="1">
        <w:r w:rsidRPr="00CB373C">
          <w:rPr>
            <w:rFonts w:ascii="Traditional Arabic" w:eastAsia="Aptos" w:hAnsi="Traditional Arabic" w:cs="Traditional Arabic"/>
            <w:color w:val="467886"/>
            <w:kern w:val="2"/>
            <w:sz w:val="24"/>
            <w:szCs w:val="24"/>
            <w:u w:val="single"/>
            <w14:ligatures w14:val="standardContextual"/>
          </w:rPr>
          <w:t>https://doi.org/10.1016/j.teler.2023.100070</w:t>
        </w:r>
      </w:hyperlink>
      <w:r w:rsidRPr="00CB373C">
        <w:rPr>
          <w:rFonts w:ascii="Traditional Arabic" w:eastAsia="Aptos" w:hAnsi="Traditional Arabic" w:cs="Traditional Arabic"/>
          <w:kern w:val="2"/>
          <w:sz w:val="24"/>
          <w:szCs w:val="24"/>
          <w14:ligatures w14:val="standardContextual"/>
        </w:rPr>
        <w:t xml:space="preserve">  </w:t>
      </w:r>
    </w:p>
    <w:p w14:paraId="21C79CE7"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Mancuso, I., </w:t>
      </w:r>
      <w:proofErr w:type="spellStart"/>
      <w:r w:rsidRPr="00CB373C">
        <w:rPr>
          <w:rFonts w:ascii="Traditional Arabic" w:eastAsia="Aptos" w:hAnsi="Traditional Arabic" w:cs="Traditional Arabic"/>
          <w:kern w:val="2"/>
          <w:sz w:val="24"/>
          <w:szCs w:val="24"/>
          <w14:ligatures w14:val="standardContextual"/>
        </w:rPr>
        <w:t>Messeni</w:t>
      </w:r>
      <w:proofErr w:type="spellEnd"/>
      <w:r w:rsidRPr="00CB373C">
        <w:rPr>
          <w:rFonts w:ascii="Traditional Arabic" w:eastAsia="Aptos" w:hAnsi="Traditional Arabic" w:cs="Traditional Arabic"/>
          <w:kern w:val="2"/>
          <w:sz w:val="24"/>
          <w:szCs w:val="24"/>
          <w14:ligatures w14:val="standardContextual"/>
        </w:rPr>
        <w:t xml:space="preserve"> Petruzzelli, A., </w:t>
      </w:r>
      <w:proofErr w:type="spellStart"/>
      <w:r w:rsidRPr="00CB373C">
        <w:rPr>
          <w:rFonts w:ascii="Traditional Arabic" w:eastAsia="Aptos" w:hAnsi="Traditional Arabic" w:cs="Traditional Arabic"/>
          <w:kern w:val="2"/>
          <w:sz w:val="24"/>
          <w:szCs w:val="24"/>
          <w14:ligatures w14:val="standardContextual"/>
        </w:rPr>
        <w:t>Panniello</w:t>
      </w:r>
      <w:proofErr w:type="spellEnd"/>
      <w:r w:rsidRPr="00CB373C">
        <w:rPr>
          <w:rFonts w:ascii="Traditional Arabic" w:eastAsia="Aptos" w:hAnsi="Traditional Arabic" w:cs="Traditional Arabic"/>
          <w:kern w:val="2"/>
          <w:sz w:val="24"/>
          <w:szCs w:val="24"/>
          <w14:ligatures w14:val="standardContextual"/>
        </w:rPr>
        <w:t xml:space="preserve">, U., &amp; Vaia, G. (2025). Business model innovation in the banking sector: How digital technologies transform innovation drivers in value mechanisms innovations. </w:t>
      </w:r>
      <w:r w:rsidRPr="00CB373C">
        <w:rPr>
          <w:rFonts w:ascii="Traditional Arabic" w:eastAsia="Aptos" w:hAnsi="Traditional Arabic" w:cs="Traditional Arabic"/>
          <w:i/>
          <w:iCs/>
          <w:kern w:val="2"/>
          <w:sz w:val="24"/>
          <w:szCs w:val="24"/>
          <w14:ligatures w14:val="standardContextual"/>
        </w:rPr>
        <w:t>Journal of Engineering and Technology Management, 75</w:t>
      </w:r>
      <w:r w:rsidRPr="00CB373C">
        <w:rPr>
          <w:rFonts w:ascii="Traditional Arabic" w:eastAsia="Aptos" w:hAnsi="Traditional Arabic" w:cs="Traditional Arabic"/>
          <w:kern w:val="2"/>
          <w:sz w:val="24"/>
          <w:szCs w:val="24"/>
          <w14:ligatures w14:val="standardContextual"/>
        </w:rPr>
        <w:t xml:space="preserve">, 101858. </w:t>
      </w:r>
      <w:hyperlink r:id="rId36" w:history="1">
        <w:r w:rsidRPr="00CB373C">
          <w:rPr>
            <w:rFonts w:ascii="Traditional Arabic" w:eastAsia="Aptos" w:hAnsi="Traditional Arabic" w:cs="Traditional Arabic"/>
            <w:color w:val="467886"/>
            <w:kern w:val="2"/>
            <w:sz w:val="24"/>
            <w:szCs w:val="24"/>
            <w:u w:val="single"/>
            <w14:ligatures w14:val="standardContextual"/>
          </w:rPr>
          <w:t>https://doi.org/10.1016/j.jengtecman.2024.101858</w:t>
        </w:r>
      </w:hyperlink>
      <w:r w:rsidRPr="00CB373C">
        <w:rPr>
          <w:rFonts w:ascii="Traditional Arabic" w:eastAsia="Aptos" w:hAnsi="Traditional Arabic" w:cs="Traditional Arabic"/>
          <w:kern w:val="2"/>
          <w:sz w:val="24"/>
          <w:szCs w:val="24"/>
          <w14:ligatures w14:val="standardContextual"/>
        </w:rPr>
        <w:t xml:space="preserve"> </w:t>
      </w:r>
    </w:p>
    <w:p w14:paraId="01DB18AC"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Mohamed, S. D., &amp; Hussein, H. A. (2025). Unveiling the role of innovation practices in organizational learning as a mediator for sustainable performance enhancement in Somali banks. </w:t>
      </w:r>
      <w:r w:rsidRPr="00CB373C">
        <w:rPr>
          <w:rFonts w:ascii="Traditional Arabic" w:eastAsia="Aptos" w:hAnsi="Traditional Arabic" w:cs="Traditional Arabic"/>
          <w:i/>
          <w:iCs/>
          <w:kern w:val="2"/>
          <w:sz w:val="24"/>
          <w:szCs w:val="24"/>
          <w14:ligatures w14:val="standardContextual"/>
        </w:rPr>
        <w:t>Discover Sustainability, 6</w:t>
      </w:r>
      <w:r w:rsidRPr="00CB373C">
        <w:rPr>
          <w:rFonts w:ascii="Traditional Arabic" w:eastAsia="Aptos" w:hAnsi="Traditional Arabic" w:cs="Traditional Arabic"/>
          <w:kern w:val="2"/>
          <w:sz w:val="24"/>
          <w:szCs w:val="24"/>
          <w14:ligatures w14:val="standardContextual"/>
        </w:rPr>
        <w:t xml:space="preserve">, 213. </w:t>
      </w:r>
      <w:hyperlink r:id="rId37" w:history="1">
        <w:r w:rsidRPr="00CB373C">
          <w:rPr>
            <w:rFonts w:ascii="Traditional Arabic" w:eastAsia="Aptos" w:hAnsi="Traditional Arabic" w:cs="Traditional Arabic"/>
            <w:color w:val="467886"/>
            <w:kern w:val="2"/>
            <w:sz w:val="24"/>
            <w:szCs w:val="24"/>
            <w:u w:val="single"/>
            <w14:ligatures w14:val="standardContextual"/>
          </w:rPr>
          <w:t>https://doi.org/10.1007/s43621-025-00924-4</w:t>
        </w:r>
      </w:hyperlink>
      <w:r w:rsidRPr="00CB373C">
        <w:rPr>
          <w:rFonts w:ascii="Traditional Arabic" w:eastAsia="Aptos" w:hAnsi="Traditional Arabic" w:cs="Traditional Arabic"/>
          <w:kern w:val="2"/>
          <w:sz w:val="24"/>
          <w:szCs w:val="24"/>
          <w14:ligatures w14:val="standardContextual"/>
        </w:rPr>
        <w:t xml:space="preserve"> </w:t>
      </w:r>
    </w:p>
    <w:p w14:paraId="4D4E2E4A"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Mohammed, A. B., Al-</w:t>
      </w:r>
      <w:proofErr w:type="spellStart"/>
      <w:r w:rsidRPr="00CB373C">
        <w:rPr>
          <w:rFonts w:ascii="Traditional Arabic" w:eastAsia="Aptos" w:hAnsi="Traditional Arabic" w:cs="Traditional Arabic"/>
          <w:kern w:val="2"/>
          <w:sz w:val="24"/>
          <w:szCs w:val="24"/>
          <w14:ligatures w14:val="standardContextual"/>
        </w:rPr>
        <w:t>Okaily</w:t>
      </w:r>
      <w:proofErr w:type="spellEnd"/>
      <w:r w:rsidRPr="00CB373C">
        <w:rPr>
          <w:rFonts w:ascii="Traditional Arabic" w:eastAsia="Aptos" w:hAnsi="Traditional Arabic" w:cs="Traditional Arabic"/>
          <w:kern w:val="2"/>
          <w:sz w:val="24"/>
          <w:szCs w:val="24"/>
          <w14:ligatures w14:val="standardContextual"/>
        </w:rPr>
        <w:t xml:space="preserve">, M., Qasim, D., &amp; Al-Majali, M. K. (2024). Towards an understanding of business intelligence and analytics usage: Evidence from the banking industry. </w:t>
      </w:r>
      <w:r w:rsidRPr="00CB373C">
        <w:rPr>
          <w:rFonts w:ascii="Traditional Arabic" w:eastAsia="Aptos" w:hAnsi="Traditional Arabic" w:cs="Traditional Arabic"/>
          <w:i/>
          <w:iCs/>
          <w:kern w:val="2"/>
          <w:sz w:val="24"/>
          <w:szCs w:val="24"/>
          <w14:ligatures w14:val="standardContextual"/>
        </w:rPr>
        <w:t>International Journal of Information Management Data Insights</w:t>
      </w:r>
      <w:r w:rsidRPr="00CB373C">
        <w:rPr>
          <w:rFonts w:ascii="Traditional Arabic" w:eastAsia="Aptos" w:hAnsi="Traditional Arabic" w:cs="Traditional Arabic"/>
          <w:kern w:val="2"/>
          <w:sz w:val="24"/>
          <w:szCs w:val="24"/>
          <w14:ligatures w14:val="standardContextual"/>
        </w:rPr>
        <w:t xml:space="preserve">, 4(1), 100215. </w:t>
      </w:r>
      <w:hyperlink r:id="rId38" w:history="1">
        <w:r w:rsidRPr="00CB373C">
          <w:rPr>
            <w:rFonts w:ascii="Traditional Arabic" w:eastAsia="Aptos" w:hAnsi="Traditional Arabic" w:cs="Traditional Arabic"/>
            <w:color w:val="467886"/>
            <w:kern w:val="2"/>
            <w:sz w:val="24"/>
            <w:szCs w:val="24"/>
            <w:u w:val="single"/>
            <w14:ligatures w14:val="standardContextual"/>
          </w:rPr>
          <w:t>https://doi.org/10.1016/j.jjimei.2024.100215</w:t>
        </w:r>
      </w:hyperlink>
      <w:r w:rsidRPr="00CB373C">
        <w:rPr>
          <w:rFonts w:ascii="Traditional Arabic" w:eastAsia="Aptos" w:hAnsi="Traditional Arabic" w:cs="Traditional Arabic"/>
          <w:kern w:val="2"/>
          <w:sz w:val="24"/>
          <w:szCs w:val="24"/>
          <w14:ligatures w14:val="standardContextual"/>
        </w:rPr>
        <w:t xml:space="preserve"> </w:t>
      </w:r>
    </w:p>
    <w:p w14:paraId="4B52A261"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lastRenderedPageBreak/>
        <w:t xml:space="preserve">Moussavou, J. (2022). Meeting the challenge of innovation in the banking industry: An analysis through dynamic capabilities. </w:t>
      </w:r>
      <w:r w:rsidRPr="00CB373C">
        <w:rPr>
          <w:rFonts w:ascii="Traditional Arabic" w:eastAsia="Aptos" w:hAnsi="Traditional Arabic" w:cs="Traditional Arabic"/>
          <w:i/>
          <w:iCs/>
          <w:kern w:val="2"/>
          <w:sz w:val="24"/>
          <w:szCs w:val="24"/>
          <w14:ligatures w14:val="standardContextual"/>
        </w:rPr>
        <w:t>Bankers, Markets &amp; Investors, 168</w:t>
      </w:r>
      <w:r w:rsidRPr="00CB373C">
        <w:rPr>
          <w:rFonts w:ascii="Traditional Arabic" w:eastAsia="Aptos" w:hAnsi="Traditional Arabic" w:cs="Traditional Arabic"/>
          <w:kern w:val="2"/>
          <w:sz w:val="24"/>
          <w:szCs w:val="24"/>
          <w14:ligatures w14:val="standardContextual"/>
        </w:rPr>
        <w:t xml:space="preserve">(1), 13–27. </w:t>
      </w:r>
      <w:hyperlink r:id="rId39" w:history="1">
        <w:r w:rsidRPr="00CB373C">
          <w:rPr>
            <w:rFonts w:ascii="Traditional Arabic" w:eastAsia="Aptos" w:hAnsi="Traditional Arabic" w:cs="Traditional Arabic"/>
            <w:color w:val="467886"/>
            <w:kern w:val="2"/>
            <w:sz w:val="24"/>
            <w:szCs w:val="24"/>
            <w:u w:val="single"/>
            <w14:ligatures w14:val="standardContextual"/>
          </w:rPr>
          <w:t>https://doi.org/10.54695/bmi.168.0013</w:t>
        </w:r>
      </w:hyperlink>
      <w:r w:rsidRPr="00CB373C">
        <w:rPr>
          <w:rFonts w:ascii="Traditional Arabic" w:eastAsia="Aptos" w:hAnsi="Traditional Arabic" w:cs="Traditional Arabic"/>
          <w:kern w:val="2"/>
          <w:sz w:val="24"/>
          <w:szCs w:val="24"/>
          <w14:ligatures w14:val="standardContextual"/>
        </w:rPr>
        <w:t xml:space="preserve"> </w:t>
      </w:r>
    </w:p>
    <w:p w14:paraId="3C2C3762"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Mudau, T. N., Cohen, J., &amp; Papageorgiou, E. (2024). Determinants and consequences of routine and advanced use of business intelligence (BI) systems by management accountants. </w:t>
      </w:r>
      <w:r w:rsidRPr="00CB373C">
        <w:rPr>
          <w:rFonts w:ascii="Traditional Arabic" w:eastAsia="Aptos" w:hAnsi="Traditional Arabic" w:cs="Traditional Arabic"/>
          <w:i/>
          <w:iCs/>
          <w:kern w:val="2"/>
          <w:sz w:val="24"/>
          <w:szCs w:val="24"/>
          <w14:ligatures w14:val="standardContextual"/>
        </w:rPr>
        <w:t>Information &amp; Management, 61</w:t>
      </w:r>
      <w:r w:rsidRPr="00CB373C">
        <w:rPr>
          <w:rFonts w:ascii="Traditional Arabic" w:eastAsia="Aptos" w:hAnsi="Traditional Arabic" w:cs="Traditional Arabic"/>
          <w:kern w:val="2"/>
          <w:sz w:val="24"/>
          <w:szCs w:val="24"/>
          <w14:ligatures w14:val="standardContextual"/>
        </w:rPr>
        <w:t xml:space="preserve">(1), 103888. </w:t>
      </w:r>
      <w:hyperlink r:id="rId40" w:tgtFrame="_new" w:history="1">
        <w:r w:rsidRPr="00CB373C">
          <w:rPr>
            <w:rFonts w:ascii="Traditional Arabic" w:eastAsia="Aptos" w:hAnsi="Traditional Arabic" w:cs="Traditional Arabic"/>
            <w:color w:val="467886"/>
            <w:kern w:val="2"/>
            <w:sz w:val="24"/>
            <w:szCs w:val="24"/>
            <w:u w:val="single"/>
            <w14:ligatures w14:val="standardContextual"/>
          </w:rPr>
          <w:t>https://doi.org/10.1016/j.im.2023.103888</w:t>
        </w:r>
      </w:hyperlink>
      <w:r w:rsidRPr="00CB373C">
        <w:rPr>
          <w:rFonts w:ascii="Traditional Arabic" w:eastAsia="Aptos" w:hAnsi="Traditional Arabic" w:cs="Traditional Arabic"/>
          <w:kern w:val="2"/>
          <w:sz w:val="24"/>
          <w:szCs w:val="24"/>
          <w14:ligatures w14:val="standardContextual"/>
        </w:rPr>
        <w:t xml:space="preserve"> </w:t>
      </w:r>
    </w:p>
    <w:p w14:paraId="075583C5"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proofErr w:type="spellStart"/>
      <w:r w:rsidRPr="00CB373C">
        <w:rPr>
          <w:rFonts w:ascii="Traditional Arabic" w:eastAsia="Aptos" w:hAnsi="Traditional Arabic" w:cs="Traditional Arabic"/>
          <w:kern w:val="2"/>
          <w:sz w:val="24"/>
          <w:szCs w:val="24"/>
          <w14:ligatures w14:val="standardContextual"/>
        </w:rPr>
        <w:t>Mutambik</w:t>
      </w:r>
      <w:proofErr w:type="spellEnd"/>
      <w:r w:rsidRPr="00CB373C">
        <w:rPr>
          <w:rFonts w:ascii="Traditional Arabic" w:eastAsia="Aptos" w:hAnsi="Traditional Arabic" w:cs="Traditional Arabic"/>
          <w:kern w:val="2"/>
          <w:sz w:val="24"/>
          <w:szCs w:val="24"/>
          <w14:ligatures w14:val="standardContextual"/>
        </w:rPr>
        <w:t xml:space="preserve">, I. (2023). Customer experience in open banking and how it affects loyalty intention: A study from Saudi Arabia. </w:t>
      </w:r>
      <w:r w:rsidRPr="00CB373C">
        <w:rPr>
          <w:rFonts w:ascii="Traditional Arabic" w:eastAsia="Aptos" w:hAnsi="Traditional Arabic" w:cs="Traditional Arabic"/>
          <w:i/>
          <w:iCs/>
          <w:kern w:val="2"/>
          <w:sz w:val="24"/>
          <w:szCs w:val="24"/>
          <w14:ligatures w14:val="standardContextual"/>
        </w:rPr>
        <w:t>Sustainability</w:t>
      </w:r>
      <w:r w:rsidRPr="00CB373C">
        <w:rPr>
          <w:rFonts w:ascii="Traditional Arabic" w:eastAsia="Aptos" w:hAnsi="Traditional Arabic" w:cs="Traditional Arabic"/>
          <w:kern w:val="2"/>
          <w:sz w:val="24"/>
          <w:szCs w:val="24"/>
          <w14:ligatures w14:val="standardContextual"/>
        </w:rPr>
        <w:t xml:space="preserve">, 15(14), 10867. </w:t>
      </w:r>
      <w:hyperlink r:id="rId41" w:tgtFrame="_new" w:history="1">
        <w:r w:rsidRPr="00CB373C">
          <w:rPr>
            <w:rFonts w:ascii="Traditional Arabic" w:eastAsia="Aptos" w:hAnsi="Traditional Arabic" w:cs="Traditional Arabic"/>
            <w:color w:val="467886"/>
            <w:kern w:val="2"/>
            <w:sz w:val="24"/>
            <w:szCs w:val="24"/>
            <w:u w:val="single"/>
            <w14:ligatures w14:val="standardContextual"/>
          </w:rPr>
          <w:t>https://doi.org/10.3390/su151410867</w:t>
        </w:r>
      </w:hyperlink>
    </w:p>
    <w:p w14:paraId="76ACD5E2"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Ogbeide, H., Thomson, M. E., </w:t>
      </w:r>
      <w:proofErr w:type="spellStart"/>
      <w:r w:rsidRPr="00CB373C">
        <w:rPr>
          <w:rFonts w:ascii="Traditional Arabic" w:eastAsia="Aptos" w:hAnsi="Traditional Arabic" w:cs="Traditional Arabic"/>
          <w:kern w:val="2"/>
          <w:sz w:val="24"/>
          <w:szCs w:val="24"/>
          <w14:ligatures w14:val="standardContextual"/>
        </w:rPr>
        <w:t>Gonul</w:t>
      </w:r>
      <w:proofErr w:type="spellEnd"/>
      <w:r w:rsidRPr="00CB373C">
        <w:rPr>
          <w:rFonts w:ascii="Traditional Arabic" w:eastAsia="Aptos" w:hAnsi="Traditional Arabic" w:cs="Traditional Arabic"/>
          <w:kern w:val="2"/>
          <w:sz w:val="24"/>
          <w:szCs w:val="24"/>
          <w14:ligatures w14:val="standardContextual"/>
        </w:rPr>
        <w:t xml:space="preserve">, M. S., Pollock, A. C., Bhowmick, S., &amp; Bello, A. U. (2023). The anti-money laundering risk assessment: A probabilistic approach. </w:t>
      </w:r>
      <w:r w:rsidRPr="00CB373C">
        <w:rPr>
          <w:rFonts w:ascii="Traditional Arabic" w:eastAsia="Aptos" w:hAnsi="Traditional Arabic" w:cs="Traditional Arabic"/>
          <w:i/>
          <w:iCs/>
          <w:kern w:val="2"/>
          <w:sz w:val="24"/>
          <w:szCs w:val="24"/>
          <w14:ligatures w14:val="standardContextual"/>
        </w:rPr>
        <w:t>Journal of Business Research</w:t>
      </w:r>
      <w:r w:rsidRPr="00CB373C">
        <w:rPr>
          <w:rFonts w:ascii="Traditional Arabic" w:eastAsia="Aptos" w:hAnsi="Traditional Arabic" w:cs="Traditional Arabic"/>
          <w:kern w:val="2"/>
          <w:sz w:val="24"/>
          <w:szCs w:val="24"/>
          <w14:ligatures w14:val="standardContextual"/>
        </w:rPr>
        <w:t xml:space="preserve">, 162, 113820. </w:t>
      </w:r>
      <w:hyperlink r:id="rId42" w:tgtFrame="_new" w:history="1">
        <w:r w:rsidRPr="00CB373C">
          <w:rPr>
            <w:rFonts w:ascii="Traditional Arabic" w:eastAsia="Aptos" w:hAnsi="Traditional Arabic" w:cs="Traditional Arabic"/>
            <w:color w:val="467886"/>
            <w:kern w:val="2"/>
            <w:sz w:val="24"/>
            <w:szCs w:val="24"/>
            <w:u w:val="single"/>
            <w14:ligatures w14:val="standardContextual"/>
          </w:rPr>
          <w:t>https://doi.org/10.1016/j.jbusres.2023.113820</w:t>
        </w:r>
      </w:hyperlink>
      <w:r w:rsidRPr="00CB373C">
        <w:rPr>
          <w:rFonts w:ascii="Traditional Arabic" w:eastAsia="Aptos" w:hAnsi="Traditional Arabic" w:cs="Traditional Arabic"/>
          <w:kern w:val="2"/>
          <w:sz w:val="24"/>
          <w:szCs w:val="24"/>
          <w14:ligatures w14:val="standardContextual"/>
        </w:rPr>
        <w:t xml:space="preserve"> </w:t>
      </w:r>
    </w:p>
    <w:p w14:paraId="5F963D94"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proofErr w:type="spellStart"/>
      <w:r w:rsidRPr="00CB373C">
        <w:rPr>
          <w:rFonts w:ascii="Traditional Arabic" w:eastAsia="Aptos" w:hAnsi="Traditional Arabic" w:cs="Traditional Arabic"/>
          <w:kern w:val="2"/>
          <w:sz w:val="24"/>
          <w:szCs w:val="24"/>
          <w14:ligatures w14:val="standardContextual"/>
        </w:rPr>
        <w:t>Qatawneh</w:t>
      </w:r>
      <w:proofErr w:type="spellEnd"/>
      <w:r w:rsidRPr="00CB373C">
        <w:rPr>
          <w:rFonts w:ascii="Traditional Arabic" w:eastAsia="Aptos" w:hAnsi="Traditional Arabic" w:cs="Traditional Arabic"/>
          <w:kern w:val="2"/>
          <w:sz w:val="24"/>
          <w:szCs w:val="24"/>
          <w14:ligatures w14:val="standardContextual"/>
        </w:rPr>
        <w:t xml:space="preserve">, N. (2024). Empirical insights into business intelligence adoption and decision-making performance during the digital transformation era: Extending the TOE model in the Jordanian banking sector. </w:t>
      </w:r>
      <w:r w:rsidRPr="00CB373C">
        <w:rPr>
          <w:rFonts w:ascii="Traditional Arabic" w:eastAsia="Aptos" w:hAnsi="Traditional Arabic" w:cs="Traditional Arabic"/>
          <w:i/>
          <w:iCs/>
          <w:kern w:val="2"/>
          <w:sz w:val="24"/>
          <w:szCs w:val="24"/>
          <w14:ligatures w14:val="standardContextual"/>
        </w:rPr>
        <w:t>Journal of Open Innovation: Technology, Market, and Complexity</w:t>
      </w:r>
      <w:r w:rsidRPr="00CB373C">
        <w:rPr>
          <w:rFonts w:ascii="Traditional Arabic" w:eastAsia="Aptos" w:hAnsi="Traditional Arabic" w:cs="Traditional Arabic"/>
          <w:kern w:val="2"/>
          <w:sz w:val="24"/>
          <w:szCs w:val="24"/>
          <w14:ligatures w14:val="standardContextual"/>
        </w:rPr>
        <w:t xml:space="preserve">, 10(4), 100401. </w:t>
      </w:r>
      <w:hyperlink r:id="rId43" w:history="1">
        <w:r w:rsidRPr="00CB373C">
          <w:rPr>
            <w:rFonts w:ascii="Traditional Arabic" w:eastAsia="Aptos" w:hAnsi="Traditional Arabic" w:cs="Traditional Arabic"/>
            <w:color w:val="467886"/>
            <w:kern w:val="2"/>
            <w:sz w:val="24"/>
            <w:szCs w:val="24"/>
            <w:u w:val="single"/>
            <w14:ligatures w14:val="standardContextual"/>
          </w:rPr>
          <w:t>https://doi.org/10.1016/j.joitmc.2024.100401</w:t>
        </w:r>
      </w:hyperlink>
      <w:r w:rsidRPr="00CB373C">
        <w:rPr>
          <w:rFonts w:ascii="Traditional Arabic" w:eastAsia="Aptos" w:hAnsi="Traditional Arabic" w:cs="Traditional Arabic"/>
          <w:kern w:val="2"/>
          <w:sz w:val="24"/>
          <w:szCs w:val="24"/>
          <w14:ligatures w14:val="standardContextual"/>
        </w:rPr>
        <w:t xml:space="preserve"> </w:t>
      </w:r>
    </w:p>
    <w:p w14:paraId="21C547FC"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proofErr w:type="spellStart"/>
      <w:r w:rsidRPr="00CB373C">
        <w:rPr>
          <w:rFonts w:ascii="Traditional Arabic" w:eastAsia="Aptos" w:hAnsi="Traditional Arabic" w:cs="Traditional Arabic"/>
          <w:kern w:val="2"/>
          <w:sz w:val="24"/>
          <w:szCs w:val="24"/>
          <w14:ligatures w14:val="standardContextual"/>
        </w:rPr>
        <w:t>Tunowski</w:t>
      </w:r>
      <w:proofErr w:type="spellEnd"/>
      <w:r w:rsidRPr="00CB373C">
        <w:rPr>
          <w:rFonts w:ascii="Traditional Arabic" w:eastAsia="Aptos" w:hAnsi="Traditional Arabic" w:cs="Traditional Arabic"/>
          <w:kern w:val="2"/>
          <w:sz w:val="24"/>
          <w:szCs w:val="24"/>
          <w14:ligatures w14:val="standardContextual"/>
        </w:rPr>
        <w:t xml:space="preserve">, R. (2022). Sustainability of commercial banks supported by business intelligence system. </w:t>
      </w:r>
      <w:r w:rsidRPr="00CB373C">
        <w:rPr>
          <w:rFonts w:ascii="Traditional Arabic" w:eastAsia="Aptos" w:hAnsi="Traditional Arabic" w:cs="Traditional Arabic"/>
          <w:i/>
          <w:iCs/>
          <w:kern w:val="2"/>
          <w:sz w:val="24"/>
          <w:szCs w:val="24"/>
          <w14:ligatures w14:val="standardContextual"/>
        </w:rPr>
        <w:t>Sustainability</w:t>
      </w:r>
      <w:r w:rsidRPr="00CB373C">
        <w:rPr>
          <w:rFonts w:ascii="Traditional Arabic" w:eastAsia="Aptos" w:hAnsi="Traditional Arabic" w:cs="Traditional Arabic"/>
          <w:kern w:val="2"/>
          <w:sz w:val="24"/>
          <w:szCs w:val="24"/>
          <w14:ligatures w14:val="standardContextual"/>
        </w:rPr>
        <w:t xml:space="preserve">, 12(11), 1–17. </w:t>
      </w:r>
      <w:hyperlink r:id="rId44" w:history="1">
        <w:r w:rsidRPr="00CB373C">
          <w:rPr>
            <w:rFonts w:ascii="Traditional Arabic" w:eastAsia="Aptos" w:hAnsi="Traditional Arabic" w:cs="Traditional Arabic"/>
            <w:color w:val="467886"/>
            <w:kern w:val="2"/>
            <w:sz w:val="24"/>
            <w:szCs w:val="24"/>
            <w:u w:val="single"/>
            <w14:ligatures w14:val="standardContextual"/>
          </w:rPr>
          <w:t>https://doi.org/10.3390/su12114754</w:t>
        </w:r>
      </w:hyperlink>
      <w:r w:rsidRPr="00CB373C">
        <w:rPr>
          <w:rFonts w:ascii="Traditional Arabic" w:eastAsia="Aptos" w:hAnsi="Traditional Arabic" w:cs="Traditional Arabic"/>
          <w:kern w:val="2"/>
          <w:sz w:val="24"/>
          <w:szCs w:val="24"/>
          <w14:ligatures w14:val="standardContextual"/>
        </w:rPr>
        <w:t xml:space="preserve"> </w:t>
      </w:r>
    </w:p>
    <w:p w14:paraId="286753A2" w14:textId="77777777" w:rsidR="00CB373C" w:rsidRPr="00CB373C" w:rsidRDefault="00CB373C" w:rsidP="00CB373C">
      <w:pPr>
        <w:spacing w:line="278" w:lineRule="auto"/>
        <w:ind w:left="720" w:hanging="720"/>
        <w:jc w:val="both"/>
        <w:rPr>
          <w:rFonts w:ascii="Traditional Arabic" w:eastAsia="Aptos" w:hAnsi="Traditional Arabic" w:cs="Traditional Arabic"/>
          <w:kern w:val="2"/>
          <w:sz w:val="24"/>
          <w:szCs w:val="24"/>
          <w14:ligatures w14:val="standardContextual"/>
        </w:rPr>
      </w:pPr>
      <w:r w:rsidRPr="00CB373C">
        <w:rPr>
          <w:rFonts w:ascii="Traditional Arabic" w:eastAsia="Aptos" w:hAnsi="Traditional Arabic" w:cs="Traditional Arabic"/>
          <w:kern w:val="2"/>
          <w:sz w:val="24"/>
          <w:szCs w:val="24"/>
          <w14:ligatures w14:val="standardContextual"/>
        </w:rPr>
        <w:t xml:space="preserve">Wang, J., Liu, Y., Li, P., Lin, Z., </w:t>
      </w:r>
      <w:proofErr w:type="spellStart"/>
      <w:r w:rsidRPr="00CB373C">
        <w:rPr>
          <w:rFonts w:ascii="Traditional Arabic" w:eastAsia="Aptos" w:hAnsi="Traditional Arabic" w:cs="Traditional Arabic"/>
          <w:kern w:val="2"/>
          <w:sz w:val="24"/>
          <w:szCs w:val="24"/>
          <w14:ligatures w14:val="standardContextual"/>
        </w:rPr>
        <w:t>Sindakis</w:t>
      </w:r>
      <w:proofErr w:type="spellEnd"/>
      <w:r w:rsidRPr="00CB373C">
        <w:rPr>
          <w:rFonts w:ascii="Traditional Arabic" w:eastAsia="Aptos" w:hAnsi="Traditional Arabic" w:cs="Traditional Arabic"/>
          <w:kern w:val="2"/>
          <w:sz w:val="24"/>
          <w:szCs w:val="24"/>
          <w14:ligatures w14:val="standardContextual"/>
        </w:rPr>
        <w:t xml:space="preserve">, S., &amp; Aggarwal, S. (2023). Overview of data quality: Examining the dimensions, antecedents, and impacts of data quality. </w:t>
      </w:r>
      <w:r w:rsidRPr="00CB373C">
        <w:rPr>
          <w:rFonts w:ascii="Traditional Arabic" w:eastAsia="Aptos" w:hAnsi="Traditional Arabic" w:cs="Traditional Arabic"/>
          <w:i/>
          <w:iCs/>
          <w:kern w:val="2"/>
          <w:sz w:val="24"/>
          <w:szCs w:val="24"/>
          <w14:ligatures w14:val="standardContextual"/>
        </w:rPr>
        <w:t>Journal of the Knowledge Economy</w:t>
      </w:r>
      <w:r w:rsidRPr="00CB373C">
        <w:rPr>
          <w:rFonts w:ascii="Traditional Arabic" w:eastAsia="Aptos" w:hAnsi="Traditional Arabic" w:cs="Traditional Arabic"/>
          <w:kern w:val="2"/>
          <w:sz w:val="24"/>
          <w:szCs w:val="24"/>
          <w14:ligatures w14:val="standardContextual"/>
        </w:rPr>
        <w:t xml:space="preserve">, 1–20 (Online ahead of print). </w:t>
      </w:r>
      <w:hyperlink r:id="rId45" w:history="1">
        <w:r w:rsidRPr="00CB373C">
          <w:rPr>
            <w:rFonts w:ascii="Traditional Arabic" w:eastAsia="Aptos" w:hAnsi="Traditional Arabic" w:cs="Traditional Arabic"/>
            <w:color w:val="467886"/>
            <w:kern w:val="2"/>
            <w:sz w:val="24"/>
            <w:szCs w:val="24"/>
            <w:u w:val="single"/>
            <w14:ligatures w14:val="standardContextual"/>
          </w:rPr>
          <w:t>https://doi.org/10.1007/s13132-022-01096-6</w:t>
        </w:r>
      </w:hyperlink>
      <w:r w:rsidRPr="00CB373C">
        <w:rPr>
          <w:rFonts w:ascii="Traditional Arabic" w:eastAsia="Aptos" w:hAnsi="Traditional Arabic" w:cs="Traditional Arabic"/>
          <w:kern w:val="2"/>
          <w:sz w:val="24"/>
          <w:szCs w:val="24"/>
          <w14:ligatures w14:val="standardContextual"/>
        </w:rPr>
        <w:t xml:space="preserve"> </w:t>
      </w:r>
    </w:p>
    <w:p w14:paraId="5771548D" w14:textId="77777777" w:rsidR="00CB373C" w:rsidRDefault="00CB373C" w:rsidP="000070FD">
      <w:pPr>
        <w:spacing w:after="0" w:line="360" w:lineRule="auto"/>
        <w:ind w:left="720" w:hanging="720"/>
        <w:jc w:val="both"/>
        <w:rPr>
          <w:rFonts w:ascii="Traditional Arabic" w:eastAsia="Times New Roman" w:hAnsi="Traditional Arabic" w:cs="Traditional Arabic" w:hint="cs"/>
          <w:bCs/>
          <w:color w:val="0D0D0D" w:themeColor="text1" w:themeTint="F2"/>
          <w:sz w:val="24"/>
          <w:szCs w:val="24"/>
          <w:rtl/>
        </w:rPr>
      </w:pPr>
    </w:p>
    <w:p w14:paraId="02B679D3" w14:textId="77777777" w:rsidR="00CB373C" w:rsidRPr="000070FD" w:rsidRDefault="00CB373C" w:rsidP="000070FD">
      <w:pPr>
        <w:spacing w:after="0" w:line="360" w:lineRule="auto"/>
        <w:ind w:left="720" w:hanging="720"/>
        <w:jc w:val="both"/>
        <w:rPr>
          <w:rFonts w:ascii="Traditional Arabic" w:eastAsia="Times New Roman" w:hAnsi="Traditional Arabic" w:cs="Traditional Arabic"/>
          <w:bCs/>
          <w:color w:val="0D0D0D" w:themeColor="text1" w:themeTint="F2"/>
          <w:sz w:val="24"/>
          <w:szCs w:val="24"/>
        </w:rPr>
      </w:pPr>
    </w:p>
    <w:sectPr w:rsidR="00CB373C" w:rsidRPr="000070FD" w:rsidSect="00FE2F52">
      <w:footerReference w:type="default" r:id="rId46"/>
      <w:footerReference w:type="first" r:id="rId47"/>
      <w:pgSz w:w="11906" w:h="16838"/>
      <w:pgMar w:top="1418" w:right="1701"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2FF4E" w14:textId="77777777" w:rsidR="00FB7622" w:rsidRDefault="00FB7622" w:rsidP="00F628F0">
      <w:pPr>
        <w:spacing w:after="0" w:line="240" w:lineRule="auto"/>
      </w:pPr>
      <w:r>
        <w:separator/>
      </w:r>
    </w:p>
  </w:endnote>
  <w:endnote w:type="continuationSeparator" w:id="0">
    <w:p w14:paraId="083F6DAE" w14:textId="77777777" w:rsidR="00FB7622" w:rsidRDefault="00FB762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 w:name="ae_Cortoba">
    <w:altName w:val="Cambria"/>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2806770"/>
      <w:docPartObj>
        <w:docPartGallery w:val="Page Numbers (Bottom of Page)"/>
        <w:docPartUnique/>
      </w:docPartObj>
    </w:sdtPr>
    <w:sdtContent>
      <w:p w14:paraId="4462B415" w14:textId="35C89C09" w:rsidR="00E80733" w:rsidRDefault="005738D9" w:rsidP="005738D9">
        <w:pPr>
          <w:pStyle w:val="Footer"/>
          <w:jc w:val="center"/>
        </w:pPr>
        <w:r>
          <w:fldChar w:fldCharType="begin"/>
        </w:r>
        <w:r>
          <w:instrText>PAGE   \* MERGEFORMAT</w:instrText>
        </w:r>
        <w:r>
          <w:fldChar w:fldCharType="separate"/>
        </w:r>
        <w:r>
          <w:rPr>
            <w:rtl/>
            <w:lang w:val="ar-SA"/>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4513265"/>
      <w:docPartObj>
        <w:docPartGallery w:val="Page Numbers (Bottom of Page)"/>
        <w:docPartUnique/>
      </w:docPartObj>
    </w:sdtPr>
    <w:sdtContent>
      <w:p w14:paraId="6D63CDD5" w14:textId="144E45B1" w:rsidR="00741454" w:rsidRPr="00741454" w:rsidRDefault="00741454" w:rsidP="00741454">
        <w:pPr>
          <w:pStyle w:val="Footer"/>
          <w:jc w:val="center"/>
          <w:rPr>
            <w:rtl/>
          </w:rPr>
        </w:pPr>
        <w:r>
          <w:fldChar w:fldCharType="begin"/>
        </w:r>
        <w:r>
          <w:instrText>PAGE   \* MERGEFORMAT</w:instrText>
        </w:r>
        <w:r>
          <w:fldChar w:fldCharType="separate"/>
        </w:r>
        <w:r>
          <w:rPr>
            <w:rtl/>
            <w:lang w:val="ar-SA"/>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D4FCB" w14:textId="77777777" w:rsidR="00FB7622" w:rsidRDefault="00FB7622" w:rsidP="00F628F0">
      <w:pPr>
        <w:spacing w:after="0" w:line="240" w:lineRule="auto"/>
      </w:pPr>
      <w:r>
        <w:separator/>
      </w:r>
    </w:p>
  </w:footnote>
  <w:footnote w:type="continuationSeparator" w:id="0">
    <w:p w14:paraId="2B743FF4" w14:textId="77777777" w:rsidR="00FB7622" w:rsidRDefault="00FB7622"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96D40"/>
    <w:multiLevelType w:val="hybridMultilevel"/>
    <w:tmpl w:val="116802C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B4293"/>
    <w:multiLevelType w:val="hybridMultilevel"/>
    <w:tmpl w:val="3ADEE588"/>
    <w:lvl w:ilvl="0" w:tplc="3298521A">
      <w:start w:val="1"/>
      <w:numFmt w:val="arabicAlpha"/>
      <w:lvlText w:val="(%1)"/>
      <w:lvlJc w:val="left"/>
      <w:pPr>
        <w:ind w:left="720" w:hanging="360"/>
      </w:pPr>
      <w:rPr>
        <w:rFonts w:hint="default"/>
      </w:rPr>
    </w:lvl>
    <w:lvl w:ilvl="1" w:tplc="B254D776">
      <w:start w:val="8"/>
      <w:numFmt w:val="bullet"/>
      <w:lvlText w:val="•"/>
      <w:lvlJc w:val="left"/>
      <w:pPr>
        <w:ind w:left="1650" w:hanging="570"/>
      </w:pPr>
      <w:rPr>
        <w:rFonts w:ascii="Traditional Arabic" w:eastAsiaTheme="minorHAnsi" w:hAnsi="Traditional Arabic" w:cs="Traditional Arabic" w:hint="default"/>
      </w:rPr>
    </w:lvl>
    <w:lvl w:ilvl="2" w:tplc="355C6CE4">
      <w:start w:val="1"/>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835E21"/>
    <w:multiLevelType w:val="hybridMultilevel"/>
    <w:tmpl w:val="78C83732"/>
    <w:lvl w:ilvl="0" w:tplc="D7823A42">
      <w:start w:val="1"/>
      <w:numFmt w:val="arabicAlpha"/>
      <w:lvlText w:val="(%1)"/>
      <w:lvlJc w:val="left"/>
      <w:pPr>
        <w:ind w:left="1229" w:hanging="360"/>
      </w:pPr>
      <w:rPr>
        <w:rFonts w:hint="default"/>
        <w:b w:val="0"/>
        <w:bCs/>
      </w:rPr>
    </w:lvl>
    <w:lvl w:ilvl="1" w:tplc="08090019" w:tentative="1">
      <w:start w:val="1"/>
      <w:numFmt w:val="lowerLetter"/>
      <w:lvlText w:val="%2."/>
      <w:lvlJc w:val="left"/>
      <w:pPr>
        <w:ind w:left="1949" w:hanging="360"/>
      </w:pPr>
    </w:lvl>
    <w:lvl w:ilvl="2" w:tplc="0809001B" w:tentative="1">
      <w:start w:val="1"/>
      <w:numFmt w:val="lowerRoman"/>
      <w:lvlText w:val="%3."/>
      <w:lvlJc w:val="right"/>
      <w:pPr>
        <w:ind w:left="2669" w:hanging="180"/>
      </w:pPr>
    </w:lvl>
    <w:lvl w:ilvl="3" w:tplc="0809000F" w:tentative="1">
      <w:start w:val="1"/>
      <w:numFmt w:val="decimal"/>
      <w:lvlText w:val="%4."/>
      <w:lvlJc w:val="left"/>
      <w:pPr>
        <w:ind w:left="3389" w:hanging="360"/>
      </w:pPr>
    </w:lvl>
    <w:lvl w:ilvl="4" w:tplc="08090019" w:tentative="1">
      <w:start w:val="1"/>
      <w:numFmt w:val="lowerLetter"/>
      <w:lvlText w:val="%5."/>
      <w:lvlJc w:val="left"/>
      <w:pPr>
        <w:ind w:left="4109" w:hanging="360"/>
      </w:pPr>
    </w:lvl>
    <w:lvl w:ilvl="5" w:tplc="0809001B" w:tentative="1">
      <w:start w:val="1"/>
      <w:numFmt w:val="lowerRoman"/>
      <w:lvlText w:val="%6."/>
      <w:lvlJc w:val="right"/>
      <w:pPr>
        <w:ind w:left="4829" w:hanging="180"/>
      </w:pPr>
    </w:lvl>
    <w:lvl w:ilvl="6" w:tplc="0809000F" w:tentative="1">
      <w:start w:val="1"/>
      <w:numFmt w:val="decimal"/>
      <w:lvlText w:val="%7."/>
      <w:lvlJc w:val="left"/>
      <w:pPr>
        <w:ind w:left="5549" w:hanging="360"/>
      </w:pPr>
    </w:lvl>
    <w:lvl w:ilvl="7" w:tplc="08090019" w:tentative="1">
      <w:start w:val="1"/>
      <w:numFmt w:val="lowerLetter"/>
      <w:lvlText w:val="%8."/>
      <w:lvlJc w:val="left"/>
      <w:pPr>
        <w:ind w:left="6269" w:hanging="360"/>
      </w:pPr>
    </w:lvl>
    <w:lvl w:ilvl="8" w:tplc="0809001B" w:tentative="1">
      <w:start w:val="1"/>
      <w:numFmt w:val="lowerRoman"/>
      <w:lvlText w:val="%9."/>
      <w:lvlJc w:val="right"/>
      <w:pPr>
        <w:ind w:left="6989" w:hanging="180"/>
      </w:pPr>
    </w:lvl>
  </w:abstractNum>
  <w:abstractNum w:abstractNumId="3" w15:restartNumberingAfterBreak="0">
    <w:nsid w:val="16241DBB"/>
    <w:multiLevelType w:val="hybridMultilevel"/>
    <w:tmpl w:val="5F26A2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5E344E"/>
    <w:multiLevelType w:val="hybridMultilevel"/>
    <w:tmpl w:val="81DEC848"/>
    <w:lvl w:ilvl="0" w:tplc="3EB063D0">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9C78BB"/>
    <w:multiLevelType w:val="hybridMultilevel"/>
    <w:tmpl w:val="2228C608"/>
    <w:lvl w:ilvl="0" w:tplc="B9C2BF70">
      <w:start w:val="1"/>
      <w:numFmt w:val="arabicAlpha"/>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9B474E"/>
    <w:multiLevelType w:val="hybridMultilevel"/>
    <w:tmpl w:val="5688F52E"/>
    <w:lvl w:ilvl="0" w:tplc="94983162">
      <w:start w:val="1"/>
      <w:numFmt w:val="arabicAlpha"/>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85623C"/>
    <w:multiLevelType w:val="hybridMultilevel"/>
    <w:tmpl w:val="ED509C5C"/>
    <w:lvl w:ilvl="0" w:tplc="0A5245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17020C8"/>
    <w:multiLevelType w:val="hybridMultilevel"/>
    <w:tmpl w:val="8BA60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E51137"/>
    <w:multiLevelType w:val="hybridMultilevel"/>
    <w:tmpl w:val="AD60DDC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A55FE3"/>
    <w:multiLevelType w:val="hybridMultilevel"/>
    <w:tmpl w:val="C7EC5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8B111E"/>
    <w:multiLevelType w:val="hybridMultilevel"/>
    <w:tmpl w:val="41305630"/>
    <w:lvl w:ilvl="0" w:tplc="EECA7E7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2D78B4"/>
    <w:multiLevelType w:val="hybridMultilevel"/>
    <w:tmpl w:val="A8C87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342A15"/>
    <w:multiLevelType w:val="hybridMultilevel"/>
    <w:tmpl w:val="FFBC8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590B68"/>
    <w:multiLevelType w:val="hybridMultilevel"/>
    <w:tmpl w:val="FFBC8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0230916">
    <w:abstractNumId w:val="14"/>
  </w:num>
  <w:num w:numId="2" w16cid:durableId="1290429417">
    <w:abstractNumId w:val="13"/>
  </w:num>
  <w:num w:numId="3" w16cid:durableId="894201677">
    <w:abstractNumId w:val="8"/>
  </w:num>
  <w:num w:numId="4" w16cid:durableId="318073896">
    <w:abstractNumId w:val="4"/>
  </w:num>
  <w:num w:numId="5" w16cid:durableId="2037805578">
    <w:abstractNumId w:val="7"/>
  </w:num>
  <w:num w:numId="6" w16cid:durableId="2128815334">
    <w:abstractNumId w:val="1"/>
  </w:num>
  <w:num w:numId="7" w16cid:durableId="1367415434">
    <w:abstractNumId w:val="2"/>
  </w:num>
  <w:num w:numId="8" w16cid:durableId="1625577146">
    <w:abstractNumId w:val="12"/>
  </w:num>
  <w:num w:numId="9" w16cid:durableId="888684613">
    <w:abstractNumId w:val="10"/>
  </w:num>
  <w:num w:numId="10" w16cid:durableId="75325094">
    <w:abstractNumId w:val="11"/>
  </w:num>
  <w:num w:numId="11" w16cid:durableId="1753310504">
    <w:abstractNumId w:val="3"/>
  </w:num>
  <w:num w:numId="12" w16cid:durableId="1604411474">
    <w:abstractNumId w:val="9"/>
  </w:num>
  <w:num w:numId="13" w16cid:durableId="1663387190">
    <w:abstractNumId w:val="6"/>
  </w:num>
  <w:num w:numId="14" w16cid:durableId="1402942175">
    <w:abstractNumId w:val="0"/>
  </w:num>
  <w:num w:numId="15" w16cid:durableId="1087775435">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gutterAtTop/>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520"/>
    <w:rsid w:val="00003387"/>
    <w:rsid w:val="000070FD"/>
    <w:rsid w:val="000100C3"/>
    <w:rsid w:val="00011E3C"/>
    <w:rsid w:val="0001468B"/>
    <w:rsid w:val="00015E92"/>
    <w:rsid w:val="00015F0D"/>
    <w:rsid w:val="000178BF"/>
    <w:rsid w:val="0002001C"/>
    <w:rsid w:val="0002009B"/>
    <w:rsid w:val="00022279"/>
    <w:rsid w:val="00022DC6"/>
    <w:rsid w:val="00027A34"/>
    <w:rsid w:val="00027B44"/>
    <w:rsid w:val="00030D2C"/>
    <w:rsid w:val="000322E7"/>
    <w:rsid w:val="00034415"/>
    <w:rsid w:val="00042F03"/>
    <w:rsid w:val="00044CFD"/>
    <w:rsid w:val="00061A09"/>
    <w:rsid w:val="000620CC"/>
    <w:rsid w:val="00063029"/>
    <w:rsid w:val="00067EAB"/>
    <w:rsid w:val="000724E1"/>
    <w:rsid w:val="00073F11"/>
    <w:rsid w:val="0007553B"/>
    <w:rsid w:val="00076B0C"/>
    <w:rsid w:val="00082FF4"/>
    <w:rsid w:val="000850CB"/>
    <w:rsid w:val="00087E4F"/>
    <w:rsid w:val="00090A9C"/>
    <w:rsid w:val="00091DBD"/>
    <w:rsid w:val="00092C24"/>
    <w:rsid w:val="000940A0"/>
    <w:rsid w:val="00095386"/>
    <w:rsid w:val="000961F5"/>
    <w:rsid w:val="00096E85"/>
    <w:rsid w:val="000A1D3E"/>
    <w:rsid w:val="000A1E46"/>
    <w:rsid w:val="000A310D"/>
    <w:rsid w:val="000A49ED"/>
    <w:rsid w:val="000A50AD"/>
    <w:rsid w:val="000A6008"/>
    <w:rsid w:val="000A749C"/>
    <w:rsid w:val="000B0B32"/>
    <w:rsid w:val="000B16D6"/>
    <w:rsid w:val="000B622A"/>
    <w:rsid w:val="000B706D"/>
    <w:rsid w:val="000B7212"/>
    <w:rsid w:val="000C199E"/>
    <w:rsid w:val="000C3D6D"/>
    <w:rsid w:val="000C6A32"/>
    <w:rsid w:val="000D077F"/>
    <w:rsid w:val="000D0869"/>
    <w:rsid w:val="000D3EAE"/>
    <w:rsid w:val="000D5131"/>
    <w:rsid w:val="000D667A"/>
    <w:rsid w:val="000E0A0E"/>
    <w:rsid w:val="000E1C76"/>
    <w:rsid w:val="000E23AB"/>
    <w:rsid w:val="000E388D"/>
    <w:rsid w:val="000E38AE"/>
    <w:rsid w:val="000E6887"/>
    <w:rsid w:val="000E7CEA"/>
    <w:rsid w:val="000F0A0D"/>
    <w:rsid w:val="000F102A"/>
    <w:rsid w:val="000F7C9C"/>
    <w:rsid w:val="000F7F04"/>
    <w:rsid w:val="00100E8F"/>
    <w:rsid w:val="00106E88"/>
    <w:rsid w:val="00107BDA"/>
    <w:rsid w:val="00110665"/>
    <w:rsid w:val="0011126E"/>
    <w:rsid w:val="0011528E"/>
    <w:rsid w:val="00115502"/>
    <w:rsid w:val="00116AE4"/>
    <w:rsid w:val="00117CA1"/>
    <w:rsid w:val="0012241A"/>
    <w:rsid w:val="00127E37"/>
    <w:rsid w:val="0014262D"/>
    <w:rsid w:val="00142E9D"/>
    <w:rsid w:val="001460BB"/>
    <w:rsid w:val="00152104"/>
    <w:rsid w:val="0015494A"/>
    <w:rsid w:val="00157AE1"/>
    <w:rsid w:val="001603EF"/>
    <w:rsid w:val="001618EF"/>
    <w:rsid w:val="001624C4"/>
    <w:rsid w:val="00162B9B"/>
    <w:rsid w:val="00163E96"/>
    <w:rsid w:val="001654CD"/>
    <w:rsid w:val="00167FC4"/>
    <w:rsid w:val="00174F22"/>
    <w:rsid w:val="001762F4"/>
    <w:rsid w:val="00177DEB"/>
    <w:rsid w:val="0018065D"/>
    <w:rsid w:val="00180799"/>
    <w:rsid w:val="00180A9B"/>
    <w:rsid w:val="00184514"/>
    <w:rsid w:val="00185F71"/>
    <w:rsid w:val="00195226"/>
    <w:rsid w:val="00197616"/>
    <w:rsid w:val="001A04F7"/>
    <w:rsid w:val="001A3490"/>
    <w:rsid w:val="001A5804"/>
    <w:rsid w:val="001A680C"/>
    <w:rsid w:val="001B1A63"/>
    <w:rsid w:val="001B7147"/>
    <w:rsid w:val="001C01BE"/>
    <w:rsid w:val="001C23CB"/>
    <w:rsid w:val="001C3DA0"/>
    <w:rsid w:val="001C426A"/>
    <w:rsid w:val="001C7DB2"/>
    <w:rsid w:val="001D08F6"/>
    <w:rsid w:val="001D47AD"/>
    <w:rsid w:val="001D6927"/>
    <w:rsid w:val="001E136D"/>
    <w:rsid w:val="001E252D"/>
    <w:rsid w:val="001E25AB"/>
    <w:rsid w:val="001E2701"/>
    <w:rsid w:val="001E32DF"/>
    <w:rsid w:val="001E3406"/>
    <w:rsid w:val="001E3573"/>
    <w:rsid w:val="001E7EA3"/>
    <w:rsid w:val="001F5219"/>
    <w:rsid w:val="001F5481"/>
    <w:rsid w:val="001F58B6"/>
    <w:rsid w:val="001F7500"/>
    <w:rsid w:val="001F7E31"/>
    <w:rsid w:val="0020214F"/>
    <w:rsid w:val="0020239B"/>
    <w:rsid w:val="00204EA0"/>
    <w:rsid w:val="00206474"/>
    <w:rsid w:val="00216695"/>
    <w:rsid w:val="00216735"/>
    <w:rsid w:val="00217C34"/>
    <w:rsid w:val="0022051E"/>
    <w:rsid w:val="00222113"/>
    <w:rsid w:val="00222468"/>
    <w:rsid w:val="002240EF"/>
    <w:rsid w:val="002267E3"/>
    <w:rsid w:val="00231AB1"/>
    <w:rsid w:val="00232A16"/>
    <w:rsid w:val="00235182"/>
    <w:rsid w:val="0024045F"/>
    <w:rsid w:val="00242B84"/>
    <w:rsid w:val="00242F7C"/>
    <w:rsid w:val="002434B9"/>
    <w:rsid w:val="00243AB1"/>
    <w:rsid w:val="0024492B"/>
    <w:rsid w:val="00250CC6"/>
    <w:rsid w:val="00251580"/>
    <w:rsid w:val="0025314E"/>
    <w:rsid w:val="00257F01"/>
    <w:rsid w:val="002616CF"/>
    <w:rsid w:val="002619A6"/>
    <w:rsid w:val="00262CC5"/>
    <w:rsid w:val="00263733"/>
    <w:rsid w:val="00264677"/>
    <w:rsid w:val="00265C31"/>
    <w:rsid w:val="00270CC0"/>
    <w:rsid w:val="00274C5B"/>
    <w:rsid w:val="00276C4F"/>
    <w:rsid w:val="002770C9"/>
    <w:rsid w:val="002825A0"/>
    <w:rsid w:val="00283AFB"/>
    <w:rsid w:val="002905C7"/>
    <w:rsid w:val="002A113E"/>
    <w:rsid w:val="002A22F1"/>
    <w:rsid w:val="002A6FF8"/>
    <w:rsid w:val="002B2085"/>
    <w:rsid w:val="002B4961"/>
    <w:rsid w:val="002B6766"/>
    <w:rsid w:val="002C01BD"/>
    <w:rsid w:val="002C2285"/>
    <w:rsid w:val="002C4BEE"/>
    <w:rsid w:val="002D019D"/>
    <w:rsid w:val="002D3349"/>
    <w:rsid w:val="002D638C"/>
    <w:rsid w:val="002D68BB"/>
    <w:rsid w:val="002D6B39"/>
    <w:rsid w:val="002E03CF"/>
    <w:rsid w:val="002E1F42"/>
    <w:rsid w:val="002F0241"/>
    <w:rsid w:val="002F0EEA"/>
    <w:rsid w:val="002F20A7"/>
    <w:rsid w:val="002F20B5"/>
    <w:rsid w:val="002F3296"/>
    <w:rsid w:val="002F501A"/>
    <w:rsid w:val="003036F0"/>
    <w:rsid w:val="003078A4"/>
    <w:rsid w:val="00313607"/>
    <w:rsid w:val="00315473"/>
    <w:rsid w:val="00316776"/>
    <w:rsid w:val="00321C4E"/>
    <w:rsid w:val="003223F2"/>
    <w:rsid w:val="00322A0D"/>
    <w:rsid w:val="00322CDE"/>
    <w:rsid w:val="003235C8"/>
    <w:rsid w:val="00323C27"/>
    <w:rsid w:val="0033043F"/>
    <w:rsid w:val="00333E0A"/>
    <w:rsid w:val="00333FF1"/>
    <w:rsid w:val="00334002"/>
    <w:rsid w:val="0033722B"/>
    <w:rsid w:val="00343773"/>
    <w:rsid w:val="00352383"/>
    <w:rsid w:val="00353878"/>
    <w:rsid w:val="00355506"/>
    <w:rsid w:val="00356156"/>
    <w:rsid w:val="00356F12"/>
    <w:rsid w:val="00360A3F"/>
    <w:rsid w:val="00361607"/>
    <w:rsid w:val="00364C07"/>
    <w:rsid w:val="003704A4"/>
    <w:rsid w:val="00370652"/>
    <w:rsid w:val="00370BBB"/>
    <w:rsid w:val="00375E87"/>
    <w:rsid w:val="00377CB0"/>
    <w:rsid w:val="0038052B"/>
    <w:rsid w:val="00381E67"/>
    <w:rsid w:val="00383126"/>
    <w:rsid w:val="00393147"/>
    <w:rsid w:val="00395E1F"/>
    <w:rsid w:val="00397058"/>
    <w:rsid w:val="003A374E"/>
    <w:rsid w:val="003A4334"/>
    <w:rsid w:val="003A6C5D"/>
    <w:rsid w:val="003B0F00"/>
    <w:rsid w:val="003B1418"/>
    <w:rsid w:val="003B3597"/>
    <w:rsid w:val="003B6969"/>
    <w:rsid w:val="003C05E1"/>
    <w:rsid w:val="003C0D1C"/>
    <w:rsid w:val="003C227E"/>
    <w:rsid w:val="003C4AC0"/>
    <w:rsid w:val="003D05CB"/>
    <w:rsid w:val="003D3563"/>
    <w:rsid w:val="003D5F89"/>
    <w:rsid w:val="003D741A"/>
    <w:rsid w:val="003D77D6"/>
    <w:rsid w:val="003D7E7F"/>
    <w:rsid w:val="003E1040"/>
    <w:rsid w:val="003E1E60"/>
    <w:rsid w:val="003E23A8"/>
    <w:rsid w:val="003E3AAA"/>
    <w:rsid w:val="003F6189"/>
    <w:rsid w:val="003F69BC"/>
    <w:rsid w:val="00400A09"/>
    <w:rsid w:val="00404BEA"/>
    <w:rsid w:val="0040510D"/>
    <w:rsid w:val="00422620"/>
    <w:rsid w:val="00422A22"/>
    <w:rsid w:val="00424C42"/>
    <w:rsid w:val="0043449E"/>
    <w:rsid w:val="00436B59"/>
    <w:rsid w:val="00437355"/>
    <w:rsid w:val="004413CD"/>
    <w:rsid w:val="0044258D"/>
    <w:rsid w:val="00443A60"/>
    <w:rsid w:val="00444B1D"/>
    <w:rsid w:val="00444B3C"/>
    <w:rsid w:val="004516C8"/>
    <w:rsid w:val="00466097"/>
    <w:rsid w:val="004674F5"/>
    <w:rsid w:val="00470EC8"/>
    <w:rsid w:val="00473F99"/>
    <w:rsid w:val="004839C9"/>
    <w:rsid w:val="00483E14"/>
    <w:rsid w:val="00485BD0"/>
    <w:rsid w:val="00486B51"/>
    <w:rsid w:val="00487152"/>
    <w:rsid w:val="00490CAB"/>
    <w:rsid w:val="00492E40"/>
    <w:rsid w:val="004940DB"/>
    <w:rsid w:val="00495D7D"/>
    <w:rsid w:val="004A10BC"/>
    <w:rsid w:val="004A28E0"/>
    <w:rsid w:val="004A3550"/>
    <w:rsid w:val="004B3A3B"/>
    <w:rsid w:val="004B3B1D"/>
    <w:rsid w:val="004B4175"/>
    <w:rsid w:val="004B484B"/>
    <w:rsid w:val="004B78C6"/>
    <w:rsid w:val="004C1CC5"/>
    <w:rsid w:val="004C2E84"/>
    <w:rsid w:val="004C7B52"/>
    <w:rsid w:val="004D075E"/>
    <w:rsid w:val="004D2A39"/>
    <w:rsid w:val="004D53A3"/>
    <w:rsid w:val="004D6DB2"/>
    <w:rsid w:val="004D7783"/>
    <w:rsid w:val="004D7F28"/>
    <w:rsid w:val="004E01F6"/>
    <w:rsid w:val="004E4092"/>
    <w:rsid w:val="004F045D"/>
    <w:rsid w:val="004F1607"/>
    <w:rsid w:val="004F1964"/>
    <w:rsid w:val="004F1CF1"/>
    <w:rsid w:val="004F413F"/>
    <w:rsid w:val="004F4266"/>
    <w:rsid w:val="0050023D"/>
    <w:rsid w:val="00500497"/>
    <w:rsid w:val="00500573"/>
    <w:rsid w:val="0050451B"/>
    <w:rsid w:val="0051327F"/>
    <w:rsid w:val="00513DC3"/>
    <w:rsid w:val="005144E3"/>
    <w:rsid w:val="00515088"/>
    <w:rsid w:val="0052019E"/>
    <w:rsid w:val="00520636"/>
    <w:rsid w:val="0052359B"/>
    <w:rsid w:val="005264A0"/>
    <w:rsid w:val="00530297"/>
    <w:rsid w:val="00531A0A"/>
    <w:rsid w:val="00531FCD"/>
    <w:rsid w:val="0053336F"/>
    <w:rsid w:val="00533AA9"/>
    <w:rsid w:val="00535ED5"/>
    <w:rsid w:val="0053681E"/>
    <w:rsid w:val="005433BE"/>
    <w:rsid w:val="00545742"/>
    <w:rsid w:val="00546BB3"/>
    <w:rsid w:val="00551BD8"/>
    <w:rsid w:val="00553216"/>
    <w:rsid w:val="005532E5"/>
    <w:rsid w:val="00560CC1"/>
    <w:rsid w:val="00567860"/>
    <w:rsid w:val="00567CCA"/>
    <w:rsid w:val="005700BC"/>
    <w:rsid w:val="005738D9"/>
    <w:rsid w:val="0057682F"/>
    <w:rsid w:val="00583217"/>
    <w:rsid w:val="00585F29"/>
    <w:rsid w:val="005876E8"/>
    <w:rsid w:val="00594140"/>
    <w:rsid w:val="00595574"/>
    <w:rsid w:val="00597208"/>
    <w:rsid w:val="005A3266"/>
    <w:rsid w:val="005A3959"/>
    <w:rsid w:val="005A3D3F"/>
    <w:rsid w:val="005A4F66"/>
    <w:rsid w:val="005A76D0"/>
    <w:rsid w:val="005A7EB2"/>
    <w:rsid w:val="005B25B6"/>
    <w:rsid w:val="005B2E32"/>
    <w:rsid w:val="005B65AE"/>
    <w:rsid w:val="005C3932"/>
    <w:rsid w:val="005C3DA2"/>
    <w:rsid w:val="005C4041"/>
    <w:rsid w:val="005C7E9C"/>
    <w:rsid w:val="005D1768"/>
    <w:rsid w:val="005D2492"/>
    <w:rsid w:val="005D4748"/>
    <w:rsid w:val="005D7954"/>
    <w:rsid w:val="005E0565"/>
    <w:rsid w:val="005E1B7D"/>
    <w:rsid w:val="005E1E6A"/>
    <w:rsid w:val="005E24FB"/>
    <w:rsid w:val="005E5623"/>
    <w:rsid w:val="005E6965"/>
    <w:rsid w:val="005F2661"/>
    <w:rsid w:val="005F5AF5"/>
    <w:rsid w:val="00600864"/>
    <w:rsid w:val="006008DB"/>
    <w:rsid w:val="0061026F"/>
    <w:rsid w:val="00612949"/>
    <w:rsid w:val="00612EA0"/>
    <w:rsid w:val="006135CE"/>
    <w:rsid w:val="006141EF"/>
    <w:rsid w:val="00615FE2"/>
    <w:rsid w:val="00616C17"/>
    <w:rsid w:val="00620459"/>
    <w:rsid w:val="0062589E"/>
    <w:rsid w:val="00625A3C"/>
    <w:rsid w:val="00625C9C"/>
    <w:rsid w:val="00630223"/>
    <w:rsid w:val="00631B1A"/>
    <w:rsid w:val="00633F98"/>
    <w:rsid w:val="006342E2"/>
    <w:rsid w:val="00634932"/>
    <w:rsid w:val="00634C65"/>
    <w:rsid w:val="0063694C"/>
    <w:rsid w:val="00637BB6"/>
    <w:rsid w:val="0064105A"/>
    <w:rsid w:val="00642018"/>
    <w:rsid w:val="00642F67"/>
    <w:rsid w:val="00643684"/>
    <w:rsid w:val="006447D8"/>
    <w:rsid w:val="00644F28"/>
    <w:rsid w:val="00646983"/>
    <w:rsid w:val="00646B22"/>
    <w:rsid w:val="006471B4"/>
    <w:rsid w:val="00647202"/>
    <w:rsid w:val="00647DE2"/>
    <w:rsid w:val="0065187E"/>
    <w:rsid w:val="006540E5"/>
    <w:rsid w:val="00654DE6"/>
    <w:rsid w:val="00655684"/>
    <w:rsid w:val="00661A1D"/>
    <w:rsid w:val="006625DB"/>
    <w:rsid w:val="00667BBF"/>
    <w:rsid w:val="006705CB"/>
    <w:rsid w:val="0067291F"/>
    <w:rsid w:val="006731F3"/>
    <w:rsid w:val="00676B85"/>
    <w:rsid w:val="0068222B"/>
    <w:rsid w:val="006829D7"/>
    <w:rsid w:val="00683601"/>
    <w:rsid w:val="00685B9B"/>
    <w:rsid w:val="00687F77"/>
    <w:rsid w:val="00697994"/>
    <w:rsid w:val="006A6691"/>
    <w:rsid w:val="006A7DC3"/>
    <w:rsid w:val="006B1075"/>
    <w:rsid w:val="006B366F"/>
    <w:rsid w:val="006B3AD2"/>
    <w:rsid w:val="006B51C2"/>
    <w:rsid w:val="006B5A45"/>
    <w:rsid w:val="006C10F3"/>
    <w:rsid w:val="006C2E76"/>
    <w:rsid w:val="006C50FF"/>
    <w:rsid w:val="006C54C9"/>
    <w:rsid w:val="006C738D"/>
    <w:rsid w:val="006D0E69"/>
    <w:rsid w:val="006D2FFA"/>
    <w:rsid w:val="006E14FF"/>
    <w:rsid w:val="006E70D3"/>
    <w:rsid w:val="006F1069"/>
    <w:rsid w:val="006F1837"/>
    <w:rsid w:val="006F1DED"/>
    <w:rsid w:val="006F3CD1"/>
    <w:rsid w:val="00700DA7"/>
    <w:rsid w:val="0070272D"/>
    <w:rsid w:val="00703A9A"/>
    <w:rsid w:val="00704C25"/>
    <w:rsid w:val="00705F1D"/>
    <w:rsid w:val="00706AC7"/>
    <w:rsid w:val="007107B4"/>
    <w:rsid w:val="00711248"/>
    <w:rsid w:val="007239AC"/>
    <w:rsid w:val="00723E95"/>
    <w:rsid w:val="00724B29"/>
    <w:rsid w:val="00733953"/>
    <w:rsid w:val="00735E9A"/>
    <w:rsid w:val="00736364"/>
    <w:rsid w:val="0073642B"/>
    <w:rsid w:val="00740AB1"/>
    <w:rsid w:val="00741027"/>
    <w:rsid w:val="00741454"/>
    <w:rsid w:val="007507AF"/>
    <w:rsid w:val="0075091E"/>
    <w:rsid w:val="00750F2F"/>
    <w:rsid w:val="00754496"/>
    <w:rsid w:val="00762BD4"/>
    <w:rsid w:val="00764518"/>
    <w:rsid w:val="0076684E"/>
    <w:rsid w:val="00766A58"/>
    <w:rsid w:val="00767E7E"/>
    <w:rsid w:val="00772F74"/>
    <w:rsid w:val="007764F4"/>
    <w:rsid w:val="00776AB8"/>
    <w:rsid w:val="00777F4A"/>
    <w:rsid w:val="00781115"/>
    <w:rsid w:val="00781550"/>
    <w:rsid w:val="007822A3"/>
    <w:rsid w:val="00790119"/>
    <w:rsid w:val="00790962"/>
    <w:rsid w:val="00793616"/>
    <w:rsid w:val="007969DC"/>
    <w:rsid w:val="00797AF9"/>
    <w:rsid w:val="007A2848"/>
    <w:rsid w:val="007A31DC"/>
    <w:rsid w:val="007A6FCB"/>
    <w:rsid w:val="007A7DBE"/>
    <w:rsid w:val="007B29E4"/>
    <w:rsid w:val="007B3A5C"/>
    <w:rsid w:val="007C1F01"/>
    <w:rsid w:val="007C2908"/>
    <w:rsid w:val="007C2CCD"/>
    <w:rsid w:val="007C428F"/>
    <w:rsid w:val="007C6E41"/>
    <w:rsid w:val="007C7850"/>
    <w:rsid w:val="007D0045"/>
    <w:rsid w:val="007D345F"/>
    <w:rsid w:val="007D39B9"/>
    <w:rsid w:val="007D69DF"/>
    <w:rsid w:val="007D7D94"/>
    <w:rsid w:val="007E3985"/>
    <w:rsid w:val="007E7A0A"/>
    <w:rsid w:val="007F4183"/>
    <w:rsid w:val="007F52A4"/>
    <w:rsid w:val="007F7F14"/>
    <w:rsid w:val="00800E7E"/>
    <w:rsid w:val="008022F1"/>
    <w:rsid w:val="00802EEF"/>
    <w:rsid w:val="00810AE7"/>
    <w:rsid w:val="008173B3"/>
    <w:rsid w:val="008178D8"/>
    <w:rsid w:val="00817E2A"/>
    <w:rsid w:val="00822230"/>
    <w:rsid w:val="008234CE"/>
    <w:rsid w:val="008261A3"/>
    <w:rsid w:val="00831B04"/>
    <w:rsid w:val="0083781D"/>
    <w:rsid w:val="00837C96"/>
    <w:rsid w:val="00840269"/>
    <w:rsid w:val="008452C8"/>
    <w:rsid w:val="008469F6"/>
    <w:rsid w:val="00850B98"/>
    <w:rsid w:val="00853905"/>
    <w:rsid w:val="00854E14"/>
    <w:rsid w:val="00860B65"/>
    <w:rsid w:val="00861E8E"/>
    <w:rsid w:val="0086333D"/>
    <w:rsid w:val="00864B2B"/>
    <w:rsid w:val="00865B01"/>
    <w:rsid w:val="00873A85"/>
    <w:rsid w:val="00873AC3"/>
    <w:rsid w:val="00877DED"/>
    <w:rsid w:val="008806D9"/>
    <w:rsid w:val="0088301D"/>
    <w:rsid w:val="00883838"/>
    <w:rsid w:val="00883E09"/>
    <w:rsid w:val="00886510"/>
    <w:rsid w:val="008869B6"/>
    <w:rsid w:val="0089026D"/>
    <w:rsid w:val="00891D15"/>
    <w:rsid w:val="00894F92"/>
    <w:rsid w:val="008A00E0"/>
    <w:rsid w:val="008A09DC"/>
    <w:rsid w:val="008A164E"/>
    <w:rsid w:val="008A2025"/>
    <w:rsid w:val="008A69EA"/>
    <w:rsid w:val="008A7D25"/>
    <w:rsid w:val="008B0F36"/>
    <w:rsid w:val="008B1098"/>
    <w:rsid w:val="008B5953"/>
    <w:rsid w:val="008B7442"/>
    <w:rsid w:val="008C140C"/>
    <w:rsid w:val="008C16DE"/>
    <w:rsid w:val="008C1B76"/>
    <w:rsid w:val="008C2AA8"/>
    <w:rsid w:val="008C7B14"/>
    <w:rsid w:val="008D08D6"/>
    <w:rsid w:val="008D1B67"/>
    <w:rsid w:val="008D5D98"/>
    <w:rsid w:val="008D5F2C"/>
    <w:rsid w:val="008E18A7"/>
    <w:rsid w:val="008E18C4"/>
    <w:rsid w:val="008E1DF8"/>
    <w:rsid w:val="008E55F7"/>
    <w:rsid w:val="008E65D5"/>
    <w:rsid w:val="008E7947"/>
    <w:rsid w:val="008F2F7B"/>
    <w:rsid w:val="008F309B"/>
    <w:rsid w:val="008F5005"/>
    <w:rsid w:val="008F69D8"/>
    <w:rsid w:val="008F6BD3"/>
    <w:rsid w:val="0090102E"/>
    <w:rsid w:val="00901EBF"/>
    <w:rsid w:val="0090573F"/>
    <w:rsid w:val="009117A9"/>
    <w:rsid w:val="009123E6"/>
    <w:rsid w:val="009139AE"/>
    <w:rsid w:val="00916122"/>
    <w:rsid w:val="00917C97"/>
    <w:rsid w:val="00921A61"/>
    <w:rsid w:val="00922314"/>
    <w:rsid w:val="00931807"/>
    <w:rsid w:val="00933B43"/>
    <w:rsid w:val="0093756B"/>
    <w:rsid w:val="00937674"/>
    <w:rsid w:val="009400C2"/>
    <w:rsid w:val="00942640"/>
    <w:rsid w:val="00942947"/>
    <w:rsid w:val="0094476E"/>
    <w:rsid w:val="009462FA"/>
    <w:rsid w:val="009463A7"/>
    <w:rsid w:val="009505DD"/>
    <w:rsid w:val="00950D9D"/>
    <w:rsid w:val="00954D68"/>
    <w:rsid w:val="00955905"/>
    <w:rsid w:val="00956384"/>
    <w:rsid w:val="00962E14"/>
    <w:rsid w:val="00963425"/>
    <w:rsid w:val="009635B8"/>
    <w:rsid w:val="0096761A"/>
    <w:rsid w:val="00967CF7"/>
    <w:rsid w:val="009705B3"/>
    <w:rsid w:val="00971016"/>
    <w:rsid w:val="00971583"/>
    <w:rsid w:val="009749B8"/>
    <w:rsid w:val="009813A6"/>
    <w:rsid w:val="00987716"/>
    <w:rsid w:val="0099335F"/>
    <w:rsid w:val="009A0868"/>
    <w:rsid w:val="009A1D23"/>
    <w:rsid w:val="009B7B1F"/>
    <w:rsid w:val="009C2244"/>
    <w:rsid w:val="009C3240"/>
    <w:rsid w:val="009C3C7B"/>
    <w:rsid w:val="009C4F53"/>
    <w:rsid w:val="009C7D18"/>
    <w:rsid w:val="009D027A"/>
    <w:rsid w:val="009D06DE"/>
    <w:rsid w:val="009D14F2"/>
    <w:rsid w:val="009D1D31"/>
    <w:rsid w:val="009D2971"/>
    <w:rsid w:val="009D29E7"/>
    <w:rsid w:val="009D5D99"/>
    <w:rsid w:val="009E4604"/>
    <w:rsid w:val="009E4E1D"/>
    <w:rsid w:val="009E726B"/>
    <w:rsid w:val="009F1183"/>
    <w:rsid w:val="009F1514"/>
    <w:rsid w:val="009F1583"/>
    <w:rsid w:val="009F294D"/>
    <w:rsid w:val="009F2F7B"/>
    <w:rsid w:val="009F44B4"/>
    <w:rsid w:val="009F589F"/>
    <w:rsid w:val="009F5EFF"/>
    <w:rsid w:val="009F635F"/>
    <w:rsid w:val="009F7119"/>
    <w:rsid w:val="00A00273"/>
    <w:rsid w:val="00A00401"/>
    <w:rsid w:val="00A02DEC"/>
    <w:rsid w:val="00A043DE"/>
    <w:rsid w:val="00A05BAE"/>
    <w:rsid w:val="00A07FE2"/>
    <w:rsid w:val="00A10F1C"/>
    <w:rsid w:val="00A11618"/>
    <w:rsid w:val="00A12E58"/>
    <w:rsid w:val="00A14CF4"/>
    <w:rsid w:val="00A1570C"/>
    <w:rsid w:val="00A15C4F"/>
    <w:rsid w:val="00A1632B"/>
    <w:rsid w:val="00A16E60"/>
    <w:rsid w:val="00A23560"/>
    <w:rsid w:val="00A2724A"/>
    <w:rsid w:val="00A37539"/>
    <w:rsid w:val="00A40B4C"/>
    <w:rsid w:val="00A4611D"/>
    <w:rsid w:val="00A51842"/>
    <w:rsid w:val="00A53ACB"/>
    <w:rsid w:val="00A562EE"/>
    <w:rsid w:val="00A569C7"/>
    <w:rsid w:val="00A60347"/>
    <w:rsid w:val="00A62487"/>
    <w:rsid w:val="00A63087"/>
    <w:rsid w:val="00A63AF0"/>
    <w:rsid w:val="00A660EC"/>
    <w:rsid w:val="00A67E70"/>
    <w:rsid w:val="00A70534"/>
    <w:rsid w:val="00A73A46"/>
    <w:rsid w:val="00A74A2B"/>
    <w:rsid w:val="00A7525C"/>
    <w:rsid w:val="00A77B25"/>
    <w:rsid w:val="00A83153"/>
    <w:rsid w:val="00A845BD"/>
    <w:rsid w:val="00A86EBC"/>
    <w:rsid w:val="00A87799"/>
    <w:rsid w:val="00A8785A"/>
    <w:rsid w:val="00A90432"/>
    <w:rsid w:val="00A94A55"/>
    <w:rsid w:val="00AA52D3"/>
    <w:rsid w:val="00AB0250"/>
    <w:rsid w:val="00AB0DB7"/>
    <w:rsid w:val="00AB0E27"/>
    <w:rsid w:val="00AB2F14"/>
    <w:rsid w:val="00AB6F15"/>
    <w:rsid w:val="00AC24D4"/>
    <w:rsid w:val="00AC43FC"/>
    <w:rsid w:val="00AC46F5"/>
    <w:rsid w:val="00AC4F32"/>
    <w:rsid w:val="00AC7421"/>
    <w:rsid w:val="00AD0734"/>
    <w:rsid w:val="00AD151C"/>
    <w:rsid w:val="00AD161C"/>
    <w:rsid w:val="00AD191A"/>
    <w:rsid w:val="00AD30AB"/>
    <w:rsid w:val="00AD5DDB"/>
    <w:rsid w:val="00AD6654"/>
    <w:rsid w:val="00AD76BA"/>
    <w:rsid w:val="00AD783C"/>
    <w:rsid w:val="00AE2865"/>
    <w:rsid w:val="00AE3A2A"/>
    <w:rsid w:val="00AE6B9C"/>
    <w:rsid w:val="00AF62C2"/>
    <w:rsid w:val="00B00D76"/>
    <w:rsid w:val="00B03105"/>
    <w:rsid w:val="00B03D10"/>
    <w:rsid w:val="00B049D1"/>
    <w:rsid w:val="00B05FDA"/>
    <w:rsid w:val="00B06284"/>
    <w:rsid w:val="00B064CC"/>
    <w:rsid w:val="00B07735"/>
    <w:rsid w:val="00B10C77"/>
    <w:rsid w:val="00B146C0"/>
    <w:rsid w:val="00B20109"/>
    <w:rsid w:val="00B227E6"/>
    <w:rsid w:val="00B22996"/>
    <w:rsid w:val="00B26DAE"/>
    <w:rsid w:val="00B32E4E"/>
    <w:rsid w:val="00B35046"/>
    <w:rsid w:val="00B40EE3"/>
    <w:rsid w:val="00B41DB1"/>
    <w:rsid w:val="00B427ED"/>
    <w:rsid w:val="00B43F32"/>
    <w:rsid w:val="00B4456F"/>
    <w:rsid w:val="00B4688D"/>
    <w:rsid w:val="00B477C4"/>
    <w:rsid w:val="00B47BE9"/>
    <w:rsid w:val="00B51432"/>
    <w:rsid w:val="00B55891"/>
    <w:rsid w:val="00B56AA4"/>
    <w:rsid w:val="00B61F61"/>
    <w:rsid w:val="00B63BBC"/>
    <w:rsid w:val="00B75B37"/>
    <w:rsid w:val="00B76CAA"/>
    <w:rsid w:val="00B76F1A"/>
    <w:rsid w:val="00B777FA"/>
    <w:rsid w:val="00B802A8"/>
    <w:rsid w:val="00B82135"/>
    <w:rsid w:val="00B87BE1"/>
    <w:rsid w:val="00B90CF8"/>
    <w:rsid w:val="00B91986"/>
    <w:rsid w:val="00B96E4F"/>
    <w:rsid w:val="00BA12F0"/>
    <w:rsid w:val="00BA5D71"/>
    <w:rsid w:val="00BA688E"/>
    <w:rsid w:val="00BB0719"/>
    <w:rsid w:val="00BB1B86"/>
    <w:rsid w:val="00BB1DA1"/>
    <w:rsid w:val="00BB2B36"/>
    <w:rsid w:val="00BB3408"/>
    <w:rsid w:val="00BB4052"/>
    <w:rsid w:val="00BB46BB"/>
    <w:rsid w:val="00BB5DCC"/>
    <w:rsid w:val="00BB68BB"/>
    <w:rsid w:val="00BB7676"/>
    <w:rsid w:val="00BC3822"/>
    <w:rsid w:val="00BC7341"/>
    <w:rsid w:val="00BC78DA"/>
    <w:rsid w:val="00BD17E4"/>
    <w:rsid w:val="00BD1D67"/>
    <w:rsid w:val="00BD2ACC"/>
    <w:rsid w:val="00BD4333"/>
    <w:rsid w:val="00BD4DFF"/>
    <w:rsid w:val="00BE07E2"/>
    <w:rsid w:val="00BE1F21"/>
    <w:rsid w:val="00BE2447"/>
    <w:rsid w:val="00BE2AD6"/>
    <w:rsid w:val="00BE609B"/>
    <w:rsid w:val="00BF00BC"/>
    <w:rsid w:val="00BF10E4"/>
    <w:rsid w:val="00BF20DB"/>
    <w:rsid w:val="00BF2A76"/>
    <w:rsid w:val="00BF4225"/>
    <w:rsid w:val="00BF6445"/>
    <w:rsid w:val="00BF6D2B"/>
    <w:rsid w:val="00BF7747"/>
    <w:rsid w:val="00C057DE"/>
    <w:rsid w:val="00C06AC9"/>
    <w:rsid w:val="00C11026"/>
    <w:rsid w:val="00C1168C"/>
    <w:rsid w:val="00C1324B"/>
    <w:rsid w:val="00C144E4"/>
    <w:rsid w:val="00C1743C"/>
    <w:rsid w:val="00C17CE0"/>
    <w:rsid w:val="00C2122A"/>
    <w:rsid w:val="00C2376A"/>
    <w:rsid w:val="00C336B6"/>
    <w:rsid w:val="00C3442F"/>
    <w:rsid w:val="00C34D41"/>
    <w:rsid w:val="00C35345"/>
    <w:rsid w:val="00C35EB8"/>
    <w:rsid w:val="00C414F9"/>
    <w:rsid w:val="00C4259A"/>
    <w:rsid w:val="00C44D1C"/>
    <w:rsid w:val="00C44E75"/>
    <w:rsid w:val="00C45804"/>
    <w:rsid w:val="00C45B21"/>
    <w:rsid w:val="00C472D8"/>
    <w:rsid w:val="00C476E1"/>
    <w:rsid w:val="00C47A85"/>
    <w:rsid w:val="00C50D85"/>
    <w:rsid w:val="00C5194C"/>
    <w:rsid w:val="00C52497"/>
    <w:rsid w:val="00C52BFF"/>
    <w:rsid w:val="00C548E2"/>
    <w:rsid w:val="00C55283"/>
    <w:rsid w:val="00C56B6D"/>
    <w:rsid w:val="00C61182"/>
    <w:rsid w:val="00C62DC1"/>
    <w:rsid w:val="00C6676E"/>
    <w:rsid w:val="00C74AAF"/>
    <w:rsid w:val="00C76706"/>
    <w:rsid w:val="00C800CC"/>
    <w:rsid w:val="00C80EF3"/>
    <w:rsid w:val="00C81120"/>
    <w:rsid w:val="00C81128"/>
    <w:rsid w:val="00C83873"/>
    <w:rsid w:val="00C84C8F"/>
    <w:rsid w:val="00C87AB5"/>
    <w:rsid w:val="00C93ED6"/>
    <w:rsid w:val="00C953E5"/>
    <w:rsid w:val="00C969AE"/>
    <w:rsid w:val="00C97FBF"/>
    <w:rsid w:val="00CA1B14"/>
    <w:rsid w:val="00CA2618"/>
    <w:rsid w:val="00CA2E47"/>
    <w:rsid w:val="00CA7C45"/>
    <w:rsid w:val="00CB0A76"/>
    <w:rsid w:val="00CB0E67"/>
    <w:rsid w:val="00CB2BA3"/>
    <w:rsid w:val="00CB2BDA"/>
    <w:rsid w:val="00CB373C"/>
    <w:rsid w:val="00CB51EA"/>
    <w:rsid w:val="00CB7E3A"/>
    <w:rsid w:val="00CC365B"/>
    <w:rsid w:val="00CC3C32"/>
    <w:rsid w:val="00CC414F"/>
    <w:rsid w:val="00CC6A15"/>
    <w:rsid w:val="00CD2032"/>
    <w:rsid w:val="00CD44F2"/>
    <w:rsid w:val="00CD67C0"/>
    <w:rsid w:val="00CE13A5"/>
    <w:rsid w:val="00CE39F0"/>
    <w:rsid w:val="00CE45FE"/>
    <w:rsid w:val="00CE5825"/>
    <w:rsid w:val="00CE5D4D"/>
    <w:rsid w:val="00CF2FE6"/>
    <w:rsid w:val="00CF37EF"/>
    <w:rsid w:val="00CF38E8"/>
    <w:rsid w:val="00D0035F"/>
    <w:rsid w:val="00D009AC"/>
    <w:rsid w:val="00D00A5E"/>
    <w:rsid w:val="00D012B5"/>
    <w:rsid w:val="00D046CC"/>
    <w:rsid w:val="00D05EDF"/>
    <w:rsid w:val="00D07499"/>
    <w:rsid w:val="00D104AA"/>
    <w:rsid w:val="00D1286C"/>
    <w:rsid w:val="00D1618A"/>
    <w:rsid w:val="00D1699A"/>
    <w:rsid w:val="00D16A5C"/>
    <w:rsid w:val="00D20B9D"/>
    <w:rsid w:val="00D20E96"/>
    <w:rsid w:val="00D235C5"/>
    <w:rsid w:val="00D23CA7"/>
    <w:rsid w:val="00D258ED"/>
    <w:rsid w:val="00D31D7E"/>
    <w:rsid w:val="00D33C68"/>
    <w:rsid w:val="00D372D0"/>
    <w:rsid w:val="00D4716B"/>
    <w:rsid w:val="00D47CDE"/>
    <w:rsid w:val="00D47F4C"/>
    <w:rsid w:val="00D50F00"/>
    <w:rsid w:val="00D553F5"/>
    <w:rsid w:val="00D66F8C"/>
    <w:rsid w:val="00D70797"/>
    <w:rsid w:val="00D73B22"/>
    <w:rsid w:val="00D73F64"/>
    <w:rsid w:val="00D90E55"/>
    <w:rsid w:val="00D9144F"/>
    <w:rsid w:val="00D9681C"/>
    <w:rsid w:val="00D97702"/>
    <w:rsid w:val="00DA1312"/>
    <w:rsid w:val="00DA4573"/>
    <w:rsid w:val="00DA5FAE"/>
    <w:rsid w:val="00DA6668"/>
    <w:rsid w:val="00DB67ED"/>
    <w:rsid w:val="00DB7274"/>
    <w:rsid w:val="00DC034B"/>
    <w:rsid w:val="00DC19B8"/>
    <w:rsid w:val="00DC389B"/>
    <w:rsid w:val="00DC7903"/>
    <w:rsid w:val="00DD2DAC"/>
    <w:rsid w:val="00DD4E9D"/>
    <w:rsid w:val="00DE18FE"/>
    <w:rsid w:val="00DE2B69"/>
    <w:rsid w:val="00DE4849"/>
    <w:rsid w:val="00DE56D7"/>
    <w:rsid w:val="00DF30DF"/>
    <w:rsid w:val="00DF3EDD"/>
    <w:rsid w:val="00DF60E8"/>
    <w:rsid w:val="00DF67C2"/>
    <w:rsid w:val="00DF6DD4"/>
    <w:rsid w:val="00E00A4A"/>
    <w:rsid w:val="00E01563"/>
    <w:rsid w:val="00E031FB"/>
    <w:rsid w:val="00E0359E"/>
    <w:rsid w:val="00E04CDC"/>
    <w:rsid w:val="00E113A9"/>
    <w:rsid w:val="00E11EF3"/>
    <w:rsid w:val="00E133BA"/>
    <w:rsid w:val="00E145A9"/>
    <w:rsid w:val="00E14E2E"/>
    <w:rsid w:val="00E1535F"/>
    <w:rsid w:val="00E176C1"/>
    <w:rsid w:val="00E211E9"/>
    <w:rsid w:val="00E3299D"/>
    <w:rsid w:val="00E34F6D"/>
    <w:rsid w:val="00E3576C"/>
    <w:rsid w:val="00E36535"/>
    <w:rsid w:val="00E415CF"/>
    <w:rsid w:val="00E43B87"/>
    <w:rsid w:val="00E45FD8"/>
    <w:rsid w:val="00E47015"/>
    <w:rsid w:val="00E47D2A"/>
    <w:rsid w:val="00E501DC"/>
    <w:rsid w:val="00E5639A"/>
    <w:rsid w:val="00E57E7F"/>
    <w:rsid w:val="00E57FE1"/>
    <w:rsid w:val="00E627B9"/>
    <w:rsid w:val="00E638A6"/>
    <w:rsid w:val="00E64AA7"/>
    <w:rsid w:val="00E667FB"/>
    <w:rsid w:val="00E674BA"/>
    <w:rsid w:val="00E70A28"/>
    <w:rsid w:val="00E70E4C"/>
    <w:rsid w:val="00E7124C"/>
    <w:rsid w:val="00E76C5D"/>
    <w:rsid w:val="00E80733"/>
    <w:rsid w:val="00E81A69"/>
    <w:rsid w:val="00E84298"/>
    <w:rsid w:val="00E9327B"/>
    <w:rsid w:val="00E952BE"/>
    <w:rsid w:val="00E97692"/>
    <w:rsid w:val="00EA0044"/>
    <w:rsid w:val="00EA06B2"/>
    <w:rsid w:val="00EA19A2"/>
    <w:rsid w:val="00EA29D8"/>
    <w:rsid w:val="00EA2C08"/>
    <w:rsid w:val="00EA3067"/>
    <w:rsid w:val="00EA4F7F"/>
    <w:rsid w:val="00EA53DD"/>
    <w:rsid w:val="00EA637F"/>
    <w:rsid w:val="00EA69AC"/>
    <w:rsid w:val="00EB0307"/>
    <w:rsid w:val="00EB1446"/>
    <w:rsid w:val="00EB5A75"/>
    <w:rsid w:val="00EB684E"/>
    <w:rsid w:val="00EC1CA4"/>
    <w:rsid w:val="00EC25CF"/>
    <w:rsid w:val="00EC3876"/>
    <w:rsid w:val="00EC4694"/>
    <w:rsid w:val="00ED3EF2"/>
    <w:rsid w:val="00ED77B9"/>
    <w:rsid w:val="00EE4A33"/>
    <w:rsid w:val="00EE7897"/>
    <w:rsid w:val="00EE7D55"/>
    <w:rsid w:val="00EF040F"/>
    <w:rsid w:val="00EF1678"/>
    <w:rsid w:val="00F00D55"/>
    <w:rsid w:val="00F029F6"/>
    <w:rsid w:val="00F04CB8"/>
    <w:rsid w:val="00F05002"/>
    <w:rsid w:val="00F06656"/>
    <w:rsid w:val="00F0696A"/>
    <w:rsid w:val="00F11CE1"/>
    <w:rsid w:val="00F12EAB"/>
    <w:rsid w:val="00F1422F"/>
    <w:rsid w:val="00F151AC"/>
    <w:rsid w:val="00F1554E"/>
    <w:rsid w:val="00F15A3B"/>
    <w:rsid w:val="00F17A30"/>
    <w:rsid w:val="00F20D35"/>
    <w:rsid w:val="00F21C71"/>
    <w:rsid w:val="00F233CF"/>
    <w:rsid w:val="00F36974"/>
    <w:rsid w:val="00F37901"/>
    <w:rsid w:val="00F419D8"/>
    <w:rsid w:val="00F42738"/>
    <w:rsid w:val="00F43BA7"/>
    <w:rsid w:val="00F44A9C"/>
    <w:rsid w:val="00F4536C"/>
    <w:rsid w:val="00F534A5"/>
    <w:rsid w:val="00F55531"/>
    <w:rsid w:val="00F5781A"/>
    <w:rsid w:val="00F57C49"/>
    <w:rsid w:val="00F61014"/>
    <w:rsid w:val="00F628F0"/>
    <w:rsid w:val="00F71C4B"/>
    <w:rsid w:val="00F73118"/>
    <w:rsid w:val="00F73EE4"/>
    <w:rsid w:val="00F74068"/>
    <w:rsid w:val="00F761A2"/>
    <w:rsid w:val="00F77775"/>
    <w:rsid w:val="00F77CC4"/>
    <w:rsid w:val="00F83A16"/>
    <w:rsid w:val="00F909EF"/>
    <w:rsid w:val="00F92126"/>
    <w:rsid w:val="00F92EA4"/>
    <w:rsid w:val="00F92F61"/>
    <w:rsid w:val="00FA194F"/>
    <w:rsid w:val="00FA28F4"/>
    <w:rsid w:val="00FA4160"/>
    <w:rsid w:val="00FA53F0"/>
    <w:rsid w:val="00FA73A6"/>
    <w:rsid w:val="00FB239D"/>
    <w:rsid w:val="00FB40CE"/>
    <w:rsid w:val="00FB4EC1"/>
    <w:rsid w:val="00FB5943"/>
    <w:rsid w:val="00FB599B"/>
    <w:rsid w:val="00FB67F2"/>
    <w:rsid w:val="00FB719F"/>
    <w:rsid w:val="00FB7622"/>
    <w:rsid w:val="00FB7B59"/>
    <w:rsid w:val="00FC0FE7"/>
    <w:rsid w:val="00FC3BCE"/>
    <w:rsid w:val="00FC4679"/>
    <w:rsid w:val="00FC61D9"/>
    <w:rsid w:val="00FD131E"/>
    <w:rsid w:val="00FD5685"/>
    <w:rsid w:val="00FD65D4"/>
    <w:rsid w:val="00FD7004"/>
    <w:rsid w:val="00FE2ED1"/>
    <w:rsid w:val="00FE2F52"/>
    <w:rsid w:val="00FE5D24"/>
    <w:rsid w:val="00FE6577"/>
    <w:rsid w:val="00FF135C"/>
    <w:rsid w:val="00FF2D1F"/>
    <w:rsid w:val="00FF3376"/>
    <w:rsid w:val="00FF7930"/>
    <w:rsid w:val="00FF7A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14F"/>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E14F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CB373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B373C"/>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unhideWhenUsed/>
    <w:qFormat/>
    <w:rsid w:val="008E65D5"/>
    <w:pPr>
      <w:keepNext/>
      <w:keepLines/>
      <w:bidi/>
      <w:spacing w:before="40" w:after="0" w:line="276" w:lineRule="auto"/>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CB373C"/>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CB373C"/>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CB373C"/>
    <w:pPr>
      <w:keepNext/>
      <w:keepLines/>
      <w:spacing w:before="4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NumberedList,الفقرات,سرد الفقرات1,عنوان رئيسي,سرد الفقراتCxSpLast,List Paragraph1,مؤمن"/>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paragraph" w:styleId="HTMLPreformatted">
    <w:name w:val="HTML Preformatted"/>
    <w:basedOn w:val="Normal"/>
    <w:link w:val="HTMLPreformattedChar"/>
    <w:uiPriority w:val="99"/>
    <w:semiHidden/>
    <w:unhideWhenUsed/>
    <w:rsid w:val="004674F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674F5"/>
    <w:rPr>
      <w:rFonts w:ascii="Consolas" w:hAnsi="Consolas"/>
      <w:sz w:val="20"/>
      <w:szCs w:val="20"/>
    </w:rPr>
  </w:style>
  <w:style w:type="character" w:customStyle="1" w:styleId="ListParagraphChar">
    <w:name w:val="List Paragraph Char"/>
    <w:aliases w:val="NumberedList Char,الفقرات Char,سرد الفقرات1 Char,عنوان رئيسي Char,سرد الفقراتCxSpLast Char,List Paragraph1 Char,مؤمن Char"/>
    <w:link w:val="ListParagraph"/>
    <w:uiPriority w:val="34"/>
    <w:rsid w:val="004674F5"/>
  </w:style>
  <w:style w:type="character" w:styleId="Hyperlink">
    <w:name w:val="Hyperlink"/>
    <w:basedOn w:val="DefaultParagraphFont"/>
    <w:uiPriority w:val="99"/>
    <w:unhideWhenUsed/>
    <w:rsid w:val="00495D7D"/>
    <w:rPr>
      <w:color w:val="0000FF"/>
      <w:u w:val="single"/>
    </w:rPr>
  </w:style>
  <w:style w:type="paragraph" w:styleId="TOC1">
    <w:name w:val="toc 1"/>
    <w:basedOn w:val="Normal"/>
    <w:next w:val="Normal"/>
    <w:autoRedefine/>
    <w:uiPriority w:val="39"/>
    <w:unhideWhenUsed/>
    <w:rsid w:val="00647202"/>
    <w:pPr>
      <w:spacing w:after="100"/>
    </w:pPr>
  </w:style>
  <w:style w:type="paragraph" w:styleId="TOC2">
    <w:name w:val="toc 2"/>
    <w:basedOn w:val="Normal"/>
    <w:next w:val="Normal"/>
    <w:autoRedefine/>
    <w:uiPriority w:val="39"/>
    <w:unhideWhenUsed/>
    <w:rsid w:val="00647202"/>
    <w:pPr>
      <w:spacing w:after="100"/>
      <w:ind w:left="220"/>
    </w:pPr>
  </w:style>
  <w:style w:type="character" w:customStyle="1" w:styleId="rynqvb">
    <w:name w:val="rynqvb"/>
    <w:basedOn w:val="DefaultParagraphFont"/>
    <w:rsid w:val="00F04CB8"/>
  </w:style>
  <w:style w:type="character" w:customStyle="1" w:styleId="Heading3Char">
    <w:name w:val="Heading 3 Char"/>
    <w:basedOn w:val="DefaultParagraphFont"/>
    <w:link w:val="Heading3"/>
    <w:uiPriority w:val="9"/>
    <w:rsid w:val="006E14FF"/>
    <w:rPr>
      <w:rFonts w:asciiTheme="majorHAnsi" w:eastAsiaTheme="majorEastAsia" w:hAnsiTheme="majorHAnsi" w:cstheme="majorBidi"/>
      <w:color w:val="243F60" w:themeColor="accent1" w:themeShade="7F"/>
      <w:sz w:val="24"/>
      <w:szCs w:val="24"/>
    </w:rPr>
  </w:style>
  <w:style w:type="paragraph" w:customStyle="1" w:styleId="ds-markdown-paragraph">
    <w:name w:val="ds-markdown-paragraph"/>
    <w:basedOn w:val="Normal"/>
    <w:rsid w:val="006E14F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E14FF"/>
    <w:rPr>
      <w:i/>
      <w:iCs/>
    </w:rPr>
  </w:style>
  <w:style w:type="character" w:styleId="HTMLCode">
    <w:name w:val="HTML Code"/>
    <w:basedOn w:val="DefaultParagraphFont"/>
    <w:uiPriority w:val="99"/>
    <w:semiHidden/>
    <w:unhideWhenUsed/>
    <w:rsid w:val="006E14FF"/>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987716"/>
    <w:rPr>
      <w:color w:val="605E5C"/>
      <w:shd w:val="clear" w:color="auto" w:fill="E1DFDD"/>
    </w:rPr>
  </w:style>
  <w:style w:type="character" w:customStyle="1" w:styleId="Heading6Char">
    <w:name w:val="Heading 6 Char"/>
    <w:basedOn w:val="DefaultParagraphFont"/>
    <w:link w:val="Heading6"/>
    <w:uiPriority w:val="9"/>
    <w:rsid w:val="008E65D5"/>
    <w:rPr>
      <w:rFonts w:asciiTheme="majorHAnsi" w:eastAsiaTheme="majorEastAsia" w:hAnsiTheme="majorHAnsi" w:cstheme="majorBidi"/>
      <w:color w:val="243F60" w:themeColor="accent1" w:themeShade="7F"/>
    </w:rPr>
  </w:style>
  <w:style w:type="character" w:styleId="CommentReference">
    <w:name w:val="annotation reference"/>
    <w:basedOn w:val="DefaultParagraphFont"/>
    <w:uiPriority w:val="99"/>
    <w:semiHidden/>
    <w:unhideWhenUsed/>
    <w:rsid w:val="0094476E"/>
    <w:rPr>
      <w:sz w:val="16"/>
      <w:szCs w:val="16"/>
    </w:rPr>
  </w:style>
  <w:style w:type="paragraph" w:styleId="CommentText">
    <w:name w:val="annotation text"/>
    <w:basedOn w:val="Normal"/>
    <w:link w:val="CommentTextChar"/>
    <w:uiPriority w:val="99"/>
    <w:semiHidden/>
    <w:unhideWhenUsed/>
    <w:rsid w:val="0094476E"/>
    <w:pPr>
      <w:spacing w:line="240" w:lineRule="auto"/>
    </w:pPr>
    <w:rPr>
      <w:sz w:val="20"/>
      <w:szCs w:val="20"/>
    </w:rPr>
  </w:style>
  <w:style w:type="character" w:customStyle="1" w:styleId="CommentTextChar">
    <w:name w:val="Comment Text Char"/>
    <w:basedOn w:val="DefaultParagraphFont"/>
    <w:link w:val="CommentText"/>
    <w:uiPriority w:val="99"/>
    <w:semiHidden/>
    <w:rsid w:val="0094476E"/>
    <w:rPr>
      <w:sz w:val="20"/>
      <w:szCs w:val="20"/>
    </w:rPr>
  </w:style>
  <w:style w:type="paragraph" w:styleId="CommentSubject">
    <w:name w:val="annotation subject"/>
    <w:basedOn w:val="CommentText"/>
    <w:next w:val="CommentText"/>
    <w:link w:val="CommentSubjectChar"/>
    <w:uiPriority w:val="99"/>
    <w:semiHidden/>
    <w:unhideWhenUsed/>
    <w:rsid w:val="0094476E"/>
    <w:rPr>
      <w:b/>
      <w:bCs/>
    </w:rPr>
  </w:style>
  <w:style w:type="character" w:customStyle="1" w:styleId="CommentSubjectChar">
    <w:name w:val="Comment Subject Char"/>
    <w:basedOn w:val="CommentTextChar"/>
    <w:link w:val="CommentSubject"/>
    <w:uiPriority w:val="99"/>
    <w:semiHidden/>
    <w:rsid w:val="0094476E"/>
    <w:rPr>
      <w:b/>
      <w:bCs/>
      <w:sz w:val="20"/>
      <w:szCs w:val="20"/>
    </w:rPr>
  </w:style>
  <w:style w:type="table" w:styleId="TableGridLight">
    <w:name w:val="Grid Table Light"/>
    <w:basedOn w:val="TableNormal"/>
    <w:uiPriority w:val="40"/>
    <w:rsid w:val="002A6FF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4Char">
    <w:name w:val="Heading 4 Char"/>
    <w:basedOn w:val="DefaultParagraphFont"/>
    <w:link w:val="Heading4"/>
    <w:uiPriority w:val="9"/>
    <w:rsid w:val="00CB373C"/>
    <w:rPr>
      <w:rFonts w:asciiTheme="majorHAnsi" w:eastAsiaTheme="majorEastAsia" w:hAnsiTheme="majorHAnsi" w:cstheme="majorBidi"/>
      <w:i/>
      <w:iCs/>
      <w:color w:val="365F91" w:themeColor="accent1" w:themeShade="BF"/>
    </w:rPr>
  </w:style>
  <w:style w:type="paragraph" w:styleId="TOC3">
    <w:name w:val="toc 3"/>
    <w:basedOn w:val="Normal"/>
    <w:next w:val="Normal"/>
    <w:autoRedefine/>
    <w:uiPriority w:val="39"/>
    <w:unhideWhenUsed/>
    <w:rsid w:val="00CB373C"/>
    <w:pPr>
      <w:spacing w:after="100"/>
      <w:ind w:left="440"/>
    </w:pPr>
  </w:style>
  <w:style w:type="paragraph" w:customStyle="1" w:styleId="Heading51">
    <w:name w:val="Heading 51"/>
    <w:basedOn w:val="Normal"/>
    <w:next w:val="Normal"/>
    <w:uiPriority w:val="9"/>
    <w:semiHidden/>
    <w:unhideWhenUsed/>
    <w:qFormat/>
    <w:rsid w:val="00CB373C"/>
    <w:pPr>
      <w:keepNext/>
      <w:keepLines/>
      <w:bidi/>
      <w:spacing w:before="80" w:after="40" w:line="278" w:lineRule="auto"/>
      <w:ind w:left="4109" w:hanging="360"/>
      <w:outlineLvl w:val="4"/>
    </w:pPr>
    <w:rPr>
      <w:rFonts w:eastAsia="Times New Roman" w:cs="Times New Roman"/>
      <w:color w:val="0F4761"/>
      <w:kern w:val="2"/>
      <w:sz w:val="24"/>
      <w:szCs w:val="24"/>
      <w14:ligatures w14:val="standardContextual"/>
    </w:rPr>
  </w:style>
  <w:style w:type="paragraph" w:customStyle="1" w:styleId="Heading71">
    <w:name w:val="Heading 71"/>
    <w:basedOn w:val="Normal"/>
    <w:next w:val="Normal"/>
    <w:uiPriority w:val="9"/>
    <w:semiHidden/>
    <w:unhideWhenUsed/>
    <w:qFormat/>
    <w:rsid w:val="00CB373C"/>
    <w:pPr>
      <w:keepNext/>
      <w:keepLines/>
      <w:bidi/>
      <w:spacing w:before="40" w:after="0" w:line="278" w:lineRule="auto"/>
      <w:ind w:left="5549" w:hanging="360"/>
      <w:outlineLvl w:val="6"/>
    </w:pPr>
    <w:rPr>
      <w:rFonts w:eastAsia="Times New Roman" w:cs="Times New Roman"/>
      <w:color w:val="595959"/>
      <w:kern w:val="2"/>
      <w:sz w:val="24"/>
      <w:szCs w:val="24"/>
      <w14:ligatures w14:val="standardContextual"/>
    </w:rPr>
  </w:style>
  <w:style w:type="paragraph" w:customStyle="1" w:styleId="Heading81">
    <w:name w:val="Heading 81"/>
    <w:basedOn w:val="Normal"/>
    <w:next w:val="Normal"/>
    <w:uiPriority w:val="9"/>
    <w:semiHidden/>
    <w:unhideWhenUsed/>
    <w:qFormat/>
    <w:rsid w:val="00CB373C"/>
    <w:pPr>
      <w:keepNext/>
      <w:keepLines/>
      <w:bidi/>
      <w:spacing w:after="0" w:line="278" w:lineRule="auto"/>
      <w:ind w:left="6269" w:hanging="360"/>
      <w:outlineLvl w:val="7"/>
    </w:pPr>
    <w:rPr>
      <w:rFonts w:eastAsia="Times New Roman" w:cs="Times New Roman"/>
      <w:i/>
      <w:iCs/>
      <w:color w:val="272727"/>
      <w:kern w:val="2"/>
      <w:sz w:val="24"/>
      <w:szCs w:val="24"/>
      <w14:ligatures w14:val="standardContextual"/>
    </w:rPr>
  </w:style>
  <w:style w:type="paragraph" w:customStyle="1" w:styleId="Heading91">
    <w:name w:val="Heading 91"/>
    <w:basedOn w:val="Normal"/>
    <w:next w:val="Normal"/>
    <w:uiPriority w:val="9"/>
    <w:semiHidden/>
    <w:unhideWhenUsed/>
    <w:qFormat/>
    <w:rsid w:val="00CB373C"/>
    <w:pPr>
      <w:keepNext/>
      <w:keepLines/>
      <w:bidi/>
      <w:spacing w:after="0" w:line="278" w:lineRule="auto"/>
      <w:ind w:left="6989" w:hanging="180"/>
      <w:outlineLvl w:val="8"/>
    </w:pPr>
    <w:rPr>
      <w:rFonts w:eastAsia="Times New Roman" w:cs="Times New Roman"/>
      <w:color w:val="272727"/>
      <w:kern w:val="2"/>
      <w:sz w:val="24"/>
      <w:szCs w:val="24"/>
      <w14:ligatures w14:val="standardContextual"/>
    </w:rPr>
  </w:style>
  <w:style w:type="numbering" w:customStyle="1" w:styleId="NoList1">
    <w:name w:val="No List1"/>
    <w:next w:val="NoList"/>
    <w:uiPriority w:val="99"/>
    <w:semiHidden/>
    <w:unhideWhenUsed/>
    <w:rsid w:val="00CB373C"/>
  </w:style>
  <w:style w:type="character" w:customStyle="1" w:styleId="Heading5Char">
    <w:name w:val="Heading 5 Char"/>
    <w:basedOn w:val="DefaultParagraphFont"/>
    <w:link w:val="Heading5"/>
    <w:uiPriority w:val="9"/>
    <w:semiHidden/>
    <w:rsid w:val="00CB373C"/>
    <w:rPr>
      <w:rFonts w:eastAsia="Times New Roman" w:cs="Times New Roman"/>
      <w:color w:val="0F4761"/>
    </w:rPr>
  </w:style>
  <w:style w:type="character" w:customStyle="1" w:styleId="Heading7Char">
    <w:name w:val="Heading 7 Char"/>
    <w:basedOn w:val="DefaultParagraphFont"/>
    <w:link w:val="Heading7"/>
    <w:uiPriority w:val="9"/>
    <w:semiHidden/>
    <w:rsid w:val="00CB373C"/>
    <w:rPr>
      <w:rFonts w:eastAsia="Times New Roman" w:cs="Times New Roman"/>
      <w:color w:val="595959"/>
    </w:rPr>
  </w:style>
  <w:style w:type="character" w:customStyle="1" w:styleId="Heading8Char">
    <w:name w:val="Heading 8 Char"/>
    <w:basedOn w:val="DefaultParagraphFont"/>
    <w:link w:val="Heading8"/>
    <w:uiPriority w:val="9"/>
    <w:semiHidden/>
    <w:rsid w:val="00CB373C"/>
    <w:rPr>
      <w:rFonts w:eastAsia="Times New Roman" w:cs="Times New Roman"/>
      <w:i/>
      <w:iCs/>
      <w:color w:val="272727"/>
    </w:rPr>
  </w:style>
  <w:style w:type="character" w:customStyle="1" w:styleId="Heading9Char">
    <w:name w:val="Heading 9 Char"/>
    <w:basedOn w:val="DefaultParagraphFont"/>
    <w:link w:val="Heading9"/>
    <w:uiPriority w:val="9"/>
    <w:semiHidden/>
    <w:rsid w:val="00CB373C"/>
    <w:rPr>
      <w:rFonts w:eastAsia="Times New Roman" w:cs="Times New Roman"/>
      <w:color w:val="272727"/>
    </w:rPr>
  </w:style>
  <w:style w:type="paragraph" w:customStyle="1" w:styleId="Title1">
    <w:name w:val="Title1"/>
    <w:basedOn w:val="Normal"/>
    <w:next w:val="Normal"/>
    <w:uiPriority w:val="10"/>
    <w:qFormat/>
    <w:rsid w:val="00CB373C"/>
    <w:pPr>
      <w:bidi/>
      <w:spacing w:after="80" w:line="240" w:lineRule="auto"/>
      <w:contextualSpacing/>
    </w:pPr>
    <w:rPr>
      <w:rFonts w:ascii="Aptos Display" w:eastAsia="Times New Roman" w:hAnsi="Aptos Display" w:cs="Times New Roman"/>
      <w:spacing w:val="-10"/>
      <w:kern w:val="28"/>
      <w:sz w:val="56"/>
      <w:szCs w:val="56"/>
      <w14:ligatures w14:val="standardContextual"/>
    </w:rPr>
  </w:style>
  <w:style w:type="character" w:customStyle="1" w:styleId="TitleChar">
    <w:name w:val="Title Char"/>
    <w:basedOn w:val="DefaultParagraphFont"/>
    <w:link w:val="Title"/>
    <w:uiPriority w:val="10"/>
    <w:rsid w:val="00CB373C"/>
    <w:rPr>
      <w:rFonts w:ascii="Aptos Display" w:eastAsia="Times New Roman" w:hAnsi="Aptos Display" w:cs="Times New Roman"/>
      <w:spacing w:val="-10"/>
      <w:kern w:val="28"/>
      <w:sz w:val="56"/>
      <w:szCs w:val="56"/>
    </w:rPr>
  </w:style>
  <w:style w:type="paragraph" w:customStyle="1" w:styleId="Quote1">
    <w:name w:val="Quote1"/>
    <w:basedOn w:val="Normal"/>
    <w:next w:val="Normal"/>
    <w:uiPriority w:val="29"/>
    <w:qFormat/>
    <w:rsid w:val="00CB373C"/>
    <w:pPr>
      <w:bidi/>
      <w:spacing w:before="160" w:line="278" w:lineRule="auto"/>
      <w:jc w:val="center"/>
    </w:pPr>
    <w:rPr>
      <w:i/>
      <w:iCs/>
      <w:color w:val="404040"/>
      <w:kern w:val="2"/>
      <w:sz w:val="24"/>
      <w:szCs w:val="24"/>
      <w14:ligatures w14:val="standardContextual"/>
    </w:rPr>
  </w:style>
  <w:style w:type="character" w:customStyle="1" w:styleId="QuoteChar">
    <w:name w:val="Quote Char"/>
    <w:basedOn w:val="DefaultParagraphFont"/>
    <w:link w:val="Quote"/>
    <w:uiPriority w:val="29"/>
    <w:rsid w:val="00CB373C"/>
    <w:rPr>
      <w:i/>
      <w:iCs/>
      <w:color w:val="404040"/>
    </w:rPr>
  </w:style>
  <w:style w:type="character" w:customStyle="1" w:styleId="IntenseEmphasis1">
    <w:name w:val="Intense Emphasis1"/>
    <w:basedOn w:val="DefaultParagraphFont"/>
    <w:uiPriority w:val="21"/>
    <w:qFormat/>
    <w:rsid w:val="00CB373C"/>
    <w:rPr>
      <w:i/>
      <w:iCs/>
      <w:color w:val="0F4761"/>
    </w:rPr>
  </w:style>
  <w:style w:type="paragraph" w:customStyle="1" w:styleId="IntenseQuote1">
    <w:name w:val="Intense Quote1"/>
    <w:basedOn w:val="Normal"/>
    <w:next w:val="Normal"/>
    <w:uiPriority w:val="30"/>
    <w:qFormat/>
    <w:rsid w:val="00CB373C"/>
    <w:pPr>
      <w:pBdr>
        <w:top w:val="single" w:sz="4" w:space="10" w:color="0F4761"/>
        <w:bottom w:val="single" w:sz="4" w:space="10" w:color="0F4761"/>
      </w:pBdr>
      <w:bidi/>
      <w:spacing w:before="360" w:after="360" w:line="278" w:lineRule="auto"/>
      <w:ind w:left="864" w:right="864"/>
      <w:jc w:val="center"/>
    </w:pPr>
    <w:rPr>
      <w:i/>
      <w:iCs/>
      <w:color w:val="0F4761"/>
      <w:kern w:val="2"/>
      <w:sz w:val="24"/>
      <w:szCs w:val="24"/>
      <w14:ligatures w14:val="standardContextual"/>
    </w:rPr>
  </w:style>
  <w:style w:type="character" w:customStyle="1" w:styleId="IntenseQuoteChar">
    <w:name w:val="Intense Quote Char"/>
    <w:basedOn w:val="DefaultParagraphFont"/>
    <w:link w:val="IntenseQuote"/>
    <w:uiPriority w:val="30"/>
    <w:rsid w:val="00CB373C"/>
    <w:rPr>
      <w:i/>
      <w:iCs/>
      <w:color w:val="0F4761"/>
    </w:rPr>
  </w:style>
  <w:style w:type="character" w:customStyle="1" w:styleId="IntenseReference1">
    <w:name w:val="Intense Reference1"/>
    <w:basedOn w:val="DefaultParagraphFont"/>
    <w:uiPriority w:val="32"/>
    <w:qFormat/>
    <w:rsid w:val="00CB373C"/>
    <w:rPr>
      <w:b/>
      <w:bCs/>
      <w:smallCaps/>
      <w:color w:val="0F4761"/>
      <w:spacing w:val="5"/>
    </w:rPr>
  </w:style>
  <w:style w:type="character" w:customStyle="1" w:styleId="Heading5Char1">
    <w:name w:val="Heading 5 Char1"/>
    <w:basedOn w:val="DefaultParagraphFont"/>
    <w:link w:val="Heading5"/>
    <w:uiPriority w:val="9"/>
    <w:semiHidden/>
    <w:rsid w:val="00CB373C"/>
    <w:rPr>
      <w:rFonts w:asciiTheme="majorHAnsi" w:eastAsiaTheme="majorEastAsia" w:hAnsiTheme="majorHAnsi" w:cstheme="majorBidi"/>
      <w:color w:val="365F91" w:themeColor="accent1" w:themeShade="BF"/>
    </w:rPr>
  </w:style>
  <w:style w:type="character" w:customStyle="1" w:styleId="Heading7Char1">
    <w:name w:val="Heading 7 Char1"/>
    <w:basedOn w:val="DefaultParagraphFont"/>
    <w:link w:val="Heading7"/>
    <w:uiPriority w:val="9"/>
    <w:semiHidden/>
    <w:rsid w:val="00CB373C"/>
    <w:rPr>
      <w:rFonts w:asciiTheme="majorHAnsi" w:eastAsiaTheme="majorEastAsia" w:hAnsiTheme="majorHAnsi" w:cstheme="majorBidi"/>
      <w:i/>
      <w:iCs/>
      <w:color w:val="243F60" w:themeColor="accent1" w:themeShade="7F"/>
    </w:rPr>
  </w:style>
  <w:style w:type="character" w:customStyle="1" w:styleId="Heading8Char1">
    <w:name w:val="Heading 8 Char1"/>
    <w:basedOn w:val="DefaultParagraphFont"/>
    <w:link w:val="Heading8"/>
    <w:uiPriority w:val="9"/>
    <w:semiHidden/>
    <w:rsid w:val="00CB373C"/>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link w:val="Heading9"/>
    <w:uiPriority w:val="9"/>
    <w:semiHidden/>
    <w:rsid w:val="00CB373C"/>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CB373C"/>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link w:val="Title"/>
    <w:uiPriority w:val="10"/>
    <w:rsid w:val="00CB373C"/>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CB373C"/>
    <w:pPr>
      <w:spacing w:before="200"/>
      <w:ind w:left="864" w:right="864"/>
      <w:jc w:val="center"/>
    </w:pPr>
    <w:rPr>
      <w:i/>
      <w:iCs/>
      <w:color w:val="404040"/>
    </w:rPr>
  </w:style>
  <w:style w:type="character" w:customStyle="1" w:styleId="QuoteChar1">
    <w:name w:val="Quote Char1"/>
    <w:basedOn w:val="DefaultParagraphFont"/>
    <w:link w:val="Quote"/>
    <w:uiPriority w:val="29"/>
    <w:rsid w:val="00CB373C"/>
    <w:rPr>
      <w:i/>
      <w:iCs/>
      <w:color w:val="404040" w:themeColor="text1" w:themeTint="BF"/>
    </w:rPr>
  </w:style>
  <w:style w:type="character" w:styleId="IntenseEmphasis">
    <w:name w:val="Intense Emphasis"/>
    <w:basedOn w:val="DefaultParagraphFont"/>
    <w:uiPriority w:val="21"/>
    <w:qFormat/>
    <w:rsid w:val="00CB373C"/>
    <w:rPr>
      <w:i/>
      <w:iCs/>
      <w:color w:val="4F81BD" w:themeColor="accent1"/>
    </w:rPr>
  </w:style>
  <w:style w:type="paragraph" w:styleId="IntenseQuote">
    <w:name w:val="Intense Quote"/>
    <w:basedOn w:val="Normal"/>
    <w:next w:val="Normal"/>
    <w:link w:val="IntenseQuoteChar"/>
    <w:uiPriority w:val="30"/>
    <w:qFormat/>
    <w:rsid w:val="00CB373C"/>
    <w:pPr>
      <w:pBdr>
        <w:top w:val="single" w:sz="4" w:space="10" w:color="4F81BD" w:themeColor="accent1"/>
        <w:bottom w:val="single" w:sz="4" w:space="10" w:color="4F81BD" w:themeColor="accent1"/>
      </w:pBdr>
      <w:spacing w:before="360" w:after="360"/>
      <w:ind w:left="864" w:right="864"/>
      <w:jc w:val="center"/>
    </w:pPr>
    <w:rPr>
      <w:i/>
      <w:iCs/>
      <w:color w:val="0F4761"/>
    </w:rPr>
  </w:style>
  <w:style w:type="character" w:customStyle="1" w:styleId="IntenseQuoteChar1">
    <w:name w:val="Intense Quote Char1"/>
    <w:basedOn w:val="DefaultParagraphFont"/>
    <w:link w:val="IntenseQuote"/>
    <w:uiPriority w:val="30"/>
    <w:rsid w:val="00CB373C"/>
    <w:rPr>
      <w:i/>
      <w:iCs/>
      <w:color w:val="4F81BD" w:themeColor="accent1"/>
    </w:rPr>
  </w:style>
  <w:style w:type="character" w:styleId="IntenseReference">
    <w:name w:val="Intense Reference"/>
    <w:basedOn w:val="DefaultParagraphFont"/>
    <w:uiPriority w:val="32"/>
    <w:qFormat/>
    <w:rsid w:val="00CB373C"/>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459337">
      <w:bodyDiv w:val="1"/>
      <w:marLeft w:val="0"/>
      <w:marRight w:val="0"/>
      <w:marTop w:val="0"/>
      <w:marBottom w:val="0"/>
      <w:divBdr>
        <w:top w:val="none" w:sz="0" w:space="0" w:color="auto"/>
        <w:left w:val="none" w:sz="0" w:space="0" w:color="auto"/>
        <w:bottom w:val="none" w:sz="0" w:space="0" w:color="auto"/>
        <w:right w:val="none" w:sz="0" w:space="0" w:color="auto"/>
      </w:divBdr>
    </w:div>
    <w:div w:id="571352035">
      <w:bodyDiv w:val="1"/>
      <w:marLeft w:val="0"/>
      <w:marRight w:val="0"/>
      <w:marTop w:val="0"/>
      <w:marBottom w:val="0"/>
      <w:divBdr>
        <w:top w:val="none" w:sz="0" w:space="0" w:color="auto"/>
        <w:left w:val="none" w:sz="0" w:space="0" w:color="auto"/>
        <w:bottom w:val="none" w:sz="0" w:space="0" w:color="auto"/>
        <w:right w:val="none" w:sz="0" w:space="0" w:color="auto"/>
      </w:divBdr>
    </w:div>
    <w:div w:id="682782429">
      <w:bodyDiv w:val="1"/>
      <w:marLeft w:val="0"/>
      <w:marRight w:val="0"/>
      <w:marTop w:val="0"/>
      <w:marBottom w:val="0"/>
      <w:divBdr>
        <w:top w:val="none" w:sz="0" w:space="0" w:color="auto"/>
        <w:left w:val="none" w:sz="0" w:space="0" w:color="auto"/>
        <w:bottom w:val="none" w:sz="0" w:space="0" w:color="auto"/>
        <w:right w:val="none" w:sz="0" w:space="0" w:color="auto"/>
      </w:divBdr>
      <w:divsChild>
        <w:div w:id="1950239197">
          <w:marLeft w:val="0"/>
          <w:marRight w:val="0"/>
          <w:marTop w:val="0"/>
          <w:marBottom w:val="0"/>
          <w:divBdr>
            <w:top w:val="none" w:sz="0" w:space="0" w:color="auto"/>
            <w:left w:val="none" w:sz="0" w:space="0" w:color="auto"/>
            <w:bottom w:val="none" w:sz="0" w:space="0" w:color="auto"/>
            <w:right w:val="none" w:sz="0" w:space="0" w:color="auto"/>
          </w:divBdr>
          <w:divsChild>
            <w:div w:id="1265380855">
              <w:marLeft w:val="0"/>
              <w:marRight w:val="0"/>
              <w:marTop w:val="0"/>
              <w:marBottom w:val="0"/>
              <w:divBdr>
                <w:top w:val="none" w:sz="0" w:space="0" w:color="auto"/>
                <w:left w:val="none" w:sz="0" w:space="0" w:color="auto"/>
                <w:bottom w:val="none" w:sz="0" w:space="0" w:color="auto"/>
                <w:right w:val="none" w:sz="0" w:space="0" w:color="auto"/>
              </w:divBdr>
              <w:divsChild>
                <w:div w:id="492379720">
                  <w:marLeft w:val="0"/>
                  <w:marRight w:val="0"/>
                  <w:marTop w:val="0"/>
                  <w:marBottom w:val="0"/>
                  <w:divBdr>
                    <w:top w:val="none" w:sz="0" w:space="0" w:color="auto"/>
                    <w:left w:val="none" w:sz="0" w:space="0" w:color="auto"/>
                    <w:bottom w:val="none" w:sz="0" w:space="0" w:color="auto"/>
                    <w:right w:val="none" w:sz="0" w:space="0" w:color="auto"/>
                  </w:divBdr>
                  <w:divsChild>
                    <w:div w:id="1688209850">
                      <w:marLeft w:val="0"/>
                      <w:marRight w:val="0"/>
                      <w:marTop w:val="0"/>
                      <w:marBottom w:val="0"/>
                      <w:divBdr>
                        <w:top w:val="none" w:sz="0" w:space="0" w:color="auto"/>
                        <w:left w:val="none" w:sz="0" w:space="0" w:color="auto"/>
                        <w:bottom w:val="none" w:sz="0" w:space="0" w:color="auto"/>
                        <w:right w:val="none" w:sz="0" w:space="0" w:color="auto"/>
                      </w:divBdr>
                      <w:divsChild>
                        <w:div w:id="465513538">
                          <w:marLeft w:val="0"/>
                          <w:marRight w:val="0"/>
                          <w:marTop w:val="0"/>
                          <w:marBottom w:val="0"/>
                          <w:divBdr>
                            <w:top w:val="none" w:sz="0" w:space="0" w:color="auto"/>
                            <w:left w:val="none" w:sz="0" w:space="0" w:color="auto"/>
                            <w:bottom w:val="none" w:sz="0" w:space="0" w:color="auto"/>
                            <w:right w:val="none" w:sz="0" w:space="0" w:color="auto"/>
                          </w:divBdr>
                          <w:divsChild>
                            <w:div w:id="1264262704">
                              <w:marLeft w:val="0"/>
                              <w:marRight w:val="0"/>
                              <w:marTop w:val="0"/>
                              <w:marBottom w:val="0"/>
                              <w:divBdr>
                                <w:top w:val="none" w:sz="0" w:space="0" w:color="auto"/>
                                <w:left w:val="none" w:sz="0" w:space="0" w:color="auto"/>
                                <w:bottom w:val="none" w:sz="0" w:space="0" w:color="auto"/>
                                <w:right w:val="none" w:sz="0" w:space="0" w:color="auto"/>
                              </w:divBdr>
                              <w:divsChild>
                                <w:div w:id="1671984842">
                                  <w:marLeft w:val="0"/>
                                  <w:marRight w:val="0"/>
                                  <w:marTop w:val="0"/>
                                  <w:marBottom w:val="0"/>
                                  <w:divBdr>
                                    <w:top w:val="none" w:sz="0" w:space="0" w:color="auto"/>
                                    <w:left w:val="none" w:sz="0" w:space="0" w:color="auto"/>
                                    <w:bottom w:val="none" w:sz="0" w:space="0" w:color="auto"/>
                                    <w:right w:val="none" w:sz="0" w:space="0" w:color="auto"/>
                                  </w:divBdr>
                                  <w:divsChild>
                                    <w:div w:id="162260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7295045">
      <w:bodyDiv w:val="1"/>
      <w:marLeft w:val="0"/>
      <w:marRight w:val="0"/>
      <w:marTop w:val="0"/>
      <w:marBottom w:val="0"/>
      <w:divBdr>
        <w:top w:val="none" w:sz="0" w:space="0" w:color="auto"/>
        <w:left w:val="none" w:sz="0" w:space="0" w:color="auto"/>
        <w:bottom w:val="none" w:sz="0" w:space="0" w:color="auto"/>
        <w:right w:val="none" w:sz="0" w:space="0" w:color="auto"/>
      </w:divBdr>
    </w:div>
    <w:div w:id="1127166414">
      <w:bodyDiv w:val="1"/>
      <w:marLeft w:val="0"/>
      <w:marRight w:val="0"/>
      <w:marTop w:val="0"/>
      <w:marBottom w:val="0"/>
      <w:divBdr>
        <w:top w:val="none" w:sz="0" w:space="0" w:color="auto"/>
        <w:left w:val="none" w:sz="0" w:space="0" w:color="auto"/>
        <w:bottom w:val="none" w:sz="0" w:space="0" w:color="auto"/>
        <w:right w:val="none" w:sz="0" w:space="0" w:color="auto"/>
      </w:divBdr>
    </w:div>
    <w:div w:id="1150056360">
      <w:bodyDiv w:val="1"/>
      <w:marLeft w:val="0"/>
      <w:marRight w:val="0"/>
      <w:marTop w:val="0"/>
      <w:marBottom w:val="0"/>
      <w:divBdr>
        <w:top w:val="none" w:sz="0" w:space="0" w:color="auto"/>
        <w:left w:val="none" w:sz="0" w:space="0" w:color="auto"/>
        <w:bottom w:val="none" w:sz="0" w:space="0" w:color="auto"/>
        <w:right w:val="none" w:sz="0" w:space="0" w:color="auto"/>
      </w:divBdr>
    </w:div>
    <w:div w:id="1364136678">
      <w:bodyDiv w:val="1"/>
      <w:marLeft w:val="0"/>
      <w:marRight w:val="0"/>
      <w:marTop w:val="0"/>
      <w:marBottom w:val="0"/>
      <w:divBdr>
        <w:top w:val="none" w:sz="0" w:space="0" w:color="auto"/>
        <w:left w:val="none" w:sz="0" w:space="0" w:color="auto"/>
        <w:bottom w:val="none" w:sz="0" w:space="0" w:color="auto"/>
        <w:right w:val="none" w:sz="0" w:space="0" w:color="auto"/>
      </w:divBdr>
    </w:div>
    <w:div w:id="1375617692">
      <w:bodyDiv w:val="1"/>
      <w:marLeft w:val="0"/>
      <w:marRight w:val="0"/>
      <w:marTop w:val="0"/>
      <w:marBottom w:val="0"/>
      <w:divBdr>
        <w:top w:val="none" w:sz="0" w:space="0" w:color="auto"/>
        <w:left w:val="none" w:sz="0" w:space="0" w:color="auto"/>
        <w:bottom w:val="none" w:sz="0" w:space="0" w:color="auto"/>
        <w:right w:val="none" w:sz="0" w:space="0" w:color="auto"/>
      </w:divBdr>
    </w:div>
    <w:div w:id="1425879269">
      <w:bodyDiv w:val="1"/>
      <w:marLeft w:val="0"/>
      <w:marRight w:val="0"/>
      <w:marTop w:val="0"/>
      <w:marBottom w:val="0"/>
      <w:divBdr>
        <w:top w:val="none" w:sz="0" w:space="0" w:color="auto"/>
        <w:left w:val="none" w:sz="0" w:space="0" w:color="auto"/>
        <w:bottom w:val="none" w:sz="0" w:space="0" w:color="auto"/>
        <w:right w:val="none" w:sz="0" w:space="0" w:color="auto"/>
      </w:divBdr>
      <w:divsChild>
        <w:div w:id="876628647">
          <w:marLeft w:val="0"/>
          <w:marRight w:val="0"/>
          <w:marTop w:val="0"/>
          <w:marBottom w:val="0"/>
          <w:divBdr>
            <w:top w:val="none" w:sz="0" w:space="0" w:color="auto"/>
            <w:left w:val="none" w:sz="0" w:space="0" w:color="auto"/>
            <w:bottom w:val="none" w:sz="0" w:space="0" w:color="auto"/>
            <w:right w:val="none" w:sz="0" w:space="0" w:color="auto"/>
          </w:divBdr>
          <w:divsChild>
            <w:div w:id="43852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157041">
      <w:bodyDiv w:val="1"/>
      <w:marLeft w:val="0"/>
      <w:marRight w:val="0"/>
      <w:marTop w:val="0"/>
      <w:marBottom w:val="0"/>
      <w:divBdr>
        <w:top w:val="none" w:sz="0" w:space="0" w:color="auto"/>
        <w:left w:val="none" w:sz="0" w:space="0" w:color="auto"/>
        <w:bottom w:val="none" w:sz="0" w:space="0" w:color="auto"/>
        <w:right w:val="none" w:sz="0" w:space="0" w:color="auto"/>
      </w:divBdr>
    </w:div>
    <w:div w:id="1506750552">
      <w:bodyDiv w:val="1"/>
      <w:marLeft w:val="0"/>
      <w:marRight w:val="0"/>
      <w:marTop w:val="0"/>
      <w:marBottom w:val="0"/>
      <w:divBdr>
        <w:top w:val="none" w:sz="0" w:space="0" w:color="auto"/>
        <w:left w:val="none" w:sz="0" w:space="0" w:color="auto"/>
        <w:bottom w:val="none" w:sz="0" w:space="0" w:color="auto"/>
        <w:right w:val="none" w:sz="0" w:space="0" w:color="auto"/>
      </w:divBdr>
      <w:divsChild>
        <w:div w:id="49692930">
          <w:marLeft w:val="0"/>
          <w:marRight w:val="0"/>
          <w:marTop w:val="0"/>
          <w:marBottom w:val="0"/>
          <w:divBdr>
            <w:top w:val="none" w:sz="0" w:space="0" w:color="auto"/>
            <w:left w:val="none" w:sz="0" w:space="0" w:color="auto"/>
            <w:bottom w:val="none" w:sz="0" w:space="0" w:color="auto"/>
            <w:right w:val="none" w:sz="0" w:space="0" w:color="auto"/>
          </w:divBdr>
          <w:divsChild>
            <w:div w:id="1182235877">
              <w:marLeft w:val="0"/>
              <w:marRight w:val="0"/>
              <w:marTop w:val="0"/>
              <w:marBottom w:val="0"/>
              <w:divBdr>
                <w:top w:val="none" w:sz="0" w:space="0" w:color="auto"/>
                <w:left w:val="none" w:sz="0" w:space="0" w:color="auto"/>
                <w:bottom w:val="none" w:sz="0" w:space="0" w:color="auto"/>
                <w:right w:val="none" w:sz="0" w:space="0" w:color="auto"/>
              </w:divBdr>
              <w:divsChild>
                <w:div w:id="2093157682">
                  <w:marLeft w:val="0"/>
                  <w:marRight w:val="0"/>
                  <w:marTop w:val="0"/>
                  <w:marBottom w:val="0"/>
                  <w:divBdr>
                    <w:top w:val="none" w:sz="0" w:space="0" w:color="auto"/>
                    <w:left w:val="none" w:sz="0" w:space="0" w:color="auto"/>
                    <w:bottom w:val="none" w:sz="0" w:space="0" w:color="auto"/>
                    <w:right w:val="none" w:sz="0" w:space="0" w:color="auto"/>
                  </w:divBdr>
                  <w:divsChild>
                    <w:div w:id="944310492">
                      <w:marLeft w:val="0"/>
                      <w:marRight w:val="0"/>
                      <w:marTop w:val="0"/>
                      <w:marBottom w:val="0"/>
                      <w:divBdr>
                        <w:top w:val="none" w:sz="0" w:space="0" w:color="auto"/>
                        <w:left w:val="none" w:sz="0" w:space="0" w:color="auto"/>
                        <w:bottom w:val="none" w:sz="0" w:space="0" w:color="auto"/>
                        <w:right w:val="none" w:sz="0" w:space="0" w:color="auto"/>
                      </w:divBdr>
                      <w:divsChild>
                        <w:div w:id="1775633813">
                          <w:marLeft w:val="0"/>
                          <w:marRight w:val="0"/>
                          <w:marTop w:val="0"/>
                          <w:marBottom w:val="0"/>
                          <w:divBdr>
                            <w:top w:val="none" w:sz="0" w:space="0" w:color="auto"/>
                            <w:left w:val="none" w:sz="0" w:space="0" w:color="auto"/>
                            <w:bottom w:val="none" w:sz="0" w:space="0" w:color="auto"/>
                            <w:right w:val="none" w:sz="0" w:space="0" w:color="auto"/>
                          </w:divBdr>
                          <w:divsChild>
                            <w:div w:id="1398358320">
                              <w:marLeft w:val="0"/>
                              <w:marRight w:val="0"/>
                              <w:marTop w:val="0"/>
                              <w:marBottom w:val="0"/>
                              <w:divBdr>
                                <w:top w:val="none" w:sz="0" w:space="0" w:color="auto"/>
                                <w:left w:val="none" w:sz="0" w:space="0" w:color="auto"/>
                                <w:bottom w:val="none" w:sz="0" w:space="0" w:color="auto"/>
                                <w:right w:val="none" w:sz="0" w:space="0" w:color="auto"/>
                              </w:divBdr>
                              <w:divsChild>
                                <w:div w:id="1626503769">
                                  <w:marLeft w:val="0"/>
                                  <w:marRight w:val="0"/>
                                  <w:marTop w:val="0"/>
                                  <w:marBottom w:val="0"/>
                                  <w:divBdr>
                                    <w:top w:val="none" w:sz="0" w:space="0" w:color="auto"/>
                                    <w:left w:val="none" w:sz="0" w:space="0" w:color="auto"/>
                                    <w:bottom w:val="none" w:sz="0" w:space="0" w:color="auto"/>
                                    <w:right w:val="none" w:sz="0" w:space="0" w:color="auto"/>
                                  </w:divBdr>
                                  <w:divsChild>
                                    <w:div w:id="58249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2861558">
      <w:bodyDiv w:val="1"/>
      <w:marLeft w:val="0"/>
      <w:marRight w:val="0"/>
      <w:marTop w:val="0"/>
      <w:marBottom w:val="0"/>
      <w:divBdr>
        <w:top w:val="none" w:sz="0" w:space="0" w:color="auto"/>
        <w:left w:val="none" w:sz="0" w:space="0" w:color="auto"/>
        <w:bottom w:val="none" w:sz="0" w:space="0" w:color="auto"/>
        <w:right w:val="none" w:sz="0" w:space="0" w:color="auto"/>
      </w:divBdr>
    </w:div>
    <w:div w:id="1619526341">
      <w:bodyDiv w:val="1"/>
      <w:marLeft w:val="0"/>
      <w:marRight w:val="0"/>
      <w:marTop w:val="0"/>
      <w:marBottom w:val="0"/>
      <w:divBdr>
        <w:top w:val="none" w:sz="0" w:space="0" w:color="auto"/>
        <w:left w:val="none" w:sz="0" w:space="0" w:color="auto"/>
        <w:bottom w:val="none" w:sz="0" w:space="0" w:color="auto"/>
        <w:right w:val="none" w:sz="0" w:space="0" w:color="auto"/>
      </w:divBdr>
    </w:div>
    <w:div w:id="2016372711">
      <w:bodyDiv w:val="1"/>
      <w:marLeft w:val="0"/>
      <w:marRight w:val="0"/>
      <w:marTop w:val="0"/>
      <w:marBottom w:val="0"/>
      <w:divBdr>
        <w:top w:val="none" w:sz="0" w:space="0" w:color="auto"/>
        <w:left w:val="none" w:sz="0" w:space="0" w:color="auto"/>
        <w:bottom w:val="none" w:sz="0" w:space="0" w:color="auto"/>
        <w:right w:val="none" w:sz="0" w:space="0" w:color="auto"/>
      </w:divBdr>
    </w:div>
    <w:div w:id="202285449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doi.org/10.1007/s43621-025-01876-5" TargetMode="External"/><Relationship Id="rId26" Type="http://schemas.openxmlformats.org/officeDocument/2006/relationships/hyperlink" Target="https://doi.org/10.1007/s40685-020-00108-y" TargetMode="External"/><Relationship Id="rId39" Type="http://schemas.openxmlformats.org/officeDocument/2006/relationships/hyperlink" Target="https://doi.org/10.54695/bmi.168.0013" TargetMode="External"/><Relationship Id="rId21" Type="http://schemas.openxmlformats.org/officeDocument/2006/relationships/hyperlink" Target="https://doi.org/10.3390/electronics11233926" TargetMode="External"/><Relationship Id="rId34" Type="http://schemas.openxmlformats.org/officeDocument/2006/relationships/hyperlink" Target="https://doi.org/10.1016/j.indmarman.2025.04.003" TargetMode="External"/><Relationship Id="rId42" Type="http://schemas.openxmlformats.org/officeDocument/2006/relationships/hyperlink" Target="https://doi.org/10.1016/j.jbusres.2023.113820"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joitmc.2024.100215" TargetMode="External"/><Relationship Id="rId29" Type="http://schemas.openxmlformats.org/officeDocument/2006/relationships/hyperlink" Target="https://doi.org/10.1057/s41599-024-03606-0" TargetMode="External"/><Relationship Id="rId11" Type="http://schemas.openxmlformats.org/officeDocument/2006/relationships/hyperlink" Target="https://papers.ssrn.com/sol3/papers.cfm?abstract_id=3679070" TargetMode="External"/><Relationship Id="rId24" Type="http://schemas.openxmlformats.org/officeDocument/2006/relationships/hyperlink" Target="https://doi.org/10.1007/s10479-020-03887-z" TargetMode="External"/><Relationship Id="rId32" Type="http://schemas.openxmlformats.org/officeDocument/2006/relationships/hyperlink" Target="https://doi.org/10.21511/bbs.16(2).2021.01" TargetMode="External"/><Relationship Id="rId37" Type="http://schemas.openxmlformats.org/officeDocument/2006/relationships/hyperlink" Target="https://doi.org/10.1007/s43621-025-00924-4" TargetMode="External"/><Relationship Id="rId40" Type="http://schemas.openxmlformats.org/officeDocument/2006/relationships/hyperlink" Target="https://doi.org/10.1016/j.im.2023.103888" TargetMode="External"/><Relationship Id="rId45" Type="http://schemas.openxmlformats.org/officeDocument/2006/relationships/hyperlink" Target="https://doi.org/10.1007/s13132-022-01096-6" TargetMode="External"/><Relationship Id="rId5" Type="http://schemas.openxmlformats.org/officeDocument/2006/relationships/webSettings" Target="webSettings.xml"/><Relationship Id="rId15" Type="http://schemas.openxmlformats.org/officeDocument/2006/relationships/hyperlink" Target="https://doi.org/10.1016/j.jsinno.2025.200540" TargetMode="External"/><Relationship Id="rId23" Type="http://schemas.openxmlformats.org/officeDocument/2006/relationships/hyperlink" Target="https://doi.org/10.1016/j.jik.2024.100598" TargetMode="External"/><Relationship Id="rId28" Type="http://schemas.openxmlformats.org/officeDocument/2006/relationships/hyperlink" Target="https://doi.org/10.3390/info14110614" TargetMode="External"/><Relationship Id="rId36" Type="http://schemas.openxmlformats.org/officeDocument/2006/relationships/hyperlink" Target="https://doi.org/10.1016/j.jengtecman.2024.101858" TargetMode="External"/><Relationship Id="rId49" Type="http://schemas.openxmlformats.org/officeDocument/2006/relationships/theme" Target="theme/theme1.xml"/><Relationship Id="rId10" Type="http://schemas.openxmlformats.org/officeDocument/2006/relationships/hyperlink" Target="https://doi.org/10.21608/jces.2021.218367" TargetMode="External"/><Relationship Id="rId19" Type="http://schemas.openxmlformats.org/officeDocument/2006/relationships/hyperlink" Target="https://doi.org/10.1080/23311975.2023.2195028" TargetMode="External"/><Relationship Id="rId31" Type="http://schemas.openxmlformats.org/officeDocument/2006/relationships/hyperlink" Target="https://doi.org/10.1016/j.heliyon.2022.e08954" TargetMode="External"/><Relationship Id="rId44" Type="http://schemas.openxmlformats.org/officeDocument/2006/relationships/hyperlink" Target="https://doi.org/10.3390/su12114754" TargetMode="External"/><Relationship Id="rId4" Type="http://schemas.openxmlformats.org/officeDocument/2006/relationships/settings" Target="settings.xml"/><Relationship Id="rId9" Type="http://schemas.openxmlformats.org/officeDocument/2006/relationships/hyperlink" Target="https://doi.org/10.21608/jsst.2023.189488.1547" TargetMode="External"/><Relationship Id="rId14" Type="http://schemas.openxmlformats.org/officeDocument/2006/relationships/hyperlink" Target="https://doi.org/10.1016/j.jum.2025.06.007" TargetMode="External"/><Relationship Id="rId22" Type="http://schemas.openxmlformats.org/officeDocument/2006/relationships/hyperlink" Target="https://doi.org/10.1016/j.digbus.2022.100037" TargetMode="External"/><Relationship Id="rId27" Type="http://schemas.openxmlformats.org/officeDocument/2006/relationships/hyperlink" Target="https://doi.org/10.1016/j.digbus.2025.100132" TargetMode="External"/><Relationship Id="rId30" Type="http://schemas.openxmlformats.org/officeDocument/2006/relationships/hyperlink" Target="https://doi.org/10.1016/j.im.2024.104011" TargetMode="External"/><Relationship Id="rId35" Type="http://schemas.openxmlformats.org/officeDocument/2006/relationships/hyperlink" Target="https://doi.org/10.1016/j.teler.2023.100070" TargetMode="External"/><Relationship Id="rId43" Type="http://schemas.openxmlformats.org/officeDocument/2006/relationships/hyperlink" Target="https://doi.org/10.1016/j.joitmc.2024.100401"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sidracapital.com/ar/insight/rise-of-ai-in-saudi-arabias-financial-sector-opportunities-and-challenges/" TargetMode="External"/><Relationship Id="rId17" Type="http://schemas.openxmlformats.org/officeDocument/2006/relationships/hyperlink" Target="https://doi.org/10.5267/j.ijdns.2023.7.003" TargetMode="External"/><Relationship Id="rId25" Type="http://schemas.openxmlformats.org/officeDocument/2006/relationships/hyperlink" Target="https://doi.org/10.2307/249008" TargetMode="External"/><Relationship Id="rId33" Type="http://schemas.openxmlformats.org/officeDocument/2006/relationships/hyperlink" Target="https://doi.org/10.1007/s10639-024-12645-8" TargetMode="External"/><Relationship Id="rId38" Type="http://schemas.openxmlformats.org/officeDocument/2006/relationships/hyperlink" Target="https://doi.org/10.1016/j.jjimei.2024.100215" TargetMode="External"/><Relationship Id="rId46" Type="http://schemas.openxmlformats.org/officeDocument/2006/relationships/footer" Target="footer1.xml"/><Relationship Id="rId20" Type="http://schemas.openxmlformats.org/officeDocument/2006/relationships/hyperlink" Target="https://doi.org/10.1111/puar.13447" TargetMode="External"/><Relationship Id="rId41" Type="http://schemas.openxmlformats.org/officeDocument/2006/relationships/hyperlink" Target="https://doi.org/10.3390/su151410867"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23855</Words>
  <Characters>135980</Characters>
  <Application>Microsoft Office Word</Application>
  <DocSecurity>0</DocSecurity>
  <Lines>1133</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2026-02-28T23:03:00Z</dcterms:created>
  <dcterms:modified xsi:type="dcterms:W3CDTF">2026-02-28T23:03:00Z</dcterms:modified>
</cp:coreProperties>
</file>