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1E96A4" w14:textId="77777777" w:rsidR="00FA5A10" w:rsidRDefault="00FA5A10" w:rsidP="00FA5A10">
      <w:pPr>
        <w:bidi w:val="0"/>
        <w:spacing w:after="0"/>
        <w:ind w:left="1" w:right="7419" w:hanging="1"/>
        <w:rPr>
          <w:rFonts w:ascii="Arial" w:eastAsia="Arial" w:hAnsi="Arial" w:cs="Arial"/>
          <w:b/>
          <w:bCs/>
          <w:sz w:val="28"/>
          <w:szCs w:val="28"/>
        </w:rPr>
      </w:pPr>
      <w:r>
        <w:rPr>
          <w:noProof/>
        </w:rPr>
        <w:drawing>
          <wp:inline distT="0" distB="0" distL="0" distR="0" wp14:anchorId="4140D328" wp14:editId="6EF17FE4">
            <wp:extent cx="2575560" cy="70104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stretch>
                      <a:fillRect/>
                    </a:stretch>
                  </pic:blipFill>
                  <pic:spPr>
                    <a:xfrm>
                      <a:off x="0" y="0"/>
                      <a:ext cx="2575560" cy="701040"/>
                    </a:xfrm>
                    <a:prstGeom prst="rect">
                      <a:avLst/>
                    </a:prstGeom>
                  </pic:spPr>
                </pic:pic>
              </a:graphicData>
            </a:graphic>
          </wp:inline>
        </w:drawing>
      </w:r>
    </w:p>
    <w:p w14:paraId="3B85B95E" w14:textId="77777777" w:rsidR="00FA5A10" w:rsidRPr="000F0D3C" w:rsidRDefault="00FA5A10" w:rsidP="00FA5A10">
      <w:pPr>
        <w:spacing w:after="0"/>
        <w:ind w:right="7419"/>
        <w:jc w:val="left"/>
      </w:pPr>
      <w:r w:rsidRPr="000F0D3C">
        <w:rPr>
          <w:rFonts w:ascii="Times New Roman" w:eastAsia="Arial" w:hAnsi="Times New Roman" w:cs="Times New Roman"/>
          <w:b/>
          <w:bCs/>
          <w:sz w:val="24"/>
          <w:szCs w:val="24"/>
          <w:rtl/>
        </w:rPr>
        <w:t xml:space="preserve">جامعة </w:t>
      </w:r>
      <w:proofErr w:type="spellStart"/>
      <w:r w:rsidRPr="000F0D3C">
        <w:rPr>
          <w:rFonts w:ascii="Times New Roman" w:eastAsia="Arial" w:hAnsi="Times New Roman" w:cs="Times New Roman"/>
          <w:b/>
          <w:bCs/>
          <w:sz w:val="24"/>
          <w:szCs w:val="24"/>
          <w:rtl/>
        </w:rPr>
        <w:t>ميدأوشن</w:t>
      </w:r>
      <w:proofErr w:type="spellEnd"/>
      <w:r w:rsidRPr="000F0D3C">
        <w:rPr>
          <w:rFonts w:ascii="Times New Roman" w:eastAsia="Arial" w:hAnsi="Times New Roman" w:cs="Times New Roman"/>
          <w:b/>
          <w:bCs/>
          <w:sz w:val="24"/>
          <w:szCs w:val="24"/>
          <w:rtl/>
        </w:rPr>
        <w:t xml:space="preserve"> برنامج الدكتوراه</w:t>
      </w:r>
      <w:r w:rsidRPr="000F0D3C">
        <w:rPr>
          <w:rtl/>
        </w:rPr>
        <w:t xml:space="preserve"> </w:t>
      </w:r>
    </w:p>
    <w:p w14:paraId="14250FF0" w14:textId="77777777" w:rsidR="00745B06" w:rsidRDefault="00745B06" w:rsidP="00FA5A10">
      <w:pPr>
        <w:spacing w:after="212" w:line="265" w:lineRule="auto"/>
        <w:ind w:left="68" w:hanging="10"/>
      </w:pPr>
    </w:p>
    <w:p w14:paraId="6CE113EC" w14:textId="77777777" w:rsidR="00745B06" w:rsidRDefault="00745B06">
      <w:pPr>
        <w:bidi w:val="0"/>
        <w:spacing w:after="213"/>
        <w:ind w:right="59"/>
      </w:pPr>
    </w:p>
    <w:p w14:paraId="11C6253F" w14:textId="77777777" w:rsidR="00745B06" w:rsidRDefault="00256FA3">
      <w:pPr>
        <w:bidi w:val="0"/>
        <w:spacing w:after="211"/>
        <w:ind w:right="59"/>
      </w:pPr>
      <w:r>
        <w:rPr>
          <w:rFonts w:ascii="Arial" w:eastAsia="Arial" w:hAnsi="Arial" w:cs="Arial"/>
          <w:sz w:val="21"/>
        </w:rPr>
        <w:t xml:space="preserve"> </w:t>
      </w:r>
    </w:p>
    <w:p w14:paraId="798F9390" w14:textId="77777777" w:rsidR="00745B06" w:rsidRDefault="00256FA3">
      <w:pPr>
        <w:bidi w:val="0"/>
        <w:spacing w:after="213"/>
        <w:ind w:right="59"/>
      </w:pPr>
      <w:r>
        <w:rPr>
          <w:rFonts w:ascii="Arial" w:eastAsia="Arial" w:hAnsi="Arial" w:cs="Arial"/>
          <w:sz w:val="21"/>
        </w:rPr>
        <w:t xml:space="preserve"> </w:t>
      </w:r>
    </w:p>
    <w:p w14:paraId="141CE590" w14:textId="77777777" w:rsidR="00745B06" w:rsidRDefault="00256FA3">
      <w:pPr>
        <w:bidi w:val="0"/>
        <w:spacing w:after="211"/>
        <w:ind w:right="59"/>
      </w:pPr>
      <w:r>
        <w:rPr>
          <w:rFonts w:ascii="Arial" w:eastAsia="Arial" w:hAnsi="Arial" w:cs="Arial"/>
          <w:sz w:val="21"/>
        </w:rPr>
        <w:t xml:space="preserve"> </w:t>
      </w:r>
    </w:p>
    <w:p w14:paraId="339F8EAB" w14:textId="77777777" w:rsidR="00745B06" w:rsidRDefault="00256FA3">
      <w:pPr>
        <w:bidi w:val="0"/>
        <w:spacing w:after="221"/>
        <w:ind w:right="59"/>
      </w:pPr>
      <w:r>
        <w:rPr>
          <w:rFonts w:ascii="Arial" w:eastAsia="Arial" w:hAnsi="Arial" w:cs="Arial"/>
          <w:sz w:val="21"/>
        </w:rPr>
        <w:t xml:space="preserve"> </w:t>
      </w:r>
    </w:p>
    <w:p w14:paraId="0B31094C" w14:textId="746876E3" w:rsidR="00745B06" w:rsidRDefault="00745B06" w:rsidP="0014093E">
      <w:pPr>
        <w:spacing w:after="346"/>
        <w:ind w:right="135"/>
        <w:jc w:val="center"/>
      </w:pPr>
    </w:p>
    <w:p w14:paraId="4A3522E0" w14:textId="77777777" w:rsidR="000F0D3C" w:rsidRDefault="00256FA3" w:rsidP="000F0D3C">
      <w:pPr>
        <w:spacing w:after="0"/>
        <w:ind w:left="137"/>
        <w:jc w:val="center"/>
        <w:rPr>
          <w:rFonts w:ascii="Times New Roman" w:eastAsia="Arial" w:hAnsi="Times New Roman" w:cs="Times New Roman"/>
          <w:b/>
          <w:bCs/>
          <w:sz w:val="36"/>
          <w:szCs w:val="36"/>
          <w:rtl/>
        </w:rPr>
      </w:pPr>
      <w:r w:rsidRPr="000F0D3C">
        <w:rPr>
          <w:rFonts w:ascii="Times New Roman" w:eastAsia="Arial" w:hAnsi="Times New Roman" w:cs="Times New Roman"/>
          <w:b/>
          <w:bCs/>
          <w:sz w:val="36"/>
          <w:szCs w:val="36"/>
          <w:rtl/>
        </w:rPr>
        <w:t>التحول الرقمي في النظام القضائي في المملكة العربية</w:t>
      </w:r>
      <w:r w:rsidRPr="000F0D3C">
        <w:rPr>
          <w:rFonts w:ascii="Times New Roman" w:eastAsia="Arial" w:hAnsi="Times New Roman" w:cs="Times New Roman"/>
          <w:sz w:val="36"/>
          <w:szCs w:val="36"/>
          <w:rtl/>
        </w:rPr>
        <w:t xml:space="preserve"> </w:t>
      </w:r>
      <w:r w:rsidRPr="000F0D3C">
        <w:rPr>
          <w:rFonts w:ascii="Times New Roman" w:eastAsia="Arial" w:hAnsi="Times New Roman" w:cs="Times New Roman"/>
          <w:b/>
          <w:bCs/>
          <w:sz w:val="36"/>
          <w:szCs w:val="36"/>
          <w:rtl/>
        </w:rPr>
        <w:t>السعودية</w:t>
      </w:r>
    </w:p>
    <w:p w14:paraId="5F324AA0" w14:textId="7B65CAF9" w:rsidR="000F0D3C" w:rsidRDefault="00256FA3" w:rsidP="003B3BAB">
      <w:pPr>
        <w:spacing w:after="0"/>
        <w:jc w:val="center"/>
        <w:rPr>
          <w:rFonts w:ascii="Times New Roman" w:hAnsi="Times New Roman" w:cs="Times New Roman"/>
          <w:sz w:val="28"/>
          <w:szCs w:val="28"/>
          <w:rtl/>
        </w:rPr>
      </w:pPr>
      <w:r w:rsidRPr="000F0D3C">
        <w:rPr>
          <w:rFonts w:ascii="Times New Roman" w:eastAsia="Arial" w:hAnsi="Times New Roman" w:cs="Times New Roman"/>
          <w:b/>
          <w:bCs/>
          <w:sz w:val="28"/>
          <w:szCs w:val="28"/>
          <w:rtl/>
        </w:rPr>
        <w:t xml:space="preserve"> دراسة</w:t>
      </w:r>
      <w:r w:rsidR="000F0D3C" w:rsidRPr="000F0D3C">
        <w:rPr>
          <w:rFonts w:ascii="Times New Roman" w:eastAsia="Arial" w:hAnsi="Times New Roman" w:cs="Times New Roman"/>
          <w:b/>
          <w:bCs/>
          <w:sz w:val="28"/>
          <w:szCs w:val="28"/>
          <w:rtl/>
        </w:rPr>
        <w:t xml:space="preserve"> مقارنة</w:t>
      </w:r>
      <w:r w:rsidR="003B3BAB">
        <w:rPr>
          <w:rFonts w:ascii="Times New Roman" w:eastAsia="Arial" w:hAnsi="Times New Roman" w:cs="Times New Roman" w:hint="cs"/>
          <w:b/>
          <w:bCs/>
          <w:sz w:val="28"/>
          <w:szCs w:val="28"/>
          <w:rtl/>
        </w:rPr>
        <w:t xml:space="preserve"> مع </w:t>
      </w:r>
      <w:r w:rsidR="00185E50">
        <w:rPr>
          <w:rFonts w:ascii="Times New Roman" w:eastAsia="Arial" w:hAnsi="Times New Roman" w:cs="Times New Roman" w:hint="cs"/>
          <w:b/>
          <w:bCs/>
          <w:sz w:val="28"/>
          <w:szCs w:val="28"/>
          <w:rtl/>
        </w:rPr>
        <w:t>الإمارات</w:t>
      </w:r>
      <w:r w:rsidR="003B3BAB">
        <w:rPr>
          <w:rFonts w:ascii="Times New Roman" w:eastAsia="Arial" w:hAnsi="Times New Roman" w:cs="Times New Roman" w:hint="cs"/>
          <w:b/>
          <w:bCs/>
          <w:sz w:val="28"/>
          <w:szCs w:val="28"/>
          <w:rtl/>
        </w:rPr>
        <w:t xml:space="preserve"> العربية المتحدة وسنغافورة </w:t>
      </w:r>
    </w:p>
    <w:p w14:paraId="47FE6A32" w14:textId="3C5D37CB" w:rsidR="000F0D3C" w:rsidRPr="000F0D3C" w:rsidRDefault="00E31EBE" w:rsidP="000F0D3C">
      <w:pPr>
        <w:spacing w:after="0"/>
        <w:jc w:val="center"/>
        <w:rPr>
          <w:rFonts w:ascii="Times New Roman" w:hAnsi="Times New Roman" w:cs="Times New Roman"/>
          <w:sz w:val="28"/>
          <w:szCs w:val="28"/>
        </w:rPr>
      </w:pPr>
      <w:r w:rsidRPr="000F0D3C">
        <w:rPr>
          <w:rFonts w:ascii="Times New Roman" w:eastAsia="Arial" w:hAnsi="Times New Roman" w:cs="Times New Roman"/>
          <w:b/>
          <w:bCs/>
          <w:sz w:val="36"/>
          <w:szCs w:val="36"/>
          <w:rtl/>
        </w:rPr>
        <w:t xml:space="preserve"> </w:t>
      </w:r>
    </w:p>
    <w:p w14:paraId="3831E2C1" w14:textId="6B9E1C44" w:rsidR="00745B06" w:rsidRPr="000F0D3C" w:rsidRDefault="000F0D3C" w:rsidP="000F0D3C">
      <w:pPr>
        <w:spacing w:after="264" w:line="287" w:lineRule="auto"/>
        <w:ind w:left="10" w:right="2482" w:firstLine="1341"/>
        <w:jc w:val="left"/>
        <w:rPr>
          <w:rFonts w:ascii="Times New Roman" w:hAnsi="Times New Roman" w:cs="Times New Roman"/>
          <w:b/>
          <w:bCs/>
          <w:sz w:val="24"/>
          <w:szCs w:val="24"/>
        </w:rPr>
      </w:pPr>
      <w:r w:rsidRPr="000F0D3C">
        <w:rPr>
          <w:rFonts w:ascii="Times New Roman" w:eastAsia="Arial" w:hAnsi="Times New Roman" w:cs="Times New Roman" w:hint="cs"/>
          <w:b/>
          <w:bCs/>
          <w:sz w:val="24"/>
          <w:szCs w:val="24"/>
          <w:rtl/>
        </w:rPr>
        <w:t xml:space="preserve">رسالة مقدمة لجامعة </w:t>
      </w:r>
      <w:proofErr w:type="spellStart"/>
      <w:r w:rsidRPr="000F0D3C">
        <w:rPr>
          <w:rFonts w:ascii="Times New Roman" w:eastAsia="Arial" w:hAnsi="Times New Roman" w:cs="Times New Roman" w:hint="cs"/>
          <w:b/>
          <w:bCs/>
          <w:sz w:val="24"/>
          <w:szCs w:val="24"/>
          <w:rtl/>
        </w:rPr>
        <w:t>ميدأوشن</w:t>
      </w:r>
      <w:proofErr w:type="spellEnd"/>
      <w:r w:rsidRPr="000F0D3C">
        <w:rPr>
          <w:rFonts w:ascii="Times New Roman" w:eastAsia="Arial" w:hAnsi="Times New Roman" w:cs="Times New Roman" w:hint="cs"/>
          <w:b/>
          <w:bCs/>
          <w:sz w:val="24"/>
          <w:szCs w:val="24"/>
          <w:rtl/>
        </w:rPr>
        <w:t xml:space="preserve"> لاستكمال متطلبات نيل درجة الدكتوراه</w:t>
      </w:r>
    </w:p>
    <w:p w14:paraId="6CD4D95B" w14:textId="77777777" w:rsidR="00745B06" w:rsidRDefault="00256FA3">
      <w:pPr>
        <w:bidi w:val="0"/>
        <w:spacing w:after="225"/>
        <w:ind w:left="65"/>
        <w:jc w:val="left"/>
      </w:pPr>
      <w:r>
        <w:rPr>
          <w:rFonts w:ascii="Arial" w:eastAsia="Arial" w:hAnsi="Arial" w:cs="Arial"/>
          <w:b/>
          <w:sz w:val="48"/>
        </w:rPr>
        <w:t xml:space="preserve"> </w:t>
      </w:r>
    </w:p>
    <w:p w14:paraId="3CA370B2" w14:textId="77777777" w:rsidR="00745B06" w:rsidRDefault="00256FA3">
      <w:pPr>
        <w:bidi w:val="0"/>
        <w:spacing w:after="225"/>
        <w:ind w:left="65"/>
        <w:jc w:val="left"/>
      </w:pPr>
      <w:r>
        <w:rPr>
          <w:rFonts w:ascii="Arial" w:eastAsia="Arial" w:hAnsi="Arial" w:cs="Arial"/>
          <w:b/>
          <w:sz w:val="48"/>
        </w:rPr>
        <w:t xml:space="preserve"> </w:t>
      </w:r>
    </w:p>
    <w:p w14:paraId="65272139" w14:textId="77777777" w:rsidR="00745B06" w:rsidRDefault="00256FA3">
      <w:pPr>
        <w:bidi w:val="0"/>
        <w:spacing w:after="225"/>
        <w:ind w:left="65"/>
        <w:jc w:val="left"/>
      </w:pPr>
      <w:r>
        <w:rPr>
          <w:rFonts w:ascii="Arial" w:eastAsia="Arial" w:hAnsi="Arial" w:cs="Arial"/>
          <w:b/>
          <w:sz w:val="48"/>
        </w:rPr>
        <w:t xml:space="preserve"> </w:t>
      </w:r>
    </w:p>
    <w:p w14:paraId="29326944" w14:textId="6D3EAA7F" w:rsidR="00745B06" w:rsidRDefault="00745B06" w:rsidP="00ED1F7B">
      <w:pPr>
        <w:spacing w:after="83"/>
        <w:ind w:left="120"/>
        <w:jc w:val="center"/>
      </w:pPr>
    </w:p>
    <w:p w14:paraId="0DFD1C37" w14:textId="56B3022E" w:rsidR="00745B06" w:rsidRDefault="00256FA3" w:rsidP="00ED1F7B">
      <w:pPr>
        <w:spacing w:after="223"/>
        <w:ind w:left="10" w:right="70" w:hanging="10"/>
        <w:jc w:val="center"/>
      </w:pPr>
      <w:r>
        <w:rPr>
          <w:rFonts w:ascii="Times New Roman" w:eastAsia="Times New Roman" w:hAnsi="Times New Roman" w:cs="Times New Roman"/>
          <w:b/>
          <w:bCs/>
          <w:sz w:val="28"/>
          <w:szCs w:val="28"/>
          <w:rtl/>
        </w:rPr>
        <w:t>إعداد</w:t>
      </w:r>
    </w:p>
    <w:p w14:paraId="42301A89" w14:textId="2C6792DA" w:rsidR="00745B06" w:rsidRPr="00ED1F7B" w:rsidRDefault="00256FA3" w:rsidP="00ED1F7B">
      <w:pPr>
        <w:spacing w:after="223"/>
        <w:ind w:left="10" w:right="68" w:hanging="10"/>
        <w:jc w:val="center"/>
        <w:rPr>
          <w:b/>
          <w:bCs/>
        </w:rPr>
      </w:pPr>
      <w:r w:rsidRPr="00ED1F7B">
        <w:rPr>
          <w:rFonts w:ascii="Times New Roman" w:eastAsia="Times New Roman" w:hAnsi="Times New Roman" w:cs="Times New Roman"/>
          <w:b/>
          <w:bCs/>
          <w:sz w:val="28"/>
          <w:szCs w:val="28"/>
          <w:rtl/>
        </w:rPr>
        <w:t>رباب عبد الله الرحيلي</w:t>
      </w:r>
    </w:p>
    <w:p w14:paraId="4A935853" w14:textId="10504C7D" w:rsidR="00ED1F7B" w:rsidRPr="00ED1F7B" w:rsidRDefault="0014093E" w:rsidP="00ED1F7B">
      <w:pPr>
        <w:spacing w:after="188"/>
        <w:ind w:left="720" w:right="1297"/>
        <w:jc w:val="center"/>
        <w:rPr>
          <w:rFonts w:ascii="Times New Roman" w:hAnsi="Times New Roman" w:cs="Times New Roman"/>
          <w:b/>
          <w:bCs/>
          <w:sz w:val="24"/>
          <w:szCs w:val="24"/>
        </w:rPr>
      </w:pPr>
      <w:r w:rsidRPr="00ED1F7B">
        <w:rPr>
          <w:rFonts w:ascii="Times New Roman" w:eastAsia="Arial" w:hAnsi="Times New Roman" w:cs="Times New Roman"/>
          <w:b/>
          <w:bCs/>
          <w:sz w:val="24"/>
          <w:szCs w:val="24"/>
        </w:rPr>
        <w:t>232000130</w:t>
      </w:r>
      <w:r w:rsidR="00ED1F7B" w:rsidRPr="00ED1F7B">
        <w:rPr>
          <w:rFonts w:ascii="Times New Roman" w:hAnsi="Times New Roman" w:cs="Times New Roman" w:hint="cs"/>
          <w:b/>
          <w:bCs/>
          <w:sz w:val="24"/>
          <w:szCs w:val="24"/>
          <w:rtl/>
        </w:rPr>
        <w:t xml:space="preserve">  </w:t>
      </w:r>
    </w:p>
    <w:p w14:paraId="49EBED00" w14:textId="0839B587" w:rsidR="00745B06" w:rsidRPr="00ED1F7B" w:rsidRDefault="00256FA3" w:rsidP="00ED1F7B">
      <w:pPr>
        <w:spacing w:after="129"/>
        <w:ind w:right="120"/>
        <w:jc w:val="center"/>
        <w:rPr>
          <w:rFonts w:ascii="Times New Roman" w:hAnsi="Times New Roman" w:cs="Times New Roman"/>
          <w:b/>
          <w:bCs/>
          <w:sz w:val="24"/>
          <w:szCs w:val="24"/>
        </w:rPr>
      </w:pPr>
      <w:r w:rsidRPr="00ED1F7B">
        <w:rPr>
          <w:rFonts w:ascii="Times New Roman" w:eastAsia="Times New Roman" w:hAnsi="Times New Roman" w:cs="Times New Roman"/>
          <w:b/>
          <w:bCs/>
          <w:sz w:val="24"/>
          <w:szCs w:val="24"/>
        </w:rPr>
        <w:t>2025</w:t>
      </w:r>
      <w:r w:rsidRPr="00ED1F7B">
        <w:rPr>
          <w:rFonts w:ascii="Times New Roman" w:eastAsia="Times New Roman" w:hAnsi="Times New Roman" w:cs="Times New Roman"/>
          <w:b/>
          <w:bCs/>
          <w:sz w:val="24"/>
          <w:szCs w:val="24"/>
          <w:rtl/>
        </w:rPr>
        <w:t xml:space="preserve">م - </w:t>
      </w:r>
      <w:r w:rsidRPr="00ED1F7B">
        <w:rPr>
          <w:rFonts w:ascii="Times New Roman" w:eastAsia="Times New Roman" w:hAnsi="Times New Roman" w:cs="Times New Roman"/>
          <w:b/>
          <w:bCs/>
          <w:sz w:val="24"/>
          <w:szCs w:val="24"/>
        </w:rPr>
        <w:t>1447</w:t>
      </w:r>
      <w:r w:rsidRPr="00ED1F7B">
        <w:rPr>
          <w:rFonts w:ascii="Times New Roman" w:eastAsia="Times New Roman" w:hAnsi="Times New Roman" w:cs="Times New Roman"/>
          <w:b/>
          <w:bCs/>
          <w:sz w:val="24"/>
          <w:szCs w:val="24"/>
          <w:rtl/>
        </w:rPr>
        <w:t>هــ</w:t>
      </w:r>
    </w:p>
    <w:p w14:paraId="7AEFFEF9" w14:textId="28F5BF68" w:rsidR="00745B06" w:rsidRDefault="00745B06" w:rsidP="00ED1F7B">
      <w:pPr>
        <w:spacing w:after="213"/>
        <w:ind w:right="115"/>
        <w:jc w:val="center"/>
      </w:pPr>
    </w:p>
    <w:p w14:paraId="64159ED3" w14:textId="77777777" w:rsidR="00745B06" w:rsidRDefault="00256FA3">
      <w:pPr>
        <w:bidi w:val="0"/>
        <w:spacing w:after="218"/>
        <w:ind w:right="59"/>
      </w:pPr>
      <w:r>
        <w:rPr>
          <w:rFonts w:ascii="Arial" w:eastAsia="Arial" w:hAnsi="Arial" w:cs="Arial"/>
          <w:sz w:val="21"/>
        </w:rPr>
        <w:t xml:space="preserve"> </w:t>
      </w:r>
    </w:p>
    <w:p w14:paraId="2C7AF4F9" w14:textId="77777777" w:rsidR="00745B06" w:rsidRDefault="00256FA3">
      <w:pPr>
        <w:bidi w:val="0"/>
        <w:spacing w:after="230"/>
        <w:jc w:val="left"/>
      </w:pPr>
      <w:r>
        <w:rPr>
          <w:sz w:val="21"/>
        </w:rPr>
        <w:t xml:space="preserve"> </w:t>
      </w:r>
    </w:p>
    <w:p w14:paraId="0414B2A7" w14:textId="77777777" w:rsidR="00745B06" w:rsidRDefault="00256FA3">
      <w:pPr>
        <w:bidi w:val="0"/>
        <w:spacing w:after="0"/>
        <w:jc w:val="left"/>
      </w:pPr>
      <w:r>
        <w:rPr>
          <w:sz w:val="21"/>
        </w:rPr>
        <w:t xml:space="preserve"> </w:t>
      </w:r>
      <w:r>
        <w:rPr>
          <w:sz w:val="21"/>
        </w:rPr>
        <w:tab/>
        <w:t xml:space="preserve"> </w:t>
      </w:r>
    </w:p>
    <w:p w14:paraId="29165B01" w14:textId="77777777" w:rsidR="00745B06" w:rsidRDefault="00256FA3">
      <w:pPr>
        <w:bidi w:val="0"/>
        <w:spacing w:after="835"/>
        <w:jc w:val="left"/>
      </w:pPr>
      <w:r>
        <w:rPr>
          <w:sz w:val="21"/>
        </w:rPr>
        <w:t xml:space="preserve"> </w:t>
      </w:r>
    </w:p>
    <w:p w14:paraId="59AE00E4" w14:textId="77777777" w:rsidR="00745B06" w:rsidRDefault="00256FA3">
      <w:pPr>
        <w:bidi w:val="0"/>
        <w:spacing w:after="403"/>
        <w:jc w:val="left"/>
      </w:pPr>
      <w:r>
        <w:rPr>
          <w:rFonts w:ascii="Edwardian Script ITC" w:eastAsia="Edwardian Script ITC" w:hAnsi="Edwardian Script ITC" w:cs="Edwardian Script ITC"/>
          <w:sz w:val="96"/>
        </w:rPr>
        <w:lastRenderedPageBreak/>
        <w:t xml:space="preserve"> </w:t>
      </w:r>
    </w:p>
    <w:p w14:paraId="03650845" w14:textId="77777777" w:rsidR="00745B06" w:rsidRDefault="00256FA3">
      <w:pPr>
        <w:bidi w:val="0"/>
        <w:spacing w:after="1061"/>
        <w:jc w:val="left"/>
      </w:pPr>
      <w:r>
        <w:rPr>
          <w:rFonts w:ascii="Edwardian Script ITC" w:eastAsia="Edwardian Script ITC" w:hAnsi="Edwardian Script ITC" w:cs="Edwardian Script ITC"/>
          <w:sz w:val="96"/>
        </w:rPr>
        <w:t xml:space="preserve"> </w:t>
      </w:r>
    </w:p>
    <w:p w14:paraId="55FADF96" w14:textId="77777777" w:rsidR="006C71BB" w:rsidRDefault="00256FA3">
      <w:pPr>
        <w:spacing w:after="0" w:line="218" w:lineRule="auto"/>
        <w:ind w:left="1573"/>
        <w:jc w:val="left"/>
        <w:rPr>
          <w:rFonts w:ascii="Old Antic Decorative" w:eastAsia="Old Antic Decorative" w:hAnsi="Old Antic Decorative" w:cs="Old Antic Decorative"/>
          <w:sz w:val="96"/>
          <w:szCs w:val="96"/>
          <w:rtl/>
        </w:rPr>
      </w:pPr>
      <w:r>
        <w:rPr>
          <w:rFonts w:ascii="Edwardian Script ITC" w:eastAsia="Edwardian Script ITC" w:hAnsi="Edwardian Script ITC" w:cs="Edwardian Script ITC"/>
          <w:sz w:val="96"/>
          <w:szCs w:val="96"/>
          <w:rtl/>
        </w:rPr>
        <w:t xml:space="preserve"> </w:t>
      </w:r>
      <w:r>
        <w:rPr>
          <w:rFonts w:ascii="Old Antic Decorative" w:eastAsia="Old Antic Decorative" w:hAnsi="Old Antic Decorative" w:cs="Old Antic Decorative"/>
          <w:sz w:val="96"/>
          <w:szCs w:val="96"/>
          <w:rtl/>
        </w:rPr>
        <w:t>بسم الله الرحمن الرحيم</w:t>
      </w:r>
      <w:r>
        <w:rPr>
          <w:sz w:val="21"/>
          <w:szCs w:val="21"/>
          <w:rtl/>
        </w:rPr>
        <w:t xml:space="preserve"> </w:t>
      </w:r>
    </w:p>
    <w:p w14:paraId="146050E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4E0BF4A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3BB64D0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BB566D2"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936745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191AC0BF" w14:textId="77777777" w:rsidR="00745B06" w:rsidRDefault="00256FA3" w:rsidP="006C71BB">
      <w:pPr>
        <w:bidi w:val="0"/>
        <w:spacing w:after="0" w:line="218" w:lineRule="auto"/>
        <w:ind w:left="1573"/>
        <w:jc w:val="center"/>
      </w:pPr>
      <w:r>
        <w:rPr>
          <w:rFonts w:ascii="Old Antic Decorative" w:eastAsia="Old Antic Decorative" w:hAnsi="Old Antic Decorative" w:cs="Old Antic Decorative"/>
          <w:sz w:val="96"/>
          <w:szCs w:val="96"/>
          <w:rtl/>
        </w:rPr>
        <w:lastRenderedPageBreak/>
        <w:t>إهداء</w:t>
      </w:r>
    </w:p>
    <w:p w14:paraId="32611244" w14:textId="77777777" w:rsidR="00745B06" w:rsidRDefault="00256FA3" w:rsidP="006C71BB">
      <w:pPr>
        <w:spacing w:after="236" w:line="277" w:lineRule="auto"/>
        <w:ind w:left="2" w:right="427" w:hanging="2"/>
        <w:jc w:val="left"/>
      </w:pPr>
      <w:r>
        <w:rPr>
          <w:rFonts w:ascii="Times New Roman" w:eastAsia="Times New Roman" w:hAnsi="Times New Roman" w:cs="Times New Roman"/>
          <w:sz w:val="24"/>
          <w:szCs w:val="24"/>
          <w:rtl/>
        </w:rPr>
        <w:t xml:space="preserve">إلى والديّ الكريمين، اللذين كانا لي بعد الله مصدر الإلهام والعزيمة، فدعواتهما كانت وقود رحلتي العلمية، ورضاهما أعظم ما أرجوه في حياتي. </w:t>
      </w:r>
    </w:p>
    <w:p w14:paraId="51067AFE" w14:textId="77777777" w:rsidR="00745B06" w:rsidRDefault="00256FA3" w:rsidP="006C71BB">
      <w:pPr>
        <w:spacing w:after="237" w:line="274" w:lineRule="auto"/>
        <w:ind w:left="2" w:right="14" w:hanging="2"/>
        <w:jc w:val="left"/>
      </w:pPr>
      <w:r>
        <w:rPr>
          <w:rFonts w:ascii="Times New Roman" w:eastAsia="Times New Roman" w:hAnsi="Times New Roman" w:cs="Times New Roman"/>
          <w:sz w:val="24"/>
          <w:szCs w:val="24"/>
          <w:rtl/>
        </w:rPr>
        <w:t xml:space="preserve">إلى أساتذتي الأفاضل، الذين وجّهوني في دروب البحث القانوني، وغرسوا في نفسي الإيمان بأن العدالة لا تزدهر إلا بالعلم والإخلاص. </w:t>
      </w:r>
    </w:p>
    <w:p w14:paraId="00A93646" w14:textId="77777777" w:rsidR="00745B06" w:rsidRDefault="00256FA3" w:rsidP="006C71BB">
      <w:pPr>
        <w:spacing w:after="235" w:line="277" w:lineRule="auto"/>
        <w:ind w:left="2" w:right="228" w:hanging="2"/>
        <w:jc w:val="left"/>
      </w:pPr>
      <w:r>
        <w:rPr>
          <w:rFonts w:ascii="Times New Roman" w:eastAsia="Times New Roman" w:hAnsi="Times New Roman" w:cs="Times New Roman"/>
          <w:sz w:val="24"/>
          <w:szCs w:val="24"/>
          <w:rtl/>
        </w:rPr>
        <w:t xml:space="preserve">إلى زوجي العزيز، شريكي في كل نجاح، الذي منحني الدعم والصبر والتشجيع في كل مراحل هذا المشوار، فكان السند الحقيقي في أوقات التحدي والإنجاز. </w:t>
      </w:r>
    </w:p>
    <w:p w14:paraId="7693C04B" w14:textId="77777777" w:rsidR="00745B06" w:rsidRDefault="00256FA3" w:rsidP="006C71BB">
      <w:pPr>
        <w:spacing w:after="282" w:line="278" w:lineRule="auto"/>
        <w:ind w:left="2" w:right="478" w:hanging="2"/>
        <w:jc w:val="left"/>
      </w:pPr>
      <w:r>
        <w:rPr>
          <w:rFonts w:ascii="Times New Roman" w:eastAsia="Times New Roman" w:hAnsi="Times New Roman" w:cs="Times New Roman"/>
          <w:sz w:val="24"/>
          <w:szCs w:val="24"/>
          <w:rtl/>
        </w:rPr>
        <w:t xml:space="preserve">إلى وطني الغالي المملكة العربية السعودية، الذي أتاح لي فرصة المساهمة في تطوير منظومته العدلية، والسعي نحو مستقبل قضائي رقمي يواكب رؤية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1D44E52D" w14:textId="77777777" w:rsidR="00745B06" w:rsidRDefault="00256FA3" w:rsidP="006C71BB">
      <w:pPr>
        <w:spacing w:after="1484" w:line="265" w:lineRule="auto"/>
        <w:ind w:left="70" w:hanging="10"/>
        <w:jc w:val="left"/>
      </w:pPr>
      <w:r>
        <w:rPr>
          <w:rFonts w:ascii="Times New Roman" w:eastAsia="Times New Roman" w:hAnsi="Times New Roman" w:cs="Times New Roman"/>
          <w:sz w:val="24"/>
          <w:szCs w:val="24"/>
          <w:rtl/>
        </w:rPr>
        <w:t xml:space="preserve">إليكم جميعًا أهدي ثمرة هذا الجهد، سائلة المولى أن ينفع بها، وأن يجعلها لبنة في بناء العدالة الرقمية في وطني. </w:t>
      </w:r>
    </w:p>
    <w:p w14:paraId="7718ABF6" w14:textId="77777777" w:rsidR="00745B06" w:rsidRDefault="00256FA3">
      <w:pPr>
        <w:bidi w:val="0"/>
        <w:spacing w:after="586"/>
        <w:ind w:right="61"/>
      </w:pPr>
      <w:r>
        <w:rPr>
          <w:rFonts w:ascii="Old Antic Decorative" w:eastAsia="Old Antic Decorative" w:hAnsi="Old Antic Decorative" w:cs="Old Antic Decorative"/>
          <w:sz w:val="96"/>
        </w:rPr>
        <w:t xml:space="preserve"> </w:t>
      </w:r>
    </w:p>
    <w:p w14:paraId="0889FA8D" w14:textId="77777777" w:rsidR="00745B06" w:rsidRDefault="00256FA3">
      <w:pPr>
        <w:bidi w:val="0"/>
        <w:spacing w:after="0"/>
        <w:ind w:right="294"/>
        <w:jc w:val="center"/>
      </w:pPr>
      <w:r>
        <w:rPr>
          <w:rFonts w:ascii="Old Antic Decorative" w:eastAsia="Old Antic Decorative" w:hAnsi="Old Antic Decorative" w:cs="Old Antic Decorative"/>
          <w:sz w:val="96"/>
        </w:rPr>
        <w:t xml:space="preserve"> </w:t>
      </w:r>
    </w:p>
    <w:p w14:paraId="305DA234" w14:textId="77777777" w:rsidR="00745B06" w:rsidRDefault="00256FA3">
      <w:pPr>
        <w:bidi w:val="0"/>
        <w:spacing w:after="0"/>
        <w:ind w:right="291"/>
      </w:pPr>
      <w:r>
        <w:rPr>
          <w:rFonts w:ascii="Aldhabi" w:eastAsia="Aldhabi" w:hAnsi="Aldhabi" w:cs="Aldhabi"/>
          <w:sz w:val="96"/>
        </w:rPr>
        <w:t xml:space="preserve"> </w:t>
      </w:r>
    </w:p>
    <w:p w14:paraId="797AC4F9" w14:textId="77777777" w:rsidR="006C71BB" w:rsidRDefault="006C71BB" w:rsidP="00E31EBE">
      <w:pPr>
        <w:pStyle w:val="1"/>
        <w:spacing w:line="240" w:lineRule="auto"/>
        <w:rPr>
          <w:szCs w:val="72"/>
          <w:rtl/>
        </w:rPr>
      </w:pPr>
    </w:p>
    <w:p w14:paraId="75E388ED" w14:textId="77777777" w:rsidR="006C71BB" w:rsidRDefault="006C71BB" w:rsidP="00E31EBE">
      <w:pPr>
        <w:pStyle w:val="1"/>
        <w:spacing w:line="240" w:lineRule="auto"/>
        <w:rPr>
          <w:szCs w:val="72"/>
          <w:rtl/>
        </w:rPr>
      </w:pPr>
    </w:p>
    <w:p w14:paraId="34364AE2" w14:textId="77777777" w:rsidR="00E31EBE" w:rsidRDefault="00E31EBE" w:rsidP="00E31EBE">
      <w:pPr>
        <w:pStyle w:val="1"/>
        <w:spacing w:line="240" w:lineRule="auto"/>
      </w:pPr>
      <w:r>
        <w:rPr>
          <w:szCs w:val="72"/>
          <w:rtl/>
        </w:rPr>
        <w:t>شكر وتقدير</w:t>
      </w:r>
      <w:r>
        <w:rPr>
          <w:rFonts w:ascii="Times New Roman" w:eastAsia="Times New Roman" w:hAnsi="Times New Roman" w:cs="Times New Roman"/>
          <w:b/>
          <w:bCs/>
          <w:szCs w:val="72"/>
          <w:rtl/>
        </w:rPr>
        <w:t xml:space="preserve"> </w:t>
      </w:r>
    </w:p>
    <w:p w14:paraId="3508F1B2" w14:textId="77777777" w:rsidR="006C71BB" w:rsidRDefault="006C71BB" w:rsidP="00E31EBE">
      <w:pPr>
        <w:pStyle w:val="1"/>
        <w:spacing w:line="240" w:lineRule="auto"/>
        <w:jc w:val="both"/>
        <w:rPr>
          <w:szCs w:val="72"/>
          <w:rtl/>
        </w:rPr>
      </w:pPr>
    </w:p>
    <w:p w14:paraId="332D0E69" w14:textId="77777777" w:rsidR="00745B06" w:rsidRDefault="00256FA3" w:rsidP="00E31EBE">
      <w:pPr>
        <w:spacing w:after="390" w:line="240" w:lineRule="auto"/>
        <w:ind w:left="70" w:hanging="10"/>
        <w:jc w:val="left"/>
      </w:pPr>
      <w:r>
        <w:rPr>
          <w:rFonts w:ascii="Times New Roman" w:eastAsia="Times New Roman" w:hAnsi="Times New Roman" w:cs="Times New Roman"/>
          <w:sz w:val="24"/>
          <w:szCs w:val="24"/>
          <w:rtl/>
        </w:rPr>
        <w:t xml:space="preserve">الحمد لله أولًا وآخرًا، ظاهرًا وباطنًا، الذي بنعمته تتم الصالحات، وبفضله تتحقق الآمال وتثمر الجهود. </w:t>
      </w:r>
    </w:p>
    <w:p w14:paraId="628E9654" w14:textId="77777777" w:rsidR="00745B06" w:rsidRDefault="00256FA3" w:rsidP="00E31EBE">
      <w:pPr>
        <w:spacing w:after="255" w:line="240" w:lineRule="auto"/>
        <w:ind w:left="2" w:right="14" w:hanging="2"/>
        <w:jc w:val="left"/>
      </w:pPr>
      <w:r>
        <w:rPr>
          <w:rFonts w:ascii="Times New Roman" w:eastAsia="Times New Roman" w:hAnsi="Times New Roman" w:cs="Times New Roman"/>
          <w:sz w:val="24"/>
          <w:szCs w:val="24"/>
          <w:rtl/>
        </w:rPr>
        <w:t xml:space="preserve">أتوجّه بجزيل الشكر والتقدير إلى </w:t>
      </w:r>
      <w:r>
        <w:rPr>
          <w:rFonts w:ascii="Times New Roman" w:eastAsia="Times New Roman" w:hAnsi="Times New Roman" w:cs="Times New Roman"/>
          <w:b/>
          <w:bCs/>
          <w:sz w:val="24"/>
          <w:szCs w:val="24"/>
          <w:rtl/>
        </w:rPr>
        <w:t>أساتذتي الأفاضل</w:t>
      </w:r>
      <w:r>
        <w:rPr>
          <w:rFonts w:ascii="Times New Roman" w:eastAsia="Times New Roman" w:hAnsi="Times New Roman" w:cs="Times New Roman"/>
          <w:sz w:val="24"/>
          <w:szCs w:val="24"/>
          <w:rtl/>
        </w:rPr>
        <w:t xml:space="preserve"> الذين كان لهم الفضل بعد الله في توجيهي وإثراء معارفي القانونية، فبما قدمّوه من علمٍ وتوجيهٍ ونصح</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سديد، اكتسب هذا العمل قيمته العلمية، واستقام منهجه البحثي. فجزاهم الله عني خير الجزاء، وبارك في علمهم وجهودهم. </w:t>
      </w:r>
    </w:p>
    <w:p w14:paraId="1329F999" w14:textId="77777777" w:rsidR="00745B06" w:rsidRDefault="00256FA3" w:rsidP="00E31EBE">
      <w:pPr>
        <w:spacing w:after="245" w:line="240" w:lineRule="auto"/>
        <w:ind w:left="2" w:right="725" w:hanging="2"/>
        <w:jc w:val="left"/>
      </w:pPr>
      <w:r>
        <w:rPr>
          <w:rFonts w:ascii="Times New Roman" w:eastAsia="Times New Roman" w:hAnsi="Times New Roman" w:cs="Times New Roman"/>
          <w:sz w:val="24"/>
          <w:szCs w:val="24"/>
          <w:rtl/>
        </w:rPr>
        <w:t xml:space="preserve">كما أعبّر عن خالص امتناني إلى </w:t>
      </w:r>
      <w:r>
        <w:rPr>
          <w:rFonts w:ascii="Times New Roman" w:eastAsia="Times New Roman" w:hAnsi="Times New Roman" w:cs="Times New Roman"/>
          <w:b/>
          <w:bCs/>
          <w:sz w:val="24"/>
          <w:szCs w:val="24"/>
          <w:rtl/>
        </w:rPr>
        <w:t>الجامعة الموقرة</w:t>
      </w:r>
      <w:r>
        <w:rPr>
          <w:rFonts w:ascii="Times New Roman" w:eastAsia="Times New Roman" w:hAnsi="Times New Roman" w:cs="Times New Roman"/>
          <w:sz w:val="24"/>
          <w:szCs w:val="24"/>
          <w:rtl/>
        </w:rPr>
        <w:t xml:space="preserve"> على ما قدمّته من دعم علمي وبيئة أكاديمية محفّزة على البحث والإبداع، وإلى كل من أسهم في تسهيل مسيرتي العلمية من زملاء وباحثين ومسؤولين. </w:t>
      </w:r>
    </w:p>
    <w:p w14:paraId="4C591755" w14:textId="77777777" w:rsidR="00745B06" w:rsidRDefault="00256FA3" w:rsidP="006C71BB">
      <w:pPr>
        <w:spacing w:after="167" w:line="458" w:lineRule="auto"/>
        <w:ind w:left="2" w:right="151" w:hanging="2"/>
        <w:jc w:val="left"/>
      </w:pPr>
      <w:r>
        <w:rPr>
          <w:rFonts w:ascii="Times New Roman" w:eastAsia="Times New Roman" w:hAnsi="Times New Roman" w:cs="Times New Roman"/>
          <w:sz w:val="24"/>
          <w:szCs w:val="24"/>
          <w:rtl/>
        </w:rPr>
        <w:t xml:space="preserve">ولا يفوتني أن أخصّ </w:t>
      </w:r>
      <w:r>
        <w:rPr>
          <w:rFonts w:ascii="Times New Roman" w:eastAsia="Times New Roman" w:hAnsi="Times New Roman" w:cs="Times New Roman"/>
          <w:b/>
          <w:bCs/>
          <w:sz w:val="24"/>
          <w:szCs w:val="24"/>
          <w:rtl/>
        </w:rPr>
        <w:t>زوجي العزيز</w:t>
      </w:r>
      <w:r>
        <w:rPr>
          <w:rFonts w:ascii="Times New Roman" w:eastAsia="Times New Roman" w:hAnsi="Times New Roman" w:cs="Times New Roman"/>
          <w:sz w:val="24"/>
          <w:szCs w:val="24"/>
          <w:rtl/>
        </w:rPr>
        <w:t xml:space="preserve"> بأسمى آيات الشكر والعرفان، لما قدمّه من دعمٍ وتشجيع</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وصبرٍ طوال فترة إعداد هذه الرسالة. لقد كان عونًا وسنداً لي في جميع مراحل البحث، فله مني كل الامتنان والتقدير. </w:t>
      </w:r>
    </w:p>
    <w:p w14:paraId="10E0ECED" w14:textId="77777777" w:rsidR="00745B06" w:rsidRDefault="00256FA3" w:rsidP="006C71BB">
      <w:pPr>
        <w:spacing w:after="246" w:line="388" w:lineRule="auto"/>
        <w:ind w:left="2" w:right="470" w:hanging="2"/>
        <w:jc w:val="left"/>
      </w:pPr>
      <w:r>
        <w:rPr>
          <w:rFonts w:ascii="Times New Roman" w:eastAsia="Times New Roman" w:hAnsi="Times New Roman" w:cs="Times New Roman"/>
          <w:sz w:val="24"/>
          <w:szCs w:val="24"/>
          <w:rtl/>
        </w:rPr>
        <w:t xml:space="preserve">كما أتوجه بالشكر إلى </w:t>
      </w:r>
      <w:r>
        <w:rPr>
          <w:rFonts w:ascii="Times New Roman" w:eastAsia="Times New Roman" w:hAnsi="Times New Roman" w:cs="Times New Roman"/>
          <w:b/>
          <w:bCs/>
          <w:sz w:val="24"/>
          <w:szCs w:val="24"/>
          <w:rtl/>
        </w:rPr>
        <w:t>أسرتي الكريمة</w:t>
      </w:r>
      <w:r>
        <w:rPr>
          <w:rFonts w:ascii="Times New Roman" w:eastAsia="Times New Roman" w:hAnsi="Times New Roman" w:cs="Times New Roman"/>
          <w:sz w:val="24"/>
          <w:szCs w:val="24"/>
          <w:rtl/>
        </w:rPr>
        <w:t xml:space="preserve">، والديّ العزيزين اللذين كانا بعد الله سرّ النجاح وبركة الطريق، وإخوتي الذين أحاطوني بالمحبة والدعاء، فلكم جميعًا خالص الحب والتقدير. </w:t>
      </w:r>
    </w:p>
    <w:p w14:paraId="1FEDF9CB" w14:textId="77777777" w:rsidR="006C71BB" w:rsidRDefault="00256FA3" w:rsidP="006C71BB">
      <w:pPr>
        <w:spacing w:after="283" w:line="388" w:lineRule="auto"/>
        <w:ind w:left="2" w:right="492" w:hanging="2"/>
        <w:jc w:val="left"/>
      </w:pPr>
      <w:r>
        <w:rPr>
          <w:rFonts w:ascii="Times New Roman" w:eastAsia="Times New Roman" w:hAnsi="Times New Roman" w:cs="Times New Roman"/>
          <w:sz w:val="24"/>
          <w:szCs w:val="24"/>
          <w:rtl/>
        </w:rPr>
        <w:t xml:space="preserve">وفي الختام، أسأل الله تعالى أن يجعل هذا العمل خالصًا لوجهه الكريم، وأن ينفع به، وأن يسهم في دعم مسيرة </w:t>
      </w:r>
      <w:r>
        <w:rPr>
          <w:rFonts w:ascii="Times New Roman" w:eastAsia="Times New Roman" w:hAnsi="Times New Roman" w:cs="Times New Roman"/>
          <w:b/>
          <w:bCs/>
          <w:sz w:val="24"/>
          <w:szCs w:val="24"/>
          <w:rtl/>
        </w:rPr>
        <w:t>العدالة الرقمية في وطني المملكة العربية السعودية</w:t>
      </w:r>
      <w:r>
        <w:rPr>
          <w:rFonts w:ascii="Times New Roman" w:eastAsia="Times New Roman" w:hAnsi="Times New Roman" w:cs="Times New Roman"/>
          <w:sz w:val="24"/>
          <w:szCs w:val="24"/>
          <w:rtl/>
        </w:rPr>
        <w:t xml:space="preserve">، تحقيقًا لتطلعات </w:t>
      </w:r>
      <w:r>
        <w:rPr>
          <w:rFonts w:ascii="Times New Roman" w:eastAsia="Times New Roman" w:hAnsi="Times New Roman" w:cs="Times New Roman"/>
          <w:b/>
          <w:bCs/>
          <w:sz w:val="24"/>
          <w:szCs w:val="24"/>
          <w:rtl/>
        </w:rPr>
        <w:t xml:space="preserve">رؤية </w:t>
      </w:r>
      <w:r>
        <w:rPr>
          <w:rFonts w:ascii="Times New Roman" w:eastAsia="Times New Roman" w:hAnsi="Times New Roman" w:cs="Times New Roman"/>
          <w:b/>
          <w:bCs/>
          <w:sz w:val="24"/>
          <w:szCs w:val="24"/>
        </w:rPr>
        <w:t>2030</w:t>
      </w:r>
      <w:r>
        <w:rPr>
          <w:rFonts w:ascii="Times New Roman" w:eastAsia="Times New Roman" w:hAnsi="Times New Roman" w:cs="Times New Roman"/>
          <w:sz w:val="24"/>
          <w:szCs w:val="24"/>
          <w:rtl/>
        </w:rPr>
        <w:t xml:space="preserve"> نحو قضاءٍ متطورٍ وعادلٍ ورقميٍّ رائد. </w:t>
      </w:r>
    </w:p>
    <w:p w14:paraId="5CA7D4B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7690508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6EFDA737" w14:textId="58408B7C" w:rsidR="00745B06" w:rsidRPr="001F7A38" w:rsidRDefault="001F7A38" w:rsidP="001F7A38">
      <w:pPr>
        <w:pStyle w:val="2"/>
        <w:ind w:left="55" w:right="0"/>
        <w:jc w:val="center"/>
        <w:rPr>
          <w:sz w:val="32"/>
          <w:szCs w:val="32"/>
        </w:rPr>
      </w:pPr>
      <w:r>
        <w:rPr>
          <w:rFonts w:hint="cs"/>
          <w:bCs/>
          <w:sz w:val="32"/>
          <w:szCs w:val="32"/>
          <w:rtl/>
        </w:rPr>
        <w:lastRenderedPageBreak/>
        <w:t>ال</w:t>
      </w:r>
      <w:r w:rsidR="00256FA3" w:rsidRPr="001F7A38">
        <w:rPr>
          <w:bCs/>
          <w:sz w:val="32"/>
          <w:szCs w:val="32"/>
          <w:rtl/>
        </w:rPr>
        <w:t>مقدمة</w:t>
      </w:r>
    </w:p>
    <w:p w14:paraId="1404D64E" w14:textId="77777777" w:rsidR="00745B06" w:rsidRDefault="00256FA3" w:rsidP="006C71BB">
      <w:pPr>
        <w:spacing w:after="0" w:line="388" w:lineRule="auto"/>
        <w:ind w:left="2" w:right="211" w:hanging="2"/>
        <w:jc w:val="left"/>
      </w:pPr>
      <w:r>
        <w:rPr>
          <w:rFonts w:ascii="Times New Roman" w:eastAsia="Times New Roman" w:hAnsi="Times New Roman" w:cs="Times New Roman"/>
          <w:sz w:val="24"/>
          <w:szCs w:val="24"/>
          <w:rtl/>
        </w:rPr>
        <w:t xml:space="preserve">شهد العالم في العقود الأخيرة تحولًا رقميًا متسارعًا مسّ جوانب الحياة كافة، وكان للقطاع العدلي والقضائي نصيب وافر من هذا التحول، نظرًا لما يقدمه من خدمات ترتبط مباشرة بحقوق الأفراد وحرياتهم. وقد أولت المملكة العربية السعودية اهتمامً ا بالغًا بالتحول الرقمي بوصفه أحد المحاور الرئيسة لرؤية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التي تهدف إلى تحسين جودة الخدمات الحكومية وتعزيز كفاءة منظومة العدالة، من خلال تطوير البنية التحتية الرقمية وتبنّي التقنيات الناشئة، كالذكاء الاصطناعي، وأنظمة التقاضي الإلكتروني، وإدارة الملفات القضائية عن بعُد. </w:t>
      </w:r>
    </w:p>
    <w:p w14:paraId="189E226A" w14:textId="77777777" w:rsidR="00745B06" w:rsidRDefault="00256FA3" w:rsidP="006C71BB">
      <w:pPr>
        <w:spacing w:after="246" w:line="388" w:lineRule="auto"/>
        <w:ind w:left="2" w:right="110" w:hanging="2"/>
        <w:jc w:val="left"/>
      </w:pPr>
      <w:r>
        <w:rPr>
          <w:rFonts w:ascii="Times New Roman" w:eastAsia="Times New Roman" w:hAnsi="Times New Roman" w:cs="Times New Roman"/>
          <w:sz w:val="24"/>
          <w:szCs w:val="24"/>
          <w:rtl/>
        </w:rPr>
        <w:t xml:space="preserve">وفي هذا السياق، لم تكن الإمارات العربية المتحدة وسنغافورة بمنأى عن هذا التطور، إذ تعُداّن من أبرز الدول التي خطت خطوات رائدة في التحول الرقمي للمنظومة القضائية، حيث طبقت كل منهما نماذج رقمية متقدمة أسهمت في تسريع الإجراءات، وتقليل التكاليف، ورفع مستوى الشفافية وترسيخ الثقة العامة في الأجهزة القضائية. </w:t>
      </w:r>
    </w:p>
    <w:p w14:paraId="2556F850" w14:textId="75E994B1" w:rsidR="00745B06" w:rsidRDefault="00256FA3" w:rsidP="00A35667">
      <w:pPr>
        <w:spacing w:after="248" w:line="388" w:lineRule="auto"/>
        <w:ind w:left="2" w:right="14" w:hanging="2"/>
        <w:jc w:val="left"/>
      </w:pPr>
      <w:r>
        <w:rPr>
          <w:rFonts w:ascii="Times New Roman" w:eastAsia="Times New Roman" w:hAnsi="Times New Roman" w:cs="Times New Roman"/>
          <w:sz w:val="24"/>
          <w:szCs w:val="24"/>
          <w:rtl/>
        </w:rPr>
        <w:t xml:space="preserve">وانطلاقًا من ذلك، جاءت هذه الدراسة لتسُلطّ الضوء على تجربة المملكة العربية السعودية في التحول الرقمي في النظام القضائي، ومقارنتها بنماذج رائدة في كل من الإمارات وسنغافورة، بغرض استجلاء مواطن القوة، والتحديات، والإمكانات المستقبلية، وصولًا إلى وضع إطار مقترح يسهم في تطوير النظام القضائي السعودي بما يتوافق مع متطلبات العدالة الحديثة. </w:t>
      </w:r>
      <w:r>
        <w:rPr>
          <w:rFonts w:ascii="Times New Roman" w:eastAsia="Times New Roman" w:hAnsi="Times New Roman" w:cs="Times New Roman"/>
          <w:sz w:val="24"/>
        </w:rPr>
        <w:t xml:space="preserve"> </w:t>
      </w:r>
    </w:p>
    <w:p w14:paraId="1480E64A" w14:textId="77777777" w:rsidR="00745B06" w:rsidRDefault="00256FA3">
      <w:pPr>
        <w:pStyle w:val="2"/>
        <w:ind w:left="55" w:right="0"/>
      </w:pPr>
      <w:r>
        <w:rPr>
          <w:bCs/>
          <w:szCs w:val="28"/>
          <w:rtl/>
        </w:rPr>
        <w:t xml:space="preserve"> مشكلة الدراسة</w:t>
      </w:r>
    </w:p>
    <w:p w14:paraId="300F5477" w14:textId="77777777" w:rsidR="00745B06" w:rsidRDefault="00256FA3" w:rsidP="006C71BB">
      <w:pPr>
        <w:spacing w:after="252" w:line="388" w:lineRule="auto"/>
        <w:ind w:left="2" w:right="202" w:hanging="2"/>
        <w:jc w:val="left"/>
      </w:pPr>
      <w:r>
        <w:rPr>
          <w:rFonts w:ascii="Times New Roman" w:eastAsia="Times New Roman" w:hAnsi="Times New Roman" w:cs="Times New Roman"/>
          <w:sz w:val="24"/>
          <w:szCs w:val="24"/>
          <w:rtl/>
        </w:rPr>
        <w:t xml:space="preserve">على الرغم من الجهود الحكومية المبذولة في تطوير الخدمات القضائية الرقمية في المملكة، إلا أن هذا التحول لا يزال يواجه جملة من التحديات المرتبطة بالجانب التشريعي، والإجرائي، والتقني، والبشري. ومن ثمّ تتمثل مشكلة الدراسة في السؤال المحوري الآتي: </w:t>
      </w:r>
    </w:p>
    <w:p w14:paraId="572819D1" w14:textId="77777777" w:rsidR="00745B06" w:rsidRPr="007B1CF8" w:rsidRDefault="00256FA3" w:rsidP="006C71BB">
      <w:pPr>
        <w:spacing w:after="324" w:line="399" w:lineRule="auto"/>
        <w:ind w:right="31" w:firstLine="67"/>
        <w:jc w:val="left"/>
      </w:pPr>
      <w:r w:rsidRPr="007B1CF8">
        <w:rPr>
          <w:rFonts w:ascii="Times New Roman" w:eastAsia="Times New Roman" w:hAnsi="Times New Roman" w:cs="Times New Roman"/>
          <w:sz w:val="24"/>
          <w:szCs w:val="24"/>
          <w:rtl/>
        </w:rPr>
        <w:t xml:space="preserve">إلى أي مدى أسهم التحول الرقمي في تطوير النظام القضائي في المملكة العربية السعودية مقارنة بالتجربتين </w:t>
      </w:r>
      <w:r w:rsidR="006C71BB" w:rsidRPr="007B1CF8">
        <w:rPr>
          <w:rFonts w:ascii="Times New Roman" w:eastAsia="Times New Roman" w:hAnsi="Times New Roman" w:cs="Times New Roman" w:hint="cs"/>
          <w:sz w:val="24"/>
          <w:szCs w:val="24"/>
          <w:rtl/>
        </w:rPr>
        <w:t>الإماراتية والسنغافورية</w:t>
      </w:r>
      <w:r w:rsidRPr="007B1CF8">
        <w:rPr>
          <w:rFonts w:ascii="Times New Roman" w:eastAsia="Times New Roman" w:hAnsi="Times New Roman" w:cs="Times New Roman"/>
          <w:sz w:val="24"/>
          <w:szCs w:val="24"/>
          <w:rtl/>
        </w:rPr>
        <w:t>؟</w:t>
      </w:r>
    </w:p>
    <w:p w14:paraId="387356CB" w14:textId="77777777" w:rsidR="00745B06" w:rsidRDefault="00256FA3">
      <w:pPr>
        <w:pStyle w:val="2"/>
        <w:spacing w:after="409"/>
        <w:ind w:left="55" w:right="0"/>
      </w:pPr>
      <w:r>
        <w:rPr>
          <w:bCs/>
          <w:szCs w:val="28"/>
          <w:rtl/>
        </w:rPr>
        <w:t xml:space="preserve"> أسئلة الدراسة</w:t>
      </w:r>
    </w:p>
    <w:p w14:paraId="3BD58ADB" w14:textId="77777777" w:rsidR="00745B06" w:rsidRDefault="00256FA3">
      <w:pPr>
        <w:spacing w:after="437" w:line="265" w:lineRule="auto"/>
        <w:ind w:left="67" w:hanging="10"/>
        <w:jc w:val="left"/>
      </w:pPr>
      <w:r>
        <w:rPr>
          <w:rFonts w:ascii="Times New Roman" w:eastAsia="Times New Roman" w:hAnsi="Times New Roman" w:cs="Times New Roman"/>
          <w:sz w:val="24"/>
          <w:szCs w:val="24"/>
          <w:rtl/>
        </w:rPr>
        <w:t xml:space="preserve">يتفرع عن السؤال الرئيس الأسئلة الآتي: </w:t>
      </w:r>
    </w:p>
    <w:p w14:paraId="0A3CB69F" w14:textId="77777777" w:rsidR="00745B06" w:rsidRDefault="00256FA3" w:rsidP="006C71BB">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واقع التحول الرقمي في النظام القضائي في المملكة العربية السعودية؟ </w:t>
      </w:r>
    </w:p>
    <w:p w14:paraId="5636BB0A"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أهم التشريعات والسياسات الداعمة للتحول الرقمي القضائي في المملكة؟ </w:t>
      </w:r>
    </w:p>
    <w:p w14:paraId="0CB2613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أبرز التجارب والممارسات الرقمية في الإمارات وسنغافورة في مجال القضاء؟ </w:t>
      </w:r>
    </w:p>
    <w:p w14:paraId="3247B0F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أوجه التشابه والاختلاف بين التجارب الثلاث؟ </w:t>
      </w:r>
    </w:p>
    <w:p w14:paraId="035C48CD"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التحديات التي تواجه التحول الرقمي في المملكة؟ وما سبل معالجتها؟ </w:t>
      </w:r>
    </w:p>
    <w:p w14:paraId="066190E1" w14:textId="77777777" w:rsidR="00745B06" w:rsidRDefault="00256FA3">
      <w:pPr>
        <w:numPr>
          <w:ilvl w:val="0"/>
          <w:numId w:val="1"/>
        </w:numPr>
        <w:spacing w:after="485" w:line="265" w:lineRule="auto"/>
        <w:ind w:left="767" w:hanging="363"/>
        <w:jc w:val="left"/>
      </w:pPr>
      <w:r>
        <w:rPr>
          <w:rFonts w:ascii="Times New Roman" w:eastAsia="Times New Roman" w:hAnsi="Times New Roman" w:cs="Times New Roman"/>
          <w:sz w:val="24"/>
          <w:szCs w:val="24"/>
          <w:rtl/>
        </w:rPr>
        <w:lastRenderedPageBreak/>
        <w:t xml:space="preserve">ما التصور المقترح لتعزيز التحول الرقمي في النظام القضائي السعودي؟ </w:t>
      </w:r>
    </w:p>
    <w:p w14:paraId="67FFC840" w14:textId="77777777" w:rsidR="00745B06" w:rsidRDefault="00256FA3">
      <w:pPr>
        <w:pStyle w:val="2"/>
        <w:spacing w:after="408"/>
        <w:ind w:left="55" w:right="0"/>
      </w:pPr>
      <w:r>
        <w:rPr>
          <w:bCs/>
          <w:szCs w:val="28"/>
          <w:rtl/>
        </w:rPr>
        <w:t xml:space="preserve"> أهداف الدراسة</w:t>
      </w:r>
    </w:p>
    <w:p w14:paraId="5AB22826" w14:textId="77777777" w:rsidR="00745B06" w:rsidRDefault="00256FA3">
      <w:pPr>
        <w:spacing w:after="436" w:line="265" w:lineRule="auto"/>
        <w:ind w:left="68" w:hanging="10"/>
        <w:jc w:val="left"/>
      </w:pPr>
      <w:r>
        <w:rPr>
          <w:rFonts w:ascii="Times New Roman" w:eastAsia="Times New Roman" w:hAnsi="Times New Roman" w:cs="Times New Roman"/>
          <w:sz w:val="24"/>
          <w:szCs w:val="24"/>
          <w:rtl/>
        </w:rPr>
        <w:t xml:space="preserve">تهدف هذه الدراسة إلى: </w:t>
      </w:r>
    </w:p>
    <w:p w14:paraId="7FBB1F07"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بيان واقع التحول الرقمي في النظام القضائي السعودي. </w:t>
      </w:r>
    </w:p>
    <w:p w14:paraId="48A25E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تحليل الآليات التشريعية والتنظيمية التي تحكم هذا التحول. </w:t>
      </w:r>
    </w:p>
    <w:p w14:paraId="1821A9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استعراض النموذجين الإماراتي والسنغافوري كممارسات مقارنة. </w:t>
      </w:r>
    </w:p>
    <w:p w14:paraId="5E81E462"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إجراء مقارنة علمية منهجية بين التجارب الثلاث. </w:t>
      </w:r>
    </w:p>
    <w:p w14:paraId="38236F46"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تحديد التحديات القائمة والعوائق العملية. </w:t>
      </w:r>
    </w:p>
    <w:p w14:paraId="775AC992" w14:textId="4299F26A" w:rsidR="00745B06" w:rsidRDefault="00256FA3" w:rsidP="00A35667">
      <w:pPr>
        <w:numPr>
          <w:ilvl w:val="0"/>
          <w:numId w:val="2"/>
        </w:numPr>
        <w:spacing w:after="387" w:line="265" w:lineRule="auto"/>
        <w:ind w:hanging="363"/>
        <w:jc w:val="left"/>
      </w:pPr>
      <w:r>
        <w:rPr>
          <w:rFonts w:ascii="Times New Roman" w:eastAsia="Times New Roman" w:hAnsi="Times New Roman" w:cs="Times New Roman"/>
          <w:sz w:val="24"/>
          <w:szCs w:val="24"/>
          <w:rtl/>
        </w:rPr>
        <w:t xml:space="preserve">تقديم تصور مقترح لتعزيز فعالية التحول الرقمي في القضاء السعودي. </w:t>
      </w:r>
      <w:r w:rsidRPr="00A35667">
        <w:rPr>
          <w:rFonts w:ascii="Times New Roman" w:eastAsia="Times New Roman" w:hAnsi="Times New Roman" w:cs="Times New Roman"/>
          <w:sz w:val="24"/>
        </w:rPr>
        <w:t xml:space="preserve"> </w:t>
      </w:r>
    </w:p>
    <w:p w14:paraId="70F3E710" w14:textId="77777777" w:rsidR="00745B06" w:rsidRDefault="00256FA3" w:rsidP="006C71BB">
      <w:pPr>
        <w:pStyle w:val="2"/>
        <w:spacing w:after="410"/>
        <w:ind w:left="55" w:right="0"/>
      </w:pPr>
      <w:r>
        <w:rPr>
          <w:bCs/>
          <w:szCs w:val="28"/>
          <w:rtl/>
        </w:rPr>
        <w:t xml:space="preserve">أهمية الدراسة </w:t>
      </w:r>
    </w:p>
    <w:p w14:paraId="57F448EC" w14:textId="77777777" w:rsidR="00745B06" w:rsidRDefault="00256FA3" w:rsidP="006C71BB">
      <w:pPr>
        <w:spacing w:after="435" w:line="265" w:lineRule="auto"/>
        <w:ind w:left="68" w:hanging="10"/>
        <w:jc w:val="left"/>
      </w:pPr>
      <w:r>
        <w:rPr>
          <w:rFonts w:ascii="Times New Roman" w:eastAsia="Times New Roman" w:hAnsi="Times New Roman" w:cs="Times New Roman"/>
          <w:sz w:val="24"/>
          <w:szCs w:val="24"/>
          <w:rtl/>
        </w:rPr>
        <w:t xml:space="preserve">تعُد هذه الدراسة ذات أهمية من الجانبين النظري والعملي على النحو الآتي: </w:t>
      </w:r>
    </w:p>
    <w:p w14:paraId="519E662B" w14:textId="77777777" w:rsidR="00745B06" w:rsidRDefault="00256FA3" w:rsidP="006C71BB">
      <w:pPr>
        <w:numPr>
          <w:ilvl w:val="0"/>
          <w:numId w:val="3"/>
        </w:numPr>
        <w:spacing w:after="13"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النظرية</w:t>
      </w:r>
      <w:r w:rsidR="006C71BB">
        <w:rPr>
          <w:rFonts w:ascii="Times New Roman" w:eastAsia="Times New Roman" w:hAnsi="Times New Roman" w:cs="Times New Roman" w:hint="cs"/>
          <w:sz w:val="24"/>
          <w:szCs w:val="24"/>
          <w:rtl/>
        </w:rPr>
        <w:t>: تسهم</w:t>
      </w:r>
      <w:r>
        <w:rPr>
          <w:rFonts w:ascii="Times New Roman" w:eastAsia="Times New Roman" w:hAnsi="Times New Roman" w:cs="Times New Roman"/>
          <w:sz w:val="24"/>
          <w:szCs w:val="24"/>
          <w:rtl/>
        </w:rPr>
        <w:t xml:space="preserve"> في إثراء الأدبيات القانونية المتعلقة بالتحول الرقمي في القطاع العدلي، خصوصًا في البيئة العربية. </w:t>
      </w:r>
    </w:p>
    <w:p w14:paraId="44C250B2" w14:textId="77777777" w:rsidR="00745B06" w:rsidRDefault="00256FA3" w:rsidP="006C71BB">
      <w:pPr>
        <w:numPr>
          <w:ilvl w:val="0"/>
          <w:numId w:val="3"/>
        </w:numPr>
        <w:spacing w:after="344"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العملية</w:t>
      </w:r>
      <w:r w:rsidR="006C71BB">
        <w:rPr>
          <w:rFonts w:ascii="Times New Roman" w:eastAsia="Times New Roman" w:hAnsi="Times New Roman" w:cs="Times New Roman" w:hint="cs"/>
          <w:sz w:val="24"/>
          <w:szCs w:val="24"/>
          <w:rtl/>
        </w:rPr>
        <w:t>: تقدمّ</w:t>
      </w:r>
      <w:r>
        <w:rPr>
          <w:rFonts w:ascii="Times New Roman" w:eastAsia="Times New Roman" w:hAnsi="Times New Roman" w:cs="Times New Roman"/>
          <w:sz w:val="24"/>
          <w:szCs w:val="24"/>
          <w:rtl/>
        </w:rPr>
        <w:t xml:space="preserve"> نتائج وتوصيات قابلة للتطبيق تسُهم في تطوير أداء المنظومة القضائية السعودية، وتحسين جودة الخدمات العدلية المقدمة للمجتمع. </w:t>
      </w:r>
    </w:p>
    <w:p w14:paraId="6D9E84AB" w14:textId="77777777" w:rsidR="00745B06" w:rsidRDefault="00256FA3" w:rsidP="006C71BB">
      <w:pPr>
        <w:pStyle w:val="2"/>
        <w:spacing w:after="409"/>
        <w:ind w:left="55" w:right="0"/>
      </w:pPr>
      <w:r>
        <w:rPr>
          <w:bCs/>
          <w:szCs w:val="28"/>
          <w:rtl/>
        </w:rPr>
        <w:t xml:space="preserve">حدود الدراسة </w:t>
      </w:r>
    </w:p>
    <w:p w14:paraId="75548350" w14:textId="77777777" w:rsidR="00745B06" w:rsidRDefault="00256FA3" w:rsidP="006C71BB">
      <w:pPr>
        <w:numPr>
          <w:ilvl w:val="0"/>
          <w:numId w:val="4"/>
        </w:numPr>
        <w:spacing w:after="9"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الموضوعية</w:t>
      </w:r>
      <w:r w:rsidR="006C71BB">
        <w:rPr>
          <w:rFonts w:ascii="Times New Roman" w:eastAsia="Times New Roman" w:hAnsi="Times New Roman" w:cs="Times New Roman" w:hint="cs"/>
          <w:sz w:val="24"/>
          <w:szCs w:val="24"/>
          <w:rtl/>
        </w:rPr>
        <w:t>: تقتصر</w:t>
      </w:r>
      <w:r>
        <w:rPr>
          <w:rFonts w:ascii="Times New Roman" w:eastAsia="Times New Roman" w:hAnsi="Times New Roman" w:cs="Times New Roman"/>
          <w:sz w:val="24"/>
          <w:szCs w:val="24"/>
          <w:rtl/>
        </w:rPr>
        <w:t xml:space="preserve"> على دراسة التحول الرقمي في النظام القضائي من حيث التشريعات والأدوات التقنية والإجراءات الإدارية. </w:t>
      </w:r>
    </w:p>
    <w:p w14:paraId="463E832E" w14:textId="77777777" w:rsidR="00745B06" w:rsidRDefault="00256FA3" w:rsidP="006C71BB">
      <w:pPr>
        <w:numPr>
          <w:ilvl w:val="0"/>
          <w:numId w:val="4"/>
        </w:numPr>
        <w:spacing w:after="167"/>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المكانية</w:t>
      </w:r>
      <w:r w:rsidR="006C71BB">
        <w:rPr>
          <w:rFonts w:ascii="Times New Roman" w:eastAsia="Times New Roman" w:hAnsi="Times New Roman" w:cs="Times New Roman" w:hint="cs"/>
          <w:sz w:val="24"/>
          <w:szCs w:val="24"/>
          <w:rtl/>
        </w:rPr>
        <w:t>: المملكة</w:t>
      </w:r>
      <w:r>
        <w:rPr>
          <w:rFonts w:ascii="Times New Roman" w:eastAsia="Times New Roman" w:hAnsi="Times New Roman" w:cs="Times New Roman"/>
          <w:sz w:val="24"/>
          <w:szCs w:val="24"/>
          <w:rtl/>
        </w:rPr>
        <w:t xml:space="preserve"> العربية السعودية مقارنة بكل من الإمارات العربية المتحدة وسنغافورة. </w:t>
      </w:r>
    </w:p>
    <w:p w14:paraId="673B63EF" w14:textId="77777777" w:rsidR="00745B06" w:rsidRDefault="00256FA3" w:rsidP="006C71BB">
      <w:pPr>
        <w:numPr>
          <w:ilvl w:val="0"/>
          <w:numId w:val="4"/>
        </w:numPr>
        <w:spacing w:after="246"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الزمنية</w:t>
      </w:r>
      <w:r w:rsidR="006C71BB">
        <w:rPr>
          <w:rFonts w:ascii="Times New Roman" w:eastAsia="Times New Roman" w:hAnsi="Times New Roman" w:cs="Times New Roman" w:hint="cs"/>
          <w:sz w:val="24"/>
          <w:szCs w:val="24"/>
          <w:rtl/>
        </w:rPr>
        <w:t>: تركز</w:t>
      </w:r>
      <w:r>
        <w:rPr>
          <w:rFonts w:ascii="Times New Roman" w:eastAsia="Times New Roman" w:hAnsi="Times New Roman" w:cs="Times New Roman"/>
          <w:sz w:val="24"/>
          <w:szCs w:val="24"/>
          <w:rtl/>
        </w:rPr>
        <w:t xml:space="preserve"> على التطورات الرقمية من عام </w:t>
      </w:r>
      <w:r>
        <w:rPr>
          <w:rFonts w:ascii="Times New Roman" w:eastAsia="Times New Roman" w:hAnsi="Times New Roman" w:cs="Times New Roman"/>
          <w:sz w:val="24"/>
          <w:szCs w:val="24"/>
        </w:rPr>
        <w:t>2016</w:t>
      </w:r>
      <w:r>
        <w:rPr>
          <w:rFonts w:ascii="Times New Roman" w:eastAsia="Times New Roman" w:hAnsi="Times New Roman" w:cs="Times New Roman"/>
          <w:sz w:val="24"/>
          <w:szCs w:val="24"/>
          <w:rtl/>
        </w:rPr>
        <w:t xml:space="preserve"> حتى الوقت الراهن، نظرًا لارتباطها برؤية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6C75BB10" w14:textId="77777777" w:rsidR="00745B06" w:rsidRDefault="00256FA3">
      <w:pPr>
        <w:bidi w:val="0"/>
        <w:spacing w:after="0"/>
        <w:ind w:right="108"/>
      </w:pPr>
      <w:r>
        <w:rPr>
          <w:rFonts w:ascii="Times New Roman" w:eastAsia="Times New Roman" w:hAnsi="Times New Roman" w:cs="Times New Roman"/>
          <w:sz w:val="24"/>
        </w:rPr>
        <w:t xml:space="preserve"> </w:t>
      </w:r>
    </w:p>
    <w:p w14:paraId="7B963C96" w14:textId="77777777" w:rsidR="00745B06" w:rsidRDefault="00256FA3">
      <w:pPr>
        <w:pStyle w:val="2"/>
        <w:ind w:left="55" w:right="0"/>
      </w:pPr>
      <w:r>
        <w:rPr>
          <w:bCs/>
          <w:szCs w:val="28"/>
          <w:rtl/>
        </w:rPr>
        <w:lastRenderedPageBreak/>
        <w:t xml:space="preserve"> منهج الدراسة</w:t>
      </w:r>
    </w:p>
    <w:p w14:paraId="4D9F365C" w14:textId="77777777" w:rsidR="00745B06" w:rsidRDefault="00256FA3" w:rsidP="006C71BB">
      <w:pPr>
        <w:spacing w:after="324" w:line="388" w:lineRule="auto"/>
        <w:ind w:left="2" w:right="377" w:hanging="2"/>
        <w:jc w:val="left"/>
      </w:pPr>
      <w:r>
        <w:rPr>
          <w:rFonts w:ascii="Times New Roman" w:eastAsia="Times New Roman" w:hAnsi="Times New Roman" w:cs="Times New Roman"/>
          <w:sz w:val="24"/>
          <w:szCs w:val="24"/>
          <w:rtl/>
        </w:rPr>
        <w:t xml:space="preserve">تعتمد الدراسة على </w:t>
      </w:r>
      <w:r>
        <w:rPr>
          <w:rFonts w:ascii="Times New Roman" w:eastAsia="Times New Roman" w:hAnsi="Times New Roman" w:cs="Times New Roman"/>
          <w:b/>
          <w:bCs/>
          <w:sz w:val="24"/>
          <w:szCs w:val="24"/>
          <w:rtl/>
        </w:rPr>
        <w:t>المنهج الوصفي التحليلي</w:t>
      </w:r>
      <w:r>
        <w:rPr>
          <w:rFonts w:ascii="Times New Roman" w:eastAsia="Times New Roman" w:hAnsi="Times New Roman" w:cs="Times New Roman"/>
          <w:sz w:val="24"/>
          <w:szCs w:val="24"/>
          <w:rtl/>
        </w:rPr>
        <w:t xml:space="preserve"> في عرض الواقع الحالي للتحول الرقمي القضائي، و</w:t>
      </w:r>
      <w:r>
        <w:rPr>
          <w:rFonts w:ascii="Times New Roman" w:eastAsia="Times New Roman" w:hAnsi="Times New Roman" w:cs="Times New Roman"/>
          <w:b/>
          <w:bCs/>
          <w:sz w:val="24"/>
          <w:szCs w:val="24"/>
          <w:rtl/>
        </w:rPr>
        <w:t>المنهج المقارن</w:t>
      </w:r>
      <w:r>
        <w:rPr>
          <w:rFonts w:ascii="Times New Roman" w:eastAsia="Times New Roman" w:hAnsi="Times New Roman" w:cs="Times New Roman"/>
          <w:sz w:val="24"/>
          <w:szCs w:val="24"/>
          <w:rtl/>
        </w:rPr>
        <w:t xml:space="preserve"> في تحليل التجارب المختلفة في الإمارات وسنغافورة، إضافة إلى </w:t>
      </w:r>
      <w:r>
        <w:rPr>
          <w:rFonts w:ascii="Times New Roman" w:eastAsia="Times New Roman" w:hAnsi="Times New Roman" w:cs="Times New Roman"/>
          <w:b/>
          <w:bCs/>
          <w:sz w:val="24"/>
          <w:szCs w:val="24"/>
          <w:rtl/>
        </w:rPr>
        <w:t>المنهج الاستقرائي</w:t>
      </w:r>
      <w:r>
        <w:rPr>
          <w:rFonts w:ascii="Times New Roman" w:eastAsia="Times New Roman" w:hAnsi="Times New Roman" w:cs="Times New Roman"/>
          <w:sz w:val="24"/>
          <w:szCs w:val="24"/>
          <w:rtl/>
        </w:rPr>
        <w:t xml:space="preserve"> في بناء التصور المقترح. </w:t>
      </w:r>
    </w:p>
    <w:p w14:paraId="6FF5489A" w14:textId="77777777" w:rsidR="00745B06" w:rsidRDefault="00256FA3">
      <w:pPr>
        <w:bidi w:val="0"/>
        <w:spacing w:after="431"/>
        <w:ind w:right="59"/>
      </w:pPr>
      <w:r>
        <w:rPr>
          <w:rFonts w:ascii="Times New Roman" w:eastAsia="Times New Roman" w:hAnsi="Times New Roman" w:cs="Times New Roman"/>
          <w:b/>
          <w:sz w:val="32"/>
        </w:rPr>
        <w:t xml:space="preserve"> </w:t>
      </w:r>
    </w:p>
    <w:p w14:paraId="2FEF2C57" w14:textId="77777777" w:rsidR="00745B06" w:rsidRDefault="00256FA3">
      <w:pPr>
        <w:bidi w:val="0"/>
        <w:spacing w:after="434"/>
        <w:ind w:right="59"/>
      </w:pPr>
      <w:r>
        <w:rPr>
          <w:rFonts w:ascii="Times New Roman" w:eastAsia="Times New Roman" w:hAnsi="Times New Roman" w:cs="Times New Roman"/>
          <w:b/>
          <w:sz w:val="32"/>
        </w:rPr>
        <w:t xml:space="preserve"> </w:t>
      </w:r>
    </w:p>
    <w:p w14:paraId="0584CAC5" w14:textId="77777777" w:rsidR="00745B06" w:rsidRDefault="00256FA3">
      <w:pPr>
        <w:bidi w:val="0"/>
        <w:spacing w:after="431"/>
        <w:ind w:right="59"/>
      </w:pPr>
      <w:r>
        <w:rPr>
          <w:rFonts w:ascii="Times New Roman" w:eastAsia="Times New Roman" w:hAnsi="Times New Roman" w:cs="Times New Roman"/>
          <w:b/>
          <w:sz w:val="32"/>
        </w:rPr>
        <w:t xml:space="preserve"> </w:t>
      </w:r>
    </w:p>
    <w:p w14:paraId="52638DC7" w14:textId="77777777" w:rsidR="00745B06" w:rsidRDefault="00256FA3">
      <w:pPr>
        <w:bidi w:val="0"/>
        <w:spacing w:after="433"/>
        <w:ind w:right="59"/>
      </w:pPr>
      <w:r>
        <w:rPr>
          <w:rFonts w:ascii="Times New Roman" w:eastAsia="Times New Roman" w:hAnsi="Times New Roman" w:cs="Times New Roman"/>
          <w:b/>
          <w:sz w:val="32"/>
        </w:rPr>
        <w:t xml:space="preserve"> </w:t>
      </w:r>
    </w:p>
    <w:p w14:paraId="5042FD8F" w14:textId="77777777" w:rsidR="00745B06" w:rsidRDefault="00256FA3">
      <w:pPr>
        <w:bidi w:val="0"/>
        <w:spacing w:after="433"/>
        <w:ind w:right="59"/>
      </w:pPr>
      <w:r>
        <w:rPr>
          <w:rFonts w:ascii="Times New Roman" w:eastAsia="Times New Roman" w:hAnsi="Times New Roman" w:cs="Times New Roman"/>
          <w:b/>
          <w:sz w:val="32"/>
        </w:rPr>
        <w:t xml:space="preserve"> </w:t>
      </w:r>
    </w:p>
    <w:p w14:paraId="350630DD" w14:textId="77777777" w:rsidR="00745B06" w:rsidRDefault="00256FA3">
      <w:pPr>
        <w:bidi w:val="0"/>
        <w:spacing w:after="431"/>
        <w:ind w:right="59"/>
      </w:pPr>
      <w:r>
        <w:rPr>
          <w:rFonts w:ascii="Times New Roman" w:eastAsia="Times New Roman" w:hAnsi="Times New Roman" w:cs="Times New Roman"/>
          <w:b/>
          <w:sz w:val="32"/>
        </w:rPr>
        <w:t xml:space="preserve"> </w:t>
      </w:r>
    </w:p>
    <w:p w14:paraId="498D66ED" w14:textId="77777777" w:rsidR="00745B06" w:rsidRDefault="00256FA3">
      <w:pPr>
        <w:bidi w:val="0"/>
        <w:spacing w:after="433"/>
        <w:ind w:right="59"/>
      </w:pPr>
      <w:r>
        <w:rPr>
          <w:rFonts w:ascii="Times New Roman" w:eastAsia="Times New Roman" w:hAnsi="Times New Roman" w:cs="Times New Roman"/>
          <w:b/>
          <w:sz w:val="32"/>
        </w:rPr>
        <w:t xml:space="preserve"> </w:t>
      </w:r>
    </w:p>
    <w:p w14:paraId="50B2675E" w14:textId="77777777" w:rsidR="00745B06" w:rsidRDefault="00256FA3">
      <w:pPr>
        <w:bidi w:val="0"/>
        <w:spacing w:after="433"/>
        <w:ind w:right="59"/>
      </w:pPr>
      <w:r>
        <w:rPr>
          <w:rFonts w:ascii="Times New Roman" w:eastAsia="Times New Roman" w:hAnsi="Times New Roman" w:cs="Times New Roman"/>
          <w:b/>
          <w:sz w:val="32"/>
        </w:rPr>
        <w:t xml:space="preserve"> </w:t>
      </w:r>
    </w:p>
    <w:p w14:paraId="67344FBF" w14:textId="77777777" w:rsidR="00745B06" w:rsidRDefault="00256FA3">
      <w:pPr>
        <w:bidi w:val="0"/>
        <w:spacing w:after="431"/>
        <w:ind w:right="59"/>
      </w:pPr>
      <w:r>
        <w:rPr>
          <w:rFonts w:ascii="Times New Roman" w:eastAsia="Times New Roman" w:hAnsi="Times New Roman" w:cs="Times New Roman"/>
          <w:b/>
          <w:sz w:val="32"/>
        </w:rPr>
        <w:t xml:space="preserve"> </w:t>
      </w:r>
    </w:p>
    <w:p w14:paraId="5CE440FB" w14:textId="77777777" w:rsidR="00745B06" w:rsidRDefault="00256FA3">
      <w:pPr>
        <w:bidi w:val="0"/>
        <w:spacing w:after="434"/>
        <w:ind w:right="59"/>
      </w:pPr>
      <w:r>
        <w:rPr>
          <w:rFonts w:ascii="Times New Roman" w:eastAsia="Times New Roman" w:hAnsi="Times New Roman" w:cs="Times New Roman"/>
          <w:b/>
          <w:sz w:val="32"/>
        </w:rPr>
        <w:t xml:space="preserve"> </w:t>
      </w:r>
    </w:p>
    <w:p w14:paraId="3B9DBAEB" w14:textId="77777777" w:rsidR="00745B06" w:rsidRDefault="00256FA3">
      <w:pPr>
        <w:bidi w:val="0"/>
        <w:spacing w:after="433"/>
        <w:ind w:right="59"/>
      </w:pPr>
      <w:r>
        <w:rPr>
          <w:rFonts w:ascii="Times New Roman" w:eastAsia="Times New Roman" w:hAnsi="Times New Roman" w:cs="Times New Roman"/>
          <w:b/>
          <w:sz w:val="32"/>
        </w:rPr>
        <w:t xml:space="preserve"> </w:t>
      </w:r>
    </w:p>
    <w:p w14:paraId="2D18AC21" w14:textId="77777777" w:rsidR="00745B06" w:rsidRDefault="00256FA3">
      <w:pPr>
        <w:bidi w:val="0"/>
        <w:spacing w:after="431"/>
        <w:ind w:right="59"/>
      </w:pPr>
      <w:r>
        <w:rPr>
          <w:rFonts w:ascii="Times New Roman" w:eastAsia="Times New Roman" w:hAnsi="Times New Roman" w:cs="Times New Roman"/>
          <w:b/>
          <w:sz w:val="32"/>
        </w:rPr>
        <w:t xml:space="preserve"> </w:t>
      </w:r>
    </w:p>
    <w:p w14:paraId="269030E7" w14:textId="77777777" w:rsidR="00745B06" w:rsidRDefault="00256FA3">
      <w:pPr>
        <w:bidi w:val="0"/>
        <w:spacing w:after="433"/>
        <w:ind w:right="59"/>
      </w:pPr>
      <w:r>
        <w:rPr>
          <w:rFonts w:ascii="Times New Roman" w:eastAsia="Times New Roman" w:hAnsi="Times New Roman" w:cs="Times New Roman"/>
          <w:b/>
          <w:sz w:val="32"/>
        </w:rPr>
        <w:t xml:space="preserve"> </w:t>
      </w:r>
    </w:p>
    <w:p w14:paraId="38F07460" w14:textId="77777777" w:rsidR="00A35667" w:rsidRDefault="00A35667">
      <w:pPr>
        <w:bidi w:val="0"/>
        <w:spacing w:after="434"/>
        <w:ind w:right="59"/>
        <w:rPr>
          <w:rFonts w:ascii="Times New Roman" w:eastAsia="Times New Roman" w:hAnsi="Times New Roman" w:cs="Times New Roman"/>
          <w:b/>
          <w:sz w:val="32"/>
        </w:rPr>
      </w:pPr>
    </w:p>
    <w:p w14:paraId="7379C70F" w14:textId="77777777" w:rsidR="00A35667" w:rsidRDefault="00A35667" w:rsidP="00A35667">
      <w:pPr>
        <w:bidi w:val="0"/>
        <w:spacing w:after="434"/>
        <w:ind w:right="59"/>
        <w:rPr>
          <w:rFonts w:ascii="Times New Roman" w:eastAsia="Times New Roman" w:hAnsi="Times New Roman" w:cs="Times New Roman"/>
          <w:b/>
          <w:sz w:val="32"/>
        </w:rPr>
      </w:pPr>
    </w:p>
    <w:p w14:paraId="04B0C944" w14:textId="01534B3B" w:rsidR="00745B06" w:rsidRDefault="00256FA3" w:rsidP="00A35667">
      <w:pPr>
        <w:bidi w:val="0"/>
        <w:spacing w:after="434"/>
        <w:ind w:right="59"/>
      </w:pPr>
      <w:r>
        <w:rPr>
          <w:rFonts w:ascii="Times New Roman" w:eastAsia="Times New Roman" w:hAnsi="Times New Roman" w:cs="Times New Roman"/>
          <w:b/>
          <w:sz w:val="32"/>
        </w:rPr>
        <w:t xml:space="preserve"> </w:t>
      </w:r>
    </w:p>
    <w:p w14:paraId="1CEE6AEF" w14:textId="77777777" w:rsidR="0093132B" w:rsidRDefault="0093132B">
      <w:pPr>
        <w:bidi w:val="0"/>
        <w:spacing w:after="0"/>
        <w:ind w:right="59"/>
        <w:rPr>
          <w:rFonts w:ascii="Times New Roman" w:eastAsia="Times New Roman" w:hAnsi="Times New Roman" w:cs="Times New Roman"/>
          <w:b/>
          <w:sz w:val="32"/>
        </w:rPr>
        <w:sectPr w:rsidR="0093132B" w:rsidSect="006E7F2A">
          <w:headerReference w:type="even" r:id="rId9"/>
          <w:headerReference w:type="default" r:id="rId10"/>
          <w:footerReference w:type="even" r:id="rId11"/>
          <w:footerReference w:type="default" r:id="rId12"/>
          <w:headerReference w:type="first" r:id="rId13"/>
          <w:footerReference w:type="first" r:id="rId14"/>
          <w:pgSz w:w="11906" w:h="16838"/>
          <w:pgMar w:top="1481" w:right="1378" w:bottom="1432" w:left="1440" w:header="490" w:footer="478" w:gutter="0"/>
          <w:pgNumType w:start="1"/>
          <w:cols w:space="720"/>
          <w:titlePg/>
          <w:bidi/>
          <w:docGrid w:linePitch="299"/>
        </w:sectPr>
      </w:pPr>
    </w:p>
    <w:p w14:paraId="0D25E3CA" w14:textId="7A1BF0B6" w:rsidR="00745B06" w:rsidRDefault="00256FA3">
      <w:pPr>
        <w:bidi w:val="0"/>
        <w:spacing w:after="0"/>
        <w:ind w:right="59"/>
      </w:pPr>
      <w:r>
        <w:rPr>
          <w:rFonts w:ascii="Times New Roman" w:eastAsia="Times New Roman" w:hAnsi="Times New Roman" w:cs="Times New Roman"/>
          <w:b/>
          <w:sz w:val="32"/>
        </w:rPr>
        <w:lastRenderedPageBreak/>
        <w:t xml:space="preserve"> </w:t>
      </w:r>
    </w:p>
    <w:p w14:paraId="01A064B3" w14:textId="77777777" w:rsidR="00745B06" w:rsidRDefault="00256FA3">
      <w:pPr>
        <w:spacing w:after="451" w:line="260" w:lineRule="auto"/>
        <w:ind w:left="58" w:hanging="10"/>
        <w:jc w:val="left"/>
      </w:pPr>
      <w:r>
        <w:rPr>
          <w:rFonts w:ascii="Times New Roman" w:eastAsia="Times New Roman" w:hAnsi="Times New Roman" w:cs="Times New Roman"/>
          <w:b/>
          <w:bCs/>
          <w:sz w:val="32"/>
          <w:szCs w:val="32"/>
          <w:rtl/>
        </w:rPr>
        <w:t>خطة الدراسة</w:t>
      </w:r>
      <w:r>
        <w:rPr>
          <w:rFonts w:ascii="Times New Roman" w:eastAsia="Times New Roman" w:hAnsi="Times New Roman" w:cs="Times New Roman"/>
          <w:sz w:val="32"/>
          <w:szCs w:val="32"/>
          <w:rtl/>
        </w:rPr>
        <w:t xml:space="preserve"> </w:t>
      </w:r>
    </w:p>
    <w:p w14:paraId="0143CFDE" w14:textId="77777777" w:rsidR="00745B06" w:rsidRPr="00ED1F7B" w:rsidRDefault="00256FA3">
      <w:pPr>
        <w:spacing w:after="513" w:line="260" w:lineRule="auto"/>
        <w:ind w:left="429" w:hanging="10"/>
        <w:jc w:val="left"/>
        <w:rPr>
          <w:sz w:val="28"/>
          <w:szCs w:val="28"/>
        </w:rPr>
      </w:pPr>
      <w:r w:rsidRPr="00ED1F7B">
        <w:rPr>
          <w:rFonts w:ascii="Times New Roman" w:eastAsia="Times New Roman" w:hAnsi="Times New Roman" w:cs="Times New Roman"/>
          <w:b/>
          <w:bCs/>
          <w:sz w:val="28"/>
          <w:szCs w:val="28"/>
          <w:rtl/>
        </w:rPr>
        <w:t>مخطط البحث</w:t>
      </w:r>
      <w:r w:rsidRPr="00ED1F7B">
        <w:rPr>
          <w:rFonts w:ascii="Times New Roman" w:eastAsia="Times New Roman" w:hAnsi="Times New Roman" w:cs="Times New Roman"/>
          <w:sz w:val="28"/>
          <w:szCs w:val="28"/>
          <w:rtl/>
        </w:rPr>
        <w:t xml:space="preserve"> </w:t>
      </w:r>
      <w:r w:rsidRPr="00ED1F7B">
        <w:rPr>
          <w:sz w:val="28"/>
          <w:szCs w:val="28"/>
          <w:rtl/>
        </w:rPr>
        <w:t xml:space="preserve"> </w:t>
      </w:r>
    </w:p>
    <w:p w14:paraId="218A2AE7" w14:textId="47CD69CC" w:rsidR="00745B06" w:rsidRPr="00ED1F7B" w:rsidRDefault="00256FA3" w:rsidP="006A76A4">
      <w:pPr>
        <w:pStyle w:val="2"/>
        <w:spacing w:after="451" w:line="276" w:lineRule="auto"/>
        <w:ind w:left="58" w:right="0"/>
        <w:rPr>
          <w:szCs w:val="28"/>
        </w:rPr>
      </w:pPr>
      <w:r w:rsidRPr="00ED1F7B">
        <w:rPr>
          <w:bCs/>
          <w:szCs w:val="28"/>
          <w:rtl/>
        </w:rPr>
        <w:t xml:space="preserve">الفصل الأول: </w:t>
      </w:r>
      <w:r w:rsidR="008A16E2" w:rsidRPr="003B3BAB">
        <w:rPr>
          <w:rFonts w:hint="cs"/>
          <w:b w:val="0"/>
          <w:szCs w:val="28"/>
          <w:rtl/>
        </w:rPr>
        <w:t>المرتكزات التشريعية</w:t>
      </w:r>
      <w:r w:rsidR="006A76A4" w:rsidRPr="003B3BAB">
        <w:rPr>
          <w:rFonts w:hint="cs"/>
          <w:b w:val="0"/>
          <w:szCs w:val="28"/>
          <w:rtl/>
        </w:rPr>
        <w:t xml:space="preserve"> للتحول الرقمي </w:t>
      </w:r>
    </w:p>
    <w:p w14:paraId="30ECF079" w14:textId="07B7CEA4" w:rsidR="00745B06" w:rsidRPr="003B3BAB" w:rsidRDefault="00256FA3" w:rsidP="003B3BAB">
      <w:pPr>
        <w:pStyle w:val="3"/>
        <w:spacing w:after="134" w:line="276" w:lineRule="auto"/>
        <w:ind w:left="68" w:right="0"/>
        <w:rPr>
          <w:b w:val="0"/>
          <w:szCs w:val="28"/>
        </w:rPr>
      </w:pPr>
      <w:r w:rsidRPr="00ED1F7B">
        <w:rPr>
          <w:rFonts w:ascii="Segoe UI Symbol" w:eastAsia="Segoe UI Symbol" w:hAnsi="Segoe UI Symbol" w:cs="Segoe UI Symbol"/>
          <w:b w:val="0"/>
          <w:sz w:val="20"/>
          <w:szCs w:val="20"/>
          <w:rtl/>
        </w:rPr>
        <w:t></w:t>
      </w:r>
      <w:r w:rsidRPr="00ED1F7B">
        <w:rPr>
          <w:rFonts w:ascii="Arial" w:eastAsia="Arial" w:hAnsi="Arial" w:cs="Arial"/>
          <w:b w:val="0"/>
          <w:sz w:val="20"/>
          <w:szCs w:val="20"/>
          <w:rtl/>
        </w:rPr>
        <w:t xml:space="preserve"> </w:t>
      </w:r>
      <w:r w:rsidRPr="003B3BAB">
        <w:rPr>
          <w:b w:val="0"/>
          <w:szCs w:val="28"/>
          <w:rtl/>
        </w:rPr>
        <w:t xml:space="preserve">المبحث الأول: </w:t>
      </w:r>
      <w:r w:rsidR="008A16E2" w:rsidRPr="003B3BAB">
        <w:rPr>
          <w:rFonts w:hint="cs"/>
          <w:b w:val="0"/>
          <w:szCs w:val="28"/>
          <w:rtl/>
        </w:rPr>
        <w:t>الإطار</w:t>
      </w:r>
      <w:r w:rsidR="006A76A4" w:rsidRPr="003B3BAB">
        <w:rPr>
          <w:rFonts w:hint="cs"/>
          <w:b w:val="0"/>
          <w:szCs w:val="28"/>
          <w:rtl/>
        </w:rPr>
        <w:t xml:space="preserve"> التشريعي</w:t>
      </w:r>
    </w:p>
    <w:p w14:paraId="289684F3" w14:textId="05BFE77C" w:rsidR="003B3BAB" w:rsidRPr="00ED1F7B" w:rsidRDefault="00256FA3" w:rsidP="003B3BAB">
      <w:pPr>
        <w:spacing w:after="139" w:line="276" w:lineRule="auto"/>
        <w:ind w:left="10" w:right="1150" w:hanging="10"/>
        <w:jc w:val="left"/>
        <w:rPr>
          <w:sz w:val="24"/>
          <w:szCs w:val="24"/>
        </w:rPr>
      </w:pPr>
      <w:r w:rsidRPr="003B3BAB">
        <w:rPr>
          <w:rFonts w:ascii="Segoe UI Symbol" w:eastAsia="Segoe UI Symbol" w:hAnsi="Segoe UI Symbol" w:cs="Segoe UI Symbol"/>
          <w:sz w:val="28"/>
          <w:szCs w:val="28"/>
          <w:rtl/>
        </w:rPr>
        <w:t></w:t>
      </w:r>
      <w:r w:rsidR="003B3BAB" w:rsidRPr="003B3BAB">
        <w:rPr>
          <w:rFonts w:ascii="Arial" w:eastAsia="Arial" w:hAnsi="Arial" w:cs="Arial"/>
          <w:sz w:val="28"/>
          <w:szCs w:val="28"/>
          <w:rtl/>
        </w:rPr>
        <w:t xml:space="preserve"> </w:t>
      </w:r>
      <w:r w:rsidR="003B3BAB" w:rsidRPr="003B3BAB">
        <w:rPr>
          <w:rFonts w:ascii="Times New Roman" w:eastAsia="Times New Roman" w:hAnsi="Times New Roman" w:cs="Times New Roman"/>
          <w:sz w:val="28"/>
          <w:szCs w:val="28"/>
          <w:rtl/>
        </w:rPr>
        <w:t xml:space="preserve">المبحث الثاني: </w:t>
      </w:r>
      <w:r w:rsidR="008A16E2" w:rsidRPr="003B3BAB">
        <w:rPr>
          <w:rFonts w:ascii="Times New Roman" w:eastAsia="Times New Roman" w:hAnsi="Times New Roman" w:cs="Times New Roman" w:hint="cs"/>
          <w:sz w:val="28"/>
          <w:szCs w:val="28"/>
          <w:rtl/>
        </w:rPr>
        <w:t>الإطار</w:t>
      </w:r>
      <w:r w:rsidR="003B3BAB" w:rsidRPr="003B3BAB">
        <w:rPr>
          <w:rFonts w:ascii="Times New Roman" w:eastAsia="Times New Roman" w:hAnsi="Times New Roman" w:cs="Times New Roman" w:hint="cs"/>
          <w:sz w:val="28"/>
          <w:szCs w:val="28"/>
          <w:rtl/>
        </w:rPr>
        <w:t xml:space="preserve"> التنظيمي</w:t>
      </w:r>
    </w:p>
    <w:p w14:paraId="0995282C" w14:textId="77777777" w:rsidR="002B6CE9" w:rsidRDefault="002B6CE9" w:rsidP="002B6CE9">
      <w:pPr>
        <w:spacing w:after="139" w:line="276" w:lineRule="auto"/>
        <w:ind w:left="10" w:right="1150" w:hanging="10"/>
        <w:jc w:val="left"/>
        <w:rPr>
          <w:rFonts w:ascii="Segoe UI Symbol" w:eastAsia="Segoe UI Symbol" w:hAnsi="Segoe UI Symbol" w:cs="Times New Roman"/>
          <w:sz w:val="20"/>
          <w:szCs w:val="20"/>
          <w:rtl/>
        </w:rPr>
      </w:pPr>
    </w:p>
    <w:p w14:paraId="267D2325" w14:textId="77777777" w:rsidR="003B3BAB" w:rsidRPr="003B3BAB" w:rsidRDefault="00256FA3" w:rsidP="003B3BAB">
      <w:pPr>
        <w:spacing w:before="100" w:beforeAutospacing="1" w:after="100" w:afterAutospacing="1" w:line="276" w:lineRule="auto"/>
        <w:jc w:val="left"/>
        <w:rPr>
          <w:rFonts w:ascii="Times New Roman" w:eastAsia="Times New Roman" w:hAnsi="Times New Roman" w:cs="Times New Roman"/>
          <w:b/>
          <w:bCs/>
          <w:sz w:val="32"/>
          <w:szCs w:val="32"/>
          <w:rtl/>
        </w:rPr>
      </w:pPr>
      <w:r w:rsidRPr="00ED1F7B">
        <w:rPr>
          <w:rFonts w:ascii="Times New Roman" w:eastAsia="Times New Roman" w:hAnsi="Times New Roman" w:cs="Times New Roman"/>
          <w:b/>
          <w:bCs/>
          <w:sz w:val="28"/>
          <w:szCs w:val="28"/>
          <w:rtl/>
        </w:rPr>
        <w:t xml:space="preserve">الفصل الثاني: </w:t>
      </w:r>
      <w:r w:rsidR="003B3BAB" w:rsidRPr="003B3BAB">
        <w:rPr>
          <w:rFonts w:ascii="Times New Roman" w:eastAsia="Times New Roman" w:hAnsi="Times New Roman" w:cs="Times New Roman" w:hint="cs"/>
          <w:b/>
          <w:bCs/>
          <w:sz w:val="32"/>
          <w:szCs w:val="32"/>
          <w:rtl/>
        </w:rPr>
        <w:t xml:space="preserve">المشاكل والتحديات </w:t>
      </w:r>
      <w:r w:rsidR="003B3BAB">
        <w:rPr>
          <w:rFonts w:ascii="Times New Roman" w:eastAsia="Times New Roman" w:hAnsi="Times New Roman" w:cs="Times New Roman" w:hint="cs"/>
          <w:b/>
          <w:bCs/>
          <w:sz w:val="32"/>
          <w:szCs w:val="32"/>
          <w:rtl/>
        </w:rPr>
        <w:t>في تنظيم ال</w:t>
      </w:r>
      <w:r w:rsidR="003B3BAB" w:rsidRPr="003B3BAB">
        <w:rPr>
          <w:rFonts w:ascii="Times New Roman" w:eastAsia="Times New Roman" w:hAnsi="Times New Roman" w:cs="Times New Roman" w:hint="cs"/>
          <w:b/>
          <w:bCs/>
          <w:sz w:val="32"/>
          <w:szCs w:val="32"/>
          <w:rtl/>
        </w:rPr>
        <w:t xml:space="preserve">تحول الرقمي </w:t>
      </w:r>
    </w:p>
    <w:p w14:paraId="498C5631" w14:textId="26800C96" w:rsidR="00745B06" w:rsidRPr="00ED1F7B" w:rsidRDefault="00256FA3" w:rsidP="003B3BAB">
      <w:pPr>
        <w:spacing w:after="463" w:line="276" w:lineRule="auto"/>
        <w:ind w:left="55" w:hanging="10"/>
        <w:jc w:val="left"/>
        <w:rPr>
          <w:rFonts w:ascii="Times New Roman" w:hAnsi="Times New Roman" w:cs="Times New Roman"/>
          <w:sz w:val="24"/>
          <w:szCs w:val="24"/>
        </w:rPr>
      </w:pPr>
      <w:r w:rsidRPr="00ED1F7B">
        <w:rPr>
          <w:rFonts w:ascii="Times New Roman" w:eastAsia="Arial" w:hAnsi="Times New Roman" w:cs="Times New Roman"/>
          <w:sz w:val="24"/>
          <w:szCs w:val="24"/>
        </w:rPr>
        <w:t xml:space="preserve"> </w:t>
      </w:r>
    </w:p>
    <w:p w14:paraId="770CA5A0" w14:textId="1D395F6A" w:rsidR="00745B06" w:rsidRPr="00ED1F7B" w:rsidRDefault="00256FA3" w:rsidP="003B3BAB">
      <w:pPr>
        <w:pStyle w:val="3"/>
        <w:spacing w:after="465"/>
        <w:ind w:left="55" w:right="0"/>
        <w:rPr>
          <w:szCs w:val="28"/>
        </w:rPr>
      </w:pPr>
      <w:r w:rsidRPr="00ED1F7B">
        <w:rPr>
          <w:bCs/>
          <w:szCs w:val="28"/>
          <w:rtl/>
        </w:rPr>
        <w:t xml:space="preserve">الفصل الثالث: </w:t>
      </w:r>
      <w:r w:rsidR="008A16E2">
        <w:rPr>
          <w:rFonts w:hint="cs"/>
          <w:bCs/>
          <w:szCs w:val="28"/>
          <w:rtl/>
        </w:rPr>
        <w:t>الأثار</w:t>
      </w:r>
      <w:r w:rsidR="003B3BAB">
        <w:rPr>
          <w:rFonts w:hint="cs"/>
          <w:bCs/>
          <w:szCs w:val="28"/>
          <w:rtl/>
        </w:rPr>
        <w:t xml:space="preserve"> </w:t>
      </w:r>
      <w:r w:rsidR="008A16E2">
        <w:rPr>
          <w:rFonts w:hint="cs"/>
          <w:bCs/>
          <w:szCs w:val="28"/>
          <w:rtl/>
        </w:rPr>
        <w:t>المترتب</w:t>
      </w:r>
      <w:r w:rsidR="008A16E2">
        <w:rPr>
          <w:rFonts w:hint="eastAsia"/>
          <w:bCs/>
          <w:szCs w:val="28"/>
          <w:rtl/>
        </w:rPr>
        <w:t>ة</w:t>
      </w:r>
      <w:r w:rsidR="003B3BAB">
        <w:rPr>
          <w:rFonts w:hint="cs"/>
          <w:bCs/>
          <w:szCs w:val="28"/>
          <w:rtl/>
        </w:rPr>
        <w:t xml:space="preserve"> في تنظيم التحول الرقمي </w:t>
      </w:r>
    </w:p>
    <w:p w14:paraId="495A95B5" w14:textId="77777777" w:rsidR="00745B06" w:rsidRPr="00ED1F7B" w:rsidRDefault="00256FA3">
      <w:pPr>
        <w:pStyle w:val="3"/>
        <w:spacing w:after="466"/>
        <w:ind w:left="55" w:right="0"/>
        <w:rPr>
          <w:szCs w:val="28"/>
        </w:rPr>
      </w:pPr>
      <w:r w:rsidRPr="00ED1F7B">
        <w:rPr>
          <w:bCs/>
          <w:szCs w:val="28"/>
          <w:rtl/>
        </w:rPr>
        <w:t xml:space="preserve">الفصل الرابع: المقارنة بين التجارب واستخلاص الدروس </w:t>
      </w:r>
    </w:p>
    <w:p w14:paraId="5C68FC5E" w14:textId="0E1D4145" w:rsidR="00745B06" w:rsidRPr="00ED1F7B" w:rsidRDefault="00256FA3" w:rsidP="006C71BB">
      <w:pPr>
        <w:spacing w:after="471"/>
        <w:ind w:left="565" w:right="1795" w:hanging="10"/>
        <w:jc w:val="left"/>
        <w:rPr>
          <w:rFonts w:ascii="Times New Roman" w:hAnsi="Times New Roman" w:cs="Times New Roman"/>
          <w:sz w:val="24"/>
          <w:szCs w:val="24"/>
        </w:rPr>
      </w:pPr>
      <w:r w:rsidRPr="00ED1F7B">
        <w:rPr>
          <w:rFonts w:ascii="Times New Roman" w:eastAsia="Times New Roman" w:hAnsi="Times New Roman" w:cs="Times New Roman"/>
          <w:sz w:val="24"/>
          <w:szCs w:val="24"/>
          <w:rtl/>
        </w:rPr>
        <w:t xml:space="preserve"> </w:t>
      </w:r>
    </w:p>
    <w:p w14:paraId="42A67EE9" w14:textId="77777777" w:rsidR="00745B06" w:rsidRDefault="00256FA3">
      <w:pPr>
        <w:spacing w:after="304" w:line="265" w:lineRule="auto"/>
        <w:ind w:left="427" w:hanging="10"/>
        <w:jc w:val="left"/>
      </w:pPr>
      <w:r>
        <w:rPr>
          <w:rFonts w:ascii="Times New Roman" w:eastAsia="Times New Roman" w:hAnsi="Times New Roman" w:cs="Times New Roman"/>
          <w:b/>
          <w:bCs/>
          <w:sz w:val="28"/>
          <w:szCs w:val="28"/>
          <w:rtl/>
        </w:rPr>
        <w:t xml:space="preserve">الخاتمة </w:t>
      </w:r>
    </w:p>
    <w:p w14:paraId="085F858B" w14:textId="77777777" w:rsidR="00745B06" w:rsidRPr="003B3BAB" w:rsidRDefault="00256FA3" w:rsidP="003B3BAB">
      <w:pPr>
        <w:numPr>
          <w:ilvl w:val="0"/>
          <w:numId w:val="5"/>
        </w:numPr>
        <w:spacing w:after="25" w:line="265" w:lineRule="auto"/>
        <w:ind w:left="572" w:right="1886" w:hanging="363"/>
        <w:jc w:val="left"/>
        <w:rPr>
          <w:sz w:val="28"/>
          <w:szCs w:val="28"/>
        </w:rPr>
      </w:pPr>
      <w:r w:rsidRPr="00ED1F7B">
        <w:rPr>
          <w:rFonts w:ascii="Times New Roman" w:eastAsia="Times New Roman" w:hAnsi="Times New Roman" w:cs="Times New Roman"/>
          <w:sz w:val="24"/>
          <w:szCs w:val="24"/>
          <w:rtl/>
        </w:rPr>
        <w:t>أ</w:t>
      </w:r>
      <w:r w:rsidRPr="003B3BAB">
        <w:rPr>
          <w:rFonts w:ascii="Times New Roman" w:eastAsia="Times New Roman" w:hAnsi="Times New Roman" w:cs="Times New Roman"/>
          <w:sz w:val="28"/>
          <w:szCs w:val="28"/>
          <w:rtl/>
        </w:rPr>
        <w:t>ولا</w:t>
      </w:r>
      <w:r w:rsidRPr="00ED1F7B">
        <w:rPr>
          <w:rFonts w:ascii="Times New Roman" w:eastAsia="Times New Roman" w:hAnsi="Times New Roman" w:cs="Times New Roman"/>
          <w:sz w:val="24"/>
          <w:szCs w:val="24"/>
          <w:rtl/>
        </w:rPr>
        <w:t xml:space="preserve">ً: </w:t>
      </w:r>
      <w:r w:rsidRPr="003B3BAB">
        <w:rPr>
          <w:rFonts w:ascii="Times New Roman" w:eastAsia="Times New Roman" w:hAnsi="Times New Roman" w:cs="Times New Roman"/>
          <w:sz w:val="28"/>
          <w:szCs w:val="28"/>
          <w:rtl/>
        </w:rPr>
        <w:t xml:space="preserve">النتائج الرئيسة </w:t>
      </w:r>
    </w:p>
    <w:p w14:paraId="5392D141" w14:textId="77777777" w:rsidR="00745B06" w:rsidRPr="003B3BAB" w:rsidRDefault="00256FA3" w:rsidP="003B3BAB">
      <w:pPr>
        <w:numPr>
          <w:ilvl w:val="0"/>
          <w:numId w:val="5"/>
        </w:numPr>
        <w:spacing w:after="365" w:line="261" w:lineRule="auto"/>
        <w:ind w:left="572" w:right="1886" w:hanging="363"/>
        <w:jc w:val="left"/>
        <w:rPr>
          <w:sz w:val="28"/>
          <w:szCs w:val="28"/>
        </w:rPr>
      </w:pPr>
      <w:r w:rsidRPr="003B3BAB">
        <w:rPr>
          <w:rFonts w:ascii="Times New Roman" w:eastAsia="Times New Roman" w:hAnsi="Times New Roman" w:cs="Times New Roman"/>
          <w:sz w:val="28"/>
          <w:szCs w:val="28"/>
          <w:rtl/>
        </w:rPr>
        <w:t xml:space="preserve">ثانياً: التوصيات العملية لتطوير إجراءات التقاضي الرقمية في السعودية </w:t>
      </w:r>
    </w:p>
    <w:p w14:paraId="416C2575" w14:textId="659846B9" w:rsidR="00ED1F7B" w:rsidRPr="00B91C6C" w:rsidRDefault="00256FA3" w:rsidP="00B91C6C">
      <w:pPr>
        <w:bidi w:val="0"/>
        <w:spacing w:after="0"/>
        <w:ind w:right="59"/>
        <w:rPr>
          <w:rtl/>
        </w:rPr>
      </w:pPr>
      <w:r>
        <w:rPr>
          <w:rFonts w:ascii="Arial" w:eastAsia="Arial" w:hAnsi="Arial" w:cs="Arial"/>
          <w:sz w:val="21"/>
        </w:rPr>
        <w:t xml:space="preserve"> </w:t>
      </w:r>
      <w:r>
        <w:rPr>
          <w:rFonts w:ascii="Arial" w:eastAsia="Arial" w:hAnsi="Arial" w:cs="Arial"/>
          <w:sz w:val="21"/>
        </w:rPr>
        <w:tab/>
        <w:t xml:space="preserve"> </w:t>
      </w:r>
    </w:p>
    <w:p w14:paraId="3E087F99" w14:textId="26486063" w:rsidR="00AD6692" w:rsidRPr="00AD6692" w:rsidRDefault="00AD6692" w:rsidP="00AD6692">
      <w:pPr>
        <w:pStyle w:val="2"/>
        <w:spacing w:after="360" w:line="260" w:lineRule="auto"/>
        <w:ind w:left="58"/>
        <w:rPr>
          <w:b w:val="0"/>
          <w:bCs/>
          <w:color w:val="auto"/>
          <w:sz w:val="36"/>
          <w:szCs w:val="36"/>
          <w:rtl/>
        </w:rPr>
      </w:pPr>
      <w:r w:rsidRPr="00AD6692">
        <w:rPr>
          <w:b w:val="0"/>
          <w:bCs/>
          <w:sz w:val="36"/>
          <w:szCs w:val="36"/>
          <w:rtl/>
        </w:rPr>
        <w:lastRenderedPageBreak/>
        <w:t>الفصل الأول: المرتكزات التشريعية والتنظيمية للتحول الرقمي</w:t>
      </w:r>
      <w:r w:rsidRPr="00AD6692">
        <w:rPr>
          <w:b w:val="0"/>
          <w:bCs/>
          <w:color w:val="auto"/>
          <w:sz w:val="36"/>
          <w:szCs w:val="36"/>
          <w:rtl/>
        </w:rPr>
        <w:t xml:space="preserve"> </w:t>
      </w:r>
    </w:p>
    <w:p w14:paraId="45FA9C98" w14:textId="72C6571A" w:rsidR="0099375D" w:rsidRPr="002A3CBD" w:rsidRDefault="0099375D" w:rsidP="00AD6692">
      <w:pPr>
        <w:pStyle w:val="2"/>
        <w:spacing w:after="360" w:line="260" w:lineRule="auto"/>
        <w:ind w:left="58"/>
        <w:rPr>
          <w:b w:val="0"/>
          <w:bCs/>
          <w:color w:val="auto"/>
          <w:szCs w:val="28"/>
          <w:rtl/>
        </w:rPr>
      </w:pPr>
      <w:r w:rsidRPr="0099375D">
        <w:rPr>
          <w:b w:val="0"/>
          <w:bCs/>
          <w:color w:val="auto"/>
          <w:szCs w:val="28"/>
          <w:rtl/>
        </w:rPr>
        <w:t>تمهيد</w:t>
      </w:r>
    </w:p>
    <w:p w14:paraId="3A56480A"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شهد مرفق القضاء تحولًا نوعيًا بفعل الثورة الرقمية، حيث لم يعد التقاضي مقتصرًا على الإجراءات التقليدية، بل أصبح يعتمد على الوسائل التقنية الحديثة في مختلف مراحله. وقد فرض هذا التحول ضرورة إيجاد إطار تشريعي متكامل ينظم استخدام التكنولوجيا في القضاء، ويضمن في الوقت ذاته تحقيق العدالة وصيانة الحقوق.</w:t>
      </w:r>
    </w:p>
    <w:p w14:paraId="473E69FA" w14:textId="07C6341A" w:rsidR="0099375D" w:rsidRPr="0099375D" w:rsidRDefault="0099375D" w:rsidP="00F3685A">
      <w:pPr>
        <w:pStyle w:val="2"/>
        <w:spacing w:after="360" w:line="360" w:lineRule="auto"/>
        <w:ind w:left="0" w:firstLine="0"/>
        <w:rPr>
          <w:color w:val="auto"/>
          <w:sz w:val="24"/>
          <w:szCs w:val="24"/>
          <w:rtl/>
        </w:rPr>
      </w:pPr>
      <w:r w:rsidRPr="0099375D">
        <w:rPr>
          <w:color w:val="auto"/>
          <w:sz w:val="24"/>
          <w:szCs w:val="24"/>
          <w:rtl/>
        </w:rPr>
        <w:t>وتتمثل الإشكالية الرئيسة في هذا السياق في:</w:t>
      </w:r>
    </w:p>
    <w:p w14:paraId="4074774F"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مدى كفاية التشريعات القائمة لمواكبة التحول الرقمي القضائي، وقدرتها على تحقيق التوازن بين الكفاءة الإجرائية وضمانات المحاكمة العادلة.</w:t>
      </w:r>
    </w:p>
    <w:p w14:paraId="7EB8BCCB" w14:textId="10F13CD3" w:rsidR="000B5528" w:rsidRDefault="0099375D" w:rsidP="00F3685A">
      <w:pPr>
        <w:pStyle w:val="2"/>
        <w:spacing w:after="360" w:line="360" w:lineRule="auto"/>
        <w:ind w:left="0" w:right="0" w:firstLine="0"/>
        <w:rPr>
          <w:color w:val="auto"/>
          <w:sz w:val="24"/>
          <w:szCs w:val="24"/>
          <w:rtl/>
        </w:rPr>
      </w:pPr>
      <w:r w:rsidRPr="0099375D">
        <w:rPr>
          <w:color w:val="auto"/>
          <w:sz w:val="24"/>
          <w:szCs w:val="24"/>
          <w:rtl/>
        </w:rPr>
        <w:t>وعليه، يقوم هذا المبحث على تحليل المرتكزات التشريعية التي يقوم عليها التحول الرقمي القضائي، من خلال مطالب تفصيلية.</w:t>
      </w:r>
    </w:p>
    <w:p w14:paraId="22E45822" w14:textId="77777777" w:rsidR="00AD6692" w:rsidRDefault="00433314" w:rsidP="00B1474E">
      <w:pPr>
        <w:pStyle w:val="1"/>
        <w:spacing w:line="360" w:lineRule="auto"/>
        <w:ind w:left="0"/>
        <w:jc w:val="left"/>
        <w:rPr>
          <w:rFonts w:ascii="Times New Roman" w:eastAsia="Times New Roman" w:hAnsi="Times New Roman" w:cs="Times New Roman"/>
          <w:b/>
          <w:bCs/>
          <w:color w:val="auto"/>
          <w:kern w:val="36"/>
          <w:sz w:val="28"/>
          <w:szCs w:val="28"/>
          <w:rtl/>
        </w:rPr>
      </w:pPr>
      <w:r w:rsidRPr="00AD6692">
        <w:rPr>
          <w:rStyle w:val="a8"/>
          <w:rFonts w:ascii="Times New Roman" w:eastAsia="Times New Roman" w:hAnsi="Times New Roman" w:cs="Times New Roman"/>
          <w:b/>
          <w:bCs/>
          <w:color w:val="FFFFFF" w:themeColor="background1"/>
          <w:sz w:val="32"/>
          <w:szCs w:val="32"/>
          <w:rtl/>
        </w:rPr>
        <w:footnoteReference w:id="2"/>
      </w:r>
      <w:r w:rsidR="00AD6692" w:rsidRPr="00AD6692">
        <w:rPr>
          <w:rFonts w:ascii="Times New Roman" w:hAnsi="Times New Roman" w:cs="Times New Roman"/>
          <w:b/>
          <w:bCs/>
          <w:sz w:val="32"/>
          <w:szCs w:val="32"/>
          <w:rtl/>
        </w:rPr>
        <w:t xml:space="preserve"> المبحث الأول: الإطار التشريعي للتحول الرقمي</w:t>
      </w:r>
    </w:p>
    <w:p w14:paraId="0D0F57A7" w14:textId="6C2B86BA" w:rsidR="00AD6692" w:rsidRPr="00BB518F" w:rsidRDefault="00AD6692" w:rsidP="00BB518F">
      <w:pPr>
        <w:pStyle w:val="1"/>
        <w:spacing w:line="360" w:lineRule="auto"/>
        <w:ind w:left="0"/>
        <w:jc w:val="left"/>
        <w:rPr>
          <w:rFonts w:ascii="Times New Roman" w:eastAsia="Times New Roman" w:hAnsi="Times New Roman" w:cs="Times New Roman"/>
          <w:color w:val="auto"/>
          <w:kern w:val="36"/>
          <w:sz w:val="24"/>
          <w:szCs w:val="24"/>
          <w:rtl/>
        </w:rPr>
      </w:pPr>
      <w:r w:rsidRPr="00BB518F">
        <w:rPr>
          <w:rFonts w:ascii="Times New Roman" w:hAnsi="Times New Roman" w:cs="Times New Roman"/>
          <w:sz w:val="24"/>
          <w:szCs w:val="24"/>
          <w:rtl/>
        </w:rPr>
        <w:t xml:space="preserve">يقصد بالإطار </w:t>
      </w:r>
      <w:r w:rsidR="00575E84" w:rsidRPr="00BB518F">
        <w:rPr>
          <w:rFonts w:ascii="Times New Roman" w:hAnsi="Times New Roman" w:cs="Times New Roman" w:hint="cs"/>
          <w:sz w:val="24"/>
          <w:szCs w:val="24"/>
          <w:rtl/>
        </w:rPr>
        <w:t>التشريعي</w:t>
      </w:r>
      <w:r w:rsidR="00575E84" w:rsidRPr="00575E84">
        <w:rPr>
          <w:rFonts w:ascii="Times New Roman" w:hAnsi="Times New Roman" w:cs="Times New Roman" w:hint="cs"/>
          <w:sz w:val="24"/>
          <w:szCs w:val="24"/>
          <w:vertAlign w:val="superscript"/>
          <w:rtl/>
        </w:rPr>
        <w:t xml:space="preserve"> </w:t>
      </w:r>
      <w:r w:rsidR="00575E84" w:rsidRPr="00575E84">
        <w:rPr>
          <w:rFonts w:ascii="Times New Roman" w:hAnsi="Times New Roman" w:cs="Times New Roman"/>
          <w:sz w:val="24"/>
          <w:szCs w:val="24"/>
          <w:vertAlign w:val="superscript"/>
          <w:rtl/>
        </w:rPr>
        <w:t>(</w:t>
      </w:r>
      <w:r w:rsidR="00575E84" w:rsidRPr="00575E84">
        <w:rPr>
          <w:rFonts w:ascii="Times New Roman" w:hAnsi="Times New Roman" w:cs="Times New Roman" w:hint="cs"/>
          <w:sz w:val="24"/>
          <w:szCs w:val="24"/>
          <w:vertAlign w:val="superscript"/>
          <w:rtl/>
        </w:rPr>
        <w:t>1)</w:t>
      </w:r>
      <w:r w:rsidRPr="00BB518F">
        <w:rPr>
          <w:rFonts w:ascii="Times New Roman" w:hAnsi="Times New Roman" w:cs="Times New Roman"/>
          <w:sz w:val="24"/>
          <w:szCs w:val="24"/>
          <w:rtl/>
        </w:rPr>
        <w:t xml:space="preserve"> مجموعة القواعد القانونية التي تمنح التعاملات والإجراءات القضائية المنجزة إلكترونيًا أثرها القانوني، وتنظم كيفية مباشرتها، وتحدد حجية الأدلة الناتجة عنها. ولذلك يقوم هذا المبحث على ثلاثة مرتكزات متتابعة</w:t>
      </w:r>
      <w:r w:rsidRPr="00BB518F">
        <w:rPr>
          <w:rFonts w:ascii="Times New Roman" w:hAnsi="Times New Roman" w:cs="Times New Roman"/>
          <w:sz w:val="24"/>
          <w:szCs w:val="24"/>
        </w:rPr>
        <w:t xml:space="preserve">: </w:t>
      </w:r>
      <w:r w:rsidR="00BB518F" w:rsidRPr="00BB518F">
        <w:rPr>
          <w:rStyle w:val="a3"/>
          <w:rFonts w:ascii="Times New Roman" w:hAnsi="Times New Roman" w:cs="Times New Roman"/>
          <w:sz w:val="24"/>
          <w:szCs w:val="24"/>
          <w:rtl/>
        </w:rPr>
        <w:t xml:space="preserve">أولًا </w:t>
      </w:r>
      <w:r w:rsidRPr="00BB518F">
        <w:rPr>
          <w:rStyle w:val="a3"/>
          <w:rFonts w:ascii="Times New Roman" w:hAnsi="Times New Roman" w:cs="Times New Roman"/>
          <w:sz w:val="24"/>
          <w:szCs w:val="24"/>
          <w:rtl/>
        </w:rPr>
        <w:t xml:space="preserve">الاعتراف </w:t>
      </w:r>
      <w:r w:rsidR="00BB518F" w:rsidRPr="00BB518F">
        <w:rPr>
          <w:rStyle w:val="a3"/>
          <w:rFonts w:ascii="Times New Roman" w:hAnsi="Times New Roman" w:cs="Times New Roman" w:hint="cs"/>
          <w:sz w:val="24"/>
          <w:szCs w:val="24"/>
          <w:rtl/>
        </w:rPr>
        <w:t>القانوني،</w:t>
      </w:r>
      <w:r w:rsidRPr="00BB518F">
        <w:rPr>
          <w:rStyle w:val="a3"/>
          <w:rFonts w:ascii="Times New Roman" w:hAnsi="Times New Roman" w:cs="Times New Roman"/>
          <w:sz w:val="24"/>
          <w:szCs w:val="24"/>
          <w:rtl/>
        </w:rPr>
        <w:t xml:space="preserve"> </w:t>
      </w:r>
      <w:r w:rsidR="00BB518F" w:rsidRPr="00BB518F">
        <w:rPr>
          <w:rStyle w:val="a3"/>
          <w:rFonts w:ascii="Times New Roman" w:hAnsi="Times New Roman" w:cs="Times New Roman"/>
          <w:sz w:val="24"/>
          <w:szCs w:val="24"/>
          <w:rtl/>
        </w:rPr>
        <w:t xml:space="preserve">ثانيًا </w:t>
      </w:r>
      <w:r w:rsidRPr="00BB518F">
        <w:rPr>
          <w:rStyle w:val="a3"/>
          <w:rFonts w:ascii="Times New Roman" w:hAnsi="Times New Roman" w:cs="Times New Roman"/>
          <w:sz w:val="24"/>
          <w:szCs w:val="24"/>
          <w:rtl/>
        </w:rPr>
        <w:t xml:space="preserve">تنظيم الإجراء </w:t>
      </w:r>
      <w:r w:rsidR="00BB518F" w:rsidRPr="00BB518F">
        <w:rPr>
          <w:rStyle w:val="a3"/>
          <w:rFonts w:ascii="Times New Roman" w:hAnsi="Times New Roman" w:cs="Times New Roman" w:hint="cs"/>
          <w:sz w:val="24"/>
          <w:szCs w:val="24"/>
          <w:rtl/>
        </w:rPr>
        <w:t>القضائي،</w:t>
      </w:r>
      <w:r w:rsidRPr="00BB518F">
        <w:rPr>
          <w:rStyle w:val="a3"/>
          <w:rFonts w:ascii="Times New Roman" w:hAnsi="Times New Roman" w:cs="Times New Roman"/>
          <w:sz w:val="24"/>
          <w:szCs w:val="24"/>
          <w:rtl/>
        </w:rPr>
        <w:t xml:space="preserve"> </w:t>
      </w:r>
      <w:r w:rsidR="00BB518F" w:rsidRPr="00BB518F">
        <w:rPr>
          <w:rStyle w:val="a3"/>
          <w:rFonts w:ascii="Times New Roman" w:hAnsi="Times New Roman" w:cs="Times New Roman"/>
          <w:sz w:val="24"/>
          <w:szCs w:val="24"/>
          <w:rtl/>
        </w:rPr>
        <w:t xml:space="preserve">ثالثًا </w:t>
      </w:r>
      <w:r w:rsidRPr="00BB518F">
        <w:rPr>
          <w:rStyle w:val="a3"/>
          <w:rFonts w:ascii="Times New Roman" w:hAnsi="Times New Roman" w:cs="Times New Roman"/>
          <w:sz w:val="24"/>
          <w:szCs w:val="24"/>
          <w:rtl/>
        </w:rPr>
        <w:t>تقرير الحجية الإثباتية</w:t>
      </w:r>
      <w:r w:rsidRPr="00BB518F">
        <w:rPr>
          <w:rFonts w:ascii="Times New Roman" w:hAnsi="Times New Roman" w:cs="Times New Roman"/>
          <w:sz w:val="24"/>
          <w:szCs w:val="24"/>
        </w:rPr>
        <w:t>.</w:t>
      </w:r>
    </w:p>
    <w:p w14:paraId="4E6EFD52" w14:textId="77777777" w:rsidR="00AD6692" w:rsidRDefault="00AD6692" w:rsidP="00B1474E">
      <w:pPr>
        <w:pStyle w:val="1"/>
        <w:spacing w:line="360" w:lineRule="auto"/>
        <w:ind w:left="0"/>
        <w:jc w:val="left"/>
        <w:rPr>
          <w:rFonts w:ascii="Times New Roman" w:eastAsia="Times New Roman" w:hAnsi="Times New Roman" w:cs="Times New Roman"/>
          <w:b/>
          <w:bCs/>
          <w:color w:val="auto"/>
          <w:kern w:val="36"/>
          <w:sz w:val="28"/>
          <w:szCs w:val="28"/>
          <w:rtl/>
        </w:rPr>
      </w:pPr>
    </w:p>
    <w:p w14:paraId="7E5A3A6A" w14:textId="17C0F1AF" w:rsidR="002A3CBD" w:rsidRDefault="002A3CBD" w:rsidP="00575E84">
      <w:pPr>
        <w:pStyle w:val="1"/>
        <w:spacing w:line="360" w:lineRule="auto"/>
        <w:ind w:left="0"/>
        <w:jc w:val="left"/>
        <w:rPr>
          <w:rFonts w:ascii="Times New Roman" w:eastAsia="Times New Roman" w:hAnsi="Times New Roman" w:cs="Times New Roman"/>
          <w:b/>
          <w:bCs/>
          <w:color w:val="auto"/>
          <w:kern w:val="36"/>
          <w:sz w:val="28"/>
          <w:szCs w:val="28"/>
          <w:rtl/>
        </w:rPr>
      </w:pPr>
      <w:r w:rsidRPr="00B91C6C">
        <w:rPr>
          <w:rFonts w:ascii="Times New Roman" w:eastAsia="Times New Roman" w:hAnsi="Times New Roman" w:cs="Times New Roman"/>
          <w:b/>
          <w:bCs/>
          <w:color w:val="auto"/>
          <w:kern w:val="36"/>
          <w:sz w:val="28"/>
          <w:szCs w:val="28"/>
          <w:rtl/>
        </w:rPr>
        <w:t xml:space="preserve"> </w:t>
      </w:r>
      <w:r w:rsidR="00575E84" w:rsidRPr="00575E84">
        <w:rPr>
          <w:rFonts w:ascii="Times New Roman" w:hAnsi="Times New Roman" w:cs="Times New Roman"/>
          <w:b/>
          <w:bCs/>
          <w:sz w:val="28"/>
          <w:szCs w:val="28"/>
          <w:rtl/>
        </w:rPr>
        <w:t>المطلب الأول: الاعتراف القانوني بالتعاملات والإجراءات الإلكترونية</w:t>
      </w:r>
    </w:p>
    <w:p w14:paraId="27185593" w14:textId="30F4CDB8" w:rsidR="00444862" w:rsidRPr="00444862" w:rsidRDefault="00444862" w:rsidP="00444862">
      <w:pPr>
        <w:spacing w:before="100" w:beforeAutospacing="1" w:after="100" w:afterAutospacing="1" w:line="360" w:lineRule="auto"/>
        <w:jc w:val="left"/>
        <w:rPr>
          <w:rFonts w:ascii="Times New Roman" w:eastAsia="Times New Roman" w:hAnsi="Times New Roman" w:cs="Times New Roman"/>
          <w:sz w:val="24"/>
          <w:szCs w:val="24"/>
        </w:rPr>
      </w:pPr>
      <w:r w:rsidRPr="00444862">
        <w:rPr>
          <w:rFonts w:ascii="Times New Roman" w:eastAsia="Times New Roman" w:hAnsi="Times New Roman" w:cs="Times New Roman"/>
          <w:sz w:val="24"/>
          <w:szCs w:val="24"/>
          <w:rtl/>
        </w:rPr>
        <w:t xml:space="preserve">يمثل الاعتراف القانوني بالتعاملات والإجراءات الإلكترونية المرتكز الأول الذي يقوم عليه التحول الرقمي القضائي، إذ لا يمكن بناء خصومة رقمية صحيحة ما لم يقرر التشريع أن اتخاذ المحرر أو الإجراء شكلًا إلكترونيًا لا ينال من صحته أو حجيته أو قابليته للإنفاذ. وقد اتجهت الأنظمة المقارنة إلى تبني هذا المبدأ مع اختلافها في الأداة التشريعية ودرجة التفصيل. ففي المملكة العربية السعودية </w:t>
      </w:r>
      <w:r w:rsidR="0046275F" w:rsidRPr="00FF2EBB">
        <w:rPr>
          <w:rFonts w:ascii="Times New Roman" w:eastAsia="Times New Roman" w:hAnsi="Times New Roman" w:cs="Times New Roman" w:hint="cs"/>
          <w:sz w:val="24"/>
          <w:szCs w:val="24"/>
          <w:vertAlign w:val="superscript"/>
          <w:rtl/>
        </w:rPr>
        <w:t>(</w:t>
      </w:r>
      <w:r w:rsidR="00FF2EBB" w:rsidRPr="00FF2EBB">
        <w:rPr>
          <w:rFonts w:ascii="Times New Roman" w:eastAsia="Times New Roman" w:hAnsi="Times New Roman" w:cs="Times New Roman" w:hint="cs"/>
          <w:sz w:val="24"/>
          <w:szCs w:val="24"/>
          <w:vertAlign w:val="superscript"/>
          <w:rtl/>
        </w:rPr>
        <w:t>2)</w:t>
      </w:r>
      <w:r w:rsidR="00FF2EBB" w:rsidRPr="00444862">
        <w:rPr>
          <w:rFonts w:ascii="Times New Roman" w:eastAsia="Times New Roman" w:hAnsi="Times New Roman" w:cs="Times New Roman" w:hint="cs"/>
          <w:sz w:val="24"/>
          <w:szCs w:val="24"/>
          <w:rtl/>
        </w:rPr>
        <w:t xml:space="preserve"> وض</w:t>
      </w:r>
      <w:r w:rsidR="00FF2EBB" w:rsidRPr="00444862">
        <w:rPr>
          <w:rFonts w:ascii="Times New Roman" w:eastAsia="Times New Roman" w:hAnsi="Times New Roman" w:cs="Times New Roman" w:hint="eastAsia"/>
          <w:sz w:val="24"/>
          <w:szCs w:val="24"/>
          <w:rtl/>
        </w:rPr>
        <w:t>ع</w:t>
      </w:r>
      <w:r w:rsidRPr="00444862">
        <w:rPr>
          <w:rFonts w:ascii="Times New Roman" w:eastAsia="Times New Roman" w:hAnsi="Times New Roman" w:cs="Times New Roman"/>
          <w:sz w:val="24"/>
          <w:szCs w:val="24"/>
          <w:rtl/>
        </w:rPr>
        <w:t xml:space="preserve"> نظام التعاملات الإلكترونية الصادر بالمرسوم الملكي رقم (م/18) لسنة 1428هـ الأساس العام للاعتراف بالتعاملات والسجلات والتوقيعات الإلكترونية، وربط حجيتها باستيفاء متطلبات الموثوقية وسلامة السجل وإمكان التحقق من التوقيع. ويعكس هذا التنظيم انتقال المنظم السعودي من ربط الحجية بالشكل الورقي إلى الاعتداد </w:t>
      </w:r>
      <w:r w:rsidRPr="00444862">
        <w:rPr>
          <w:rFonts w:ascii="Times New Roman" w:eastAsia="Times New Roman" w:hAnsi="Times New Roman" w:cs="Times New Roman"/>
          <w:sz w:val="24"/>
          <w:szCs w:val="24"/>
          <w:rtl/>
        </w:rPr>
        <w:lastRenderedPageBreak/>
        <w:t>بالوظيفة التي يؤديها السجل الإلكتروني متى تحققت الضمانات النظامية، وهو ما مهد لاحقًا لإدماج الوسائل الإلكترونية في إجراءات التقاضي والإثبات</w:t>
      </w:r>
      <w:r w:rsidRPr="00444862">
        <w:rPr>
          <w:rFonts w:ascii="Times New Roman" w:eastAsia="Times New Roman" w:hAnsi="Times New Roman" w:cs="Times New Roman"/>
          <w:sz w:val="24"/>
          <w:szCs w:val="24"/>
        </w:rPr>
        <w:t>.</w:t>
      </w:r>
    </w:p>
    <w:p w14:paraId="6B97AE15" w14:textId="25350216" w:rsidR="00444862" w:rsidRPr="00444862" w:rsidRDefault="00444862" w:rsidP="00444862">
      <w:pPr>
        <w:spacing w:before="100" w:beforeAutospacing="1" w:after="100" w:afterAutospacing="1" w:line="360" w:lineRule="auto"/>
        <w:jc w:val="left"/>
        <w:rPr>
          <w:rFonts w:ascii="Times New Roman" w:eastAsia="Times New Roman" w:hAnsi="Times New Roman" w:cs="Times New Roman"/>
          <w:sz w:val="24"/>
          <w:szCs w:val="24"/>
        </w:rPr>
      </w:pPr>
      <w:r w:rsidRPr="00444862">
        <w:rPr>
          <w:rFonts w:ascii="Times New Roman" w:eastAsia="Times New Roman" w:hAnsi="Times New Roman" w:cs="Times New Roman"/>
          <w:sz w:val="24"/>
          <w:szCs w:val="24"/>
          <w:rtl/>
        </w:rPr>
        <w:t>ويتقارب المشرع الإماراتي</w:t>
      </w:r>
      <w:r w:rsidR="00FF2EBB" w:rsidRPr="00FF2EBB">
        <w:rPr>
          <w:rFonts w:ascii="Times New Roman" w:eastAsia="Times New Roman" w:hAnsi="Times New Roman" w:cs="Times New Roman" w:hint="cs"/>
          <w:sz w:val="24"/>
          <w:szCs w:val="24"/>
          <w:vertAlign w:val="superscript"/>
          <w:rtl/>
        </w:rPr>
        <w:t>(</w:t>
      </w:r>
      <w:r w:rsidR="00FF2EBB" w:rsidRPr="00FF2EBB">
        <w:rPr>
          <w:rStyle w:val="a8"/>
          <w:rFonts w:ascii="Times New Roman" w:eastAsia="Times New Roman" w:hAnsi="Times New Roman" w:cs="Times New Roman"/>
          <w:vanish/>
          <w:sz w:val="24"/>
          <w:szCs w:val="24"/>
          <w:vertAlign w:val="baseline"/>
          <w:rtl/>
        </w:rPr>
        <w:footnoteReference w:id="3"/>
      </w:r>
      <w:r w:rsidR="00FF2EBB" w:rsidRPr="00FF2EBB">
        <w:rPr>
          <w:rFonts w:ascii="Times New Roman" w:eastAsia="Times New Roman" w:hAnsi="Times New Roman" w:cs="Times New Roman" w:hint="cs"/>
          <w:sz w:val="24"/>
          <w:szCs w:val="24"/>
          <w:vertAlign w:val="superscript"/>
          <w:rtl/>
        </w:rPr>
        <w:t>1)</w:t>
      </w:r>
      <w:r w:rsidRPr="00444862">
        <w:rPr>
          <w:rFonts w:ascii="Times New Roman" w:eastAsia="Times New Roman" w:hAnsi="Times New Roman" w:cs="Times New Roman"/>
          <w:sz w:val="24"/>
          <w:szCs w:val="24"/>
          <w:rtl/>
        </w:rPr>
        <w:t xml:space="preserve"> مع هذا الاتجاه من حيث أصل الاعتراف، إلا أنه اتجه إلى بناء إطار أكثر تفصيلًا من خلال المرسوم بقانون اتحادي رقم (46) لسنة 2021 بشأن المعاملات الإلكترونية وخدمات الثقة؛ إذ لم يقتصر التنظيم على الاعتراف بالتوقيع الإلكتروني، بل توسع ليشمل التوقيعات الموثوقة والمعتمدة، وخدمات الثقة، وخدمات الثقة المعتمدة، والأختام والطوابع الزمنية وغيرها من الأدوات التي تعزز إمكانية التحقق من هوية المتعامل وسلامة المستند وزمن إنشائه أو إرساله. ويكشف هذا التطور عن انتقال التشريع الإماراتي من مجرد تقرير الحجية إلى بناء منظومة مؤسسية للثقة الرقمية، وهو ما يحقق درجة أعلى من اليقين في المعاملات ذات المخاطر القانونية المرتفعة</w:t>
      </w:r>
      <w:r w:rsidRPr="00444862">
        <w:rPr>
          <w:rFonts w:ascii="Times New Roman" w:eastAsia="Times New Roman" w:hAnsi="Times New Roman" w:cs="Times New Roman"/>
          <w:sz w:val="24"/>
          <w:szCs w:val="24"/>
        </w:rPr>
        <w:t>.</w:t>
      </w:r>
    </w:p>
    <w:p w14:paraId="34FE58FC" w14:textId="66FA23C9" w:rsidR="00444862" w:rsidRPr="00444862" w:rsidRDefault="00444862" w:rsidP="00444862">
      <w:pPr>
        <w:spacing w:before="100" w:beforeAutospacing="1" w:after="100" w:afterAutospacing="1" w:line="360" w:lineRule="auto"/>
        <w:jc w:val="left"/>
        <w:rPr>
          <w:rFonts w:ascii="Times New Roman" w:eastAsia="Times New Roman" w:hAnsi="Times New Roman" w:cs="Times New Roman"/>
          <w:sz w:val="24"/>
          <w:szCs w:val="24"/>
        </w:rPr>
      </w:pPr>
      <w:r w:rsidRPr="00444862">
        <w:rPr>
          <w:rFonts w:ascii="Times New Roman" w:eastAsia="Times New Roman" w:hAnsi="Times New Roman" w:cs="Times New Roman"/>
          <w:sz w:val="24"/>
          <w:szCs w:val="24"/>
          <w:rtl/>
        </w:rPr>
        <w:t xml:space="preserve">أما </w:t>
      </w:r>
      <w:r w:rsidR="00FF2EBB" w:rsidRPr="00444862">
        <w:rPr>
          <w:rFonts w:ascii="Times New Roman" w:eastAsia="Times New Roman" w:hAnsi="Times New Roman" w:cs="Times New Roman" w:hint="cs"/>
          <w:sz w:val="24"/>
          <w:szCs w:val="24"/>
          <w:rtl/>
        </w:rPr>
        <w:t>سنغافورة</w:t>
      </w:r>
      <w:r w:rsidR="00FF2EBB" w:rsidRPr="00FF2EBB">
        <w:rPr>
          <w:rFonts w:ascii="Times New Roman" w:eastAsia="Times New Roman" w:hAnsi="Times New Roman" w:cs="Times New Roman" w:hint="cs"/>
          <w:sz w:val="24"/>
          <w:szCs w:val="24"/>
          <w:vertAlign w:val="superscript"/>
          <w:rtl/>
        </w:rPr>
        <w:t xml:space="preserve"> </w:t>
      </w:r>
      <w:r w:rsidR="00FF2EBB" w:rsidRPr="00FF2EBB">
        <w:rPr>
          <w:rFonts w:ascii="Times New Roman" w:eastAsia="Times New Roman" w:hAnsi="Times New Roman" w:cs="Times New Roman"/>
          <w:sz w:val="24"/>
          <w:szCs w:val="24"/>
          <w:vertAlign w:val="superscript"/>
          <w:rtl/>
        </w:rPr>
        <w:t>(</w:t>
      </w:r>
      <w:r w:rsidR="00FF2EBB" w:rsidRPr="00FF2EBB">
        <w:rPr>
          <w:rFonts w:ascii="Times New Roman" w:eastAsia="Times New Roman" w:hAnsi="Times New Roman" w:cs="Times New Roman" w:hint="cs"/>
          <w:sz w:val="24"/>
          <w:szCs w:val="24"/>
          <w:vertAlign w:val="superscript"/>
          <w:rtl/>
        </w:rPr>
        <w:t>2)</w:t>
      </w:r>
      <w:r w:rsidRPr="00444862">
        <w:rPr>
          <w:rFonts w:ascii="Times New Roman" w:eastAsia="Times New Roman" w:hAnsi="Times New Roman" w:cs="Times New Roman"/>
          <w:sz w:val="24"/>
          <w:szCs w:val="24"/>
          <w:rtl/>
        </w:rPr>
        <w:t>، فقد تبنت في قانون المعاملات الإلكترونية لسنة 2010 منهجًا يقوم بدرجة أكبر على الحياد التقني والتكافؤ الوظيفي؛ إذ قرر القانون عدم حرمان السجل الإلكتروني من أثره القانوني لمجرد شكله، ونظم استيفاء متطلبات الكتابة والتوقيع والاحتفاظ بالسجلات في البيئة الإلكترونية وفق معيار يركز على قدرة الوسيلة المستخدمة على تحديد هوية الشخص وإثبات قصده ومدى موثوقيتها في ظروف المعاملة. كما ميز بين التوقيع الإلكتروني العام والتوقيع الإلكتروني الآمن، ورتب على الأخير قرائن قانونية إضافية، وهو ما سمح بالجمع بين المرونة التقنية ورفع درجة الثقة في الحالات التي تستخدم فيها وسائل أمان أعلى</w:t>
      </w:r>
      <w:r w:rsidRPr="00444862">
        <w:rPr>
          <w:rFonts w:ascii="Times New Roman" w:eastAsia="Times New Roman" w:hAnsi="Times New Roman" w:cs="Times New Roman"/>
          <w:sz w:val="24"/>
          <w:szCs w:val="24"/>
        </w:rPr>
        <w:t>.</w:t>
      </w:r>
    </w:p>
    <w:p w14:paraId="1CA8910B" w14:textId="77777777" w:rsidR="00444862" w:rsidRPr="00444862" w:rsidRDefault="00444862" w:rsidP="00444862">
      <w:pPr>
        <w:spacing w:before="100" w:beforeAutospacing="1" w:after="100" w:afterAutospacing="1" w:line="360" w:lineRule="auto"/>
        <w:jc w:val="left"/>
        <w:rPr>
          <w:rFonts w:ascii="Times New Roman" w:eastAsia="Times New Roman" w:hAnsi="Times New Roman" w:cs="Times New Roman"/>
          <w:sz w:val="24"/>
          <w:szCs w:val="24"/>
        </w:rPr>
      </w:pPr>
      <w:r w:rsidRPr="00444862">
        <w:rPr>
          <w:rFonts w:ascii="Times New Roman" w:eastAsia="Times New Roman" w:hAnsi="Times New Roman" w:cs="Times New Roman"/>
          <w:sz w:val="24"/>
          <w:szCs w:val="24"/>
          <w:rtl/>
        </w:rPr>
        <w:t>وتكشف المقارنة أن الأنظمة الثلاثة تتفق على قاعدة جوهرية واحدة تتمثل في عدم التمييز ضد الشكل الإلكتروني، إلا أن الاختلاف يظهر في كيفية بناء الثقة حول هذا الشكل. فالنظام السعودي يجعل الحجية مرتبطة باستيفاء الشروط النظامية للموثوقية، بينما يتوسع النظام الإماراتي في بناء درجات مؤسسية لخدمات الثقة، في حين يمنح النظام السنغافوري مساحة أوسع للحياد التقني مع استخدام قرائن خاصة للتوقيعات والسجلات الآمنة. ولا يمكن اعتبار أحد هذه النماذج أفضل بصورة مطلقة؛ فالتفصيل الإماراتي يعزز اليقين القانوني لكنه قد يزيد من المتطلبات التنظيمية، بينما تحقق المرونة السنغافورية قابلية أعلى لاستيعاب التقنيات الجديدة مع منح القضاء دورًا أوسع في تقدير الموثوقية، في حين يمثل النموذج السعودي قاعدة متوازنة يمكن تطويرها باتجاه توسيع مفهوم خدمات الثقة وربطه بصورة أوضح بالإجراءات القضائية</w:t>
      </w:r>
      <w:r w:rsidRPr="00444862">
        <w:rPr>
          <w:rFonts w:ascii="Times New Roman" w:eastAsia="Times New Roman" w:hAnsi="Times New Roman" w:cs="Times New Roman"/>
          <w:sz w:val="24"/>
          <w:szCs w:val="24"/>
        </w:rPr>
        <w:t>.</w:t>
      </w:r>
    </w:p>
    <w:p w14:paraId="0A589134" w14:textId="6724D104" w:rsidR="007F4E72" w:rsidRDefault="00444862" w:rsidP="009F7783">
      <w:pPr>
        <w:spacing w:before="100" w:beforeAutospacing="1" w:after="100" w:afterAutospacing="1" w:line="360" w:lineRule="auto"/>
        <w:jc w:val="left"/>
        <w:rPr>
          <w:rFonts w:ascii="Times New Roman" w:eastAsia="Times New Roman" w:hAnsi="Times New Roman" w:cs="Times New Roman"/>
          <w:sz w:val="24"/>
          <w:szCs w:val="24"/>
          <w:rtl/>
        </w:rPr>
      </w:pPr>
      <w:r w:rsidRPr="00444862">
        <w:rPr>
          <w:rFonts w:ascii="Times New Roman" w:eastAsia="Times New Roman" w:hAnsi="Times New Roman" w:cs="Times New Roman"/>
          <w:sz w:val="24"/>
          <w:szCs w:val="24"/>
          <w:rtl/>
        </w:rPr>
        <w:t>ويترتب على الاعتراف التشريعي بالتعاملات الإلكترونية أثر مباشر في البيئة القضائية؛ إذ لم يعد من الممكن رفض المستند أو الطلب أو التوقيع لمجرد كونه إلكترونيًا، وانتقلت المنازعة من الشكل إلى مسائل أدق تتعلق بصحة النسبة وسلامة المحتوى ووقت الإرسال ومدى موثوقية النظام المستخدم. وهذا التحول يمثل جوهر الأمن القانوني في القضاء الرقمي، لأنه يحول الوسيلة الإلكترونية من استثناء يحتاج إلى تبرير إلى وسيلة قانونية أصلية متى تحققت ضماناتها</w:t>
      </w:r>
      <w:r w:rsidRPr="00444862">
        <w:rPr>
          <w:rFonts w:ascii="Times New Roman" w:eastAsia="Times New Roman" w:hAnsi="Times New Roman" w:cs="Times New Roman"/>
          <w:sz w:val="24"/>
          <w:szCs w:val="24"/>
        </w:rPr>
        <w:t>.</w:t>
      </w:r>
    </w:p>
    <w:p w14:paraId="3464F0F2" w14:textId="25A6C822" w:rsidR="00444862" w:rsidRPr="00444862" w:rsidRDefault="00444862" w:rsidP="00444862">
      <w:pPr>
        <w:spacing w:before="100" w:beforeAutospacing="1" w:after="100" w:afterAutospacing="1" w:line="360" w:lineRule="auto"/>
        <w:jc w:val="left"/>
        <w:rPr>
          <w:rFonts w:ascii="Times New Roman" w:eastAsia="Times New Roman" w:hAnsi="Times New Roman" w:cs="Times New Roman"/>
          <w:sz w:val="24"/>
          <w:szCs w:val="24"/>
        </w:rPr>
      </w:pPr>
      <w:r w:rsidRPr="00444862">
        <w:rPr>
          <w:rFonts w:ascii="Times New Roman" w:eastAsia="Times New Roman" w:hAnsi="Times New Roman" w:cs="Times New Roman"/>
          <w:sz w:val="24"/>
          <w:szCs w:val="24"/>
          <w:rtl/>
        </w:rPr>
        <w:lastRenderedPageBreak/>
        <w:t>أن التجربة السعودية تمتلك أساسًا تشريعيًا مناسبًا لهذا التحول، غير أن مقارنتها بالنموذجين الإماراتي والسنغافوري تكشف الحاجة إلى تطوير التنظيم في اتجاهين متكاملين؛ أولهما توسيع مفهوم خدمات الثقة ليشمل أدوات مثل الختم الإلكتروني والطابع الزمني والتسليم الإلكتروني المسجل، وثانيهما المحافظة على الحياد التقني حتى لا يرتبط الاعتراف بتقنية بعينها. ويحقق الجمع بين هذين الاتجاهين توازنًا بين الموثوقية والمرونة، ويعزز استدامة التحول الرقمي القضائي مع استمرار تطور التقنيات</w:t>
      </w:r>
      <w:r w:rsidRPr="00444862">
        <w:rPr>
          <w:rFonts w:ascii="Times New Roman" w:eastAsia="Times New Roman" w:hAnsi="Times New Roman" w:cs="Times New Roman"/>
          <w:sz w:val="24"/>
          <w:szCs w:val="24"/>
        </w:rPr>
        <w:t>.</w:t>
      </w:r>
    </w:p>
    <w:p w14:paraId="0877D6AC" w14:textId="77777777" w:rsidR="007F4E72" w:rsidRPr="007F4E72" w:rsidRDefault="007F4E72" w:rsidP="007F4E72">
      <w:p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7F4E72">
        <w:rPr>
          <w:rFonts w:ascii="Times New Roman" w:eastAsia="Times New Roman" w:hAnsi="Times New Roman" w:cs="Times New Roman"/>
          <w:b/>
          <w:bCs/>
          <w:sz w:val="32"/>
          <w:szCs w:val="32"/>
          <w:rtl/>
        </w:rPr>
        <w:t>المطلب الثاني: تنظيم الإجراءات القضائية الإلكترونية</w:t>
      </w:r>
    </w:p>
    <w:p w14:paraId="78733CE7" w14:textId="583BE0E3"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يمثل تنظيم الإجراءات القضائية الإلكترونية </w:t>
      </w:r>
      <w:r w:rsidR="00C95A4B" w:rsidRPr="00C95A4B">
        <w:rPr>
          <w:rFonts w:ascii="Times New Roman" w:eastAsia="Times New Roman" w:hAnsi="Times New Roman" w:cs="Times New Roman" w:hint="cs"/>
          <w:sz w:val="24"/>
          <w:szCs w:val="24"/>
          <w:vertAlign w:val="superscript"/>
          <w:rtl/>
        </w:rPr>
        <w:t>(</w:t>
      </w:r>
      <w:r w:rsidR="00C95A4B" w:rsidRPr="00C95A4B">
        <w:rPr>
          <w:rStyle w:val="a8"/>
          <w:rFonts w:ascii="Times New Roman" w:eastAsia="Times New Roman" w:hAnsi="Times New Roman" w:cs="Times New Roman"/>
          <w:vanish/>
          <w:sz w:val="24"/>
          <w:szCs w:val="24"/>
          <w:vertAlign w:val="baseline"/>
          <w:rtl/>
        </w:rPr>
        <w:footnoteReference w:id="4"/>
      </w:r>
      <w:r w:rsidR="00C95A4B" w:rsidRPr="00C95A4B">
        <w:rPr>
          <w:rFonts w:ascii="Times New Roman" w:eastAsia="Times New Roman" w:hAnsi="Times New Roman" w:cs="Times New Roman" w:hint="cs"/>
          <w:sz w:val="24"/>
          <w:szCs w:val="24"/>
          <w:vertAlign w:val="superscript"/>
          <w:rtl/>
        </w:rPr>
        <w:t>1)</w:t>
      </w:r>
      <w:r w:rsidR="00C95A4B" w:rsidRPr="007F4E72">
        <w:rPr>
          <w:rFonts w:ascii="Times New Roman" w:eastAsia="Times New Roman" w:hAnsi="Times New Roman" w:cs="Times New Roman" w:hint="cs"/>
          <w:sz w:val="24"/>
          <w:szCs w:val="24"/>
          <w:rtl/>
        </w:rPr>
        <w:t xml:space="preserve"> المرحل</w:t>
      </w:r>
      <w:r w:rsidR="00C95A4B" w:rsidRPr="007F4E72">
        <w:rPr>
          <w:rFonts w:ascii="Times New Roman" w:eastAsia="Times New Roman" w:hAnsi="Times New Roman" w:cs="Times New Roman" w:hint="eastAsia"/>
          <w:sz w:val="24"/>
          <w:szCs w:val="24"/>
          <w:rtl/>
        </w:rPr>
        <w:t>ة</w:t>
      </w:r>
      <w:r w:rsidRPr="007F4E72">
        <w:rPr>
          <w:rFonts w:ascii="Times New Roman" w:eastAsia="Times New Roman" w:hAnsi="Times New Roman" w:cs="Times New Roman"/>
          <w:sz w:val="24"/>
          <w:szCs w:val="24"/>
          <w:rtl/>
        </w:rPr>
        <w:t xml:space="preserve"> التالية للاعتراف القانوني العام بالتعاملات الإلكترونية؛ إذ لا يكفي أن يقر المشرع حجية المحرر أو التوقيع الإلكتروني ما لم تمتد هذه المشروعية إلى الإجراءات التي تتكون منها الخصومة القضائية ذاتها، بدءًا من رفع الدعوى وقيدها، ومرورًا بإعلان الخصوم وتبادل المذكرات والمستندات، وانتهاءً بعقد الجلسات وإصدار القرارات والأحكام ومتابعة تنفيذها. ومن ثم، فإن الانتقال إلى التقاضي الرقمي لا يعني مجرد استبدال الورق بالوسائل التقنية، وإنما يستلزم إعادة صياغة القواعد الإجرائية بما يتلاءم مع طبيعة البيئة الرقمية ويحافظ، في الوقت ذاته، على الضمانات الأساسية للتقاضي، وعلى رأسها حق الدفاع، والمواجهة بين الخصوم، والمساواة الإجرائية، وإمكان إثبات حصول الإجراء وتوقيته ونسبته إلى صاحبه</w:t>
      </w:r>
      <w:r w:rsidRPr="007F4E72">
        <w:rPr>
          <w:rFonts w:ascii="Times New Roman" w:eastAsia="Times New Roman" w:hAnsi="Times New Roman" w:cs="Times New Roman"/>
          <w:sz w:val="24"/>
          <w:szCs w:val="24"/>
        </w:rPr>
        <w:t>.</w:t>
      </w:r>
    </w:p>
    <w:p w14:paraId="77F46180" w14:textId="6373107F"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وقد انتقلت الأنظمة محل المقارنة بدرجات متفاوتة من الاعتراف العام بالتعامل الإلكتروني إلى إدماجه في البنية الإجرائية للقضاء. ففي المملكة العربية السعودية</w:t>
      </w:r>
      <w:r w:rsidR="0068500B">
        <w:rPr>
          <w:rFonts w:ascii="Times New Roman" w:eastAsia="Times New Roman" w:hAnsi="Times New Roman" w:cs="Times New Roman" w:hint="cs"/>
          <w:sz w:val="24"/>
          <w:szCs w:val="24"/>
          <w:rtl/>
        </w:rPr>
        <w:t xml:space="preserve"> </w:t>
      </w:r>
      <w:r w:rsidR="0068500B" w:rsidRPr="0068500B">
        <w:rPr>
          <w:rFonts w:ascii="Times New Roman" w:eastAsia="Times New Roman" w:hAnsi="Times New Roman" w:cs="Times New Roman" w:hint="cs"/>
          <w:sz w:val="24"/>
          <w:szCs w:val="24"/>
          <w:vertAlign w:val="superscript"/>
          <w:rtl/>
        </w:rPr>
        <w:t>(2)</w:t>
      </w:r>
      <w:r w:rsidRPr="007F4E72">
        <w:rPr>
          <w:rFonts w:ascii="Times New Roman" w:eastAsia="Times New Roman" w:hAnsi="Times New Roman" w:cs="Times New Roman"/>
          <w:sz w:val="24"/>
          <w:szCs w:val="24"/>
          <w:rtl/>
        </w:rPr>
        <w:t xml:space="preserve"> وفر نظام التعاملات الإلكترونية الأساس العام لقبول السجلات والتوقيعات الإلكترونية، ثم تداخل هذا الأساس مع نظام المرافعات الشرعية واللوائح والتنظيمات العدلية التي أتاحت التوسع في تقديم الخدمات القضائية إلكترونيًا. وقد أدى ذلك إلى تحول ملموس في إدارة الدعوى، إذ أصبح جزء كبير من الاتصال بين المتقاضي والجهة القضائية يتم عبر الوسائل الرقمية، وهو ما يعكس انتقال البيئة العدلية من مجرد استخدام التقنية في الخدمات المساندة إلى جعلها جزءًا من المسار الإجرائي للدعوى. ويختلف هذا المسار عن النموذج الإماراتي الذي أدرج استخدام وسائل الاتصال الحديثة بصورة أكثر صراحة في التشريع الإجرائي ذاته؛ إذ أفرد المرسوم</w:t>
      </w:r>
      <w:r w:rsidR="0068500B" w:rsidRPr="0068500B">
        <w:rPr>
          <w:rFonts w:ascii="Times New Roman" w:eastAsia="Times New Roman" w:hAnsi="Times New Roman" w:cs="Times New Roman" w:hint="cs"/>
          <w:sz w:val="24"/>
          <w:szCs w:val="24"/>
          <w:vertAlign w:val="superscript"/>
          <w:rtl/>
        </w:rPr>
        <w:t>(3)</w:t>
      </w:r>
      <w:r w:rsidRPr="007F4E72">
        <w:rPr>
          <w:rFonts w:ascii="Times New Roman" w:eastAsia="Times New Roman" w:hAnsi="Times New Roman" w:cs="Times New Roman"/>
          <w:sz w:val="24"/>
          <w:szCs w:val="24"/>
          <w:rtl/>
        </w:rPr>
        <w:t xml:space="preserve"> بقانون اتحادي رقم (42) لسنة 2022 بشأن الإجراءات المدنية أحكامًا لاستخدام تقنيات الاتصال عن بعد في الإجراءات المدنية، كما أجاز قانون السلطة القضائية الاتحادية للمحاكم عقد جلساتها عن بعد باستخدام وسائل الاتصال التقنية الحديثة</w:t>
      </w:r>
      <w:r w:rsidRPr="007F4E72">
        <w:rPr>
          <w:rFonts w:ascii="Times New Roman" w:eastAsia="Times New Roman" w:hAnsi="Times New Roman" w:cs="Times New Roman"/>
          <w:sz w:val="24"/>
          <w:szCs w:val="24"/>
        </w:rPr>
        <w:t>.</w:t>
      </w:r>
    </w:p>
    <w:p w14:paraId="2BEC956F"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6794F639" w14:textId="2BB352F3"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54D67CE" w14:textId="2BC60AB1"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lastRenderedPageBreak/>
        <w:t xml:space="preserve">وتكشف هذه المقارنة عن فارق في </w:t>
      </w:r>
      <w:r w:rsidRPr="007F4E72">
        <w:rPr>
          <w:rFonts w:ascii="Times New Roman" w:eastAsia="Times New Roman" w:hAnsi="Times New Roman" w:cs="Times New Roman"/>
          <w:b/>
          <w:bCs/>
          <w:sz w:val="24"/>
          <w:szCs w:val="24"/>
          <w:rtl/>
        </w:rPr>
        <w:t>موضع التنظيم</w:t>
      </w:r>
      <w:r w:rsidRPr="007F4E72">
        <w:rPr>
          <w:rFonts w:ascii="Times New Roman" w:eastAsia="Times New Roman" w:hAnsi="Times New Roman" w:cs="Times New Roman"/>
          <w:sz w:val="24"/>
          <w:szCs w:val="24"/>
          <w:rtl/>
        </w:rPr>
        <w:t xml:space="preserve"> أكثر من وجود اختلاف في أصل الاعتراف؛ فالسعودية بنت جزءًا كبيرًا من التحول الإجرائي من خلال تكامل النظام العام واللوائح والمنصات العدلية، في حين جعل المشرع الإماراتي عددًا من صور التقاضي عن بعد جزءًا ظاهرًا من بنية قانون الإجراءات المدنية. ويحقق النهج الإماراتي ميزة تتمثل في وضوح المصدر التشريعي للإجراء الإلكتروني أمام القاضي والمتقاضي، بينما يمنح النموذج السعودي الإدارة العدلية مساحة أكبر لتطوير الخدمات الرقمية وفق المستجدات العملية من دون الحاجة إلى تعديل النظام في كل مرة. غير أن هذه المرونة تستدعي المحافظة على وضوح الحدود بين ما يعد تنظيمًا تشغيليًا وما يمس ضمانة إجرائية لا يجوز تقريرها إلا بنص أو قاعدة نظامية واضحة</w:t>
      </w:r>
      <w:r w:rsidRPr="007F4E72">
        <w:rPr>
          <w:rFonts w:ascii="Times New Roman" w:eastAsia="Times New Roman" w:hAnsi="Times New Roman" w:cs="Times New Roman"/>
          <w:sz w:val="24"/>
          <w:szCs w:val="24"/>
        </w:rPr>
        <w:t>.</w:t>
      </w:r>
    </w:p>
    <w:p w14:paraId="359430DD" w14:textId="0699CDA5"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أما سنغافورة </w:t>
      </w:r>
      <w:r w:rsidR="00A3513C" w:rsidRPr="00A3513C">
        <w:rPr>
          <w:rFonts w:ascii="Times New Roman" w:eastAsia="Times New Roman" w:hAnsi="Times New Roman" w:cs="Times New Roman" w:hint="cs"/>
          <w:sz w:val="24"/>
          <w:szCs w:val="24"/>
          <w:vertAlign w:val="superscript"/>
          <w:rtl/>
        </w:rPr>
        <w:t>(1</w:t>
      </w:r>
      <w:r w:rsidR="00A3513C" w:rsidRPr="00A3513C">
        <w:rPr>
          <w:rStyle w:val="a8"/>
          <w:rFonts w:ascii="Times New Roman" w:eastAsia="Times New Roman" w:hAnsi="Times New Roman" w:cs="Times New Roman"/>
          <w:vanish/>
          <w:sz w:val="24"/>
          <w:szCs w:val="24"/>
          <w:vertAlign w:val="baseline"/>
          <w:rtl/>
        </w:rPr>
        <w:footnoteReference w:id="5"/>
      </w:r>
      <w:r w:rsidR="00A3513C" w:rsidRPr="00A3513C">
        <w:rPr>
          <w:rFonts w:ascii="Times New Roman" w:eastAsia="Times New Roman" w:hAnsi="Times New Roman" w:cs="Times New Roman" w:hint="cs"/>
          <w:sz w:val="24"/>
          <w:szCs w:val="24"/>
          <w:vertAlign w:val="superscript"/>
          <w:rtl/>
        </w:rPr>
        <w:t>)</w:t>
      </w:r>
      <w:r w:rsidRPr="007F4E72">
        <w:rPr>
          <w:rFonts w:ascii="Times New Roman" w:eastAsia="Times New Roman" w:hAnsi="Times New Roman" w:cs="Times New Roman"/>
          <w:sz w:val="24"/>
          <w:szCs w:val="24"/>
          <w:rtl/>
        </w:rPr>
        <w:t xml:space="preserve">فتظهر فيها بصورة أكثر وضوحًا فكرة </w:t>
      </w:r>
      <w:r w:rsidRPr="007F4E72">
        <w:rPr>
          <w:rFonts w:ascii="Times New Roman" w:eastAsia="Times New Roman" w:hAnsi="Times New Roman" w:cs="Times New Roman"/>
          <w:b/>
          <w:bCs/>
          <w:sz w:val="24"/>
          <w:szCs w:val="24"/>
          <w:rtl/>
        </w:rPr>
        <w:t>الدورة الرقمية المتكاملة للدعوى</w:t>
      </w:r>
      <w:r w:rsidRPr="007F4E72">
        <w:rPr>
          <w:rFonts w:ascii="Times New Roman" w:eastAsia="Times New Roman" w:hAnsi="Times New Roman" w:cs="Times New Roman"/>
          <w:sz w:val="24"/>
          <w:szCs w:val="24"/>
          <w:rtl/>
        </w:rPr>
        <w:t>؛ إذ خصصت قواعد المحكمة لسنة 2021 الأمر الثامن والعشرين لخدمة الإيداع الإلكتروني، فنظمت إنشاء الخدمة، ومقدمها، ونظامها الحاسوبي، والمستخدمين المسجلين، والإيداع الإلكتروني، وتوقيع المستندات الإلكترونية، وتاريخ الإيداع، وبدء حساب مدة التبليغ، وخدمة المستندات. ولم يبق الأمر في إطار تشريعي نظري، بل تم تجسيده من خلال نظام</w:t>
      </w:r>
      <w:r w:rsidRPr="007F4E72">
        <w:rPr>
          <w:rFonts w:ascii="Times New Roman" w:eastAsia="Times New Roman" w:hAnsi="Times New Roman" w:cs="Times New Roman"/>
          <w:sz w:val="24"/>
          <w:szCs w:val="24"/>
        </w:rPr>
        <w:t xml:space="preserve"> </w:t>
      </w:r>
      <w:proofErr w:type="spellStart"/>
      <w:r w:rsidRPr="007F4E72">
        <w:rPr>
          <w:rFonts w:ascii="Times New Roman" w:eastAsia="Times New Roman" w:hAnsi="Times New Roman" w:cs="Times New Roman"/>
          <w:sz w:val="24"/>
          <w:szCs w:val="24"/>
        </w:rPr>
        <w:t>eLitigation</w:t>
      </w:r>
      <w:proofErr w:type="spellEnd"/>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الذي تستخدمه المحاكم السنغافورية لإيداع الطلبات والمستندات في الدعاوى المدنية أمام محاكم الدولة والمحكمة العليا، والقضايا الأسرية، وبعض القضايا الجنائية أمام المحكمة العليا. كما تقرر التوجيهات الإجرائية للمحكمة العليا صراحة أن قواعد الجزء المتعلق بالإيداع والخدمة الإلكترونية تطبق على إيداع المستندات وخدمتها وتسليمها في الإجراءات المدنية بموجب الأمر الثامن والعشرين</w:t>
      </w:r>
      <w:r w:rsidRPr="007F4E72">
        <w:rPr>
          <w:rFonts w:ascii="Times New Roman" w:eastAsia="Times New Roman" w:hAnsi="Times New Roman" w:cs="Times New Roman"/>
          <w:sz w:val="24"/>
          <w:szCs w:val="24"/>
        </w:rPr>
        <w:t>.</w:t>
      </w:r>
    </w:p>
    <w:p w14:paraId="11235ED6"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ولا يعني ذلك أن سنغافورة ألغت جميع وسائل الإجراءات التقليدية، وإنما تكشف التجربة عن درجة أعلى من الربط بين القاعدة الإجرائية والنظام الإلكتروني الذي ينفذها. ويظهر هذا الأمر بصورة خاصة في تنظيم تاريخ الإيداع وبداية احتساب المدد وخدمة المستندات، وهي مسائل ذات أهمية قانونية تتجاوز الجانب التقني؛ لأن خطأ تحديد لحظة الإيداع قد يؤدي إلى سقوط طعن أو انتهاء ميعاد إجرائي. ومن هنا تظهر إحدى النتائج المهمة للمقارنة، وهي أن التحول الرقمي الناضج لا يكتفي بالسماح بتقديم المستند إلكترونيًا، وإنما يجب أن يجيب عن السؤال القانوني المتعلق باللحظة التي يعد فيها الإجراء قد تم، وكيف يثبت ذلك، وما أثر تعطل النظام قبل انتهاء الميعاد</w:t>
      </w:r>
      <w:r w:rsidRPr="007F4E72">
        <w:rPr>
          <w:rFonts w:ascii="Times New Roman" w:eastAsia="Times New Roman" w:hAnsi="Times New Roman" w:cs="Times New Roman"/>
          <w:sz w:val="24"/>
          <w:szCs w:val="24"/>
        </w:rPr>
        <w:t>.</w:t>
      </w:r>
    </w:p>
    <w:p w14:paraId="14F9F556"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وتبرز هذه المسألة بصورة عملية في واقعة تعطل نظام</w:t>
      </w:r>
      <w:r w:rsidRPr="007F4E72">
        <w:rPr>
          <w:rFonts w:ascii="Times New Roman" w:eastAsia="Times New Roman" w:hAnsi="Times New Roman" w:cs="Times New Roman"/>
          <w:sz w:val="24"/>
          <w:szCs w:val="24"/>
        </w:rPr>
        <w:t xml:space="preserve"> </w:t>
      </w:r>
      <w:proofErr w:type="spellStart"/>
      <w:r w:rsidRPr="007F4E72">
        <w:rPr>
          <w:rFonts w:ascii="Times New Roman" w:eastAsia="Times New Roman" w:hAnsi="Times New Roman" w:cs="Times New Roman"/>
          <w:sz w:val="24"/>
          <w:szCs w:val="24"/>
        </w:rPr>
        <w:t>eLitigation</w:t>
      </w:r>
      <w:proofErr w:type="spellEnd"/>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 xml:space="preserve">في سنغافورة خلال يوليو 2025؛ فقد أعلنت السلطة القضائية عودة الخدمة في 31 يوليو 2025، وسمحت للمكاتب القانونية التي تعذر عليها إيداع مستنداتها خلال فترة الانقطاع بأن تقوم بالإيداع وأن تطلب، عند الاقتضاء، تأريخ الإيداع بأثر يعود إلى الوقت المناسب. وتكشف هذه الواقعة أن التحول الرقمي ينتج نوعًا جديدًا من المخاطر الإجرائية لم يكن حاضرًا بالصورة نفسها في القضاء الورقي، وهو </w:t>
      </w:r>
      <w:r w:rsidRPr="007F4E72">
        <w:rPr>
          <w:rFonts w:ascii="Times New Roman" w:eastAsia="Times New Roman" w:hAnsi="Times New Roman" w:cs="Times New Roman"/>
          <w:b/>
          <w:bCs/>
          <w:sz w:val="24"/>
          <w:szCs w:val="24"/>
          <w:rtl/>
        </w:rPr>
        <w:t>مخاطر فشل المنصة القضائية</w:t>
      </w:r>
      <w:r w:rsidRPr="007F4E72">
        <w:rPr>
          <w:rFonts w:ascii="Times New Roman" w:eastAsia="Times New Roman" w:hAnsi="Times New Roman" w:cs="Times New Roman"/>
          <w:sz w:val="24"/>
          <w:szCs w:val="24"/>
        </w:rPr>
        <w:t>.</w:t>
      </w:r>
    </w:p>
    <w:p w14:paraId="18E06585"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02C177F3"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5445A38E" w14:textId="62FC43CA"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lastRenderedPageBreak/>
        <w:t>وتكتسب هذه التجربة أهمية بالنسبة إلى السعودية والإمارات؛ إذ إن التوسع في الاعتماد على المنصات القضائية يجعل من الضروري تنظيم أثر العطل الفني على المواعيد القضائية. فلا يجوز أن يتحمل المتقاضي تبعة انقطاع نظام رسمي لا يملك السيطرة عليه، كما أن مجرد ادعاء العطل لا ينبغي أن يكون كافيًا لتجاوز المواعيد. ومن ثم، يستلزم التنظيم الرقمي وجود آليات فنية وقانونية تمكن المحكمة من التحقق من وقت تعطل الخدمة، ومحاولات المستخدم للدخول أو الإيداع، والوقت الذي استعادت فيه المنصة عملها، مع منح القاضي سلطة معالجة الأثر الإجرائي بما يحقق العدالة</w:t>
      </w:r>
      <w:r w:rsidRPr="007F4E72">
        <w:rPr>
          <w:rFonts w:ascii="Times New Roman" w:eastAsia="Times New Roman" w:hAnsi="Times New Roman" w:cs="Times New Roman"/>
          <w:sz w:val="24"/>
          <w:szCs w:val="24"/>
        </w:rPr>
        <w:t>.</w:t>
      </w:r>
    </w:p>
    <w:p w14:paraId="0EA06B16" w14:textId="3BB38944" w:rsidR="007F4E72" w:rsidRPr="007F4E72" w:rsidRDefault="007F4E72" w:rsidP="00A75063">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ويتصل بذلك تنظيم </w:t>
      </w:r>
      <w:r w:rsidRPr="007F4E72">
        <w:rPr>
          <w:rFonts w:ascii="Times New Roman" w:eastAsia="Times New Roman" w:hAnsi="Times New Roman" w:cs="Times New Roman"/>
          <w:b/>
          <w:bCs/>
          <w:sz w:val="24"/>
          <w:szCs w:val="24"/>
          <w:rtl/>
        </w:rPr>
        <w:t xml:space="preserve">التبليغات القضائية </w:t>
      </w:r>
      <w:r w:rsidR="00A75063" w:rsidRPr="007F4E72">
        <w:rPr>
          <w:rFonts w:ascii="Times New Roman" w:eastAsia="Times New Roman" w:hAnsi="Times New Roman" w:cs="Times New Roman" w:hint="cs"/>
          <w:b/>
          <w:bCs/>
          <w:sz w:val="24"/>
          <w:szCs w:val="24"/>
          <w:rtl/>
        </w:rPr>
        <w:t>الإلكترونية</w:t>
      </w:r>
      <w:r w:rsidR="00A75063" w:rsidRPr="00A75063">
        <w:rPr>
          <w:rFonts w:ascii="Times New Roman" w:eastAsia="Times New Roman" w:hAnsi="Times New Roman" w:cs="Times New Roman" w:hint="cs"/>
          <w:b/>
          <w:bCs/>
          <w:sz w:val="24"/>
          <w:szCs w:val="24"/>
          <w:vertAlign w:val="superscript"/>
          <w:rtl/>
        </w:rPr>
        <w:t xml:space="preserve"> </w:t>
      </w:r>
      <w:r w:rsidR="00A75063" w:rsidRPr="00A75063">
        <w:rPr>
          <w:rFonts w:ascii="Times New Roman" w:eastAsia="Times New Roman" w:hAnsi="Times New Roman" w:cs="Times New Roman"/>
          <w:b/>
          <w:bCs/>
          <w:sz w:val="24"/>
          <w:szCs w:val="24"/>
          <w:vertAlign w:val="superscript"/>
          <w:rtl/>
        </w:rPr>
        <w:t>(</w:t>
      </w:r>
      <w:r w:rsidR="00A75063" w:rsidRPr="00A75063">
        <w:rPr>
          <w:rStyle w:val="a8"/>
          <w:rFonts w:ascii="Times New Roman" w:eastAsia="Times New Roman" w:hAnsi="Times New Roman" w:cs="Times New Roman"/>
          <w:b/>
          <w:bCs/>
          <w:vanish/>
          <w:sz w:val="24"/>
          <w:szCs w:val="24"/>
          <w:vertAlign w:val="baseline"/>
          <w:rtl/>
        </w:rPr>
        <w:footnoteReference w:id="6"/>
      </w:r>
      <w:r w:rsidR="00A75063">
        <w:rPr>
          <w:rFonts w:ascii="Times New Roman" w:eastAsia="Times New Roman" w:hAnsi="Times New Roman" w:cs="Times New Roman" w:hint="cs"/>
          <w:b/>
          <w:bCs/>
          <w:sz w:val="24"/>
          <w:szCs w:val="24"/>
          <w:vertAlign w:val="superscript"/>
          <w:rtl/>
        </w:rPr>
        <w:t>1</w:t>
      </w:r>
      <w:r w:rsidR="00A75063" w:rsidRPr="00A75063">
        <w:rPr>
          <w:rFonts w:ascii="Times New Roman" w:eastAsia="Times New Roman" w:hAnsi="Times New Roman" w:cs="Times New Roman" w:hint="cs"/>
          <w:b/>
          <w:bCs/>
          <w:sz w:val="24"/>
          <w:szCs w:val="24"/>
          <w:vertAlign w:val="superscript"/>
          <w:rtl/>
        </w:rPr>
        <w:t>)</w:t>
      </w:r>
      <w:r w:rsidRPr="007F4E72">
        <w:rPr>
          <w:rFonts w:ascii="Times New Roman" w:eastAsia="Times New Roman" w:hAnsi="Times New Roman" w:cs="Times New Roman"/>
          <w:sz w:val="24"/>
          <w:szCs w:val="24"/>
          <w:rtl/>
        </w:rPr>
        <w:t>؛ فالغاية من الإعلان القضائي لا تتمثل في إرسال رسالة من الناحية التقنية، بل في تحقيق العلم أو توافر قرينة قانونية معتبرة على إمكان العلم بالإجراء. وقد أدى استخدام الهاتف المحمول والبريد الإلكتروني والحسابات الحكومية الموثقة إلى الانتقال من فكرة الموطن المادي وحده إلى مفهوم أكثر اتساعًا للاتصال القضائي. وفي هذا الجانب يتقارب الاتجاه السعودي والإماراتي من حيث الاعتماد على وسائل اتصال يمكن التحقق من ارتباطها بالشخص المطلوب إعلانه، بينما قدمت سنغافورة تطبيقًا لافتًا عندما أضافت في 2022، بعد الحصول على إذن المحكمة، خيارًا للتبليغ البديل من خلال إرسال إشعار عبر صندوق الوارد في تطبيق</w:t>
      </w:r>
      <w:r w:rsidRPr="007F4E72">
        <w:rPr>
          <w:rFonts w:ascii="Times New Roman" w:eastAsia="Times New Roman" w:hAnsi="Times New Roman" w:cs="Times New Roman"/>
          <w:sz w:val="24"/>
          <w:szCs w:val="24"/>
        </w:rPr>
        <w:t xml:space="preserve"> </w:t>
      </w:r>
      <w:proofErr w:type="spellStart"/>
      <w:r w:rsidRPr="007F4E72">
        <w:rPr>
          <w:rFonts w:ascii="Times New Roman" w:eastAsia="Times New Roman" w:hAnsi="Times New Roman" w:cs="Times New Roman"/>
          <w:sz w:val="24"/>
          <w:szCs w:val="24"/>
        </w:rPr>
        <w:t>Singpass</w:t>
      </w:r>
      <w:proofErr w:type="spellEnd"/>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للمستلم</w:t>
      </w:r>
      <w:r w:rsidRPr="007F4E72">
        <w:rPr>
          <w:rFonts w:ascii="Times New Roman" w:eastAsia="Times New Roman" w:hAnsi="Times New Roman" w:cs="Times New Roman"/>
          <w:sz w:val="24"/>
          <w:szCs w:val="24"/>
        </w:rPr>
        <w:t>.</w:t>
      </w:r>
    </w:p>
    <w:p w14:paraId="3B38DF11"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ويكشف هذا المثال عن أهمية الربط بين التبليغ والهوية الرقمية، فكلما ارتفعت موثوقية الهوية المرتبطة بوسيلة الاتصال انخفضت احتمالات المنازعة في نسبة الحساب إلى المعلن إليه. ومع ذلك، فإن قوة التحقق من الهوية لا تحسم وحدها مسألة صحة التبليغ؛ إذ تظل هناك مسائل تتعلق بوقت الوصول، وتعطل الحساب، وعدم قدرة الشخص على استخدام الوسيلة، وغيرها من الظروف التي يجب أن تستوعبها القواعد الإجرائية</w:t>
      </w:r>
      <w:r w:rsidRPr="007F4E72">
        <w:rPr>
          <w:rFonts w:ascii="Times New Roman" w:eastAsia="Times New Roman" w:hAnsi="Times New Roman" w:cs="Times New Roman"/>
          <w:sz w:val="24"/>
          <w:szCs w:val="24"/>
        </w:rPr>
        <w:t>.</w:t>
      </w:r>
    </w:p>
    <w:p w14:paraId="0FD2723C" w14:textId="3253C598"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كما امتد التحول إلى </w:t>
      </w:r>
      <w:r w:rsidRPr="007F4E72">
        <w:rPr>
          <w:rFonts w:ascii="Times New Roman" w:eastAsia="Times New Roman" w:hAnsi="Times New Roman" w:cs="Times New Roman"/>
          <w:b/>
          <w:bCs/>
          <w:sz w:val="24"/>
          <w:szCs w:val="24"/>
          <w:rtl/>
        </w:rPr>
        <w:t xml:space="preserve">عقد الجلسات باستخدام وسائل الاتصال عن </w:t>
      </w:r>
      <w:r w:rsidR="00DC389E" w:rsidRPr="007F4E72">
        <w:rPr>
          <w:rFonts w:ascii="Times New Roman" w:eastAsia="Times New Roman" w:hAnsi="Times New Roman" w:cs="Times New Roman" w:hint="cs"/>
          <w:b/>
          <w:bCs/>
          <w:sz w:val="24"/>
          <w:szCs w:val="24"/>
          <w:rtl/>
        </w:rPr>
        <w:t>بعد</w:t>
      </w:r>
      <w:r w:rsidR="00DC389E" w:rsidRPr="007F4E72">
        <w:rPr>
          <w:rFonts w:ascii="Times New Roman" w:eastAsia="Times New Roman" w:hAnsi="Times New Roman" w:cs="Times New Roman"/>
          <w:sz w:val="24"/>
          <w:szCs w:val="24"/>
        </w:rPr>
        <w:t>.</w:t>
      </w:r>
      <w:r w:rsidR="00DC389E" w:rsidRPr="00DC389E">
        <w:rPr>
          <w:rFonts w:ascii="Times New Roman" w:eastAsia="Times New Roman" w:hAnsi="Times New Roman" w:cs="Times New Roman" w:hint="cs"/>
          <w:sz w:val="24"/>
          <w:szCs w:val="24"/>
          <w:vertAlign w:val="superscript"/>
          <w:rtl/>
        </w:rPr>
        <w:t xml:space="preserve"> </w:t>
      </w:r>
      <w:r w:rsidR="00DC389E" w:rsidRPr="00DC389E">
        <w:rPr>
          <w:rFonts w:ascii="Times New Roman" w:eastAsia="Times New Roman" w:hAnsi="Times New Roman" w:cs="Times New Roman"/>
          <w:sz w:val="24"/>
          <w:szCs w:val="24"/>
          <w:vertAlign w:val="superscript"/>
          <w:rtl/>
        </w:rPr>
        <w:t>(</w:t>
      </w:r>
      <w:r w:rsidR="00A75063" w:rsidRPr="00DC389E">
        <w:rPr>
          <w:rFonts w:ascii="Times New Roman" w:eastAsia="Times New Roman" w:hAnsi="Times New Roman" w:cs="Times New Roman" w:hint="cs"/>
          <w:sz w:val="24"/>
          <w:szCs w:val="24"/>
          <w:vertAlign w:val="superscript"/>
          <w:rtl/>
        </w:rPr>
        <w:t>2)</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ويحقق هذا الاستخدام فوائد تتصل بسرعة الإجراءات وتقليل الحاجة إلى الانتقال المكاني، لكنه يثير في الوقت نفسه تساؤلات أكثر حساسية من الإيداع الإلكتروني؛ لأن الجلسة هي المجال الذي تتجسد فيه المواجهة بين الخصوم وسماع الأقوال ومناقشة الأدلة. ولذلك فإن مشروعية الجلسة الرقمية يجب ألا تقاس بمجرد جودة الاتصال، بل بمدى قدرة الوسيلة على ضمان التحقق من هوية المشاركين، وعدم تعرض الشاهد لتأثير خارجي، وسرية بعض الإجراءات، وإمكان التواصل بين المحامي وموكله، وعدم إقصاء طرف بسبب ضعف إمكاناته التقنية</w:t>
      </w:r>
      <w:r w:rsidRPr="007F4E72">
        <w:rPr>
          <w:rFonts w:ascii="Times New Roman" w:eastAsia="Times New Roman" w:hAnsi="Times New Roman" w:cs="Times New Roman"/>
          <w:sz w:val="24"/>
          <w:szCs w:val="24"/>
        </w:rPr>
        <w:t>.</w:t>
      </w:r>
    </w:p>
    <w:p w14:paraId="17752038"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ومن هنا يتبين أن الدول الثلاث تجاوزت مرحلة السؤال عن جواز استخدام الوسائل الرقمية في القضاء، وأصبحت تواجه مرحلة أكثر تعقيدًا تتمثل في تحديد </w:t>
      </w:r>
      <w:r w:rsidRPr="007F4E72">
        <w:rPr>
          <w:rFonts w:ascii="Times New Roman" w:eastAsia="Times New Roman" w:hAnsi="Times New Roman" w:cs="Times New Roman"/>
          <w:b/>
          <w:bCs/>
          <w:sz w:val="24"/>
          <w:szCs w:val="24"/>
          <w:rtl/>
        </w:rPr>
        <w:t>الضمانات القانونية التي تحكم استخدامها</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 xml:space="preserve">فالتجربة السعودية تتميز بالتوسع الملحوظ في </w:t>
      </w:r>
      <w:proofErr w:type="spellStart"/>
      <w:r w:rsidRPr="007F4E72">
        <w:rPr>
          <w:rFonts w:ascii="Times New Roman" w:eastAsia="Times New Roman" w:hAnsi="Times New Roman" w:cs="Times New Roman"/>
          <w:sz w:val="24"/>
          <w:szCs w:val="24"/>
          <w:rtl/>
        </w:rPr>
        <w:t>رقمنة</w:t>
      </w:r>
      <w:proofErr w:type="spellEnd"/>
      <w:r w:rsidRPr="007F4E72">
        <w:rPr>
          <w:rFonts w:ascii="Times New Roman" w:eastAsia="Times New Roman" w:hAnsi="Times New Roman" w:cs="Times New Roman"/>
          <w:sz w:val="24"/>
          <w:szCs w:val="24"/>
          <w:rtl/>
        </w:rPr>
        <w:t xml:space="preserve"> الخدمات العدلية، ويتميز النموذج الإماراتي بإدراج وسائل الاتصال الحديثة بصورة واضحة في التشريع الإجرائي، بينما تتميز سنغافورة بدرجة عالية من الدمج بين قواعد المحكمة ومنظومة</w:t>
      </w:r>
      <w:r w:rsidRPr="007F4E72">
        <w:rPr>
          <w:rFonts w:ascii="Times New Roman" w:eastAsia="Times New Roman" w:hAnsi="Times New Roman" w:cs="Times New Roman"/>
          <w:sz w:val="24"/>
          <w:szCs w:val="24"/>
        </w:rPr>
        <w:t xml:space="preserve"> </w:t>
      </w:r>
      <w:proofErr w:type="spellStart"/>
      <w:r w:rsidRPr="007F4E72">
        <w:rPr>
          <w:rFonts w:ascii="Times New Roman" w:eastAsia="Times New Roman" w:hAnsi="Times New Roman" w:cs="Times New Roman"/>
          <w:sz w:val="24"/>
          <w:szCs w:val="24"/>
        </w:rPr>
        <w:t>eLitigation</w:t>
      </w:r>
      <w:proofErr w:type="spellEnd"/>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ولا ينبغي فهم هذه الفروق باعتبارها ترتيبًا بين الأنظمة، وإنما بوصفها نماذج مختلفة يمكن الاستفادة من عناصرها</w:t>
      </w:r>
      <w:r w:rsidRPr="007F4E72">
        <w:rPr>
          <w:rFonts w:ascii="Times New Roman" w:eastAsia="Times New Roman" w:hAnsi="Times New Roman" w:cs="Times New Roman"/>
          <w:sz w:val="24"/>
          <w:szCs w:val="24"/>
        </w:rPr>
        <w:t>.</w:t>
      </w:r>
    </w:p>
    <w:p w14:paraId="64DD9F5F"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439BA15"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0361D592" w14:textId="012F00D8"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أن تطوير التنظيم السعودي في هذا المجال ينبغي أن ينتقل من التركيز على مشروعية الإجراء الإلكتروني إلى وضع إطار أكثر تفصيلًا لـ </w:t>
      </w:r>
      <w:r w:rsidRPr="007F4E72">
        <w:rPr>
          <w:rFonts w:ascii="Times New Roman" w:eastAsia="Times New Roman" w:hAnsi="Times New Roman" w:cs="Times New Roman"/>
          <w:b/>
          <w:bCs/>
          <w:sz w:val="24"/>
          <w:szCs w:val="24"/>
          <w:rtl/>
        </w:rPr>
        <w:t>دورة حياة الإجراء القضائي الرقمي</w:t>
      </w:r>
      <w:r w:rsidRPr="007F4E72">
        <w:rPr>
          <w:rFonts w:ascii="Times New Roman" w:eastAsia="Times New Roman" w:hAnsi="Times New Roman" w:cs="Times New Roman"/>
          <w:sz w:val="24"/>
          <w:szCs w:val="24"/>
          <w:rtl/>
        </w:rPr>
        <w:t>، بحيث يحدد لحظة الإيداع، وطريقة إثبات الاستلام، وآثار الأعطال التقنية، وقواعد معالجة المواعيد عند توقف النظام، وضمانات الجلسة المرئية، ومسؤولية الجهة المشغلة عن حفظ السجلات الفنية اللازمة للتحقق من كل إجراء. كما يمكن الاستفادة من التجربة الإماراتية في إبراز القواعد الرقمية داخل قانون الإجراءات، ومن التجربة السنغافورية في الربط بين قواعد الإيداع والتبليغ والتوقيت والنظام الإلكتروني الموحد، مع عدم التضحية بالمرونة التي حققها النموذج السعودي في تطوير الخدمات العدلية</w:t>
      </w:r>
    </w:p>
    <w:p w14:paraId="511BF1F7" w14:textId="77777777" w:rsidR="007F4E72" w:rsidRPr="007F4E72" w:rsidRDefault="007F4E72" w:rsidP="007F4E72">
      <w:p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7F4E72">
        <w:rPr>
          <w:rFonts w:ascii="Times New Roman" w:eastAsia="Times New Roman" w:hAnsi="Times New Roman" w:cs="Times New Roman"/>
          <w:b/>
          <w:bCs/>
          <w:kern w:val="36"/>
          <w:sz w:val="32"/>
          <w:szCs w:val="32"/>
          <w:rtl/>
        </w:rPr>
        <w:t>المطلب الثالث: حجية الأدلة الرقمية والأدلة الإلكترونية في الإثبات</w:t>
      </w:r>
    </w:p>
    <w:p w14:paraId="381E7B81"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يمثل الإثبات الرقمي أحد أهم المرتكزات التشريعية للتحول القضائي؛ إذ إن الانتقال من الخصومة الورقية إلى الخصومة الرقمية يؤدي بالضرورة إلى نشوء أدلة في صورة بيانات وسجلات ورسائل وتوقيعات وملفات إلكترونية، الأمر الذي يفرض على التشريع الإجابة عن أسئلة تتعلق بقبول هذه الأدلة، وطريقة تقديمها، وقوتها الإثباتية، ومدى إمكان الاعتراض عليها، والمعايير التي تعتمدها المحكمة للتحقق من أصالتها وسلامتها. ولذلك لا يتحقق القضاء الرقمي بمجرد الاعتراف بالإجراء الإلكتروني، بل يحتاج إلى أن تكون الآثار والبيانات المتولدة عنه قابلة للاستخدام في الإثبات على أساس قانوني واضح</w:t>
      </w:r>
      <w:r w:rsidRPr="007F4E72">
        <w:rPr>
          <w:rFonts w:ascii="Times New Roman" w:eastAsia="Times New Roman" w:hAnsi="Times New Roman" w:cs="Times New Roman"/>
          <w:sz w:val="24"/>
          <w:szCs w:val="24"/>
        </w:rPr>
        <w:t>.</w:t>
      </w:r>
    </w:p>
    <w:p w14:paraId="0474D77D" w14:textId="43640ECD"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وقد حققت المملكة العربية السعودية </w:t>
      </w:r>
      <w:r w:rsidR="00E86C42" w:rsidRPr="00E86C42">
        <w:rPr>
          <w:rFonts w:ascii="Times New Roman" w:eastAsia="Times New Roman" w:hAnsi="Times New Roman" w:cs="Times New Roman" w:hint="cs"/>
          <w:sz w:val="24"/>
          <w:szCs w:val="24"/>
          <w:vertAlign w:val="superscript"/>
          <w:rtl/>
        </w:rPr>
        <w:t>(1</w:t>
      </w:r>
      <w:r w:rsidR="00E86C42" w:rsidRPr="00E86C42">
        <w:rPr>
          <w:rStyle w:val="a8"/>
          <w:rFonts w:ascii="Times New Roman" w:eastAsia="Times New Roman" w:hAnsi="Times New Roman" w:cs="Times New Roman"/>
          <w:vanish/>
          <w:sz w:val="24"/>
          <w:szCs w:val="24"/>
          <w:vertAlign w:val="baseline"/>
          <w:rtl/>
        </w:rPr>
        <w:footnoteReference w:id="7"/>
      </w:r>
      <w:r w:rsidR="00E86C42" w:rsidRPr="00E86C42">
        <w:rPr>
          <w:rFonts w:ascii="Times New Roman" w:eastAsia="Times New Roman" w:hAnsi="Times New Roman" w:cs="Times New Roman" w:hint="cs"/>
          <w:sz w:val="24"/>
          <w:szCs w:val="24"/>
          <w:vertAlign w:val="superscript"/>
          <w:rtl/>
        </w:rPr>
        <w:t>)</w:t>
      </w:r>
      <w:r w:rsidR="00E86C42">
        <w:rPr>
          <w:rFonts w:ascii="Times New Roman" w:eastAsia="Times New Roman" w:hAnsi="Times New Roman" w:cs="Times New Roman" w:hint="cs"/>
          <w:sz w:val="24"/>
          <w:szCs w:val="24"/>
          <w:rtl/>
        </w:rPr>
        <w:t xml:space="preserve"> </w:t>
      </w:r>
      <w:r w:rsidRPr="007F4E72">
        <w:rPr>
          <w:rFonts w:ascii="Times New Roman" w:eastAsia="Times New Roman" w:hAnsi="Times New Roman" w:cs="Times New Roman"/>
          <w:sz w:val="24"/>
          <w:szCs w:val="24"/>
          <w:rtl/>
        </w:rPr>
        <w:t>تحولًا مهمًا في هذا المجال بصدور نظام الإثبات عام 1443هـ، الذي أفرد للدليل الرقمي تنظيمًا خاصًا، ونص على تقديمه بهيئته الأصلية أو بأي وسيلة رقمية أخرى، مع سلطة المحكمة في طلب تقديم محتواه مكتوبًا متى سمحت طبيعته بذلك. ويكتسب هذا النص أهمية من زاويتين؛ فهو من جهة يعترف بالدليل الرقمي في صورته الأصلية، ومن جهة أخرى يمنع اختزال الدليل في نسخة ورقية قد تفقد بعض خصائصه التقنية</w:t>
      </w:r>
      <w:r w:rsidRPr="007F4E72">
        <w:rPr>
          <w:rFonts w:ascii="Times New Roman" w:eastAsia="Times New Roman" w:hAnsi="Times New Roman" w:cs="Times New Roman"/>
          <w:sz w:val="24"/>
          <w:szCs w:val="24"/>
        </w:rPr>
        <w:t>.</w:t>
      </w:r>
    </w:p>
    <w:p w14:paraId="117B7ECD" w14:textId="07259836"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ويتقارب التشريع الإماراتي </w:t>
      </w:r>
      <w:r w:rsidR="00E86C42" w:rsidRPr="00E86C42">
        <w:rPr>
          <w:rFonts w:ascii="Times New Roman" w:eastAsia="Times New Roman" w:hAnsi="Times New Roman" w:cs="Times New Roman" w:hint="cs"/>
          <w:sz w:val="24"/>
          <w:szCs w:val="24"/>
          <w:vertAlign w:val="superscript"/>
          <w:rtl/>
        </w:rPr>
        <w:t>(2)</w:t>
      </w:r>
      <w:r w:rsidR="00E86C42" w:rsidRPr="007F4E72">
        <w:rPr>
          <w:rFonts w:ascii="Times New Roman" w:eastAsia="Times New Roman" w:hAnsi="Times New Roman" w:cs="Times New Roman" w:hint="cs"/>
          <w:sz w:val="24"/>
          <w:szCs w:val="24"/>
          <w:rtl/>
        </w:rPr>
        <w:t xml:space="preserve"> م</w:t>
      </w:r>
      <w:r w:rsidR="00E86C42" w:rsidRPr="007F4E72">
        <w:rPr>
          <w:rFonts w:ascii="Times New Roman" w:eastAsia="Times New Roman" w:hAnsi="Times New Roman" w:cs="Times New Roman" w:hint="eastAsia"/>
          <w:sz w:val="24"/>
          <w:szCs w:val="24"/>
          <w:rtl/>
        </w:rPr>
        <w:t>ع</w:t>
      </w:r>
      <w:r w:rsidRPr="007F4E72">
        <w:rPr>
          <w:rFonts w:ascii="Times New Roman" w:eastAsia="Times New Roman" w:hAnsi="Times New Roman" w:cs="Times New Roman"/>
          <w:sz w:val="24"/>
          <w:szCs w:val="24"/>
          <w:rtl/>
        </w:rPr>
        <w:t xml:space="preserve"> هذا الاتجاه من خلال قانون الإثبات في المعاملات المدنية والتجارية الصادر بالمرسوم بقانون اتحادي رقم (35) لسنة 2022، الذي أدخل الدليل الإلكتروني ضمن بنية تشريعية حديثة للإثبات. ويعكس التشابه بين النظامين السعودي والإماراتي اتجاهًا إقليميًا نحو تجاوز مرحلة تطبيق قواعد المحررات التقليدية بطريق القياس على الأدلة الرقمية، والانتقال إلى تنظيم صريح يعترف بخصائصها المستقلة</w:t>
      </w:r>
      <w:r w:rsidRPr="007F4E72">
        <w:rPr>
          <w:rFonts w:ascii="Times New Roman" w:eastAsia="Times New Roman" w:hAnsi="Times New Roman" w:cs="Times New Roman"/>
          <w:sz w:val="24"/>
          <w:szCs w:val="24"/>
        </w:rPr>
        <w:t>.</w:t>
      </w:r>
    </w:p>
    <w:p w14:paraId="31AE9FBC"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853A448" w14:textId="6F954259"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D642EAA"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49BC2E47" w14:textId="6986EBE4"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غير أن سنغافورة</w:t>
      </w:r>
      <w:r w:rsidR="00FE4565" w:rsidRPr="00FE4565">
        <w:rPr>
          <w:rFonts w:ascii="Times New Roman" w:eastAsia="Times New Roman" w:hAnsi="Times New Roman" w:cs="Times New Roman" w:hint="cs"/>
          <w:sz w:val="24"/>
          <w:szCs w:val="24"/>
          <w:vertAlign w:val="superscript"/>
          <w:rtl/>
        </w:rPr>
        <w:t xml:space="preserve"> (</w:t>
      </w:r>
      <w:r w:rsidR="00FE4565" w:rsidRPr="00FE4565">
        <w:rPr>
          <w:rStyle w:val="a8"/>
          <w:rFonts w:ascii="Times New Roman" w:eastAsia="Times New Roman" w:hAnsi="Times New Roman" w:cs="Times New Roman"/>
          <w:vanish/>
          <w:sz w:val="24"/>
          <w:szCs w:val="24"/>
          <w:vertAlign w:val="baseline"/>
          <w:rtl/>
        </w:rPr>
        <w:footnoteReference w:id="8"/>
      </w:r>
      <w:r w:rsidR="00FE4565" w:rsidRPr="00FE4565">
        <w:rPr>
          <w:rFonts w:ascii="Times New Roman" w:eastAsia="Times New Roman" w:hAnsi="Times New Roman" w:cs="Times New Roman" w:hint="cs"/>
          <w:sz w:val="24"/>
          <w:szCs w:val="24"/>
          <w:vertAlign w:val="superscript"/>
          <w:rtl/>
        </w:rPr>
        <w:t>1)</w:t>
      </w:r>
      <w:r w:rsidRPr="007F4E72">
        <w:rPr>
          <w:rFonts w:ascii="Times New Roman" w:eastAsia="Times New Roman" w:hAnsi="Times New Roman" w:cs="Times New Roman"/>
          <w:sz w:val="24"/>
          <w:szCs w:val="24"/>
          <w:rtl/>
        </w:rPr>
        <w:t xml:space="preserve"> اتخذت نهجًا مختلفًا في البناء التشريعي؛ فبدل إنشاء باب حديث مستقل بذات الصورة، دمج المشرع السجل الإلكتروني في النظرية العامة للإثبات وربطه بقانون المعاملات الإلكترونية، مع تقرير قرائن تشريعية تتعلق بأصالته. وتبرز المادة</w:t>
      </w:r>
      <w:r w:rsidRPr="007F4E72">
        <w:rPr>
          <w:rFonts w:ascii="Times New Roman" w:eastAsia="Times New Roman" w:hAnsi="Times New Roman" w:cs="Times New Roman"/>
          <w:sz w:val="24"/>
          <w:szCs w:val="24"/>
        </w:rPr>
        <w:t xml:space="preserve"> (116A) </w:t>
      </w:r>
      <w:r w:rsidRPr="007F4E72">
        <w:rPr>
          <w:rFonts w:ascii="Times New Roman" w:eastAsia="Times New Roman" w:hAnsi="Times New Roman" w:cs="Times New Roman"/>
          <w:sz w:val="24"/>
          <w:szCs w:val="24"/>
          <w:rtl/>
        </w:rPr>
        <w:t>من قانون الإثبات السنغافوري في هذا المجال؛ إذ تقرر، ما لم يقدم دليل مخالف، قرائن بشأن أصالة بعض السجلات الإلكترونية، ومنها السجل الذي ينشأ أو يسجل أو يحفظ في المسار المعتاد للعمل بواسطة شخص ليس طرفًا في الخصومة ولم يكن خاضعًا لسيطرة الطرف الذي يريد تقديم السجل. كما يبين القانون أن طريقة توليد السجل أو استلامه أو حفظه، وموثوقية الأجهزة والظروف التي استخدمت فيها، يمكن أن تكون وقائع ذات صلة عند تقييم أصالته</w:t>
      </w:r>
      <w:r w:rsidRPr="007F4E72">
        <w:rPr>
          <w:rFonts w:ascii="Times New Roman" w:eastAsia="Times New Roman" w:hAnsi="Times New Roman" w:cs="Times New Roman"/>
          <w:sz w:val="24"/>
          <w:szCs w:val="24"/>
        </w:rPr>
        <w:t>.</w:t>
      </w:r>
    </w:p>
    <w:p w14:paraId="53482F49"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ويكشف هذا الاختلاف عن فلسفتين في معالجة الإثبات الرقمي؛ ففي السعودية والإمارات كان الاهتمام التشريعي منصبًا على </w:t>
      </w:r>
      <w:r w:rsidRPr="007F4E72">
        <w:rPr>
          <w:rFonts w:ascii="Times New Roman" w:eastAsia="Times New Roman" w:hAnsi="Times New Roman" w:cs="Times New Roman"/>
          <w:b/>
          <w:bCs/>
          <w:sz w:val="24"/>
          <w:szCs w:val="24"/>
          <w:rtl/>
        </w:rPr>
        <w:t>تحديد الدليل الإلكتروني والاعتراف به وتنظيم تقديمه</w:t>
      </w:r>
      <w:r w:rsidRPr="007F4E72">
        <w:rPr>
          <w:rFonts w:ascii="Times New Roman" w:eastAsia="Times New Roman" w:hAnsi="Times New Roman" w:cs="Times New Roman"/>
          <w:sz w:val="24"/>
          <w:szCs w:val="24"/>
          <w:rtl/>
        </w:rPr>
        <w:t xml:space="preserve">، بينما يبرز في النموذج السنغافوري </w:t>
      </w:r>
      <w:r w:rsidRPr="007F4E72">
        <w:rPr>
          <w:rFonts w:ascii="Times New Roman" w:eastAsia="Times New Roman" w:hAnsi="Times New Roman" w:cs="Times New Roman"/>
          <w:b/>
          <w:bCs/>
          <w:sz w:val="24"/>
          <w:szCs w:val="24"/>
          <w:rtl/>
        </w:rPr>
        <w:t>التعامل مع مشكلة الأصالة من خلال القرائن</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ولا يعني ذلك أن النظامين السعودي والإماراتي لا يسمحان بتقييم أصالة الدليل، وإنما أن التشريع السنغافوري يقدم مسبقًا بعض القواعد التي تساعد المحكمة في توزيع مسؤولية الإثبات بين الأطراف</w:t>
      </w:r>
      <w:r w:rsidRPr="007F4E72">
        <w:rPr>
          <w:rFonts w:ascii="Times New Roman" w:eastAsia="Times New Roman" w:hAnsi="Times New Roman" w:cs="Times New Roman"/>
          <w:sz w:val="24"/>
          <w:szCs w:val="24"/>
        </w:rPr>
        <w:t>.</w:t>
      </w:r>
    </w:p>
    <w:p w14:paraId="134AE707"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وتزداد أهمية هذا الاختلاف عند النظر إلى طبيعة الدليل الرقمي. فالمحرر الورقي يمكن في كثير من الحالات فحص توقيعه أو مادته أو خصائصه المادية، بينما يكون الدليل الرقمي قابلًا للنسخ دون أن يظهر الفرق بين النسخ بالعين المجردة، وقد ترتبط أصالته بمعلومات غير ظاهرة في المحتوى، مثل البيانات الوصفية، وسجل التعديلات، وتاريخ الإنشاء، ومصدر الملف، وسجلات الدخول إلى النظام. ولذلك فإن </w:t>
      </w:r>
      <w:r w:rsidRPr="007F4E72">
        <w:rPr>
          <w:rFonts w:ascii="Times New Roman" w:eastAsia="Times New Roman" w:hAnsi="Times New Roman" w:cs="Times New Roman"/>
          <w:b/>
          <w:bCs/>
          <w:sz w:val="24"/>
          <w:szCs w:val="24"/>
          <w:rtl/>
        </w:rPr>
        <w:t>الأصل الرقمي</w:t>
      </w:r>
      <w:r w:rsidRPr="007F4E72">
        <w:rPr>
          <w:rFonts w:ascii="Times New Roman" w:eastAsia="Times New Roman" w:hAnsi="Times New Roman" w:cs="Times New Roman"/>
          <w:sz w:val="24"/>
          <w:szCs w:val="24"/>
          <w:rtl/>
        </w:rPr>
        <w:t xml:space="preserve"> لا ينبغي أن يفهم دائمًا على أنه أول ملف مادي محفوظ على جهاز معين، بل على أنه بيانات يمكن التحقق من سلامة محتواها وعلاقتها بالمصدر الذي نسبت إليه</w:t>
      </w:r>
      <w:r w:rsidRPr="007F4E72">
        <w:rPr>
          <w:rFonts w:ascii="Times New Roman" w:eastAsia="Times New Roman" w:hAnsi="Times New Roman" w:cs="Times New Roman"/>
          <w:sz w:val="24"/>
          <w:szCs w:val="24"/>
        </w:rPr>
        <w:t>.</w:t>
      </w:r>
    </w:p>
    <w:p w14:paraId="3B8DB369"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ويبرز هنا مفهوم </w:t>
      </w:r>
      <w:r w:rsidRPr="007F4E72">
        <w:rPr>
          <w:rFonts w:ascii="Times New Roman" w:eastAsia="Times New Roman" w:hAnsi="Times New Roman" w:cs="Times New Roman"/>
          <w:b/>
          <w:bCs/>
          <w:sz w:val="24"/>
          <w:szCs w:val="24"/>
          <w:rtl/>
        </w:rPr>
        <w:t>موثوقية النظام المنتج للدليل</w:t>
      </w:r>
      <w:r w:rsidRPr="007F4E72">
        <w:rPr>
          <w:rFonts w:ascii="Times New Roman" w:eastAsia="Times New Roman" w:hAnsi="Times New Roman" w:cs="Times New Roman"/>
          <w:sz w:val="24"/>
          <w:szCs w:val="24"/>
          <w:rtl/>
        </w:rPr>
        <w:t>، وهو مفهوم يتمتع بأهمية خاصة في التجربة السنغافورية. فالسجل الصادر في المسار المعتاد لعمل مؤسسة مستقلة ليس في المركز نفسه لصورة شاشة ينشئها أحد الخصوم بنفسه. وهذه الفكرة يمكن أن يكون لها تطبيق مباشر في القضاء السعودي والإماراتي؛ فالسجلات الصادرة عن منصة قضائية رسمية أو جهة مصرفية أو نظام حكومي موثق يفترض أن تتمتع بقرينة أقوى من ملف مجهول المصدر، مع بقاء حق الخصم في إثبات وجود خلل أو اختراق أو خطأ في النظام</w:t>
      </w:r>
      <w:r w:rsidRPr="007F4E72">
        <w:rPr>
          <w:rFonts w:ascii="Times New Roman" w:eastAsia="Times New Roman" w:hAnsi="Times New Roman" w:cs="Times New Roman"/>
          <w:sz w:val="24"/>
          <w:szCs w:val="24"/>
        </w:rPr>
        <w:t>.</w:t>
      </w:r>
    </w:p>
    <w:p w14:paraId="6306874D"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1DD705EE"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490579B0" w14:textId="09D8B53E"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47F84B7"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4628A201" w14:textId="5B609D4D"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كما تثير الأدلة الرقمية مشكلة </w:t>
      </w:r>
      <w:r w:rsidRPr="007F4E72">
        <w:rPr>
          <w:rFonts w:ascii="Times New Roman" w:eastAsia="Times New Roman" w:hAnsi="Times New Roman" w:cs="Times New Roman"/>
          <w:b/>
          <w:bCs/>
          <w:sz w:val="24"/>
          <w:szCs w:val="24"/>
          <w:rtl/>
        </w:rPr>
        <w:t>توزيع مسؤولية إثبات الصحة</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فقد يكون الشخص المتمسك بالدليل غير قادر على الوصول إلى المعلومات الفنية اللازمة لإثباته؛ فصاحب الدعوى الذي يقدم إشعارًا من منصة حكومية لا يملك سجلات الخوادم أو نظم التدقيق الداخلية. وإذا ألزم بإثبات جميع التفاصيل التقنية منذ البداية أصبح الدليل الرقمي أداة يصعب استخدامها عمليًا. ومن هنا تتضح فائدة القرائن القابلة لإثبات العكس؛ فهي تسمح بافتراض قدر من الموثوقية عندما يكون الدليل صادرًا عن نظام منتظم، ثم تنتقل المسؤولية إلى من ينازع فيه ليقدم ما يثير شكًا جديًا في سلامته</w:t>
      </w:r>
      <w:r w:rsidRPr="007F4E72">
        <w:rPr>
          <w:rFonts w:ascii="Times New Roman" w:eastAsia="Times New Roman" w:hAnsi="Times New Roman" w:cs="Times New Roman"/>
          <w:sz w:val="24"/>
          <w:szCs w:val="24"/>
        </w:rPr>
        <w:t>.</w:t>
      </w:r>
    </w:p>
    <w:p w14:paraId="1FDBD88E"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وعلى الجانب الآخر، فإن الإفراط في منح القرائن للسجلات الرقمية ينطوي على خطر معاكس؛ إذ قد يؤدي إلى الاعتقاد بأن الأنظمة الرسمية أو التجارية لا تخطئ. والحقيقة أن السجلات الإلكترونية يمكن أن تتأثر بأخطاء البرمجيات أو إدخال البيانات أو الاختراق أو إساءة استخدام الصلاحيات. ولهذا ينبغي ألا تتحول القرينة إلى حصانة تقنية، بل تبقى قابلة لإثبات العكس وتخضع عند وجود منازعة جدية للفحص الفني والخبرة</w:t>
      </w:r>
      <w:r w:rsidRPr="007F4E72">
        <w:rPr>
          <w:rFonts w:ascii="Times New Roman" w:eastAsia="Times New Roman" w:hAnsi="Times New Roman" w:cs="Times New Roman"/>
          <w:sz w:val="24"/>
          <w:szCs w:val="24"/>
        </w:rPr>
        <w:t>.</w:t>
      </w:r>
    </w:p>
    <w:p w14:paraId="500F9168" w14:textId="710A89E2"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ويتصل بذلك مفهوم </w:t>
      </w:r>
      <w:r w:rsidRPr="007F4E72">
        <w:rPr>
          <w:rFonts w:ascii="Times New Roman" w:eastAsia="Times New Roman" w:hAnsi="Times New Roman" w:cs="Times New Roman"/>
          <w:b/>
          <w:bCs/>
          <w:sz w:val="24"/>
          <w:szCs w:val="24"/>
          <w:rtl/>
        </w:rPr>
        <w:t>سلسلة الحيازة الرقمية</w:t>
      </w:r>
      <w:r w:rsidRPr="007F4E72">
        <w:rPr>
          <w:rFonts w:ascii="Times New Roman" w:eastAsia="Times New Roman" w:hAnsi="Times New Roman" w:cs="Times New Roman"/>
          <w:sz w:val="24"/>
          <w:szCs w:val="24"/>
          <w:rtl/>
        </w:rPr>
        <w:t>،</w:t>
      </w:r>
      <w:r w:rsidR="0083328E" w:rsidRPr="0083328E">
        <w:rPr>
          <w:rFonts w:ascii="Times New Roman" w:eastAsia="Times New Roman" w:hAnsi="Times New Roman" w:cs="Times New Roman" w:hint="cs"/>
          <w:sz w:val="24"/>
          <w:szCs w:val="24"/>
          <w:vertAlign w:val="superscript"/>
          <w:rtl/>
        </w:rPr>
        <w:t>(1)</w:t>
      </w:r>
      <w:r w:rsidRPr="0083328E">
        <w:rPr>
          <w:rFonts w:ascii="Times New Roman" w:eastAsia="Times New Roman" w:hAnsi="Times New Roman" w:cs="Times New Roman"/>
          <w:sz w:val="24"/>
          <w:szCs w:val="24"/>
          <w:vertAlign w:val="superscript"/>
          <w:rtl/>
        </w:rPr>
        <w:t xml:space="preserve"> </w:t>
      </w:r>
      <w:r w:rsidR="0083328E" w:rsidRPr="0083328E">
        <w:rPr>
          <w:rStyle w:val="a8"/>
          <w:rFonts w:ascii="Times New Roman" w:eastAsia="Times New Roman" w:hAnsi="Times New Roman" w:cs="Times New Roman"/>
          <w:vanish/>
          <w:sz w:val="24"/>
          <w:szCs w:val="24"/>
          <w:vertAlign w:val="baseline"/>
          <w:rtl/>
        </w:rPr>
        <w:footnoteReference w:id="9"/>
      </w:r>
      <w:r w:rsidRPr="007F4E72">
        <w:rPr>
          <w:rFonts w:ascii="Times New Roman" w:eastAsia="Times New Roman" w:hAnsi="Times New Roman" w:cs="Times New Roman"/>
          <w:sz w:val="24"/>
          <w:szCs w:val="24"/>
          <w:rtl/>
        </w:rPr>
        <w:t>الذي يكتسب أهمية واضحة عندما يستخرج الدليل من جهاز أو وسيط أو نظام ثم ينقل أو ينسخ أو يفحص قبل عرضه أمام المحكمة. والغاية من هذه السلسلة هي القدرة على بيان من تعامل مع الدليل، ومتى تم نسخه، وما إذا طرأ عليه تعديل، وما الوسيلة التي استخدمت في حفظه. وعلى الرغم من أن هذا المفهوم يظهر بصورة أكثر وضوحًا في الإثبات الجنائي، فإنه يمتد أيضًا إلى النزاعات المدنية والتجارية، خصوصًا عند الادعاء بتعديل ملفات أو سجلات داخلية</w:t>
      </w:r>
      <w:r w:rsidRPr="007F4E72">
        <w:rPr>
          <w:rFonts w:ascii="Times New Roman" w:eastAsia="Times New Roman" w:hAnsi="Times New Roman" w:cs="Times New Roman"/>
          <w:sz w:val="24"/>
          <w:szCs w:val="24"/>
        </w:rPr>
        <w:t>.</w:t>
      </w:r>
    </w:p>
    <w:p w14:paraId="004A2A1D"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وتختلف الحاجة إلى الخبرة الفنية بحسب نوع الدليل؛ فليس من المقبول تحويل كل رسالة أو مستند إلكتروني إلى مسألة خبرة تقنية معقدة، لأن ذلك سيؤدي إلى زيادة تكلفة التقاضي. وفي المقابل، تصبح الخبرة ضرورية عندما تنصب المنازعة على أصالة الملف، أو اختراق الحساب، أو تعديل البيانات، أو سلامة نظام التوقيع. ومن هنا يجب أن يقوم التنظيم على مبدأ التناسب: كلما ارتفعت درجة الموثوقية المؤسسية للدليل وانخفضت جدية المنازعة، قلت الحاجة إلى الفحص التقني المكلف، والعكس صحيح</w:t>
      </w:r>
      <w:r w:rsidRPr="007F4E72">
        <w:rPr>
          <w:rFonts w:ascii="Times New Roman" w:eastAsia="Times New Roman" w:hAnsi="Times New Roman" w:cs="Times New Roman"/>
          <w:sz w:val="24"/>
          <w:szCs w:val="24"/>
        </w:rPr>
        <w:t>.</w:t>
      </w:r>
    </w:p>
    <w:p w14:paraId="383E3A28"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ويظهر من المقارنة أن النظامين السعودي والإماراتي حققا ميزة مهمة تتمثل في وضوح الاعتراف التشريعي الحديث بالدليل الرقمي، بينما توفر سنغافورة ميزة إضافية في مجال القرائن القانونية المرتبطة بالأصالة. ويبدو أن الجمع بين النهجين يمكن أن يؤدي إلى بناء أكثر نضجًا للإثبات الرقمي؛ إذ يحتفظ التشريع السعودي بالتنظيم الواضح للدليل الرقمي، مع تطوير قرائن متدرجة بحسب مصدر الدليل ونوع النظام الذي أنشأه</w:t>
      </w:r>
      <w:r w:rsidRPr="007F4E72">
        <w:rPr>
          <w:rFonts w:ascii="Times New Roman" w:eastAsia="Times New Roman" w:hAnsi="Times New Roman" w:cs="Times New Roman"/>
          <w:sz w:val="24"/>
          <w:szCs w:val="24"/>
        </w:rPr>
        <w:t>.</w:t>
      </w:r>
    </w:p>
    <w:p w14:paraId="7AE3CE6F"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5F2DE94"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08A0F44B" w14:textId="78C6CB48"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4649DD09" w14:textId="3D52372A"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أن المرحلة التالية لتطوير الإثبات الرقمي في المملكة ينبغي أن تركز على </w:t>
      </w:r>
      <w:r w:rsidRPr="007F4E72">
        <w:rPr>
          <w:rFonts w:ascii="Times New Roman" w:eastAsia="Times New Roman" w:hAnsi="Times New Roman" w:cs="Times New Roman"/>
          <w:b/>
          <w:bCs/>
          <w:sz w:val="24"/>
          <w:szCs w:val="24"/>
          <w:rtl/>
        </w:rPr>
        <w:t>تصنيف درجات الموثوقية</w:t>
      </w:r>
      <w:r w:rsidRPr="007F4E72">
        <w:rPr>
          <w:rFonts w:ascii="Times New Roman" w:eastAsia="Times New Roman" w:hAnsi="Times New Roman" w:cs="Times New Roman"/>
          <w:sz w:val="24"/>
          <w:szCs w:val="24"/>
          <w:rtl/>
        </w:rPr>
        <w:t xml:space="preserve"> بدل التعامل مع جميع الأدلة الرقمية على قدم المساواة. فالسجل الصادر عن المحكمة، أو من منصة حكومية موثوقة، أو الموقع بواسطة خدمة ثقة ذات مستوى مرتفع، يمكن أن يتمتع بقرينة قابلة لإثبات العكس بشأن سلامة المصدر أو التاريخ، بينما تظل الأدلة الأخرى خاضعة للتقدير وفق ظروف إنشائها. كما يمكن الاستفادة من المادة</w:t>
      </w:r>
      <w:r w:rsidRPr="007F4E72">
        <w:rPr>
          <w:rFonts w:ascii="Times New Roman" w:eastAsia="Times New Roman" w:hAnsi="Times New Roman" w:cs="Times New Roman"/>
          <w:sz w:val="24"/>
          <w:szCs w:val="24"/>
        </w:rPr>
        <w:t xml:space="preserve"> (116A) </w:t>
      </w:r>
      <w:r w:rsidRPr="007F4E72">
        <w:rPr>
          <w:rFonts w:ascii="Times New Roman" w:eastAsia="Times New Roman" w:hAnsi="Times New Roman" w:cs="Times New Roman"/>
          <w:sz w:val="24"/>
          <w:szCs w:val="24"/>
          <w:rtl/>
        </w:rPr>
        <w:t>السنغافورية في تحديد معايير أكثر تفصيلًا لأصالة السجل، مع تطوير قواعد لسلسلة الحيازة الرقمية والبيانات الوصفية والخبرة الفنية، وبما يحقق التوازن بين سهولة الإثبات وحق الخصم في المنازعة</w:t>
      </w:r>
      <w:r w:rsidRPr="007F4E72">
        <w:rPr>
          <w:rFonts w:ascii="Times New Roman" w:eastAsia="Times New Roman" w:hAnsi="Times New Roman" w:cs="Times New Roman"/>
          <w:sz w:val="24"/>
          <w:szCs w:val="24"/>
        </w:rPr>
        <w:t>.</w:t>
      </w:r>
    </w:p>
    <w:p w14:paraId="1AB17598" w14:textId="1D3CC2C7" w:rsidR="007F4E72" w:rsidRPr="007F4E72" w:rsidRDefault="007F4E72" w:rsidP="007F4E72">
      <w:pPr>
        <w:bidi w:val="0"/>
        <w:spacing w:after="0" w:line="240" w:lineRule="auto"/>
        <w:jc w:val="left"/>
        <w:rPr>
          <w:rFonts w:ascii="Times New Roman" w:eastAsia="Times New Roman" w:hAnsi="Times New Roman" w:cs="Times New Roman"/>
          <w:sz w:val="24"/>
          <w:szCs w:val="24"/>
        </w:rPr>
      </w:pPr>
    </w:p>
    <w:p w14:paraId="0C69D2F1" w14:textId="49FBCA87" w:rsidR="007F4E72" w:rsidRDefault="007F4E72" w:rsidP="007F4E72">
      <w:pPr>
        <w:bidi w:val="0"/>
        <w:spacing w:before="100" w:beforeAutospacing="1" w:after="100" w:afterAutospacing="1" w:line="240" w:lineRule="auto"/>
        <w:jc w:val="left"/>
        <w:outlineLvl w:val="0"/>
        <w:rPr>
          <w:rFonts w:ascii="Times New Roman" w:eastAsia="Times New Roman" w:hAnsi="Times New Roman" w:cs="Times New Roman"/>
          <w:b/>
          <w:bCs/>
          <w:kern w:val="36"/>
          <w:sz w:val="48"/>
          <w:szCs w:val="48"/>
        </w:rPr>
      </w:pPr>
    </w:p>
    <w:p w14:paraId="5B956E57" w14:textId="77777777" w:rsidR="007F4E72" w:rsidRPr="007F4E72" w:rsidRDefault="007F4E72" w:rsidP="007F4E72">
      <w:pPr>
        <w:bidi w:val="0"/>
        <w:spacing w:before="100" w:beforeAutospacing="1" w:after="100" w:afterAutospacing="1" w:line="240" w:lineRule="auto"/>
        <w:jc w:val="left"/>
        <w:outlineLvl w:val="0"/>
        <w:rPr>
          <w:rFonts w:ascii="Times New Roman" w:eastAsia="Times New Roman" w:hAnsi="Times New Roman" w:cs="Times New Roman"/>
          <w:b/>
          <w:bCs/>
          <w:kern w:val="36"/>
          <w:sz w:val="48"/>
          <w:szCs w:val="48"/>
        </w:rPr>
      </w:pPr>
    </w:p>
    <w:p w14:paraId="5F6B275C" w14:textId="77777777" w:rsidR="00E058A7" w:rsidRPr="007F4E72" w:rsidRDefault="00E058A7" w:rsidP="00D138ED">
      <w:pPr>
        <w:pStyle w:val="a5"/>
        <w:bidi/>
        <w:spacing w:line="360" w:lineRule="auto"/>
      </w:pPr>
    </w:p>
    <w:p w14:paraId="60047BFF" w14:textId="77777777" w:rsidR="00575E84" w:rsidRPr="00575E84" w:rsidRDefault="00575E84" w:rsidP="00575E84"/>
    <w:p w14:paraId="48EBE7FB" w14:textId="77777777" w:rsidR="007F4E72" w:rsidRDefault="007F4E72">
      <w:pPr>
        <w:bidi w:val="0"/>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br w:type="page"/>
      </w:r>
    </w:p>
    <w:p w14:paraId="4CBB7987" w14:textId="77777777" w:rsidR="007F4E72" w:rsidRPr="007F4E72" w:rsidRDefault="007F4E72" w:rsidP="007F4E72">
      <w:pPr>
        <w:bidi w:val="0"/>
        <w:spacing w:before="100" w:beforeAutospacing="1" w:after="100" w:afterAutospacing="1" w:line="360" w:lineRule="auto"/>
        <w:outlineLvl w:val="0"/>
        <w:rPr>
          <w:rFonts w:ascii="Times New Roman" w:eastAsia="Times New Roman" w:hAnsi="Times New Roman" w:cs="Times New Roman"/>
          <w:b/>
          <w:bCs/>
          <w:kern w:val="36"/>
          <w:sz w:val="36"/>
          <w:szCs w:val="36"/>
        </w:rPr>
      </w:pPr>
      <w:r w:rsidRPr="007F4E72">
        <w:rPr>
          <w:rFonts w:ascii="Times New Roman" w:eastAsia="Times New Roman" w:hAnsi="Times New Roman" w:cs="Times New Roman"/>
          <w:b/>
          <w:bCs/>
          <w:kern w:val="36"/>
          <w:sz w:val="36"/>
          <w:szCs w:val="36"/>
          <w:rtl/>
        </w:rPr>
        <w:lastRenderedPageBreak/>
        <w:t>المبحث الثاني: الإطار التنظيمي والمؤسسي للتحول الرقمي</w:t>
      </w:r>
    </w:p>
    <w:p w14:paraId="4F3214E5" w14:textId="77777777" w:rsidR="007F4E72" w:rsidRPr="007F4E72" w:rsidRDefault="007F4E72" w:rsidP="007F4E72">
      <w:pPr>
        <w:bidi w:val="0"/>
        <w:spacing w:before="100" w:beforeAutospacing="1" w:after="100" w:afterAutospacing="1" w:line="360" w:lineRule="auto"/>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إذا كان المبحث الأول قد تناول القواعد التي تمنح الإجراءات والأدلة الإلكترونية مشروعيتها وحجيتها، فإن الانتقال من النص القانوني إلى التطبيق يتوقف على وجود تنظيم مؤسسي يحدد من يدير البنية الرقمية، وكيف توزع الاختصاصات، وما الوسائل التي تستخدم للتحقق من هوية أطراف التعامل، وكيف تحمى البيانات والأنظمة من المخاطر. ولذلك يشكل الإطار التنظيمي والمؤسسي الوجه التنفيذي للتحول الرقمي؛ فمن دون حوكمة واضحة قد تتحول كثرة الأنظمة والمنصات إلى مصدر للتداخل والازدواجية بدل أن تكون وسيلة للكفاءة</w:t>
      </w:r>
      <w:r w:rsidRPr="007F4E72">
        <w:rPr>
          <w:rFonts w:ascii="Times New Roman" w:eastAsia="Times New Roman" w:hAnsi="Times New Roman" w:cs="Times New Roman"/>
          <w:sz w:val="24"/>
          <w:szCs w:val="24"/>
        </w:rPr>
        <w:t>.</w:t>
      </w:r>
    </w:p>
    <w:p w14:paraId="0FA9C8CF" w14:textId="77777777" w:rsidR="007F4E72" w:rsidRPr="007F4E72" w:rsidRDefault="007F4E72" w:rsidP="007F4E72">
      <w:p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7F4E72">
        <w:rPr>
          <w:rFonts w:ascii="Times New Roman" w:eastAsia="Times New Roman" w:hAnsi="Times New Roman" w:cs="Times New Roman"/>
          <w:b/>
          <w:bCs/>
          <w:sz w:val="36"/>
          <w:szCs w:val="36"/>
          <w:rtl/>
        </w:rPr>
        <w:t>المطلب الأول: التنظيم المؤسسي والحوكمة الرقمية</w:t>
      </w:r>
    </w:p>
    <w:p w14:paraId="7F895D73"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يقوم التنظيم المؤسسي للتحول الرقمي على تحديد الجهات التي تتولى تصميم السياسات الرقمية وتنفيذها ورقابتها، وتوزيع المسؤوليات المتعلقة بالبيانات والمنصات والأمن والتشغيل بينها. وتزداد أهمية هذا التنظيم في القضاء بسبب الطبيعة الخاصة للسلطة القضائية؛ إذ ينبغي أن تستفيد المحاكم من البنية الحكومية المشتركة والخبرات التقنية المتخصصة من دون أن يؤدي ذلك إلى المساس باستقلالها أو تمكين جهة تقنية من التدخل في مضمون العمل القضائي</w:t>
      </w:r>
      <w:r w:rsidRPr="007F4E72">
        <w:rPr>
          <w:rFonts w:ascii="Times New Roman" w:eastAsia="Times New Roman" w:hAnsi="Times New Roman" w:cs="Times New Roman"/>
          <w:sz w:val="24"/>
          <w:szCs w:val="24"/>
        </w:rPr>
        <w:t>.</w:t>
      </w:r>
    </w:p>
    <w:p w14:paraId="53D30414"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ويكشف التنظيم السعودي عن نموذج يقوم على </w:t>
      </w:r>
      <w:r w:rsidRPr="007F4E72">
        <w:rPr>
          <w:rFonts w:ascii="Times New Roman" w:eastAsia="Times New Roman" w:hAnsi="Times New Roman" w:cs="Times New Roman"/>
          <w:b/>
          <w:bCs/>
          <w:sz w:val="24"/>
          <w:szCs w:val="24"/>
          <w:rtl/>
        </w:rPr>
        <w:t>تعدد مؤسسات الاختصاص مع السعي إلى التكامل بينها</w:t>
      </w:r>
      <w:r w:rsidRPr="007F4E72">
        <w:rPr>
          <w:rFonts w:ascii="Times New Roman" w:eastAsia="Times New Roman" w:hAnsi="Times New Roman" w:cs="Times New Roman"/>
          <w:sz w:val="24"/>
          <w:szCs w:val="24"/>
          <w:rtl/>
        </w:rPr>
        <w:t>؛ فهيئة الحكومة الرقمية تعد المرجع الوطني لتنظيم أعمال الحكومة الرقمية وبناء حكومة متكاملة، وتضم سياساتها التنظيمية موضوعات تتصل بالحوكمة والحكومة كمنصة وغيرها من أبعاد التكامل الحكومي، بينما تمثل الهيئة الوطنية للأمن السيبراني المرجع الوطني المختص بالأمن السيبراني. وبذلك لا تتحمل وزارة العدل أو الجهة القضائية وحدها مسؤولية جميع عناصر البيئة الرقمية، وإنما تعمل داخل منظومة حكومية يتوزع فيها الاختصاص بين الوظيفة القضائية، والتنظيم الرقمي، والأمن السيبراني، والهوية، والبيانات</w:t>
      </w:r>
      <w:r w:rsidRPr="007F4E72">
        <w:rPr>
          <w:rFonts w:ascii="Times New Roman" w:eastAsia="Times New Roman" w:hAnsi="Times New Roman" w:cs="Times New Roman"/>
          <w:sz w:val="24"/>
          <w:szCs w:val="24"/>
        </w:rPr>
        <w:t>.</w:t>
      </w:r>
    </w:p>
    <w:p w14:paraId="6150647B" w14:textId="78F5F055" w:rsidR="007F4E72" w:rsidRPr="007F4E72" w:rsidRDefault="007F4E72" w:rsidP="00AB12F7">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ويمنح هذا النموذج المملكة</w:t>
      </w:r>
      <w:r w:rsidR="00AB12F7" w:rsidRPr="00AB12F7">
        <w:rPr>
          <w:rFonts w:ascii="Times New Roman" w:eastAsia="Times New Roman" w:hAnsi="Times New Roman" w:cs="Times New Roman" w:hint="cs"/>
          <w:sz w:val="24"/>
          <w:szCs w:val="24"/>
          <w:vertAlign w:val="superscript"/>
          <w:rtl/>
        </w:rPr>
        <w:t xml:space="preserve"> (1)</w:t>
      </w:r>
      <w:r w:rsidR="00AB12F7" w:rsidRPr="00AB12F7">
        <w:rPr>
          <w:rStyle w:val="a8"/>
          <w:rFonts w:ascii="Times New Roman" w:eastAsia="Times New Roman" w:hAnsi="Times New Roman" w:cs="Times New Roman"/>
          <w:vanish/>
          <w:sz w:val="24"/>
          <w:szCs w:val="24"/>
          <w:vertAlign w:val="baseline"/>
          <w:rtl/>
        </w:rPr>
        <w:footnoteReference w:id="10"/>
      </w:r>
      <w:r w:rsidRPr="007F4E72">
        <w:rPr>
          <w:rFonts w:ascii="Times New Roman" w:eastAsia="Times New Roman" w:hAnsi="Times New Roman" w:cs="Times New Roman"/>
          <w:sz w:val="24"/>
          <w:szCs w:val="24"/>
          <w:rtl/>
        </w:rPr>
        <w:t xml:space="preserve"> ميزة التخصص؛ إذ يمكن للجهة القضائية التركيز على المتطلبات القانونية والإجرائية، بينما توفر الجهات الوطنية المتخصصة معايير موحدة للأمن والحكومة الرقمية. لكن التخصص ذاته يولد تحديًا يتمثل في ضرورة وضوح المسؤولية عند تداخل الأدوار. فإذا وقع خلل في ربط منصة قضائية بجهة حكومية أخرى، أو فشل نظام الهوية، أو حدث تسرب لدى مقدم خدمة خارجي، فإن المتقاضي يحتاج إلى معرفة الجهة المسؤولة عن معالجة الأثر، ولا ينبغي أن يتحول تعدد الجهات إلى تشتت في المساءلة</w:t>
      </w:r>
      <w:r w:rsidRPr="007F4E72">
        <w:rPr>
          <w:rFonts w:ascii="Times New Roman" w:eastAsia="Times New Roman" w:hAnsi="Times New Roman" w:cs="Times New Roman"/>
          <w:sz w:val="24"/>
          <w:szCs w:val="24"/>
        </w:rPr>
        <w:t>.</w:t>
      </w:r>
    </w:p>
    <w:p w14:paraId="429E2903"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175B2E42"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1ECD7CB1"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642BAE21" w14:textId="3261F01B"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وتظهر في الإمارات </w:t>
      </w:r>
      <w:r w:rsidR="00AB12F7" w:rsidRPr="00AB12F7">
        <w:rPr>
          <w:rFonts w:ascii="Times New Roman" w:eastAsia="Times New Roman" w:hAnsi="Times New Roman" w:cs="Times New Roman" w:hint="cs"/>
          <w:sz w:val="24"/>
          <w:szCs w:val="24"/>
          <w:vertAlign w:val="superscript"/>
          <w:rtl/>
        </w:rPr>
        <w:t>(</w:t>
      </w:r>
      <w:r w:rsidR="00AB12F7" w:rsidRPr="00AB12F7">
        <w:rPr>
          <w:rStyle w:val="a8"/>
          <w:rFonts w:ascii="Times New Roman" w:eastAsia="Times New Roman" w:hAnsi="Times New Roman" w:cs="Times New Roman"/>
          <w:vanish/>
          <w:sz w:val="24"/>
          <w:szCs w:val="24"/>
          <w:vertAlign w:val="baseline"/>
          <w:rtl/>
        </w:rPr>
        <w:footnoteReference w:id="11"/>
      </w:r>
      <w:r w:rsidR="00AB12F7" w:rsidRPr="00AB12F7">
        <w:rPr>
          <w:rFonts w:ascii="Times New Roman" w:eastAsia="Times New Roman" w:hAnsi="Times New Roman" w:cs="Times New Roman" w:hint="cs"/>
          <w:sz w:val="24"/>
          <w:szCs w:val="24"/>
          <w:vertAlign w:val="superscript"/>
          <w:rtl/>
        </w:rPr>
        <w:t>1)</w:t>
      </w:r>
      <w:r w:rsidR="00AB12F7" w:rsidRPr="007F4E72">
        <w:rPr>
          <w:rFonts w:ascii="Times New Roman" w:eastAsia="Times New Roman" w:hAnsi="Times New Roman" w:cs="Times New Roman" w:hint="cs"/>
          <w:sz w:val="24"/>
          <w:szCs w:val="24"/>
          <w:rtl/>
        </w:rPr>
        <w:t xml:space="preserve"> مسأل</w:t>
      </w:r>
      <w:r w:rsidR="00AB12F7" w:rsidRPr="007F4E72">
        <w:rPr>
          <w:rFonts w:ascii="Times New Roman" w:eastAsia="Times New Roman" w:hAnsi="Times New Roman" w:cs="Times New Roman" w:hint="eastAsia"/>
          <w:sz w:val="24"/>
          <w:szCs w:val="24"/>
          <w:rtl/>
        </w:rPr>
        <w:t>ة</w:t>
      </w:r>
      <w:r w:rsidRPr="007F4E72">
        <w:rPr>
          <w:rFonts w:ascii="Times New Roman" w:eastAsia="Times New Roman" w:hAnsi="Times New Roman" w:cs="Times New Roman"/>
          <w:sz w:val="24"/>
          <w:szCs w:val="24"/>
          <w:rtl/>
        </w:rPr>
        <w:t xml:space="preserve"> مختلفة نسبيًا؛ فإلى جانب تعدد الجهات التقنية والتنظيمية، تفرض الطبيعة الاتحادية للدولة ضرورة المواءمة بين المستويات الاتحادية والمحلية، ولا سيما مع وجود جهات قضائية اتحادية ومحلية. ولهذا تكتسب التشريعات الاتحادية، مثل قانون المعاملات الإلكترونية وخدمات الثقة، أهمية في توفير أرضية قانونية وتنظيمية مشتركة يمكن للجهات المختلفة الاعتماد عليها. وفي هذا السياق، لا تتمثل قيمة قانون خدمات الثقة في تنظيم التوقيع فقط، بل في توحيد مجموعة من عناصر الثقة الرقمية على المستوى الاتحادي، وهو ما يقلل من احتمالات اختلاف المعايير الأساسية بين الجهات</w:t>
      </w:r>
      <w:r w:rsidRPr="007F4E72">
        <w:rPr>
          <w:rFonts w:ascii="Times New Roman" w:eastAsia="Times New Roman" w:hAnsi="Times New Roman" w:cs="Times New Roman"/>
          <w:sz w:val="24"/>
          <w:szCs w:val="24"/>
        </w:rPr>
        <w:t>.</w:t>
      </w:r>
    </w:p>
    <w:p w14:paraId="7AC413F5"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أما سنغافورة فتقدم نموذجًا أكثر ميلًا إلى توحيد البنية التقنية الحكومية، مع بقاء إدارة القضاء في يد مؤسساته المختصة. ويظهر هذا الأمر في</w:t>
      </w:r>
      <w:r w:rsidRPr="007F4E72">
        <w:rPr>
          <w:rFonts w:ascii="Times New Roman" w:eastAsia="Times New Roman" w:hAnsi="Times New Roman" w:cs="Times New Roman"/>
          <w:sz w:val="24"/>
          <w:szCs w:val="24"/>
        </w:rPr>
        <w:t xml:space="preserve"> </w:t>
      </w:r>
      <w:proofErr w:type="spellStart"/>
      <w:r w:rsidRPr="007F4E72">
        <w:rPr>
          <w:rFonts w:ascii="Times New Roman" w:eastAsia="Times New Roman" w:hAnsi="Times New Roman" w:cs="Times New Roman"/>
          <w:sz w:val="24"/>
          <w:szCs w:val="24"/>
        </w:rPr>
        <w:t>eLitigation</w:t>
      </w:r>
      <w:proofErr w:type="spellEnd"/>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الذي يمثل منصة مركزية لإيداع وإدارة العديد من المستندات والقضايا، مع وجود إطار قانوني في</w:t>
      </w:r>
      <w:r w:rsidRPr="007F4E72">
        <w:rPr>
          <w:rFonts w:ascii="Times New Roman" w:eastAsia="Times New Roman" w:hAnsi="Times New Roman" w:cs="Times New Roman"/>
          <w:sz w:val="24"/>
          <w:szCs w:val="24"/>
        </w:rPr>
        <w:t xml:space="preserve"> Rules of Court 2021 </w:t>
      </w:r>
      <w:r w:rsidRPr="007F4E72">
        <w:rPr>
          <w:rFonts w:ascii="Times New Roman" w:eastAsia="Times New Roman" w:hAnsi="Times New Roman" w:cs="Times New Roman"/>
          <w:sz w:val="24"/>
          <w:szCs w:val="24"/>
          <w:rtl/>
        </w:rPr>
        <w:t>يحدد مقدم خدمة الإيداع والمشرف عليها ونظامها والمستخدمين المسجلين. وقد واصلت السلطة القضائية تطوير ترتيبات الدعم التشغيلي للمنصة؛ ففي 2026 أعلنت تحديث عمليات مكتب المساعدة ومكتب الخدمة المرتبطين بـ</w:t>
      </w:r>
      <w:r w:rsidRPr="007F4E72">
        <w:rPr>
          <w:rFonts w:ascii="Times New Roman" w:eastAsia="Times New Roman" w:hAnsi="Times New Roman" w:cs="Times New Roman"/>
          <w:sz w:val="24"/>
          <w:szCs w:val="24"/>
        </w:rPr>
        <w:t xml:space="preserve"> </w:t>
      </w:r>
      <w:proofErr w:type="spellStart"/>
      <w:r w:rsidRPr="007F4E72">
        <w:rPr>
          <w:rFonts w:ascii="Times New Roman" w:eastAsia="Times New Roman" w:hAnsi="Times New Roman" w:cs="Times New Roman"/>
          <w:sz w:val="24"/>
          <w:szCs w:val="24"/>
        </w:rPr>
        <w:t>eLitigation</w:t>
      </w:r>
      <w:proofErr w:type="spellEnd"/>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وتوسيع ساعات بعض الخدمات، وهو ما يبين أن الحوكمة الرقمية لا تتوقف عند بناء النظام، بل تشمل تشغيله ودعمه وتطويره المستمر</w:t>
      </w:r>
      <w:r w:rsidRPr="007F4E72">
        <w:rPr>
          <w:rFonts w:ascii="Times New Roman" w:eastAsia="Times New Roman" w:hAnsi="Times New Roman" w:cs="Times New Roman"/>
          <w:sz w:val="24"/>
          <w:szCs w:val="24"/>
        </w:rPr>
        <w:t>.</w:t>
      </w:r>
    </w:p>
    <w:p w14:paraId="4F3E9464"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ويكشف ذلك عن فارق مهم في مفهوم الحوكمة؛ فالتقنية القضائية لا ينبغي أن تعامل بوصفها «مشروعًا» له تاريخ بداية ونهاية، وإنما بوصفها </w:t>
      </w:r>
      <w:r w:rsidRPr="007F4E72">
        <w:rPr>
          <w:rFonts w:ascii="Times New Roman" w:eastAsia="Times New Roman" w:hAnsi="Times New Roman" w:cs="Times New Roman"/>
          <w:b/>
          <w:bCs/>
          <w:sz w:val="24"/>
          <w:szCs w:val="24"/>
          <w:rtl/>
        </w:rPr>
        <w:t>بنية أساسية مستمرة لمرفق العدالة</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وكلما أصبح الإيداع والتبليغ وإدارة الملفات معتمدًا على النظام الرقمي، أصبح مستوى الخدمة والدعم والصيانة واستمرارية العمل عناصر ذات آثار قانونية</w:t>
      </w:r>
      <w:r w:rsidRPr="007F4E72">
        <w:rPr>
          <w:rFonts w:ascii="Times New Roman" w:eastAsia="Times New Roman" w:hAnsi="Times New Roman" w:cs="Times New Roman"/>
          <w:sz w:val="24"/>
          <w:szCs w:val="24"/>
        </w:rPr>
        <w:t>.</w:t>
      </w:r>
    </w:p>
    <w:p w14:paraId="2ECF99DE"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وتتصل الحوكمة كذلك بـ </w:t>
      </w:r>
      <w:r w:rsidRPr="007F4E72">
        <w:rPr>
          <w:rFonts w:ascii="Times New Roman" w:eastAsia="Times New Roman" w:hAnsi="Times New Roman" w:cs="Times New Roman"/>
          <w:b/>
          <w:bCs/>
          <w:sz w:val="24"/>
          <w:szCs w:val="24"/>
          <w:rtl/>
        </w:rPr>
        <w:t>إدارة البيانات</w:t>
      </w:r>
      <w:r w:rsidRPr="007F4E72">
        <w:rPr>
          <w:rFonts w:ascii="Times New Roman" w:eastAsia="Times New Roman" w:hAnsi="Times New Roman" w:cs="Times New Roman"/>
          <w:sz w:val="24"/>
          <w:szCs w:val="24"/>
          <w:rtl/>
        </w:rPr>
        <w:t>؛ فالربط بين المحاكم والجهات الحكومية لا ينبغي أن يؤدي إلى السماح لكل جهة بالوصول إلى جميع البيانات لمجرد وجود اتصال تقني بينها. بل تقتضي الحوكمة تحديد مصدر البيانات الرسمي، والغرض الذي يسمح من أجله بالوصول، ومن يملك حق تعديلها، وكيف يسجل الدخول إليها، ومتى يجب تحديثها أو إتلافها. ويصبح هذا الأمر أكثر أهمية مع استخدام البيانات القضائية في التحليل أو أنظمة الذكاء الاصطناعي، لأن جودة القرار أو الخدمة تعتمد على جودة البيانات ومشروعيتها</w:t>
      </w:r>
      <w:r w:rsidRPr="007F4E72">
        <w:rPr>
          <w:rFonts w:ascii="Times New Roman" w:eastAsia="Times New Roman" w:hAnsi="Times New Roman" w:cs="Times New Roman"/>
          <w:sz w:val="24"/>
          <w:szCs w:val="24"/>
        </w:rPr>
        <w:t>.</w:t>
      </w:r>
    </w:p>
    <w:p w14:paraId="1DF2EDED"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4AF3E1F"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0942B1B"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55DDBFED" w14:textId="3F187832"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6D4EB5CF" w14:textId="2A2B3004"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lastRenderedPageBreak/>
        <w:t xml:space="preserve">كما تشمل الحوكمة </w:t>
      </w:r>
      <w:r w:rsidRPr="007F4E72">
        <w:rPr>
          <w:rFonts w:ascii="Times New Roman" w:eastAsia="Times New Roman" w:hAnsi="Times New Roman" w:cs="Times New Roman"/>
          <w:b/>
          <w:bCs/>
          <w:sz w:val="24"/>
          <w:szCs w:val="24"/>
          <w:rtl/>
        </w:rPr>
        <w:t>إدارة الأطراف الخارجية</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فالمحاكم والوزارات قد تعتمد على شركات في تطوير البرامج أو التشغيل أو الحوسبة السحابية، وهو ما يعني أن بعض أجزاء البيئة التقنية قد تكون خارج الإدارة المباشرة للجهة القضائية. ولا ينبغي أن يؤدي إسناد التشغيل إلى متعهد إلى انتقال المسؤولية القانونية كاملة إليه؛ فالجهة العامة تظل مسؤولة عن اختيار المزود ومراقبة امتثاله وضمان حقوق المتقاضين وفق نطاق اختصاصها</w:t>
      </w:r>
      <w:r w:rsidRPr="007F4E72">
        <w:rPr>
          <w:rFonts w:ascii="Times New Roman" w:eastAsia="Times New Roman" w:hAnsi="Times New Roman" w:cs="Times New Roman"/>
          <w:sz w:val="24"/>
          <w:szCs w:val="24"/>
        </w:rPr>
        <w:t>.</w:t>
      </w:r>
    </w:p>
    <w:p w14:paraId="7FA1B012"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ويظهر من المقارنة أن النموذج السعودي يتميز بالتخصص المؤسسي وتعدد الجهات الوطنية المرجعية، بينما يبرز في الإمارات دور الإطار الاتحادي في توحيد بعض المكونات الأساسية رغم تنوع البنى المحلية، في حين تظهر في سنغافورة درجة أعلى من توحيد البنية التشغيلية للإيداع القضائي. ولا يمكن القول إن المركزية أفضل دائمًا من التعدد؛ فالمعيار هو قدرة النموذج على توفير </w:t>
      </w:r>
      <w:r w:rsidRPr="007F4E72">
        <w:rPr>
          <w:rFonts w:ascii="Times New Roman" w:eastAsia="Times New Roman" w:hAnsi="Times New Roman" w:cs="Times New Roman"/>
          <w:b/>
          <w:bCs/>
          <w:sz w:val="24"/>
          <w:szCs w:val="24"/>
          <w:rtl/>
        </w:rPr>
        <w:t>وضوح الاختصاص، وقابلية التشغيل البيني، والمساءلة، واستمرارية الخدمة</w:t>
      </w:r>
      <w:r w:rsidRPr="007F4E72">
        <w:rPr>
          <w:rFonts w:ascii="Times New Roman" w:eastAsia="Times New Roman" w:hAnsi="Times New Roman" w:cs="Times New Roman"/>
          <w:sz w:val="24"/>
          <w:szCs w:val="24"/>
        </w:rPr>
        <w:t>.</w:t>
      </w:r>
    </w:p>
    <w:p w14:paraId="78EC95B3" w14:textId="40A5027A"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أن تطوير التنظيم المؤسسي السعودي يستدعي صياغة إطار أكثر تخصصًا لحوكمة العدالة الرقمية يحدد بصورة دقيقة العلاقة بين الجهة القضائية وهيئة الحكومة الرقمية والجهات المختصة بالأمن والبيانات ومقدمي الخدمات. وينبغي أن يتضمن هذا الإطار مسؤولية إدارة البيانات، ومستويات الخدمة، والاستجابة للأعطال، والتدقيق في الموردين، ونقل البيانات بين الأنظمة، مع النص بوضوح على أن الإدارة التقنية للمنصة لا تمتد إلى مضمون القرار القضائي أو استقلال القاضي. ويمكن في هذا الجانب الاستفادة من النموذج السنغافوري في تنظيم العلاقة بين خدمة الإيداع والمستخدمين والمشرف على النظام، ومن التجربة الإماراتية في استخدام تشريع اتحادي موحد لبعض مكونات الثقة الرقمية</w:t>
      </w:r>
      <w:r w:rsidRPr="007F4E72">
        <w:rPr>
          <w:rFonts w:ascii="Times New Roman" w:eastAsia="Times New Roman" w:hAnsi="Times New Roman" w:cs="Times New Roman"/>
          <w:sz w:val="24"/>
          <w:szCs w:val="24"/>
        </w:rPr>
        <w:t>.</w:t>
      </w:r>
    </w:p>
    <w:p w14:paraId="1E3CF19C" w14:textId="77777777" w:rsidR="007F4E72" w:rsidRPr="007F4E72" w:rsidRDefault="007F4E72" w:rsidP="007F4E72">
      <w:p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7F4E72">
        <w:rPr>
          <w:rFonts w:ascii="Times New Roman" w:eastAsia="Times New Roman" w:hAnsi="Times New Roman" w:cs="Times New Roman"/>
          <w:b/>
          <w:bCs/>
          <w:sz w:val="36"/>
          <w:szCs w:val="36"/>
          <w:rtl/>
        </w:rPr>
        <w:t>المطلب الثاني: الهوية الرقمية وخدمات الثقة والتصديق الإلكتروني</w:t>
      </w:r>
    </w:p>
    <w:p w14:paraId="230DB48E"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تمثل الهوية الرقمية وخدمات الثقة حلقة الوصل بين الشخص والإجراء الذي يقوم به في البيئة الإلكترونية؛ فنجاح التقاضي الرقمي يتوقف على إمكان الإجابة بدرجة كافية من اليقين عن سؤالين مترابطين: من قام بالإجراء؟ وهل ظل المستند أو البيانات المرتبطة به سليمة منذ إنشائها؟ وفي البيئة الورقية تؤدي وثائق الهوية والتوقيع الخطي والختم والتسليم المادي جانبًا من هذه الوظائف، بينما تحتاج البيئة الرقمية إلى أدوات تحقق مختلفة تستطيع أن تؤدي الوظائف ذاتها أو تحقق مستوى أعلى من الموثوقية</w:t>
      </w:r>
      <w:r w:rsidRPr="007F4E72">
        <w:rPr>
          <w:rFonts w:ascii="Times New Roman" w:eastAsia="Times New Roman" w:hAnsi="Times New Roman" w:cs="Times New Roman"/>
          <w:sz w:val="24"/>
          <w:szCs w:val="24"/>
        </w:rPr>
        <w:t>.</w:t>
      </w:r>
    </w:p>
    <w:p w14:paraId="5FD47EFB" w14:textId="50234A29"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وقد نظم نظام التعاملات الإلكترونية السعودي</w:t>
      </w:r>
      <w:r w:rsidR="00406949" w:rsidRPr="00406949">
        <w:rPr>
          <w:rFonts w:ascii="Times New Roman" w:eastAsia="Times New Roman" w:hAnsi="Times New Roman" w:cs="Times New Roman" w:hint="cs"/>
          <w:sz w:val="24"/>
          <w:szCs w:val="24"/>
          <w:vertAlign w:val="superscript"/>
          <w:rtl/>
        </w:rPr>
        <w:t>(1)</w:t>
      </w:r>
      <w:r w:rsidR="00406949" w:rsidRPr="00406949">
        <w:rPr>
          <w:rStyle w:val="a8"/>
          <w:rFonts w:ascii="Times New Roman" w:eastAsia="Times New Roman" w:hAnsi="Times New Roman" w:cs="Times New Roman"/>
          <w:vanish/>
          <w:sz w:val="24"/>
          <w:szCs w:val="24"/>
          <w:vertAlign w:val="baseline"/>
          <w:rtl/>
        </w:rPr>
        <w:footnoteReference w:id="12"/>
      </w:r>
      <w:r w:rsidRPr="007F4E72">
        <w:rPr>
          <w:rFonts w:ascii="Times New Roman" w:eastAsia="Times New Roman" w:hAnsi="Times New Roman" w:cs="Times New Roman"/>
          <w:sz w:val="24"/>
          <w:szCs w:val="24"/>
          <w:rtl/>
        </w:rPr>
        <w:t xml:space="preserve"> التوقيع الإلكتروني وشهادات التصديق ومقدمي خدمات التصديق، وهو ما وفر منذ وقت مبكر أساسًا قانونيًا للتأكد من نسبة التوقيع إلى صاحبه وتعزيز الثقة بالسجلات الإلكترونية. ويظل هذا الإطار مهمًا في بناء القضاء الرقمي، لأن أي طلب أو مستند أو إجراء لا يكتسب قيمة عملية كاملة إذا تعذر التحقق من هوية الشخص الذي أنشأه أو قدمه. غير أن التطور اللاحق في البيئة الرقمية كشف أن مفهوم «التصديق الإلكتروني» لا يغطي بالضرورة جميع الوظائف التي أصبحت مطلوبة في المعاملات عالية الحساسية</w:t>
      </w:r>
      <w:r w:rsidRPr="007F4E72">
        <w:rPr>
          <w:rFonts w:ascii="Times New Roman" w:eastAsia="Times New Roman" w:hAnsi="Times New Roman" w:cs="Times New Roman"/>
          <w:sz w:val="24"/>
          <w:szCs w:val="24"/>
        </w:rPr>
        <w:t>.</w:t>
      </w:r>
    </w:p>
    <w:p w14:paraId="4B3197EC"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9CAE43B"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6184363" w14:textId="4A27BB6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وقد اتجه المشرع الإماراتي </w:t>
      </w:r>
      <w:r w:rsidR="00406949" w:rsidRPr="00406949">
        <w:rPr>
          <w:rFonts w:ascii="Times New Roman" w:eastAsia="Times New Roman" w:hAnsi="Times New Roman" w:cs="Times New Roman" w:hint="cs"/>
          <w:sz w:val="24"/>
          <w:szCs w:val="24"/>
          <w:vertAlign w:val="superscript"/>
          <w:rtl/>
        </w:rPr>
        <w:t>(1)</w:t>
      </w:r>
      <w:r w:rsidR="00406949" w:rsidRPr="00406949">
        <w:rPr>
          <w:rStyle w:val="a8"/>
          <w:rFonts w:ascii="Times New Roman" w:eastAsia="Times New Roman" w:hAnsi="Times New Roman" w:cs="Times New Roman"/>
          <w:vanish/>
          <w:sz w:val="24"/>
          <w:szCs w:val="24"/>
          <w:vertAlign w:val="baseline"/>
          <w:rtl/>
        </w:rPr>
        <w:footnoteReference w:id="13"/>
      </w:r>
      <w:r w:rsidRPr="007F4E72">
        <w:rPr>
          <w:rFonts w:ascii="Times New Roman" w:eastAsia="Times New Roman" w:hAnsi="Times New Roman" w:cs="Times New Roman"/>
          <w:sz w:val="24"/>
          <w:szCs w:val="24"/>
          <w:rtl/>
        </w:rPr>
        <w:t xml:space="preserve">بصورة أكثر وضوحًا إلى توسيع هذه الدائرة من خلال المرسوم بقانون اتحادي رقم (46) لسنة 2021 الذي تناول </w:t>
      </w:r>
      <w:r w:rsidRPr="007F4E72">
        <w:rPr>
          <w:rFonts w:ascii="Times New Roman" w:eastAsia="Times New Roman" w:hAnsi="Times New Roman" w:cs="Times New Roman"/>
          <w:b/>
          <w:bCs/>
          <w:sz w:val="24"/>
          <w:szCs w:val="24"/>
          <w:rtl/>
        </w:rPr>
        <w:t>خدمات الثقة وخدمات الثقة المعتمدة</w:t>
      </w:r>
      <w:r w:rsidRPr="007F4E72">
        <w:rPr>
          <w:rFonts w:ascii="Times New Roman" w:eastAsia="Times New Roman" w:hAnsi="Times New Roman" w:cs="Times New Roman"/>
          <w:sz w:val="24"/>
          <w:szCs w:val="24"/>
          <w:rtl/>
        </w:rPr>
        <w:t>، ثم جاءت اللائحة التنفيذية الصادرة بقرار مجلس الوزراء رقم (28) لسنة 2023 لتضع متطلبات تفصيلية مرتبطة بتقديم هذه الخدمات. وتعكس هذه المنظومة تحولًا من التركيز على «توقيع الشخص» وحده إلى بناء مجموعة أدوات يمكن أن تدعم التحقق من التوقيع والختم والمستند والتوقيت وغيرها من عناصر الثقة في البيئة الإلكترونية</w:t>
      </w:r>
      <w:r w:rsidRPr="007F4E72">
        <w:rPr>
          <w:rFonts w:ascii="Times New Roman" w:eastAsia="Times New Roman" w:hAnsi="Times New Roman" w:cs="Times New Roman"/>
          <w:sz w:val="24"/>
          <w:szCs w:val="24"/>
        </w:rPr>
        <w:t>.</w:t>
      </w:r>
    </w:p>
    <w:p w14:paraId="1BDE35DD"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وتظهر أهمية هذا التطور في المجال القضائي على نحو خاص؛ فليس كل إجراء يحتاج فقط إلى معرفة صاحبه. ففي بعض الحالات يكون </w:t>
      </w:r>
      <w:r w:rsidRPr="007F4E72">
        <w:rPr>
          <w:rFonts w:ascii="Times New Roman" w:eastAsia="Times New Roman" w:hAnsi="Times New Roman" w:cs="Times New Roman"/>
          <w:b/>
          <w:bCs/>
          <w:sz w:val="24"/>
          <w:szCs w:val="24"/>
          <w:rtl/>
        </w:rPr>
        <w:t>تاريخ الإجراء</w:t>
      </w:r>
      <w:r w:rsidRPr="007F4E72">
        <w:rPr>
          <w:rFonts w:ascii="Times New Roman" w:eastAsia="Times New Roman" w:hAnsi="Times New Roman" w:cs="Times New Roman"/>
          <w:sz w:val="24"/>
          <w:szCs w:val="24"/>
          <w:rtl/>
        </w:rPr>
        <w:t xml:space="preserve"> مساويًا في أهميته للهوية، كما هو الحال في الطعون والمواعيد، وفي حالات أخرى يكون المطلوب إثبات أن المستند صدر عن جهة قضائية معينة ولم يتغير بعد صدوره، وهنا تبرز وظيفة الختم الإلكتروني، بينما يتطلب التبليغ إثبات إرسال المستند واستلامه أو إتاحته بصورة يمكن التعويل عليها. ومن ثم، فإن خدمات الثقة تمثل شبكة من الأدوات التي يمكن أن تدعم الخصومة في مراحل مختلفة</w:t>
      </w:r>
      <w:r w:rsidRPr="007F4E72">
        <w:rPr>
          <w:rFonts w:ascii="Times New Roman" w:eastAsia="Times New Roman" w:hAnsi="Times New Roman" w:cs="Times New Roman"/>
          <w:sz w:val="24"/>
          <w:szCs w:val="24"/>
        </w:rPr>
        <w:t>.</w:t>
      </w:r>
    </w:p>
    <w:p w14:paraId="36C50D5E" w14:textId="71BFAD33"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أما </w:t>
      </w:r>
      <w:r w:rsidR="00406949" w:rsidRPr="007F4E72">
        <w:rPr>
          <w:rFonts w:ascii="Times New Roman" w:eastAsia="Times New Roman" w:hAnsi="Times New Roman" w:cs="Times New Roman" w:hint="cs"/>
          <w:sz w:val="24"/>
          <w:szCs w:val="24"/>
          <w:rtl/>
        </w:rPr>
        <w:t>سنغافورة</w:t>
      </w:r>
      <w:r w:rsidR="00406949" w:rsidRPr="00406949">
        <w:rPr>
          <w:rFonts w:ascii="Times New Roman" w:eastAsia="Times New Roman" w:hAnsi="Times New Roman" w:cs="Times New Roman" w:hint="cs"/>
          <w:sz w:val="24"/>
          <w:szCs w:val="24"/>
          <w:vertAlign w:val="superscript"/>
          <w:rtl/>
        </w:rPr>
        <w:t xml:space="preserve"> </w:t>
      </w:r>
      <w:r w:rsidR="00406949" w:rsidRPr="00406949">
        <w:rPr>
          <w:rFonts w:ascii="Times New Roman" w:eastAsia="Times New Roman" w:hAnsi="Times New Roman" w:cs="Times New Roman"/>
          <w:sz w:val="24"/>
          <w:szCs w:val="24"/>
          <w:vertAlign w:val="superscript"/>
          <w:rtl/>
        </w:rPr>
        <w:t>(</w:t>
      </w:r>
      <w:r w:rsidR="00406949" w:rsidRPr="00406949">
        <w:rPr>
          <w:rFonts w:ascii="Times New Roman" w:eastAsia="Times New Roman" w:hAnsi="Times New Roman" w:cs="Times New Roman" w:hint="cs"/>
          <w:sz w:val="24"/>
          <w:szCs w:val="24"/>
          <w:vertAlign w:val="superscript"/>
          <w:rtl/>
        </w:rPr>
        <w:t>2)</w:t>
      </w:r>
      <w:r w:rsidRPr="007F4E72">
        <w:rPr>
          <w:rFonts w:ascii="Times New Roman" w:eastAsia="Times New Roman" w:hAnsi="Times New Roman" w:cs="Times New Roman"/>
          <w:sz w:val="24"/>
          <w:szCs w:val="24"/>
          <w:rtl/>
        </w:rPr>
        <w:t xml:space="preserve"> فتبنت نموذجًا يجمع بين الاعتراف العام بالتوقيعات الإلكترونية وتنظيم مستوى أكثر أمانًا من التوقيع، إلى جانب إطار سلطات التصديق الذي تشرف عليه هيئة تطوير الإعلام والاتصالات. وتبين قواعد المحكمة كذلك أن الإيداع الإلكتروني يتضمن تنظيم المستخدمين المسجلين والمخولين وتوقيع المستندات الإلكترونية، وهو ما يربط الهوية الرقمية بالعمل الإجرائي مباشرة</w:t>
      </w:r>
      <w:r w:rsidRPr="007F4E72">
        <w:rPr>
          <w:rFonts w:ascii="Times New Roman" w:eastAsia="Times New Roman" w:hAnsi="Times New Roman" w:cs="Times New Roman"/>
          <w:sz w:val="24"/>
          <w:szCs w:val="24"/>
        </w:rPr>
        <w:t>.</w:t>
      </w:r>
    </w:p>
    <w:p w14:paraId="409E9DD3"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ويكشف اختلاف النماذج الثلاثة عن قضية تتعلق بـ </w:t>
      </w:r>
      <w:r w:rsidRPr="007F4E72">
        <w:rPr>
          <w:rFonts w:ascii="Times New Roman" w:eastAsia="Times New Roman" w:hAnsi="Times New Roman" w:cs="Times New Roman"/>
          <w:b/>
          <w:bCs/>
          <w:sz w:val="24"/>
          <w:szCs w:val="24"/>
          <w:rtl/>
        </w:rPr>
        <w:t>درجات الثقة</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فإذا فُرضت أعلى وسائل التوثيق على كل إجراء قضائي، فقد يؤدي ذلك إلى رفع التكلفة وتعقيد الوصول إلى العدالة، بينما يؤدي الاكتفاء بتحقق بسيط في جميع الحالات إلى إضعاف الحماية في الإجراءات ذات الخطورة العالية. ولذلك يبدو أن النموذج الأكثر ملاءمة هو الذي يبني مستوى الثقة وفق طبيعة الإجراء ومقدار الخطر المرتبط به</w:t>
      </w:r>
      <w:r w:rsidRPr="007F4E72">
        <w:rPr>
          <w:rFonts w:ascii="Times New Roman" w:eastAsia="Times New Roman" w:hAnsi="Times New Roman" w:cs="Times New Roman"/>
          <w:sz w:val="24"/>
          <w:szCs w:val="24"/>
        </w:rPr>
        <w:t>.</w:t>
      </w:r>
    </w:p>
    <w:p w14:paraId="201976DB"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فمجرد الاطلاع على حالة قضية لا يحتاج إلى متطلبات مماثلة للتوقيع على إقرار قضائي أو التنازل عن حق أو اعتماد حكم. ومن هنا ينبغي أن تقوم البيئة القضائية على </w:t>
      </w:r>
      <w:r w:rsidRPr="007F4E72">
        <w:rPr>
          <w:rFonts w:ascii="Times New Roman" w:eastAsia="Times New Roman" w:hAnsi="Times New Roman" w:cs="Times New Roman"/>
          <w:b/>
          <w:bCs/>
          <w:sz w:val="24"/>
          <w:szCs w:val="24"/>
          <w:rtl/>
        </w:rPr>
        <w:t>مبدأ التناسب في التحقق الرقمي</w:t>
      </w:r>
      <w:r w:rsidRPr="007F4E72">
        <w:rPr>
          <w:rFonts w:ascii="Times New Roman" w:eastAsia="Times New Roman" w:hAnsi="Times New Roman" w:cs="Times New Roman"/>
          <w:sz w:val="24"/>
          <w:szCs w:val="24"/>
          <w:rtl/>
        </w:rPr>
        <w:t>، بحيث ترتفع المتطلبات كلما ازدادت خطورة الأثر القانوني</w:t>
      </w:r>
      <w:r w:rsidRPr="007F4E72">
        <w:rPr>
          <w:rFonts w:ascii="Times New Roman" w:eastAsia="Times New Roman" w:hAnsi="Times New Roman" w:cs="Times New Roman"/>
          <w:sz w:val="24"/>
          <w:szCs w:val="24"/>
        </w:rPr>
        <w:t>.</w:t>
      </w:r>
    </w:p>
    <w:p w14:paraId="25F2765E"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6A82C204"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74C4CE5B"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53BB72B1" w14:textId="50F1DBED"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0BF162D0" w14:textId="5F762D79"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وتظهر كذلك أهمية </w:t>
      </w:r>
      <w:r w:rsidRPr="007F4E72">
        <w:rPr>
          <w:rFonts w:ascii="Times New Roman" w:eastAsia="Times New Roman" w:hAnsi="Times New Roman" w:cs="Times New Roman"/>
          <w:b/>
          <w:bCs/>
          <w:sz w:val="24"/>
          <w:szCs w:val="24"/>
          <w:rtl/>
        </w:rPr>
        <w:t>الطابع الزمني الإلكتروني</w:t>
      </w:r>
      <w:r w:rsidRPr="007F4E72">
        <w:rPr>
          <w:rFonts w:ascii="Times New Roman" w:eastAsia="Times New Roman" w:hAnsi="Times New Roman" w:cs="Times New Roman"/>
          <w:sz w:val="24"/>
          <w:szCs w:val="24"/>
          <w:rtl/>
        </w:rPr>
        <w:t>؛ ففي البيئة الورقية يمكن ختم المستند عند تقديمه لإثبات وقت الإيداع، أما في البيئة الرقمية فيستطيع نظام موثوق تسجيل التاريخ والساعة بصورة دقيقة. وتتحول هذه المعلومة إلى عنصر قانوني حاسم عندما يتعلق الأمر بموعد ينتهي في وقت محدد. وإذا أضيف إلى الطابع الزمني سجل فني يثبت أن الملف لم يعدل بعد ذلك، ارتفعت درجة الثقة بالدليل</w:t>
      </w:r>
      <w:r w:rsidRPr="007F4E72">
        <w:rPr>
          <w:rFonts w:ascii="Times New Roman" w:eastAsia="Times New Roman" w:hAnsi="Times New Roman" w:cs="Times New Roman"/>
          <w:sz w:val="24"/>
          <w:szCs w:val="24"/>
        </w:rPr>
        <w:t>.</w:t>
      </w:r>
    </w:p>
    <w:p w14:paraId="46688254" w14:textId="081EF47D"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وتؤدي </w:t>
      </w:r>
      <w:r w:rsidRPr="007F4E72">
        <w:rPr>
          <w:rFonts w:ascii="Times New Roman" w:eastAsia="Times New Roman" w:hAnsi="Times New Roman" w:cs="Times New Roman"/>
          <w:b/>
          <w:bCs/>
          <w:sz w:val="24"/>
          <w:szCs w:val="24"/>
          <w:rtl/>
        </w:rPr>
        <w:t>الأختام الإلكترونية</w:t>
      </w:r>
      <w:r w:rsidR="00406949" w:rsidRPr="00361B7D">
        <w:rPr>
          <w:rFonts w:ascii="Times New Roman" w:eastAsia="Times New Roman" w:hAnsi="Times New Roman" w:cs="Times New Roman" w:hint="cs"/>
          <w:sz w:val="24"/>
          <w:szCs w:val="24"/>
          <w:vertAlign w:val="superscript"/>
          <w:rtl/>
        </w:rPr>
        <w:t>(1)</w:t>
      </w:r>
      <w:r w:rsidR="00361B7D" w:rsidRPr="00361B7D">
        <w:rPr>
          <w:rStyle w:val="a8"/>
          <w:rFonts w:ascii="Times New Roman" w:eastAsia="Times New Roman" w:hAnsi="Times New Roman" w:cs="Times New Roman"/>
          <w:vanish/>
          <w:sz w:val="24"/>
          <w:szCs w:val="24"/>
          <w:vertAlign w:val="baseline"/>
          <w:rtl/>
        </w:rPr>
        <w:footnoteReference w:id="14"/>
      </w:r>
      <w:r w:rsidRPr="00361B7D">
        <w:rPr>
          <w:rFonts w:ascii="Times New Roman" w:eastAsia="Times New Roman" w:hAnsi="Times New Roman" w:cs="Times New Roman"/>
          <w:vanish/>
          <w:sz w:val="24"/>
          <w:szCs w:val="24"/>
          <w:rtl/>
        </w:rPr>
        <w:t xml:space="preserve"> </w:t>
      </w:r>
      <w:r w:rsidRPr="007F4E72">
        <w:rPr>
          <w:rFonts w:ascii="Times New Roman" w:eastAsia="Times New Roman" w:hAnsi="Times New Roman" w:cs="Times New Roman"/>
          <w:sz w:val="24"/>
          <w:szCs w:val="24"/>
          <w:rtl/>
        </w:rPr>
        <w:t>وظيفة أخرى تختلف عن التوقيع الشخصي؛ فهي أكثر ملاءمة لإثبات أن المستند صدر عن مؤسسة أو جهة معينة، ويمكن أن يكون لها دور مهم في الأحكام والأوامر والشهادات والمستخرجات القضائية الإلكترونية. كما تؤدي خدمات التسليم المسجل وظيفة وثيقة الصلة بالتبليغات القضائية؛ لأنها يمكن أن توفر سجلًا بشأن الإرسال والاستلام أو الإتاحة بدل الاكتفاء بادعاء أن رسالة أرسلت</w:t>
      </w:r>
      <w:r w:rsidRPr="007F4E72">
        <w:rPr>
          <w:rFonts w:ascii="Times New Roman" w:eastAsia="Times New Roman" w:hAnsi="Times New Roman" w:cs="Times New Roman"/>
          <w:sz w:val="24"/>
          <w:szCs w:val="24"/>
        </w:rPr>
        <w:t>.</w:t>
      </w:r>
    </w:p>
    <w:p w14:paraId="325CB645"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ولا ينبغي، مع ذلك، أن تتحول خدمات الثقة إلى بديل عن التقدير القضائي. فوجود شهادة أو طابع زمني أو توقيع معتمد يوفر قرائن قوية على الصحة، لكنه لا يمنع المنازعة في حالات مثل سرقة وسيلة التوقيع، أو استخدام الحساب بالإكراه، أو خلل مقدم الخدمة. ولذلك فالأدق أن تمنح هذه الوسائل </w:t>
      </w:r>
      <w:r w:rsidRPr="007F4E72">
        <w:rPr>
          <w:rFonts w:ascii="Times New Roman" w:eastAsia="Times New Roman" w:hAnsi="Times New Roman" w:cs="Times New Roman"/>
          <w:b/>
          <w:bCs/>
          <w:sz w:val="24"/>
          <w:szCs w:val="24"/>
          <w:rtl/>
        </w:rPr>
        <w:t>قرائن قانونية قابلة لإثبات العكس</w:t>
      </w:r>
      <w:r w:rsidRPr="007F4E72">
        <w:rPr>
          <w:rFonts w:ascii="Times New Roman" w:eastAsia="Times New Roman" w:hAnsi="Times New Roman" w:cs="Times New Roman"/>
          <w:sz w:val="24"/>
          <w:szCs w:val="24"/>
          <w:rtl/>
        </w:rPr>
        <w:t xml:space="preserve"> بدل اعتبارها حقيقة مطلقة</w:t>
      </w:r>
      <w:r w:rsidRPr="007F4E72">
        <w:rPr>
          <w:rFonts w:ascii="Times New Roman" w:eastAsia="Times New Roman" w:hAnsi="Times New Roman" w:cs="Times New Roman"/>
          <w:sz w:val="24"/>
          <w:szCs w:val="24"/>
        </w:rPr>
        <w:t>.</w:t>
      </w:r>
    </w:p>
    <w:p w14:paraId="29C9422B"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وتكشف المقارنة أن المملكة أسست مبكرًا لتنظيم التوقيع والتصديق الإلكتروني، بينما أحدثت الإمارات توسعًا تشريعيًا واضحًا من التصديق إلى منظومة خدمات الثقة، في حين تجمع سنغافورة بين الحياد التقني ومستويات أعلى من الأمان عند الحاجة. ولا ينبغي أن يؤدي تحديث التنظيم السعودي إلى مجرد استنساخ النموذج الإماراتي، بل إلى بناء نظام يتلاءم مع طبيعة البيئة العدلية السعودية ويستفيد في الوقت ذاته من مبدأ التدرج والحياد التقني</w:t>
      </w:r>
      <w:r w:rsidRPr="007F4E72">
        <w:rPr>
          <w:rFonts w:ascii="Times New Roman" w:eastAsia="Times New Roman" w:hAnsi="Times New Roman" w:cs="Times New Roman"/>
          <w:sz w:val="24"/>
          <w:szCs w:val="24"/>
        </w:rPr>
        <w:t>.</w:t>
      </w:r>
    </w:p>
    <w:p w14:paraId="28FC41F1" w14:textId="02FB9382"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أن التطوير المناسب للمملكة يتمثل في إنشاء </w:t>
      </w:r>
      <w:r w:rsidRPr="007F4E72">
        <w:rPr>
          <w:rFonts w:ascii="Times New Roman" w:eastAsia="Times New Roman" w:hAnsi="Times New Roman" w:cs="Times New Roman"/>
          <w:b/>
          <w:bCs/>
          <w:sz w:val="24"/>
          <w:szCs w:val="24"/>
          <w:rtl/>
        </w:rPr>
        <w:t>إطار متكامل لخدمات الثقة القضائية</w:t>
      </w:r>
      <w:r w:rsidRPr="007F4E72">
        <w:rPr>
          <w:rFonts w:ascii="Times New Roman" w:eastAsia="Times New Roman" w:hAnsi="Times New Roman" w:cs="Times New Roman"/>
          <w:sz w:val="24"/>
          <w:szCs w:val="24"/>
          <w:rtl/>
        </w:rPr>
        <w:t xml:space="preserve"> يضم التوقيع والختم والطابع الزمني وخدمة التسليم الإلكتروني المسجل والتحقق من المستندات، مع تصنيف الإجراءات وفق مستوى الخطورة وتحديد أثر كل مستوى من الثقة في الإثبات. ويمكن أن يقرر النظام، على سبيل المثال، قرينة أعلى للمستند الصادر عن منصة قضائية والمختوم إلكترونيًا أو الموقع بواسطة خدمة موثوقة، دون منع الخصم من إثبات العكس. ويجمع هذا النهج بين قوة النموذج الإماراتي في تعدد خدمات الثقة، ومرونة النموذج السنغافوري، والأساس التشريعي القائم بالفعل في المملكة</w:t>
      </w:r>
      <w:r w:rsidRPr="007F4E72">
        <w:rPr>
          <w:rFonts w:ascii="Times New Roman" w:eastAsia="Times New Roman" w:hAnsi="Times New Roman" w:cs="Times New Roman"/>
          <w:sz w:val="24"/>
          <w:szCs w:val="24"/>
        </w:rPr>
        <w:t>.</w:t>
      </w:r>
    </w:p>
    <w:p w14:paraId="5EB0856D" w14:textId="77777777" w:rsidR="007F4E72" w:rsidRPr="007F4E72" w:rsidRDefault="007F4E72" w:rsidP="007F4E72">
      <w:pPr>
        <w:spacing w:before="100" w:beforeAutospacing="1" w:after="100" w:afterAutospacing="1" w:line="360" w:lineRule="auto"/>
        <w:jc w:val="both"/>
        <w:rPr>
          <w:rFonts w:ascii="Times New Roman" w:eastAsia="Times New Roman" w:hAnsi="Times New Roman" w:cs="Times New Roman"/>
          <w:sz w:val="24"/>
          <w:szCs w:val="24"/>
          <w:rtl/>
        </w:rPr>
      </w:pPr>
    </w:p>
    <w:p w14:paraId="30559088" w14:textId="77777777" w:rsidR="007F4E72" w:rsidRDefault="007F4E72" w:rsidP="007F4E72">
      <w:pPr>
        <w:spacing w:line="36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A5D74B4" w14:textId="77777777" w:rsidR="007F4E72" w:rsidRPr="007F4E72" w:rsidRDefault="007F4E72" w:rsidP="007F4E72">
      <w:p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7F4E72">
        <w:rPr>
          <w:rFonts w:ascii="Times New Roman" w:eastAsia="Times New Roman" w:hAnsi="Times New Roman" w:cs="Times New Roman"/>
          <w:b/>
          <w:bCs/>
          <w:sz w:val="36"/>
          <w:szCs w:val="36"/>
          <w:rtl/>
        </w:rPr>
        <w:lastRenderedPageBreak/>
        <w:t>المطلب الثالث: الحماية القانونية للبيانات والأمن السيبراني</w:t>
      </w:r>
    </w:p>
    <w:p w14:paraId="2E5303AB"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يمثل أمن البيانات والأنظمة الضمانة التي تقوم عليها جميع المرتكزات السابقة؛ إذ لا قيمة للاعتراف بالتوقيع الإلكتروني أو للإيداع الرقمي إذا كان من الممكن تغيير المستندات أو كشف بيانات الخصوم أو تعطيل المنصة من دون وجود نظام قانوني وتقني للحماية. وتزداد أهمية هذه المسألة في القضاء بسبب الطبيعة الحساسة للبيانات التي تعالجها المحاكم، والتي قد تشمل المعلومات الصحية والمالية والأسرية والجنائية والأسرار التجارية وغيرها من المعلومات التي قد يترتب على كشفها ضرر جسيم</w:t>
      </w:r>
      <w:r w:rsidRPr="007F4E72">
        <w:rPr>
          <w:rFonts w:ascii="Times New Roman" w:eastAsia="Times New Roman" w:hAnsi="Times New Roman" w:cs="Times New Roman"/>
          <w:sz w:val="24"/>
          <w:szCs w:val="24"/>
        </w:rPr>
        <w:t>.</w:t>
      </w:r>
    </w:p>
    <w:p w14:paraId="41C08EA3"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ويجب في هذا السياق التمييز بين </w:t>
      </w:r>
      <w:r w:rsidRPr="007F4E72">
        <w:rPr>
          <w:rFonts w:ascii="Times New Roman" w:eastAsia="Times New Roman" w:hAnsi="Times New Roman" w:cs="Times New Roman"/>
          <w:b/>
          <w:bCs/>
          <w:sz w:val="24"/>
          <w:szCs w:val="24"/>
          <w:rtl/>
        </w:rPr>
        <w:t>حماية البيانات الشخصية</w:t>
      </w:r>
      <w:r w:rsidRPr="007F4E72">
        <w:rPr>
          <w:rFonts w:ascii="Times New Roman" w:eastAsia="Times New Roman" w:hAnsi="Times New Roman" w:cs="Times New Roman"/>
          <w:sz w:val="24"/>
          <w:szCs w:val="24"/>
          <w:rtl/>
        </w:rPr>
        <w:t xml:space="preserve"> و</w:t>
      </w:r>
      <w:r w:rsidRPr="007F4E72">
        <w:rPr>
          <w:rFonts w:ascii="Times New Roman" w:eastAsia="Times New Roman" w:hAnsi="Times New Roman" w:cs="Times New Roman"/>
          <w:b/>
          <w:bCs/>
          <w:sz w:val="24"/>
          <w:szCs w:val="24"/>
          <w:rtl/>
        </w:rPr>
        <w:t>الأمن السيبراني</w:t>
      </w:r>
      <w:r w:rsidRPr="007F4E72">
        <w:rPr>
          <w:rFonts w:ascii="Times New Roman" w:eastAsia="Times New Roman" w:hAnsi="Times New Roman" w:cs="Times New Roman"/>
          <w:sz w:val="24"/>
          <w:szCs w:val="24"/>
          <w:rtl/>
        </w:rPr>
        <w:t>؛ فالأولى تركز على مشروعية جمع البيانات واستخدامها والإفصاح عنها وحقوق أصحابها، بينما يركز الثاني على حماية الأنظمة والبيانات من الاختراق والفقد والتغيير والتعطيل. ويتكامل المجالان في العدالة الرقمية؛ فقد تكون المعالجة مشروعة من حيث الغرض، لكنها غير آمنة تقنيًا، أو قد يكون النظام شديد الأمان لكن جمع البيانات فيه تم بصورة تتجاوز الغرض القانوني</w:t>
      </w:r>
      <w:r w:rsidRPr="007F4E72">
        <w:rPr>
          <w:rFonts w:ascii="Times New Roman" w:eastAsia="Times New Roman" w:hAnsi="Times New Roman" w:cs="Times New Roman"/>
          <w:sz w:val="24"/>
          <w:szCs w:val="24"/>
        </w:rPr>
        <w:t>.</w:t>
      </w:r>
    </w:p>
    <w:p w14:paraId="132CE30D" w14:textId="20E5EC22"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وقد أوجد نظام حماية البيانات الشخصية السعودي</w:t>
      </w:r>
      <w:r w:rsidR="00873376" w:rsidRPr="00873376">
        <w:rPr>
          <w:rFonts w:ascii="Times New Roman" w:eastAsia="Times New Roman" w:hAnsi="Times New Roman" w:cs="Times New Roman" w:hint="cs"/>
          <w:sz w:val="24"/>
          <w:szCs w:val="24"/>
          <w:vertAlign w:val="superscript"/>
          <w:rtl/>
        </w:rPr>
        <w:t>(1)</w:t>
      </w:r>
      <w:r w:rsidR="00873376" w:rsidRPr="00873376">
        <w:rPr>
          <w:rStyle w:val="a8"/>
          <w:rFonts w:ascii="Times New Roman" w:eastAsia="Times New Roman" w:hAnsi="Times New Roman" w:cs="Times New Roman"/>
          <w:vanish/>
          <w:sz w:val="24"/>
          <w:szCs w:val="24"/>
          <w:vertAlign w:val="baseline"/>
          <w:rtl/>
        </w:rPr>
        <w:footnoteReference w:id="15"/>
      </w:r>
      <w:r w:rsidRPr="00873376">
        <w:rPr>
          <w:rFonts w:ascii="Times New Roman" w:eastAsia="Times New Roman" w:hAnsi="Times New Roman" w:cs="Times New Roman"/>
          <w:vanish/>
          <w:sz w:val="24"/>
          <w:szCs w:val="24"/>
          <w:rtl/>
        </w:rPr>
        <w:t xml:space="preserve"> </w:t>
      </w:r>
      <w:r w:rsidRPr="007F4E72">
        <w:rPr>
          <w:rFonts w:ascii="Times New Roman" w:eastAsia="Times New Roman" w:hAnsi="Times New Roman" w:cs="Times New Roman"/>
          <w:sz w:val="24"/>
          <w:szCs w:val="24"/>
          <w:rtl/>
        </w:rPr>
        <w:t>إطارًا قانونيًا لمعالجة البيانات وحقوق أصحابها والتزامات الجهات التي تتحكم فيها، بالتوازي مع منظومة وطنية للأمن السيبراني تقودها الهيئة الوطنية للأمن السيبراني باعتبارها المرجع الوطني المختص. وفي 2024 حدثت الهيئة الضوابط الأساسية للأمن السيبراني</w:t>
      </w:r>
      <w:r w:rsidRPr="007F4E72">
        <w:rPr>
          <w:rFonts w:ascii="Times New Roman" w:eastAsia="Times New Roman" w:hAnsi="Times New Roman" w:cs="Times New Roman"/>
          <w:sz w:val="24"/>
          <w:szCs w:val="24"/>
        </w:rPr>
        <w:t xml:space="preserve"> ECC 2-2024 </w:t>
      </w:r>
      <w:r w:rsidRPr="007F4E72">
        <w:rPr>
          <w:rFonts w:ascii="Times New Roman" w:eastAsia="Times New Roman" w:hAnsi="Times New Roman" w:cs="Times New Roman"/>
          <w:sz w:val="24"/>
          <w:szCs w:val="24"/>
          <w:rtl/>
        </w:rPr>
        <w:t>لتعزيز الأمن الوطني وحماية الأصول المعلوماتية والتقنية للجهات الوطنية، كما توجد ضوابط متخصصة للأمن السيبراني للبيانات والحوسبة السحابية</w:t>
      </w:r>
      <w:r w:rsidRPr="007F4E72">
        <w:rPr>
          <w:rFonts w:ascii="Times New Roman" w:eastAsia="Times New Roman" w:hAnsi="Times New Roman" w:cs="Times New Roman"/>
          <w:sz w:val="24"/>
          <w:szCs w:val="24"/>
        </w:rPr>
        <w:t>.</w:t>
      </w:r>
    </w:p>
    <w:p w14:paraId="3C0F296A"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ويكشف ذلك عن انتقال التنظيم السعودي من مفهوم الحماية اللاحقة الذي يركز على تجريم الاختراق إلى مفهوم </w:t>
      </w:r>
      <w:r w:rsidRPr="007F4E72">
        <w:rPr>
          <w:rFonts w:ascii="Times New Roman" w:eastAsia="Times New Roman" w:hAnsi="Times New Roman" w:cs="Times New Roman"/>
          <w:b/>
          <w:bCs/>
          <w:sz w:val="24"/>
          <w:szCs w:val="24"/>
          <w:rtl/>
        </w:rPr>
        <w:t>الوقاية التنظيمية</w:t>
      </w:r>
      <w:r w:rsidRPr="007F4E72">
        <w:rPr>
          <w:rFonts w:ascii="Times New Roman" w:eastAsia="Times New Roman" w:hAnsi="Times New Roman" w:cs="Times New Roman"/>
          <w:sz w:val="24"/>
          <w:szCs w:val="24"/>
          <w:rtl/>
        </w:rPr>
        <w:t>؛ فالضوابط الأساسية تتناول الحوكمة، والحماية، والصمود السيبراني، وأمن الأطراف الخارجية والخدمات السحابية. ولا تتعلق هذه العناصر بالتقنية وحدها، وإنما لها أثر مباشر في صحة واستدامة القضاء الرقمي. فالصمود السيبراني يعني قدرة المحكمة على الاستمرار أو استعادة عملها بعد الحادث، بينما يتعلق أمن الأطراف الخارجية بمقدمي الخدمات الذين قد يحتفظون أو يعالجون جزءًا من البيانات القضائية</w:t>
      </w:r>
      <w:r w:rsidRPr="007F4E72">
        <w:rPr>
          <w:rFonts w:ascii="Times New Roman" w:eastAsia="Times New Roman" w:hAnsi="Times New Roman" w:cs="Times New Roman"/>
          <w:sz w:val="24"/>
          <w:szCs w:val="24"/>
        </w:rPr>
        <w:t>.</w:t>
      </w:r>
    </w:p>
    <w:p w14:paraId="2CB48A1F"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وفي الإمارات، تتشكل الحماية من خلال تكامل عدة تشريعات؛ إذ ينظم المرسوم بقانون اتحادي رقم (45) لسنة 2021 حماية البيانات الشخصية، بينما يعمل قانون المعاملات الإلكترونية وخدمات الثقة على تأمين الثقة في التعاملات، ويضيف قانون الجرائم الإلكترونية حماية جزائية ضد صور الاعتداء الإلكتروني. ويحقق هذا التعدد حماية متعددة الطبقات، لكنه يفرض في المقابل ضرورة التنسيق بين الجهات والقواعد حتى لا تتداخل المسؤوليات أو تختلف متطلبات الامتثال</w:t>
      </w:r>
      <w:r w:rsidRPr="007F4E72">
        <w:rPr>
          <w:rFonts w:ascii="Times New Roman" w:eastAsia="Times New Roman" w:hAnsi="Times New Roman" w:cs="Times New Roman"/>
          <w:sz w:val="24"/>
          <w:szCs w:val="24"/>
        </w:rPr>
        <w:t>.</w:t>
      </w:r>
    </w:p>
    <w:p w14:paraId="1DA18B5E"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5249F4AE"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4D2B1824" w14:textId="77777777" w:rsid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tl/>
        </w:rPr>
      </w:pPr>
    </w:p>
    <w:p w14:paraId="25238D19" w14:textId="566DCBAA"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أما سنغافورة، فيقوم إطار الحماية على الفصل الوظيفي بين تنظيم البيانات الشخصية والأمن السيبراني والتعاملات الإلكترونية؛ فكل مجال يعالج جانبًا محددًا ضمن منظومة متكاملة. ويتميز هذا الأسلوب بإمكان تحديث الجانب الأمني دون إعادة صياغة كامل قانون البيانات أو المعاملات، وهو ما يتلاءم مع سرعة تغير المخاطر السيبرانية. ويظهر النهج نفسه في الاعتماد على قواعد تفصيلية وتوجيهات تشغيلية إلى جانب التشريع العام</w:t>
      </w:r>
      <w:r w:rsidRPr="007F4E72">
        <w:rPr>
          <w:rFonts w:ascii="Times New Roman" w:eastAsia="Times New Roman" w:hAnsi="Times New Roman" w:cs="Times New Roman"/>
          <w:sz w:val="24"/>
          <w:szCs w:val="24"/>
        </w:rPr>
        <w:t>.</w:t>
      </w:r>
    </w:p>
    <w:p w14:paraId="5FE8B6A5"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ويثير القضاء الرقمي، بصورة خاصة، مسألة </w:t>
      </w:r>
      <w:r w:rsidRPr="007F4E72">
        <w:rPr>
          <w:rFonts w:ascii="Times New Roman" w:eastAsia="Times New Roman" w:hAnsi="Times New Roman" w:cs="Times New Roman"/>
          <w:b/>
          <w:bCs/>
          <w:sz w:val="24"/>
          <w:szCs w:val="24"/>
          <w:rtl/>
        </w:rPr>
        <w:t>التحكم في صلاحيات الوصول</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فالحماية لا تتحقق بمجرد منع المخترق الخارجي من الوصول إلى الملف؛ إذ قد يكون الخطر ناتجًا عن مستخدم داخلي لديه صلاحيات أوسع مما يحتاج إليه. ولذلك ينبغي أن تمنح صلاحيات الوصول بناءً على الوظيفة والحاجة الفعلية، وأن تسجل كل عملية دخول أو تعديل أو تنزيل للمستندات، بما يسمح بالمراجعة والمساءلة</w:t>
      </w:r>
      <w:r w:rsidRPr="007F4E72">
        <w:rPr>
          <w:rFonts w:ascii="Times New Roman" w:eastAsia="Times New Roman" w:hAnsi="Times New Roman" w:cs="Times New Roman"/>
          <w:sz w:val="24"/>
          <w:szCs w:val="24"/>
        </w:rPr>
        <w:t>.</w:t>
      </w:r>
    </w:p>
    <w:p w14:paraId="7DB3CB7A"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وتؤدي </w:t>
      </w:r>
      <w:r w:rsidRPr="007F4E72">
        <w:rPr>
          <w:rFonts w:ascii="Times New Roman" w:eastAsia="Times New Roman" w:hAnsi="Times New Roman" w:cs="Times New Roman"/>
          <w:b/>
          <w:bCs/>
          <w:sz w:val="24"/>
          <w:szCs w:val="24"/>
          <w:rtl/>
        </w:rPr>
        <w:t>سجلات التدقيق</w:t>
      </w:r>
      <w:r w:rsidRPr="007F4E72">
        <w:rPr>
          <w:rFonts w:ascii="Times New Roman" w:eastAsia="Times New Roman" w:hAnsi="Times New Roman" w:cs="Times New Roman"/>
          <w:sz w:val="24"/>
          <w:szCs w:val="24"/>
          <w:rtl/>
        </w:rPr>
        <w:t xml:space="preserve"> دورًا مزدوجًا؛ فهي أداة أمنية تساعد على اكتشاف السلوك غير الطبيعي، وأداة إثبات يمكن استخدامها لمعرفة من اطلع على المستند أو عدله وفي أي وقت. وتصبح هذه السجلات مهمة بصورة خاصة إذا ادعى أحد الخصوم أن وثيقة تغيرت بعد الإيداع، أو عند التحقيق في تسريب بيانات من ملف قضائي</w:t>
      </w:r>
      <w:r w:rsidRPr="007F4E72">
        <w:rPr>
          <w:rFonts w:ascii="Times New Roman" w:eastAsia="Times New Roman" w:hAnsi="Times New Roman" w:cs="Times New Roman"/>
          <w:sz w:val="24"/>
          <w:szCs w:val="24"/>
        </w:rPr>
        <w:t>.</w:t>
      </w:r>
    </w:p>
    <w:p w14:paraId="75920AF7" w14:textId="452A7A8D"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كما يمثل </w:t>
      </w:r>
      <w:r w:rsidRPr="007F4E72">
        <w:rPr>
          <w:rFonts w:ascii="Times New Roman" w:eastAsia="Times New Roman" w:hAnsi="Times New Roman" w:cs="Times New Roman"/>
          <w:b/>
          <w:bCs/>
          <w:sz w:val="24"/>
          <w:szCs w:val="24"/>
          <w:rtl/>
        </w:rPr>
        <w:t>التشفير</w:t>
      </w:r>
      <w:r w:rsidR="00873376" w:rsidRPr="00F76FFA">
        <w:rPr>
          <w:rFonts w:ascii="Times New Roman" w:eastAsia="Times New Roman" w:hAnsi="Times New Roman" w:cs="Times New Roman" w:hint="cs"/>
          <w:b/>
          <w:bCs/>
          <w:sz w:val="24"/>
          <w:szCs w:val="24"/>
          <w:vertAlign w:val="superscript"/>
          <w:rtl/>
        </w:rPr>
        <w:t>(</w:t>
      </w:r>
      <w:r w:rsidR="00F76FFA" w:rsidRPr="00F76FFA">
        <w:rPr>
          <w:rFonts w:ascii="Times New Roman" w:eastAsia="Times New Roman" w:hAnsi="Times New Roman" w:cs="Times New Roman" w:hint="cs"/>
          <w:b/>
          <w:bCs/>
          <w:sz w:val="24"/>
          <w:szCs w:val="24"/>
          <w:vertAlign w:val="superscript"/>
          <w:rtl/>
        </w:rPr>
        <w:t>1)</w:t>
      </w:r>
      <w:r w:rsidR="00F76FFA" w:rsidRPr="00F76FFA">
        <w:rPr>
          <w:rStyle w:val="a8"/>
          <w:rFonts w:ascii="Times New Roman" w:eastAsia="Times New Roman" w:hAnsi="Times New Roman" w:cs="Times New Roman"/>
          <w:vanish/>
          <w:sz w:val="24"/>
          <w:szCs w:val="24"/>
          <w:vertAlign w:val="baseline"/>
          <w:rtl/>
        </w:rPr>
        <w:footnoteReference w:id="16"/>
      </w:r>
      <w:r w:rsidRPr="00F76FFA">
        <w:rPr>
          <w:rFonts w:ascii="Times New Roman" w:eastAsia="Times New Roman" w:hAnsi="Times New Roman" w:cs="Times New Roman"/>
          <w:vanish/>
          <w:sz w:val="24"/>
          <w:szCs w:val="24"/>
          <w:rtl/>
        </w:rPr>
        <w:t xml:space="preserve"> </w:t>
      </w:r>
      <w:r w:rsidRPr="007F4E72">
        <w:rPr>
          <w:rFonts w:ascii="Times New Roman" w:eastAsia="Times New Roman" w:hAnsi="Times New Roman" w:cs="Times New Roman"/>
          <w:sz w:val="24"/>
          <w:szCs w:val="24"/>
          <w:rtl/>
        </w:rPr>
        <w:t>أحد عناصر الحماية الأساسية، ولا سيما عند انتقال البيانات بين جهات متعددة. ومع ذلك، فإن التشفير لا يختصر المسألة الأمنية كلها؛ إذ يجب تنظيم إدارة المفاتيح والنسخ الاحتياطية والاستعادة، لأن فقد القدرة على فك تشفير ملفات المحكمة قد يؤدي إلى تعطيل العدالة حتى في غياب أي هجوم</w:t>
      </w:r>
      <w:r w:rsidRPr="007F4E72">
        <w:rPr>
          <w:rFonts w:ascii="Times New Roman" w:eastAsia="Times New Roman" w:hAnsi="Times New Roman" w:cs="Times New Roman"/>
          <w:sz w:val="24"/>
          <w:szCs w:val="24"/>
        </w:rPr>
        <w:t>.</w:t>
      </w:r>
    </w:p>
    <w:p w14:paraId="7EBBAB79"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ويطرح الانتقال إلى </w:t>
      </w:r>
      <w:r w:rsidRPr="007F4E72">
        <w:rPr>
          <w:rFonts w:ascii="Times New Roman" w:eastAsia="Times New Roman" w:hAnsi="Times New Roman" w:cs="Times New Roman"/>
          <w:b/>
          <w:bCs/>
          <w:sz w:val="24"/>
          <w:szCs w:val="24"/>
          <w:rtl/>
        </w:rPr>
        <w:t>الحوسبة السحابية</w:t>
      </w:r>
      <w:r w:rsidRPr="007F4E72">
        <w:rPr>
          <w:rFonts w:ascii="Times New Roman" w:eastAsia="Times New Roman" w:hAnsi="Times New Roman" w:cs="Times New Roman"/>
          <w:sz w:val="24"/>
          <w:szCs w:val="24"/>
          <w:rtl/>
        </w:rPr>
        <w:t xml:space="preserve"> تحديات إضافية؛ فالخدمات السحابية يمكن أن تزيد من المرونة والاستمرارية، لكنها قد تجعل جزءًا من البنية والبيانات تحت الإدارة التقنية لمزود خارجي. ولهذا تكتسب ضوابط الأمن السيبراني للحوسبة السحابية السعودية</w:t>
      </w:r>
      <w:r w:rsidRPr="007F4E72">
        <w:rPr>
          <w:rFonts w:ascii="Times New Roman" w:eastAsia="Times New Roman" w:hAnsi="Times New Roman" w:cs="Times New Roman"/>
          <w:sz w:val="24"/>
          <w:szCs w:val="24"/>
        </w:rPr>
        <w:t xml:space="preserve"> CCC 2-2024 </w:t>
      </w:r>
      <w:r w:rsidRPr="007F4E72">
        <w:rPr>
          <w:rFonts w:ascii="Times New Roman" w:eastAsia="Times New Roman" w:hAnsi="Times New Roman" w:cs="Times New Roman"/>
          <w:sz w:val="24"/>
          <w:szCs w:val="24"/>
          <w:rtl/>
        </w:rPr>
        <w:t>أهمية؛ فهي تضع متطلبات من منظور مقدم الخدمة والمستفيد بهدف تمكين الاستخدام الآمن للسحابة والحد من المخاطر</w:t>
      </w:r>
      <w:r w:rsidRPr="007F4E72">
        <w:rPr>
          <w:rFonts w:ascii="Times New Roman" w:eastAsia="Times New Roman" w:hAnsi="Times New Roman" w:cs="Times New Roman"/>
          <w:sz w:val="24"/>
          <w:szCs w:val="24"/>
        </w:rPr>
        <w:t>.</w:t>
      </w:r>
    </w:p>
    <w:p w14:paraId="00AE4A01"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ومن وجهة نظر قضائية، يجب أن تجيب الترتيبات السحابية عن أسئلة قانونية تتجاوز مستوى التشفير، مثل مكان تخزين البيانات، ومن يملك الوصول الإداري إليها، وكيف تسترد عند انتهاء العقد، وما إذا كان المزود يستطيع استخدام بيانات التشغيل لأغراض أخرى، وكيف يتم التعامل مع طلبات الجهات الأجنبية عندما توجد البيانات خارج نطاق جغرافي معين</w:t>
      </w:r>
      <w:r w:rsidRPr="007F4E72">
        <w:rPr>
          <w:rFonts w:ascii="Times New Roman" w:eastAsia="Times New Roman" w:hAnsi="Times New Roman" w:cs="Times New Roman"/>
          <w:sz w:val="24"/>
          <w:szCs w:val="24"/>
        </w:rPr>
        <w:t>.</w:t>
      </w:r>
    </w:p>
    <w:p w14:paraId="6B83AD2B" w14:textId="55AC32BC" w:rsidR="007F4E72" w:rsidRDefault="007F4E72" w:rsidP="00F76FFA">
      <w:pPr>
        <w:spacing w:before="100" w:beforeAutospacing="1" w:after="100" w:afterAutospacing="1" w:line="360" w:lineRule="auto"/>
        <w:jc w:val="left"/>
        <w:rPr>
          <w:rFonts w:ascii="Times New Roman" w:eastAsia="Times New Roman" w:hAnsi="Times New Roman" w:cs="Times New Roman"/>
          <w:sz w:val="24"/>
          <w:szCs w:val="24"/>
          <w:rtl/>
        </w:rPr>
      </w:pPr>
      <w:r w:rsidRPr="007F4E72">
        <w:rPr>
          <w:rFonts w:ascii="Times New Roman" w:eastAsia="Times New Roman" w:hAnsi="Times New Roman" w:cs="Times New Roman"/>
          <w:sz w:val="24"/>
          <w:szCs w:val="24"/>
          <w:rtl/>
        </w:rPr>
        <w:t xml:space="preserve">ويظهر كذلك مفهوم </w:t>
      </w:r>
      <w:r w:rsidRPr="007F4E72">
        <w:rPr>
          <w:rFonts w:ascii="Times New Roman" w:eastAsia="Times New Roman" w:hAnsi="Times New Roman" w:cs="Times New Roman"/>
          <w:b/>
          <w:bCs/>
          <w:sz w:val="24"/>
          <w:szCs w:val="24"/>
          <w:rtl/>
        </w:rPr>
        <w:t>استمرارية الأعمال</w:t>
      </w:r>
      <w:r w:rsidRPr="007F4E72">
        <w:rPr>
          <w:rFonts w:ascii="Times New Roman" w:eastAsia="Times New Roman" w:hAnsi="Times New Roman" w:cs="Times New Roman"/>
          <w:sz w:val="24"/>
          <w:szCs w:val="24"/>
          <w:rtl/>
        </w:rPr>
        <w:t xml:space="preserve"> بوصفه حلقة التقاء الأمن بالتقاضي. فالهجوم الإلكتروني أو العطل التقني قد لا يؤدي إلى تسريب أي بيانات، لكنه قد يمنع المتقاضي من رفع دعواه أو تقديم طعنه. وتثبت تجربة توقف</w:t>
      </w:r>
      <w:r w:rsidRPr="007F4E72">
        <w:rPr>
          <w:rFonts w:ascii="Times New Roman" w:eastAsia="Times New Roman" w:hAnsi="Times New Roman" w:cs="Times New Roman"/>
          <w:sz w:val="24"/>
          <w:szCs w:val="24"/>
        </w:rPr>
        <w:t xml:space="preserve"> </w:t>
      </w:r>
      <w:proofErr w:type="spellStart"/>
      <w:r w:rsidRPr="007F4E72">
        <w:rPr>
          <w:rFonts w:ascii="Times New Roman" w:eastAsia="Times New Roman" w:hAnsi="Times New Roman" w:cs="Times New Roman"/>
          <w:sz w:val="24"/>
          <w:szCs w:val="24"/>
        </w:rPr>
        <w:t>eLitigation</w:t>
      </w:r>
      <w:proofErr w:type="spellEnd"/>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lastRenderedPageBreak/>
        <w:t>السنغافورية في 2025 أن استمرارية المنصة لها أثر إجرائي حقيقي، وأن التنظيم يحتاج إلى حلول قانونية وليس تقنية فقط عند التعطل</w:t>
      </w:r>
      <w:r w:rsidR="00F76FFA">
        <w:rPr>
          <w:rFonts w:ascii="Times New Roman" w:eastAsia="Times New Roman" w:hAnsi="Times New Roman" w:cs="Times New Roman"/>
          <w:sz w:val="24"/>
          <w:szCs w:val="24"/>
        </w:rPr>
        <w:t>.</w:t>
      </w:r>
    </w:p>
    <w:p w14:paraId="43CFAA09" w14:textId="453709E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ومن هنا ينبغي أن تتضمن خطط الأمن القضائي سيناريوهات لاستمرار العمل، مثل قنوات إيداع بديلة، وتوثيق وقت الأعطال، وإمكان استعادة المستندات، وأحكام لمعالجة المواعيد. ويجب أن تكون هذه الخطط معروفة للقضاة والموظفين والمتقاضين، لأن خطة الطوارئ التي لا يعرف المستخدم كيف يستفيد منها لا تحقق الحماية القانونية المطلوبة</w:t>
      </w:r>
      <w:r w:rsidRPr="007F4E72">
        <w:rPr>
          <w:rFonts w:ascii="Times New Roman" w:eastAsia="Times New Roman" w:hAnsi="Times New Roman" w:cs="Times New Roman"/>
          <w:sz w:val="24"/>
          <w:szCs w:val="24"/>
        </w:rPr>
        <w:t>.</w:t>
      </w:r>
    </w:p>
    <w:p w14:paraId="10BAF6AF"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كما تتطلب حماية البيانات القضائية معالجة مسألة </w:t>
      </w:r>
      <w:r w:rsidRPr="007F4E72">
        <w:rPr>
          <w:rFonts w:ascii="Times New Roman" w:eastAsia="Times New Roman" w:hAnsi="Times New Roman" w:cs="Times New Roman"/>
          <w:b/>
          <w:bCs/>
          <w:sz w:val="24"/>
          <w:szCs w:val="24"/>
          <w:rtl/>
        </w:rPr>
        <w:t>مدة الاحتفاظ</w:t>
      </w:r>
      <w:r w:rsidRPr="007F4E72">
        <w:rPr>
          <w:rFonts w:ascii="Times New Roman" w:eastAsia="Times New Roman" w:hAnsi="Times New Roman" w:cs="Times New Roman"/>
          <w:sz w:val="24"/>
          <w:szCs w:val="24"/>
          <w:rtl/>
        </w:rPr>
        <w:t>؛ فالحفاظ على البيانات إلى الأبد ليس دائمًا أكثر أمانًا. فكلما طالت مدة التخزين ارتفع حجم البيانات المعرضة للاختراق. وفي الوقت نفسه، لا يمكن إتلاف ملفات قضائية قد تكون ضرورية للطعن أو التنفيذ أو الأرشفة القانونية. ولذلك يجب أن يحدد الاحتفاظ وفق نوع القضية والغرض النظامي والحاجة المستقبلية، مع إمكان إخفاء الهوية أو تقليل البيانات في الاستخدامات الإحصائية والبحثية</w:t>
      </w:r>
      <w:r w:rsidRPr="007F4E72">
        <w:rPr>
          <w:rFonts w:ascii="Times New Roman" w:eastAsia="Times New Roman" w:hAnsi="Times New Roman" w:cs="Times New Roman"/>
          <w:sz w:val="24"/>
          <w:szCs w:val="24"/>
        </w:rPr>
        <w:t>.</w:t>
      </w:r>
    </w:p>
    <w:p w14:paraId="6F966220"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ويبرز تحدٍ إضافي عند نشر الأحكام القضائية؛ فمبدأ علانية القضاء قد يبرر نشر القرارات، بينما تفرض حماية الخصوصية عدم كشف معلومات لا ضرورة لها لفهم الحكم. ومن ثم، يجب الموازنة بين الشفافية القضائية وحماية البيانات من خلال إخفاء أو استبدال بعض المعرفات عندما لا تكون هوية الشخص عنصرًا لازمًا في النشر</w:t>
      </w:r>
      <w:r w:rsidRPr="007F4E72">
        <w:rPr>
          <w:rFonts w:ascii="Times New Roman" w:eastAsia="Times New Roman" w:hAnsi="Times New Roman" w:cs="Times New Roman"/>
          <w:sz w:val="24"/>
          <w:szCs w:val="24"/>
        </w:rPr>
        <w:t>.</w:t>
      </w:r>
    </w:p>
    <w:p w14:paraId="773F5B8F"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وتكشف المقارنة أن قوة النموذج السعودي في هذا الجانب تتمثل في وجود منظومة وطنية تفصيلية للضوابط السيبرانية، بينما يوفر النموذج الإماراتي تكاملًا لافتًا بين البيانات والثقة الرقمية والحماية الجنائية، في حين تستفيد سنغافورة من الفصل الوظيفي والتحديث المستمر لكل مجال بحسب تطوره. ولا يوجد تعارض بين هذه المناهج؛ بل يمكن الجمع بين عناصرها في بناء نموذج قضائي أكثر تخصصًا</w:t>
      </w:r>
      <w:r w:rsidRPr="007F4E72">
        <w:rPr>
          <w:rFonts w:ascii="Times New Roman" w:eastAsia="Times New Roman" w:hAnsi="Times New Roman" w:cs="Times New Roman"/>
          <w:sz w:val="24"/>
          <w:szCs w:val="24"/>
        </w:rPr>
        <w:t>.</w:t>
      </w:r>
    </w:p>
    <w:p w14:paraId="54A8798E"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وترى الباحثة أن القواعد العامة لحماية البيانات والأمن السيبراني في المملكة توفر أساسًا قويًا، إلا أن الطبيعة الخاصة للمرفق القضائي تبرر وضع </w:t>
      </w:r>
      <w:r w:rsidRPr="007F4E72">
        <w:rPr>
          <w:rFonts w:ascii="Times New Roman" w:eastAsia="Times New Roman" w:hAnsi="Times New Roman" w:cs="Times New Roman"/>
          <w:b/>
          <w:bCs/>
          <w:sz w:val="24"/>
          <w:szCs w:val="24"/>
          <w:rtl/>
        </w:rPr>
        <w:t>إطار خاص لحوكمة وأمن البيانات القضائية</w:t>
      </w:r>
      <w:r w:rsidRPr="007F4E72">
        <w:rPr>
          <w:rFonts w:ascii="Times New Roman" w:eastAsia="Times New Roman" w:hAnsi="Times New Roman" w:cs="Times New Roman"/>
          <w:sz w:val="24"/>
          <w:szCs w:val="24"/>
          <w:rtl/>
        </w:rPr>
        <w:t xml:space="preserve"> يستند إلى الضوابط الوطنية ولكنه يترجمها إلى متطلبات عدلية دقيقة. وينبغي أن يشمل هذا الإطار تصنيف الملفات والبيانات، وصلاحيات الوصول، وسجلات التدقيق، والتشفير، ومدد الاحتفاظ، وحماية النسخ الاحتياطية، وضوابط استخدام الخدمات السحابية، وإدارة المتعهدين، والاستجابة للحوادث، وخطط استمرارية التقاضي عند تعطل الأنظمة. كما ينبغي أن ينظم العلاقة بين الحادث السيبراني والأثر الإجرائي الناتج عنه، بحيث لا يفقد المتقاضي حقًا بسبب عطل أو هجوم لا يد له فيه</w:t>
      </w:r>
      <w:r w:rsidRPr="007F4E72">
        <w:rPr>
          <w:rFonts w:ascii="Times New Roman" w:eastAsia="Times New Roman" w:hAnsi="Times New Roman" w:cs="Times New Roman"/>
          <w:sz w:val="24"/>
          <w:szCs w:val="24"/>
        </w:rPr>
        <w:t>.</w:t>
      </w:r>
    </w:p>
    <w:p w14:paraId="5E4C191F" w14:textId="1F757495"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w:t>
      </w:r>
      <w:r>
        <w:rPr>
          <w:rFonts w:ascii="Times New Roman" w:eastAsia="Times New Roman" w:hAnsi="Times New Roman" w:cs="Times New Roman" w:hint="cs"/>
          <w:sz w:val="24"/>
          <w:szCs w:val="24"/>
          <w:rtl/>
        </w:rPr>
        <w:t>يلخ</w:t>
      </w:r>
      <w:r w:rsidRPr="007F4E72">
        <w:rPr>
          <w:rFonts w:ascii="Times New Roman" w:eastAsia="Times New Roman" w:hAnsi="Times New Roman" w:cs="Times New Roman"/>
          <w:sz w:val="24"/>
          <w:szCs w:val="24"/>
          <w:rtl/>
        </w:rPr>
        <w:t>ص هذا المطلب إلى أن حماية القضاء الرقمي لا تتحقق بتطبيق برامج أمنية متطورة فقط، وإنما بإدماج الأمن والخصوصية في البناء القانوني للعملية القضائية منذ تصميم النظام. فالمعيار الحقيقي لنجاح التحول ليس أن تكون الدعوى قابلة للرفع إلكترونيًا فحسب، وإنما أن يثق المتقاضي بأن هويته وبياناته ومستنداته محفوظة، وأن الإجراءات يمكن تتبعها وإثباتها، وأن المرفق يستطيع الاستمرار في أداء وظيفته حتى عند حدوث خلل تقني أو هجوم سيبراني</w:t>
      </w:r>
      <w:r w:rsidRPr="007F4E72">
        <w:rPr>
          <w:rFonts w:ascii="Times New Roman" w:eastAsia="Times New Roman" w:hAnsi="Times New Roman" w:cs="Times New Roman"/>
          <w:sz w:val="24"/>
          <w:szCs w:val="24"/>
        </w:rPr>
        <w:t>.</w:t>
      </w:r>
    </w:p>
    <w:p w14:paraId="3A5166BD" w14:textId="77777777" w:rsidR="007F4E72" w:rsidRDefault="007F4E72" w:rsidP="007F4E72">
      <w:pPr>
        <w:spacing w:before="100" w:beforeAutospacing="1" w:after="100" w:afterAutospacing="1" w:line="360" w:lineRule="auto"/>
        <w:rPr>
          <w:rFonts w:ascii="Times New Roman" w:eastAsia="Times New Roman" w:hAnsi="Times New Roman" w:cs="Times New Roman"/>
          <w:sz w:val="24"/>
          <w:szCs w:val="24"/>
        </w:rPr>
      </w:pPr>
    </w:p>
    <w:p w14:paraId="113E98E6" w14:textId="77777777" w:rsidR="007F4E72" w:rsidRDefault="007F4E72" w:rsidP="007F4E72">
      <w:pPr>
        <w:spacing w:line="36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812FE4B"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lastRenderedPageBreak/>
        <w:t>تكشف دراسة المرتكزات التشريعية والتنظيمية للتحول الرقمي أن بناء القضاء الرقمي لا يتم من خلال إجراء تشريعي منفرد، بل يقوم على سلسلة مترابطة من القواعد والضمانات. فالاعتراف القانوني بالتعامل الإلكتروني يزيل الحاجز المرتبط بالشكل، وتنظيم الإجراءات القضائية يحول هذا الاعتراف إلى خصومة رقمية قابلة للتطبيق، وقواعد الإثبات تمنح البيانات الناتجة عنها قيمة قضائية، ثم تأتي الحوكمة المؤسسية لتوزع المسؤوليات، وخدمات الثقة والهوية لضمان نسبة الإجراء إلى صاحبه، وحماية البيانات والأمن السيبراني للمحافظة على سلامة المنظومة واستمراريتها</w:t>
      </w:r>
      <w:r w:rsidRPr="007F4E72">
        <w:rPr>
          <w:rFonts w:ascii="Times New Roman" w:eastAsia="Times New Roman" w:hAnsi="Times New Roman" w:cs="Times New Roman"/>
          <w:sz w:val="24"/>
          <w:szCs w:val="24"/>
        </w:rPr>
        <w:t>.</w:t>
      </w:r>
    </w:p>
    <w:p w14:paraId="4BB2519F"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وتبين المقارنة أن المملكة العربية السعودية والإمارات العربية المتحدة وسنغافورة تتفق في جوهر هذه المرتكزات، إلا أنها تختلف في فلسفة البناء. فالمملكة تعتمد على منظومة متعددة الأنظمة والجهات التنظيمية، وتتميز بصورة خاصة بوجود إطار وطني متطور للأمن السيبراني وتنظيم حديث للدليل الرقمي. والإمارات تتجه إلى قدر كبير من التكامل بين التشريعات الحديثة للإجراءات والإثبات وخدمات الثقة وحماية البيانات. أما سنغافورة فتجمع بين الحياد التقني وبين دمج التقاضي الإلكتروني في</w:t>
      </w:r>
      <w:r w:rsidRPr="007F4E72">
        <w:rPr>
          <w:rFonts w:ascii="Times New Roman" w:eastAsia="Times New Roman" w:hAnsi="Times New Roman" w:cs="Times New Roman"/>
          <w:sz w:val="24"/>
          <w:szCs w:val="24"/>
        </w:rPr>
        <w:t xml:space="preserve"> Rules of Court </w:t>
      </w:r>
      <w:r w:rsidRPr="007F4E72">
        <w:rPr>
          <w:rFonts w:ascii="Times New Roman" w:eastAsia="Times New Roman" w:hAnsi="Times New Roman" w:cs="Times New Roman"/>
          <w:sz w:val="24"/>
          <w:szCs w:val="24"/>
          <w:rtl/>
        </w:rPr>
        <w:t>ومنظومة</w:t>
      </w:r>
      <w:r w:rsidRPr="007F4E72">
        <w:rPr>
          <w:rFonts w:ascii="Times New Roman" w:eastAsia="Times New Roman" w:hAnsi="Times New Roman" w:cs="Times New Roman"/>
          <w:sz w:val="24"/>
          <w:szCs w:val="24"/>
        </w:rPr>
        <w:t xml:space="preserve"> </w:t>
      </w:r>
      <w:proofErr w:type="spellStart"/>
      <w:r w:rsidRPr="007F4E72">
        <w:rPr>
          <w:rFonts w:ascii="Times New Roman" w:eastAsia="Times New Roman" w:hAnsi="Times New Roman" w:cs="Times New Roman"/>
          <w:sz w:val="24"/>
          <w:szCs w:val="24"/>
        </w:rPr>
        <w:t>eLitigation</w:t>
      </w:r>
      <w:proofErr w:type="spellEnd"/>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sz w:val="24"/>
          <w:szCs w:val="24"/>
          <w:rtl/>
        </w:rPr>
        <w:t>واستخدام قرائن قانونية متخصصة للسجلات الإلكترونية</w:t>
      </w:r>
      <w:r w:rsidRPr="007F4E72">
        <w:rPr>
          <w:rFonts w:ascii="Times New Roman" w:eastAsia="Times New Roman" w:hAnsi="Times New Roman" w:cs="Times New Roman"/>
          <w:sz w:val="24"/>
          <w:szCs w:val="24"/>
        </w:rPr>
        <w:t>.</w:t>
      </w:r>
    </w:p>
    <w:p w14:paraId="12F21A74"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ولا تعني المقارنة أن أحد النماذج يصلح للنقل الكامل إلى الآخر، وإنما تكشف عن حلول يمكن الإفادة منها. فالتجربة الإماراتية تبين أهمية الانتقال من مفهوم التصديق المحدود إلى منظومة خدمات ثقة متعددة الوظائف، وتوضح التجربة السنغافورية قيمة تنظيم تاريخ الإيداع والخدمة والمستخدمين والأعطال داخل الإطار الإجرائي، بينما يبرز النموذج السعودي في البناء الوطني المنظم للأمن السيبراني وقواعد الدليل الرقمي</w:t>
      </w:r>
      <w:r w:rsidRPr="007F4E72">
        <w:rPr>
          <w:rFonts w:ascii="Times New Roman" w:eastAsia="Times New Roman" w:hAnsi="Times New Roman" w:cs="Times New Roman"/>
          <w:sz w:val="24"/>
          <w:szCs w:val="24"/>
        </w:rPr>
        <w:t>.</w:t>
      </w:r>
    </w:p>
    <w:p w14:paraId="6CED97E0"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 xml:space="preserve">وترى الباحثة أن المرحلة التالية لتطوير القضاء الرقمي السعودي ينبغي أن تتمحور حول </w:t>
      </w:r>
      <w:r w:rsidRPr="007F4E72">
        <w:rPr>
          <w:rFonts w:ascii="Times New Roman" w:eastAsia="Times New Roman" w:hAnsi="Times New Roman" w:cs="Times New Roman"/>
          <w:b/>
          <w:bCs/>
          <w:sz w:val="24"/>
          <w:szCs w:val="24"/>
          <w:rtl/>
        </w:rPr>
        <w:t>تعزيز الترابط بين المرتكزات القائمة أكثر من البحث عن تشريعات منفصلة جديدة</w:t>
      </w:r>
      <w:r w:rsidRPr="007F4E72">
        <w:rPr>
          <w:rFonts w:ascii="Times New Roman" w:eastAsia="Times New Roman" w:hAnsi="Times New Roman" w:cs="Times New Roman"/>
          <w:sz w:val="24"/>
          <w:szCs w:val="24"/>
          <w:rtl/>
        </w:rPr>
        <w:t>؛ وذلك بتطوير خدمات الثقة القضائية، وإدراج قواعد أوضح للتعامل مع الأعطال والمنصات، ووضع قرائن متدرجة للأدلة الرقمية، وإنشاء إطار خاص لحوكمة البيانات القضائية، مع ضمان ألا تؤدي الإدارة التقنية للعدالة إلى المساس باستقلال القضاء أو ضمانات المحاكمة العادلة</w:t>
      </w:r>
      <w:r w:rsidRPr="007F4E72">
        <w:rPr>
          <w:rFonts w:ascii="Times New Roman" w:eastAsia="Times New Roman" w:hAnsi="Times New Roman" w:cs="Times New Roman"/>
          <w:sz w:val="24"/>
          <w:szCs w:val="24"/>
        </w:rPr>
        <w:t>.</w:t>
      </w:r>
    </w:p>
    <w:p w14:paraId="71E84E01" w14:textId="77777777" w:rsidR="007F4E72" w:rsidRPr="007F4E72" w:rsidRDefault="007F4E72" w:rsidP="007F4E72">
      <w:pPr>
        <w:spacing w:before="100" w:beforeAutospacing="1" w:after="100" w:afterAutospacing="1" w:line="360" w:lineRule="auto"/>
        <w:jc w:val="left"/>
        <w:rPr>
          <w:rFonts w:ascii="Times New Roman" w:eastAsia="Times New Roman" w:hAnsi="Times New Roman" w:cs="Times New Roman"/>
          <w:sz w:val="24"/>
          <w:szCs w:val="24"/>
        </w:rPr>
      </w:pPr>
      <w:r w:rsidRPr="007F4E72">
        <w:rPr>
          <w:rFonts w:ascii="Times New Roman" w:eastAsia="Times New Roman" w:hAnsi="Times New Roman" w:cs="Times New Roman"/>
          <w:sz w:val="24"/>
          <w:szCs w:val="24"/>
          <w:rtl/>
        </w:rPr>
        <w:t>وبذلك فإن نضج القضاء الرقمي يمكن قياسه بثلاثة معايير مترابطة</w:t>
      </w:r>
      <w:r w:rsidRPr="007F4E72">
        <w:rPr>
          <w:rFonts w:ascii="Times New Roman" w:eastAsia="Times New Roman" w:hAnsi="Times New Roman" w:cs="Times New Roman"/>
          <w:sz w:val="24"/>
          <w:szCs w:val="24"/>
        </w:rPr>
        <w:t xml:space="preserve">: </w:t>
      </w:r>
      <w:r w:rsidRPr="007F4E72">
        <w:rPr>
          <w:rFonts w:ascii="Times New Roman" w:eastAsia="Times New Roman" w:hAnsi="Times New Roman" w:cs="Times New Roman"/>
          <w:b/>
          <w:bCs/>
          <w:sz w:val="24"/>
          <w:szCs w:val="24"/>
          <w:rtl/>
        </w:rPr>
        <w:t>مشروعية الإجراء، وموثوقيته، واستدامته</w:t>
      </w:r>
      <w:r w:rsidRPr="007F4E72">
        <w:rPr>
          <w:rFonts w:ascii="Times New Roman" w:eastAsia="Times New Roman" w:hAnsi="Times New Roman" w:cs="Times New Roman"/>
          <w:sz w:val="24"/>
          <w:szCs w:val="24"/>
          <w:rtl/>
        </w:rPr>
        <w:t>؛ فالتشريع يحقق المشروعية، والهوية وخدمات الثقة والإثبات تحقق الموثوقية، والحوكمة والأمن السيبراني واستمرارية الأعمال تحقق الاستدامة. وكل خلل في أحد هذه المستويات ينعكس بالضرورة على المستويين الآخرين، وهو ما يؤكد ضرورة النظر إلى التحول الرقمي القضائي بوصفه منظومة قانونية ومؤسسية متكاملة وليس مجرد مشروع تقني</w:t>
      </w:r>
      <w:r w:rsidRPr="007F4E72">
        <w:rPr>
          <w:rFonts w:ascii="Times New Roman" w:eastAsia="Times New Roman" w:hAnsi="Times New Roman" w:cs="Times New Roman"/>
          <w:sz w:val="24"/>
          <w:szCs w:val="24"/>
        </w:rPr>
        <w:t>.</w:t>
      </w:r>
    </w:p>
    <w:p w14:paraId="5AD84F45" w14:textId="77777777" w:rsidR="007F4E72" w:rsidRDefault="007F4E72" w:rsidP="007F4E72">
      <w:pPr>
        <w:spacing w:before="100" w:beforeAutospacing="1" w:after="100" w:afterAutospacing="1" w:line="360" w:lineRule="auto"/>
        <w:rPr>
          <w:rFonts w:ascii="Times New Roman" w:eastAsia="Times New Roman" w:hAnsi="Times New Roman" w:cs="Times New Roman"/>
          <w:sz w:val="24"/>
          <w:szCs w:val="24"/>
        </w:rPr>
      </w:pPr>
    </w:p>
    <w:p w14:paraId="5B386934" w14:textId="77777777" w:rsidR="007F4E72" w:rsidRDefault="007F4E72" w:rsidP="007F4E72">
      <w:pPr>
        <w:spacing w:line="36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DB665DD" w14:textId="3765E614" w:rsidR="00D138ED" w:rsidRPr="00D138ED" w:rsidRDefault="00D138ED" w:rsidP="00D138ED">
      <w:pPr>
        <w:bidi w:val="0"/>
        <w:spacing w:before="100" w:beforeAutospacing="1" w:after="100" w:afterAutospacing="1" w:line="360" w:lineRule="auto"/>
        <w:rPr>
          <w:rFonts w:ascii="Times New Roman" w:eastAsia="Times New Roman" w:hAnsi="Times New Roman" w:cs="Times New Roman"/>
          <w:sz w:val="24"/>
          <w:szCs w:val="24"/>
        </w:rPr>
      </w:pPr>
      <w:r w:rsidRPr="00D138ED">
        <w:rPr>
          <w:rFonts w:ascii="Times New Roman" w:eastAsia="Times New Roman" w:hAnsi="Times New Roman" w:cs="Times New Roman"/>
          <w:sz w:val="24"/>
          <w:szCs w:val="24"/>
        </w:rPr>
        <w:lastRenderedPageBreak/>
        <w:t>.</w:t>
      </w:r>
    </w:p>
    <w:p w14:paraId="196EA7C7" w14:textId="77777777" w:rsidR="00D138ED" w:rsidRPr="00D138ED" w:rsidRDefault="00D138ED" w:rsidP="00D138ED">
      <w:pPr>
        <w:bidi w:val="0"/>
        <w:spacing w:before="100" w:beforeAutospacing="1" w:after="100" w:afterAutospacing="1" w:line="360" w:lineRule="auto"/>
        <w:rPr>
          <w:rFonts w:ascii="Times New Roman" w:eastAsia="Times New Roman" w:hAnsi="Times New Roman" w:cs="Times New Roman"/>
          <w:sz w:val="24"/>
          <w:szCs w:val="24"/>
        </w:rPr>
      </w:pPr>
      <w:r w:rsidRPr="00D138ED">
        <w:rPr>
          <w:rFonts w:ascii="Times New Roman" w:eastAsia="Times New Roman" w:hAnsi="Times New Roman" w:cs="Times New Roman"/>
          <w:sz w:val="24"/>
          <w:szCs w:val="24"/>
          <w:rtl/>
        </w:rPr>
        <w:t>وقد خصص نظام الإثبات السعودي الصادر سنة 1443هـ أحكامًا للدليل الرقمي، وهو ما نقل هذا النوع من الأدلة إلى نطاق التنظيم التشريعي المباشر. كما أفرد قانون الإثبات الإماراتي الصادر بالمرسوم بقانون اتحادي رقم (35) لسنة 2022 قواعد للدليل الإلكتروني، بل ونظم تنفيذ بعض إجراءات الإثبات باستخدام تقنيات الاتصال عن بعد</w:t>
      </w:r>
      <w:r w:rsidRPr="00D138ED">
        <w:rPr>
          <w:rFonts w:ascii="Times New Roman" w:eastAsia="Times New Roman" w:hAnsi="Times New Roman" w:cs="Times New Roman"/>
          <w:sz w:val="24"/>
          <w:szCs w:val="24"/>
        </w:rPr>
        <w:t>.</w:t>
      </w:r>
    </w:p>
    <w:p w14:paraId="452744A0" w14:textId="77777777" w:rsidR="00D138ED" w:rsidRPr="00D138ED" w:rsidRDefault="00D138ED" w:rsidP="00D138ED">
      <w:pPr>
        <w:bidi w:val="0"/>
        <w:spacing w:before="100" w:beforeAutospacing="1" w:after="100" w:afterAutospacing="1" w:line="360" w:lineRule="auto"/>
        <w:rPr>
          <w:rFonts w:ascii="Times New Roman" w:eastAsia="Times New Roman" w:hAnsi="Times New Roman" w:cs="Times New Roman"/>
          <w:sz w:val="24"/>
          <w:szCs w:val="24"/>
        </w:rPr>
      </w:pPr>
      <w:r w:rsidRPr="00D138ED">
        <w:rPr>
          <w:rFonts w:ascii="Times New Roman" w:eastAsia="Times New Roman" w:hAnsi="Times New Roman" w:cs="Times New Roman"/>
          <w:sz w:val="24"/>
          <w:szCs w:val="24"/>
          <w:rtl/>
        </w:rPr>
        <w:t>أما سنغافورة، فقد سلكت منهجًا مختلفًا؛ إذ لا تقوم حجية السجلات الرقمية على قانون منفصل للدليل الرقمي، بل على التكامل بين قانون المعاملات الإلكترونية وقانون الإثبات. وتقرر المادة</w:t>
      </w:r>
      <w:r w:rsidRPr="00D138ED">
        <w:rPr>
          <w:rFonts w:ascii="Times New Roman" w:eastAsia="Times New Roman" w:hAnsi="Times New Roman" w:cs="Times New Roman"/>
          <w:sz w:val="24"/>
          <w:szCs w:val="24"/>
        </w:rPr>
        <w:t xml:space="preserve"> (116A) </w:t>
      </w:r>
      <w:r w:rsidRPr="00D138ED">
        <w:rPr>
          <w:rFonts w:ascii="Times New Roman" w:eastAsia="Times New Roman" w:hAnsi="Times New Roman" w:cs="Times New Roman"/>
          <w:sz w:val="24"/>
          <w:szCs w:val="24"/>
          <w:rtl/>
        </w:rPr>
        <w:t>من قانون الإثبات قرائن بشأن أصالة بعض السجلات الإلكترونية، ومنها السجلات التي أنشئت أو حفظت في السياق المعتاد للعمل بواسطة طرف مستقل عن النزاع، مع إمكان إثبات العكس</w:t>
      </w:r>
      <w:r w:rsidRPr="00D138ED">
        <w:rPr>
          <w:rFonts w:ascii="Times New Roman" w:eastAsia="Times New Roman" w:hAnsi="Times New Roman" w:cs="Times New Roman"/>
          <w:sz w:val="24"/>
          <w:szCs w:val="24"/>
        </w:rPr>
        <w:t>.</w:t>
      </w:r>
    </w:p>
    <w:p w14:paraId="0E8084F8" w14:textId="77777777" w:rsidR="00D138ED" w:rsidRPr="00D138ED" w:rsidRDefault="00D138ED" w:rsidP="00D138ED">
      <w:pPr>
        <w:bidi w:val="0"/>
        <w:spacing w:before="100" w:beforeAutospacing="1" w:after="100" w:afterAutospacing="1" w:line="360" w:lineRule="auto"/>
        <w:rPr>
          <w:rFonts w:ascii="Times New Roman" w:eastAsia="Times New Roman" w:hAnsi="Times New Roman" w:cs="Times New Roman"/>
          <w:sz w:val="24"/>
          <w:szCs w:val="24"/>
        </w:rPr>
      </w:pPr>
      <w:r w:rsidRPr="00D138ED">
        <w:rPr>
          <w:rFonts w:ascii="Times New Roman" w:eastAsia="Times New Roman" w:hAnsi="Times New Roman" w:cs="Times New Roman"/>
          <w:sz w:val="24"/>
          <w:szCs w:val="24"/>
          <w:rtl/>
        </w:rPr>
        <w:t xml:space="preserve">ويظهر هنا أحد أهم أوجه المقارنة النقدية: السعودية والإمارات تتجهان إلى </w:t>
      </w:r>
      <w:r w:rsidRPr="00D138ED">
        <w:rPr>
          <w:rFonts w:ascii="Times New Roman" w:eastAsia="Times New Roman" w:hAnsi="Times New Roman" w:cs="Times New Roman"/>
          <w:b/>
          <w:bCs/>
          <w:sz w:val="24"/>
          <w:szCs w:val="24"/>
          <w:rtl/>
        </w:rPr>
        <w:t>التنظيم الصريح والمباشر للدليل الرقمي</w:t>
      </w:r>
      <w:r w:rsidRPr="00D138ED">
        <w:rPr>
          <w:rFonts w:ascii="Times New Roman" w:eastAsia="Times New Roman" w:hAnsi="Times New Roman" w:cs="Times New Roman"/>
          <w:sz w:val="24"/>
          <w:szCs w:val="24"/>
          <w:rtl/>
        </w:rPr>
        <w:t xml:space="preserve"> داخل تشريعات الإثبات الحديثة، بما يحقق وضوحًا للقاضي والمتقاضي، بينما يميل النظام السنغافوري إلى </w:t>
      </w:r>
      <w:r w:rsidRPr="00D138ED">
        <w:rPr>
          <w:rFonts w:ascii="Times New Roman" w:eastAsia="Times New Roman" w:hAnsi="Times New Roman" w:cs="Times New Roman"/>
          <w:b/>
          <w:bCs/>
          <w:sz w:val="24"/>
          <w:szCs w:val="24"/>
          <w:rtl/>
        </w:rPr>
        <w:t>إدماج السجل الإلكتروني في النظرية العامة للإثبات مع استخدام القرائن القانونية</w:t>
      </w:r>
      <w:r w:rsidRPr="00D138ED">
        <w:rPr>
          <w:rFonts w:ascii="Times New Roman" w:eastAsia="Times New Roman" w:hAnsi="Times New Roman" w:cs="Times New Roman"/>
          <w:sz w:val="24"/>
          <w:szCs w:val="24"/>
        </w:rPr>
        <w:t xml:space="preserve">. </w:t>
      </w:r>
      <w:r w:rsidRPr="00D138ED">
        <w:rPr>
          <w:rFonts w:ascii="Times New Roman" w:eastAsia="Times New Roman" w:hAnsi="Times New Roman" w:cs="Times New Roman"/>
          <w:sz w:val="24"/>
          <w:szCs w:val="24"/>
          <w:rtl/>
        </w:rPr>
        <w:t>ويمكن أن تستفيد المملكة من النهج السنغافوري في تطوير قرائن أكثر تفصيلًا تتصل بسلامة النظام الذي أنشأ الدليل وسياق حفظه، مع المحافظة على وضوح التنظيم الحالي للدليل الرقمي</w:t>
      </w:r>
      <w:r w:rsidRPr="00D138ED">
        <w:rPr>
          <w:rFonts w:ascii="Times New Roman" w:eastAsia="Times New Roman" w:hAnsi="Times New Roman" w:cs="Times New Roman"/>
          <w:sz w:val="24"/>
          <w:szCs w:val="24"/>
        </w:rPr>
        <w:t>.</w:t>
      </w:r>
    </w:p>
    <w:p w14:paraId="306DDC6C" w14:textId="2D0D9820" w:rsidR="003122E7" w:rsidRPr="00D138ED" w:rsidRDefault="003122E7" w:rsidP="00D138ED">
      <w:pPr>
        <w:spacing w:line="360" w:lineRule="auto"/>
        <w:jc w:val="both"/>
        <w:rPr>
          <w:rFonts w:ascii="Times New Roman" w:hAnsi="Times New Roman" w:cs="Times New Roman"/>
          <w:color w:val="333333"/>
          <w:sz w:val="24"/>
          <w:szCs w:val="24"/>
          <w:shd w:val="clear" w:color="auto" w:fill="F9F9F3"/>
          <w:rtl/>
        </w:rPr>
      </w:pPr>
    </w:p>
    <w:p w14:paraId="7D91D153" w14:textId="77777777" w:rsidR="003122E7" w:rsidRDefault="003122E7" w:rsidP="003122E7">
      <w:pPr>
        <w:bidi w:val="0"/>
        <w:spacing w:line="360" w:lineRule="auto"/>
        <w:jc w:val="left"/>
        <w:rPr>
          <w:rFonts w:ascii="Times New Roman" w:hAnsi="Times New Roman" w:cs="Times New Roman"/>
          <w:color w:val="333333"/>
          <w:sz w:val="21"/>
          <w:szCs w:val="21"/>
          <w:shd w:val="clear" w:color="auto" w:fill="F9F9F3"/>
          <w:rtl/>
        </w:rPr>
      </w:pPr>
      <w:r>
        <w:rPr>
          <w:rFonts w:ascii="Times New Roman" w:hAnsi="Times New Roman" w:cs="Times New Roman"/>
          <w:color w:val="333333"/>
          <w:sz w:val="21"/>
          <w:szCs w:val="21"/>
          <w:shd w:val="clear" w:color="auto" w:fill="F9F9F3"/>
          <w:rtl/>
        </w:rPr>
        <w:br w:type="page"/>
      </w:r>
    </w:p>
    <w:p w14:paraId="6100CCC5" w14:textId="5D33CD23"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b/>
          <w:bCs/>
          <w:sz w:val="32"/>
          <w:szCs w:val="32"/>
          <w:rtl/>
        </w:rPr>
      </w:pPr>
      <w:r w:rsidRPr="003B3BAB">
        <w:rPr>
          <w:rFonts w:ascii="Times New Roman" w:eastAsia="Times New Roman" w:hAnsi="Times New Roman" w:cs="Times New Roman" w:hint="cs"/>
          <w:b/>
          <w:bCs/>
          <w:sz w:val="32"/>
          <w:szCs w:val="32"/>
          <w:rtl/>
        </w:rPr>
        <w:lastRenderedPageBreak/>
        <w:t xml:space="preserve">الفصل الثاني </w:t>
      </w:r>
    </w:p>
    <w:p w14:paraId="2927C06D" w14:textId="2711170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b/>
          <w:bCs/>
          <w:sz w:val="32"/>
          <w:szCs w:val="32"/>
          <w:rtl/>
        </w:rPr>
      </w:pPr>
      <w:r w:rsidRPr="003B3BAB">
        <w:rPr>
          <w:rFonts w:ascii="Times New Roman" w:eastAsia="Times New Roman" w:hAnsi="Times New Roman" w:cs="Times New Roman" w:hint="cs"/>
          <w:b/>
          <w:bCs/>
          <w:sz w:val="32"/>
          <w:szCs w:val="32"/>
          <w:rtl/>
        </w:rPr>
        <w:t xml:space="preserve">المشاكل والتحديات </w:t>
      </w:r>
      <w:r>
        <w:rPr>
          <w:rFonts w:ascii="Times New Roman" w:eastAsia="Times New Roman" w:hAnsi="Times New Roman" w:cs="Times New Roman" w:hint="cs"/>
          <w:b/>
          <w:bCs/>
          <w:sz w:val="32"/>
          <w:szCs w:val="32"/>
          <w:rtl/>
        </w:rPr>
        <w:t>في تنظيم ال</w:t>
      </w:r>
      <w:r w:rsidRPr="003B3BAB">
        <w:rPr>
          <w:rFonts w:ascii="Times New Roman" w:eastAsia="Times New Roman" w:hAnsi="Times New Roman" w:cs="Times New Roman" w:hint="cs"/>
          <w:b/>
          <w:bCs/>
          <w:sz w:val="32"/>
          <w:szCs w:val="32"/>
          <w:rtl/>
        </w:rPr>
        <w:t xml:space="preserve">تحول الرقمي </w:t>
      </w:r>
    </w:p>
    <w:p w14:paraId="1E7417B7" w14:textId="77777777" w:rsidR="003B3BAB" w:rsidRPr="007E40EF" w:rsidRDefault="003B3BAB" w:rsidP="00AA2D3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7E40EF">
        <w:rPr>
          <w:rFonts w:ascii="Times New Roman" w:eastAsia="Times New Roman" w:hAnsi="Times New Roman" w:cs="Times New Roman"/>
          <w:b/>
          <w:bCs/>
          <w:kern w:val="36"/>
          <w:sz w:val="28"/>
          <w:szCs w:val="28"/>
          <w:rtl/>
        </w:rPr>
        <w:t>الإطار العام للمشكلات والتحديات</w:t>
      </w:r>
    </w:p>
    <w:p w14:paraId="66BE7E1A"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يمثل التحول الرقمي تحولًا هيكليًا عميقًا في الدولة، وليس مجرد إدخال تقنية، لذلك تظهر تحديات مركبة تشمل</w:t>
      </w:r>
      <w:r w:rsidRPr="00367CDE">
        <w:rPr>
          <w:rFonts w:ascii="Times New Roman" w:eastAsia="Times New Roman" w:hAnsi="Times New Roman" w:cs="Times New Roman"/>
          <w:sz w:val="24"/>
          <w:szCs w:val="24"/>
        </w:rPr>
        <w:t>:</w:t>
      </w:r>
    </w:p>
    <w:p w14:paraId="6984D31F" w14:textId="087032AC" w:rsidR="007E40EF"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البعد القانوني</w:t>
      </w:r>
      <w:r w:rsidR="007E40EF"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sz w:val="24"/>
          <w:szCs w:val="24"/>
          <w:rtl/>
        </w:rPr>
        <w:t xml:space="preserve">البعد </w:t>
      </w:r>
      <w:r w:rsidR="007E40EF" w:rsidRPr="00367CDE">
        <w:rPr>
          <w:rFonts w:ascii="Times New Roman" w:eastAsia="Times New Roman" w:hAnsi="Times New Roman" w:cs="Times New Roman" w:hint="cs"/>
          <w:sz w:val="24"/>
          <w:szCs w:val="24"/>
          <w:rtl/>
        </w:rPr>
        <w:t>التقني، البعد</w:t>
      </w:r>
      <w:r w:rsidR="007E40EF" w:rsidRPr="00367CDE">
        <w:rPr>
          <w:rFonts w:ascii="Times New Roman" w:eastAsia="Times New Roman" w:hAnsi="Times New Roman" w:cs="Times New Roman"/>
          <w:sz w:val="24"/>
          <w:szCs w:val="24"/>
          <w:rtl/>
        </w:rPr>
        <w:t xml:space="preserve"> المؤسسي</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البعد </w:t>
      </w:r>
      <w:r w:rsidR="007E40EF" w:rsidRPr="00367CDE">
        <w:rPr>
          <w:rFonts w:ascii="Times New Roman" w:eastAsia="Times New Roman" w:hAnsi="Times New Roman" w:cs="Times New Roman" w:hint="cs"/>
          <w:sz w:val="24"/>
          <w:szCs w:val="24"/>
          <w:rtl/>
        </w:rPr>
        <w:t>الأمني.</w:t>
      </w:r>
    </w:p>
    <w:p w14:paraId="064CAFE5" w14:textId="6AAFD275" w:rsidR="003B3BAB" w:rsidRPr="003B3BAB" w:rsidRDefault="003B3BAB" w:rsidP="00B02F67">
      <w:pPr>
        <w:spacing w:before="100" w:beforeAutospacing="1" w:after="100" w:afterAutospacing="1" w:line="360" w:lineRule="auto"/>
        <w:jc w:val="left"/>
        <w:rPr>
          <w:rFonts w:ascii="Times New Roman" w:eastAsia="Times New Roman" w:hAnsi="Times New Roman" w:cs="Times New Roman"/>
          <w:sz w:val="28"/>
          <w:szCs w:val="28"/>
        </w:rPr>
      </w:pPr>
      <w:r w:rsidRPr="00B02F67">
        <w:rPr>
          <w:rFonts w:ascii="Times New Roman" w:eastAsia="Times New Roman" w:hAnsi="Times New Roman" w:cs="Times New Roman"/>
          <w:sz w:val="24"/>
          <w:szCs w:val="24"/>
          <w:rtl/>
        </w:rPr>
        <w:t xml:space="preserve">وقد أكدت الدراسات أن التحول الرقمي لم يعد خيارًا بل ضرورة استراتيجية لإعادة تشكيل الخدمات </w:t>
      </w:r>
      <w:r w:rsidR="007E40EF" w:rsidRPr="00B02F67">
        <w:rPr>
          <w:rFonts w:ascii="Times New Roman" w:eastAsia="Times New Roman" w:hAnsi="Times New Roman" w:cs="Times New Roman" w:hint="cs"/>
          <w:sz w:val="24"/>
          <w:szCs w:val="24"/>
          <w:rtl/>
        </w:rPr>
        <w:t>الحكومية</w:t>
      </w:r>
      <w:r w:rsidR="007E40EF" w:rsidRPr="003B3BAB">
        <w:rPr>
          <w:rFonts w:ascii="Times New Roman" w:eastAsia="Times New Roman" w:hAnsi="Times New Roman" w:cs="Times New Roman" w:hint="cs"/>
          <w:sz w:val="28"/>
          <w:szCs w:val="28"/>
          <w:vertAlign w:val="superscript"/>
          <w:rtl/>
        </w:rPr>
        <w:t xml:space="preserve"> </w:t>
      </w:r>
      <w:r w:rsidR="007E40EF" w:rsidRPr="003B3BAB">
        <w:rPr>
          <w:rFonts w:ascii="Times New Roman" w:eastAsia="Times New Roman" w:hAnsi="Times New Roman" w:cs="Times New Roman"/>
          <w:sz w:val="28"/>
          <w:szCs w:val="28"/>
          <w:vertAlign w:val="superscript"/>
          <w:rtl/>
        </w:rPr>
        <w:t>(</w:t>
      </w:r>
      <w:r w:rsidRPr="003B3BAB">
        <w:rPr>
          <w:rFonts w:ascii="Times New Roman" w:eastAsia="Times New Roman" w:hAnsi="Times New Roman" w:cs="Times New Roman" w:hint="cs"/>
          <w:sz w:val="28"/>
          <w:szCs w:val="28"/>
          <w:vertAlign w:val="superscript"/>
          <w:rtl/>
        </w:rPr>
        <w:t>1)</w:t>
      </w:r>
    </w:p>
    <w:p w14:paraId="459D4228" w14:textId="0ADA3DB8" w:rsidR="003B3BAB" w:rsidRPr="003B3BAB" w:rsidRDefault="007E40EF" w:rsidP="00AA2D3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hint="cs"/>
          <w:b/>
          <w:bCs/>
          <w:kern w:val="36"/>
          <w:sz w:val="28"/>
          <w:szCs w:val="28"/>
          <w:rtl/>
        </w:rPr>
        <w:t>أولاً:</w:t>
      </w:r>
      <w:r w:rsidRPr="003B3BAB">
        <w:rPr>
          <w:rFonts w:ascii="Times New Roman" w:eastAsia="Times New Roman" w:hAnsi="Times New Roman" w:cs="Times New Roman" w:hint="cs"/>
          <w:b/>
          <w:bCs/>
          <w:kern w:val="36"/>
          <w:sz w:val="28"/>
          <w:szCs w:val="28"/>
          <w:rtl/>
        </w:rPr>
        <w:t xml:space="preserve"> التحديا</w:t>
      </w:r>
      <w:r w:rsidRPr="003B3BAB">
        <w:rPr>
          <w:rFonts w:ascii="Times New Roman" w:eastAsia="Times New Roman" w:hAnsi="Times New Roman" w:cs="Times New Roman" w:hint="eastAsia"/>
          <w:b/>
          <w:bCs/>
          <w:kern w:val="36"/>
          <w:sz w:val="28"/>
          <w:szCs w:val="28"/>
          <w:rtl/>
        </w:rPr>
        <w:t>ت</w:t>
      </w:r>
      <w:r w:rsidR="003B3BAB" w:rsidRPr="003B3BAB">
        <w:rPr>
          <w:rFonts w:ascii="Times New Roman" w:eastAsia="Times New Roman" w:hAnsi="Times New Roman" w:cs="Times New Roman"/>
          <w:b/>
          <w:bCs/>
          <w:kern w:val="36"/>
          <w:sz w:val="28"/>
          <w:szCs w:val="28"/>
          <w:rtl/>
        </w:rPr>
        <w:t xml:space="preserve"> القانونية</w:t>
      </w:r>
    </w:p>
    <w:p w14:paraId="3CFFC269" w14:textId="4F5CCBE5"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1-</w:t>
      </w:r>
      <w:r w:rsidRPr="003B3BAB">
        <w:rPr>
          <w:rFonts w:ascii="Times New Roman" w:eastAsia="Times New Roman" w:hAnsi="Times New Roman" w:cs="Times New Roman"/>
          <w:b/>
          <w:bCs/>
          <w:sz w:val="28"/>
          <w:szCs w:val="28"/>
        </w:rPr>
        <w:t xml:space="preserve"> </w:t>
      </w:r>
      <w:r w:rsidRPr="003B3BAB">
        <w:rPr>
          <w:rFonts w:ascii="Times New Roman" w:eastAsia="Times New Roman" w:hAnsi="Times New Roman" w:cs="Times New Roman"/>
          <w:b/>
          <w:bCs/>
          <w:sz w:val="28"/>
          <w:szCs w:val="28"/>
          <w:rtl/>
        </w:rPr>
        <w:t>عدم مواكبة التشريعات للتطور التقني</w:t>
      </w:r>
    </w:p>
    <w:p w14:paraId="6DF2DC93" w14:textId="01DF5B13" w:rsidR="003B3BAB" w:rsidRPr="00367CDE"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يُعد عدم مواكبة التشريعات </w:t>
      </w:r>
      <w:r w:rsidR="00E160B3" w:rsidRPr="00E160B3">
        <w:rPr>
          <w:rFonts w:ascii="Times New Roman" w:eastAsia="Times New Roman" w:hAnsi="Times New Roman" w:cs="Times New Roman" w:hint="cs"/>
          <w:sz w:val="24"/>
          <w:szCs w:val="24"/>
          <w:vertAlign w:val="superscript"/>
          <w:rtl/>
        </w:rPr>
        <w:t xml:space="preserve">(2) </w:t>
      </w:r>
      <w:r w:rsidRPr="00367CDE">
        <w:rPr>
          <w:rFonts w:ascii="Times New Roman" w:eastAsia="Times New Roman" w:hAnsi="Times New Roman" w:cs="Times New Roman"/>
          <w:sz w:val="24"/>
          <w:szCs w:val="24"/>
          <w:rtl/>
        </w:rPr>
        <w:t>للتطور التقني من أبرز التحديات القانونية التي تواجه تنظيم التحول الرقمي، حيث تتسم البيئة الرقمية بالتغير السريع والتعقيد، في حين تتسم القواعد القانونية بالثبات النسبي، مما يؤدي إلى نشوء فجوة بين النص القانوني والتطبيق العملي، ويترتب على ذلك ضعف التكييف القانوني للجرائم الرقمية، وتراجع فعالية الحماية القانونية، الأمر الذي يستدعي تبني تشريعات مرنة وقابلة للتحديث المستمر</w:t>
      </w:r>
      <w:r w:rsidRPr="00367CDE">
        <w:rPr>
          <w:rFonts w:ascii="Times New Roman" w:eastAsia="Times New Roman" w:hAnsi="Times New Roman" w:cs="Times New Roman"/>
          <w:sz w:val="24"/>
          <w:szCs w:val="24"/>
        </w:rPr>
        <w:t>.</w:t>
      </w:r>
    </w:p>
    <w:p w14:paraId="3475190E" w14:textId="379C4BC0" w:rsidR="007E40EF" w:rsidRPr="00367CDE" w:rsidRDefault="003B3BAB" w:rsidP="00AA2D35">
      <w:pPr>
        <w:spacing w:before="100" w:beforeAutospacing="1" w:after="100" w:afterAutospacing="1" w:line="360" w:lineRule="auto"/>
        <w:jc w:val="both"/>
        <w:outlineLvl w:val="1"/>
        <w:rPr>
          <w:rFonts w:ascii="Times New Roman" w:eastAsia="Times New Roman" w:hAnsi="Times New Roman" w:cs="Times New Roman"/>
          <w:b/>
          <w:bCs/>
          <w:color w:val="FFFFFF" w:themeColor="background1"/>
          <w:sz w:val="24"/>
          <w:szCs w:val="24"/>
          <w:rtl/>
        </w:rPr>
      </w:pPr>
      <w:r w:rsidRPr="00367CDE">
        <w:rPr>
          <w:rFonts w:ascii="Times New Roman" w:hAnsi="Times New Roman" w:cs="Times New Roman"/>
          <w:sz w:val="24"/>
          <w:szCs w:val="24"/>
          <w:rtl/>
        </w:rPr>
        <w:t>حيث إن التحول الرقمي يعتمد على تقنيات متسارعة مثل</w:t>
      </w:r>
      <w:r w:rsidRPr="00367CDE">
        <w:rPr>
          <w:rFonts w:ascii="Times New Roman" w:hAnsi="Times New Roman" w:cs="Times New Roman"/>
          <w:sz w:val="24"/>
          <w:szCs w:val="24"/>
        </w:rPr>
        <w:t>:</w:t>
      </w:r>
      <w:r w:rsidR="007E40EF" w:rsidRPr="00367CDE">
        <w:rPr>
          <w:rStyle w:val="a8"/>
          <w:rFonts w:ascii="Times New Roman" w:eastAsia="Times New Roman" w:hAnsi="Times New Roman" w:cs="Times New Roman"/>
          <w:b/>
          <w:bCs/>
          <w:color w:val="FFFFFF" w:themeColor="background1"/>
          <w:sz w:val="24"/>
          <w:szCs w:val="24"/>
          <w:rtl/>
        </w:rPr>
        <w:t xml:space="preserve"> </w:t>
      </w:r>
      <w:r w:rsidR="007E40EF" w:rsidRPr="00367CDE">
        <w:rPr>
          <w:rStyle w:val="a8"/>
          <w:rFonts w:ascii="Times New Roman" w:eastAsia="Times New Roman" w:hAnsi="Times New Roman" w:cs="Times New Roman"/>
          <w:b/>
          <w:bCs/>
          <w:color w:val="FFFFFF" w:themeColor="background1"/>
          <w:sz w:val="24"/>
          <w:szCs w:val="24"/>
          <w:rtl/>
        </w:rPr>
        <w:footnoteReference w:id="17"/>
      </w:r>
      <w:r w:rsidR="007E40EF" w:rsidRPr="00367CDE">
        <w:rPr>
          <w:rStyle w:val="a8"/>
          <w:rFonts w:ascii="Times New Roman" w:eastAsia="Times New Roman" w:hAnsi="Times New Roman" w:cs="Times New Roman"/>
          <w:b/>
          <w:bCs/>
          <w:color w:val="FFFFFF" w:themeColor="background1"/>
          <w:sz w:val="24"/>
          <w:szCs w:val="24"/>
          <w:rtl/>
        </w:rPr>
        <w:footnoteReference w:id="18"/>
      </w:r>
      <w:r w:rsidR="007E40EF" w:rsidRPr="00367CDE">
        <w:rPr>
          <w:rFonts w:ascii="Times New Roman" w:eastAsia="Times New Roman" w:hAnsi="Times New Roman" w:cs="Times New Roman"/>
          <w:sz w:val="24"/>
          <w:szCs w:val="24"/>
        </w:rPr>
        <w:t xml:space="preserve"> </w:t>
      </w:r>
      <w:r w:rsidR="007E40EF" w:rsidRPr="00367CDE">
        <w:rPr>
          <w:rFonts w:ascii="Times New Roman" w:eastAsia="Times New Roman" w:hAnsi="Times New Roman" w:cs="Times New Roman"/>
          <w:sz w:val="24"/>
          <w:szCs w:val="24"/>
          <w:rtl/>
        </w:rPr>
        <w:t xml:space="preserve">الذكاء </w:t>
      </w:r>
      <w:r w:rsidR="007E40EF" w:rsidRPr="00367CDE">
        <w:rPr>
          <w:rFonts w:ascii="Times New Roman" w:eastAsia="Times New Roman" w:hAnsi="Times New Roman" w:cs="Times New Roman" w:hint="cs"/>
          <w:sz w:val="24"/>
          <w:szCs w:val="24"/>
          <w:rtl/>
        </w:rPr>
        <w:t>الاصطناعي،</w:t>
      </w:r>
      <w:r w:rsidR="007E40EF" w:rsidRPr="00367CDE">
        <w:rPr>
          <w:rFonts w:ascii="Times New Roman" w:eastAsia="Times New Roman" w:hAnsi="Times New Roman" w:cs="Times New Roman"/>
          <w:sz w:val="24"/>
          <w:szCs w:val="24"/>
          <w:rtl/>
        </w:rPr>
        <w:t xml:space="preserve"> البلوك تشين</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الحوسبة السحابية</w:t>
      </w:r>
      <w:r w:rsidR="007E40EF" w:rsidRPr="00367CDE">
        <w:rPr>
          <w:rFonts w:ascii="Times New Roman" w:hAnsi="Times New Roman" w:cs="Times New Roman"/>
          <w:sz w:val="24"/>
          <w:szCs w:val="24"/>
          <w:rtl/>
        </w:rPr>
        <w:t xml:space="preserve"> بينما تعتمد التشريعات على إجراءات بطيئة في التعديل</w:t>
      </w:r>
      <w:r w:rsidR="007E40EF" w:rsidRPr="00367CDE">
        <w:rPr>
          <w:rFonts w:ascii="Times New Roman" w:eastAsia="Times New Roman" w:hAnsi="Times New Roman" w:cs="Times New Roman"/>
          <w:sz w:val="24"/>
          <w:szCs w:val="24"/>
          <w:rtl/>
        </w:rPr>
        <w:t>،</w:t>
      </w:r>
      <w:r w:rsidR="007E40EF" w:rsidRPr="00367CDE">
        <w:rPr>
          <w:rFonts w:ascii="Times New Roman" w:hAnsi="Times New Roman" w:cs="Times New Roman"/>
          <w:sz w:val="24"/>
          <w:szCs w:val="24"/>
          <w:rtl/>
        </w:rPr>
        <w:t xml:space="preserve"> نماذج قانونية تقليدية</w:t>
      </w:r>
    </w:p>
    <w:p w14:paraId="38B9AC68" w14:textId="3ACB7C91" w:rsidR="007E40EF" w:rsidRPr="00367CDE" w:rsidRDefault="007E40EF"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367CDE">
        <w:rPr>
          <w:rFonts w:ascii="Times New Roman" w:hAnsi="Times New Roman" w:cs="Times New Roman"/>
          <w:sz w:val="24"/>
          <w:szCs w:val="24"/>
          <w:rtl/>
        </w:rPr>
        <w:t xml:space="preserve">وقد أكدت الدراسات أن التحول الرقمي يفرض “تحديات قانونية معقدة تتطلب تطوير الأطر التشريعية لضمان نجاحه </w:t>
      </w:r>
      <w:r w:rsidRPr="00367CDE">
        <w:rPr>
          <w:rFonts w:ascii="Times New Roman" w:hAnsi="Times New Roman" w:cs="Times New Roman" w:hint="cs"/>
          <w:sz w:val="24"/>
          <w:szCs w:val="24"/>
          <w:rtl/>
        </w:rPr>
        <w:t>واستمراريته</w:t>
      </w:r>
      <w:r w:rsidRPr="00367CDE">
        <w:rPr>
          <w:rFonts w:ascii="Times New Roman" w:hAnsi="Times New Roman" w:cs="Times New Roman"/>
          <w:sz w:val="24"/>
          <w:szCs w:val="24"/>
        </w:rPr>
        <w:t>”</w:t>
      </w:r>
      <w:r w:rsidRPr="00367CDE">
        <w:rPr>
          <w:rFonts w:ascii="Times New Roman" w:eastAsia="Times New Roman" w:hAnsi="Times New Roman" w:cs="Times New Roman" w:hint="cs"/>
          <w:b/>
          <w:bCs/>
          <w:sz w:val="24"/>
          <w:szCs w:val="24"/>
          <w:vertAlign w:val="superscript"/>
          <w:rtl/>
        </w:rPr>
        <w:t xml:space="preserve"> </w:t>
      </w:r>
    </w:p>
    <w:p w14:paraId="3FA290E1" w14:textId="77777777" w:rsidR="007E40EF" w:rsidRPr="00367CDE" w:rsidRDefault="007E40EF" w:rsidP="00AA2D35">
      <w:pPr>
        <w:spacing w:before="100" w:beforeAutospacing="1" w:after="100" w:afterAutospacing="1" w:line="240" w:lineRule="auto"/>
        <w:jc w:val="left"/>
        <w:outlineLvl w:val="1"/>
        <w:rPr>
          <w:rFonts w:ascii="Times New Roman" w:eastAsia="Times New Roman" w:hAnsi="Times New Roman" w:cs="Times New Roman"/>
          <w:b/>
          <w:bCs/>
          <w:sz w:val="24"/>
          <w:szCs w:val="24"/>
          <w:rtl/>
        </w:rPr>
      </w:pPr>
    </w:p>
    <w:p w14:paraId="6052DB1D" w14:textId="77777777" w:rsidR="00367CDE" w:rsidRP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4"/>
          <w:szCs w:val="24"/>
          <w:rtl/>
        </w:rPr>
      </w:pPr>
    </w:p>
    <w:p w14:paraId="14DCA8C9" w14:textId="77777777" w:rsid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3C0725C6" w14:textId="77777777" w:rsid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4BE24BF4" w14:textId="6DC8663D" w:rsidR="003B3BAB" w:rsidRPr="007E40EF"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E40EF">
        <w:rPr>
          <w:rFonts w:ascii="Times New Roman" w:eastAsia="Times New Roman" w:hAnsi="Times New Roman" w:cs="Times New Roman"/>
          <w:b/>
          <w:bCs/>
          <w:sz w:val="28"/>
          <w:szCs w:val="28"/>
          <w:rtl/>
        </w:rPr>
        <w:lastRenderedPageBreak/>
        <w:t>الفجوة الزمنية بين التشريع والتقنية</w:t>
      </w:r>
    </w:p>
    <w:p w14:paraId="6EF70D0A"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التكنولوجيا تتطور بشكل لحظي ومتسارع </w:t>
      </w:r>
    </w:p>
    <w:p w14:paraId="454FF27F" w14:textId="78964A68"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بينما التشريع يحتاج</w:t>
      </w:r>
      <w:r w:rsidRPr="00367CDE">
        <w:rPr>
          <w:rFonts w:ascii="Times New Roman" w:eastAsia="Times New Roman" w:hAnsi="Times New Roman" w:cs="Times New Roman" w:hint="cs"/>
          <w:sz w:val="24"/>
          <w:szCs w:val="24"/>
          <w:rtl/>
        </w:rPr>
        <w:t xml:space="preserve"> </w:t>
      </w:r>
      <w:r w:rsidR="007E40EF" w:rsidRPr="00367CDE">
        <w:rPr>
          <w:rFonts w:ascii="Times New Roman" w:eastAsia="Times New Roman" w:hAnsi="Times New Roman" w:cs="Times New Roman" w:hint="cs"/>
          <w:sz w:val="24"/>
          <w:szCs w:val="24"/>
          <w:rtl/>
        </w:rPr>
        <w:t>إلى</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دراسة، مناقشة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إصدار </w:t>
      </w:r>
      <w:r w:rsidRPr="00367CDE">
        <w:rPr>
          <w:rFonts w:ascii="Times New Roman" w:eastAsia="Times New Roman" w:hAnsi="Times New Roman" w:cs="Times New Roman"/>
          <w:sz w:val="24"/>
          <w:szCs w:val="24"/>
        </w:rPr>
        <w:br/>
      </w:r>
      <w:r w:rsidRPr="00367CDE">
        <w:rPr>
          <w:rFonts w:ascii="Times New Roman" w:eastAsia="Times New Roman" w:hAnsi="Times New Roman" w:cs="Times New Roman" w:hint="cs"/>
          <w:sz w:val="24"/>
          <w:szCs w:val="24"/>
          <w:rtl/>
        </w:rPr>
        <w:t xml:space="preserve">وقد </w:t>
      </w:r>
      <w:r w:rsidRPr="00367CDE">
        <w:rPr>
          <w:rFonts w:ascii="Times New Roman" w:eastAsia="Times New Roman" w:hAnsi="Times New Roman" w:cs="Times New Roman"/>
          <w:sz w:val="24"/>
          <w:szCs w:val="24"/>
          <w:rtl/>
        </w:rPr>
        <w:t>ظهر ما يسمى بـ</w:t>
      </w:r>
      <w:r w:rsidRPr="00367CDE">
        <w:rPr>
          <w:rFonts w:ascii="Times New Roman" w:eastAsia="Times New Roman" w:hAnsi="Times New Roman" w:cs="Times New Roman"/>
          <w:sz w:val="24"/>
          <w:szCs w:val="24"/>
        </w:rPr>
        <w:t>:</w:t>
      </w:r>
    </w:p>
    <w:p w14:paraId="2716DE69" w14:textId="613DEB89" w:rsidR="003B3BAB" w:rsidRPr="00367CDE"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الفجوة التشريعية الرقمية</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hint="cs"/>
          <w:sz w:val="24"/>
          <w:szCs w:val="24"/>
          <w:rtl/>
        </w:rPr>
        <w:t xml:space="preserve"> هي الفحوة الفاصلة بين </w:t>
      </w:r>
      <w:r w:rsidR="007E40EF" w:rsidRPr="00367CDE">
        <w:rPr>
          <w:rFonts w:ascii="Times New Roman" w:eastAsia="Times New Roman" w:hAnsi="Times New Roman" w:cs="Times New Roman" w:hint="cs"/>
          <w:sz w:val="24"/>
          <w:szCs w:val="24"/>
          <w:rtl/>
        </w:rPr>
        <w:t>أدول</w:t>
      </w:r>
      <w:r w:rsidRPr="00367CDE">
        <w:rPr>
          <w:rFonts w:ascii="Times New Roman" w:eastAsia="Times New Roman" w:hAnsi="Times New Roman" w:cs="Times New Roman" w:hint="cs"/>
          <w:sz w:val="24"/>
          <w:szCs w:val="24"/>
          <w:rtl/>
        </w:rPr>
        <w:t xml:space="preserve"> المتقدمة والدول النامية في النفاذ الى مصادر </w:t>
      </w:r>
      <w:r w:rsidR="007E40EF" w:rsidRPr="00367CDE">
        <w:rPr>
          <w:rFonts w:ascii="Times New Roman" w:eastAsia="Times New Roman" w:hAnsi="Times New Roman" w:cs="Times New Roman" w:hint="cs"/>
          <w:sz w:val="24"/>
          <w:szCs w:val="24"/>
          <w:rtl/>
        </w:rPr>
        <w:t>المعلومات والمعرف</w:t>
      </w:r>
      <w:r w:rsidR="007E40EF" w:rsidRPr="00367CDE">
        <w:rPr>
          <w:rFonts w:ascii="Times New Roman" w:eastAsia="Times New Roman" w:hAnsi="Times New Roman" w:cs="Times New Roman" w:hint="eastAsia"/>
          <w:sz w:val="24"/>
          <w:szCs w:val="24"/>
          <w:rtl/>
        </w:rPr>
        <w:t>ة</w:t>
      </w:r>
      <w:r w:rsidRPr="00367CDE">
        <w:rPr>
          <w:rFonts w:ascii="Times New Roman" w:eastAsia="Times New Roman" w:hAnsi="Times New Roman" w:cs="Times New Roman" w:hint="cs"/>
          <w:sz w:val="24"/>
          <w:szCs w:val="24"/>
          <w:rtl/>
        </w:rPr>
        <w:t xml:space="preserve"> والقدرة على استخدامها واستغلالها ’</w:t>
      </w:r>
    </w:p>
    <w:p w14:paraId="335F27AE" w14:textId="02B1EEF3"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b/>
          <w:bCs/>
          <w:sz w:val="24"/>
          <w:szCs w:val="24"/>
          <w:rtl/>
        </w:rPr>
        <w:t>مثال</w:t>
      </w:r>
      <w:r w:rsidRPr="00367CDE">
        <w:rPr>
          <w:rFonts w:ascii="Times New Roman" w:eastAsia="Times New Roman" w:hAnsi="Times New Roman" w:cs="Times New Roman"/>
          <w:b/>
          <w:bCs/>
          <w:sz w:val="24"/>
          <w:szCs w:val="24"/>
        </w:rPr>
        <w:t>:</w:t>
      </w:r>
      <w:r w:rsidR="007E40EF" w:rsidRPr="00367CDE">
        <w:rPr>
          <w:rFonts w:ascii="Times New Roman" w:eastAsia="Times New Roman" w:hAnsi="Times New Roman" w:cs="Times New Roman"/>
          <w:sz w:val="24"/>
          <w:szCs w:val="24"/>
          <w:rtl/>
        </w:rPr>
        <w:t xml:space="preserve"> ظهور التوقيع الرقمي قبل تنظيمه قانونيًا في كثير من الدول</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استخدام الذكاء الاصطناعي دون إطار قانوني واضح</w:t>
      </w:r>
    </w:p>
    <w:p w14:paraId="1B814CDF" w14:textId="3144DAF7" w:rsidR="003B3BAB" w:rsidRPr="007E40EF"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E40EF">
        <w:rPr>
          <w:rFonts w:ascii="Times New Roman" w:eastAsia="Times New Roman" w:hAnsi="Times New Roman" w:cs="Times New Roman" w:hint="cs"/>
          <w:b/>
          <w:bCs/>
          <w:sz w:val="28"/>
          <w:szCs w:val="28"/>
          <w:rtl/>
        </w:rPr>
        <w:t>ا</w:t>
      </w:r>
      <w:r w:rsidRPr="007E40EF">
        <w:rPr>
          <w:rFonts w:ascii="Times New Roman" w:eastAsia="Times New Roman" w:hAnsi="Times New Roman" w:cs="Times New Roman"/>
          <w:b/>
          <w:bCs/>
          <w:sz w:val="28"/>
          <w:szCs w:val="28"/>
          <w:rtl/>
        </w:rPr>
        <w:t>لطبيعة للنصوص القانونية</w:t>
      </w:r>
    </w:p>
    <w:p w14:paraId="3DE97B4A" w14:textId="3D1725A4"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القاعدة القانونية تقليديًا</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عامة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ثابتة.</w:t>
      </w:r>
    </w:p>
    <w:p w14:paraId="093E3C01" w14:textId="05ECA477"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بينما البيئة الرقمية متغيرة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مرنة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سريعة التطور </w:t>
      </w:r>
    </w:p>
    <w:p w14:paraId="10F325F0" w14:textId="5B031093" w:rsidR="007E40EF"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مما يؤدي إلى</w:t>
      </w:r>
      <w:r w:rsidRPr="00367CDE">
        <w:rPr>
          <w:rFonts w:ascii="Times New Roman" w:eastAsia="Times New Roman" w:hAnsi="Times New Roman" w:cs="Times New Roman"/>
          <w:sz w:val="24"/>
          <w:szCs w:val="24"/>
        </w:rPr>
        <w:t>:</w:t>
      </w:r>
      <w:r w:rsidR="007E40EF" w:rsidRPr="00367CDE">
        <w:rPr>
          <w:rFonts w:ascii="Times New Roman" w:eastAsia="Times New Roman" w:hAnsi="Times New Roman" w:cs="Times New Roman"/>
          <w:sz w:val="24"/>
          <w:szCs w:val="24"/>
          <w:rtl/>
        </w:rPr>
        <w:t xml:space="preserve"> عدم قدرة النص على استيعاب المستجدات </w:t>
      </w:r>
    </w:p>
    <w:p w14:paraId="31EC08DD" w14:textId="560726CB"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ظهور أنماط جديدة من الجرائم الرقمية</w:t>
      </w:r>
    </w:p>
    <w:p w14:paraId="7587E778" w14:textId="244155AC"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hint="cs"/>
          <w:sz w:val="24"/>
          <w:szCs w:val="24"/>
          <w:rtl/>
        </w:rPr>
        <w:t xml:space="preserve">وقد ظهرت </w:t>
      </w:r>
      <w:r w:rsidRPr="00367CDE">
        <w:rPr>
          <w:rFonts w:ascii="Times New Roman" w:eastAsia="Times New Roman" w:hAnsi="Times New Roman" w:cs="Times New Roman"/>
          <w:sz w:val="24"/>
          <w:szCs w:val="24"/>
          <w:rtl/>
        </w:rPr>
        <w:t>جرائم لم تكن موجودة سابقًا مثل</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 xml:space="preserve">اختراق </w:t>
      </w:r>
      <w:r w:rsidR="007E40EF" w:rsidRPr="00367CDE">
        <w:rPr>
          <w:rFonts w:ascii="Times New Roman" w:eastAsia="Times New Roman" w:hAnsi="Times New Roman" w:cs="Times New Roman" w:hint="cs"/>
          <w:sz w:val="24"/>
          <w:szCs w:val="24"/>
          <w:rtl/>
        </w:rPr>
        <w:t>الأنظمة، التلاعب</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بالبيانات، انتحال</w:t>
      </w:r>
      <w:r w:rsidRPr="00367CDE">
        <w:rPr>
          <w:rFonts w:ascii="Times New Roman" w:eastAsia="Times New Roman" w:hAnsi="Times New Roman" w:cs="Times New Roman"/>
          <w:sz w:val="24"/>
          <w:szCs w:val="24"/>
          <w:rtl/>
        </w:rPr>
        <w:t xml:space="preserve"> الهوية </w:t>
      </w:r>
      <w:r w:rsidR="007E40EF" w:rsidRPr="00367CDE">
        <w:rPr>
          <w:rFonts w:ascii="Times New Roman" w:eastAsia="Times New Roman" w:hAnsi="Times New Roman" w:cs="Times New Roman" w:hint="cs"/>
          <w:sz w:val="24"/>
          <w:szCs w:val="24"/>
          <w:rtl/>
        </w:rPr>
        <w:t>الرقمية.</w:t>
      </w:r>
    </w:p>
    <w:p w14:paraId="79C7CF91" w14:textId="4A2C67AD"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hint="cs"/>
          <w:sz w:val="24"/>
          <w:szCs w:val="24"/>
          <w:rtl/>
        </w:rPr>
        <w:t xml:space="preserve">مما أدى </w:t>
      </w:r>
      <w:r w:rsidR="007E40EF" w:rsidRPr="00367CDE">
        <w:rPr>
          <w:rFonts w:ascii="Times New Roman" w:eastAsia="Times New Roman" w:hAnsi="Times New Roman" w:cs="Times New Roman" w:hint="cs"/>
          <w:sz w:val="24"/>
          <w:szCs w:val="24"/>
          <w:rtl/>
        </w:rPr>
        <w:t>إلى</w:t>
      </w:r>
      <w:r w:rsidRPr="00367CDE">
        <w:rPr>
          <w:rFonts w:ascii="Times New Roman" w:eastAsia="Times New Roman" w:hAnsi="Times New Roman" w:cs="Times New Roman" w:hint="cs"/>
          <w:sz w:val="24"/>
          <w:szCs w:val="24"/>
          <w:rtl/>
        </w:rPr>
        <w:t xml:space="preserve"> </w:t>
      </w:r>
      <w:r w:rsidRPr="00367CDE">
        <w:rPr>
          <w:rFonts w:ascii="Times New Roman" w:eastAsia="Times New Roman" w:hAnsi="Times New Roman" w:cs="Times New Roman"/>
          <w:sz w:val="24"/>
          <w:szCs w:val="24"/>
          <w:rtl/>
        </w:rPr>
        <w:t xml:space="preserve">عدم وجود توصيف قانوني دقيق لها </w:t>
      </w:r>
    </w:p>
    <w:p w14:paraId="32830EAB" w14:textId="3EB0E9AF"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r w:rsidRPr="00367CDE">
        <w:rPr>
          <w:rFonts w:ascii="Segoe UI Symbol" w:eastAsia="Times New Roman" w:hAnsi="Segoe UI Symbol" w:hint="cs"/>
          <w:sz w:val="24"/>
          <w:szCs w:val="24"/>
          <w:rtl/>
        </w:rPr>
        <w:t xml:space="preserve">وهذا بدوره </w:t>
      </w:r>
      <w:r w:rsidRPr="00367CDE">
        <w:rPr>
          <w:rFonts w:ascii="Segoe UI Symbol" w:eastAsia="Times New Roman" w:hAnsi="Segoe UI Symbol" w:hint="eastAsia"/>
          <w:sz w:val="24"/>
          <w:szCs w:val="24"/>
          <w:rtl/>
        </w:rPr>
        <w:t>أدى</w:t>
      </w:r>
      <w:r w:rsidRPr="00367CDE">
        <w:rPr>
          <w:rFonts w:ascii="Segoe UI Symbol" w:eastAsia="Times New Roman" w:hAnsi="Segoe UI Symbol" w:hint="cs"/>
          <w:sz w:val="24"/>
          <w:szCs w:val="24"/>
          <w:rtl/>
        </w:rPr>
        <w:t xml:space="preserve"> </w:t>
      </w:r>
      <w:r w:rsidR="00787B32" w:rsidRPr="00367CDE">
        <w:rPr>
          <w:rFonts w:ascii="Segoe UI Symbol" w:eastAsia="Times New Roman" w:hAnsi="Segoe UI Symbol" w:hint="cs"/>
          <w:sz w:val="24"/>
          <w:szCs w:val="24"/>
          <w:rtl/>
        </w:rPr>
        <w:t>إلى</w:t>
      </w:r>
      <w:r w:rsidRPr="00367CDE">
        <w:rPr>
          <w:rFonts w:ascii="Segoe UI Symbol" w:eastAsia="Times New Roman" w:hAnsi="Segoe UI Symbol" w:hint="cs"/>
          <w:sz w:val="24"/>
          <w:szCs w:val="24"/>
          <w:rtl/>
        </w:rPr>
        <w:t xml:space="preserve"> </w:t>
      </w:r>
      <w:r w:rsidRPr="00367CDE">
        <w:rPr>
          <w:rFonts w:ascii="Times New Roman" w:eastAsia="Times New Roman" w:hAnsi="Times New Roman" w:cs="Times New Roman"/>
          <w:sz w:val="24"/>
          <w:szCs w:val="24"/>
          <w:rtl/>
        </w:rPr>
        <w:t xml:space="preserve">صعوبة التكييف </w:t>
      </w:r>
      <w:r w:rsidR="007E40EF" w:rsidRPr="00367CDE">
        <w:rPr>
          <w:rFonts w:ascii="Times New Roman" w:eastAsia="Times New Roman" w:hAnsi="Times New Roman" w:cs="Times New Roman" w:hint="cs"/>
          <w:sz w:val="24"/>
          <w:szCs w:val="24"/>
          <w:rtl/>
        </w:rPr>
        <w:t>القانوني، ضعف</w:t>
      </w:r>
      <w:r w:rsidRPr="00367CDE">
        <w:rPr>
          <w:rFonts w:ascii="Times New Roman" w:eastAsia="Times New Roman" w:hAnsi="Times New Roman" w:cs="Times New Roman"/>
          <w:sz w:val="24"/>
          <w:szCs w:val="24"/>
          <w:rtl/>
        </w:rPr>
        <w:t xml:space="preserve"> الإدانة القضائية</w:t>
      </w:r>
      <w:r>
        <w:rPr>
          <w:rFonts w:ascii="Times New Roman" w:eastAsia="Times New Roman" w:hAnsi="Times New Roman" w:cs="Times New Roman" w:hint="cs"/>
          <w:sz w:val="28"/>
          <w:szCs w:val="28"/>
          <w:rtl/>
        </w:rPr>
        <w:t>.</w:t>
      </w:r>
    </w:p>
    <w:p w14:paraId="3E052594"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7DEBB9E8"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7236C451"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2A203D52"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03A04653" w14:textId="6F83B0BD" w:rsidR="003B3BAB" w:rsidRP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 xml:space="preserve"> </w:t>
      </w:r>
    </w:p>
    <w:p w14:paraId="566770BB" w14:textId="77777777" w:rsidR="007E40EF" w:rsidRDefault="007E40EF"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06509088" w14:textId="77777777" w:rsidR="00367CDE" w:rsidRDefault="00367CDE"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020BB5FC" w14:textId="77777777" w:rsidR="00367CDE" w:rsidRDefault="00367CDE"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0FD8C237" w14:textId="7743E095"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lastRenderedPageBreak/>
        <w:t>ظهور أنماط جديدة من الجرائم الرقمية</w:t>
      </w:r>
    </w:p>
    <w:p w14:paraId="057AC801" w14:textId="1E05B6DC"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جرائم لم تكن موجودة سابقًا مثل</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اختراق الأنظمة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التلاعب بالبيانات</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انتحال الهوية الرقمية</w:t>
      </w:r>
    </w:p>
    <w:p w14:paraId="47D47D80" w14:textId="0829625D" w:rsidR="003B3BAB" w:rsidRPr="00787B32"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مما يؤدي إلى</w:t>
      </w:r>
      <w:r w:rsidRPr="00367CDE">
        <w:rPr>
          <w:rFonts w:ascii="Times New Roman" w:eastAsia="Times New Roman" w:hAnsi="Times New Roman" w:cs="Times New Roman"/>
          <w:sz w:val="24"/>
          <w:szCs w:val="24"/>
        </w:rPr>
        <w:t>:</w:t>
      </w:r>
    </w:p>
    <w:p w14:paraId="5E556D43" w14:textId="36B5D306" w:rsidR="00787B32" w:rsidRPr="00787B32" w:rsidRDefault="00787B32" w:rsidP="00AA2D35">
      <w:pPr>
        <w:pStyle w:val="3"/>
        <w:spacing w:line="360" w:lineRule="auto"/>
        <w:rPr>
          <w:bCs/>
          <w:color w:val="auto"/>
          <w:sz w:val="24"/>
          <w:szCs w:val="24"/>
        </w:rPr>
      </w:pPr>
      <w:r w:rsidRPr="00787B32">
        <w:rPr>
          <w:bCs/>
          <w:color w:val="auto"/>
          <w:sz w:val="24"/>
          <w:szCs w:val="24"/>
          <w:rtl/>
        </w:rPr>
        <w:t xml:space="preserve">صعوبة التكييف </w:t>
      </w:r>
      <w:r w:rsidRPr="00787B32">
        <w:rPr>
          <w:rFonts w:hint="cs"/>
          <w:bCs/>
          <w:color w:val="auto"/>
          <w:sz w:val="24"/>
          <w:szCs w:val="24"/>
          <w:rtl/>
        </w:rPr>
        <w:t>القانوني</w:t>
      </w:r>
      <w:r w:rsidRPr="00787B32">
        <w:rPr>
          <w:rFonts w:hint="cs"/>
          <w:bCs/>
          <w:color w:val="auto"/>
          <w:sz w:val="24"/>
          <w:szCs w:val="24"/>
          <w:vertAlign w:val="superscript"/>
          <w:rtl/>
        </w:rPr>
        <w:t xml:space="preserve"> </w:t>
      </w:r>
      <w:r w:rsidRPr="00787B32">
        <w:rPr>
          <w:bCs/>
          <w:color w:val="auto"/>
          <w:sz w:val="24"/>
          <w:szCs w:val="24"/>
          <w:vertAlign w:val="superscript"/>
          <w:rtl/>
        </w:rPr>
        <w:t>(</w:t>
      </w:r>
      <w:r w:rsidRPr="00E160B3">
        <w:rPr>
          <w:rStyle w:val="a8"/>
          <w:bCs/>
          <w:vanish/>
          <w:color w:val="auto"/>
          <w:sz w:val="24"/>
          <w:szCs w:val="24"/>
          <w:vertAlign w:val="baseline"/>
          <w:rtl/>
        </w:rPr>
        <w:footnoteReference w:id="19"/>
      </w:r>
      <w:r w:rsidRPr="00787B32">
        <w:rPr>
          <w:rFonts w:hint="cs"/>
          <w:bCs/>
          <w:color w:val="auto"/>
          <w:sz w:val="24"/>
          <w:szCs w:val="24"/>
          <w:vertAlign w:val="superscript"/>
          <w:rtl/>
        </w:rPr>
        <w:t>1)</w:t>
      </w:r>
    </w:p>
    <w:p w14:paraId="0E4D874C" w14:textId="4D45C76A" w:rsidR="00787B32" w:rsidRPr="00787B32" w:rsidRDefault="00C41252" w:rsidP="00AA2D35">
      <w:pPr>
        <w:spacing w:before="100" w:beforeAutospacing="1" w:after="100" w:afterAutospacing="1" w:line="360" w:lineRule="auto"/>
        <w:jc w:val="left"/>
        <w:rPr>
          <w:rFonts w:ascii="Times New Roman" w:eastAsia="Times New Roman" w:hAnsi="Times New Roman" w:cs="Times New Roman"/>
          <w:sz w:val="24"/>
          <w:szCs w:val="24"/>
        </w:rPr>
      </w:pPr>
      <w:r w:rsidRPr="00C41252">
        <w:rPr>
          <w:rStyle w:val="a3"/>
          <w:b w:val="0"/>
          <w:bCs w:val="0"/>
          <w:rtl/>
        </w:rPr>
        <w:t>ترجع صعوبة التكييف القانوني إلى أن العديد من الأفعال الناتجة عن تطبيقات الذكاء الاصطناعي والبيئات الرقمية لا تتطابق بصورة كاملة مع النماذج الإجرامية التقليدية التي صيغت لمواجهة السلوك الإنساني المباشر، الأمر الذي يثير إشكاليات في تحديد الوصف القانوني للواقعة، واختيار النص النظامي الواجب التطبيق، وتحديد المسؤولية الجنائية بين مطور النظام، أو مشغله، أو مستخدمه، أو غيرهم من الأطراف المرتبطة بالفعل محل التجريم</w:t>
      </w:r>
      <w:r>
        <w:rPr>
          <w:rStyle w:val="a3"/>
        </w:rPr>
        <w:t>.</w:t>
      </w:r>
    </w:p>
    <w:p w14:paraId="05BCB7FE" w14:textId="375813F0" w:rsidR="003B3BAB" w:rsidRDefault="003B3BAB" w:rsidP="00DE2C37">
      <w:pPr>
        <w:spacing w:before="100" w:beforeAutospacing="1" w:after="100" w:afterAutospacing="1" w:line="360" w:lineRule="auto"/>
        <w:jc w:val="left"/>
        <w:rPr>
          <w:rFonts w:ascii="Times New Roman" w:eastAsia="Times New Roman" w:hAnsi="Times New Roman" w:cs="Times New Roman"/>
          <w:b/>
          <w:bCs/>
          <w:sz w:val="24"/>
          <w:szCs w:val="24"/>
          <w:rtl/>
        </w:rPr>
      </w:pPr>
      <w:r w:rsidRPr="00787B32">
        <w:rPr>
          <w:rFonts w:ascii="Times New Roman" w:eastAsia="Times New Roman" w:hAnsi="Times New Roman" w:cs="Times New Roman"/>
          <w:b/>
          <w:bCs/>
          <w:sz w:val="24"/>
          <w:szCs w:val="24"/>
          <w:rtl/>
        </w:rPr>
        <w:t>ضعف الإدانة القضائية</w:t>
      </w:r>
      <w:r w:rsidRPr="00787B32">
        <w:rPr>
          <w:rFonts w:ascii="Times New Roman" w:eastAsia="Times New Roman" w:hAnsi="Times New Roman" w:cs="Times New Roman"/>
          <w:b/>
          <w:bCs/>
          <w:sz w:val="24"/>
          <w:szCs w:val="24"/>
          <w:vertAlign w:val="superscript"/>
          <w:rtl/>
        </w:rPr>
        <w:t xml:space="preserve"> </w:t>
      </w:r>
      <w:r w:rsidR="00787B32" w:rsidRPr="00787B32">
        <w:rPr>
          <w:rFonts w:ascii="Times New Roman" w:eastAsia="Times New Roman" w:hAnsi="Times New Roman" w:cs="Times New Roman" w:hint="cs"/>
          <w:b/>
          <w:bCs/>
          <w:sz w:val="24"/>
          <w:szCs w:val="24"/>
          <w:vertAlign w:val="superscript"/>
          <w:rtl/>
        </w:rPr>
        <w:t>(</w:t>
      </w:r>
      <w:r w:rsidR="00787B32" w:rsidRPr="00E160B3">
        <w:rPr>
          <w:rStyle w:val="a8"/>
          <w:rFonts w:ascii="Times New Roman" w:eastAsia="Times New Roman" w:hAnsi="Times New Roman" w:cs="Times New Roman"/>
          <w:b/>
          <w:bCs/>
          <w:vanish/>
          <w:sz w:val="24"/>
          <w:szCs w:val="24"/>
          <w:vertAlign w:val="baseline"/>
          <w:rtl/>
        </w:rPr>
        <w:footnoteReference w:id="20"/>
      </w:r>
      <w:r w:rsidR="00787B32" w:rsidRPr="00787B32">
        <w:rPr>
          <w:rFonts w:ascii="Times New Roman" w:eastAsia="Times New Roman" w:hAnsi="Times New Roman" w:cs="Times New Roman" w:hint="cs"/>
          <w:b/>
          <w:bCs/>
          <w:sz w:val="24"/>
          <w:szCs w:val="24"/>
          <w:vertAlign w:val="superscript"/>
          <w:rtl/>
        </w:rPr>
        <w:t>2)</w:t>
      </w:r>
    </w:p>
    <w:p w14:paraId="2B145366" w14:textId="6F50C2F3" w:rsidR="00787B32" w:rsidRPr="00787B32" w:rsidRDefault="00787B32" w:rsidP="00DE2C37">
      <w:pPr>
        <w:spacing w:before="100" w:beforeAutospacing="1" w:after="100" w:afterAutospacing="1" w:line="360" w:lineRule="auto"/>
        <w:jc w:val="left"/>
        <w:rPr>
          <w:rFonts w:ascii="Times New Roman" w:eastAsia="Times New Roman" w:hAnsi="Times New Roman" w:cs="Times New Roman"/>
          <w:b/>
          <w:bCs/>
          <w:sz w:val="24"/>
          <w:szCs w:val="24"/>
        </w:rPr>
      </w:pPr>
      <w:r w:rsidRPr="00787B32">
        <w:rPr>
          <w:rFonts w:ascii="Times New Roman" w:hAnsi="Times New Roman" w:cs="Times New Roman"/>
          <w:rtl/>
        </w:rPr>
        <w:t>صد بضعف الإدانة القضائية الصعوبات التي تواجه المحاكم في إثبات الجريمة ونسبتها إلى الفاعل بصورة يقينية، خاصة في الجرائم الرقمية التي تعتمد على أدلة إلكترونية معقدة أو أنظمة ذكية يصعب تتبع قراراتها وآلية عملها. وقد يؤدي نقص الأدلة الفنية أو الغموض في تحديد المسؤول المسؤولية الجنائية إلى إضعاف فرص الإدانة وإثارة الشك حول توافر أركان الجريمة، مما ينعكس على فعالية الملاحقة الجنائية وتحقيق الردع القانوني</w:t>
      </w:r>
      <w:r w:rsidRPr="00787B32">
        <w:rPr>
          <w:rFonts w:ascii="Times New Roman" w:hAnsi="Times New Roman" w:cs="Times New Roman"/>
        </w:rPr>
        <w:t>.</w:t>
      </w:r>
    </w:p>
    <w:p w14:paraId="44A4D682" w14:textId="77777777"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تعدد التقنيات وتداخلها</w:t>
      </w:r>
    </w:p>
    <w:p w14:paraId="4859FB40"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التقنية لم تعد مجالًا واحدًا، بل تشمل</w:t>
      </w:r>
      <w:r w:rsidRPr="00367CDE">
        <w:rPr>
          <w:rFonts w:ascii="Times New Roman" w:eastAsia="Times New Roman" w:hAnsi="Times New Roman" w:cs="Times New Roman"/>
          <w:sz w:val="24"/>
          <w:szCs w:val="24"/>
        </w:rPr>
        <w:t xml:space="preserve">: </w:t>
      </w:r>
    </w:p>
    <w:p w14:paraId="4E0DC70B" w14:textId="7B98948C" w:rsidR="003B3BAB" w:rsidRPr="00367CDE" w:rsidRDefault="007E40EF"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hint="cs"/>
          <w:sz w:val="24"/>
          <w:szCs w:val="24"/>
          <w:rtl/>
        </w:rPr>
        <w:t>الأ</w:t>
      </w:r>
      <w:r w:rsidRPr="00367CDE">
        <w:rPr>
          <w:rFonts w:ascii="Times New Roman" w:eastAsia="Times New Roman" w:hAnsi="Times New Roman" w:cs="Times New Roman" w:hint="cs"/>
          <w:sz w:val="24"/>
          <w:szCs w:val="24"/>
          <w:rtl/>
        </w:rPr>
        <w:t>نظمة وهي</w:t>
      </w:r>
      <w:r w:rsidR="003B3BAB" w:rsidRPr="00367CDE">
        <w:rPr>
          <w:rFonts w:ascii="Times New Roman" w:eastAsia="Times New Roman" w:hAnsi="Times New Roman" w:cs="Times New Roman"/>
          <w:sz w:val="24"/>
          <w:szCs w:val="24"/>
        </w:rPr>
        <w:t>:</w:t>
      </w:r>
      <w:r w:rsidR="003B3BAB" w:rsidRPr="00367CDE">
        <w:rPr>
          <w:rFonts w:ascii="Times New Roman" w:eastAsia="Times New Roman" w:hAnsi="Times New Roman" w:cs="Times New Roman"/>
          <w:sz w:val="24"/>
          <w:szCs w:val="24"/>
          <w:rtl/>
        </w:rPr>
        <w:t xml:space="preserve"> مجموعة متكاملة من المكونات التقنية (برمجيات، أجهزة، قواعد بيانات) تعمل بشكل منظم لتحقيق وظيفة محددة داخل بيئة رقمية</w:t>
      </w:r>
      <w:r w:rsidR="003B3BAB" w:rsidRPr="00367CDE">
        <w:rPr>
          <w:rFonts w:ascii="Times New Roman" w:eastAsia="Times New Roman" w:hAnsi="Times New Roman" w:cs="Times New Roman"/>
          <w:sz w:val="24"/>
          <w:szCs w:val="24"/>
        </w:rPr>
        <w:t>.</w:t>
      </w:r>
    </w:p>
    <w:p w14:paraId="4F8B7957" w14:textId="7BE7683D" w:rsidR="00787B32"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تشمل الأنظمة</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 xml:space="preserve"> أنظمة المعلومات </w:t>
      </w:r>
      <w:r w:rsidR="007E40EF" w:rsidRPr="00367CDE">
        <w:rPr>
          <w:rFonts w:ascii="Times New Roman" w:eastAsia="Times New Roman" w:hAnsi="Times New Roman" w:cs="Times New Roman" w:hint="cs"/>
          <w:sz w:val="24"/>
          <w:szCs w:val="24"/>
          <w:rtl/>
        </w:rPr>
        <w:t>الحكومية</w:t>
      </w:r>
      <w:r w:rsidR="00787B32" w:rsidRPr="00787B32">
        <w:rPr>
          <w:rtl/>
        </w:rPr>
        <w:t xml:space="preserve"> </w:t>
      </w:r>
      <w:r w:rsidR="00787B32">
        <w:rPr>
          <w:rFonts w:ascii="Times New Roman" w:hAnsi="Times New Roman" w:cs="Times New Roman" w:hint="cs"/>
          <w:sz w:val="24"/>
          <w:szCs w:val="24"/>
          <w:rtl/>
        </w:rPr>
        <w:t>و</w:t>
      </w:r>
      <w:r w:rsidR="00787B32" w:rsidRPr="00787B32">
        <w:rPr>
          <w:rFonts w:ascii="Times New Roman" w:hAnsi="Times New Roman" w:cs="Times New Roman"/>
          <w:sz w:val="24"/>
          <w:szCs w:val="24"/>
          <w:rtl/>
        </w:rPr>
        <w:t>هي أنظمة رقمية تستخدمها الجهات الحكومية لإدارة المعلومات وتبادلها وتقديم الخدمات إلكترونيًا. وتهدف إلى تسهيل الإجراءات الحكومية، وتحسين سرعة إنجاز المعاملات، وتعزيز التكامل بين الجهات المختلفة، بما يرفع كفاءة العمل الحكومي وجودة الخدمات المقدمة للمستفيدين</w:t>
      </w:r>
      <w:r w:rsidR="00787B32">
        <w:t>.</w:t>
      </w:r>
      <w:r w:rsidR="00787B32">
        <w:rPr>
          <w:rFonts w:ascii="Times New Roman" w:eastAsia="Times New Roman" w:hAnsi="Times New Roman" w:cs="Times New Roman" w:hint="cs"/>
          <w:sz w:val="24"/>
          <w:szCs w:val="24"/>
          <w:rtl/>
        </w:rPr>
        <w:t xml:space="preserve"> </w:t>
      </w:r>
      <w:r w:rsidR="007E40EF"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أنظمة إدارة </w:t>
      </w:r>
      <w:r w:rsidR="007E40EF" w:rsidRPr="00367CDE">
        <w:rPr>
          <w:rFonts w:ascii="Times New Roman" w:eastAsia="Times New Roman" w:hAnsi="Times New Roman" w:cs="Times New Roman" w:hint="cs"/>
          <w:sz w:val="24"/>
          <w:szCs w:val="24"/>
          <w:rtl/>
        </w:rPr>
        <w:t>البيانات</w:t>
      </w:r>
      <w:r w:rsidR="00787B32">
        <w:rPr>
          <w:rFonts w:ascii="Times New Roman" w:eastAsia="Times New Roman" w:hAnsi="Times New Roman" w:cs="Times New Roman" w:hint="cs"/>
          <w:sz w:val="24"/>
          <w:szCs w:val="24"/>
          <w:rtl/>
        </w:rPr>
        <w:t xml:space="preserve"> </w:t>
      </w:r>
      <w:r w:rsidR="00787B32" w:rsidRPr="00787B32">
        <w:rPr>
          <w:rFonts w:ascii="Times New Roman" w:hAnsi="Times New Roman" w:cs="Times New Roman"/>
          <w:sz w:val="24"/>
          <w:szCs w:val="24"/>
          <w:rtl/>
        </w:rPr>
        <w:t>هي أنظمة متخصصة في جمع البيانات وتخزينها وتنظيمها وتحليلها بصورة آمنة ومنهجية. وتساعد هذه الأنظمة المؤسسات على الوصول إلى المعلومات بسرعة ودقة، ودعم اتخاذ القرار، وتحسين التخطيط والرقابة من خلال الاستفادة من البيانات المتاحة</w:t>
      </w:r>
      <w:r w:rsidR="00787B32" w:rsidRPr="00787B32">
        <w:rPr>
          <w:rFonts w:ascii="Times New Roman" w:hAnsi="Times New Roman" w:cs="Times New Roman"/>
          <w:sz w:val="24"/>
          <w:szCs w:val="24"/>
        </w:rPr>
        <w:t>.</w:t>
      </w:r>
      <w:r w:rsidR="00787B32" w:rsidRPr="00367CDE">
        <w:rPr>
          <w:rFonts w:ascii="Times New Roman" w:eastAsia="Times New Roman" w:hAnsi="Times New Roman" w:cs="Times New Roman" w:hint="cs"/>
          <w:sz w:val="24"/>
          <w:szCs w:val="24"/>
          <w:rtl/>
        </w:rPr>
        <w:t>،</w:t>
      </w:r>
    </w:p>
    <w:p w14:paraId="5ED9E718" w14:textId="0B6C277C" w:rsidR="00787B32" w:rsidRDefault="003B3BAB" w:rsidP="00AA2D35">
      <w:pPr>
        <w:pStyle w:val="a5"/>
        <w:bidi/>
        <w:spacing w:line="360" w:lineRule="auto"/>
        <w:rPr>
          <w:rtl/>
        </w:rPr>
      </w:pPr>
      <w:r w:rsidRPr="00367CDE">
        <w:rPr>
          <w:rtl/>
        </w:rPr>
        <w:lastRenderedPageBreak/>
        <w:t xml:space="preserve"> أنظمة التوقيع الإلكتروني </w:t>
      </w:r>
      <w:r w:rsidR="00787B32">
        <w:rPr>
          <w:rtl/>
        </w:rPr>
        <w:t>هي أنظمة تقنية تتيح للأفراد والجهات اعتماد المستندات والمعاملات إلكترونيًا بطريقة موثوقة ومعترف بها قانونيًا. وتُستخدم للتحقق من هوية الموقع وضمان سلامة المستند وعدم تعديله بعد التوقيع، مما يسهم في تسريع الإجراءات وتقليل الاعتماد على المعاملات الورقية</w:t>
      </w:r>
      <w:r w:rsidR="00787B32">
        <w:t>.</w:t>
      </w:r>
    </w:p>
    <w:p w14:paraId="281D5CC0" w14:textId="42129B3A"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وتُعد العمود الفقري للتحول الرقمي، حيث</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 xml:space="preserve"> تنظم </w:t>
      </w:r>
      <w:r w:rsidR="007E40EF" w:rsidRPr="00367CDE">
        <w:rPr>
          <w:rFonts w:ascii="Times New Roman" w:eastAsia="Times New Roman" w:hAnsi="Times New Roman" w:cs="Times New Roman" w:hint="cs"/>
          <w:sz w:val="24"/>
          <w:szCs w:val="24"/>
          <w:rtl/>
        </w:rPr>
        <w:t>العمليات،</w:t>
      </w:r>
      <w:r w:rsidRPr="00367CDE">
        <w:rPr>
          <w:rFonts w:ascii="Times New Roman" w:eastAsia="Times New Roman" w:hAnsi="Times New Roman" w:cs="Times New Roman"/>
          <w:sz w:val="24"/>
          <w:szCs w:val="24"/>
          <w:rtl/>
        </w:rPr>
        <w:t xml:space="preserve"> تعالج </w:t>
      </w:r>
      <w:r w:rsidR="007E40EF" w:rsidRPr="00367CDE">
        <w:rPr>
          <w:rFonts w:ascii="Times New Roman" w:eastAsia="Times New Roman" w:hAnsi="Times New Roman" w:cs="Times New Roman" w:hint="cs"/>
          <w:sz w:val="24"/>
          <w:szCs w:val="24"/>
          <w:rtl/>
        </w:rPr>
        <w:t>البيانات،</w:t>
      </w:r>
      <w:r w:rsidRPr="00367CDE">
        <w:rPr>
          <w:rFonts w:ascii="Times New Roman" w:eastAsia="Times New Roman" w:hAnsi="Times New Roman" w:cs="Times New Roman"/>
          <w:sz w:val="24"/>
          <w:szCs w:val="24"/>
          <w:rtl/>
        </w:rPr>
        <w:t xml:space="preserve"> تدعم اتخاذ القرار</w:t>
      </w:r>
      <w:r w:rsidRPr="00367CDE">
        <w:rPr>
          <w:rFonts w:ascii="Times New Roman" w:eastAsia="Times New Roman" w:hAnsi="Times New Roman" w:cs="Times New Roman" w:hint="cs"/>
          <w:sz w:val="24"/>
          <w:szCs w:val="24"/>
          <w:rtl/>
        </w:rPr>
        <w:t>.</w:t>
      </w:r>
    </w:p>
    <w:p w14:paraId="2EAE7DE9" w14:textId="5A0ABDF5" w:rsidR="003B3BAB" w:rsidRPr="00367CDE" w:rsidRDefault="003B3BAB" w:rsidP="00AA2D35">
      <w:pPr>
        <w:pStyle w:val="a5"/>
        <w:bidi/>
        <w:spacing w:line="360" w:lineRule="auto"/>
      </w:pPr>
      <w:r w:rsidRPr="00367CDE">
        <w:rPr>
          <w:rtl/>
        </w:rPr>
        <w:t>منصات</w:t>
      </w:r>
      <w:r w:rsidRPr="00367CDE">
        <w:rPr>
          <w:rFonts w:hint="cs"/>
          <w:rtl/>
        </w:rPr>
        <w:t xml:space="preserve"> وهي </w:t>
      </w:r>
      <w:r w:rsidR="00787B32" w:rsidRPr="00367CDE">
        <w:rPr>
          <w:rFonts w:hint="cs"/>
          <w:rtl/>
        </w:rPr>
        <w:t>بيئ</w:t>
      </w:r>
      <w:r w:rsidR="00787B32" w:rsidRPr="00367CDE">
        <w:rPr>
          <w:rFonts w:hint="eastAsia"/>
          <w:rtl/>
        </w:rPr>
        <w:t>ة</w:t>
      </w:r>
      <w:r w:rsidRPr="00367CDE">
        <w:rPr>
          <w:rtl/>
        </w:rPr>
        <w:t xml:space="preserve"> رقمية تفاعلية تتيح تقديم الخدمات والتفاعل بين المستخدمين والجهات المختلفة</w:t>
      </w:r>
      <w:r w:rsidRPr="00367CDE">
        <w:rPr>
          <w:rFonts w:hint="cs"/>
          <w:rtl/>
        </w:rPr>
        <w:t xml:space="preserve"> </w:t>
      </w:r>
      <w:r w:rsidRPr="00367CDE">
        <w:rPr>
          <w:rtl/>
        </w:rPr>
        <w:t xml:space="preserve">عبر واجهات موحدة </w:t>
      </w:r>
      <w:r w:rsidR="007E40EF" w:rsidRPr="00367CDE">
        <w:rPr>
          <w:rFonts w:hint="cs"/>
          <w:rtl/>
        </w:rPr>
        <w:t>والمنصة ليست</w:t>
      </w:r>
      <w:r w:rsidRPr="00367CDE">
        <w:rPr>
          <w:rtl/>
        </w:rPr>
        <w:t xml:space="preserve"> مجرد نظام، بل</w:t>
      </w:r>
      <w:r w:rsidRPr="00367CDE">
        <w:t>:</w:t>
      </w:r>
    </w:p>
    <w:p w14:paraId="73D4958D" w14:textId="7F318C32" w:rsidR="003B3BAB" w:rsidRPr="00367CDE"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إطار يجمع عدة </w:t>
      </w:r>
      <w:r w:rsidR="007E40EF" w:rsidRPr="00367CDE">
        <w:rPr>
          <w:rFonts w:ascii="Times New Roman" w:eastAsia="Times New Roman" w:hAnsi="Times New Roman" w:cs="Times New Roman" w:hint="cs"/>
          <w:sz w:val="24"/>
          <w:szCs w:val="24"/>
          <w:rtl/>
        </w:rPr>
        <w:t>أنظمة،</w:t>
      </w:r>
      <w:r w:rsidRPr="00367CDE">
        <w:rPr>
          <w:rFonts w:ascii="Times New Roman" w:eastAsia="Times New Roman" w:hAnsi="Times New Roman" w:cs="Times New Roman"/>
          <w:sz w:val="24"/>
          <w:szCs w:val="24"/>
          <w:rtl/>
        </w:rPr>
        <w:t xml:space="preserve"> يوفر خدمات متعددة في مكان واحد </w:t>
      </w:r>
    </w:p>
    <w:p w14:paraId="348E109E" w14:textId="1B84DC43" w:rsidR="007E40EF"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وتشمل</w:t>
      </w:r>
      <w:r w:rsidRPr="00367CDE">
        <w:rPr>
          <w:rFonts w:ascii="Times New Roman" w:eastAsia="Times New Roman" w:hAnsi="Times New Roman" w:cs="Times New Roman"/>
          <w:sz w:val="24"/>
          <w:szCs w:val="24"/>
        </w:rPr>
        <w:t>:</w:t>
      </w:r>
      <w:r w:rsidR="007E40EF" w:rsidRPr="00367CDE">
        <w:rPr>
          <w:rFonts w:ascii="Times New Roman" w:eastAsia="Times New Roman" w:hAnsi="Times New Roman" w:cs="Times New Roman"/>
          <w:sz w:val="24"/>
          <w:szCs w:val="24"/>
          <w:rtl/>
        </w:rPr>
        <w:t xml:space="preserve"> المنصات الحكومية (مثل بوابات الخدمات</w:t>
      </w:r>
      <w:r w:rsidR="00787B32"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منصات الدفع الإلكتروني</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منصات التحقق الر</w:t>
      </w:r>
      <w:r w:rsidR="007E40EF" w:rsidRPr="00367CDE">
        <w:rPr>
          <w:rFonts w:ascii="Times New Roman" w:eastAsia="Times New Roman" w:hAnsi="Times New Roman" w:cs="Times New Roman" w:hint="cs"/>
          <w:sz w:val="24"/>
          <w:szCs w:val="24"/>
          <w:rtl/>
        </w:rPr>
        <w:t>قمي</w:t>
      </w:r>
    </w:p>
    <w:p w14:paraId="6959F35E" w14:textId="30A280CD"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خصائصها</w:t>
      </w:r>
      <w:r w:rsidRPr="003B3BAB">
        <w:rPr>
          <w:rFonts w:ascii="Times New Roman" w:eastAsia="Times New Roman" w:hAnsi="Times New Roman" w:cs="Times New Roman"/>
          <w:b/>
          <w:bCs/>
          <w:sz w:val="28"/>
          <w:szCs w:val="28"/>
        </w:rPr>
        <w:t>:</w:t>
      </w:r>
    </w:p>
    <w:p w14:paraId="07AD1530" w14:textId="611999AE" w:rsidR="005C60F0" w:rsidRDefault="003B3BAB" w:rsidP="00AA2D35">
      <w:pPr>
        <w:pStyle w:val="a5"/>
        <w:bidi/>
        <w:spacing w:line="360" w:lineRule="auto"/>
      </w:pPr>
      <w:r w:rsidRPr="005C60F0">
        <w:rPr>
          <w:b/>
          <w:bCs/>
          <w:rtl/>
        </w:rPr>
        <w:t xml:space="preserve">التكامل بين </w:t>
      </w:r>
      <w:r w:rsidR="005C60F0" w:rsidRPr="005C60F0">
        <w:rPr>
          <w:rFonts w:hint="cs"/>
          <w:b/>
          <w:bCs/>
          <w:rtl/>
        </w:rPr>
        <w:t>الأنظمة</w:t>
      </w:r>
      <w:r w:rsidR="005C60F0" w:rsidRPr="005C60F0">
        <w:rPr>
          <w:rFonts w:hint="cs"/>
          <w:vertAlign w:val="superscript"/>
          <w:rtl/>
        </w:rPr>
        <w:t xml:space="preserve"> </w:t>
      </w:r>
      <w:r w:rsidR="005C60F0" w:rsidRPr="005C60F0">
        <w:rPr>
          <w:vertAlign w:val="superscript"/>
          <w:rtl/>
        </w:rPr>
        <w:t>(</w:t>
      </w:r>
      <w:r w:rsidR="005C60F0" w:rsidRPr="005C60F0">
        <w:rPr>
          <w:rFonts w:hint="cs"/>
          <w:vertAlign w:val="superscript"/>
          <w:rtl/>
        </w:rPr>
        <w:t>1)</w:t>
      </w:r>
      <w:r w:rsidR="005C60F0" w:rsidRPr="00E160B3">
        <w:rPr>
          <w:rStyle w:val="a8"/>
          <w:vanish/>
          <w:vertAlign w:val="baseline"/>
          <w:rtl/>
        </w:rPr>
        <w:footnoteReference w:id="21"/>
      </w:r>
      <w:r w:rsidR="005C60F0" w:rsidRPr="00E160B3">
        <w:rPr>
          <w:rFonts w:hint="cs"/>
          <w:vanish/>
          <w:rtl/>
        </w:rPr>
        <w:t xml:space="preserve"> </w:t>
      </w:r>
      <w:r w:rsidR="005C60F0" w:rsidRPr="005C60F0">
        <w:rPr>
          <w:rtl/>
        </w:rPr>
        <w:t>يقصد به قدرة الأنظمة الرقمية المختلفة على تبادل البيانات والمعلومات والعمل بصورة مترابطة ضمن بيئة موحدة. ويسهم هذا التكامل في تسريع الإجراءات، وتقليل ازدواجية البيانات، وتحسين كفاءة العمل من خلال توفير معلومات دقيقة ومحدثة لجميع الجهات ذات العلاقة</w:t>
      </w:r>
      <w:r w:rsidR="005C60F0" w:rsidRPr="005C60F0">
        <w:t>.</w:t>
      </w:r>
      <w:r w:rsidR="007E40EF" w:rsidRPr="005C60F0">
        <w:rPr>
          <w:rtl/>
        </w:rPr>
        <w:t>،</w:t>
      </w:r>
      <w:r w:rsidRPr="005C60F0">
        <w:rPr>
          <w:rtl/>
        </w:rPr>
        <w:t xml:space="preserve"> </w:t>
      </w:r>
      <w:r w:rsidRPr="005C60F0">
        <w:rPr>
          <w:b/>
          <w:bCs/>
          <w:rtl/>
        </w:rPr>
        <w:t xml:space="preserve">قابلية </w:t>
      </w:r>
      <w:r w:rsidR="007E40EF" w:rsidRPr="005C60F0">
        <w:rPr>
          <w:b/>
          <w:bCs/>
          <w:rtl/>
        </w:rPr>
        <w:t>التوسع</w:t>
      </w:r>
      <w:r w:rsidR="005C60F0">
        <w:rPr>
          <w:rFonts w:hint="cs"/>
          <w:rtl/>
        </w:rPr>
        <w:t xml:space="preserve"> </w:t>
      </w:r>
      <w:r w:rsidR="005C60F0" w:rsidRPr="005C60F0">
        <w:rPr>
          <w:rtl/>
        </w:rPr>
        <w:t>تعني قدرة النظام على استيعاب زيادة عدد المستخدمين أو الخدمات والبيانات دون التأثير على كفاءته أو أدائه. وتُعد هذه الخاصية ضرورية لمواكبة التطور المستمر في الخدمات الرقمية وتلبية الاحتياجات المستقبلية للمؤسسات والمستفيدين</w:t>
      </w:r>
      <w:r w:rsidR="005C60F0" w:rsidRPr="005C60F0">
        <w:t>.</w:t>
      </w:r>
      <w:r w:rsidR="007E40EF" w:rsidRPr="005C60F0">
        <w:rPr>
          <w:rtl/>
        </w:rPr>
        <w:t>،</w:t>
      </w:r>
      <w:r w:rsidRPr="005C60F0">
        <w:rPr>
          <w:rtl/>
        </w:rPr>
        <w:t xml:space="preserve"> </w:t>
      </w:r>
      <w:r w:rsidRPr="005C60F0">
        <w:rPr>
          <w:b/>
          <w:bCs/>
          <w:rtl/>
        </w:rPr>
        <w:t>التفاعل مع المستخدم</w:t>
      </w:r>
      <w:r w:rsidRPr="00367CDE">
        <w:rPr>
          <w:rtl/>
        </w:rPr>
        <w:t xml:space="preserve"> </w:t>
      </w:r>
      <w:r w:rsidR="005C60F0">
        <w:rPr>
          <w:rtl/>
        </w:rPr>
        <w:t>يقصد به تصميم الأنظمة بطريقة تتيح للمستخدمين الوصول إلى الخدمات واستخدامها بسهولة ووضوح. ويساعد ذلك في رفع مستوى رضا المستفيدين وتقليل الوقت والجهد اللازمين لإنجاز المعاملات الإلكترونية</w:t>
      </w:r>
      <w:r w:rsidR="005C60F0">
        <w:t>.</w:t>
      </w:r>
    </w:p>
    <w:p w14:paraId="5C0452AD" w14:textId="77777777" w:rsidR="005C60F0" w:rsidRDefault="003B3BAB" w:rsidP="00AA2D35">
      <w:pPr>
        <w:pStyle w:val="a5"/>
        <w:bidi/>
        <w:spacing w:line="360" w:lineRule="auto"/>
      </w:pPr>
      <w:r w:rsidRPr="00367CDE">
        <w:rPr>
          <w:rtl/>
        </w:rPr>
        <w:t>دورها في التحول الرقمي</w:t>
      </w:r>
      <w:r w:rsidRPr="00367CDE">
        <w:t>:</w:t>
      </w:r>
      <w:r w:rsidR="007E40EF" w:rsidRPr="00367CDE">
        <w:rPr>
          <w:rtl/>
        </w:rPr>
        <w:t xml:space="preserve"> </w:t>
      </w:r>
      <w:r w:rsidR="007E40EF" w:rsidRPr="005C60F0">
        <w:rPr>
          <w:b/>
          <w:bCs/>
          <w:rtl/>
        </w:rPr>
        <w:t xml:space="preserve">تسهيل الوصول </w:t>
      </w:r>
      <w:r w:rsidR="007E40EF" w:rsidRPr="005C60F0">
        <w:rPr>
          <w:rFonts w:hint="cs"/>
          <w:b/>
          <w:bCs/>
          <w:rtl/>
        </w:rPr>
        <w:t>للخدمات</w:t>
      </w:r>
      <w:r w:rsidR="005C60F0">
        <w:rPr>
          <w:rFonts w:hint="cs"/>
          <w:rtl/>
        </w:rPr>
        <w:t xml:space="preserve"> </w:t>
      </w:r>
      <w:r w:rsidR="005C60F0">
        <w:rPr>
          <w:rtl/>
        </w:rPr>
        <w:t>تمكن الأنظمة الرقمية الأفراد والمؤسسات من الحصول على الخدمات في أي وقت ومن أي مكان دون الحاجة إلى الحضور الشخصي، مما يعزز سرعة الإنجاز ويوسع نطاق الاستفادة من الخدمات الحكومية والقضائية</w:t>
      </w:r>
      <w:r w:rsidR="005C60F0">
        <w:t>.</w:t>
      </w:r>
      <w:r w:rsidR="005C60F0" w:rsidRPr="00367CDE">
        <w:rPr>
          <w:rFonts w:hint="cs"/>
          <w:rtl/>
        </w:rPr>
        <w:t xml:space="preserve"> </w:t>
      </w:r>
      <w:r w:rsidR="007E40EF" w:rsidRPr="00367CDE">
        <w:rPr>
          <w:rFonts w:hint="cs"/>
          <w:rtl/>
        </w:rPr>
        <w:t>،</w:t>
      </w:r>
      <w:r w:rsidR="007E40EF" w:rsidRPr="00367CDE">
        <w:rPr>
          <w:rtl/>
        </w:rPr>
        <w:t xml:space="preserve"> </w:t>
      </w:r>
      <w:r w:rsidR="007E40EF" w:rsidRPr="005C60F0">
        <w:rPr>
          <w:b/>
          <w:bCs/>
          <w:rtl/>
        </w:rPr>
        <w:t xml:space="preserve">تحسين تجربة </w:t>
      </w:r>
      <w:r w:rsidR="007E40EF" w:rsidRPr="005C60F0">
        <w:rPr>
          <w:rFonts w:hint="cs"/>
          <w:b/>
          <w:bCs/>
          <w:rtl/>
        </w:rPr>
        <w:t>المستخدم</w:t>
      </w:r>
      <w:r w:rsidR="005C60F0">
        <w:rPr>
          <w:rFonts w:hint="cs"/>
          <w:rtl/>
        </w:rPr>
        <w:t xml:space="preserve"> </w:t>
      </w:r>
      <w:r w:rsidR="005C60F0">
        <w:rPr>
          <w:rtl/>
        </w:rPr>
        <w:t>توفر الأنظمة الرقمية واجهات استخدام سهلة وخدمات إلكترونية متكاملة تُمكن المستفيد من إنجاز معاملاته بسرعة وكفاءة، مما يرفع مستوى الرضا والثقة بالخدمات المقدمة</w:t>
      </w:r>
      <w:r w:rsidR="005C60F0">
        <w:t>.</w:t>
      </w:r>
      <w:r w:rsidR="005C60F0" w:rsidRPr="00367CDE">
        <w:rPr>
          <w:rFonts w:hint="cs"/>
          <w:rtl/>
        </w:rPr>
        <w:t xml:space="preserve"> </w:t>
      </w:r>
      <w:r w:rsidR="007E40EF" w:rsidRPr="00367CDE">
        <w:rPr>
          <w:rFonts w:hint="cs"/>
          <w:rtl/>
        </w:rPr>
        <w:t>،</w:t>
      </w:r>
      <w:r w:rsidR="007E40EF" w:rsidRPr="005C60F0">
        <w:rPr>
          <w:b/>
          <w:bCs/>
          <w:rtl/>
        </w:rPr>
        <w:t xml:space="preserve"> تقليل الإجراءات التقليد</w:t>
      </w:r>
      <w:r w:rsidR="005C60F0">
        <w:rPr>
          <w:rFonts w:hint="cs"/>
          <w:rtl/>
        </w:rPr>
        <w:t xml:space="preserve"> </w:t>
      </w:r>
      <w:r w:rsidR="005C60F0">
        <w:rPr>
          <w:rtl/>
        </w:rPr>
        <w:t>تسهم الأنظمة الرقمية في استبدال المعاملات الورقية والإجراءات اليدوية بإجراءات إلكترونية مؤتمتة، الأمر الذي يقلل الوقت والتكاليف والأخطاء الإدارية ويزيد من كفاءة الأداء المؤسسي</w:t>
      </w:r>
      <w:r w:rsidR="005C60F0">
        <w:t>.</w:t>
      </w:r>
    </w:p>
    <w:p w14:paraId="6323EF2F" w14:textId="7417F41C" w:rsidR="007E40EF" w:rsidRPr="00367CDE" w:rsidRDefault="007E40EF" w:rsidP="00AA2D35">
      <w:pPr>
        <w:spacing w:before="100" w:beforeAutospacing="1" w:after="100" w:afterAutospacing="1" w:line="360" w:lineRule="auto"/>
        <w:jc w:val="left"/>
        <w:rPr>
          <w:rFonts w:ascii="Times New Roman" w:eastAsia="Times New Roman" w:hAnsi="Times New Roman" w:cs="Times New Roman"/>
          <w:sz w:val="24"/>
          <w:szCs w:val="24"/>
        </w:rPr>
      </w:pPr>
    </w:p>
    <w:p w14:paraId="600657B8" w14:textId="394C8634" w:rsidR="00367CDE" w:rsidRDefault="00367CDE" w:rsidP="00AA2D35">
      <w:pPr>
        <w:pStyle w:val="a5"/>
        <w:bidi/>
        <w:spacing w:line="360" w:lineRule="auto"/>
        <w:rPr>
          <w:rtl/>
        </w:rPr>
      </w:pPr>
    </w:p>
    <w:p w14:paraId="09DFC55F" w14:textId="092D7686" w:rsidR="003B3BAB" w:rsidRPr="007E40EF" w:rsidRDefault="007E40EF" w:rsidP="00AA2D35">
      <w:pPr>
        <w:pStyle w:val="a5"/>
        <w:bidi/>
        <w:spacing w:line="360" w:lineRule="auto"/>
      </w:pPr>
      <w:r w:rsidRPr="007E40EF">
        <w:rPr>
          <w:rFonts w:hint="cs"/>
          <w:rtl/>
        </w:rPr>
        <w:lastRenderedPageBreak/>
        <w:t>خوارزميات</w:t>
      </w:r>
      <w:r w:rsidRPr="007E40EF">
        <w:rPr>
          <w:rFonts w:hint="cs"/>
          <w:vertAlign w:val="superscript"/>
          <w:rtl/>
        </w:rPr>
        <w:t xml:space="preserve"> </w:t>
      </w:r>
      <w:r w:rsidRPr="007E40EF">
        <w:rPr>
          <w:vertAlign w:val="superscript"/>
          <w:rtl/>
        </w:rPr>
        <w:t>(</w:t>
      </w:r>
      <w:r w:rsidR="003B3BAB" w:rsidRPr="007E40EF">
        <w:rPr>
          <w:rFonts w:hint="cs"/>
          <w:vertAlign w:val="superscript"/>
          <w:rtl/>
        </w:rPr>
        <w:t>1)</w:t>
      </w:r>
      <w:r w:rsidR="003B3BAB" w:rsidRPr="007E40EF">
        <w:rPr>
          <w:rtl/>
        </w:rPr>
        <w:t xml:space="preserve"> هي</w:t>
      </w:r>
      <w:r w:rsidR="003B3BAB" w:rsidRPr="007E40EF">
        <w:t>:</w:t>
      </w:r>
    </w:p>
    <w:p w14:paraId="59DAE2F3" w14:textId="53FC44C5" w:rsidR="003B3BAB" w:rsidRPr="007E40EF" w:rsidRDefault="003B3BAB" w:rsidP="00AA2D35">
      <w:pPr>
        <w:spacing w:beforeAutospacing="1" w:after="100" w:afterAutospacing="1" w:line="360" w:lineRule="auto"/>
        <w:jc w:val="left"/>
        <w:rPr>
          <w:rFonts w:ascii="Times New Roman" w:eastAsia="Times New Roman" w:hAnsi="Times New Roman" w:cs="Times New Roman"/>
          <w:sz w:val="24"/>
          <w:szCs w:val="24"/>
          <w:rtl/>
        </w:rPr>
      </w:pPr>
      <w:r w:rsidRPr="007E40EF">
        <w:rPr>
          <w:rFonts w:ascii="Times New Roman" w:eastAsia="Times New Roman" w:hAnsi="Times New Roman" w:cs="Times New Roman"/>
          <w:sz w:val="24"/>
          <w:szCs w:val="24"/>
          <w:rtl/>
        </w:rPr>
        <w:t>مجموعة من الخطوات والتعليمات المنطقية المحددة التي تُستخدم لمعالجة البيانات أو حل مشكلة معينة داخل النظام الرقمي</w:t>
      </w:r>
      <w:r w:rsidRPr="007E40EF">
        <w:rPr>
          <w:rFonts w:ascii="Times New Roman" w:eastAsia="Times New Roman" w:hAnsi="Times New Roman" w:cs="Times New Roman"/>
          <w:sz w:val="24"/>
          <w:szCs w:val="24"/>
        </w:rPr>
        <w:t>.</w:t>
      </w:r>
      <w:r w:rsidRPr="007E40EF">
        <w:rPr>
          <w:rStyle w:val="a8"/>
          <w:rFonts w:ascii="Times New Roman" w:eastAsia="Times New Roman" w:hAnsi="Times New Roman" w:cs="Times New Roman"/>
          <w:sz w:val="24"/>
          <w:szCs w:val="24"/>
          <w:rtl/>
        </w:rPr>
        <w:footnoteReference w:id="22"/>
      </w:r>
    </w:p>
    <w:p w14:paraId="11ABAC7B" w14:textId="0E9088C0"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hint="cs"/>
          <w:sz w:val="24"/>
          <w:szCs w:val="24"/>
          <w:rtl/>
        </w:rPr>
        <w:t>م</w:t>
      </w:r>
      <w:r w:rsidRPr="007E40EF">
        <w:rPr>
          <w:rFonts w:ascii="Times New Roman" w:eastAsia="Times New Roman" w:hAnsi="Times New Roman" w:cs="Times New Roman"/>
          <w:sz w:val="24"/>
          <w:szCs w:val="24"/>
          <w:rtl/>
        </w:rPr>
        <w:t>ما يجعل</w:t>
      </w:r>
      <w:r w:rsidRPr="007E40EF">
        <w:rPr>
          <w:rFonts w:ascii="Times New Roman" w:eastAsia="Times New Roman" w:hAnsi="Times New Roman" w:cs="Times New Roman"/>
          <w:sz w:val="24"/>
          <w:szCs w:val="24"/>
        </w:rPr>
        <w:t>:</w:t>
      </w:r>
    </w:p>
    <w:p w14:paraId="0204A090"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التنظيم القانوني أكثر تعقيدًا</w:t>
      </w:r>
    </w:p>
    <w:p w14:paraId="5960647A" w14:textId="07489055"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hint="cs"/>
          <w:sz w:val="24"/>
          <w:szCs w:val="24"/>
          <w:rtl/>
        </w:rPr>
        <w:t>ت</w:t>
      </w:r>
      <w:r w:rsidRPr="007E40EF">
        <w:rPr>
          <w:rFonts w:ascii="Times New Roman" w:eastAsia="Times New Roman" w:hAnsi="Times New Roman" w:cs="Times New Roman"/>
          <w:sz w:val="24"/>
          <w:szCs w:val="24"/>
          <w:rtl/>
        </w:rPr>
        <w:t>عد الخوارزميات “العقل” الذي يدير الأنظمة، حيث تقوم بـ</w:t>
      </w:r>
      <w:r w:rsidRPr="007E40EF">
        <w:rPr>
          <w:rFonts w:ascii="Times New Roman" w:eastAsia="Times New Roman" w:hAnsi="Times New Roman" w:cs="Times New Roman"/>
          <w:sz w:val="24"/>
          <w:szCs w:val="24"/>
        </w:rPr>
        <w:t>:</w:t>
      </w:r>
    </w:p>
    <w:p w14:paraId="19A4C918" w14:textId="69C6E12E" w:rsidR="00094165" w:rsidRDefault="003B3BAB" w:rsidP="00AA2D35">
      <w:pPr>
        <w:pStyle w:val="a5"/>
        <w:bidi/>
        <w:spacing w:line="360" w:lineRule="auto"/>
      </w:pPr>
      <w:r w:rsidRPr="00094165">
        <w:rPr>
          <w:b/>
          <w:bCs/>
          <w:rtl/>
        </w:rPr>
        <w:t xml:space="preserve">تحليل </w:t>
      </w:r>
      <w:r w:rsidR="007E40EF" w:rsidRPr="00094165">
        <w:rPr>
          <w:rFonts w:hint="cs"/>
          <w:b/>
          <w:bCs/>
          <w:rtl/>
        </w:rPr>
        <w:t>البيانات</w:t>
      </w:r>
      <w:r w:rsidR="00094165">
        <w:rPr>
          <w:rFonts w:hint="cs"/>
          <w:rtl/>
        </w:rPr>
        <w:t xml:space="preserve"> </w:t>
      </w:r>
      <w:r w:rsidR="00094165" w:rsidRPr="00094165">
        <w:rPr>
          <w:rFonts w:hint="cs"/>
          <w:vertAlign w:val="superscript"/>
          <w:rtl/>
        </w:rPr>
        <w:t>(</w:t>
      </w:r>
      <w:r w:rsidR="00094165">
        <w:rPr>
          <w:rFonts w:hint="cs"/>
          <w:vertAlign w:val="superscript"/>
          <w:rtl/>
        </w:rPr>
        <w:t>2</w:t>
      </w:r>
      <w:r w:rsidR="00094165" w:rsidRPr="00094165">
        <w:rPr>
          <w:rFonts w:hint="cs"/>
          <w:vertAlign w:val="superscript"/>
          <w:rtl/>
        </w:rPr>
        <w:t>)</w:t>
      </w:r>
      <w:r w:rsidR="00094165">
        <w:rPr>
          <w:rFonts w:hint="cs"/>
          <w:vertAlign w:val="superscript"/>
          <w:rtl/>
        </w:rPr>
        <w:t xml:space="preserve"> </w:t>
      </w:r>
      <w:r w:rsidR="00094165">
        <w:rPr>
          <w:rtl/>
        </w:rPr>
        <w:t>يُقصد بتحليل البيانات عملية جمع البيانات وتنظيمها ومعالجتها واستخراج المعلومات والأنماط منها بهدف دعم اتخاذ القرار وتحسين الأداء. ويُعد تحليل البيانات من الأدوات الأساسية في التحول الرقمي، إذ يحول البيانات الخام إلى معلومات ذات قيمة تساعد المؤسسات على فهم الواقع والتنبؤ بالاتجاهات المستقبلية</w:t>
      </w:r>
      <w:r w:rsidR="00094165">
        <w:t>.</w:t>
      </w:r>
    </w:p>
    <w:p w14:paraId="61C3662C" w14:textId="77777777" w:rsidR="00094165" w:rsidRDefault="00094165" w:rsidP="00AA2D35">
      <w:pPr>
        <w:pStyle w:val="a5"/>
        <w:bidi/>
        <w:spacing w:line="360" w:lineRule="auto"/>
      </w:pPr>
      <w:r>
        <w:rPr>
          <w:rtl/>
        </w:rPr>
        <w:t>وفي المجال القضائي، يُستخدم تحليل البيانات لدراسة أعداد القضايا، ومعدلات الإنجاز، ومدد الفصل في الدعاوى، وتحديد أسباب التأخير ومواطن الازدحام في المحاكم. كما يساهم في إعداد التقارير والمؤشرات الإحصائية التي تساعد متخذي القرار على تطوير السياسات وتحسين كفاءة العمل القضائي</w:t>
      </w:r>
      <w:r>
        <w:t>.</w:t>
      </w:r>
    </w:p>
    <w:p w14:paraId="4453030A" w14:textId="77777777" w:rsidR="00094165" w:rsidRDefault="00094165" w:rsidP="00AA2D35">
      <w:pPr>
        <w:pStyle w:val="a5"/>
        <w:bidi/>
        <w:spacing w:line="360" w:lineRule="auto"/>
      </w:pPr>
      <w:r>
        <w:rPr>
          <w:rStyle w:val="a8"/>
          <w:rtl/>
        </w:rPr>
        <w:t xml:space="preserve"> </w:t>
      </w:r>
      <w:r w:rsidRPr="007128BB">
        <w:rPr>
          <w:rStyle w:val="a8"/>
          <w:vanish/>
          <w:vertAlign w:val="baseline"/>
          <w:rtl/>
        </w:rPr>
        <w:footnoteReference w:id="23"/>
      </w:r>
      <w:r w:rsidR="007E40EF" w:rsidRPr="007E40EF">
        <w:rPr>
          <w:rFonts w:hint="cs"/>
          <w:rtl/>
        </w:rPr>
        <w:t>،</w:t>
      </w:r>
      <w:r w:rsidR="003B3BAB" w:rsidRPr="007E40EF">
        <w:rPr>
          <w:rtl/>
        </w:rPr>
        <w:t xml:space="preserve"> </w:t>
      </w:r>
      <w:r w:rsidR="003B3BAB" w:rsidRPr="00094165">
        <w:rPr>
          <w:b/>
          <w:bCs/>
          <w:rtl/>
        </w:rPr>
        <w:t>اتخاذ القرارات</w:t>
      </w:r>
      <w:r>
        <w:rPr>
          <w:rFonts w:hint="cs"/>
          <w:rtl/>
        </w:rPr>
        <w:t xml:space="preserve"> </w:t>
      </w:r>
      <w:r>
        <w:rPr>
          <w:rtl/>
        </w:rPr>
        <w:t>وفي بيئة التحول الرقمي، يساعد توفر البيانات الدقيقة والتقارير التحليلية على اتخاذ قرارات أكثر سرعة ودقة وفعالية، مما يسهم في تحسين الأداء ورفع كفاءة العمل وتحقيق الأهداف المؤسسية بكفاءة أكبر</w:t>
      </w:r>
      <w:r>
        <w:t>.</w:t>
      </w:r>
    </w:p>
    <w:p w14:paraId="7ADDDE6C" w14:textId="77777777" w:rsidR="00094165" w:rsidRDefault="00094165" w:rsidP="00AA2D35">
      <w:pPr>
        <w:pStyle w:val="a5"/>
        <w:bidi/>
        <w:spacing w:line="360" w:lineRule="auto"/>
      </w:pPr>
      <w:r w:rsidRPr="007E40EF">
        <w:rPr>
          <w:rFonts w:hint="cs"/>
          <w:rtl/>
        </w:rPr>
        <w:t xml:space="preserve"> </w:t>
      </w:r>
      <w:r w:rsidR="003B3BAB" w:rsidRPr="007E40EF">
        <w:rPr>
          <w:rFonts w:hint="cs"/>
          <w:rtl/>
        </w:rPr>
        <w:t>،</w:t>
      </w:r>
      <w:r w:rsidR="003B3BAB" w:rsidRPr="007E40EF">
        <w:rPr>
          <w:rtl/>
        </w:rPr>
        <w:t xml:space="preserve"> </w:t>
      </w:r>
      <w:r w:rsidR="003B3BAB" w:rsidRPr="00094165">
        <w:rPr>
          <w:b/>
          <w:bCs/>
          <w:rtl/>
        </w:rPr>
        <w:t>تشغيل العمليات</w:t>
      </w:r>
      <w:r w:rsidR="003B3BAB" w:rsidRPr="007E40EF">
        <w:rPr>
          <w:rtl/>
        </w:rPr>
        <w:t xml:space="preserve"> </w:t>
      </w:r>
      <w:r>
        <w:rPr>
          <w:rtl/>
        </w:rPr>
        <w:t>يقصد بتشغيل العمليات إدارة وتنفيذ الأنشطة والإجراءات اليومية داخل المؤسسة بصورة منظمة ومستمرة لضمان تحقيق الأهداف بكفاءة وفعالية. ويشمل ذلك تنسيق الموارد البشرية والتقنية والإدارية ومتابعة سير العمل لضمان إنجاز المهام وفق الخطط والإجراءات المعتمدة</w:t>
      </w:r>
      <w:r>
        <w:t>.</w:t>
      </w:r>
    </w:p>
    <w:p w14:paraId="2CAABEBC" w14:textId="77777777" w:rsidR="00094165" w:rsidRDefault="00094165" w:rsidP="00AA2D35">
      <w:pPr>
        <w:pStyle w:val="a5"/>
        <w:bidi/>
        <w:spacing w:line="360" w:lineRule="auto"/>
      </w:pPr>
      <w:r>
        <w:rPr>
          <w:rtl/>
        </w:rPr>
        <w:t>وفي إطار التحول الرقمي، تسهم الأنظمة التقنية في أتمتة وتشغيل العمليات بشكل أسرع وأكثر دقة، مما يقلل الأخطاء، ويوفر الوقت والجهد، ويرفع جودة الخدمات والإنتاجية المؤسسية</w:t>
      </w:r>
      <w:r>
        <w:t>.</w:t>
      </w:r>
    </w:p>
    <w:p w14:paraId="1F0BB3D3" w14:textId="3FA8773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p>
    <w:p w14:paraId="033AE92C" w14:textId="2A121174"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lastRenderedPageBreak/>
        <w:t>وتشمل</w:t>
      </w:r>
      <w:r w:rsidRPr="007E40EF">
        <w:rPr>
          <w:rFonts w:ascii="Times New Roman" w:eastAsia="Times New Roman" w:hAnsi="Times New Roman" w:cs="Times New Roman"/>
          <w:sz w:val="24"/>
          <w:szCs w:val="24"/>
        </w:rPr>
        <w:t>:</w:t>
      </w:r>
    </w:p>
    <w:p w14:paraId="3B5F59B2" w14:textId="7A89A2DA" w:rsidR="007E383E" w:rsidRDefault="003B3BAB" w:rsidP="00AA2D35">
      <w:pPr>
        <w:pStyle w:val="a5"/>
        <w:bidi/>
        <w:spacing w:line="360" w:lineRule="auto"/>
      </w:pPr>
      <w:r w:rsidRPr="007E383E">
        <w:rPr>
          <w:b/>
          <w:bCs/>
          <w:rtl/>
        </w:rPr>
        <w:t xml:space="preserve">خوارزميات </w:t>
      </w:r>
      <w:r w:rsidR="007E40EF" w:rsidRPr="007E383E">
        <w:rPr>
          <w:rFonts w:hint="cs"/>
          <w:b/>
          <w:bCs/>
          <w:rtl/>
        </w:rPr>
        <w:t>التشفير</w:t>
      </w:r>
      <w:r w:rsidR="007E383E" w:rsidRPr="007E383E">
        <w:rPr>
          <w:rFonts w:hint="cs"/>
          <w:vertAlign w:val="superscript"/>
          <w:rtl/>
        </w:rPr>
        <w:t>(</w:t>
      </w:r>
      <w:r w:rsidR="007E383E" w:rsidRPr="00E160B3">
        <w:rPr>
          <w:rStyle w:val="a8"/>
          <w:vanish/>
          <w:vertAlign w:val="baseline"/>
          <w:rtl/>
        </w:rPr>
        <w:footnoteReference w:id="24"/>
      </w:r>
      <w:r w:rsidR="007E383E" w:rsidRPr="007E383E">
        <w:rPr>
          <w:rFonts w:hint="cs"/>
          <w:vertAlign w:val="superscript"/>
          <w:rtl/>
        </w:rPr>
        <w:t>1)</w:t>
      </w:r>
      <w:r w:rsidR="007E383E">
        <w:rPr>
          <w:rFonts w:hint="cs"/>
          <w:vertAlign w:val="superscript"/>
          <w:rtl/>
        </w:rPr>
        <w:t xml:space="preserve"> </w:t>
      </w:r>
      <w:r w:rsidR="007E383E">
        <w:rPr>
          <w:rFonts w:hint="cs"/>
          <w:rtl/>
        </w:rPr>
        <w:t>و</w:t>
      </w:r>
      <w:r w:rsidR="007E383E">
        <w:rPr>
          <w:rtl/>
        </w:rPr>
        <w:t>هي مجموعة من القواعد والمعادلات الرياضية التي تُستخدم لتحويل البيانات والمعلومات من شكلها المقروء إلى شكل مشفر غير مفهوم، بحيث لا يمكن الاطلاع عليها إلا من قبل الأشخاص أو الجهات المصرح لها باستخدام مفتاح فك التشفير</w:t>
      </w:r>
      <w:r w:rsidR="007E383E">
        <w:t>.</w:t>
      </w:r>
    </w:p>
    <w:p w14:paraId="5400D249" w14:textId="77777777" w:rsidR="007E383E" w:rsidRDefault="007E383E" w:rsidP="00AA2D35">
      <w:pPr>
        <w:pStyle w:val="a5"/>
        <w:bidi/>
        <w:spacing w:line="360" w:lineRule="auto"/>
      </w:pPr>
      <w:r>
        <w:rPr>
          <w:rtl/>
        </w:rPr>
        <w:t>وتهدف خوارزميات التشفير إلى حماية سرية البيانات وسلامتها أثناء التخزين أو النقل عبر الشبكات الإلكترونية، ومنع الوصول غير المصرح به إليها. وتُستخدم على نطاق واسع في المعاملات الحكومية، والخدمات المصرفية، والتوقيع الإلكتروني، والأنظمة القضائية الرقمية لحماية المعلومات الحساسة</w:t>
      </w:r>
      <w:r>
        <w:t>.</w:t>
      </w:r>
    </w:p>
    <w:p w14:paraId="3E902571" w14:textId="77777777" w:rsidR="007E383E" w:rsidRDefault="007E383E" w:rsidP="00AA2D35">
      <w:pPr>
        <w:pStyle w:val="a5"/>
        <w:bidi/>
        <w:spacing w:line="360" w:lineRule="auto"/>
      </w:pPr>
      <w:r>
        <w:rPr>
          <w:rtl/>
        </w:rPr>
        <w:t>وتكمن أهميتها في تعزيز الأمن السيبراني، وحماية الخصوصية، وضمان موثوقية البيانات، مما يجعلها من الركائز الأساسية للتحول الرقمي والبيئات الإلكترونية الآمنة</w:t>
      </w:r>
      <w:r>
        <w:t>.</w:t>
      </w:r>
    </w:p>
    <w:p w14:paraId="0A16BAD9" w14:textId="44AD7F3A" w:rsidR="007E383E" w:rsidRDefault="007E383E" w:rsidP="00AA2D35">
      <w:pPr>
        <w:pStyle w:val="a5"/>
        <w:bidi/>
        <w:spacing w:line="360" w:lineRule="auto"/>
      </w:pPr>
      <w:r w:rsidRPr="007E40EF">
        <w:rPr>
          <w:rFonts w:hint="cs"/>
          <w:rtl/>
        </w:rPr>
        <w:t xml:space="preserve"> </w:t>
      </w:r>
      <w:r w:rsidR="007E40EF" w:rsidRPr="007E40EF">
        <w:rPr>
          <w:rFonts w:hint="cs"/>
          <w:rtl/>
        </w:rPr>
        <w:t>،</w:t>
      </w:r>
      <w:r w:rsidR="003B3BAB" w:rsidRPr="007E40EF">
        <w:rPr>
          <w:rtl/>
        </w:rPr>
        <w:t xml:space="preserve"> </w:t>
      </w:r>
      <w:r w:rsidR="003B3BAB" w:rsidRPr="007E383E">
        <w:rPr>
          <w:b/>
          <w:bCs/>
          <w:rtl/>
        </w:rPr>
        <w:t>خوارزميات الذكاء الاصطناعي</w:t>
      </w:r>
      <w:r>
        <w:rPr>
          <w:rFonts w:hint="cs"/>
          <w:rtl/>
        </w:rPr>
        <w:t xml:space="preserve"> </w:t>
      </w:r>
      <w:r w:rsidRPr="007E383E">
        <w:rPr>
          <w:rFonts w:hint="cs"/>
          <w:vertAlign w:val="superscript"/>
          <w:rtl/>
        </w:rPr>
        <w:t>(</w:t>
      </w:r>
      <w:r w:rsidRPr="00E160B3">
        <w:rPr>
          <w:rStyle w:val="a8"/>
          <w:vanish/>
          <w:vertAlign w:val="baseline"/>
          <w:rtl/>
        </w:rPr>
        <w:footnoteReference w:id="25"/>
      </w:r>
      <w:r w:rsidRPr="007E383E">
        <w:rPr>
          <w:rFonts w:hint="cs"/>
          <w:vertAlign w:val="superscript"/>
          <w:rtl/>
        </w:rPr>
        <w:t>2)</w:t>
      </w:r>
      <w:r>
        <w:rPr>
          <w:rFonts w:hint="cs"/>
          <w:rtl/>
        </w:rPr>
        <w:t xml:space="preserve"> ه</w:t>
      </w:r>
      <w:r>
        <w:rPr>
          <w:rFonts w:hint="eastAsia"/>
          <w:rtl/>
        </w:rPr>
        <w:t>ي</w:t>
      </w:r>
      <w:r>
        <w:rPr>
          <w:rtl/>
        </w:rPr>
        <w:t xml:space="preserve"> مجموعة من القواعد والنماذج الرياضية والبرمجية التي تمكّن الأنظمة الحاسوبية من تحليل البيانات والتعلم منها واتخاذ قرارات أو تقديم تنبؤات بصورة تحاكي التفكير البشري. وتعتمد هذه الخوارزميات على معالجة كميات كبيرة من البيانات لاكتشاف الأنماط والعلاقات واستخلاص النتائج بشكل آلي</w:t>
      </w:r>
      <w:r>
        <w:t>.</w:t>
      </w:r>
    </w:p>
    <w:p w14:paraId="250ACB5C" w14:textId="77777777" w:rsidR="007E383E" w:rsidRDefault="007E383E" w:rsidP="00AA2D35">
      <w:pPr>
        <w:pStyle w:val="a5"/>
        <w:bidi/>
        <w:spacing w:line="360" w:lineRule="auto"/>
      </w:pPr>
      <w:r>
        <w:rPr>
          <w:rtl/>
        </w:rPr>
        <w:t>وتُستخدم خوارزميات الذكاء الاصطناعي في العديد من المجالات، مثل تحليل النصوص والصور، والتعرف على الأصوات، والتنبؤ بالاتجاهات المستقبلية، ودعم اتخاذ القرار، وتقديم الخدمات الذكية. وفي المجال القضائي، يمكن الاستفادة منها في تصنيف القضايا، وتحليل المستندات القانونية، واستخراج المعلومات ذات الصلة، وإعداد المؤشرات الإحصائية التي تساعد في تحسين كفاءة العمل القضائي</w:t>
      </w:r>
      <w:r>
        <w:t>.</w:t>
      </w:r>
    </w:p>
    <w:p w14:paraId="2A284890" w14:textId="77777777" w:rsidR="007E383E" w:rsidRDefault="007E383E" w:rsidP="00AA2D35">
      <w:pPr>
        <w:pStyle w:val="a5"/>
        <w:bidi/>
        <w:spacing w:line="360" w:lineRule="auto"/>
      </w:pPr>
      <w:r>
        <w:rPr>
          <w:rtl/>
        </w:rPr>
        <w:t>وتكمن أهمية هذه الخوارزميات في قدرتها على زيادة سرعة معالجة البيانات، وتحسين دقة النتائج، ودعم القرارات المبنية على المعلومات، مما يجعلها من أهم التقنيات الداعمة للتحول الرقمي والابتكار المؤسسي</w:t>
      </w:r>
      <w:r>
        <w:t>.</w:t>
      </w:r>
    </w:p>
    <w:p w14:paraId="31150421" w14:textId="0DB75B59" w:rsidR="007E383E" w:rsidRDefault="007E383E" w:rsidP="00AA2D35">
      <w:pPr>
        <w:pStyle w:val="a5"/>
        <w:bidi/>
        <w:spacing w:line="360" w:lineRule="auto"/>
      </w:pPr>
      <w:r w:rsidRPr="007E40EF">
        <w:rPr>
          <w:rFonts w:hint="cs"/>
          <w:rtl/>
        </w:rPr>
        <w:t xml:space="preserve"> </w:t>
      </w:r>
      <w:r w:rsidR="003B3BAB" w:rsidRPr="007E40EF">
        <w:rPr>
          <w:rFonts w:hint="cs"/>
          <w:rtl/>
        </w:rPr>
        <w:t>،</w:t>
      </w:r>
      <w:r w:rsidR="003B3BAB" w:rsidRPr="007E40EF">
        <w:rPr>
          <w:rtl/>
        </w:rPr>
        <w:t xml:space="preserve"> </w:t>
      </w:r>
      <w:r w:rsidR="003B3BAB" w:rsidRPr="007E383E">
        <w:rPr>
          <w:b/>
          <w:bCs/>
          <w:rtl/>
        </w:rPr>
        <w:t xml:space="preserve">خوارزميات التحقق من الهوية </w:t>
      </w:r>
      <w:r>
        <w:rPr>
          <w:rtl/>
        </w:rPr>
        <w:t>هي مجموعة من التقنيات والعمليات البرمجية المستخدمة للتأكد من أن الشخص أو الجهة التي تطلب الوصول إلى نظام أو خدمة إلكترونية هي بالفعل الجهة المصرح لها بذلك. وتعمل هذه الخوارزميات على مقارنة بيانات المستخدم المدخلة مع البيانات المخزنة أو المعتمدة مسبقًا للتحقق من صحتها</w:t>
      </w:r>
      <w:r>
        <w:t>.</w:t>
      </w:r>
    </w:p>
    <w:p w14:paraId="0E4C38F0" w14:textId="77777777" w:rsidR="007E383E" w:rsidRDefault="007E383E" w:rsidP="00AA2D35">
      <w:pPr>
        <w:pStyle w:val="a5"/>
        <w:bidi/>
        <w:spacing w:line="360" w:lineRule="auto"/>
      </w:pPr>
      <w:r>
        <w:rPr>
          <w:rtl/>
        </w:rPr>
        <w:t>وتُستخدم هذه الخوارزميات في العديد من الوسائل الأمنية، مثل كلمات المرور، والرموز المؤقتة المرسلة للهاتف، والتوقيع الإلكتروني، والبصمة، والتعرف على الوجه أو الصوت. وتهدف إلى منع انتحال الهوية والوصول غير المصرح به إلى الأنظمة والمعلومات الحساسة</w:t>
      </w:r>
      <w:r>
        <w:t>.</w:t>
      </w:r>
    </w:p>
    <w:p w14:paraId="1D310597" w14:textId="77777777" w:rsidR="007E383E" w:rsidRDefault="007E383E" w:rsidP="00AA2D35">
      <w:pPr>
        <w:pStyle w:val="a5"/>
        <w:bidi/>
        <w:spacing w:line="360" w:lineRule="auto"/>
      </w:pPr>
      <w:r>
        <w:rPr>
          <w:rtl/>
        </w:rPr>
        <w:lastRenderedPageBreak/>
        <w:t>وتكمن أهميتها في تعزيز أمن المعلومات وحماية البيانات الشخصية والمالية والقضائية، وضمان موثوقية المعاملات الإلكترونية، مما يجعلها عنصرًا أساسيًا في أنظمة الحكومة الرقمية والتحول الرقمي والأمن السيبراني</w:t>
      </w:r>
      <w:r>
        <w:t>.</w:t>
      </w:r>
    </w:p>
    <w:p w14:paraId="7A586040" w14:textId="23E8DBE2" w:rsidR="003B3BAB" w:rsidRPr="007E40EF"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7E40EF">
        <w:rPr>
          <w:rFonts w:ascii="Times New Roman" w:eastAsia="Times New Roman" w:hAnsi="Times New Roman" w:cs="Times New Roman"/>
          <w:b/>
          <w:bCs/>
          <w:sz w:val="24"/>
          <w:szCs w:val="24"/>
          <w:rtl/>
        </w:rPr>
        <w:t>مثال</w:t>
      </w:r>
      <w:r w:rsidRPr="007E40EF">
        <w:rPr>
          <w:rFonts w:ascii="Times New Roman" w:eastAsia="Times New Roman" w:hAnsi="Times New Roman" w:cs="Times New Roman"/>
          <w:b/>
          <w:bCs/>
          <w:sz w:val="24"/>
          <w:szCs w:val="24"/>
        </w:rPr>
        <w:t>:</w:t>
      </w:r>
    </w:p>
    <w:p w14:paraId="2B717EDF"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 xml:space="preserve">خوارزمية التحقق من صحة التوقيع الإلكتروني </w:t>
      </w:r>
    </w:p>
    <w:p w14:paraId="3C1D0229"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خوارزمية كشف الاحتيال</w:t>
      </w:r>
    </w:p>
    <w:p w14:paraId="422F8D18" w14:textId="2ED8BB87" w:rsidR="00094165" w:rsidRDefault="00094165"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1909154D" w14:textId="77777777" w:rsidR="007E383E" w:rsidRDefault="007E383E" w:rsidP="00AA2D35">
      <w:pPr>
        <w:bidi w:val="0"/>
        <w:jc w:val="left"/>
        <w:rPr>
          <w:rFonts w:ascii="Times New Roman" w:eastAsia="Times New Roman" w:hAnsi="Times New Roman" w:cs="Times New Roman"/>
          <w:sz w:val="24"/>
          <w:szCs w:val="24"/>
        </w:rPr>
      </w:pPr>
    </w:p>
    <w:p w14:paraId="14C7A601" w14:textId="77777777" w:rsidR="007E383E" w:rsidRDefault="007E383E" w:rsidP="00AA2D35">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DBB9C1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3A77304" w14:textId="26D55471" w:rsidR="003B3BAB" w:rsidRPr="003B3BAB" w:rsidRDefault="003B3BAB" w:rsidP="00081600">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sidRPr="00081600">
        <w:rPr>
          <w:rFonts w:ascii="Times New Roman" w:hAnsi="Times New Roman" w:cs="Times New Roman"/>
          <w:b/>
          <w:bCs/>
          <w:sz w:val="28"/>
          <w:szCs w:val="28"/>
          <w:rtl/>
        </w:rPr>
        <w:t xml:space="preserve">التحديات القانونية في التحول </w:t>
      </w:r>
      <w:r w:rsidR="007E40EF" w:rsidRPr="00081600">
        <w:rPr>
          <w:rFonts w:ascii="Times New Roman" w:hAnsi="Times New Roman" w:cs="Times New Roman" w:hint="cs"/>
          <w:b/>
          <w:bCs/>
          <w:sz w:val="28"/>
          <w:szCs w:val="28"/>
          <w:rtl/>
        </w:rPr>
        <w:t>الرقمي</w:t>
      </w:r>
      <w:r w:rsidR="007E40EF" w:rsidRPr="003B3BAB">
        <w:rPr>
          <w:rFonts w:ascii="Times New Roman" w:hAnsi="Times New Roman" w:cs="Times New Roman" w:hint="cs"/>
          <w:sz w:val="28"/>
          <w:szCs w:val="28"/>
          <w:vertAlign w:val="superscript"/>
          <w:rtl/>
        </w:rPr>
        <w:t xml:space="preserve"> </w:t>
      </w:r>
    </w:p>
    <w:p w14:paraId="68C58B97" w14:textId="59F0D076" w:rsidR="00081600" w:rsidRPr="00081600" w:rsidRDefault="00081600" w:rsidP="00081600">
      <w:pPr>
        <w:spacing w:before="100" w:beforeAutospacing="1" w:after="100" w:afterAutospacing="1" w:line="360" w:lineRule="auto"/>
        <w:jc w:val="left"/>
        <w:outlineLvl w:val="1"/>
        <w:rPr>
          <w:rFonts w:ascii="Times New Roman" w:eastAsia="Times New Roman" w:hAnsi="Times New Roman" w:cs="Times New Roman"/>
          <w:sz w:val="24"/>
          <w:szCs w:val="24"/>
        </w:rPr>
      </w:pPr>
      <w:r w:rsidRPr="00081600">
        <w:rPr>
          <w:rFonts w:ascii="Times New Roman" w:eastAsia="Times New Roman" w:hAnsi="Times New Roman" w:cs="Times New Roman"/>
          <w:sz w:val="24"/>
          <w:szCs w:val="24"/>
          <w:rtl/>
        </w:rPr>
        <w:t>أدى الانتقال من القضاء التقليدي إلى القضاء الرقمي إلى ظهور تحديات قانونية تتجاوز مجرد توفير المنصات والوسائل التقنية؛ إذ أصبح نجاح التحول الرقمي مرتبطًا بقدرة التشريعات على استيعاب صور جديدة من التعاملات والأدلة والإجراءات، وتنظيم خدمات الثقة، وحماية البيانات، وتحديد المسؤولية عن الأخطاء والمخاطر التقنية. وتكشف المقارنة بين المملكة العربية السعودية والإمارات العربية المتحدة وسنغافورة عن اتفاق الأنظمة الثلاثة على مشروعية التعامل الإلكتروني، مع اختلافها في درجة تفصيل الأحكام، ومنهج توزيع المسؤوليات، وآليات تحديث القواعد القانونية</w:t>
      </w:r>
      <w:r w:rsidRPr="00081600">
        <w:rPr>
          <w:rFonts w:ascii="Times New Roman" w:eastAsia="Times New Roman" w:hAnsi="Times New Roman" w:cs="Times New Roman"/>
          <w:sz w:val="24"/>
          <w:szCs w:val="24"/>
        </w:rPr>
        <w:t>.</w:t>
      </w:r>
    </w:p>
    <w:p w14:paraId="7D890C6C" w14:textId="77777777" w:rsidR="00081600" w:rsidRPr="00081600" w:rsidRDefault="00081600" w:rsidP="00081600">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081600">
        <w:rPr>
          <w:rFonts w:ascii="Times New Roman" w:eastAsia="Times New Roman" w:hAnsi="Times New Roman" w:cs="Times New Roman"/>
          <w:b/>
          <w:bCs/>
          <w:sz w:val="27"/>
          <w:szCs w:val="27"/>
          <w:rtl/>
        </w:rPr>
        <w:t>أولًا: مواكبة التشريعات للتطور التقني</w:t>
      </w:r>
    </w:p>
    <w:p w14:paraId="0DAE9302" w14:textId="7F6811A3" w:rsidR="00081600" w:rsidRPr="00081600" w:rsidRDefault="00081600" w:rsidP="00081600">
      <w:pPr>
        <w:spacing w:before="100" w:beforeAutospacing="1" w:after="100" w:afterAutospacing="1" w:line="360" w:lineRule="auto"/>
        <w:jc w:val="left"/>
        <w:rPr>
          <w:rFonts w:ascii="Times New Roman" w:eastAsia="Times New Roman" w:hAnsi="Times New Roman" w:cs="Times New Roman"/>
          <w:sz w:val="24"/>
          <w:szCs w:val="24"/>
        </w:rPr>
      </w:pPr>
      <w:r w:rsidRPr="00081600">
        <w:rPr>
          <w:rFonts w:ascii="Times New Roman" w:eastAsia="Times New Roman" w:hAnsi="Times New Roman" w:cs="Times New Roman"/>
          <w:sz w:val="24"/>
          <w:szCs w:val="24"/>
          <w:rtl/>
        </w:rPr>
        <w:t xml:space="preserve">يتطلب التحول الرقمي تشريعات قادرة على مواكبة التطور التقني من دون الحاجة إلى تعديلها عند ظهور كل وسيلة أو تقنية جديدة. وقد وضع نظام التعاملات الإلكترونية السعودي أساسًا عامًا للاعتراف بالتعامل والتوقيع الإلكترونيين، كما استكمل نظام الإثبات هذا الاتجاه بإفراد أحكام خاصة للدليل الرقمي. ويكشف ذلك عن انتقال التنظيم السعودي من مجرد الاعتراف بالتعامل الإلكتروني إلى تنظيم آثاره في الخصومة القضائية والإثبات. غير أن تعدد الأنظمة ذات الصلة يجعل مواكبة التطور مرتبطة بمدى التنسيق بين نظام التعاملات </w:t>
      </w:r>
      <w:r w:rsidR="00092562" w:rsidRPr="00081600">
        <w:rPr>
          <w:rFonts w:ascii="Times New Roman" w:eastAsia="Times New Roman" w:hAnsi="Times New Roman" w:cs="Times New Roman" w:hint="cs"/>
          <w:sz w:val="24"/>
          <w:szCs w:val="24"/>
          <w:rtl/>
        </w:rPr>
        <w:t>الإلكترونية</w:t>
      </w:r>
      <w:r w:rsidR="00092562" w:rsidRPr="00092562">
        <w:rPr>
          <w:rFonts w:ascii="Times New Roman" w:eastAsia="Times New Roman" w:hAnsi="Times New Roman" w:cs="Times New Roman" w:hint="cs"/>
          <w:sz w:val="24"/>
          <w:szCs w:val="24"/>
          <w:vertAlign w:val="superscript"/>
          <w:rtl/>
        </w:rPr>
        <w:t xml:space="preserve"> </w:t>
      </w:r>
      <w:r w:rsidR="00092562" w:rsidRPr="00092562">
        <w:rPr>
          <w:rFonts w:ascii="Times New Roman" w:eastAsia="Times New Roman" w:hAnsi="Times New Roman" w:cs="Times New Roman"/>
          <w:sz w:val="24"/>
          <w:szCs w:val="24"/>
          <w:vertAlign w:val="superscript"/>
          <w:rtl/>
        </w:rPr>
        <w:t>(</w:t>
      </w:r>
      <w:r w:rsidR="00092562" w:rsidRPr="00092562">
        <w:rPr>
          <w:rFonts w:ascii="Times New Roman" w:eastAsia="Times New Roman" w:hAnsi="Times New Roman" w:cs="Times New Roman" w:hint="cs"/>
          <w:sz w:val="24"/>
          <w:szCs w:val="24"/>
          <w:vertAlign w:val="superscript"/>
          <w:rtl/>
        </w:rPr>
        <w:t>1</w:t>
      </w:r>
      <w:r w:rsidR="00092562" w:rsidRPr="00092562">
        <w:rPr>
          <w:rStyle w:val="a8"/>
          <w:rFonts w:ascii="Times New Roman" w:eastAsia="Times New Roman" w:hAnsi="Times New Roman" w:cs="Times New Roman"/>
          <w:vanish/>
          <w:sz w:val="24"/>
          <w:szCs w:val="24"/>
          <w:vertAlign w:val="baseline"/>
          <w:rtl/>
        </w:rPr>
        <w:footnoteReference w:id="26"/>
      </w:r>
      <w:r w:rsidR="00092562" w:rsidRPr="00092562">
        <w:rPr>
          <w:rFonts w:ascii="Times New Roman" w:eastAsia="Times New Roman" w:hAnsi="Times New Roman" w:cs="Times New Roman" w:hint="cs"/>
          <w:vanish/>
          <w:sz w:val="24"/>
          <w:szCs w:val="24"/>
          <w:rtl/>
        </w:rPr>
        <w:t>)</w:t>
      </w:r>
      <w:r w:rsidRPr="00081600">
        <w:rPr>
          <w:rFonts w:ascii="Times New Roman" w:eastAsia="Times New Roman" w:hAnsi="Times New Roman" w:cs="Times New Roman"/>
          <w:sz w:val="24"/>
          <w:szCs w:val="24"/>
          <w:rtl/>
        </w:rPr>
        <w:t>، ونظام الإثبات، ونظام حماية البيانات الشخصية، واللوائح والضوابط الفنية المكملة لها</w:t>
      </w:r>
      <w:r w:rsidRPr="00081600">
        <w:rPr>
          <w:rFonts w:ascii="Times New Roman" w:eastAsia="Times New Roman" w:hAnsi="Times New Roman" w:cs="Times New Roman"/>
          <w:sz w:val="24"/>
          <w:szCs w:val="24"/>
        </w:rPr>
        <w:t>.</w:t>
      </w:r>
    </w:p>
    <w:p w14:paraId="7D4A6C4B" w14:textId="7D45A6B8" w:rsidR="00081600" w:rsidRPr="00081600" w:rsidRDefault="00081600" w:rsidP="00081600">
      <w:pPr>
        <w:spacing w:before="100" w:beforeAutospacing="1" w:after="100" w:afterAutospacing="1" w:line="360" w:lineRule="auto"/>
        <w:jc w:val="left"/>
        <w:rPr>
          <w:rFonts w:ascii="Times New Roman" w:eastAsia="Times New Roman" w:hAnsi="Times New Roman" w:cs="Times New Roman"/>
          <w:sz w:val="24"/>
          <w:szCs w:val="24"/>
        </w:rPr>
      </w:pPr>
      <w:r w:rsidRPr="00081600">
        <w:rPr>
          <w:rFonts w:ascii="Times New Roman" w:eastAsia="Times New Roman" w:hAnsi="Times New Roman" w:cs="Times New Roman"/>
          <w:sz w:val="24"/>
          <w:szCs w:val="24"/>
          <w:rtl/>
        </w:rPr>
        <w:t xml:space="preserve">ويتقارب التنظيم الإماراتي مع هذا الاتجاه، لكنه اعتمد تحديثًا تشريعيًا متزامنًا نسبيًا؛ إذ صدر </w:t>
      </w:r>
      <w:r w:rsidR="00092562" w:rsidRPr="00081600">
        <w:rPr>
          <w:rFonts w:ascii="Times New Roman" w:eastAsia="Times New Roman" w:hAnsi="Times New Roman" w:cs="Times New Roman" w:hint="cs"/>
          <w:sz w:val="24"/>
          <w:szCs w:val="24"/>
          <w:rtl/>
        </w:rPr>
        <w:t>المرسوم</w:t>
      </w:r>
      <w:r w:rsidR="00092562" w:rsidRPr="00092562">
        <w:rPr>
          <w:rFonts w:ascii="Times New Roman" w:eastAsia="Times New Roman" w:hAnsi="Times New Roman" w:cs="Times New Roman" w:hint="cs"/>
          <w:sz w:val="24"/>
          <w:szCs w:val="24"/>
          <w:vertAlign w:val="superscript"/>
          <w:rtl/>
        </w:rPr>
        <w:t xml:space="preserve"> </w:t>
      </w:r>
      <w:r w:rsidR="00092562" w:rsidRPr="00092562">
        <w:rPr>
          <w:rFonts w:ascii="Times New Roman" w:eastAsia="Times New Roman" w:hAnsi="Times New Roman" w:cs="Times New Roman"/>
          <w:sz w:val="24"/>
          <w:szCs w:val="24"/>
          <w:vertAlign w:val="superscript"/>
          <w:rtl/>
        </w:rPr>
        <w:t>(</w:t>
      </w:r>
      <w:r w:rsidR="00092562" w:rsidRPr="00092562">
        <w:rPr>
          <w:rFonts w:ascii="Times New Roman" w:eastAsia="Times New Roman" w:hAnsi="Times New Roman" w:cs="Times New Roman" w:hint="cs"/>
          <w:sz w:val="24"/>
          <w:szCs w:val="24"/>
          <w:vertAlign w:val="superscript"/>
          <w:rtl/>
        </w:rPr>
        <w:t>2)</w:t>
      </w:r>
      <w:r w:rsidRPr="00081600">
        <w:rPr>
          <w:rFonts w:ascii="Times New Roman" w:eastAsia="Times New Roman" w:hAnsi="Times New Roman" w:cs="Times New Roman"/>
          <w:sz w:val="24"/>
          <w:szCs w:val="24"/>
          <w:rtl/>
        </w:rPr>
        <w:t xml:space="preserve"> بقانون اتحادي رقم (46) لسنة 2021 بشأن المعاملات الإلكترونية وخدمات الثقة، ثم صدرت لائحته التنفيذية بقرار مجلس الوزراء رقم (28) لسنة 2023، إلى جانب قانون الإثبات الاتحادي الصادر سنة 2022. ويتيح هذا التقارب الزمني بين التشريع الموضوعي واللائحة الفنية وقواعد الإثبات بناء إطار أكثر ترابطًا لتنظيم المعاملات والأدلة الرقمية</w:t>
      </w:r>
      <w:r w:rsidRPr="00081600">
        <w:rPr>
          <w:rFonts w:ascii="Times New Roman" w:eastAsia="Times New Roman" w:hAnsi="Times New Roman" w:cs="Times New Roman"/>
          <w:sz w:val="24"/>
          <w:szCs w:val="24"/>
        </w:rPr>
        <w:t>.</w:t>
      </w:r>
    </w:p>
    <w:p w14:paraId="2B297EC5" w14:textId="39338257" w:rsidR="00081600" w:rsidRPr="00081600" w:rsidRDefault="00081600" w:rsidP="00081600">
      <w:pPr>
        <w:spacing w:before="100" w:beforeAutospacing="1" w:after="100" w:afterAutospacing="1" w:line="360" w:lineRule="auto"/>
        <w:jc w:val="left"/>
        <w:rPr>
          <w:rFonts w:ascii="Times New Roman" w:eastAsia="Times New Roman" w:hAnsi="Times New Roman" w:cs="Times New Roman"/>
          <w:sz w:val="24"/>
          <w:szCs w:val="24"/>
        </w:rPr>
      </w:pPr>
      <w:r w:rsidRPr="00081600">
        <w:rPr>
          <w:rFonts w:ascii="Times New Roman" w:eastAsia="Times New Roman" w:hAnsi="Times New Roman" w:cs="Times New Roman"/>
          <w:sz w:val="24"/>
          <w:szCs w:val="24"/>
          <w:rtl/>
        </w:rPr>
        <w:t xml:space="preserve">أما سنغافورة، فتقوم قدرتها على مواكبة التقنية على استخدام صياغات وظيفية ومحايدة تقنيًا في قانون المعاملات </w:t>
      </w:r>
      <w:r w:rsidR="00092562" w:rsidRPr="00081600">
        <w:rPr>
          <w:rFonts w:ascii="Times New Roman" w:eastAsia="Times New Roman" w:hAnsi="Times New Roman" w:cs="Times New Roman" w:hint="cs"/>
          <w:sz w:val="24"/>
          <w:szCs w:val="24"/>
          <w:rtl/>
        </w:rPr>
        <w:t>الإلكترونية</w:t>
      </w:r>
      <w:r w:rsidR="00092562" w:rsidRPr="00092562">
        <w:rPr>
          <w:rFonts w:ascii="Times New Roman" w:eastAsia="Times New Roman" w:hAnsi="Times New Roman" w:cs="Times New Roman" w:hint="cs"/>
          <w:sz w:val="24"/>
          <w:szCs w:val="24"/>
          <w:vertAlign w:val="superscript"/>
          <w:rtl/>
        </w:rPr>
        <w:t xml:space="preserve"> </w:t>
      </w:r>
      <w:r w:rsidR="00092562" w:rsidRPr="00092562">
        <w:rPr>
          <w:rFonts w:ascii="Times New Roman" w:eastAsia="Times New Roman" w:hAnsi="Times New Roman" w:cs="Times New Roman"/>
          <w:sz w:val="24"/>
          <w:szCs w:val="24"/>
          <w:vertAlign w:val="superscript"/>
          <w:rtl/>
        </w:rPr>
        <w:t>(</w:t>
      </w:r>
      <w:r w:rsidR="00092562" w:rsidRPr="00092562">
        <w:rPr>
          <w:rFonts w:ascii="Times New Roman" w:eastAsia="Times New Roman" w:hAnsi="Times New Roman" w:cs="Times New Roman" w:hint="cs"/>
          <w:sz w:val="24"/>
          <w:szCs w:val="24"/>
          <w:vertAlign w:val="superscript"/>
          <w:rtl/>
        </w:rPr>
        <w:t>3)</w:t>
      </w:r>
      <w:r w:rsidRPr="00081600">
        <w:rPr>
          <w:rFonts w:ascii="Times New Roman" w:eastAsia="Times New Roman" w:hAnsi="Times New Roman" w:cs="Times New Roman"/>
          <w:sz w:val="24"/>
          <w:szCs w:val="24"/>
          <w:rtl/>
        </w:rPr>
        <w:t>، مع إدخال تعديلات تشريعية عند الحاجة إلى استيعاب صور محددة من المعاملات؛ ومن ذلك تعديل القانون سنة 2021 للاعتراف بالسجلات الإلكترونية القابلة للتحويل. ويؤكد هذا النهج أن الحياد التقني لا يعني ثبات التشريع، وإنما الجمع بين قواعد عامة قابلة للاستيعاب وتعديلات محددة عند ظهور احتياجات قانونية جديدة</w:t>
      </w:r>
      <w:r w:rsidRPr="00081600">
        <w:rPr>
          <w:rFonts w:ascii="Times New Roman" w:eastAsia="Times New Roman" w:hAnsi="Times New Roman" w:cs="Times New Roman"/>
          <w:sz w:val="24"/>
          <w:szCs w:val="24"/>
        </w:rPr>
        <w:t>.</w:t>
      </w:r>
    </w:p>
    <w:p w14:paraId="32C7BB52" w14:textId="74CBF173" w:rsidR="00081600" w:rsidRDefault="00081600" w:rsidP="00081600">
      <w:pPr>
        <w:spacing w:before="100" w:beforeAutospacing="1" w:after="100" w:afterAutospacing="1" w:line="360" w:lineRule="auto"/>
        <w:jc w:val="left"/>
        <w:rPr>
          <w:rFonts w:ascii="Times New Roman" w:eastAsia="Times New Roman" w:hAnsi="Times New Roman" w:cs="Times New Roman"/>
          <w:sz w:val="24"/>
          <w:szCs w:val="24"/>
          <w:rtl/>
        </w:rPr>
      </w:pPr>
      <w:r w:rsidRPr="00081600">
        <w:rPr>
          <w:rFonts w:ascii="Times New Roman" w:eastAsia="Times New Roman" w:hAnsi="Times New Roman" w:cs="Times New Roman"/>
          <w:sz w:val="24"/>
          <w:szCs w:val="24"/>
          <w:rtl/>
        </w:rPr>
        <w:t xml:space="preserve">ويتضح من المقارنة أن التحدي في المملكة لا يتمثل في غياب الأساس التشريعي، بل في ضرورة المحافظة على الاتساق بين الأنظمة المتعددة وسرعة تحديث اللوائح الفنية. وفي المقابل، يحقق النموذج الإماراتي ميزة التكامل بين التشريع </w:t>
      </w:r>
      <w:r w:rsidRPr="00081600">
        <w:rPr>
          <w:rFonts w:ascii="Times New Roman" w:eastAsia="Times New Roman" w:hAnsi="Times New Roman" w:cs="Times New Roman"/>
          <w:sz w:val="24"/>
          <w:szCs w:val="24"/>
          <w:rtl/>
        </w:rPr>
        <w:lastRenderedPageBreak/>
        <w:t>واللائحة وخدمات الثقة، بينما يتميز النموذج السنغافوري بتقليل ارتباط النص القانوني بتقنية بعينها. ومن ثم، فإن المعيار الحقيقي لمواكبة التطور لا يقاس بتاريخ إصدار التشريع وحده، وإنما بقدرته على استيعاب التقنية الجديدة، وسرعة إصدار قواعده التطبيقية، ووضوح العلاقة بين النصوص المختلفة</w:t>
      </w:r>
      <w:r w:rsidRPr="00081600">
        <w:rPr>
          <w:rFonts w:ascii="Times New Roman" w:eastAsia="Times New Roman" w:hAnsi="Times New Roman" w:cs="Times New Roman"/>
          <w:sz w:val="24"/>
          <w:szCs w:val="24"/>
        </w:rPr>
        <w:t>.</w:t>
      </w:r>
    </w:p>
    <w:p w14:paraId="362C12FF" w14:textId="77777777" w:rsidR="00092562" w:rsidRPr="00092562" w:rsidRDefault="00092562" w:rsidP="00092562">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092562">
        <w:rPr>
          <w:rFonts w:ascii="Times New Roman" w:eastAsia="Times New Roman" w:hAnsi="Times New Roman" w:cs="Times New Roman"/>
          <w:b/>
          <w:bCs/>
          <w:sz w:val="27"/>
          <w:szCs w:val="27"/>
          <w:rtl/>
        </w:rPr>
        <w:t>ثانيًا: وضوح المفاهيم القانونية المرتبطة بخدمات الثقة والتوقيع الإلكتروني</w:t>
      </w:r>
    </w:p>
    <w:p w14:paraId="53E18C9D"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Pr>
      </w:pPr>
      <w:r w:rsidRPr="00092562">
        <w:rPr>
          <w:rFonts w:ascii="Times New Roman" w:eastAsia="Times New Roman" w:hAnsi="Times New Roman" w:cs="Times New Roman"/>
          <w:sz w:val="24"/>
          <w:szCs w:val="24"/>
          <w:rtl/>
        </w:rPr>
        <w:t>يمثل وضوح المفاهيم القانونية شرطًا ضروريًا لاستقرار المعاملات الرقمية؛ لأن الخلط بين التوقيع الإلكتروني والتوقيع الرقمي وخدمات التصديق وخدمات الثقة قد يؤدي إلى اختلاف في تحديد الحجية والمسؤولية</w:t>
      </w:r>
      <w:r w:rsidRPr="00092562">
        <w:rPr>
          <w:rFonts w:ascii="Times New Roman" w:eastAsia="Times New Roman" w:hAnsi="Times New Roman" w:cs="Times New Roman"/>
          <w:sz w:val="24"/>
          <w:szCs w:val="24"/>
        </w:rPr>
        <w:t>.</w:t>
      </w:r>
    </w:p>
    <w:p w14:paraId="0EDC43EC"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Pr>
      </w:pPr>
      <w:r w:rsidRPr="00092562">
        <w:rPr>
          <w:rFonts w:ascii="Times New Roman" w:eastAsia="Times New Roman" w:hAnsi="Times New Roman" w:cs="Times New Roman"/>
          <w:sz w:val="24"/>
          <w:szCs w:val="24"/>
          <w:rtl/>
        </w:rPr>
        <w:t>وقد نظم النظام السعودي التوقيع الإلكتروني والتصديق الرقمي، وربط قبول التوقيع في الإثبات باستيفاء المتطلبات المتعلقة بسلامة السجل الإلكتروني وموثوقية التوقيع. ويحقق ذلك أساسًا قانونيًا للاعتداد بالتوقيع، إلا أن التطور الحديث في مفهوم خدمات الثقة، الذي يشمل الأختام والطوابع الزمنية وخدمات التسليم الإلكتروني المسجل، يقتضي استمرار تحديث المصطلحات واللوائح بما يتجاوز التصديق التقليدي إلى منظومة أشمل للثقة الرقمية</w:t>
      </w:r>
      <w:r w:rsidRPr="00092562">
        <w:rPr>
          <w:rFonts w:ascii="Times New Roman" w:eastAsia="Times New Roman" w:hAnsi="Times New Roman" w:cs="Times New Roman"/>
          <w:sz w:val="24"/>
          <w:szCs w:val="24"/>
        </w:rPr>
        <w:t>.</w:t>
      </w:r>
    </w:p>
    <w:p w14:paraId="332662E4"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Pr>
      </w:pPr>
      <w:r w:rsidRPr="00092562">
        <w:rPr>
          <w:rFonts w:ascii="Times New Roman" w:eastAsia="Times New Roman" w:hAnsi="Times New Roman" w:cs="Times New Roman"/>
          <w:sz w:val="24"/>
          <w:szCs w:val="24"/>
          <w:rtl/>
        </w:rPr>
        <w:t>ويبدو التنظيم الإماراتي أكثر تفصيلًا في هذا الجانب؛ إذ لم يقتصر المرسوم بقانون رقم (46) لسنة 2021 على تنظيم التوقيع الإلكتروني، بل ميز بين خدمات الثقة وخدمات الثقة المعتمدة، ونظم مقدميها والترخيص لهم، ثم فصلت اللائحة التنفيذية لسنة 2023 المتطلبات الفنية والتنظيمية المرتبطة بها. ولا يعني هذا التفصيل أن كل معاملة يجب أن تستخدم أعلى درجات التوثيق، لكنه يوفر تصنيفًا قانونيًا واضحًا للخدمات وفق درجة الموثوقية المطلوبة</w:t>
      </w:r>
      <w:r w:rsidRPr="00092562">
        <w:rPr>
          <w:rFonts w:ascii="Times New Roman" w:eastAsia="Times New Roman" w:hAnsi="Times New Roman" w:cs="Times New Roman"/>
          <w:sz w:val="24"/>
          <w:szCs w:val="24"/>
        </w:rPr>
        <w:t>.</w:t>
      </w:r>
    </w:p>
    <w:p w14:paraId="62AC9A78"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Pr>
      </w:pPr>
      <w:r w:rsidRPr="00092562">
        <w:rPr>
          <w:rFonts w:ascii="Times New Roman" w:eastAsia="Times New Roman" w:hAnsi="Times New Roman" w:cs="Times New Roman"/>
          <w:sz w:val="24"/>
          <w:szCs w:val="24"/>
          <w:rtl/>
        </w:rPr>
        <w:t>أما سنغافورة، فتستخدم نموذجًا متدرجًا يميز بين التوقيع الإلكتروني عمومًا والتوقيع الإلكتروني الآمن، كما تخضع جهات التصديق لنظام اعتماد ورقابة تشرف عليه هيئة تطوير الإعلام والاتصالات. وتوضح الهيئة أن جهات التصديق تقوم بالتحقق من هوية المستخدم أو المنشأة قبل إصدار الشهادة الرقمية، بما يدعم وظيفة التوقيع الرقمي في تحديد الهوية وسلامة البيانات</w:t>
      </w:r>
      <w:r w:rsidRPr="00092562">
        <w:rPr>
          <w:rFonts w:ascii="Times New Roman" w:eastAsia="Times New Roman" w:hAnsi="Times New Roman" w:cs="Times New Roman"/>
          <w:sz w:val="24"/>
          <w:szCs w:val="24"/>
        </w:rPr>
        <w:t>.</w:t>
      </w:r>
    </w:p>
    <w:p w14:paraId="12AEDF0A"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Pr>
      </w:pPr>
      <w:r w:rsidRPr="00092562">
        <w:rPr>
          <w:rFonts w:ascii="Times New Roman" w:eastAsia="Times New Roman" w:hAnsi="Times New Roman" w:cs="Times New Roman"/>
          <w:sz w:val="24"/>
          <w:szCs w:val="24"/>
          <w:rtl/>
        </w:rPr>
        <w:t>وتدل المقارنة على اختلاف في أسلوب بناء المفاهيم: فالسعودية تنطلق من التوقيع والتصديق الإلكترونيين باعتبارهما أساس الحجية، والإمارات تتبنى مفهومًا أوسع لخدمات الثقة، بينما تعتمد سنغافورة التدرج بين الاعتراف العام والصفة الآمنة، مع تنظيم جهات التصديق فنيًا. ويمكن للتنظيم السعودي الاستفادة من هذا التطور من خلال توحيد المصطلحات المتعلقة بخدمات الثقة وتصنيفها بحسب وظائفها ومستوى المخاطر المرتبط بكل خدمة</w:t>
      </w:r>
      <w:r w:rsidRPr="00092562">
        <w:rPr>
          <w:rFonts w:ascii="Times New Roman" w:eastAsia="Times New Roman" w:hAnsi="Times New Roman" w:cs="Times New Roman"/>
          <w:sz w:val="24"/>
          <w:szCs w:val="24"/>
        </w:rPr>
        <w:t>.</w:t>
      </w:r>
    </w:p>
    <w:p w14:paraId="4EFACD7A" w14:textId="77777777" w:rsidR="00092562" w:rsidRPr="00092562" w:rsidRDefault="00092562" w:rsidP="00092562">
      <w:pPr>
        <w:spacing w:before="100" w:beforeAutospacing="1" w:after="100" w:afterAutospacing="1" w:line="360" w:lineRule="auto"/>
        <w:jc w:val="left"/>
        <w:rPr>
          <w:rFonts w:ascii="Times New Roman" w:eastAsia="Times New Roman" w:hAnsi="Times New Roman" w:cs="Times New Roman"/>
          <w:sz w:val="24"/>
          <w:szCs w:val="24"/>
          <w:rtl/>
        </w:rPr>
      </w:pPr>
    </w:p>
    <w:p w14:paraId="047F5D03" w14:textId="77777777" w:rsidR="00081600" w:rsidRDefault="00081600">
      <w:pPr>
        <w:bidi w:val="0"/>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br w:type="page"/>
      </w:r>
    </w:p>
    <w:p w14:paraId="2B9887C6" w14:textId="77777777"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lastRenderedPageBreak/>
        <w:t>ثالثًا: تحديد المسؤولية القانونية لمقدمي الخدمات الرقمية</w:t>
      </w:r>
    </w:p>
    <w:p w14:paraId="159D8289"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لا يكفي الاعتراف بخدمات الثقة من دون تحديد التزامات مقدميها ومسؤوليتهم عند إصدار شهادة غير صحيحة، أو الإخلال بالتحقق من الهوية، أو تسريب بيانات التوقيع، أو التأخر في إلغاء شهادة تعرضت للاختراق</w:t>
      </w:r>
      <w:r w:rsidRPr="00C873A8">
        <w:rPr>
          <w:rFonts w:ascii="Times New Roman" w:eastAsia="Times New Roman" w:hAnsi="Times New Roman" w:cs="Times New Roman"/>
          <w:sz w:val="24"/>
          <w:szCs w:val="24"/>
        </w:rPr>
        <w:t>.</w:t>
      </w:r>
    </w:p>
    <w:p w14:paraId="56A57FCF"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ويحتوي النظام السعودي على أحكام تتعلق بمقدمي خدمات التصديق وشروط ممارسة النشاط والتزاماتهم، إلا أن تعدد صور الخدمات الرقمية الحديثة قد يثير الحاجة إلى قواعد أكثر تفصيلًا تحدد المسؤولية بحسب نوع الخدمة، ودرجة الاعتماد عليها، وطبيعة الخطأ، والعلاقة بين مقدم الخدمة والمستخدم والغير المتضرر. ولا ينبغي وصف التنظيم السعودي بأنه يخلو من المسؤولية، بل الأدق أنه يحتاج إلى تطويرها بما يواكب اتساع مفهوم خدمات الثقة</w:t>
      </w:r>
      <w:r w:rsidRPr="00C873A8">
        <w:rPr>
          <w:rFonts w:ascii="Times New Roman" w:eastAsia="Times New Roman" w:hAnsi="Times New Roman" w:cs="Times New Roman"/>
          <w:sz w:val="24"/>
          <w:szCs w:val="24"/>
        </w:rPr>
        <w:t>.</w:t>
      </w:r>
    </w:p>
    <w:p w14:paraId="26251153"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وفي الإمارات، أخضع المشرع تقديم خدمات الثقة للترخيص، ومنع تقديمها دون الحصول على ترخيص من الهيئة المختصة، كما أجاز اتخاذ إجراءات مثل تعليق الترخيص أو إلغائه عند مخالفة الأحكام المنظمة. وفصلت اللائحة التنفيذية التزامات مقدمي الخدمات وخطط إنهاء النشاط وغيرها من المتطلبات التنظيمية. ويعزز ذلك وضوح المسؤولية التنظيمية، وإن ظلت المسؤولية المدنية عن الأضرار خاضعة كذلك للقواعد العامة بحسب طبيعة الواقعة</w:t>
      </w:r>
      <w:r w:rsidRPr="00C873A8">
        <w:rPr>
          <w:rFonts w:ascii="Times New Roman" w:eastAsia="Times New Roman" w:hAnsi="Times New Roman" w:cs="Times New Roman"/>
          <w:sz w:val="24"/>
          <w:szCs w:val="24"/>
        </w:rPr>
        <w:t>.</w:t>
      </w:r>
    </w:p>
    <w:p w14:paraId="771670EB"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أما في سنغافورة، فتقوم المسؤولية التنظيمية لجهات التصديق على قانون المعاملات الإلكترونية ولوائح جهات التصديق ومتطلبات الاعتماد والتدقيق. وتخضع الجهات المعتمدة لمعايير امتثال ومراجعة دورية، بما يجعل الرقابة الوقائية والتدقيق عنصرين أساسيين في ضبط المسؤولية، بدل اقتصارها على التعويض بعد وقوع الضرر</w:t>
      </w:r>
      <w:r w:rsidRPr="00C873A8">
        <w:rPr>
          <w:rFonts w:ascii="Times New Roman" w:eastAsia="Times New Roman" w:hAnsi="Times New Roman" w:cs="Times New Roman"/>
          <w:sz w:val="24"/>
          <w:szCs w:val="24"/>
        </w:rPr>
        <w:t>.</w:t>
      </w:r>
    </w:p>
    <w:p w14:paraId="32F6EA6C"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ويتضح أن الإمارات وسنغافورة تبرزان بصورة أوضح المسؤولية المؤسسية لمقدم الخدمة من خلال الترخيص أو الاعتماد والتدقيق، بينما يظل تطوير التنظيم السعودي ممكنًا من خلال الانتقال من التركيز على نشاط التصديق إلى تنظيم جميع مقدمي خدمات الثقة وفق درجات متفاوتة من الالتزام والمسؤولية</w:t>
      </w:r>
      <w:r w:rsidRPr="00C873A8">
        <w:rPr>
          <w:rFonts w:ascii="Times New Roman" w:eastAsia="Times New Roman" w:hAnsi="Times New Roman" w:cs="Times New Roman"/>
          <w:sz w:val="24"/>
          <w:szCs w:val="24"/>
        </w:rPr>
        <w:t>.</w:t>
      </w:r>
    </w:p>
    <w:p w14:paraId="458BFF3C" w14:textId="77777777"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t>رابعًا: حجية الأدلة الرقمية وتفاوت القوة الإثباتية</w:t>
      </w:r>
    </w:p>
    <w:p w14:paraId="26CB7E02"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اتفقت الأنظمة الثلاثة على عدم استبعاد الدليل بسبب شكله الرقمي، لكنها اختلفت في طريقة تحديد قوته الإثباتية. فقد أفرد نظام الإثبات السعودي بابًا للدليل الرقمي، وأجاز تقديمه بهيئته الأصلية أو بوسيلة رقمية أخرى، ومنح المحكمة سلطة طلب ما يلزم للتحقق من صحته. ويشكل هذا التنظيم تطورًا مهمًا؛ لأنه ينقل الدليل الرقمي من نطاق القبول الاستثنائي إلى التنظيم التشريعي المباشر</w:t>
      </w:r>
      <w:r w:rsidRPr="00C873A8">
        <w:rPr>
          <w:rFonts w:ascii="Times New Roman" w:eastAsia="Times New Roman" w:hAnsi="Times New Roman" w:cs="Times New Roman"/>
          <w:sz w:val="24"/>
          <w:szCs w:val="24"/>
        </w:rPr>
        <w:t>.</w:t>
      </w:r>
    </w:p>
    <w:p w14:paraId="67ADEB11"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ويتقارب قانون الإثبات الإماراتي لسنة 2022 مع التنظيم السعودي من حيث الاعتراف بالدليل الإلكتروني وتنظيم تقديمه والتحقق منه، غير أن وجود منظومة خدمات الثقة المعتمدة يضيف إمكانية دعم الدليل بتوقيع مؤهل أو ختم أو طابع زمني، بما قد يعزز موثوقيته عند المنازعة. ولا يعني ذلك أن كل دليل غير مؤهل يفتقر إلى الحجية، بل تختلف قوته بحسب مصدره وطريقة إنشائه وحفظه</w:t>
      </w:r>
      <w:r w:rsidRPr="00C873A8">
        <w:rPr>
          <w:rFonts w:ascii="Times New Roman" w:eastAsia="Times New Roman" w:hAnsi="Times New Roman" w:cs="Times New Roman"/>
          <w:sz w:val="24"/>
          <w:szCs w:val="24"/>
        </w:rPr>
        <w:t>.</w:t>
      </w:r>
    </w:p>
    <w:p w14:paraId="161FCAF0"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lastRenderedPageBreak/>
        <w:t>وفي سنغافورة، يقوم تنظيم الحجية على التكامل بين قانون المعاملات الإلكترونية وقانون الإثبات؛ إذ تقرر المادة</w:t>
      </w:r>
      <w:r w:rsidRPr="00C873A8">
        <w:rPr>
          <w:rFonts w:ascii="Times New Roman" w:eastAsia="Times New Roman" w:hAnsi="Times New Roman" w:cs="Times New Roman"/>
          <w:sz w:val="24"/>
          <w:szCs w:val="24"/>
        </w:rPr>
        <w:t xml:space="preserve"> (116A) </w:t>
      </w:r>
      <w:r w:rsidRPr="00C873A8">
        <w:rPr>
          <w:rFonts w:ascii="Times New Roman" w:eastAsia="Times New Roman" w:hAnsi="Times New Roman" w:cs="Times New Roman"/>
          <w:sz w:val="24"/>
          <w:szCs w:val="24"/>
          <w:rtl/>
        </w:rPr>
        <w:t>من قانون الإثبات قرائن تتعلق بأصالة بعض السجلات الإلكترونية، خصوصًا إذا أنشئت أو حفظت في المسار المعتاد للعمل بواسطة شخص غير ذي مصلحة في النزاع. كما يقرر قانون المعاملات الإلكترونية قرائن للتوقيعات والسجلات الإلكترونية الآمنة</w:t>
      </w:r>
      <w:r w:rsidRPr="00C873A8">
        <w:rPr>
          <w:rFonts w:ascii="Times New Roman" w:eastAsia="Times New Roman" w:hAnsi="Times New Roman" w:cs="Times New Roman"/>
          <w:sz w:val="24"/>
          <w:szCs w:val="24"/>
        </w:rPr>
        <w:t>.</w:t>
      </w:r>
    </w:p>
    <w:p w14:paraId="5CB911E8"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ويظهر من المقارنة أن السعودية والإمارات توفران وضوحًا من خلال تخصيص أحكام حديثة للدليل الرقمي، بينما تتميز سنغافورة بصياغة قرائن تشريعية أكثر تحديدًا لأصالة السجل وسلامته. ولذلك فإن تطوير الممارسة السعودية يمكن أن يستفيد من تقرير قرائن قابلة لإثبات العكس للسجلات الرسمية أو المنتجة بواسطة أنظمة موثوقة، مع بقاء سلطة المحكمة في تقدير الأدلة الأخرى</w:t>
      </w:r>
      <w:r w:rsidRPr="00C873A8">
        <w:rPr>
          <w:rFonts w:ascii="Times New Roman" w:eastAsia="Times New Roman" w:hAnsi="Times New Roman" w:cs="Times New Roman"/>
          <w:sz w:val="24"/>
          <w:szCs w:val="24"/>
        </w:rPr>
        <w:t>.</w:t>
      </w:r>
    </w:p>
    <w:p w14:paraId="42F0DE61" w14:textId="77777777"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t>خامسًا: حماية البيانات الشخصية في البيئة القضائية الرقمية</w:t>
      </w:r>
    </w:p>
    <w:p w14:paraId="2D8FF4B3"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أصبحت حماية البيانات تحديًا مباشرًا للقضاء الرقمي؛ لأن ملفات الدعاوى قد تتضمن بيانات صحية ومالية وأسرية وتجارية عالية الحساسية. وقد أصدر المنظم السعودي نظام حماية البيانات الشخصية سنة 2021، وقرر سريانه على عمليات معالجة البيانات الشخصية بأي وسيلة، بما في ذلك المعالجة التي تتم من جهات خارج المملكة متى تعلقت بأفراد مقيمين فيها. ويعكس ذلك نطاقًا واسعًا للحماية، إلا أن التطبيق القضائي يحتاج إلى مواءمة هذه القواعد العامة مع خصوصية ملفات القضايا ومدد الاحتفاظ بها وصلاحيات الاطلاع عليها</w:t>
      </w:r>
      <w:r w:rsidRPr="00C873A8">
        <w:rPr>
          <w:rFonts w:ascii="Times New Roman" w:eastAsia="Times New Roman" w:hAnsi="Times New Roman" w:cs="Times New Roman"/>
          <w:sz w:val="24"/>
          <w:szCs w:val="24"/>
        </w:rPr>
        <w:t>.</w:t>
      </w:r>
    </w:p>
    <w:p w14:paraId="06AB391E"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كما أصدرت الإمارات المرسوم بقانون الاتحادي رقم (45) لسنة 2021 بشأن حماية البيانات الشخصية، بالتوازي مع تشريع المعاملات الإلكترونية وخدمات الثقة. وتوفر هذه الموازاة إطارًا يجمع بين توسيع الاستخدام الرقمي وفرض قواعد لحماية البيانات، مع مراعاة الاستثناءات المرتبطة بالمطالبات والإجراءات القانونية</w:t>
      </w:r>
      <w:r w:rsidRPr="00C873A8">
        <w:rPr>
          <w:rFonts w:ascii="Times New Roman" w:eastAsia="Times New Roman" w:hAnsi="Times New Roman" w:cs="Times New Roman"/>
          <w:sz w:val="24"/>
          <w:szCs w:val="24"/>
        </w:rPr>
        <w:t>.</w:t>
      </w:r>
    </w:p>
    <w:p w14:paraId="71BAEF50"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وفي سنغافورة، ينظم قانون حماية البيانات الشخصية لسنة 2012 جمع البيانات واستخدامها والإفصاح عنها من قبل المؤسسات، وقد أُدخلت عليه تعديلات متتابعة وصدرت نسخته المنقحة سنة 2020 متضمنة التعديلات النافذة حتى ديسمبر 2021. ويمنح طول مدة التطبيق خبرة تنظيمية أوسع، لكنه لا يعني تلقائيًا أن الحماية أشمل في جميع المجالات؛ إذ يجب مراعاة نطاق تطبيق القانون على المؤسسات والقواعد الخاصة بالجهات العامة</w:t>
      </w:r>
      <w:r w:rsidRPr="00C873A8">
        <w:rPr>
          <w:rFonts w:ascii="Times New Roman" w:eastAsia="Times New Roman" w:hAnsi="Times New Roman" w:cs="Times New Roman"/>
          <w:sz w:val="24"/>
          <w:szCs w:val="24"/>
        </w:rPr>
        <w:t>.</w:t>
      </w:r>
    </w:p>
    <w:p w14:paraId="2B7BD1D7"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ومن ثم، لا يصح تقييم الأنظمة الثلاثة بعبارات عامة مثل «حديث» و«مستقر» فقط، بل وفق معايير تشمل نطاق التطبيق، وحقوق صاحب البيانات، والتزامات الحماية والإبلاغ عن الخروقات، وقواعد النقل عبر الحدود، ومدى وجود تنظيم خاص للبيانات القضائية. ويظهر التحدي السعودي أساسًا في تحويل المبادئ العامة إلى سياسات تفصيلية لإدارة البيانات القضائية، بينما تتمثل ميزة سنغافورة في تراكم الخبرة التطبيقية، وتتمثل ميزة الإمارات في التقارب الزمني والتشريعي بين حماية البيانات وخدمات الثقة</w:t>
      </w:r>
      <w:r w:rsidRPr="00C873A8">
        <w:rPr>
          <w:rFonts w:ascii="Times New Roman" w:eastAsia="Times New Roman" w:hAnsi="Times New Roman" w:cs="Times New Roman"/>
          <w:sz w:val="24"/>
          <w:szCs w:val="24"/>
        </w:rPr>
        <w:t>.</w:t>
      </w:r>
    </w:p>
    <w:p w14:paraId="482DEFA9" w14:textId="77777777"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t>سادسًا: التكامل والمرونة التشريعية</w:t>
      </w:r>
    </w:p>
    <w:p w14:paraId="254FF5F8"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lastRenderedPageBreak/>
        <w:t>ينشأ التشتت التشريعي عندما تتوزع الأحكام المنظمة للتحول الرقمي بين أنظمة متعددة من دون بيان دقيق للعلاقة بينها أو الجهة المسؤولة عن تنسيقها. وفي المملكة، تتوزع القواعد بين نظام التعاملات الإلكترونية، ونظام الإثبات، ونظام حماية البيانات الشخصية، ونظام مكافحة جرائم المعلوماتية، إضافة إلى اللوائح والضوابط التنظيمية. ولا يعد هذا التعدد عيبًا بذاته؛ لأن كل نظام يعالج موضوعًا مختلفًا، إلا أن التحدي يتمثل في ضمان التكامل بينها داخل البيئة القضائية الرقمية</w:t>
      </w:r>
      <w:r w:rsidRPr="00C873A8">
        <w:rPr>
          <w:rFonts w:ascii="Times New Roman" w:eastAsia="Times New Roman" w:hAnsi="Times New Roman" w:cs="Times New Roman"/>
          <w:sz w:val="24"/>
          <w:szCs w:val="24"/>
        </w:rPr>
        <w:t>.</w:t>
      </w:r>
    </w:p>
    <w:p w14:paraId="079C0131"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وفي الإمارات، أدى إصدار تشريعات المعاملات الإلكترونية وحماية البيانات والإثبات خلال فترة متقاربة إلى درجة أعلى من التقارب بين المفاهيم والقواعد، كما توفر منصة تشريعات الإمارات قاعدة رسمية موحدة ومحدثة للتشريعات الاتحادية ولوائحها. غير أن تعدد الاختصاصات الاتحادية والمحلية يظل عاملًا يجب مراعاته عند تقييم التكامل العملي</w:t>
      </w:r>
      <w:r w:rsidRPr="00C873A8">
        <w:rPr>
          <w:rFonts w:ascii="Times New Roman" w:eastAsia="Times New Roman" w:hAnsi="Times New Roman" w:cs="Times New Roman"/>
          <w:sz w:val="24"/>
          <w:szCs w:val="24"/>
        </w:rPr>
        <w:t>.</w:t>
      </w:r>
    </w:p>
    <w:p w14:paraId="06E65CF7"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أما سنغافورة، فيتحقق التكامل من خلال الجمع بين قانون المعاملات الإلكترونية وقانون الإثبات وقواعد الجهات التنظيمية، مع اعتماد معايير فنية تصدرها هيئة تطوير الإعلام والاتصالات. ويمنح ذلك التنظيم قدرة على تحديث التفاصيل الفنية من دون تعديل القانون في كل مرة، لكن نجاحه يفترض وضوح الحدود بين القواعد القانونية الملزمة والإرشادات والمعايير الفنية</w:t>
      </w:r>
      <w:r w:rsidRPr="00C873A8">
        <w:rPr>
          <w:rFonts w:ascii="Times New Roman" w:eastAsia="Times New Roman" w:hAnsi="Times New Roman" w:cs="Times New Roman"/>
          <w:sz w:val="24"/>
          <w:szCs w:val="24"/>
        </w:rPr>
        <w:t>.</w:t>
      </w:r>
    </w:p>
    <w:p w14:paraId="4E8930FE"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وتتطلب المرونة التشريعية توزيعًا مناسبًا بين القانون واللائحة؛ فيقرر القانون الحقوق والالتزامات والضمانات الأساسية، بينما تتولى اللوائح والمعايير الفنية التفاصيل القابلة للتغيير. ويظهر من المقارنة أن سنغافورة تستخدم هذا الفصل بصورة واضحة، وأن الإمارات طورت لائحة تفصيلية لخدمات الثقة، بينما تحتاج المملكة إلى استمرار تحديث اللوائح والمعايير وربطها بصورة أكثر مباشرة بإجراءات التقاضي الرقمي</w:t>
      </w:r>
      <w:r w:rsidRPr="00C873A8">
        <w:rPr>
          <w:rFonts w:ascii="Times New Roman" w:eastAsia="Times New Roman" w:hAnsi="Times New Roman" w:cs="Times New Roman"/>
          <w:sz w:val="24"/>
          <w:szCs w:val="24"/>
        </w:rPr>
        <w:t>.</w:t>
      </w:r>
    </w:p>
    <w:p w14:paraId="00296222" w14:textId="77777777"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t>سابعًا: مواجهة الجرائم والمخاطر الرقمية</w:t>
      </w:r>
    </w:p>
    <w:p w14:paraId="4EA66E5E"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لا يكفي تنظيم العقوبات لمواجهة الجرائم الرقمية؛ لأن الحماية الفعالة تجمع بين التجريم والوقاية وإدارة المخاطر. ويقرر نظام مكافحة جرائم المعلوماتية السعودي جرائم تتعلق بالدخول غير المشروع والاعتراض والإتلاف وغيرها من الأفعال التي تمس الأنظمة والبيانات. ويشكل ذلك أساسًا جزائيًا مهمًا، إلا أن التحول الرقمي القضائي يتطلب إلى جانبه التزامات وقائية تتعلق بالأمن السيبراني وسجلات التدقيق واستمرارية الخدمات</w:t>
      </w:r>
      <w:r w:rsidRPr="00C873A8">
        <w:rPr>
          <w:rFonts w:ascii="Times New Roman" w:eastAsia="Times New Roman" w:hAnsi="Times New Roman" w:cs="Times New Roman"/>
          <w:sz w:val="24"/>
          <w:szCs w:val="24"/>
        </w:rPr>
        <w:t>.</w:t>
      </w:r>
    </w:p>
    <w:p w14:paraId="61E4F8F2"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وفي الإمارات، يتكامل تجريم الاعتداءات الرقمية مع قواعد حماية البيانات وخدمات الثقة، بما يسمح بمعالجة الفعل من زوايا جزائية وتنظيمية ومدنية. أما في سنغافورة، فيهدف قانون إساءة استخدام الحاسب لسنة 1993 إلى حماية المواد الحاسوبية من الدخول أو التعديل غير المصرح به، كما شملت تعديلاته الحديثة حماية خدمة الهوية الرقمية الوطنية من إساءة الاستخدام</w:t>
      </w:r>
      <w:r w:rsidRPr="00C873A8">
        <w:rPr>
          <w:rFonts w:ascii="Times New Roman" w:eastAsia="Times New Roman" w:hAnsi="Times New Roman" w:cs="Times New Roman"/>
          <w:sz w:val="24"/>
          <w:szCs w:val="24"/>
        </w:rPr>
        <w:t>.</w:t>
      </w:r>
    </w:p>
    <w:p w14:paraId="282F3A40"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ويكشف ذلك أن المقارنة لا ينبغي أن تقوم على وصف أحد الأنظمة بأنه «أقوى عقوبة» والآخر بأنه «أكثر وقاية»، ما لم تقارن العقوبات والالتزامات الوقائية وفق معايير محددة. والأدق أن الأنظمة الثلاثة تجمع بدرجات مختلفة بين التجريم والتنظيم، وأن التحدي المشترك يتمثل في الانتقال من الاستجابة اللاحقة للجريمة إلى الحوكمة الوقائية للمخاطر</w:t>
      </w:r>
      <w:r w:rsidRPr="00C873A8">
        <w:rPr>
          <w:rFonts w:ascii="Times New Roman" w:eastAsia="Times New Roman" w:hAnsi="Times New Roman" w:cs="Times New Roman"/>
          <w:sz w:val="24"/>
          <w:szCs w:val="24"/>
        </w:rPr>
        <w:t>.</w:t>
      </w:r>
    </w:p>
    <w:p w14:paraId="591E0484" w14:textId="77777777" w:rsid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tl/>
        </w:rPr>
      </w:pPr>
    </w:p>
    <w:p w14:paraId="36DA7707" w14:textId="15EDA6A0" w:rsidR="00C873A8" w:rsidRPr="00C873A8" w:rsidRDefault="00C873A8" w:rsidP="00C873A8">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C873A8">
        <w:rPr>
          <w:rFonts w:ascii="Times New Roman" w:eastAsia="Times New Roman" w:hAnsi="Times New Roman" w:cs="Times New Roman"/>
          <w:b/>
          <w:bCs/>
          <w:sz w:val="27"/>
          <w:szCs w:val="27"/>
          <w:rtl/>
        </w:rPr>
        <w:lastRenderedPageBreak/>
        <w:t>ثامنًا: الاعتراف العابر للحدود بالتوقيعات وخدمات الثقة</w:t>
      </w:r>
    </w:p>
    <w:p w14:paraId="76150FD9"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لا يكفي القول إن الاعتراف الدولي بالتوقيع الإلكتروني «مرتفع» أو «في طور التطوير»، لأن الاعتراف العابر للحدود يتوقف على وجود قواعد قانونية للاعتراف بالشهادات والخدمات الأجنبية، ومدى التكافؤ بين مستويات الأمان، والاتفاقيات الدولية أو الترتيبات التنظيمية</w:t>
      </w:r>
      <w:r w:rsidRPr="00C873A8">
        <w:rPr>
          <w:rFonts w:ascii="Times New Roman" w:eastAsia="Times New Roman" w:hAnsi="Times New Roman" w:cs="Times New Roman"/>
          <w:sz w:val="24"/>
          <w:szCs w:val="24"/>
        </w:rPr>
        <w:t>.</w:t>
      </w:r>
    </w:p>
    <w:p w14:paraId="210DDC8A"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 xml:space="preserve">وقد استندت التشريعات الثلاثة إلى مبادئ دولية مستمدة من أعمال </w:t>
      </w:r>
      <w:proofErr w:type="spellStart"/>
      <w:r w:rsidRPr="00C873A8">
        <w:rPr>
          <w:rFonts w:ascii="Times New Roman" w:eastAsia="Times New Roman" w:hAnsi="Times New Roman" w:cs="Times New Roman"/>
          <w:sz w:val="24"/>
          <w:szCs w:val="24"/>
          <w:rtl/>
        </w:rPr>
        <w:t>الأونسيترال</w:t>
      </w:r>
      <w:proofErr w:type="spellEnd"/>
      <w:r w:rsidRPr="00C873A8">
        <w:rPr>
          <w:rFonts w:ascii="Times New Roman" w:eastAsia="Times New Roman" w:hAnsi="Times New Roman" w:cs="Times New Roman"/>
          <w:sz w:val="24"/>
          <w:szCs w:val="24"/>
          <w:rtl/>
        </w:rPr>
        <w:t xml:space="preserve"> بدرجات متفاوتة. ويظهر ذلك بصورة واضحة في قانون المعاملات الإلكترونية السنغافوري، الذي يهدف إلى توفير أساس قانوني آمن للمعاملات الإلكترونية، كما عدّل سنة 2021 لاستيعاب السجلات الإلكترونية القابلة للتحويل وفق التطورات الدولية. وتعمل جهة تنظيم سلطات التصديق في سنغافورة كذلك على مقارنة متطلبات التدقيق في نظامها بأنظمة دولية أخرى، نظرًا إلى عمل جهات التصديق عبر الحدود</w:t>
      </w:r>
      <w:r w:rsidRPr="00C873A8">
        <w:rPr>
          <w:rFonts w:ascii="Times New Roman" w:eastAsia="Times New Roman" w:hAnsi="Times New Roman" w:cs="Times New Roman"/>
          <w:sz w:val="24"/>
          <w:szCs w:val="24"/>
        </w:rPr>
        <w:t>.</w:t>
      </w:r>
    </w:p>
    <w:p w14:paraId="66FEACA2" w14:textId="66DFFBFE" w:rsidR="003B3BAB"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كما ينظم التشريع الإماراتي خدمات الثقة وخدمات الثقة المعتمدة ضمن إطار يمكن أن يدعم الاعتراف المتبادل متى تحققت متطلبات التكافؤ والاعتماد. أما النظام السعودي، فقد أسس للاعتراف بالتوقيعات والشهادات الإلكترونية، إلا أن تطوير الاعتراف العابر للحدود يحتاج إلى قواعد واتفاقات أكثر تفصيلًا تحدد شروط قبول خدمات الثقة الأجنبية وآثارها أمام القضاء</w:t>
      </w:r>
    </w:p>
    <w:p w14:paraId="39D33C2E" w14:textId="6050248C"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7D96EAA5" w14:textId="60C2868C"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21B084B9" w14:textId="2C0FCF00"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7584FB87" w14:textId="21F97241"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79A0DDB5" w14:textId="7899C74B"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3E7F73C5" w14:textId="3C62F7BB"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3BC6A770" w14:textId="5892DEE4"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157DAE6B" w14:textId="15DF5585" w:rsid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p>
    <w:p w14:paraId="33E07A7A"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tl/>
        </w:rPr>
      </w:pPr>
    </w:p>
    <w:p w14:paraId="041D71FB" w14:textId="77777777" w:rsidR="007E383E" w:rsidRDefault="007E383E" w:rsidP="00AA2D35">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3AD89C15" w14:textId="11B266C6" w:rsidR="003B3BAB" w:rsidRPr="007E40EF"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sidRPr="007E40EF">
        <w:rPr>
          <w:rFonts w:ascii="Times New Roman" w:eastAsia="Times New Roman" w:hAnsi="Times New Roman" w:cs="Times New Roman" w:hint="cs"/>
          <w:b/>
          <w:bCs/>
          <w:sz w:val="32"/>
          <w:szCs w:val="32"/>
          <w:rtl/>
        </w:rPr>
        <w:lastRenderedPageBreak/>
        <w:t>ثانياً:</w:t>
      </w:r>
      <w:r w:rsidRPr="007E40EF">
        <w:rPr>
          <w:rFonts w:ascii="Times New Roman" w:hAnsi="Times New Roman" w:cs="Times New Roman"/>
          <w:b/>
          <w:bCs/>
          <w:sz w:val="32"/>
          <w:szCs w:val="32"/>
          <w:rtl/>
        </w:rPr>
        <w:t xml:space="preserve"> التحديات التقنية</w:t>
      </w:r>
    </w:p>
    <w:p w14:paraId="0A1668D2" w14:textId="77777777" w:rsidR="00A000ED" w:rsidRDefault="003B3BAB" w:rsidP="00AA2D35">
      <w:pPr>
        <w:pStyle w:val="a5"/>
        <w:bidi/>
        <w:spacing w:line="360" w:lineRule="auto"/>
      </w:pPr>
      <w:r w:rsidRPr="003B3BAB">
        <w:rPr>
          <w:sz w:val="28"/>
          <w:szCs w:val="28"/>
          <w:rtl/>
        </w:rPr>
        <w:t>تعقيد البنية التحتية الرقمية</w:t>
      </w:r>
      <w:r w:rsidR="00A000ED">
        <w:rPr>
          <w:rFonts w:hint="cs"/>
          <w:b/>
          <w:bCs/>
          <w:sz w:val="28"/>
          <w:szCs w:val="28"/>
          <w:rtl/>
        </w:rPr>
        <w:t xml:space="preserve"> </w:t>
      </w:r>
      <w:r w:rsidR="00A000ED">
        <w:rPr>
          <w:rtl/>
        </w:rPr>
        <w:t>يقصد بتعقيد البنية التحتية الرقمية تعدد وتشابك الأنظمة والتقنيات والشبكات التي تعتمد عليها المؤسسات في تقديم خدماتها الرقمية وإدارة أعمالها. وتشمل هذه البنية الخوادم، وقواعد البيانات، والشبكات، والحوسبة السحابية، وأنظمة الأمن السيبراني، ومنصات تبادل البيانات، وغيرها من التقنيات المترابطة</w:t>
      </w:r>
      <w:r w:rsidR="00A000ED">
        <w:t>.</w:t>
      </w:r>
    </w:p>
    <w:p w14:paraId="18C0012E" w14:textId="77777777" w:rsidR="00A000ED" w:rsidRDefault="00A000ED" w:rsidP="00AA2D35">
      <w:pPr>
        <w:pStyle w:val="a5"/>
        <w:bidi/>
        <w:spacing w:line="360" w:lineRule="auto"/>
      </w:pPr>
      <w:r>
        <w:rPr>
          <w:rtl/>
        </w:rPr>
        <w:t>ويُعد هذا التعقيد من أبرز تحديات التحول الرقمي، لأن تشغيل وإدارة هذه المكونات يتطلب خبرات فنية متخصصة وتنسيقًا مستمرًا لضمان تكامل الأنظمة وكفاءة أدائها. كما أن أي خلل في أحد المكونات قد يؤثر في عمل الأنظمة الأخرى ويؤدي إلى تعطيل الخدمات أو انخفاض كفاءتها</w:t>
      </w:r>
      <w:r>
        <w:t>.</w:t>
      </w:r>
    </w:p>
    <w:p w14:paraId="4790CC66" w14:textId="1234321E" w:rsidR="003B3BAB" w:rsidRPr="00A000ED" w:rsidRDefault="00A000ED" w:rsidP="00AA2D35">
      <w:pPr>
        <w:pStyle w:val="a5"/>
        <w:bidi/>
        <w:spacing w:line="360" w:lineRule="auto"/>
        <w:rPr>
          <w:rtl/>
        </w:rPr>
      </w:pPr>
      <w:r>
        <w:rPr>
          <w:rtl/>
        </w:rPr>
        <w:t>وفي القطاع القضائي، تزداد أهمية هذه المسألة نظرًا للحاجة إلى ربط المحاكم والجهات الحكومية وقواعد البيانات المختلفة ضمن بيئة رقمية آمنة وموثوقة. لذلك يتطلب نجاح التحول الرقمي وجود بنية تحتية قوية ومرنة قادرة على استيعاب التطورات التقنية وحماية البيانات وضمان استمرارية الخدمات الإلكترونية</w:t>
      </w:r>
      <w:r>
        <w:t>.</w:t>
      </w:r>
    </w:p>
    <w:p w14:paraId="5DABAAFA" w14:textId="5C01611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hint="cs"/>
          <w:sz w:val="28"/>
          <w:szCs w:val="28"/>
          <w:rtl/>
        </w:rPr>
        <w:t>يق</w:t>
      </w:r>
      <w:r w:rsidRPr="003B3BAB">
        <w:rPr>
          <w:rFonts w:ascii="Times New Roman" w:eastAsia="Times New Roman" w:hAnsi="Times New Roman" w:cs="Times New Roman"/>
          <w:sz w:val="28"/>
          <w:szCs w:val="28"/>
          <w:rtl/>
        </w:rPr>
        <w:t>وم التحول الرقمي على بنية تقنية مركبة تشمل</w:t>
      </w:r>
      <w:r w:rsidRPr="003B3BAB">
        <w:rPr>
          <w:rFonts w:ascii="Times New Roman" w:eastAsia="Times New Roman" w:hAnsi="Times New Roman" w:cs="Times New Roman"/>
          <w:sz w:val="28"/>
          <w:szCs w:val="28"/>
        </w:rPr>
        <w:t>:</w:t>
      </w:r>
    </w:p>
    <w:p w14:paraId="200FD2C5" w14:textId="7E8EEC9C"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الحوسبة السحابية</w:t>
      </w:r>
      <w:r w:rsidRPr="007E40EF">
        <w:rPr>
          <w:rFonts w:ascii="Times New Roman" w:eastAsia="Times New Roman" w:hAnsi="Times New Roman" w:cs="Times New Roman"/>
          <w:sz w:val="24"/>
          <w:szCs w:val="24"/>
        </w:rPr>
        <w:t xml:space="preserve"> (Cloud Computing) </w:t>
      </w:r>
      <w:r w:rsidRPr="007E40EF">
        <w:rPr>
          <w:rFonts w:ascii="Times New Roman" w:eastAsia="Times New Roman" w:hAnsi="Times New Roman" w:cs="Times New Roman" w:hint="cs"/>
          <w:sz w:val="24"/>
          <w:szCs w:val="24"/>
          <w:vertAlign w:val="superscript"/>
          <w:rtl/>
        </w:rPr>
        <w:t>(1</w:t>
      </w:r>
      <w:r w:rsidR="00A000ED" w:rsidRPr="00E160B3">
        <w:rPr>
          <w:rStyle w:val="a8"/>
          <w:rFonts w:ascii="Times New Roman" w:eastAsia="Times New Roman" w:hAnsi="Times New Roman" w:cs="Times New Roman"/>
          <w:vanish/>
          <w:sz w:val="24"/>
          <w:szCs w:val="24"/>
          <w:vertAlign w:val="baseline"/>
          <w:rtl/>
        </w:rPr>
        <w:footnoteReference w:id="27"/>
      </w:r>
      <w:r w:rsidRPr="007E40EF">
        <w:rPr>
          <w:rFonts w:ascii="Times New Roman" w:eastAsia="Times New Roman" w:hAnsi="Times New Roman" w:cs="Times New Roman" w:hint="cs"/>
          <w:sz w:val="24"/>
          <w:szCs w:val="24"/>
          <w:vertAlign w:val="superscript"/>
          <w:rtl/>
        </w:rPr>
        <w:t>)</w:t>
      </w:r>
      <w:r w:rsidRPr="007E40EF">
        <w:rPr>
          <w:rFonts w:ascii="Times New Roman" w:eastAsia="Times New Roman" w:hAnsi="Times New Roman" w:cs="Times New Roman" w:hint="cs"/>
          <w:sz w:val="24"/>
          <w:szCs w:val="24"/>
          <w:rtl/>
        </w:rPr>
        <w:t>،</w:t>
      </w:r>
      <w:r w:rsidRPr="007E40EF">
        <w:rPr>
          <w:rFonts w:ascii="Times New Roman" w:eastAsia="Times New Roman" w:hAnsi="Times New Roman" w:cs="Times New Roman"/>
          <w:sz w:val="24"/>
          <w:szCs w:val="24"/>
          <w:rtl/>
        </w:rPr>
        <w:t xml:space="preserve"> البنية التحتية للمفاتيح العامة</w:t>
      </w:r>
      <w:r w:rsidRPr="007E40EF">
        <w:rPr>
          <w:rFonts w:ascii="Times New Roman" w:eastAsia="Times New Roman" w:hAnsi="Times New Roman" w:cs="Times New Roman"/>
          <w:sz w:val="24"/>
          <w:szCs w:val="24"/>
        </w:rPr>
        <w:t xml:space="preserve"> (PKI) </w:t>
      </w:r>
      <w:r w:rsidRPr="007E40EF">
        <w:rPr>
          <w:rFonts w:ascii="Times New Roman" w:eastAsia="Times New Roman" w:hAnsi="Times New Roman" w:cs="Times New Roman" w:hint="cs"/>
          <w:sz w:val="24"/>
          <w:szCs w:val="24"/>
          <w:vertAlign w:val="superscript"/>
          <w:rtl/>
        </w:rPr>
        <w:t>(2</w:t>
      </w:r>
      <w:r w:rsidR="007E40EF" w:rsidRPr="007E40EF">
        <w:rPr>
          <w:rFonts w:ascii="Times New Roman" w:eastAsia="Times New Roman" w:hAnsi="Times New Roman" w:cs="Times New Roman" w:hint="cs"/>
          <w:sz w:val="24"/>
          <w:szCs w:val="24"/>
          <w:vertAlign w:val="superscript"/>
          <w:rtl/>
        </w:rPr>
        <w:t>)</w:t>
      </w:r>
      <w:r w:rsidR="007E40EF" w:rsidRPr="007E40EF">
        <w:rPr>
          <w:rFonts w:ascii="Times New Roman" w:eastAsia="Times New Roman" w:hAnsi="Times New Roman" w:cs="Times New Roman" w:hint="cs"/>
          <w:sz w:val="24"/>
          <w:szCs w:val="24"/>
          <w:rtl/>
        </w:rPr>
        <w:t>، الذكاء</w:t>
      </w:r>
      <w:r w:rsidRPr="007E40EF">
        <w:rPr>
          <w:rFonts w:ascii="Times New Roman" w:eastAsia="Times New Roman" w:hAnsi="Times New Roman" w:cs="Times New Roman"/>
          <w:sz w:val="24"/>
          <w:szCs w:val="24"/>
          <w:rtl/>
        </w:rPr>
        <w:t xml:space="preserve"> الاصطناعي</w:t>
      </w:r>
      <w:r w:rsidRPr="007E40EF">
        <w:rPr>
          <w:rFonts w:ascii="Times New Roman" w:eastAsia="Times New Roman" w:hAnsi="Times New Roman" w:cs="Times New Roman"/>
          <w:sz w:val="24"/>
          <w:szCs w:val="24"/>
        </w:rPr>
        <w:t xml:space="preserve"> (AI) </w:t>
      </w:r>
      <w:r w:rsidRPr="007E40EF">
        <w:rPr>
          <w:rFonts w:ascii="Times New Roman" w:eastAsia="Times New Roman" w:hAnsi="Times New Roman" w:cs="Times New Roman" w:hint="cs"/>
          <w:sz w:val="24"/>
          <w:szCs w:val="24"/>
          <w:rtl/>
        </w:rPr>
        <w:t>،</w:t>
      </w:r>
      <w:r w:rsidRPr="007E40EF">
        <w:rPr>
          <w:rFonts w:ascii="Times New Roman" w:eastAsia="Times New Roman" w:hAnsi="Times New Roman" w:cs="Times New Roman"/>
          <w:sz w:val="24"/>
          <w:szCs w:val="24"/>
          <w:rtl/>
        </w:rPr>
        <w:t xml:space="preserve"> إنترنت الأشياء وتحليل البيانات</w:t>
      </w:r>
    </w:p>
    <w:p w14:paraId="6DB9515C" w14:textId="77777777" w:rsidR="003B3BAB" w:rsidRPr="007E40EF" w:rsidRDefault="003B3BAB" w:rsidP="00AA2D35">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7E40EF">
        <w:rPr>
          <w:rFonts w:ascii="Times New Roman" w:eastAsia="Times New Roman" w:hAnsi="Times New Roman" w:cs="Times New Roman"/>
          <w:b/>
          <w:bCs/>
          <w:sz w:val="28"/>
          <w:szCs w:val="28"/>
          <w:rtl/>
        </w:rPr>
        <w:t>أبعاد التعقيد</w:t>
      </w:r>
    </w:p>
    <w:p w14:paraId="79732CE1" w14:textId="77777777"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b/>
          <w:bCs/>
          <w:sz w:val="28"/>
          <w:szCs w:val="28"/>
          <w:rtl/>
        </w:rPr>
        <w:t>تكامل الأنظمة القديمة</w:t>
      </w:r>
      <w:r w:rsidRPr="003B3BAB">
        <w:rPr>
          <w:rFonts w:ascii="Times New Roman" w:eastAsia="Times New Roman" w:hAnsi="Times New Roman" w:cs="Times New Roman"/>
          <w:b/>
          <w:bCs/>
          <w:sz w:val="28"/>
          <w:szCs w:val="28"/>
        </w:rPr>
        <w:t xml:space="preserve"> (Legacy Systems)</w:t>
      </w:r>
      <w:r w:rsidRPr="003B3BAB">
        <w:rPr>
          <w:rFonts w:ascii="Times New Roman" w:eastAsia="Times New Roman" w:hAnsi="Times New Roman" w:cs="Times New Roman"/>
          <w:sz w:val="28"/>
          <w:szCs w:val="28"/>
        </w:rPr>
        <w:t xml:space="preserve"> </w:t>
      </w:r>
    </w:p>
    <w:p w14:paraId="04380985" w14:textId="77777777" w:rsidR="00F33F88" w:rsidRDefault="00F33F88" w:rsidP="00AA2D35">
      <w:pPr>
        <w:spacing w:before="100" w:beforeAutospacing="1" w:after="100" w:afterAutospacing="1" w:line="360" w:lineRule="auto"/>
        <w:jc w:val="left"/>
        <w:rPr>
          <w:rFonts w:ascii="Times New Roman" w:hAnsi="Times New Roman" w:cs="Times New Roman"/>
          <w:rtl/>
        </w:rPr>
      </w:pPr>
      <w:r w:rsidRPr="00F33F88">
        <w:rPr>
          <w:rFonts w:ascii="Times New Roman" w:hAnsi="Times New Roman" w:cs="Times New Roman"/>
          <w:rtl/>
        </w:rPr>
        <w:t>يُعد تكامل الأنظمة القديمة مع الأنظمة الرقمية الحديثة من أبرز التحديات التقنية التي تواجه مشروعات التحول الرقمي، خاصة في المؤسسات التي تعتمد منذ سنوات طويلة على أنظمة وتقنيات تقليدية تم تصميمها وفق متطلبات مختلفة عن متطلبات البيئة الرقمية الحديثة</w:t>
      </w:r>
    </w:p>
    <w:p w14:paraId="528DBAAF" w14:textId="46C771F0" w:rsidR="003B3BAB"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hAnsi="Times New Roman" w:cs="Times New Roman"/>
          <w:rtl/>
        </w:rPr>
        <w:t xml:space="preserve"> وتكمن المشكلة في أن العديد من الأنظمة القديمة أُنشئت باستخدام تقنيات وبرمجيات قديمة لا تدعم التكامل السلس مع التطبيقات والمنصات الحديثة، مما يؤدي إلى صعوبة تبادل البيانات والمعلومات بين الأنظمة المختلفة. كما أن اختلاف قواعد البيانات والبنية التقنية والمعايير المستخدمة قد يسبب مشكلات في التوافق والتشغيل المشترك</w:t>
      </w:r>
      <w:r w:rsidRPr="00F33F88">
        <w:rPr>
          <w:rFonts w:ascii="Times New Roman" w:hAnsi="Times New Roman" w:cs="Times New Roman"/>
        </w:rPr>
        <w:t>.</w:t>
      </w:r>
      <w:r w:rsidR="004141E3" w:rsidRPr="00F33F88">
        <w:rPr>
          <w:rFonts w:ascii="Times New Roman" w:eastAsia="Times New Roman" w:hAnsi="Times New Roman" w:cs="Times New Roman"/>
          <w:sz w:val="24"/>
          <w:szCs w:val="24"/>
          <w:vertAlign w:val="superscript"/>
          <w:rtl/>
        </w:rPr>
        <w:t xml:space="preserve"> (3)</w:t>
      </w:r>
    </w:p>
    <w:p w14:paraId="478E7AD5" w14:textId="77777777" w:rsidR="00F33F88" w:rsidRDefault="00F33F88" w:rsidP="00AA2D35">
      <w:pPr>
        <w:pStyle w:val="a5"/>
        <w:bidi/>
        <w:spacing w:line="360" w:lineRule="auto"/>
      </w:pPr>
      <w:r>
        <w:rPr>
          <w:rtl/>
        </w:rPr>
        <w:lastRenderedPageBreak/>
        <w:t>وفي المملكة العربية السعودية، يُعد هذا التحدي من القضايا المهمة التي واجهت بعض الجهات خلال مراحل التحول الرقمي، حيث تطلب الأمر تحديث الأنظمة القائمة أو إعادة تصميمها وربطها بمنصات رقمية حديثة لتحقيق التكامل وتوحيد البيانات والخدمات. كما أن استمرار الاعتماد على بعض الأنظمة التقليدية قد يؤدي إلى بطء الإجراءات وارتفاع تكاليف التشغيل والصيانة</w:t>
      </w:r>
      <w:r>
        <w:t>.</w:t>
      </w:r>
    </w:p>
    <w:p w14:paraId="400B0AA1" w14:textId="77777777" w:rsidR="00F33F88" w:rsidRDefault="00F33F88" w:rsidP="00AA2D35">
      <w:pPr>
        <w:pStyle w:val="a5"/>
        <w:bidi/>
        <w:spacing w:line="360" w:lineRule="auto"/>
      </w:pPr>
      <w:r>
        <w:rPr>
          <w:rtl/>
        </w:rPr>
        <w:t>لذلك يتطلب نجاح التحول الرقمي وضع خطط تدريجية لتحديث الأنظمة القديمة ودمجها مع التقنيات الحديثة، بما يضمن استمرارية العمل، وتحسين كفاءة الخدمات، وتحقيق التكامل الرقمي بين مختلف الجهات والأنظمة الحكومية والقضائية</w:t>
      </w:r>
      <w:r>
        <w:t>.</w:t>
      </w:r>
    </w:p>
    <w:p w14:paraId="7BF81372" w14:textId="77777777" w:rsidR="00A000ED" w:rsidRDefault="00A000ED" w:rsidP="00AA2D35">
      <w:pPr>
        <w:spacing w:before="100" w:beforeAutospacing="1" w:after="100" w:afterAutospacing="1" w:line="360" w:lineRule="auto"/>
        <w:jc w:val="left"/>
        <w:rPr>
          <w:rFonts w:ascii="Times New Roman" w:eastAsia="Times New Roman" w:hAnsi="Times New Roman" w:cs="Times New Roman"/>
          <w:b/>
          <w:bCs/>
          <w:sz w:val="28"/>
          <w:szCs w:val="28"/>
          <w:rtl/>
        </w:rPr>
      </w:pPr>
    </w:p>
    <w:p w14:paraId="7D60B5C1" w14:textId="77777777" w:rsidR="00F33F88" w:rsidRDefault="00F33F88" w:rsidP="00AA2D35">
      <w:pPr>
        <w:spacing w:before="100" w:beforeAutospacing="1" w:after="100" w:afterAutospacing="1" w:line="360" w:lineRule="auto"/>
        <w:jc w:val="left"/>
        <w:rPr>
          <w:rFonts w:ascii="Times New Roman" w:eastAsia="Times New Roman" w:hAnsi="Times New Roman" w:cs="Times New Roman"/>
          <w:b/>
          <w:bCs/>
          <w:sz w:val="28"/>
          <w:szCs w:val="28"/>
          <w:rtl/>
        </w:rPr>
      </w:pPr>
    </w:p>
    <w:p w14:paraId="10F11086" w14:textId="77777777" w:rsidR="00F33F88" w:rsidRDefault="00F33F88" w:rsidP="00AA2D35">
      <w:pPr>
        <w:bidi w:val="0"/>
        <w:jc w:val="left"/>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tl/>
        </w:rPr>
        <w:br w:type="page"/>
      </w:r>
    </w:p>
    <w:p w14:paraId="7F82DC20" w14:textId="5A7A173E" w:rsid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tl/>
        </w:rPr>
      </w:pPr>
      <w:r w:rsidRPr="003B3BAB">
        <w:rPr>
          <w:rFonts w:ascii="Times New Roman" w:eastAsia="Times New Roman" w:hAnsi="Times New Roman" w:cs="Times New Roman"/>
          <w:b/>
          <w:bCs/>
          <w:sz w:val="28"/>
          <w:szCs w:val="28"/>
          <w:rtl/>
        </w:rPr>
        <w:lastRenderedPageBreak/>
        <w:t>تشابك البيانات</w:t>
      </w:r>
      <w:r w:rsidRPr="003B3BAB">
        <w:rPr>
          <w:rFonts w:ascii="Times New Roman" w:eastAsia="Times New Roman" w:hAnsi="Times New Roman" w:cs="Times New Roman"/>
          <w:sz w:val="28"/>
          <w:szCs w:val="28"/>
          <w:rtl/>
        </w:rPr>
        <w:t xml:space="preserve"> </w:t>
      </w:r>
      <w:r w:rsidR="007F42D0" w:rsidRPr="007F42D0">
        <w:rPr>
          <w:rFonts w:ascii="Times New Roman" w:eastAsia="Times New Roman" w:hAnsi="Times New Roman" w:cs="Times New Roman" w:hint="cs"/>
          <w:sz w:val="28"/>
          <w:szCs w:val="28"/>
          <w:vertAlign w:val="superscript"/>
          <w:rtl/>
        </w:rPr>
        <w:t>(1</w:t>
      </w:r>
      <w:r w:rsidR="009C05D8" w:rsidRPr="00E160B3">
        <w:rPr>
          <w:rStyle w:val="a8"/>
          <w:rFonts w:ascii="Times New Roman" w:eastAsia="Times New Roman" w:hAnsi="Times New Roman" w:cs="Times New Roman"/>
          <w:vanish/>
          <w:sz w:val="28"/>
          <w:szCs w:val="28"/>
          <w:vertAlign w:val="baseline"/>
          <w:rtl/>
        </w:rPr>
        <w:footnoteReference w:id="28"/>
      </w:r>
      <w:r w:rsidR="007F42D0" w:rsidRPr="007F42D0">
        <w:rPr>
          <w:rFonts w:ascii="Times New Roman" w:eastAsia="Times New Roman" w:hAnsi="Times New Roman" w:cs="Times New Roman" w:hint="cs"/>
          <w:sz w:val="28"/>
          <w:szCs w:val="28"/>
          <w:vertAlign w:val="superscript"/>
          <w:rtl/>
        </w:rPr>
        <w:t>)</w:t>
      </w:r>
    </w:p>
    <w:p w14:paraId="56C4021B" w14:textId="77777777"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يقصد بتشابك البيانات تداخل البيانات والمعلومات وتوزعها بين أنظمة وقواعد بيانات متعددة داخل المؤسسة أو بين عدة جهات، مما يجعل إدارتها وتبادلها وتحليلها أكثر تعقيدًا. ويظهر هذا التحدي عندما تكون البيانات مخزنة بصيغ مختلفة أو في أنظمة غير مترابطة، الأمر الذي يؤدي إلى صعوبة الوصول إلى معلومات دقيقة ومتكاملة</w:t>
      </w:r>
      <w:r w:rsidRPr="00F33F88">
        <w:rPr>
          <w:rFonts w:ascii="Times New Roman" w:eastAsia="Times New Roman" w:hAnsi="Times New Roman" w:cs="Times New Roman"/>
          <w:sz w:val="24"/>
          <w:szCs w:val="24"/>
        </w:rPr>
        <w:t>.</w:t>
      </w:r>
    </w:p>
    <w:p w14:paraId="3891ACFC" w14:textId="77777777"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ويُعد تشابك البيانات من التحديات المهمة في مشروعات التحول الرقمي، لأنه قد يسبب تكرار البيانات، وازدواجية المعلومات، وظهور تعارض أو اختلاف في النتائج بين الأنظمة المختلفة. كما قد يؤثر على سرعة إنجاز المعاملات ودقة التقارير واتخاذ القرارات</w:t>
      </w:r>
      <w:r w:rsidRPr="00F33F88">
        <w:rPr>
          <w:rFonts w:ascii="Times New Roman" w:eastAsia="Times New Roman" w:hAnsi="Times New Roman" w:cs="Times New Roman"/>
          <w:sz w:val="24"/>
          <w:szCs w:val="24"/>
        </w:rPr>
        <w:t>.</w:t>
      </w:r>
    </w:p>
    <w:p w14:paraId="1D606EEB" w14:textId="748336CA"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وفي القطاع القضائي والحكومي، تزداد أهمية معالجة تشابك البيانات بسبب الحاجة إلى تبادل المعلومات بين جهات متعددة، مثل المحاكم والوزارات والهيئات الحكومية. ولذلك تسعى المؤسسات إلى بناء قواعد بيانات موحدة ومنصات تكامل رقمي تضمن تدفق البيانات بصورة دقيقة وآمنة، مما يسهم في تحسين كفاءة العمل ودعم اتخاذ القرار وتحقيق أهداف التحول الرقمي</w:t>
      </w:r>
      <w:r w:rsidRPr="00F33F88">
        <w:rPr>
          <w:rFonts w:ascii="Times New Roman" w:eastAsia="Times New Roman" w:hAnsi="Times New Roman" w:cs="Times New Roman"/>
          <w:sz w:val="24"/>
          <w:szCs w:val="24"/>
        </w:rPr>
        <w:t>.</w:t>
      </w:r>
    </w:p>
    <w:p w14:paraId="7F3B50E4" w14:textId="77777777" w:rsidR="007F42D0" w:rsidRPr="007F42D0" w:rsidRDefault="003B3BAB" w:rsidP="00AA2D35">
      <w:pPr>
        <w:pStyle w:val="a5"/>
        <w:bidi/>
        <w:spacing w:line="360" w:lineRule="auto"/>
      </w:pPr>
      <w:r w:rsidRPr="007F42D0">
        <w:rPr>
          <w:b/>
          <w:bCs/>
          <w:rtl/>
        </w:rPr>
        <w:t>تعدد مصادر البيانات</w:t>
      </w:r>
      <w:r w:rsidR="007F42D0">
        <w:rPr>
          <w:rFonts w:hint="cs"/>
          <w:rtl/>
        </w:rPr>
        <w:t xml:space="preserve"> </w:t>
      </w:r>
      <w:r w:rsidR="007F42D0" w:rsidRPr="007F42D0">
        <w:rPr>
          <w:rtl/>
        </w:rPr>
        <w:t>يقصد بتعدد مصادر البيانات وجود البيانات والمعلومات في أكثر من جهة أو نظام أو قاعدة بيانات مختلفة داخل المؤسسة أو بين عدة مؤسسات. فقد يتم الحصول على البيانات من أنظمة إلكترونية متعددة، أو منصات حكومية، أو قواعد بيانات داخلية وخارجية</w:t>
      </w:r>
      <w:r w:rsidR="007F42D0" w:rsidRPr="007F42D0">
        <w:t>.</w:t>
      </w:r>
    </w:p>
    <w:p w14:paraId="219B39AF" w14:textId="77777777" w:rsidR="007F42D0" w:rsidRPr="007F42D0" w:rsidRDefault="007F42D0" w:rsidP="00AA2D35">
      <w:pPr>
        <w:spacing w:before="100" w:beforeAutospacing="1" w:after="100" w:afterAutospacing="1" w:line="360" w:lineRule="auto"/>
        <w:jc w:val="left"/>
        <w:rPr>
          <w:rFonts w:ascii="Times New Roman" w:eastAsia="Times New Roman" w:hAnsi="Times New Roman" w:cs="Times New Roman"/>
          <w:sz w:val="24"/>
          <w:szCs w:val="24"/>
        </w:rPr>
      </w:pPr>
      <w:r w:rsidRPr="007F42D0">
        <w:rPr>
          <w:rFonts w:ascii="Times New Roman" w:eastAsia="Times New Roman" w:hAnsi="Times New Roman" w:cs="Times New Roman"/>
          <w:sz w:val="24"/>
          <w:szCs w:val="24"/>
          <w:rtl/>
        </w:rPr>
        <w:t>ويُعد ذلك تحديًا في التحول الرقمي، لأن اختلاف مصادر البيانات قد يؤدي إلى تكرار المعلومات أو عدم توافقها، مما يصعب عملية جمعها وتحليلها. لذلك تسعى المؤسسات إلى ربط هذه المصادر وتوحيد البيانات لضمان دقتها وسهولة الاستفادة منها في اتخاذ القرارات وتحسين الخدمات</w:t>
      </w:r>
      <w:r w:rsidRPr="007F42D0">
        <w:rPr>
          <w:rFonts w:ascii="Times New Roman" w:eastAsia="Times New Roman" w:hAnsi="Times New Roman" w:cs="Times New Roman"/>
          <w:sz w:val="24"/>
          <w:szCs w:val="24"/>
        </w:rPr>
        <w:t>.</w:t>
      </w:r>
    </w:p>
    <w:p w14:paraId="411DB973" w14:textId="3AF96C51" w:rsidR="009C05D8" w:rsidRDefault="003B3BAB" w:rsidP="00AA2D35">
      <w:pPr>
        <w:pStyle w:val="a5"/>
        <w:bidi/>
        <w:spacing w:line="360" w:lineRule="auto"/>
      </w:pPr>
      <w:r w:rsidRPr="007E40EF">
        <w:rPr>
          <w:rtl/>
        </w:rPr>
        <w:t xml:space="preserve"> </w:t>
      </w:r>
      <w:r w:rsidRPr="009C05D8">
        <w:rPr>
          <w:b/>
          <w:bCs/>
          <w:rtl/>
        </w:rPr>
        <w:t>صعوبة توحيدها</w:t>
      </w:r>
      <w:r w:rsidRPr="007E40EF">
        <w:rPr>
          <w:rtl/>
        </w:rPr>
        <w:t xml:space="preserve"> </w:t>
      </w:r>
      <w:r w:rsidR="009C05D8">
        <w:rPr>
          <w:rtl/>
        </w:rPr>
        <w:t>يقصد بصعوبة توحيد البيانات التحديات التي تواجه المؤسسات عند محاولة جمع البيانات القادمة من مصادر وأنظمة مختلفة وتحويلها إلى صيغة موحدة يمكن استخدامها بسهولة. ويحدث ذلك بسبب اختلاف طرق حفظ البيانات، أو تنوع قواعد البيانات، أو اختلاف معايير إدخال المعلومات بين الجهات المختلفة</w:t>
      </w:r>
      <w:r w:rsidR="009C05D8">
        <w:t>.</w:t>
      </w:r>
    </w:p>
    <w:p w14:paraId="2C6045F9" w14:textId="77777777" w:rsidR="009C05D8" w:rsidRDefault="009C05D8" w:rsidP="00AA2D35">
      <w:pPr>
        <w:pStyle w:val="a5"/>
        <w:bidi/>
        <w:spacing w:line="360" w:lineRule="auto"/>
      </w:pPr>
      <w:r>
        <w:rPr>
          <w:rtl/>
        </w:rPr>
        <w:t>وتؤدي هذه الصعوبة إلى ظهور بيانات مكررة أو غير متناسقة، مما قد يؤثر في دقة التقارير وكفاءة اتخاذ القرار. لذلك يُعد توحيد البيانات خطوة أساسية في التحول الرقمي لضمان جودة المعلومات وسهولة تبادلها والاستفادة منها في تقديم خدمات أكثر كفاءة ودقة</w:t>
      </w:r>
      <w:r>
        <w:t>.</w:t>
      </w:r>
    </w:p>
    <w:p w14:paraId="3964798E" w14:textId="37E4AF09"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73BBE8B5" w14:textId="77777777" w:rsidR="009C05D8" w:rsidRPr="009C05D8" w:rsidRDefault="009C05D8" w:rsidP="00AA2D35">
      <w:pPr>
        <w:spacing w:before="100" w:beforeAutospacing="1" w:after="100" w:afterAutospacing="1" w:line="360" w:lineRule="auto"/>
        <w:jc w:val="left"/>
        <w:outlineLvl w:val="2"/>
        <w:rPr>
          <w:rFonts w:ascii="Times New Roman" w:eastAsia="Times New Roman" w:hAnsi="Times New Roman" w:cs="Times New Roman"/>
          <w:b/>
          <w:bCs/>
          <w:sz w:val="24"/>
          <w:szCs w:val="24"/>
        </w:rPr>
      </w:pPr>
      <w:r w:rsidRPr="009C05D8">
        <w:rPr>
          <w:rFonts w:ascii="Times New Roman" w:eastAsia="Times New Roman" w:hAnsi="Times New Roman" w:cs="Times New Roman"/>
          <w:b/>
          <w:bCs/>
          <w:sz w:val="24"/>
          <w:szCs w:val="24"/>
          <w:rtl/>
        </w:rPr>
        <w:lastRenderedPageBreak/>
        <w:t>الاعتماد على تقنيات متعددة (السحابة، الذكاء الاصطناعي، الأمن السيبراني)</w:t>
      </w:r>
    </w:p>
    <w:p w14:paraId="0ADB682F" w14:textId="77777777" w:rsidR="009C05D8" w:rsidRPr="009C05D8" w:rsidRDefault="009C05D8" w:rsidP="00AA2D35">
      <w:p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sz w:val="24"/>
          <w:szCs w:val="24"/>
          <w:rtl/>
        </w:rPr>
        <w:t>يقصد بالاعتماد على تقنيات متعددة استخدام أكثر من تقنية حديثة في الوقت نفسه لدعم التحول الرقمي وتحسين كفاءة الخدمات. ومن أبرز هذه التقنيات الحوسبة السحابية، والذكاء الاصطناعي، والأمن السيبراني</w:t>
      </w:r>
      <w:r w:rsidRPr="009C05D8">
        <w:rPr>
          <w:rFonts w:ascii="Times New Roman" w:eastAsia="Times New Roman" w:hAnsi="Times New Roman" w:cs="Times New Roman"/>
          <w:sz w:val="24"/>
          <w:szCs w:val="24"/>
        </w:rPr>
        <w:t>.</w:t>
      </w:r>
    </w:p>
    <w:p w14:paraId="1E389371" w14:textId="77777777" w:rsidR="009C05D8" w:rsidRPr="009C05D8" w:rsidRDefault="009C05D8" w:rsidP="00DC389E">
      <w:pPr>
        <w:numPr>
          <w:ilvl w:val="0"/>
          <w:numId w:val="6"/>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الحوسبة السحابية</w:t>
      </w:r>
      <w:r w:rsidRPr="009C05D8">
        <w:rPr>
          <w:rFonts w:ascii="Times New Roman" w:eastAsia="Times New Roman" w:hAnsi="Times New Roman" w:cs="Times New Roman"/>
          <w:sz w:val="24"/>
          <w:szCs w:val="24"/>
          <w:rtl/>
        </w:rPr>
        <w:t xml:space="preserve"> توفر إمكانية تخزين البيانات وتشغيل الأنظمة عبر الإنترنت، مما يسهل الوصول إلى المعلومات ويزيد من مرونة العمل</w:t>
      </w:r>
      <w:r w:rsidRPr="009C05D8">
        <w:rPr>
          <w:rFonts w:ascii="Times New Roman" w:eastAsia="Times New Roman" w:hAnsi="Times New Roman" w:cs="Times New Roman"/>
          <w:sz w:val="24"/>
          <w:szCs w:val="24"/>
        </w:rPr>
        <w:t xml:space="preserve">. </w:t>
      </w:r>
    </w:p>
    <w:p w14:paraId="7B7D0AA6" w14:textId="0D63F537" w:rsidR="009C05D8" w:rsidRPr="009C05D8" w:rsidRDefault="009C05D8" w:rsidP="00DC389E">
      <w:pPr>
        <w:numPr>
          <w:ilvl w:val="0"/>
          <w:numId w:val="6"/>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 xml:space="preserve">الذكاء </w:t>
      </w:r>
      <w:r w:rsidR="00BA15BE" w:rsidRPr="009C05D8">
        <w:rPr>
          <w:rFonts w:ascii="Times New Roman" w:eastAsia="Times New Roman" w:hAnsi="Times New Roman" w:cs="Times New Roman" w:hint="cs"/>
          <w:b/>
          <w:bCs/>
          <w:sz w:val="24"/>
          <w:szCs w:val="24"/>
          <w:rtl/>
        </w:rPr>
        <w:t>الاصطناعي</w:t>
      </w:r>
      <w:r w:rsidR="00BA15BE" w:rsidRPr="00BA15BE">
        <w:rPr>
          <w:rFonts w:ascii="Times New Roman" w:eastAsia="Times New Roman" w:hAnsi="Times New Roman" w:cs="Times New Roman" w:hint="cs"/>
          <w:b/>
          <w:bCs/>
          <w:sz w:val="24"/>
          <w:szCs w:val="24"/>
          <w:vertAlign w:val="superscript"/>
          <w:rtl/>
        </w:rPr>
        <w:t xml:space="preserve"> </w:t>
      </w:r>
      <w:r w:rsidR="00BA15BE" w:rsidRPr="00BA15BE">
        <w:rPr>
          <w:rFonts w:ascii="Times New Roman" w:eastAsia="Times New Roman" w:hAnsi="Times New Roman" w:cs="Times New Roman"/>
          <w:b/>
          <w:bCs/>
          <w:sz w:val="24"/>
          <w:szCs w:val="24"/>
          <w:vertAlign w:val="superscript"/>
          <w:rtl/>
        </w:rPr>
        <w:t>(</w:t>
      </w:r>
      <w:r w:rsidR="00BA15BE" w:rsidRPr="00BA15BE">
        <w:rPr>
          <w:rFonts w:ascii="Times New Roman" w:eastAsia="Times New Roman" w:hAnsi="Times New Roman" w:cs="Times New Roman" w:hint="cs"/>
          <w:b/>
          <w:bCs/>
          <w:sz w:val="24"/>
          <w:szCs w:val="24"/>
          <w:vertAlign w:val="superscript"/>
          <w:rtl/>
        </w:rPr>
        <w:t>1)</w:t>
      </w:r>
      <w:r w:rsidRPr="009C05D8">
        <w:rPr>
          <w:rFonts w:ascii="Times New Roman" w:eastAsia="Times New Roman" w:hAnsi="Times New Roman" w:cs="Times New Roman"/>
          <w:sz w:val="24"/>
          <w:szCs w:val="24"/>
          <w:rtl/>
        </w:rPr>
        <w:t xml:space="preserve"> يساعد في تحليل البيانات وأتمتة الإجراءات ودعم اتخاذ القرارات بسرعة ودقة أكبر</w:t>
      </w:r>
      <w:r w:rsidRPr="009C05D8">
        <w:rPr>
          <w:rFonts w:ascii="Times New Roman" w:eastAsia="Times New Roman" w:hAnsi="Times New Roman" w:cs="Times New Roman"/>
          <w:sz w:val="24"/>
          <w:szCs w:val="24"/>
        </w:rPr>
        <w:t xml:space="preserve">. </w:t>
      </w:r>
    </w:p>
    <w:p w14:paraId="070E6FC7" w14:textId="789F40D6" w:rsidR="009C05D8" w:rsidRPr="009C05D8" w:rsidRDefault="009C05D8" w:rsidP="00DC389E">
      <w:pPr>
        <w:numPr>
          <w:ilvl w:val="0"/>
          <w:numId w:val="6"/>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 xml:space="preserve">الأمن </w:t>
      </w:r>
      <w:r w:rsidR="00C873A8" w:rsidRPr="009C05D8">
        <w:rPr>
          <w:rFonts w:ascii="Times New Roman" w:eastAsia="Times New Roman" w:hAnsi="Times New Roman" w:cs="Times New Roman" w:hint="cs"/>
          <w:b/>
          <w:bCs/>
          <w:sz w:val="24"/>
          <w:szCs w:val="24"/>
          <w:rtl/>
        </w:rPr>
        <w:t>السيبراني</w:t>
      </w:r>
      <w:r w:rsidR="00C873A8" w:rsidRPr="00BA15BE">
        <w:rPr>
          <w:rFonts w:ascii="Times New Roman" w:eastAsia="Times New Roman" w:hAnsi="Times New Roman" w:cs="Times New Roman" w:hint="cs"/>
          <w:b/>
          <w:bCs/>
          <w:sz w:val="24"/>
          <w:szCs w:val="24"/>
          <w:vertAlign w:val="superscript"/>
          <w:rtl/>
        </w:rPr>
        <w:t xml:space="preserve"> </w:t>
      </w:r>
      <w:r w:rsidR="00C873A8" w:rsidRPr="00BA15BE">
        <w:rPr>
          <w:rFonts w:ascii="Times New Roman" w:eastAsia="Times New Roman" w:hAnsi="Times New Roman" w:cs="Times New Roman"/>
          <w:b/>
          <w:bCs/>
          <w:sz w:val="24"/>
          <w:szCs w:val="24"/>
          <w:vertAlign w:val="superscript"/>
          <w:rtl/>
        </w:rPr>
        <w:t>(</w:t>
      </w:r>
      <w:r w:rsidR="00BA15BE" w:rsidRPr="00BA15BE">
        <w:rPr>
          <w:rFonts w:ascii="Times New Roman" w:eastAsia="Times New Roman" w:hAnsi="Times New Roman" w:cs="Times New Roman" w:hint="cs"/>
          <w:b/>
          <w:bCs/>
          <w:sz w:val="24"/>
          <w:szCs w:val="24"/>
          <w:vertAlign w:val="superscript"/>
          <w:rtl/>
        </w:rPr>
        <w:t>2)</w:t>
      </w:r>
      <w:r w:rsidRPr="009C05D8">
        <w:rPr>
          <w:rFonts w:ascii="Times New Roman" w:eastAsia="Times New Roman" w:hAnsi="Times New Roman" w:cs="Times New Roman"/>
          <w:sz w:val="24"/>
          <w:szCs w:val="24"/>
          <w:rtl/>
        </w:rPr>
        <w:t xml:space="preserve"> يعمل على حماية الأنظمة والبيانات من الاختراقات والهجمات الإلكترونية وضمان سرية المعلومات</w:t>
      </w:r>
      <w:r w:rsidRPr="009C05D8">
        <w:rPr>
          <w:rFonts w:ascii="Times New Roman" w:eastAsia="Times New Roman" w:hAnsi="Times New Roman" w:cs="Times New Roman"/>
          <w:sz w:val="24"/>
          <w:szCs w:val="24"/>
        </w:rPr>
        <w:t xml:space="preserve">. </w:t>
      </w:r>
    </w:p>
    <w:p w14:paraId="4FE2E74E" w14:textId="77777777" w:rsidR="009C05D8" w:rsidRPr="009C05D8" w:rsidRDefault="009C05D8" w:rsidP="00AA2D35">
      <w:p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sz w:val="24"/>
          <w:szCs w:val="24"/>
          <w:rtl/>
        </w:rPr>
        <w:t>ويُعد الجمع بين هذه التقنيات ضروريًا لنجاح التحول الرقمي، إلا أنه يزيد من تعقيد إدارة الأنظمة ويتطلب خبرات متخصصة لضمان التكامل بينها وتحقيق أعلى مستويات الكفاءة والأمان</w:t>
      </w:r>
      <w:r w:rsidRPr="009C05D8">
        <w:rPr>
          <w:rFonts w:ascii="Times New Roman" w:eastAsia="Times New Roman" w:hAnsi="Times New Roman" w:cs="Times New Roman"/>
          <w:sz w:val="24"/>
          <w:szCs w:val="24"/>
        </w:rPr>
        <w:t>.</w:t>
      </w:r>
    </w:p>
    <w:p w14:paraId="2340CC8D" w14:textId="77777777" w:rsidR="007F42D0" w:rsidRPr="009C05D8" w:rsidRDefault="007F42D0" w:rsidP="00AA2D35">
      <w:pPr>
        <w:spacing w:before="100" w:beforeAutospacing="1" w:after="100" w:afterAutospacing="1" w:line="360" w:lineRule="auto"/>
        <w:jc w:val="left"/>
        <w:rPr>
          <w:rFonts w:ascii="Times New Roman" w:eastAsia="Times New Roman" w:hAnsi="Times New Roman" w:cs="Times New Roman"/>
          <w:b/>
          <w:bCs/>
          <w:sz w:val="24"/>
          <w:szCs w:val="24"/>
          <w:rtl/>
        </w:rPr>
      </w:pPr>
    </w:p>
    <w:p w14:paraId="65AB68DE" w14:textId="7E3C14D9" w:rsidR="003B3BAB" w:rsidRPr="007E40EF" w:rsidRDefault="003B3BAB" w:rsidP="00AA2D35">
      <w:pPr>
        <w:spacing w:before="100" w:beforeAutospacing="1" w:after="100" w:afterAutospacing="1" w:line="360" w:lineRule="auto"/>
        <w:ind w:left="142"/>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Pr>
        <w:br/>
      </w:r>
    </w:p>
    <w:p w14:paraId="48696CCB" w14:textId="740FE762" w:rsidR="00A000ED" w:rsidRDefault="003B3BAB" w:rsidP="00AA2D35">
      <w:pPr>
        <w:spacing w:before="100" w:beforeAutospacing="1" w:after="100" w:afterAutospacing="1" w:line="240" w:lineRule="auto"/>
        <w:ind w:left="360"/>
        <w:jc w:val="left"/>
        <w:rPr>
          <w:rFonts w:ascii="Times New Roman" w:eastAsia="Times New Roman" w:hAnsi="Times New Roman" w:cs="Times New Roman"/>
          <w:color w:val="FFFFFF" w:themeColor="background1"/>
          <w:sz w:val="28"/>
          <w:szCs w:val="28"/>
        </w:rPr>
      </w:pPr>
      <w:r w:rsidRPr="004141E3">
        <w:rPr>
          <w:rStyle w:val="a8"/>
          <w:rFonts w:ascii="Times New Roman" w:eastAsia="Times New Roman" w:hAnsi="Times New Roman" w:cs="Times New Roman"/>
          <w:color w:val="FFFFFF" w:themeColor="background1"/>
          <w:sz w:val="28"/>
          <w:szCs w:val="28"/>
        </w:rPr>
        <w:t xml:space="preserve"> </w:t>
      </w:r>
      <w:r w:rsidRPr="004141E3">
        <w:rPr>
          <w:rStyle w:val="a8"/>
          <w:rFonts w:ascii="Times New Roman" w:eastAsia="Times New Roman" w:hAnsi="Times New Roman" w:cs="Times New Roman"/>
          <w:color w:val="FFFFFF" w:themeColor="background1"/>
          <w:sz w:val="28"/>
          <w:szCs w:val="28"/>
        </w:rPr>
        <w:footnoteReference w:id="29"/>
      </w:r>
    </w:p>
    <w:p w14:paraId="226A3764" w14:textId="15F1BE02" w:rsidR="007F42D0" w:rsidRPr="007E40EF" w:rsidRDefault="00A000ED" w:rsidP="00AA2D35">
      <w:pPr>
        <w:spacing w:before="100" w:beforeAutospacing="1" w:after="100" w:afterAutospacing="1" w:line="360" w:lineRule="auto"/>
        <w:jc w:val="left"/>
        <w:rPr>
          <w:rFonts w:ascii="Times New Roman" w:eastAsia="Times New Roman" w:hAnsi="Times New Roman" w:cs="Times New Roman"/>
          <w:sz w:val="24"/>
          <w:szCs w:val="24"/>
        </w:rPr>
      </w:pPr>
      <w:r>
        <w:rPr>
          <w:rFonts w:ascii="Times New Roman" w:eastAsia="Times New Roman" w:hAnsi="Times New Roman" w:cs="Times New Roman"/>
          <w:color w:val="FFFFFF" w:themeColor="background1"/>
          <w:sz w:val="28"/>
          <w:szCs w:val="28"/>
        </w:rPr>
        <w:br w:type="page"/>
      </w:r>
    </w:p>
    <w:p w14:paraId="7024FBBB" w14:textId="4A90932F" w:rsidR="00BA15BE" w:rsidRPr="00BA15BE" w:rsidRDefault="00C873A8" w:rsidP="00AA2D35">
      <w:pPr>
        <w:spacing w:before="100" w:beforeAutospacing="1" w:after="100" w:afterAutospacing="1" w:line="360" w:lineRule="auto"/>
        <w:jc w:val="left"/>
        <w:outlineLvl w:val="2"/>
        <w:rPr>
          <w:rFonts w:ascii="Times New Roman" w:eastAsia="Times New Roman" w:hAnsi="Times New Roman" w:cs="Times New Roman"/>
          <w:b/>
          <w:bCs/>
          <w:sz w:val="24"/>
          <w:szCs w:val="24"/>
        </w:rPr>
      </w:pPr>
      <w:r>
        <w:rPr>
          <w:rFonts w:ascii="Times New Roman" w:eastAsia="Times New Roman" w:hAnsi="Times New Roman" w:cs="Times New Roman" w:hint="cs"/>
          <w:b/>
          <w:bCs/>
          <w:sz w:val="24"/>
          <w:szCs w:val="24"/>
          <w:rtl/>
        </w:rPr>
        <w:lastRenderedPageBreak/>
        <w:t>م</w:t>
      </w:r>
      <w:r w:rsidR="00BA15BE" w:rsidRPr="00BA15BE">
        <w:rPr>
          <w:rFonts w:ascii="Times New Roman" w:eastAsia="Times New Roman" w:hAnsi="Times New Roman" w:cs="Times New Roman"/>
          <w:b/>
          <w:bCs/>
          <w:sz w:val="24"/>
          <w:szCs w:val="24"/>
          <w:rtl/>
        </w:rPr>
        <w:t xml:space="preserve">خاطر الأمن السيبراني أثناء التكامل بين </w:t>
      </w:r>
      <w:r w:rsidR="00BA15BE" w:rsidRPr="00BA15BE">
        <w:rPr>
          <w:rFonts w:ascii="Times New Roman" w:eastAsia="Times New Roman" w:hAnsi="Times New Roman" w:cs="Times New Roman" w:hint="cs"/>
          <w:b/>
          <w:bCs/>
          <w:sz w:val="24"/>
          <w:szCs w:val="24"/>
          <w:rtl/>
        </w:rPr>
        <w:t>الأنظمة</w:t>
      </w:r>
      <w:r w:rsidR="00BA15BE" w:rsidRPr="00BA15BE">
        <w:rPr>
          <w:rFonts w:ascii="Times New Roman" w:eastAsia="Times New Roman" w:hAnsi="Times New Roman" w:cs="Times New Roman" w:hint="cs"/>
          <w:b/>
          <w:bCs/>
          <w:sz w:val="24"/>
          <w:szCs w:val="24"/>
          <w:vertAlign w:val="superscript"/>
          <w:rtl/>
        </w:rPr>
        <w:t xml:space="preserve"> </w:t>
      </w:r>
      <w:r w:rsidR="00BA15BE" w:rsidRPr="00BA15BE">
        <w:rPr>
          <w:rFonts w:ascii="Times New Roman" w:eastAsia="Times New Roman" w:hAnsi="Times New Roman" w:cs="Times New Roman"/>
          <w:b/>
          <w:bCs/>
          <w:sz w:val="24"/>
          <w:szCs w:val="24"/>
          <w:vertAlign w:val="superscript"/>
          <w:rtl/>
        </w:rPr>
        <w:t>(</w:t>
      </w:r>
      <w:r w:rsidR="00BA15BE" w:rsidRPr="00E160B3">
        <w:rPr>
          <w:rStyle w:val="a8"/>
          <w:rFonts w:ascii="Times New Roman" w:eastAsia="Times New Roman" w:hAnsi="Times New Roman" w:cs="Times New Roman"/>
          <w:b/>
          <w:bCs/>
          <w:vanish/>
          <w:sz w:val="24"/>
          <w:szCs w:val="24"/>
          <w:vertAlign w:val="baseline"/>
          <w:rtl/>
        </w:rPr>
        <w:footnoteReference w:id="30"/>
      </w:r>
      <w:r w:rsidR="00BA15BE" w:rsidRPr="00BA15BE">
        <w:rPr>
          <w:rFonts w:ascii="Times New Roman" w:eastAsia="Times New Roman" w:hAnsi="Times New Roman" w:cs="Times New Roman" w:hint="cs"/>
          <w:b/>
          <w:bCs/>
          <w:sz w:val="24"/>
          <w:szCs w:val="24"/>
          <w:vertAlign w:val="superscript"/>
          <w:rtl/>
        </w:rPr>
        <w:t>1)</w:t>
      </w:r>
    </w:p>
    <w:p w14:paraId="55DA2DCB"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يُعد الأمن السيبراني من أبرز التحديات المصاحبة لعمليات التكامل الرقمي بين الأنظمة الحكومية والقضائية، إذ إن ربط الأنظمة المختلفة ببعضها البعض يؤدي إلى توسيع نطاق تبادل البيانات وزيادة نقاط الاتصال بين الشبكات وقواعد البيانات. وعلى الرغم من أن التكامل يسهم في تحسين كفاءة العمل وتسهيل تبادل المعلومات، إلا أنه قد يرفع من مستوى المخاطر السيبرانية إذا لم تُطبق ضوابط أمنية كافية</w:t>
      </w:r>
      <w:r w:rsidRPr="00BA15BE">
        <w:rPr>
          <w:rFonts w:ascii="Times New Roman" w:eastAsia="Times New Roman" w:hAnsi="Times New Roman" w:cs="Times New Roman"/>
          <w:sz w:val="24"/>
          <w:szCs w:val="24"/>
        </w:rPr>
        <w:t>.</w:t>
      </w:r>
    </w:p>
    <w:p w14:paraId="2E1B9E23"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وتكمن المشكلة الأساسية في أن دمج الأنظمة الحديثة مع الأنظمة القديمة</w:t>
      </w:r>
      <w:r w:rsidRPr="00BA15BE">
        <w:rPr>
          <w:rFonts w:ascii="Times New Roman" w:eastAsia="Times New Roman" w:hAnsi="Times New Roman" w:cs="Times New Roman"/>
          <w:sz w:val="24"/>
          <w:szCs w:val="24"/>
        </w:rPr>
        <w:t xml:space="preserve"> (Legacy Systems) </w:t>
      </w:r>
      <w:r w:rsidRPr="00BA15BE">
        <w:rPr>
          <w:rFonts w:ascii="Times New Roman" w:eastAsia="Times New Roman" w:hAnsi="Times New Roman" w:cs="Times New Roman"/>
          <w:sz w:val="24"/>
          <w:szCs w:val="24"/>
          <w:rtl/>
        </w:rPr>
        <w:t>قد يخلق ثغرات أمنية نتيجة اختلاف مستويات الحماية التقنية بين هذه الأنظمة. فالأنظمة القديمة غالبًا لم تُصمم وفق متطلبات الأمن السيبراني الحديثة، وقد تحتوي على نقاط ضعف يمكن استغلالها للوصول إلى الأنظمة المترابطة الأخرى</w:t>
      </w:r>
      <w:r w:rsidRPr="00BA15BE">
        <w:rPr>
          <w:rFonts w:ascii="Times New Roman" w:eastAsia="Times New Roman" w:hAnsi="Times New Roman" w:cs="Times New Roman"/>
          <w:sz w:val="24"/>
          <w:szCs w:val="24"/>
        </w:rPr>
        <w:t>.</w:t>
      </w:r>
    </w:p>
    <w:p w14:paraId="748E72F0"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وفي تجربة دولة الإمارات العربية المتحدة، برز هذا التحدي خلال مشروعات التحول الرقمي واسعة النطاق التي استهدفت ربط الأنظمة الحكومية المختلفة ضمن منصات موحدة. وقد استلزم ذلك تعزيز إجراءات الأمن السيبراني وتحديث البنية التقنية للأنظمة القديمة قبل دمجها، لتجنب المخاطر المرتبطة بتسرب البيانات أو الاختراقات الإلكترونية أو تعطل الخدمات الرقمية</w:t>
      </w:r>
      <w:r w:rsidRPr="00BA15BE">
        <w:rPr>
          <w:rFonts w:ascii="Times New Roman" w:eastAsia="Times New Roman" w:hAnsi="Times New Roman" w:cs="Times New Roman"/>
          <w:sz w:val="24"/>
          <w:szCs w:val="24"/>
        </w:rPr>
        <w:t>.</w:t>
      </w:r>
    </w:p>
    <w:p w14:paraId="17DC534E"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ومن أبرز المخاطر الناتجة عن التكامل غير الآمن</w:t>
      </w:r>
      <w:r w:rsidRPr="00BA15BE">
        <w:rPr>
          <w:rFonts w:ascii="Times New Roman" w:eastAsia="Times New Roman" w:hAnsi="Times New Roman" w:cs="Times New Roman"/>
          <w:sz w:val="24"/>
          <w:szCs w:val="24"/>
        </w:rPr>
        <w:t>:</w:t>
      </w:r>
    </w:p>
    <w:p w14:paraId="7A74A363" w14:textId="77777777" w:rsidR="00BA15BE" w:rsidRPr="00BA15BE" w:rsidRDefault="00BA15BE" w:rsidP="00DC389E">
      <w:pPr>
        <w:numPr>
          <w:ilvl w:val="0"/>
          <w:numId w:val="8"/>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زيادة عدد نقاط الدخول إلى الأنظمة والشبكات</w:t>
      </w:r>
      <w:r w:rsidRPr="00BA15BE">
        <w:rPr>
          <w:rFonts w:ascii="Times New Roman" w:eastAsia="Times New Roman" w:hAnsi="Times New Roman" w:cs="Times New Roman"/>
          <w:sz w:val="24"/>
          <w:szCs w:val="24"/>
        </w:rPr>
        <w:t xml:space="preserve">. </w:t>
      </w:r>
    </w:p>
    <w:p w14:paraId="67ACF4D0" w14:textId="77777777" w:rsidR="00BA15BE" w:rsidRPr="00BA15BE" w:rsidRDefault="00BA15BE" w:rsidP="00DC389E">
      <w:pPr>
        <w:numPr>
          <w:ilvl w:val="0"/>
          <w:numId w:val="8"/>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احتمالية انتقال الهجمات الإلكترونية من نظام إلى آخر</w:t>
      </w:r>
      <w:r w:rsidRPr="00BA15BE">
        <w:rPr>
          <w:rFonts w:ascii="Times New Roman" w:eastAsia="Times New Roman" w:hAnsi="Times New Roman" w:cs="Times New Roman"/>
          <w:sz w:val="24"/>
          <w:szCs w:val="24"/>
        </w:rPr>
        <w:t xml:space="preserve">. </w:t>
      </w:r>
    </w:p>
    <w:p w14:paraId="7138C679" w14:textId="77777777" w:rsidR="00BA15BE" w:rsidRPr="00BA15BE" w:rsidRDefault="00BA15BE" w:rsidP="00DC389E">
      <w:pPr>
        <w:numPr>
          <w:ilvl w:val="0"/>
          <w:numId w:val="8"/>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تسرب أو فقدان البيانات أثناء عمليات التبادل الإلكتروني</w:t>
      </w:r>
      <w:r w:rsidRPr="00BA15BE">
        <w:rPr>
          <w:rFonts w:ascii="Times New Roman" w:eastAsia="Times New Roman" w:hAnsi="Times New Roman" w:cs="Times New Roman"/>
          <w:sz w:val="24"/>
          <w:szCs w:val="24"/>
        </w:rPr>
        <w:t xml:space="preserve">. </w:t>
      </w:r>
    </w:p>
    <w:p w14:paraId="2A22F3EA" w14:textId="77777777" w:rsidR="00BA15BE" w:rsidRPr="00BA15BE" w:rsidRDefault="00BA15BE" w:rsidP="00DC389E">
      <w:pPr>
        <w:numPr>
          <w:ilvl w:val="0"/>
          <w:numId w:val="8"/>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صعوبة إدارة الصلاحيات والرقابة على الوصول إلى المعلومات</w:t>
      </w:r>
      <w:r w:rsidRPr="00BA15BE">
        <w:rPr>
          <w:rFonts w:ascii="Times New Roman" w:eastAsia="Times New Roman" w:hAnsi="Times New Roman" w:cs="Times New Roman"/>
          <w:sz w:val="24"/>
          <w:szCs w:val="24"/>
        </w:rPr>
        <w:t xml:space="preserve">. </w:t>
      </w:r>
    </w:p>
    <w:p w14:paraId="19F4177A" w14:textId="77777777" w:rsidR="00BA15BE" w:rsidRPr="00BA15BE" w:rsidRDefault="00BA15BE" w:rsidP="00DC389E">
      <w:pPr>
        <w:numPr>
          <w:ilvl w:val="0"/>
          <w:numId w:val="8"/>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تأثر الأنظمة الحديثة بالثغرات الموجودة في الأنظمة القديمة</w:t>
      </w:r>
      <w:r w:rsidRPr="00BA15BE">
        <w:rPr>
          <w:rFonts w:ascii="Times New Roman" w:eastAsia="Times New Roman" w:hAnsi="Times New Roman" w:cs="Times New Roman"/>
          <w:sz w:val="24"/>
          <w:szCs w:val="24"/>
        </w:rPr>
        <w:t xml:space="preserve">. </w:t>
      </w:r>
    </w:p>
    <w:p w14:paraId="44355107"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ولذلك يتطلب التكامل الرقمي الناجح تطبيق معايير صارمة للأمن السيبراني تشمل التشفير، وإدارة الهوية الرقمية، واختبارات الاختراق الدورية، والتحديث المستمر للأنظمة، ومراقبة الشبكات بشكل دائم. كما يجب أن يكون الأمن السيبراني جزءًا أساسيًا من مراحل التخطيط والتنفيذ لأي مشروع تكامل رقمي</w:t>
      </w:r>
      <w:r w:rsidRPr="00BA15BE">
        <w:rPr>
          <w:rFonts w:ascii="Times New Roman" w:eastAsia="Times New Roman" w:hAnsi="Times New Roman" w:cs="Times New Roman"/>
          <w:sz w:val="24"/>
          <w:szCs w:val="24"/>
        </w:rPr>
        <w:t>.</w:t>
      </w:r>
    </w:p>
    <w:p w14:paraId="4C724BBD"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وبذلك يمكن القول إن مخاطر الأمن السيبراني أثناء التكامل تمثل تحديًا تقنيًا وقانونيًا مهمًا، إذ إن نجاح التحول الرقمي لا يعتمد فقط على ربط الأنظمة وتبادل البيانات، بل يتطلب أيضًا توفير بيئة رقمية آمنة تحمي المعلومات وتحافظ على استمرارية الخدمات وثقة المستخدمين</w:t>
      </w:r>
      <w:r w:rsidRPr="00BA15BE">
        <w:rPr>
          <w:rFonts w:ascii="Times New Roman" w:eastAsia="Times New Roman" w:hAnsi="Times New Roman" w:cs="Times New Roman"/>
          <w:sz w:val="24"/>
          <w:szCs w:val="24"/>
        </w:rPr>
        <w:t>.</w:t>
      </w:r>
    </w:p>
    <w:p w14:paraId="1DCB26E4" w14:textId="7A354821" w:rsidR="003B3BAB" w:rsidRP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Pr>
      </w:pPr>
    </w:p>
    <w:p w14:paraId="4F8E844C" w14:textId="61F9D4A4"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lastRenderedPageBreak/>
        <w:t>نقص الكفاءات الرقمية</w:t>
      </w:r>
    </w:p>
    <w:p w14:paraId="3850A38F"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التحول الرقمي يعتمد على مهارات متقدمة مثل</w:t>
      </w:r>
      <w:r w:rsidRPr="004141E3">
        <w:rPr>
          <w:rFonts w:ascii="Times New Roman" w:eastAsia="Times New Roman" w:hAnsi="Times New Roman" w:cs="Times New Roman"/>
          <w:sz w:val="24"/>
          <w:szCs w:val="24"/>
        </w:rPr>
        <w:t>:</w:t>
      </w:r>
    </w:p>
    <w:p w14:paraId="2EA327D1" w14:textId="26E91604"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الأمن </w:t>
      </w:r>
      <w:r w:rsidR="004141E3" w:rsidRPr="004141E3">
        <w:rPr>
          <w:rFonts w:ascii="Times New Roman" w:eastAsia="Times New Roman" w:hAnsi="Times New Roman" w:cs="Times New Roman" w:hint="cs"/>
          <w:sz w:val="24"/>
          <w:szCs w:val="24"/>
          <w:rtl/>
        </w:rPr>
        <w:t>السيبراني،</w:t>
      </w:r>
      <w:r w:rsidRPr="004141E3">
        <w:rPr>
          <w:rFonts w:ascii="Times New Roman" w:eastAsia="Times New Roman" w:hAnsi="Times New Roman" w:cs="Times New Roman"/>
          <w:sz w:val="24"/>
          <w:szCs w:val="24"/>
          <w:rtl/>
        </w:rPr>
        <w:t xml:space="preserve"> تحليل </w:t>
      </w:r>
      <w:r w:rsidR="004141E3" w:rsidRPr="004141E3">
        <w:rPr>
          <w:rFonts w:ascii="Times New Roman" w:eastAsia="Times New Roman" w:hAnsi="Times New Roman" w:cs="Times New Roman" w:hint="cs"/>
          <w:sz w:val="24"/>
          <w:szCs w:val="24"/>
          <w:rtl/>
        </w:rPr>
        <w:t>البيانات،</w:t>
      </w:r>
      <w:r w:rsidRPr="004141E3">
        <w:rPr>
          <w:rFonts w:ascii="Times New Roman" w:eastAsia="Times New Roman" w:hAnsi="Times New Roman" w:cs="Times New Roman"/>
          <w:sz w:val="24"/>
          <w:szCs w:val="24"/>
          <w:rtl/>
        </w:rPr>
        <w:t xml:space="preserve"> الذكاء </w:t>
      </w:r>
      <w:r w:rsidR="004141E3" w:rsidRPr="004141E3">
        <w:rPr>
          <w:rFonts w:ascii="Times New Roman" w:eastAsia="Times New Roman" w:hAnsi="Times New Roman" w:cs="Times New Roman" w:hint="cs"/>
          <w:sz w:val="24"/>
          <w:szCs w:val="24"/>
          <w:rtl/>
        </w:rPr>
        <w:t>الاصطناعي،</w:t>
      </w:r>
      <w:r w:rsidRPr="004141E3">
        <w:rPr>
          <w:rFonts w:ascii="Times New Roman" w:eastAsia="Times New Roman" w:hAnsi="Times New Roman" w:cs="Times New Roman"/>
          <w:sz w:val="24"/>
          <w:szCs w:val="24"/>
          <w:rtl/>
        </w:rPr>
        <w:t xml:space="preserve"> التشفير</w:t>
      </w:r>
    </w:p>
    <w:p w14:paraId="443B483B" w14:textId="203D5323" w:rsidR="003B3BAB" w:rsidRPr="004141E3"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hint="cs"/>
          <w:sz w:val="24"/>
          <w:szCs w:val="24"/>
          <w:rtl/>
        </w:rPr>
        <w:t xml:space="preserve">يلاحظ </w:t>
      </w:r>
      <w:r w:rsidRPr="004141E3">
        <w:rPr>
          <w:rFonts w:ascii="Times New Roman" w:eastAsia="Times New Roman" w:hAnsi="Times New Roman" w:cs="Times New Roman"/>
          <w:sz w:val="24"/>
          <w:szCs w:val="24"/>
          <w:rtl/>
        </w:rPr>
        <w:t>نقص الكوادر المؤهلة القادرة على تشغيل وإدارة هذه الأنظمة</w:t>
      </w:r>
      <w:r w:rsidRPr="004141E3">
        <w:rPr>
          <w:rFonts w:ascii="Times New Roman" w:eastAsia="Times New Roman" w:hAnsi="Times New Roman" w:cs="Times New Roman"/>
          <w:sz w:val="24"/>
          <w:szCs w:val="24"/>
        </w:rPr>
        <w:t>.</w:t>
      </w:r>
    </w:p>
    <w:p w14:paraId="01AE27CC" w14:textId="77777777"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ارتفاع التكلفة التقنية</w:t>
      </w:r>
    </w:p>
    <w:p w14:paraId="651C6B18"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التحول الرقمي يتطلب استثمارات ضخمة تشمل</w:t>
      </w:r>
      <w:r w:rsidRPr="004141E3">
        <w:rPr>
          <w:rFonts w:ascii="Times New Roman" w:eastAsia="Times New Roman" w:hAnsi="Times New Roman" w:cs="Times New Roman"/>
          <w:sz w:val="24"/>
          <w:szCs w:val="24"/>
        </w:rPr>
        <w:t>:</w:t>
      </w:r>
    </w:p>
    <w:p w14:paraId="283EE2B6" w14:textId="19AD27E4"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 xml:space="preserve">البنية التحتية </w:t>
      </w:r>
      <w:r w:rsidR="004141E3" w:rsidRPr="004141E3">
        <w:rPr>
          <w:rFonts w:ascii="Times New Roman" w:eastAsia="Times New Roman" w:hAnsi="Times New Roman" w:cs="Times New Roman" w:hint="cs"/>
          <w:sz w:val="24"/>
          <w:szCs w:val="24"/>
          <w:rtl/>
        </w:rPr>
        <w:t>الرقمية،</w:t>
      </w:r>
      <w:r w:rsidRPr="004141E3">
        <w:rPr>
          <w:rFonts w:ascii="Times New Roman" w:eastAsia="Times New Roman" w:hAnsi="Times New Roman" w:cs="Times New Roman"/>
          <w:sz w:val="24"/>
          <w:szCs w:val="24"/>
          <w:rtl/>
        </w:rPr>
        <w:t xml:space="preserve"> الأمن السيبراني</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تطوير </w:t>
      </w:r>
      <w:r w:rsidR="004141E3" w:rsidRPr="004141E3">
        <w:rPr>
          <w:rFonts w:ascii="Times New Roman" w:eastAsia="Times New Roman" w:hAnsi="Times New Roman" w:cs="Times New Roman" w:hint="cs"/>
          <w:sz w:val="24"/>
          <w:szCs w:val="24"/>
          <w:rtl/>
        </w:rPr>
        <w:t>الأنظمة، ا</w:t>
      </w:r>
      <w:r w:rsidRPr="004141E3">
        <w:rPr>
          <w:rFonts w:ascii="Times New Roman" w:eastAsia="Times New Roman" w:hAnsi="Times New Roman" w:cs="Times New Roman"/>
          <w:sz w:val="24"/>
          <w:szCs w:val="24"/>
        </w:rPr>
        <w:t xml:space="preserve"> </w:t>
      </w:r>
      <w:r w:rsidRPr="004141E3">
        <w:rPr>
          <w:rFonts w:ascii="Times New Roman" w:eastAsia="Times New Roman" w:hAnsi="Times New Roman" w:cs="Times New Roman"/>
          <w:sz w:val="24"/>
          <w:szCs w:val="24"/>
          <w:rtl/>
        </w:rPr>
        <w:t>لتدريب</w:t>
      </w:r>
    </w:p>
    <w:p w14:paraId="551C19D6" w14:textId="3FDC56D6"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تحقيق التوازن بين الكفاءة والتكلفة</w:t>
      </w:r>
      <w:r w:rsidRPr="004141E3">
        <w:rPr>
          <w:rFonts w:ascii="Times New Roman" w:eastAsia="Times New Roman" w:hAnsi="Times New Roman" w:cs="Times New Roman"/>
          <w:sz w:val="24"/>
          <w:szCs w:val="24"/>
        </w:rPr>
        <w:t>.</w:t>
      </w:r>
    </w:p>
    <w:p w14:paraId="563EADF1" w14:textId="77777777"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p>
    <w:p w14:paraId="347F072D"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117E3D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CDDCBB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F2838C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2B9C935"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1C91A1D"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B9DFB3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298135" w14:textId="39BE0604"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183D3EB"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03C564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8A1CBB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A22DAE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354F8D4" w14:textId="7470402C"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D63B1EE" w14:textId="0D811CE9" w:rsidR="00C873A8" w:rsidRPr="00C873A8" w:rsidRDefault="00C873A8" w:rsidP="00C873A8">
      <w:p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C873A8">
        <w:rPr>
          <w:rFonts w:ascii="Times New Roman" w:eastAsia="Times New Roman" w:hAnsi="Times New Roman" w:cs="Times New Roman"/>
          <w:b/>
          <w:bCs/>
          <w:sz w:val="36"/>
          <w:szCs w:val="36"/>
          <w:rtl/>
        </w:rPr>
        <w:t>التحديات التقنية للتحول الرقمي في إجراءات التقاضي</w:t>
      </w:r>
    </w:p>
    <w:p w14:paraId="64ADB041" w14:textId="77777777" w:rsidR="00C873A8" w:rsidRPr="00C873A8" w:rsidRDefault="00C873A8" w:rsidP="00C873A8">
      <w:pPr>
        <w:spacing w:before="100" w:beforeAutospacing="1" w:after="100" w:afterAutospacing="1" w:line="360" w:lineRule="auto"/>
        <w:jc w:val="left"/>
        <w:rPr>
          <w:rFonts w:ascii="Times New Roman" w:eastAsia="Times New Roman" w:hAnsi="Times New Roman" w:cs="Times New Roman"/>
          <w:sz w:val="24"/>
          <w:szCs w:val="24"/>
        </w:rPr>
      </w:pPr>
      <w:r w:rsidRPr="00C873A8">
        <w:rPr>
          <w:rFonts w:ascii="Times New Roman" w:eastAsia="Times New Roman" w:hAnsi="Times New Roman" w:cs="Times New Roman"/>
          <w:sz w:val="24"/>
          <w:szCs w:val="24"/>
          <w:rtl/>
        </w:rPr>
        <w:t>لا تتحدد كفاءة التحول الرقمي القضائي بمجرد توفير منصة إلكترونية لتقديم الخدمات، وإنما ترتبط بسلامة البنية التحتية، وتكامل الأنظمة والبيانات، وتوافر الكفاءات البشرية، والقدرة على تمويل التطوير والصيانة، واستمرارية الخدمات في مواجهة الأعطال والمخاطر السيبرانية. ومن ثم، فإن التحديات التقنية لا تنفصل عن التنظيم المؤسسي والقانوني؛ لأن ضعف التكامل أو نقص المهارات أو الاعتماد على أنظمة قديمة قد يؤدي إلى تعطيل الإجراءات القضائية أو التأثير في موثوقية البيانات والحقوق الإجرائية للمتقاضين</w:t>
      </w:r>
      <w:r w:rsidRPr="00C873A8">
        <w:rPr>
          <w:rFonts w:ascii="Times New Roman" w:eastAsia="Times New Roman" w:hAnsi="Times New Roman" w:cs="Times New Roman"/>
          <w:sz w:val="24"/>
          <w:szCs w:val="24"/>
        </w:rPr>
        <w:t>.</w:t>
      </w:r>
    </w:p>
    <w:p w14:paraId="734EF2A5" w14:textId="60E6CBA7" w:rsidR="00F87B67" w:rsidRPr="00F87B67" w:rsidRDefault="00F87B67" w:rsidP="00F87B67">
      <w:pPr>
        <w:spacing w:before="100" w:beforeAutospacing="1" w:after="100" w:afterAutospacing="1" w:line="36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أ</w:t>
      </w:r>
      <w:r w:rsidRPr="00F87B67">
        <w:rPr>
          <w:rFonts w:ascii="Times New Roman" w:eastAsia="Times New Roman" w:hAnsi="Times New Roman" w:cs="Times New Roman"/>
          <w:b/>
          <w:bCs/>
          <w:sz w:val="27"/>
          <w:szCs w:val="27"/>
          <w:rtl/>
        </w:rPr>
        <w:t>ولًا: تعقيد البنية التحتية الرقمية وإدارة الأنظمة المتعددة</w:t>
      </w:r>
    </w:p>
    <w:p w14:paraId="36BFA93D"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ينشأ تعقيد البنية الرقمية عندما تتعدد المنصات وقواعد البيانات والجهات المشغلة، أو عندما تتعايش أنظمة قديمة مع تطبيقات حديثة من دون إطار موحد للتكامل. وفي المجال القضائي، تزداد حساسية هذا التحدي؛ لأن تقديم الخدمة قد يتطلب الربط مع أنظمة الهوية والسجل المدني والجهات المالية والتنفيذية ومقدمي خدمات الاتصال، بما يجعل أي خلل في إحدى حلقات الربط مؤثرًا في الإجراء القضائي كله</w:t>
      </w:r>
      <w:r w:rsidRPr="00F87B67">
        <w:rPr>
          <w:rFonts w:ascii="Times New Roman" w:eastAsia="Times New Roman" w:hAnsi="Times New Roman" w:cs="Times New Roman"/>
          <w:sz w:val="24"/>
          <w:szCs w:val="24"/>
        </w:rPr>
        <w:t>.</w:t>
      </w:r>
    </w:p>
    <w:p w14:paraId="71CC6864"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وقد حققت المملكة توسعًا كبيرًا في </w:t>
      </w:r>
      <w:proofErr w:type="spellStart"/>
      <w:r w:rsidRPr="00F87B67">
        <w:rPr>
          <w:rFonts w:ascii="Times New Roman" w:eastAsia="Times New Roman" w:hAnsi="Times New Roman" w:cs="Times New Roman"/>
          <w:sz w:val="24"/>
          <w:szCs w:val="24"/>
          <w:rtl/>
        </w:rPr>
        <w:t>رقمنة</w:t>
      </w:r>
      <w:proofErr w:type="spellEnd"/>
      <w:r w:rsidRPr="00F87B67">
        <w:rPr>
          <w:rFonts w:ascii="Times New Roman" w:eastAsia="Times New Roman" w:hAnsi="Times New Roman" w:cs="Times New Roman"/>
          <w:sz w:val="24"/>
          <w:szCs w:val="24"/>
          <w:rtl/>
        </w:rPr>
        <w:t xml:space="preserve"> الخدمات الحكومية؛ إذ تشير هيئة الحكومة الرقمية إلى تقديم أكثر من 4500 خدمة حكومية رقمية تمثل أكثر من 97% من الخدمات الحكومية، مع إنفاق تراكمي كبير على تقنية المعلومات والاتصالات. ويؤكد ذلك أن التحدي السعودي لم يعد مجرد توفير الخدمات، وإنما إدارة منظومة واسعة ومتعددة الجهات، وضمان اتساق المعايير وتكامل التطبيقات واستدامتها. كما أن إنشاء إطار تنظيمي لسياسات الحكومة الرقمية وقياس التحول الرقمي يعكس إدراكًا مؤسسيًا لحاجة الجهات إلى توحيد الممارسات والمعايير</w:t>
      </w:r>
      <w:r w:rsidRPr="00F87B67">
        <w:rPr>
          <w:rFonts w:ascii="Times New Roman" w:eastAsia="Times New Roman" w:hAnsi="Times New Roman" w:cs="Times New Roman"/>
          <w:sz w:val="24"/>
          <w:szCs w:val="24"/>
        </w:rPr>
        <w:t>.</w:t>
      </w:r>
    </w:p>
    <w:p w14:paraId="49CDBF5C"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ويتقارب الوضع الإماراتي مع المملكة من حيث تعدد الجهات والخدمات، غير أن استراتيجية الحكومة الرقمية الإماراتية ونموذج نضج الحكومة الرقمية يتجهان إلى اعتماد مرجع موحد لقياس التحول، يشمل القيادة والسياسات، والمسرعات التقنية، وإدارة المؤسسات والبيانات وواجهات الربط. كما اعتمدت الحكومة الإماراتية إرشادات خاصة بمبدأ «واجهات البرمجة أولًا» وسياسات المنصة الرقمية الموحدة، بما يستهدف الانتقال من الخدمات المنفصلة إلى خدمات مترابطة وقابلة للتبادل بين الجهات</w:t>
      </w:r>
      <w:r w:rsidRPr="00F87B67">
        <w:rPr>
          <w:rFonts w:ascii="Times New Roman" w:eastAsia="Times New Roman" w:hAnsi="Times New Roman" w:cs="Times New Roman"/>
          <w:sz w:val="24"/>
          <w:szCs w:val="24"/>
        </w:rPr>
        <w:t>.</w:t>
      </w:r>
    </w:p>
    <w:p w14:paraId="75331026"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أما سنغافورة، فتعتمد بدرجة أكبر على بنية حكومية مشتركة تقودها هيئة التكنولوجيا الحكومية، التي توفر منصات ومنتجات وبنى تقنية تستخدمها الجهات العامة بدل تطوير كل جهة منظومة مستقلة. وتشير الهيئة إلى اعتماد مكونات تقنية مشتركة، وبنى آمنة، وخدمات للمعاملات الحكومية وإدارة القضايا والبيانات والذكاء الاصطناعي، وهو ما يقلل الازدواجية ويساعد على توحيد المعايير عبر القطاع العام</w:t>
      </w:r>
      <w:r w:rsidRPr="00F87B67">
        <w:rPr>
          <w:rFonts w:ascii="Times New Roman" w:eastAsia="Times New Roman" w:hAnsi="Times New Roman" w:cs="Times New Roman"/>
          <w:sz w:val="24"/>
          <w:szCs w:val="24"/>
        </w:rPr>
        <w:t>.</w:t>
      </w:r>
    </w:p>
    <w:p w14:paraId="42FF78F1"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ويتضح من المقارنة أن السعودية والإمارات تواجهان تحدي إدارة توسع واسع في الخدمات والجهات، بينما تتميز سنغافورة بقدر أكبر من مركزية البنية التقنية المشتركة. ومع ذلك، لا يعني ذلك انعدام التعقيد في سنغافورة، بل يعني أن التعقيد يُدار </w:t>
      </w:r>
      <w:r w:rsidRPr="00F87B67">
        <w:rPr>
          <w:rFonts w:ascii="Times New Roman" w:eastAsia="Times New Roman" w:hAnsi="Times New Roman" w:cs="Times New Roman"/>
          <w:sz w:val="24"/>
          <w:szCs w:val="24"/>
          <w:rtl/>
        </w:rPr>
        <w:lastRenderedPageBreak/>
        <w:t>من خلال منصات ومعايير مشتركة على مستوى الحكومة. ومن ثم، فإن العنصر الحاسم ليس عدد الأنظمة، وإنما وجود معمارية حكومية موحدة تحدد كيفية اتصالها وتبادلها للبيانات</w:t>
      </w:r>
      <w:r w:rsidRPr="00F87B67">
        <w:rPr>
          <w:rFonts w:ascii="Times New Roman" w:eastAsia="Times New Roman" w:hAnsi="Times New Roman" w:cs="Times New Roman"/>
          <w:sz w:val="24"/>
          <w:szCs w:val="24"/>
        </w:rPr>
        <w:t>.</w:t>
      </w:r>
    </w:p>
    <w:p w14:paraId="5DCF8832" w14:textId="77777777" w:rsidR="00F87B67" w:rsidRPr="00F87B67" w:rsidRDefault="00F87B67" w:rsidP="00F87B67">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F87B67">
        <w:rPr>
          <w:rFonts w:ascii="Times New Roman" w:eastAsia="Times New Roman" w:hAnsi="Times New Roman" w:cs="Times New Roman"/>
          <w:b/>
          <w:bCs/>
          <w:sz w:val="27"/>
          <w:szCs w:val="27"/>
          <w:rtl/>
        </w:rPr>
        <w:t>ثانيًا: تكامل الأنظمة وتبادل البيانات</w:t>
      </w:r>
    </w:p>
    <w:p w14:paraId="7DA8CD69"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يمثل تكامل الأنظمة شرطًا أساسيًا للقضاء الرقمي؛ إذ لا يكفي أن تكون كل جهة قادرة على تقديم خدماتها إلكترونيًا إذا ظلت قواعد البيانات منفصلة أو تطلبت إعادة إدخال المعلومات في كل مرحلة. ويؤدي ضعف التكامل إلى تكرار البيانات، وتأخر التحقق، واحتمال عدم اتساق المعلومات بين الجهات، بينما يسمح التكامل الآمن باسترجاع البيانات اللازمة للإجراء مباشرة من مصدرها الرسمي</w:t>
      </w:r>
      <w:r w:rsidRPr="00F87B67">
        <w:rPr>
          <w:rFonts w:ascii="Times New Roman" w:eastAsia="Times New Roman" w:hAnsi="Times New Roman" w:cs="Times New Roman"/>
          <w:sz w:val="24"/>
          <w:szCs w:val="24"/>
        </w:rPr>
        <w:t>.</w:t>
      </w:r>
    </w:p>
    <w:p w14:paraId="4FDD40E3"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وفي المملكة، تتجه سياسات الحكومة الرقمية إلى بناء إطار تنظيمي مشترك، وتتبنى هيئة الحكومة الرقمية برامج لتمكين الجهات من استخدام التقنيات الناشئة وتطوير القوى العاملة الحكومية. كما توضح الدراسات الصادرة عن الهيئة أن التحول الرقمي يشمل الجهات الحكومية ضمن استراتيجيات متعددة، وهو ما يعزز الابتكار، لكنه يفرض تحديًا في توحيد الأولويات والمعايير بين القطاعات</w:t>
      </w:r>
      <w:r w:rsidRPr="00F87B67">
        <w:rPr>
          <w:rFonts w:ascii="Times New Roman" w:eastAsia="Times New Roman" w:hAnsi="Times New Roman" w:cs="Times New Roman"/>
          <w:sz w:val="24"/>
          <w:szCs w:val="24"/>
        </w:rPr>
        <w:t>.</w:t>
      </w:r>
    </w:p>
    <w:p w14:paraId="760F1529"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وفي الإمارات، تظهر أولوية التكامل بصورة واضحة في سياسات المنصة الموحدة، وتصميم واجهات البرمجة، ونموذج نضج الحكومة الرقمية الذي يتضمن إدارة منظومة واجهات الربط والبيانات ضمن عناصر القياس. ويدل ذلك على أن التكامل لا يعامل بوصفه مشروعًا تقنيًا منفصلًا، بل بوصفه عنصرًا من عناصر النضج المؤسسي للحكومة الرقمية</w:t>
      </w:r>
      <w:r w:rsidRPr="00F87B67">
        <w:rPr>
          <w:rFonts w:ascii="Times New Roman" w:eastAsia="Times New Roman" w:hAnsi="Times New Roman" w:cs="Times New Roman"/>
          <w:sz w:val="24"/>
          <w:szCs w:val="24"/>
        </w:rPr>
        <w:t>.</w:t>
      </w:r>
    </w:p>
    <w:p w14:paraId="3BABB7C9"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أما سنغافورة، فتعمل هيئة</w:t>
      </w:r>
      <w:r w:rsidRPr="00F87B67">
        <w:rPr>
          <w:rFonts w:ascii="Times New Roman" w:eastAsia="Times New Roman" w:hAnsi="Times New Roman" w:cs="Times New Roman"/>
          <w:sz w:val="24"/>
          <w:szCs w:val="24"/>
        </w:rPr>
        <w:t xml:space="preserve"> </w:t>
      </w:r>
      <w:proofErr w:type="spellStart"/>
      <w:r w:rsidRPr="00F87B67">
        <w:rPr>
          <w:rFonts w:ascii="Times New Roman" w:eastAsia="Times New Roman" w:hAnsi="Times New Roman" w:cs="Times New Roman"/>
          <w:sz w:val="24"/>
          <w:szCs w:val="24"/>
        </w:rPr>
        <w:t>GovTech</w:t>
      </w:r>
      <w:proofErr w:type="spellEnd"/>
      <w:r w:rsidRPr="00F87B67">
        <w:rPr>
          <w:rFonts w:ascii="Times New Roman" w:eastAsia="Times New Roman" w:hAnsi="Times New Roman" w:cs="Times New Roman"/>
          <w:sz w:val="24"/>
          <w:szCs w:val="24"/>
        </w:rPr>
        <w:t xml:space="preserve"> </w:t>
      </w:r>
      <w:r w:rsidRPr="00F87B67">
        <w:rPr>
          <w:rFonts w:ascii="Times New Roman" w:eastAsia="Times New Roman" w:hAnsi="Times New Roman" w:cs="Times New Roman"/>
          <w:sz w:val="24"/>
          <w:szCs w:val="24"/>
          <w:rtl/>
        </w:rPr>
        <w:t>بوصفها جهة مركزية لتطوير البنى المشتركة والإشراف على البنية الأساسية الحكومية والأمن السيبراني، كما توفر أدوات ومنصات تساعد الجهات على بناء خدمات موحدة ومتسقة. ويمنح هذا النموذج الحكومة قدرة أكبر على إعادة استخدام المكونات التقنية بدل إنشاء أنظمة متوازية في كل جهة</w:t>
      </w:r>
      <w:r w:rsidRPr="00F87B67">
        <w:rPr>
          <w:rFonts w:ascii="Times New Roman" w:eastAsia="Times New Roman" w:hAnsi="Times New Roman" w:cs="Times New Roman"/>
          <w:sz w:val="24"/>
          <w:szCs w:val="24"/>
        </w:rPr>
        <w:t>.</w:t>
      </w:r>
    </w:p>
    <w:p w14:paraId="45B67775"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ويتبين أن المملكة والإمارات تتجهان نحو التكامل من خلال الأطر والسياسات والمنصات الحكومية، بينما قامت سنغافورة بتطوير نموذج أكثر مركزية في هندسة البنية الحكومية المشتركة. وتتمثل نقطة القوة في النموذج السنغافوري في تقليل الازدواجية، في حين تتمثل ميزة النموذجين الخليجيين في سرعة توسيع نطاق الخدمات. أما التحدي المشترك فهو ضمان ألا يؤدي الربط بين الجهات إلى توسع غير منضبط في تبادل البيانات أو إلى انتقال الخطأ التقني من نظام إلى آخر</w:t>
      </w:r>
      <w:r w:rsidRPr="00F87B67">
        <w:rPr>
          <w:rFonts w:ascii="Times New Roman" w:eastAsia="Times New Roman" w:hAnsi="Times New Roman" w:cs="Times New Roman"/>
          <w:sz w:val="24"/>
          <w:szCs w:val="24"/>
        </w:rPr>
        <w:t>.</w:t>
      </w:r>
    </w:p>
    <w:p w14:paraId="04118A64" w14:textId="77777777" w:rsidR="00F87B67" w:rsidRPr="00F87B67" w:rsidRDefault="00F87B67" w:rsidP="00F87B67">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F87B67">
        <w:rPr>
          <w:rFonts w:ascii="Times New Roman" w:eastAsia="Times New Roman" w:hAnsi="Times New Roman" w:cs="Times New Roman"/>
          <w:b/>
          <w:bCs/>
          <w:sz w:val="27"/>
          <w:szCs w:val="27"/>
          <w:rtl/>
        </w:rPr>
        <w:t>ثالثًا: الكفاءات الرقمية والقدرة على إدارة التقنية</w:t>
      </w:r>
    </w:p>
    <w:p w14:paraId="2FF6CB5D"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يعد توفر الكفاءات المتخصصة من أكثر العوامل تأثيرًا في استدامة التحول الرقمي؛ لأن إنشاء الأنظمة يمكن أن يتم بالتعاقد مع جهات خارجية، بينما تتطلب إدارتها وتطويرها وضمان سلامتها وجود معرفة مؤسسية داخلية. وتشمل هذه الكفاءات هندسة الأنظمة، وتحليل البيانات، والأمن السيبراني، وإدارة المنتجات الرقمية، وتصميم تجربة المستخدم، إلى جانب قدرة القضاة والموظفين على استخدام التقنية وتقييم مخرجاتها</w:t>
      </w:r>
      <w:r w:rsidRPr="00F87B67">
        <w:rPr>
          <w:rFonts w:ascii="Times New Roman" w:eastAsia="Times New Roman" w:hAnsi="Times New Roman" w:cs="Times New Roman"/>
          <w:sz w:val="24"/>
          <w:szCs w:val="24"/>
        </w:rPr>
        <w:t>.</w:t>
      </w:r>
    </w:p>
    <w:p w14:paraId="29E468A2"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lastRenderedPageBreak/>
        <w:t>ولا تتوافر في المصادر الرسمية المقارنة بيانات تسمح بالجزم بأن نقص الكفاءات في السعودية «مرتفع» أو أن اعتماد سنغافورة على الخبرات الأجنبية «منخفض». غير أن المبادرات الرسمية تكشف اختلافًا في منهج بناء القدرات. ففي المملكة، يجعل برنامج</w:t>
      </w:r>
      <w:r w:rsidRPr="00F87B67">
        <w:rPr>
          <w:rFonts w:ascii="Times New Roman" w:eastAsia="Times New Roman" w:hAnsi="Times New Roman" w:cs="Times New Roman"/>
          <w:sz w:val="24"/>
          <w:szCs w:val="24"/>
        </w:rPr>
        <w:t xml:space="preserve"> </w:t>
      </w:r>
      <w:proofErr w:type="spellStart"/>
      <w:r w:rsidRPr="00F87B67">
        <w:rPr>
          <w:rFonts w:ascii="Times New Roman" w:eastAsia="Times New Roman" w:hAnsi="Times New Roman" w:cs="Times New Roman"/>
          <w:sz w:val="24"/>
          <w:szCs w:val="24"/>
        </w:rPr>
        <w:t>GovTech</w:t>
      </w:r>
      <w:proofErr w:type="spellEnd"/>
      <w:r w:rsidRPr="00F87B67">
        <w:rPr>
          <w:rFonts w:ascii="Times New Roman" w:eastAsia="Times New Roman" w:hAnsi="Times New Roman" w:cs="Times New Roman"/>
          <w:sz w:val="24"/>
          <w:szCs w:val="24"/>
        </w:rPr>
        <w:t xml:space="preserve"> </w:t>
      </w:r>
      <w:r w:rsidRPr="00F87B67">
        <w:rPr>
          <w:rFonts w:ascii="Times New Roman" w:eastAsia="Times New Roman" w:hAnsi="Times New Roman" w:cs="Times New Roman"/>
          <w:sz w:val="24"/>
          <w:szCs w:val="24"/>
          <w:rtl/>
        </w:rPr>
        <w:t>تمكين القوى العاملة الحكومية وتطوير ثقافة الابتكار من أهدافه الأساسية، وهو ما يدل على أن تنمية المهارات تعد جزءًا من معالجة تحديات التحول وليس مسألة ثانوية</w:t>
      </w:r>
      <w:r w:rsidRPr="00F87B67">
        <w:rPr>
          <w:rFonts w:ascii="Times New Roman" w:eastAsia="Times New Roman" w:hAnsi="Times New Roman" w:cs="Times New Roman"/>
          <w:sz w:val="24"/>
          <w:szCs w:val="24"/>
        </w:rPr>
        <w:t>.</w:t>
      </w:r>
    </w:p>
    <w:p w14:paraId="3A8ECB05"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وفي سنغافورة، أنشأت</w:t>
      </w:r>
      <w:r w:rsidRPr="00F87B67">
        <w:rPr>
          <w:rFonts w:ascii="Times New Roman" w:eastAsia="Times New Roman" w:hAnsi="Times New Roman" w:cs="Times New Roman"/>
          <w:sz w:val="24"/>
          <w:szCs w:val="24"/>
        </w:rPr>
        <w:t xml:space="preserve"> </w:t>
      </w:r>
      <w:proofErr w:type="spellStart"/>
      <w:r w:rsidRPr="00F87B67">
        <w:rPr>
          <w:rFonts w:ascii="Times New Roman" w:eastAsia="Times New Roman" w:hAnsi="Times New Roman" w:cs="Times New Roman"/>
          <w:sz w:val="24"/>
          <w:szCs w:val="24"/>
        </w:rPr>
        <w:t>GovTech</w:t>
      </w:r>
      <w:proofErr w:type="spellEnd"/>
      <w:r w:rsidRPr="00F87B67">
        <w:rPr>
          <w:rFonts w:ascii="Times New Roman" w:eastAsia="Times New Roman" w:hAnsi="Times New Roman" w:cs="Times New Roman"/>
          <w:sz w:val="24"/>
          <w:szCs w:val="24"/>
        </w:rPr>
        <w:t xml:space="preserve"> </w:t>
      </w:r>
      <w:r w:rsidRPr="00F87B67">
        <w:rPr>
          <w:rFonts w:ascii="Times New Roman" w:eastAsia="Times New Roman" w:hAnsi="Times New Roman" w:cs="Times New Roman"/>
          <w:sz w:val="24"/>
          <w:szCs w:val="24"/>
          <w:rtl/>
        </w:rPr>
        <w:t>الأكاديمية الرقمية لتوفير برامج تدريبية متخصصة لموظفي الخدمة العامة، تشمل المهارات التقنية والرقمية المطلوبة للعمل الحكومي، وتقوم فلسفتها على التدريب المستمر وربط المناهج بالاحتياجات العملية للقطاع العام. ويشكل هذا التنظيم المؤسسي ميزة مهمة؛ لأنه يجعل تطوير المهارات عملية مستمرة وليست تدريبًا مرتبطًا بإطلاق مشروع معين</w:t>
      </w:r>
      <w:r w:rsidRPr="00F87B67">
        <w:rPr>
          <w:rFonts w:ascii="Times New Roman" w:eastAsia="Times New Roman" w:hAnsi="Times New Roman" w:cs="Times New Roman"/>
          <w:sz w:val="24"/>
          <w:szCs w:val="24"/>
        </w:rPr>
        <w:t>.</w:t>
      </w:r>
    </w:p>
    <w:p w14:paraId="130F5330"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أما الإمارات، فتربط استراتيجيتها الرقمية بين توفير الأنظمة والبنية التحتية وتمكين الجهات الحكومية من الابتكار والتعاون، إلا أن تقييم حجم الفجوة </w:t>
      </w:r>
      <w:proofErr w:type="spellStart"/>
      <w:r w:rsidRPr="00F87B67">
        <w:rPr>
          <w:rFonts w:ascii="Times New Roman" w:eastAsia="Times New Roman" w:hAnsi="Times New Roman" w:cs="Times New Roman"/>
          <w:sz w:val="24"/>
          <w:szCs w:val="24"/>
          <w:rtl/>
        </w:rPr>
        <w:t>المهارية</w:t>
      </w:r>
      <w:proofErr w:type="spellEnd"/>
      <w:r w:rsidRPr="00F87B67">
        <w:rPr>
          <w:rFonts w:ascii="Times New Roman" w:eastAsia="Times New Roman" w:hAnsi="Times New Roman" w:cs="Times New Roman"/>
          <w:sz w:val="24"/>
          <w:szCs w:val="24"/>
          <w:rtl/>
        </w:rPr>
        <w:t xml:space="preserve"> أو الاعتماد على الكفاءات الأجنبية يحتاج إلى بيانات سوق عمل وتوظيف تفصيلية لا يجوز استنتاجها من مستوى الخدمات الرقمية وحده</w:t>
      </w:r>
      <w:r w:rsidRPr="00F87B67">
        <w:rPr>
          <w:rFonts w:ascii="Times New Roman" w:eastAsia="Times New Roman" w:hAnsi="Times New Roman" w:cs="Times New Roman"/>
          <w:sz w:val="24"/>
          <w:szCs w:val="24"/>
        </w:rPr>
        <w:t>.</w:t>
      </w:r>
    </w:p>
    <w:p w14:paraId="4DF72025"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ويظهر من المقارنة أن سنغافورة تتميز بوجود منصة تدريب حكومية متخصصة ومستمرة، بينما تعمل المملكة على إدراج تمكين الأفراد ضمن برنامج وطني للتقنيات الحكومية، وتتبنى الإمارات نموذجًا يربط بناء القدرات بتمكين الجهات ضمن استراتيجية الحكومة الرقمية. ولا يصح تحويل هذه الفروق إلى ترتيب مطلق في مستوى المهارات دون مؤشر مباشر، لكن يمكن القول إن التجربة السنغافورية تقدم نموذجًا مؤسسيًا أكثر وضوحًا للتطوير المستمر لكفاءات موظفي الحكومة</w:t>
      </w:r>
      <w:r w:rsidRPr="00F87B67">
        <w:rPr>
          <w:rFonts w:ascii="Times New Roman" w:eastAsia="Times New Roman" w:hAnsi="Times New Roman" w:cs="Times New Roman"/>
          <w:sz w:val="24"/>
          <w:szCs w:val="24"/>
        </w:rPr>
        <w:t>.</w:t>
      </w:r>
    </w:p>
    <w:p w14:paraId="1C98FEC4" w14:textId="77777777" w:rsidR="00F87B67" w:rsidRPr="00F87B67" w:rsidRDefault="00F87B67" w:rsidP="00F87B67">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F87B67">
        <w:rPr>
          <w:rFonts w:ascii="Times New Roman" w:eastAsia="Times New Roman" w:hAnsi="Times New Roman" w:cs="Times New Roman"/>
          <w:b/>
          <w:bCs/>
          <w:sz w:val="27"/>
          <w:szCs w:val="27"/>
          <w:rtl/>
        </w:rPr>
        <w:t>رابعًا: تكلفة التحول والقدرة على تمويله</w:t>
      </w:r>
    </w:p>
    <w:p w14:paraId="34725815"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يتطلب التحول الرقمي موارد مالية مستمرة لا تقتصر على تكلفة إنشاء المنصات، بل تشمل التحديث والصيانة والأمن السيبراني والتدريب والتخزين </w:t>
      </w:r>
      <w:proofErr w:type="spellStart"/>
      <w:r w:rsidRPr="00F87B67">
        <w:rPr>
          <w:rFonts w:ascii="Times New Roman" w:eastAsia="Times New Roman" w:hAnsi="Times New Roman" w:cs="Times New Roman"/>
          <w:sz w:val="24"/>
          <w:szCs w:val="24"/>
          <w:rtl/>
        </w:rPr>
        <w:t>السحابي</w:t>
      </w:r>
      <w:proofErr w:type="spellEnd"/>
      <w:r w:rsidRPr="00F87B67">
        <w:rPr>
          <w:rFonts w:ascii="Times New Roman" w:eastAsia="Times New Roman" w:hAnsi="Times New Roman" w:cs="Times New Roman"/>
          <w:sz w:val="24"/>
          <w:szCs w:val="24"/>
          <w:rtl/>
        </w:rPr>
        <w:t xml:space="preserve"> وإدارة البيانات واستبدال الأنظمة القديمة. وقد تكون المنظومة المتقدمة أكثر تكلفة في مراحلها الأولى، لكنها قد تحقق وفورات لاحقة من خلال إعادة استخدام المكونات وتقليل المعاملات اليدوية</w:t>
      </w:r>
      <w:r w:rsidRPr="00F87B67">
        <w:rPr>
          <w:rFonts w:ascii="Times New Roman" w:eastAsia="Times New Roman" w:hAnsi="Times New Roman" w:cs="Times New Roman"/>
          <w:sz w:val="24"/>
          <w:szCs w:val="24"/>
        </w:rPr>
        <w:t>.</w:t>
      </w:r>
    </w:p>
    <w:p w14:paraId="21A9DDEB"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وتبين تقارير هيئة الحكومة الرقمية أن الإنفاق الحكومي السعودي على تقنية المعلومات والاتصالات شهد حجمًا كبيرًا، وأن الإنفاق التراكمي خلال ثلاثة أعوام تجاوز 113 مليار ريال. ويعكس ذلك قدرة تمويلية قوية والتزامًا مؤسسيًا بالتحول الرقمي، لكنه يكشف أيضًا أن اتساع نطاق الخدمات يفرض مسؤولية متزايدة لضبط الإنفاق وقياس العائد ومنع تكرار المشروعات بين الجهات</w:t>
      </w:r>
      <w:r w:rsidRPr="00F87B67">
        <w:rPr>
          <w:rFonts w:ascii="Times New Roman" w:eastAsia="Times New Roman" w:hAnsi="Times New Roman" w:cs="Times New Roman"/>
          <w:sz w:val="24"/>
          <w:szCs w:val="24"/>
        </w:rPr>
        <w:t>.</w:t>
      </w:r>
    </w:p>
    <w:p w14:paraId="0CB3545F"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وفي الإمارات، تؤكد الاستراتيجية والسياسات الرسمية توفير الأنظمة والبنى والممكنات للجهات الحكومية، لكن المصادر المستخدمة لا تقدم مقارنة مالية مباشرة تسمح بوصف التكلفة بأنها «متوسطة» مقارنة بالسعودية أو سنغافورة. وكذلك في سنغافورة، يدل اعتماد المكونات الحكومية المشتركة على إمكان تحقيق كفاءة اقتصادية من خلال إعادة الاستخدام، إلا أنه لا يثبت أن التكلفة الإجمالية أقل من الدولتين الأخريين</w:t>
      </w:r>
      <w:r w:rsidRPr="00F87B67">
        <w:rPr>
          <w:rFonts w:ascii="Times New Roman" w:eastAsia="Times New Roman" w:hAnsi="Times New Roman" w:cs="Times New Roman"/>
          <w:sz w:val="24"/>
          <w:szCs w:val="24"/>
        </w:rPr>
        <w:t>.</w:t>
      </w:r>
    </w:p>
    <w:p w14:paraId="56B86560"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lastRenderedPageBreak/>
        <w:t xml:space="preserve">وعليه، فالأدق علميًا استبدال تصنيف «مرتفع، متوسط، منخفض» بتحليل يقوم على </w:t>
      </w:r>
      <w:r w:rsidRPr="00F87B67">
        <w:rPr>
          <w:rFonts w:ascii="Times New Roman" w:eastAsia="Times New Roman" w:hAnsi="Times New Roman" w:cs="Times New Roman"/>
          <w:b/>
          <w:bCs/>
          <w:sz w:val="24"/>
          <w:szCs w:val="24"/>
          <w:rtl/>
        </w:rPr>
        <w:t>نموذج الإنفاق</w:t>
      </w:r>
      <w:r w:rsidRPr="00F87B67">
        <w:rPr>
          <w:rFonts w:ascii="Times New Roman" w:eastAsia="Times New Roman" w:hAnsi="Times New Roman" w:cs="Times New Roman"/>
          <w:sz w:val="24"/>
          <w:szCs w:val="24"/>
        </w:rPr>
        <w:t xml:space="preserve">: </w:t>
      </w:r>
      <w:r w:rsidRPr="00F87B67">
        <w:rPr>
          <w:rFonts w:ascii="Times New Roman" w:eastAsia="Times New Roman" w:hAnsi="Times New Roman" w:cs="Times New Roman"/>
          <w:sz w:val="24"/>
          <w:szCs w:val="24"/>
          <w:rtl/>
        </w:rPr>
        <w:t>فالسعودية تمول تحولًا واسع النطاق وسريع التوسع، والإمارات تربط الاستثمار بمشروعات الحكومة والمنصات والسياسات الموحدة، بينما تعتمد سنغافورة بدرجة أكبر على منصات مركزية ومكونات قابلة لإعادة الاستخدام. ويؤثر هذا الاختلاف في الكفاءة المالية، لكنه لا يكفي وحده لإثبات أن إحدى الدول أقل تكلفة إجمالًا</w:t>
      </w:r>
      <w:r w:rsidRPr="00F87B67">
        <w:rPr>
          <w:rFonts w:ascii="Times New Roman" w:eastAsia="Times New Roman" w:hAnsi="Times New Roman" w:cs="Times New Roman"/>
          <w:sz w:val="24"/>
          <w:szCs w:val="24"/>
        </w:rPr>
        <w:t>.</w:t>
      </w:r>
    </w:p>
    <w:p w14:paraId="7B15FBCC" w14:textId="77777777" w:rsidR="00F87B67" w:rsidRPr="00F87B67" w:rsidRDefault="00F87B67" w:rsidP="00F87B67">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F87B67">
        <w:rPr>
          <w:rFonts w:ascii="Times New Roman" w:eastAsia="Times New Roman" w:hAnsi="Times New Roman" w:cs="Times New Roman"/>
          <w:b/>
          <w:bCs/>
          <w:sz w:val="27"/>
          <w:szCs w:val="27"/>
          <w:rtl/>
        </w:rPr>
        <w:t>خامسًا: الجاهزية التقنية واستدامة الخدمات</w:t>
      </w:r>
    </w:p>
    <w:p w14:paraId="1569BED8"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يُقاس مستوى الجاهزية التقنية بقدرة الدولة على تقديم خدمات رقمية متكاملة وآمنة، وتوفير بنية اتصالات ورأس مال بشري، والاستجابة للأعطال والمخاطر. وقد صنف مسح الأمم المتحدة للحكومة الإلكترونية لعام 2024 سنغافورة في صدارة الدول عالميًا، كما وضع السعودية والإمارات ضمن الفئة ذات الأداء المرتفع جدًا. ويؤكد ذلك أن الدول الثلاث تمتلك مستويات متقدمة من الجاهزية، وإن تفاوتت في النضج المؤسسي وفي طريقة تنظيم البنية الحكومية</w:t>
      </w:r>
      <w:r w:rsidRPr="00F87B67">
        <w:rPr>
          <w:rFonts w:ascii="Times New Roman" w:eastAsia="Times New Roman" w:hAnsi="Times New Roman" w:cs="Times New Roman"/>
          <w:sz w:val="24"/>
          <w:szCs w:val="24"/>
        </w:rPr>
        <w:t>.</w:t>
      </w:r>
    </w:p>
    <w:p w14:paraId="14CB1028"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وقد حققت السعودية تقدمًا كبيرًا في مؤشر الأمم المتحدة لعام 2024، كما جاءت في مراتب متقدمة في مؤشر الخدمات الرقمية والمشاركة الإلكترونية. وتدل هذه النتائج على أن وصف جاهزيتها بأنها «في طور التطور» لا يعبر بدقة عن موقعها الحالي؛ والأصح أنها تتمتع بجاهزية مرتفعة مع تحديات ناتجة عن حجم التوسع والتكامل بين الجهات</w:t>
      </w:r>
      <w:r w:rsidRPr="00F87B67">
        <w:rPr>
          <w:rFonts w:ascii="Times New Roman" w:eastAsia="Times New Roman" w:hAnsi="Times New Roman" w:cs="Times New Roman"/>
          <w:sz w:val="24"/>
          <w:szCs w:val="24"/>
        </w:rPr>
        <w:t>.</w:t>
      </w:r>
    </w:p>
    <w:p w14:paraId="4D377E09"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أما الإمارات، فتتبنى نموذجًا رسميًا لقياس النضج الرقمي يشمل التكنولوجيا والأمن السيبراني والبيانات والحوكمة، وهو ما يوفر أداة لتقييم الجاهزية على مستوى الجهات بدل الاكتفاء بقياس عدد الخدمات</w:t>
      </w:r>
      <w:r w:rsidRPr="00F87B67">
        <w:rPr>
          <w:rFonts w:ascii="Times New Roman" w:eastAsia="Times New Roman" w:hAnsi="Times New Roman" w:cs="Times New Roman"/>
          <w:sz w:val="24"/>
          <w:szCs w:val="24"/>
        </w:rPr>
        <w:t>.</w:t>
      </w:r>
    </w:p>
    <w:p w14:paraId="64EAFF40"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وفي سنغافورة، تستند الجاهزية إلى بنية مشتركة تديرها</w:t>
      </w:r>
      <w:r w:rsidRPr="00F87B67">
        <w:rPr>
          <w:rFonts w:ascii="Times New Roman" w:eastAsia="Times New Roman" w:hAnsi="Times New Roman" w:cs="Times New Roman"/>
          <w:sz w:val="24"/>
          <w:szCs w:val="24"/>
        </w:rPr>
        <w:t xml:space="preserve"> </w:t>
      </w:r>
      <w:proofErr w:type="spellStart"/>
      <w:r w:rsidRPr="00F87B67">
        <w:rPr>
          <w:rFonts w:ascii="Times New Roman" w:eastAsia="Times New Roman" w:hAnsi="Times New Roman" w:cs="Times New Roman"/>
          <w:sz w:val="24"/>
          <w:szCs w:val="24"/>
        </w:rPr>
        <w:t>GovTech</w:t>
      </w:r>
      <w:proofErr w:type="spellEnd"/>
      <w:r w:rsidRPr="00F87B67">
        <w:rPr>
          <w:rFonts w:ascii="Times New Roman" w:eastAsia="Times New Roman" w:hAnsi="Times New Roman" w:cs="Times New Roman"/>
          <w:sz w:val="24"/>
          <w:szCs w:val="24"/>
          <w:rtl/>
        </w:rPr>
        <w:t>، تشمل الخدمات الحكومية والبنية التقنية والأمن السيبراني وتطوير البرمجيات والبيانات والذكاء الاصطناعي. كما أن وجود جهة مركزية تجمع بين البناء التقني والإشراف على البنية الحكومية يعزز سرعة الاستجابة وتوحيد معايير التشغيل</w:t>
      </w:r>
    </w:p>
    <w:p w14:paraId="57D88C8F" w14:textId="77777777" w:rsidR="003B3BAB" w:rsidRPr="00F87B67" w:rsidRDefault="003B3BAB" w:rsidP="00C873A8">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0116000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9F3594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8F15BE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532056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9D8BF8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EC1B69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504E7F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CA50897" w14:textId="43DD136F" w:rsidR="00BA15BE" w:rsidRDefault="00BA15BE"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618F19C" w14:textId="412F3F88" w:rsidR="003B3BAB"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ثالثاً: التحديات</w:t>
      </w:r>
      <w:r w:rsidR="003B3BAB">
        <w:rPr>
          <w:rFonts w:ascii="Times New Roman" w:eastAsia="Times New Roman" w:hAnsi="Times New Roman" w:cs="Times New Roman" w:hint="cs"/>
          <w:b/>
          <w:bCs/>
          <w:sz w:val="28"/>
          <w:szCs w:val="28"/>
          <w:rtl/>
        </w:rPr>
        <w:t xml:space="preserve"> المؤسسية والتنظيمية </w:t>
      </w:r>
    </w:p>
    <w:p w14:paraId="4EF3038D" w14:textId="77777777" w:rsidR="003B3BAB" w:rsidRPr="004141E3"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التحول الرقمي لا يقتصر على التقنية، بل يمثل </w:t>
      </w:r>
      <w:r w:rsidRPr="004141E3">
        <w:rPr>
          <w:rFonts w:ascii="Times New Roman" w:eastAsia="Times New Roman" w:hAnsi="Times New Roman" w:cs="Times New Roman"/>
          <w:b/>
          <w:bCs/>
          <w:sz w:val="24"/>
          <w:szCs w:val="24"/>
          <w:rtl/>
        </w:rPr>
        <w:t>تحولًا هيكليًا في المؤسسات</w:t>
      </w:r>
      <w:r w:rsidRPr="004141E3">
        <w:rPr>
          <w:rFonts w:ascii="Times New Roman" w:eastAsia="Times New Roman" w:hAnsi="Times New Roman" w:cs="Times New Roman"/>
          <w:sz w:val="24"/>
          <w:szCs w:val="24"/>
          <w:rtl/>
        </w:rPr>
        <w:t xml:space="preserve"> يشمل</w:t>
      </w:r>
      <w:r w:rsidRPr="004141E3">
        <w:rPr>
          <w:rFonts w:ascii="Times New Roman" w:eastAsia="Times New Roman" w:hAnsi="Times New Roman" w:cs="Times New Roman"/>
          <w:sz w:val="24"/>
          <w:szCs w:val="24"/>
        </w:rPr>
        <w:t>:</w:t>
      </w:r>
    </w:p>
    <w:p w14:paraId="5BDC0805" w14:textId="742A432D"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الحوكمة الرقمية </w:t>
      </w:r>
      <w:r w:rsidRPr="004141E3">
        <w:rPr>
          <w:rFonts w:ascii="Times New Roman" w:hAnsi="Times New Roman" w:cs="Times New Roman"/>
          <w:sz w:val="24"/>
          <w:szCs w:val="24"/>
          <w:rtl/>
        </w:rPr>
        <w:t xml:space="preserve">تتمثل في مجموعة من الضوابط </w:t>
      </w:r>
      <w:r w:rsidR="004141E3" w:rsidRPr="004141E3">
        <w:rPr>
          <w:rFonts w:ascii="Times New Roman" w:hAnsi="Times New Roman" w:cs="Times New Roman" w:hint="cs"/>
          <w:sz w:val="24"/>
          <w:szCs w:val="24"/>
          <w:rtl/>
        </w:rPr>
        <w:t>والإجراءات</w:t>
      </w:r>
      <w:r w:rsidRPr="004141E3">
        <w:rPr>
          <w:rFonts w:ascii="Times New Roman" w:hAnsi="Times New Roman" w:cs="Times New Roman"/>
          <w:sz w:val="24"/>
          <w:szCs w:val="24"/>
          <w:rtl/>
        </w:rPr>
        <w:t xml:space="preserve"> التي تهدف إلى ضبط منظومة بيئة العمل الداخلية والخارجية المتأثرة بالتحول الرقمي، بهدف وضع خارطة طريق لتسهيل </w:t>
      </w:r>
      <w:r w:rsidR="004141E3" w:rsidRPr="004141E3">
        <w:rPr>
          <w:rFonts w:ascii="Times New Roman" w:hAnsi="Times New Roman" w:cs="Times New Roman" w:hint="cs"/>
          <w:sz w:val="24"/>
          <w:szCs w:val="24"/>
          <w:rtl/>
        </w:rPr>
        <w:t>الأعمال</w:t>
      </w:r>
      <w:r w:rsidRPr="004141E3">
        <w:rPr>
          <w:rFonts w:ascii="Times New Roman" w:hAnsi="Times New Roman" w:cs="Times New Roman"/>
          <w:sz w:val="24"/>
          <w:szCs w:val="24"/>
          <w:rtl/>
        </w:rPr>
        <w:t xml:space="preserve"> بشكل يواكب بين أصحاب المصالح لتحقيق </w:t>
      </w:r>
      <w:r w:rsidR="004141E3" w:rsidRPr="004141E3">
        <w:rPr>
          <w:rFonts w:ascii="Times New Roman" w:hAnsi="Times New Roman" w:cs="Times New Roman" w:hint="cs"/>
          <w:sz w:val="24"/>
          <w:szCs w:val="24"/>
          <w:rtl/>
        </w:rPr>
        <w:t>الاستراتيجيا</w:t>
      </w:r>
      <w:r w:rsidR="004141E3" w:rsidRPr="004141E3">
        <w:rPr>
          <w:rFonts w:ascii="Times New Roman" w:hAnsi="Times New Roman" w:cs="Times New Roman" w:hint="eastAsia"/>
          <w:sz w:val="24"/>
          <w:szCs w:val="24"/>
          <w:rtl/>
        </w:rPr>
        <w:t>ت</w:t>
      </w:r>
      <w:r w:rsidRPr="004141E3">
        <w:rPr>
          <w:rFonts w:ascii="Times New Roman" w:hAnsi="Times New Roman" w:cs="Times New Roman"/>
          <w:sz w:val="24"/>
          <w:szCs w:val="24"/>
          <w:rtl/>
        </w:rPr>
        <w:t xml:space="preserve"> التطور، ويضمن توازنا ت </w:t>
      </w:r>
      <w:r w:rsidR="004141E3" w:rsidRPr="004141E3">
        <w:rPr>
          <w:rFonts w:ascii="Times New Roman" w:hAnsi="Times New Roman" w:cs="Times New Roman" w:hint="cs"/>
          <w:sz w:val="24"/>
          <w:szCs w:val="24"/>
          <w:rtl/>
        </w:rPr>
        <w:t>والأهداف</w:t>
      </w:r>
      <w:r w:rsidRPr="004141E3">
        <w:rPr>
          <w:rFonts w:ascii="Times New Roman" w:hAnsi="Times New Roman" w:cs="Times New Roman"/>
          <w:sz w:val="24"/>
          <w:szCs w:val="24"/>
          <w:rtl/>
        </w:rPr>
        <w:t xml:space="preserve"> المرغوبة ً متناسباً بشكل متواصل، مع خلق فرص النمو للمنشأة، حيث أن الحوكمة الرقمية تدعم </w:t>
      </w:r>
      <w:r w:rsidR="004141E3" w:rsidRPr="004141E3">
        <w:rPr>
          <w:rFonts w:ascii="Times New Roman" w:hAnsi="Times New Roman" w:cs="Times New Roman" w:hint="cs"/>
          <w:sz w:val="24"/>
          <w:szCs w:val="24"/>
          <w:rtl/>
        </w:rPr>
        <w:t>مجالات</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الاستثمار</w:t>
      </w:r>
      <w:r w:rsidRPr="004141E3">
        <w:rPr>
          <w:rFonts w:ascii="Times New Roman" w:hAnsi="Times New Roman" w:cs="Times New Roman"/>
          <w:sz w:val="24"/>
          <w:szCs w:val="24"/>
          <w:rtl/>
        </w:rPr>
        <w:t xml:space="preserve"> وتساهم في تحقيق الميزة التنافسية </w:t>
      </w:r>
      <w:r w:rsidR="004141E3" w:rsidRPr="004141E3">
        <w:rPr>
          <w:rFonts w:ascii="Times New Roman" w:hAnsi="Times New Roman" w:cs="Times New Roman" w:hint="cs"/>
          <w:sz w:val="24"/>
          <w:szCs w:val="24"/>
          <w:rtl/>
        </w:rPr>
        <w:t>المستهدفة</w:t>
      </w:r>
      <w:r w:rsidR="004141E3" w:rsidRPr="004141E3">
        <w:rPr>
          <w:rFonts w:ascii="Times New Roman" w:eastAsia="Times New Roman" w:hAnsi="Times New Roman" w:cs="Times New Roman" w:hint="cs"/>
          <w:sz w:val="24"/>
          <w:szCs w:val="24"/>
          <w:vertAlign w:val="superscript"/>
          <w:rtl/>
        </w:rPr>
        <w:t xml:space="preserve"> </w:t>
      </w:r>
      <w:r w:rsidR="004141E3" w:rsidRPr="004141E3">
        <w:rPr>
          <w:rFonts w:ascii="Times New Roman" w:eastAsia="Times New Roman" w:hAnsi="Times New Roman" w:cs="Times New Roman"/>
          <w:sz w:val="24"/>
          <w:szCs w:val="24"/>
          <w:vertAlign w:val="superscript"/>
          <w:rtl/>
        </w:rPr>
        <w:t>(</w:t>
      </w:r>
      <w:r w:rsidRPr="004141E3">
        <w:rPr>
          <w:rFonts w:ascii="Times New Roman" w:eastAsia="Times New Roman" w:hAnsi="Times New Roman" w:cs="Times New Roman"/>
          <w:sz w:val="24"/>
          <w:szCs w:val="24"/>
          <w:vertAlign w:val="superscript"/>
          <w:rtl/>
        </w:rPr>
        <w:t>1)</w:t>
      </w:r>
    </w:p>
    <w:p w14:paraId="232C92D1" w14:textId="2999100A"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الثقافة التنظيمية </w:t>
      </w:r>
      <w:r w:rsidRPr="004141E3">
        <w:rPr>
          <w:rFonts w:ascii="Times New Roman" w:hAnsi="Times New Roman" w:cs="Times New Roman"/>
          <w:sz w:val="24"/>
          <w:szCs w:val="24"/>
        </w:rPr>
        <w:t>"</w:t>
      </w:r>
      <w:r w:rsidRPr="004141E3">
        <w:rPr>
          <w:rFonts w:ascii="Times New Roman" w:hAnsi="Times New Roman" w:cs="Times New Roman"/>
          <w:sz w:val="24"/>
          <w:szCs w:val="24"/>
          <w:rtl/>
        </w:rPr>
        <w:t xml:space="preserve">مجموعـة السـلوكيات </w:t>
      </w:r>
      <w:r w:rsidR="004141E3" w:rsidRPr="004141E3">
        <w:rPr>
          <w:rFonts w:ascii="Times New Roman" w:hAnsi="Times New Roman" w:cs="Times New Roman" w:hint="cs"/>
          <w:sz w:val="24"/>
          <w:szCs w:val="24"/>
          <w:rtl/>
        </w:rPr>
        <w:t>المتسقة</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والحقيقية</w:t>
      </w:r>
      <w:r w:rsidRPr="004141E3">
        <w:rPr>
          <w:rFonts w:ascii="Times New Roman" w:hAnsi="Times New Roman" w:cs="Times New Roman"/>
          <w:sz w:val="24"/>
          <w:szCs w:val="24"/>
          <w:rtl/>
        </w:rPr>
        <w:t xml:space="preserve">، والتـي تعكـس المعتقـدات والتوقعـات المشـتركة للعامليـن والسـائدة فـي بيئـة عمـل منظمـة مـا، كمـا أنهـا تؤثـر علـى كل مـن تفاعـل العاملـين نحـو تنفيـذ السياسـات </w:t>
      </w:r>
      <w:r w:rsidR="004141E3" w:rsidRPr="004141E3">
        <w:rPr>
          <w:rFonts w:ascii="Times New Roman" w:hAnsi="Times New Roman" w:cs="Times New Roman" w:hint="cs"/>
          <w:sz w:val="24"/>
          <w:szCs w:val="24"/>
          <w:rtl/>
        </w:rPr>
        <w:t>الإدارية</w:t>
      </w:r>
      <w:r w:rsidRPr="004141E3">
        <w:rPr>
          <w:rFonts w:ascii="Times New Roman" w:hAnsi="Times New Roman" w:cs="Times New Roman"/>
          <w:sz w:val="24"/>
          <w:szCs w:val="24"/>
          <w:rtl/>
        </w:rPr>
        <w:t xml:space="preserve">، وتحقيـق الاسـتراتيجية، وتحسـن كفـاءة </w:t>
      </w:r>
      <w:r w:rsidR="004141E3" w:rsidRPr="004141E3">
        <w:rPr>
          <w:rFonts w:ascii="Times New Roman" w:hAnsi="Times New Roman" w:cs="Times New Roman" w:hint="cs"/>
          <w:sz w:val="24"/>
          <w:szCs w:val="24"/>
          <w:rtl/>
        </w:rPr>
        <w:t>الأداء</w:t>
      </w:r>
      <w:r w:rsidRPr="004141E3">
        <w:rPr>
          <w:rFonts w:ascii="Times New Roman" w:hAnsi="Times New Roman" w:cs="Times New Roman"/>
          <w:sz w:val="24"/>
          <w:szCs w:val="24"/>
        </w:rPr>
        <w:t>"</w:t>
      </w:r>
      <w:r w:rsidRPr="004141E3">
        <w:rPr>
          <w:rFonts w:ascii="Times New Roman" w:eastAsia="Times New Roman" w:hAnsi="Times New Roman" w:cs="Times New Roman"/>
          <w:sz w:val="24"/>
          <w:szCs w:val="24"/>
          <w:vertAlign w:val="superscript"/>
          <w:rtl/>
        </w:rPr>
        <w:t>(2)</w:t>
      </w:r>
    </w:p>
    <w:p w14:paraId="00091E17" w14:textId="21D82B60"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الهياكل الإدارية </w:t>
      </w:r>
      <w:r w:rsidRPr="004141E3">
        <w:rPr>
          <w:rFonts w:ascii="Times New Roman" w:hAnsi="Times New Roman" w:cs="Times New Roman"/>
          <w:color w:val="484848"/>
          <w:sz w:val="24"/>
          <w:szCs w:val="24"/>
          <w:shd w:val="clear" w:color="auto" w:fill="FFFFFF"/>
          <w:rtl/>
        </w:rPr>
        <w:t>النظام الذي يحدد بوضوح توزيع الأدوار والمسؤوليات، وسلاسة تدفق المعلومات، وسلطات اتخاذ القرار. ومن خلال تنظيم العلاقات بين الإدارات والأفراد والمهام، يسهم هذا الهيكل في تحقيق الانسجام بين الأهداف التشغيلية والاستراتيجية، ويُعزز القدرة على التكيف مع التغيرات المتسارعة في بيئة العمل</w:t>
      </w:r>
      <w:r w:rsidRPr="004141E3">
        <w:rPr>
          <w:rFonts w:ascii="Times New Roman" w:hAnsi="Times New Roman" w:cs="Times New Roman"/>
          <w:color w:val="484848"/>
          <w:sz w:val="24"/>
          <w:szCs w:val="24"/>
          <w:shd w:val="clear" w:color="auto" w:fill="FFFFFF"/>
        </w:rPr>
        <w:t>.</w:t>
      </w:r>
    </w:p>
    <w:p w14:paraId="6507AD15" w14:textId="301C55F9" w:rsidR="004141E3"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4141E3">
        <w:rPr>
          <w:rFonts w:ascii="Times New Roman" w:eastAsia="Times New Roman" w:hAnsi="Times New Roman" w:cs="Times New Roman"/>
          <w:b/>
          <w:bCs/>
          <w:sz w:val="28"/>
          <w:szCs w:val="28"/>
          <w:rtl/>
        </w:rPr>
        <w:t xml:space="preserve">إدارة الموارد البشرية </w:t>
      </w:r>
      <w:r w:rsidRPr="004141E3">
        <w:rPr>
          <w:rFonts w:ascii="Times New Roman" w:eastAsia="Times New Roman" w:hAnsi="Times New Roman" w:cs="Times New Roman" w:hint="cs"/>
          <w:b/>
          <w:bCs/>
          <w:sz w:val="28"/>
          <w:szCs w:val="28"/>
          <w:vertAlign w:val="superscript"/>
          <w:rtl/>
        </w:rPr>
        <w:t>(3</w:t>
      </w:r>
      <w:r w:rsidR="004141E3" w:rsidRPr="004141E3">
        <w:rPr>
          <w:rFonts w:ascii="Times New Roman" w:eastAsia="Times New Roman" w:hAnsi="Times New Roman" w:cs="Times New Roman" w:hint="cs"/>
          <w:b/>
          <w:bCs/>
          <w:sz w:val="28"/>
          <w:szCs w:val="28"/>
          <w:vertAlign w:val="superscript"/>
          <w:rtl/>
        </w:rPr>
        <w:t>)</w:t>
      </w:r>
      <w:r w:rsidR="004141E3" w:rsidRPr="004141E3">
        <w:rPr>
          <w:rFonts w:ascii="Times New Roman" w:eastAsia="Times New Roman" w:hAnsi="Times New Roman" w:cs="Times New Roman" w:hint="cs"/>
          <w:sz w:val="28"/>
          <w:szCs w:val="28"/>
          <w:rtl/>
        </w:rPr>
        <w:t>، التكامل</w:t>
      </w:r>
      <w:r w:rsidR="004141E3" w:rsidRPr="003B3BAB">
        <w:rPr>
          <w:rFonts w:ascii="Times New Roman" w:eastAsia="Times New Roman" w:hAnsi="Times New Roman" w:cs="Times New Roman"/>
          <w:sz w:val="28"/>
          <w:szCs w:val="28"/>
          <w:rtl/>
        </w:rPr>
        <w:t xml:space="preserve"> </w:t>
      </w:r>
      <w:r w:rsidR="004141E3" w:rsidRPr="003B3BAB">
        <w:rPr>
          <w:rFonts w:ascii="Times New Roman" w:eastAsia="Times New Roman" w:hAnsi="Times New Roman" w:cs="Times New Roman" w:hint="cs"/>
          <w:sz w:val="28"/>
          <w:szCs w:val="28"/>
          <w:rtl/>
        </w:rPr>
        <w:t>المؤسسي.</w:t>
      </w:r>
    </w:p>
    <w:p w14:paraId="76B57610" w14:textId="76B698AD"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لذلك، فإن التحديات المؤسسية والتنظيمية تُعد </w:t>
      </w:r>
      <w:r w:rsidRPr="004141E3">
        <w:rPr>
          <w:rFonts w:ascii="Times New Roman" w:eastAsia="Times New Roman" w:hAnsi="Times New Roman" w:cs="Times New Roman"/>
          <w:b/>
          <w:bCs/>
          <w:sz w:val="24"/>
          <w:szCs w:val="24"/>
          <w:rtl/>
        </w:rPr>
        <w:t>أخطر من التحديات التقنية</w:t>
      </w:r>
      <w:r w:rsidRPr="004141E3">
        <w:rPr>
          <w:rFonts w:ascii="Times New Roman" w:eastAsia="Times New Roman" w:hAnsi="Times New Roman" w:cs="Times New Roman"/>
          <w:sz w:val="24"/>
          <w:szCs w:val="24"/>
          <w:rtl/>
        </w:rPr>
        <w:t xml:space="preserve"> لأنها تمس جوهر عمل المؤسسات</w:t>
      </w:r>
      <w:r w:rsidRPr="004141E3">
        <w:rPr>
          <w:rFonts w:ascii="Times New Roman" w:eastAsia="Times New Roman" w:hAnsi="Times New Roman" w:cs="Times New Roman"/>
          <w:sz w:val="24"/>
          <w:szCs w:val="24"/>
        </w:rPr>
        <w:t>.</w:t>
      </w:r>
    </w:p>
    <w:p w14:paraId="013E4E4E" w14:textId="02F4919B"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color w:val="FFFFFF" w:themeColor="background1"/>
          <w:sz w:val="28"/>
          <w:szCs w:val="28"/>
          <w:rtl/>
        </w:rPr>
      </w:pPr>
      <w:r w:rsidRPr="004141E3">
        <w:rPr>
          <w:rStyle w:val="a8"/>
          <w:rFonts w:ascii="Times New Roman" w:eastAsia="Times New Roman" w:hAnsi="Times New Roman" w:cs="Times New Roman"/>
          <w:b/>
          <w:bCs/>
          <w:color w:val="FFFFFF" w:themeColor="background1"/>
          <w:sz w:val="28"/>
          <w:szCs w:val="28"/>
          <w:rtl/>
        </w:rPr>
        <w:footnoteReference w:id="31"/>
      </w:r>
    </w:p>
    <w:p w14:paraId="2F24DD9F" w14:textId="4EC4BB6C" w:rsidR="003B3BAB" w:rsidRDefault="003B3BAB" w:rsidP="00AA2D35">
      <w:pPr>
        <w:bidi w:val="0"/>
        <w:jc w:val="lef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br w:type="page"/>
      </w:r>
    </w:p>
    <w:p w14:paraId="703F767B"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lastRenderedPageBreak/>
        <w:t>تتفق المملكة العربية السعودية والإمارات العربية المتحدة وسنغافورة على أن نجاح التحول الرقمي في مرفق القضاء لا يتوقف على إصدار التشريعات أو توفير البنية التقنية، وإنما يرتبط بوجود تنظيم مؤسسي قادر على تحقيق التكامل بين الجهات المعنية، وتطوير الموارد البشرية، وترسيخ مبادئ الحوكمة الرقمية. إلا أن المقارنة تكشف اختلافًا في الأسلوب المؤسسي الذي اعتمدته كل دولة لمواجهة هذه التحديات</w:t>
      </w:r>
      <w:r w:rsidRPr="00F87B67">
        <w:rPr>
          <w:rFonts w:ascii="Times New Roman" w:eastAsia="Times New Roman" w:hAnsi="Times New Roman" w:cs="Times New Roman"/>
          <w:sz w:val="24"/>
          <w:szCs w:val="24"/>
        </w:rPr>
        <w:t>.</w:t>
      </w:r>
    </w:p>
    <w:p w14:paraId="4DB139EE"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فعلى مستوى </w:t>
      </w:r>
      <w:r w:rsidRPr="00F87B67">
        <w:rPr>
          <w:rFonts w:ascii="Times New Roman" w:eastAsia="Times New Roman" w:hAnsi="Times New Roman" w:cs="Times New Roman"/>
          <w:b/>
          <w:bCs/>
          <w:sz w:val="24"/>
          <w:szCs w:val="24"/>
          <w:rtl/>
        </w:rPr>
        <w:t>التكامل المؤسسي</w:t>
      </w:r>
      <w:r w:rsidRPr="00F87B67">
        <w:rPr>
          <w:rFonts w:ascii="Times New Roman" w:eastAsia="Times New Roman" w:hAnsi="Times New Roman" w:cs="Times New Roman"/>
          <w:sz w:val="24"/>
          <w:szCs w:val="24"/>
          <w:rtl/>
        </w:rPr>
        <w:t>، تتجه المملكة إلى تعزيز الربط بين الجهات الحكومية من خلال الأطر الوطنية للحكومة الرقمية، في حين يعتمد النموذج الإماراتي على التنسيق بين الجهات الاتحادية والمحلية ضمن استراتيجية موحدة للحكومة الرقمية، بينما تقوم التجربة السنغافورية على بنية حكومية مشتركة تقودها هيئة التكنولوجيا الحكومية</w:t>
      </w:r>
      <w:r w:rsidRPr="00F87B67">
        <w:rPr>
          <w:rFonts w:ascii="Times New Roman" w:eastAsia="Times New Roman" w:hAnsi="Times New Roman" w:cs="Times New Roman"/>
          <w:sz w:val="24"/>
          <w:szCs w:val="24"/>
        </w:rPr>
        <w:t xml:space="preserve"> (</w:t>
      </w:r>
      <w:proofErr w:type="spellStart"/>
      <w:r w:rsidRPr="00F87B67">
        <w:rPr>
          <w:rFonts w:ascii="Times New Roman" w:eastAsia="Times New Roman" w:hAnsi="Times New Roman" w:cs="Times New Roman"/>
          <w:sz w:val="24"/>
          <w:szCs w:val="24"/>
        </w:rPr>
        <w:t>GovTech</w:t>
      </w:r>
      <w:proofErr w:type="spellEnd"/>
      <w:r w:rsidRPr="00F87B67">
        <w:rPr>
          <w:rFonts w:ascii="Times New Roman" w:eastAsia="Times New Roman" w:hAnsi="Times New Roman" w:cs="Times New Roman"/>
          <w:sz w:val="24"/>
          <w:szCs w:val="24"/>
        </w:rPr>
        <w:t>)</w:t>
      </w:r>
      <w:r w:rsidRPr="00F87B67">
        <w:rPr>
          <w:rFonts w:ascii="Times New Roman" w:eastAsia="Times New Roman" w:hAnsi="Times New Roman" w:cs="Times New Roman"/>
          <w:sz w:val="24"/>
          <w:szCs w:val="24"/>
          <w:rtl/>
        </w:rPr>
        <w:t>، بما يسهم في توحيد المنصات والمعايير الفنية وتقليل الازدواجية المؤسسية</w:t>
      </w:r>
      <w:r w:rsidRPr="00F87B67">
        <w:rPr>
          <w:rFonts w:ascii="Times New Roman" w:eastAsia="Times New Roman" w:hAnsi="Times New Roman" w:cs="Times New Roman"/>
          <w:sz w:val="24"/>
          <w:szCs w:val="24"/>
        </w:rPr>
        <w:t xml:space="preserve"> (</w:t>
      </w:r>
      <w:r w:rsidRPr="00F87B67">
        <w:rPr>
          <w:rFonts w:ascii="Times New Roman" w:eastAsia="Times New Roman" w:hAnsi="Times New Roman" w:cs="Times New Roman"/>
          <w:sz w:val="24"/>
          <w:szCs w:val="24"/>
          <w:rtl/>
        </w:rPr>
        <w:t>هيئة الحكومة الرقمية، 2024؛ هيئة تنظيم الاتصالات والحكومة الرقمية، د.ت؛</w:t>
      </w:r>
      <w:r w:rsidRPr="00F87B67">
        <w:rPr>
          <w:rFonts w:ascii="Times New Roman" w:eastAsia="Times New Roman" w:hAnsi="Times New Roman" w:cs="Times New Roman"/>
          <w:sz w:val="24"/>
          <w:szCs w:val="24"/>
        </w:rPr>
        <w:t xml:space="preserve"> </w:t>
      </w:r>
      <w:proofErr w:type="spellStart"/>
      <w:r w:rsidRPr="00F87B67">
        <w:rPr>
          <w:rFonts w:ascii="Times New Roman" w:eastAsia="Times New Roman" w:hAnsi="Times New Roman" w:cs="Times New Roman"/>
          <w:sz w:val="24"/>
          <w:szCs w:val="24"/>
        </w:rPr>
        <w:t>GovTech</w:t>
      </w:r>
      <w:proofErr w:type="spellEnd"/>
      <w:r w:rsidRPr="00F87B67">
        <w:rPr>
          <w:rFonts w:ascii="Times New Roman" w:eastAsia="Times New Roman" w:hAnsi="Times New Roman" w:cs="Times New Roman"/>
          <w:sz w:val="24"/>
          <w:szCs w:val="24"/>
        </w:rPr>
        <w:t xml:space="preserve"> Singapore, 2025).</w:t>
      </w:r>
    </w:p>
    <w:p w14:paraId="23083302"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وفيما يتعلق </w:t>
      </w:r>
      <w:r w:rsidRPr="00F87B67">
        <w:rPr>
          <w:rFonts w:ascii="Times New Roman" w:eastAsia="Times New Roman" w:hAnsi="Times New Roman" w:cs="Times New Roman"/>
          <w:b/>
          <w:bCs/>
          <w:sz w:val="24"/>
          <w:szCs w:val="24"/>
          <w:rtl/>
        </w:rPr>
        <w:t>بالثقافة التنظيمية وإدارة التغيير</w:t>
      </w:r>
      <w:r w:rsidRPr="00F87B67">
        <w:rPr>
          <w:rFonts w:ascii="Times New Roman" w:eastAsia="Times New Roman" w:hAnsi="Times New Roman" w:cs="Times New Roman"/>
          <w:sz w:val="24"/>
          <w:szCs w:val="24"/>
          <w:rtl/>
        </w:rPr>
        <w:t>، تبنت الدول الثلاث برامج مؤسسية لدعم التحول الرقمي، إلا أن اختلاف حجم الأجهزة الحكومية وتعدد الجهات المنفذة يجعل إدارة التغيير أكثر تعقيدًا في الأنظمة واسعة النطاق، بينما يسهم وضوح الأدوار المؤسسية وتكاملها في تعزيز سرعة تبني الممارسات الرقمية واستقرارها</w:t>
      </w:r>
      <w:r w:rsidRPr="00F87B67">
        <w:rPr>
          <w:rFonts w:ascii="Times New Roman" w:eastAsia="Times New Roman" w:hAnsi="Times New Roman" w:cs="Times New Roman"/>
          <w:sz w:val="24"/>
          <w:szCs w:val="24"/>
        </w:rPr>
        <w:t>.</w:t>
      </w:r>
    </w:p>
    <w:p w14:paraId="0C999B83"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أما </w:t>
      </w:r>
      <w:r w:rsidRPr="00F87B67">
        <w:rPr>
          <w:rFonts w:ascii="Times New Roman" w:eastAsia="Times New Roman" w:hAnsi="Times New Roman" w:cs="Times New Roman"/>
          <w:b/>
          <w:bCs/>
          <w:sz w:val="24"/>
          <w:szCs w:val="24"/>
          <w:rtl/>
        </w:rPr>
        <w:t>الموارد البشرية</w:t>
      </w:r>
      <w:r w:rsidRPr="00F87B67">
        <w:rPr>
          <w:rFonts w:ascii="Times New Roman" w:eastAsia="Times New Roman" w:hAnsi="Times New Roman" w:cs="Times New Roman"/>
          <w:sz w:val="24"/>
          <w:szCs w:val="24"/>
          <w:rtl/>
        </w:rPr>
        <w:t>، فتعد من أهم مرتكزات نجاح القضاء الرقمي؛ إذ تتطلب إدارة المنظومات الرقمية كوادر تمتلك مهارات قانونية وتقنية في آن واحد. ولذلك اتجهت المملكة والإمارات إلى تنفيذ برامج وطنية لبناء القدرات الرقمية، في حين اعتمدت سنغافورة نموذجًا مؤسسيًا مستمرًا لتأهيل موظفي القطاع العام من خلال الأكاديمية الرقمية الحكومية، بما يعزز استدامة الكفاءات الرقمية</w:t>
      </w:r>
      <w:r w:rsidRPr="00F87B67">
        <w:rPr>
          <w:rFonts w:ascii="Times New Roman" w:eastAsia="Times New Roman" w:hAnsi="Times New Roman" w:cs="Times New Roman"/>
          <w:sz w:val="24"/>
          <w:szCs w:val="24"/>
        </w:rPr>
        <w:t xml:space="preserve"> (</w:t>
      </w:r>
      <w:proofErr w:type="spellStart"/>
      <w:r w:rsidRPr="00F87B67">
        <w:rPr>
          <w:rFonts w:ascii="Times New Roman" w:eastAsia="Times New Roman" w:hAnsi="Times New Roman" w:cs="Times New Roman"/>
          <w:sz w:val="24"/>
          <w:szCs w:val="24"/>
        </w:rPr>
        <w:t>GovTech</w:t>
      </w:r>
      <w:proofErr w:type="spellEnd"/>
      <w:r w:rsidRPr="00F87B67">
        <w:rPr>
          <w:rFonts w:ascii="Times New Roman" w:eastAsia="Times New Roman" w:hAnsi="Times New Roman" w:cs="Times New Roman"/>
          <w:sz w:val="24"/>
          <w:szCs w:val="24"/>
        </w:rPr>
        <w:t xml:space="preserve"> Singapore, 2025).</w:t>
      </w:r>
    </w:p>
    <w:p w14:paraId="7BEFA483"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وفي مجال </w:t>
      </w:r>
      <w:r w:rsidRPr="00F87B67">
        <w:rPr>
          <w:rFonts w:ascii="Times New Roman" w:eastAsia="Times New Roman" w:hAnsi="Times New Roman" w:cs="Times New Roman"/>
          <w:b/>
          <w:bCs/>
          <w:sz w:val="24"/>
          <w:szCs w:val="24"/>
          <w:rtl/>
        </w:rPr>
        <w:t>الحوكمة الرقمية</w:t>
      </w:r>
      <w:r w:rsidRPr="00F87B67">
        <w:rPr>
          <w:rFonts w:ascii="Times New Roman" w:eastAsia="Times New Roman" w:hAnsi="Times New Roman" w:cs="Times New Roman"/>
          <w:sz w:val="24"/>
          <w:szCs w:val="24"/>
          <w:rtl/>
        </w:rPr>
        <w:t>، اتفقت الأنظمة الثلاثة على اعتماد سياسات تنظم إدارة البيانات والخدمات الرقمية، إلا أن نطاق هذه الحوكمة وآليات تنفيذها يختلف باختلاف البناء المؤسسي لكل دولة. فالسعودية تعمل على تطوير الأطر التنظيمية من خلال هيئة الحكومة الرقمية، بينما اعتمدت الإمارات نموذج نضج الحكومة الرقمية لقياس أداء الجهات الحكومية، في حين تتميز سنغافورة بوجود منظومة مؤسسية مستقرة تقوم على توحيد المعايير والإشراف المركزي على البنية الرقمية الحكومية (هيئة الحكومة الرقمية، 2024؛ هيئة تنظيم الاتصالات والحكومة الرقمية، د.ت)</w:t>
      </w:r>
      <w:r w:rsidRPr="00F87B67">
        <w:rPr>
          <w:rFonts w:ascii="Times New Roman" w:eastAsia="Times New Roman" w:hAnsi="Times New Roman" w:cs="Times New Roman"/>
          <w:sz w:val="24"/>
          <w:szCs w:val="24"/>
        </w:rPr>
        <w:t>.</w:t>
      </w:r>
    </w:p>
    <w:p w14:paraId="33873113"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كما أظهرت المقارنة أن </w:t>
      </w:r>
      <w:r w:rsidRPr="00F87B67">
        <w:rPr>
          <w:rFonts w:ascii="Times New Roman" w:eastAsia="Times New Roman" w:hAnsi="Times New Roman" w:cs="Times New Roman"/>
          <w:b/>
          <w:bCs/>
          <w:sz w:val="24"/>
          <w:szCs w:val="24"/>
          <w:rtl/>
        </w:rPr>
        <w:t>التشريعات</w:t>
      </w:r>
      <w:r w:rsidRPr="00F87B67">
        <w:rPr>
          <w:rFonts w:ascii="Times New Roman" w:eastAsia="Times New Roman" w:hAnsi="Times New Roman" w:cs="Times New Roman"/>
          <w:sz w:val="24"/>
          <w:szCs w:val="24"/>
          <w:rtl/>
        </w:rPr>
        <w:t xml:space="preserve"> في الدول الثلاث تخضع للتحديث المستمر لمواكبة التطور التقني، غير أن فاعلية هذه التشريعات ترتبط بسرعة إصدار اللوائح التنفيذية وتكاملها مع السياسات التنظيمية، بما يحقق التوازن بين الابتكار وحماية الحقوق الإجرائية</w:t>
      </w:r>
      <w:r w:rsidRPr="00F87B67">
        <w:rPr>
          <w:rFonts w:ascii="Times New Roman" w:eastAsia="Times New Roman" w:hAnsi="Times New Roman" w:cs="Times New Roman"/>
          <w:sz w:val="24"/>
          <w:szCs w:val="24"/>
        </w:rPr>
        <w:t>.</w:t>
      </w:r>
    </w:p>
    <w:p w14:paraId="64726690"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t xml:space="preserve">وفيما يخص </w:t>
      </w:r>
      <w:r w:rsidRPr="00F87B67">
        <w:rPr>
          <w:rFonts w:ascii="Times New Roman" w:eastAsia="Times New Roman" w:hAnsi="Times New Roman" w:cs="Times New Roman"/>
          <w:b/>
          <w:bCs/>
          <w:sz w:val="24"/>
          <w:szCs w:val="24"/>
          <w:rtl/>
        </w:rPr>
        <w:t>القيادة واتخاذ القرار</w:t>
      </w:r>
      <w:r w:rsidRPr="00F87B67">
        <w:rPr>
          <w:rFonts w:ascii="Times New Roman" w:eastAsia="Times New Roman" w:hAnsi="Times New Roman" w:cs="Times New Roman"/>
          <w:sz w:val="24"/>
          <w:szCs w:val="24"/>
          <w:rtl/>
        </w:rPr>
        <w:t>، يختلف النموذج المؤسسي بين الدول الثلاث؛ إذ يعتمد نجاح التحول الرقمي على وجود قيادة قادرة على توجيه السياسات الرقمية، وتنسيق جهود الجهات المختلفة، واتخاذ القرارات استنادًا إلى البيانات والمؤشرات، وهو ما يشكل أحد عناصر الحوكمة الحديثة في إدارة العدالة الرقمية</w:t>
      </w:r>
      <w:r w:rsidRPr="00F87B67">
        <w:rPr>
          <w:rFonts w:ascii="Times New Roman" w:eastAsia="Times New Roman" w:hAnsi="Times New Roman" w:cs="Times New Roman"/>
          <w:sz w:val="24"/>
          <w:szCs w:val="24"/>
        </w:rPr>
        <w:t>.</w:t>
      </w:r>
    </w:p>
    <w:p w14:paraId="13D59927" w14:textId="77777777" w:rsidR="00F87B67" w:rsidRPr="00F87B67" w:rsidRDefault="00F87B67" w:rsidP="00F87B67">
      <w:pPr>
        <w:spacing w:before="100" w:beforeAutospacing="1" w:after="100" w:afterAutospacing="1" w:line="360" w:lineRule="auto"/>
        <w:jc w:val="left"/>
        <w:rPr>
          <w:rFonts w:ascii="Times New Roman" w:eastAsia="Times New Roman" w:hAnsi="Times New Roman" w:cs="Times New Roman"/>
          <w:sz w:val="24"/>
          <w:szCs w:val="24"/>
        </w:rPr>
      </w:pPr>
      <w:r w:rsidRPr="00F87B67">
        <w:rPr>
          <w:rFonts w:ascii="Times New Roman" w:eastAsia="Times New Roman" w:hAnsi="Times New Roman" w:cs="Times New Roman"/>
          <w:sz w:val="24"/>
          <w:szCs w:val="24"/>
          <w:rtl/>
        </w:rPr>
        <w:lastRenderedPageBreak/>
        <w:t xml:space="preserve">أما </w:t>
      </w:r>
      <w:r w:rsidRPr="00F87B67">
        <w:rPr>
          <w:rFonts w:ascii="Times New Roman" w:eastAsia="Times New Roman" w:hAnsi="Times New Roman" w:cs="Times New Roman"/>
          <w:b/>
          <w:bCs/>
          <w:sz w:val="24"/>
          <w:szCs w:val="24"/>
          <w:rtl/>
        </w:rPr>
        <w:t>إدارة البيانات</w:t>
      </w:r>
      <w:r w:rsidRPr="00F87B67">
        <w:rPr>
          <w:rFonts w:ascii="Times New Roman" w:eastAsia="Times New Roman" w:hAnsi="Times New Roman" w:cs="Times New Roman"/>
          <w:sz w:val="24"/>
          <w:szCs w:val="24"/>
          <w:rtl/>
        </w:rPr>
        <w:t>، فقد أصبحت تمثل محورًا رئيسًا في التحول الرقمي، حيث تسعى الدول الثلاث إلى تطوير أطر حوكمة البيانات وتعزيز تبادلها بين الجهات الحكومية مع المحافظة على متطلبات الخصوصية والأمن السيبراني، الأمر الذي يسهم في رفع كفاءة الإجراءات القضائية وسرعة إنجازها</w:t>
      </w:r>
      <w:r w:rsidRPr="00F87B67">
        <w:rPr>
          <w:rFonts w:ascii="Times New Roman" w:eastAsia="Times New Roman" w:hAnsi="Times New Roman" w:cs="Times New Roman"/>
          <w:sz w:val="24"/>
          <w:szCs w:val="24"/>
        </w:rPr>
        <w:t>.</w:t>
      </w:r>
    </w:p>
    <w:p w14:paraId="04A4009A" w14:textId="4FDD15C5" w:rsidR="003B3BAB" w:rsidRPr="00DA34D7" w:rsidRDefault="00F87B67" w:rsidP="00DA34D7">
      <w:pPr>
        <w:spacing w:before="100" w:beforeAutospacing="1" w:after="100" w:afterAutospacing="1" w:line="360" w:lineRule="auto"/>
        <w:jc w:val="left"/>
        <w:rPr>
          <w:rFonts w:ascii="Times New Roman" w:eastAsia="Times New Roman" w:hAnsi="Times New Roman" w:cs="Times New Roman"/>
          <w:sz w:val="24"/>
          <w:szCs w:val="24"/>
          <w:rtl/>
        </w:rPr>
      </w:pPr>
      <w:r w:rsidRPr="00F87B67">
        <w:rPr>
          <w:rFonts w:ascii="Times New Roman" w:eastAsia="Times New Roman" w:hAnsi="Times New Roman" w:cs="Times New Roman"/>
          <w:sz w:val="24"/>
          <w:szCs w:val="24"/>
          <w:rtl/>
        </w:rPr>
        <w:t xml:space="preserve">وأخيرًا، يشكل </w:t>
      </w:r>
      <w:r w:rsidRPr="00F87B67">
        <w:rPr>
          <w:rFonts w:ascii="Times New Roman" w:eastAsia="Times New Roman" w:hAnsi="Times New Roman" w:cs="Times New Roman"/>
          <w:b/>
          <w:bCs/>
          <w:sz w:val="24"/>
          <w:szCs w:val="24"/>
          <w:rtl/>
        </w:rPr>
        <w:t>الابتكار المؤسسي</w:t>
      </w:r>
      <w:r w:rsidRPr="00F87B67">
        <w:rPr>
          <w:rFonts w:ascii="Times New Roman" w:eastAsia="Times New Roman" w:hAnsi="Times New Roman" w:cs="Times New Roman"/>
          <w:sz w:val="24"/>
          <w:szCs w:val="24"/>
          <w:rtl/>
        </w:rPr>
        <w:t xml:space="preserve"> أحد العوامل الحاسمة في استدامة التحول الرقمي، إذ لم تعد المؤسسات القضائية تكتفي </w:t>
      </w:r>
      <w:proofErr w:type="spellStart"/>
      <w:r w:rsidRPr="00F87B67">
        <w:rPr>
          <w:rFonts w:ascii="Times New Roman" w:eastAsia="Times New Roman" w:hAnsi="Times New Roman" w:cs="Times New Roman"/>
          <w:sz w:val="24"/>
          <w:szCs w:val="24"/>
          <w:rtl/>
        </w:rPr>
        <w:t>برقمنة</w:t>
      </w:r>
      <w:proofErr w:type="spellEnd"/>
      <w:r w:rsidRPr="00F87B67">
        <w:rPr>
          <w:rFonts w:ascii="Times New Roman" w:eastAsia="Times New Roman" w:hAnsi="Times New Roman" w:cs="Times New Roman"/>
          <w:sz w:val="24"/>
          <w:szCs w:val="24"/>
          <w:rtl/>
        </w:rPr>
        <w:t xml:space="preserve"> الإجراءات التقليدية، وإنما تتجه إلى إعادة تصميم العمليات والاستفادة من التقنيات الناشئة، مثل الذكاء الاصطناعي وتحليل البيانات، مع مراعاة الضمانات القانونية والاعتبارات الأخلاقية</w:t>
      </w:r>
      <w:r w:rsidRPr="00F87B67">
        <w:rPr>
          <w:rFonts w:ascii="Times New Roman" w:eastAsia="Times New Roman" w:hAnsi="Times New Roman" w:cs="Times New Roman"/>
          <w:sz w:val="24"/>
          <w:szCs w:val="24"/>
        </w:rPr>
        <w:t>.</w:t>
      </w:r>
    </w:p>
    <w:p w14:paraId="38DCCA1A" w14:textId="00AA98B6"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4141E3">
        <w:rPr>
          <w:rFonts w:ascii="Times New Roman" w:hAnsi="Times New Roman" w:cs="Times New Roman"/>
          <w:sz w:val="24"/>
          <w:szCs w:val="24"/>
          <w:rtl/>
        </w:rPr>
        <w:t>يتضح من التحليل المقارن أن التحديات المؤسسية والتنظيمية للتحول الرقمي لا ترتبط بمدى توافر التكنولوجيا بقدر ارتباطها بقدرة النظم الإدارية على استيعاب هذا التحول وإدارته بكفاءة. فبينما تعاني المملكة العربية السعودية من تحديات هيكلية مرتبطة بالمركزية وضعف التكامل المؤسسي، تواجه الإمارات إشكاليات تنسيقية وتشريعية نتيجة تسارع الابتكار، في حين تبرز في سنغافورة تحديات ذات طابع استراتيجي تتعلق باستدامة الريادة الرقمية. وعليه، فإن نجاح التحول الرقمي يتطلب نموذجًا متوازنًا يجمع بين الحوكمة المركزية والمرونة التشغيلية، ويؤسس لبيئة تشريعية ديناميكية قادرة على مواكبة التطورات التقنية دون الإخلال بالاستقرار القانوني</w:t>
      </w:r>
      <w:r w:rsidRPr="004141E3">
        <w:rPr>
          <w:rFonts w:ascii="Times New Roman" w:hAnsi="Times New Roman" w:cs="Times New Roman"/>
          <w:sz w:val="24"/>
          <w:szCs w:val="24"/>
        </w:rPr>
        <w:t>.</w:t>
      </w:r>
    </w:p>
    <w:p w14:paraId="5FD77137" w14:textId="77777777" w:rsidR="003B3BAB" w:rsidRPr="004141E3" w:rsidRDefault="003B3BAB" w:rsidP="00AA2D35">
      <w:pPr>
        <w:bidi w:val="0"/>
        <w:spacing w:line="360" w:lineRule="auto"/>
        <w:jc w:val="left"/>
        <w:rPr>
          <w:rFonts w:ascii="Times New Roman" w:eastAsia="Times New Roman" w:hAnsi="Times New Roman" w:cs="Times New Roman"/>
          <w:b/>
          <w:bCs/>
          <w:sz w:val="24"/>
          <w:szCs w:val="24"/>
          <w:rtl/>
        </w:rPr>
      </w:pPr>
      <w:r w:rsidRPr="004141E3">
        <w:rPr>
          <w:rFonts w:ascii="Times New Roman" w:eastAsia="Times New Roman" w:hAnsi="Times New Roman" w:cs="Times New Roman"/>
          <w:b/>
          <w:bCs/>
          <w:sz w:val="24"/>
          <w:szCs w:val="24"/>
          <w:rtl/>
        </w:rPr>
        <w:br w:type="page"/>
      </w:r>
    </w:p>
    <w:p w14:paraId="38DE5C04" w14:textId="31755293"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lastRenderedPageBreak/>
        <w:t>رابعاً</w:t>
      </w:r>
      <w:r w:rsidRPr="003B3BAB">
        <w:rPr>
          <w:rtl/>
        </w:rPr>
        <w:t xml:space="preserve"> </w:t>
      </w:r>
      <w:r w:rsidRPr="003B3BAB">
        <w:rPr>
          <w:rFonts w:ascii="Times New Roman" w:hAnsi="Times New Roman" w:cs="Times New Roman"/>
          <w:b/>
          <w:bCs/>
          <w:sz w:val="28"/>
          <w:szCs w:val="28"/>
          <w:rtl/>
        </w:rPr>
        <w:t>التحديات الأمنية</w:t>
      </w:r>
    </w:p>
    <w:p w14:paraId="3DADC4C9"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الإطار المفاهيمي للتحديات الأمنية في التحول الرقمي</w:t>
      </w:r>
    </w:p>
    <w:p w14:paraId="4E63266A"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التحديات الأمنية</w:t>
      </w:r>
      <w:r w:rsidRPr="004141E3">
        <w:rPr>
          <w:rFonts w:ascii="Times New Roman" w:eastAsia="Times New Roman" w:hAnsi="Times New Roman" w:cs="Times New Roman"/>
          <w:sz w:val="24"/>
          <w:szCs w:val="24"/>
        </w:rPr>
        <w:t xml:space="preserve"> (Cybersecurity Challenges) </w:t>
      </w:r>
      <w:r w:rsidRPr="004141E3">
        <w:rPr>
          <w:rFonts w:ascii="Times New Roman" w:eastAsia="Times New Roman" w:hAnsi="Times New Roman" w:cs="Times New Roman"/>
          <w:sz w:val="24"/>
          <w:szCs w:val="24"/>
          <w:rtl/>
        </w:rPr>
        <w:t>في التحول الرقمي لا تقتصر على الاختراقات التقنية، بل تشمل</w:t>
      </w:r>
      <w:r w:rsidRPr="004141E3">
        <w:rPr>
          <w:rFonts w:ascii="Times New Roman" w:eastAsia="Times New Roman" w:hAnsi="Times New Roman" w:cs="Times New Roman"/>
          <w:sz w:val="24"/>
          <w:szCs w:val="24"/>
        </w:rPr>
        <w:t>:</w:t>
      </w:r>
    </w:p>
    <w:p w14:paraId="01574890" w14:textId="0C876A2C"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أمن المعلومات</w:t>
      </w:r>
      <w:r w:rsidRPr="004141E3">
        <w:rPr>
          <w:rFonts w:ascii="Times New Roman" w:eastAsia="Times New Roman" w:hAnsi="Times New Roman" w:cs="Times New Roman"/>
          <w:sz w:val="24"/>
          <w:szCs w:val="24"/>
        </w:rPr>
        <w:t xml:space="preserve"> (Information Security)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حماية البنية التحتية الرقمية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أمن البيانات والخصوصية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الحوكمة الأمنية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الأمن التشريعي والتنظيمي </w:t>
      </w:r>
    </w:p>
    <w:p w14:paraId="2D489C73" w14:textId="2B4731C1"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ويُعد الأمن السيبراني </w:t>
      </w:r>
      <w:r w:rsidRPr="004141E3">
        <w:rPr>
          <w:rFonts w:ascii="Times New Roman" w:eastAsia="Times New Roman" w:hAnsi="Times New Roman" w:cs="Times New Roman"/>
          <w:b/>
          <w:bCs/>
          <w:sz w:val="24"/>
          <w:szCs w:val="24"/>
          <w:rtl/>
        </w:rPr>
        <w:t>ركيزة أساسية لنجاح التحول الرقمي</w:t>
      </w:r>
      <w:r w:rsidRPr="004141E3">
        <w:rPr>
          <w:rFonts w:ascii="Times New Roman" w:eastAsia="Times New Roman" w:hAnsi="Times New Roman" w:cs="Times New Roman"/>
          <w:sz w:val="24"/>
          <w:szCs w:val="24"/>
          <w:rtl/>
        </w:rPr>
        <w:t xml:space="preserve"> وليس عنصرًا داعمًا فقط </w:t>
      </w:r>
    </w:p>
    <w:p w14:paraId="3D7926A1"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يمثل الأمن السيبراني خط الدفاع الأول ضد جرائم المعلوماتية، بينما تمثل المسؤولية الجنائية الأداة القانونية للردع والمعاقبة</w:t>
      </w:r>
      <w:r w:rsidRPr="004141E3">
        <w:rPr>
          <w:rFonts w:ascii="Times New Roman" w:eastAsia="Times New Roman" w:hAnsi="Times New Roman" w:cs="Times New Roman"/>
          <w:sz w:val="24"/>
          <w:szCs w:val="24"/>
        </w:rPr>
        <w:t>.</w:t>
      </w:r>
      <w:r w:rsidRPr="004141E3">
        <w:rPr>
          <w:rFonts w:ascii="Times New Roman" w:eastAsia="Times New Roman" w:hAnsi="Times New Roman" w:cs="Times New Roman"/>
          <w:sz w:val="24"/>
          <w:szCs w:val="24"/>
        </w:rPr>
        <w:br/>
      </w:r>
      <w:r w:rsidRPr="004141E3">
        <w:rPr>
          <w:rFonts w:ascii="Times New Roman" w:eastAsia="Times New Roman" w:hAnsi="Times New Roman" w:cs="Times New Roman"/>
          <w:sz w:val="24"/>
          <w:szCs w:val="24"/>
          <w:rtl/>
        </w:rPr>
        <w:t>وتنشأ العلاقة بينهما على أساس</w:t>
      </w:r>
      <w:r w:rsidRPr="004141E3">
        <w:rPr>
          <w:rFonts w:ascii="Times New Roman" w:eastAsia="Times New Roman" w:hAnsi="Times New Roman" w:cs="Times New Roman"/>
          <w:sz w:val="24"/>
          <w:szCs w:val="24"/>
        </w:rPr>
        <w:t>:</w:t>
      </w:r>
    </w:p>
    <w:p w14:paraId="6BCBB9DD" w14:textId="77777777" w:rsidR="003B3BAB" w:rsidRPr="004141E3"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كل خلل أمني = احتمال وقوع جريمة معلوماتية = إشكال في تحديد المسؤولية الجنائية</w:t>
      </w:r>
    </w:p>
    <w:p w14:paraId="011471C8"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وبالتالي فإن</w:t>
      </w:r>
      <w:r w:rsidRPr="004141E3">
        <w:rPr>
          <w:rFonts w:ascii="Times New Roman" w:eastAsia="Times New Roman" w:hAnsi="Times New Roman" w:cs="Times New Roman"/>
          <w:sz w:val="24"/>
          <w:szCs w:val="24"/>
        </w:rPr>
        <w:t>:</w:t>
      </w:r>
    </w:p>
    <w:p w14:paraId="085DB9BC"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ضعف الأمن لا يُنتج فقط مخاطر تقنية </w:t>
      </w:r>
    </w:p>
    <w:p w14:paraId="5BE7C5A6" w14:textId="6F272F30"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بل يُثير إشكالات قانونية تتعلق بـ</w:t>
      </w:r>
      <w:r w:rsidRPr="004141E3">
        <w:rPr>
          <w:rFonts w:ascii="Times New Roman" w:eastAsia="Times New Roman" w:hAnsi="Times New Roman" w:cs="Times New Roman"/>
          <w:sz w:val="24"/>
          <w:szCs w:val="24"/>
        </w:rPr>
        <w:t xml:space="preserve">: </w:t>
      </w:r>
      <w:r w:rsidRPr="004141E3">
        <w:rPr>
          <w:rFonts w:ascii="Times New Roman" w:eastAsia="Times New Roman" w:hAnsi="Times New Roman" w:cs="Times New Roman"/>
          <w:sz w:val="24"/>
          <w:szCs w:val="24"/>
          <w:rtl/>
        </w:rPr>
        <w:t xml:space="preserve">الإسناد </w:t>
      </w:r>
      <w:r w:rsidR="004141E3" w:rsidRPr="004141E3">
        <w:rPr>
          <w:rFonts w:ascii="Times New Roman" w:eastAsia="Times New Roman" w:hAnsi="Times New Roman" w:cs="Times New Roman" w:hint="cs"/>
          <w:sz w:val="24"/>
          <w:szCs w:val="24"/>
          <w:rtl/>
        </w:rPr>
        <w:t>الجنائي، الركن</w:t>
      </w:r>
      <w:r w:rsidRPr="004141E3">
        <w:rPr>
          <w:rFonts w:ascii="Times New Roman" w:eastAsia="Times New Roman" w:hAnsi="Times New Roman" w:cs="Times New Roman"/>
          <w:sz w:val="24"/>
          <w:szCs w:val="24"/>
          <w:rtl/>
        </w:rPr>
        <w:t xml:space="preserve"> المادي</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الركن المعنوي</w:t>
      </w:r>
      <w:r w:rsidRPr="004141E3">
        <w:rPr>
          <w:rFonts w:ascii="Times New Roman" w:eastAsia="Times New Roman" w:hAnsi="Times New Roman" w:cs="Times New Roman" w:hint="cs"/>
          <w:sz w:val="24"/>
          <w:szCs w:val="24"/>
          <w:rtl/>
        </w:rPr>
        <w:t>.</w:t>
      </w:r>
    </w:p>
    <w:p w14:paraId="46A14F1E"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أثر التحديات الأمنية على أركان الجريمة المعلوماتية</w:t>
      </w:r>
    </w:p>
    <w:p w14:paraId="35651255" w14:textId="3731BE9B"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الركن المادي (السلوك الإجرامي)</w:t>
      </w:r>
    </w:p>
    <w:p w14:paraId="7FD86AB6" w14:textId="39DA3BC1" w:rsidR="003B3BAB"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التحديات الأمنية مثل</w:t>
      </w:r>
      <w:r w:rsidR="001A5DD6">
        <w:rPr>
          <w:rFonts w:ascii="Times New Roman" w:eastAsia="Times New Roman" w:hAnsi="Times New Roman" w:cs="Times New Roman"/>
          <w:sz w:val="24"/>
          <w:szCs w:val="24"/>
        </w:rPr>
        <w:t>:</w:t>
      </w:r>
    </w:p>
    <w:p w14:paraId="73DBF3B4" w14:textId="77777777" w:rsidR="001A5DD6" w:rsidRPr="001A5DD6" w:rsidRDefault="001A5DD6" w:rsidP="00AA2D35">
      <w:pPr>
        <w:pStyle w:val="3"/>
        <w:spacing w:line="360" w:lineRule="auto"/>
        <w:rPr>
          <w:bCs/>
          <w:color w:val="auto"/>
          <w:sz w:val="27"/>
          <w:szCs w:val="27"/>
        </w:rPr>
      </w:pPr>
      <w:r w:rsidRPr="001A5DD6">
        <w:rPr>
          <w:bCs/>
          <w:color w:val="auto"/>
          <w:sz w:val="27"/>
          <w:szCs w:val="27"/>
          <w:rtl/>
        </w:rPr>
        <w:t>الثغرات التقنية وضعف الحماية والاختراقات</w:t>
      </w:r>
    </w:p>
    <w:p w14:paraId="58214012"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تُعد الثغرات التقنية من أبرز التحديات التي تواجه أنظمة التحول الرقمي، وهي نقاط ضعف في البرامج أو الشبكات أو الأنظمة الإلكترونية يمكن أن يستغلها المهاجمون للوصول إلى البيانات أو تعطيل الخدمات. وتزداد خطورة هذه الثغرات عندما تكون إجراءات الحماية غير كافية أو عندما لا يتم تحديث الأنظمة بشكل مستمر</w:t>
      </w:r>
      <w:r w:rsidRPr="001A5DD6">
        <w:rPr>
          <w:rFonts w:ascii="Times New Roman" w:eastAsia="Times New Roman" w:hAnsi="Times New Roman" w:cs="Times New Roman"/>
          <w:sz w:val="24"/>
          <w:szCs w:val="24"/>
        </w:rPr>
        <w:t>.</w:t>
      </w:r>
    </w:p>
    <w:p w14:paraId="111FEBF4" w14:textId="77777777" w:rsid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0EA3C82F" w14:textId="0E87F71E"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lastRenderedPageBreak/>
        <w:t>ويؤدي ضعف الحماية التقنية إلى زيادة احتمالية التعرض للاختراقات الإلكترونية، والتي قد ينتج عنها تسرب المعلومات الحساسة أو التلاعب بالبيانات أو تعطيل الأنظمة والخدمات الرقمية. وتزداد هذه المخاطر في الجهات التي تتعامل مع بيانات مهمة، مثل الجهات الحكومية والقضائية</w:t>
      </w:r>
      <w:r w:rsidRPr="001A5DD6">
        <w:rPr>
          <w:rFonts w:ascii="Times New Roman" w:eastAsia="Times New Roman" w:hAnsi="Times New Roman" w:cs="Times New Roman"/>
          <w:sz w:val="24"/>
          <w:szCs w:val="24"/>
        </w:rPr>
        <w:t>.</w:t>
      </w:r>
    </w:p>
    <w:p w14:paraId="6EC7D32F" w14:textId="48CB1CBB" w:rsidR="001A5DD6" w:rsidRPr="004141E3"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لذلك يتطلب نجاح التحول الرقمي تطبيق إجراءات أمنية فعالة، تشمل تحديث الأنظمة بشكل دوري، واستخدام تقنيات التشفير، وتعزيز أنظمة الحماية والمراقبة الإلكترونية، ورفع مستوى الوعي الأمني لدى المستخدمين، للحد من مخاطر الاختراق وضمان حماية البيانات واستمرارية الخدمات الرقمية</w:t>
      </w:r>
      <w:r w:rsidRPr="001A5DD6">
        <w:rPr>
          <w:rFonts w:ascii="Times New Roman" w:eastAsia="Times New Roman" w:hAnsi="Times New Roman" w:cs="Times New Roman"/>
          <w:sz w:val="24"/>
          <w:szCs w:val="24"/>
        </w:rPr>
        <w:t>.</w:t>
      </w:r>
    </w:p>
    <w:p w14:paraId="56CA26B0" w14:textId="51589487" w:rsidR="003B3BAB" w:rsidRPr="001A5DD6"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تؤدي إلى</w:t>
      </w:r>
      <w:r w:rsidRPr="004141E3">
        <w:rPr>
          <w:rFonts w:ascii="Times New Roman" w:eastAsia="Times New Roman" w:hAnsi="Times New Roman" w:cs="Times New Roman"/>
          <w:sz w:val="24"/>
          <w:szCs w:val="24"/>
        </w:rPr>
        <w:t>:</w:t>
      </w:r>
      <w:r w:rsidR="004141E3" w:rsidRPr="004141E3">
        <w:rPr>
          <w:rFonts w:ascii="Times New Roman" w:eastAsia="Times New Roman" w:hAnsi="Times New Roman" w:cs="Times New Roman"/>
          <w:sz w:val="24"/>
          <w:szCs w:val="24"/>
          <w:rtl/>
        </w:rPr>
        <w:t xml:space="preserve"> صعوبة تحديد الفعل الإجرامي بدقة</w:t>
      </w:r>
      <w:r w:rsidR="004141E3" w:rsidRPr="004141E3">
        <w:rPr>
          <w:rFonts w:ascii="Times New Roman" w:eastAsia="Times New Roman" w:hAnsi="Times New Roman" w:cs="Times New Roman" w:hint="cs"/>
          <w:sz w:val="24"/>
          <w:szCs w:val="24"/>
          <w:rtl/>
        </w:rPr>
        <w:t>،</w:t>
      </w:r>
      <w:r w:rsidR="004141E3" w:rsidRPr="004141E3">
        <w:rPr>
          <w:rFonts w:ascii="Times New Roman" w:eastAsia="Times New Roman" w:hAnsi="Times New Roman" w:cs="Times New Roman"/>
          <w:sz w:val="24"/>
          <w:szCs w:val="24"/>
          <w:rtl/>
        </w:rPr>
        <w:t xml:space="preserve"> تعدد الأفعال (اختراق – تسريب – تعديل بيانات</w:t>
      </w:r>
      <w:r w:rsidR="004141E3">
        <w:rPr>
          <w:rFonts w:ascii="Times New Roman" w:eastAsia="Times New Roman" w:hAnsi="Times New Roman" w:cs="Times New Roman" w:hint="cs"/>
          <w:sz w:val="24"/>
          <w:szCs w:val="24"/>
          <w:rtl/>
        </w:rPr>
        <w:t>.</w:t>
      </w:r>
    </w:p>
    <w:p w14:paraId="43682AE1" w14:textId="052E283C"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الركن المعنوي (القصد الجنائي)</w:t>
      </w:r>
    </w:p>
    <w:p w14:paraId="59E9A3FA" w14:textId="5C782AD0" w:rsidR="001A5DD6" w:rsidRPr="001A5DD6" w:rsidRDefault="001A5DD6"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1A5DD6">
        <w:rPr>
          <w:rFonts w:ascii="Times New Roman" w:eastAsia="Times New Roman" w:hAnsi="Times New Roman" w:cs="Times New Roman"/>
          <w:sz w:val="24"/>
          <w:szCs w:val="24"/>
          <w:rtl/>
        </w:rPr>
        <w:t>يُعد الركن المعنوي</w:t>
      </w:r>
      <w:r w:rsidRPr="001A5DD6">
        <w:rPr>
          <w:rFonts w:ascii="Times New Roman" w:eastAsia="Times New Roman" w:hAnsi="Times New Roman" w:cs="Times New Roman" w:hint="cs"/>
          <w:sz w:val="24"/>
          <w:szCs w:val="24"/>
          <w:vertAlign w:val="superscript"/>
          <w:rtl/>
        </w:rPr>
        <w:t>(</w:t>
      </w:r>
      <w:r w:rsidRPr="00AB790E">
        <w:rPr>
          <w:rStyle w:val="a8"/>
          <w:rFonts w:ascii="Times New Roman" w:eastAsia="Times New Roman" w:hAnsi="Times New Roman" w:cs="Times New Roman"/>
          <w:vanish/>
          <w:sz w:val="24"/>
          <w:szCs w:val="24"/>
          <w:vertAlign w:val="baseline"/>
          <w:rtl/>
        </w:rPr>
        <w:footnoteReference w:id="32"/>
      </w:r>
      <w:r w:rsidRPr="001A5DD6">
        <w:rPr>
          <w:rFonts w:ascii="Times New Roman" w:eastAsia="Times New Roman" w:hAnsi="Times New Roman" w:cs="Times New Roman" w:hint="cs"/>
          <w:sz w:val="24"/>
          <w:szCs w:val="24"/>
          <w:vertAlign w:val="superscript"/>
          <w:rtl/>
        </w:rPr>
        <w:t>1)</w:t>
      </w:r>
      <w:r w:rsidRPr="001A5DD6">
        <w:rPr>
          <w:rFonts w:ascii="Times New Roman" w:eastAsia="Times New Roman" w:hAnsi="Times New Roman" w:cs="Times New Roman"/>
          <w:sz w:val="24"/>
          <w:szCs w:val="24"/>
          <w:vertAlign w:val="superscript"/>
          <w:rtl/>
        </w:rPr>
        <w:t xml:space="preserve"> </w:t>
      </w:r>
      <w:r w:rsidRPr="001A5DD6">
        <w:rPr>
          <w:rFonts w:ascii="Times New Roman" w:eastAsia="Times New Roman" w:hAnsi="Times New Roman" w:cs="Times New Roman"/>
          <w:sz w:val="24"/>
          <w:szCs w:val="24"/>
          <w:rtl/>
        </w:rPr>
        <w:t>أحد الأركان الأساسية للمسؤولية الجنائية، ويقصد به الحالة النفسية للجاني وقت ارتكاب الفعل المجرم، والتي تتمثل عادة في العلم والإرادة، أي أن يكون الجاني عالمًا بالفعل الذي يقوم به ومريدًا للنتيجة المترتبة عليه. إلا أن البيئة الرقمية أوجدت تحديات جديدة في إثبات هذا الركن، نتيجة تعقيد الأنظمة التقنية وتعدد الأطراف المتدخلة في تشغيلها وإدارتها</w:t>
      </w:r>
      <w:r w:rsidRPr="001A5DD6">
        <w:rPr>
          <w:rFonts w:ascii="Times New Roman" w:eastAsia="Times New Roman" w:hAnsi="Times New Roman" w:cs="Times New Roman"/>
          <w:sz w:val="24"/>
          <w:szCs w:val="24"/>
        </w:rPr>
        <w:t>.</w:t>
      </w:r>
    </w:p>
    <w:p w14:paraId="7344916F"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ففي الجرائم الرقمية قد يقع الضرر نتيجة اختراق متعمد من قبل الجاني، وفي هذه الحالة يتوافر القصد الجنائي المباشر لعلمه بالفعل غير المشروع واتجاه إرادته إلى إحداث النتيجة الإجرامية. إلا أن الضرر قد يحدث أحيانًا دون قصد مباشر، كأن يكون نتيجة إهمال تقني أو ضعف في إجراءات الحماية أو عدم تحديث الأنظمة الأمنية، مما يثير إشكالية تحديد المسؤولية الجنائية</w:t>
      </w:r>
      <w:r w:rsidRPr="001A5DD6">
        <w:rPr>
          <w:rFonts w:ascii="Times New Roman" w:eastAsia="Times New Roman" w:hAnsi="Times New Roman" w:cs="Times New Roman"/>
          <w:sz w:val="24"/>
          <w:szCs w:val="24"/>
        </w:rPr>
        <w:t>.</w:t>
      </w:r>
    </w:p>
    <w:p w14:paraId="288C4F27"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ومن هنا يبرز التساؤل القانوني: هل تقع المسؤولية على المخترق وحده باعتباره الفاعل المباشر للجريمة، أم يمكن مساءلة الجهة التي أهملت تأمين النظام؟</w:t>
      </w:r>
    </w:p>
    <w:p w14:paraId="29C56083"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الأصل أن المخترق يُسأل جنائيًا متى ثبت ارتكابه فعل الاختراق بصورة عمدية. غير أن بعض التشريعات الحديثة تتجه إلى مساءلة الجهة أو الشخص المسؤول عن إدارة النظام إذا ثبت وجود إهمال جسيم أو تقصير واضح في تطبيق متطلبات الأمن السيبراني، وكان هذا الإهمال سببًا في وقوع الضرر أو تسهيل ارتكاب الجريمة</w:t>
      </w:r>
      <w:r w:rsidRPr="001A5DD6">
        <w:rPr>
          <w:rFonts w:ascii="Times New Roman" w:eastAsia="Times New Roman" w:hAnsi="Times New Roman" w:cs="Times New Roman"/>
          <w:sz w:val="24"/>
          <w:szCs w:val="24"/>
        </w:rPr>
        <w:t>.</w:t>
      </w:r>
    </w:p>
    <w:p w14:paraId="14145729"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وعليه، فإن المسؤولية في البيئة الرقمية قد لا تقتصر على الفاعل الأصلي فقط، بل قد تمتد إلى المسؤول عن النظام متى توافرت أركان المسؤولية الناتجة عن الإهمال أو التقصير، وهو ما يعكس الطبيعة المعقدة للجرائم الرقمية ويجعل إثبات الركن المعنوي من أبرز التحديات القانونية المعاصرة في مجال الأمن السيبراني والتحول الرقمي</w:t>
      </w:r>
      <w:r w:rsidRPr="001A5DD6">
        <w:rPr>
          <w:rFonts w:ascii="Times New Roman" w:eastAsia="Times New Roman" w:hAnsi="Times New Roman" w:cs="Times New Roman"/>
          <w:sz w:val="24"/>
          <w:szCs w:val="24"/>
        </w:rPr>
        <w:t>.</w:t>
      </w:r>
    </w:p>
    <w:p w14:paraId="27FF2FB1" w14:textId="013CD442"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p>
    <w:p w14:paraId="069EEB1E" w14:textId="43D47D40" w:rsidR="003B3BAB" w:rsidRDefault="003B3BAB" w:rsidP="000A614A">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lastRenderedPageBreak/>
        <w:t xml:space="preserve"> </w:t>
      </w:r>
    </w:p>
    <w:p w14:paraId="08FD381E" w14:textId="5F2CA74B" w:rsidR="000A614A" w:rsidRPr="000A614A" w:rsidRDefault="000A614A" w:rsidP="000A614A">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0A614A">
        <w:rPr>
          <w:rFonts w:ascii="Times New Roman" w:eastAsia="Times New Roman" w:hAnsi="Times New Roman" w:cs="Times New Roman"/>
          <w:b/>
          <w:bCs/>
          <w:sz w:val="27"/>
          <w:szCs w:val="27"/>
          <w:rtl/>
        </w:rPr>
        <w:t>تحديات الأمنية والجنائية في التحول الرقمي</w:t>
      </w:r>
    </w:p>
    <w:p w14:paraId="755E85BA" w14:textId="77777777" w:rsidR="000A614A" w:rsidRPr="000A614A"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0A614A">
        <w:rPr>
          <w:rFonts w:ascii="Times New Roman" w:eastAsia="Times New Roman" w:hAnsi="Times New Roman" w:cs="Times New Roman"/>
          <w:sz w:val="24"/>
          <w:szCs w:val="24"/>
          <w:rtl/>
        </w:rPr>
        <w:t>أفرز التحول الرقمي في إجراءات التقاضي تحديات أمنية وقانونية متزايدة نتيجة الاعتماد على الأنظمة الإلكترونية في إدارة الدعاوى وتبادل البيانات القضائية. ورغم اتفاق المملكة العربية السعودية والإمارات العربية المتحدة وسنغافورة على تجريم الأفعال التي تستهدف الأنظمة المعلوماتية والبيانات الإلكترونية، فإنها تختلف في منهج تنظيم المسؤولية القانونية وآليات مواجهة المخاطر الرقمية</w:t>
      </w:r>
      <w:r w:rsidRPr="000A614A">
        <w:rPr>
          <w:rFonts w:ascii="Times New Roman" w:eastAsia="Times New Roman" w:hAnsi="Times New Roman" w:cs="Times New Roman"/>
          <w:sz w:val="24"/>
          <w:szCs w:val="24"/>
        </w:rPr>
        <w:t>.</w:t>
      </w:r>
    </w:p>
    <w:p w14:paraId="463D1E91" w14:textId="4BFBDE3E" w:rsidR="000A614A" w:rsidRPr="000A614A"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0A614A">
        <w:rPr>
          <w:rFonts w:ascii="Times New Roman" w:eastAsia="Times New Roman" w:hAnsi="Times New Roman" w:cs="Times New Roman"/>
          <w:sz w:val="24"/>
          <w:szCs w:val="24"/>
          <w:rtl/>
        </w:rPr>
        <w:t xml:space="preserve">فعلى صعيد </w:t>
      </w:r>
      <w:r w:rsidRPr="000A614A">
        <w:rPr>
          <w:rFonts w:ascii="Times New Roman" w:eastAsia="Times New Roman" w:hAnsi="Times New Roman" w:cs="Times New Roman"/>
          <w:b/>
          <w:bCs/>
          <w:sz w:val="24"/>
          <w:szCs w:val="24"/>
          <w:rtl/>
        </w:rPr>
        <w:t>تجريم الاختراقات الإلكترونية</w:t>
      </w:r>
      <w:r w:rsidRPr="000A614A">
        <w:rPr>
          <w:rFonts w:ascii="Times New Roman" w:eastAsia="Times New Roman" w:hAnsi="Times New Roman" w:cs="Times New Roman"/>
          <w:sz w:val="24"/>
          <w:szCs w:val="24"/>
          <w:rtl/>
        </w:rPr>
        <w:t xml:space="preserve">، تتبنى الدول الثلاث أطرًا تشريعية تجرّم الدخول غير المشروع إلى الأنظمة والاعتداء على البيانات، إلا أن سنغافورة طورت تنظيمها بصورة مستمرة من خلال تحديث قانون إساءة استخدام الحاسب، بينما عززت الإمارات الحماية الجنائية بالتكامل بين تشريعات الجرائم الإلكترونية والتعاملات الإلكترونية، في حين يعتمد التنظيم السعودي على نظام مكافحة جرائم المعلوماتية </w:t>
      </w:r>
      <w:r w:rsidRPr="000A614A">
        <w:rPr>
          <w:rFonts w:ascii="Times New Roman" w:eastAsia="Times New Roman" w:hAnsi="Times New Roman" w:cs="Times New Roman" w:hint="cs"/>
          <w:sz w:val="24"/>
          <w:szCs w:val="24"/>
          <w:vertAlign w:val="superscript"/>
          <w:rtl/>
        </w:rPr>
        <w:t>(1)</w:t>
      </w:r>
      <w:r w:rsidRPr="000A614A">
        <w:rPr>
          <w:rStyle w:val="a8"/>
          <w:rFonts w:ascii="Times New Roman" w:eastAsia="Times New Roman" w:hAnsi="Times New Roman" w:cs="Times New Roman"/>
          <w:vanish/>
          <w:sz w:val="24"/>
          <w:szCs w:val="24"/>
          <w:vertAlign w:val="baseline"/>
          <w:rtl/>
        </w:rPr>
        <w:footnoteReference w:id="33"/>
      </w:r>
      <w:r w:rsidRPr="000A614A">
        <w:rPr>
          <w:rFonts w:ascii="Times New Roman" w:eastAsia="Times New Roman" w:hAnsi="Times New Roman" w:cs="Times New Roman"/>
          <w:sz w:val="24"/>
          <w:szCs w:val="24"/>
          <w:rtl/>
        </w:rPr>
        <w:t xml:space="preserve">بوصفه الإطار الرئيس لحماية الأنظمة والبيانات الرقمية (المملكة العربية السعودية، 1428هـ؛ دولة الإمارات العربية المتحدة، </w:t>
      </w:r>
      <w:r w:rsidR="000C475B" w:rsidRPr="000C475B">
        <w:rPr>
          <w:rFonts w:ascii="Times New Roman" w:eastAsia="Times New Roman" w:hAnsi="Times New Roman" w:cs="Times New Roman" w:hint="cs"/>
          <w:sz w:val="24"/>
          <w:szCs w:val="24"/>
          <w:vertAlign w:val="superscript"/>
          <w:rtl/>
        </w:rPr>
        <w:t>(2)</w:t>
      </w:r>
      <w:r w:rsidRPr="000A614A">
        <w:rPr>
          <w:rFonts w:ascii="Times New Roman" w:eastAsia="Times New Roman" w:hAnsi="Times New Roman" w:cs="Times New Roman"/>
          <w:sz w:val="24"/>
          <w:szCs w:val="24"/>
          <w:rtl/>
        </w:rPr>
        <w:t>2021؛ حكومة سنغافورة، 1993)</w:t>
      </w:r>
      <w:r w:rsidRPr="000A614A">
        <w:rPr>
          <w:rFonts w:ascii="Times New Roman" w:eastAsia="Times New Roman" w:hAnsi="Times New Roman" w:cs="Times New Roman"/>
          <w:sz w:val="24"/>
          <w:szCs w:val="24"/>
        </w:rPr>
        <w:t>.</w:t>
      </w:r>
    </w:p>
    <w:p w14:paraId="31CA6D07" w14:textId="77777777" w:rsidR="000A614A" w:rsidRPr="000A614A"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0A614A">
        <w:rPr>
          <w:rFonts w:ascii="Times New Roman" w:eastAsia="Times New Roman" w:hAnsi="Times New Roman" w:cs="Times New Roman"/>
          <w:sz w:val="24"/>
          <w:szCs w:val="24"/>
          <w:rtl/>
        </w:rPr>
        <w:t xml:space="preserve">أما </w:t>
      </w:r>
      <w:r w:rsidRPr="000A614A">
        <w:rPr>
          <w:rFonts w:ascii="Times New Roman" w:eastAsia="Times New Roman" w:hAnsi="Times New Roman" w:cs="Times New Roman"/>
          <w:b/>
          <w:bCs/>
          <w:sz w:val="24"/>
          <w:szCs w:val="24"/>
          <w:rtl/>
        </w:rPr>
        <w:t>المسؤولية عن الإخلال بالمتطلبات الأمنية</w:t>
      </w:r>
      <w:r w:rsidRPr="000A614A">
        <w:rPr>
          <w:rFonts w:ascii="Times New Roman" w:eastAsia="Times New Roman" w:hAnsi="Times New Roman" w:cs="Times New Roman"/>
          <w:sz w:val="24"/>
          <w:szCs w:val="24"/>
          <w:rtl/>
        </w:rPr>
        <w:t>، فتظهر المقارنة أن التشريعات الثلاثة تفرض التزامات بحماية الأنظمة والبيانات، إلا أن نطاق المسؤولية يختلف بحسب طبيعة الجهة والالتزامات النظامية المقررة عليها. ففي الإمارات وسنغافورة ارتبطت المسؤولية بصورة أوضح بالالتزامات المفروضة على مقدمي خدمات الثقة والجهات المعالجة للبيانات، في حين ما زال التنظيم السعودي يعتمد بدرجة أكبر على القواعد العامة والمسؤولية النظامية الواردة في الأنظمة ذات الصلة، وهو ما يبرز الحاجة إلى مزيد من التفصيل في البيئة القضائية الرقمية</w:t>
      </w:r>
      <w:r w:rsidRPr="000A614A">
        <w:rPr>
          <w:rFonts w:ascii="Times New Roman" w:eastAsia="Times New Roman" w:hAnsi="Times New Roman" w:cs="Times New Roman"/>
          <w:sz w:val="24"/>
          <w:szCs w:val="24"/>
        </w:rPr>
        <w:t>.</w:t>
      </w:r>
    </w:p>
    <w:p w14:paraId="3DC582E7" w14:textId="77777777" w:rsidR="000A614A" w:rsidRPr="000A614A"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0A614A">
        <w:rPr>
          <w:rFonts w:ascii="Times New Roman" w:eastAsia="Times New Roman" w:hAnsi="Times New Roman" w:cs="Times New Roman"/>
          <w:sz w:val="24"/>
          <w:szCs w:val="24"/>
          <w:rtl/>
        </w:rPr>
        <w:t xml:space="preserve">وفيما يتعلق </w:t>
      </w:r>
      <w:r w:rsidRPr="000A614A">
        <w:rPr>
          <w:rFonts w:ascii="Times New Roman" w:eastAsia="Times New Roman" w:hAnsi="Times New Roman" w:cs="Times New Roman"/>
          <w:b/>
          <w:bCs/>
          <w:sz w:val="24"/>
          <w:szCs w:val="24"/>
          <w:rtl/>
        </w:rPr>
        <w:t>بالمسؤولية المؤسسية وتعدد الفاعلين</w:t>
      </w:r>
      <w:r w:rsidRPr="000A614A">
        <w:rPr>
          <w:rFonts w:ascii="Times New Roman" w:eastAsia="Times New Roman" w:hAnsi="Times New Roman" w:cs="Times New Roman"/>
          <w:sz w:val="24"/>
          <w:szCs w:val="24"/>
          <w:rtl/>
        </w:rPr>
        <w:t>، تزداد صعوبة تحديد المسؤولية القانونية مع تعدد الأطراف المشاركة في تشغيل المنظومات الرقمية، كجهات تطوير الأنظمة، ومقدمي خدمات الحوسبة السحابية، ومقدمي خدمات الثقة، والجهات القضائية. ويلاحظ أن التنظيمين الإماراتي والسنغافوري أوليا اهتمامًا أكبر بتنظيم مسؤوليات مقدمي الخدمات الرقمية والجهات المعتمدة، بينما لا تزال الحاجة قائمة في المملكة إلى تطوير إطار أكثر تفصيلاً يحدد مسؤولية كل طرف في المنظومة الرقمية وفقًا لطبيعة دوره</w:t>
      </w:r>
      <w:r w:rsidRPr="000A614A">
        <w:rPr>
          <w:rFonts w:ascii="Times New Roman" w:eastAsia="Times New Roman" w:hAnsi="Times New Roman" w:cs="Times New Roman"/>
          <w:sz w:val="24"/>
          <w:szCs w:val="24"/>
        </w:rPr>
        <w:t>.</w:t>
      </w:r>
    </w:p>
    <w:p w14:paraId="5D3BBE32" w14:textId="77777777" w:rsidR="000A614A" w:rsidRPr="000A614A"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0A614A">
        <w:rPr>
          <w:rFonts w:ascii="Times New Roman" w:eastAsia="Times New Roman" w:hAnsi="Times New Roman" w:cs="Times New Roman"/>
          <w:sz w:val="24"/>
          <w:szCs w:val="24"/>
          <w:rtl/>
        </w:rPr>
        <w:t xml:space="preserve">كما تمثل </w:t>
      </w:r>
      <w:r w:rsidRPr="000A614A">
        <w:rPr>
          <w:rFonts w:ascii="Times New Roman" w:eastAsia="Times New Roman" w:hAnsi="Times New Roman" w:cs="Times New Roman"/>
          <w:b/>
          <w:bCs/>
          <w:sz w:val="24"/>
          <w:szCs w:val="24"/>
          <w:rtl/>
        </w:rPr>
        <w:t>الجرائم الرقمية العابرة للحدود</w:t>
      </w:r>
      <w:r w:rsidRPr="000A614A">
        <w:rPr>
          <w:rFonts w:ascii="Times New Roman" w:eastAsia="Times New Roman" w:hAnsi="Times New Roman" w:cs="Times New Roman"/>
          <w:sz w:val="24"/>
          <w:szCs w:val="24"/>
          <w:rtl/>
        </w:rPr>
        <w:t xml:space="preserve"> أحد أبرز التحديات المشتركة، إذ إن انتقال البيانات والخدمات عبر الحدود يحد من فاعلية الاختصاص القضائي التقليدي. ولذلك اتجهت الدول الثلاث إلى تعزيز التعاون الدولي وتطوير الأطر النظامية </w:t>
      </w:r>
      <w:r w:rsidRPr="000A614A">
        <w:rPr>
          <w:rFonts w:ascii="Times New Roman" w:eastAsia="Times New Roman" w:hAnsi="Times New Roman" w:cs="Times New Roman"/>
          <w:sz w:val="24"/>
          <w:szCs w:val="24"/>
          <w:rtl/>
        </w:rPr>
        <w:lastRenderedPageBreak/>
        <w:t>المتعلقة بمكافحة الجرائم الإلكترونية، غير أن فعالية هذه الجهود تظل مرتبطة بمدى التعاون القضائي الدولي وتبادل المعلومات بين السلطات المختصة</w:t>
      </w:r>
      <w:r w:rsidRPr="000A614A">
        <w:rPr>
          <w:rFonts w:ascii="Times New Roman" w:eastAsia="Times New Roman" w:hAnsi="Times New Roman" w:cs="Times New Roman"/>
          <w:sz w:val="24"/>
          <w:szCs w:val="24"/>
        </w:rPr>
        <w:t>.</w:t>
      </w:r>
    </w:p>
    <w:p w14:paraId="57FC5BAE" w14:textId="77777777" w:rsidR="000A614A" w:rsidRPr="000A614A"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0A614A">
        <w:rPr>
          <w:rFonts w:ascii="Times New Roman" w:eastAsia="Times New Roman" w:hAnsi="Times New Roman" w:cs="Times New Roman"/>
          <w:sz w:val="24"/>
          <w:szCs w:val="24"/>
          <w:rtl/>
        </w:rPr>
        <w:t xml:space="preserve">أما في مجال </w:t>
      </w:r>
      <w:r w:rsidRPr="000A614A">
        <w:rPr>
          <w:rFonts w:ascii="Times New Roman" w:eastAsia="Times New Roman" w:hAnsi="Times New Roman" w:cs="Times New Roman"/>
          <w:b/>
          <w:bCs/>
          <w:sz w:val="24"/>
          <w:szCs w:val="24"/>
          <w:rtl/>
        </w:rPr>
        <w:t>الإثبات الرقمي</w:t>
      </w:r>
      <w:r w:rsidRPr="000A614A">
        <w:rPr>
          <w:rFonts w:ascii="Times New Roman" w:eastAsia="Times New Roman" w:hAnsi="Times New Roman" w:cs="Times New Roman"/>
          <w:sz w:val="24"/>
          <w:szCs w:val="24"/>
          <w:rtl/>
        </w:rPr>
        <w:t>، فقد اعترفت الأنظمة الثلاثة بحجية الأدلة الإلكترونية، إلا أن التحدي العملي يتمثل في إثبات سلامة الدليل، والمحافظة على سلسلة حيازته الرقمية، والتحقق من أصالته عند المنازعة فيه. ويبرز هنا دور الخبرة الفنية والتوقيع الإلكتروني وخدمات الثقة في تعزيز القيمة الإثباتية للدليل الرقمي</w:t>
      </w:r>
      <w:r w:rsidRPr="000A614A">
        <w:rPr>
          <w:rFonts w:ascii="Times New Roman" w:eastAsia="Times New Roman" w:hAnsi="Times New Roman" w:cs="Times New Roman"/>
          <w:sz w:val="24"/>
          <w:szCs w:val="24"/>
        </w:rPr>
        <w:t>.</w:t>
      </w:r>
    </w:p>
    <w:p w14:paraId="0756020C" w14:textId="77777777" w:rsidR="000A614A" w:rsidRPr="000A614A" w:rsidRDefault="000A614A" w:rsidP="000A614A">
      <w:pPr>
        <w:spacing w:before="100" w:beforeAutospacing="1" w:after="100" w:afterAutospacing="1" w:line="360" w:lineRule="auto"/>
        <w:jc w:val="left"/>
        <w:rPr>
          <w:rFonts w:ascii="Times New Roman" w:eastAsia="Times New Roman" w:hAnsi="Times New Roman" w:cs="Times New Roman"/>
          <w:sz w:val="24"/>
          <w:szCs w:val="24"/>
        </w:rPr>
      </w:pPr>
      <w:r w:rsidRPr="000A614A">
        <w:rPr>
          <w:rFonts w:ascii="Times New Roman" w:eastAsia="Times New Roman" w:hAnsi="Times New Roman" w:cs="Times New Roman"/>
          <w:sz w:val="24"/>
          <w:szCs w:val="24"/>
          <w:rtl/>
        </w:rPr>
        <w:t xml:space="preserve">وفيما يتعلق </w:t>
      </w:r>
      <w:r w:rsidRPr="000A614A">
        <w:rPr>
          <w:rFonts w:ascii="Times New Roman" w:eastAsia="Times New Roman" w:hAnsi="Times New Roman" w:cs="Times New Roman"/>
          <w:b/>
          <w:bCs/>
          <w:sz w:val="24"/>
          <w:szCs w:val="24"/>
          <w:rtl/>
        </w:rPr>
        <w:t>بحماية البيانات الشخصية</w:t>
      </w:r>
      <w:r w:rsidRPr="000A614A">
        <w:rPr>
          <w:rFonts w:ascii="Times New Roman" w:eastAsia="Times New Roman" w:hAnsi="Times New Roman" w:cs="Times New Roman"/>
          <w:sz w:val="24"/>
          <w:szCs w:val="24"/>
          <w:rtl/>
        </w:rPr>
        <w:t>، اتجهت المملكة والإمارات إلى إصدار تشريعات حديثة تنظم معالجة البيانات الشخصية، في حين تتمتع سنغافورة بإطار تشريعي مستقر يخضع للتحديث الدوري، الأمر الذي أسهم في ترسيخ الممارسات التنظيمية المتعلقة بحماية البيانات وإدارة المخاطر الرقمية. ومع ذلك، فإن التحدي المشترك يتمثل في تحقيق التوازن بين متطلبات حماية الخصوصية، وضمان انسيابية الإجراءات القضائية الرقمية</w:t>
      </w:r>
      <w:r w:rsidRPr="000A614A">
        <w:rPr>
          <w:rFonts w:ascii="Times New Roman" w:eastAsia="Times New Roman" w:hAnsi="Times New Roman" w:cs="Times New Roman"/>
          <w:sz w:val="24"/>
          <w:szCs w:val="24"/>
        </w:rPr>
        <w:t>.</w:t>
      </w:r>
    </w:p>
    <w:p w14:paraId="0999460D" w14:textId="79642B3D" w:rsidR="000A614A" w:rsidRPr="000A614A" w:rsidRDefault="000A614A" w:rsidP="000C475B">
      <w:pPr>
        <w:spacing w:before="100" w:beforeAutospacing="1" w:after="100" w:afterAutospacing="1" w:line="360" w:lineRule="auto"/>
        <w:jc w:val="left"/>
        <w:rPr>
          <w:rFonts w:ascii="Times New Roman" w:eastAsia="Times New Roman" w:hAnsi="Times New Roman" w:cs="Times New Roman"/>
          <w:sz w:val="24"/>
          <w:szCs w:val="24"/>
        </w:rPr>
      </w:pPr>
      <w:r w:rsidRPr="000A614A">
        <w:rPr>
          <w:rFonts w:ascii="Times New Roman" w:eastAsia="Times New Roman" w:hAnsi="Times New Roman" w:cs="Times New Roman"/>
          <w:sz w:val="24"/>
          <w:szCs w:val="24"/>
          <w:rtl/>
        </w:rPr>
        <w:t>ويتضح من المقارنة أن الاختلاف بين الدول الثلاث لا يكمن في الاعتراف بالمخاطر الأمنية للتحول الرقمي، وإنما في درجة تفصيل التنظيم القانوني للمسؤولية المؤسسية، وآليات إدارة المخاطر، والتنسيق بين التشريعات الجزائية والتنظيمية.</w:t>
      </w:r>
      <w:r w:rsidRPr="000A614A">
        <w:rPr>
          <w:rFonts w:ascii="Times New Roman" w:eastAsia="Times New Roman" w:hAnsi="Times New Roman" w:cs="Times New Roman"/>
          <w:sz w:val="24"/>
          <w:szCs w:val="24"/>
        </w:rPr>
        <w:t>.</w:t>
      </w:r>
    </w:p>
    <w:p w14:paraId="2FFFA947" w14:textId="77777777" w:rsidR="000A614A" w:rsidRDefault="000A614A" w:rsidP="000A614A">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341D88C0" w14:textId="77777777"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57C039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E950E08"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FFFB8C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A0AC5BA" w14:textId="77777777" w:rsidR="001A5DD6" w:rsidRDefault="001A5DD6"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4451ED9" w14:textId="77777777" w:rsidR="001A5DD6" w:rsidRDefault="001A5DD6"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4075CAF"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889978E"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0A00FF6"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E1F62A7"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FD74F17"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BC94344" w14:textId="77777777" w:rsidR="000C475B" w:rsidRDefault="000C475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54CF44" w14:textId="11FEECA5"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lastRenderedPageBreak/>
        <w:t xml:space="preserve">خامساً: التحديات الدولية </w:t>
      </w:r>
    </w:p>
    <w:p w14:paraId="44E24BBF"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مفهوم التحديات الدولية للتحول الرقمي</w:t>
      </w:r>
    </w:p>
    <w:p w14:paraId="3880AD96"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يقصد بالتحديات الدولية تلك التحديات التي تتجاوز الحدود الوطنية نتيجة</w:t>
      </w:r>
      <w:r w:rsidRPr="004141E3">
        <w:rPr>
          <w:rFonts w:ascii="Times New Roman" w:eastAsia="Times New Roman" w:hAnsi="Times New Roman" w:cs="Times New Roman"/>
          <w:sz w:val="24"/>
          <w:szCs w:val="24"/>
        </w:rPr>
        <w:t>:</w:t>
      </w:r>
    </w:p>
    <w:p w14:paraId="5A082C27" w14:textId="78522E91"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الطبيعة العابرة للحدود للفضاء </w:t>
      </w:r>
      <w:r w:rsidR="004141E3" w:rsidRPr="004141E3">
        <w:rPr>
          <w:rFonts w:ascii="Times New Roman" w:eastAsia="Times New Roman" w:hAnsi="Times New Roman" w:cs="Times New Roman" w:hint="cs"/>
          <w:sz w:val="24"/>
          <w:szCs w:val="24"/>
          <w:rtl/>
        </w:rPr>
        <w:t>الرقمي،</w:t>
      </w:r>
      <w:r w:rsidRPr="004141E3">
        <w:rPr>
          <w:rFonts w:ascii="Times New Roman" w:eastAsia="Times New Roman" w:hAnsi="Times New Roman" w:cs="Times New Roman"/>
          <w:sz w:val="24"/>
          <w:szCs w:val="24"/>
          <w:rtl/>
        </w:rPr>
        <w:t xml:space="preserve"> ترابط الأنظمة </w:t>
      </w:r>
      <w:r w:rsidR="004141E3" w:rsidRPr="004141E3">
        <w:rPr>
          <w:rFonts w:ascii="Times New Roman" w:eastAsia="Times New Roman" w:hAnsi="Times New Roman" w:cs="Times New Roman" w:hint="cs"/>
          <w:sz w:val="24"/>
          <w:szCs w:val="24"/>
          <w:rtl/>
        </w:rPr>
        <w:t>العالمية، اختلاف</w:t>
      </w:r>
      <w:r w:rsidRPr="004141E3">
        <w:rPr>
          <w:rFonts w:ascii="Times New Roman" w:eastAsia="Times New Roman" w:hAnsi="Times New Roman" w:cs="Times New Roman"/>
          <w:sz w:val="24"/>
          <w:szCs w:val="24"/>
          <w:rtl/>
        </w:rPr>
        <w:t xml:space="preserve"> الأطر القانونية بين الدول </w:t>
      </w:r>
    </w:p>
    <w:p w14:paraId="729295A6" w14:textId="152097DF"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4141E3">
        <w:rPr>
          <w:rFonts w:ascii="Times New Roman" w:eastAsia="Times New Roman" w:hAnsi="Times New Roman" w:cs="Times New Roman"/>
          <w:sz w:val="24"/>
          <w:szCs w:val="24"/>
          <w:rtl/>
        </w:rPr>
        <w:t xml:space="preserve">وبالتالي، فإن التحول الرقمي لم يعد شأنًا داخليًا، بل أصبح </w:t>
      </w:r>
      <w:r w:rsidRPr="004141E3">
        <w:rPr>
          <w:rFonts w:ascii="Times New Roman" w:eastAsia="Times New Roman" w:hAnsi="Times New Roman" w:cs="Times New Roman"/>
          <w:b/>
          <w:bCs/>
          <w:sz w:val="24"/>
          <w:szCs w:val="24"/>
          <w:rtl/>
        </w:rPr>
        <w:t>مسألة حوكمة عالمية</w:t>
      </w:r>
      <w:r w:rsidRPr="003B3BAB">
        <w:rPr>
          <w:rFonts w:ascii="Times New Roman" w:eastAsia="Times New Roman" w:hAnsi="Times New Roman" w:cs="Times New Roman"/>
          <w:sz w:val="28"/>
          <w:szCs w:val="28"/>
        </w:rPr>
        <w:t>.</w:t>
      </w:r>
    </w:p>
    <w:p w14:paraId="274ADE88" w14:textId="7CB36618" w:rsid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r w:rsidRPr="003B3BAB">
        <w:rPr>
          <w:rFonts w:ascii="Times New Roman" w:eastAsia="Times New Roman" w:hAnsi="Times New Roman" w:cs="Times New Roman"/>
          <w:b/>
          <w:bCs/>
          <w:kern w:val="36"/>
          <w:sz w:val="28"/>
          <w:szCs w:val="28"/>
          <w:rtl/>
        </w:rPr>
        <w:t>أبرز التحديات الدولية للتحول الرقمي</w:t>
      </w:r>
    </w:p>
    <w:p w14:paraId="09609BAF" w14:textId="006A0A78" w:rsidR="00C94A38" w:rsidRDefault="00C94A38" w:rsidP="00C94A38">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C94A38">
        <w:rPr>
          <w:sz w:val="24"/>
          <w:szCs w:val="24"/>
          <w:rtl/>
        </w:rPr>
        <w:t xml:space="preserve">يمثل التحول الرقمي في مرفق العدالة أحد أبرز التحولات المؤسسية التي شهدتها الأنظمة القضائية خلال العقدين الأخيرين، إلا أن نجاح هذا التحول لم يعد يقاس بمدى </w:t>
      </w:r>
      <w:proofErr w:type="spellStart"/>
      <w:r w:rsidRPr="00C94A38">
        <w:rPr>
          <w:sz w:val="24"/>
          <w:szCs w:val="24"/>
          <w:rtl/>
        </w:rPr>
        <w:t>رقمنة</w:t>
      </w:r>
      <w:proofErr w:type="spellEnd"/>
      <w:r w:rsidRPr="00C94A38">
        <w:rPr>
          <w:sz w:val="24"/>
          <w:szCs w:val="24"/>
          <w:rtl/>
        </w:rPr>
        <w:t xml:space="preserve"> الإجراءات أو زيادة عدد الخدمات الإلكترونية، وإنما بقدرة الدولة على بناء منظومة قانونية ومؤسسية وتقنية متكاملة تحقق الأمن القانوني، وتحافظ على الضمانات القضائية، وتواكب التطورات التقنية المتسارعة. وتؤكد الأدبيات الدولية أن معظم الدول، على اختلاف مستوياتها </w:t>
      </w:r>
      <w:r w:rsidRPr="00C94A38">
        <w:rPr>
          <w:rFonts w:hint="cs"/>
          <w:sz w:val="24"/>
          <w:szCs w:val="24"/>
          <w:rtl/>
        </w:rPr>
        <w:t>الرقمية</w:t>
      </w:r>
      <w:r w:rsidRPr="00C94A38">
        <w:rPr>
          <w:rFonts w:hint="cs"/>
          <w:sz w:val="24"/>
          <w:szCs w:val="24"/>
          <w:vertAlign w:val="superscript"/>
          <w:rtl/>
        </w:rPr>
        <w:t xml:space="preserve"> </w:t>
      </w:r>
      <w:r w:rsidRPr="00C94A38">
        <w:rPr>
          <w:sz w:val="24"/>
          <w:szCs w:val="24"/>
          <w:vertAlign w:val="superscript"/>
          <w:rtl/>
        </w:rPr>
        <w:t>(</w:t>
      </w:r>
      <w:r w:rsidRPr="00C94A38">
        <w:rPr>
          <w:rStyle w:val="a8"/>
          <w:vanish/>
          <w:sz w:val="24"/>
          <w:szCs w:val="24"/>
          <w:vertAlign w:val="baseline"/>
          <w:rtl/>
        </w:rPr>
        <w:footnoteReference w:id="34"/>
      </w:r>
      <w:r w:rsidRPr="00C94A38">
        <w:rPr>
          <w:rFonts w:hint="cs"/>
          <w:sz w:val="24"/>
          <w:szCs w:val="24"/>
          <w:vertAlign w:val="superscript"/>
          <w:rtl/>
        </w:rPr>
        <w:t>1)</w:t>
      </w:r>
      <w:r w:rsidRPr="00C94A38">
        <w:rPr>
          <w:sz w:val="24"/>
          <w:szCs w:val="24"/>
          <w:rtl/>
        </w:rPr>
        <w:t xml:space="preserve">، تواجه تحديات متشابهة تتمثل في مواكبة التشريعات للتقنيات الحديثة، وحماية البيانات، وتعزيز الأمن السيبراني، وتطوير البنية المؤسسية، وتنظيم استخدام الذكاء الاصطناعي في العمل </w:t>
      </w:r>
      <w:r w:rsidRPr="00C94A38">
        <w:rPr>
          <w:rFonts w:hint="cs"/>
          <w:sz w:val="24"/>
          <w:szCs w:val="24"/>
          <w:rtl/>
        </w:rPr>
        <w:t>القضا</w:t>
      </w:r>
      <w:r>
        <w:rPr>
          <w:rFonts w:hint="cs"/>
          <w:sz w:val="24"/>
          <w:szCs w:val="24"/>
          <w:rtl/>
        </w:rPr>
        <w:t>ئية.</w:t>
      </w:r>
    </w:p>
    <w:p w14:paraId="693975A2" w14:textId="3898370E" w:rsidR="00C94A38" w:rsidRPr="00C94A38" w:rsidRDefault="00C94A38" w:rsidP="00C94A38">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C94A38">
        <w:rPr>
          <w:sz w:val="24"/>
          <w:szCs w:val="24"/>
          <w:rtl/>
        </w:rPr>
        <w:t xml:space="preserve">يظهر من الدراسة المقارنة أن المملكة العربية السعودية ودولة الإمارات العربية المتحدة وجمهورية سنغافورة اتفقت جميعها على تبني استراتيجيات وطنية للتحول الرقمي وتطوير الخدمات القضائية الإلكترونية، إلا أن اختلاف البناء التشريعي والمؤسسي لكل دولة أدى إلى تباين طبيعة التحديات التي واجهتها ووسائل معالجتها. فالمملكة العربية السعودية ركزت على تطوير البيئة التشريعية وإعادة هندسة الإجراءات القضائية وربط الجهات الحكومية بمنصات رقمية موحدة، في حين اتجهت دولة الإمارات إلى بناء منظومة متكاملة تجمع بين خدمات الثقة الرقمية، والهوية الرقمية، وحوكمة الخدمات الحكومية، بينما اعتمدت سنغافورة نموذجًا يقوم على الحوكمة الرقمية المركزية، وتوحيد البنية التقنية الحكومية، والاستثمار المستمر في رأس المال البشري والابتكار </w:t>
      </w:r>
      <w:r w:rsidR="00807C78" w:rsidRPr="00C94A38">
        <w:rPr>
          <w:rFonts w:hint="cs"/>
          <w:sz w:val="24"/>
          <w:szCs w:val="24"/>
          <w:rtl/>
        </w:rPr>
        <w:t>المؤسسي</w:t>
      </w:r>
      <w:r w:rsidR="00807C78">
        <w:rPr>
          <w:rFonts w:ascii="Times New Roman" w:eastAsia="Times New Roman" w:hAnsi="Times New Roman" w:cs="Times New Roman" w:hint="cs"/>
          <w:b/>
          <w:bCs/>
          <w:kern w:val="36"/>
          <w:sz w:val="24"/>
          <w:szCs w:val="24"/>
          <w:rtl/>
        </w:rPr>
        <w:t>.</w:t>
      </w:r>
    </w:p>
    <w:p w14:paraId="16A5B85B" w14:textId="77777777" w:rsidR="00C94A38" w:rsidRPr="00C94A38" w:rsidRDefault="003B3BAB" w:rsidP="00C94A38">
      <w:pPr>
        <w:pStyle w:val="isselectedend"/>
        <w:bidi/>
        <w:spacing w:line="360" w:lineRule="auto"/>
      </w:pPr>
      <w:r w:rsidRPr="003B3BAB">
        <w:rPr>
          <w:sz w:val="28"/>
          <w:szCs w:val="28"/>
        </w:rPr>
        <w:t xml:space="preserve"> </w:t>
      </w:r>
      <w:r w:rsidR="00C94A38" w:rsidRPr="00C94A38">
        <w:rPr>
          <w:rtl/>
        </w:rPr>
        <w:t xml:space="preserve">يبرز </w:t>
      </w:r>
      <w:r w:rsidR="00C94A38" w:rsidRPr="00C94A38">
        <w:rPr>
          <w:b/>
          <w:bCs/>
          <w:rtl/>
        </w:rPr>
        <w:t>التحدي التشريعي</w:t>
      </w:r>
      <w:r w:rsidR="00C94A38" w:rsidRPr="00C94A38">
        <w:rPr>
          <w:rtl/>
        </w:rPr>
        <w:t xml:space="preserve"> بوصفه أحد أهم التحديات المشتركة، إذ تفرض سرعة التطور التقني تحديثًا مستمرًا للقواعد القانونية المنظمة للتعاملات الإلكترونية والإثبات الرقمي وحماية البيانات. وقد اتجهت المملكة إلى تحديث عدد من الأنظمة ذات الصلة، مثل نظام الإثبات ونظام حماية البيانات الشخصية، بينما اعتمدت الإمارات إطارًا تشريعيًا متكاملًا يربط بين قانون المعاملات الإلكترونية وخدمات الثقة وقانون حماية البيانات الشخصية وقانون الإثبات. أما سنغافورة، فقد انتهجت أسلوب الحياد التقني، مع إجراء تعديلات دورية على قانون المعاملات الإلكترونية بما يسمح باستيعاب التطبيقات التقنية المستحدثة دون الحاجة إلى إعادة صياغة الإطار القانوني بصورة متكررة. ويكشف ذلك أن الاختلاف لا يكمن في الاعتراف القانوني بالتحول الرقمي، وإنما في الآلية التشريعية التي يتم من خلالها مواكبة الابتكار التقني</w:t>
      </w:r>
      <w:r w:rsidR="00C94A38" w:rsidRPr="00C94A38">
        <w:t>.</w:t>
      </w:r>
    </w:p>
    <w:p w14:paraId="6E9E3128" w14:textId="77777777" w:rsidR="00C94A38" w:rsidRPr="00C94A38" w:rsidRDefault="00C94A38" w:rsidP="00C94A38">
      <w:pPr>
        <w:spacing w:before="100" w:beforeAutospacing="1" w:after="100" w:afterAutospacing="1" w:line="360" w:lineRule="auto"/>
        <w:jc w:val="left"/>
        <w:rPr>
          <w:rFonts w:ascii="Times New Roman" w:eastAsia="Times New Roman" w:hAnsi="Times New Roman" w:cs="Times New Roman"/>
          <w:sz w:val="24"/>
          <w:szCs w:val="24"/>
        </w:rPr>
      </w:pPr>
      <w:r w:rsidRPr="00C94A38">
        <w:rPr>
          <w:rFonts w:ascii="Times New Roman" w:eastAsia="Times New Roman" w:hAnsi="Times New Roman" w:cs="Times New Roman"/>
          <w:sz w:val="24"/>
          <w:szCs w:val="24"/>
          <w:rtl/>
        </w:rPr>
        <w:lastRenderedPageBreak/>
        <w:t xml:space="preserve">كما يمثل </w:t>
      </w:r>
      <w:r w:rsidRPr="00C94A38">
        <w:rPr>
          <w:rFonts w:ascii="Times New Roman" w:eastAsia="Times New Roman" w:hAnsi="Times New Roman" w:cs="Times New Roman"/>
          <w:b/>
          <w:bCs/>
          <w:sz w:val="24"/>
          <w:szCs w:val="24"/>
          <w:rtl/>
        </w:rPr>
        <w:t>الأمن السيبراني وحماية البيانات</w:t>
      </w:r>
      <w:r w:rsidRPr="00C94A38">
        <w:rPr>
          <w:rFonts w:ascii="Times New Roman" w:eastAsia="Times New Roman" w:hAnsi="Times New Roman" w:cs="Times New Roman"/>
          <w:sz w:val="24"/>
          <w:szCs w:val="24"/>
          <w:rtl/>
        </w:rPr>
        <w:t xml:space="preserve"> تحديًا عالميًا يزداد تعقيدًا مع توسع الخدمات القضائية الرقمية وتبادل البيانات بين الجهات الحكومية. فالتشريعات الثلاثة أقرت حماية البيانات الشخصية وجرمت الاعتداء على الأنظمة المعلوماتية، إلا أن التطبيق العملي يواجه تحديات تتعلق بتأمين البنية التحتية الرقمية، وإدارة المخاطر السيبرانية، وضمان سرية البيانات القضائية. وفي هذا السياق، تستفيد سنغافورة من خبرة مؤسسية طويلة في إدارة الأمن السيبراني والبنية الرقمية المشتركة، بينما تعمل المملكة والإمارات على تطوير الأطر التنظيمية والمعايير الوطنية بما يواكب التوسع المتسارع في الخدمات الحكومية الرقمية</w:t>
      </w:r>
      <w:r w:rsidRPr="00C94A38">
        <w:rPr>
          <w:rFonts w:ascii="Times New Roman" w:eastAsia="Times New Roman" w:hAnsi="Times New Roman" w:cs="Times New Roman"/>
          <w:sz w:val="24"/>
          <w:szCs w:val="24"/>
        </w:rPr>
        <w:t>.</w:t>
      </w:r>
    </w:p>
    <w:p w14:paraId="4158D0C8" w14:textId="42D78570" w:rsidR="00C94A38" w:rsidRPr="00C94A38" w:rsidRDefault="00C94A38" w:rsidP="00C94A38">
      <w:pPr>
        <w:spacing w:before="100" w:beforeAutospacing="1" w:after="100" w:afterAutospacing="1" w:line="360" w:lineRule="auto"/>
        <w:jc w:val="left"/>
        <w:rPr>
          <w:rFonts w:ascii="Times New Roman" w:eastAsia="Times New Roman" w:hAnsi="Times New Roman" w:cs="Times New Roman"/>
          <w:sz w:val="24"/>
          <w:szCs w:val="24"/>
        </w:rPr>
      </w:pPr>
      <w:r w:rsidRPr="00C94A38">
        <w:rPr>
          <w:rFonts w:ascii="Times New Roman" w:eastAsia="Times New Roman" w:hAnsi="Times New Roman" w:cs="Times New Roman"/>
          <w:sz w:val="24"/>
          <w:szCs w:val="24"/>
          <w:rtl/>
        </w:rPr>
        <w:t xml:space="preserve">ومن أبرز التحديات كذلك </w:t>
      </w:r>
      <w:r w:rsidRPr="00C94A38">
        <w:rPr>
          <w:rFonts w:ascii="Times New Roman" w:eastAsia="Times New Roman" w:hAnsi="Times New Roman" w:cs="Times New Roman"/>
          <w:b/>
          <w:bCs/>
          <w:sz w:val="24"/>
          <w:szCs w:val="24"/>
          <w:rtl/>
        </w:rPr>
        <w:t xml:space="preserve">الحوكمة المؤسسية </w:t>
      </w:r>
      <w:r w:rsidR="00103495" w:rsidRPr="00103495">
        <w:rPr>
          <w:rFonts w:ascii="Times New Roman" w:eastAsia="Times New Roman" w:hAnsi="Times New Roman" w:cs="Times New Roman" w:hint="cs"/>
          <w:b/>
          <w:bCs/>
          <w:sz w:val="24"/>
          <w:szCs w:val="24"/>
          <w:vertAlign w:val="superscript"/>
          <w:rtl/>
        </w:rPr>
        <w:t>(1)</w:t>
      </w:r>
      <w:r w:rsidR="00103495" w:rsidRPr="00C94A38">
        <w:rPr>
          <w:rFonts w:ascii="Times New Roman" w:eastAsia="Times New Roman" w:hAnsi="Times New Roman" w:cs="Times New Roman" w:hint="cs"/>
          <w:b/>
          <w:bCs/>
          <w:sz w:val="24"/>
          <w:szCs w:val="24"/>
          <w:rtl/>
        </w:rPr>
        <w:t xml:space="preserve"> والتكام</w:t>
      </w:r>
      <w:r w:rsidR="00103495" w:rsidRPr="00C94A38">
        <w:rPr>
          <w:rFonts w:ascii="Times New Roman" w:eastAsia="Times New Roman" w:hAnsi="Times New Roman" w:cs="Times New Roman" w:hint="eastAsia"/>
          <w:b/>
          <w:bCs/>
          <w:sz w:val="24"/>
          <w:szCs w:val="24"/>
          <w:rtl/>
        </w:rPr>
        <w:t>ل</w:t>
      </w:r>
      <w:r w:rsidRPr="00C94A38">
        <w:rPr>
          <w:rFonts w:ascii="Times New Roman" w:eastAsia="Times New Roman" w:hAnsi="Times New Roman" w:cs="Times New Roman"/>
          <w:b/>
          <w:bCs/>
          <w:sz w:val="24"/>
          <w:szCs w:val="24"/>
          <w:rtl/>
        </w:rPr>
        <w:t xml:space="preserve"> بين الجهات</w:t>
      </w:r>
      <w:r w:rsidRPr="00C94A38">
        <w:rPr>
          <w:rFonts w:ascii="Times New Roman" w:eastAsia="Times New Roman" w:hAnsi="Times New Roman" w:cs="Times New Roman"/>
          <w:sz w:val="24"/>
          <w:szCs w:val="24"/>
          <w:rtl/>
        </w:rPr>
        <w:t>، حيث تؤكد الأدبيات الدولية أن نجاح التحول الرقمي لا يتحقق بمجرد امتلاك التقنيات الحديثة، وإنما بوجود مؤسسات قادرة على إدارة البيانات، وتوحيد المعايير، وتنسيق الأدوار بين الجهات المختلفة. وتواجه المملكة تحدي تعزيز التكامل بين الجهات القضائية والجهات الحكومية ذات العلاقة، في حين يفرض النظام الاتحادي في دولة الإمارات ضرورة التنسيق المستمر بين الجهات الاتحادية والمحلية، أما في سنغافورة فقد أسهم وجود هيئة حكومية متخصصة</w:t>
      </w:r>
      <w:r w:rsidRPr="00C94A38">
        <w:rPr>
          <w:rFonts w:ascii="Times New Roman" w:eastAsia="Times New Roman" w:hAnsi="Times New Roman" w:cs="Times New Roman"/>
          <w:sz w:val="24"/>
          <w:szCs w:val="24"/>
        </w:rPr>
        <w:t xml:space="preserve"> (</w:t>
      </w:r>
      <w:proofErr w:type="spellStart"/>
      <w:r w:rsidRPr="00C94A38">
        <w:rPr>
          <w:rFonts w:ascii="Times New Roman" w:eastAsia="Times New Roman" w:hAnsi="Times New Roman" w:cs="Times New Roman"/>
          <w:sz w:val="24"/>
          <w:szCs w:val="24"/>
        </w:rPr>
        <w:t>GovTech</w:t>
      </w:r>
      <w:proofErr w:type="spellEnd"/>
      <w:r w:rsidRPr="00C94A38">
        <w:rPr>
          <w:rFonts w:ascii="Times New Roman" w:eastAsia="Times New Roman" w:hAnsi="Times New Roman" w:cs="Times New Roman"/>
          <w:sz w:val="24"/>
          <w:szCs w:val="24"/>
        </w:rPr>
        <w:t xml:space="preserve">) </w:t>
      </w:r>
      <w:r w:rsidRPr="00C94A38">
        <w:rPr>
          <w:rFonts w:ascii="Times New Roman" w:eastAsia="Times New Roman" w:hAnsi="Times New Roman" w:cs="Times New Roman"/>
          <w:sz w:val="24"/>
          <w:szCs w:val="24"/>
          <w:rtl/>
        </w:rPr>
        <w:t>في توحيد البنية الرقمية الحكومية وتعزيز التكامل المؤسسي، مع استمرار الحاجة إلى تطوير الأنظمة بما يواكب الابتكار التقني</w:t>
      </w:r>
      <w:r w:rsidRPr="00C94A38">
        <w:rPr>
          <w:rFonts w:ascii="Times New Roman" w:eastAsia="Times New Roman" w:hAnsi="Times New Roman" w:cs="Times New Roman"/>
          <w:sz w:val="24"/>
          <w:szCs w:val="24"/>
        </w:rPr>
        <w:t>.</w:t>
      </w:r>
    </w:p>
    <w:p w14:paraId="074E584F" w14:textId="77777777" w:rsidR="00C94A38" w:rsidRPr="00C94A38" w:rsidRDefault="00C94A38" w:rsidP="00C94A38">
      <w:pPr>
        <w:spacing w:before="100" w:beforeAutospacing="1" w:after="100" w:afterAutospacing="1" w:line="360" w:lineRule="auto"/>
        <w:jc w:val="left"/>
        <w:rPr>
          <w:rFonts w:ascii="Times New Roman" w:eastAsia="Times New Roman" w:hAnsi="Times New Roman" w:cs="Times New Roman"/>
          <w:sz w:val="24"/>
          <w:szCs w:val="24"/>
        </w:rPr>
      </w:pPr>
      <w:r w:rsidRPr="00C94A38">
        <w:rPr>
          <w:rFonts w:ascii="Times New Roman" w:eastAsia="Times New Roman" w:hAnsi="Times New Roman" w:cs="Times New Roman"/>
          <w:sz w:val="24"/>
          <w:szCs w:val="24"/>
          <w:rtl/>
        </w:rPr>
        <w:t xml:space="preserve">وتبرز </w:t>
      </w:r>
      <w:r w:rsidRPr="00C94A38">
        <w:rPr>
          <w:rFonts w:ascii="Times New Roman" w:eastAsia="Times New Roman" w:hAnsi="Times New Roman" w:cs="Times New Roman"/>
          <w:b/>
          <w:bCs/>
          <w:sz w:val="24"/>
          <w:szCs w:val="24"/>
          <w:rtl/>
        </w:rPr>
        <w:t>تنمية الموارد البشرية</w:t>
      </w:r>
      <w:r w:rsidRPr="00C94A38">
        <w:rPr>
          <w:rFonts w:ascii="Times New Roman" w:eastAsia="Times New Roman" w:hAnsi="Times New Roman" w:cs="Times New Roman"/>
          <w:sz w:val="24"/>
          <w:szCs w:val="24"/>
          <w:rtl/>
        </w:rPr>
        <w:t xml:space="preserve"> باعتبارها عنصرًا حاسمًا في استدامة التحول الرقمي؛ إذ إن نجاح الأنظمة الرقمية يتوقف على توافر كوادر تمتلك المهارات القانونية والتقنية اللازمة لإدارة البيئة الرقمية. وقد أطلقت المملكة والإمارات برامج وطنية لتطوير القدرات الرقمية، في حين اعتمدت سنغافورة نموذجًا مؤسسيًا للتدريب المستمر من خلال الأكاديمية الرقمية الحكومية، بما يعزز جاهزية العاملين في القطاع العام للتعامل مع التقنيات الحديثة</w:t>
      </w:r>
      <w:r w:rsidRPr="00C94A38">
        <w:rPr>
          <w:rFonts w:ascii="Times New Roman" w:eastAsia="Times New Roman" w:hAnsi="Times New Roman" w:cs="Times New Roman"/>
          <w:sz w:val="24"/>
          <w:szCs w:val="24"/>
        </w:rPr>
        <w:t>.</w:t>
      </w:r>
    </w:p>
    <w:p w14:paraId="639E8565" w14:textId="7371B854" w:rsidR="00C94A38" w:rsidRPr="00C94A38" w:rsidRDefault="00C94A38" w:rsidP="00103495">
      <w:pPr>
        <w:spacing w:before="100" w:beforeAutospacing="1" w:after="100" w:afterAutospacing="1" w:line="360" w:lineRule="auto"/>
        <w:jc w:val="left"/>
        <w:rPr>
          <w:rFonts w:ascii="Times New Roman" w:eastAsia="Times New Roman" w:hAnsi="Times New Roman" w:cs="Times New Roman"/>
          <w:sz w:val="24"/>
          <w:szCs w:val="24"/>
        </w:rPr>
      </w:pPr>
      <w:r w:rsidRPr="00C94A38">
        <w:rPr>
          <w:rFonts w:ascii="Times New Roman" w:eastAsia="Times New Roman" w:hAnsi="Times New Roman" w:cs="Times New Roman"/>
          <w:sz w:val="24"/>
          <w:szCs w:val="24"/>
          <w:rtl/>
        </w:rPr>
        <w:t xml:space="preserve">كما يثير </w:t>
      </w:r>
      <w:r w:rsidRPr="00C94A38">
        <w:rPr>
          <w:rFonts w:ascii="Times New Roman" w:eastAsia="Times New Roman" w:hAnsi="Times New Roman" w:cs="Times New Roman"/>
          <w:b/>
          <w:bCs/>
          <w:sz w:val="24"/>
          <w:szCs w:val="24"/>
          <w:rtl/>
        </w:rPr>
        <w:t>استخدام الذكاء الاصطناعي في القضاء</w:t>
      </w:r>
      <w:r w:rsidRPr="00C94A38">
        <w:rPr>
          <w:rFonts w:ascii="Times New Roman" w:eastAsia="Times New Roman" w:hAnsi="Times New Roman" w:cs="Times New Roman"/>
          <w:sz w:val="24"/>
          <w:szCs w:val="24"/>
          <w:rtl/>
        </w:rPr>
        <w:t xml:space="preserve"> </w:t>
      </w:r>
      <w:r w:rsidR="00462B76" w:rsidRPr="00462B76">
        <w:rPr>
          <w:rFonts w:ascii="Times New Roman" w:eastAsia="Times New Roman" w:hAnsi="Times New Roman" w:cs="Times New Roman" w:hint="cs"/>
          <w:sz w:val="24"/>
          <w:szCs w:val="24"/>
          <w:vertAlign w:val="superscript"/>
          <w:rtl/>
        </w:rPr>
        <w:t>(</w:t>
      </w:r>
      <w:r w:rsidR="00462B76" w:rsidRPr="00462B76">
        <w:rPr>
          <w:rStyle w:val="a8"/>
          <w:rFonts w:ascii="Times New Roman" w:eastAsia="Times New Roman" w:hAnsi="Times New Roman" w:cs="Times New Roman"/>
          <w:vanish/>
          <w:sz w:val="24"/>
          <w:szCs w:val="24"/>
          <w:rtl/>
        </w:rPr>
        <w:footnoteReference w:id="35"/>
      </w:r>
      <w:r w:rsidR="00103495">
        <w:rPr>
          <w:rFonts w:ascii="Times New Roman" w:eastAsia="Times New Roman" w:hAnsi="Times New Roman" w:cs="Times New Roman" w:hint="cs"/>
          <w:sz w:val="24"/>
          <w:szCs w:val="24"/>
          <w:vertAlign w:val="superscript"/>
          <w:rtl/>
        </w:rPr>
        <w:t>2</w:t>
      </w:r>
      <w:r w:rsidR="00462B76" w:rsidRPr="00462B76">
        <w:rPr>
          <w:rFonts w:ascii="Times New Roman" w:eastAsia="Times New Roman" w:hAnsi="Times New Roman" w:cs="Times New Roman" w:hint="cs"/>
          <w:sz w:val="24"/>
          <w:szCs w:val="24"/>
          <w:vertAlign w:val="superscript"/>
          <w:rtl/>
        </w:rPr>
        <w:t>)</w:t>
      </w:r>
      <w:r w:rsidRPr="00C94A38">
        <w:rPr>
          <w:rFonts w:ascii="Times New Roman" w:eastAsia="Times New Roman" w:hAnsi="Times New Roman" w:cs="Times New Roman"/>
          <w:sz w:val="24"/>
          <w:szCs w:val="24"/>
          <w:rtl/>
        </w:rPr>
        <w:t>تحديات قانونية وأخلاقية متزايدة، تتعلق بالشفافية، وقابلية تفسير القرارات، والمسؤولية عن الأخطاء التقنية، وضمان عدم الإخلال باستقلال القاضي وحقوق المتقاضين. وقد اتجهت الدول الثلاث إلى الاستفادة من تطبيقات الذكاء الاصطناعي في الخدمات القضائية بدرجات متفاوتة، مع التأكيد على بقاء القرار القضائي النهائي بيد القاضي، وهو ما ينسجم مع التوجهات الدولية التي تشدد على ضرورة الإشراف البشري وعدم إحلال الأنظمة الذكية محل السلطة القضائية</w:t>
      </w:r>
      <w:r w:rsidRPr="00C94A38">
        <w:rPr>
          <w:rFonts w:ascii="Times New Roman" w:eastAsia="Times New Roman" w:hAnsi="Times New Roman" w:cs="Times New Roman"/>
          <w:sz w:val="24"/>
          <w:szCs w:val="24"/>
        </w:rPr>
        <w:t>.</w:t>
      </w:r>
    </w:p>
    <w:p w14:paraId="53706475" w14:textId="299559CB" w:rsidR="00C94A38" w:rsidRPr="00C94A38" w:rsidRDefault="00C94A38" w:rsidP="00103495">
      <w:pPr>
        <w:spacing w:before="100" w:beforeAutospacing="1" w:after="100" w:afterAutospacing="1" w:line="360" w:lineRule="auto"/>
        <w:jc w:val="left"/>
        <w:rPr>
          <w:rFonts w:ascii="Times New Roman" w:eastAsia="Times New Roman" w:hAnsi="Times New Roman" w:cs="Times New Roman"/>
          <w:sz w:val="24"/>
          <w:szCs w:val="24"/>
        </w:rPr>
      </w:pPr>
      <w:r w:rsidRPr="00C94A38">
        <w:rPr>
          <w:rFonts w:ascii="Times New Roman" w:eastAsia="Times New Roman" w:hAnsi="Times New Roman" w:cs="Times New Roman"/>
          <w:sz w:val="24"/>
          <w:szCs w:val="24"/>
          <w:rtl/>
        </w:rPr>
        <w:t>وت</w:t>
      </w:r>
      <w:r w:rsidR="00103495" w:rsidRPr="00103495">
        <w:rPr>
          <w:rFonts w:ascii="Times New Roman" w:eastAsia="Times New Roman" w:hAnsi="Times New Roman" w:cs="Times New Roman" w:hint="cs"/>
          <w:sz w:val="24"/>
          <w:szCs w:val="24"/>
          <w:rtl/>
        </w:rPr>
        <w:t>لخ</w:t>
      </w:r>
      <w:r w:rsidRPr="00C94A38">
        <w:rPr>
          <w:rFonts w:ascii="Times New Roman" w:eastAsia="Times New Roman" w:hAnsi="Times New Roman" w:cs="Times New Roman"/>
          <w:sz w:val="24"/>
          <w:szCs w:val="24"/>
          <w:rtl/>
        </w:rPr>
        <w:t xml:space="preserve">ص الدراسة </w:t>
      </w:r>
      <w:r w:rsidR="00103495" w:rsidRPr="00103495">
        <w:rPr>
          <w:sz w:val="24"/>
          <w:szCs w:val="24"/>
          <w:rtl/>
        </w:rPr>
        <w:t xml:space="preserve">استنادًا إلى الأدبيات </w:t>
      </w:r>
      <w:r w:rsidR="00103495" w:rsidRPr="00103495">
        <w:rPr>
          <w:rFonts w:hint="cs"/>
          <w:sz w:val="24"/>
          <w:szCs w:val="24"/>
          <w:rtl/>
        </w:rPr>
        <w:t>الدولية</w:t>
      </w:r>
      <w:r w:rsidR="00103495" w:rsidRPr="00103495">
        <w:rPr>
          <w:rFonts w:hint="cs"/>
          <w:sz w:val="24"/>
          <w:szCs w:val="24"/>
          <w:vertAlign w:val="superscript"/>
          <w:rtl/>
        </w:rPr>
        <w:t xml:space="preserve"> </w:t>
      </w:r>
      <w:r w:rsidR="00103495" w:rsidRPr="00103495">
        <w:rPr>
          <w:sz w:val="24"/>
          <w:szCs w:val="24"/>
          <w:vertAlign w:val="superscript"/>
          <w:rtl/>
        </w:rPr>
        <w:t>(</w:t>
      </w:r>
      <w:r w:rsidR="00103495" w:rsidRPr="00103495">
        <w:rPr>
          <w:rFonts w:hint="cs"/>
          <w:sz w:val="24"/>
          <w:szCs w:val="24"/>
          <w:vertAlign w:val="superscript"/>
          <w:rtl/>
        </w:rPr>
        <w:t>3)</w:t>
      </w:r>
      <w:r w:rsidR="00103495" w:rsidRPr="00103495">
        <w:rPr>
          <w:sz w:val="24"/>
          <w:szCs w:val="24"/>
          <w:rtl/>
        </w:rPr>
        <w:t xml:space="preserve"> ونتائج الدراسة المقارنة، إلى أن التحديات التي تواجه التحول الرقمي في إجراءات التقاضي لم تعد تنحصر في الجوانب التقنية، بل أصبحت ترتبط بقدرة الدولة على تحقيق التكامل بين الإطار التشريعي، والحوكمة المؤسسية، والبنية التقنية، بما يضمن استدامة الخدمات القضائية الرقمية، وتعزيز الأمن القانوني، وحماية حقوق المتقاضين</w:t>
      </w:r>
      <w:r w:rsidRPr="00C94A38">
        <w:rPr>
          <w:rFonts w:ascii="Times New Roman" w:eastAsia="Times New Roman" w:hAnsi="Times New Roman" w:cs="Times New Roman"/>
          <w:sz w:val="24"/>
          <w:szCs w:val="24"/>
          <w:rtl/>
        </w:rPr>
        <w:t xml:space="preserve">. وتتميز التجربة السعودية بسرعة التطوير التشريعي والتوسع في الخدمات الرقمية، بينما تتميز التجربة الإماراتية بتكامل الإطار التشريعي والتنظيمي، في حين تنفرد التجربة السنغافورية باستقرار بنيتها المؤسسية واعتمادها على الحوكمة الرقمية المركزية والحياد التقني. وترى الباحثة أن تطوير منظومة التقاضي الرقمي في المملكة </w:t>
      </w:r>
      <w:r w:rsidRPr="00C94A38">
        <w:rPr>
          <w:rFonts w:ascii="Times New Roman" w:eastAsia="Times New Roman" w:hAnsi="Times New Roman" w:cs="Times New Roman"/>
          <w:sz w:val="24"/>
          <w:szCs w:val="24"/>
          <w:rtl/>
        </w:rPr>
        <w:lastRenderedPageBreak/>
        <w:t>يمكن أن يستفيد من التجربة الإماراتية في تنظيم خدمات الثقة الرقمية، ومن التجربة السنغافورية في بناء بنية حكومية رقمية موحدة وتطوير القدرات المؤسسية، بما يعزز الأمن القانوني، ويرفع كفاءة العدالة الرقمية، ويحقق استدامة التحول الرقمي في مرفق القضاء</w:t>
      </w:r>
      <w:r w:rsidRPr="00C94A38">
        <w:rPr>
          <w:rFonts w:ascii="Times New Roman" w:eastAsia="Times New Roman" w:hAnsi="Times New Roman" w:cs="Times New Roman"/>
          <w:sz w:val="24"/>
          <w:szCs w:val="24"/>
        </w:rPr>
        <w:t>.</w:t>
      </w:r>
    </w:p>
    <w:p w14:paraId="30CCD143" w14:textId="700D9E10" w:rsidR="004E091D" w:rsidRDefault="004E091D" w:rsidP="00C94A38">
      <w:pPr>
        <w:spacing w:before="100" w:beforeAutospacing="1" w:after="100" w:afterAutospacing="1" w:line="360" w:lineRule="auto"/>
        <w:jc w:val="left"/>
        <w:outlineLvl w:val="0"/>
      </w:pPr>
    </w:p>
    <w:p w14:paraId="681A501E" w14:textId="5B3BD70C" w:rsidR="003B3BAB" w:rsidRPr="004E091D" w:rsidRDefault="003B3BAB" w:rsidP="00AA2D35">
      <w:pPr>
        <w:spacing w:before="100" w:beforeAutospacing="1" w:after="100" w:afterAutospacing="1" w:line="360" w:lineRule="auto"/>
        <w:ind w:left="360"/>
        <w:jc w:val="left"/>
        <w:rPr>
          <w:rFonts w:ascii="Times New Roman" w:eastAsia="Times New Roman" w:hAnsi="Times New Roman" w:cs="Times New Roman"/>
          <w:sz w:val="28"/>
          <w:szCs w:val="28"/>
          <w:rtl/>
        </w:rPr>
      </w:pPr>
    </w:p>
    <w:p w14:paraId="6D853B70"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A88FA8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635EFD0"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387FD5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D56289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FA1372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FAEFD18"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7855377" w14:textId="468DAB94"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71AB6A4" w14:textId="5190B517" w:rsidR="003B3BAB" w:rsidRPr="003B3BAB" w:rsidRDefault="003B3BAB" w:rsidP="00C94A38">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3B3BAB">
        <w:rPr>
          <w:rFonts w:ascii="Times New Roman" w:hAnsi="Times New Roman" w:cs="Times New Roman"/>
          <w:sz w:val="28"/>
          <w:szCs w:val="28"/>
        </w:rPr>
        <w:t>.</w:t>
      </w:r>
    </w:p>
    <w:p w14:paraId="6BEF58AD" w14:textId="77777777"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D090C7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4E217F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B8181F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40969AE"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14DF37C"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7267CC0" w14:textId="4BEF8A95" w:rsidR="00C94A38" w:rsidRDefault="00C94A38" w:rsidP="00103495">
      <w:pPr>
        <w:spacing w:after="431"/>
        <w:ind w:right="59"/>
        <w:jc w:val="both"/>
        <w:rPr>
          <w:rFonts w:ascii="Times New Roman" w:hAnsi="Times New Roman" w:cs="Times New Roman"/>
          <w:b/>
          <w:bCs/>
          <w:sz w:val="32"/>
          <w:szCs w:val="32"/>
          <w:rtl/>
        </w:rPr>
      </w:pPr>
    </w:p>
    <w:p w14:paraId="799E1622" w14:textId="77777777" w:rsidR="00C94A38" w:rsidRDefault="00C94A38" w:rsidP="00F43B89">
      <w:pPr>
        <w:spacing w:after="431"/>
        <w:ind w:right="59"/>
        <w:jc w:val="both"/>
        <w:rPr>
          <w:rFonts w:ascii="Times New Roman" w:hAnsi="Times New Roman" w:cs="Times New Roman"/>
          <w:b/>
          <w:bCs/>
          <w:sz w:val="32"/>
          <w:szCs w:val="32"/>
          <w:rtl/>
        </w:rPr>
      </w:pPr>
    </w:p>
    <w:p w14:paraId="5D82A350" w14:textId="4E2842F8" w:rsidR="00745B06" w:rsidRPr="00D3434E" w:rsidRDefault="003A0856" w:rsidP="00F43B89">
      <w:pPr>
        <w:spacing w:after="431"/>
        <w:ind w:right="59"/>
        <w:jc w:val="both"/>
        <w:rPr>
          <w:rFonts w:ascii="Times New Roman" w:hAnsi="Times New Roman" w:cs="Times New Roman"/>
          <w:b/>
          <w:bCs/>
          <w:sz w:val="32"/>
          <w:szCs w:val="32"/>
          <w:rtl/>
        </w:rPr>
      </w:pPr>
      <w:commentRangeStart w:id="0"/>
      <w:r w:rsidRPr="00D3434E">
        <w:rPr>
          <w:rFonts w:ascii="Times New Roman" w:hAnsi="Times New Roman" w:cs="Times New Roman"/>
          <w:b/>
          <w:bCs/>
          <w:sz w:val="32"/>
          <w:szCs w:val="32"/>
          <w:rtl/>
        </w:rPr>
        <w:t>الفصل الثالث:</w:t>
      </w:r>
      <w:r w:rsidRPr="00D3434E">
        <w:rPr>
          <w:rFonts w:ascii="Times New Roman" w:hAnsi="Times New Roman" w:cs="Times New Roman" w:hint="cs"/>
          <w:b/>
          <w:bCs/>
          <w:sz w:val="32"/>
          <w:szCs w:val="32"/>
          <w:rtl/>
        </w:rPr>
        <w:t xml:space="preserve"> </w:t>
      </w:r>
      <w:r w:rsidRPr="00D3434E">
        <w:rPr>
          <w:rFonts w:ascii="Times New Roman" w:hAnsi="Times New Roman" w:cs="Times New Roman"/>
          <w:b/>
          <w:bCs/>
          <w:sz w:val="32"/>
          <w:szCs w:val="32"/>
          <w:rtl/>
        </w:rPr>
        <w:t>ال</w:t>
      </w:r>
      <w:r w:rsidRPr="00D3434E">
        <w:rPr>
          <w:rFonts w:ascii="Times New Roman" w:hAnsi="Times New Roman" w:cs="Times New Roman" w:hint="cs"/>
          <w:b/>
          <w:bCs/>
          <w:sz w:val="32"/>
          <w:szCs w:val="32"/>
          <w:rtl/>
        </w:rPr>
        <w:t>آ</w:t>
      </w:r>
      <w:r w:rsidRPr="00D3434E">
        <w:rPr>
          <w:rFonts w:ascii="Times New Roman" w:hAnsi="Times New Roman" w:cs="Times New Roman"/>
          <w:b/>
          <w:bCs/>
          <w:sz w:val="32"/>
          <w:szCs w:val="32"/>
          <w:rtl/>
        </w:rPr>
        <w:t>ثــــــــــــــــــــــــــــار</w:t>
      </w:r>
      <w:r w:rsidRPr="00D3434E">
        <w:rPr>
          <w:rFonts w:ascii="Times New Roman" w:hAnsi="Times New Roman" w:cs="Times New Roman" w:hint="cs"/>
          <w:b/>
          <w:bCs/>
          <w:sz w:val="32"/>
          <w:szCs w:val="32"/>
          <w:rtl/>
        </w:rPr>
        <w:t xml:space="preserve"> المترتبة </w:t>
      </w:r>
      <w:r w:rsidR="00F43B89" w:rsidRPr="00D3434E">
        <w:rPr>
          <w:rFonts w:ascii="Times New Roman" w:hAnsi="Times New Roman" w:cs="Times New Roman" w:hint="cs"/>
          <w:b/>
          <w:bCs/>
          <w:sz w:val="32"/>
          <w:szCs w:val="32"/>
          <w:rtl/>
        </w:rPr>
        <w:t>على</w:t>
      </w:r>
      <w:r w:rsidRPr="00D3434E">
        <w:rPr>
          <w:rFonts w:ascii="Times New Roman" w:hAnsi="Times New Roman" w:cs="Times New Roman" w:hint="cs"/>
          <w:b/>
          <w:bCs/>
          <w:sz w:val="32"/>
          <w:szCs w:val="32"/>
          <w:rtl/>
        </w:rPr>
        <w:t xml:space="preserve"> تنظيم التحول الرقمي </w:t>
      </w:r>
      <w:commentRangeEnd w:id="0"/>
      <w:r w:rsidR="001C4EEC">
        <w:rPr>
          <w:rStyle w:val="ad"/>
          <w:rtl/>
        </w:rPr>
        <w:commentReference w:id="0"/>
      </w:r>
    </w:p>
    <w:p w14:paraId="0D732F9B" w14:textId="0758F3CE" w:rsidR="003A0856" w:rsidRDefault="003A0856" w:rsidP="00AA2D35">
      <w:pPr>
        <w:spacing w:after="431" w:line="360" w:lineRule="auto"/>
        <w:ind w:right="59"/>
        <w:jc w:val="both"/>
        <w:rPr>
          <w:rFonts w:ascii="Times New Roman" w:hAnsi="Times New Roman" w:cs="Times New Roman"/>
          <w:sz w:val="24"/>
          <w:szCs w:val="24"/>
          <w:rtl/>
        </w:rPr>
      </w:pPr>
      <w:r w:rsidRPr="003A0856">
        <w:rPr>
          <w:rFonts w:ascii="Times New Roman" w:hAnsi="Times New Roman" w:cs="Times New Roman"/>
          <w:sz w:val="24"/>
          <w:szCs w:val="24"/>
          <w:rtl/>
        </w:rPr>
        <w:t>يُعد تنظيم التحول الرقمي من القضايا القانونية والتنظيمية الحديثة التي ترتب آثارًا واسعة النطاق على الجوانب القانونية والإدارية والاقتصادية والتقنية. فمع توسع استخدام التقنيات الرقمية في المؤسسات الحكومية والقضائية والخدمية، أصبح وجود إطار تنظيمي واضح ضرورة لضمان تحقيق الاستفادة من التقنيات الحديثة مع الحد من المخاطر المرتبطة بها. ويترتب على تنظيم التحول الرقمي مجموعة من الآثار الإيجابية والتحديات التي تؤثر بصورة مباشرة في كفاءة المؤسسات وحماية الحقوق وتحقيق التنمية المستدامة</w:t>
      </w:r>
      <w:r w:rsidRPr="003A0856">
        <w:rPr>
          <w:rFonts w:ascii="Times New Roman" w:hAnsi="Times New Roman" w:cs="Times New Roman"/>
          <w:sz w:val="24"/>
          <w:szCs w:val="24"/>
        </w:rPr>
        <w:t>.</w:t>
      </w:r>
    </w:p>
    <w:p w14:paraId="727A9C2B" w14:textId="5F39EC19" w:rsidR="0017347B" w:rsidRDefault="00325595" w:rsidP="00186A24">
      <w:pPr>
        <w:spacing w:before="100" w:beforeAutospacing="1" w:after="100" w:afterAutospacing="1" w:line="360" w:lineRule="auto"/>
        <w:jc w:val="left"/>
        <w:outlineLvl w:val="2"/>
        <w:rPr>
          <w:rFonts w:ascii="Times New Roman" w:eastAsia="Times New Roman" w:hAnsi="Times New Roman" w:cs="Times New Roman"/>
          <w:b/>
          <w:bCs/>
          <w:sz w:val="28"/>
          <w:szCs w:val="28"/>
          <w:vertAlign w:val="superscript"/>
          <w:rtl/>
        </w:rPr>
      </w:pPr>
      <w:r>
        <w:rPr>
          <w:rFonts w:ascii="Times New Roman" w:eastAsia="Times New Roman" w:hAnsi="Times New Roman" w:cs="Times New Roman" w:hint="cs"/>
          <w:b/>
          <w:bCs/>
          <w:sz w:val="28"/>
          <w:szCs w:val="28"/>
          <w:rtl/>
        </w:rPr>
        <w:t xml:space="preserve">المبحث </w:t>
      </w:r>
      <w:r w:rsidR="0017347B">
        <w:rPr>
          <w:rFonts w:ascii="Times New Roman" w:eastAsia="Times New Roman" w:hAnsi="Times New Roman" w:cs="Times New Roman" w:hint="cs"/>
          <w:b/>
          <w:bCs/>
          <w:sz w:val="28"/>
          <w:szCs w:val="28"/>
          <w:rtl/>
        </w:rPr>
        <w:t>الأول</w:t>
      </w:r>
      <w:r w:rsidR="0017347B">
        <w:rPr>
          <w:rFonts w:hint="cs"/>
          <w:rtl/>
        </w:rPr>
        <w:t xml:space="preserve">: </w:t>
      </w:r>
      <w:r w:rsidR="0017347B" w:rsidRPr="0017347B">
        <w:rPr>
          <w:rFonts w:hint="cs"/>
          <w:b/>
          <w:bCs/>
          <w:sz w:val="28"/>
          <w:szCs w:val="28"/>
          <w:rtl/>
        </w:rPr>
        <w:t>الآثار</w:t>
      </w:r>
      <w:r w:rsidR="0017347B" w:rsidRPr="0017347B">
        <w:rPr>
          <w:b/>
          <w:bCs/>
          <w:sz w:val="28"/>
          <w:szCs w:val="28"/>
          <w:rtl/>
        </w:rPr>
        <w:t xml:space="preserve"> القانونية</w:t>
      </w:r>
      <w:r w:rsidR="00186A24">
        <w:rPr>
          <w:rFonts w:hint="cs"/>
          <w:b/>
          <w:bCs/>
          <w:sz w:val="28"/>
          <w:szCs w:val="28"/>
          <w:rtl/>
        </w:rPr>
        <w:t xml:space="preserve"> والقضائية</w:t>
      </w:r>
      <w:r w:rsidR="0017347B" w:rsidRPr="0017347B">
        <w:rPr>
          <w:b/>
          <w:bCs/>
          <w:sz w:val="28"/>
          <w:szCs w:val="28"/>
          <w:rtl/>
        </w:rPr>
        <w:t xml:space="preserve"> للتحول الرقمي</w:t>
      </w:r>
      <w:r w:rsidR="0017347B">
        <w:t>.</w:t>
      </w:r>
      <w:r w:rsidR="002304D5">
        <w:rPr>
          <w:rFonts w:ascii="Times New Roman" w:eastAsia="Times New Roman" w:hAnsi="Times New Roman" w:cs="Times New Roman" w:hint="cs"/>
          <w:b/>
          <w:bCs/>
          <w:sz w:val="28"/>
          <w:szCs w:val="28"/>
          <w:rtl/>
        </w:rPr>
        <w:t xml:space="preserve"> </w:t>
      </w:r>
      <w:r w:rsidR="00AF4DAE" w:rsidRPr="00AF4DAE">
        <w:rPr>
          <w:rFonts w:ascii="Times New Roman" w:eastAsia="Times New Roman" w:hAnsi="Times New Roman" w:cs="Times New Roman" w:hint="cs"/>
          <w:b/>
          <w:bCs/>
          <w:sz w:val="28"/>
          <w:szCs w:val="28"/>
          <w:vertAlign w:val="superscript"/>
          <w:rtl/>
        </w:rPr>
        <w:t>(1</w:t>
      </w:r>
      <w:r w:rsidR="001537F5">
        <w:rPr>
          <w:rFonts w:ascii="Times New Roman" w:eastAsia="Times New Roman" w:hAnsi="Times New Roman" w:cs="Times New Roman" w:hint="cs"/>
          <w:b/>
          <w:bCs/>
          <w:sz w:val="28"/>
          <w:szCs w:val="28"/>
          <w:vertAlign w:val="superscript"/>
          <w:rtl/>
        </w:rPr>
        <w:t>)</w:t>
      </w:r>
      <w:r w:rsidR="00AF4DAE">
        <w:rPr>
          <w:rFonts w:ascii="Times New Roman" w:eastAsia="Times New Roman" w:hAnsi="Times New Roman" w:cs="Times New Roman" w:hint="cs"/>
          <w:b/>
          <w:bCs/>
          <w:sz w:val="28"/>
          <w:szCs w:val="28"/>
          <w:vertAlign w:val="superscript"/>
          <w:rtl/>
        </w:rPr>
        <w:t xml:space="preserve"> </w:t>
      </w:r>
    </w:p>
    <w:p w14:paraId="6E450A4D" w14:textId="15D7DA1A" w:rsidR="003A0856" w:rsidRPr="0017347B" w:rsidRDefault="0017347B" w:rsidP="0017347B">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17347B">
        <w:rPr>
          <w:b/>
          <w:bCs/>
          <w:sz w:val="28"/>
          <w:szCs w:val="28"/>
          <w:rtl/>
        </w:rPr>
        <w:t>المطلب الأول: آثار التنظيم القانوني للتحول الرقمي في تعزيز الأمن القانوني</w:t>
      </w:r>
      <w:r w:rsidRPr="0017347B">
        <w:rPr>
          <w:b/>
          <w:bCs/>
          <w:sz w:val="28"/>
          <w:szCs w:val="28"/>
        </w:rPr>
        <w:t>.</w:t>
      </w:r>
      <w:r w:rsidRPr="0017347B">
        <w:rPr>
          <w:rStyle w:val="a8"/>
          <w:rFonts w:ascii="Times New Roman" w:eastAsia="Times New Roman" w:hAnsi="Times New Roman" w:cs="Times New Roman"/>
          <w:b/>
          <w:bCs/>
          <w:vanish/>
          <w:sz w:val="28"/>
          <w:szCs w:val="28"/>
          <w:vertAlign w:val="baseline"/>
          <w:rtl/>
        </w:rPr>
        <w:t xml:space="preserve"> </w:t>
      </w:r>
      <w:r w:rsidR="00AF4DAE" w:rsidRPr="0017347B">
        <w:rPr>
          <w:rStyle w:val="a8"/>
          <w:rFonts w:ascii="Times New Roman" w:eastAsia="Times New Roman" w:hAnsi="Times New Roman" w:cs="Times New Roman"/>
          <w:b/>
          <w:bCs/>
          <w:vanish/>
          <w:sz w:val="28"/>
          <w:szCs w:val="28"/>
          <w:vertAlign w:val="baseline"/>
          <w:rtl/>
        </w:rPr>
        <w:footnoteReference w:id="36"/>
      </w:r>
      <w:r w:rsidR="00AF4DAE" w:rsidRPr="0017347B">
        <w:rPr>
          <w:rFonts w:ascii="Times New Roman" w:eastAsia="Times New Roman" w:hAnsi="Times New Roman" w:cs="Times New Roman" w:hint="cs"/>
          <w:b/>
          <w:bCs/>
          <w:vanish/>
          <w:sz w:val="28"/>
          <w:szCs w:val="28"/>
          <w:rtl/>
        </w:rPr>
        <w:t>)</w:t>
      </w:r>
    </w:p>
    <w:p w14:paraId="69A911B9" w14:textId="49FC5ACC" w:rsidR="003A0856" w:rsidRPr="00FF37FA" w:rsidRDefault="003A0856" w:rsidP="00FF37FA">
      <w:pPr>
        <w:spacing w:before="100" w:beforeAutospacing="1" w:after="100" w:afterAutospacing="1" w:line="360" w:lineRule="auto"/>
        <w:jc w:val="left"/>
        <w:outlineLvl w:val="3"/>
        <w:rPr>
          <w:rFonts w:ascii="Times New Roman" w:eastAsia="Times New Roman" w:hAnsi="Times New Roman" w:cs="Times New Roman"/>
          <w:b/>
          <w:bCs/>
          <w:sz w:val="28"/>
          <w:szCs w:val="28"/>
        </w:rPr>
      </w:pPr>
      <w:r w:rsidRPr="00FF37FA">
        <w:rPr>
          <w:rFonts w:ascii="Times New Roman" w:eastAsia="Times New Roman" w:hAnsi="Times New Roman" w:cs="Times New Roman"/>
          <w:b/>
          <w:bCs/>
          <w:sz w:val="28"/>
          <w:szCs w:val="28"/>
        </w:rPr>
        <w:t xml:space="preserve"> </w:t>
      </w:r>
      <w:r w:rsidRPr="00FF37FA">
        <w:rPr>
          <w:rFonts w:ascii="Times New Roman" w:eastAsia="Times New Roman" w:hAnsi="Times New Roman" w:cs="Times New Roman"/>
          <w:b/>
          <w:bCs/>
          <w:sz w:val="28"/>
          <w:szCs w:val="28"/>
          <w:rtl/>
        </w:rPr>
        <w:t>تعزيز الأمن القانوني</w:t>
      </w:r>
    </w:p>
    <w:p w14:paraId="7117F1E8" w14:textId="15E5E7F4" w:rsidR="00AF4DAE" w:rsidRDefault="00AF4DAE" w:rsidP="00AA2D35">
      <w:pPr>
        <w:pStyle w:val="a5"/>
        <w:bidi/>
        <w:spacing w:line="360" w:lineRule="auto"/>
      </w:pPr>
      <w:r>
        <w:rPr>
          <w:rtl/>
        </w:rPr>
        <w:t xml:space="preserve">يُقصد بالأمن </w:t>
      </w:r>
      <w:commentRangeStart w:id="2"/>
      <w:r w:rsidR="00385F2F">
        <w:rPr>
          <w:rFonts w:hint="cs"/>
          <w:rtl/>
        </w:rPr>
        <w:t>القانوني</w:t>
      </w:r>
      <w:r w:rsidR="00385F2F" w:rsidRPr="00385F2F">
        <w:rPr>
          <w:rFonts w:hint="cs"/>
          <w:vertAlign w:val="superscript"/>
          <w:rtl/>
        </w:rPr>
        <w:t xml:space="preserve"> </w:t>
      </w:r>
      <w:r w:rsidR="00385F2F" w:rsidRPr="00385F2F">
        <w:rPr>
          <w:vertAlign w:val="superscript"/>
          <w:rtl/>
        </w:rPr>
        <w:t>(</w:t>
      </w:r>
      <w:r w:rsidR="00385F2F" w:rsidRPr="00385F2F">
        <w:rPr>
          <w:rStyle w:val="a8"/>
          <w:vanish/>
          <w:vertAlign w:val="baseline"/>
          <w:rtl/>
        </w:rPr>
        <w:footnoteReference w:id="37"/>
      </w:r>
      <w:r w:rsidR="00385F2F" w:rsidRPr="00385F2F">
        <w:rPr>
          <w:rFonts w:hint="cs"/>
          <w:vertAlign w:val="superscript"/>
          <w:rtl/>
        </w:rPr>
        <w:t>2)</w:t>
      </w:r>
      <w:r>
        <w:rPr>
          <w:rtl/>
        </w:rPr>
        <w:t xml:space="preserve"> توفير بيئة تشريعية مست</w:t>
      </w:r>
      <w:commentRangeEnd w:id="2"/>
      <w:r w:rsidR="00B16E9F">
        <w:rPr>
          <w:rStyle w:val="ad"/>
          <w:rFonts w:asciiTheme="minorHAnsi" w:eastAsiaTheme="minorEastAsia" w:hAnsiTheme="minorHAnsi" w:cstheme="minorBidi"/>
        </w:rPr>
        <w:commentReference w:id="2"/>
      </w:r>
      <w:r>
        <w:rPr>
          <w:rtl/>
        </w:rPr>
        <w:t>قرة وواضحة تمكن الأفراد والمؤسسات من معرفة حقوقهم والتزاماتهم بصورة مسبقة، بما يحقق الثقة والاستقرار في التعاملات القانونية. ويُعد الأمن القانوني من أهم الآثار المترتبة على تنظيم التحول الرقمي، لأن التطور التقني السريع أدى إلى ظهور معاملات وعلاقات قانونية جديدة لم تكن موجودة في البيئة التقليدية</w:t>
      </w:r>
      <w:r>
        <w:t>.</w:t>
      </w:r>
    </w:p>
    <w:p w14:paraId="3EA84F3C" w14:textId="77777777" w:rsidR="00AF4DAE" w:rsidRDefault="00AF4DAE" w:rsidP="00AA2D35">
      <w:pPr>
        <w:pStyle w:val="a5"/>
        <w:bidi/>
        <w:spacing w:line="360" w:lineRule="auto"/>
      </w:pPr>
      <w:r>
        <w:rPr>
          <w:rtl/>
        </w:rPr>
        <w:t>وقبل صدور التشريعات المنظمة للتحول الرقمي، كانت العديد من المعاملات الإلكترونية تواجه إشكاليات قانونية تتعلق بمدى مشروعيتها وحجيتها وإثباتها أمام الجهات القضائية. إلا أن التنظيم القانوني أسهم في إزالة هذا الغموض من خلال وضع قواعد واضحة تنظم استخدام الوسائل الإلكترونية وتعترف بآثارها القانونية</w:t>
      </w:r>
      <w:r>
        <w:t>.</w:t>
      </w:r>
    </w:p>
    <w:p w14:paraId="4C4170ED" w14:textId="77777777" w:rsidR="00AF4DAE" w:rsidRPr="00AF4DAE" w:rsidRDefault="00AF4DAE" w:rsidP="00AA2D35">
      <w:pPr>
        <w:spacing w:before="100" w:beforeAutospacing="1" w:after="100" w:afterAutospacing="1" w:line="360" w:lineRule="auto"/>
        <w:jc w:val="left"/>
        <w:rPr>
          <w:rFonts w:ascii="Times New Roman" w:eastAsia="Times New Roman" w:hAnsi="Times New Roman" w:cs="Times New Roman"/>
          <w:sz w:val="24"/>
          <w:szCs w:val="24"/>
        </w:rPr>
      </w:pPr>
      <w:r w:rsidRPr="00F43B89">
        <w:rPr>
          <w:rFonts w:ascii="Times New Roman" w:eastAsia="Times New Roman" w:hAnsi="Times New Roman" w:cs="Times New Roman"/>
          <w:b/>
          <w:bCs/>
          <w:sz w:val="32"/>
          <w:szCs w:val="32"/>
          <w:rtl/>
        </w:rPr>
        <w:t>ومن أبرز صور تعزيز الأمن القانوني</w:t>
      </w:r>
      <w:r w:rsidRPr="00AF4DAE">
        <w:rPr>
          <w:rFonts w:ascii="Times New Roman" w:eastAsia="Times New Roman" w:hAnsi="Times New Roman" w:cs="Times New Roman"/>
          <w:sz w:val="24"/>
          <w:szCs w:val="24"/>
        </w:rPr>
        <w:t>:</w:t>
      </w:r>
    </w:p>
    <w:p w14:paraId="39258406" w14:textId="6BDDF3B3" w:rsidR="00971DD2" w:rsidRPr="00971DD2" w:rsidRDefault="00AF4DAE" w:rsidP="00971DD2">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AF4DAE">
        <w:rPr>
          <w:rFonts w:ascii="Times New Roman" w:eastAsia="Times New Roman" w:hAnsi="Times New Roman" w:cs="Times New Roman"/>
          <w:b/>
          <w:bCs/>
          <w:sz w:val="27"/>
          <w:szCs w:val="27"/>
          <w:rtl/>
        </w:rPr>
        <w:t>أ- الاعتراف القانوني بالتوقيع الإلكتروني</w:t>
      </w:r>
    </w:p>
    <w:p w14:paraId="6F46BEBB" w14:textId="77777777" w:rsidR="00971DD2" w:rsidRPr="00971DD2" w:rsidRDefault="00971DD2" w:rsidP="00971DD2">
      <w:pPr>
        <w:spacing w:before="100" w:beforeAutospacing="1" w:after="100" w:afterAutospacing="1" w:line="360" w:lineRule="auto"/>
        <w:jc w:val="left"/>
        <w:rPr>
          <w:rFonts w:ascii="Times New Roman" w:eastAsia="Times New Roman" w:hAnsi="Times New Roman" w:cs="Times New Roman"/>
          <w:sz w:val="24"/>
          <w:szCs w:val="24"/>
        </w:rPr>
      </w:pPr>
      <w:r w:rsidRPr="00971DD2">
        <w:rPr>
          <w:rFonts w:ascii="Times New Roman" w:eastAsia="Times New Roman" w:hAnsi="Times New Roman" w:cs="Times New Roman"/>
          <w:sz w:val="24"/>
          <w:szCs w:val="24"/>
          <w:rtl/>
        </w:rPr>
        <w:t xml:space="preserve">قبل صدور التشريعات المنظمة للتعاملات الإلكترونية، كان اشتراط التوقيع الخطي يمثل عائقًا أمام الاعتداد بالمحررات والتصرفات المنجزة في البيئة الرقمية؛ إذ كان من الممكن المنازعة في صحة التصرف لمجرد غياب التوقيع التقليدي، </w:t>
      </w:r>
      <w:r w:rsidRPr="00971DD2">
        <w:rPr>
          <w:rFonts w:ascii="Times New Roman" w:eastAsia="Times New Roman" w:hAnsi="Times New Roman" w:cs="Times New Roman"/>
          <w:sz w:val="24"/>
          <w:szCs w:val="24"/>
          <w:rtl/>
        </w:rPr>
        <w:lastRenderedPageBreak/>
        <w:t>فضلًا عن صعوبة تحديد هوية الموقع وإثبات موافقته على مضمون المحرر. وقد غيّرت التشريعات محل المقارنة هذا الوضع من خلال تقرير مبدأ التكافؤ الوظيفي بين التوقيع الخطي والتوقيع الإلكتروني، متى أدت الوسيلة الإلكترونية وظائف التوقيع التقليدي في تحديد هوية الموقع، وإظهار إرادته، وضمان سلامة البيانات المرتبطة به</w:t>
      </w:r>
      <w:r w:rsidRPr="00971DD2">
        <w:rPr>
          <w:rFonts w:ascii="Times New Roman" w:eastAsia="Times New Roman" w:hAnsi="Times New Roman" w:cs="Times New Roman"/>
          <w:sz w:val="24"/>
          <w:szCs w:val="24"/>
        </w:rPr>
        <w:t>.</w:t>
      </w:r>
    </w:p>
    <w:p w14:paraId="08100300" w14:textId="3AFE5481" w:rsidR="00971DD2" w:rsidRPr="00971DD2" w:rsidRDefault="00971DD2" w:rsidP="00971DD2">
      <w:pPr>
        <w:spacing w:before="100" w:beforeAutospacing="1" w:after="100" w:afterAutospacing="1" w:line="360" w:lineRule="auto"/>
        <w:jc w:val="left"/>
        <w:rPr>
          <w:rFonts w:ascii="Times New Roman" w:eastAsia="Times New Roman" w:hAnsi="Times New Roman" w:cs="Times New Roman"/>
          <w:sz w:val="24"/>
          <w:szCs w:val="24"/>
        </w:rPr>
      </w:pPr>
      <w:r w:rsidRPr="00971DD2">
        <w:rPr>
          <w:rFonts w:ascii="Times New Roman" w:eastAsia="Times New Roman" w:hAnsi="Times New Roman" w:cs="Times New Roman"/>
          <w:sz w:val="24"/>
          <w:szCs w:val="24"/>
          <w:rtl/>
        </w:rPr>
        <w:t xml:space="preserve">ففي المملكة العربية السعودية، قرر نظام التعاملات </w:t>
      </w:r>
      <w:r w:rsidRPr="00971DD2">
        <w:rPr>
          <w:rFonts w:ascii="Times New Roman" w:eastAsia="Times New Roman" w:hAnsi="Times New Roman" w:cs="Times New Roman" w:hint="cs"/>
          <w:sz w:val="24"/>
          <w:szCs w:val="24"/>
          <w:rtl/>
        </w:rPr>
        <w:t>الإلكترونية</w:t>
      </w:r>
      <w:r w:rsidRPr="00971DD2">
        <w:rPr>
          <w:rFonts w:ascii="Times New Roman" w:eastAsia="Times New Roman" w:hAnsi="Times New Roman" w:cs="Times New Roman" w:hint="cs"/>
          <w:sz w:val="24"/>
          <w:szCs w:val="24"/>
          <w:vertAlign w:val="superscript"/>
          <w:rtl/>
        </w:rPr>
        <w:t xml:space="preserve"> </w:t>
      </w:r>
      <w:r w:rsidRPr="00971DD2">
        <w:rPr>
          <w:rFonts w:ascii="Times New Roman" w:eastAsia="Times New Roman" w:hAnsi="Times New Roman" w:cs="Times New Roman"/>
          <w:sz w:val="24"/>
          <w:szCs w:val="24"/>
          <w:vertAlign w:val="superscript"/>
          <w:rtl/>
        </w:rPr>
        <w:t>(</w:t>
      </w:r>
      <w:r w:rsidRPr="00971DD2">
        <w:rPr>
          <w:rFonts w:ascii="Times New Roman" w:eastAsia="Times New Roman" w:hAnsi="Times New Roman" w:cs="Times New Roman" w:hint="cs"/>
          <w:sz w:val="24"/>
          <w:szCs w:val="24"/>
          <w:vertAlign w:val="superscript"/>
          <w:rtl/>
        </w:rPr>
        <w:t>1</w:t>
      </w:r>
      <w:r w:rsidR="00553383" w:rsidRPr="00553383">
        <w:rPr>
          <w:rStyle w:val="a8"/>
          <w:rFonts w:ascii="Times New Roman" w:eastAsia="Times New Roman" w:hAnsi="Times New Roman" w:cs="Times New Roman"/>
          <w:vanish/>
          <w:sz w:val="24"/>
          <w:szCs w:val="24"/>
          <w:vertAlign w:val="baseline"/>
          <w:rtl/>
        </w:rPr>
        <w:footnoteReference w:id="38"/>
      </w:r>
      <w:r w:rsidRPr="00971DD2">
        <w:rPr>
          <w:rFonts w:ascii="Times New Roman" w:eastAsia="Times New Roman" w:hAnsi="Times New Roman" w:cs="Times New Roman" w:hint="cs"/>
          <w:sz w:val="24"/>
          <w:szCs w:val="24"/>
          <w:vertAlign w:val="superscript"/>
          <w:rtl/>
        </w:rPr>
        <w:t>)</w:t>
      </w:r>
      <w:r w:rsidRPr="00971DD2">
        <w:rPr>
          <w:rFonts w:ascii="Times New Roman" w:eastAsia="Times New Roman" w:hAnsi="Times New Roman" w:cs="Times New Roman"/>
          <w:sz w:val="24"/>
          <w:szCs w:val="24"/>
          <w:vertAlign w:val="superscript"/>
          <w:rtl/>
        </w:rPr>
        <w:t xml:space="preserve"> </w:t>
      </w:r>
      <w:r w:rsidRPr="00971DD2">
        <w:rPr>
          <w:rFonts w:ascii="Times New Roman" w:eastAsia="Times New Roman" w:hAnsi="Times New Roman" w:cs="Times New Roman"/>
          <w:sz w:val="24"/>
          <w:szCs w:val="24"/>
          <w:rtl/>
        </w:rPr>
        <w:t>حجية التعاملات والسجلات والتوقيعات الإلكترونية، وعدم جواز نفي صحتها أو قابليتها للتنفيذ لمجرد إتمامها إلكترونيًا. كما نصت المادة التاسعة على قبول التعامل أو التوقيع الإلكتروني دليلًا في الإثبات متى استوفى السجل الإلكتروني المتطلبات النظامية، في حين قررت المادة الرابعة عشرة أن اشتراط التوقيع الخطي يعد مستوفًى بالتوقيع الإلكتروني عند تحقق الشروط المقررة في النظام. وبهذا لم يعد التوقيع الإلكتروني مجرد قرينة فنية قابلة للتقدير المطلق، بل أصبح وسيلة إثبات معترفًا بها نظامًا، تنتج آثار التوقيع التقليدي متى ثبتت موثوقيتها ونسبتها إلى صاحبها</w:t>
      </w:r>
      <w:r w:rsidRPr="00971DD2">
        <w:rPr>
          <w:rFonts w:ascii="Times New Roman" w:eastAsia="Times New Roman" w:hAnsi="Times New Roman" w:cs="Times New Roman"/>
          <w:sz w:val="24"/>
          <w:szCs w:val="24"/>
        </w:rPr>
        <w:t>.</w:t>
      </w:r>
    </w:p>
    <w:p w14:paraId="23835039" w14:textId="77777777" w:rsidR="00553383" w:rsidRDefault="00971DD2" w:rsidP="00553383">
      <w:pPr>
        <w:spacing w:before="100" w:beforeAutospacing="1" w:after="100" w:afterAutospacing="1" w:line="360" w:lineRule="auto"/>
        <w:jc w:val="left"/>
        <w:rPr>
          <w:rFonts w:ascii="Times New Roman" w:eastAsia="Times New Roman" w:hAnsi="Times New Roman" w:cs="Times New Roman"/>
          <w:sz w:val="24"/>
          <w:szCs w:val="24"/>
          <w:rtl/>
        </w:rPr>
      </w:pPr>
      <w:r w:rsidRPr="00971DD2">
        <w:rPr>
          <w:rFonts w:ascii="Times New Roman" w:eastAsia="Times New Roman" w:hAnsi="Times New Roman" w:cs="Times New Roman"/>
          <w:sz w:val="24"/>
          <w:szCs w:val="24"/>
          <w:rtl/>
        </w:rPr>
        <w:t>وقد ترتب على هذا التنظيم انتقال المنازعة من التساؤل عن جواز الاعتداد بالتوقيع الإلكتروني من حيث المبدأ إلى التحقق من استيفائه شروط الموثوقية. وبذلك أسهم النظام السعودي في تحقيق قدر أكبر من اليقين القانوني؛ لأن الطرف المتمسك بالمحرر الإلكتروني لم يعد مطالبًا بإثبات مشروعية الشكل الإلكتروني ذاته، وإنما بإثبات سلامة السجل وصحة نسبة التوقيع إلى صاحبه. إلا أن القوة الإثباتية تظل مرتبطة بدرجة تحقق المحكمة من سلامة منظومة التوقيع وملابسات إنشائه واستخدامه</w:t>
      </w:r>
      <w:r w:rsidRPr="00971DD2">
        <w:rPr>
          <w:rFonts w:ascii="Times New Roman" w:eastAsia="Times New Roman" w:hAnsi="Times New Roman" w:cs="Times New Roman"/>
          <w:sz w:val="24"/>
          <w:szCs w:val="24"/>
        </w:rPr>
        <w:t>.</w:t>
      </w:r>
    </w:p>
    <w:p w14:paraId="42899324" w14:textId="54BE6DFE" w:rsidR="00553383" w:rsidRPr="00553383" w:rsidRDefault="00553383" w:rsidP="00553383">
      <w:pPr>
        <w:spacing w:before="100" w:beforeAutospacing="1" w:after="100" w:afterAutospacing="1" w:line="360" w:lineRule="auto"/>
        <w:jc w:val="left"/>
        <w:rPr>
          <w:rFonts w:ascii="Times New Roman" w:eastAsia="Times New Roman" w:hAnsi="Times New Roman" w:cs="Times New Roman"/>
          <w:sz w:val="24"/>
          <w:szCs w:val="24"/>
        </w:rPr>
      </w:pPr>
      <w:r>
        <w:rPr>
          <w:rtl/>
        </w:rPr>
        <w:t xml:space="preserve">في </w:t>
      </w:r>
      <w:r>
        <w:rPr>
          <w:rFonts w:hint="cs"/>
          <w:rtl/>
        </w:rPr>
        <w:t>الإمارات،</w:t>
      </w:r>
      <w:r w:rsidRPr="00553383">
        <w:rPr>
          <w:rFonts w:hint="cs"/>
          <w:vertAlign w:val="superscript"/>
          <w:rtl/>
        </w:rPr>
        <w:t xml:space="preserve"> </w:t>
      </w:r>
      <w:r w:rsidRPr="00553383">
        <w:rPr>
          <w:vertAlign w:val="superscript"/>
          <w:rtl/>
        </w:rPr>
        <w:t>(</w:t>
      </w:r>
      <w:r w:rsidRPr="00553383">
        <w:rPr>
          <w:rFonts w:hint="cs"/>
          <w:vertAlign w:val="superscript"/>
          <w:rtl/>
        </w:rPr>
        <w:t>2)</w:t>
      </w:r>
      <w:r w:rsidRPr="00553383">
        <w:rPr>
          <w:vertAlign w:val="superscript"/>
          <w:rtl/>
        </w:rPr>
        <w:t xml:space="preserve"> </w:t>
      </w:r>
      <w:r>
        <w:rPr>
          <w:rtl/>
        </w:rPr>
        <w:t>تجاوز المرسوم بقانون اتحادي رقم (46) لسنة 2021 مجرد الاعتراف العام بالتوقيع الإلكتروني إلى وضع درجات متفاوتة له؛ إذ ميز بين التوقيع الإلكتروني، والتوقيع الموثوق، والتوقيع المعتمد. وعرّف التوقيع الإلكتروني بأنه وسيلة إلكترونية مرتبطة بمستند إلكتروني، من شأنها التحقق من هوية الموقع وقبوله لمحتوى البيانات، بينما جعل التوقيع المعتمد توقيعًا موثوقًا منشأً بأداة معتمدة ومستندًا إلى شهادة مصادقة معتمدة. كما قررت المادة (28) جواز استخدام مختلف أشكال التوقيع الإلكتروني، وألزمت الجهات الحكومية بقبول التوقيعات والأختام الإلكترونية والهوية الرقمية وفق مستويات الثقة والأمان المحددة</w:t>
      </w:r>
      <w:r>
        <w:t>.</w:t>
      </w:r>
    </w:p>
    <w:p w14:paraId="32DE912A" w14:textId="77777777" w:rsidR="00553383" w:rsidRDefault="00553383" w:rsidP="00553383">
      <w:pPr>
        <w:pStyle w:val="isselectedend"/>
        <w:bidi/>
        <w:spacing w:line="360" w:lineRule="auto"/>
      </w:pPr>
      <w:r>
        <w:rPr>
          <w:rtl/>
        </w:rPr>
        <w:t>ولم يظل هذا الاعتراف الإماراتي في نطاق المعاملات العامة، بل امتد مباشرة إلى إجراءات التقاضي؛ إذ قررت المادة (338) من قانون الإجراءات المدنية أن يكون للتوقيع والمستندات الإلكترونية الحجية المقررة للتوقيعات والمحررات الورقية الرسمية والعرفية، متى استوفت شروط قانون المعاملات الإلكترونية وخدمات الثقة. كما اعتدت المادة (330) بالإجراءات القضائية المنجزة كليًا أو جزئيًا عن بُعد، بما يشمل القيد والإعلان وتقديم المستندات والحضور وإصدار الأحكام والطعون والتنفيذ. ومن ثم، أصبح التوقيع الإلكتروني في النظام الإماراتي جزءًا من بنية إجرائية متكاملة، وليس مجرد أداة لإبرام المعاملات المدنية والتجارية</w:t>
      </w:r>
      <w:r>
        <w:t>.</w:t>
      </w:r>
    </w:p>
    <w:p w14:paraId="277415B2" w14:textId="0335C4A9" w:rsidR="00553383" w:rsidRDefault="00553383" w:rsidP="00553383">
      <w:pPr>
        <w:pStyle w:val="isselectedend"/>
        <w:bidi/>
        <w:spacing w:line="360" w:lineRule="auto"/>
        <w:rPr>
          <w:rtl/>
        </w:rPr>
      </w:pPr>
    </w:p>
    <w:p w14:paraId="1F73BDDE" w14:textId="6594E38F" w:rsidR="00553383" w:rsidRDefault="00553383" w:rsidP="00553383">
      <w:pPr>
        <w:pStyle w:val="isselectedend"/>
        <w:bidi/>
        <w:spacing w:line="360" w:lineRule="auto"/>
      </w:pPr>
      <w:r>
        <w:rPr>
          <w:rtl/>
        </w:rPr>
        <w:lastRenderedPageBreak/>
        <w:t xml:space="preserve">أما في </w:t>
      </w:r>
      <w:r>
        <w:rPr>
          <w:rFonts w:hint="cs"/>
          <w:rtl/>
        </w:rPr>
        <w:t>سنغافورة</w:t>
      </w:r>
      <w:r w:rsidRPr="00553383">
        <w:rPr>
          <w:rFonts w:hint="cs"/>
          <w:vertAlign w:val="superscript"/>
          <w:rtl/>
        </w:rPr>
        <w:t xml:space="preserve"> </w:t>
      </w:r>
      <w:r w:rsidRPr="00553383">
        <w:rPr>
          <w:vertAlign w:val="superscript"/>
          <w:rtl/>
        </w:rPr>
        <w:t>(</w:t>
      </w:r>
      <w:r w:rsidRPr="00553383">
        <w:rPr>
          <w:rFonts w:hint="cs"/>
          <w:vertAlign w:val="superscript"/>
          <w:rtl/>
        </w:rPr>
        <w:t>1)</w:t>
      </w:r>
      <w:r>
        <w:rPr>
          <w:rtl/>
        </w:rPr>
        <w:t>، فقد قررت المادة الثامنة من قانون المعاملات الإلكترونية لسنة 2010 أن متطلب التوقيع القانوني يتحقق بالنسبة إلى السجل الإلكتروني إذا استخدمت وسيلة تحدد هوية الشخص وتبين قصده المتعلق بالمعلومات الواردة في السجل، وكانت الوسيلة موثوقة بالقدر المناسب للغرض المقصود وفي ضوء ظروف المعاملة. ويكشف هذا النص عن اعتماد معيار وظيفي ومحايد تقنيًا؛ إذ لا يشترط القانون استخدام برنامج أو تقنية محددة، بل يربط الحجية بقدرة الوسيلة المستخدمة على أداء وظيفة التوقيع بدرجة مناسبة من الموثوقية</w:t>
      </w:r>
      <w:r>
        <w:t>.</w:t>
      </w:r>
    </w:p>
    <w:p w14:paraId="3647BDAC" w14:textId="77777777" w:rsidR="00553383" w:rsidRDefault="00553383" w:rsidP="00553383">
      <w:pPr>
        <w:pStyle w:val="a5"/>
        <w:bidi/>
        <w:spacing w:line="360" w:lineRule="auto"/>
      </w:pPr>
      <w:r>
        <w:rPr>
          <w:rtl/>
        </w:rPr>
        <w:t>كما ميز القانون السنغافوري بين التوقيع الإلكتروني العام والتوقيع الإلكتروني الآمن؛ إذ نظمت المواد من (17) إلى (19) السجلات والتوقيعات الآمنة والقرائن القانونية المترتبة عليها. ويؤدي هذا التمييز إلى الاعتراف بالتوقيعات الإلكترونية البسيطة متى استوفت المعيار الوظيفي، مع منح التوقيعات الآمنة مركزًا إثباتيًا أقوى وقرائن قابلة لإثبات العكس بشأن صحة نسبتها وسلامة السجل المرتبط بها. وبذلك يجمع التنظيم السنغافوري بين المرونة في قبول التقنيات الحديثة واليقين القانوني في المعاملات التي تستخدم إجراءات أمنية معتمدة</w:t>
      </w:r>
      <w:r>
        <w:t>.</w:t>
      </w:r>
    </w:p>
    <w:p w14:paraId="39F192A9" w14:textId="228866EF" w:rsidR="002035C2" w:rsidRPr="002035C2" w:rsidRDefault="00553383" w:rsidP="00553383">
      <w:pPr>
        <w:spacing w:before="100" w:beforeAutospacing="1" w:after="100" w:afterAutospacing="1" w:line="360" w:lineRule="auto"/>
        <w:jc w:val="left"/>
        <w:rPr>
          <w:rFonts w:ascii="Times New Roman" w:eastAsia="Times New Roman" w:hAnsi="Times New Roman" w:cs="Times New Roman"/>
          <w:sz w:val="24"/>
          <w:szCs w:val="24"/>
        </w:rPr>
      </w:pPr>
      <w:r w:rsidRPr="00553383">
        <w:rPr>
          <w:sz w:val="24"/>
          <w:szCs w:val="24"/>
          <w:rtl/>
        </w:rPr>
        <w:t>ويترتب على ذلك أن النموذج السعودي يحقق وضوحًا في أصل الحجية، لكنه يترك جانبًا من تقدير الموثوقية للضوابط الفنية وللمحكمة عند النزاع؛ بينما يوفر النموذج الإماراتي يقينًا مؤسسيًا أكبر من خلال الترخيص والشهادات وقائمة الثقة، وإن كان ذلك يؤدي إلى زيادة التفاصيل والمتطلبات التنظيمية. أما النموذج السنغافوري فيمنح التشريع قدرة أكبر على استيعاب الوسائل التقنية الجديدة، لكنه يوسع مساحة التقدير القضائي عند استخدام توقيع إلكتروني لا يتمتع بصفة التوقيع الآمن</w:t>
      </w:r>
      <w:r>
        <w:t>.</w:t>
      </w:r>
      <w:r w:rsidR="002035C2" w:rsidRPr="002035C2">
        <w:rPr>
          <w:rFonts w:ascii="Times New Roman" w:eastAsia="Times New Roman" w:hAnsi="Times New Roman" w:cs="Times New Roman"/>
          <w:sz w:val="24"/>
          <w:szCs w:val="24"/>
        </w:rPr>
        <w:t>.</w:t>
      </w:r>
    </w:p>
    <w:p w14:paraId="4270A1DC" w14:textId="77777777" w:rsidR="00971DD2" w:rsidRPr="00AF4DAE" w:rsidRDefault="00971DD2" w:rsidP="00971DD2">
      <w:pPr>
        <w:bidi w:val="0"/>
        <w:spacing w:before="100" w:beforeAutospacing="1" w:after="100" w:afterAutospacing="1" w:line="24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ب- تنظيم المعاملات الإلكترونية</w:t>
      </w:r>
    </w:p>
    <w:p w14:paraId="325E33BF" w14:textId="2EC5BF2C" w:rsidR="00971DD2" w:rsidRDefault="00971DD2" w:rsidP="00A66CB4">
      <w:pPr>
        <w:bidi w:val="0"/>
        <w:spacing w:before="100" w:beforeAutospacing="1" w:after="100" w:afterAutospacing="1" w:line="360" w:lineRule="auto"/>
        <w:rPr>
          <w:rFonts w:ascii="Times New Roman" w:eastAsia="Times New Roman" w:hAnsi="Times New Roman" w:cs="Times New Roman"/>
          <w:sz w:val="24"/>
          <w:szCs w:val="24"/>
          <w:rtl/>
        </w:rPr>
      </w:pPr>
      <w:commentRangeStart w:id="3"/>
      <w:r w:rsidRPr="002035C2">
        <w:rPr>
          <w:rFonts w:ascii="Times New Roman" w:eastAsia="Times New Roman" w:hAnsi="Times New Roman" w:cs="Times New Roman"/>
          <w:sz w:val="24"/>
          <w:szCs w:val="24"/>
          <w:rtl/>
        </w:rPr>
        <w:t>أدى انتشار الوسائل الرقمية</w:t>
      </w:r>
      <w:r w:rsidRPr="002E309A">
        <w:rPr>
          <w:rFonts w:ascii="Times New Roman" w:eastAsia="Times New Roman" w:hAnsi="Times New Roman" w:cs="Times New Roman" w:hint="cs"/>
          <w:sz w:val="24"/>
          <w:szCs w:val="24"/>
          <w:vertAlign w:val="superscript"/>
          <w:rtl/>
        </w:rPr>
        <w:t>(</w:t>
      </w:r>
      <w:r w:rsidRPr="002E309A">
        <w:rPr>
          <w:rStyle w:val="a8"/>
          <w:rFonts w:ascii="Times New Roman" w:eastAsia="Times New Roman" w:hAnsi="Times New Roman" w:cs="Times New Roman"/>
          <w:vanish/>
          <w:sz w:val="24"/>
          <w:szCs w:val="24"/>
          <w:vertAlign w:val="baseline"/>
          <w:rtl/>
        </w:rPr>
        <w:footnoteReference w:id="39"/>
      </w:r>
      <w:r w:rsidR="00A66CB4">
        <w:rPr>
          <w:rFonts w:ascii="Times New Roman" w:eastAsia="Times New Roman" w:hAnsi="Times New Roman" w:cs="Times New Roman" w:hint="cs"/>
          <w:sz w:val="24"/>
          <w:szCs w:val="24"/>
          <w:vertAlign w:val="superscript"/>
          <w:rtl/>
        </w:rPr>
        <w:t>2</w:t>
      </w:r>
      <w:r w:rsidRPr="002E309A">
        <w:rPr>
          <w:rFonts w:ascii="Times New Roman" w:eastAsia="Times New Roman" w:hAnsi="Times New Roman" w:cs="Times New Roman" w:hint="cs"/>
          <w:sz w:val="24"/>
          <w:szCs w:val="24"/>
          <w:vertAlign w:val="superscript"/>
          <w:rtl/>
        </w:rPr>
        <w:t>)</w:t>
      </w:r>
      <w:r w:rsidRPr="002035C2">
        <w:rPr>
          <w:rFonts w:ascii="Times New Roman" w:eastAsia="Times New Roman" w:hAnsi="Times New Roman" w:cs="Times New Roman"/>
          <w:sz w:val="24"/>
          <w:szCs w:val="24"/>
          <w:rtl/>
        </w:rPr>
        <w:t xml:space="preserve"> </w:t>
      </w:r>
      <w:commentRangeEnd w:id="3"/>
      <w:r w:rsidR="006B5CF3">
        <w:rPr>
          <w:rStyle w:val="ad"/>
          <w:rtl/>
        </w:rPr>
        <w:commentReference w:id="3"/>
      </w:r>
      <w:r w:rsidRPr="002035C2">
        <w:rPr>
          <w:rFonts w:ascii="Times New Roman" w:eastAsia="Times New Roman" w:hAnsi="Times New Roman" w:cs="Times New Roman"/>
          <w:sz w:val="24"/>
          <w:szCs w:val="24"/>
          <w:rtl/>
        </w:rPr>
        <w:t>إلى ظهور العقود الإلكترونية والتعاملات التي تتم عبر الإنترنت والمنصات الرقمية، وهو ما استلزم وضع قواعد قانونية تنظم هذه المعاملات وتحدد آثارها القانونية</w:t>
      </w:r>
    </w:p>
    <w:p w14:paraId="03943F08" w14:textId="2DE4820F" w:rsidR="002035C2" w:rsidRPr="002035C2" w:rsidRDefault="002035C2" w:rsidP="00971DD2">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وقد أسهم التنظيم القانوني في بيان كيفية إبرام العقود الإلكترونية وتحديد وقت ومكان انعقادها، وتنظيم وسائل التعبير عن الإرادة الإلكترونية، وبيان حقوق والتزامات الأطراف المتعاقدة. كما وضع ضوابط قانونية لحماية المستهلك في البيئة الرقمية وتنظيم عمليات الدفع الإلكتروني والتجارة الإلكترونية</w:t>
      </w:r>
      <w:r w:rsidRPr="002035C2">
        <w:rPr>
          <w:rFonts w:ascii="Times New Roman" w:eastAsia="Times New Roman" w:hAnsi="Times New Roman" w:cs="Times New Roman"/>
          <w:sz w:val="24"/>
          <w:szCs w:val="24"/>
        </w:rPr>
        <w:t>.</w:t>
      </w:r>
    </w:p>
    <w:p w14:paraId="6942BD04" w14:textId="77777777"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وتكمن أهمية هذا التنظيم في توفير اليقين القانوني للأفراد والشركات، حيث أصبح المتعاملون يعلمون مسبقًا القواعد التي تحكم معاملاتهم الإلكترونية والنتائج القانونية المترتبة عليها. كما أدى ذلك إلى تعزيز الثقة في الخدمات الرقمية والتجارة الإلكترونية وتشجيع الاستثمار في الاقتصاد الرقمي</w:t>
      </w:r>
      <w:r w:rsidRPr="002035C2">
        <w:rPr>
          <w:rFonts w:ascii="Times New Roman" w:eastAsia="Times New Roman" w:hAnsi="Times New Roman" w:cs="Times New Roman"/>
          <w:sz w:val="24"/>
          <w:szCs w:val="24"/>
        </w:rPr>
        <w:t>.</w:t>
      </w:r>
    </w:p>
    <w:p w14:paraId="077CBDCC" w14:textId="7A4AFD50" w:rsid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lastRenderedPageBreak/>
        <w:t xml:space="preserve">ومن ثم فإن تنظيم المعاملات الإلكترونية يُعد من الركائز الأساسية للأمن القانوني، لأنه يضمن استقرار العلاقات القانونية الناشئة في البيئة الرقمية ويحد من حالات الغموض </w:t>
      </w:r>
      <w:r w:rsidR="00D93D64" w:rsidRPr="002035C2">
        <w:rPr>
          <w:rFonts w:ascii="Times New Roman" w:eastAsia="Times New Roman" w:hAnsi="Times New Roman" w:cs="Times New Roman" w:hint="cs"/>
          <w:sz w:val="24"/>
          <w:szCs w:val="24"/>
          <w:rtl/>
        </w:rPr>
        <w:t>والنزاع</w:t>
      </w:r>
      <w:r w:rsidR="00D93D64">
        <w:rPr>
          <w:rFonts w:ascii="Times New Roman" w:eastAsia="Times New Roman" w:hAnsi="Times New Roman" w:cs="Times New Roman" w:hint="cs"/>
          <w:sz w:val="24"/>
          <w:szCs w:val="24"/>
          <w:rtl/>
        </w:rPr>
        <w:t>.</w:t>
      </w:r>
      <w:r w:rsidRPr="002035C2">
        <w:rPr>
          <w:rFonts w:ascii="Times New Roman" w:eastAsia="Times New Roman" w:hAnsi="Times New Roman" w:cs="Times New Roman"/>
          <w:sz w:val="24"/>
          <w:szCs w:val="24"/>
        </w:rPr>
        <w:t>.</w:t>
      </w:r>
    </w:p>
    <w:p w14:paraId="5F6DDC64" w14:textId="664F33A2" w:rsidR="00AF4DAE" w:rsidRPr="00AF4DAE" w:rsidRDefault="00AF4DAE" w:rsidP="00AA2D35">
      <w:pPr>
        <w:bidi w:val="0"/>
        <w:spacing w:before="100" w:beforeAutospacing="1" w:after="100" w:afterAutospacing="1" w:line="36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ج- الاعتراف بالأدلة الرقمية</w:t>
      </w:r>
    </w:p>
    <w:p w14:paraId="31CF4F88" w14:textId="36E61C81" w:rsidR="00825FC7" w:rsidRPr="00825FC7" w:rsidRDefault="00825FC7" w:rsidP="00596D4C">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من أبرز الآثار القانونية للتحول الرقمي تطور وسائل الإثبات القانونية وظهور ما يُعرف بالأدلة الرقمية</w:t>
      </w:r>
      <w:r w:rsidR="00D93D64" w:rsidRPr="00D93D64">
        <w:rPr>
          <w:rFonts w:ascii="Times New Roman" w:eastAsia="Times New Roman" w:hAnsi="Times New Roman" w:cs="Times New Roman" w:hint="cs"/>
          <w:sz w:val="24"/>
          <w:szCs w:val="24"/>
          <w:vertAlign w:val="superscript"/>
          <w:rtl/>
        </w:rPr>
        <w:t>(</w:t>
      </w:r>
      <w:r w:rsidR="00596D4C">
        <w:rPr>
          <w:rFonts w:ascii="Times New Roman" w:eastAsia="Times New Roman" w:hAnsi="Times New Roman" w:cs="Times New Roman"/>
          <w:sz w:val="24"/>
          <w:szCs w:val="24"/>
          <w:vertAlign w:val="superscript"/>
        </w:rPr>
        <w:t>1</w:t>
      </w:r>
      <w:r w:rsidR="00D93D64" w:rsidRPr="00D93D64">
        <w:rPr>
          <w:rFonts w:ascii="Times New Roman" w:eastAsia="Times New Roman" w:hAnsi="Times New Roman" w:cs="Times New Roman" w:hint="cs"/>
          <w:sz w:val="24"/>
          <w:szCs w:val="24"/>
          <w:vertAlign w:val="superscript"/>
          <w:rtl/>
        </w:rPr>
        <w:t>)</w:t>
      </w:r>
      <w:r w:rsidR="00D93D64" w:rsidRPr="00D93D64">
        <w:rPr>
          <w:rStyle w:val="a8"/>
          <w:rFonts w:ascii="Times New Roman" w:eastAsia="Times New Roman" w:hAnsi="Times New Roman" w:cs="Times New Roman"/>
          <w:vanish/>
          <w:sz w:val="24"/>
          <w:szCs w:val="24"/>
          <w:vertAlign w:val="baseline"/>
          <w:rtl/>
        </w:rPr>
        <w:footnoteReference w:id="40"/>
      </w:r>
      <w:r w:rsidRPr="00825FC7">
        <w:rPr>
          <w:rFonts w:ascii="Times New Roman" w:eastAsia="Times New Roman" w:hAnsi="Times New Roman" w:cs="Times New Roman"/>
          <w:sz w:val="24"/>
          <w:szCs w:val="24"/>
          <w:rtl/>
        </w:rPr>
        <w:t>، مثل الرسائل الإلكترونية، والبريد الإلكتروني، والسجلات الإلكترونية، والمستندات الرقمية، وبيانات الأنظمة الإلكترونية</w:t>
      </w:r>
      <w:r w:rsidRPr="00825FC7">
        <w:rPr>
          <w:rFonts w:ascii="Times New Roman" w:eastAsia="Times New Roman" w:hAnsi="Times New Roman" w:cs="Times New Roman"/>
          <w:sz w:val="24"/>
          <w:szCs w:val="24"/>
        </w:rPr>
        <w:t>.</w:t>
      </w:r>
    </w:p>
    <w:p w14:paraId="792AF523"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وفي السابق كانت بعض هذه الوسائل تواجه صعوبات تتعلق بمدى قبولها كأدلة أمام القضاء، إلا أن التشريعات الحديثة أقرت حجيتها القانونية متى أمكن التحقق من سلامتها وصحتها ومصدرها</w:t>
      </w:r>
      <w:r w:rsidRPr="00825FC7">
        <w:rPr>
          <w:rFonts w:ascii="Times New Roman" w:eastAsia="Times New Roman" w:hAnsi="Times New Roman" w:cs="Times New Roman"/>
          <w:sz w:val="24"/>
          <w:szCs w:val="24"/>
        </w:rPr>
        <w:t>.</w:t>
      </w:r>
    </w:p>
    <w:p w14:paraId="000B2CAA"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وقد أدى الاعتراف بالأدلة الرقمية إلى تطوير نظام الإثبات القانوني ليتوافق مع متطلبات العصر الرقمي، حيث أصبح بالإمكان الاستناد إلى المستندات الإلكترونية لإثبات الحقوق والالتزامات والمعاملات المختلفة. كما ساعد ذلك على تسريع الإجراءات القضائية وتقليل الاعتماد على الوثائق الورقية التقليدية</w:t>
      </w:r>
      <w:r w:rsidRPr="00825FC7">
        <w:rPr>
          <w:rFonts w:ascii="Times New Roman" w:eastAsia="Times New Roman" w:hAnsi="Times New Roman" w:cs="Times New Roman"/>
          <w:sz w:val="24"/>
          <w:szCs w:val="24"/>
        </w:rPr>
        <w:t>.</w:t>
      </w:r>
    </w:p>
    <w:p w14:paraId="47BD2D6E"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وتزداد أهمية الأدلة الرقمية في القضايا المتعلقة بالمعاملات الإلكترونية والجرائم المعلوماتية والنزاعات الناشئة عن استخدام التقنيات الحديثة، مما يجعلها أحد العناصر الأساسية لتحقيق العدالة في البيئة الرقمية</w:t>
      </w:r>
      <w:r w:rsidRPr="00825FC7">
        <w:rPr>
          <w:rFonts w:ascii="Times New Roman" w:eastAsia="Times New Roman" w:hAnsi="Times New Roman" w:cs="Times New Roman"/>
          <w:sz w:val="24"/>
          <w:szCs w:val="24"/>
        </w:rPr>
        <w:t>.</w:t>
      </w:r>
    </w:p>
    <w:p w14:paraId="46F74B60" w14:textId="351B79A2" w:rsidR="00AF4DAE" w:rsidRPr="00AF4DAE" w:rsidRDefault="00AF4DAE" w:rsidP="00596D4C">
      <w:pPr>
        <w:bidi w:val="0"/>
        <w:spacing w:before="100" w:beforeAutospacing="1" w:after="100" w:afterAutospacing="1" w:line="360" w:lineRule="auto"/>
        <w:outlineLvl w:val="2"/>
        <w:rPr>
          <w:rFonts w:ascii="Times New Roman" w:eastAsia="Times New Roman" w:hAnsi="Times New Roman" w:cs="Times New Roman"/>
          <w:b/>
          <w:bCs/>
          <w:sz w:val="28"/>
          <w:szCs w:val="28"/>
        </w:rPr>
      </w:pPr>
      <w:proofErr w:type="gramStart"/>
      <w:r w:rsidRPr="00AF4DAE">
        <w:rPr>
          <w:rFonts w:ascii="Times New Roman" w:eastAsia="Times New Roman" w:hAnsi="Times New Roman" w:cs="Times New Roman"/>
          <w:b/>
          <w:bCs/>
          <w:sz w:val="28"/>
          <w:szCs w:val="28"/>
          <w:rtl/>
        </w:rPr>
        <w:t xml:space="preserve">د- </w:t>
      </w:r>
      <w:commentRangeStart w:id="4"/>
      <w:r w:rsidRPr="00AF4DAE">
        <w:rPr>
          <w:rFonts w:ascii="Times New Roman" w:eastAsia="Times New Roman" w:hAnsi="Times New Roman" w:cs="Times New Roman"/>
          <w:b/>
          <w:bCs/>
          <w:sz w:val="28"/>
          <w:szCs w:val="28"/>
          <w:rtl/>
        </w:rPr>
        <w:t>تقليل</w:t>
      </w:r>
      <w:proofErr w:type="gramEnd"/>
      <w:r w:rsidRPr="00AF4DAE">
        <w:rPr>
          <w:rFonts w:ascii="Times New Roman" w:eastAsia="Times New Roman" w:hAnsi="Times New Roman" w:cs="Times New Roman"/>
          <w:b/>
          <w:bCs/>
          <w:sz w:val="28"/>
          <w:szCs w:val="28"/>
          <w:rtl/>
        </w:rPr>
        <w:t xml:space="preserve"> النزاعات القانونية</w:t>
      </w:r>
      <w:r w:rsidR="00D93D64" w:rsidRPr="00D93D64">
        <w:rPr>
          <w:rFonts w:ascii="Times New Roman" w:eastAsia="Times New Roman" w:hAnsi="Times New Roman" w:cs="Times New Roman" w:hint="cs"/>
          <w:b/>
          <w:bCs/>
          <w:sz w:val="28"/>
          <w:szCs w:val="28"/>
          <w:vertAlign w:val="superscript"/>
          <w:rtl/>
        </w:rPr>
        <w:t xml:space="preserve"> </w:t>
      </w:r>
      <w:r w:rsidR="00CE01A4">
        <w:rPr>
          <w:rFonts w:ascii="Times New Roman" w:eastAsia="Times New Roman" w:hAnsi="Times New Roman" w:cs="Times New Roman" w:hint="cs"/>
          <w:b/>
          <w:bCs/>
          <w:sz w:val="28"/>
          <w:szCs w:val="28"/>
          <w:vertAlign w:val="superscript"/>
          <w:rtl/>
        </w:rPr>
        <w:t>(</w:t>
      </w:r>
      <w:r w:rsidR="00596D4C">
        <w:rPr>
          <w:rFonts w:ascii="Times New Roman" w:eastAsia="Times New Roman" w:hAnsi="Times New Roman" w:cs="Times New Roman" w:hint="cs"/>
          <w:b/>
          <w:bCs/>
          <w:sz w:val="28"/>
          <w:szCs w:val="28"/>
          <w:vertAlign w:val="superscript"/>
          <w:rtl/>
        </w:rPr>
        <w:t>2</w:t>
      </w:r>
      <w:r w:rsidR="00CE01A4">
        <w:rPr>
          <w:rFonts w:ascii="Times New Roman" w:eastAsia="Times New Roman" w:hAnsi="Times New Roman" w:cs="Times New Roman" w:hint="cs"/>
          <w:b/>
          <w:bCs/>
          <w:sz w:val="28"/>
          <w:szCs w:val="28"/>
          <w:vertAlign w:val="superscript"/>
          <w:rtl/>
        </w:rPr>
        <w:t>)</w:t>
      </w:r>
      <w:commentRangeEnd w:id="4"/>
      <w:r w:rsidR="005723EB">
        <w:rPr>
          <w:rStyle w:val="ad"/>
        </w:rPr>
        <w:commentReference w:id="4"/>
      </w:r>
      <w:r w:rsidR="00D93D64" w:rsidRPr="00CE01A4">
        <w:rPr>
          <w:rFonts w:ascii="Times New Roman" w:eastAsia="Times New Roman" w:hAnsi="Times New Roman" w:cs="Times New Roman" w:hint="cs"/>
          <w:b/>
          <w:bCs/>
          <w:vanish/>
          <w:sz w:val="28"/>
          <w:szCs w:val="28"/>
          <w:rtl/>
        </w:rPr>
        <w:t>)</w:t>
      </w:r>
      <w:r w:rsidR="00D93D64" w:rsidRPr="00CE01A4">
        <w:rPr>
          <w:rStyle w:val="a8"/>
          <w:rFonts w:ascii="Times New Roman" w:eastAsia="Times New Roman" w:hAnsi="Times New Roman" w:cs="Times New Roman"/>
          <w:b/>
          <w:bCs/>
          <w:vanish/>
          <w:sz w:val="28"/>
          <w:szCs w:val="28"/>
          <w:vertAlign w:val="baseline"/>
        </w:rPr>
        <w:footnoteReference w:id="41"/>
      </w:r>
    </w:p>
    <w:p w14:paraId="7890D3E0" w14:textId="51E78043" w:rsidR="00825FC7" w:rsidRPr="00825FC7" w:rsidRDefault="00825FC7" w:rsidP="005723EB">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 xml:space="preserve">كلما كانت القواعد القانونية واضحة ومحددة، انخفضت احتمالات الاختلاف في تفسير </w:t>
      </w:r>
      <w:r w:rsidR="005723EB">
        <w:rPr>
          <w:rFonts w:ascii="Times New Roman" w:eastAsia="Times New Roman" w:hAnsi="Times New Roman" w:cs="Times New Roman"/>
          <w:sz w:val="24"/>
          <w:szCs w:val="24"/>
          <w:rtl/>
        </w:rPr>
        <w:t>الحقوق والالتزامات بين الأطراف</w:t>
      </w:r>
    </w:p>
    <w:p w14:paraId="671D277E"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وقد أسهم تنظيم التحول الرقمي في وضع إطار قانوني واضح للعقود الإلكترونية والتوقيعات الرقمية وحماية البيانات والمعاملات الإلكترونية، مما ساعد على الحد من حالات الغموض القانوني التي قد تؤدي إلى النزاع</w:t>
      </w:r>
      <w:r w:rsidRPr="00825FC7">
        <w:rPr>
          <w:rFonts w:ascii="Times New Roman" w:eastAsia="Times New Roman" w:hAnsi="Times New Roman" w:cs="Times New Roman"/>
          <w:sz w:val="24"/>
          <w:szCs w:val="24"/>
        </w:rPr>
        <w:t>.</w:t>
      </w:r>
    </w:p>
    <w:p w14:paraId="6480F4FF"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كما أن وضوح القواعد القانونية يسهّل على القضاة والجهات المختصة تطبيق الأنظمة بصورة موحدة، ويعزز القدرة على حسم النزاعات بسرعة وكفاءة. ومن ناحية أخرى، يساعد الأفراد والشركات على فهم التزاماتهم القانونية وتجنب المخالفات أو الأخطاء التي قد تؤدي إلى قيام المسؤولية القانونية</w:t>
      </w:r>
      <w:r w:rsidRPr="00825FC7">
        <w:rPr>
          <w:rFonts w:ascii="Times New Roman" w:eastAsia="Times New Roman" w:hAnsi="Times New Roman" w:cs="Times New Roman"/>
          <w:sz w:val="24"/>
          <w:szCs w:val="24"/>
        </w:rPr>
        <w:t>.</w:t>
      </w:r>
    </w:p>
    <w:p w14:paraId="4243CDE0"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وبذلك يسهم الأمن القانوني في خلق بيئة رقمية مستقرة تقوم على الوضوح واليقين والثقة، وهو ما ينعكس إيجابًا على التنمية الاقتصادية والاستثمار والتحول الرقمي</w:t>
      </w:r>
      <w:r w:rsidRPr="00825FC7">
        <w:rPr>
          <w:rFonts w:ascii="Times New Roman" w:eastAsia="Times New Roman" w:hAnsi="Times New Roman" w:cs="Times New Roman"/>
          <w:sz w:val="24"/>
          <w:szCs w:val="24"/>
        </w:rPr>
        <w:t>.</w:t>
      </w:r>
    </w:p>
    <w:p w14:paraId="52434EB1" w14:textId="6872744C" w:rsidR="002035C2" w:rsidRDefault="002035C2" w:rsidP="00AA2D35">
      <w:pPr>
        <w:spacing w:after="0" w:line="360" w:lineRule="auto"/>
        <w:jc w:val="left"/>
        <w:rPr>
          <w:rFonts w:ascii="Times New Roman" w:eastAsia="Times New Roman" w:hAnsi="Times New Roman" w:cs="Times New Roman"/>
          <w:b/>
          <w:bCs/>
          <w:sz w:val="36"/>
          <w:szCs w:val="36"/>
        </w:rPr>
      </w:pPr>
    </w:p>
    <w:p w14:paraId="75706F29" w14:textId="3D5E2D51" w:rsidR="002035C2" w:rsidRDefault="002035C2" w:rsidP="00AA2D35">
      <w:pPr>
        <w:spacing w:before="100" w:beforeAutospacing="1" w:after="100" w:afterAutospacing="1" w:line="360" w:lineRule="auto"/>
        <w:jc w:val="left"/>
        <w:outlineLvl w:val="1"/>
        <w:rPr>
          <w:rFonts w:ascii="Times New Roman" w:eastAsia="Times New Roman" w:hAnsi="Times New Roman" w:cs="Times New Roman"/>
          <w:b/>
          <w:bCs/>
          <w:sz w:val="36"/>
          <w:szCs w:val="36"/>
          <w:rtl/>
        </w:rPr>
      </w:pPr>
    </w:p>
    <w:p w14:paraId="60FD6027" w14:textId="35925239" w:rsidR="002035C2" w:rsidRDefault="002035C2" w:rsidP="00AA2D35">
      <w:pPr>
        <w:rPr>
          <w:rFonts w:ascii="Times New Roman" w:eastAsia="Times New Roman" w:hAnsi="Times New Roman" w:cs="Times New Roman"/>
          <w:sz w:val="36"/>
          <w:szCs w:val="36"/>
          <w:rtl/>
        </w:rPr>
      </w:pPr>
    </w:p>
    <w:p w14:paraId="496932E4" w14:textId="61D3235B" w:rsidR="002035C2" w:rsidRDefault="001A32B2" w:rsidP="00AA2D35">
      <w:pPr>
        <w:rPr>
          <w:rFonts w:ascii="Times New Roman" w:eastAsia="Times New Roman" w:hAnsi="Times New Roman" w:cs="Times New Roman"/>
          <w:sz w:val="36"/>
          <w:szCs w:val="36"/>
          <w:rtl/>
        </w:rPr>
      </w:pPr>
      <w:r>
        <w:rPr>
          <w:rStyle w:val="ad"/>
          <w:rtl/>
        </w:rPr>
        <w:commentReference w:id="5"/>
      </w:r>
    </w:p>
    <w:p w14:paraId="7C0044FA" w14:textId="1592DB36" w:rsidR="002035C2" w:rsidRDefault="002035C2" w:rsidP="00AA2D35">
      <w:pPr>
        <w:bidi w:val="0"/>
        <w:jc w:val="left"/>
        <w:rPr>
          <w:rFonts w:ascii="Times New Roman" w:eastAsia="Times New Roman" w:hAnsi="Times New Roman" w:cs="Times New Roman"/>
          <w:sz w:val="36"/>
          <w:szCs w:val="36"/>
        </w:rPr>
      </w:pPr>
      <w:r>
        <w:rPr>
          <w:rFonts w:ascii="Times New Roman" w:eastAsia="Times New Roman" w:hAnsi="Times New Roman" w:cs="Times New Roman"/>
          <w:sz w:val="36"/>
          <w:szCs w:val="36"/>
          <w:rtl/>
        </w:rPr>
        <w:br w:type="page"/>
      </w:r>
    </w:p>
    <w:p w14:paraId="2E5BCB8C" w14:textId="25450E1A" w:rsidR="001537F5" w:rsidRPr="002B26D1" w:rsidRDefault="008A445A" w:rsidP="00D3434E">
      <w:pPr>
        <w:spacing w:before="100" w:beforeAutospacing="1" w:after="100" w:afterAutospacing="1" w:line="360" w:lineRule="auto"/>
        <w:jc w:val="left"/>
        <w:outlineLvl w:val="1"/>
        <w:rPr>
          <w:rFonts w:ascii="Times New Roman" w:eastAsia="Times New Roman" w:hAnsi="Times New Roman" w:cs="Times New Roman" w:hint="cs"/>
          <w:b/>
          <w:bCs/>
          <w:sz w:val="32"/>
          <w:szCs w:val="32"/>
          <w:rtl/>
        </w:rPr>
      </w:pPr>
      <w:r>
        <w:rPr>
          <w:rFonts w:ascii="Times New Roman" w:eastAsia="Times New Roman" w:hAnsi="Times New Roman" w:cs="Times New Roman" w:hint="cs"/>
          <w:b/>
          <w:bCs/>
          <w:sz w:val="32"/>
          <w:szCs w:val="32"/>
          <w:rtl/>
        </w:rPr>
        <w:lastRenderedPageBreak/>
        <w:t xml:space="preserve">المطلب </w:t>
      </w:r>
      <w:r w:rsidR="00596D4C">
        <w:rPr>
          <w:rFonts w:ascii="Times New Roman" w:eastAsia="Times New Roman" w:hAnsi="Times New Roman" w:cs="Times New Roman" w:hint="cs"/>
          <w:b/>
          <w:bCs/>
          <w:sz w:val="32"/>
          <w:szCs w:val="32"/>
          <w:rtl/>
        </w:rPr>
        <w:t>الثاني:</w:t>
      </w:r>
      <w:r w:rsidR="001537F5" w:rsidRPr="002B26D1">
        <w:rPr>
          <w:rFonts w:ascii="Times New Roman" w:eastAsia="Times New Roman" w:hAnsi="Times New Roman" w:cs="Times New Roman"/>
          <w:b/>
          <w:bCs/>
          <w:sz w:val="32"/>
          <w:szCs w:val="32"/>
        </w:rPr>
        <w:t xml:space="preserve"> </w:t>
      </w:r>
      <w:r w:rsidR="00186A24" w:rsidRPr="00186A24">
        <w:rPr>
          <w:b/>
          <w:bCs/>
          <w:sz w:val="32"/>
          <w:szCs w:val="32"/>
          <w:rtl/>
        </w:rPr>
        <w:t>آثار التحول الرقمي في حماية الحقوق والخصوصية وتطور المسؤولية القانونية</w:t>
      </w:r>
      <w:r w:rsidR="00186A24" w:rsidRPr="002B26D1">
        <w:rPr>
          <w:rFonts w:ascii="Times New Roman" w:eastAsia="Times New Roman" w:hAnsi="Times New Roman" w:cs="Times New Roman" w:hint="cs"/>
          <w:b/>
          <w:bCs/>
          <w:sz w:val="32"/>
          <w:szCs w:val="32"/>
          <w:vertAlign w:val="superscript"/>
          <w:rtl/>
        </w:rPr>
        <w:t xml:space="preserve"> </w:t>
      </w:r>
    </w:p>
    <w:p w14:paraId="3A364BEB" w14:textId="77777777" w:rsidR="00AB790E" w:rsidRPr="00AB790E" w:rsidRDefault="00AB790E" w:rsidP="00AA2D35">
      <w:pPr>
        <w:spacing w:before="100" w:beforeAutospacing="1" w:after="100" w:afterAutospacing="1" w:line="360" w:lineRule="auto"/>
        <w:jc w:val="left"/>
        <w:rPr>
          <w:rFonts w:ascii="Times New Roman" w:eastAsia="Times New Roman" w:hAnsi="Times New Roman" w:cs="Times New Roman"/>
          <w:sz w:val="24"/>
          <w:szCs w:val="24"/>
        </w:rPr>
      </w:pPr>
      <w:r w:rsidRPr="00AB790E">
        <w:rPr>
          <w:rFonts w:ascii="Times New Roman" w:eastAsia="Times New Roman" w:hAnsi="Times New Roman" w:cs="Times New Roman"/>
          <w:sz w:val="24"/>
          <w:szCs w:val="24"/>
          <w:rtl/>
        </w:rPr>
        <w:t>تُعد حماية البيانات والخصوصية من أهم الآثار القانونية المترتبة على تنظيم التحول الرقمي، وذلك نتيجة التوسع الكبير في استخدام التقنيات الرقمية والاعتماد المتزايد على البيانات في تقديم الخدمات الحكومية والقضائية والتجارية. فمع انتقال جزء كبير من الأنشطة اليومية إلى البيئة الرقمية، أصبحت البيانات الشخصية تُجمع وتُخزن وتُعالج بصورة مستمرة، الأمر الذي استوجب تدخل المشرع لوضع قواعد قانونية تضمن حماية حقوق الأفراد ومنع إساءة استخدام معلوماتهم الشخصية</w:t>
      </w:r>
      <w:r w:rsidRPr="00AB790E">
        <w:rPr>
          <w:rFonts w:ascii="Times New Roman" w:eastAsia="Times New Roman" w:hAnsi="Times New Roman" w:cs="Times New Roman"/>
          <w:sz w:val="24"/>
          <w:szCs w:val="24"/>
        </w:rPr>
        <w:t>.</w:t>
      </w:r>
    </w:p>
    <w:p w14:paraId="68119B7B" w14:textId="2A1AC4D8" w:rsidR="00AB790E" w:rsidRPr="00825FC7" w:rsidRDefault="00AB790E" w:rsidP="00AA2D35">
      <w:pPr>
        <w:spacing w:before="100" w:beforeAutospacing="1" w:after="100" w:afterAutospacing="1" w:line="360" w:lineRule="auto"/>
        <w:jc w:val="left"/>
        <w:rPr>
          <w:rFonts w:ascii="Times New Roman" w:eastAsia="Times New Roman" w:hAnsi="Times New Roman" w:cs="Times New Roman"/>
          <w:sz w:val="24"/>
          <w:szCs w:val="24"/>
          <w:rtl/>
        </w:rPr>
      </w:pPr>
      <w:r w:rsidRPr="00AB790E">
        <w:rPr>
          <w:rFonts w:ascii="Times New Roman" w:eastAsia="Times New Roman" w:hAnsi="Times New Roman" w:cs="Times New Roman"/>
          <w:sz w:val="24"/>
          <w:szCs w:val="24"/>
          <w:rtl/>
        </w:rPr>
        <w:t>وتتمثل أهمية التنظيم القانوني في إيجاد التوازن بين الاستفادة من البيانات لتحقيق التنمية الرقمية من جهة، وضمان حماية الخصوصية والحريات الفردية من جهة أخرى</w:t>
      </w:r>
      <w:r w:rsidRPr="00AB790E">
        <w:rPr>
          <w:rFonts w:ascii="Times New Roman" w:eastAsia="Times New Roman" w:hAnsi="Times New Roman" w:cs="Times New Roman"/>
          <w:sz w:val="24"/>
          <w:szCs w:val="24"/>
        </w:rPr>
        <w:t>.</w:t>
      </w:r>
    </w:p>
    <w:p w14:paraId="171AB8F3" w14:textId="1CD78AE6" w:rsidR="00AB790E" w:rsidRPr="00FF37FA" w:rsidRDefault="00D3434E" w:rsidP="00E242F3">
      <w:pPr>
        <w:spacing w:after="431" w:line="360" w:lineRule="auto"/>
        <w:ind w:right="59"/>
        <w:jc w:val="left"/>
        <w:rPr>
          <w:rFonts w:ascii="Times New Roman" w:hAnsi="Times New Roman" w:cs="Times New Roman"/>
          <w:sz w:val="28"/>
          <w:szCs w:val="28"/>
        </w:rPr>
      </w:pPr>
      <w:r>
        <w:rPr>
          <w:rFonts w:ascii="Times New Roman" w:hAnsi="Times New Roman" w:cs="Times New Roman" w:hint="cs"/>
          <w:b/>
          <w:bCs/>
          <w:sz w:val="28"/>
          <w:szCs w:val="28"/>
          <w:rtl/>
        </w:rPr>
        <w:t xml:space="preserve">أولاً: </w:t>
      </w:r>
      <w:commentRangeStart w:id="6"/>
      <w:r>
        <w:rPr>
          <w:rFonts w:ascii="Times New Roman" w:hAnsi="Times New Roman" w:cs="Times New Roman" w:hint="cs"/>
          <w:b/>
          <w:bCs/>
          <w:sz w:val="28"/>
          <w:szCs w:val="28"/>
          <w:rtl/>
        </w:rPr>
        <w:t>حماية</w:t>
      </w:r>
      <w:r w:rsidR="00AB790E" w:rsidRPr="00FF37FA">
        <w:rPr>
          <w:rFonts w:ascii="Times New Roman" w:hAnsi="Times New Roman" w:cs="Times New Roman"/>
          <w:b/>
          <w:bCs/>
          <w:sz w:val="28"/>
          <w:szCs w:val="28"/>
          <w:rtl/>
        </w:rPr>
        <w:t xml:space="preserve"> الحق في الخصوصية</w:t>
      </w:r>
      <w:r w:rsidRPr="002B26D1">
        <w:rPr>
          <w:rFonts w:ascii="Times New Roman" w:eastAsia="Times New Roman" w:hAnsi="Times New Roman" w:cs="Times New Roman" w:hint="cs"/>
          <w:b/>
          <w:bCs/>
          <w:sz w:val="32"/>
          <w:szCs w:val="32"/>
          <w:vertAlign w:val="superscript"/>
          <w:rtl/>
        </w:rPr>
        <w:t>(</w:t>
      </w:r>
      <w:r w:rsidRPr="002B26D1">
        <w:rPr>
          <w:rStyle w:val="a8"/>
          <w:rFonts w:ascii="Times New Roman" w:eastAsia="Times New Roman" w:hAnsi="Times New Roman" w:cs="Times New Roman"/>
          <w:b/>
          <w:bCs/>
          <w:vanish/>
          <w:sz w:val="32"/>
          <w:szCs w:val="32"/>
          <w:vertAlign w:val="baseline"/>
          <w:rtl/>
        </w:rPr>
        <w:footnoteReference w:id="42"/>
      </w:r>
      <w:r w:rsidRPr="002B26D1">
        <w:rPr>
          <w:rFonts w:ascii="Times New Roman" w:eastAsia="Times New Roman" w:hAnsi="Times New Roman" w:cs="Times New Roman" w:hint="cs"/>
          <w:b/>
          <w:bCs/>
          <w:sz w:val="32"/>
          <w:szCs w:val="32"/>
          <w:vertAlign w:val="superscript"/>
          <w:rtl/>
        </w:rPr>
        <w:t>1)</w:t>
      </w:r>
      <w:commentRangeEnd w:id="6"/>
      <w:r w:rsidR="001A32B2">
        <w:rPr>
          <w:rStyle w:val="ad"/>
          <w:rtl/>
        </w:rPr>
        <w:commentReference w:id="6"/>
      </w:r>
    </w:p>
    <w:p w14:paraId="44877CFC" w14:textId="0E85A0D4" w:rsidR="009C25CB" w:rsidRDefault="00A66CB4" w:rsidP="00A66CB4">
      <w:pPr>
        <w:bidi w:val="0"/>
        <w:spacing w:before="100" w:beforeAutospacing="1" w:after="100" w:afterAutospacing="1" w:line="360" w:lineRule="auto"/>
        <w:rPr>
          <w:rFonts w:ascii="Times New Roman" w:eastAsia="Times New Roman" w:hAnsi="Times New Roman" w:cs="Times New Roman"/>
          <w:sz w:val="24"/>
          <w:szCs w:val="24"/>
          <w:rtl/>
        </w:rPr>
      </w:pPr>
      <w:r w:rsidRPr="00A66CB4">
        <w:rPr>
          <w:sz w:val="24"/>
          <w:szCs w:val="24"/>
          <w:rtl/>
        </w:rPr>
        <w:t>أسهم التنظيم القانوني للتحول الرقمي في نقل حماية الخصوصية من مجرد التزام عام بالمحافظة على السرية إلى منظومة تشريعية تحدد أسس جمع البيانات الشخصية ومعالجتها والإفصاح عنها، وحقوق أصحابها، ومدد الاحتفاظ بها، والتدابير الواجب اتخاذها لحمايتها. وتكشف المقارنة بين المملكة العربية السعودية والإمارات العربية المتحدة وسنغافورة عن اتفاقها على مبادئ مشروعية المعالجة، وتحديد الغرض، وتقليل البيانات، وحمايتها من الوصول غير المشروع، إلا أنها تختلف في نطاق حقوق صاحب البيانات والاستثناءات المرتبطة بالإجراءات القضائية والمصلحة العامة</w:t>
      </w:r>
      <w:r>
        <w:t>.</w:t>
      </w:r>
    </w:p>
    <w:p w14:paraId="4614205D" w14:textId="493EA591" w:rsidR="00A66CB4" w:rsidRPr="00A66CB4" w:rsidRDefault="007B11E9" w:rsidP="00A66CB4">
      <w:pPr>
        <w:pStyle w:val="3"/>
        <w:spacing w:line="360" w:lineRule="auto"/>
        <w:rPr>
          <w:bCs/>
          <w:color w:val="auto"/>
          <w:sz w:val="27"/>
          <w:szCs w:val="27"/>
        </w:rPr>
      </w:pPr>
      <w:r>
        <w:rPr>
          <w:rFonts w:hint="cs"/>
          <w:bCs/>
          <w:color w:val="auto"/>
          <w:sz w:val="27"/>
          <w:szCs w:val="27"/>
          <w:rtl/>
        </w:rPr>
        <w:t>1-</w:t>
      </w:r>
      <w:r w:rsidR="00A66CB4" w:rsidRPr="00A66CB4">
        <w:rPr>
          <w:bCs/>
          <w:color w:val="auto"/>
          <w:sz w:val="27"/>
          <w:szCs w:val="27"/>
          <w:rtl/>
        </w:rPr>
        <w:t xml:space="preserve"> ضوابط جمع البيانات ومعالجتها</w:t>
      </w:r>
    </w:p>
    <w:p w14:paraId="0D2A68CE" w14:textId="71F6E57A" w:rsidR="00A66CB4" w:rsidRPr="00A66CB4" w:rsidRDefault="00A66CB4" w:rsidP="00A66CB4">
      <w:pPr>
        <w:spacing w:before="100" w:beforeAutospacing="1" w:after="100" w:afterAutospacing="1" w:line="360" w:lineRule="auto"/>
        <w:jc w:val="left"/>
        <w:rPr>
          <w:rFonts w:ascii="Times New Roman" w:eastAsia="Times New Roman" w:hAnsi="Times New Roman" w:cs="Times New Roman"/>
          <w:sz w:val="24"/>
          <w:szCs w:val="24"/>
        </w:rPr>
      </w:pPr>
      <w:r w:rsidRPr="00A66CB4">
        <w:rPr>
          <w:rFonts w:ascii="Times New Roman" w:eastAsia="Times New Roman" w:hAnsi="Times New Roman" w:cs="Times New Roman"/>
          <w:sz w:val="24"/>
          <w:szCs w:val="24"/>
          <w:rtl/>
        </w:rPr>
        <w:t xml:space="preserve">قرر نظام حماية البيانات الشخصية </w:t>
      </w:r>
      <w:r w:rsidR="00624BE8" w:rsidRPr="00A66CB4">
        <w:rPr>
          <w:rFonts w:ascii="Times New Roman" w:eastAsia="Times New Roman" w:hAnsi="Times New Roman" w:cs="Times New Roman" w:hint="cs"/>
          <w:sz w:val="24"/>
          <w:szCs w:val="24"/>
          <w:rtl/>
        </w:rPr>
        <w:t>السعودي</w:t>
      </w:r>
      <w:r w:rsidR="00624BE8" w:rsidRPr="00624BE8">
        <w:rPr>
          <w:rFonts w:ascii="Times New Roman" w:eastAsia="Times New Roman" w:hAnsi="Times New Roman" w:cs="Times New Roman" w:hint="cs"/>
          <w:sz w:val="24"/>
          <w:szCs w:val="24"/>
          <w:vertAlign w:val="superscript"/>
          <w:rtl/>
        </w:rPr>
        <w:t xml:space="preserve"> </w:t>
      </w:r>
      <w:r w:rsidR="00624BE8" w:rsidRPr="00624BE8">
        <w:rPr>
          <w:rFonts w:ascii="Times New Roman" w:eastAsia="Times New Roman" w:hAnsi="Times New Roman" w:cs="Times New Roman"/>
          <w:sz w:val="24"/>
          <w:szCs w:val="24"/>
          <w:vertAlign w:val="superscript"/>
          <w:rtl/>
        </w:rPr>
        <w:t>(</w:t>
      </w:r>
      <w:r w:rsidR="00624BE8" w:rsidRPr="00624BE8">
        <w:rPr>
          <w:rFonts w:ascii="Times New Roman" w:eastAsia="Times New Roman" w:hAnsi="Times New Roman" w:cs="Times New Roman" w:hint="cs"/>
          <w:sz w:val="24"/>
          <w:szCs w:val="24"/>
          <w:vertAlign w:val="superscript"/>
          <w:rtl/>
        </w:rPr>
        <w:t>2)</w:t>
      </w:r>
      <w:r w:rsidRPr="00A66CB4">
        <w:rPr>
          <w:rFonts w:ascii="Times New Roman" w:eastAsia="Times New Roman" w:hAnsi="Times New Roman" w:cs="Times New Roman"/>
          <w:sz w:val="24"/>
          <w:szCs w:val="24"/>
          <w:rtl/>
        </w:rPr>
        <w:t xml:space="preserve"> في </w:t>
      </w:r>
      <w:r w:rsidRPr="00A66CB4">
        <w:rPr>
          <w:rFonts w:ascii="Times New Roman" w:eastAsia="Times New Roman" w:hAnsi="Times New Roman" w:cs="Times New Roman"/>
          <w:b/>
          <w:bCs/>
          <w:sz w:val="24"/>
          <w:szCs w:val="24"/>
          <w:rtl/>
        </w:rPr>
        <w:t>المادة الخامسة</w:t>
      </w:r>
      <w:r w:rsidRPr="00A66CB4">
        <w:rPr>
          <w:rFonts w:ascii="Times New Roman" w:eastAsia="Times New Roman" w:hAnsi="Times New Roman" w:cs="Times New Roman"/>
          <w:sz w:val="24"/>
          <w:szCs w:val="24"/>
          <w:rtl/>
        </w:rPr>
        <w:t xml:space="preserve"> أنه لا تجوز معالجة البيانات الشخصية أو تغيير الغرض من معالجتها، في غير الحالات المستثناة نظامًا، إلا بعد موافقة صاحبها، مع منحه حق الرجوع عن موافقته. كما أجازت </w:t>
      </w:r>
      <w:r w:rsidRPr="00A66CB4">
        <w:rPr>
          <w:rFonts w:ascii="Times New Roman" w:eastAsia="Times New Roman" w:hAnsi="Times New Roman" w:cs="Times New Roman"/>
          <w:b/>
          <w:bCs/>
          <w:sz w:val="24"/>
          <w:szCs w:val="24"/>
          <w:rtl/>
        </w:rPr>
        <w:t>المادة السادسة</w:t>
      </w:r>
      <w:r w:rsidRPr="00A66CB4">
        <w:rPr>
          <w:rFonts w:ascii="Times New Roman" w:eastAsia="Times New Roman" w:hAnsi="Times New Roman" w:cs="Times New Roman"/>
          <w:sz w:val="24"/>
          <w:szCs w:val="24"/>
          <w:rtl/>
        </w:rPr>
        <w:t xml:space="preserve"> المعالجة دون موافقة في حالات محددة، من بينها استيفاء المتطلبات القضائية عندما تكون جهة التحكم جهة عامة. وقررت </w:t>
      </w:r>
      <w:r w:rsidRPr="00A66CB4">
        <w:rPr>
          <w:rFonts w:ascii="Times New Roman" w:eastAsia="Times New Roman" w:hAnsi="Times New Roman" w:cs="Times New Roman"/>
          <w:b/>
          <w:bCs/>
          <w:sz w:val="24"/>
          <w:szCs w:val="24"/>
          <w:rtl/>
        </w:rPr>
        <w:t>المادة العاشرة</w:t>
      </w:r>
      <w:r w:rsidRPr="00A66CB4">
        <w:rPr>
          <w:rFonts w:ascii="Times New Roman" w:eastAsia="Times New Roman" w:hAnsi="Times New Roman" w:cs="Times New Roman"/>
          <w:sz w:val="24"/>
          <w:szCs w:val="24"/>
          <w:rtl/>
        </w:rPr>
        <w:t xml:space="preserve"> أن الأصل هو جمع البيانات من صاحبها مباشرة ومعالجتها للغرض الذي جمعت من أجله، مع استثناءات تشمل المصلحة العامة، وتنفيذ الأنظمة، والمتطلبات القضائية، والمصالح المشروعة وفق الضوابط النظامية. وحددت </w:t>
      </w:r>
      <w:r w:rsidRPr="00A66CB4">
        <w:rPr>
          <w:rFonts w:ascii="Times New Roman" w:eastAsia="Times New Roman" w:hAnsi="Times New Roman" w:cs="Times New Roman"/>
          <w:b/>
          <w:bCs/>
          <w:sz w:val="24"/>
          <w:szCs w:val="24"/>
          <w:rtl/>
        </w:rPr>
        <w:t>المادة الحادية عشرة</w:t>
      </w:r>
      <w:r w:rsidRPr="00A66CB4">
        <w:rPr>
          <w:rFonts w:ascii="Times New Roman" w:eastAsia="Times New Roman" w:hAnsi="Times New Roman" w:cs="Times New Roman"/>
          <w:sz w:val="24"/>
          <w:szCs w:val="24"/>
          <w:rtl/>
        </w:rPr>
        <w:t xml:space="preserve"> معيار تقليل البيانات، فأوجبت أن يكون محتواها ملائمًا ومقصورًا على الحد الأدنى اللازم لتحقيق الغرض من جمعها</w:t>
      </w:r>
      <w:r w:rsidRPr="00A66CB4">
        <w:rPr>
          <w:rFonts w:ascii="Times New Roman" w:eastAsia="Times New Roman" w:hAnsi="Times New Roman" w:cs="Times New Roman"/>
          <w:sz w:val="24"/>
          <w:szCs w:val="24"/>
        </w:rPr>
        <w:t>.</w:t>
      </w:r>
    </w:p>
    <w:p w14:paraId="2F035239" w14:textId="3A1DE7AB" w:rsidR="00A66CB4" w:rsidRPr="00A66CB4" w:rsidRDefault="00A66CB4" w:rsidP="00A66CB4">
      <w:pPr>
        <w:spacing w:before="100" w:beforeAutospacing="1" w:after="100" w:afterAutospacing="1" w:line="360" w:lineRule="auto"/>
        <w:jc w:val="left"/>
        <w:rPr>
          <w:rFonts w:ascii="Times New Roman" w:eastAsia="Times New Roman" w:hAnsi="Times New Roman" w:cs="Times New Roman"/>
          <w:sz w:val="24"/>
          <w:szCs w:val="24"/>
        </w:rPr>
      </w:pPr>
      <w:r w:rsidRPr="00A66CB4">
        <w:rPr>
          <w:rFonts w:ascii="Times New Roman" w:eastAsia="Times New Roman" w:hAnsi="Times New Roman" w:cs="Times New Roman"/>
          <w:sz w:val="24"/>
          <w:szCs w:val="24"/>
          <w:rtl/>
        </w:rPr>
        <w:lastRenderedPageBreak/>
        <w:t xml:space="preserve">وفي </w:t>
      </w:r>
      <w:r w:rsidR="00624BE8" w:rsidRPr="00A66CB4">
        <w:rPr>
          <w:rFonts w:ascii="Times New Roman" w:eastAsia="Times New Roman" w:hAnsi="Times New Roman" w:cs="Times New Roman" w:hint="cs"/>
          <w:sz w:val="24"/>
          <w:szCs w:val="24"/>
          <w:rtl/>
        </w:rPr>
        <w:t>الإمارات،</w:t>
      </w:r>
      <w:r w:rsidR="00624BE8" w:rsidRPr="00624BE8">
        <w:rPr>
          <w:rFonts w:ascii="Times New Roman" w:eastAsia="Times New Roman" w:hAnsi="Times New Roman" w:cs="Times New Roman" w:hint="cs"/>
          <w:sz w:val="24"/>
          <w:szCs w:val="24"/>
          <w:vertAlign w:val="superscript"/>
          <w:rtl/>
        </w:rPr>
        <w:t xml:space="preserve"> </w:t>
      </w:r>
      <w:r w:rsidR="00624BE8" w:rsidRPr="00624BE8">
        <w:rPr>
          <w:rFonts w:ascii="Times New Roman" w:eastAsia="Times New Roman" w:hAnsi="Times New Roman" w:cs="Times New Roman"/>
          <w:sz w:val="24"/>
          <w:szCs w:val="24"/>
          <w:vertAlign w:val="superscript"/>
          <w:rtl/>
        </w:rPr>
        <w:t>(</w:t>
      </w:r>
      <w:r w:rsidR="00624BE8" w:rsidRPr="00624BE8">
        <w:rPr>
          <w:rFonts w:ascii="Times New Roman" w:eastAsia="Times New Roman" w:hAnsi="Times New Roman" w:cs="Times New Roman" w:hint="cs"/>
          <w:sz w:val="24"/>
          <w:szCs w:val="24"/>
          <w:vertAlign w:val="superscript"/>
          <w:rtl/>
        </w:rPr>
        <w:t>1)</w:t>
      </w:r>
      <w:r w:rsidR="00624BE8" w:rsidRPr="00624BE8">
        <w:rPr>
          <w:rStyle w:val="a8"/>
          <w:rFonts w:ascii="Times New Roman" w:eastAsia="Times New Roman" w:hAnsi="Times New Roman" w:cs="Times New Roman"/>
          <w:vanish/>
          <w:sz w:val="24"/>
          <w:szCs w:val="24"/>
          <w:vertAlign w:val="baseline"/>
          <w:rtl/>
        </w:rPr>
        <w:footnoteReference w:id="43"/>
      </w:r>
      <w:r w:rsidRPr="00624BE8">
        <w:rPr>
          <w:rFonts w:ascii="Times New Roman" w:eastAsia="Times New Roman" w:hAnsi="Times New Roman" w:cs="Times New Roman"/>
          <w:vanish/>
          <w:sz w:val="24"/>
          <w:szCs w:val="24"/>
          <w:rtl/>
        </w:rPr>
        <w:t xml:space="preserve"> </w:t>
      </w:r>
      <w:r w:rsidRPr="00A66CB4">
        <w:rPr>
          <w:rFonts w:ascii="Times New Roman" w:eastAsia="Times New Roman" w:hAnsi="Times New Roman" w:cs="Times New Roman"/>
          <w:sz w:val="24"/>
          <w:szCs w:val="24"/>
          <w:rtl/>
        </w:rPr>
        <w:t xml:space="preserve">قررت </w:t>
      </w:r>
      <w:r w:rsidRPr="00A66CB4">
        <w:rPr>
          <w:rFonts w:ascii="Times New Roman" w:eastAsia="Times New Roman" w:hAnsi="Times New Roman" w:cs="Times New Roman"/>
          <w:b/>
          <w:bCs/>
          <w:sz w:val="24"/>
          <w:szCs w:val="24"/>
          <w:rtl/>
        </w:rPr>
        <w:t>المادة الخامسة</w:t>
      </w:r>
      <w:r w:rsidRPr="00A66CB4">
        <w:rPr>
          <w:rFonts w:ascii="Times New Roman" w:eastAsia="Times New Roman" w:hAnsi="Times New Roman" w:cs="Times New Roman"/>
          <w:sz w:val="24"/>
          <w:szCs w:val="24"/>
          <w:rtl/>
        </w:rPr>
        <w:t xml:space="preserve"> من المرسوم بقانون اتحادي رقم (45) لسنة 2021 أن تكون معالجة البيانات عادلة وشفافة ومشروعة، وأن تجمع لغرض محدد وواضح، وألا تتجاوز البيانات القدر اللازم لهذا الغرض. ويقوم القانون الإماراتي كذلك على الموافقة بوصفها أحد أسس المعالجة، مع إجازة المعالجة دونها في الحالات المحددة قانونًا، ومنها ما يلزم لإقامة المطالبات القانونية أو الدفاع عن الحقوق والإجراءات القضائية. وبذلك لم يجعل المشرع الخصوصية مانعًا مطلقًا من معالجة البيانات القضائية، وإنما أخضعها لمعياري الضرورة والتناسب</w:t>
      </w:r>
      <w:r w:rsidRPr="00A66CB4">
        <w:rPr>
          <w:rFonts w:ascii="Times New Roman" w:eastAsia="Times New Roman" w:hAnsi="Times New Roman" w:cs="Times New Roman"/>
          <w:sz w:val="24"/>
          <w:szCs w:val="24"/>
        </w:rPr>
        <w:t>.</w:t>
      </w:r>
    </w:p>
    <w:p w14:paraId="2D760EB4" w14:textId="205B07E9" w:rsidR="00A66CB4" w:rsidRPr="00A66CB4" w:rsidRDefault="00A66CB4" w:rsidP="00A66CB4">
      <w:pPr>
        <w:spacing w:before="100" w:beforeAutospacing="1" w:after="100" w:afterAutospacing="1" w:line="360" w:lineRule="auto"/>
        <w:jc w:val="left"/>
        <w:rPr>
          <w:rFonts w:ascii="Times New Roman" w:eastAsia="Times New Roman" w:hAnsi="Times New Roman" w:cs="Times New Roman"/>
          <w:sz w:val="24"/>
          <w:szCs w:val="24"/>
        </w:rPr>
      </w:pPr>
      <w:r w:rsidRPr="00A66CB4">
        <w:rPr>
          <w:rFonts w:ascii="Times New Roman" w:eastAsia="Times New Roman" w:hAnsi="Times New Roman" w:cs="Times New Roman"/>
          <w:sz w:val="24"/>
          <w:szCs w:val="24"/>
          <w:rtl/>
        </w:rPr>
        <w:t xml:space="preserve">أما قانون حماية البيانات الشخصية </w:t>
      </w:r>
      <w:r w:rsidR="00624BE8" w:rsidRPr="00A66CB4">
        <w:rPr>
          <w:rFonts w:ascii="Times New Roman" w:eastAsia="Times New Roman" w:hAnsi="Times New Roman" w:cs="Times New Roman" w:hint="cs"/>
          <w:sz w:val="24"/>
          <w:szCs w:val="24"/>
          <w:rtl/>
        </w:rPr>
        <w:t>السنغافوري</w:t>
      </w:r>
      <w:r w:rsidR="00624BE8" w:rsidRPr="00624BE8">
        <w:rPr>
          <w:rFonts w:ascii="Times New Roman" w:eastAsia="Times New Roman" w:hAnsi="Times New Roman" w:cs="Times New Roman" w:hint="cs"/>
          <w:sz w:val="24"/>
          <w:szCs w:val="24"/>
          <w:vertAlign w:val="superscript"/>
          <w:rtl/>
        </w:rPr>
        <w:t xml:space="preserve"> </w:t>
      </w:r>
      <w:r w:rsidR="00624BE8" w:rsidRPr="00624BE8">
        <w:rPr>
          <w:rFonts w:ascii="Times New Roman" w:eastAsia="Times New Roman" w:hAnsi="Times New Roman" w:cs="Times New Roman"/>
          <w:sz w:val="24"/>
          <w:szCs w:val="24"/>
          <w:vertAlign w:val="superscript"/>
          <w:rtl/>
        </w:rPr>
        <w:t>(</w:t>
      </w:r>
      <w:r w:rsidR="00624BE8" w:rsidRPr="00624BE8">
        <w:rPr>
          <w:rFonts w:ascii="Times New Roman" w:eastAsia="Times New Roman" w:hAnsi="Times New Roman" w:cs="Times New Roman" w:hint="cs"/>
          <w:sz w:val="24"/>
          <w:szCs w:val="24"/>
          <w:vertAlign w:val="superscript"/>
          <w:rtl/>
        </w:rPr>
        <w:t>2)</w:t>
      </w:r>
      <w:r w:rsidRPr="00A66CB4">
        <w:rPr>
          <w:rFonts w:ascii="Times New Roman" w:eastAsia="Times New Roman" w:hAnsi="Times New Roman" w:cs="Times New Roman"/>
          <w:sz w:val="24"/>
          <w:szCs w:val="24"/>
          <w:rtl/>
        </w:rPr>
        <w:t xml:space="preserve">، فقد أوجب في </w:t>
      </w:r>
      <w:r w:rsidRPr="00A66CB4">
        <w:rPr>
          <w:rFonts w:ascii="Times New Roman" w:eastAsia="Times New Roman" w:hAnsi="Times New Roman" w:cs="Times New Roman"/>
          <w:b/>
          <w:bCs/>
          <w:sz w:val="24"/>
          <w:szCs w:val="24"/>
          <w:rtl/>
        </w:rPr>
        <w:t>المادة 13</w:t>
      </w:r>
      <w:r w:rsidRPr="00A66CB4">
        <w:rPr>
          <w:rFonts w:ascii="Times New Roman" w:eastAsia="Times New Roman" w:hAnsi="Times New Roman" w:cs="Times New Roman"/>
          <w:sz w:val="24"/>
          <w:szCs w:val="24"/>
          <w:rtl/>
        </w:rPr>
        <w:t xml:space="preserve"> الحصول على الموافقة، مع تنظيم الموافقة المفترضة وحالات المعالجة دون موافقة في المواد اللاحقة. كما قصرت </w:t>
      </w:r>
      <w:r w:rsidRPr="00A66CB4">
        <w:rPr>
          <w:rFonts w:ascii="Times New Roman" w:eastAsia="Times New Roman" w:hAnsi="Times New Roman" w:cs="Times New Roman"/>
          <w:b/>
          <w:bCs/>
          <w:sz w:val="24"/>
          <w:szCs w:val="24"/>
          <w:rtl/>
        </w:rPr>
        <w:t>المادة 18</w:t>
      </w:r>
      <w:r w:rsidRPr="00A66CB4">
        <w:rPr>
          <w:rFonts w:ascii="Times New Roman" w:eastAsia="Times New Roman" w:hAnsi="Times New Roman" w:cs="Times New Roman"/>
          <w:sz w:val="24"/>
          <w:szCs w:val="24"/>
          <w:rtl/>
        </w:rPr>
        <w:t xml:space="preserve"> جمع البيانات واستخدامها والإفصاح عنها على أغراض يعدها الشخص المعتاد مناسبة في ظروف الحالة، وألزمت </w:t>
      </w:r>
      <w:r w:rsidRPr="00A66CB4">
        <w:rPr>
          <w:rFonts w:ascii="Times New Roman" w:eastAsia="Times New Roman" w:hAnsi="Times New Roman" w:cs="Times New Roman"/>
          <w:b/>
          <w:bCs/>
          <w:sz w:val="24"/>
          <w:szCs w:val="24"/>
          <w:rtl/>
        </w:rPr>
        <w:t>المادة 20</w:t>
      </w:r>
      <w:r w:rsidRPr="00A66CB4">
        <w:rPr>
          <w:rFonts w:ascii="Times New Roman" w:eastAsia="Times New Roman" w:hAnsi="Times New Roman" w:cs="Times New Roman"/>
          <w:sz w:val="24"/>
          <w:szCs w:val="24"/>
          <w:rtl/>
        </w:rPr>
        <w:t xml:space="preserve"> المؤسسة بإخطار الفرد بالأغراض التي ستجمع بياناته أو تستخدم أو يفصح عنها من أجلها. ويعكس ذلك اعتماد سنغافورة معيارًا وظيفيًا قائمًا على معقولية الغرض وملاءمته، لا على الموافقة الشكلية وحدها</w:t>
      </w:r>
      <w:r w:rsidRPr="00A66CB4">
        <w:rPr>
          <w:rFonts w:ascii="Times New Roman" w:eastAsia="Times New Roman" w:hAnsi="Times New Roman" w:cs="Times New Roman"/>
          <w:sz w:val="24"/>
          <w:szCs w:val="24"/>
        </w:rPr>
        <w:t>.</w:t>
      </w:r>
    </w:p>
    <w:p w14:paraId="251ED97F" w14:textId="130D7310" w:rsidR="00A66CB4" w:rsidRPr="00A66CB4" w:rsidRDefault="00A66CB4" w:rsidP="0035293F">
      <w:pPr>
        <w:spacing w:before="100" w:beforeAutospacing="1" w:after="100" w:afterAutospacing="1" w:line="360" w:lineRule="auto"/>
        <w:jc w:val="left"/>
        <w:rPr>
          <w:rFonts w:ascii="Times New Roman" w:eastAsia="Times New Roman" w:hAnsi="Times New Roman" w:cs="Times New Roman"/>
          <w:sz w:val="24"/>
          <w:szCs w:val="24"/>
        </w:rPr>
      </w:pPr>
      <w:r w:rsidRPr="00A66CB4">
        <w:rPr>
          <w:rFonts w:ascii="Times New Roman" w:eastAsia="Times New Roman" w:hAnsi="Times New Roman" w:cs="Times New Roman"/>
          <w:sz w:val="24"/>
          <w:szCs w:val="24"/>
          <w:rtl/>
        </w:rPr>
        <w:t xml:space="preserve">وتكشف المقارنة أن النظام السعودي أكثر صراحة في ذكر المتطلبات القضائية ضمن استثناءات المعالجة التي تجريها الجهات العامة، بينما يربط التنظيم الإماراتي المعالجة القضائية بضرورة حماية الحقوق والمطالبات القانونية، في حين يستخدم النظام السنغافوري معيار الغرض الذي يعد مناسبًا في نظر الشخص المعتاد، مع استثناءات تفصيلية في جداول القانون. وتؤدي هذه المناهج المختلفة إلى نتيجة مشتركة </w:t>
      </w:r>
      <w:r w:rsidR="0035293F">
        <w:rPr>
          <w:rFonts w:ascii="Times New Roman" w:eastAsia="Times New Roman" w:hAnsi="Times New Roman" w:cs="Times New Roman" w:hint="cs"/>
          <w:sz w:val="24"/>
          <w:szCs w:val="24"/>
          <w:rtl/>
        </w:rPr>
        <w:t xml:space="preserve">وهي </w:t>
      </w:r>
      <w:r w:rsidRPr="00A66CB4">
        <w:rPr>
          <w:rFonts w:ascii="Times New Roman" w:eastAsia="Times New Roman" w:hAnsi="Times New Roman" w:cs="Times New Roman"/>
          <w:sz w:val="24"/>
          <w:szCs w:val="24"/>
          <w:rtl/>
        </w:rPr>
        <w:t>أن استخدام البيانات في القضاء مشروع عند الضرورة، لكنه لا يبرر جمع بيانات لا صلة لها بالنزاع أو الاحتفاظ بها دون حاجة</w:t>
      </w:r>
      <w:r w:rsidRPr="00A66CB4">
        <w:rPr>
          <w:rFonts w:ascii="Times New Roman" w:eastAsia="Times New Roman" w:hAnsi="Times New Roman" w:cs="Times New Roman"/>
          <w:sz w:val="24"/>
          <w:szCs w:val="24"/>
        </w:rPr>
        <w:t>.</w:t>
      </w:r>
    </w:p>
    <w:p w14:paraId="5CE9EC92" w14:textId="0B97C6CA" w:rsidR="0035293F" w:rsidRPr="0035293F" w:rsidRDefault="007B11E9" w:rsidP="0035293F">
      <w:pPr>
        <w:spacing w:before="100" w:beforeAutospacing="1" w:after="100" w:afterAutospacing="1" w:line="360" w:lineRule="auto"/>
        <w:jc w:val="left"/>
        <w:outlineLvl w:val="2"/>
        <w:rPr>
          <w:rFonts w:ascii="Times New Roman" w:eastAsia="Times New Roman" w:hAnsi="Times New Roman" w:cs="Times New Roman"/>
          <w:b/>
          <w:bCs/>
          <w:sz w:val="24"/>
          <w:szCs w:val="24"/>
        </w:rPr>
      </w:pPr>
      <w:r>
        <w:rPr>
          <w:rFonts w:ascii="Times New Roman" w:eastAsia="Times New Roman" w:hAnsi="Times New Roman" w:cs="Times New Roman" w:hint="cs"/>
          <w:b/>
          <w:bCs/>
          <w:sz w:val="27"/>
          <w:szCs w:val="27"/>
          <w:rtl/>
        </w:rPr>
        <w:t>2-</w:t>
      </w:r>
      <w:r w:rsidR="0035293F" w:rsidRPr="0035293F">
        <w:rPr>
          <w:rFonts w:ascii="Times New Roman" w:eastAsia="Times New Roman" w:hAnsi="Times New Roman" w:cs="Times New Roman"/>
          <w:b/>
          <w:bCs/>
          <w:sz w:val="27"/>
          <w:szCs w:val="27"/>
          <w:rtl/>
        </w:rPr>
        <w:t xml:space="preserve"> الجهات المخولة بالوصول والإفصاح</w:t>
      </w:r>
    </w:p>
    <w:p w14:paraId="15258B90"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قيدت </w:t>
      </w:r>
      <w:r w:rsidRPr="0035293F">
        <w:rPr>
          <w:rFonts w:ascii="Times New Roman" w:eastAsia="Times New Roman" w:hAnsi="Times New Roman" w:cs="Times New Roman"/>
          <w:b/>
          <w:bCs/>
          <w:sz w:val="24"/>
          <w:szCs w:val="24"/>
          <w:rtl/>
        </w:rPr>
        <w:t>المادة الخامسة عشرة</w:t>
      </w:r>
      <w:r w:rsidRPr="0035293F">
        <w:rPr>
          <w:rFonts w:ascii="Times New Roman" w:eastAsia="Times New Roman" w:hAnsi="Times New Roman" w:cs="Times New Roman"/>
          <w:sz w:val="24"/>
          <w:szCs w:val="24"/>
          <w:rtl/>
        </w:rPr>
        <w:t xml:space="preserve"> من النظام السعودي الإفصاح عن البيانات الشخصية بحالات محددة، تشمل موافقة صاحب البيانات، أو كون البيانات متاحة للعموم، أو طلب جهة عامة لها لأغراض المصلحة العامة أو الأمن أو تنفيذ نظام أو استيفاء متطلبات قضائية. كما منعت </w:t>
      </w:r>
      <w:r w:rsidRPr="0035293F">
        <w:rPr>
          <w:rFonts w:ascii="Times New Roman" w:eastAsia="Times New Roman" w:hAnsi="Times New Roman" w:cs="Times New Roman"/>
          <w:b/>
          <w:bCs/>
          <w:sz w:val="24"/>
          <w:szCs w:val="24"/>
          <w:rtl/>
        </w:rPr>
        <w:t>المادة السادسة عشرة</w:t>
      </w:r>
      <w:r w:rsidRPr="0035293F">
        <w:rPr>
          <w:rFonts w:ascii="Times New Roman" w:eastAsia="Times New Roman" w:hAnsi="Times New Roman" w:cs="Times New Roman"/>
          <w:sz w:val="24"/>
          <w:szCs w:val="24"/>
          <w:rtl/>
        </w:rPr>
        <w:t xml:space="preserve"> الإفصاح إذا كان يمس المحاكمة العادلة، أو سلامة الإجراءات الجنائية، أو خصوصية شخص آخر، أو ينطوي على إخلال بحكم أو التزام قضائي. ويعني ذلك أن مجرد صفة الجهة العامة لا يمنحها وصولًا مطلقًا، بل يجب أن يقوم الإفصاح على غرض نظامي محدد وألا يتعارض مع الضمانات القضائية</w:t>
      </w:r>
      <w:r w:rsidRPr="0035293F">
        <w:rPr>
          <w:rFonts w:ascii="Times New Roman" w:eastAsia="Times New Roman" w:hAnsi="Times New Roman" w:cs="Times New Roman"/>
          <w:sz w:val="24"/>
          <w:szCs w:val="24"/>
        </w:rPr>
        <w:t>.</w:t>
      </w:r>
    </w:p>
    <w:p w14:paraId="5C67C3B7"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وفي الإمارات، يحدد القانون أدوار </w:t>
      </w:r>
      <w:r w:rsidRPr="0035293F">
        <w:rPr>
          <w:rFonts w:ascii="Times New Roman" w:eastAsia="Times New Roman" w:hAnsi="Times New Roman" w:cs="Times New Roman"/>
          <w:b/>
          <w:bCs/>
          <w:sz w:val="24"/>
          <w:szCs w:val="24"/>
          <w:rtl/>
        </w:rPr>
        <w:t>المتحكم</w:t>
      </w:r>
      <w:r w:rsidRPr="0035293F">
        <w:rPr>
          <w:rFonts w:ascii="Times New Roman" w:eastAsia="Times New Roman" w:hAnsi="Times New Roman" w:cs="Times New Roman"/>
          <w:sz w:val="24"/>
          <w:szCs w:val="24"/>
          <w:rtl/>
        </w:rPr>
        <w:t xml:space="preserve"> و</w:t>
      </w:r>
      <w:r w:rsidRPr="0035293F">
        <w:rPr>
          <w:rFonts w:ascii="Times New Roman" w:eastAsia="Times New Roman" w:hAnsi="Times New Roman" w:cs="Times New Roman"/>
          <w:b/>
          <w:bCs/>
          <w:sz w:val="24"/>
          <w:szCs w:val="24"/>
          <w:rtl/>
        </w:rPr>
        <w:t>المعالج</w:t>
      </w:r>
      <w:r w:rsidRPr="0035293F">
        <w:rPr>
          <w:rFonts w:ascii="Times New Roman" w:eastAsia="Times New Roman" w:hAnsi="Times New Roman" w:cs="Times New Roman"/>
          <w:sz w:val="24"/>
          <w:szCs w:val="24"/>
          <w:rtl/>
        </w:rPr>
        <w:t xml:space="preserve">، ويحمّل كلًا منهما التزامات تتصل بحدود المعالجة وأمن البيانات وسريتها. كما يمنح صاحب البيانات، بموجب </w:t>
      </w:r>
      <w:r w:rsidRPr="0035293F">
        <w:rPr>
          <w:rFonts w:ascii="Times New Roman" w:eastAsia="Times New Roman" w:hAnsi="Times New Roman" w:cs="Times New Roman"/>
          <w:b/>
          <w:bCs/>
          <w:sz w:val="24"/>
          <w:szCs w:val="24"/>
          <w:rtl/>
        </w:rPr>
        <w:t>المادة الثالثة عشرة</w:t>
      </w:r>
      <w:r w:rsidRPr="0035293F">
        <w:rPr>
          <w:rFonts w:ascii="Times New Roman" w:eastAsia="Times New Roman" w:hAnsi="Times New Roman" w:cs="Times New Roman"/>
          <w:sz w:val="24"/>
          <w:szCs w:val="24"/>
          <w:rtl/>
        </w:rPr>
        <w:t xml:space="preserve">، حق معرفة أنواع البيانات المعالجة، وأغراض المعالجة، </w:t>
      </w:r>
      <w:r w:rsidRPr="0035293F">
        <w:rPr>
          <w:rFonts w:ascii="Times New Roman" w:eastAsia="Times New Roman" w:hAnsi="Times New Roman" w:cs="Times New Roman"/>
          <w:sz w:val="24"/>
          <w:szCs w:val="24"/>
          <w:rtl/>
        </w:rPr>
        <w:lastRenderedPageBreak/>
        <w:t>والجهات التي ستشارك معها البيانات، والتدابير المستخدمة في عمليات المعالجة العابرة للحدود. ويعزز ذلك شفافية تحديد من يصل إلى البيانات والسبب الذي يبرر هذا الوصول</w:t>
      </w:r>
      <w:r w:rsidRPr="0035293F">
        <w:rPr>
          <w:rFonts w:ascii="Times New Roman" w:eastAsia="Times New Roman" w:hAnsi="Times New Roman" w:cs="Times New Roman"/>
          <w:sz w:val="24"/>
          <w:szCs w:val="24"/>
        </w:rPr>
        <w:t>.</w:t>
      </w:r>
    </w:p>
    <w:p w14:paraId="3B5A2431" w14:textId="629177DA" w:rsidR="007B11E9" w:rsidRPr="00624BE8" w:rsidRDefault="0035293F" w:rsidP="00624BE8">
      <w:pPr>
        <w:spacing w:before="100" w:beforeAutospacing="1" w:after="100" w:afterAutospacing="1" w:line="360" w:lineRule="auto"/>
        <w:jc w:val="left"/>
        <w:rPr>
          <w:rFonts w:ascii="Times New Roman" w:eastAsia="Times New Roman" w:hAnsi="Times New Roman" w:cs="Times New Roman"/>
          <w:sz w:val="24"/>
          <w:szCs w:val="24"/>
          <w:rtl/>
        </w:rPr>
      </w:pPr>
      <w:r w:rsidRPr="0035293F">
        <w:rPr>
          <w:rFonts w:ascii="Times New Roman" w:eastAsia="Times New Roman" w:hAnsi="Times New Roman" w:cs="Times New Roman"/>
          <w:sz w:val="24"/>
          <w:szCs w:val="24"/>
          <w:rtl/>
        </w:rPr>
        <w:t xml:space="preserve">وفي سنغافورة، تحدد المواد </w:t>
      </w:r>
      <w:r w:rsidRPr="0035293F">
        <w:rPr>
          <w:rFonts w:ascii="Times New Roman" w:eastAsia="Times New Roman" w:hAnsi="Times New Roman" w:cs="Times New Roman"/>
          <w:b/>
          <w:bCs/>
          <w:sz w:val="24"/>
          <w:szCs w:val="24"/>
        </w:rPr>
        <w:t>13–20</w:t>
      </w:r>
      <w:r w:rsidRPr="0035293F">
        <w:rPr>
          <w:rFonts w:ascii="Times New Roman" w:eastAsia="Times New Roman" w:hAnsi="Times New Roman" w:cs="Times New Roman"/>
          <w:sz w:val="24"/>
          <w:szCs w:val="24"/>
        </w:rPr>
        <w:t xml:space="preserve"> </w:t>
      </w:r>
      <w:r w:rsidRPr="0035293F">
        <w:rPr>
          <w:rFonts w:ascii="Times New Roman" w:eastAsia="Times New Roman" w:hAnsi="Times New Roman" w:cs="Times New Roman"/>
          <w:sz w:val="24"/>
          <w:szCs w:val="24"/>
          <w:rtl/>
        </w:rPr>
        <w:t xml:space="preserve">أغراض الجمع والاستخدام والإفصاح ومتطلبات الموافقة والإخطار، بينما تلزم </w:t>
      </w:r>
      <w:r w:rsidRPr="0035293F">
        <w:rPr>
          <w:rFonts w:ascii="Times New Roman" w:eastAsia="Times New Roman" w:hAnsi="Times New Roman" w:cs="Times New Roman"/>
          <w:b/>
          <w:bCs/>
          <w:sz w:val="24"/>
          <w:szCs w:val="24"/>
          <w:rtl/>
        </w:rPr>
        <w:t>المادة 21</w:t>
      </w:r>
      <w:r w:rsidRPr="0035293F">
        <w:rPr>
          <w:rFonts w:ascii="Times New Roman" w:eastAsia="Times New Roman" w:hAnsi="Times New Roman" w:cs="Times New Roman"/>
          <w:sz w:val="24"/>
          <w:szCs w:val="24"/>
          <w:rtl/>
        </w:rPr>
        <w:t xml:space="preserve"> المؤسسة بتمكين الفرد، وفق الاستثناءات القانونية، من الوصول إلى بياناته ومعرفة كيفية استخدامها أو الإفصاح عنها خلال الفترة السابقة المحددة. ويقوم ضبط الوصول هنا على مسؤولية المؤسسة عن البيانات الموجودة في حيازتها أو تحت سيطرتها، مع استثناءات تحمي التحقيقات والمصالح القانونية وحقوق الغير</w:t>
      </w:r>
      <w:r w:rsidR="00624BE8">
        <w:rPr>
          <w:rFonts w:ascii="Times New Roman" w:eastAsia="Times New Roman" w:hAnsi="Times New Roman" w:cs="Times New Roman"/>
          <w:sz w:val="24"/>
          <w:szCs w:val="24"/>
        </w:rPr>
        <w:t>.</w:t>
      </w:r>
    </w:p>
    <w:p w14:paraId="1A81CDF6" w14:textId="0EB9EB23" w:rsidR="0035293F" w:rsidRPr="007B11E9" w:rsidRDefault="007B11E9" w:rsidP="0035293F">
      <w:pPr>
        <w:spacing w:before="100" w:beforeAutospacing="1" w:after="100" w:afterAutospacing="1" w:line="360" w:lineRule="auto"/>
        <w:jc w:val="left"/>
        <w:outlineLvl w:val="2"/>
        <w:rPr>
          <w:rFonts w:ascii="Times New Roman" w:eastAsia="Times New Roman" w:hAnsi="Times New Roman" w:cs="Times New Roman"/>
          <w:b/>
          <w:bCs/>
          <w:sz w:val="28"/>
          <w:szCs w:val="28"/>
        </w:rPr>
      </w:pPr>
      <w:r>
        <w:rPr>
          <w:rFonts w:ascii="Times New Roman" w:eastAsia="Times New Roman" w:hAnsi="Times New Roman" w:cs="Times New Roman" w:hint="cs"/>
          <w:b/>
          <w:bCs/>
          <w:sz w:val="24"/>
          <w:szCs w:val="24"/>
          <w:rtl/>
        </w:rPr>
        <w:t>3</w:t>
      </w:r>
      <w:commentRangeStart w:id="7"/>
      <w:r w:rsidRPr="007B11E9">
        <w:rPr>
          <w:rFonts w:ascii="Times New Roman" w:eastAsia="Times New Roman" w:hAnsi="Times New Roman" w:cs="Times New Roman" w:hint="cs"/>
          <w:b/>
          <w:bCs/>
          <w:sz w:val="28"/>
          <w:szCs w:val="28"/>
          <w:rtl/>
        </w:rPr>
        <w:t>-</w:t>
      </w:r>
      <w:r w:rsidR="0035293F" w:rsidRPr="007B11E9">
        <w:rPr>
          <w:rFonts w:ascii="Times New Roman" w:eastAsia="Times New Roman" w:hAnsi="Times New Roman" w:cs="Times New Roman"/>
          <w:b/>
          <w:bCs/>
          <w:sz w:val="28"/>
          <w:szCs w:val="28"/>
          <w:rtl/>
        </w:rPr>
        <w:t xml:space="preserve"> مدة الاحتفاظ بالبيانات وإتلافها</w:t>
      </w:r>
    </w:p>
    <w:p w14:paraId="00C7153C"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نظمت </w:t>
      </w:r>
      <w:r w:rsidRPr="0035293F">
        <w:rPr>
          <w:rFonts w:ascii="Times New Roman" w:eastAsia="Times New Roman" w:hAnsi="Times New Roman" w:cs="Times New Roman"/>
          <w:b/>
          <w:bCs/>
          <w:sz w:val="24"/>
          <w:szCs w:val="24"/>
          <w:rtl/>
        </w:rPr>
        <w:t>المادة الثامنة عشرة</w:t>
      </w:r>
      <w:r w:rsidRPr="0035293F">
        <w:rPr>
          <w:rFonts w:ascii="Times New Roman" w:eastAsia="Times New Roman" w:hAnsi="Times New Roman" w:cs="Times New Roman"/>
          <w:sz w:val="24"/>
          <w:szCs w:val="24"/>
          <w:rtl/>
        </w:rPr>
        <w:t xml:space="preserve"> من النظام السعودي مدة الاحتفاظ على أساس انتهاء الغرض؛ فأوجبت إتلاف البيانات بعد انتهاء الغرض من جمعها دون تأخير، وأجازت الاحتفاظ بها بعد إزالة ما يؤدي إلى تحديد هوية صاحبها. كما أوجبت استمرار الاحتفاظ إذا كان هناك مسوغ نظامي يحدد مدة معينة، أو إذا كانت البيانات مرتبطة بقضية منظورة وكان الاحتفاظ بها لازمًا للإجراءات القضائية، على أن تتلف بعد انتهاء الحاجة النظامية أو القضائية. وتعد هذه الإشارة الصريحة إلى القضية المنظورة ذات أهمية مباشرة للملفات القضائية الرقمية</w:t>
      </w:r>
      <w:r w:rsidRPr="0035293F">
        <w:rPr>
          <w:rFonts w:ascii="Times New Roman" w:eastAsia="Times New Roman" w:hAnsi="Times New Roman" w:cs="Times New Roman"/>
          <w:sz w:val="24"/>
          <w:szCs w:val="24"/>
        </w:rPr>
        <w:t>.</w:t>
      </w:r>
    </w:p>
    <w:p w14:paraId="7086617B"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وفي الإمارات، يرتبط الاحتفاظ بمبدأ تحديد الغرض الوارد في </w:t>
      </w:r>
      <w:r w:rsidRPr="0035293F">
        <w:rPr>
          <w:rFonts w:ascii="Times New Roman" w:eastAsia="Times New Roman" w:hAnsi="Times New Roman" w:cs="Times New Roman"/>
          <w:b/>
          <w:bCs/>
          <w:sz w:val="24"/>
          <w:szCs w:val="24"/>
          <w:rtl/>
        </w:rPr>
        <w:t>المادة الخامسة</w:t>
      </w:r>
      <w:r w:rsidRPr="0035293F">
        <w:rPr>
          <w:rFonts w:ascii="Times New Roman" w:eastAsia="Times New Roman" w:hAnsi="Times New Roman" w:cs="Times New Roman"/>
          <w:sz w:val="24"/>
          <w:szCs w:val="24"/>
          <w:rtl/>
        </w:rPr>
        <w:t xml:space="preserve">؛ فلا يجوز الاحتفاظ بالبيانات بعد انتهاء الغرض الذي عولجت من أجله إلا إذا ظلت هوية صاحبها غير ممكنة أو استمر مسوغ قانوني للاحتفاظ. كما يحق لصاحب البيانات، وفق </w:t>
      </w:r>
      <w:r w:rsidRPr="0035293F">
        <w:rPr>
          <w:rFonts w:ascii="Times New Roman" w:eastAsia="Times New Roman" w:hAnsi="Times New Roman" w:cs="Times New Roman"/>
          <w:b/>
          <w:bCs/>
          <w:sz w:val="24"/>
          <w:szCs w:val="24"/>
          <w:rtl/>
        </w:rPr>
        <w:t>المادة الخامسة عشرة</w:t>
      </w:r>
      <w:r w:rsidRPr="0035293F">
        <w:rPr>
          <w:rFonts w:ascii="Times New Roman" w:eastAsia="Times New Roman" w:hAnsi="Times New Roman" w:cs="Times New Roman"/>
          <w:sz w:val="24"/>
          <w:szCs w:val="24"/>
          <w:rtl/>
        </w:rPr>
        <w:t>، طلب محو بياناته في الحالات المحددة، مثل انتفاء الحاجة إليها أو سحب الموافقة مع عدم وجود أساس قانوني آخر للمعالجة، مع بقاء الاستثناءات اللازمة للمطالبات القانونية أو الالتزامات النظامية</w:t>
      </w:r>
      <w:r w:rsidRPr="0035293F">
        <w:rPr>
          <w:rFonts w:ascii="Times New Roman" w:eastAsia="Times New Roman" w:hAnsi="Times New Roman" w:cs="Times New Roman"/>
          <w:sz w:val="24"/>
          <w:szCs w:val="24"/>
        </w:rPr>
        <w:t>.</w:t>
      </w:r>
    </w:p>
    <w:p w14:paraId="6E569ED9"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أما سنغافورة، فقد قررت </w:t>
      </w:r>
      <w:r w:rsidRPr="0035293F">
        <w:rPr>
          <w:rFonts w:ascii="Times New Roman" w:eastAsia="Times New Roman" w:hAnsi="Times New Roman" w:cs="Times New Roman"/>
          <w:b/>
          <w:bCs/>
          <w:sz w:val="24"/>
          <w:szCs w:val="24"/>
          <w:rtl/>
        </w:rPr>
        <w:t>المادة 25</w:t>
      </w:r>
      <w:r w:rsidRPr="0035293F">
        <w:rPr>
          <w:rFonts w:ascii="Times New Roman" w:eastAsia="Times New Roman" w:hAnsi="Times New Roman" w:cs="Times New Roman"/>
          <w:sz w:val="24"/>
          <w:szCs w:val="24"/>
          <w:rtl/>
        </w:rPr>
        <w:t xml:space="preserve"> أن تتوقف المؤسسة عن الاحتفاظ بالوثائق التي تتضمن بيانات شخصية، أو تزيل الوسيلة التي يمكن بها ربط البيانات بالفرد، متى لم يعد الاحتفاظ يخدم الغرض الذي جمعت من أجله ولم يعد ضروريًا لأغراض قانونية أو تجارية. ولا يقرر القانون السنغافوري حقًا عامًا مستقلًا في المحو مماثلًا للنموذج الإماراتي؛ بل تتحقق النتيجة من خلال واجب المؤسسة في وقف الاحتفاظ، وإمكان سحب الموافقة، وتصحيح البيانات</w:t>
      </w:r>
      <w:r w:rsidRPr="0035293F">
        <w:rPr>
          <w:rFonts w:ascii="Times New Roman" w:eastAsia="Times New Roman" w:hAnsi="Times New Roman" w:cs="Times New Roman"/>
          <w:sz w:val="24"/>
          <w:szCs w:val="24"/>
        </w:rPr>
        <w:t>.</w:t>
      </w:r>
      <w:commentRangeEnd w:id="7"/>
      <w:r w:rsidR="001A32B2">
        <w:rPr>
          <w:rStyle w:val="ad"/>
          <w:rtl/>
        </w:rPr>
        <w:commentReference w:id="7"/>
      </w:r>
    </w:p>
    <w:p w14:paraId="7649BE36" w14:textId="39344A4F" w:rsidR="009D2F8D" w:rsidRDefault="009D2F8D" w:rsidP="009D2F8D">
      <w:pPr>
        <w:spacing w:before="100" w:beforeAutospacing="1" w:after="100" w:afterAutospacing="1" w:line="360" w:lineRule="auto"/>
        <w:jc w:val="left"/>
        <w:outlineLvl w:val="2"/>
        <w:rPr>
          <w:rFonts w:ascii="Times New Roman" w:eastAsia="Times New Roman" w:hAnsi="Times New Roman" w:cs="Times New Roman"/>
          <w:b/>
          <w:bCs/>
          <w:sz w:val="24"/>
          <w:szCs w:val="24"/>
          <w:rtl/>
        </w:rPr>
      </w:pPr>
    </w:p>
    <w:p w14:paraId="4514ABA6" w14:textId="77777777" w:rsidR="009D2F8D" w:rsidRDefault="009D2F8D" w:rsidP="0035293F">
      <w:pPr>
        <w:spacing w:before="100" w:beforeAutospacing="1" w:after="100" w:afterAutospacing="1" w:line="360" w:lineRule="auto"/>
        <w:jc w:val="left"/>
        <w:outlineLvl w:val="2"/>
        <w:rPr>
          <w:rFonts w:ascii="Times New Roman" w:eastAsia="Times New Roman" w:hAnsi="Times New Roman" w:cs="Times New Roman"/>
          <w:b/>
          <w:bCs/>
          <w:sz w:val="24"/>
          <w:szCs w:val="24"/>
          <w:rtl/>
        </w:rPr>
      </w:pPr>
    </w:p>
    <w:p w14:paraId="0C5DB4D8" w14:textId="77777777" w:rsidR="009D2F8D" w:rsidRDefault="009D2F8D" w:rsidP="0035293F">
      <w:pPr>
        <w:spacing w:before="100" w:beforeAutospacing="1" w:after="100" w:afterAutospacing="1" w:line="360" w:lineRule="auto"/>
        <w:jc w:val="left"/>
        <w:outlineLvl w:val="2"/>
        <w:rPr>
          <w:rFonts w:ascii="Times New Roman" w:eastAsia="Times New Roman" w:hAnsi="Times New Roman" w:cs="Times New Roman"/>
          <w:b/>
          <w:bCs/>
          <w:sz w:val="24"/>
          <w:szCs w:val="24"/>
          <w:rtl/>
        </w:rPr>
      </w:pPr>
    </w:p>
    <w:p w14:paraId="0EEEF3F3" w14:textId="77777777" w:rsidR="009D2F8D" w:rsidRDefault="009D2F8D" w:rsidP="0035293F">
      <w:pPr>
        <w:spacing w:before="100" w:beforeAutospacing="1" w:after="100" w:afterAutospacing="1" w:line="360" w:lineRule="auto"/>
        <w:jc w:val="left"/>
        <w:outlineLvl w:val="2"/>
        <w:rPr>
          <w:rFonts w:ascii="Times New Roman" w:eastAsia="Times New Roman" w:hAnsi="Times New Roman" w:cs="Times New Roman"/>
          <w:b/>
          <w:bCs/>
          <w:sz w:val="24"/>
          <w:szCs w:val="24"/>
          <w:rtl/>
        </w:rPr>
      </w:pPr>
    </w:p>
    <w:p w14:paraId="4A6CBEA4" w14:textId="77777777" w:rsidR="009D2F8D" w:rsidRDefault="009D2F8D" w:rsidP="0035293F">
      <w:pPr>
        <w:spacing w:before="100" w:beforeAutospacing="1" w:after="100" w:afterAutospacing="1" w:line="360" w:lineRule="auto"/>
        <w:jc w:val="left"/>
        <w:outlineLvl w:val="2"/>
        <w:rPr>
          <w:rFonts w:ascii="Times New Roman" w:eastAsia="Times New Roman" w:hAnsi="Times New Roman" w:cs="Times New Roman"/>
          <w:b/>
          <w:bCs/>
          <w:sz w:val="24"/>
          <w:szCs w:val="24"/>
          <w:rtl/>
        </w:rPr>
      </w:pPr>
    </w:p>
    <w:p w14:paraId="66B8D12E" w14:textId="77777777" w:rsidR="009D2F8D" w:rsidRDefault="009D2F8D" w:rsidP="0035293F">
      <w:pPr>
        <w:spacing w:before="100" w:beforeAutospacing="1" w:after="100" w:afterAutospacing="1" w:line="360" w:lineRule="auto"/>
        <w:jc w:val="left"/>
        <w:outlineLvl w:val="2"/>
        <w:rPr>
          <w:rFonts w:ascii="Times New Roman" w:eastAsia="Times New Roman" w:hAnsi="Times New Roman" w:cs="Times New Roman"/>
          <w:b/>
          <w:bCs/>
          <w:sz w:val="24"/>
          <w:szCs w:val="24"/>
          <w:rtl/>
        </w:rPr>
      </w:pPr>
    </w:p>
    <w:p w14:paraId="0C18D742" w14:textId="072BA3C1" w:rsidR="0035293F" w:rsidRPr="0035293F" w:rsidRDefault="009D2F8D" w:rsidP="0035293F">
      <w:pPr>
        <w:spacing w:before="100" w:beforeAutospacing="1" w:after="100" w:afterAutospacing="1" w:line="360" w:lineRule="auto"/>
        <w:jc w:val="left"/>
        <w:outlineLvl w:val="2"/>
        <w:rPr>
          <w:rFonts w:ascii="Times New Roman" w:eastAsia="Times New Roman" w:hAnsi="Times New Roman" w:cs="Times New Roman"/>
          <w:b/>
          <w:bCs/>
          <w:sz w:val="24"/>
          <w:szCs w:val="24"/>
        </w:rPr>
      </w:pPr>
      <w:r>
        <w:rPr>
          <w:rFonts w:ascii="Times New Roman" w:eastAsia="Times New Roman" w:hAnsi="Times New Roman" w:cs="Times New Roman" w:hint="cs"/>
          <w:b/>
          <w:bCs/>
          <w:sz w:val="28"/>
          <w:szCs w:val="28"/>
          <w:rtl/>
        </w:rPr>
        <w:lastRenderedPageBreak/>
        <w:t>4</w:t>
      </w:r>
      <w:r w:rsidR="007B11E9" w:rsidRPr="007B11E9">
        <w:rPr>
          <w:rFonts w:ascii="Times New Roman" w:eastAsia="Times New Roman" w:hAnsi="Times New Roman" w:cs="Times New Roman" w:hint="cs"/>
          <w:b/>
          <w:bCs/>
          <w:sz w:val="28"/>
          <w:szCs w:val="28"/>
          <w:rtl/>
        </w:rPr>
        <w:t>-</w:t>
      </w:r>
      <w:r w:rsidR="0035293F" w:rsidRPr="007B11E9">
        <w:rPr>
          <w:rFonts w:ascii="Times New Roman" w:eastAsia="Times New Roman" w:hAnsi="Times New Roman" w:cs="Times New Roman"/>
          <w:b/>
          <w:bCs/>
          <w:sz w:val="28"/>
          <w:szCs w:val="28"/>
          <w:rtl/>
        </w:rPr>
        <w:t xml:space="preserve"> التدابير الأمنية وحماية البيانات من الاختراق</w:t>
      </w:r>
    </w:p>
    <w:p w14:paraId="3006AC29"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أوجبت </w:t>
      </w:r>
      <w:r w:rsidRPr="0035293F">
        <w:rPr>
          <w:rFonts w:ascii="Times New Roman" w:eastAsia="Times New Roman" w:hAnsi="Times New Roman" w:cs="Times New Roman"/>
          <w:b/>
          <w:bCs/>
          <w:sz w:val="24"/>
          <w:szCs w:val="24"/>
          <w:rtl/>
        </w:rPr>
        <w:t>المادة التاسعة عشرة</w:t>
      </w:r>
      <w:r w:rsidRPr="0035293F">
        <w:rPr>
          <w:rFonts w:ascii="Times New Roman" w:eastAsia="Times New Roman" w:hAnsi="Times New Roman" w:cs="Times New Roman"/>
          <w:sz w:val="24"/>
          <w:szCs w:val="24"/>
          <w:rtl/>
        </w:rPr>
        <w:t xml:space="preserve"> من النظام السعودي على جهة التحكم اتخاذ الإجراءات والوسائل التنظيمية والإدارية والتقنية اللازمة للمحافظة على البيانات الشخصية، بما في ذلك أثناء نقلها. كما نظمت </w:t>
      </w:r>
      <w:r w:rsidRPr="0035293F">
        <w:rPr>
          <w:rFonts w:ascii="Times New Roman" w:eastAsia="Times New Roman" w:hAnsi="Times New Roman" w:cs="Times New Roman"/>
          <w:b/>
          <w:bCs/>
          <w:sz w:val="24"/>
          <w:szCs w:val="24"/>
          <w:rtl/>
        </w:rPr>
        <w:t>المادة العشرون</w:t>
      </w:r>
      <w:r w:rsidRPr="0035293F">
        <w:rPr>
          <w:rFonts w:ascii="Times New Roman" w:eastAsia="Times New Roman" w:hAnsi="Times New Roman" w:cs="Times New Roman"/>
          <w:sz w:val="24"/>
          <w:szCs w:val="24"/>
          <w:rtl/>
        </w:rPr>
        <w:t xml:space="preserve"> الإشعار عن تسرب البيانات أو تلفها أو الوصول غير المشروع إليها، وألزمت بإبلاغ صاحب البيانات إذا كان الحادث قد يرتب ضررًا أو يتعارض مع حقوقه أو مصالحه</w:t>
      </w:r>
      <w:r w:rsidRPr="0035293F">
        <w:rPr>
          <w:rFonts w:ascii="Times New Roman" w:eastAsia="Times New Roman" w:hAnsi="Times New Roman" w:cs="Times New Roman"/>
          <w:sz w:val="24"/>
          <w:szCs w:val="24"/>
        </w:rPr>
        <w:t>.</w:t>
      </w:r>
    </w:p>
    <w:p w14:paraId="0B0768AE"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وفي الإمارات، ألزمت </w:t>
      </w:r>
      <w:r w:rsidRPr="0035293F">
        <w:rPr>
          <w:rFonts w:ascii="Times New Roman" w:eastAsia="Times New Roman" w:hAnsi="Times New Roman" w:cs="Times New Roman"/>
          <w:b/>
          <w:bCs/>
          <w:sz w:val="24"/>
          <w:szCs w:val="24"/>
          <w:rtl/>
        </w:rPr>
        <w:t>المادة العشرون</w:t>
      </w:r>
      <w:r w:rsidRPr="0035293F">
        <w:rPr>
          <w:rFonts w:ascii="Times New Roman" w:eastAsia="Times New Roman" w:hAnsi="Times New Roman" w:cs="Times New Roman"/>
          <w:sz w:val="24"/>
          <w:szCs w:val="24"/>
          <w:rtl/>
        </w:rPr>
        <w:t xml:space="preserve"> المتحكم والمعالج باتخاذ تدابير تقنية وتنظيمية ملائمة تضمن مستوى من أمن المعلومات يتناسب مع مخاطر المعالجة، وطبيعة البيانات وحساسيتها، وحالة التقنيات المستخدمة وتكلفة تطبيقها. وهذا يجعل الالتزام بالأمن قائمًا على تقييم المخاطر، لا على تطبيق وسيلة فنية موحدة في جميع الحالات</w:t>
      </w:r>
      <w:r w:rsidRPr="0035293F">
        <w:rPr>
          <w:rFonts w:ascii="Times New Roman" w:eastAsia="Times New Roman" w:hAnsi="Times New Roman" w:cs="Times New Roman"/>
          <w:sz w:val="24"/>
          <w:szCs w:val="24"/>
        </w:rPr>
        <w:t>.</w:t>
      </w:r>
    </w:p>
    <w:p w14:paraId="36478F23"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وفي سنغافورة، أوجبت </w:t>
      </w:r>
      <w:r w:rsidRPr="0035293F">
        <w:rPr>
          <w:rFonts w:ascii="Times New Roman" w:eastAsia="Times New Roman" w:hAnsi="Times New Roman" w:cs="Times New Roman"/>
          <w:b/>
          <w:bCs/>
          <w:sz w:val="24"/>
          <w:szCs w:val="24"/>
          <w:rtl/>
        </w:rPr>
        <w:t>المادة 24</w:t>
      </w:r>
      <w:r w:rsidRPr="0035293F">
        <w:rPr>
          <w:rFonts w:ascii="Times New Roman" w:eastAsia="Times New Roman" w:hAnsi="Times New Roman" w:cs="Times New Roman"/>
          <w:sz w:val="24"/>
          <w:szCs w:val="24"/>
          <w:rtl/>
        </w:rPr>
        <w:t xml:space="preserve"> اتخاذ ترتيبات أمنية معقولة لمنع الوصول أو الجمع أو الاستخدام أو الإفصاح أو النسخ أو التعديل أو الإتلاف غير المصرح به، وكذلك لمنع فقد وسائط التخزين. كما أضاف القانون واجبات لتقييم خروقات البيانات والإبلاغ عنها في المواد </w:t>
      </w:r>
      <w:r w:rsidRPr="0035293F">
        <w:rPr>
          <w:rFonts w:ascii="Times New Roman" w:eastAsia="Times New Roman" w:hAnsi="Times New Roman" w:cs="Times New Roman"/>
          <w:b/>
          <w:bCs/>
          <w:sz w:val="24"/>
          <w:szCs w:val="24"/>
        </w:rPr>
        <w:t>26A–26D</w:t>
      </w:r>
      <w:r w:rsidRPr="0035293F">
        <w:rPr>
          <w:rFonts w:ascii="Times New Roman" w:eastAsia="Times New Roman" w:hAnsi="Times New Roman" w:cs="Times New Roman"/>
          <w:sz w:val="24"/>
          <w:szCs w:val="24"/>
        </w:rPr>
        <w:t xml:space="preserve"> </w:t>
      </w:r>
      <w:r w:rsidRPr="0035293F">
        <w:rPr>
          <w:rFonts w:ascii="Times New Roman" w:eastAsia="Times New Roman" w:hAnsi="Times New Roman" w:cs="Times New Roman"/>
          <w:sz w:val="24"/>
          <w:szCs w:val="24"/>
          <w:rtl/>
        </w:rPr>
        <w:t>متى استوفت الخروقات شروط الإشعار</w:t>
      </w:r>
      <w:r w:rsidRPr="0035293F">
        <w:rPr>
          <w:rFonts w:ascii="Times New Roman" w:eastAsia="Times New Roman" w:hAnsi="Times New Roman" w:cs="Times New Roman"/>
          <w:sz w:val="24"/>
          <w:szCs w:val="24"/>
        </w:rPr>
        <w:t>.</w:t>
      </w:r>
    </w:p>
    <w:p w14:paraId="724B06D5"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وتظهر المقارنة أن الدول الثلاث تأخذ بمنهج الحماية الوقائية، إلا أن الإمارات وسنغافورة تستخدمان صياغة أوضح قائمة على تناسب التدابير مع المخاطر، بينما يقرر النظام السعودي الالتزام العام بالتدابير التنظيمية والإدارية والتقنية، مع إحالة التفاصيل إلى اللائحة. ويتيح المنهج القائم على المخاطر قدرًا أكبر من المرونة، لكنه يستلزم معايير رقابية واضحة لتحديد ما يعد حماية كافية</w:t>
      </w:r>
      <w:r w:rsidRPr="0035293F">
        <w:rPr>
          <w:rFonts w:ascii="Times New Roman" w:eastAsia="Times New Roman" w:hAnsi="Times New Roman" w:cs="Times New Roman"/>
          <w:sz w:val="24"/>
          <w:szCs w:val="24"/>
        </w:rPr>
        <w:t>.</w:t>
      </w:r>
    </w:p>
    <w:p w14:paraId="43520068" w14:textId="08FFBA12" w:rsidR="0035293F" w:rsidRPr="0035293F" w:rsidRDefault="007B11E9" w:rsidP="0035293F">
      <w:pPr>
        <w:spacing w:before="100" w:beforeAutospacing="1" w:after="100" w:afterAutospacing="1" w:line="360" w:lineRule="auto"/>
        <w:jc w:val="left"/>
        <w:outlineLvl w:val="2"/>
        <w:rPr>
          <w:rFonts w:ascii="Times New Roman" w:eastAsia="Times New Roman" w:hAnsi="Times New Roman" w:cs="Times New Roman"/>
          <w:b/>
          <w:bCs/>
          <w:sz w:val="24"/>
          <w:szCs w:val="24"/>
        </w:rPr>
      </w:pPr>
      <w:r>
        <w:rPr>
          <w:rFonts w:ascii="Times New Roman" w:eastAsia="Times New Roman" w:hAnsi="Times New Roman" w:cs="Times New Roman" w:hint="cs"/>
          <w:b/>
          <w:bCs/>
          <w:sz w:val="24"/>
          <w:szCs w:val="24"/>
          <w:rtl/>
        </w:rPr>
        <w:t>5-</w:t>
      </w:r>
      <w:r w:rsidR="0035293F" w:rsidRPr="0035293F">
        <w:rPr>
          <w:rFonts w:ascii="Times New Roman" w:eastAsia="Times New Roman" w:hAnsi="Times New Roman" w:cs="Times New Roman"/>
          <w:b/>
          <w:bCs/>
          <w:sz w:val="24"/>
          <w:szCs w:val="24"/>
          <w:rtl/>
        </w:rPr>
        <w:t xml:space="preserve"> </w:t>
      </w:r>
      <w:r w:rsidR="0035293F" w:rsidRPr="007B11E9">
        <w:rPr>
          <w:rFonts w:ascii="Times New Roman" w:eastAsia="Times New Roman" w:hAnsi="Times New Roman" w:cs="Times New Roman"/>
          <w:b/>
          <w:bCs/>
          <w:sz w:val="28"/>
          <w:szCs w:val="28"/>
          <w:rtl/>
        </w:rPr>
        <w:t>حقوق أصحاب البيانات</w:t>
      </w:r>
    </w:p>
    <w:p w14:paraId="3BE66654"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قررت </w:t>
      </w:r>
      <w:r w:rsidRPr="0035293F">
        <w:rPr>
          <w:rFonts w:ascii="Times New Roman" w:eastAsia="Times New Roman" w:hAnsi="Times New Roman" w:cs="Times New Roman"/>
          <w:b/>
          <w:bCs/>
          <w:sz w:val="24"/>
          <w:szCs w:val="24"/>
          <w:rtl/>
        </w:rPr>
        <w:t>المادة الرابعة</w:t>
      </w:r>
      <w:r w:rsidRPr="0035293F">
        <w:rPr>
          <w:rFonts w:ascii="Times New Roman" w:eastAsia="Times New Roman" w:hAnsi="Times New Roman" w:cs="Times New Roman"/>
          <w:sz w:val="24"/>
          <w:szCs w:val="24"/>
          <w:rtl/>
        </w:rPr>
        <w:t xml:space="preserve"> من النظام السعودي لصاحب البيانات الحق في العلم بالمسوغ والغرض من جمعها، والوصول إليها، والحصول عليها بصيغة مقروءة وواضحة، وطلب تصحيحها أو إتمامها أو تحديثها، وطلب إتلاف ما انتهت الحاجة إليه منها، مع مراعاة الاستثناءات النظامية. كما تمنحه </w:t>
      </w:r>
      <w:r w:rsidRPr="0035293F">
        <w:rPr>
          <w:rFonts w:ascii="Times New Roman" w:eastAsia="Times New Roman" w:hAnsi="Times New Roman" w:cs="Times New Roman"/>
          <w:b/>
          <w:bCs/>
          <w:sz w:val="24"/>
          <w:szCs w:val="24"/>
          <w:rtl/>
        </w:rPr>
        <w:t>المادة الخامسة</w:t>
      </w:r>
      <w:r w:rsidRPr="0035293F">
        <w:rPr>
          <w:rFonts w:ascii="Times New Roman" w:eastAsia="Times New Roman" w:hAnsi="Times New Roman" w:cs="Times New Roman"/>
          <w:sz w:val="24"/>
          <w:szCs w:val="24"/>
          <w:rtl/>
        </w:rPr>
        <w:t xml:space="preserve"> حق الرجوع عن الموافقة، وتلزم </w:t>
      </w:r>
      <w:r w:rsidRPr="0035293F">
        <w:rPr>
          <w:rFonts w:ascii="Times New Roman" w:eastAsia="Times New Roman" w:hAnsi="Times New Roman" w:cs="Times New Roman"/>
          <w:b/>
          <w:bCs/>
          <w:sz w:val="24"/>
          <w:szCs w:val="24"/>
          <w:rtl/>
        </w:rPr>
        <w:t>المادة الحادية والعشرون</w:t>
      </w:r>
      <w:r w:rsidRPr="0035293F">
        <w:rPr>
          <w:rFonts w:ascii="Times New Roman" w:eastAsia="Times New Roman" w:hAnsi="Times New Roman" w:cs="Times New Roman"/>
          <w:sz w:val="24"/>
          <w:szCs w:val="24"/>
          <w:rtl/>
        </w:rPr>
        <w:t xml:space="preserve"> جهة التحكم بالاستجابة لطلباته خلال المدة التي تحددها اللائحة</w:t>
      </w:r>
      <w:r w:rsidRPr="0035293F">
        <w:rPr>
          <w:rFonts w:ascii="Times New Roman" w:eastAsia="Times New Roman" w:hAnsi="Times New Roman" w:cs="Times New Roman"/>
          <w:sz w:val="24"/>
          <w:szCs w:val="24"/>
        </w:rPr>
        <w:t>.</w:t>
      </w:r>
    </w:p>
    <w:p w14:paraId="064E3959" w14:textId="77777777" w:rsidR="009D2F8D" w:rsidRDefault="009D2F8D" w:rsidP="0035293F">
      <w:pPr>
        <w:spacing w:before="100" w:beforeAutospacing="1" w:after="100" w:afterAutospacing="1" w:line="360" w:lineRule="auto"/>
        <w:jc w:val="left"/>
        <w:rPr>
          <w:rFonts w:ascii="Times New Roman" w:eastAsia="Times New Roman" w:hAnsi="Times New Roman" w:cs="Times New Roman"/>
          <w:sz w:val="24"/>
          <w:szCs w:val="24"/>
          <w:rtl/>
        </w:rPr>
      </w:pPr>
    </w:p>
    <w:p w14:paraId="67DB1270" w14:textId="77777777" w:rsidR="009D2F8D" w:rsidRDefault="009D2F8D" w:rsidP="0035293F">
      <w:pPr>
        <w:spacing w:before="100" w:beforeAutospacing="1" w:after="100" w:afterAutospacing="1" w:line="360" w:lineRule="auto"/>
        <w:jc w:val="left"/>
        <w:rPr>
          <w:rFonts w:ascii="Times New Roman" w:eastAsia="Times New Roman" w:hAnsi="Times New Roman" w:cs="Times New Roman"/>
          <w:sz w:val="24"/>
          <w:szCs w:val="24"/>
          <w:rtl/>
        </w:rPr>
      </w:pPr>
    </w:p>
    <w:p w14:paraId="5D502C74" w14:textId="77777777" w:rsidR="009D2F8D" w:rsidRDefault="009D2F8D" w:rsidP="0035293F">
      <w:pPr>
        <w:spacing w:before="100" w:beforeAutospacing="1" w:after="100" w:afterAutospacing="1" w:line="360" w:lineRule="auto"/>
        <w:jc w:val="left"/>
        <w:rPr>
          <w:rFonts w:ascii="Times New Roman" w:eastAsia="Times New Roman" w:hAnsi="Times New Roman" w:cs="Times New Roman"/>
          <w:sz w:val="24"/>
          <w:szCs w:val="24"/>
          <w:rtl/>
        </w:rPr>
      </w:pPr>
    </w:p>
    <w:p w14:paraId="180F41B8" w14:textId="77777777" w:rsidR="009D2F8D" w:rsidRDefault="009D2F8D" w:rsidP="0035293F">
      <w:pPr>
        <w:spacing w:before="100" w:beforeAutospacing="1" w:after="100" w:afterAutospacing="1" w:line="360" w:lineRule="auto"/>
        <w:jc w:val="left"/>
        <w:rPr>
          <w:rFonts w:ascii="Times New Roman" w:eastAsia="Times New Roman" w:hAnsi="Times New Roman" w:cs="Times New Roman"/>
          <w:sz w:val="24"/>
          <w:szCs w:val="24"/>
          <w:rtl/>
        </w:rPr>
      </w:pPr>
    </w:p>
    <w:p w14:paraId="309895D0" w14:textId="77777777" w:rsidR="009D2F8D" w:rsidRDefault="009D2F8D" w:rsidP="0035293F">
      <w:pPr>
        <w:spacing w:before="100" w:beforeAutospacing="1" w:after="100" w:afterAutospacing="1" w:line="360" w:lineRule="auto"/>
        <w:jc w:val="left"/>
        <w:rPr>
          <w:rFonts w:ascii="Times New Roman" w:eastAsia="Times New Roman" w:hAnsi="Times New Roman" w:cs="Times New Roman"/>
          <w:sz w:val="24"/>
          <w:szCs w:val="24"/>
          <w:rtl/>
        </w:rPr>
      </w:pPr>
    </w:p>
    <w:p w14:paraId="10F08879" w14:textId="22A860DC"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lastRenderedPageBreak/>
        <w:t xml:space="preserve">أما القانون الإماراتي، فيمنح نطاقًا أوسع من الحقوق التفصيلية؛ إذ تقرر </w:t>
      </w:r>
      <w:r w:rsidRPr="0035293F">
        <w:rPr>
          <w:rFonts w:ascii="Times New Roman" w:eastAsia="Times New Roman" w:hAnsi="Times New Roman" w:cs="Times New Roman"/>
          <w:b/>
          <w:bCs/>
          <w:sz w:val="24"/>
          <w:szCs w:val="24"/>
          <w:rtl/>
        </w:rPr>
        <w:t>المادة الثالثة عشرة</w:t>
      </w:r>
      <w:r w:rsidRPr="0035293F">
        <w:rPr>
          <w:rFonts w:ascii="Times New Roman" w:eastAsia="Times New Roman" w:hAnsi="Times New Roman" w:cs="Times New Roman"/>
          <w:sz w:val="24"/>
          <w:szCs w:val="24"/>
          <w:rtl/>
        </w:rPr>
        <w:t xml:space="preserve"> حق الحصول على المعلومات، و</w:t>
      </w:r>
      <w:r w:rsidRPr="0035293F">
        <w:rPr>
          <w:rFonts w:ascii="Times New Roman" w:eastAsia="Times New Roman" w:hAnsi="Times New Roman" w:cs="Times New Roman"/>
          <w:b/>
          <w:bCs/>
          <w:sz w:val="24"/>
          <w:szCs w:val="24"/>
          <w:rtl/>
        </w:rPr>
        <w:t>المادة الرابعة عشرة</w:t>
      </w:r>
      <w:r w:rsidRPr="0035293F">
        <w:rPr>
          <w:rFonts w:ascii="Times New Roman" w:eastAsia="Times New Roman" w:hAnsi="Times New Roman" w:cs="Times New Roman"/>
          <w:sz w:val="24"/>
          <w:szCs w:val="24"/>
          <w:rtl/>
        </w:rPr>
        <w:t xml:space="preserve"> حق نقل البيانات، و</w:t>
      </w:r>
      <w:r w:rsidRPr="0035293F">
        <w:rPr>
          <w:rFonts w:ascii="Times New Roman" w:eastAsia="Times New Roman" w:hAnsi="Times New Roman" w:cs="Times New Roman"/>
          <w:b/>
          <w:bCs/>
          <w:sz w:val="24"/>
          <w:szCs w:val="24"/>
          <w:rtl/>
        </w:rPr>
        <w:t>المادة الخامسة عشرة</w:t>
      </w:r>
      <w:r w:rsidRPr="0035293F">
        <w:rPr>
          <w:rFonts w:ascii="Times New Roman" w:eastAsia="Times New Roman" w:hAnsi="Times New Roman" w:cs="Times New Roman"/>
          <w:sz w:val="24"/>
          <w:szCs w:val="24"/>
          <w:rtl/>
        </w:rPr>
        <w:t xml:space="preserve"> حق التصحيح أو المحو، و</w:t>
      </w:r>
      <w:r w:rsidRPr="0035293F">
        <w:rPr>
          <w:rFonts w:ascii="Times New Roman" w:eastAsia="Times New Roman" w:hAnsi="Times New Roman" w:cs="Times New Roman"/>
          <w:b/>
          <w:bCs/>
          <w:sz w:val="24"/>
          <w:szCs w:val="24"/>
          <w:rtl/>
        </w:rPr>
        <w:t>المادة السادسة عشرة</w:t>
      </w:r>
      <w:r w:rsidRPr="0035293F">
        <w:rPr>
          <w:rFonts w:ascii="Times New Roman" w:eastAsia="Times New Roman" w:hAnsi="Times New Roman" w:cs="Times New Roman"/>
          <w:sz w:val="24"/>
          <w:szCs w:val="24"/>
          <w:rtl/>
        </w:rPr>
        <w:t xml:space="preserve"> حق تقييد المعالجة، و</w:t>
      </w:r>
      <w:r w:rsidRPr="0035293F">
        <w:rPr>
          <w:rFonts w:ascii="Times New Roman" w:eastAsia="Times New Roman" w:hAnsi="Times New Roman" w:cs="Times New Roman"/>
          <w:b/>
          <w:bCs/>
          <w:sz w:val="24"/>
          <w:szCs w:val="24"/>
          <w:rtl/>
        </w:rPr>
        <w:t>المادة السابعة عشرة</w:t>
      </w:r>
      <w:r w:rsidRPr="0035293F">
        <w:rPr>
          <w:rFonts w:ascii="Times New Roman" w:eastAsia="Times New Roman" w:hAnsi="Times New Roman" w:cs="Times New Roman"/>
          <w:sz w:val="24"/>
          <w:szCs w:val="24"/>
          <w:rtl/>
        </w:rPr>
        <w:t xml:space="preserve"> حق إيقاف المعالجة في الحالات المحددة. ويشمل ذلك الاعتراض على المعالجة لأغراض التسويق المباشر وبعض الحالات القائمة على المصلحة المشروعة، وفق شروط القانون</w:t>
      </w:r>
      <w:r w:rsidRPr="0035293F">
        <w:rPr>
          <w:rFonts w:ascii="Times New Roman" w:eastAsia="Times New Roman" w:hAnsi="Times New Roman" w:cs="Times New Roman"/>
          <w:sz w:val="24"/>
          <w:szCs w:val="24"/>
        </w:rPr>
        <w:t>.</w:t>
      </w:r>
    </w:p>
    <w:p w14:paraId="76B04945" w14:textId="77777777" w:rsidR="0035293F" w:rsidRPr="0035293F" w:rsidRDefault="0035293F" w:rsidP="0035293F">
      <w:pPr>
        <w:spacing w:before="100" w:beforeAutospacing="1" w:after="100" w:afterAutospacing="1" w:line="360" w:lineRule="auto"/>
        <w:jc w:val="left"/>
        <w:rPr>
          <w:rFonts w:ascii="Times New Roman" w:eastAsia="Times New Roman" w:hAnsi="Times New Roman" w:cs="Times New Roman"/>
          <w:sz w:val="24"/>
          <w:szCs w:val="24"/>
        </w:rPr>
      </w:pPr>
      <w:r w:rsidRPr="0035293F">
        <w:rPr>
          <w:rFonts w:ascii="Times New Roman" w:eastAsia="Times New Roman" w:hAnsi="Times New Roman" w:cs="Times New Roman"/>
          <w:sz w:val="24"/>
          <w:szCs w:val="24"/>
          <w:rtl/>
        </w:rPr>
        <w:t xml:space="preserve">وفي سنغافورة، تمنح </w:t>
      </w:r>
      <w:r w:rsidRPr="0035293F">
        <w:rPr>
          <w:rFonts w:ascii="Times New Roman" w:eastAsia="Times New Roman" w:hAnsi="Times New Roman" w:cs="Times New Roman"/>
          <w:b/>
          <w:bCs/>
          <w:sz w:val="24"/>
          <w:szCs w:val="24"/>
          <w:rtl/>
        </w:rPr>
        <w:t>المادة 21</w:t>
      </w:r>
      <w:r w:rsidRPr="0035293F">
        <w:rPr>
          <w:rFonts w:ascii="Times New Roman" w:eastAsia="Times New Roman" w:hAnsi="Times New Roman" w:cs="Times New Roman"/>
          <w:sz w:val="24"/>
          <w:szCs w:val="24"/>
          <w:rtl/>
        </w:rPr>
        <w:t xml:space="preserve"> حق الوصول إلى البيانات والمعلومات المتعلقة باستخدامها والإفصاح عنها، وتقرر </w:t>
      </w:r>
      <w:r w:rsidRPr="0035293F">
        <w:rPr>
          <w:rFonts w:ascii="Times New Roman" w:eastAsia="Times New Roman" w:hAnsi="Times New Roman" w:cs="Times New Roman"/>
          <w:b/>
          <w:bCs/>
          <w:sz w:val="24"/>
          <w:szCs w:val="24"/>
          <w:rtl/>
        </w:rPr>
        <w:t>المادة 22</w:t>
      </w:r>
      <w:r w:rsidRPr="0035293F">
        <w:rPr>
          <w:rFonts w:ascii="Times New Roman" w:eastAsia="Times New Roman" w:hAnsi="Times New Roman" w:cs="Times New Roman"/>
          <w:sz w:val="24"/>
          <w:szCs w:val="24"/>
          <w:rtl/>
        </w:rPr>
        <w:t xml:space="preserve"> حق طلب تصحيح الخطأ أو النقص، بينما تتيح </w:t>
      </w:r>
      <w:r w:rsidRPr="0035293F">
        <w:rPr>
          <w:rFonts w:ascii="Times New Roman" w:eastAsia="Times New Roman" w:hAnsi="Times New Roman" w:cs="Times New Roman"/>
          <w:b/>
          <w:bCs/>
          <w:sz w:val="24"/>
          <w:szCs w:val="24"/>
          <w:rtl/>
        </w:rPr>
        <w:t>المادة 16</w:t>
      </w:r>
      <w:r w:rsidRPr="0035293F">
        <w:rPr>
          <w:rFonts w:ascii="Times New Roman" w:eastAsia="Times New Roman" w:hAnsi="Times New Roman" w:cs="Times New Roman"/>
          <w:sz w:val="24"/>
          <w:szCs w:val="24"/>
          <w:rtl/>
        </w:rPr>
        <w:t xml:space="preserve"> سحب الموافقة مع تحمل الآثار القانونية المترتبة عليه. إلا أن القانون لا يمنح حقًا عامًا في الاعتراض أو المحو بالصياغة الواسعة الموجودة في القانون الإماراتي؛ إذ تعتمد الحماية بدرجة أكبر على تحديد الغرض، وسحب الموافقة، وواجب وقف الاحتفاظ بعد انتهاء الحاجة</w:t>
      </w:r>
      <w:r w:rsidRPr="0035293F">
        <w:rPr>
          <w:rFonts w:ascii="Times New Roman" w:eastAsia="Times New Roman" w:hAnsi="Times New Roman" w:cs="Times New Roman"/>
          <w:sz w:val="24"/>
          <w:szCs w:val="24"/>
        </w:rPr>
        <w:t>.</w:t>
      </w:r>
    </w:p>
    <w:p w14:paraId="5B42308C" w14:textId="59AC67BA" w:rsidR="00A66CB4" w:rsidRDefault="00A66CB4" w:rsidP="009C25CB">
      <w:pPr>
        <w:bidi w:val="0"/>
        <w:spacing w:before="100" w:beforeAutospacing="1" w:after="100" w:afterAutospacing="1" w:line="360" w:lineRule="auto"/>
        <w:rPr>
          <w:rFonts w:ascii="Times New Roman" w:eastAsia="Times New Roman" w:hAnsi="Times New Roman" w:cs="Times New Roman"/>
          <w:sz w:val="24"/>
          <w:szCs w:val="24"/>
          <w:rtl/>
        </w:rPr>
      </w:pPr>
    </w:p>
    <w:p w14:paraId="06F7E8AD" w14:textId="77777777" w:rsidR="00A66CB4" w:rsidRDefault="00A66CB4">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br w:type="page"/>
      </w:r>
    </w:p>
    <w:p w14:paraId="15717122" w14:textId="201859B7" w:rsidR="00A577EB" w:rsidRPr="00205096" w:rsidRDefault="00A577EB" w:rsidP="00A577EB">
      <w:pPr>
        <w:spacing w:before="100" w:beforeAutospacing="1" w:after="100" w:afterAutospacing="1" w:line="240" w:lineRule="auto"/>
        <w:jc w:val="left"/>
        <w:outlineLvl w:val="1"/>
        <w:rPr>
          <w:rFonts w:ascii="Times New Roman" w:eastAsia="Times New Roman" w:hAnsi="Times New Roman" w:cs="Times New Roman" w:hint="cs"/>
          <w:b/>
          <w:bCs/>
          <w:sz w:val="32"/>
          <w:szCs w:val="32"/>
          <w:rtl/>
        </w:rPr>
      </w:pPr>
      <w:r w:rsidRPr="00205096">
        <w:rPr>
          <w:rFonts w:ascii="Times New Roman" w:eastAsia="Times New Roman" w:hAnsi="Times New Roman" w:cs="Times New Roman" w:hint="cs"/>
          <w:b/>
          <w:bCs/>
          <w:sz w:val="32"/>
          <w:szCs w:val="32"/>
          <w:rtl/>
        </w:rPr>
        <w:lastRenderedPageBreak/>
        <w:t xml:space="preserve">ثانياً: </w:t>
      </w:r>
      <w:r w:rsidRPr="00205096">
        <w:rPr>
          <w:rFonts w:ascii="Times New Roman" w:eastAsia="Times New Roman" w:hAnsi="Times New Roman" w:cs="Times New Roman"/>
          <w:b/>
          <w:bCs/>
          <w:sz w:val="32"/>
          <w:szCs w:val="32"/>
          <w:rtl/>
        </w:rPr>
        <w:t>تطوير المسؤولية القانونية والجنائية في البيئة الرقمية</w:t>
      </w:r>
    </w:p>
    <w:p w14:paraId="3C0DD1EF" w14:textId="77777777" w:rsidR="00A577EB" w:rsidRPr="00A577EB" w:rsidRDefault="00A577EB" w:rsidP="00A577EB">
      <w:pPr>
        <w:spacing w:before="100" w:beforeAutospacing="1" w:after="100" w:afterAutospacing="1" w:line="240" w:lineRule="auto"/>
        <w:jc w:val="left"/>
        <w:rPr>
          <w:rFonts w:ascii="Times New Roman" w:eastAsia="Times New Roman" w:hAnsi="Times New Roman" w:cs="Times New Roman"/>
          <w:sz w:val="24"/>
          <w:szCs w:val="24"/>
        </w:rPr>
      </w:pPr>
      <w:r w:rsidRPr="00A577EB">
        <w:rPr>
          <w:rFonts w:ascii="Times New Roman" w:eastAsia="Times New Roman" w:hAnsi="Times New Roman" w:cs="Times New Roman"/>
          <w:sz w:val="24"/>
          <w:szCs w:val="24"/>
          <w:rtl/>
        </w:rPr>
        <w:t>أدى التحول الرقمي إلى توسيع نطاق المسؤولية القانونية؛ فلم تعد تقتصر على معاقبة من يرتكب الاختراق أو يتلف البيانات، بل امتدت إلى مساءلة الجهات التي تدير المنصات الرقمية ومقدمي الخدمات عند الإخلال بواجبات الحماية أو إساءة معالجة البيانات. وبذلك أصبحت المسؤولية في البيئة الرقمية تجمع بين المسؤولية الوقائية والتنظيمية والمدنية والجنائية</w:t>
      </w:r>
      <w:r w:rsidRPr="00A577EB">
        <w:rPr>
          <w:rFonts w:ascii="Times New Roman" w:eastAsia="Times New Roman" w:hAnsi="Times New Roman" w:cs="Times New Roman"/>
          <w:sz w:val="24"/>
          <w:szCs w:val="24"/>
        </w:rPr>
        <w:t>.</w:t>
      </w:r>
    </w:p>
    <w:p w14:paraId="793B9A95" w14:textId="49788427" w:rsidR="00A577EB" w:rsidRPr="00A577EB" w:rsidRDefault="00A577EB" w:rsidP="00A577EB">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1-</w:t>
      </w:r>
      <w:r w:rsidRPr="00A577EB">
        <w:rPr>
          <w:rFonts w:ascii="Times New Roman" w:eastAsia="Times New Roman" w:hAnsi="Times New Roman" w:cs="Times New Roman"/>
          <w:b/>
          <w:bCs/>
          <w:sz w:val="27"/>
          <w:szCs w:val="27"/>
          <w:rtl/>
        </w:rPr>
        <w:t xml:space="preserve"> المسؤولية عن الاعتداء على الأنظمة والبيانات</w:t>
      </w:r>
    </w:p>
    <w:p w14:paraId="7EA64162" w14:textId="492105C1" w:rsidR="00A577EB" w:rsidRPr="00A577EB" w:rsidRDefault="00A577EB" w:rsidP="00A577EB">
      <w:pPr>
        <w:spacing w:before="100" w:beforeAutospacing="1" w:after="100" w:afterAutospacing="1" w:line="240" w:lineRule="auto"/>
        <w:jc w:val="left"/>
        <w:rPr>
          <w:rFonts w:ascii="Times New Roman" w:eastAsia="Times New Roman" w:hAnsi="Times New Roman" w:cs="Times New Roman"/>
          <w:sz w:val="24"/>
          <w:szCs w:val="24"/>
        </w:rPr>
      </w:pPr>
      <w:r>
        <w:rPr>
          <w:rtl/>
        </w:rPr>
        <w:t>أحاطت</w:t>
      </w:r>
      <w:r w:rsidRPr="00A577EB">
        <w:rPr>
          <w:rFonts w:ascii="Times New Roman" w:eastAsia="Times New Roman" w:hAnsi="Times New Roman" w:cs="Times New Roman"/>
          <w:sz w:val="24"/>
          <w:szCs w:val="24"/>
          <w:rtl/>
        </w:rPr>
        <w:t xml:space="preserve"> التشريعات في المملكة العربية </w:t>
      </w:r>
      <w:r w:rsidR="00E55AD3" w:rsidRPr="00A577EB">
        <w:rPr>
          <w:rFonts w:ascii="Times New Roman" w:eastAsia="Times New Roman" w:hAnsi="Times New Roman" w:cs="Times New Roman" w:hint="cs"/>
          <w:sz w:val="24"/>
          <w:szCs w:val="24"/>
          <w:rtl/>
        </w:rPr>
        <w:t>السعودية</w:t>
      </w:r>
      <w:r w:rsidR="00E55AD3" w:rsidRPr="00E55AD3">
        <w:rPr>
          <w:rFonts w:ascii="Times New Roman" w:eastAsia="Times New Roman" w:hAnsi="Times New Roman" w:cs="Times New Roman" w:hint="cs"/>
          <w:sz w:val="24"/>
          <w:szCs w:val="24"/>
          <w:vertAlign w:val="superscript"/>
          <w:rtl/>
        </w:rPr>
        <w:t xml:space="preserve"> </w:t>
      </w:r>
      <w:r w:rsidR="00E55AD3" w:rsidRPr="00E55AD3">
        <w:rPr>
          <w:rFonts w:ascii="Times New Roman" w:eastAsia="Times New Roman" w:hAnsi="Times New Roman" w:cs="Times New Roman"/>
          <w:sz w:val="24"/>
          <w:szCs w:val="24"/>
          <w:vertAlign w:val="superscript"/>
          <w:rtl/>
        </w:rPr>
        <w:t>(</w:t>
      </w:r>
      <w:r w:rsidR="00E55AD3" w:rsidRPr="00E55AD3">
        <w:rPr>
          <w:rStyle w:val="a8"/>
          <w:rFonts w:ascii="Times New Roman" w:eastAsia="Times New Roman" w:hAnsi="Times New Roman" w:cs="Times New Roman"/>
          <w:vanish/>
          <w:sz w:val="24"/>
          <w:szCs w:val="24"/>
          <w:vertAlign w:val="baseline"/>
          <w:rtl/>
        </w:rPr>
        <w:footnoteReference w:id="44"/>
      </w:r>
      <w:r w:rsidR="00E55AD3" w:rsidRPr="00E55AD3">
        <w:rPr>
          <w:rFonts w:ascii="Times New Roman" w:eastAsia="Times New Roman" w:hAnsi="Times New Roman" w:cs="Times New Roman" w:hint="cs"/>
          <w:sz w:val="24"/>
          <w:szCs w:val="24"/>
          <w:vertAlign w:val="superscript"/>
          <w:rtl/>
        </w:rPr>
        <w:t>1)</w:t>
      </w:r>
      <w:r w:rsidRPr="00A577EB">
        <w:rPr>
          <w:rFonts w:ascii="Times New Roman" w:eastAsia="Times New Roman" w:hAnsi="Times New Roman" w:cs="Times New Roman"/>
          <w:sz w:val="24"/>
          <w:szCs w:val="24"/>
          <w:rtl/>
        </w:rPr>
        <w:t xml:space="preserve"> والإمارات </w:t>
      </w:r>
      <w:r w:rsidR="00E55AD3" w:rsidRPr="00E55AD3">
        <w:rPr>
          <w:rFonts w:ascii="Times New Roman" w:eastAsia="Times New Roman" w:hAnsi="Times New Roman" w:cs="Times New Roman" w:hint="cs"/>
          <w:sz w:val="24"/>
          <w:szCs w:val="24"/>
          <w:vertAlign w:val="superscript"/>
          <w:rtl/>
        </w:rPr>
        <w:t>(2)</w:t>
      </w:r>
      <w:r w:rsidRPr="00A577EB">
        <w:rPr>
          <w:rFonts w:ascii="Times New Roman" w:eastAsia="Times New Roman" w:hAnsi="Times New Roman" w:cs="Times New Roman"/>
          <w:sz w:val="24"/>
          <w:szCs w:val="24"/>
          <w:rtl/>
        </w:rPr>
        <w:t>وسنغافورة الدخول غير المشروع إلى الأنظمة، واعتراض البيانات أو تعديلها أو إتلافها. ويعتمد التنظيم السعودي على نظام مكافحة جرائم المعلوماتية، بينما وسّعت الإمارات نطاق التجريم من خلال المرسوم بقانون اتحادي رقم (34) لسنة 2021، في حين طورت سنغافورة قانون إساءة استخدام الحاسب وأدخلت أدوات وقائية حديثة لمواجهة الأضرار الجنائية عبر الإنترنت. ويكشف ذلك عن انتقال السياسة الجنائية من حماية النظام التقني فقط إلى حماية البيانات والثقة العامة واستمرارية الخدمات الرقمية</w:t>
      </w:r>
      <w:r w:rsidRPr="00A577EB">
        <w:rPr>
          <w:rFonts w:ascii="Times New Roman" w:eastAsia="Times New Roman" w:hAnsi="Times New Roman" w:cs="Times New Roman"/>
          <w:sz w:val="24"/>
          <w:szCs w:val="24"/>
        </w:rPr>
        <w:t>.</w:t>
      </w:r>
    </w:p>
    <w:p w14:paraId="4B274529" w14:textId="3E1992B1" w:rsidR="00A577EB" w:rsidRPr="00A577EB" w:rsidRDefault="00A577EB" w:rsidP="00A577EB">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2-</w:t>
      </w:r>
      <w:r w:rsidRPr="00A577EB">
        <w:rPr>
          <w:rFonts w:ascii="Times New Roman" w:eastAsia="Times New Roman" w:hAnsi="Times New Roman" w:cs="Times New Roman"/>
          <w:b/>
          <w:bCs/>
          <w:sz w:val="27"/>
          <w:szCs w:val="27"/>
          <w:rtl/>
        </w:rPr>
        <w:t xml:space="preserve"> المسؤولية عن الإهمال في الحماية</w:t>
      </w:r>
    </w:p>
    <w:p w14:paraId="3C9519C6" w14:textId="6547B148" w:rsidR="00A577EB" w:rsidRPr="00A577EB" w:rsidRDefault="00A577EB" w:rsidP="00A577EB">
      <w:pPr>
        <w:spacing w:before="100" w:beforeAutospacing="1" w:after="100" w:afterAutospacing="1" w:line="240" w:lineRule="auto"/>
        <w:jc w:val="left"/>
        <w:rPr>
          <w:rFonts w:ascii="Times New Roman" w:eastAsia="Times New Roman" w:hAnsi="Times New Roman" w:cs="Times New Roman"/>
          <w:sz w:val="24"/>
          <w:szCs w:val="24"/>
        </w:rPr>
      </w:pPr>
      <w:commentRangeStart w:id="8"/>
      <w:r w:rsidRPr="00A577EB">
        <w:rPr>
          <w:rFonts w:ascii="Times New Roman" w:eastAsia="Times New Roman" w:hAnsi="Times New Roman" w:cs="Times New Roman"/>
          <w:sz w:val="24"/>
          <w:szCs w:val="24"/>
          <w:rtl/>
        </w:rPr>
        <w:t>أوجبت قوانين حماية البيانات في الدول الثلاث اتخاذ تدابير تنظيمية وتقنية لحماية البيانات والإبلاغ عن الخروقات. ويت</w:t>
      </w:r>
      <w:r>
        <w:rPr>
          <w:rFonts w:ascii="Times New Roman" w:eastAsia="Times New Roman" w:hAnsi="Times New Roman" w:cs="Times New Roman"/>
          <w:sz w:val="24"/>
          <w:szCs w:val="24"/>
          <w:rtl/>
        </w:rPr>
        <w:t xml:space="preserve">رتب على مخالفة هذه الالتزامات </w:t>
      </w:r>
      <w:r>
        <w:rPr>
          <w:rFonts w:ascii="Times New Roman" w:eastAsia="Times New Roman" w:hAnsi="Times New Roman" w:cs="Times New Roman" w:hint="cs"/>
          <w:sz w:val="24"/>
          <w:szCs w:val="24"/>
          <w:rtl/>
        </w:rPr>
        <w:t>جزاء تنظيمي</w:t>
      </w:r>
      <w:r>
        <w:rPr>
          <w:rFonts w:ascii="Times New Roman" w:eastAsia="Times New Roman" w:hAnsi="Times New Roman" w:cs="Times New Roman"/>
          <w:sz w:val="24"/>
          <w:szCs w:val="24"/>
          <w:rtl/>
        </w:rPr>
        <w:t xml:space="preserve"> أو مالي</w:t>
      </w:r>
      <w:r w:rsidRPr="00A577EB">
        <w:rPr>
          <w:rFonts w:ascii="Times New Roman" w:eastAsia="Times New Roman" w:hAnsi="Times New Roman" w:cs="Times New Roman"/>
          <w:sz w:val="24"/>
          <w:szCs w:val="24"/>
          <w:rtl/>
        </w:rPr>
        <w:t>، مع إمكان التعويض المدني، وقد تقوم المسؤولية الجنائية في الحالات التي نص عليها القانون. ويتميز النموذج السنغافوري بقوة الإنفاذ الإداري ونشر قرارات المخالفات، بينما يجمع التنظيم الإماراتي بين المسؤولية التنظيمية والمدنية والجنائية، ويقيم النظام السعودي مسؤولية جهة التحكم عن الإخلال بواجبات حماية البيانات</w:t>
      </w:r>
      <w:r w:rsidRPr="00A577EB">
        <w:rPr>
          <w:rFonts w:ascii="Times New Roman" w:eastAsia="Times New Roman" w:hAnsi="Times New Roman" w:cs="Times New Roman"/>
          <w:sz w:val="24"/>
          <w:szCs w:val="24"/>
        </w:rPr>
        <w:t>.</w:t>
      </w:r>
      <w:commentRangeEnd w:id="8"/>
      <w:r w:rsidR="002C21E1">
        <w:rPr>
          <w:rStyle w:val="ad"/>
          <w:rtl/>
        </w:rPr>
        <w:commentReference w:id="8"/>
      </w:r>
    </w:p>
    <w:p w14:paraId="3F0A9FA4" w14:textId="48F83972" w:rsidR="00A577EB" w:rsidRPr="00A577EB" w:rsidRDefault="00A577EB" w:rsidP="00A577EB">
      <w:pPr>
        <w:spacing w:before="100" w:beforeAutospacing="1" w:after="100" w:afterAutospacing="1" w:line="240" w:lineRule="auto"/>
        <w:jc w:val="left"/>
        <w:outlineLvl w:val="2"/>
        <w:rPr>
          <w:rFonts w:ascii="Times New Roman" w:eastAsia="Times New Roman" w:hAnsi="Times New Roman" w:cs="Times New Roman"/>
          <w:b/>
          <w:bCs/>
          <w:sz w:val="27"/>
          <w:szCs w:val="27"/>
        </w:rPr>
      </w:pPr>
      <w:commentRangeStart w:id="9"/>
      <w:r>
        <w:rPr>
          <w:rFonts w:ascii="Times New Roman" w:eastAsia="Times New Roman" w:hAnsi="Times New Roman" w:cs="Times New Roman" w:hint="cs"/>
          <w:b/>
          <w:bCs/>
          <w:sz w:val="27"/>
          <w:szCs w:val="27"/>
          <w:rtl/>
        </w:rPr>
        <w:t>3-</w:t>
      </w:r>
      <w:r w:rsidRPr="00A577EB">
        <w:rPr>
          <w:rFonts w:ascii="Times New Roman" w:eastAsia="Times New Roman" w:hAnsi="Times New Roman" w:cs="Times New Roman"/>
          <w:b/>
          <w:bCs/>
          <w:sz w:val="27"/>
          <w:szCs w:val="27"/>
          <w:rtl/>
        </w:rPr>
        <w:t xml:space="preserve"> مسؤولية المؤسسات ومقدمي الخدمات الرقمية</w:t>
      </w:r>
    </w:p>
    <w:p w14:paraId="159B20D6" w14:textId="77777777" w:rsidR="00A577EB" w:rsidRPr="00A577EB" w:rsidRDefault="00A577EB" w:rsidP="00A577EB">
      <w:pPr>
        <w:spacing w:before="100" w:beforeAutospacing="1" w:after="100" w:afterAutospacing="1" w:line="240" w:lineRule="auto"/>
        <w:jc w:val="left"/>
        <w:rPr>
          <w:rFonts w:ascii="Times New Roman" w:eastAsia="Times New Roman" w:hAnsi="Times New Roman" w:cs="Times New Roman"/>
          <w:sz w:val="24"/>
          <w:szCs w:val="24"/>
        </w:rPr>
      </w:pPr>
      <w:r w:rsidRPr="00A577EB">
        <w:rPr>
          <w:rFonts w:ascii="Times New Roman" w:eastAsia="Times New Roman" w:hAnsi="Times New Roman" w:cs="Times New Roman"/>
          <w:sz w:val="24"/>
          <w:szCs w:val="24"/>
          <w:rtl/>
        </w:rPr>
        <w:t>أدى تعدد المتدخلين في تشغيل المنظومات الرقمية إلى صعوبة تحديد المسؤولية بين الجهة المالكة للنظام، ومقدم الخدمة السحابية، والمعالج، ومقدم خدمة الثقة. ويتميز التنظيم الإماراتي بتفصيل التزامات مقدمي خدمات الثقة وترخيصهم، كما يعتمد النظام السنغافوري على الاعتماد والتدقيق والرقابة الفنية على جهات التصديق. أما التنظيم السعودي، فعلى الرغم من تنظيمه لمقدمي خدمات التصديق، فإنه يحتاج إلى مزيد من التفصيل بشأن توزيع المسؤولية بين مختلف مقدمي الخدمات الرقمية الحديثة</w:t>
      </w:r>
      <w:r w:rsidRPr="00A577EB">
        <w:rPr>
          <w:rFonts w:ascii="Times New Roman" w:eastAsia="Times New Roman" w:hAnsi="Times New Roman" w:cs="Times New Roman"/>
          <w:sz w:val="24"/>
          <w:szCs w:val="24"/>
        </w:rPr>
        <w:t>.</w:t>
      </w:r>
      <w:commentRangeEnd w:id="9"/>
      <w:r w:rsidR="002C21E1">
        <w:rPr>
          <w:rStyle w:val="ad"/>
          <w:rtl/>
        </w:rPr>
        <w:commentReference w:id="9"/>
      </w:r>
    </w:p>
    <w:p w14:paraId="7B476570" w14:textId="4A7B45FF" w:rsidR="00A577EB" w:rsidRPr="00A577EB" w:rsidRDefault="00A577EB" w:rsidP="00A577EB">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4-</w:t>
      </w:r>
      <w:r w:rsidRPr="00A577EB">
        <w:rPr>
          <w:rFonts w:ascii="Times New Roman" w:eastAsia="Times New Roman" w:hAnsi="Times New Roman" w:cs="Times New Roman"/>
          <w:b/>
          <w:bCs/>
          <w:sz w:val="27"/>
          <w:szCs w:val="27"/>
          <w:rtl/>
        </w:rPr>
        <w:t xml:space="preserve"> المسؤولية عن أنظمة الذكاء الاصطناعي</w:t>
      </w:r>
    </w:p>
    <w:p w14:paraId="7D0B86A0" w14:textId="77777777" w:rsidR="00A577EB" w:rsidRPr="00A577EB" w:rsidRDefault="00A577EB" w:rsidP="00A577EB">
      <w:pPr>
        <w:spacing w:before="100" w:beforeAutospacing="1" w:after="100" w:afterAutospacing="1" w:line="240" w:lineRule="auto"/>
        <w:jc w:val="left"/>
        <w:rPr>
          <w:rFonts w:ascii="Times New Roman" w:eastAsia="Times New Roman" w:hAnsi="Times New Roman" w:cs="Times New Roman"/>
          <w:sz w:val="24"/>
          <w:szCs w:val="24"/>
        </w:rPr>
      </w:pPr>
      <w:r w:rsidRPr="00A577EB">
        <w:rPr>
          <w:rFonts w:ascii="Times New Roman" w:eastAsia="Times New Roman" w:hAnsi="Times New Roman" w:cs="Times New Roman"/>
          <w:sz w:val="24"/>
          <w:szCs w:val="24"/>
          <w:rtl/>
        </w:rPr>
        <w:t>لا تمنح تشريعات الدول الثلاث أنظمة الذكاء الاصطناعي شخصية قانونية مستقلة؛ لذلك تظل المسؤولية موزعة بين المطور والمشغل والمستخدم والجهة التي تعتمد على مخرجات النظام. وفي المجال القضائي، يجب أن تظل المسؤولية النهائية عن القرار بيد القاضي أو الجهة المختصة، مع ضمان الإشراف البشري وإمكان مراجعة الأخطاء الناتجة عن الأنظمة الآلية</w:t>
      </w:r>
      <w:r w:rsidRPr="00A577EB">
        <w:rPr>
          <w:rFonts w:ascii="Times New Roman" w:eastAsia="Times New Roman" w:hAnsi="Times New Roman" w:cs="Times New Roman"/>
          <w:sz w:val="24"/>
          <w:szCs w:val="24"/>
        </w:rPr>
        <w:t>.</w:t>
      </w:r>
    </w:p>
    <w:p w14:paraId="3D829C8E" w14:textId="77777777" w:rsidR="00A66CB4" w:rsidRDefault="00A66CB4" w:rsidP="00A577EB">
      <w:pPr>
        <w:spacing w:before="100" w:beforeAutospacing="1" w:after="100" w:afterAutospacing="1" w:line="360" w:lineRule="auto"/>
        <w:rPr>
          <w:rFonts w:ascii="Times New Roman" w:eastAsia="Times New Roman" w:hAnsi="Times New Roman" w:cs="Times New Roman"/>
          <w:sz w:val="24"/>
          <w:szCs w:val="24"/>
        </w:rPr>
      </w:pPr>
    </w:p>
    <w:p w14:paraId="2CC6FBA9" w14:textId="77777777" w:rsidR="00687D4D" w:rsidRDefault="00A66CB4" w:rsidP="002D0106">
      <w:pPr>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F59B59B" w14:textId="06740B69" w:rsidR="00687D4D" w:rsidRPr="00687D4D" w:rsidRDefault="00687D4D" w:rsidP="002D0106">
      <w:pPr>
        <w:jc w:val="left"/>
        <w:rPr>
          <w:rFonts w:ascii="Times New Roman" w:eastAsia="Times New Roman" w:hAnsi="Times New Roman" w:cs="Times New Roman"/>
          <w:b/>
          <w:bCs/>
          <w:sz w:val="32"/>
          <w:szCs w:val="32"/>
          <w:rtl/>
        </w:rPr>
      </w:pPr>
      <w:r w:rsidRPr="00687D4D">
        <w:rPr>
          <w:b/>
          <w:bCs/>
          <w:sz w:val="32"/>
          <w:szCs w:val="32"/>
          <w:rtl/>
        </w:rPr>
        <w:lastRenderedPageBreak/>
        <w:t>المطلب الثالث: الآثار القضائية المترتبة على تنظيم التحول الرقمي</w:t>
      </w:r>
    </w:p>
    <w:p w14:paraId="61BD24C3" w14:textId="03D8EAA8" w:rsidR="00687D4D" w:rsidRPr="00687D4D" w:rsidRDefault="00687D4D" w:rsidP="00687D4D">
      <w:pPr>
        <w:spacing w:line="360" w:lineRule="auto"/>
        <w:jc w:val="left"/>
        <w:rPr>
          <w:rFonts w:ascii="Times New Roman" w:eastAsia="Times New Roman" w:hAnsi="Times New Roman" w:cs="Times New Roman"/>
          <w:sz w:val="24"/>
          <w:szCs w:val="24"/>
          <w:rtl/>
        </w:rPr>
      </w:pPr>
      <w:r w:rsidRPr="00687D4D">
        <w:rPr>
          <w:rFonts w:hint="cs"/>
          <w:sz w:val="24"/>
          <w:szCs w:val="24"/>
          <w:rtl/>
        </w:rPr>
        <w:t>ل</w:t>
      </w:r>
      <w:r w:rsidRPr="00687D4D">
        <w:rPr>
          <w:sz w:val="24"/>
          <w:szCs w:val="24"/>
          <w:rtl/>
        </w:rPr>
        <w:t xml:space="preserve">م يعد أثر التحول الرقمي في القضاء مقتصرًا على استبدال الإجراءات الورقية بإجراءات إلكترونية، بل امتد إلى إعادة تشكيل الوظيفة القضائية ذاتها من خلال إدخال تطبيقات الذكاء الاصطناعي، </w:t>
      </w:r>
      <w:r w:rsidRPr="00687D4D">
        <w:rPr>
          <w:rFonts w:hint="cs"/>
          <w:sz w:val="24"/>
          <w:szCs w:val="24"/>
          <w:rtl/>
        </w:rPr>
        <w:t>و</w:t>
      </w:r>
      <w:r>
        <w:rPr>
          <w:rFonts w:hint="cs"/>
          <w:sz w:val="24"/>
          <w:szCs w:val="24"/>
          <w:rtl/>
        </w:rPr>
        <w:t xml:space="preserve">إكمال </w:t>
      </w:r>
      <w:r w:rsidRPr="00687D4D">
        <w:rPr>
          <w:sz w:val="24"/>
          <w:szCs w:val="24"/>
          <w:rtl/>
        </w:rPr>
        <w:t>بعض الإجراءات، وتحليل البيانات القضائية، وتطوير وسائل دعم القرار القضائي. وقد أوجد هذا التطور آثارًا قانونية جديدة تتعلق بحدود استخدام الذكاء الاصطناعي في القضاء، ومدى مشروعية الاعتماد على الخوارزميات، والمسؤولية الناشئة عن أخطائها، والضمانات اللازمة للحفاظ على استقلال القضاء والمحاكمة العادلة</w:t>
      </w:r>
      <w:r w:rsidRPr="00687D4D">
        <w:rPr>
          <w:sz w:val="24"/>
          <w:szCs w:val="24"/>
        </w:rPr>
        <w:t>.</w:t>
      </w:r>
    </w:p>
    <w:p w14:paraId="6DF54433" w14:textId="77777777" w:rsidR="0020562A" w:rsidRPr="0020562A" w:rsidRDefault="0020562A" w:rsidP="0020562A">
      <w:pPr>
        <w:spacing w:before="100" w:beforeAutospacing="1" w:after="100" w:afterAutospacing="1" w:line="360" w:lineRule="auto"/>
        <w:jc w:val="left"/>
        <w:outlineLvl w:val="2"/>
        <w:rPr>
          <w:rFonts w:ascii="Times New Roman" w:eastAsia="Times New Roman" w:hAnsi="Times New Roman" w:cs="Times New Roman"/>
          <w:b/>
          <w:bCs/>
          <w:sz w:val="28"/>
          <w:szCs w:val="28"/>
        </w:rPr>
      </w:pPr>
      <w:commentRangeStart w:id="10"/>
      <w:r w:rsidRPr="0020562A">
        <w:rPr>
          <w:rFonts w:ascii="Times New Roman" w:eastAsia="Times New Roman" w:hAnsi="Times New Roman" w:cs="Times New Roman"/>
          <w:b/>
          <w:bCs/>
          <w:sz w:val="28"/>
          <w:szCs w:val="28"/>
          <w:rtl/>
        </w:rPr>
        <w:t>أولًا: استخدام الذكاء الاصطناعي في دعم العمل القضائي</w:t>
      </w:r>
    </w:p>
    <w:p w14:paraId="75464B51" w14:textId="0CB1D0FA" w:rsidR="0020562A" w:rsidRPr="007C5981" w:rsidRDefault="0020562A" w:rsidP="0020562A">
      <w:pPr>
        <w:spacing w:before="100" w:beforeAutospacing="1" w:after="100" w:afterAutospacing="1" w:line="360" w:lineRule="auto"/>
        <w:jc w:val="left"/>
        <w:rPr>
          <w:rFonts w:ascii="Times New Roman" w:eastAsia="Times New Roman" w:hAnsi="Times New Roman" w:cs="Times New Roman"/>
          <w:color w:val="FF0000"/>
          <w:sz w:val="24"/>
          <w:szCs w:val="24"/>
        </w:rPr>
      </w:pPr>
      <w:r w:rsidRPr="0020562A">
        <w:rPr>
          <w:rFonts w:ascii="Times New Roman" w:eastAsia="Times New Roman" w:hAnsi="Times New Roman" w:cs="Times New Roman"/>
          <w:sz w:val="24"/>
          <w:szCs w:val="24"/>
          <w:rtl/>
        </w:rPr>
        <w:t xml:space="preserve">اتجهت المملكة العربية السعودية والإمارات العربية المتحدة وسنغافورة إلى توظيف تطبيقات الذكاء الاصطناعي في إدارة العمل القضائي، إلا أن نطاق الاستخدام يختلف من دولة إلى أخرى. ففي المملكة يتركز الاستخدام في إدارة الدعاوى، وتصنيف الطلبات، وتحليل البيانات، وتقديم الخدمات العدلية الرقمية عبر منصة </w:t>
      </w:r>
      <w:r w:rsidR="008F4BE3" w:rsidRPr="0020562A">
        <w:rPr>
          <w:rFonts w:ascii="Times New Roman" w:eastAsia="Times New Roman" w:hAnsi="Times New Roman" w:cs="Times New Roman" w:hint="cs"/>
          <w:sz w:val="24"/>
          <w:szCs w:val="24"/>
          <w:rtl/>
        </w:rPr>
        <w:t>ناجز</w:t>
      </w:r>
      <w:r w:rsidR="008F4BE3" w:rsidRPr="008F4BE3">
        <w:rPr>
          <w:rFonts w:ascii="Times New Roman" w:eastAsia="Times New Roman" w:hAnsi="Times New Roman" w:cs="Times New Roman" w:hint="cs"/>
          <w:sz w:val="24"/>
          <w:szCs w:val="24"/>
          <w:vertAlign w:val="superscript"/>
          <w:rtl/>
        </w:rPr>
        <w:t xml:space="preserve"> </w:t>
      </w:r>
      <w:r w:rsidR="008F4BE3" w:rsidRPr="008F4BE3">
        <w:rPr>
          <w:rFonts w:ascii="Times New Roman" w:eastAsia="Times New Roman" w:hAnsi="Times New Roman" w:cs="Times New Roman"/>
          <w:sz w:val="24"/>
          <w:szCs w:val="24"/>
          <w:vertAlign w:val="superscript"/>
          <w:rtl/>
        </w:rPr>
        <w:t>(</w:t>
      </w:r>
      <w:r w:rsidR="008F4BE3" w:rsidRPr="008F4BE3">
        <w:rPr>
          <w:rStyle w:val="a8"/>
          <w:rFonts w:ascii="Times New Roman" w:eastAsia="Times New Roman" w:hAnsi="Times New Roman" w:cs="Times New Roman"/>
          <w:vanish/>
          <w:sz w:val="24"/>
          <w:szCs w:val="24"/>
          <w:vertAlign w:val="baseline"/>
          <w:rtl/>
        </w:rPr>
        <w:footnoteReference w:id="45"/>
      </w:r>
      <w:r w:rsidR="008F4BE3" w:rsidRPr="008F4BE3">
        <w:rPr>
          <w:rFonts w:ascii="Times New Roman" w:eastAsia="Times New Roman" w:hAnsi="Times New Roman" w:cs="Times New Roman" w:hint="cs"/>
          <w:sz w:val="24"/>
          <w:szCs w:val="24"/>
          <w:vertAlign w:val="superscript"/>
          <w:rtl/>
        </w:rPr>
        <w:t>1)</w:t>
      </w:r>
      <w:r w:rsidRPr="0020562A">
        <w:rPr>
          <w:rFonts w:ascii="Times New Roman" w:eastAsia="Times New Roman" w:hAnsi="Times New Roman" w:cs="Times New Roman"/>
          <w:sz w:val="24"/>
          <w:szCs w:val="24"/>
          <w:rtl/>
        </w:rPr>
        <w:t xml:space="preserve">، دون أن يمتد إلى إحلال الذكاء الاصطناعي محل القاضي في إصدار الأحكام. وفي الإمارات </w:t>
      </w:r>
      <w:r w:rsidR="008F4BE3" w:rsidRPr="008F4BE3">
        <w:rPr>
          <w:rFonts w:ascii="Times New Roman" w:eastAsia="Times New Roman" w:hAnsi="Times New Roman" w:cs="Times New Roman" w:hint="cs"/>
          <w:sz w:val="24"/>
          <w:szCs w:val="24"/>
          <w:vertAlign w:val="superscript"/>
          <w:rtl/>
        </w:rPr>
        <w:t>(2)</w:t>
      </w:r>
      <w:r w:rsidR="008F4BE3" w:rsidRPr="0020562A">
        <w:rPr>
          <w:rFonts w:ascii="Times New Roman" w:eastAsia="Times New Roman" w:hAnsi="Times New Roman" w:cs="Times New Roman" w:hint="cs"/>
          <w:sz w:val="24"/>
          <w:szCs w:val="24"/>
          <w:rtl/>
        </w:rPr>
        <w:t xml:space="preserve"> استُخدم</w:t>
      </w:r>
      <w:r w:rsidR="008F4BE3" w:rsidRPr="0020562A">
        <w:rPr>
          <w:rFonts w:ascii="Times New Roman" w:eastAsia="Times New Roman" w:hAnsi="Times New Roman" w:cs="Times New Roman" w:hint="eastAsia"/>
          <w:sz w:val="24"/>
          <w:szCs w:val="24"/>
          <w:rtl/>
        </w:rPr>
        <w:t>ت</w:t>
      </w:r>
      <w:r w:rsidRPr="0020562A">
        <w:rPr>
          <w:rFonts w:ascii="Times New Roman" w:eastAsia="Times New Roman" w:hAnsi="Times New Roman" w:cs="Times New Roman"/>
          <w:sz w:val="24"/>
          <w:szCs w:val="24"/>
          <w:rtl/>
        </w:rPr>
        <w:t xml:space="preserve"> تقنيات الذكاء الاصطناعي في الخدمات القضائية الذكية وتحليل البيانات وتحسين كفاءة المحاكم، </w:t>
      </w:r>
      <w:commentRangeStart w:id="11"/>
      <w:r w:rsidRPr="007C5981">
        <w:rPr>
          <w:rFonts w:ascii="Times New Roman" w:eastAsia="Times New Roman" w:hAnsi="Times New Roman" w:cs="Times New Roman"/>
          <w:color w:val="FF0000"/>
          <w:sz w:val="24"/>
          <w:szCs w:val="24"/>
          <w:rtl/>
        </w:rPr>
        <w:t xml:space="preserve">بينما طورت سنغافورة </w:t>
      </w:r>
      <w:r w:rsidR="00E13C3F" w:rsidRPr="007C5981">
        <w:rPr>
          <w:rFonts w:ascii="Times New Roman" w:eastAsia="Times New Roman" w:hAnsi="Times New Roman" w:cs="Times New Roman" w:hint="cs"/>
          <w:color w:val="FF0000"/>
          <w:sz w:val="24"/>
          <w:szCs w:val="24"/>
          <w:vertAlign w:val="superscript"/>
          <w:rtl/>
        </w:rPr>
        <w:t>(3)</w:t>
      </w:r>
      <w:r w:rsidR="00E13C3F" w:rsidRPr="007C5981">
        <w:rPr>
          <w:rFonts w:ascii="Times New Roman" w:eastAsia="Times New Roman" w:hAnsi="Times New Roman" w:cs="Times New Roman" w:hint="cs"/>
          <w:color w:val="FF0000"/>
          <w:sz w:val="24"/>
          <w:szCs w:val="24"/>
          <w:rtl/>
        </w:rPr>
        <w:t xml:space="preserve"> تطبيقا</w:t>
      </w:r>
      <w:r w:rsidR="00E13C3F" w:rsidRPr="007C5981">
        <w:rPr>
          <w:rFonts w:ascii="Times New Roman" w:eastAsia="Times New Roman" w:hAnsi="Times New Roman" w:cs="Times New Roman" w:hint="eastAsia"/>
          <w:color w:val="FF0000"/>
          <w:sz w:val="24"/>
          <w:szCs w:val="24"/>
          <w:rtl/>
        </w:rPr>
        <w:t>ت</w:t>
      </w:r>
      <w:r w:rsidRPr="007C5981">
        <w:rPr>
          <w:rFonts w:ascii="Times New Roman" w:eastAsia="Times New Roman" w:hAnsi="Times New Roman" w:cs="Times New Roman"/>
          <w:color w:val="FF0000"/>
          <w:sz w:val="24"/>
          <w:szCs w:val="24"/>
          <w:rtl/>
        </w:rPr>
        <w:t xml:space="preserve"> أكثر تقدمًا تعتمد على تحليل السوابق القضائية، ودعم القاضي في البحث القانوني، والتنبؤ بالمدد الإجرائية، مع بقاء سلطة الفصل في النزاع للقاضي البشري</w:t>
      </w:r>
      <w:r w:rsidRPr="007C5981">
        <w:rPr>
          <w:rFonts w:ascii="Times New Roman" w:eastAsia="Times New Roman" w:hAnsi="Times New Roman" w:cs="Times New Roman"/>
          <w:color w:val="FF0000"/>
          <w:sz w:val="24"/>
          <w:szCs w:val="24"/>
        </w:rPr>
        <w:t>.</w:t>
      </w:r>
      <w:commentRangeEnd w:id="10"/>
      <w:r w:rsidR="002C21E1" w:rsidRPr="007C5981">
        <w:rPr>
          <w:rStyle w:val="ad"/>
          <w:color w:val="FF0000"/>
          <w:rtl/>
        </w:rPr>
        <w:commentReference w:id="10"/>
      </w:r>
      <w:commentRangeEnd w:id="11"/>
      <w:r w:rsidR="0089592B" w:rsidRPr="007C5981">
        <w:rPr>
          <w:rStyle w:val="ad"/>
          <w:color w:val="FF0000"/>
          <w:rtl/>
        </w:rPr>
        <w:commentReference w:id="11"/>
      </w:r>
    </w:p>
    <w:p w14:paraId="24C4524C" w14:textId="38D4E2F3" w:rsidR="0020562A" w:rsidRPr="0020562A" w:rsidRDefault="00E13C3F" w:rsidP="00E13C3F">
      <w:pPr>
        <w:spacing w:before="100" w:beforeAutospacing="1" w:after="100" w:afterAutospacing="1" w:line="360" w:lineRule="auto"/>
        <w:jc w:val="left"/>
        <w:outlineLvl w:val="2"/>
        <w:rPr>
          <w:rFonts w:ascii="Times New Roman" w:eastAsia="Times New Roman" w:hAnsi="Times New Roman" w:cs="Times New Roman"/>
          <w:b/>
          <w:bCs/>
          <w:sz w:val="28"/>
          <w:szCs w:val="28"/>
        </w:rPr>
      </w:pPr>
      <w:commentRangeStart w:id="12"/>
      <w:r>
        <w:rPr>
          <w:rFonts w:ascii="Times New Roman" w:eastAsia="Times New Roman" w:hAnsi="Times New Roman" w:cs="Times New Roman"/>
          <w:b/>
          <w:bCs/>
          <w:sz w:val="28"/>
          <w:szCs w:val="28"/>
          <w:rtl/>
        </w:rPr>
        <w:t xml:space="preserve">ثانيًا: حدود </w:t>
      </w:r>
      <w:r>
        <w:rPr>
          <w:rFonts w:ascii="Times New Roman" w:eastAsia="Times New Roman" w:hAnsi="Times New Roman" w:cs="Times New Roman" w:hint="cs"/>
          <w:b/>
          <w:bCs/>
          <w:sz w:val="28"/>
          <w:szCs w:val="28"/>
          <w:rtl/>
        </w:rPr>
        <w:t>رقمنه الإجراءات</w:t>
      </w:r>
      <w:r w:rsidR="0020562A" w:rsidRPr="0020562A">
        <w:rPr>
          <w:rFonts w:ascii="Times New Roman" w:eastAsia="Times New Roman" w:hAnsi="Times New Roman" w:cs="Times New Roman"/>
          <w:b/>
          <w:bCs/>
          <w:sz w:val="28"/>
          <w:szCs w:val="28"/>
          <w:rtl/>
        </w:rPr>
        <w:t xml:space="preserve"> القضائية وخوارزميات التنبؤ بالأحكام</w:t>
      </w:r>
    </w:p>
    <w:p w14:paraId="1A95E86E" w14:textId="77777777" w:rsidR="0020562A" w:rsidRPr="0020562A" w:rsidRDefault="0020562A" w:rsidP="0020562A">
      <w:pPr>
        <w:spacing w:before="100" w:beforeAutospacing="1" w:after="100" w:afterAutospacing="1" w:line="360" w:lineRule="auto"/>
        <w:jc w:val="left"/>
        <w:rPr>
          <w:rFonts w:ascii="Times New Roman" w:eastAsia="Times New Roman" w:hAnsi="Times New Roman" w:cs="Times New Roman"/>
          <w:sz w:val="24"/>
          <w:szCs w:val="24"/>
        </w:rPr>
      </w:pPr>
      <w:r w:rsidRPr="0020562A">
        <w:rPr>
          <w:rFonts w:ascii="Times New Roman" w:eastAsia="Times New Roman" w:hAnsi="Times New Roman" w:cs="Times New Roman"/>
          <w:sz w:val="24"/>
          <w:szCs w:val="24"/>
          <w:rtl/>
        </w:rPr>
        <w:t>أدى تنظيم التحول الرقمي إلى إتاحة استخدام الخوارزميات في تصنيف القضايا، وتوزيعها، وإدارة الجلسات، وتحليل السوابق القضائية، بل وفي بعض الدول لتقدير احتمالات نتائج النزاع. إلا أن المقارنة تبين أن الدول الثلاث لم تمنح هذه الخوارزميات سلطة إصدار الأحكام أو الحلول محل القاضي، وإنما اعتبرتها أدوات مساعدة في اتخاذ القرار. ويعد هذا الاتجاه أكثر اتساقًا مع مبادئ استقلال القضاء وضمان حق التقاضي، إذ يبقى القاضي مسؤولًا عن تقدير الوقائع وتطبيق القانون وتسبيب الحكم، ولا يجوز أن يستند الحكم إلى نتيجة آلية غير قابلة للمراجعة أو التفسير</w:t>
      </w:r>
      <w:r w:rsidRPr="0020562A">
        <w:rPr>
          <w:rFonts w:ascii="Times New Roman" w:eastAsia="Times New Roman" w:hAnsi="Times New Roman" w:cs="Times New Roman"/>
          <w:sz w:val="24"/>
          <w:szCs w:val="24"/>
        </w:rPr>
        <w:t>.</w:t>
      </w:r>
      <w:commentRangeEnd w:id="12"/>
      <w:r w:rsidR="002C21E1">
        <w:rPr>
          <w:rStyle w:val="ad"/>
          <w:rtl/>
        </w:rPr>
        <w:commentReference w:id="12"/>
      </w:r>
    </w:p>
    <w:p w14:paraId="04028DFE" w14:textId="77777777" w:rsidR="0020562A" w:rsidRPr="0020562A" w:rsidRDefault="0020562A" w:rsidP="0020562A">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20562A">
        <w:rPr>
          <w:rFonts w:ascii="Times New Roman" w:eastAsia="Times New Roman" w:hAnsi="Times New Roman" w:cs="Times New Roman"/>
          <w:b/>
          <w:bCs/>
          <w:sz w:val="28"/>
          <w:szCs w:val="28"/>
          <w:rtl/>
        </w:rPr>
        <w:t xml:space="preserve">ثالثًا: </w:t>
      </w:r>
      <w:commentRangeStart w:id="13"/>
      <w:r w:rsidRPr="0020562A">
        <w:rPr>
          <w:rFonts w:ascii="Times New Roman" w:eastAsia="Times New Roman" w:hAnsi="Times New Roman" w:cs="Times New Roman"/>
          <w:b/>
          <w:bCs/>
          <w:sz w:val="28"/>
          <w:szCs w:val="28"/>
          <w:rtl/>
        </w:rPr>
        <w:t>المسؤولية القانونية عن أخطاء أنظمة الذكاء الاصطناعي</w:t>
      </w:r>
    </w:p>
    <w:p w14:paraId="710E0E6E" w14:textId="77777777" w:rsidR="0020562A" w:rsidRPr="0020562A" w:rsidRDefault="0020562A" w:rsidP="0020562A">
      <w:pPr>
        <w:spacing w:before="100" w:beforeAutospacing="1" w:after="100" w:afterAutospacing="1" w:line="360" w:lineRule="auto"/>
        <w:jc w:val="left"/>
        <w:rPr>
          <w:rFonts w:ascii="Times New Roman" w:eastAsia="Times New Roman" w:hAnsi="Times New Roman" w:cs="Times New Roman"/>
          <w:sz w:val="24"/>
          <w:szCs w:val="24"/>
        </w:rPr>
      </w:pPr>
      <w:commentRangeStart w:id="14"/>
      <w:r w:rsidRPr="0020562A">
        <w:rPr>
          <w:rFonts w:ascii="Times New Roman" w:eastAsia="Times New Roman" w:hAnsi="Times New Roman" w:cs="Times New Roman"/>
          <w:sz w:val="24"/>
          <w:szCs w:val="24"/>
          <w:rtl/>
        </w:rPr>
        <w:t xml:space="preserve">يثير استخدام الذكاء الاصطناعي في القضاء تساؤلات بشأن المسؤولية عند وقوع ضرر بسبب خطأ في النظام أو في البيانات التي اعتمد عليها. وتكشف الدراسة المقارنة أن التشريعات في المملكة والإمارات وسنغافورة لا تعترف للذكاء </w:t>
      </w:r>
      <w:commentRangeEnd w:id="13"/>
      <w:r w:rsidR="002C21E1">
        <w:rPr>
          <w:rStyle w:val="ad"/>
          <w:rtl/>
        </w:rPr>
        <w:lastRenderedPageBreak/>
        <w:commentReference w:id="13"/>
      </w:r>
      <w:r w:rsidRPr="0020562A">
        <w:rPr>
          <w:rFonts w:ascii="Times New Roman" w:eastAsia="Times New Roman" w:hAnsi="Times New Roman" w:cs="Times New Roman"/>
          <w:sz w:val="24"/>
          <w:szCs w:val="24"/>
          <w:rtl/>
        </w:rPr>
        <w:t xml:space="preserve">الاصطناعي بشخصية قانونية مستقلة، ومن ثم لا يمكن مساءلته بذاته، وإنما تنتقل المسؤولية إلى الأشخاص أو الجهات التي قامت بتطوير النظام أو تشغيله أو اعتمدت على مخرجاته. ويختلف نطاق هذه المسؤولية بحسب طبيعة الخطأ، فقد تكون مسؤولية مدنية إذا ترتب ضرر للمتقاضين، أو مسؤولية تنظيمية عند مخالفة متطلبات الحوكمة أو حماية البيانات، أو مسؤولية جنائية إذا انطوى السلوك على جريمة معلوماتية أو تزوير أو استخدام غير </w:t>
      </w:r>
      <w:commentRangeEnd w:id="14"/>
      <w:r w:rsidR="0089592B">
        <w:rPr>
          <w:rStyle w:val="ad"/>
          <w:rtl/>
        </w:rPr>
        <w:commentReference w:id="14"/>
      </w:r>
      <w:r w:rsidRPr="0020562A">
        <w:rPr>
          <w:rFonts w:ascii="Times New Roman" w:eastAsia="Times New Roman" w:hAnsi="Times New Roman" w:cs="Times New Roman"/>
          <w:sz w:val="24"/>
          <w:szCs w:val="24"/>
          <w:rtl/>
        </w:rPr>
        <w:t>مشروع للبيانات</w:t>
      </w:r>
      <w:r w:rsidRPr="0020562A">
        <w:rPr>
          <w:rFonts w:ascii="Times New Roman" w:eastAsia="Times New Roman" w:hAnsi="Times New Roman" w:cs="Times New Roman"/>
          <w:sz w:val="24"/>
          <w:szCs w:val="24"/>
        </w:rPr>
        <w:t>.</w:t>
      </w:r>
    </w:p>
    <w:p w14:paraId="434C84E7" w14:textId="21352C49" w:rsidR="0020562A" w:rsidRPr="0020562A" w:rsidRDefault="0020562A" w:rsidP="0020562A">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20562A">
        <w:rPr>
          <w:rFonts w:ascii="Times New Roman" w:eastAsia="Times New Roman" w:hAnsi="Times New Roman" w:cs="Times New Roman"/>
          <w:b/>
          <w:bCs/>
          <w:sz w:val="28"/>
          <w:szCs w:val="28"/>
          <w:rtl/>
        </w:rPr>
        <w:t xml:space="preserve">رابعًا: </w:t>
      </w:r>
      <w:commentRangeStart w:id="15"/>
      <w:r w:rsidRPr="0020562A">
        <w:rPr>
          <w:rFonts w:ascii="Times New Roman" w:eastAsia="Times New Roman" w:hAnsi="Times New Roman" w:cs="Times New Roman"/>
          <w:b/>
          <w:bCs/>
          <w:sz w:val="28"/>
          <w:szCs w:val="28"/>
          <w:rtl/>
        </w:rPr>
        <w:t>الضمانات القضائية</w:t>
      </w:r>
      <w:r w:rsidR="009D2F8D" w:rsidRPr="009D2F8D">
        <w:rPr>
          <w:rFonts w:ascii="Times New Roman" w:eastAsia="Times New Roman" w:hAnsi="Times New Roman" w:cs="Times New Roman" w:hint="cs"/>
          <w:b/>
          <w:bCs/>
          <w:sz w:val="28"/>
          <w:szCs w:val="28"/>
          <w:vertAlign w:val="superscript"/>
          <w:rtl/>
        </w:rPr>
        <w:t>(1)</w:t>
      </w:r>
      <w:r w:rsidR="009D2F8D" w:rsidRPr="009D2F8D">
        <w:rPr>
          <w:rStyle w:val="a8"/>
          <w:rFonts w:ascii="Times New Roman" w:eastAsia="Times New Roman" w:hAnsi="Times New Roman" w:cs="Times New Roman"/>
          <w:b/>
          <w:bCs/>
          <w:vanish/>
          <w:sz w:val="28"/>
          <w:szCs w:val="28"/>
          <w:vertAlign w:val="baseline"/>
          <w:rtl/>
        </w:rPr>
        <w:footnoteReference w:id="46"/>
      </w:r>
      <w:r w:rsidRPr="0020562A">
        <w:rPr>
          <w:rFonts w:ascii="Times New Roman" w:eastAsia="Times New Roman" w:hAnsi="Times New Roman" w:cs="Times New Roman"/>
          <w:b/>
          <w:bCs/>
          <w:sz w:val="28"/>
          <w:szCs w:val="28"/>
          <w:rtl/>
        </w:rPr>
        <w:t xml:space="preserve"> في مواجهة استخدام الذكاء الاصطناعي</w:t>
      </w:r>
      <w:commentRangeEnd w:id="15"/>
      <w:r w:rsidR="007C5981">
        <w:rPr>
          <w:rStyle w:val="ad"/>
          <w:rtl/>
        </w:rPr>
        <w:commentReference w:id="15"/>
      </w:r>
    </w:p>
    <w:p w14:paraId="69935DF8" w14:textId="77777777" w:rsidR="0020562A" w:rsidRPr="0020562A" w:rsidRDefault="0020562A" w:rsidP="0020562A">
      <w:pPr>
        <w:spacing w:before="100" w:beforeAutospacing="1" w:after="100" w:afterAutospacing="1" w:line="360" w:lineRule="auto"/>
        <w:jc w:val="left"/>
        <w:rPr>
          <w:rFonts w:ascii="Times New Roman" w:eastAsia="Times New Roman" w:hAnsi="Times New Roman" w:cs="Times New Roman"/>
          <w:sz w:val="24"/>
          <w:szCs w:val="24"/>
        </w:rPr>
      </w:pPr>
      <w:commentRangeStart w:id="16"/>
      <w:r w:rsidRPr="0020562A">
        <w:rPr>
          <w:rFonts w:ascii="Times New Roman" w:eastAsia="Times New Roman" w:hAnsi="Times New Roman" w:cs="Times New Roman"/>
          <w:sz w:val="24"/>
          <w:szCs w:val="24"/>
          <w:rtl/>
        </w:rPr>
        <w:t xml:space="preserve">اتفقت التجارب المقارنة على أن نجاح التحول الرقمي لا يتحقق بمجرد استخدام التقنيات الحديثة، وإنما يتطلب ضمانات قانونية تحافظ على استقلال القضاء وحقوق المتقاضين. </w:t>
      </w:r>
      <w:commentRangeStart w:id="17"/>
      <w:r w:rsidRPr="0020562A">
        <w:rPr>
          <w:rFonts w:ascii="Times New Roman" w:eastAsia="Times New Roman" w:hAnsi="Times New Roman" w:cs="Times New Roman"/>
          <w:sz w:val="24"/>
          <w:szCs w:val="24"/>
          <w:rtl/>
        </w:rPr>
        <w:t>ومن أهم هذه الضمانات ضرورة بقاء القرار القضائي النهائي بيد القاضي، وإمكانية مراجعة مخرجات الأنظمة الذكية، وشفافية الخوارزميات المستخدمة، وإمكانية تفسير النتائج، وعدم التمييز بين المتقاضين، وحماية البيانات القضائية من إساءة الاستخدام. وتبرز التجربة السنغافورية في تبني مبادئ الحوكمة الرقمية والرقابة المؤسسية على استخدام الذكاء الاصطناعي، بينما اتجهت المملكة والإمارات إلى التوسع في الخدمات القضائية الرقمية مع التأكيد على أن التقنية تمثل وسيلة لدعم العدالة، لا بديلًا عن السلطة القضائية</w:t>
      </w:r>
      <w:r w:rsidRPr="0020562A">
        <w:rPr>
          <w:rFonts w:ascii="Times New Roman" w:eastAsia="Times New Roman" w:hAnsi="Times New Roman" w:cs="Times New Roman"/>
          <w:sz w:val="24"/>
          <w:szCs w:val="24"/>
        </w:rPr>
        <w:t>.</w:t>
      </w:r>
    </w:p>
    <w:p w14:paraId="14005F62" w14:textId="727F2F4B" w:rsidR="00A66CB4" w:rsidRPr="0020562A" w:rsidRDefault="0020562A" w:rsidP="0020562A">
      <w:pPr>
        <w:spacing w:line="360" w:lineRule="auto"/>
        <w:jc w:val="left"/>
        <w:rPr>
          <w:rFonts w:ascii="Times New Roman" w:eastAsia="Times New Roman" w:hAnsi="Times New Roman" w:cs="Times New Roman"/>
          <w:sz w:val="24"/>
          <w:szCs w:val="24"/>
        </w:rPr>
      </w:pPr>
      <w:r w:rsidRPr="0020562A">
        <w:rPr>
          <w:rFonts w:hint="cs"/>
          <w:sz w:val="24"/>
          <w:szCs w:val="24"/>
          <w:rtl/>
        </w:rPr>
        <w:t>يتضح أ</w:t>
      </w:r>
      <w:r w:rsidRPr="0020562A">
        <w:rPr>
          <w:sz w:val="24"/>
          <w:szCs w:val="24"/>
          <w:rtl/>
        </w:rPr>
        <w:t xml:space="preserve">ن الدول الثلاث تتفق على رفض فكرة «القاضي الآلي» الذي يصدر الأحكام بصورة مستقلة، مع السماح باستخدام الذكاء الاصطناعي بوصفه أداة مساعدة في إدارة الدعوى وتحليل البيانات والبحث القانوني. ويظهر الاختلاف في مدى التوسع في التطبيقات القضائية؛ إذ تركز المملكة على </w:t>
      </w:r>
      <w:proofErr w:type="spellStart"/>
      <w:r w:rsidRPr="0020562A">
        <w:rPr>
          <w:sz w:val="24"/>
          <w:szCs w:val="24"/>
          <w:rtl/>
        </w:rPr>
        <w:t>رقمنة</w:t>
      </w:r>
      <w:proofErr w:type="spellEnd"/>
      <w:r w:rsidRPr="0020562A">
        <w:rPr>
          <w:sz w:val="24"/>
          <w:szCs w:val="24"/>
          <w:rtl/>
        </w:rPr>
        <w:t xml:space="preserve"> الإجراءات والخدمات العدلية، والإمارات على المحاكم الذكية وتكامل الخدمات الرقمية، بينما تتقدم سنغافورة في توظيف التحليلات الذكية والخوارزميات الداعمة للعمل القضائي ضمن إطار حوكمة ورقابة مؤسسية. وترى الباحثة أن الاستفادة من الذكاء الاصطناعي في القضاء يجب أن تظل مقيدة بضمانات المحاكمة العادلة، وألا تؤدي إلى إضعاف استقلال القاضي أو المساس بحقوق المتقاضين، مع ضرورة تطوير قواعد قانونية خاصة تحدد المسؤولية عن الأنظمة الذكية المستخدمة في مرفق القضاء</w:t>
      </w:r>
      <w:r>
        <w:t>.</w:t>
      </w:r>
      <w:commentRangeEnd w:id="17"/>
      <w:r w:rsidR="00D64389">
        <w:rPr>
          <w:rStyle w:val="ad"/>
          <w:rtl/>
        </w:rPr>
        <w:commentReference w:id="17"/>
      </w:r>
      <w:commentRangeEnd w:id="16"/>
      <w:r w:rsidR="00D64389">
        <w:rPr>
          <w:rStyle w:val="ad"/>
          <w:rtl/>
        </w:rPr>
        <w:commentReference w:id="16"/>
      </w:r>
    </w:p>
    <w:p w14:paraId="0165E68A" w14:textId="77777777" w:rsidR="0020562A" w:rsidRDefault="0020562A" w:rsidP="0020562A">
      <w:pPr>
        <w:spacing w:line="360" w:lineRule="auto"/>
        <w:jc w:val="left"/>
        <w:rPr>
          <w:b/>
          <w:bCs/>
          <w:sz w:val="24"/>
          <w:szCs w:val="24"/>
          <w:rtl/>
        </w:rPr>
      </w:pPr>
    </w:p>
    <w:p w14:paraId="1824A0B1" w14:textId="77777777" w:rsidR="0020562A" w:rsidRDefault="0020562A" w:rsidP="0020562A">
      <w:pPr>
        <w:spacing w:line="360" w:lineRule="auto"/>
        <w:jc w:val="left"/>
        <w:rPr>
          <w:b/>
          <w:bCs/>
          <w:sz w:val="24"/>
          <w:szCs w:val="24"/>
          <w:rtl/>
        </w:rPr>
      </w:pPr>
    </w:p>
    <w:p w14:paraId="1207DF33" w14:textId="77777777" w:rsidR="0020562A" w:rsidRDefault="0020562A" w:rsidP="0020562A">
      <w:pPr>
        <w:spacing w:line="360" w:lineRule="auto"/>
        <w:jc w:val="left"/>
        <w:rPr>
          <w:b/>
          <w:bCs/>
          <w:sz w:val="24"/>
          <w:szCs w:val="24"/>
          <w:rtl/>
        </w:rPr>
      </w:pPr>
    </w:p>
    <w:p w14:paraId="63A6C488" w14:textId="77777777" w:rsidR="0020562A" w:rsidRDefault="0020562A" w:rsidP="0020562A">
      <w:pPr>
        <w:spacing w:line="360" w:lineRule="auto"/>
        <w:jc w:val="left"/>
        <w:rPr>
          <w:b/>
          <w:bCs/>
          <w:sz w:val="24"/>
          <w:szCs w:val="24"/>
          <w:rtl/>
        </w:rPr>
      </w:pPr>
    </w:p>
    <w:p w14:paraId="4265054C" w14:textId="7B7B712F" w:rsidR="0020562A" w:rsidRDefault="0020562A" w:rsidP="0020562A">
      <w:pPr>
        <w:spacing w:line="360" w:lineRule="auto"/>
        <w:jc w:val="left"/>
        <w:rPr>
          <w:b/>
          <w:bCs/>
          <w:sz w:val="24"/>
          <w:szCs w:val="24"/>
          <w:rtl/>
        </w:rPr>
      </w:pPr>
    </w:p>
    <w:p w14:paraId="49B2197A" w14:textId="77777777" w:rsidR="009D2F8D" w:rsidRDefault="009D2F8D" w:rsidP="0020562A">
      <w:pPr>
        <w:spacing w:line="360" w:lineRule="auto"/>
        <w:jc w:val="left"/>
        <w:rPr>
          <w:b/>
          <w:bCs/>
          <w:sz w:val="24"/>
          <w:szCs w:val="24"/>
          <w:rtl/>
        </w:rPr>
      </w:pPr>
    </w:p>
    <w:p w14:paraId="5289F195" w14:textId="6EFDDBB1" w:rsidR="00D3434E" w:rsidRDefault="00D3434E" w:rsidP="009B6E91">
      <w:pPr>
        <w:bidi w:val="0"/>
        <w:spacing w:before="100" w:beforeAutospacing="1" w:after="100" w:afterAutospacing="1" w:line="240" w:lineRule="auto"/>
        <w:jc w:val="both"/>
        <w:outlineLvl w:val="0"/>
        <w:rPr>
          <w:rFonts w:ascii="Times New Roman" w:eastAsia="Times New Roman" w:hAnsi="Times New Roman" w:cs="Times New Roman"/>
          <w:b/>
          <w:bCs/>
          <w:kern w:val="36"/>
          <w:sz w:val="36"/>
          <w:szCs w:val="36"/>
          <w:rtl/>
        </w:rPr>
      </w:pPr>
    </w:p>
    <w:p w14:paraId="5C51FCBE" w14:textId="6F6360EA" w:rsidR="0037781B" w:rsidRPr="0037781B" w:rsidRDefault="0073634D" w:rsidP="00D3434E">
      <w:pPr>
        <w:bidi w:val="0"/>
        <w:spacing w:before="100" w:beforeAutospacing="1" w:after="100" w:afterAutospacing="1" w:line="240" w:lineRule="auto"/>
        <w:outlineLvl w:val="0"/>
        <w:rPr>
          <w:rFonts w:ascii="Times New Roman" w:eastAsia="Times New Roman" w:hAnsi="Times New Roman" w:cs="Times New Roman"/>
          <w:b/>
          <w:bCs/>
          <w:kern w:val="36"/>
          <w:sz w:val="36"/>
          <w:szCs w:val="36"/>
        </w:rPr>
      </w:pPr>
      <w:r>
        <w:rPr>
          <w:rFonts w:ascii="Times New Roman" w:eastAsia="Times New Roman" w:hAnsi="Times New Roman" w:cs="Times New Roman" w:hint="cs"/>
          <w:b/>
          <w:bCs/>
          <w:kern w:val="36"/>
          <w:sz w:val="36"/>
          <w:szCs w:val="36"/>
          <w:rtl/>
        </w:rPr>
        <w:lastRenderedPageBreak/>
        <w:t>المبحث</w:t>
      </w:r>
      <w:r w:rsidR="0037781B" w:rsidRPr="0037781B">
        <w:rPr>
          <w:rFonts w:ascii="Times New Roman" w:eastAsia="Times New Roman" w:hAnsi="Times New Roman" w:cs="Times New Roman"/>
          <w:b/>
          <w:bCs/>
          <w:kern w:val="36"/>
          <w:sz w:val="36"/>
          <w:szCs w:val="36"/>
          <w:rtl/>
        </w:rPr>
        <w:t xml:space="preserve"> </w:t>
      </w:r>
      <w:r w:rsidR="00161D51">
        <w:rPr>
          <w:rFonts w:ascii="Times New Roman" w:eastAsia="Times New Roman" w:hAnsi="Times New Roman" w:cs="Times New Roman" w:hint="cs"/>
          <w:b/>
          <w:bCs/>
          <w:kern w:val="36"/>
          <w:sz w:val="36"/>
          <w:szCs w:val="36"/>
          <w:rtl/>
        </w:rPr>
        <w:t>الثاني</w:t>
      </w:r>
      <w:r w:rsidR="0037781B" w:rsidRPr="0037781B">
        <w:rPr>
          <w:rFonts w:ascii="Times New Roman" w:eastAsia="Times New Roman" w:hAnsi="Times New Roman" w:cs="Times New Roman"/>
          <w:b/>
          <w:bCs/>
          <w:kern w:val="36"/>
          <w:sz w:val="36"/>
          <w:szCs w:val="36"/>
          <w:rtl/>
        </w:rPr>
        <w:t xml:space="preserve">: </w:t>
      </w:r>
      <w:r w:rsidR="005B112F" w:rsidRPr="005B112F">
        <w:rPr>
          <w:b/>
          <w:bCs/>
          <w:sz w:val="36"/>
          <w:szCs w:val="36"/>
          <w:rtl/>
        </w:rPr>
        <w:t>الآثار المؤسسية والاقتصادية للتحول الرقمي</w:t>
      </w:r>
    </w:p>
    <w:p w14:paraId="1D14A2A6" w14:textId="77777777"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يمثل التحول الرقمي أحد أهم التحولات الإدارية والمؤسسية في العصر الحديث، إذ لم يعد مجرد استخدام للتقنيات الحديثة داخل المؤسسات، بل أصبح نهجًا استراتيجيًا يهدف إلى إعادة بناء العمليات والإجراءات وآليات العمل بما يتوافق مع متطلبات البيئة الرقمية. ويؤدي تنظيم التحول الرقمي دورًا محوريًا في ضمان نجاح هذه العملية من خلال وضع الأطر القانونية والتنظيمية والإدارية التي تحكم استخدام التكنولوجيا وتكفل تحقيق أهدافها بكفاءة وفعالية</w:t>
      </w:r>
      <w:r w:rsidRPr="0037781B">
        <w:rPr>
          <w:rFonts w:ascii="Times New Roman" w:eastAsia="Times New Roman" w:hAnsi="Times New Roman" w:cs="Times New Roman"/>
          <w:sz w:val="24"/>
          <w:szCs w:val="24"/>
        </w:rPr>
        <w:t>.</w:t>
      </w:r>
    </w:p>
    <w:p w14:paraId="3BB08336" w14:textId="210C0225" w:rsid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7781B">
        <w:rPr>
          <w:rFonts w:ascii="Times New Roman" w:eastAsia="Times New Roman" w:hAnsi="Times New Roman" w:cs="Times New Roman"/>
          <w:sz w:val="24"/>
          <w:szCs w:val="24"/>
          <w:rtl/>
        </w:rPr>
        <w:t>وقد ترتبت على تنظيم التحول الرقمي مجموعة من الآثار الإدارية والمؤسسية المهمة التي أسهمت في تطوير أداء المؤسسات الحكومية والقضائية والخاصة، ورفعت من مستوى الكفاءة التشغيلية، وعززت الحوكمة المؤسسية، وحسّنت جودة الخدمات المقدمة للمستفيدين</w:t>
      </w:r>
      <w:r w:rsidRPr="0037781B">
        <w:rPr>
          <w:rFonts w:ascii="Times New Roman" w:eastAsia="Times New Roman" w:hAnsi="Times New Roman" w:cs="Times New Roman"/>
          <w:sz w:val="24"/>
          <w:szCs w:val="24"/>
        </w:rPr>
        <w:t>.</w:t>
      </w:r>
    </w:p>
    <w:p w14:paraId="0BE53D6E" w14:textId="0EBA02B3" w:rsidR="0037781B" w:rsidRDefault="00706687"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Pr>
          <w:rFonts w:ascii="Times New Roman" w:eastAsia="Times New Roman" w:hAnsi="Times New Roman" w:cs="Times New Roman" w:hint="cs"/>
          <w:b/>
          <w:bCs/>
          <w:sz w:val="32"/>
          <w:szCs w:val="32"/>
          <w:rtl/>
        </w:rPr>
        <w:t xml:space="preserve">المطلب </w:t>
      </w:r>
      <w:r w:rsidR="00E85B85">
        <w:rPr>
          <w:rFonts w:ascii="Times New Roman" w:eastAsia="Times New Roman" w:hAnsi="Times New Roman" w:cs="Times New Roman" w:hint="cs"/>
          <w:b/>
          <w:bCs/>
          <w:sz w:val="32"/>
          <w:szCs w:val="32"/>
          <w:rtl/>
        </w:rPr>
        <w:t>الأول:</w:t>
      </w:r>
      <w:r>
        <w:rPr>
          <w:rFonts w:ascii="Times New Roman" w:eastAsia="Times New Roman" w:hAnsi="Times New Roman" w:cs="Times New Roman" w:hint="cs"/>
          <w:b/>
          <w:bCs/>
          <w:sz w:val="32"/>
          <w:szCs w:val="32"/>
          <w:rtl/>
        </w:rPr>
        <w:t xml:space="preserve"> الآثار </w:t>
      </w:r>
      <w:r w:rsidR="00186A24">
        <w:rPr>
          <w:rFonts w:ascii="Times New Roman" w:eastAsia="Times New Roman" w:hAnsi="Times New Roman" w:cs="Times New Roman" w:hint="cs"/>
          <w:b/>
          <w:bCs/>
          <w:sz w:val="32"/>
          <w:szCs w:val="32"/>
          <w:rtl/>
        </w:rPr>
        <w:t>الإدارية</w:t>
      </w:r>
      <w:r w:rsidR="00E242F3">
        <w:rPr>
          <w:rFonts w:ascii="Times New Roman" w:eastAsia="Times New Roman" w:hAnsi="Times New Roman" w:cs="Times New Roman" w:hint="cs"/>
          <w:b/>
          <w:bCs/>
          <w:sz w:val="32"/>
          <w:szCs w:val="32"/>
          <w:rtl/>
        </w:rPr>
        <w:t xml:space="preserve"> </w:t>
      </w:r>
      <w:r w:rsidR="00101EFA">
        <w:rPr>
          <w:rFonts w:ascii="Times New Roman" w:eastAsia="Times New Roman" w:hAnsi="Times New Roman" w:cs="Times New Roman" w:hint="cs"/>
          <w:b/>
          <w:bCs/>
          <w:sz w:val="32"/>
          <w:szCs w:val="32"/>
          <w:rtl/>
        </w:rPr>
        <w:t>والمؤسسية.</w:t>
      </w:r>
    </w:p>
    <w:p w14:paraId="70839966" w14:textId="77777777" w:rsidR="00D27886" w:rsidRPr="00D27886" w:rsidRDefault="00D27886" w:rsidP="00D27886">
      <w:pPr>
        <w:spacing w:before="100" w:beforeAutospacing="1" w:after="100" w:afterAutospacing="1" w:line="360" w:lineRule="auto"/>
        <w:jc w:val="left"/>
        <w:rPr>
          <w:rFonts w:ascii="Times New Roman" w:eastAsia="Times New Roman" w:hAnsi="Times New Roman" w:cs="Times New Roman"/>
          <w:sz w:val="24"/>
          <w:szCs w:val="24"/>
        </w:rPr>
      </w:pPr>
      <w:r w:rsidRPr="00D27886">
        <w:rPr>
          <w:rFonts w:ascii="Times New Roman" w:eastAsia="Times New Roman" w:hAnsi="Times New Roman" w:cs="Times New Roman"/>
          <w:sz w:val="24"/>
          <w:szCs w:val="24"/>
          <w:rtl/>
        </w:rPr>
        <w:t>لم يقتصر أثر تنظيم التحول الرقمي في إجراءات التقاضي على الاعتراف القانوني بالوسائل الإلكترونية، بل امتد إلى إحداث تغيرات جوهرية في البناء الإداري والمؤسسي للسلطات القضائية. فقد أدى التنظيم التشريعي إلى إعادة تنظيم آليات إدارة المحاكم، وتعزيز التكامل بين الجهات القضائية والجهات الحكومية، وإرساء قواعد الحوكمة الرقمية، بما انعكس على رفع كفاءة الأداء الإداري وتحسين جودة الخدمات العدلية</w:t>
      </w:r>
      <w:r w:rsidRPr="00D27886">
        <w:rPr>
          <w:rFonts w:ascii="Times New Roman" w:eastAsia="Times New Roman" w:hAnsi="Times New Roman" w:cs="Times New Roman"/>
          <w:sz w:val="24"/>
          <w:szCs w:val="24"/>
        </w:rPr>
        <w:t>.</w:t>
      </w:r>
    </w:p>
    <w:p w14:paraId="03A0BF8B" w14:textId="0F07F620" w:rsidR="00D27886" w:rsidRPr="00D27886" w:rsidRDefault="00D27886" w:rsidP="005A5C0D">
      <w:pPr>
        <w:spacing w:before="100" w:beforeAutospacing="1" w:after="100" w:afterAutospacing="1" w:line="360" w:lineRule="auto"/>
        <w:jc w:val="left"/>
        <w:rPr>
          <w:rFonts w:ascii="Times New Roman" w:eastAsia="Times New Roman" w:hAnsi="Times New Roman" w:cs="Times New Roman"/>
          <w:sz w:val="24"/>
          <w:szCs w:val="24"/>
          <w:rtl/>
        </w:rPr>
      </w:pPr>
      <w:r w:rsidRPr="00D27886">
        <w:rPr>
          <w:rFonts w:ascii="Times New Roman" w:eastAsia="Times New Roman" w:hAnsi="Times New Roman" w:cs="Times New Roman"/>
          <w:sz w:val="24"/>
          <w:szCs w:val="24"/>
          <w:rtl/>
        </w:rPr>
        <w:t xml:space="preserve">وتكشف الدراسة المقارنة أن المملكة العربية السعودية، والإمارات العربية المتحدة، وسنغافورة اتجهت جميعها إلى إعادة </w:t>
      </w:r>
      <w:commentRangeStart w:id="18"/>
      <w:r w:rsidRPr="00D27886">
        <w:rPr>
          <w:rFonts w:ascii="Times New Roman" w:eastAsia="Times New Roman" w:hAnsi="Times New Roman" w:cs="Times New Roman"/>
          <w:sz w:val="24"/>
          <w:szCs w:val="24"/>
          <w:rtl/>
        </w:rPr>
        <w:t xml:space="preserve">هيكلة الإدارة القضائية بما يتوافق مع متطلبات البيئة الرقمية، إلا أن لكل دولة منهجًا مختلفًا في إدارة هذا التحول. فقد اعتمدت المملكة </w:t>
      </w:r>
      <w:r w:rsidR="009112F0" w:rsidRPr="009112F0">
        <w:rPr>
          <w:rFonts w:ascii="Times New Roman" w:eastAsia="Times New Roman" w:hAnsi="Times New Roman" w:cs="Times New Roman" w:hint="cs"/>
          <w:sz w:val="24"/>
          <w:szCs w:val="24"/>
          <w:vertAlign w:val="superscript"/>
          <w:rtl/>
        </w:rPr>
        <w:t>(</w:t>
      </w:r>
      <w:r w:rsidR="009112F0" w:rsidRPr="009112F0">
        <w:rPr>
          <w:rStyle w:val="a8"/>
          <w:rFonts w:ascii="Times New Roman" w:eastAsia="Times New Roman" w:hAnsi="Times New Roman" w:cs="Times New Roman"/>
          <w:vanish/>
          <w:sz w:val="24"/>
          <w:szCs w:val="24"/>
          <w:vertAlign w:val="baseline"/>
          <w:rtl/>
        </w:rPr>
        <w:footnoteReference w:id="47"/>
      </w:r>
      <w:r w:rsidR="009112F0" w:rsidRPr="009112F0">
        <w:rPr>
          <w:rFonts w:ascii="Times New Roman" w:eastAsia="Times New Roman" w:hAnsi="Times New Roman" w:cs="Times New Roman" w:hint="cs"/>
          <w:sz w:val="24"/>
          <w:szCs w:val="24"/>
          <w:vertAlign w:val="superscript"/>
          <w:rtl/>
        </w:rPr>
        <w:t>1)</w:t>
      </w:r>
      <w:r w:rsidR="009112F0" w:rsidRPr="00D27886">
        <w:rPr>
          <w:rFonts w:ascii="Times New Roman" w:eastAsia="Times New Roman" w:hAnsi="Times New Roman" w:cs="Times New Roman" w:hint="cs"/>
          <w:sz w:val="24"/>
          <w:szCs w:val="24"/>
          <w:rtl/>
        </w:rPr>
        <w:t xml:space="preserve"> عل</w:t>
      </w:r>
      <w:r w:rsidR="009112F0" w:rsidRPr="00D27886">
        <w:rPr>
          <w:rFonts w:ascii="Times New Roman" w:eastAsia="Times New Roman" w:hAnsi="Times New Roman" w:cs="Times New Roman" w:hint="eastAsia"/>
          <w:sz w:val="24"/>
          <w:szCs w:val="24"/>
          <w:rtl/>
        </w:rPr>
        <w:t>ى</w:t>
      </w:r>
      <w:r w:rsidRPr="00D27886">
        <w:rPr>
          <w:rFonts w:ascii="Times New Roman" w:eastAsia="Times New Roman" w:hAnsi="Times New Roman" w:cs="Times New Roman"/>
          <w:sz w:val="24"/>
          <w:szCs w:val="24"/>
          <w:rtl/>
        </w:rPr>
        <w:t xml:space="preserve"> تطوير المنظومة العدلية ضمن مستهدفات رؤية السعودية 2030 من خلال التكامل بين وزارة العدل، وهيئة الحكومة الرقمية، والجهات الحكومية الأخرى، بما أسهم في توحيد الإجراءات الرقمية وتبادل البيانات بين الجهات المختصة.</w:t>
      </w:r>
      <w:commentRangeEnd w:id="18"/>
      <w:r w:rsidR="00D64389">
        <w:rPr>
          <w:rStyle w:val="ad"/>
          <w:rtl/>
        </w:rPr>
        <w:commentReference w:id="18"/>
      </w:r>
      <w:r w:rsidRPr="00D27886">
        <w:rPr>
          <w:rFonts w:ascii="Times New Roman" w:eastAsia="Times New Roman" w:hAnsi="Times New Roman" w:cs="Times New Roman"/>
          <w:sz w:val="24"/>
          <w:szCs w:val="24"/>
          <w:rtl/>
        </w:rPr>
        <w:t xml:space="preserve"> أما </w:t>
      </w:r>
      <w:commentRangeStart w:id="19"/>
      <w:r w:rsidR="005A5C0D" w:rsidRPr="00D27886">
        <w:rPr>
          <w:rFonts w:ascii="Times New Roman" w:eastAsia="Times New Roman" w:hAnsi="Times New Roman" w:cs="Times New Roman" w:hint="cs"/>
          <w:sz w:val="24"/>
          <w:szCs w:val="24"/>
          <w:rtl/>
        </w:rPr>
        <w:t>الإمارات،</w:t>
      </w:r>
      <w:r w:rsidR="005A5C0D" w:rsidRPr="005A5C0D">
        <w:rPr>
          <w:rFonts w:ascii="Times New Roman" w:eastAsia="Times New Roman" w:hAnsi="Times New Roman" w:cs="Times New Roman" w:hint="cs"/>
          <w:sz w:val="24"/>
          <w:szCs w:val="24"/>
          <w:vertAlign w:val="superscript"/>
          <w:rtl/>
        </w:rPr>
        <w:t xml:space="preserve"> </w:t>
      </w:r>
      <w:r w:rsidR="005A5C0D" w:rsidRPr="005A5C0D">
        <w:rPr>
          <w:rFonts w:ascii="Times New Roman" w:eastAsia="Times New Roman" w:hAnsi="Times New Roman" w:cs="Times New Roman"/>
          <w:sz w:val="24"/>
          <w:szCs w:val="24"/>
          <w:vertAlign w:val="superscript"/>
          <w:rtl/>
        </w:rPr>
        <w:t>(</w:t>
      </w:r>
      <w:r w:rsidR="005A5C0D" w:rsidRPr="005A5C0D">
        <w:rPr>
          <w:rFonts w:ascii="Times New Roman" w:eastAsia="Times New Roman" w:hAnsi="Times New Roman" w:cs="Times New Roman" w:hint="cs"/>
          <w:sz w:val="24"/>
          <w:szCs w:val="24"/>
          <w:vertAlign w:val="superscript"/>
          <w:rtl/>
        </w:rPr>
        <w:t>2)</w:t>
      </w:r>
      <w:r w:rsidRPr="00D27886">
        <w:rPr>
          <w:rFonts w:ascii="Times New Roman" w:eastAsia="Times New Roman" w:hAnsi="Times New Roman" w:cs="Times New Roman"/>
          <w:sz w:val="24"/>
          <w:szCs w:val="24"/>
          <w:rtl/>
        </w:rPr>
        <w:t xml:space="preserve"> فقد ارتكزت على نموذج الحكومة الرقمية المتكاملة الذي يقوم على التنسيق بين الجهات الاتحادية والمحلية وربط الخدمات القضائية بمنظومة الهوية الرقمية وخدمات الثقة</w:t>
      </w:r>
      <w:commentRangeEnd w:id="19"/>
      <w:r w:rsidR="00D64389">
        <w:rPr>
          <w:rStyle w:val="ad"/>
          <w:rtl/>
        </w:rPr>
        <w:commentReference w:id="19"/>
      </w:r>
      <w:r w:rsidRPr="00D27886">
        <w:rPr>
          <w:rFonts w:ascii="Times New Roman" w:eastAsia="Times New Roman" w:hAnsi="Times New Roman" w:cs="Times New Roman"/>
          <w:sz w:val="24"/>
          <w:szCs w:val="24"/>
          <w:rtl/>
        </w:rPr>
        <w:t xml:space="preserve">. في حين تبنت سنغافورة </w:t>
      </w:r>
      <w:r w:rsidR="005A5C0D" w:rsidRPr="005A5C0D">
        <w:rPr>
          <w:rFonts w:ascii="Times New Roman" w:eastAsia="Times New Roman" w:hAnsi="Times New Roman" w:cs="Times New Roman" w:hint="cs"/>
          <w:sz w:val="24"/>
          <w:szCs w:val="24"/>
          <w:vertAlign w:val="superscript"/>
          <w:rtl/>
        </w:rPr>
        <w:t>(3)</w:t>
      </w:r>
      <w:r w:rsidR="005A5C0D" w:rsidRPr="00D27886">
        <w:rPr>
          <w:rFonts w:ascii="Times New Roman" w:eastAsia="Times New Roman" w:hAnsi="Times New Roman" w:cs="Times New Roman" w:hint="cs"/>
          <w:sz w:val="24"/>
          <w:szCs w:val="24"/>
          <w:rtl/>
        </w:rPr>
        <w:t xml:space="preserve"> نموذجً</w:t>
      </w:r>
      <w:r w:rsidR="005A5C0D" w:rsidRPr="00D27886">
        <w:rPr>
          <w:rFonts w:ascii="Times New Roman" w:eastAsia="Times New Roman" w:hAnsi="Times New Roman" w:cs="Times New Roman" w:hint="eastAsia"/>
          <w:sz w:val="24"/>
          <w:szCs w:val="24"/>
          <w:rtl/>
        </w:rPr>
        <w:t>ا</w:t>
      </w:r>
      <w:r w:rsidRPr="00D27886">
        <w:rPr>
          <w:rFonts w:ascii="Times New Roman" w:eastAsia="Times New Roman" w:hAnsi="Times New Roman" w:cs="Times New Roman"/>
          <w:sz w:val="24"/>
          <w:szCs w:val="24"/>
          <w:rtl/>
        </w:rPr>
        <w:t xml:space="preserve"> أكثر مركزية، تتولى فيه وكالة التكنولوجيا الحكومية</w:t>
      </w:r>
      <w:r w:rsidRPr="00D27886">
        <w:rPr>
          <w:rFonts w:ascii="Times New Roman" w:eastAsia="Times New Roman" w:hAnsi="Times New Roman" w:cs="Times New Roman"/>
          <w:sz w:val="24"/>
          <w:szCs w:val="24"/>
        </w:rPr>
        <w:t xml:space="preserve"> (</w:t>
      </w:r>
      <w:proofErr w:type="spellStart"/>
      <w:r w:rsidRPr="00D27886">
        <w:rPr>
          <w:rFonts w:ascii="Times New Roman" w:eastAsia="Times New Roman" w:hAnsi="Times New Roman" w:cs="Times New Roman"/>
          <w:sz w:val="24"/>
          <w:szCs w:val="24"/>
        </w:rPr>
        <w:t>GovTech</w:t>
      </w:r>
      <w:proofErr w:type="spellEnd"/>
      <w:r w:rsidRPr="00D27886">
        <w:rPr>
          <w:rFonts w:ascii="Times New Roman" w:eastAsia="Times New Roman" w:hAnsi="Times New Roman" w:cs="Times New Roman"/>
          <w:sz w:val="24"/>
          <w:szCs w:val="24"/>
        </w:rPr>
        <w:t xml:space="preserve">) </w:t>
      </w:r>
      <w:r w:rsidRPr="00D27886">
        <w:rPr>
          <w:rFonts w:ascii="Times New Roman" w:eastAsia="Times New Roman" w:hAnsi="Times New Roman" w:cs="Times New Roman"/>
          <w:sz w:val="24"/>
          <w:szCs w:val="24"/>
          <w:rtl/>
        </w:rPr>
        <w:t xml:space="preserve">تطوير البنية الرقمية الحكومية وتوحيد المعايير التقنية وإدارة المنصات المشتركة، الأمر الذي أسهم في تعزيز سرعة اتخاذ القرار الإداري وتقليل الازدواجية </w:t>
      </w:r>
      <w:r w:rsidR="005A5C0D" w:rsidRPr="00D27886">
        <w:rPr>
          <w:rFonts w:ascii="Times New Roman" w:eastAsia="Times New Roman" w:hAnsi="Times New Roman" w:cs="Times New Roman" w:hint="cs"/>
          <w:sz w:val="24"/>
          <w:szCs w:val="24"/>
          <w:rtl/>
        </w:rPr>
        <w:t>المؤسسية</w:t>
      </w:r>
      <w:r w:rsidR="005A5C0D">
        <w:rPr>
          <w:rFonts w:ascii="Times New Roman" w:eastAsia="Times New Roman" w:hAnsi="Times New Roman" w:cs="Times New Roman"/>
          <w:sz w:val="24"/>
          <w:szCs w:val="24"/>
        </w:rPr>
        <w:t>.</w:t>
      </w:r>
    </w:p>
    <w:p w14:paraId="48E0E7AD" w14:textId="77777777" w:rsidR="00D27886" w:rsidRPr="00D27886" w:rsidRDefault="00D27886" w:rsidP="00D27886">
      <w:pPr>
        <w:spacing w:before="100" w:beforeAutospacing="1" w:after="100" w:afterAutospacing="1" w:line="360" w:lineRule="auto"/>
        <w:jc w:val="left"/>
        <w:rPr>
          <w:rFonts w:ascii="Times New Roman" w:eastAsia="Times New Roman" w:hAnsi="Times New Roman" w:cs="Times New Roman"/>
          <w:sz w:val="24"/>
          <w:szCs w:val="24"/>
        </w:rPr>
      </w:pPr>
      <w:commentRangeStart w:id="20"/>
      <w:r w:rsidRPr="00D27886">
        <w:rPr>
          <w:rFonts w:ascii="Times New Roman" w:eastAsia="Times New Roman" w:hAnsi="Times New Roman" w:cs="Times New Roman"/>
          <w:sz w:val="24"/>
          <w:szCs w:val="24"/>
          <w:rtl/>
        </w:rPr>
        <w:t xml:space="preserve">ومن أبرز الآثار المؤسسية التي أفرزها التنظيم القانوني للتحول الرقمي </w:t>
      </w:r>
      <w:r w:rsidRPr="00D27886">
        <w:rPr>
          <w:rFonts w:ascii="Times New Roman" w:eastAsia="Times New Roman" w:hAnsi="Times New Roman" w:cs="Times New Roman"/>
          <w:b/>
          <w:bCs/>
          <w:sz w:val="24"/>
          <w:szCs w:val="24"/>
          <w:rtl/>
        </w:rPr>
        <w:t>تعزيز التكامل المؤسسي</w:t>
      </w:r>
      <w:r w:rsidRPr="00D27886">
        <w:rPr>
          <w:rFonts w:ascii="Times New Roman" w:eastAsia="Times New Roman" w:hAnsi="Times New Roman" w:cs="Times New Roman"/>
          <w:sz w:val="24"/>
          <w:szCs w:val="24"/>
          <w:rtl/>
        </w:rPr>
        <w:t xml:space="preserve"> بين الجهات المرتبطة بإجراءات التقاضي. فلم تعد إدارة الدعوى تعتمد على تبادل المستندات الورقية بين الجهات، بل أصبحت تقوم على الربط الإلكتروني وتبادل البيانات بصورة آمنة ومنظمة. ويظهر هذا التكامل بصورة واضحة في التجربة السعودية من خلال الربط بين الجهات القضائية والجهات الحكومية ذات العلاقة، بينما يتميز النموذج الإماراتي بدمج الخدمات الحكومية </w:t>
      </w:r>
      <w:r w:rsidRPr="00D27886">
        <w:rPr>
          <w:rFonts w:ascii="Times New Roman" w:eastAsia="Times New Roman" w:hAnsi="Times New Roman" w:cs="Times New Roman"/>
          <w:sz w:val="24"/>
          <w:szCs w:val="24"/>
          <w:rtl/>
        </w:rPr>
        <w:lastRenderedPageBreak/>
        <w:t>والقضائية ضمن بيئة رقمية موحدة، في حين تعتمد سنغافورة على منصة حكومية مركزية تتيح تبادل البيانات وفق معايير موحدة، وهو ما أدى إلى تقليص الإجراءات الإدارية وتسريع إنجاز المعاملات</w:t>
      </w:r>
      <w:r w:rsidRPr="00D27886">
        <w:rPr>
          <w:rFonts w:ascii="Times New Roman" w:eastAsia="Times New Roman" w:hAnsi="Times New Roman" w:cs="Times New Roman"/>
          <w:sz w:val="24"/>
          <w:szCs w:val="24"/>
        </w:rPr>
        <w:t>.</w:t>
      </w:r>
    </w:p>
    <w:p w14:paraId="7724A9D1" w14:textId="77777777" w:rsidR="00D27886" w:rsidRPr="00D27886" w:rsidRDefault="00D27886" w:rsidP="00D27886">
      <w:pPr>
        <w:spacing w:before="100" w:beforeAutospacing="1" w:after="100" w:afterAutospacing="1" w:line="360" w:lineRule="auto"/>
        <w:jc w:val="left"/>
        <w:rPr>
          <w:rFonts w:ascii="Times New Roman" w:eastAsia="Times New Roman" w:hAnsi="Times New Roman" w:cs="Times New Roman"/>
          <w:sz w:val="24"/>
          <w:szCs w:val="24"/>
        </w:rPr>
      </w:pPr>
      <w:r w:rsidRPr="00D27886">
        <w:rPr>
          <w:rFonts w:ascii="Times New Roman" w:eastAsia="Times New Roman" w:hAnsi="Times New Roman" w:cs="Times New Roman"/>
          <w:sz w:val="24"/>
          <w:szCs w:val="24"/>
          <w:rtl/>
        </w:rPr>
        <w:t xml:space="preserve">كما أسهم التنظيم القانوني في </w:t>
      </w:r>
      <w:r w:rsidRPr="00D27886">
        <w:rPr>
          <w:rFonts w:ascii="Times New Roman" w:eastAsia="Times New Roman" w:hAnsi="Times New Roman" w:cs="Times New Roman"/>
          <w:b/>
          <w:bCs/>
          <w:sz w:val="24"/>
          <w:szCs w:val="24"/>
          <w:rtl/>
        </w:rPr>
        <w:t>تطوير الحوكمة الرقمية</w:t>
      </w:r>
      <w:r w:rsidRPr="00D27886">
        <w:rPr>
          <w:rFonts w:ascii="Times New Roman" w:eastAsia="Times New Roman" w:hAnsi="Times New Roman" w:cs="Times New Roman"/>
          <w:sz w:val="24"/>
          <w:szCs w:val="24"/>
          <w:rtl/>
        </w:rPr>
        <w:t xml:space="preserve"> داخل المؤسسات القضائية، من خلال تحديد مسؤوليات الجهات المشرفة على إدارة البيانات والخدمات الرقمية، ووضع ضوابط للرقابة والامتثال وإدارة المخاطر. وتتشابه الدول الثلاث في اعتماد مبادئ الحوكمة الرقمية، إلا أن سنغافورة تتميز بوجود نموذج مؤسسي أكثر استقرارًا يقوم على الإدارة المركزية للمنصات الحكومية، بينما اتجهت الإمارات إلى تطبيق نماذج لقياس نضج الحكومة الرقمية، في حين تواصل المملكة تطوير الأطر التنظيمية بما يتوافق مع التوسع المتسارع في الخدمات العدلية الرقمية</w:t>
      </w:r>
      <w:r w:rsidRPr="00D27886">
        <w:rPr>
          <w:rFonts w:ascii="Times New Roman" w:eastAsia="Times New Roman" w:hAnsi="Times New Roman" w:cs="Times New Roman"/>
          <w:sz w:val="24"/>
          <w:szCs w:val="24"/>
        </w:rPr>
        <w:t>.</w:t>
      </w:r>
    </w:p>
    <w:p w14:paraId="5493AC30" w14:textId="77777777" w:rsidR="00D27886" w:rsidRPr="00D27886" w:rsidRDefault="00D27886" w:rsidP="00D27886">
      <w:pPr>
        <w:spacing w:before="100" w:beforeAutospacing="1" w:after="100" w:afterAutospacing="1" w:line="360" w:lineRule="auto"/>
        <w:jc w:val="left"/>
        <w:rPr>
          <w:rFonts w:ascii="Times New Roman" w:eastAsia="Times New Roman" w:hAnsi="Times New Roman" w:cs="Times New Roman"/>
          <w:sz w:val="24"/>
          <w:szCs w:val="24"/>
        </w:rPr>
      </w:pPr>
      <w:r w:rsidRPr="00D27886">
        <w:rPr>
          <w:rFonts w:ascii="Times New Roman" w:eastAsia="Times New Roman" w:hAnsi="Times New Roman" w:cs="Times New Roman"/>
          <w:sz w:val="24"/>
          <w:szCs w:val="24"/>
          <w:rtl/>
        </w:rPr>
        <w:t xml:space="preserve">وامتدت الآثار المؤسسية كذلك إلى </w:t>
      </w:r>
      <w:r w:rsidRPr="00D27886">
        <w:rPr>
          <w:rFonts w:ascii="Times New Roman" w:eastAsia="Times New Roman" w:hAnsi="Times New Roman" w:cs="Times New Roman"/>
          <w:b/>
          <w:bCs/>
          <w:sz w:val="24"/>
          <w:szCs w:val="24"/>
          <w:rtl/>
        </w:rPr>
        <w:t>تنمية الموارد البشرية</w:t>
      </w:r>
      <w:r w:rsidRPr="00D27886">
        <w:rPr>
          <w:rFonts w:ascii="Times New Roman" w:eastAsia="Times New Roman" w:hAnsi="Times New Roman" w:cs="Times New Roman"/>
          <w:sz w:val="24"/>
          <w:szCs w:val="24"/>
          <w:rtl/>
        </w:rPr>
        <w:t>، إذ فرض التحول الرقمي متطلبات جديدة على العاملين في مرفق القضاء، أبرزها اكتساب المهارات الرقمية والقدرة على إدارة الأنظمة الإلكترونية والتعامل مع البيانات الرقمية. وقد تبنت الدول الثلاث برامج لتأهيل الكوادر القضائية والإدارية، إلا أن سنغافورة تتميز باستمرار برامج التدريب المؤسسي وربطها بتطوير الأداء الحكومي، بينما تركز المملكة والإمارات على رفع الكفاءة المهنية بما يدعم استدامة التحول الرقمي في القطاع العدلي</w:t>
      </w:r>
      <w:r w:rsidRPr="00D27886">
        <w:rPr>
          <w:rFonts w:ascii="Times New Roman" w:eastAsia="Times New Roman" w:hAnsi="Times New Roman" w:cs="Times New Roman"/>
          <w:sz w:val="24"/>
          <w:szCs w:val="24"/>
        </w:rPr>
        <w:t>.</w:t>
      </w:r>
    </w:p>
    <w:p w14:paraId="4041919E" w14:textId="2222CC7A" w:rsidR="00D27886" w:rsidRPr="00D27886" w:rsidRDefault="00D27886" w:rsidP="006B7129">
      <w:pPr>
        <w:spacing w:before="100" w:beforeAutospacing="1" w:after="100" w:afterAutospacing="1" w:line="360" w:lineRule="auto"/>
        <w:jc w:val="left"/>
        <w:rPr>
          <w:rFonts w:ascii="Times New Roman" w:eastAsia="Times New Roman" w:hAnsi="Times New Roman" w:cs="Times New Roman"/>
          <w:sz w:val="24"/>
          <w:szCs w:val="24"/>
        </w:rPr>
      </w:pPr>
      <w:r w:rsidRPr="00D27886">
        <w:rPr>
          <w:rFonts w:ascii="Times New Roman" w:eastAsia="Times New Roman" w:hAnsi="Times New Roman" w:cs="Times New Roman"/>
          <w:sz w:val="24"/>
          <w:szCs w:val="24"/>
          <w:rtl/>
        </w:rPr>
        <w:t>و</w:t>
      </w:r>
      <w:r w:rsidR="006B7129">
        <w:rPr>
          <w:rFonts w:ascii="Times New Roman" w:eastAsia="Times New Roman" w:hAnsi="Times New Roman" w:cs="Times New Roman" w:hint="cs"/>
          <w:sz w:val="24"/>
          <w:szCs w:val="24"/>
          <w:rtl/>
        </w:rPr>
        <w:t>تلخص</w:t>
      </w:r>
      <w:r w:rsidRPr="00D27886">
        <w:rPr>
          <w:rFonts w:ascii="Times New Roman" w:eastAsia="Times New Roman" w:hAnsi="Times New Roman" w:cs="Times New Roman"/>
          <w:sz w:val="24"/>
          <w:szCs w:val="24"/>
          <w:rtl/>
        </w:rPr>
        <w:t xml:space="preserve"> الدراسة المقارنة إلى أن التنظيم القانوني للتحول الرقمي لم يؤدِّ فقط إلى تحديث الوسائل الإجرائية، بل أسهم في إعادة تشكيل الإدارة القضائية من خلال تعزيز التكامل المؤسسي، وتطوير الحوكمة الرقمية، ورفع كفاءة الموارد البشرية. وتتمثل أبرز أوجه الاختلاف في أن المملكة تركز على التكامل التدريجي ضمن مستهدفات رؤية 2030، بينما تعتمد الإمارات على نموذج الحكومة الرقمية المتكاملة، في حين تقوم التجربة السنغافورية على إدارة مؤسسية مركزية تستند إلى البيانات والمعايير التقنية الموحدة. وترى الباحثة أن استمرار نجاح التحول الرقمي في مرفق القضاء يتطلب تطوير الأطر المؤسسية بالتوازي مع تحديث التشريعات، لأن فعالية التنظيم القانوني ترتبط بقدرة المؤسسات على تطبيقه بصورة متكاملة</w:t>
      </w:r>
      <w:commentRangeEnd w:id="20"/>
      <w:r w:rsidR="00D64389">
        <w:rPr>
          <w:rStyle w:val="ad"/>
          <w:rtl/>
        </w:rPr>
        <w:commentReference w:id="20"/>
      </w:r>
    </w:p>
    <w:p w14:paraId="110657AE" w14:textId="77777777" w:rsidR="00D27886" w:rsidRPr="00D27886" w:rsidRDefault="00D27886" w:rsidP="00D27886">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177B1EF1" w14:textId="77777777" w:rsidR="00D27886" w:rsidRDefault="00D27886"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65BEBDAD" w14:textId="77777777" w:rsidR="00D27886" w:rsidRDefault="00D27886"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28E77367" w14:textId="77777777" w:rsidR="00D27886" w:rsidRDefault="00D27886"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09B91881" w14:textId="77777777" w:rsidR="00D27886" w:rsidRDefault="00D27886"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1D7C9B5C" w14:textId="4BBED9A8" w:rsidR="006B7129" w:rsidRDefault="006B7129"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601BD74F" w14:textId="2463EAAF" w:rsidR="006B7129" w:rsidRPr="006B7129" w:rsidRDefault="006B7129" w:rsidP="006B7129">
      <w:pPr>
        <w:bidi w:val="0"/>
        <w:spacing w:before="100" w:beforeAutospacing="1" w:after="100" w:afterAutospacing="1" w:line="360" w:lineRule="auto"/>
        <w:outlineLvl w:val="2"/>
        <w:rPr>
          <w:rFonts w:ascii="Times New Roman" w:eastAsia="Times New Roman" w:hAnsi="Times New Roman" w:cs="Times New Roman"/>
          <w:b/>
          <w:bCs/>
          <w:sz w:val="32"/>
          <w:szCs w:val="32"/>
        </w:rPr>
      </w:pPr>
      <w:r w:rsidRPr="006B7129">
        <w:rPr>
          <w:rFonts w:ascii="Times New Roman" w:eastAsia="Times New Roman" w:hAnsi="Times New Roman" w:cs="Times New Roman"/>
          <w:b/>
          <w:bCs/>
          <w:sz w:val="32"/>
          <w:szCs w:val="32"/>
          <w:rtl/>
        </w:rPr>
        <w:lastRenderedPageBreak/>
        <w:t>المطلب الثاني: الآثار الاقتصادية المترتبة على تنظيم التحول الرقمي</w:t>
      </w:r>
    </w:p>
    <w:p w14:paraId="365964BD"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لم يعد تنظيم التحول الرقمي في القطاع القضائي مقتصرًا على تحقيق السرعة في تقديم الخدمات أو تحديث وسائل التقاضي، وإنما ترتبت عليه آثار اقتصادية تمس كفاءة الإنفاق العام، وتكاليف الحصول على العدالة، وإنتاجية المؤسسات القضائية، والاستغلال الأمثل للموارد. فكلما كان التحول الرقمي قائمًا على إطار تنظيمي واضح يحدد اختصاصات الجهات، وينظم المنصات والخدمات الرقمية، ويحقق التكامل وتبادل البيانات بينها، أمكن الحد من ازدواجية الأنظمة والإجراءات، ومن ثم تخفيض التكلفة الاقتصادية المرتبطة بتقديم الخدمة القضائية</w:t>
      </w:r>
      <w:r w:rsidRPr="0056277A">
        <w:rPr>
          <w:rFonts w:ascii="Times New Roman" w:eastAsia="Times New Roman" w:hAnsi="Times New Roman" w:cs="Times New Roman"/>
          <w:sz w:val="24"/>
          <w:szCs w:val="24"/>
        </w:rPr>
        <w:t>.</w:t>
      </w:r>
    </w:p>
    <w:p w14:paraId="1E7A67DA"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وتظهر هذه الآثار بصورة خاصة في المملكة العربية السعودية والإمارات العربية المتحدة وسنغافورة، وإن اختلفت درجة ظهورها وآليات قياسها؛ إذ اتجهت الدول الثلاث إلى الانتقال من مجرد </w:t>
      </w:r>
      <w:proofErr w:type="spellStart"/>
      <w:r w:rsidRPr="0056277A">
        <w:rPr>
          <w:rFonts w:ascii="Times New Roman" w:eastAsia="Times New Roman" w:hAnsi="Times New Roman" w:cs="Times New Roman"/>
          <w:sz w:val="24"/>
          <w:szCs w:val="24"/>
          <w:rtl/>
        </w:rPr>
        <w:t>رقمنة</w:t>
      </w:r>
      <w:proofErr w:type="spellEnd"/>
      <w:r w:rsidRPr="0056277A">
        <w:rPr>
          <w:rFonts w:ascii="Times New Roman" w:eastAsia="Times New Roman" w:hAnsi="Times New Roman" w:cs="Times New Roman"/>
          <w:sz w:val="24"/>
          <w:szCs w:val="24"/>
          <w:rtl/>
        </w:rPr>
        <w:t xml:space="preserve"> بعض الخدمات القضائية إلى بناء منظومات رقمية مترابطة، وهو ما انعكس على تكلفة الإجراءات والوقت والموارد المستخدمة في تقديم الخدمات العدلية والقضائية</w:t>
      </w:r>
      <w:r w:rsidRPr="0056277A">
        <w:rPr>
          <w:rFonts w:ascii="Times New Roman" w:eastAsia="Times New Roman" w:hAnsi="Times New Roman" w:cs="Times New Roman"/>
          <w:sz w:val="24"/>
          <w:szCs w:val="24"/>
        </w:rPr>
        <w:t>.</w:t>
      </w:r>
    </w:p>
    <w:p w14:paraId="58EECAB8" w14:textId="77777777" w:rsidR="0056277A" w:rsidRP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أولًا: رفع كفاءة الإنفاق وترشيد استخدام الموارد</w:t>
      </w:r>
    </w:p>
    <w:p w14:paraId="5BE3DB58"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commentRangeStart w:id="21"/>
      <w:r w:rsidRPr="0056277A">
        <w:rPr>
          <w:rFonts w:ascii="Times New Roman" w:eastAsia="Times New Roman" w:hAnsi="Times New Roman" w:cs="Times New Roman"/>
          <w:sz w:val="24"/>
          <w:szCs w:val="24"/>
          <w:rtl/>
        </w:rPr>
        <w:t>يُعد رفع كفاءة الإنفاق من أبرز الآثار الاقتصادية لتنظيم التحول الرقمي؛ لأن تقديم الخدمات القضائية بالوسائل التقليدية يستلزم نفقات مرتبطة بالمقار والوثائق الورقية والأرشفة والنقل والحضور الشخصي وتكرار إدخال البيانات، في حين يسمح التنظيم الرقمي بإعادة تصميم هذه العمليات وتقديم نسبة كبيرة منها عبر منصات موحدة</w:t>
      </w:r>
      <w:r w:rsidRPr="0056277A">
        <w:rPr>
          <w:rFonts w:ascii="Times New Roman" w:eastAsia="Times New Roman" w:hAnsi="Times New Roman" w:cs="Times New Roman"/>
          <w:sz w:val="24"/>
          <w:szCs w:val="24"/>
        </w:rPr>
        <w:t>.</w:t>
      </w:r>
    </w:p>
    <w:p w14:paraId="4F62AB64" w14:textId="1AEA2423"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وفي المملكة العربية السعودية</w:t>
      </w:r>
      <w:r w:rsidR="007020DD" w:rsidRPr="007020DD">
        <w:rPr>
          <w:rFonts w:ascii="Times New Roman" w:eastAsia="Times New Roman" w:hAnsi="Times New Roman" w:cs="Times New Roman" w:hint="cs"/>
          <w:sz w:val="24"/>
          <w:szCs w:val="24"/>
          <w:vertAlign w:val="superscript"/>
          <w:rtl/>
        </w:rPr>
        <w:t>(1)</w:t>
      </w:r>
      <w:r w:rsidR="007020DD" w:rsidRPr="007020DD">
        <w:rPr>
          <w:rStyle w:val="a8"/>
          <w:rFonts w:ascii="Times New Roman" w:eastAsia="Times New Roman" w:hAnsi="Times New Roman" w:cs="Times New Roman"/>
          <w:vanish/>
          <w:sz w:val="24"/>
          <w:szCs w:val="24"/>
          <w:vertAlign w:val="baseline"/>
          <w:rtl/>
        </w:rPr>
        <w:footnoteReference w:id="48"/>
      </w:r>
      <w:r w:rsidRPr="0056277A">
        <w:rPr>
          <w:rFonts w:ascii="Times New Roman" w:eastAsia="Times New Roman" w:hAnsi="Times New Roman" w:cs="Times New Roman"/>
          <w:sz w:val="24"/>
          <w:szCs w:val="24"/>
          <w:rtl/>
        </w:rPr>
        <w:t xml:space="preserve"> يتضح الارتباط بين التنظيم الرقمي والكفاءة الاقتصادية من توجه هيئة الحكومة الرقمية إلى تنظيم المنصات والخدمات الحكومية والحد من الازدواجية وتحسين استغلال الموارد التقنية. وقد أكدت </w:t>
      </w:r>
      <w:r w:rsidRPr="0056277A">
        <w:rPr>
          <w:rFonts w:ascii="Times New Roman" w:eastAsia="Times New Roman" w:hAnsi="Times New Roman" w:cs="Times New Roman"/>
          <w:b/>
          <w:bCs/>
          <w:sz w:val="24"/>
          <w:szCs w:val="24"/>
          <w:rtl/>
        </w:rPr>
        <w:t>سياسة الحكومة الرقمية</w:t>
      </w:r>
      <w:r w:rsidRPr="0056277A">
        <w:rPr>
          <w:rFonts w:ascii="Times New Roman" w:eastAsia="Times New Roman" w:hAnsi="Times New Roman" w:cs="Times New Roman"/>
          <w:sz w:val="24"/>
          <w:szCs w:val="24"/>
          <w:rtl/>
        </w:rPr>
        <w:t xml:space="preserve"> أن التكامل الحكومي وتنظيم استخدام الموارد والاستثمارات التقنية يستهدفان رفع الكفاءة وتحسين الاستفادة من الإنفاق الحكومي. كما جعلت هيئة الحكومة الرقمية من </w:t>
      </w:r>
      <w:r w:rsidRPr="0056277A">
        <w:rPr>
          <w:rFonts w:ascii="Times New Roman" w:eastAsia="Times New Roman" w:hAnsi="Times New Roman" w:cs="Times New Roman"/>
          <w:b/>
          <w:bCs/>
          <w:sz w:val="24"/>
          <w:szCs w:val="24"/>
          <w:rtl/>
        </w:rPr>
        <w:t>كفاءة الاستثمار</w:t>
      </w:r>
      <w:r w:rsidRPr="0056277A">
        <w:rPr>
          <w:rFonts w:ascii="Times New Roman" w:eastAsia="Times New Roman" w:hAnsi="Times New Roman" w:cs="Times New Roman"/>
          <w:sz w:val="24"/>
          <w:szCs w:val="24"/>
          <w:rtl/>
        </w:rPr>
        <w:t xml:space="preserve"> أحد التوجهات الاستراتيجية للحكومة الرقمية، من خلال الاستخدام الأمثل للموارد الحكومية الرقمية ورفع العائد على الاستثمار وتحقيق الاستدامة. ومن ثم فإن تنظيم الخدمات القضائية الرقمية، بما فيها الخدمات التي تقدمها وزارة العدل عبر المنصات الإلكترونية، ينبغي النظر إليه بوصفه جزءًا من سياسة أوسع تستهدف تحقيق الكفاءة الاقتصادية، وليس مجرد استبدال المعاملة الورقية بمعاملة إلكترونية</w:t>
      </w:r>
      <w:r w:rsidRPr="0056277A">
        <w:rPr>
          <w:rFonts w:ascii="Times New Roman" w:eastAsia="Times New Roman" w:hAnsi="Times New Roman" w:cs="Times New Roman"/>
          <w:sz w:val="24"/>
          <w:szCs w:val="24"/>
        </w:rPr>
        <w:t>.</w:t>
      </w:r>
    </w:p>
    <w:p w14:paraId="1755EECD"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وتدعم المؤشرات الرسمية هذا الاستنتاج؛ فقد أظهر </w:t>
      </w:r>
      <w:r w:rsidRPr="0056277A">
        <w:rPr>
          <w:rFonts w:ascii="Times New Roman" w:eastAsia="Times New Roman" w:hAnsi="Times New Roman" w:cs="Times New Roman"/>
          <w:b/>
          <w:bCs/>
          <w:sz w:val="24"/>
          <w:szCs w:val="24"/>
          <w:rtl/>
        </w:rPr>
        <w:t>تقرير الإنفاق الحكومي على خدمات الاتصالات وتقنية المعلومات لعام 2024</w:t>
      </w:r>
      <w:r w:rsidRPr="0056277A">
        <w:rPr>
          <w:rFonts w:ascii="Times New Roman" w:eastAsia="Times New Roman" w:hAnsi="Times New Roman" w:cs="Times New Roman"/>
          <w:sz w:val="24"/>
          <w:szCs w:val="24"/>
          <w:rtl/>
        </w:rPr>
        <w:t xml:space="preserve"> أن الجهات الحكومية السعودية حققت وفرًا ماليًا يقدر بنحو </w:t>
      </w:r>
      <w:r w:rsidRPr="0056277A">
        <w:rPr>
          <w:rFonts w:ascii="Times New Roman" w:eastAsia="Times New Roman" w:hAnsi="Times New Roman" w:cs="Times New Roman"/>
          <w:b/>
          <w:bCs/>
          <w:sz w:val="24"/>
          <w:szCs w:val="24"/>
          <w:rtl/>
        </w:rPr>
        <w:t>مليار ريال خلال عام 2024</w:t>
      </w:r>
      <w:r w:rsidRPr="0056277A">
        <w:rPr>
          <w:rFonts w:ascii="Times New Roman" w:eastAsia="Times New Roman" w:hAnsi="Times New Roman" w:cs="Times New Roman"/>
          <w:sz w:val="24"/>
          <w:szCs w:val="24"/>
          <w:rtl/>
        </w:rPr>
        <w:t xml:space="preserve"> نتيجة تطبيق ممارسات كفاءة الإنفاق وتحسين إدارة الميزانيات والمشتريات. ولا يعني ذلك أن هذا المبلغ يمثل وفرًا خاصًا بالقطاع القضائي، وإنما يمثل مؤشرًا رسميًا على الأثر الاقتصادي للتحول الرقمي المنظم على مستوى الحكومة السعودية، وهو السياق المؤسسي الذي تعمل داخله وزارة العدل ومنظومة العدالة الرقمية</w:t>
      </w:r>
      <w:r w:rsidRPr="0056277A">
        <w:rPr>
          <w:rFonts w:ascii="Times New Roman" w:eastAsia="Times New Roman" w:hAnsi="Times New Roman" w:cs="Times New Roman"/>
          <w:sz w:val="24"/>
          <w:szCs w:val="24"/>
        </w:rPr>
        <w:t>.</w:t>
      </w:r>
    </w:p>
    <w:commentRangeEnd w:id="21"/>
    <w:p w14:paraId="2166EDAD" w14:textId="77777777" w:rsidR="0056277A" w:rsidRDefault="00D64389" w:rsidP="0056277A">
      <w:pPr>
        <w:spacing w:before="100" w:beforeAutospacing="1" w:after="100" w:afterAutospacing="1" w:line="360" w:lineRule="auto"/>
        <w:jc w:val="left"/>
        <w:rPr>
          <w:rFonts w:ascii="Times New Roman" w:eastAsia="Times New Roman" w:hAnsi="Times New Roman" w:cs="Times New Roman"/>
          <w:sz w:val="24"/>
          <w:szCs w:val="24"/>
          <w:rtl/>
        </w:rPr>
      </w:pPr>
      <w:r>
        <w:rPr>
          <w:rStyle w:val="ad"/>
          <w:rtl/>
        </w:rPr>
        <w:commentReference w:id="21"/>
      </w:r>
    </w:p>
    <w:p w14:paraId="37DF519D" w14:textId="77777777" w:rsid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tl/>
        </w:rPr>
      </w:pPr>
    </w:p>
    <w:p w14:paraId="56B6EF49" w14:textId="02DE50F5"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أما في دولة الإمارات</w:t>
      </w:r>
      <w:r w:rsidRPr="0056277A">
        <w:rPr>
          <w:rFonts w:ascii="Times New Roman" w:eastAsia="Times New Roman" w:hAnsi="Times New Roman" w:cs="Times New Roman"/>
          <w:sz w:val="24"/>
          <w:szCs w:val="24"/>
          <w:vertAlign w:val="superscript"/>
          <w:rtl/>
        </w:rPr>
        <w:t>،</w:t>
      </w:r>
      <w:r w:rsidR="007020DD" w:rsidRPr="007020DD">
        <w:rPr>
          <w:rFonts w:ascii="Times New Roman" w:eastAsia="Times New Roman" w:hAnsi="Times New Roman" w:cs="Times New Roman" w:hint="cs"/>
          <w:sz w:val="24"/>
          <w:szCs w:val="24"/>
          <w:vertAlign w:val="superscript"/>
          <w:rtl/>
        </w:rPr>
        <w:t>(1)</w:t>
      </w:r>
      <w:r w:rsidR="007020DD" w:rsidRPr="007020DD">
        <w:rPr>
          <w:rStyle w:val="a8"/>
          <w:rFonts w:ascii="Times New Roman" w:eastAsia="Times New Roman" w:hAnsi="Times New Roman" w:cs="Times New Roman"/>
          <w:vanish/>
          <w:sz w:val="24"/>
          <w:szCs w:val="24"/>
          <w:vertAlign w:val="baseline"/>
          <w:rtl/>
        </w:rPr>
        <w:footnoteReference w:id="49"/>
      </w:r>
      <w:r w:rsidRPr="0056277A">
        <w:rPr>
          <w:rFonts w:ascii="Times New Roman" w:eastAsia="Times New Roman" w:hAnsi="Times New Roman" w:cs="Times New Roman"/>
          <w:sz w:val="24"/>
          <w:szCs w:val="24"/>
          <w:rtl/>
        </w:rPr>
        <w:t xml:space="preserve"> فقد اتخذ الأثر الاقتصادي للتحول الرقمي صورة أكثر وضوحًا من حيث القياس الكمي؛ إذ تشير البيانات الرسمية للحكومة الإماراتية إلى أن نتائج التحول الرقمي حتى عام 2024 حققت نحو </w:t>
      </w:r>
      <w:r w:rsidRPr="0056277A">
        <w:rPr>
          <w:rFonts w:ascii="Times New Roman" w:eastAsia="Times New Roman" w:hAnsi="Times New Roman" w:cs="Times New Roman"/>
          <w:b/>
          <w:bCs/>
          <w:sz w:val="24"/>
          <w:szCs w:val="24"/>
        </w:rPr>
        <w:t xml:space="preserve">20 </w:t>
      </w:r>
      <w:r w:rsidRPr="0056277A">
        <w:rPr>
          <w:rFonts w:ascii="Times New Roman" w:eastAsia="Times New Roman" w:hAnsi="Times New Roman" w:cs="Times New Roman"/>
          <w:b/>
          <w:bCs/>
          <w:sz w:val="24"/>
          <w:szCs w:val="24"/>
          <w:rtl/>
        </w:rPr>
        <w:t xml:space="preserve">مليار درهم من </w:t>
      </w:r>
      <w:proofErr w:type="spellStart"/>
      <w:r w:rsidRPr="0056277A">
        <w:rPr>
          <w:rFonts w:ascii="Times New Roman" w:eastAsia="Times New Roman" w:hAnsi="Times New Roman" w:cs="Times New Roman"/>
          <w:b/>
          <w:bCs/>
          <w:sz w:val="24"/>
          <w:szCs w:val="24"/>
          <w:rtl/>
        </w:rPr>
        <w:t>الوفورات</w:t>
      </w:r>
      <w:proofErr w:type="spellEnd"/>
      <w:r w:rsidRPr="0056277A">
        <w:rPr>
          <w:rFonts w:ascii="Times New Roman" w:eastAsia="Times New Roman" w:hAnsi="Times New Roman" w:cs="Times New Roman"/>
          <w:b/>
          <w:bCs/>
          <w:sz w:val="24"/>
          <w:szCs w:val="24"/>
          <w:rtl/>
        </w:rPr>
        <w:t xml:space="preserve"> الحكومية المباشرة</w:t>
      </w:r>
      <w:r w:rsidRPr="0056277A">
        <w:rPr>
          <w:rFonts w:ascii="Times New Roman" w:eastAsia="Times New Roman" w:hAnsi="Times New Roman" w:cs="Times New Roman"/>
          <w:sz w:val="24"/>
          <w:szCs w:val="24"/>
          <w:rtl/>
        </w:rPr>
        <w:t xml:space="preserve">، فضلًا عن توفير أكثر من </w:t>
      </w:r>
      <w:r w:rsidRPr="0056277A">
        <w:rPr>
          <w:rFonts w:ascii="Times New Roman" w:eastAsia="Times New Roman" w:hAnsi="Times New Roman" w:cs="Times New Roman"/>
          <w:b/>
          <w:bCs/>
          <w:sz w:val="24"/>
          <w:szCs w:val="24"/>
        </w:rPr>
        <w:t xml:space="preserve">530 </w:t>
      </w:r>
      <w:r w:rsidRPr="0056277A">
        <w:rPr>
          <w:rFonts w:ascii="Times New Roman" w:eastAsia="Times New Roman" w:hAnsi="Times New Roman" w:cs="Times New Roman"/>
          <w:b/>
          <w:bCs/>
          <w:sz w:val="24"/>
          <w:szCs w:val="24"/>
          <w:rtl/>
        </w:rPr>
        <w:t>مليون ساعة عمل حكومية</w:t>
      </w:r>
      <w:r w:rsidRPr="0056277A">
        <w:rPr>
          <w:rFonts w:ascii="Times New Roman" w:eastAsia="Times New Roman" w:hAnsi="Times New Roman" w:cs="Times New Roman"/>
          <w:sz w:val="24"/>
          <w:szCs w:val="24"/>
        </w:rPr>
        <w:t xml:space="preserve">. </w:t>
      </w:r>
      <w:r w:rsidRPr="0056277A">
        <w:rPr>
          <w:rFonts w:ascii="Times New Roman" w:eastAsia="Times New Roman" w:hAnsi="Times New Roman" w:cs="Times New Roman"/>
          <w:sz w:val="24"/>
          <w:szCs w:val="24"/>
          <w:rtl/>
        </w:rPr>
        <w:t xml:space="preserve">كما قدرت </w:t>
      </w:r>
      <w:proofErr w:type="spellStart"/>
      <w:r w:rsidRPr="0056277A">
        <w:rPr>
          <w:rFonts w:ascii="Times New Roman" w:eastAsia="Times New Roman" w:hAnsi="Times New Roman" w:cs="Times New Roman"/>
          <w:sz w:val="24"/>
          <w:szCs w:val="24"/>
          <w:rtl/>
        </w:rPr>
        <w:t>الوفورات</w:t>
      </w:r>
      <w:proofErr w:type="spellEnd"/>
      <w:r w:rsidRPr="0056277A">
        <w:rPr>
          <w:rFonts w:ascii="Times New Roman" w:eastAsia="Times New Roman" w:hAnsi="Times New Roman" w:cs="Times New Roman"/>
          <w:sz w:val="24"/>
          <w:szCs w:val="24"/>
          <w:rtl/>
        </w:rPr>
        <w:t xml:space="preserve"> التي تحققت للمتعاملين نتيجة استخدام الخدمات الحكومية الرقمية بأكثر من </w:t>
      </w:r>
      <w:r w:rsidRPr="0056277A">
        <w:rPr>
          <w:rFonts w:ascii="Times New Roman" w:eastAsia="Times New Roman" w:hAnsi="Times New Roman" w:cs="Times New Roman"/>
          <w:b/>
          <w:bCs/>
          <w:sz w:val="24"/>
          <w:szCs w:val="24"/>
        </w:rPr>
        <w:t xml:space="preserve">368 </w:t>
      </w:r>
      <w:r w:rsidRPr="0056277A">
        <w:rPr>
          <w:rFonts w:ascii="Times New Roman" w:eastAsia="Times New Roman" w:hAnsi="Times New Roman" w:cs="Times New Roman"/>
          <w:b/>
          <w:bCs/>
          <w:sz w:val="24"/>
          <w:szCs w:val="24"/>
          <w:rtl/>
        </w:rPr>
        <w:t>مليار درهم</w:t>
      </w:r>
      <w:r w:rsidRPr="0056277A">
        <w:rPr>
          <w:rFonts w:ascii="Times New Roman" w:eastAsia="Times New Roman" w:hAnsi="Times New Roman" w:cs="Times New Roman"/>
          <w:sz w:val="24"/>
          <w:szCs w:val="24"/>
          <w:rtl/>
        </w:rPr>
        <w:t xml:space="preserve"> خلال العقد السابق. وهذه النتائج تتجاوز القطاع القضائي وحده، إلا أنها تكشف عن العلاقة المباشرة بين تنظيم تقديم الخدمات الحكومية رقميًا وبين تخفيض تكاليف التشغيل والمعاملات ورفع إنتاجية الجهاز الحكومي</w:t>
      </w:r>
      <w:r w:rsidRPr="0056277A">
        <w:rPr>
          <w:rFonts w:ascii="Times New Roman" w:eastAsia="Times New Roman" w:hAnsi="Times New Roman" w:cs="Times New Roman"/>
          <w:sz w:val="24"/>
          <w:szCs w:val="24"/>
        </w:rPr>
        <w:t>.</w:t>
      </w:r>
    </w:p>
    <w:p w14:paraId="4306A1EE"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وتقترب التجربة السنغافورية من الاتجاه ذاته، إلا أنها تقوم بصورة أكبر على دمج التقنيات الرقمية في إدارة دورة القضية وتبادل المستندات والمعلومات بين أطراف منظومة العدالة. ويؤدي هذا النموذج إلى تقليل الاعتماد على الإجراءات المادية المتكررة وتحسين إدارة الوقت والموارد القضائية. ولذلك لا ينبغي قياس الأثر الاقتصادي للتحول القضائي الرقمي فقط بمقدار ما توفره الدولة من أموال مباشرة، وإنما كذلك بقيمة الوقت القضائي الذي يعاد توجيهه إلى الأعمال الموضوعية الأكثر أهمية</w:t>
      </w:r>
      <w:r w:rsidRPr="0056277A">
        <w:rPr>
          <w:rFonts w:ascii="Times New Roman" w:eastAsia="Times New Roman" w:hAnsi="Times New Roman" w:cs="Times New Roman"/>
          <w:sz w:val="24"/>
          <w:szCs w:val="24"/>
        </w:rPr>
        <w:t>.</w:t>
      </w:r>
    </w:p>
    <w:p w14:paraId="707EFC34" w14:textId="77777777" w:rsidR="0056277A" w:rsidRP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ثانيًا: خفض تكاليف التقاضي والتعامل مع الجهات القضائية</w:t>
      </w:r>
    </w:p>
    <w:p w14:paraId="529E4170"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لا تقتصر الآثار الاقتصادية على الدولة، وإنما تمتد إلى المتقاضين والمحامين والمنشآت الاقتصادية. فإتاحة رفع الدعاوى وتقديم الطلبات والمذكرات وسداد الرسوم ومتابعة القضايا وحضور بعض الجلسات إلكترونيًا تؤدي إلى تخفيض ما يمكن وصفه بـ </w:t>
      </w:r>
      <w:r w:rsidRPr="0056277A">
        <w:rPr>
          <w:rFonts w:ascii="Times New Roman" w:eastAsia="Times New Roman" w:hAnsi="Times New Roman" w:cs="Times New Roman"/>
          <w:b/>
          <w:bCs/>
          <w:sz w:val="24"/>
          <w:szCs w:val="24"/>
          <w:rtl/>
        </w:rPr>
        <w:t>التكاليف غير المباشرة للوصول إلى العدالة</w:t>
      </w:r>
      <w:r w:rsidRPr="0056277A">
        <w:rPr>
          <w:rFonts w:ascii="Times New Roman" w:eastAsia="Times New Roman" w:hAnsi="Times New Roman" w:cs="Times New Roman"/>
          <w:sz w:val="24"/>
          <w:szCs w:val="24"/>
          <w:rtl/>
        </w:rPr>
        <w:t>؛ كتكلفة الانتقال، والوقت الضائع في مراجعة الجهات القضائية، وطباعة المستندات وحفظها وتبادلها</w:t>
      </w:r>
      <w:r w:rsidRPr="0056277A">
        <w:rPr>
          <w:rFonts w:ascii="Times New Roman" w:eastAsia="Times New Roman" w:hAnsi="Times New Roman" w:cs="Times New Roman"/>
          <w:sz w:val="24"/>
          <w:szCs w:val="24"/>
        </w:rPr>
        <w:t>.</w:t>
      </w:r>
    </w:p>
    <w:p w14:paraId="1C414AEB"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وفي المملكة، أسهم التوسع في الخدمات العدلية الرقمية في تحويل عدد كبير من الإجراءات إلى خدمات يمكن إنجازها عن بُعد، وهو ما يتفق مع الاتجاه العام للحكومة الرقمية نحو تقديم خدمات تتمحور حول المستفيد ورفع جودة الخدمات وكفاءتها. وتظهر أهمية التنظيم القانوني هنا في أنه منح التعامل الإلكتروني أساسًا نظاميًا، بحيث لم يعد إنجاز الإجراء عن بُعد مجرد خيار تقني، وإنما أصبح وسيلة معترفًا بها لإنجاز عدد متزايد من المعاملات والإجراءات العدلية</w:t>
      </w:r>
      <w:r w:rsidRPr="0056277A">
        <w:rPr>
          <w:rFonts w:ascii="Times New Roman" w:eastAsia="Times New Roman" w:hAnsi="Times New Roman" w:cs="Times New Roman"/>
          <w:sz w:val="24"/>
          <w:szCs w:val="24"/>
        </w:rPr>
        <w:t>.</w:t>
      </w:r>
    </w:p>
    <w:p w14:paraId="1982AB79" w14:textId="2CFFCFE6" w:rsidR="0056277A" w:rsidRDefault="0056277A" w:rsidP="007020DD">
      <w:pPr>
        <w:spacing w:before="100" w:beforeAutospacing="1" w:after="100" w:afterAutospacing="1" w:line="360" w:lineRule="auto"/>
        <w:jc w:val="left"/>
        <w:rPr>
          <w:rFonts w:ascii="Times New Roman" w:eastAsia="Times New Roman" w:hAnsi="Times New Roman" w:cs="Times New Roman"/>
          <w:sz w:val="24"/>
          <w:szCs w:val="24"/>
          <w:rtl/>
        </w:rPr>
      </w:pPr>
      <w:r w:rsidRPr="0056277A">
        <w:rPr>
          <w:rFonts w:ascii="Times New Roman" w:eastAsia="Times New Roman" w:hAnsi="Times New Roman" w:cs="Times New Roman"/>
          <w:sz w:val="24"/>
          <w:szCs w:val="24"/>
          <w:rtl/>
        </w:rPr>
        <w:t>وفي الإمارات ظهر هذا الاتجاه بصورة واضحة في تحويل إجراءات قيد الدعاوى والطلبات القضائية وطلبات التنفيذ في المحاكم الاتحادية إلى نظم إلكترونية بنسبة 100</w:t>
      </w:r>
      <w:commentRangeStart w:id="22"/>
      <w:r w:rsidRPr="0056277A">
        <w:rPr>
          <w:rFonts w:ascii="Times New Roman" w:eastAsia="Times New Roman" w:hAnsi="Times New Roman" w:cs="Times New Roman"/>
          <w:sz w:val="24"/>
          <w:szCs w:val="24"/>
          <w:rtl/>
        </w:rPr>
        <w:t xml:space="preserve">%، وفق ما أعلنته وزارة العدل. كما أسهم تطوير الخدمات في تقليل الحاجة إلى الحضور المادي؛ فعلى سبيل المثال، أعلنت وزارة العدل في عام 2024 أن تطوير خدمة الكاتب العدل أدى إلى </w:t>
      </w:r>
      <w:r w:rsidRPr="0056277A">
        <w:rPr>
          <w:rFonts w:ascii="Times New Roman" w:eastAsia="Times New Roman" w:hAnsi="Times New Roman" w:cs="Times New Roman"/>
          <w:b/>
          <w:bCs/>
          <w:sz w:val="24"/>
          <w:szCs w:val="24"/>
          <w:rtl/>
        </w:rPr>
        <w:t>اختصار زمن تقديم الخدمة بنسبة 50% وتقليل عدد الحقول المطلوب تعبئتها بنسبة 70</w:t>
      </w:r>
      <w:r w:rsidRPr="0056277A">
        <w:rPr>
          <w:rFonts w:ascii="Times New Roman" w:eastAsia="Times New Roman" w:hAnsi="Times New Roman" w:cs="Times New Roman"/>
          <w:b/>
          <w:bCs/>
          <w:sz w:val="24"/>
          <w:szCs w:val="24"/>
        </w:rPr>
        <w:t>%</w:t>
      </w:r>
      <w:r w:rsidRPr="0056277A">
        <w:rPr>
          <w:rFonts w:ascii="Times New Roman" w:eastAsia="Times New Roman" w:hAnsi="Times New Roman" w:cs="Times New Roman"/>
          <w:sz w:val="24"/>
          <w:szCs w:val="24"/>
          <w:rtl/>
        </w:rPr>
        <w:t>، مع إمكان إنجاز بعض الخدمات دون الحضور الشخصي. ورغم أن هذه الخدمة ليست تقاضيًا بالمعنى الضيق، فإنها تقدم نموذجًا واضحًا لكيفية تحول التنظيم الرقمي للخدمات العدلية إلى خفض في تكلفة الوقت والإجراء بالنسبة إلى المستفيد</w:t>
      </w:r>
      <w:r w:rsidRPr="0056277A">
        <w:rPr>
          <w:rFonts w:ascii="Times New Roman" w:eastAsia="Times New Roman" w:hAnsi="Times New Roman" w:cs="Times New Roman"/>
          <w:sz w:val="24"/>
          <w:szCs w:val="24"/>
        </w:rPr>
        <w:t>.</w:t>
      </w:r>
      <w:commentRangeEnd w:id="22"/>
      <w:r w:rsidR="00AF69EF">
        <w:rPr>
          <w:rStyle w:val="ad"/>
          <w:rtl/>
        </w:rPr>
        <w:commentReference w:id="22"/>
      </w:r>
    </w:p>
    <w:p w14:paraId="337DF840" w14:textId="31D7CF88"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lastRenderedPageBreak/>
        <w:t xml:space="preserve">وفي سنغافورة أدى تطوير منظومة التقاضي الإلكتروني إلى جعل التعامل الرقمي مع ملفات القضايا جزءًا من البنية الأساسية للعمل القضائي، بما يقلل الاعتماد على الملفات الورقية والإجراءات المادية المتكررة. ويكشف ذلك عن اختلاف نسبي بين التجارب الثلاث؛ ففي حين يبرز في السعودية أثر تكامل الخدمات والمنصات الحكومية، وتظهر الإمارات قدرة أكبر على </w:t>
      </w:r>
      <w:r w:rsidRPr="0056277A">
        <w:rPr>
          <w:rtl/>
        </w:rPr>
        <w:t>خفض التكاليف المالية والتشغيلية</w:t>
      </w:r>
      <w:r w:rsidRPr="0056277A">
        <w:rPr>
          <w:rFonts w:ascii="Times New Roman" w:eastAsia="Times New Roman" w:hAnsi="Times New Roman" w:cs="Times New Roman"/>
          <w:sz w:val="24"/>
          <w:szCs w:val="24"/>
          <w:rtl/>
        </w:rPr>
        <w:t xml:space="preserve"> والوقت بصورة كمية، تبرز التجربة السنغافورية في دمج الإدارة الرقمية للقضية في سير العمل القضائي ذاته</w:t>
      </w:r>
      <w:r w:rsidRPr="0056277A">
        <w:rPr>
          <w:rFonts w:ascii="Times New Roman" w:eastAsia="Times New Roman" w:hAnsi="Times New Roman" w:cs="Times New Roman"/>
          <w:sz w:val="24"/>
          <w:szCs w:val="24"/>
        </w:rPr>
        <w:t>.</w:t>
      </w:r>
    </w:p>
    <w:p w14:paraId="02A99010" w14:textId="77777777" w:rsidR="0056277A" w:rsidRP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ثالثًا: رفع الإنتاجية وتحسين استغلال الموارد البشرية</w:t>
      </w:r>
    </w:p>
    <w:p w14:paraId="3E085D00"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commentRangeStart w:id="23"/>
      <w:r w:rsidRPr="0056277A">
        <w:rPr>
          <w:rFonts w:ascii="Times New Roman" w:eastAsia="Times New Roman" w:hAnsi="Times New Roman" w:cs="Times New Roman"/>
          <w:sz w:val="24"/>
          <w:szCs w:val="24"/>
          <w:rtl/>
        </w:rPr>
        <w:t>يمثل رفع الإنتاجية أثرًا اقتصاديًا مهمًا للتحول الرقمي القضائي؛ فالاقتصاد في الوقت الذي يستغرقه تسجيل الطلبات وتصنيفها واسترجاع الملفات وتبادل المستندات يتيح للعاملين في الجهات القضائية توجيه قدر أكبر من وقت العمل إلى المهام القانونية والقضائية الأساسية</w:t>
      </w:r>
      <w:r w:rsidRPr="0056277A">
        <w:rPr>
          <w:rFonts w:ascii="Times New Roman" w:eastAsia="Times New Roman" w:hAnsi="Times New Roman" w:cs="Times New Roman"/>
          <w:sz w:val="24"/>
          <w:szCs w:val="24"/>
        </w:rPr>
        <w:t>.</w:t>
      </w:r>
    </w:p>
    <w:p w14:paraId="61E4A2C4"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وفي المملكة يعكس </w:t>
      </w:r>
      <w:r w:rsidRPr="0056277A">
        <w:rPr>
          <w:rFonts w:ascii="Times New Roman" w:eastAsia="Times New Roman" w:hAnsi="Times New Roman" w:cs="Times New Roman"/>
          <w:b/>
          <w:bCs/>
          <w:sz w:val="24"/>
          <w:szCs w:val="24"/>
          <w:rtl/>
        </w:rPr>
        <w:t>قياس التحول الرقمي لعام 2024</w:t>
      </w:r>
      <w:r w:rsidRPr="0056277A">
        <w:rPr>
          <w:rFonts w:ascii="Times New Roman" w:eastAsia="Times New Roman" w:hAnsi="Times New Roman" w:cs="Times New Roman"/>
          <w:sz w:val="24"/>
          <w:szCs w:val="24"/>
          <w:rtl/>
        </w:rPr>
        <w:t xml:space="preserve"> هذا الاتجاه؛ إذ يستهدف القياس تحسين أداء الجهات الحكومية وفاعليتها وجودة الخدمات المقدمة للمستفيدين، وقد بلغ متوسط نتيجة الجهات الحكومية المشمولة بالقياس </w:t>
      </w:r>
      <w:r w:rsidRPr="0056277A">
        <w:rPr>
          <w:rFonts w:ascii="Times New Roman" w:eastAsia="Times New Roman" w:hAnsi="Times New Roman" w:cs="Times New Roman"/>
          <w:b/>
          <w:bCs/>
          <w:sz w:val="24"/>
          <w:szCs w:val="24"/>
        </w:rPr>
        <w:t xml:space="preserve">85.53% </w:t>
      </w:r>
      <w:r w:rsidRPr="0056277A">
        <w:rPr>
          <w:rFonts w:ascii="Times New Roman" w:eastAsia="Times New Roman" w:hAnsi="Times New Roman" w:cs="Times New Roman"/>
          <w:b/>
          <w:bCs/>
          <w:sz w:val="24"/>
          <w:szCs w:val="24"/>
          <w:rtl/>
        </w:rPr>
        <w:t>في عام 2024</w:t>
      </w:r>
      <w:r w:rsidRPr="0056277A">
        <w:rPr>
          <w:rFonts w:ascii="Times New Roman" w:eastAsia="Times New Roman" w:hAnsi="Times New Roman" w:cs="Times New Roman"/>
          <w:sz w:val="24"/>
          <w:szCs w:val="24"/>
        </w:rPr>
        <w:t xml:space="preserve">. </w:t>
      </w:r>
      <w:r w:rsidRPr="0056277A">
        <w:rPr>
          <w:rFonts w:ascii="Times New Roman" w:eastAsia="Times New Roman" w:hAnsi="Times New Roman" w:cs="Times New Roman"/>
          <w:sz w:val="24"/>
          <w:szCs w:val="24"/>
          <w:rtl/>
        </w:rPr>
        <w:t>وتكشف هذه المؤشرات أن التحول الرقمي أصبح مرتبطًا بقياس الأداء المؤسسي، وليس بمجرد عدد الخدمات التي تم تحويلها إلى الشكل الإلكتروني</w:t>
      </w:r>
      <w:r w:rsidRPr="0056277A">
        <w:rPr>
          <w:rFonts w:ascii="Times New Roman" w:eastAsia="Times New Roman" w:hAnsi="Times New Roman" w:cs="Times New Roman"/>
          <w:sz w:val="24"/>
          <w:szCs w:val="24"/>
        </w:rPr>
        <w:t>.</w:t>
      </w:r>
    </w:p>
    <w:p w14:paraId="1B451AEA"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وفي الإمارات يرتبط ذلك بتوجه أكثر صراحة نحو تقليص الإجراءات وتصفير البيروقراطية؛ فقد أكدت وزارة العدل أن التحول الرقمي في المنظومة القضائية والقانونية يقوم على تيسير الإجراءات وتقليصها والاستفادة من التقنيات الحديثة في رفع كفاءة منظومة العدالة. كما أن توفير ملايين ساعات العمل على المستوى الحكومي يعني اقتصاديًا إمكان إعادة توجيه الموارد البشرية نحو أعمال أكثر إنتاجية بدلًا من استهلاكها في الإجراءات الروتينية</w:t>
      </w:r>
      <w:r w:rsidRPr="0056277A">
        <w:rPr>
          <w:rFonts w:ascii="Times New Roman" w:eastAsia="Times New Roman" w:hAnsi="Times New Roman" w:cs="Times New Roman"/>
          <w:sz w:val="24"/>
          <w:szCs w:val="24"/>
        </w:rPr>
        <w:t>.</w:t>
      </w:r>
    </w:p>
    <w:p w14:paraId="45263117"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أما سنغافورة، فإن الاعتماد المبكر على التقاضي الإلكتروني وإدارة الملفات الرقمية يعكس نموذجًا يقوم على جعل التقنية جزءًا من إدارة الموارد القضائية نفسها. ومن ثم يظهر الأثر الاقتصادي في تقليل الزمن الإداري للقضية وتحسين تدفق المستندات والمعلومات بين المحكمة وممارسي المهنة القانونية</w:t>
      </w:r>
      <w:r w:rsidRPr="0056277A">
        <w:rPr>
          <w:rFonts w:ascii="Times New Roman" w:eastAsia="Times New Roman" w:hAnsi="Times New Roman" w:cs="Times New Roman"/>
          <w:sz w:val="24"/>
          <w:szCs w:val="24"/>
        </w:rPr>
        <w:t>.</w:t>
      </w:r>
    </w:p>
    <w:p w14:paraId="0BBA68A7" w14:textId="77777777" w:rsid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tl/>
        </w:rPr>
      </w:pPr>
    </w:p>
    <w:p w14:paraId="0CCB741D" w14:textId="77777777" w:rsid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tl/>
        </w:rPr>
      </w:pPr>
    </w:p>
    <w:p w14:paraId="7773F42C" w14:textId="77777777" w:rsid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tl/>
        </w:rPr>
      </w:pPr>
    </w:p>
    <w:commentRangeEnd w:id="23"/>
    <w:p w14:paraId="26B2D71B" w14:textId="5087872C" w:rsidR="0056277A" w:rsidRDefault="00AF69EF" w:rsidP="0056277A">
      <w:pPr>
        <w:spacing w:before="100" w:beforeAutospacing="1" w:after="100" w:afterAutospacing="1" w:line="360" w:lineRule="auto"/>
        <w:jc w:val="left"/>
        <w:outlineLvl w:val="2"/>
        <w:rPr>
          <w:rFonts w:ascii="Times New Roman" w:eastAsia="Times New Roman" w:hAnsi="Times New Roman" w:cs="Times New Roman"/>
          <w:b/>
          <w:bCs/>
          <w:sz w:val="27"/>
          <w:szCs w:val="27"/>
          <w:rtl/>
        </w:rPr>
      </w:pPr>
      <w:r>
        <w:rPr>
          <w:rStyle w:val="ad"/>
          <w:rtl/>
        </w:rPr>
        <w:commentReference w:id="23"/>
      </w:r>
    </w:p>
    <w:p w14:paraId="65360E07" w14:textId="67601736" w:rsidR="0056277A" w:rsidRPr="0056277A" w:rsidRDefault="0056277A" w:rsidP="0056277A">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رابعًا: دعم بيئة الأعمال وتحقيق قيمة اقتصادية غير مباشرة</w:t>
      </w:r>
    </w:p>
    <w:p w14:paraId="65C5181A"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lastRenderedPageBreak/>
        <w:t xml:space="preserve">لا ينبغي حصر الأثر الاقتصادي للتحول القضائي الرقمي في الوفر المالي المباشر؛ لأن سرعة الإجراءات القضائية وإمكان الوصول إلى الخدمات القانونية عن بُعد وتحسين كفاءة تنفيذ الحقوق تؤثر كذلك في </w:t>
      </w:r>
      <w:r w:rsidRPr="0056277A">
        <w:rPr>
          <w:rFonts w:ascii="Times New Roman" w:eastAsia="Times New Roman" w:hAnsi="Times New Roman" w:cs="Times New Roman"/>
          <w:b/>
          <w:bCs/>
          <w:sz w:val="24"/>
          <w:szCs w:val="24"/>
          <w:rtl/>
        </w:rPr>
        <w:t>بيئة الأعمال والثقة في المعاملات والاستثمار</w:t>
      </w:r>
      <w:r w:rsidRPr="0056277A">
        <w:rPr>
          <w:rFonts w:ascii="Times New Roman" w:eastAsia="Times New Roman" w:hAnsi="Times New Roman" w:cs="Times New Roman"/>
          <w:sz w:val="24"/>
          <w:szCs w:val="24"/>
        </w:rPr>
        <w:t xml:space="preserve">. </w:t>
      </w:r>
      <w:r w:rsidRPr="0056277A">
        <w:rPr>
          <w:rFonts w:ascii="Times New Roman" w:eastAsia="Times New Roman" w:hAnsi="Times New Roman" w:cs="Times New Roman"/>
          <w:sz w:val="24"/>
          <w:szCs w:val="24"/>
          <w:rtl/>
        </w:rPr>
        <w:t>فالمستثمر لا ينظر فقط إلى القواعد الموضوعية التي تحكم نشاطه، وإنما يهتم أيضًا بمدى سهولة إنفاذ العقود وتسوية المنازعات والحصول على الخدمات القانونية والقضائية</w:t>
      </w:r>
      <w:r w:rsidRPr="0056277A">
        <w:rPr>
          <w:rFonts w:ascii="Times New Roman" w:eastAsia="Times New Roman" w:hAnsi="Times New Roman" w:cs="Times New Roman"/>
          <w:sz w:val="24"/>
          <w:szCs w:val="24"/>
        </w:rPr>
        <w:t>.</w:t>
      </w:r>
    </w:p>
    <w:p w14:paraId="553A9D6C"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commentRangeStart w:id="24"/>
      <w:r w:rsidRPr="0056277A">
        <w:rPr>
          <w:rFonts w:ascii="Times New Roman" w:eastAsia="Times New Roman" w:hAnsi="Times New Roman" w:cs="Times New Roman"/>
          <w:sz w:val="24"/>
          <w:szCs w:val="24"/>
          <w:rtl/>
        </w:rPr>
        <w:t xml:space="preserve">ولهذا ربطت الاستراتيجية السعودية للحكومة الرقمية بين تطوير الخدمات الرقمية وبين </w:t>
      </w:r>
      <w:r w:rsidRPr="0056277A">
        <w:rPr>
          <w:rFonts w:ascii="Times New Roman" w:eastAsia="Times New Roman" w:hAnsi="Times New Roman" w:cs="Times New Roman"/>
          <w:b/>
          <w:bCs/>
          <w:sz w:val="24"/>
          <w:szCs w:val="24"/>
          <w:rtl/>
        </w:rPr>
        <w:t>تمكين الأعمال وتسهيل ممارسة الأنشطة الاقتصادية وتنمية الاقتصاد الرقمي ورفع كفاءة الاستثمار الحكومي</w:t>
      </w:r>
      <w:r w:rsidRPr="0056277A">
        <w:rPr>
          <w:rFonts w:ascii="Times New Roman" w:eastAsia="Times New Roman" w:hAnsi="Times New Roman" w:cs="Times New Roman"/>
          <w:sz w:val="24"/>
          <w:szCs w:val="24"/>
        </w:rPr>
        <w:t xml:space="preserve">. </w:t>
      </w:r>
      <w:r w:rsidRPr="0056277A">
        <w:rPr>
          <w:rFonts w:ascii="Times New Roman" w:eastAsia="Times New Roman" w:hAnsi="Times New Roman" w:cs="Times New Roman"/>
          <w:sz w:val="24"/>
          <w:szCs w:val="24"/>
          <w:rtl/>
        </w:rPr>
        <w:t xml:space="preserve">كما تشير هيئة الحكومة الرقمية إلى أن حجم سوق الاتصالات وتقنية المعلومات في المملكة تجاوز </w:t>
      </w:r>
      <w:r w:rsidRPr="0056277A">
        <w:rPr>
          <w:rFonts w:ascii="Times New Roman" w:eastAsia="Times New Roman" w:hAnsi="Times New Roman" w:cs="Times New Roman"/>
          <w:b/>
          <w:bCs/>
          <w:sz w:val="24"/>
          <w:szCs w:val="24"/>
        </w:rPr>
        <w:t xml:space="preserve">180 </w:t>
      </w:r>
      <w:r w:rsidRPr="0056277A">
        <w:rPr>
          <w:rFonts w:ascii="Times New Roman" w:eastAsia="Times New Roman" w:hAnsi="Times New Roman" w:cs="Times New Roman"/>
          <w:b/>
          <w:bCs/>
          <w:sz w:val="24"/>
          <w:szCs w:val="24"/>
          <w:rtl/>
        </w:rPr>
        <w:t>مليار ريال في عام 2024</w:t>
      </w:r>
      <w:r w:rsidRPr="0056277A">
        <w:rPr>
          <w:rFonts w:ascii="Times New Roman" w:eastAsia="Times New Roman" w:hAnsi="Times New Roman" w:cs="Times New Roman"/>
          <w:sz w:val="24"/>
          <w:szCs w:val="24"/>
          <w:rtl/>
        </w:rPr>
        <w:t xml:space="preserve">، مع تقديم أكثر من </w:t>
      </w:r>
      <w:r w:rsidRPr="0056277A">
        <w:rPr>
          <w:rFonts w:ascii="Times New Roman" w:eastAsia="Times New Roman" w:hAnsi="Times New Roman" w:cs="Times New Roman"/>
          <w:b/>
          <w:bCs/>
          <w:sz w:val="24"/>
          <w:szCs w:val="24"/>
        </w:rPr>
        <w:t xml:space="preserve">4500 </w:t>
      </w:r>
      <w:r w:rsidRPr="0056277A">
        <w:rPr>
          <w:rFonts w:ascii="Times New Roman" w:eastAsia="Times New Roman" w:hAnsi="Times New Roman" w:cs="Times New Roman"/>
          <w:b/>
          <w:bCs/>
          <w:sz w:val="24"/>
          <w:szCs w:val="24"/>
          <w:rtl/>
        </w:rPr>
        <w:t>خدمة حكومية رقمية</w:t>
      </w:r>
      <w:r w:rsidRPr="0056277A">
        <w:rPr>
          <w:rFonts w:ascii="Times New Roman" w:eastAsia="Times New Roman" w:hAnsi="Times New Roman" w:cs="Times New Roman"/>
          <w:sz w:val="24"/>
          <w:szCs w:val="24"/>
          <w:rtl/>
        </w:rPr>
        <w:t xml:space="preserve"> تمثل أكثر من 97% من الخدمات الحكومية، وهو ما يعكس البيئة الاقتصادية الأوسع التي تعمل ضمنها منظومة العدالة الرقمية</w:t>
      </w:r>
      <w:r w:rsidRPr="0056277A">
        <w:rPr>
          <w:rFonts w:ascii="Times New Roman" w:eastAsia="Times New Roman" w:hAnsi="Times New Roman" w:cs="Times New Roman"/>
          <w:sz w:val="24"/>
          <w:szCs w:val="24"/>
        </w:rPr>
        <w:t>.</w:t>
      </w:r>
    </w:p>
    <w:p w14:paraId="44B61B5D" w14:textId="77777777" w:rsidR="0056277A" w:rsidRPr="0056277A" w:rsidRDefault="0056277A" w:rsidP="0056277A">
      <w:pPr>
        <w:spacing w:before="100" w:beforeAutospacing="1" w:after="100" w:afterAutospacing="1" w:line="360" w:lineRule="auto"/>
        <w:jc w:val="left"/>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ويتقارب ذلك مع النموذج الإماراتي الذي يربط الخدمات الرقمية بتعزيز الإنتاجية وتقليل الأعباء الإجرائية على الأفراد والمنشآت، بينما تعكس التجربة السنغافورية نموذجًا ناضجًا في دمج الخدمات القضائية الرقمية ضمن بيئة قانونية واقتصادية تقوم على السرعة والكفاءة وإمكان إدارة المنازعات والمستندات إلكترونيًا</w:t>
      </w:r>
      <w:r w:rsidRPr="0056277A">
        <w:rPr>
          <w:rFonts w:ascii="Times New Roman" w:eastAsia="Times New Roman" w:hAnsi="Times New Roman" w:cs="Times New Roman"/>
          <w:sz w:val="24"/>
          <w:szCs w:val="24"/>
        </w:rPr>
        <w:t>.</w:t>
      </w:r>
    </w:p>
    <w:p w14:paraId="477B014B" w14:textId="5D033952" w:rsidR="00D27886" w:rsidRPr="0056277A" w:rsidRDefault="0056277A" w:rsidP="0056277A">
      <w:pPr>
        <w:spacing w:before="100" w:beforeAutospacing="1" w:after="100" w:afterAutospacing="1" w:line="360" w:lineRule="auto"/>
        <w:jc w:val="both"/>
        <w:outlineLvl w:val="1"/>
        <w:rPr>
          <w:rFonts w:ascii="Times New Roman" w:eastAsia="Times New Roman" w:hAnsi="Times New Roman" w:cs="Times New Roman"/>
          <w:b/>
          <w:bCs/>
          <w:sz w:val="32"/>
          <w:szCs w:val="32"/>
          <w:rtl/>
        </w:rPr>
      </w:pPr>
      <w:r>
        <w:rPr>
          <w:rtl/>
        </w:rPr>
        <w:t xml:space="preserve">يتضح من المقارنة أن الأثر الاقتصادي لتنظيم التحول الرقمي القضائي في الدول الثلاث لا يتمثل في مجرد تخفيض استخدام الورق أو تقليل أعداد المراجعين للمحاكم، وإنما يمتد إلى </w:t>
      </w:r>
      <w:r>
        <w:rPr>
          <w:rStyle w:val="a3"/>
          <w:rtl/>
        </w:rPr>
        <w:t>إعادة توزيع الموارد العامة، وخفض تكاليف الوصول إلى العدالة، ورفع إنتاجية الموارد البشرية، وتحسين كفاءة تقديم الخدمات، ودعم بيئة الأعمال</w:t>
      </w:r>
      <w:r>
        <w:t xml:space="preserve">. </w:t>
      </w:r>
      <w:r>
        <w:rPr>
          <w:rtl/>
        </w:rPr>
        <w:t>غير أن التجارب تختلف في طريقة إظهار هذه النتائج؛ إذ تتجه المملكة العربية السعودية بصورة متزايدة نحو ربط التحول الرقمي بكفاءة الإنفاق والاستثمار والتكامل بين المنصات الحكومية، بينما تتميز الإمارات بوجود مؤشرات كمية واضحة لقياس الوفر المالي والزمني الناتج عن التحول الرقمي، في حين تتميز سنغافورة بعمق دمج النظم الرقمية في دورة إدارة الدعوى والعمل القضائي</w:t>
      </w:r>
    </w:p>
    <w:p w14:paraId="6F7D439B" w14:textId="6A953113" w:rsidR="00D27886" w:rsidRDefault="0056277A" w:rsidP="0056277A">
      <w:pPr>
        <w:spacing w:before="100" w:beforeAutospacing="1" w:after="100" w:afterAutospacing="1" w:line="360" w:lineRule="auto"/>
        <w:jc w:val="both"/>
        <w:outlineLvl w:val="1"/>
        <w:rPr>
          <w:rFonts w:ascii="Times New Roman" w:eastAsia="Times New Roman" w:hAnsi="Times New Roman" w:cs="Times New Roman"/>
          <w:b/>
          <w:bCs/>
          <w:sz w:val="32"/>
          <w:szCs w:val="32"/>
          <w:rtl/>
        </w:rPr>
      </w:pPr>
      <w:r>
        <w:rPr>
          <w:rtl/>
        </w:rPr>
        <w:t xml:space="preserve">أن الاستفادة من التجربتين الإماراتية والسنغافورية في المملكة لا تقتضي نقل النموذج التقني ذاته، بقدر ما تستدعي </w:t>
      </w:r>
      <w:r>
        <w:rPr>
          <w:rStyle w:val="a3"/>
          <w:rtl/>
        </w:rPr>
        <w:t>تطوير مؤشرات اقتصادية خاصة بالتحول القضائي الرقمي</w:t>
      </w:r>
      <w:r>
        <w:rPr>
          <w:rtl/>
        </w:rPr>
        <w:t xml:space="preserve"> تقيس بصورة مستقلة تكلفة الدعوى الإلكترونية مقارنة بالدعوى التقليدية، ومتوسط الوقت الذي توفره الخدمات الرقمية، ومقدار خفض التكاليف على المتقاضين، والعائد الاقتصادي الناتج عن التكامل بين منصة ناجز والجهات الحكومية الأخرى. فمن شأن وجود هذه المؤشرات أن ينقل تقييم التحول الرقمي القضائي من قياس عدد الخدمات والمعاملات الإلكترونية إلى قياس </w:t>
      </w:r>
      <w:r>
        <w:rPr>
          <w:rStyle w:val="a3"/>
          <w:rtl/>
        </w:rPr>
        <w:t>القيمة الاقتصادية الفعلية التي يحققها التنظيم الرقمي لمنظومة العدالة</w:t>
      </w:r>
      <w:r>
        <w:t>.</w:t>
      </w:r>
    </w:p>
    <w:p w14:paraId="52A8861A" w14:textId="77777777" w:rsidR="00D27886" w:rsidRDefault="00D27886" w:rsidP="0056277A">
      <w:pPr>
        <w:spacing w:before="100" w:beforeAutospacing="1" w:after="100" w:afterAutospacing="1" w:line="360" w:lineRule="auto"/>
        <w:jc w:val="both"/>
        <w:outlineLvl w:val="1"/>
        <w:rPr>
          <w:rFonts w:ascii="Times New Roman" w:eastAsia="Times New Roman" w:hAnsi="Times New Roman" w:cs="Times New Roman"/>
          <w:b/>
          <w:bCs/>
          <w:sz w:val="32"/>
          <w:szCs w:val="32"/>
          <w:rtl/>
        </w:rPr>
      </w:pPr>
    </w:p>
    <w:p w14:paraId="05E67D5F" w14:textId="186FDDDF" w:rsidR="00576DB0" w:rsidRPr="00576DB0" w:rsidRDefault="00576DB0" w:rsidP="0056277A">
      <w:pPr>
        <w:pStyle w:val="3"/>
        <w:spacing w:line="360" w:lineRule="auto"/>
        <w:ind w:left="0" w:firstLine="0"/>
        <w:rPr>
          <w:sz w:val="24"/>
          <w:szCs w:val="24"/>
        </w:rPr>
      </w:pPr>
    </w:p>
    <w:p w14:paraId="766467D2" w14:textId="69E196D1" w:rsidR="00F306DC" w:rsidRDefault="00576DB0" w:rsidP="00AA2D35">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Pr>
        <w:t>.</w:t>
      </w:r>
      <w:commentRangeEnd w:id="24"/>
      <w:r w:rsidR="00AF69EF">
        <w:rPr>
          <w:rStyle w:val="ad"/>
          <w:rtl/>
        </w:rPr>
        <w:commentReference w:id="24"/>
      </w:r>
    </w:p>
    <w:p w14:paraId="33A6D03B" w14:textId="77777777" w:rsidR="0056277A" w:rsidRPr="0056277A" w:rsidRDefault="0056277A" w:rsidP="0056277A">
      <w:pPr>
        <w:bidi w:val="0"/>
        <w:spacing w:before="100" w:beforeAutospacing="1" w:after="100" w:afterAutospacing="1" w:line="360" w:lineRule="auto"/>
        <w:outlineLvl w:val="1"/>
        <w:rPr>
          <w:rFonts w:ascii="Times New Roman" w:eastAsia="Times New Roman" w:hAnsi="Times New Roman" w:cs="Times New Roman"/>
          <w:b/>
          <w:bCs/>
          <w:sz w:val="36"/>
          <w:szCs w:val="36"/>
        </w:rPr>
      </w:pPr>
      <w:r w:rsidRPr="0056277A">
        <w:rPr>
          <w:rFonts w:ascii="Times New Roman" w:eastAsia="Times New Roman" w:hAnsi="Times New Roman" w:cs="Times New Roman"/>
          <w:b/>
          <w:bCs/>
          <w:sz w:val="36"/>
          <w:szCs w:val="36"/>
          <w:rtl/>
        </w:rPr>
        <w:t>المطلب الثالث: الآثار التقنية والأمنية المترتبة على تنظيم التحول الرقمي</w:t>
      </w:r>
    </w:p>
    <w:p w14:paraId="218F294C"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lastRenderedPageBreak/>
        <w:t>أدى تنظيم التحول الرقمي إلى إحداث آثار تقنية وأمنية جوهرية في عمل المؤسسات القضائية؛ إذ لم يعد استخدام الوسائل التقنية في التقاضي قائمًا على مبادرات منفصلة أو حلول تقنية محدودة، وإنما أصبح جزءًا من منظومة تخضع لمتطلبات تنظيمية تتعلق بتكامل الأنظمة، وحوكمة تقنية المعلومات، واستمرارية الخدمات، وإدارة المخاطر، والأمن السيبراني. وتكتسب هذه الآثار أهمية خاصة في المجال القضائي بالنظر إلى حساسية البيانات والمستندات المتداولة، وضرورة المحافظة على سلامة الإجراءات وإمكان الاعتماد على الأنظمة الرقمية بصورة مستقرة وآمنة</w:t>
      </w:r>
      <w:r w:rsidRPr="0056277A">
        <w:rPr>
          <w:rFonts w:ascii="Times New Roman" w:eastAsia="Times New Roman" w:hAnsi="Times New Roman" w:cs="Times New Roman"/>
          <w:sz w:val="24"/>
          <w:szCs w:val="24"/>
        </w:rPr>
        <w:t>.</w:t>
      </w:r>
    </w:p>
    <w:p w14:paraId="0C30157D"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وتكشف المقارنة بين المملكة العربية السعودية والإمارات العربية المتحدة وسنغافورة عن اتجاه مشترك نحو بناء بنية قضائية رقمية موثوقة، وإن اختلفت الأدوات التنظيمية والتقنية التي اعتمدتها كل دولة لتحقيق ذلك</w:t>
      </w:r>
      <w:r w:rsidRPr="0056277A">
        <w:rPr>
          <w:rFonts w:ascii="Times New Roman" w:eastAsia="Times New Roman" w:hAnsi="Times New Roman" w:cs="Times New Roman"/>
          <w:sz w:val="24"/>
          <w:szCs w:val="24"/>
        </w:rPr>
        <w:t>.</w:t>
      </w:r>
    </w:p>
    <w:p w14:paraId="2BB51DD3" w14:textId="77777777" w:rsidR="0056277A" w:rsidRPr="0056277A" w:rsidRDefault="0056277A" w:rsidP="0056277A">
      <w:pPr>
        <w:bidi w:val="0"/>
        <w:spacing w:before="100" w:beforeAutospacing="1" w:after="100" w:afterAutospacing="1" w:line="360" w:lineRule="auto"/>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أولًا: تطوير البنية التقنية وتحقيق التكامل بين الأنظمة</w:t>
      </w:r>
    </w:p>
    <w:p w14:paraId="5E45F115"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commentRangeStart w:id="25"/>
      <w:r w:rsidRPr="0056277A">
        <w:rPr>
          <w:rFonts w:ascii="Times New Roman" w:eastAsia="Times New Roman" w:hAnsi="Times New Roman" w:cs="Times New Roman"/>
          <w:sz w:val="24"/>
          <w:szCs w:val="24"/>
          <w:rtl/>
        </w:rPr>
        <w:t>يتمثل أول الآثار التقنية لتنظيم التحول الرقمي في الانتقال من استخدام تطبيقات إلكترونية منفصلة إلى بناء منظومات رقمية مترابطة تستطيع تبادل البيانات والخدمات. ولا تتحقق الفائدة الكاملة من التحول القضائي بمجرد تحويل الدعوى الورقية إلى ملف إلكتروني، وإنما تتطلب وجود بنية تقنية تسمح بربط المحكمة بالجهات ذات الصلة، وتبادل المعلومات بصورة موثوقة، والحد من تكرار إدخال البيانات والمستندات</w:t>
      </w:r>
      <w:r w:rsidRPr="0056277A">
        <w:rPr>
          <w:rFonts w:ascii="Times New Roman" w:eastAsia="Times New Roman" w:hAnsi="Times New Roman" w:cs="Times New Roman"/>
          <w:sz w:val="24"/>
          <w:szCs w:val="24"/>
        </w:rPr>
        <w:t>.</w:t>
      </w:r>
    </w:p>
    <w:p w14:paraId="3C3E8CC5"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وفي المملكة العربية السعودية يتضح هذا الاتجاه من الإطار التنظيمي للحكومة الرقمية، الذي يركز على تحقيق التكامل بين الجهات الحكومية ورفع كفاءة البنية الرقمية. ويستهدف </w:t>
      </w:r>
      <w:r w:rsidRPr="0056277A">
        <w:rPr>
          <w:rFonts w:ascii="Times New Roman" w:eastAsia="Times New Roman" w:hAnsi="Times New Roman" w:cs="Times New Roman"/>
          <w:b/>
          <w:bCs/>
          <w:sz w:val="24"/>
          <w:szCs w:val="24"/>
          <w:rtl/>
        </w:rPr>
        <w:t>برنامج الحكومة الشاملة</w:t>
      </w:r>
      <w:r w:rsidRPr="0056277A">
        <w:rPr>
          <w:rFonts w:ascii="Times New Roman" w:eastAsia="Times New Roman" w:hAnsi="Times New Roman" w:cs="Times New Roman"/>
          <w:sz w:val="24"/>
          <w:szCs w:val="24"/>
          <w:rtl/>
        </w:rPr>
        <w:t xml:space="preserve"> تطوير وتشغيل منصات وتطبيقات موحدة تمكّن الجهات الحكومية من تبادل الخدمات وربطها بكفاءة، مع رفع مستوى مشاركة البيانات بينها. كما تقرر سياسات الحكومة الرقمية ضرورة بناء التقنيات بصورة مرنة تسمح بمواءمتها مع التوجهات المستقبلية، وامتثال التقنيات للمتطلبات التشريعية والتنظيمية المتعلقة بإدارة البيانات والتعاملات الرقمية والأمن السيبراني. ويعني ذلك أن تنظيم التحول الرقمي أحدث أثرًا تقنيًا يتمثل في الانتقال من مجرد </w:t>
      </w:r>
      <w:proofErr w:type="spellStart"/>
      <w:r w:rsidRPr="0056277A">
        <w:rPr>
          <w:rFonts w:ascii="Times New Roman" w:eastAsia="Times New Roman" w:hAnsi="Times New Roman" w:cs="Times New Roman"/>
          <w:sz w:val="24"/>
          <w:szCs w:val="24"/>
          <w:rtl/>
        </w:rPr>
        <w:t>رقمنة</w:t>
      </w:r>
      <w:proofErr w:type="spellEnd"/>
      <w:r w:rsidRPr="0056277A">
        <w:rPr>
          <w:rFonts w:ascii="Times New Roman" w:eastAsia="Times New Roman" w:hAnsi="Times New Roman" w:cs="Times New Roman"/>
          <w:sz w:val="24"/>
          <w:szCs w:val="24"/>
          <w:rtl/>
        </w:rPr>
        <w:t xml:space="preserve"> الخدمة إلى </w:t>
      </w:r>
      <w:r w:rsidRPr="0056277A">
        <w:rPr>
          <w:rFonts w:ascii="Times New Roman" w:eastAsia="Times New Roman" w:hAnsi="Times New Roman" w:cs="Times New Roman"/>
          <w:b/>
          <w:bCs/>
          <w:sz w:val="24"/>
          <w:szCs w:val="24"/>
          <w:rtl/>
        </w:rPr>
        <w:t>تكامل الأنظمة والخدمات والبيانات داخل بيئة حكومية منظمة</w:t>
      </w:r>
      <w:commentRangeEnd w:id="25"/>
      <w:r w:rsidR="001F5BF8">
        <w:rPr>
          <w:rStyle w:val="ad"/>
          <w:rtl/>
        </w:rPr>
        <w:commentReference w:id="25"/>
      </w:r>
      <w:r w:rsidRPr="0056277A">
        <w:rPr>
          <w:rFonts w:ascii="Times New Roman" w:eastAsia="Times New Roman" w:hAnsi="Times New Roman" w:cs="Times New Roman"/>
          <w:sz w:val="24"/>
          <w:szCs w:val="24"/>
        </w:rPr>
        <w:t>.</w:t>
      </w:r>
    </w:p>
    <w:p w14:paraId="46AB28C0"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وينعكس ذلك على المجال القضائي من خلال إمكان ربط الخدمات العدلية الرقمية بالجهات الحكومية ذات العلاقة، الأمر الذي يختصر الإجراءات ويعزز دقة البيانات المتداولة. وبالتالي فإن القيمة التقنية لمنصة رقمية قضائية لا تقاس فقط بعدد الخدمات التي تقدمها، وإنما كذلك بقدرتها على العمل ضمن منظومة حكومية متكاملة</w:t>
      </w:r>
      <w:r w:rsidRPr="0056277A">
        <w:rPr>
          <w:rFonts w:ascii="Times New Roman" w:eastAsia="Times New Roman" w:hAnsi="Times New Roman" w:cs="Times New Roman"/>
          <w:sz w:val="24"/>
          <w:szCs w:val="24"/>
        </w:rPr>
        <w:t>.</w:t>
      </w:r>
    </w:p>
    <w:p w14:paraId="4E8A8989"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56664315"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248A609F"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2F4716A8" w14:textId="1BD70FEB"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وتتقارب الإمارات وسنغافورة مع المملكة في هذا الاتجاه؛ إذ يقوم التحول الرقمي لديهما على بنية حكومية رقمية تدعم تبادل المعلومات والخدمات، غير أن التجربة السنغافورية تقدم نموذجًا متقدمًا في دمج التقنية مباشرة في دورة التقاضي؛ </w:t>
      </w:r>
      <w:commentRangeStart w:id="26"/>
      <w:r w:rsidRPr="0056277A">
        <w:rPr>
          <w:rFonts w:ascii="Times New Roman" w:eastAsia="Times New Roman" w:hAnsi="Times New Roman" w:cs="Times New Roman"/>
          <w:sz w:val="24"/>
          <w:szCs w:val="24"/>
          <w:rtl/>
        </w:rPr>
        <w:lastRenderedPageBreak/>
        <w:t xml:space="preserve">فمنصة </w:t>
      </w:r>
      <w:proofErr w:type="spellStart"/>
      <w:r w:rsidRPr="0056277A">
        <w:rPr>
          <w:rFonts w:ascii="Times New Roman" w:eastAsia="Times New Roman" w:hAnsi="Times New Roman" w:cs="Times New Roman"/>
          <w:b/>
          <w:bCs/>
          <w:sz w:val="24"/>
          <w:szCs w:val="24"/>
        </w:rPr>
        <w:t>eLitigation</w:t>
      </w:r>
      <w:proofErr w:type="spellEnd"/>
      <w:r w:rsidRPr="0056277A">
        <w:rPr>
          <w:rFonts w:ascii="Times New Roman" w:eastAsia="Times New Roman" w:hAnsi="Times New Roman" w:cs="Times New Roman"/>
          <w:sz w:val="24"/>
          <w:szCs w:val="24"/>
        </w:rPr>
        <w:t xml:space="preserve"> </w:t>
      </w:r>
      <w:r w:rsidRPr="0056277A">
        <w:rPr>
          <w:rFonts w:ascii="Times New Roman" w:eastAsia="Times New Roman" w:hAnsi="Times New Roman" w:cs="Times New Roman"/>
          <w:sz w:val="24"/>
          <w:szCs w:val="24"/>
          <w:rtl/>
        </w:rPr>
        <w:t>التابعة للسلطة القضائية السنغافورية تتيح الإيداع الإلكتروني للطلبات والمستندات في القضايا المدنية والأسرية، وكذلك في نطاق محدد من القضايا الجنائية أمام المحكمة العليا، وهو ما يجعل البنية الرقمية جزءًا من سير الدعوى نفسها، وليس مجرد قناة مساندة للخدمة القضائية</w:t>
      </w:r>
      <w:r w:rsidRPr="0056277A">
        <w:rPr>
          <w:rFonts w:ascii="Times New Roman" w:eastAsia="Times New Roman" w:hAnsi="Times New Roman" w:cs="Times New Roman"/>
          <w:sz w:val="24"/>
          <w:szCs w:val="24"/>
        </w:rPr>
        <w:t>.</w:t>
      </w:r>
    </w:p>
    <w:p w14:paraId="553CFAC1"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ومن ثم يظهر الأثر التقني المشترك في الدول الثلاث في </w:t>
      </w:r>
      <w:r w:rsidRPr="0056277A">
        <w:rPr>
          <w:rFonts w:ascii="Times New Roman" w:eastAsia="Times New Roman" w:hAnsi="Times New Roman" w:cs="Times New Roman"/>
          <w:b/>
          <w:bCs/>
          <w:sz w:val="24"/>
          <w:szCs w:val="24"/>
          <w:rtl/>
        </w:rPr>
        <w:t>تحول البنية الرقمية من وسيلة لتقديم الخدمة إلى بنية أساسية لإدارة الإجراء القضائي وتبادل المعلومات المرتبطة به</w:t>
      </w:r>
      <w:r w:rsidRPr="0056277A">
        <w:rPr>
          <w:rFonts w:ascii="Times New Roman" w:eastAsia="Times New Roman" w:hAnsi="Times New Roman" w:cs="Times New Roman"/>
          <w:sz w:val="24"/>
          <w:szCs w:val="24"/>
        </w:rPr>
        <w:t>.</w:t>
      </w:r>
      <w:commentRangeEnd w:id="26"/>
      <w:r w:rsidR="001F5BF8">
        <w:rPr>
          <w:rStyle w:val="ad"/>
          <w:rtl/>
        </w:rPr>
        <w:commentReference w:id="26"/>
      </w:r>
    </w:p>
    <w:p w14:paraId="1F6CA225" w14:textId="77777777" w:rsidR="0056277A" w:rsidRPr="0056277A" w:rsidRDefault="0056277A" w:rsidP="0056277A">
      <w:pPr>
        <w:bidi w:val="0"/>
        <w:spacing w:before="100" w:beforeAutospacing="1" w:after="100" w:afterAutospacing="1" w:line="360" w:lineRule="auto"/>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t>ثانيًا: تعزيز موثوقية الأنظمة الرقمية واستمرارية الخدمات القضائية</w:t>
      </w:r>
    </w:p>
    <w:p w14:paraId="25952BBA"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أدى تنظيم التحول الرقمي كذلك إلى زيادة الاهتمام بموثوقية الأنظمة واستمرارية عملها؛ لأن الاعتماد المتزايد على المنصات القضائية يجعل أي تعطل تقني مؤثرًا بصورة مباشرة في قدرة الأفراد على رفع الدعاوى وتقديم الطلبات ومتابعة </w:t>
      </w:r>
      <w:commentRangeStart w:id="27"/>
      <w:r w:rsidRPr="0056277A">
        <w:rPr>
          <w:rFonts w:ascii="Times New Roman" w:eastAsia="Times New Roman" w:hAnsi="Times New Roman" w:cs="Times New Roman"/>
          <w:sz w:val="24"/>
          <w:szCs w:val="24"/>
          <w:rtl/>
        </w:rPr>
        <w:t>الإجراءات</w:t>
      </w:r>
      <w:r w:rsidRPr="0056277A">
        <w:rPr>
          <w:rFonts w:ascii="Times New Roman" w:eastAsia="Times New Roman" w:hAnsi="Times New Roman" w:cs="Times New Roman"/>
          <w:sz w:val="24"/>
          <w:szCs w:val="24"/>
        </w:rPr>
        <w:t>.</w:t>
      </w:r>
    </w:p>
    <w:p w14:paraId="66BB4095"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وتظهر أهمية هذا الأثر في أن التنظيم التقني الحديث لم يعد يهتم فقط بإنشاء النظام الإلكتروني، وإنما أصبح يتطلب إدارة المخاطر واستمرارية الأعمال ورفع جاهزية الجهات الحكومية. وفي المملكة، تتضمن البيئة التنظيمية للحكومة الرقمية ضوابط ومعايير لحوكمة تقنية المعلومات وإدارة المخاطر واستمرارية الأعمال، وهو ما يعكس الانتقال من مفهوم «تشغيل الخدمة الرقمية» إلى مفهوم أوسع يقوم على </w:t>
      </w:r>
      <w:r w:rsidRPr="0056277A">
        <w:rPr>
          <w:rFonts w:ascii="Times New Roman" w:eastAsia="Times New Roman" w:hAnsi="Times New Roman" w:cs="Times New Roman"/>
          <w:b/>
          <w:bCs/>
          <w:sz w:val="24"/>
          <w:szCs w:val="24"/>
          <w:rtl/>
        </w:rPr>
        <w:t>ضمان استدامة الخدمة وقدرتها على مواجهة الأعطال والمخاطر الرقمية</w:t>
      </w:r>
      <w:r w:rsidRPr="0056277A">
        <w:rPr>
          <w:rFonts w:ascii="Times New Roman" w:eastAsia="Times New Roman" w:hAnsi="Times New Roman" w:cs="Times New Roman"/>
          <w:sz w:val="24"/>
          <w:szCs w:val="24"/>
        </w:rPr>
        <w:t>.</w:t>
      </w:r>
    </w:p>
    <w:p w14:paraId="38A96EF1"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وتزداد أهمية ذلك في القضاء؛ فإذا أصبح رفع الدعوى أو تقديم المذكرة أو الحصول على خدمة قضائية مرتبطًا بمنصة رقمية، فإن استمرارية هذه المنصة تصبح من الضمانات العملية للوصول إلى العدالة. ومن هنا يترتب على التحول الرقمي التزام مؤسسي بتوفير بنية تقنية مستقرة وخطط للتعامل مع الأعطال واستعادة الخدمات والبيانات</w:t>
      </w:r>
      <w:r w:rsidRPr="0056277A">
        <w:rPr>
          <w:rFonts w:ascii="Times New Roman" w:eastAsia="Times New Roman" w:hAnsi="Times New Roman" w:cs="Times New Roman"/>
          <w:sz w:val="24"/>
          <w:szCs w:val="24"/>
        </w:rPr>
        <w:t>.</w:t>
      </w:r>
    </w:p>
    <w:p w14:paraId="5711F315"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ويظهر الاتجاه ذاته في سنغافورة؛ فقد أصدرت هيئة تطوير الإعلام والاتصالات في عام 2025 إرشادات تتعلق بمرونة وأمن الخدمات السحابية ومراكز البيانات، موضحة أن استمرار الخدمات الرقمية يعتمد على توافر البنية السحابية ومراكز البيانات بصورة مستقرة، وأن المخاطر قد تنتج عن أخطاء في البنية التقنية أو الحوادث المادية أو الهجمات السيبرانية</w:t>
      </w:r>
      <w:r w:rsidRPr="0056277A">
        <w:rPr>
          <w:rFonts w:ascii="Times New Roman" w:eastAsia="Times New Roman" w:hAnsi="Times New Roman" w:cs="Times New Roman"/>
          <w:sz w:val="24"/>
          <w:szCs w:val="24"/>
        </w:rPr>
        <w:t>.</w:t>
      </w:r>
    </w:p>
    <w:p w14:paraId="2F5CA8C4"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r w:rsidRPr="0056277A">
        <w:rPr>
          <w:rFonts w:ascii="Times New Roman" w:eastAsia="Times New Roman" w:hAnsi="Times New Roman" w:cs="Times New Roman"/>
          <w:sz w:val="24"/>
          <w:szCs w:val="24"/>
          <w:rtl/>
        </w:rPr>
        <w:t xml:space="preserve">وبذلك يتضح أن أحد أهم الآثار التقنية للتنظيم يتمثل في </w:t>
      </w:r>
      <w:r w:rsidRPr="0056277A">
        <w:rPr>
          <w:rFonts w:ascii="Times New Roman" w:eastAsia="Times New Roman" w:hAnsi="Times New Roman" w:cs="Times New Roman"/>
          <w:b/>
          <w:bCs/>
          <w:sz w:val="24"/>
          <w:szCs w:val="24"/>
          <w:rtl/>
        </w:rPr>
        <w:t>تحويل استمرارية الأنظمة من مسألة تشغيلية داخلية إلى عنصر أساسي في موثوقية الخدمة الرقمية</w:t>
      </w:r>
      <w:r w:rsidRPr="0056277A">
        <w:rPr>
          <w:rFonts w:ascii="Times New Roman" w:eastAsia="Times New Roman" w:hAnsi="Times New Roman" w:cs="Times New Roman"/>
          <w:sz w:val="24"/>
          <w:szCs w:val="24"/>
          <w:rtl/>
        </w:rPr>
        <w:t>، وهو أمر أكثر أهمية في البيئة القضائية لارتباط الخدمة بمواعيد وإجراءات قد يترتب على فواتها آثار قانونية</w:t>
      </w:r>
    </w:p>
    <w:commentRangeEnd w:id="27"/>
    <w:p w14:paraId="0CA94B23" w14:textId="77777777" w:rsidR="0056277A" w:rsidRDefault="001F5BF8" w:rsidP="0056277A">
      <w:pPr>
        <w:bidi w:val="0"/>
        <w:spacing w:before="100" w:beforeAutospacing="1" w:after="100" w:afterAutospacing="1" w:line="360" w:lineRule="auto"/>
        <w:rPr>
          <w:rFonts w:ascii="Times New Roman" w:eastAsia="Times New Roman" w:hAnsi="Times New Roman" w:cs="Times New Roman"/>
          <w:sz w:val="24"/>
          <w:szCs w:val="24"/>
          <w:rtl/>
        </w:rPr>
      </w:pPr>
      <w:r>
        <w:rPr>
          <w:rStyle w:val="ad"/>
          <w:rtl/>
        </w:rPr>
        <w:commentReference w:id="27"/>
      </w:r>
    </w:p>
    <w:p w14:paraId="66A75D2B" w14:textId="6E9CB3C4"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Pr>
        <w:t>.</w:t>
      </w:r>
    </w:p>
    <w:p w14:paraId="3DAE3415" w14:textId="02DBBF97" w:rsidR="0056277A" w:rsidRDefault="0056277A" w:rsidP="0056277A">
      <w:pPr>
        <w:bidi w:val="0"/>
        <w:spacing w:before="100" w:beforeAutospacing="1" w:after="100" w:afterAutospacing="1" w:line="360" w:lineRule="auto"/>
        <w:outlineLvl w:val="2"/>
        <w:rPr>
          <w:rFonts w:ascii="Times New Roman" w:eastAsia="Times New Roman" w:hAnsi="Times New Roman" w:cs="Times New Roman"/>
          <w:b/>
          <w:bCs/>
          <w:sz w:val="27"/>
          <w:szCs w:val="27"/>
          <w:rtl/>
        </w:rPr>
      </w:pPr>
      <w:r w:rsidRPr="0056277A">
        <w:rPr>
          <w:rFonts w:ascii="Times New Roman" w:eastAsia="Times New Roman" w:hAnsi="Times New Roman" w:cs="Times New Roman"/>
          <w:b/>
          <w:bCs/>
          <w:sz w:val="27"/>
          <w:szCs w:val="27"/>
          <w:rtl/>
        </w:rPr>
        <w:t>ثالثًا: تعزيز الأمن السيبراني وحماية الأنظمة القضائية</w:t>
      </w:r>
    </w:p>
    <w:p w14:paraId="5F10CDF6"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lastRenderedPageBreak/>
        <w:t xml:space="preserve">يقابل التوسع التقني توسع في المخاطر الأمنية؛ فكلما زاد الاعتماد على الملفات الإلكترونية والاتصال عن بُعد وتبادل البيانات بين الجهات، اتسع نطاق المخاطر المرتبطة بالاختراق أو التلاعب أو فقدان البيانات أو تعطيل الخدمات. ولذلك كان من أبرز الآثار الأمنية لتنظيم التحول الرقمي الانتقال من التعامل مع الأمن السيبراني بوصفه إجراءً تقنيًا مساعدًا إلى اعتباره </w:t>
      </w:r>
      <w:r w:rsidRPr="0056277A">
        <w:rPr>
          <w:rFonts w:ascii="Times New Roman" w:eastAsia="Times New Roman" w:hAnsi="Times New Roman" w:cs="Times New Roman"/>
          <w:b/>
          <w:bCs/>
          <w:sz w:val="24"/>
          <w:szCs w:val="24"/>
          <w:rtl/>
        </w:rPr>
        <w:t>التزامًا تنظيميًا ومؤسسيًا ملازمًا للتحول الرقمي</w:t>
      </w:r>
      <w:r w:rsidRPr="0056277A">
        <w:rPr>
          <w:rFonts w:ascii="Times New Roman" w:eastAsia="Times New Roman" w:hAnsi="Times New Roman" w:cs="Times New Roman"/>
          <w:sz w:val="24"/>
          <w:szCs w:val="24"/>
        </w:rPr>
        <w:t>.</w:t>
      </w:r>
      <w:commentRangeStart w:id="28"/>
      <w:commentRangeStart w:id="29"/>
    </w:p>
    <w:p w14:paraId="22BA4962"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وفي المملكة العربية السعودية يمثل إصدار الهيئة الوطنية للأمن السيبراني </w:t>
      </w:r>
      <w:r w:rsidRPr="0056277A">
        <w:rPr>
          <w:rFonts w:ascii="Times New Roman" w:eastAsia="Times New Roman" w:hAnsi="Times New Roman" w:cs="Times New Roman"/>
          <w:b/>
          <w:bCs/>
          <w:sz w:val="24"/>
          <w:szCs w:val="24"/>
          <w:rtl/>
        </w:rPr>
        <w:t>الضوابط الأساسية للأمن السيبراني</w:t>
      </w:r>
      <w:r w:rsidRPr="0056277A">
        <w:rPr>
          <w:rFonts w:ascii="Times New Roman" w:eastAsia="Times New Roman" w:hAnsi="Times New Roman" w:cs="Times New Roman"/>
          <w:b/>
          <w:bCs/>
          <w:sz w:val="24"/>
          <w:szCs w:val="24"/>
        </w:rPr>
        <w:t xml:space="preserve"> (ECC 2-2024)</w:t>
      </w:r>
      <w:r w:rsidRPr="0056277A">
        <w:rPr>
          <w:rFonts w:ascii="Times New Roman" w:eastAsia="Times New Roman" w:hAnsi="Times New Roman" w:cs="Times New Roman"/>
          <w:sz w:val="24"/>
          <w:szCs w:val="24"/>
        </w:rPr>
        <w:t xml:space="preserve"> </w:t>
      </w:r>
      <w:r w:rsidRPr="0056277A">
        <w:rPr>
          <w:rFonts w:ascii="Times New Roman" w:eastAsia="Times New Roman" w:hAnsi="Times New Roman" w:cs="Times New Roman"/>
          <w:sz w:val="24"/>
          <w:szCs w:val="24"/>
          <w:rtl/>
        </w:rPr>
        <w:t>مثالًا واضحًا على ذلك؛ إذ تستهدف هذه الضوابط تعزيز الأمن السيبراني على المستوى الوطني وحماية الأصول المعلوماتية والتقنية للجهات الوطنية. كما تؤكد الهيئة أن التحول الرقمي وما يصاحبه من زيادة قدرات تخزين البيانات وتبادلها يتطلب المحافظة على أمن المعلومات وتكامل الأنظمة وحماية الخدمات والأنشطة الحكومية</w:t>
      </w:r>
      <w:r w:rsidRPr="0056277A">
        <w:rPr>
          <w:rFonts w:ascii="Times New Roman" w:eastAsia="Times New Roman" w:hAnsi="Times New Roman" w:cs="Times New Roman"/>
          <w:sz w:val="24"/>
          <w:szCs w:val="24"/>
        </w:rPr>
        <w:t>.</w:t>
      </w:r>
    </w:p>
    <w:p w14:paraId="5F9E0778"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وتكتسب هذه الضوابط أهمية بالنسبة إلى القضاء؛ لأن الأنظمة القضائية تحتوي على بيانات ومستندات وملفات ذات حساسية مرتفعة، ومن ثم فإن ضمان سرية المعلومات وسلامتها وتوافرها يمثل شرطًا أساسيًا لاستمرار الثقة في التقاضي الرقمي. وقد دعمت المملكة هذا الاتجاه كذلك بضوابط متخصصة، من بينها </w:t>
      </w:r>
      <w:r w:rsidRPr="0056277A">
        <w:rPr>
          <w:rFonts w:ascii="Times New Roman" w:eastAsia="Times New Roman" w:hAnsi="Times New Roman" w:cs="Times New Roman"/>
          <w:b/>
          <w:bCs/>
          <w:sz w:val="24"/>
          <w:szCs w:val="24"/>
          <w:rtl/>
        </w:rPr>
        <w:t>ضوابط الأمن السيبراني للحوسبة السحابية</w:t>
      </w:r>
      <w:r w:rsidRPr="0056277A">
        <w:rPr>
          <w:rFonts w:ascii="Times New Roman" w:eastAsia="Times New Roman" w:hAnsi="Times New Roman" w:cs="Times New Roman"/>
          <w:b/>
          <w:bCs/>
          <w:sz w:val="24"/>
          <w:szCs w:val="24"/>
        </w:rPr>
        <w:t xml:space="preserve"> (CCC-2:2024)</w:t>
      </w:r>
      <w:r w:rsidRPr="0056277A">
        <w:rPr>
          <w:rFonts w:ascii="Times New Roman" w:eastAsia="Times New Roman" w:hAnsi="Times New Roman" w:cs="Times New Roman"/>
          <w:sz w:val="24"/>
          <w:szCs w:val="24"/>
          <w:rtl/>
        </w:rPr>
        <w:t>، التي تستهدف تقليل المخاطر السيبرانية ورفع جاهزية مقدمي الخدمات والمشتركين في الخدمات السحابية</w:t>
      </w:r>
      <w:r w:rsidRPr="0056277A">
        <w:rPr>
          <w:rFonts w:ascii="Times New Roman" w:eastAsia="Times New Roman" w:hAnsi="Times New Roman" w:cs="Times New Roman"/>
          <w:sz w:val="24"/>
          <w:szCs w:val="24"/>
        </w:rPr>
        <w:t>.</w:t>
      </w:r>
    </w:p>
    <w:p w14:paraId="4C9182C0"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أما الإمارات وسنغافورة فقد تبنتا كذلك أطرًا وطنية لحماية البنية الرقمية وتعزيز الثقة والأمن في الخدمات الإلكترونية. وتبرز التجربة السنغافورية بصورة خاصة في ربط الأمن بمفهوم </w:t>
      </w:r>
      <w:r w:rsidRPr="0056277A">
        <w:rPr>
          <w:rFonts w:ascii="Times New Roman" w:eastAsia="Times New Roman" w:hAnsi="Times New Roman" w:cs="Times New Roman"/>
          <w:b/>
          <w:bCs/>
          <w:sz w:val="24"/>
          <w:szCs w:val="24"/>
          <w:rtl/>
        </w:rPr>
        <w:t>الثقة الرقمية</w:t>
      </w:r>
      <w:r w:rsidRPr="0056277A">
        <w:rPr>
          <w:rFonts w:ascii="Times New Roman" w:eastAsia="Times New Roman" w:hAnsi="Times New Roman" w:cs="Times New Roman"/>
          <w:sz w:val="24"/>
          <w:szCs w:val="24"/>
          <w:rtl/>
        </w:rPr>
        <w:t>؛ إذ تؤكد هيئة تطوير الإعلام والاتصالات السنغافورية أن انتشار التعاملات الرقمية يقتضي وجود تقنيات تحقق الخصوصية والموثوقية والثقة في الأنظمة والمعاملات الرقمية، كما تدعم سنغافورة البحث في تقنيات تعزيز الخصوصية وتقييم موثوقية أنظمة الذكاء الاصطناعي</w:t>
      </w:r>
      <w:r w:rsidRPr="0056277A">
        <w:rPr>
          <w:rFonts w:ascii="Times New Roman" w:eastAsia="Times New Roman" w:hAnsi="Times New Roman" w:cs="Times New Roman"/>
          <w:sz w:val="24"/>
          <w:szCs w:val="24"/>
        </w:rPr>
        <w:t>.</w:t>
      </w:r>
    </w:p>
    <w:p w14:paraId="2D2C5820"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r w:rsidRPr="0056277A">
        <w:rPr>
          <w:rFonts w:ascii="Times New Roman" w:eastAsia="Times New Roman" w:hAnsi="Times New Roman" w:cs="Times New Roman"/>
          <w:sz w:val="24"/>
          <w:szCs w:val="24"/>
          <w:rtl/>
        </w:rPr>
        <w:t>وعليه، تكشف المقارنة عن أن التنظيم في الدول الثلاث أدى إلى جعل الأمن السيبراني مكونًا أصيلًا من مكونات التحول الرقمي، بدلًا من اعتباره مرحلة لاحقة لتطوير النظام</w:t>
      </w:r>
    </w:p>
    <w:p w14:paraId="0A93B832"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commentRangeEnd w:id="28"/>
    <w:p w14:paraId="112DC774" w14:textId="77777777" w:rsidR="0056277A" w:rsidRDefault="001F5BF8" w:rsidP="0056277A">
      <w:pPr>
        <w:bidi w:val="0"/>
        <w:spacing w:before="100" w:beforeAutospacing="1" w:after="100" w:afterAutospacing="1" w:line="360" w:lineRule="auto"/>
        <w:rPr>
          <w:rFonts w:ascii="Times New Roman" w:eastAsia="Times New Roman" w:hAnsi="Times New Roman" w:cs="Times New Roman"/>
          <w:sz w:val="24"/>
          <w:szCs w:val="24"/>
          <w:rtl/>
        </w:rPr>
      </w:pPr>
      <w:r>
        <w:rPr>
          <w:rStyle w:val="ad"/>
          <w:rtl/>
        </w:rPr>
        <w:commentReference w:id="28"/>
      </w:r>
      <w:commentRangeEnd w:id="29"/>
      <w:r>
        <w:rPr>
          <w:rStyle w:val="ad"/>
          <w:rtl/>
        </w:rPr>
        <w:commentReference w:id="29"/>
      </w:r>
    </w:p>
    <w:p w14:paraId="5A2EEEDD"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373D8ECF"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5A7732F1"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754635C8"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0551D8C5" w14:textId="409D800C"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Pr>
        <w:t>.</w:t>
      </w:r>
    </w:p>
    <w:p w14:paraId="7671502B" w14:textId="62F32D61" w:rsidR="0056277A" w:rsidRPr="0056277A" w:rsidRDefault="0056277A" w:rsidP="0056277A">
      <w:pPr>
        <w:bidi w:val="0"/>
        <w:spacing w:before="100" w:beforeAutospacing="1" w:after="100" w:afterAutospacing="1" w:line="360" w:lineRule="auto"/>
        <w:outlineLvl w:val="2"/>
        <w:rPr>
          <w:rFonts w:ascii="Times New Roman" w:eastAsia="Times New Roman" w:hAnsi="Times New Roman" w:cs="Times New Roman"/>
          <w:b/>
          <w:bCs/>
          <w:sz w:val="27"/>
          <w:szCs w:val="27"/>
        </w:rPr>
      </w:pPr>
      <w:r w:rsidRPr="0056277A">
        <w:rPr>
          <w:rFonts w:ascii="Times New Roman" w:eastAsia="Times New Roman" w:hAnsi="Times New Roman" w:cs="Times New Roman"/>
          <w:b/>
          <w:bCs/>
          <w:sz w:val="27"/>
          <w:szCs w:val="27"/>
          <w:rtl/>
        </w:rPr>
        <w:lastRenderedPageBreak/>
        <w:t>رابعًا: رفع مستوى الثقة في التقاضي الرقمي</w:t>
      </w:r>
    </w:p>
    <w:p w14:paraId="7E5F52A2"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لا يقتصر الأثر الأمني على منع الاختراقات والهجمات، بل يمتد إلى </w:t>
      </w:r>
      <w:r w:rsidRPr="0056277A">
        <w:rPr>
          <w:rFonts w:ascii="Times New Roman" w:eastAsia="Times New Roman" w:hAnsi="Times New Roman" w:cs="Times New Roman"/>
          <w:b/>
          <w:bCs/>
          <w:sz w:val="24"/>
          <w:szCs w:val="24"/>
          <w:rtl/>
        </w:rPr>
        <w:t>تعزيز الثقة القانونية والعملية في البيئة القضائية الرقمية</w:t>
      </w:r>
      <w:r w:rsidRPr="0056277A">
        <w:rPr>
          <w:rFonts w:ascii="Times New Roman" w:eastAsia="Times New Roman" w:hAnsi="Times New Roman" w:cs="Times New Roman"/>
          <w:sz w:val="24"/>
          <w:szCs w:val="24"/>
        </w:rPr>
        <w:t xml:space="preserve">. </w:t>
      </w:r>
      <w:r w:rsidRPr="0056277A">
        <w:rPr>
          <w:rFonts w:ascii="Times New Roman" w:eastAsia="Times New Roman" w:hAnsi="Times New Roman" w:cs="Times New Roman"/>
          <w:sz w:val="24"/>
          <w:szCs w:val="24"/>
          <w:rtl/>
        </w:rPr>
        <w:t>فقبول المتقاضي والمحامي والقاضي للاعتماد على النظام الإلكتروني يرتبط بمدى الاطمئنان إلى أن المستندات لن تتعرض للتغيير غير المشروع، وأن هوية المستخدم يمكن التحقق منها، وأن البيانات لن تكون متاحة لغير المصرح لهم، وأن النظام قادر على الاحتفاظ بالمعلومات واسترجاعها</w:t>
      </w:r>
      <w:r w:rsidRPr="0056277A">
        <w:rPr>
          <w:rFonts w:ascii="Times New Roman" w:eastAsia="Times New Roman" w:hAnsi="Times New Roman" w:cs="Times New Roman"/>
          <w:sz w:val="24"/>
          <w:szCs w:val="24"/>
        </w:rPr>
        <w:t>.</w:t>
      </w:r>
    </w:p>
    <w:p w14:paraId="29F20152"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ولهذا توجد علاقة وثيقة بين الأمن التقني وحجية الإجراء القضائي؛ فسلامة البيئة التقنية تساعد على إثبات مصدر المستند وسلامته وتاريخ تقديمه، كما تدعم إمكان تتبع العمليات التي تتم داخل النظام. وبالتالي فإن التنظيم الأمني لا يحمي النظام القضائي من المخاطر التقنية فحسب، وإنما </w:t>
      </w:r>
      <w:r w:rsidRPr="0056277A">
        <w:rPr>
          <w:rFonts w:ascii="Times New Roman" w:eastAsia="Times New Roman" w:hAnsi="Times New Roman" w:cs="Times New Roman"/>
          <w:b/>
          <w:bCs/>
          <w:sz w:val="24"/>
          <w:szCs w:val="24"/>
          <w:rtl/>
        </w:rPr>
        <w:t>يسهم بصورة غير مباشرة في تعزيز الثقة في صحة الإجراءات القضائية الإلكترونية ذاتها</w:t>
      </w:r>
      <w:r w:rsidRPr="0056277A">
        <w:rPr>
          <w:rFonts w:ascii="Times New Roman" w:eastAsia="Times New Roman" w:hAnsi="Times New Roman" w:cs="Times New Roman"/>
          <w:sz w:val="24"/>
          <w:szCs w:val="24"/>
        </w:rPr>
        <w:t>.</w:t>
      </w:r>
    </w:p>
    <w:p w14:paraId="442972FE"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commentRangeStart w:id="30"/>
      <w:r w:rsidRPr="0056277A">
        <w:rPr>
          <w:rFonts w:ascii="Times New Roman" w:eastAsia="Times New Roman" w:hAnsi="Times New Roman" w:cs="Times New Roman"/>
          <w:sz w:val="24"/>
          <w:szCs w:val="24"/>
          <w:rtl/>
        </w:rPr>
        <w:t>وتظهر التجربة السنغافورية هذا الترابط بوضوح؛ إذ تجمع بنيتها الرقمية بين الهوية الرقمية والخدمات الموثوقة والتحقق من المستندات وتبادل المعلومات في بيئة رقمية آمنة. وتصف هيئة تطوير الإعلام والاتصالات السنغافورية الهوية الرقمية الوطنية، التي يتم الوصول إليها من خلال</w:t>
      </w:r>
      <w:r w:rsidRPr="0056277A">
        <w:rPr>
          <w:rFonts w:ascii="Times New Roman" w:eastAsia="Times New Roman" w:hAnsi="Times New Roman" w:cs="Times New Roman"/>
          <w:sz w:val="24"/>
          <w:szCs w:val="24"/>
        </w:rPr>
        <w:t xml:space="preserve"> </w:t>
      </w:r>
      <w:proofErr w:type="spellStart"/>
      <w:r w:rsidRPr="0056277A">
        <w:rPr>
          <w:rFonts w:ascii="Times New Roman" w:eastAsia="Times New Roman" w:hAnsi="Times New Roman" w:cs="Times New Roman"/>
          <w:sz w:val="24"/>
          <w:szCs w:val="24"/>
        </w:rPr>
        <w:t>Singpass</w:t>
      </w:r>
      <w:proofErr w:type="spellEnd"/>
      <w:r w:rsidRPr="0056277A">
        <w:rPr>
          <w:rFonts w:ascii="Times New Roman" w:eastAsia="Times New Roman" w:hAnsi="Times New Roman" w:cs="Times New Roman"/>
          <w:sz w:val="24"/>
          <w:szCs w:val="24"/>
        </w:rPr>
        <w:t xml:space="preserve"> </w:t>
      </w:r>
      <w:r w:rsidRPr="0056277A">
        <w:rPr>
          <w:rFonts w:ascii="Times New Roman" w:eastAsia="Times New Roman" w:hAnsi="Times New Roman" w:cs="Times New Roman"/>
          <w:sz w:val="24"/>
          <w:szCs w:val="24"/>
          <w:rtl/>
        </w:rPr>
        <w:t>و</w:t>
      </w:r>
      <w:proofErr w:type="spellStart"/>
      <w:r w:rsidRPr="0056277A">
        <w:rPr>
          <w:rFonts w:ascii="Times New Roman" w:eastAsia="Times New Roman" w:hAnsi="Times New Roman" w:cs="Times New Roman"/>
          <w:sz w:val="24"/>
          <w:szCs w:val="24"/>
        </w:rPr>
        <w:t>Corppass</w:t>
      </w:r>
      <w:proofErr w:type="spellEnd"/>
      <w:r w:rsidRPr="0056277A">
        <w:rPr>
          <w:rFonts w:ascii="Times New Roman" w:eastAsia="Times New Roman" w:hAnsi="Times New Roman" w:cs="Times New Roman"/>
          <w:sz w:val="24"/>
          <w:szCs w:val="24"/>
          <w:rtl/>
        </w:rPr>
        <w:t>، بأنها توفر بيئة موثوقة للأفراد والأعمال لإجراء التعاملات الرقمية بأمان</w:t>
      </w:r>
      <w:commentRangeEnd w:id="30"/>
      <w:r w:rsidR="001F5BF8">
        <w:rPr>
          <w:rStyle w:val="ad"/>
          <w:rtl/>
        </w:rPr>
        <w:commentReference w:id="30"/>
      </w:r>
      <w:r w:rsidRPr="0056277A">
        <w:rPr>
          <w:rFonts w:ascii="Times New Roman" w:eastAsia="Times New Roman" w:hAnsi="Times New Roman" w:cs="Times New Roman"/>
          <w:sz w:val="24"/>
          <w:szCs w:val="24"/>
        </w:rPr>
        <w:t>.</w:t>
      </w:r>
    </w:p>
    <w:p w14:paraId="052D49B4"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commentRangeStart w:id="31"/>
      <w:r w:rsidRPr="0056277A">
        <w:rPr>
          <w:rFonts w:ascii="Times New Roman" w:eastAsia="Times New Roman" w:hAnsi="Times New Roman" w:cs="Times New Roman"/>
          <w:sz w:val="24"/>
          <w:szCs w:val="24"/>
          <w:rtl/>
        </w:rPr>
        <w:t xml:space="preserve">وبالمقارنة، تتجه المملكة إلى تحقيق الغاية نفسها من خلال الجمع بين تنظيم الحكومة الرقمية وضوابط الأمن السيبراني والهوية الرقمية والتكامل بين الجهات، بينما اتجهت الإمارات إلى بناء منظومة واسعة للخدمات الحكومية والقضائية الرقمية مقرونة بأطر وطنية للأمن والثقة الرقمية. ويكشف ذلك أن الثقة في التقاضي الرقمي لا تنتج عن التقنية وحدها، وإنما عن </w:t>
      </w:r>
      <w:r w:rsidRPr="0056277A">
        <w:rPr>
          <w:rFonts w:ascii="Times New Roman" w:eastAsia="Times New Roman" w:hAnsi="Times New Roman" w:cs="Times New Roman"/>
          <w:b/>
          <w:bCs/>
          <w:sz w:val="24"/>
          <w:szCs w:val="24"/>
          <w:rtl/>
        </w:rPr>
        <w:t>تكامل التنظيم القانوني مع الضمانات التقنية والأمنية</w:t>
      </w:r>
      <w:r w:rsidRPr="0056277A">
        <w:rPr>
          <w:rFonts w:ascii="Times New Roman" w:eastAsia="Times New Roman" w:hAnsi="Times New Roman" w:cs="Times New Roman"/>
          <w:sz w:val="24"/>
          <w:szCs w:val="24"/>
        </w:rPr>
        <w:t>.</w:t>
      </w:r>
    </w:p>
    <w:p w14:paraId="4FEC81D7" w14:textId="77777777"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يتبين من المقارنة أن الآثار التقنية والأمنية لتنظيم التحول الرقمي في المملكة العربية السعودية والإمارات وسنغافورة تجاوزت مجرد تحديث الأجهزة والبرامج المستخدمة في العمل القضائي، وأدت إلى تحول أعمق في بنية العدالة الرقمية، يقوم على تكامل الأنظمة، واستمرارية الخدمات، وإدارة المخاطر، وحماية الأصول المعلوماتية، وتعزيز الثقة في الإجراءات الإلكترونية</w:t>
      </w:r>
      <w:r w:rsidRPr="0056277A">
        <w:rPr>
          <w:rFonts w:ascii="Times New Roman" w:eastAsia="Times New Roman" w:hAnsi="Times New Roman" w:cs="Times New Roman"/>
          <w:sz w:val="24"/>
          <w:szCs w:val="24"/>
        </w:rPr>
        <w:t>.</w:t>
      </w:r>
    </w:p>
    <w:p w14:paraId="5A8E7906"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commentRangeEnd w:id="31"/>
    <w:p w14:paraId="4C889E30" w14:textId="77777777" w:rsidR="0056277A" w:rsidRDefault="001F5BF8" w:rsidP="0056277A">
      <w:pPr>
        <w:bidi w:val="0"/>
        <w:spacing w:before="100" w:beforeAutospacing="1" w:after="100" w:afterAutospacing="1" w:line="360" w:lineRule="auto"/>
        <w:rPr>
          <w:rFonts w:ascii="Times New Roman" w:eastAsia="Times New Roman" w:hAnsi="Times New Roman" w:cs="Times New Roman"/>
          <w:sz w:val="24"/>
          <w:szCs w:val="24"/>
          <w:rtl/>
        </w:rPr>
      </w:pPr>
      <w:r>
        <w:rPr>
          <w:rStyle w:val="ad"/>
          <w:rtl/>
        </w:rPr>
        <w:commentReference w:id="31"/>
      </w:r>
    </w:p>
    <w:p w14:paraId="396EEFDC"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1BA1AB1D" w14:textId="77777777" w:rsid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tl/>
        </w:rPr>
      </w:pPr>
    </w:p>
    <w:p w14:paraId="3F3DFBFB" w14:textId="225E6DA9"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 xml:space="preserve">وتتميز المملكة بوجود إطار تنظيمي متنامٍ يجمع بين تنظيم الحكومة الرقمية والضوابط الوطنية للأمن السيبراني، بما يوفر أساسًا قويًا لتطوير الخدمات القضائية الرقمية. وفي المقابل، تظهر التجربة الإماراتية توسعًا كبيرًا في دمج الخدمات </w:t>
      </w:r>
      <w:r w:rsidRPr="0056277A">
        <w:rPr>
          <w:rFonts w:ascii="Times New Roman" w:eastAsia="Times New Roman" w:hAnsi="Times New Roman" w:cs="Times New Roman"/>
          <w:sz w:val="24"/>
          <w:szCs w:val="24"/>
          <w:rtl/>
        </w:rPr>
        <w:lastRenderedPageBreak/>
        <w:t>الحكومية والقضائية ضمن بيئة رقمية متكاملة، بينما تتميز سنغافورة بدمج البنية التقنية بصورة مباشرة في دورة إدارة الدعوى من خلال نظام</w:t>
      </w:r>
      <w:r w:rsidRPr="0056277A">
        <w:rPr>
          <w:rFonts w:ascii="Times New Roman" w:eastAsia="Times New Roman" w:hAnsi="Times New Roman" w:cs="Times New Roman"/>
          <w:sz w:val="24"/>
          <w:szCs w:val="24"/>
        </w:rPr>
        <w:t xml:space="preserve"> </w:t>
      </w:r>
      <w:proofErr w:type="spellStart"/>
      <w:r w:rsidRPr="0056277A">
        <w:rPr>
          <w:rFonts w:ascii="Times New Roman" w:eastAsia="Times New Roman" w:hAnsi="Times New Roman" w:cs="Times New Roman"/>
          <w:sz w:val="24"/>
          <w:szCs w:val="24"/>
        </w:rPr>
        <w:t>eLitigation</w:t>
      </w:r>
      <w:proofErr w:type="spellEnd"/>
      <w:r w:rsidRPr="0056277A">
        <w:rPr>
          <w:rFonts w:ascii="Times New Roman" w:eastAsia="Times New Roman" w:hAnsi="Times New Roman" w:cs="Times New Roman"/>
          <w:sz w:val="24"/>
          <w:szCs w:val="24"/>
          <w:rtl/>
        </w:rPr>
        <w:t>، إلى جانب الاهتمام المتقدم بالثقة الرقمية ومرونة البنية السحابية</w:t>
      </w:r>
      <w:r w:rsidRPr="0056277A">
        <w:rPr>
          <w:rFonts w:ascii="Times New Roman" w:eastAsia="Times New Roman" w:hAnsi="Times New Roman" w:cs="Times New Roman"/>
          <w:sz w:val="24"/>
          <w:szCs w:val="24"/>
        </w:rPr>
        <w:t>.</w:t>
      </w:r>
    </w:p>
    <w:p w14:paraId="47F8B515" w14:textId="5CE59CA2"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commentRangeStart w:id="32"/>
      <w:r w:rsidRPr="0056277A">
        <w:rPr>
          <w:rFonts w:ascii="Times New Roman" w:eastAsia="Times New Roman" w:hAnsi="Times New Roman" w:cs="Times New Roman"/>
          <w:sz w:val="24"/>
          <w:szCs w:val="24"/>
          <w:rtl/>
        </w:rPr>
        <w:t xml:space="preserve">أن التطور المستقبلي للتحول القضائي الرقمي في المملكة ينبغي ألا يقاس فقط بزيادة عدد الخدمات المقدمة إلكترونيًا، وإنما بمدى </w:t>
      </w:r>
      <w:r w:rsidRPr="0056277A">
        <w:rPr>
          <w:rFonts w:ascii="Times New Roman" w:eastAsia="Times New Roman" w:hAnsi="Times New Roman" w:cs="Times New Roman"/>
          <w:b/>
          <w:bCs/>
          <w:sz w:val="24"/>
          <w:szCs w:val="24"/>
          <w:rtl/>
        </w:rPr>
        <w:t>موثوقية البنية التقنية القضائية، وقدرتها على الاستمرار في حالات الأعطال والهجمات السيبرانية، وسرعة استعادة الخدمات، ومستوى التكامل الآمن بين الجهات، وفاعلية إدارة المخاطر التقنية</w:t>
      </w:r>
      <w:r w:rsidRPr="0056277A">
        <w:rPr>
          <w:rFonts w:ascii="Times New Roman" w:eastAsia="Times New Roman" w:hAnsi="Times New Roman" w:cs="Times New Roman"/>
          <w:sz w:val="24"/>
          <w:szCs w:val="24"/>
        </w:rPr>
        <w:t xml:space="preserve">. </w:t>
      </w:r>
      <w:r w:rsidRPr="0056277A">
        <w:rPr>
          <w:rFonts w:ascii="Times New Roman" w:eastAsia="Times New Roman" w:hAnsi="Times New Roman" w:cs="Times New Roman"/>
          <w:sz w:val="24"/>
          <w:szCs w:val="24"/>
          <w:rtl/>
        </w:rPr>
        <w:t>كما يستحسن تطوير مؤشرات متخصصة للأمن والمرونة الرقمية في القطاع القضائي؛ نظرًا إلى أن اتساع نطاق التقاضي الرقمي يؤدي بالضرورة إلى زيادة الاعتماد على البنية التقنية، ومن ثم زيادة الآثار القانونية المترتبة على أي خلل أو اختراق يصيبها</w:t>
      </w:r>
      <w:r w:rsidRPr="0056277A">
        <w:rPr>
          <w:rFonts w:ascii="Times New Roman" w:eastAsia="Times New Roman" w:hAnsi="Times New Roman" w:cs="Times New Roman"/>
          <w:sz w:val="24"/>
          <w:szCs w:val="24"/>
        </w:rPr>
        <w:t>.</w:t>
      </w:r>
    </w:p>
    <w:p w14:paraId="2B47CBDC" w14:textId="42948B5B" w:rsidR="0056277A" w:rsidRPr="0056277A" w:rsidRDefault="0056277A" w:rsidP="0056277A">
      <w:pPr>
        <w:bidi w:val="0"/>
        <w:spacing w:before="100" w:beforeAutospacing="1" w:after="100" w:afterAutospacing="1" w:line="360" w:lineRule="auto"/>
        <w:rPr>
          <w:rFonts w:ascii="Times New Roman" w:eastAsia="Times New Roman" w:hAnsi="Times New Roman" w:cs="Times New Roman"/>
          <w:sz w:val="24"/>
          <w:szCs w:val="24"/>
        </w:rPr>
      </w:pPr>
      <w:r w:rsidRPr="0056277A">
        <w:rPr>
          <w:rFonts w:ascii="Times New Roman" w:eastAsia="Times New Roman" w:hAnsi="Times New Roman" w:cs="Times New Roman"/>
          <w:sz w:val="24"/>
          <w:szCs w:val="24"/>
          <w:rtl/>
        </w:rPr>
        <w:t>و</w:t>
      </w:r>
      <w:r>
        <w:rPr>
          <w:rFonts w:ascii="Times New Roman" w:eastAsia="Times New Roman" w:hAnsi="Times New Roman" w:cs="Times New Roman" w:hint="cs"/>
          <w:sz w:val="24"/>
          <w:szCs w:val="24"/>
          <w:rtl/>
        </w:rPr>
        <w:t>يلخص</w:t>
      </w:r>
      <w:r w:rsidRPr="0056277A">
        <w:rPr>
          <w:rFonts w:ascii="Times New Roman" w:eastAsia="Times New Roman" w:hAnsi="Times New Roman" w:cs="Times New Roman"/>
          <w:sz w:val="24"/>
          <w:szCs w:val="24"/>
          <w:rtl/>
        </w:rPr>
        <w:t xml:space="preserve"> من ذلك إلى أن التنظيم القانوني للتحول الرقمي أدى إلى نتيجة مزدوجة: فمن الناحية التقنية، أسهم في بناء بيئة أكثر تكاملًا واستدامة لإدارة الإجراءات القضائية؛ ومن الناحية الأمنية، فرض الانتقال إلى مفهوم الأمن الوقائي القائم على إدارة المخاطر وحماية الأنظمة والبيانات وضمان استمرارية الخدمات. وبذلك أصبح </w:t>
      </w:r>
      <w:r w:rsidRPr="0056277A">
        <w:rPr>
          <w:rFonts w:ascii="Times New Roman" w:eastAsia="Times New Roman" w:hAnsi="Times New Roman" w:cs="Times New Roman"/>
          <w:b/>
          <w:bCs/>
          <w:sz w:val="24"/>
          <w:szCs w:val="24"/>
          <w:rtl/>
        </w:rPr>
        <w:t>الأمن السيبراني والاستقرار التقني من ضمانات فعالية العدالة الرقمية، وليس مجرد متطلبات تقنية مساندة لها</w:t>
      </w:r>
      <w:commentRangeEnd w:id="32"/>
      <w:r w:rsidR="001F5BF8">
        <w:rPr>
          <w:rStyle w:val="ad"/>
          <w:rtl/>
        </w:rPr>
        <w:commentReference w:id="32"/>
      </w:r>
      <w:r w:rsidRPr="0056277A">
        <w:rPr>
          <w:rFonts w:ascii="Times New Roman" w:eastAsia="Times New Roman" w:hAnsi="Times New Roman" w:cs="Times New Roman"/>
          <w:sz w:val="24"/>
          <w:szCs w:val="24"/>
        </w:rPr>
        <w:t>.</w:t>
      </w:r>
    </w:p>
    <w:p w14:paraId="3CAF4C74" w14:textId="688CCA7E" w:rsidR="00CF2016" w:rsidRPr="0056277A" w:rsidRDefault="00CF2016" w:rsidP="0056277A">
      <w:pPr>
        <w:spacing w:before="100" w:beforeAutospacing="1" w:after="100" w:afterAutospacing="1" w:line="360" w:lineRule="auto"/>
        <w:jc w:val="both"/>
        <w:outlineLvl w:val="2"/>
        <w:rPr>
          <w:rFonts w:ascii="Times New Roman" w:eastAsia="Times New Roman" w:hAnsi="Times New Roman" w:cs="Times New Roman"/>
          <w:sz w:val="24"/>
          <w:szCs w:val="24"/>
        </w:rPr>
      </w:pPr>
    </w:p>
    <w:p w14:paraId="727FC7EA" w14:textId="77777777" w:rsidR="00F306DC" w:rsidRPr="00CF2016" w:rsidRDefault="00F306DC" w:rsidP="0056277A">
      <w:pPr>
        <w:spacing w:before="100" w:beforeAutospacing="1" w:after="100" w:afterAutospacing="1" w:line="360" w:lineRule="auto"/>
        <w:jc w:val="both"/>
        <w:rPr>
          <w:rFonts w:ascii="Times New Roman" w:eastAsia="Times New Roman" w:hAnsi="Times New Roman" w:cs="Times New Roman"/>
          <w:sz w:val="24"/>
          <w:szCs w:val="24"/>
          <w:rtl/>
        </w:rPr>
      </w:pPr>
    </w:p>
    <w:p w14:paraId="30E1F5E8" w14:textId="5C9E32CB" w:rsidR="000A7209" w:rsidRPr="00CD3237" w:rsidRDefault="00F306DC" w:rsidP="0056277A">
      <w:pPr>
        <w:bidi w:val="0"/>
        <w:spacing w:line="360" w:lineRule="auto"/>
        <w:rPr>
          <w:rFonts w:ascii="Times New Roman" w:eastAsia="Times New Roman" w:hAnsi="Times New Roman" w:cs="Times New Roman"/>
          <w:b/>
          <w:bCs/>
          <w:sz w:val="28"/>
          <w:szCs w:val="28"/>
        </w:rPr>
      </w:pPr>
      <w:r>
        <w:rPr>
          <w:rFonts w:ascii="Times New Roman" w:eastAsia="Times New Roman" w:hAnsi="Times New Roman" w:cs="Times New Roman"/>
          <w:sz w:val="24"/>
          <w:szCs w:val="24"/>
          <w:rtl/>
        </w:rPr>
        <w:br w:type="page"/>
      </w:r>
    </w:p>
    <w:p w14:paraId="392EAAFE" w14:textId="77777777" w:rsidR="0037781B" w:rsidRPr="00957DBE" w:rsidRDefault="0037781B" w:rsidP="00AA2D35">
      <w:pPr>
        <w:spacing w:after="431" w:line="360" w:lineRule="auto"/>
        <w:ind w:right="59"/>
        <w:jc w:val="both"/>
        <w:rPr>
          <w:rFonts w:ascii="Times New Roman" w:hAnsi="Times New Roman" w:cs="Times New Roman"/>
          <w:b/>
          <w:bCs/>
          <w:sz w:val="24"/>
          <w:szCs w:val="24"/>
          <w:rtl/>
        </w:rPr>
      </w:pPr>
    </w:p>
    <w:p w14:paraId="12E77838" w14:textId="1424DE95" w:rsidR="0037781B" w:rsidRDefault="0037781B" w:rsidP="00F43B89">
      <w:pPr>
        <w:bidi w:val="0"/>
        <w:jc w:val="left"/>
        <w:rPr>
          <w:rFonts w:ascii="Times New Roman" w:hAnsi="Times New Roman" w:cs="Times New Roman"/>
          <w:b/>
          <w:bCs/>
          <w:sz w:val="24"/>
          <w:szCs w:val="24"/>
          <w:rtl/>
        </w:rPr>
      </w:pPr>
    </w:p>
    <w:p w14:paraId="1E836DF3" w14:textId="022456A4" w:rsidR="00101EFA" w:rsidRDefault="00101EFA" w:rsidP="0037781B">
      <w:pPr>
        <w:spacing w:after="431" w:line="360" w:lineRule="auto"/>
        <w:ind w:right="59"/>
        <w:jc w:val="both"/>
        <w:rPr>
          <w:rFonts w:ascii="Times New Roman" w:hAnsi="Times New Roman" w:cs="Times New Roman" w:hint="cs"/>
          <w:b/>
          <w:bCs/>
          <w:sz w:val="24"/>
          <w:szCs w:val="24"/>
          <w:rtl/>
        </w:rPr>
      </w:pPr>
    </w:p>
    <w:p w14:paraId="471C7CF6" w14:textId="77777777" w:rsidR="00101EFA" w:rsidRDefault="00101EFA">
      <w:pPr>
        <w:bidi w:val="0"/>
        <w:jc w:val="left"/>
        <w:rPr>
          <w:rFonts w:ascii="Times New Roman" w:hAnsi="Times New Roman" w:cs="Times New Roman"/>
          <w:b/>
          <w:bCs/>
          <w:sz w:val="24"/>
          <w:szCs w:val="24"/>
        </w:rPr>
      </w:pPr>
      <w:r>
        <w:rPr>
          <w:rFonts w:ascii="Times New Roman" w:hAnsi="Times New Roman" w:cs="Times New Roman"/>
          <w:b/>
          <w:bCs/>
          <w:sz w:val="24"/>
          <w:szCs w:val="24"/>
          <w:rtl/>
        </w:rPr>
        <w:br w:type="page"/>
      </w:r>
    </w:p>
    <w:p w14:paraId="66AC7C2A" w14:textId="4CCDA03D" w:rsidR="0037781B" w:rsidRPr="003505C5" w:rsidRDefault="0037781B" w:rsidP="003505C5">
      <w:pPr>
        <w:spacing w:after="431" w:line="360" w:lineRule="auto"/>
        <w:ind w:right="59"/>
        <w:jc w:val="both"/>
        <w:rPr>
          <w:rFonts w:ascii="Times New Roman" w:hAnsi="Times New Roman" w:cs="Times New Roman" w:hint="cs"/>
          <w:b/>
          <w:bCs/>
          <w:sz w:val="24"/>
          <w:szCs w:val="24"/>
        </w:rPr>
      </w:pPr>
    </w:p>
    <w:sectPr w:rsidR="0037781B" w:rsidRPr="003505C5" w:rsidSect="0093132B">
      <w:footerReference w:type="default" r:id="rId17"/>
      <w:pgSz w:w="11906" w:h="16838" w:code="9"/>
      <w:pgMar w:top="1480" w:right="1378" w:bottom="1435" w:left="1440" w:header="488" w:footer="476" w:gutter="0"/>
      <w:pgNumType w:start="0"/>
      <w:cols w:space="720"/>
      <w:titlePg/>
      <w:bidi/>
      <w:docGrid w:linePitch="29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Dr. Ibrahim" w:date="2026-08-17T19:42:00Z" w:initials="DI">
    <w:p w14:paraId="7C57E90F" w14:textId="57ACE570" w:rsidR="001C4EEC" w:rsidRDefault="001C4EEC">
      <w:pPr>
        <w:pStyle w:val="ae"/>
        <w:rPr>
          <w:rFonts w:hint="cs"/>
          <w:rtl/>
        </w:rPr>
      </w:pPr>
      <w:r>
        <w:rPr>
          <w:rStyle w:val="ad"/>
        </w:rPr>
        <w:annotationRef/>
      </w:r>
      <w:r>
        <w:rPr>
          <w:rFonts w:hint="cs"/>
          <w:rtl/>
        </w:rPr>
        <w:t>الفصل ما زال يعاني من مشاكل كبرى مثل</w:t>
      </w:r>
    </w:p>
    <w:p w14:paraId="040F3D3C" w14:textId="49F2586F" w:rsidR="001C4EEC" w:rsidRDefault="00F62A39" w:rsidP="001C4EEC">
      <w:pPr>
        <w:pStyle w:val="ae"/>
        <w:rPr>
          <w:rtl/>
        </w:rPr>
      </w:pPr>
      <w:r>
        <w:rPr>
          <w:rFonts w:hint="cs"/>
          <w:rtl/>
        </w:rPr>
        <w:t>-</w:t>
      </w:r>
      <w:r w:rsidR="001C4EEC">
        <w:rPr>
          <w:rFonts w:hint="cs"/>
          <w:rtl/>
        </w:rPr>
        <w:t>حشر الاسنادات وعدم دقتها بل وضعها للتغطية على الفقرات المكتوبة بالذكاء الاصطناعي</w:t>
      </w:r>
    </w:p>
    <w:p w14:paraId="09380363" w14:textId="186591E4" w:rsidR="00F62A39" w:rsidRDefault="00F62A39" w:rsidP="001C4EEC">
      <w:pPr>
        <w:pStyle w:val="ae"/>
        <w:rPr>
          <w:rtl/>
        </w:rPr>
      </w:pPr>
      <w:r>
        <w:rPr>
          <w:rFonts w:hint="cs"/>
          <w:rtl/>
        </w:rPr>
        <w:t xml:space="preserve">-ضعف التحليل في مطالب هامة وجوهرية مثل المسؤولية </w:t>
      </w:r>
    </w:p>
    <w:p w14:paraId="3F018BDA" w14:textId="138E0213" w:rsidR="00F62A39" w:rsidRDefault="00F62A39" w:rsidP="001C4EEC">
      <w:pPr>
        <w:pStyle w:val="ae"/>
        <w:rPr>
          <w:rtl/>
        </w:rPr>
      </w:pPr>
      <w:r>
        <w:rPr>
          <w:rFonts w:hint="cs"/>
          <w:rtl/>
        </w:rPr>
        <w:t>والآليات المتبعة في التقاضي الالكتروني في الدول الثلاث</w:t>
      </w:r>
    </w:p>
    <w:p w14:paraId="0B9A8BD5" w14:textId="118C0890" w:rsidR="00F62A39" w:rsidRDefault="00F62A39" w:rsidP="001C4EEC">
      <w:pPr>
        <w:pStyle w:val="ae"/>
        <w:rPr>
          <w:rFonts w:hint="cs"/>
          <w:rtl/>
        </w:rPr>
      </w:pPr>
      <w:r>
        <w:rPr>
          <w:rFonts w:hint="cs"/>
          <w:rtl/>
        </w:rPr>
        <w:t>-ضعف الأمانة العلمية وكتابة معظم الفصل بالذكاء الاصطناعي</w:t>
      </w:r>
    </w:p>
    <w:p w14:paraId="56B24EF6" w14:textId="7D82A619" w:rsidR="00F62A39" w:rsidRDefault="00F62A39" w:rsidP="00F11DC4">
      <w:pPr>
        <w:pStyle w:val="ae"/>
      </w:pPr>
      <w:r>
        <w:rPr>
          <w:rFonts w:hint="cs"/>
          <w:rtl/>
        </w:rPr>
        <w:t>الفصل بحاجة للتعمق في الحليل والاستعانة بمراجع حديثة وحذف الفقرات المكتوبة بالذكاء والاستعا</w:t>
      </w:r>
      <w:r w:rsidR="00F11DC4">
        <w:rPr>
          <w:rFonts w:hint="cs"/>
          <w:rtl/>
        </w:rPr>
        <w:t>ضة</w:t>
      </w:r>
      <w:bookmarkStart w:id="1" w:name="_GoBack"/>
      <w:bookmarkEnd w:id="1"/>
      <w:r>
        <w:rPr>
          <w:rFonts w:hint="cs"/>
          <w:rtl/>
        </w:rPr>
        <w:t xml:space="preserve"> عنها بالمراجع والاحصائيات الموثوقة من المواقع الرسمية مع ضرورة ذكر المرجع كاملا ورابط تحميله</w:t>
      </w:r>
    </w:p>
  </w:comment>
  <w:comment w:id="2" w:author="ibrahim h" w:date="2026-08-17T15:17:00Z" w:initials="ih">
    <w:p w14:paraId="5B2ACA75" w14:textId="77777777" w:rsidR="005723EB" w:rsidRDefault="005723EB" w:rsidP="00B16E9F">
      <w:pPr>
        <w:pStyle w:val="ae"/>
        <w:bidi w:val="0"/>
        <w:jc w:val="left"/>
      </w:pPr>
      <w:r>
        <w:rPr>
          <w:rStyle w:val="ad"/>
        </w:rPr>
        <w:annotationRef/>
      </w:r>
      <w:r>
        <w:rPr>
          <w:rtl/>
        </w:rPr>
        <w:t>الهامش غير حقيقي ولا يوجد رقم صفحةولا يوجد اسم المؤلف</w:t>
      </w:r>
      <w:proofErr w:type="gramStart"/>
      <w:r>
        <w:rPr>
          <w:rtl/>
        </w:rPr>
        <w:t xml:space="preserve"> ..</w:t>
      </w:r>
      <w:proofErr w:type="gramEnd"/>
      <w:r>
        <w:rPr>
          <w:rtl/>
        </w:rPr>
        <w:t>حتى لو كانوا مجموعة نضع اسم مؤلف القسم....</w:t>
      </w:r>
    </w:p>
  </w:comment>
  <w:comment w:id="3" w:author="Dr. Ibrahim" w:date="2026-08-17T16:25:00Z" w:initials="DI">
    <w:p w14:paraId="5923FB81" w14:textId="5415FE0B" w:rsidR="006B5CF3" w:rsidRDefault="006B5CF3">
      <w:pPr>
        <w:pStyle w:val="ae"/>
      </w:pPr>
      <w:r>
        <w:rPr>
          <w:rStyle w:val="ad"/>
        </w:rPr>
        <w:annotationRef/>
      </w:r>
      <w:r>
        <w:rPr>
          <w:rFonts w:hint="cs"/>
          <w:rtl/>
        </w:rPr>
        <w:t>غانم بستان وتحذف 1... وتحذف الأستاذة الدكتورة</w:t>
      </w:r>
    </w:p>
  </w:comment>
  <w:comment w:id="4" w:author="Dr. Ibrahim" w:date="2026-08-17T16:13:00Z" w:initials="DI">
    <w:p w14:paraId="6ABFDC76" w14:textId="77777777" w:rsidR="005723EB" w:rsidRDefault="005723EB">
      <w:pPr>
        <w:pStyle w:val="ae"/>
        <w:rPr>
          <w:rtl/>
          <w:lang w:bidi="ar-SY"/>
        </w:rPr>
      </w:pPr>
      <w:r>
        <w:rPr>
          <w:rStyle w:val="ad"/>
        </w:rPr>
        <w:annotationRef/>
      </w:r>
      <w:r>
        <w:rPr>
          <w:rFonts w:hint="cs"/>
          <w:rtl/>
          <w:lang w:bidi="ar-SY"/>
        </w:rPr>
        <w:t>لا يمكن وضع هامش واحد على العنوان لاختصار فقرة</w:t>
      </w:r>
    </w:p>
    <w:p w14:paraId="6BF3E8CA" w14:textId="77777777" w:rsidR="006B5CF3" w:rsidRDefault="006B5CF3">
      <w:pPr>
        <w:pStyle w:val="ae"/>
        <w:rPr>
          <w:rFonts w:hint="cs"/>
          <w:rtl/>
          <w:lang w:bidi="ar-SY"/>
        </w:rPr>
      </w:pPr>
      <w:r>
        <w:rPr>
          <w:rFonts w:hint="cs"/>
          <w:rtl/>
          <w:lang w:bidi="ar-SY"/>
        </w:rPr>
        <w:t>المرع غير مرتبط اطلاقا بمحتوى الفقرة</w:t>
      </w:r>
      <w:proofErr w:type="gramStart"/>
      <w:r>
        <w:rPr>
          <w:rFonts w:hint="cs"/>
          <w:rtl/>
          <w:lang w:bidi="ar-SY"/>
        </w:rPr>
        <w:t xml:space="preserve"> ..</w:t>
      </w:r>
      <w:proofErr w:type="gramEnd"/>
      <w:r>
        <w:rPr>
          <w:rFonts w:hint="cs"/>
          <w:rtl/>
          <w:lang w:bidi="ar-SY"/>
        </w:rPr>
        <w:t xml:space="preserve"> هو يتحدث عن القانون الإداري والوساطة </w:t>
      </w:r>
    </w:p>
    <w:p w14:paraId="15E4318D" w14:textId="7F3BF57B" w:rsidR="006B5CF3" w:rsidRDefault="006B5CF3">
      <w:pPr>
        <w:pStyle w:val="ae"/>
        <w:rPr>
          <w:rFonts w:hint="cs"/>
          <w:rtl/>
          <w:lang w:bidi="ar-SY"/>
        </w:rPr>
      </w:pPr>
      <w:r>
        <w:rPr>
          <w:rFonts w:hint="cs"/>
          <w:rtl/>
          <w:lang w:bidi="ar-SY"/>
        </w:rPr>
        <w:t>لذلك فهو محشور للتغطية على كلام الفقرة</w:t>
      </w:r>
    </w:p>
  </w:comment>
  <w:comment w:id="5" w:author="Dr. Ibrahim" w:date="2026-08-17T16:32:00Z" w:initials="DI">
    <w:p w14:paraId="160228FB" w14:textId="2C35F52E" w:rsidR="001A32B2" w:rsidRDefault="001A32B2">
      <w:pPr>
        <w:pStyle w:val="ae"/>
      </w:pPr>
      <w:r>
        <w:rPr>
          <w:rStyle w:val="ad"/>
        </w:rPr>
        <w:annotationRef/>
      </w:r>
      <w:r>
        <w:rPr>
          <w:rFonts w:hint="cs"/>
          <w:rtl/>
        </w:rPr>
        <w:t>فارغة</w:t>
      </w:r>
    </w:p>
  </w:comment>
  <w:comment w:id="6" w:author="Dr. Ibrahim" w:date="2026-08-17T16:35:00Z" w:initials="DI">
    <w:p w14:paraId="2D0BA9F9" w14:textId="2C6AE6F5" w:rsidR="001A32B2" w:rsidRDefault="001A32B2">
      <w:pPr>
        <w:pStyle w:val="ae"/>
      </w:pPr>
      <w:r>
        <w:rPr>
          <w:rStyle w:val="ad"/>
        </w:rPr>
        <w:annotationRef/>
      </w:r>
      <w:r>
        <w:rPr>
          <w:rFonts w:hint="cs"/>
          <w:rtl/>
        </w:rPr>
        <w:t>الهامش نضعه عند الكلام المقتبس من المرجع</w:t>
      </w:r>
    </w:p>
  </w:comment>
  <w:comment w:id="7" w:author="Dr. Ibrahim" w:date="2026-08-17T16:38:00Z" w:initials="DI">
    <w:p w14:paraId="1C2B218B" w14:textId="15E0DD1F" w:rsidR="001A32B2" w:rsidRDefault="001A32B2">
      <w:pPr>
        <w:pStyle w:val="ae"/>
      </w:pPr>
      <w:r>
        <w:rPr>
          <w:rStyle w:val="ad"/>
        </w:rPr>
        <w:annotationRef/>
      </w:r>
      <w:r>
        <w:rPr>
          <w:rFonts w:hint="cs"/>
          <w:rtl/>
        </w:rPr>
        <w:t xml:space="preserve">أسلوب المقارنة تحسن </w:t>
      </w:r>
      <w:proofErr w:type="gramStart"/>
      <w:r>
        <w:rPr>
          <w:rFonts w:hint="cs"/>
          <w:rtl/>
        </w:rPr>
        <w:t>كثيرا..</w:t>
      </w:r>
      <w:proofErr w:type="gramEnd"/>
      <w:r>
        <w:rPr>
          <w:rFonts w:hint="cs"/>
          <w:rtl/>
        </w:rPr>
        <w:t xml:space="preserve"> </w:t>
      </w:r>
      <w:proofErr w:type="spellStart"/>
      <w:r>
        <w:rPr>
          <w:rFonts w:hint="cs"/>
          <w:rtl/>
        </w:rPr>
        <w:t>أحسنتي</w:t>
      </w:r>
      <w:proofErr w:type="spellEnd"/>
    </w:p>
  </w:comment>
  <w:comment w:id="8" w:author="Dr. Ibrahim" w:date="2026-08-17T16:45:00Z" w:initials="DI">
    <w:p w14:paraId="4744B992" w14:textId="0DAD130B" w:rsidR="002C21E1" w:rsidRDefault="002C21E1">
      <w:pPr>
        <w:pStyle w:val="ae"/>
      </w:pPr>
      <w:r>
        <w:rPr>
          <w:rStyle w:val="ad"/>
        </w:rPr>
        <w:annotationRef/>
      </w:r>
      <w:r>
        <w:rPr>
          <w:rFonts w:hint="cs"/>
          <w:rtl/>
        </w:rPr>
        <w:t>ضعي المواد في الهامش</w:t>
      </w:r>
    </w:p>
  </w:comment>
  <w:comment w:id="9" w:author="Dr. Ibrahim" w:date="2026-08-17T16:46:00Z" w:initials="DI">
    <w:p w14:paraId="43C05766" w14:textId="07A65354" w:rsidR="002C21E1" w:rsidRDefault="002C21E1">
      <w:pPr>
        <w:pStyle w:val="ae"/>
      </w:pPr>
      <w:r>
        <w:rPr>
          <w:rStyle w:val="ad"/>
        </w:rPr>
        <w:annotationRef/>
      </w:r>
      <w:proofErr w:type="gramStart"/>
      <w:r>
        <w:rPr>
          <w:rFonts w:hint="cs"/>
          <w:rtl/>
        </w:rPr>
        <w:t>توسع..</w:t>
      </w:r>
      <w:proofErr w:type="gramEnd"/>
      <w:r>
        <w:rPr>
          <w:rFonts w:hint="cs"/>
          <w:rtl/>
        </w:rPr>
        <w:t xml:space="preserve"> إعادة </w:t>
      </w:r>
      <w:proofErr w:type="gramStart"/>
      <w:r>
        <w:rPr>
          <w:rFonts w:hint="cs"/>
          <w:rtl/>
        </w:rPr>
        <w:t>صياغة..</w:t>
      </w:r>
      <w:proofErr w:type="gramEnd"/>
      <w:r>
        <w:rPr>
          <w:rFonts w:hint="cs"/>
          <w:rtl/>
        </w:rPr>
        <w:t xml:space="preserve"> مراجع</w:t>
      </w:r>
    </w:p>
  </w:comment>
  <w:comment w:id="10" w:author="Dr. Ibrahim" w:date="2026-08-17T16:48:00Z" w:initials="DI">
    <w:p w14:paraId="12D780CE" w14:textId="45E8FB58" w:rsidR="002C21E1" w:rsidRDefault="002C21E1">
      <w:pPr>
        <w:pStyle w:val="ae"/>
      </w:pPr>
      <w:r>
        <w:rPr>
          <w:rStyle w:val="ad"/>
        </w:rPr>
        <w:annotationRef/>
      </w:r>
      <w:r>
        <w:rPr>
          <w:rFonts w:hint="cs"/>
          <w:rtl/>
        </w:rPr>
        <w:t>يحتاج الى توسع وتحليل لأنه جوهر بحثك</w:t>
      </w:r>
    </w:p>
  </w:comment>
  <w:comment w:id="11" w:author="Dr. Ibrahim" w:date="2026-08-17T17:02:00Z" w:initials="DI">
    <w:p w14:paraId="50E01827" w14:textId="3ABD61C9" w:rsidR="0089592B" w:rsidRDefault="0089592B">
      <w:pPr>
        <w:pStyle w:val="ae"/>
        <w:rPr>
          <w:rtl/>
        </w:rPr>
      </w:pPr>
      <w:r>
        <w:rPr>
          <w:rStyle w:val="ad"/>
        </w:rPr>
        <w:annotationRef/>
      </w:r>
      <w:proofErr w:type="spellStart"/>
      <w:r>
        <w:rPr>
          <w:rFonts w:hint="cs"/>
          <w:rtl/>
        </w:rPr>
        <w:t>اجبرتيني</w:t>
      </w:r>
      <w:proofErr w:type="spellEnd"/>
      <w:r>
        <w:rPr>
          <w:rFonts w:hint="cs"/>
          <w:rtl/>
        </w:rPr>
        <w:t xml:space="preserve"> على قراءة المرجع للكساسبة عدة مرات وتبين انه مرجع اقتصادي بحت لم يتناول مطلقا القضاء في سنغافورة</w:t>
      </w:r>
    </w:p>
    <w:p w14:paraId="675C7519" w14:textId="2154E422" w:rsidR="007C5981" w:rsidRDefault="007C5981">
      <w:pPr>
        <w:pStyle w:val="ae"/>
      </w:pPr>
      <w:proofErr w:type="gramStart"/>
      <w:r>
        <w:rPr>
          <w:rFonts w:hint="cs"/>
          <w:rtl/>
        </w:rPr>
        <w:t>اذا</w:t>
      </w:r>
      <w:proofErr w:type="gramEnd"/>
      <w:r>
        <w:rPr>
          <w:rFonts w:hint="cs"/>
          <w:rtl/>
        </w:rPr>
        <w:t xml:space="preserve"> اسناد مزور</w:t>
      </w:r>
    </w:p>
  </w:comment>
  <w:comment w:id="12" w:author="Dr. Ibrahim" w:date="2026-08-17T16:48:00Z" w:initials="DI">
    <w:p w14:paraId="15FF42ED" w14:textId="547786D0" w:rsidR="002C21E1" w:rsidRDefault="002C21E1" w:rsidP="002C21E1">
      <w:pPr>
        <w:pStyle w:val="ae"/>
      </w:pPr>
      <w:r>
        <w:rPr>
          <w:rStyle w:val="ad"/>
        </w:rPr>
        <w:annotationRef/>
      </w:r>
      <w:r>
        <w:rPr>
          <w:rFonts w:hint="cs"/>
          <w:rtl/>
        </w:rPr>
        <w:t>يتم ضمه لأولا</w:t>
      </w:r>
    </w:p>
  </w:comment>
  <w:comment w:id="13" w:author="Dr. Ibrahim" w:date="2026-08-17T16:49:00Z" w:initials="DI">
    <w:p w14:paraId="087BC6A9" w14:textId="554BDA50" w:rsidR="002C21E1" w:rsidRDefault="002C21E1">
      <w:pPr>
        <w:pStyle w:val="ae"/>
      </w:pPr>
      <w:r>
        <w:rPr>
          <w:rStyle w:val="ad"/>
        </w:rPr>
        <w:annotationRef/>
      </w:r>
      <w:r>
        <w:rPr>
          <w:rFonts w:hint="cs"/>
          <w:rtl/>
        </w:rPr>
        <w:t>رقم 4 في الصفحة الماضية تحدث عن نفس الموضوع يجب تنسيقهما معا</w:t>
      </w:r>
    </w:p>
  </w:comment>
  <w:comment w:id="14" w:author="Dr. Ibrahim" w:date="2026-08-17T16:53:00Z" w:initials="DI">
    <w:p w14:paraId="19D983D0" w14:textId="1810A03E" w:rsidR="0089592B" w:rsidRDefault="0089592B">
      <w:pPr>
        <w:pStyle w:val="ae"/>
      </w:pPr>
      <w:r>
        <w:rPr>
          <w:rStyle w:val="ad"/>
        </w:rPr>
        <w:annotationRef/>
      </w:r>
      <w:r>
        <w:rPr>
          <w:rFonts w:hint="cs"/>
          <w:rtl/>
        </w:rPr>
        <w:t xml:space="preserve">موضوع عميق واساسي ويحتاج تحليل </w:t>
      </w:r>
      <w:proofErr w:type="gramStart"/>
      <w:r>
        <w:rPr>
          <w:rFonts w:hint="cs"/>
          <w:rtl/>
        </w:rPr>
        <w:t>اعمق</w:t>
      </w:r>
      <w:proofErr w:type="gramEnd"/>
      <w:r>
        <w:rPr>
          <w:rFonts w:hint="cs"/>
          <w:rtl/>
        </w:rPr>
        <w:t xml:space="preserve"> مع مراجع ومصادر مختلفة</w:t>
      </w:r>
    </w:p>
  </w:comment>
  <w:comment w:id="15" w:author="Dr. Ibrahim" w:date="2026-08-17T17:06:00Z" w:initials="DI">
    <w:p w14:paraId="5DC9D88C" w14:textId="0E8B619B" w:rsidR="007C5981" w:rsidRDefault="007C5981" w:rsidP="00D64389">
      <w:pPr>
        <w:pStyle w:val="ae"/>
        <w:rPr>
          <w:rFonts w:hint="cs"/>
          <w:rtl/>
        </w:rPr>
      </w:pPr>
      <w:r>
        <w:rPr>
          <w:rStyle w:val="ad"/>
        </w:rPr>
        <w:annotationRef/>
      </w:r>
      <w:r>
        <w:rPr>
          <w:rFonts w:hint="cs"/>
          <w:rtl/>
        </w:rPr>
        <w:t xml:space="preserve">المرجع لا </w:t>
      </w:r>
      <w:r w:rsidR="00D64389">
        <w:rPr>
          <w:rFonts w:hint="cs"/>
          <w:rtl/>
        </w:rPr>
        <w:t>ي</w:t>
      </w:r>
      <w:r>
        <w:rPr>
          <w:rFonts w:hint="cs"/>
          <w:rtl/>
        </w:rPr>
        <w:t>تم وضعه هنا بل عند الك</w:t>
      </w:r>
      <w:r w:rsidR="00D64389">
        <w:rPr>
          <w:rFonts w:hint="cs"/>
          <w:rtl/>
        </w:rPr>
        <w:t>ل</w:t>
      </w:r>
      <w:r>
        <w:rPr>
          <w:rFonts w:hint="cs"/>
          <w:rtl/>
        </w:rPr>
        <w:t>ام المقتبس</w:t>
      </w:r>
      <w:r w:rsidR="00D64389">
        <w:rPr>
          <w:rFonts w:hint="cs"/>
          <w:rtl/>
        </w:rPr>
        <w:t xml:space="preserve"> </w:t>
      </w:r>
      <w:r>
        <w:rPr>
          <w:rFonts w:hint="cs"/>
          <w:rtl/>
        </w:rPr>
        <w:t xml:space="preserve">والمرجع </w:t>
      </w:r>
      <w:proofErr w:type="spellStart"/>
      <w:r>
        <w:rPr>
          <w:rFonts w:hint="cs"/>
          <w:rtl/>
        </w:rPr>
        <w:t>استعنتي</w:t>
      </w:r>
      <w:proofErr w:type="spellEnd"/>
      <w:r>
        <w:rPr>
          <w:rFonts w:hint="cs"/>
          <w:rtl/>
        </w:rPr>
        <w:t xml:space="preserve"> به في الصفحة السابق </w:t>
      </w:r>
      <w:proofErr w:type="gramStart"/>
      <w:r>
        <w:rPr>
          <w:rFonts w:hint="cs"/>
          <w:rtl/>
        </w:rPr>
        <w:t>فاصبح</w:t>
      </w:r>
      <w:proofErr w:type="gramEnd"/>
      <w:r>
        <w:rPr>
          <w:rFonts w:hint="cs"/>
          <w:rtl/>
        </w:rPr>
        <w:t xml:space="preserve"> مرجع سابق</w:t>
      </w:r>
    </w:p>
    <w:p w14:paraId="14AE8AC3" w14:textId="142C289D" w:rsidR="007C5981" w:rsidRDefault="007C5981">
      <w:pPr>
        <w:pStyle w:val="ae"/>
      </w:pPr>
      <w:r>
        <w:rPr>
          <w:rFonts w:hint="cs"/>
          <w:rtl/>
        </w:rPr>
        <w:t>ثم انه لا يشرح ولا يعبر عن المحتوى</w:t>
      </w:r>
    </w:p>
  </w:comment>
  <w:comment w:id="17" w:author="Dr. Ibrahim" w:date="2026-08-17T17:14:00Z" w:initials="DI">
    <w:p w14:paraId="7D1ED670" w14:textId="377D2020" w:rsidR="00D64389" w:rsidRDefault="00D64389">
      <w:pPr>
        <w:pStyle w:val="ae"/>
      </w:pPr>
      <w:r>
        <w:rPr>
          <w:rStyle w:val="ad"/>
        </w:rPr>
        <w:annotationRef/>
      </w:r>
      <w:r>
        <w:rPr>
          <w:rFonts w:hint="cs"/>
          <w:rtl/>
        </w:rPr>
        <w:t>جوهر بحثك يحتاج الى توسع واسناد من مراجع حقيقية</w:t>
      </w:r>
    </w:p>
  </w:comment>
  <w:comment w:id="16" w:author="Dr. Ibrahim" w:date="2026-08-17T17:15:00Z" w:initials="DI">
    <w:p w14:paraId="3301B619" w14:textId="63B398CC" w:rsidR="00D64389" w:rsidRDefault="00D64389">
      <w:pPr>
        <w:pStyle w:val="ae"/>
      </w:pPr>
      <w:r>
        <w:rPr>
          <w:rStyle w:val="ad"/>
        </w:rPr>
        <w:annotationRef/>
      </w:r>
    </w:p>
  </w:comment>
  <w:comment w:id="18" w:author="Dr. Ibrahim" w:date="2026-08-17T17:18:00Z" w:initials="DI">
    <w:p w14:paraId="56463CC5" w14:textId="67244F0B" w:rsidR="00D64389" w:rsidRDefault="00D64389">
      <w:pPr>
        <w:pStyle w:val="ae"/>
      </w:pPr>
      <w:r>
        <w:rPr>
          <w:rStyle w:val="ad"/>
        </w:rPr>
        <w:annotationRef/>
      </w:r>
      <w:r>
        <w:rPr>
          <w:rFonts w:hint="cs"/>
          <w:rtl/>
        </w:rPr>
        <w:t>المرجع لا علاقة له بالكلام</w:t>
      </w:r>
    </w:p>
  </w:comment>
  <w:comment w:id="19" w:author="Dr. Ibrahim" w:date="2026-08-17T17:19:00Z" w:initials="DI">
    <w:p w14:paraId="76F95706" w14:textId="00229B97" w:rsidR="00D64389" w:rsidRDefault="00D64389">
      <w:pPr>
        <w:pStyle w:val="ae"/>
      </w:pPr>
      <w:r>
        <w:rPr>
          <w:rStyle w:val="ad"/>
        </w:rPr>
        <w:annotationRef/>
      </w:r>
      <w:r>
        <w:rPr>
          <w:rFonts w:hint="cs"/>
          <w:rtl/>
        </w:rPr>
        <w:t>المرجع غير مرتبط بالنص</w:t>
      </w:r>
    </w:p>
  </w:comment>
  <w:comment w:id="20" w:author="Dr. Ibrahim" w:date="2026-08-17T17:22:00Z" w:initials="DI">
    <w:p w14:paraId="4AB7AA86" w14:textId="41381F9A" w:rsidR="00D64389" w:rsidRDefault="00D64389">
      <w:pPr>
        <w:pStyle w:val="ae"/>
      </w:pPr>
      <w:r>
        <w:rPr>
          <w:rStyle w:val="ad"/>
        </w:rPr>
        <w:annotationRef/>
      </w:r>
      <w:r>
        <w:rPr>
          <w:rFonts w:hint="cs"/>
          <w:rtl/>
        </w:rPr>
        <w:t>تعميق التحليل والمراجع</w:t>
      </w:r>
    </w:p>
  </w:comment>
  <w:comment w:id="21" w:author="Dr. Ibrahim" w:date="2026-08-17T17:23:00Z" w:initials="DI">
    <w:p w14:paraId="21212CD1" w14:textId="1989D10C" w:rsidR="00D64389" w:rsidRDefault="00D64389" w:rsidP="00AF69EF">
      <w:pPr>
        <w:pStyle w:val="ae"/>
      </w:pPr>
      <w:r>
        <w:rPr>
          <w:rStyle w:val="ad"/>
        </w:rPr>
        <w:annotationRef/>
      </w:r>
      <w:r>
        <w:rPr>
          <w:rFonts w:hint="cs"/>
          <w:rtl/>
        </w:rPr>
        <w:t>هل كل هذا الكلام من تقرير الانفاق</w:t>
      </w:r>
      <w:r w:rsidR="00AF69EF">
        <w:rPr>
          <w:rFonts w:hint="cs"/>
          <w:rtl/>
        </w:rPr>
        <w:t xml:space="preserve"> الحكومي</w:t>
      </w:r>
    </w:p>
  </w:comment>
  <w:comment w:id="22" w:author="Dr. Ibrahim" w:date="2026-08-17T17:26:00Z" w:initials="DI">
    <w:p w14:paraId="57256CFC" w14:textId="672F64EF" w:rsidR="00AF69EF" w:rsidRDefault="00AF69EF">
      <w:pPr>
        <w:pStyle w:val="ae"/>
      </w:pPr>
      <w:r>
        <w:rPr>
          <w:rStyle w:val="ad"/>
        </w:rPr>
        <w:annotationRef/>
      </w:r>
      <w:r>
        <w:rPr>
          <w:rFonts w:hint="cs"/>
          <w:rtl/>
        </w:rPr>
        <w:t>المرجع</w:t>
      </w:r>
    </w:p>
  </w:comment>
  <w:comment w:id="23" w:author="Dr. Ibrahim" w:date="2026-08-17T17:28:00Z" w:initials="DI">
    <w:p w14:paraId="20400975" w14:textId="08C2C2A0" w:rsidR="00AF69EF" w:rsidRDefault="00AF69EF">
      <w:pPr>
        <w:pStyle w:val="ae"/>
      </w:pPr>
      <w:r>
        <w:rPr>
          <w:rStyle w:val="ad"/>
        </w:rPr>
        <w:annotationRef/>
      </w:r>
      <w:r>
        <w:rPr>
          <w:rFonts w:hint="cs"/>
          <w:rtl/>
        </w:rPr>
        <w:t>تعميق التحليل والمراجع</w:t>
      </w:r>
    </w:p>
  </w:comment>
  <w:comment w:id="24" w:author="Dr. Ibrahim" w:date="2026-08-17T17:29:00Z" w:initials="DI">
    <w:p w14:paraId="0884A03B" w14:textId="77777777" w:rsidR="00AF69EF" w:rsidRDefault="00AF69EF">
      <w:pPr>
        <w:pStyle w:val="ae"/>
        <w:rPr>
          <w:rFonts w:hint="cs"/>
          <w:rtl/>
        </w:rPr>
      </w:pPr>
      <w:r>
        <w:rPr>
          <w:rStyle w:val="ad"/>
        </w:rPr>
        <w:annotationRef/>
      </w:r>
      <w:r>
        <w:rPr>
          <w:rFonts w:hint="cs"/>
          <w:rtl/>
        </w:rPr>
        <w:t>كلام كله يحتاج لإسناد من مراجع حقيقية</w:t>
      </w:r>
    </w:p>
    <w:p w14:paraId="32B132EB" w14:textId="6AEFF26D" w:rsidR="00AF69EF" w:rsidRDefault="00AF69EF">
      <w:pPr>
        <w:pStyle w:val="ae"/>
      </w:pPr>
      <w:r>
        <w:rPr>
          <w:rFonts w:hint="cs"/>
          <w:rtl/>
        </w:rPr>
        <w:t>وغالبا ارقام الذكاء الاصطناعي ما تكون مزيفة</w:t>
      </w:r>
    </w:p>
  </w:comment>
  <w:comment w:id="25" w:author="Dr. Ibrahim" w:date="2026-08-17T19:32:00Z" w:initials="DI">
    <w:p w14:paraId="3DA4D7D2" w14:textId="77777777" w:rsidR="001F5BF8" w:rsidRDefault="001F5BF8">
      <w:pPr>
        <w:pStyle w:val="ae"/>
        <w:rPr>
          <w:rFonts w:hint="cs"/>
          <w:rtl/>
        </w:rPr>
      </w:pPr>
      <w:r>
        <w:rPr>
          <w:rStyle w:val="ad"/>
        </w:rPr>
        <w:annotationRef/>
      </w:r>
      <w:r>
        <w:rPr>
          <w:rFonts w:hint="cs"/>
          <w:rtl/>
        </w:rPr>
        <w:t>لا يجوز تظليل بعض الكلمات في الاطروحات العلمية</w:t>
      </w:r>
    </w:p>
    <w:p w14:paraId="726015B3" w14:textId="36E1E914" w:rsidR="001F5BF8" w:rsidRDefault="001F5BF8">
      <w:pPr>
        <w:pStyle w:val="ae"/>
      </w:pPr>
      <w:r>
        <w:rPr>
          <w:rFonts w:hint="cs"/>
          <w:rtl/>
        </w:rPr>
        <w:t>ضرورة الاسناد بمراجع</w:t>
      </w:r>
    </w:p>
  </w:comment>
  <w:comment w:id="26" w:author="Dr. Ibrahim" w:date="2026-08-17T19:33:00Z" w:initials="DI">
    <w:p w14:paraId="13B78527" w14:textId="7CAD87A3" w:rsidR="001F5BF8" w:rsidRDefault="001F5BF8">
      <w:pPr>
        <w:pStyle w:val="ae"/>
      </w:pPr>
      <w:r>
        <w:rPr>
          <w:rStyle w:val="ad"/>
        </w:rPr>
        <w:annotationRef/>
      </w:r>
      <w:r>
        <w:rPr>
          <w:rFonts w:hint="cs"/>
          <w:rtl/>
        </w:rPr>
        <w:t>ضرورة توسيع البحث عن آليات التجربة الإماراتية المتميزة والتجربة السنغافورية مع المراجع</w:t>
      </w:r>
    </w:p>
  </w:comment>
  <w:comment w:id="27" w:author="Dr. Ibrahim" w:date="2026-08-17T19:34:00Z" w:initials="DI">
    <w:p w14:paraId="283982AF" w14:textId="0D681979" w:rsidR="001F5BF8" w:rsidRDefault="001F5BF8">
      <w:pPr>
        <w:pStyle w:val="ae"/>
      </w:pPr>
      <w:r>
        <w:rPr>
          <w:rStyle w:val="ad"/>
        </w:rPr>
        <w:annotationRef/>
      </w:r>
      <w:r>
        <w:rPr>
          <w:rFonts w:hint="cs"/>
          <w:rtl/>
        </w:rPr>
        <w:t>حذف التظليل والاسناد المرجعي</w:t>
      </w:r>
    </w:p>
  </w:comment>
  <w:comment w:id="28" w:author="Dr. Ibrahim" w:date="2026-08-17T19:35:00Z" w:initials="DI">
    <w:p w14:paraId="6DA5EC9A" w14:textId="1172D240" w:rsidR="001F5BF8" w:rsidRDefault="001F5BF8">
      <w:pPr>
        <w:pStyle w:val="ae"/>
      </w:pPr>
      <w:r>
        <w:rPr>
          <w:rStyle w:val="ad"/>
        </w:rPr>
        <w:annotationRef/>
      </w:r>
    </w:p>
  </w:comment>
  <w:comment w:id="29" w:author="Dr. Ibrahim" w:date="2026-08-17T19:35:00Z" w:initials="DI">
    <w:p w14:paraId="7CF88FED" w14:textId="757925FF" w:rsidR="001F5BF8" w:rsidRDefault="001F5BF8">
      <w:pPr>
        <w:pStyle w:val="ae"/>
      </w:pPr>
      <w:r>
        <w:rPr>
          <w:rStyle w:val="ad"/>
        </w:rPr>
        <w:annotationRef/>
      </w:r>
      <w:r>
        <w:rPr>
          <w:rFonts w:hint="cs"/>
          <w:rtl/>
        </w:rPr>
        <w:t>المراجع يجب أن تكون في الهامش كاملة مع العنوان الالكتروني</w:t>
      </w:r>
    </w:p>
  </w:comment>
  <w:comment w:id="30" w:author="Dr. Ibrahim" w:date="2026-08-17T19:39:00Z" w:initials="DI">
    <w:p w14:paraId="43B38CB8" w14:textId="2116CB90" w:rsidR="001F5BF8" w:rsidRDefault="001F5BF8">
      <w:pPr>
        <w:pStyle w:val="ae"/>
      </w:pPr>
      <w:r>
        <w:rPr>
          <w:rStyle w:val="ad"/>
        </w:rPr>
        <w:annotationRef/>
      </w:r>
      <w:r>
        <w:rPr>
          <w:rFonts w:hint="cs"/>
          <w:rtl/>
        </w:rPr>
        <w:t>المرجع</w:t>
      </w:r>
    </w:p>
  </w:comment>
  <w:comment w:id="31" w:author="Dr. Ibrahim" w:date="2026-08-17T19:39:00Z" w:initials="DI">
    <w:p w14:paraId="028C0DD6" w14:textId="0EBAB79D" w:rsidR="001F5BF8" w:rsidRDefault="001F5BF8">
      <w:pPr>
        <w:pStyle w:val="ae"/>
      </w:pPr>
      <w:r>
        <w:rPr>
          <w:rStyle w:val="ad"/>
        </w:rPr>
        <w:annotationRef/>
      </w:r>
      <w:r>
        <w:rPr>
          <w:rFonts w:hint="cs"/>
          <w:rtl/>
        </w:rPr>
        <w:t>المراجع وزيادة التحليل</w:t>
      </w:r>
    </w:p>
  </w:comment>
  <w:comment w:id="32" w:author="Dr. Ibrahim" w:date="2026-08-17T19:40:00Z" w:initials="DI">
    <w:p w14:paraId="2C22AC99" w14:textId="44CE16BD" w:rsidR="001F5BF8" w:rsidRDefault="001F5BF8">
      <w:pPr>
        <w:pStyle w:val="ae"/>
      </w:pPr>
      <w:r>
        <w:rPr>
          <w:rStyle w:val="ad"/>
        </w:rPr>
        <w:annotationRef/>
      </w:r>
      <w:r>
        <w:rPr>
          <w:rFonts w:hint="cs"/>
          <w:rtl/>
        </w:rPr>
        <w:t>حذف التظليل والابتعاد عن كتابة الذكاء حاولي بلغتك</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6B24EF6" w15:done="0"/>
  <w15:commentEx w15:paraId="5B2ACA75" w15:done="0"/>
  <w15:commentEx w15:paraId="5923FB81" w15:done="0"/>
  <w15:commentEx w15:paraId="15E4318D" w15:done="0"/>
  <w15:commentEx w15:paraId="160228FB" w15:done="0"/>
  <w15:commentEx w15:paraId="2D0BA9F9" w15:done="0"/>
  <w15:commentEx w15:paraId="1C2B218B" w15:done="0"/>
  <w15:commentEx w15:paraId="4744B992" w15:done="0"/>
  <w15:commentEx w15:paraId="43C05766" w15:done="0"/>
  <w15:commentEx w15:paraId="12D780CE" w15:done="0"/>
  <w15:commentEx w15:paraId="675C7519" w15:done="0"/>
  <w15:commentEx w15:paraId="15FF42ED" w15:done="0"/>
  <w15:commentEx w15:paraId="087BC6A9" w15:done="0"/>
  <w15:commentEx w15:paraId="19D983D0" w15:done="0"/>
  <w15:commentEx w15:paraId="14AE8AC3" w15:done="0"/>
  <w15:commentEx w15:paraId="7D1ED670" w15:done="0"/>
  <w15:commentEx w15:paraId="3301B619" w15:done="0"/>
  <w15:commentEx w15:paraId="56463CC5" w15:done="0"/>
  <w15:commentEx w15:paraId="76F95706" w15:done="0"/>
  <w15:commentEx w15:paraId="4AB7AA86" w15:done="0"/>
  <w15:commentEx w15:paraId="21212CD1" w15:done="0"/>
  <w15:commentEx w15:paraId="57256CFC" w15:done="0"/>
  <w15:commentEx w15:paraId="20400975" w15:done="0"/>
  <w15:commentEx w15:paraId="32B132EB" w15:done="0"/>
  <w15:commentEx w15:paraId="726015B3" w15:done="0"/>
  <w15:commentEx w15:paraId="13B78527" w15:done="0"/>
  <w15:commentEx w15:paraId="283982AF" w15:done="0"/>
  <w15:commentEx w15:paraId="6DA5EC9A" w15:done="0"/>
  <w15:commentEx w15:paraId="7CF88FED" w15:paraIdParent="6DA5EC9A" w15:done="0"/>
  <w15:commentEx w15:paraId="43B38CB8" w15:done="0"/>
  <w15:commentEx w15:paraId="028C0DD6" w15:done="0"/>
  <w15:commentEx w15:paraId="2C22AC9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D9B18C2" w16cex:dateUtc="2026-08-17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B2ACA75" w16cid:durableId="0D9B18C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13C699" w14:textId="77777777" w:rsidR="00C10DA4" w:rsidRDefault="00C10DA4">
      <w:pPr>
        <w:spacing w:after="0" w:line="240" w:lineRule="auto"/>
      </w:pPr>
      <w:r>
        <w:separator/>
      </w:r>
    </w:p>
  </w:endnote>
  <w:endnote w:type="continuationSeparator" w:id="0">
    <w:p w14:paraId="0FC1E63C" w14:textId="77777777" w:rsidR="00C10DA4" w:rsidRDefault="00C10DA4">
      <w:pPr>
        <w:spacing w:after="0" w:line="240" w:lineRule="auto"/>
      </w:pPr>
      <w:r>
        <w:continuationSeparator/>
      </w:r>
    </w:p>
  </w:endnote>
  <w:endnote w:type="continuationNotice" w:id="1">
    <w:p w14:paraId="4A4A321A" w14:textId="77777777" w:rsidR="00C10DA4" w:rsidRDefault="00C10D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iwani Bent">
    <w:altName w:val="Arial"/>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00"/>
    <w:family w:val="script"/>
    <w:pitch w:val="variable"/>
    <w:sig w:usb0="00000003" w:usb1="00000000" w:usb2="00000000" w:usb3="00000000" w:csb0="00000001" w:csb1="00000000"/>
  </w:font>
  <w:font w:name="Old Antic Decorative">
    <w:altName w:val="Arial"/>
    <w:panose1 w:val="02010400000000000000"/>
    <w:charset w:val="B2"/>
    <w:family w:val="auto"/>
    <w:pitch w:val="variable"/>
    <w:sig w:usb0="00002001" w:usb1="80000000" w:usb2="00000008" w:usb3="00000000" w:csb0="00000040"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371F3" w14:textId="0F2DD413" w:rsidR="005723EB" w:rsidRDefault="005723EB">
    <w:pPr>
      <w:bidi w:val="0"/>
      <w:spacing w:after="0"/>
      <w:ind w:right="179"/>
      <w:jc w:val="center"/>
    </w:pPr>
    <w:r>
      <w:rPr>
        <w:noProof/>
      </w:rPr>
      <mc:AlternateContent>
        <mc:Choice Requires="wpg">
          <w:drawing>
            <wp:anchor distT="0" distB="0" distL="114300" distR="114300" simplePos="0" relativeHeight="251658246" behindDoc="0" locked="0" layoutInCell="1" allowOverlap="1" wp14:anchorId="4DD636B8" wp14:editId="2DFE1C4B">
              <wp:simplePos x="0" y="0"/>
              <wp:positionH relativeFrom="page">
                <wp:posOffset>310896</wp:posOffset>
              </wp:positionH>
              <wp:positionV relativeFrom="page">
                <wp:posOffset>10376916</wp:posOffset>
              </wp:positionV>
              <wp:extent cx="6946393" cy="12192"/>
              <wp:effectExtent l="0" t="0" r="0" b="0"/>
              <wp:wrapSquare wrapText="bothSides"/>
              <wp:docPr id="111215" name="Group 111215"/>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401" name="Shape 25340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2" name="Shape 253402"/>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3" name="Shape 253403"/>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4" name="Shape 253404"/>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5" name="Shape 253405"/>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6" name="Shape 253406"/>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068EA44" id="Group 111215" o:spid="_x0000_s1026" style="position:absolute;left:0;text-align:left;margin-left:24.5pt;margin-top:817.1pt;width:546.95pt;height:.95pt;z-index:251658246;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">
              <v:shape id="Shape 25340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" path="m,l9144,r,9144l,9144,,e" fillcolor="black" stroked="f" strokeweight="0">
                <v:stroke miterlimit="83231f" joinstyle="miter"/>
                <v:path arrowok="t" textboxrect="0,0,9144,9144"/>
              </v:shape>
              <v:shape id="Shape 253402"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" path="m,l6928104,r,9144l,9144,,e" fillcolor="black" stroked="f" strokeweight="0">
                <v:stroke miterlimit="83231f" joinstyle="miter"/>
                <v:path arrowok="t" textboxrect="0,0,6928104,9144"/>
              </v:shape>
              <v:shape id="Shape 253403"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" path="m,l6928104,r,9144l,9144,,e" fillcolor="black" stroked="f" strokeweight="0">
                <v:stroke miterlimit="83231f" joinstyle="miter"/>
                <v:path arrowok="t" textboxrect="0,0,6928104,9144"/>
              </v:shape>
              <v:shape id="Shape 253404"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" path="m,l9144,r,12192l,12192,,e" fillcolor="black" stroked="f" strokeweight="0">
                <v:stroke miterlimit="83231f" joinstyle="miter"/>
                <v:path arrowok="t" textboxrect="0,0,9144,12192"/>
              </v:shape>
              <v:shape id="Shape 253405"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" path="m,l12192,r,9144l,9144,,e" fillcolor="black" stroked="f" strokeweight="0">
                <v:stroke miterlimit="83231f" joinstyle="miter"/>
                <v:path arrowok="t" textboxrect="0,0,12192,9144"/>
              </v:shape>
              <v:shape id="Shape 253406"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b/>
        <w:color w:val="181717"/>
        <w:sz w:val="21"/>
      </w:rPr>
      <w:t xml:space="preserve"> </w:t>
    </w:r>
    <w:r>
      <w:fldChar w:fldCharType="begin"/>
    </w:r>
    <w:r>
      <w:instrText xml:space="preserve"> PAGE   \* MERGEFORMAT </w:instrText>
    </w:r>
    <w:r>
      <w:fldChar w:fldCharType="separate"/>
    </w:r>
    <w:r w:rsidRPr="009F7783">
      <w:rPr>
        <w:rFonts w:ascii="Arial" w:eastAsia="Arial" w:hAnsi="Arial" w:cs="Arial"/>
        <w:b/>
        <w:noProof/>
        <w:color w:val="181717"/>
        <w:sz w:val="21"/>
      </w:rPr>
      <w:t>3</w:t>
    </w:r>
    <w:r>
      <w:rPr>
        <w:rFonts w:ascii="Arial" w:eastAsia="Arial" w:hAnsi="Arial" w:cs="Arial"/>
        <w:b/>
        <w:color w:val="181717"/>
        <w:sz w:val="21"/>
      </w:rPr>
      <w:fldChar w:fldCharType="end"/>
    </w:r>
  </w:p>
  <w:p w14:paraId="6A4736FF" w14:textId="77777777" w:rsidR="005723EB" w:rsidRDefault="005723EB">
    <w:pPr>
      <w:bidi w:val="0"/>
      <w:spacing w:after="0"/>
      <w:ind w:right="255"/>
      <w:jc w:val="center"/>
    </w:pPr>
    <w:r>
      <w:rPr>
        <w:sz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4A9B9" w14:textId="49CC5127" w:rsidR="005723EB" w:rsidRDefault="005723EB" w:rsidP="0093132B">
    <w:pPr>
      <w:bidi w:val="0"/>
      <w:spacing w:after="0"/>
      <w:ind w:right="255"/>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708EC7" w14:textId="77777777" w:rsidR="005723EB" w:rsidRDefault="005723EB">
    <w:pPr>
      <w:bidi w:val="0"/>
      <w:spacing w:after="0"/>
      <w:ind w:left="-1440" w:right="10528"/>
      <w:jc w:val="left"/>
    </w:pPr>
    <w:r>
      <w:rPr>
        <w:noProof/>
      </w:rPr>
      <mc:AlternateContent>
        <mc:Choice Requires="wpg">
          <w:drawing>
            <wp:anchor distT="0" distB="0" distL="114300" distR="114300" simplePos="0" relativeHeight="251658247" behindDoc="0" locked="0" layoutInCell="1" allowOverlap="1" wp14:anchorId="4AF6CBB1" wp14:editId="78F116F8">
              <wp:simplePos x="0" y="0"/>
              <wp:positionH relativeFrom="page">
                <wp:posOffset>310896</wp:posOffset>
              </wp:positionH>
              <wp:positionV relativeFrom="page">
                <wp:posOffset>10376916</wp:posOffset>
              </wp:positionV>
              <wp:extent cx="6946393" cy="12192"/>
              <wp:effectExtent l="0" t="0" r="0" b="0"/>
              <wp:wrapSquare wrapText="bothSides"/>
              <wp:docPr id="111160" name="Group 111160"/>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377" name="Shape 2533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8" name="Shape 253378"/>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9" name="Shape 253379"/>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0" name="Shape 253380"/>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1" name="Shape 253381"/>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2" name="Shape 253382"/>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6A0C6C6" id="Group 111160" o:spid="_x0000_s1026" style="position:absolute;left:0;text-align:left;margin-left:24.5pt;margin-top:817.1pt;width:546.95pt;height:.95pt;z-index:251658247;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">
              <v:shape id="Shape 253377"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" path="m,l9144,r,9144l,9144,,e" fillcolor="black" stroked="f" strokeweight="0">
                <v:stroke miterlimit="83231f" joinstyle="miter"/>
                <v:path arrowok="t" textboxrect="0,0,9144,9144"/>
              </v:shape>
              <v:shape id="Shape 253378"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" path="m,l6928104,r,9144l,9144,,e" fillcolor="black" stroked="f" strokeweight="0">
                <v:stroke miterlimit="83231f" joinstyle="miter"/>
                <v:path arrowok="t" textboxrect="0,0,6928104,9144"/>
              </v:shape>
              <v:shape id="Shape 253379"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" path="m,l6928104,r,9144l,9144,,e" fillcolor="black" stroked="f" strokeweight="0">
                <v:stroke miterlimit="83231f" joinstyle="miter"/>
                <v:path arrowok="t" textboxrect="0,0,6928104,9144"/>
              </v:shape>
              <v:shape id="Shape 253380"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" path="m,l9144,r,12192l,12192,,e" fillcolor="black" stroked="f" strokeweight="0">
                <v:stroke miterlimit="83231f" joinstyle="miter"/>
                <v:path arrowok="t" textboxrect="0,0,9144,12192"/>
              </v:shape>
              <v:shape id="Shape 253381"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" path="m,l12192,r,9144l,9144,,e" fillcolor="black" stroked="f" strokeweight="0">
                <v:stroke miterlimit="83231f" joinstyle="miter"/>
                <v:path arrowok="t" textboxrect="0,0,12192,9144"/>
              </v:shape>
              <v:shape id="Shape 253382"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44328381"/>
      <w:docPartObj>
        <w:docPartGallery w:val="Page Numbers (Bottom of Page)"/>
        <w:docPartUnique/>
      </w:docPartObj>
    </w:sdtPr>
    <w:sdtContent>
      <w:p w14:paraId="30C0026E" w14:textId="1904DFF1" w:rsidR="005723EB" w:rsidRDefault="005723EB">
        <w:pPr>
          <w:pStyle w:val="ac"/>
          <w:jc w:val="center"/>
        </w:pPr>
        <w:r>
          <w:fldChar w:fldCharType="begin"/>
        </w:r>
        <w:r>
          <w:instrText>PAGE   \* MERGEFORMAT</w:instrText>
        </w:r>
        <w:r>
          <w:fldChar w:fldCharType="separate"/>
        </w:r>
        <w:r w:rsidR="00F11DC4" w:rsidRPr="00F11DC4">
          <w:rPr>
            <w:noProof/>
            <w:rtl/>
            <w:lang w:val="ar-SA"/>
          </w:rPr>
          <w:t>61</w:t>
        </w:r>
        <w:r>
          <w:fldChar w:fldCharType="end"/>
        </w:r>
      </w:p>
    </w:sdtContent>
  </w:sdt>
  <w:p w14:paraId="12BABA6A" w14:textId="77777777" w:rsidR="005723EB" w:rsidRDefault="005723EB" w:rsidP="0093132B">
    <w:pPr>
      <w:bidi w:val="0"/>
      <w:spacing w:after="0"/>
      <w:ind w:right="25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7ECDFF" w14:textId="77777777" w:rsidR="00C10DA4" w:rsidRDefault="00C10DA4" w:rsidP="006216C4">
      <w:pPr>
        <w:bidi w:val="0"/>
        <w:spacing w:after="0" w:line="240" w:lineRule="auto"/>
      </w:pPr>
      <w:r>
        <w:separator/>
      </w:r>
    </w:p>
  </w:footnote>
  <w:footnote w:type="continuationSeparator" w:id="0">
    <w:p w14:paraId="53BF9ECA" w14:textId="77777777" w:rsidR="00C10DA4" w:rsidRDefault="00C10DA4">
      <w:pPr>
        <w:spacing w:after="0" w:line="240" w:lineRule="auto"/>
      </w:pPr>
      <w:r>
        <w:continuationSeparator/>
      </w:r>
    </w:p>
  </w:footnote>
  <w:footnote w:type="continuationNotice" w:id="1">
    <w:p w14:paraId="7CD43D78" w14:textId="77777777" w:rsidR="00C10DA4" w:rsidRDefault="00C10DA4">
      <w:pPr>
        <w:spacing w:after="0" w:line="240" w:lineRule="auto"/>
      </w:pPr>
    </w:p>
  </w:footnote>
  <w:footnote w:id="2">
    <w:p w14:paraId="459EE67D" w14:textId="60CED070" w:rsidR="005723EB" w:rsidRPr="002167D0" w:rsidRDefault="005723EB" w:rsidP="00DC389E">
      <w:pPr>
        <w:pStyle w:val="a6"/>
        <w:numPr>
          <w:ilvl w:val="0"/>
          <w:numId w:val="13"/>
        </w:numPr>
        <w:spacing w:after="0" w:line="240" w:lineRule="auto"/>
        <w:jc w:val="left"/>
        <w:rPr>
          <w:sz w:val="20"/>
          <w:szCs w:val="20"/>
          <w:rtl/>
        </w:rPr>
      </w:pPr>
      <w:r w:rsidRPr="002167D0">
        <w:rPr>
          <w:rFonts w:ascii="Arial" w:hAnsi="Arial" w:cs="Arial" w:hint="cs"/>
          <w:color w:val="222222"/>
          <w:sz w:val="20"/>
          <w:szCs w:val="20"/>
          <w:shd w:val="clear" w:color="auto" w:fill="FFFFFF"/>
          <w:rtl/>
        </w:rPr>
        <w:t>السلمي</w:t>
      </w:r>
      <w:r w:rsidRPr="002167D0">
        <w:rPr>
          <w:rFonts w:ascii="Arial" w:hAnsi="Arial" w:cs="Arial"/>
          <w:color w:val="222222"/>
          <w:sz w:val="20"/>
          <w:szCs w:val="20"/>
          <w:shd w:val="clear" w:color="auto" w:fill="FFFFFF"/>
          <w:rtl/>
        </w:rPr>
        <w:t>،</w:t>
      </w:r>
      <w:r w:rsidRPr="002167D0">
        <w:rPr>
          <w:rFonts w:ascii="Arial" w:hAnsi="Arial" w:cs="Arial"/>
          <w:color w:val="222222"/>
          <w:sz w:val="20"/>
          <w:szCs w:val="20"/>
          <w:shd w:val="clear" w:color="auto" w:fill="FFFFFF"/>
        </w:rPr>
        <w:t xml:space="preserve"> &amp; </w:t>
      </w:r>
      <w:r w:rsidRPr="002167D0">
        <w:rPr>
          <w:rFonts w:ascii="Arial" w:hAnsi="Arial" w:cs="Arial" w:hint="cs"/>
          <w:color w:val="222222"/>
          <w:sz w:val="20"/>
          <w:szCs w:val="20"/>
          <w:shd w:val="clear" w:color="auto" w:fill="FFFFFF"/>
          <w:rtl/>
        </w:rPr>
        <w:t>عبد الرحم</w:t>
      </w:r>
      <w:r w:rsidRPr="002167D0">
        <w:rPr>
          <w:rFonts w:ascii="Arial" w:hAnsi="Arial" w:cs="Arial" w:hint="eastAsia"/>
          <w:color w:val="222222"/>
          <w:sz w:val="20"/>
          <w:szCs w:val="20"/>
          <w:shd w:val="clear" w:color="auto" w:fill="FFFFFF"/>
          <w:rtl/>
        </w:rPr>
        <w:t>ن</w:t>
      </w:r>
      <w:r w:rsidRPr="002167D0">
        <w:rPr>
          <w:rFonts w:ascii="Arial" w:hAnsi="Arial" w:cs="Arial"/>
          <w:color w:val="222222"/>
          <w:sz w:val="20"/>
          <w:szCs w:val="20"/>
          <w:shd w:val="clear" w:color="auto" w:fill="FFFFFF"/>
          <w:rtl/>
        </w:rPr>
        <w:t xml:space="preserve"> بن فهم. (2025). التقاضي الإلكتروني وأثره على الدعوى الجزائية في التشريع بالمملكة العربية السعودية والمقارن</w:t>
      </w:r>
      <w:r w:rsidRPr="002167D0">
        <w:rPr>
          <w:rFonts w:ascii="Arial" w:hAnsi="Arial" w:cs="Arial"/>
          <w:color w:val="222222"/>
          <w:sz w:val="20"/>
          <w:szCs w:val="20"/>
          <w:shd w:val="clear" w:color="auto" w:fill="FFFFFF"/>
        </w:rPr>
        <w:t xml:space="preserve"> Electronic litigation and its impact on criminal litigation in Saudi and comparative legislation. </w:t>
      </w:r>
      <w:r w:rsidRPr="002167D0">
        <w:rPr>
          <w:rFonts w:ascii="Arial" w:hAnsi="Arial" w:cs="Arial"/>
          <w:i/>
          <w:iCs/>
          <w:color w:val="222222"/>
          <w:sz w:val="20"/>
          <w:szCs w:val="20"/>
          <w:shd w:val="clear" w:color="auto" w:fill="FFFFFF"/>
          <w:rtl/>
        </w:rPr>
        <w:t>روح القوانين</w:t>
      </w:r>
      <w:r w:rsidRPr="002167D0">
        <w:rPr>
          <w:rFonts w:ascii="Arial" w:hAnsi="Arial" w:cs="Arial"/>
          <w:color w:val="222222"/>
          <w:sz w:val="20"/>
          <w:szCs w:val="20"/>
          <w:shd w:val="clear" w:color="auto" w:fill="FFFFFF"/>
        </w:rPr>
        <w:t>, </w:t>
      </w:r>
      <w:r w:rsidRPr="002167D0">
        <w:rPr>
          <w:rFonts w:ascii="Arial" w:hAnsi="Arial" w:cs="Arial"/>
          <w:i/>
          <w:iCs/>
          <w:color w:val="222222"/>
          <w:sz w:val="20"/>
          <w:szCs w:val="20"/>
          <w:shd w:val="clear" w:color="auto" w:fill="FFFFFF"/>
        </w:rPr>
        <w:t>37</w:t>
      </w:r>
      <w:r w:rsidRPr="002167D0">
        <w:rPr>
          <w:rFonts w:ascii="Arial" w:hAnsi="Arial" w:cs="Arial"/>
          <w:color w:val="222222"/>
          <w:sz w:val="20"/>
          <w:szCs w:val="20"/>
          <w:shd w:val="clear" w:color="auto" w:fill="FFFFFF"/>
        </w:rPr>
        <w:t>(110) , 865-1026.</w:t>
      </w:r>
    </w:p>
    <w:p w14:paraId="2A0C94C7" w14:textId="72CBB54D" w:rsidR="005723EB" w:rsidRDefault="005723EB" w:rsidP="00DC389E">
      <w:pPr>
        <w:pStyle w:val="a6"/>
        <w:numPr>
          <w:ilvl w:val="0"/>
          <w:numId w:val="13"/>
        </w:numPr>
        <w:spacing w:after="0" w:line="240" w:lineRule="auto"/>
        <w:jc w:val="left"/>
        <w:rPr>
          <w:rFonts w:ascii="Times New Roman" w:hAnsi="Times New Roman" w:cs="Times New Roman"/>
          <w:sz w:val="20"/>
          <w:szCs w:val="20"/>
        </w:rPr>
      </w:pPr>
      <w:r w:rsidRPr="002167D0">
        <w:rPr>
          <w:rFonts w:ascii="Times New Roman" w:hAnsi="Times New Roman" w:cs="Times New Roman"/>
          <w:sz w:val="20"/>
          <w:szCs w:val="20"/>
          <w:rtl/>
        </w:rPr>
        <w:t>المملكة العربية السعودية. (1443هـ)</w:t>
      </w:r>
      <w:r w:rsidRPr="002167D0">
        <w:rPr>
          <w:rFonts w:ascii="Times New Roman" w:hAnsi="Times New Roman" w:cs="Times New Roman"/>
          <w:sz w:val="20"/>
          <w:szCs w:val="20"/>
        </w:rPr>
        <w:t xml:space="preserve">. </w:t>
      </w:r>
      <w:r w:rsidRPr="002167D0">
        <w:rPr>
          <w:rStyle w:val="a4"/>
          <w:rFonts w:ascii="Times New Roman" w:hAnsi="Times New Roman" w:cs="Times New Roman"/>
          <w:sz w:val="20"/>
          <w:szCs w:val="20"/>
          <w:rtl/>
        </w:rPr>
        <w:t>نظام الإثبات، الصادر بالمرسوم الملكي رقم (م/43) وتاريخ 26/5/1443هـ</w:t>
      </w:r>
      <w:r w:rsidRPr="002167D0">
        <w:rPr>
          <w:rFonts w:ascii="Times New Roman" w:hAnsi="Times New Roman" w:cs="Times New Roman"/>
          <w:sz w:val="20"/>
          <w:szCs w:val="20"/>
        </w:rPr>
        <w:t xml:space="preserve">. </w:t>
      </w:r>
      <w:r w:rsidRPr="002167D0">
        <w:rPr>
          <w:rFonts w:ascii="Times New Roman" w:hAnsi="Times New Roman" w:cs="Times New Roman"/>
          <w:sz w:val="20"/>
          <w:szCs w:val="20"/>
          <w:rtl/>
        </w:rPr>
        <w:t>هيئة الخبراء بمجلس الوزراء</w:t>
      </w:r>
      <w:r w:rsidRPr="002167D0">
        <w:rPr>
          <w:rFonts w:ascii="Times New Roman" w:hAnsi="Times New Roman" w:cs="Times New Roman"/>
          <w:sz w:val="20"/>
          <w:szCs w:val="20"/>
        </w:rPr>
        <w:t>.</w:t>
      </w:r>
    </w:p>
    <w:p w14:paraId="0BF741F6" w14:textId="596AE9E3" w:rsidR="005723EB" w:rsidRPr="00FF2EBB" w:rsidRDefault="005723EB" w:rsidP="00FF2EBB">
      <w:pPr>
        <w:spacing w:after="0" w:line="240" w:lineRule="auto"/>
        <w:jc w:val="left"/>
        <w:rPr>
          <w:rFonts w:ascii="Times New Roman" w:hAnsi="Times New Roman" w:cs="Times New Roman"/>
          <w:sz w:val="20"/>
          <w:szCs w:val="20"/>
          <w:rtl/>
        </w:rPr>
      </w:pPr>
    </w:p>
  </w:footnote>
  <w:footnote w:id="3">
    <w:p w14:paraId="7D9DD989" w14:textId="554A2622" w:rsidR="005723EB" w:rsidRDefault="005723EB" w:rsidP="00DC389E">
      <w:pPr>
        <w:pStyle w:val="a7"/>
        <w:numPr>
          <w:ilvl w:val="0"/>
          <w:numId w:val="14"/>
        </w:numPr>
        <w:jc w:val="both"/>
        <w:rPr>
          <w:rtl/>
        </w:rPr>
      </w:pPr>
      <w:r w:rsidRPr="002167D0">
        <w:rPr>
          <w:rFonts w:ascii="Times New Roman" w:hAnsi="Times New Roman" w:cs="Times New Roman"/>
          <w:rtl/>
        </w:rPr>
        <w:t>دولة الإمارات العربية المتحدة</w:t>
      </w:r>
      <w:r w:rsidRPr="002167D0">
        <w:rPr>
          <w:rFonts w:ascii="Times New Roman" w:hAnsi="Times New Roman" w:cs="Times New Roman"/>
        </w:rPr>
        <w:t xml:space="preserve">. (2022). </w:t>
      </w:r>
      <w:r w:rsidRPr="002167D0">
        <w:rPr>
          <w:rStyle w:val="a4"/>
          <w:rFonts w:ascii="Times New Roman" w:hAnsi="Times New Roman" w:cs="Times New Roman"/>
          <w:rtl/>
        </w:rPr>
        <w:t>مرسوم بقانون اتحادي رقم (35) لسنة 2022 بإصدار قانون الإثبات في المعاملات المدنية والتجارية</w:t>
      </w:r>
      <w:r w:rsidRPr="002167D0">
        <w:rPr>
          <w:rFonts w:ascii="Times New Roman" w:hAnsi="Times New Roman" w:cs="Times New Roman"/>
        </w:rPr>
        <w:t xml:space="preserve">. </w:t>
      </w:r>
      <w:r w:rsidRPr="002167D0">
        <w:rPr>
          <w:rFonts w:ascii="Times New Roman" w:hAnsi="Times New Roman" w:cs="Times New Roman"/>
          <w:rtl/>
        </w:rPr>
        <w:t>بوابة تشريعات الإمارات العربية المتحدة</w:t>
      </w:r>
      <w:r w:rsidRPr="002167D0">
        <w:rPr>
          <w:rFonts w:ascii="Times New Roman" w:hAnsi="Times New Roman" w:cs="Times New Roman"/>
        </w:rPr>
        <w:t>.</w:t>
      </w:r>
    </w:p>
    <w:p w14:paraId="5A8EB9BD" w14:textId="7899B34E" w:rsidR="005723EB" w:rsidRDefault="005723EB" w:rsidP="00DC389E">
      <w:pPr>
        <w:pStyle w:val="a7"/>
        <w:numPr>
          <w:ilvl w:val="0"/>
          <w:numId w:val="14"/>
        </w:numPr>
        <w:jc w:val="both"/>
      </w:pPr>
      <w:r>
        <w:rPr>
          <w:rFonts w:ascii="Arial" w:hAnsi="Arial" w:cs="Arial" w:hint="cs"/>
          <w:color w:val="222222"/>
          <w:shd w:val="clear" w:color="auto" w:fill="FFFFFF"/>
          <w:rtl/>
        </w:rPr>
        <w:t>البدوي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د المصطفى. (2025). المعالجات الدولية لنزاعات التجارة الرقمية عبر الحدود</w:t>
      </w:r>
      <w:r>
        <w:rPr>
          <w:rFonts w:ascii="Arial" w:hAnsi="Arial" w:cs="Arial"/>
          <w:color w:val="222222"/>
          <w:shd w:val="clear" w:color="auto" w:fill="FFFFFF"/>
        </w:rPr>
        <w:t>/International Responses to Cross-Border Digital Trade Disputes.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50</w:t>
      </w:r>
      <w:r>
        <w:rPr>
          <w:rFonts w:ascii="Arial" w:hAnsi="Arial" w:cs="Arial"/>
          <w:color w:val="222222"/>
          <w:shd w:val="clear" w:color="auto" w:fill="FFFFFF"/>
        </w:rPr>
        <w:t>(50) , 4041-4127.</w:t>
      </w:r>
    </w:p>
    <w:p w14:paraId="1721F14C" w14:textId="6A7E3736" w:rsidR="005723EB" w:rsidRDefault="005723EB" w:rsidP="00DC389E">
      <w:pPr>
        <w:pStyle w:val="a7"/>
        <w:numPr>
          <w:ilvl w:val="0"/>
          <w:numId w:val="14"/>
        </w:numPr>
        <w:jc w:val="both"/>
      </w:pPr>
      <w:r>
        <w:rPr>
          <w:rFonts w:ascii="Arial" w:hAnsi="Arial" w:cs="Arial"/>
          <w:color w:val="222222"/>
          <w:shd w:val="clear" w:color="auto" w:fill="FFFFFF"/>
          <w:rtl/>
        </w:rPr>
        <w:t>م. د. زينب ثامر حميدي. (2026). الأمن القانوني والاعتراف بالأحكام الأجنبية في منازعات التجارة الإلكترونية الدولية في ظل تعدد الأنظمة القانونية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(6) , 504-522.</w:t>
      </w:r>
    </w:p>
  </w:footnote>
  <w:footnote w:id="4">
    <w:p w14:paraId="0C2F4593" w14:textId="75FFC21A" w:rsidR="005723EB" w:rsidRDefault="005723EB" w:rsidP="00DC389E">
      <w:pPr>
        <w:pStyle w:val="a7"/>
        <w:numPr>
          <w:ilvl w:val="0"/>
          <w:numId w:val="15"/>
        </w:numPr>
        <w:jc w:val="both"/>
        <w:rPr>
          <w:rtl/>
        </w:rPr>
      </w:pPr>
      <w:r>
        <w:rPr>
          <w:rFonts w:ascii="Arial" w:hAnsi="Arial" w:cs="Arial" w:hint="cs"/>
          <w:color w:val="222222"/>
          <w:shd w:val="clear" w:color="auto" w:fill="FFFFFF"/>
          <w:rtl/>
        </w:rPr>
        <w:t>إبراهيم</w:t>
      </w:r>
      <w:r>
        <w:rPr>
          <w:rFonts w:ascii="Arial" w:hAnsi="Arial" w:cs="Arial"/>
          <w:color w:val="222222"/>
          <w:shd w:val="clear" w:color="auto" w:fill="FFFFFF"/>
          <w:rtl/>
        </w:rPr>
        <w:t xml:space="preserve"> </w:t>
      </w:r>
      <w:proofErr w:type="spellStart"/>
      <w:r>
        <w:rPr>
          <w:rFonts w:ascii="Arial" w:hAnsi="Arial" w:cs="Arial" w:hint="cs"/>
          <w:color w:val="222222"/>
          <w:shd w:val="clear" w:color="auto" w:fill="FFFFFF"/>
          <w:rtl/>
        </w:rPr>
        <w:t>العسري</w:t>
      </w:r>
      <w:proofErr w:type="spellEnd"/>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الحسين زرهون. (2025). قراءة في بعض مظاهر </w:t>
      </w:r>
      <w:proofErr w:type="spellStart"/>
      <w:r>
        <w:rPr>
          <w:rFonts w:ascii="Arial" w:hAnsi="Arial" w:cs="Arial"/>
          <w:color w:val="222222"/>
          <w:shd w:val="clear" w:color="auto" w:fill="FFFFFF"/>
          <w:rtl/>
        </w:rPr>
        <w:t>رقمنة</w:t>
      </w:r>
      <w:proofErr w:type="spellEnd"/>
      <w:r>
        <w:rPr>
          <w:rFonts w:ascii="Arial" w:hAnsi="Arial" w:cs="Arial"/>
          <w:color w:val="222222"/>
          <w:shd w:val="clear" w:color="auto" w:fill="FFFFFF"/>
          <w:rtl/>
        </w:rPr>
        <w:t xml:space="preserve"> </w:t>
      </w:r>
      <w:r>
        <w:rPr>
          <w:rFonts w:ascii="Arial" w:hAnsi="Arial" w:cs="Arial" w:hint="cs"/>
          <w:color w:val="222222"/>
          <w:shd w:val="clear" w:color="auto" w:fill="FFFFFF"/>
          <w:rtl/>
        </w:rPr>
        <w:t>الإجراءات</w:t>
      </w:r>
      <w:r>
        <w:rPr>
          <w:rFonts w:ascii="Arial" w:hAnsi="Arial" w:cs="Arial"/>
          <w:color w:val="222222"/>
          <w:shd w:val="clear" w:color="auto" w:fill="FFFFFF"/>
          <w:rtl/>
        </w:rPr>
        <w:t xml:space="preserve"> والمساطر القضائية على ضوء مشروع قانون المسطرة المدنية رقم 02.23 وتأثيرها المتوقع على النجاعة القضائية</w:t>
      </w:r>
      <w:r>
        <w:rPr>
          <w:rFonts w:ascii="Arial" w:hAnsi="Arial" w:cs="Arial"/>
          <w:color w:val="222222"/>
          <w:shd w:val="clear" w:color="auto" w:fill="FFFFFF"/>
        </w:rPr>
        <w:t>. </w:t>
      </w:r>
      <w:r>
        <w:rPr>
          <w:rFonts w:ascii="Arial" w:hAnsi="Arial" w:cs="Arial"/>
          <w:i/>
          <w:iCs/>
          <w:color w:val="222222"/>
          <w:shd w:val="clear" w:color="auto" w:fill="FFFFFF"/>
          <w:rtl/>
        </w:rPr>
        <w:t>مجلة المنبر القانوني</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(28).</w:t>
      </w:r>
    </w:p>
    <w:p w14:paraId="107AED1A" w14:textId="24AF5D8E" w:rsidR="005723EB" w:rsidRDefault="005723EB" w:rsidP="00DC389E">
      <w:pPr>
        <w:pStyle w:val="a7"/>
        <w:numPr>
          <w:ilvl w:val="0"/>
          <w:numId w:val="15"/>
        </w:numPr>
        <w:jc w:val="both"/>
      </w:pPr>
      <w:r>
        <w:rPr>
          <w:rFonts w:ascii="Arial" w:hAnsi="Arial" w:cs="Arial" w:hint="cs"/>
          <w:color w:val="222222"/>
          <w:shd w:val="clear" w:color="auto" w:fill="FFFFFF"/>
          <w:rtl/>
        </w:rPr>
        <w:t>القحطاني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محمد بن حسن. (2024). الإجراءات المنظمة لرفع الدعاوى أمام القضاء الإداري في المملكة العربية السعودية</w:t>
      </w:r>
      <w:r>
        <w:rPr>
          <w:rFonts w:ascii="Arial" w:hAnsi="Arial" w:cs="Arial"/>
          <w:color w:val="222222"/>
          <w:shd w:val="clear" w:color="auto" w:fill="FFFFFF"/>
        </w:rPr>
        <w:t xml:space="preserve"> Procedures governing the filing of cases before the administrative court in the Kingdom of Saudi Arabia. </w:t>
      </w:r>
      <w:r>
        <w:rPr>
          <w:rFonts w:ascii="Arial" w:hAnsi="Arial" w:cs="Arial"/>
          <w:i/>
          <w:iCs/>
          <w:color w:val="222222"/>
          <w:shd w:val="clear" w:color="auto" w:fill="FFFFFF"/>
          <w:rtl/>
        </w:rPr>
        <w:t>مجلة الشريعة والقانون بالقاهرة</w:t>
      </w:r>
      <w:r>
        <w:rPr>
          <w:rFonts w:ascii="Arial" w:hAnsi="Arial" w:cs="Arial"/>
          <w:color w:val="222222"/>
          <w:shd w:val="clear" w:color="auto" w:fill="FFFFFF"/>
        </w:rPr>
        <w:t>, </w:t>
      </w:r>
      <w:r>
        <w:rPr>
          <w:rFonts w:ascii="Arial" w:hAnsi="Arial" w:cs="Arial"/>
          <w:i/>
          <w:iCs/>
          <w:color w:val="222222"/>
          <w:shd w:val="clear" w:color="auto" w:fill="FFFFFF"/>
        </w:rPr>
        <w:t>43</w:t>
      </w:r>
      <w:r>
        <w:rPr>
          <w:rFonts w:ascii="Arial" w:hAnsi="Arial" w:cs="Arial"/>
          <w:color w:val="222222"/>
          <w:shd w:val="clear" w:color="auto" w:fill="FFFFFF"/>
        </w:rPr>
        <w:t>(43) , 1957-1997.</w:t>
      </w:r>
    </w:p>
    <w:p w14:paraId="76A4D9A3" w14:textId="2A623FF3" w:rsidR="005723EB" w:rsidRPr="00C95A4B" w:rsidRDefault="005723EB" w:rsidP="00DC389E">
      <w:pPr>
        <w:pStyle w:val="a7"/>
        <w:numPr>
          <w:ilvl w:val="0"/>
          <w:numId w:val="15"/>
        </w:numPr>
        <w:jc w:val="both"/>
        <w:rPr>
          <w:rtl/>
        </w:rPr>
      </w:pPr>
      <w:r>
        <w:rPr>
          <w:rtl/>
        </w:rPr>
        <w:t>دولة الإمارات العربية المتحدة</w:t>
      </w:r>
      <w:r>
        <w:t xml:space="preserve">. (2022). </w:t>
      </w:r>
      <w:r>
        <w:rPr>
          <w:rStyle w:val="a4"/>
          <w:rtl/>
        </w:rPr>
        <w:t>مرسوم بقانون اتحادي رقم (42) لسنة 2022 بإصدار قانون الإجراءات المدنية</w:t>
      </w:r>
      <w:r>
        <w:t xml:space="preserve">. </w:t>
      </w:r>
      <w:r>
        <w:rPr>
          <w:rtl/>
        </w:rPr>
        <w:t>بوابة تشريعات الإمارات العربية المتحدة</w:t>
      </w:r>
      <w:r>
        <w:t>.</w:t>
      </w:r>
    </w:p>
  </w:footnote>
  <w:footnote w:id="5">
    <w:p w14:paraId="5572F6E6" w14:textId="23FF3924" w:rsidR="005723EB" w:rsidRDefault="005723EB" w:rsidP="00A3513C">
      <w:pPr>
        <w:pStyle w:val="a7"/>
        <w:jc w:val="both"/>
        <w:rPr>
          <w:rtl/>
        </w:rPr>
      </w:pPr>
      <w:r>
        <w:rPr>
          <w:rFonts w:hint="cs"/>
          <w:rtl/>
        </w:rPr>
        <w:t>(1)</w:t>
      </w:r>
      <w:r w:rsidRPr="00A3513C">
        <w:rPr>
          <w:rFonts w:ascii="Arial" w:hAnsi="Arial" w:cs="Arial"/>
          <w:color w:val="222222"/>
          <w:shd w:val="clear" w:color="auto" w:fill="FFFFFF"/>
        </w:rPr>
        <w:t xml:space="preserve"> </w:t>
      </w:r>
      <w:proofErr w:type="spellStart"/>
      <w:r>
        <w:rPr>
          <w:rFonts w:ascii="Arial" w:hAnsi="Arial" w:cs="Arial"/>
          <w:color w:val="222222"/>
          <w:shd w:val="clear" w:color="auto" w:fill="FFFFFF"/>
        </w:rPr>
        <w:t>Truby</w:t>
      </w:r>
      <w:proofErr w:type="spellEnd"/>
      <w:r>
        <w:rPr>
          <w:rFonts w:ascii="Arial" w:hAnsi="Arial" w:cs="Arial"/>
          <w:color w:val="222222"/>
          <w:shd w:val="clear" w:color="auto" w:fill="FFFFFF"/>
        </w:rPr>
        <w:t>, J. (2026). Law and Technology in Singapore.</w:t>
      </w:r>
      <w:r>
        <w:rPr>
          <w:rFonts w:ascii="Arial" w:hAnsi="Arial" w:cs="Arial"/>
          <w:color w:val="222222"/>
          <w:shd w:val="clear" w:color="auto" w:fill="FFFFFF"/>
          <w:rtl/>
        </w:rPr>
        <w:t>‏</w:t>
      </w:r>
    </w:p>
  </w:footnote>
  <w:footnote w:id="6">
    <w:p w14:paraId="71A5D755" w14:textId="72890291" w:rsidR="005723EB" w:rsidRDefault="005723EB" w:rsidP="00A75063">
      <w:pPr>
        <w:pStyle w:val="a7"/>
        <w:jc w:val="both"/>
        <w:rPr>
          <w:rtl/>
        </w:rPr>
      </w:pPr>
      <w:r>
        <w:rPr>
          <w:rFonts w:hint="cs"/>
          <w:rtl/>
        </w:rPr>
        <w:t>(1)</w:t>
      </w:r>
      <w:r w:rsidRPr="00A75063">
        <w:rPr>
          <w:rFonts w:ascii="Arial" w:hAnsi="Arial" w:cs="Arial"/>
          <w:color w:val="222222"/>
          <w:shd w:val="clear" w:color="auto" w:fill="FFFFFF"/>
          <w:rtl/>
        </w:rPr>
        <w:t xml:space="preserve"> </w:t>
      </w:r>
      <w:r>
        <w:rPr>
          <w:rFonts w:ascii="Arial" w:hAnsi="Arial" w:cs="Arial"/>
          <w:color w:val="222222"/>
          <w:shd w:val="clear" w:color="auto" w:fill="FFFFFF"/>
          <w:rtl/>
        </w:rPr>
        <w:t xml:space="preserve">أحمد محمد </w:t>
      </w:r>
      <w:proofErr w:type="spellStart"/>
      <w:r>
        <w:rPr>
          <w:rFonts w:ascii="Arial" w:hAnsi="Arial" w:cs="Arial"/>
          <w:color w:val="222222"/>
          <w:shd w:val="clear" w:color="auto" w:fill="FFFFFF"/>
          <w:rtl/>
        </w:rPr>
        <w:t>محمد</w:t>
      </w:r>
      <w:proofErr w:type="spellEnd"/>
      <w:r>
        <w:rPr>
          <w:rFonts w:ascii="Arial" w:hAnsi="Arial" w:cs="Arial"/>
          <w:color w:val="222222"/>
          <w:shd w:val="clear" w:color="auto" w:fill="FFFFFF"/>
          <w:rtl/>
        </w:rPr>
        <w:t xml:space="preserve"> حسانين. (2024). المشكلات الإجرائية للتبليغات الإلكترونية وأثرها في انعقاد الخصومة القضائية في النظام </w:t>
      </w:r>
      <w:r>
        <w:rPr>
          <w:rFonts w:ascii="Arial" w:hAnsi="Arial" w:cs="Arial" w:hint="cs"/>
          <w:color w:val="222222"/>
          <w:shd w:val="clear" w:color="auto" w:fill="FFFFFF"/>
          <w:rtl/>
        </w:rPr>
        <w:t>السعودي</w:t>
      </w:r>
      <w:r>
        <w:rPr>
          <w:rFonts w:ascii="Arial" w:hAnsi="Arial" w:cs="Arial"/>
          <w:color w:val="222222"/>
          <w:shd w:val="clear" w:color="auto" w:fill="FFFFFF"/>
        </w:rPr>
        <w:t>. </w:t>
      </w:r>
      <w:proofErr w:type="spellStart"/>
      <w:r>
        <w:rPr>
          <w:rFonts w:ascii="Arial" w:hAnsi="Arial" w:cs="Arial"/>
          <w:i/>
          <w:iCs/>
          <w:color w:val="222222"/>
          <w:shd w:val="clear" w:color="auto" w:fill="FFFFFF"/>
        </w:rPr>
        <w:t>L'Egypte</w:t>
      </w:r>
      <w:proofErr w:type="spellEnd"/>
      <w:r>
        <w:rPr>
          <w:rFonts w:ascii="Arial" w:hAnsi="Arial" w:cs="Arial"/>
          <w:i/>
          <w:iCs/>
          <w:color w:val="222222"/>
          <w:shd w:val="clear" w:color="auto" w:fill="FFFFFF"/>
        </w:rPr>
        <w:t xml:space="preserve"> </w:t>
      </w:r>
      <w:proofErr w:type="spellStart"/>
      <w:r>
        <w:rPr>
          <w:rFonts w:ascii="Arial" w:hAnsi="Arial" w:cs="Arial"/>
          <w:i/>
          <w:iCs/>
          <w:color w:val="222222"/>
          <w:shd w:val="clear" w:color="auto" w:fill="FFFFFF"/>
        </w:rPr>
        <w:t>Contemporaine</w:t>
      </w:r>
      <w:proofErr w:type="spellEnd"/>
      <w:r>
        <w:rPr>
          <w:rFonts w:ascii="Arial" w:hAnsi="Arial" w:cs="Arial"/>
          <w:color w:val="222222"/>
          <w:shd w:val="clear" w:color="auto" w:fill="FFFFFF"/>
        </w:rPr>
        <w:t>, </w:t>
      </w:r>
      <w:r>
        <w:rPr>
          <w:rFonts w:ascii="Arial" w:hAnsi="Arial" w:cs="Arial"/>
          <w:i/>
          <w:iCs/>
          <w:color w:val="222222"/>
          <w:shd w:val="clear" w:color="auto" w:fill="FFFFFF"/>
        </w:rPr>
        <w:t>115</w:t>
      </w:r>
      <w:r>
        <w:rPr>
          <w:rFonts w:ascii="Arial" w:hAnsi="Arial" w:cs="Arial"/>
          <w:color w:val="222222"/>
          <w:shd w:val="clear" w:color="auto" w:fill="FFFFFF"/>
        </w:rPr>
        <w:t>(554), 9-46.</w:t>
      </w:r>
      <w:r>
        <w:rPr>
          <w:rFonts w:ascii="Arial" w:hAnsi="Arial" w:cs="Arial"/>
          <w:color w:val="222222"/>
          <w:shd w:val="clear" w:color="auto" w:fill="FFFFFF"/>
          <w:rtl/>
        </w:rPr>
        <w:t>‏</w:t>
      </w:r>
    </w:p>
    <w:p w14:paraId="0D347076" w14:textId="6634228B" w:rsidR="005723EB" w:rsidRDefault="005723EB" w:rsidP="00A75063">
      <w:pPr>
        <w:pStyle w:val="a7"/>
        <w:jc w:val="both"/>
        <w:rPr>
          <w:rtl/>
        </w:rPr>
      </w:pPr>
      <w:r>
        <w:rPr>
          <w:rFonts w:hint="cs"/>
          <w:rtl/>
        </w:rPr>
        <w:t>(2)</w:t>
      </w:r>
      <w:r w:rsidRPr="00DC389E">
        <w:rPr>
          <w:rFonts w:ascii="Arial" w:hAnsi="Arial" w:cs="Arial"/>
          <w:color w:val="222222"/>
          <w:shd w:val="clear" w:color="auto" w:fill="FFFFFF"/>
          <w:rtl/>
        </w:rPr>
        <w:t xml:space="preserve"> </w:t>
      </w:r>
      <w:r>
        <w:rPr>
          <w:rFonts w:ascii="Arial" w:hAnsi="Arial" w:cs="Arial"/>
          <w:color w:val="222222"/>
          <w:shd w:val="clear" w:color="auto" w:fill="FFFFFF"/>
          <w:rtl/>
        </w:rPr>
        <w:t>د. ليلى عبد المجيد</w:t>
      </w:r>
      <w:r>
        <w:rPr>
          <w:rFonts w:ascii="Arial" w:hAnsi="Arial" w:cs="Arial"/>
          <w:color w:val="222222"/>
          <w:shd w:val="clear" w:color="auto" w:fill="FFFFFF"/>
        </w:rPr>
        <w:t>. (2021). </w:t>
      </w:r>
      <w:r>
        <w:rPr>
          <w:rFonts w:ascii="Arial" w:hAnsi="Arial" w:cs="Arial"/>
          <w:i/>
          <w:iCs/>
          <w:color w:val="222222"/>
          <w:shd w:val="clear" w:color="auto" w:fill="FFFFFF"/>
          <w:rtl/>
        </w:rPr>
        <w:t>التنظيم التشريعي والقانوني للإعلام التقليدي والإلكتروني</w:t>
      </w:r>
      <w:r>
        <w:rPr>
          <w:rFonts w:ascii="Arial" w:hAnsi="Arial" w:cs="Arial"/>
          <w:color w:val="222222"/>
          <w:shd w:val="clear" w:color="auto" w:fill="FFFFFF"/>
        </w:rPr>
        <w:t xml:space="preserve">. Al </w:t>
      </w:r>
      <w:proofErr w:type="spellStart"/>
      <w:r>
        <w:rPr>
          <w:rFonts w:ascii="Arial" w:hAnsi="Arial" w:cs="Arial"/>
          <w:color w:val="222222"/>
          <w:shd w:val="clear" w:color="auto" w:fill="FFFFFF"/>
        </w:rPr>
        <w:t>Arabi</w:t>
      </w:r>
      <w:proofErr w:type="spellEnd"/>
      <w:r>
        <w:rPr>
          <w:rFonts w:ascii="Arial" w:hAnsi="Arial" w:cs="Arial"/>
          <w:color w:val="222222"/>
          <w:shd w:val="clear" w:color="auto" w:fill="FFFFFF"/>
        </w:rPr>
        <w:t xml:space="preserve"> Publishing and Distributing.</w:t>
      </w:r>
      <w:r>
        <w:rPr>
          <w:rFonts w:ascii="Arial" w:hAnsi="Arial" w:cs="Arial"/>
          <w:color w:val="222222"/>
          <w:shd w:val="clear" w:color="auto" w:fill="FFFFFF"/>
          <w:rtl/>
        </w:rPr>
        <w:t>‏</w:t>
      </w:r>
    </w:p>
  </w:footnote>
  <w:footnote w:id="7">
    <w:p w14:paraId="70989940" w14:textId="62D6701E" w:rsidR="005723EB" w:rsidRDefault="005723EB" w:rsidP="00E86C42">
      <w:pPr>
        <w:pStyle w:val="a7"/>
        <w:jc w:val="both"/>
        <w:rPr>
          <w:rtl/>
        </w:rPr>
      </w:pPr>
      <w:r>
        <w:rPr>
          <w:rFonts w:hint="cs"/>
          <w:rtl/>
        </w:rPr>
        <w:t>(1)</w:t>
      </w:r>
      <w:r w:rsidRPr="00E86C42">
        <w:rPr>
          <w:rtl/>
        </w:rPr>
        <w:t xml:space="preserve"> </w:t>
      </w:r>
      <w:r>
        <w:rPr>
          <w:rtl/>
        </w:rPr>
        <w:t>المملكة العربية السعودية. (1443هـ)</w:t>
      </w:r>
      <w:r>
        <w:t xml:space="preserve">. </w:t>
      </w:r>
      <w:r>
        <w:rPr>
          <w:rStyle w:val="a4"/>
          <w:rtl/>
        </w:rPr>
        <w:t>نظام الإثبات، الصادر بالمرسوم الملكي رقم (م/43) وتاريخ 26/5/1443هـ</w:t>
      </w:r>
      <w:r>
        <w:t xml:space="preserve">. </w:t>
      </w:r>
      <w:r>
        <w:rPr>
          <w:rtl/>
        </w:rPr>
        <w:t>هيئة الخبراء بمجلس الوزراء</w:t>
      </w:r>
      <w:r>
        <w:t>.</w:t>
      </w:r>
    </w:p>
    <w:p w14:paraId="57981540" w14:textId="0484BA60" w:rsidR="005723EB" w:rsidRPr="00E86C42" w:rsidRDefault="005723EB" w:rsidP="00E86C42">
      <w:pPr>
        <w:pStyle w:val="a7"/>
        <w:jc w:val="both"/>
        <w:rPr>
          <w:rtl/>
        </w:rPr>
      </w:pPr>
      <w:r>
        <w:rPr>
          <w:rFonts w:hint="cs"/>
          <w:rtl/>
        </w:rPr>
        <w:t>(2)</w:t>
      </w:r>
      <w:r w:rsidRPr="00E86C42">
        <w:rPr>
          <w:rtl/>
        </w:rPr>
        <w:t xml:space="preserve"> </w:t>
      </w:r>
      <w:r>
        <w:rPr>
          <w:rtl/>
        </w:rPr>
        <w:t>دولة الإمارات العربية المتحدة</w:t>
      </w:r>
      <w:r>
        <w:t xml:space="preserve">. (2022). </w:t>
      </w:r>
      <w:r>
        <w:rPr>
          <w:rStyle w:val="a4"/>
          <w:rtl/>
        </w:rPr>
        <w:t>مرسوم بقانون اتحادي رقم (35) لسنة 2022 بإصدار قانون الإثبات في المعاملات المدنية والتجارية</w:t>
      </w:r>
      <w:r>
        <w:t xml:space="preserve">. </w:t>
      </w:r>
      <w:r>
        <w:rPr>
          <w:rtl/>
        </w:rPr>
        <w:t>بوابة تشريعات الإمارات العربية المتحدة</w:t>
      </w:r>
      <w:r>
        <w:t>.</w:t>
      </w:r>
    </w:p>
  </w:footnote>
  <w:footnote w:id="8">
    <w:p w14:paraId="7814830F" w14:textId="510767F6" w:rsidR="005723EB" w:rsidRDefault="005723EB" w:rsidP="00FE4565">
      <w:pPr>
        <w:pStyle w:val="a7"/>
        <w:jc w:val="both"/>
        <w:rPr>
          <w:rtl/>
        </w:rPr>
      </w:pPr>
      <w:r>
        <w:rPr>
          <w:rFonts w:hint="cs"/>
          <w:rtl/>
        </w:rPr>
        <w:t>(1)</w:t>
      </w:r>
      <w:r w:rsidRPr="00C43AD9">
        <w:rPr>
          <w:rFonts w:ascii="Arial" w:hAnsi="Arial" w:cs="Arial"/>
          <w:color w:val="222222"/>
          <w:shd w:val="clear" w:color="auto" w:fill="FFFFFF"/>
        </w:rPr>
        <w:t xml:space="preserve"> </w:t>
      </w:r>
      <w:r>
        <w:rPr>
          <w:rFonts w:ascii="Arial" w:hAnsi="Arial" w:cs="Arial"/>
          <w:color w:val="222222"/>
          <w:shd w:val="clear" w:color="auto" w:fill="FFFFFF"/>
        </w:rPr>
        <w:t xml:space="preserve">Chen, S. (2013). </w:t>
      </w:r>
      <w:r>
        <w:rPr>
          <w:rFonts w:ascii="Arial" w:hAnsi="Arial" w:cs="Arial"/>
          <w:color w:val="222222"/>
          <w:shd w:val="clear" w:color="auto" w:fill="FFFFFF"/>
          <w:rtl/>
        </w:rPr>
        <w:t>حدود السلطة التقديرية لدى النيابة العامة في سنغافورة: الماضي والحاضر والمستقبل</w:t>
      </w:r>
      <w:r>
        <w:rPr>
          <w:rFonts w:ascii="Arial" w:hAnsi="Arial" w:cs="Arial"/>
          <w:color w:val="222222"/>
          <w:shd w:val="clear" w:color="auto" w:fill="FFFFFF"/>
        </w:rPr>
        <w:t>. </w:t>
      </w:r>
      <w:r>
        <w:rPr>
          <w:rFonts w:ascii="Arial" w:hAnsi="Arial" w:cs="Arial"/>
          <w:i/>
          <w:iCs/>
          <w:color w:val="222222"/>
          <w:shd w:val="clear" w:color="auto" w:fill="FFFFFF"/>
        </w:rPr>
        <w:t>International Review of Law</w:t>
      </w:r>
      <w:r>
        <w:rPr>
          <w:rFonts w:ascii="Arial" w:hAnsi="Arial" w:cs="Arial"/>
          <w:color w:val="222222"/>
          <w:shd w:val="clear" w:color="auto" w:fill="FFFFFF"/>
        </w:rPr>
        <w:t>, </w:t>
      </w:r>
      <w:r>
        <w:rPr>
          <w:rFonts w:ascii="Arial" w:hAnsi="Arial" w:cs="Arial"/>
          <w:i/>
          <w:iCs/>
          <w:color w:val="222222"/>
          <w:shd w:val="clear" w:color="auto" w:fill="FFFFFF"/>
        </w:rPr>
        <w:t>2013</w:t>
      </w:r>
      <w:r>
        <w:rPr>
          <w:rFonts w:ascii="Arial" w:hAnsi="Arial" w:cs="Arial"/>
          <w:color w:val="222222"/>
          <w:shd w:val="clear" w:color="auto" w:fill="FFFFFF"/>
        </w:rPr>
        <w:t>(1).</w:t>
      </w:r>
      <w:r>
        <w:rPr>
          <w:rFonts w:ascii="Arial" w:hAnsi="Arial" w:cs="Arial"/>
          <w:color w:val="222222"/>
          <w:shd w:val="clear" w:color="auto" w:fill="FFFFFF"/>
          <w:rtl/>
        </w:rPr>
        <w:t>‏</w:t>
      </w:r>
    </w:p>
  </w:footnote>
  <w:footnote w:id="9">
    <w:p w14:paraId="3C5890B9" w14:textId="13219498" w:rsidR="005723EB" w:rsidRPr="0083328E" w:rsidRDefault="005723EB" w:rsidP="0083328E">
      <w:pPr>
        <w:pStyle w:val="a7"/>
        <w:jc w:val="both"/>
        <w:rPr>
          <w:rtl/>
        </w:rPr>
      </w:pPr>
      <w:r>
        <w:rPr>
          <w:rFonts w:hint="cs"/>
          <w:rtl/>
        </w:rPr>
        <w:t>(1)</w:t>
      </w:r>
      <w:r w:rsidRPr="0083328E">
        <w:rPr>
          <w:rFonts w:ascii="Arial" w:hAnsi="Arial" w:cs="Arial"/>
          <w:color w:val="222222"/>
          <w:shd w:val="clear" w:color="auto" w:fill="FFFFFF"/>
          <w:rtl/>
        </w:rPr>
        <w:t xml:space="preserve"> </w:t>
      </w:r>
      <w:r>
        <w:rPr>
          <w:rFonts w:ascii="Arial" w:hAnsi="Arial" w:cs="Arial"/>
          <w:color w:val="222222"/>
          <w:shd w:val="clear" w:color="auto" w:fill="FFFFFF"/>
          <w:rtl/>
        </w:rPr>
        <w:t>العلي</w:t>
      </w:r>
      <w:r>
        <w:rPr>
          <w:rFonts w:ascii="Arial" w:hAnsi="Arial" w:cs="Arial"/>
          <w:color w:val="222222"/>
          <w:shd w:val="clear" w:color="auto" w:fill="FFFFFF"/>
        </w:rPr>
        <w:t xml:space="preserve">, &amp; </w:t>
      </w:r>
      <w:r>
        <w:rPr>
          <w:rFonts w:ascii="Arial" w:hAnsi="Arial" w:cs="Arial"/>
          <w:color w:val="222222"/>
          <w:shd w:val="clear" w:color="auto" w:fill="FFFFFF"/>
          <w:rtl/>
        </w:rPr>
        <w:t>لمى. (2026). التعاون الدولي في مكافحة الجريمة السيبرانية في إطار القانون الدولي العام</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53</w:t>
      </w:r>
      <w:r>
        <w:rPr>
          <w:rFonts w:ascii="Arial" w:hAnsi="Arial" w:cs="Arial"/>
          <w:color w:val="222222"/>
          <w:shd w:val="clear" w:color="auto" w:fill="FFFFFF"/>
        </w:rPr>
        <w:t>(53), 3819-3904.</w:t>
      </w:r>
    </w:p>
  </w:footnote>
  <w:footnote w:id="10">
    <w:p w14:paraId="0E11D2C9" w14:textId="7A3A97B9" w:rsidR="005723EB" w:rsidRPr="00AB12F7" w:rsidRDefault="005723EB" w:rsidP="00AB12F7">
      <w:pPr>
        <w:pStyle w:val="a7"/>
        <w:jc w:val="both"/>
        <w:rPr>
          <w:rtl/>
        </w:rPr>
      </w:pPr>
      <w:r>
        <w:rPr>
          <w:rFonts w:hint="cs"/>
          <w:rtl/>
        </w:rPr>
        <w:t>(1)</w:t>
      </w:r>
      <w:r w:rsidRPr="00AB12F7">
        <w:rPr>
          <w:rFonts w:ascii="Arial" w:hAnsi="Arial" w:cs="Arial"/>
          <w:color w:val="222222"/>
          <w:shd w:val="clear" w:color="auto" w:fill="FFFFFF"/>
          <w:rtl/>
        </w:rPr>
        <w:t xml:space="preserve"> </w:t>
      </w:r>
      <w:r>
        <w:rPr>
          <w:rFonts w:ascii="Arial" w:hAnsi="Arial" w:cs="Arial" w:hint="cs"/>
          <w:color w:val="222222"/>
          <w:shd w:val="clear" w:color="auto" w:fill="FFFFFF"/>
          <w:rtl/>
        </w:rPr>
        <w:t>سالــــــــم،</w:t>
      </w:r>
      <w:r>
        <w:rPr>
          <w:rFonts w:ascii="Arial" w:hAnsi="Arial" w:cs="Arial"/>
          <w:color w:val="222222"/>
          <w:shd w:val="clear" w:color="auto" w:fill="FFFFFF"/>
          <w:rtl/>
        </w:rPr>
        <w:t xml:space="preserve"> أ. د/دعــــــــاء </w:t>
      </w:r>
      <w:r>
        <w:rPr>
          <w:rFonts w:ascii="Arial" w:hAnsi="Arial" w:cs="Arial" w:hint="cs"/>
          <w:color w:val="222222"/>
          <w:shd w:val="clear" w:color="auto" w:fill="FFFFFF"/>
          <w:rtl/>
        </w:rPr>
        <w:t>فتحـــــــي،</w:t>
      </w:r>
      <w:r>
        <w:rPr>
          <w:rFonts w:ascii="Arial" w:hAnsi="Arial" w:cs="Arial"/>
          <w:color w:val="222222"/>
          <w:shd w:val="clear" w:color="auto" w:fill="FFFFFF"/>
          <w:rtl/>
        </w:rPr>
        <w:t xml:space="preserve"> </w:t>
      </w:r>
      <w:r>
        <w:rPr>
          <w:rFonts w:ascii="Arial" w:hAnsi="Arial" w:cs="Arial" w:hint="cs"/>
          <w:color w:val="222222"/>
          <w:shd w:val="clear" w:color="auto" w:fill="FFFFFF"/>
          <w:rtl/>
        </w:rPr>
        <w:t>أبو الجدايل</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 م. د/محمد حاتم صلاح. (2023). فاعلية استخدام الهيئة الوطنية للأمن السيبراني بالمملكة العربية السعودية لتقنيات الذكاء الاصطناعي كتوجه مستقبلي: دراسة استشرافية</w:t>
      </w:r>
      <w:r>
        <w:rPr>
          <w:rFonts w:ascii="Arial" w:hAnsi="Arial" w:cs="Arial"/>
          <w:color w:val="222222"/>
          <w:shd w:val="clear" w:color="auto" w:fill="FFFFFF"/>
        </w:rPr>
        <w:t>. </w:t>
      </w:r>
      <w:r>
        <w:rPr>
          <w:rFonts w:ascii="Arial" w:hAnsi="Arial" w:cs="Arial"/>
          <w:i/>
          <w:iCs/>
          <w:color w:val="222222"/>
          <w:shd w:val="clear" w:color="auto" w:fill="FFFFFF"/>
          <w:rtl/>
        </w:rPr>
        <w:t xml:space="preserve">بحوث عربية </w:t>
      </w:r>
      <w:proofErr w:type="spellStart"/>
      <w:r>
        <w:rPr>
          <w:rFonts w:ascii="Arial" w:hAnsi="Arial" w:cs="Arial"/>
          <w:i/>
          <w:iCs/>
          <w:color w:val="222222"/>
          <w:shd w:val="clear" w:color="auto" w:fill="FFFFFF"/>
          <w:rtl/>
        </w:rPr>
        <w:t>فى</w:t>
      </w:r>
      <w:proofErr w:type="spellEnd"/>
      <w:r>
        <w:rPr>
          <w:rFonts w:ascii="Arial" w:hAnsi="Arial" w:cs="Arial"/>
          <w:i/>
          <w:iCs/>
          <w:color w:val="222222"/>
          <w:shd w:val="clear" w:color="auto" w:fill="FFFFFF"/>
          <w:rtl/>
        </w:rPr>
        <w:t xml:space="preserve"> مجالات التربية النوعية</w:t>
      </w:r>
      <w:r>
        <w:rPr>
          <w:rFonts w:ascii="Arial" w:hAnsi="Arial" w:cs="Arial"/>
          <w:color w:val="222222"/>
          <w:shd w:val="clear" w:color="auto" w:fill="FFFFFF"/>
        </w:rPr>
        <w:t>, </w:t>
      </w:r>
      <w:r>
        <w:rPr>
          <w:rFonts w:ascii="Arial" w:hAnsi="Arial" w:cs="Arial"/>
          <w:i/>
          <w:iCs/>
          <w:color w:val="222222"/>
          <w:shd w:val="clear" w:color="auto" w:fill="FFFFFF"/>
        </w:rPr>
        <w:t>30</w:t>
      </w:r>
      <w:r>
        <w:rPr>
          <w:rFonts w:ascii="Arial" w:hAnsi="Arial" w:cs="Arial"/>
          <w:color w:val="222222"/>
          <w:shd w:val="clear" w:color="auto" w:fill="FFFFFF"/>
        </w:rPr>
        <w:t>(1), 183-239.</w:t>
      </w:r>
    </w:p>
  </w:footnote>
  <w:footnote w:id="11">
    <w:p w14:paraId="7245133F" w14:textId="3EDF914D" w:rsidR="005723EB" w:rsidRPr="00AB12F7" w:rsidRDefault="005723EB" w:rsidP="00AB12F7">
      <w:pPr>
        <w:pStyle w:val="a7"/>
        <w:jc w:val="both"/>
        <w:rPr>
          <w:rtl/>
        </w:rPr>
      </w:pPr>
      <w:r>
        <w:rPr>
          <w:rFonts w:hint="cs"/>
          <w:rtl/>
        </w:rPr>
        <w:t>(1)</w:t>
      </w:r>
      <w:r w:rsidRPr="00AB12F7">
        <w:rPr>
          <w:rtl/>
        </w:rPr>
        <w:t xml:space="preserve"> </w:t>
      </w:r>
      <w:r>
        <w:rPr>
          <w:rtl/>
        </w:rPr>
        <w:t>دولة الإمارات العربية المتحدة</w:t>
      </w:r>
      <w:r>
        <w:t xml:space="preserve">. (2021). </w:t>
      </w:r>
      <w:r>
        <w:rPr>
          <w:rStyle w:val="a4"/>
          <w:rtl/>
        </w:rPr>
        <w:t>مرسوم بقانون اتحادي رقم (46) لسنة 2021 بشأن المعاملات الإلكترونية وخدمات الثقة</w:t>
      </w:r>
      <w:r>
        <w:t xml:space="preserve">. </w:t>
      </w:r>
      <w:r>
        <w:rPr>
          <w:rtl/>
        </w:rPr>
        <w:t>بوابة تشريعات الإمارات العربية المتحدة</w:t>
      </w:r>
      <w:r>
        <w:t>.</w:t>
      </w:r>
    </w:p>
  </w:footnote>
  <w:footnote w:id="12">
    <w:p w14:paraId="74E0E467" w14:textId="7D8271CD" w:rsidR="005723EB" w:rsidRPr="00406949" w:rsidRDefault="005723EB" w:rsidP="00406949">
      <w:pPr>
        <w:pStyle w:val="a7"/>
        <w:jc w:val="both"/>
        <w:rPr>
          <w:rtl/>
        </w:rPr>
      </w:pPr>
      <w:r>
        <w:rPr>
          <w:rFonts w:hint="cs"/>
          <w:rtl/>
        </w:rPr>
        <w:t>(1)</w:t>
      </w:r>
      <w:r w:rsidRPr="00406949">
        <w:rPr>
          <w:rFonts w:ascii="Arial" w:hAnsi="Arial" w:cs="Arial"/>
          <w:color w:val="222222"/>
          <w:shd w:val="clear" w:color="auto" w:fill="FFFFFF"/>
          <w:rtl/>
        </w:rPr>
        <w:t xml:space="preserve"> </w:t>
      </w:r>
      <w:r>
        <w:rPr>
          <w:rFonts w:ascii="Arial" w:hAnsi="Arial" w:cs="Arial"/>
          <w:color w:val="222222"/>
          <w:shd w:val="clear" w:color="auto" w:fill="FFFFFF"/>
          <w:rtl/>
        </w:rPr>
        <w:t>الشمري</w:t>
      </w:r>
      <w:r>
        <w:rPr>
          <w:rFonts w:ascii="Arial" w:hAnsi="Arial" w:cs="Arial"/>
          <w:color w:val="222222"/>
          <w:shd w:val="clear" w:color="auto" w:fill="FFFFFF"/>
        </w:rPr>
        <w:t xml:space="preserve">, &amp; </w:t>
      </w:r>
      <w:r>
        <w:rPr>
          <w:rFonts w:ascii="Arial" w:hAnsi="Arial" w:cs="Arial"/>
          <w:color w:val="222222"/>
          <w:shd w:val="clear" w:color="auto" w:fill="FFFFFF"/>
          <w:rtl/>
        </w:rPr>
        <w:t>ثامر بن حسن بن عسكر. (2025). حجية التوقيع الإلكتروني والتصديق عليه في مجال المعاملات المصرفية في نظام التعاملات الإلكترونية السعودي: دراسة مقارنة</w:t>
      </w:r>
      <w:r>
        <w:rPr>
          <w:rFonts w:ascii="Arial" w:hAnsi="Arial" w:cs="Arial"/>
          <w:color w:val="222222"/>
          <w:shd w:val="clear" w:color="auto" w:fill="FFFFFF"/>
        </w:rPr>
        <w:t>. </w:t>
      </w:r>
      <w:r>
        <w:rPr>
          <w:rFonts w:ascii="Arial" w:hAnsi="Arial" w:cs="Arial"/>
          <w:i/>
          <w:iCs/>
          <w:color w:val="222222"/>
          <w:shd w:val="clear" w:color="auto" w:fill="FFFFFF"/>
          <w:rtl/>
        </w:rPr>
        <w:t>مجلة البحوث القانونية والإقتصادية (المنصورة)</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(94.), 1-53.</w:t>
      </w:r>
    </w:p>
  </w:footnote>
  <w:footnote w:id="13">
    <w:p w14:paraId="714D2B84" w14:textId="7DF3E12F" w:rsidR="005723EB" w:rsidRPr="00406949" w:rsidRDefault="005723EB" w:rsidP="00406949">
      <w:pPr>
        <w:pStyle w:val="a7"/>
        <w:jc w:val="both"/>
        <w:rPr>
          <w:rtl/>
        </w:rPr>
      </w:pPr>
      <w:r>
        <w:rPr>
          <w:rFonts w:hint="cs"/>
          <w:rtl/>
        </w:rPr>
        <w:t>(1)</w:t>
      </w:r>
      <w:r w:rsidRPr="00406949">
        <w:rPr>
          <w:rtl/>
        </w:rPr>
        <w:t xml:space="preserve"> </w:t>
      </w:r>
      <w:r>
        <w:rPr>
          <w:rtl/>
        </w:rPr>
        <w:t>دولة الإمارات العربية المتحدة</w:t>
      </w:r>
      <w:r>
        <w:t xml:space="preserve">. (2021). </w:t>
      </w:r>
      <w:r>
        <w:rPr>
          <w:rStyle w:val="a4"/>
          <w:rtl/>
        </w:rPr>
        <w:t>مرسوم بقانون اتحادي رقم (46) لسنة 2021 بشأن المعاملات الإلكترونية وخدمات الثقة</w:t>
      </w:r>
      <w:r>
        <w:t xml:space="preserve">. </w:t>
      </w:r>
      <w:r>
        <w:rPr>
          <w:rtl/>
        </w:rPr>
        <w:t>بوابة تشريعات الإمارات العربية المتحدة</w:t>
      </w:r>
      <w:r>
        <w:t>.</w:t>
      </w:r>
    </w:p>
  </w:footnote>
  <w:footnote w:id="14">
    <w:p w14:paraId="0BA7BFC8" w14:textId="65BF23F1" w:rsidR="005723EB" w:rsidRDefault="005723EB" w:rsidP="00361B7D">
      <w:pPr>
        <w:pStyle w:val="a7"/>
        <w:jc w:val="both"/>
      </w:pPr>
      <w:r>
        <w:rPr>
          <w:rFonts w:hint="cs"/>
          <w:rtl/>
        </w:rPr>
        <w:t>(1)</w:t>
      </w:r>
      <w:r w:rsidRPr="00361B7D">
        <w:rPr>
          <w:rFonts w:ascii="Arial" w:hAnsi="Arial" w:cs="Arial"/>
          <w:color w:val="222222"/>
          <w:shd w:val="clear" w:color="auto" w:fill="FFFFFF"/>
          <w:rtl/>
        </w:rPr>
        <w:t xml:space="preserve"> </w:t>
      </w:r>
      <w:r>
        <w:rPr>
          <w:rFonts w:ascii="Arial" w:hAnsi="Arial" w:cs="Arial"/>
          <w:color w:val="222222"/>
          <w:shd w:val="clear" w:color="auto" w:fill="FFFFFF"/>
          <w:rtl/>
        </w:rPr>
        <w:t>عذراء احمد عيسى انصاف. (2025). الحماية القانونية المقررة في عقد البيع الالكتروني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(7), 599-620.</w:t>
      </w:r>
    </w:p>
  </w:footnote>
  <w:footnote w:id="15">
    <w:p w14:paraId="2FA08EF2" w14:textId="0769D9B2" w:rsidR="005723EB" w:rsidRPr="00873376" w:rsidRDefault="005723EB" w:rsidP="00873376">
      <w:pPr>
        <w:pStyle w:val="a7"/>
        <w:jc w:val="both"/>
        <w:rPr>
          <w:rtl/>
        </w:rPr>
      </w:pPr>
      <w:r>
        <w:rPr>
          <w:rFonts w:hint="cs"/>
          <w:rtl/>
        </w:rPr>
        <w:t>(1)</w:t>
      </w:r>
      <w:r w:rsidRPr="00873376">
        <w:rPr>
          <w:rFonts w:ascii="Arial" w:hAnsi="Arial" w:cs="Arial"/>
          <w:color w:val="222222"/>
          <w:shd w:val="clear" w:color="auto" w:fill="FFFFFF"/>
          <w:rtl/>
        </w:rPr>
        <w:t xml:space="preserve"> </w:t>
      </w:r>
      <w:r>
        <w:rPr>
          <w:rFonts w:ascii="Arial" w:hAnsi="Arial" w:cs="Arial"/>
          <w:color w:val="222222"/>
          <w:shd w:val="clear" w:color="auto" w:fill="FFFFFF"/>
          <w:rtl/>
        </w:rPr>
        <w:t xml:space="preserve">بن نايف عبدالله </w:t>
      </w:r>
      <w:proofErr w:type="spellStart"/>
      <w:r>
        <w:rPr>
          <w:rFonts w:ascii="Arial" w:hAnsi="Arial" w:cs="Arial"/>
          <w:color w:val="222222"/>
          <w:shd w:val="clear" w:color="auto" w:fill="FFFFFF"/>
          <w:rtl/>
        </w:rPr>
        <w:t>الشمرى</w:t>
      </w:r>
      <w:proofErr w:type="spellEnd"/>
      <w:r>
        <w:rPr>
          <w:rFonts w:ascii="Arial" w:hAnsi="Arial" w:cs="Arial"/>
          <w:color w:val="222222"/>
          <w:shd w:val="clear" w:color="auto" w:fill="FFFFFF"/>
        </w:rPr>
        <w:t xml:space="preserve">, &amp; </w:t>
      </w:r>
      <w:r>
        <w:rPr>
          <w:rFonts w:ascii="Arial" w:hAnsi="Arial" w:cs="Arial"/>
          <w:color w:val="222222"/>
          <w:shd w:val="clear" w:color="auto" w:fill="FFFFFF"/>
          <w:rtl/>
        </w:rPr>
        <w:t>نواف. (2025). النظام الجزائي لجرائم المعلوماتية وأثره في حماية الأمن السيبراني في السعودية</w:t>
      </w:r>
      <w:r>
        <w:rPr>
          <w:rFonts w:ascii="Arial" w:hAnsi="Arial" w:cs="Arial"/>
          <w:color w:val="222222"/>
          <w:shd w:val="clear" w:color="auto" w:fill="FFFFFF"/>
        </w:rPr>
        <w:t xml:space="preserve"> The Penal System for Cybercrimes and Its Impact on Protecting Cyber security in Saudi Arabia. </w:t>
      </w:r>
      <w:r>
        <w:rPr>
          <w:rFonts w:ascii="Arial" w:hAnsi="Arial" w:cs="Arial"/>
          <w:i/>
          <w:iCs/>
          <w:color w:val="222222"/>
          <w:shd w:val="clear" w:color="auto" w:fill="FFFFFF"/>
          <w:rtl/>
        </w:rPr>
        <w:t>روح القوانين</w:t>
      </w:r>
      <w:r>
        <w:rPr>
          <w:rFonts w:ascii="Arial" w:hAnsi="Arial" w:cs="Arial"/>
          <w:color w:val="222222"/>
          <w:shd w:val="clear" w:color="auto" w:fill="FFFFFF"/>
        </w:rPr>
        <w:t>, </w:t>
      </w:r>
      <w:r>
        <w:rPr>
          <w:rFonts w:ascii="Arial" w:hAnsi="Arial" w:cs="Arial"/>
          <w:i/>
          <w:iCs/>
          <w:color w:val="222222"/>
          <w:shd w:val="clear" w:color="auto" w:fill="FFFFFF"/>
        </w:rPr>
        <w:t>37</w:t>
      </w:r>
      <w:r>
        <w:rPr>
          <w:rFonts w:ascii="Arial" w:hAnsi="Arial" w:cs="Arial"/>
          <w:color w:val="222222"/>
          <w:shd w:val="clear" w:color="auto" w:fill="FFFFFF"/>
        </w:rPr>
        <w:t>(112), 1883-1930.</w:t>
      </w:r>
    </w:p>
  </w:footnote>
  <w:footnote w:id="16">
    <w:p w14:paraId="09AC492B" w14:textId="12058D43" w:rsidR="005723EB" w:rsidRPr="00F76FFA" w:rsidRDefault="005723EB" w:rsidP="00F76FFA">
      <w:pPr>
        <w:pStyle w:val="a7"/>
        <w:jc w:val="both"/>
        <w:rPr>
          <w:rtl/>
        </w:rPr>
      </w:pPr>
      <w:r>
        <w:rPr>
          <w:rFonts w:hint="cs"/>
          <w:rtl/>
        </w:rPr>
        <w:t>(1)</w:t>
      </w:r>
      <w:r w:rsidRPr="00F76FFA">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مزوز</w:t>
      </w:r>
      <w:proofErr w:type="spellEnd"/>
      <w:r>
        <w:rPr>
          <w:rFonts w:ascii="Arial" w:hAnsi="Arial" w:cs="Arial"/>
          <w:color w:val="222222"/>
          <w:shd w:val="clear" w:color="auto" w:fill="FFFFFF"/>
          <w:rtl/>
        </w:rPr>
        <w:t xml:space="preserve">, صورية, رجب فتح الباب </w:t>
      </w:r>
      <w:proofErr w:type="spellStart"/>
      <w:r>
        <w:rPr>
          <w:rFonts w:ascii="Arial" w:hAnsi="Arial" w:cs="Arial"/>
          <w:color w:val="222222"/>
          <w:shd w:val="clear" w:color="auto" w:fill="FFFFFF"/>
          <w:rtl/>
        </w:rPr>
        <w:t>صميده</w:t>
      </w:r>
      <w:proofErr w:type="spellEnd"/>
      <w:r>
        <w:rPr>
          <w:rFonts w:ascii="Arial" w:hAnsi="Arial" w:cs="Arial"/>
          <w:color w:val="222222"/>
          <w:shd w:val="clear" w:color="auto" w:fill="FFFFFF"/>
        </w:rPr>
        <w:t xml:space="preserve">, &amp; </w:t>
      </w:r>
      <w:r>
        <w:rPr>
          <w:rFonts w:ascii="Arial" w:hAnsi="Arial" w:cs="Arial"/>
          <w:color w:val="222222"/>
          <w:shd w:val="clear" w:color="auto" w:fill="FFFFFF"/>
          <w:rtl/>
        </w:rPr>
        <w:t>صلاح الدين. (2026). المسؤولية النظامية للشركات عن حماية البيانات الشخصية في ظل استخدام تقنيات الذكاء الاصطناعي دراسة تحليلية في النظام السعودي</w:t>
      </w:r>
      <w:r>
        <w:rPr>
          <w:rFonts w:ascii="Arial" w:hAnsi="Arial" w:cs="Arial"/>
          <w:color w:val="222222"/>
          <w:shd w:val="clear" w:color="auto" w:fill="FFFFFF"/>
        </w:rPr>
        <w:t>/Corporate Legal Responsibility for Safeguarding Personal Data under Artificial Intelligence Technologies: An Analytical Examination within the Saudi Legal System.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53</w:t>
      </w:r>
      <w:r>
        <w:rPr>
          <w:rFonts w:ascii="Arial" w:hAnsi="Arial" w:cs="Arial"/>
          <w:color w:val="222222"/>
          <w:shd w:val="clear" w:color="auto" w:fill="FFFFFF"/>
        </w:rPr>
        <w:t>(53), 595-651.</w:t>
      </w:r>
    </w:p>
  </w:footnote>
  <w:footnote w:id="17">
    <w:p w14:paraId="03450711" w14:textId="5AB338F5" w:rsidR="005723EB" w:rsidRPr="00A66CB4" w:rsidRDefault="005723EB" w:rsidP="00A66CB4">
      <w:pPr>
        <w:pStyle w:val="a7"/>
        <w:jc w:val="left"/>
        <w:rPr>
          <w:vertAlign w:val="superscript"/>
        </w:rPr>
      </w:pPr>
      <w:r w:rsidRPr="00A66CB4">
        <w:rPr>
          <w:rStyle w:val="a8"/>
          <w:rFonts w:hint="cs"/>
          <w:rtl/>
        </w:rPr>
        <w:t>(</w:t>
      </w:r>
      <w:r w:rsidRPr="00A66CB4">
        <w:rPr>
          <w:rFonts w:hint="cs"/>
          <w:vertAlign w:val="superscript"/>
          <w:rtl/>
        </w:rPr>
        <w:t>1)</w:t>
      </w:r>
      <w:r w:rsidRPr="00A66CB4">
        <w:rPr>
          <w:rtl/>
        </w:rPr>
        <w:t xml:space="preserve"> </w:t>
      </w:r>
      <w:r w:rsidRPr="00A66CB4">
        <w:rPr>
          <w:rFonts w:ascii="Arial" w:hAnsi="Arial" w:cs="Arial" w:hint="cs"/>
          <w:color w:val="222222"/>
          <w:shd w:val="clear" w:color="auto" w:fill="FFFFFF"/>
          <w:rtl/>
        </w:rPr>
        <w:t>الحربي،</w:t>
      </w:r>
      <w:r w:rsidRPr="00A66CB4">
        <w:rPr>
          <w:rFonts w:ascii="Arial" w:hAnsi="Arial" w:cs="Arial"/>
          <w:color w:val="222222"/>
          <w:shd w:val="clear" w:color="auto" w:fill="FFFFFF"/>
          <w:rtl/>
        </w:rPr>
        <w:t xml:space="preserve"> ت. د</w:t>
      </w:r>
      <w:r w:rsidRPr="00A66CB4">
        <w:rPr>
          <w:rFonts w:ascii="Arial" w:hAnsi="Arial" w:cs="Arial"/>
          <w:color w:val="222222"/>
          <w:shd w:val="clear" w:color="auto" w:fill="FFFFFF"/>
        </w:rPr>
        <w:t xml:space="preserve">., &amp; </w:t>
      </w:r>
      <w:proofErr w:type="spellStart"/>
      <w:r w:rsidRPr="00A66CB4">
        <w:rPr>
          <w:rFonts w:ascii="Arial" w:hAnsi="Arial" w:cs="Arial"/>
          <w:color w:val="222222"/>
          <w:shd w:val="clear" w:color="auto" w:fill="FFFFFF"/>
          <w:rtl/>
        </w:rPr>
        <w:t>الرابغي</w:t>
      </w:r>
      <w:proofErr w:type="spellEnd"/>
      <w:r w:rsidRPr="00A66CB4">
        <w:rPr>
          <w:rFonts w:ascii="Arial" w:hAnsi="Arial" w:cs="Arial"/>
          <w:color w:val="222222"/>
          <w:shd w:val="clear" w:color="auto" w:fill="FFFFFF"/>
          <w:rtl/>
        </w:rPr>
        <w:t>, ر. ع. (2025). دور الحكومة الرقمية ودعمها للجهات الحكومية في تبني التقنيات الناشئة لتفعيل التحول الرقمي: دراسة حالة هيئة الحكومة الرقمية السعودية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Journal of Information Studies and Technology</w:t>
      </w:r>
      <w:r w:rsidRPr="00A66CB4">
        <w:rPr>
          <w:rFonts w:ascii="Arial" w:hAnsi="Arial" w:cs="Arial"/>
          <w:color w:val="222222"/>
          <w:shd w:val="clear" w:color="auto" w:fill="FFFFFF"/>
        </w:rPr>
        <w:t>, </w:t>
      </w:r>
      <w:r w:rsidRPr="00A66CB4">
        <w:rPr>
          <w:rFonts w:ascii="Arial" w:hAnsi="Arial" w:cs="Arial"/>
          <w:i/>
          <w:iCs/>
          <w:color w:val="222222"/>
          <w:shd w:val="clear" w:color="auto" w:fill="FFFFFF"/>
        </w:rPr>
        <w:t>2025</w:t>
      </w:r>
      <w:r w:rsidRPr="00A66CB4">
        <w:rPr>
          <w:rFonts w:ascii="Arial" w:hAnsi="Arial" w:cs="Arial"/>
          <w:color w:val="222222"/>
          <w:shd w:val="clear" w:color="auto" w:fill="FFFFFF"/>
        </w:rPr>
        <w:t>(1), 7.</w:t>
      </w:r>
      <w:r w:rsidRPr="00A66CB4">
        <w:rPr>
          <w:rFonts w:ascii="Arial" w:hAnsi="Arial" w:cs="Arial"/>
          <w:color w:val="222222"/>
          <w:shd w:val="clear" w:color="auto" w:fill="FFFFFF"/>
          <w:rtl/>
        </w:rPr>
        <w:t>‏</w:t>
      </w:r>
    </w:p>
  </w:footnote>
  <w:footnote w:id="18">
    <w:p w14:paraId="0A2CBC45" w14:textId="77777777" w:rsidR="005723EB" w:rsidRPr="00A66CB4" w:rsidRDefault="005723EB" w:rsidP="00A66CB4">
      <w:pPr>
        <w:pStyle w:val="a7"/>
        <w:jc w:val="left"/>
        <w:rPr>
          <w:rtl/>
        </w:rPr>
      </w:pPr>
      <w:r w:rsidRPr="00A66CB4">
        <w:rPr>
          <w:rStyle w:val="a8"/>
          <w:rFonts w:hint="cs"/>
          <w:vertAlign w:val="baseline"/>
          <w:rtl/>
        </w:rPr>
        <w:t>(</w:t>
      </w:r>
      <w:r w:rsidRPr="00A66CB4">
        <w:rPr>
          <w:rFonts w:hint="cs"/>
          <w:rtl/>
        </w:rPr>
        <w:t>2)</w:t>
      </w:r>
      <w:r w:rsidRPr="00A66CB4">
        <w:rPr>
          <w:rtl/>
        </w:rPr>
        <w:t xml:space="preserve"> رشوان، فاطمة</w:t>
      </w:r>
      <w:r w:rsidRPr="00A66CB4">
        <w:t>. (2025).</w:t>
      </w:r>
      <w:r w:rsidRPr="00A66CB4">
        <w:rPr>
          <w:rtl/>
        </w:rPr>
        <w:t xml:space="preserve"> التحديات القانونية للحوكمة الرقمية في المؤسسات العامة</w:t>
      </w:r>
      <w:r w:rsidRPr="00A66CB4">
        <w:t>.</w:t>
      </w:r>
      <w:r w:rsidRPr="00A66CB4">
        <w:rPr>
          <w:rStyle w:val="1Char"/>
          <w:rFonts w:eastAsia="Calibri"/>
          <w:sz w:val="20"/>
          <w:rtl/>
        </w:rPr>
        <w:t xml:space="preserve"> </w:t>
      </w:r>
      <w:r w:rsidRPr="00A66CB4">
        <w:rPr>
          <w:rStyle w:val="a4"/>
          <w:rtl/>
        </w:rPr>
        <w:t>مجلة القانون والدراسات الاجتماعية، 4</w:t>
      </w:r>
      <w:r w:rsidRPr="00A66CB4">
        <w:t>(1)</w:t>
      </w:r>
      <w:r w:rsidRPr="00A66CB4">
        <w:rPr>
          <w:rtl/>
        </w:rPr>
        <w:t>، 287</w:t>
      </w:r>
      <w:r w:rsidRPr="00A66CB4">
        <w:t>–347.</w:t>
      </w:r>
    </w:p>
  </w:footnote>
  <w:footnote w:id="19">
    <w:p w14:paraId="786D4DB1" w14:textId="186A4E83" w:rsidR="005723EB" w:rsidRPr="00A66CB4" w:rsidRDefault="005723EB" w:rsidP="00A66CB4">
      <w:pPr>
        <w:pStyle w:val="a7"/>
        <w:jc w:val="both"/>
        <w:rPr>
          <w:rtl/>
        </w:rPr>
      </w:pPr>
      <w:r w:rsidRPr="00A66CB4">
        <w:rPr>
          <w:rFonts w:hint="cs"/>
          <w:rtl/>
        </w:rPr>
        <w:t>(1)</w:t>
      </w:r>
      <w:r w:rsidRPr="00A66CB4">
        <w:rPr>
          <w:rFonts w:ascii="Arial" w:hAnsi="Arial" w:cs="Arial"/>
          <w:color w:val="222222"/>
          <w:shd w:val="clear" w:color="auto" w:fill="FFFFFF"/>
        </w:rPr>
        <w:t>.</w:t>
      </w:r>
      <w:r w:rsidRPr="00A66CB4">
        <w:rPr>
          <w:rFonts w:ascii="Arial" w:hAnsi="Arial" w:cs="Arial"/>
          <w:color w:val="222222"/>
          <w:shd w:val="clear" w:color="auto" w:fill="FFFFFF"/>
          <w:rtl/>
        </w:rPr>
        <w:t xml:space="preserve"> عبد الله بن </w:t>
      </w:r>
      <w:proofErr w:type="spellStart"/>
      <w:r w:rsidRPr="00A66CB4">
        <w:rPr>
          <w:rFonts w:ascii="Arial" w:hAnsi="Arial" w:cs="Arial"/>
          <w:color w:val="222222"/>
          <w:shd w:val="clear" w:color="auto" w:fill="FFFFFF"/>
          <w:rtl/>
        </w:rPr>
        <w:t>إبراه</w:t>
      </w:r>
      <w:proofErr w:type="spellEnd"/>
      <w:r w:rsidRPr="00A66CB4">
        <w:rPr>
          <w:rFonts w:ascii="Arial" w:hAnsi="Arial" w:cs="Arial"/>
          <w:color w:val="222222"/>
          <w:shd w:val="clear" w:color="auto" w:fill="FFFFFF"/>
          <w:rtl/>
        </w:rPr>
        <w:t>. (2025). الجرائم المستحدثة بواسطة الذكاء الاصطناعي دراسة تحليلية في ضوء نظام مكافحة الجرائم المعلوماتية السعودي والفقه الإسلامي</w:t>
      </w:r>
      <w:r w:rsidRPr="00A66CB4">
        <w:rPr>
          <w:rFonts w:ascii="Arial" w:hAnsi="Arial" w:cs="Arial"/>
          <w:color w:val="222222"/>
          <w:shd w:val="clear" w:color="auto" w:fill="FFFFFF"/>
        </w:rPr>
        <w:t>. </w:t>
      </w:r>
      <w:r w:rsidRPr="00A66CB4">
        <w:rPr>
          <w:rFonts w:ascii="Arial" w:hAnsi="Arial" w:cs="Arial"/>
          <w:i/>
          <w:iCs/>
          <w:color w:val="222222"/>
          <w:shd w:val="clear" w:color="auto" w:fill="FFFFFF"/>
        </w:rPr>
        <w:t>Al-Andalus journal for Humanities &amp; Social Sciences</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12</w:t>
      </w:r>
      <w:r w:rsidRPr="00A66CB4">
        <w:rPr>
          <w:rFonts w:ascii="Arial" w:hAnsi="Arial" w:cs="Arial"/>
          <w:color w:val="222222"/>
          <w:shd w:val="clear" w:color="auto" w:fill="FFFFFF"/>
        </w:rPr>
        <w:t>(135), 164.</w:t>
      </w:r>
      <w:r w:rsidRPr="00A66CB4">
        <w:rPr>
          <w:rFonts w:ascii="Arial" w:hAnsi="Arial" w:cs="Arial"/>
          <w:color w:val="222222"/>
          <w:shd w:val="clear" w:color="auto" w:fill="FFFFFF"/>
          <w:rtl/>
        </w:rPr>
        <w:t>‏</w:t>
      </w:r>
    </w:p>
  </w:footnote>
  <w:footnote w:id="20">
    <w:p w14:paraId="49019F4D" w14:textId="653F06A8" w:rsidR="005723EB" w:rsidRPr="00A66CB4" w:rsidRDefault="005723EB" w:rsidP="00A66CB4">
      <w:pPr>
        <w:pStyle w:val="a7"/>
        <w:jc w:val="both"/>
        <w:rPr>
          <w:rtl/>
        </w:rPr>
      </w:pPr>
      <w:r w:rsidRPr="00A66CB4">
        <w:rPr>
          <w:rFonts w:hint="cs"/>
          <w:rtl/>
        </w:rPr>
        <w:t>(2)</w:t>
      </w:r>
      <w:r w:rsidRPr="00A66CB4">
        <w:rPr>
          <w:rFonts w:ascii="Arial" w:hAnsi="Arial" w:cs="Arial"/>
          <w:color w:val="222222"/>
          <w:shd w:val="clear" w:color="auto" w:fill="FFFFFF"/>
          <w:rtl/>
        </w:rPr>
        <w:t xml:space="preserve"> عبد </w:t>
      </w:r>
      <w:r w:rsidRPr="00A66CB4">
        <w:rPr>
          <w:rFonts w:ascii="Arial" w:hAnsi="Arial" w:cs="Arial" w:hint="cs"/>
          <w:color w:val="222222"/>
          <w:shd w:val="clear" w:color="auto" w:fill="FFFFFF"/>
          <w:rtl/>
        </w:rPr>
        <w:t>المؤمن</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hint="cs"/>
          <w:color w:val="222222"/>
          <w:shd w:val="clear" w:color="auto" w:fill="FFFFFF"/>
          <w:rtl/>
        </w:rPr>
        <w:t>إسلام</w:t>
      </w:r>
      <w:r w:rsidRPr="00A66CB4">
        <w:rPr>
          <w:rFonts w:ascii="Arial" w:hAnsi="Arial" w:cs="Arial"/>
          <w:color w:val="222222"/>
          <w:shd w:val="clear" w:color="auto" w:fill="FFFFFF"/>
          <w:rtl/>
        </w:rPr>
        <w:t xml:space="preserve"> متولي. (2026). 03/07-افاق قضائية مقام القضاء والمخرجات المؤتمتة-</w:t>
      </w:r>
      <w:proofErr w:type="spellStart"/>
      <w:r w:rsidRPr="00A66CB4">
        <w:rPr>
          <w:rFonts w:ascii="Arial" w:hAnsi="Arial" w:cs="Arial"/>
          <w:color w:val="222222"/>
          <w:shd w:val="clear" w:color="auto" w:fill="FFFFFF"/>
          <w:rtl/>
        </w:rPr>
        <w:t>فى</w:t>
      </w:r>
      <w:proofErr w:type="spellEnd"/>
      <w:r w:rsidRPr="00A66CB4">
        <w:rPr>
          <w:rFonts w:ascii="Arial" w:hAnsi="Arial" w:cs="Arial"/>
          <w:color w:val="222222"/>
          <w:shd w:val="clear" w:color="auto" w:fill="FFFFFF"/>
          <w:rtl/>
        </w:rPr>
        <w:t xml:space="preserve"> البنية القيمية للرقابة القضائية وسبل المواجهة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مجلة محكمة النقض</w:t>
      </w:r>
      <w:r w:rsidRPr="00A66CB4">
        <w:rPr>
          <w:rFonts w:ascii="Arial" w:hAnsi="Arial" w:cs="Arial"/>
          <w:color w:val="222222"/>
          <w:shd w:val="clear" w:color="auto" w:fill="FFFFFF"/>
        </w:rPr>
        <w:t>, </w:t>
      </w:r>
      <w:r w:rsidRPr="00A66CB4">
        <w:rPr>
          <w:rFonts w:ascii="Arial" w:hAnsi="Arial" w:cs="Arial"/>
          <w:i/>
          <w:iCs/>
          <w:color w:val="222222"/>
          <w:shd w:val="clear" w:color="auto" w:fill="FFFFFF"/>
        </w:rPr>
        <w:t>3</w:t>
      </w:r>
      <w:r w:rsidRPr="00A66CB4">
        <w:rPr>
          <w:rFonts w:ascii="Arial" w:hAnsi="Arial" w:cs="Arial"/>
          <w:color w:val="222222"/>
          <w:shd w:val="clear" w:color="auto" w:fill="FFFFFF"/>
        </w:rPr>
        <w:t>(3).</w:t>
      </w:r>
    </w:p>
  </w:footnote>
  <w:footnote w:id="21">
    <w:p w14:paraId="1203DCA2" w14:textId="1698CC50" w:rsidR="005723EB" w:rsidRPr="00A66CB4" w:rsidRDefault="005723EB" w:rsidP="00A66CB4">
      <w:pPr>
        <w:pStyle w:val="a7"/>
        <w:jc w:val="both"/>
      </w:pPr>
      <w:r w:rsidRPr="00A66CB4">
        <w:rPr>
          <w:rFonts w:hint="cs"/>
          <w:rtl/>
        </w:rPr>
        <w:t>(1)</w:t>
      </w:r>
      <w:r w:rsidRPr="00A66CB4">
        <w:rPr>
          <w:rFonts w:ascii="Arial" w:hAnsi="Arial" w:cs="Arial"/>
          <w:color w:val="222222"/>
          <w:shd w:val="clear" w:color="auto" w:fill="FFFFFF"/>
          <w:rtl/>
        </w:rPr>
        <w:t xml:space="preserve"> مصطفى علي بلقاسم </w:t>
      </w:r>
      <w:proofErr w:type="spellStart"/>
      <w:r w:rsidRPr="00A66CB4">
        <w:rPr>
          <w:rFonts w:ascii="Arial" w:hAnsi="Arial" w:cs="Arial"/>
          <w:color w:val="222222"/>
          <w:shd w:val="clear" w:color="auto" w:fill="FFFFFF"/>
          <w:rtl/>
        </w:rPr>
        <w:t>اعميد</w:t>
      </w:r>
      <w:proofErr w:type="spellEnd"/>
      <w:r w:rsidRPr="00A66CB4">
        <w:rPr>
          <w:rFonts w:ascii="Arial" w:hAnsi="Arial" w:cs="Arial"/>
          <w:color w:val="222222"/>
          <w:shd w:val="clear" w:color="auto" w:fill="FFFFFF"/>
          <w:rtl/>
        </w:rPr>
        <w:t>. (2025). دور الانظمة الرقمية المدمجة</w:t>
      </w:r>
      <w:r w:rsidRPr="00A66CB4">
        <w:rPr>
          <w:rFonts w:ascii="Arial" w:hAnsi="Arial" w:cs="Arial"/>
          <w:color w:val="222222"/>
          <w:shd w:val="clear" w:color="auto" w:fill="FFFFFF"/>
        </w:rPr>
        <w:t xml:space="preserve"> (ERP) </w:t>
      </w:r>
      <w:r w:rsidRPr="00A66CB4">
        <w:rPr>
          <w:rFonts w:ascii="Arial" w:hAnsi="Arial" w:cs="Arial"/>
          <w:color w:val="222222"/>
          <w:shd w:val="clear" w:color="auto" w:fill="FFFFFF"/>
          <w:rtl/>
        </w:rPr>
        <w:t>في تعزيز التواصل بين إدارة الأعمال والإدارات العامة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مجلة العلوم الشاملة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10</w:t>
      </w:r>
      <w:r w:rsidRPr="00A66CB4">
        <w:rPr>
          <w:rFonts w:ascii="Arial" w:hAnsi="Arial" w:cs="Arial"/>
          <w:color w:val="222222"/>
          <w:shd w:val="clear" w:color="auto" w:fill="FFFFFF"/>
        </w:rPr>
        <w:t>(38) , 144-158.</w:t>
      </w:r>
    </w:p>
  </w:footnote>
  <w:footnote w:id="22">
    <w:p w14:paraId="5BB7C802" w14:textId="33319FC4" w:rsidR="005723EB" w:rsidRPr="00A66CB4" w:rsidRDefault="005723EB" w:rsidP="00A66CB4">
      <w:pPr>
        <w:pStyle w:val="a7"/>
        <w:jc w:val="both"/>
        <w:rPr>
          <w:rFonts w:ascii="Arial" w:hAnsi="Arial" w:cs="Arial"/>
          <w:color w:val="222222"/>
          <w:shd w:val="clear" w:color="auto" w:fill="FFFFFF"/>
        </w:rPr>
      </w:pP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الشريف</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أشرف عبد المحسن. (2025). الذكاء الاصطناعي والفهم الذكي لأحكام الفقه الإسلامي</w:t>
      </w:r>
      <w:r w:rsidRPr="00A66CB4">
        <w:rPr>
          <w:rFonts w:ascii="Arial" w:hAnsi="Arial" w:cs="Arial"/>
          <w:color w:val="222222"/>
          <w:shd w:val="clear" w:color="auto" w:fill="FFFFFF"/>
        </w:rPr>
        <w:t xml:space="preserve"> Artificial Intelligence And Intelligent Understanding of Islamic Jurisprudence. </w:t>
      </w:r>
      <w:r w:rsidRPr="00A66CB4">
        <w:rPr>
          <w:rFonts w:ascii="Arial" w:hAnsi="Arial" w:cs="Arial"/>
          <w:i/>
          <w:iCs/>
          <w:color w:val="222222"/>
          <w:shd w:val="clear" w:color="auto" w:fill="FFFFFF"/>
          <w:rtl/>
        </w:rPr>
        <w:t>مجلة تطبيقات الذكاء الاصطناعي في العلوم الإنسانية والاجتماعية</w:t>
      </w:r>
    </w:p>
    <w:p w14:paraId="6239F190" w14:textId="4697CE1D" w:rsidR="005723EB" w:rsidRPr="00A66CB4" w:rsidRDefault="005723EB" w:rsidP="00A66CB4">
      <w:pPr>
        <w:pStyle w:val="a7"/>
        <w:jc w:val="both"/>
        <w:rPr>
          <w:rtl/>
        </w:rPr>
      </w:pPr>
      <w:r w:rsidRPr="00A66CB4">
        <w:rPr>
          <w:rFonts w:ascii="Arial" w:hAnsi="Arial" w:cs="Arial"/>
          <w:color w:val="222222"/>
          <w:shd w:val="clear" w:color="auto" w:fill="FFFFFF"/>
        </w:rPr>
        <w:t>, </w:t>
      </w:r>
      <w:r w:rsidRPr="00A66CB4">
        <w:rPr>
          <w:rFonts w:ascii="Arial" w:hAnsi="Arial" w:cs="Arial"/>
          <w:i/>
          <w:iCs/>
          <w:color w:val="222222"/>
          <w:shd w:val="clear" w:color="auto" w:fill="FFFFFF"/>
        </w:rPr>
        <w:t>1</w:t>
      </w:r>
      <w:r w:rsidRPr="00A66CB4">
        <w:rPr>
          <w:rFonts w:ascii="Arial" w:hAnsi="Arial" w:cs="Arial"/>
          <w:color w:val="222222"/>
          <w:shd w:val="clear" w:color="auto" w:fill="FFFFFF"/>
        </w:rPr>
        <w:t>(1), 22-62.</w:t>
      </w:r>
    </w:p>
    <w:p w14:paraId="48CB09DF" w14:textId="44855210" w:rsidR="005723EB" w:rsidRPr="00A66CB4" w:rsidRDefault="005723EB" w:rsidP="00A66CB4">
      <w:pPr>
        <w:pStyle w:val="a7"/>
        <w:jc w:val="both"/>
        <w:rPr>
          <w:rtl/>
        </w:rPr>
      </w:pPr>
      <w:r w:rsidRPr="00A66CB4">
        <w:rPr>
          <w:rFonts w:hint="cs"/>
          <w:rtl/>
        </w:rPr>
        <w:t>(2)</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الشايب</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خولة. (2023). تحليل البيانات</w:t>
      </w:r>
      <w:r w:rsidRPr="00A66CB4">
        <w:rPr>
          <w:rFonts w:ascii="Arial" w:hAnsi="Arial" w:cs="Arial"/>
          <w:color w:val="222222"/>
          <w:shd w:val="clear" w:color="auto" w:fill="FFFFFF"/>
        </w:rPr>
        <w:t>.</w:t>
      </w:r>
    </w:p>
    <w:p w14:paraId="43EE33B9" w14:textId="23731E58" w:rsidR="005723EB" w:rsidRPr="00A66CB4" w:rsidRDefault="005723EB" w:rsidP="00A66CB4">
      <w:pPr>
        <w:pStyle w:val="a7"/>
        <w:jc w:val="both"/>
        <w:rPr>
          <w:rtl/>
        </w:rPr>
      </w:pPr>
    </w:p>
    <w:p w14:paraId="125FDAAE" w14:textId="77777777" w:rsidR="005723EB" w:rsidRPr="00A66CB4" w:rsidRDefault="005723EB" w:rsidP="00A66CB4">
      <w:pPr>
        <w:pStyle w:val="a7"/>
        <w:jc w:val="both"/>
        <w:rPr>
          <w:rtl/>
        </w:rPr>
      </w:pPr>
    </w:p>
  </w:footnote>
  <w:footnote w:id="23">
    <w:p w14:paraId="0817EEC5" w14:textId="558EC857" w:rsidR="005723EB" w:rsidRPr="00A66CB4" w:rsidRDefault="005723EB" w:rsidP="00A66CB4">
      <w:pPr>
        <w:pStyle w:val="a7"/>
        <w:rPr>
          <w:rtl/>
        </w:rPr>
      </w:pPr>
      <w:r w:rsidRPr="00A66CB4">
        <w:rPr>
          <w:rStyle w:val="a8"/>
        </w:rPr>
        <w:footnoteRef/>
      </w:r>
      <w:r w:rsidRPr="00A66CB4">
        <w:rPr>
          <w:rtl/>
        </w:rPr>
        <w:t xml:space="preserve"> </w:t>
      </w:r>
    </w:p>
  </w:footnote>
  <w:footnote w:id="24">
    <w:p w14:paraId="6FEBD9FE" w14:textId="1590EFA7" w:rsidR="005723EB" w:rsidRPr="00A66CB4" w:rsidRDefault="005723EB"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د. إسماعيل إبراهيم الأحمد*. (2023). واجهة تخطيطية لمحاكاة خوارزمية التشفير</w:t>
      </w:r>
      <w:r w:rsidRPr="00A66CB4">
        <w:rPr>
          <w:rFonts w:ascii="Arial" w:hAnsi="Arial" w:cs="Arial"/>
          <w:color w:val="222222"/>
          <w:shd w:val="clear" w:color="auto" w:fill="FFFFFF"/>
        </w:rPr>
        <w:t xml:space="preserve"> S-DES </w:t>
      </w:r>
      <w:r w:rsidRPr="00A66CB4">
        <w:rPr>
          <w:rFonts w:ascii="Arial" w:hAnsi="Arial" w:cs="Arial"/>
          <w:color w:val="222222"/>
          <w:shd w:val="clear" w:color="auto" w:fill="FFFFFF"/>
          <w:rtl/>
        </w:rPr>
        <w:t>د. إسماعيل إبراهيم الأحمد</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 xml:space="preserve">مجلة الأندلس للعلوم الإنسانية </w:t>
      </w:r>
      <w:r w:rsidRPr="00A66CB4">
        <w:rPr>
          <w:rFonts w:ascii="Arial" w:hAnsi="Arial" w:cs="Arial" w:hint="cs"/>
          <w:i/>
          <w:iCs/>
          <w:color w:val="222222"/>
          <w:shd w:val="clear" w:color="auto" w:fill="FFFFFF"/>
          <w:rtl/>
        </w:rPr>
        <w:t>والاجتماعية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10</w:t>
      </w:r>
      <w:r w:rsidRPr="00A66CB4">
        <w:rPr>
          <w:rFonts w:ascii="Arial" w:hAnsi="Arial" w:cs="Arial"/>
          <w:color w:val="222222"/>
          <w:shd w:val="clear" w:color="auto" w:fill="FFFFFF"/>
        </w:rPr>
        <w:t>(17).</w:t>
      </w:r>
    </w:p>
  </w:footnote>
  <w:footnote w:id="25">
    <w:p w14:paraId="4EF6B241" w14:textId="4CE272C5" w:rsidR="005723EB" w:rsidRPr="00A66CB4" w:rsidRDefault="005723EB" w:rsidP="00A66CB4">
      <w:pPr>
        <w:pStyle w:val="a7"/>
        <w:jc w:val="both"/>
        <w:rPr>
          <w:rtl/>
        </w:rPr>
      </w:pPr>
      <w:r w:rsidRPr="00A66CB4">
        <w:rPr>
          <w:rFonts w:hint="cs"/>
          <w:rtl/>
        </w:rPr>
        <w:t>(2)</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زغلول</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 xml:space="preserve">طارق أحمد ماهر. (2023). خوارزميات الذكاء </w:t>
      </w:r>
      <w:r w:rsidRPr="00A66CB4">
        <w:rPr>
          <w:rFonts w:ascii="Arial" w:hAnsi="Arial" w:cs="Arial" w:hint="cs"/>
          <w:color w:val="222222"/>
          <w:shd w:val="clear" w:color="auto" w:fill="FFFFFF"/>
          <w:rtl/>
        </w:rPr>
        <w:t>الاصطناعي</w:t>
      </w:r>
      <w:r w:rsidRPr="00A66CB4">
        <w:rPr>
          <w:rFonts w:ascii="Arial" w:hAnsi="Arial" w:cs="Arial"/>
          <w:color w:val="222222"/>
          <w:shd w:val="clear" w:color="auto" w:fill="FFFFFF"/>
          <w:rtl/>
        </w:rPr>
        <w:t xml:space="preserve"> والعدالة الجنائية </w:t>
      </w:r>
      <w:proofErr w:type="spellStart"/>
      <w:r w:rsidRPr="00A66CB4">
        <w:rPr>
          <w:rFonts w:ascii="Arial" w:hAnsi="Arial" w:cs="Arial"/>
          <w:color w:val="222222"/>
          <w:shd w:val="clear" w:color="auto" w:fill="FFFFFF"/>
          <w:rtl/>
        </w:rPr>
        <w:t>التنبؤية</w:t>
      </w:r>
      <w:proofErr w:type="spellEnd"/>
      <w:r w:rsidRPr="00A66CB4">
        <w:rPr>
          <w:rFonts w:ascii="Arial" w:hAnsi="Arial" w:cs="Arial"/>
          <w:color w:val="222222"/>
          <w:shd w:val="clear" w:color="auto" w:fill="FFFFFF"/>
          <w:rtl/>
        </w:rPr>
        <w:t xml:space="preserve"> دراسة وصفية تحليلية تأصيلية مقارنة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مجلة الدراسات القانونية والاقتصادية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9</w:t>
      </w:r>
      <w:r w:rsidRPr="00A66CB4">
        <w:rPr>
          <w:rFonts w:ascii="Arial" w:hAnsi="Arial" w:cs="Arial"/>
          <w:color w:val="222222"/>
          <w:shd w:val="clear" w:color="auto" w:fill="FFFFFF"/>
        </w:rPr>
        <w:t>(2) , 31-306.</w:t>
      </w:r>
    </w:p>
  </w:footnote>
  <w:footnote w:id="26">
    <w:p w14:paraId="56799865" w14:textId="479C627D" w:rsidR="005723EB" w:rsidRPr="00A66CB4" w:rsidRDefault="005723EB"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w:t>
      </w:r>
      <w:proofErr w:type="spellStart"/>
      <w:r w:rsidRPr="00A66CB4">
        <w:rPr>
          <w:rFonts w:ascii="Arial" w:hAnsi="Arial" w:cs="Arial"/>
          <w:color w:val="222222"/>
          <w:shd w:val="clear" w:color="auto" w:fill="FFFFFF"/>
          <w:rtl/>
        </w:rPr>
        <w:t>الهرماس</w:t>
      </w:r>
      <w:proofErr w:type="spellEnd"/>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الشمري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 xml:space="preserve">أحمد محمد. (2024). القرار الإداري </w:t>
      </w:r>
      <w:r w:rsidRPr="00A66CB4">
        <w:rPr>
          <w:rFonts w:ascii="Arial" w:hAnsi="Arial" w:cs="Arial" w:hint="cs"/>
          <w:color w:val="222222"/>
          <w:shd w:val="clear" w:color="auto" w:fill="FFFFFF"/>
          <w:rtl/>
        </w:rPr>
        <w:t>الإلكتروني</w:t>
      </w:r>
      <w:r w:rsidRPr="00A66CB4">
        <w:rPr>
          <w:rFonts w:ascii="Arial" w:hAnsi="Arial" w:cs="Arial"/>
          <w:color w:val="222222"/>
          <w:shd w:val="clear" w:color="auto" w:fill="FFFFFF"/>
          <w:rtl/>
        </w:rPr>
        <w:t xml:space="preserve"> حجيته وتنفيذه ونطاق سريانه في النظام السعودي</w:t>
      </w:r>
      <w:r w:rsidRPr="00A66CB4">
        <w:rPr>
          <w:rFonts w:ascii="Arial" w:hAnsi="Arial" w:cs="Arial"/>
          <w:color w:val="222222"/>
          <w:shd w:val="clear" w:color="auto" w:fill="FFFFFF"/>
        </w:rPr>
        <w:t>/The Legal Validity, Enforcement, and Scope of the Electronic Administrative Decision in the Saudi Legal System. </w:t>
      </w:r>
      <w:r w:rsidRPr="00A66CB4">
        <w:rPr>
          <w:rFonts w:ascii="Arial" w:hAnsi="Arial" w:cs="Arial"/>
          <w:i/>
          <w:iCs/>
          <w:color w:val="222222"/>
          <w:shd w:val="clear" w:color="auto" w:fill="FFFFFF"/>
          <w:rtl/>
        </w:rPr>
        <w:t>مجلة الشريعة والقانون بالقاهرة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44</w:t>
      </w:r>
      <w:r w:rsidRPr="00A66CB4">
        <w:rPr>
          <w:rFonts w:ascii="Arial" w:hAnsi="Arial" w:cs="Arial"/>
          <w:color w:val="222222"/>
          <w:shd w:val="clear" w:color="auto" w:fill="FFFFFF"/>
        </w:rPr>
        <w:t>(44) , 3677-3776.</w:t>
      </w:r>
    </w:p>
    <w:p w14:paraId="0946D936" w14:textId="37D979D0" w:rsidR="005723EB" w:rsidRPr="00A66CB4" w:rsidRDefault="005723EB" w:rsidP="00A66CB4">
      <w:pPr>
        <w:pStyle w:val="a7"/>
        <w:jc w:val="both"/>
        <w:rPr>
          <w:rtl/>
        </w:rPr>
      </w:pPr>
      <w:r w:rsidRPr="00A66CB4">
        <w:rPr>
          <w:rFonts w:hint="cs"/>
          <w:rtl/>
        </w:rPr>
        <w:t>(2)</w:t>
      </w:r>
      <w:r w:rsidRPr="00A66CB4">
        <w:rPr>
          <w:rtl/>
        </w:rPr>
        <w:t xml:space="preserve"> دولة الإمارات العربية المتحدة</w:t>
      </w:r>
      <w:r w:rsidRPr="00A66CB4">
        <w:t xml:space="preserve">. (2021). </w:t>
      </w:r>
      <w:r w:rsidRPr="00A66CB4">
        <w:rPr>
          <w:rStyle w:val="a4"/>
          <w:rtl/>
        </w:rPr>
        <w:t>مرسوم بقانون اتحادي رقم (46) لسنة 2021 بشأن المعاملات الإلكترونية وخدمات الثقة</w:t>
      </w:r>
      <w:r w:rsidRPr="00A66CB4">
        <w:t xml:space="preserve">. </w:t>
      </w:r>
      <w:r w:rsidRPr="00A66CB4">
        <w:rPr>
          <w:rtl/>
        </w:rPr>
        <w:t>بوابة تشريعات الإمارات العربية المتحدة</w:t>
      </w:r>
      <w:r w:rsidRPr="00A66CB4">
        <w:t>.</w:t>
      </w:r>
    </w:p>
    <w:p w14:paraId="2D230558" w14:textId="34B602A8" w:rsidR="005723EB" w:rsidRPr="00A66CB4" w:rsidRDefault="005723EB" w:rsidP="00A66CB4">
      <w:pPr>
        <w:pStyle w:val="a7"/>
        <w:jc w:val="both"/>
        <w:rPr>
          <w:rtl/>
        </w:rPr>
      </w:pPr>
      <w:r w:rsidRPr="00A66CB4">
        <w:rPr>
          <w:rFonts w:hint="cs"/>
          <w:rtl/>
        </w:rPr>
        <w:t>(3)</w:t>
      </w:r>
      <w:r w:rsidRPr="00A66CB4">
        <w:rPr>
          <w:rtl/>
        </w:rPr>
        <w:t xml:space="preserve"> حكومة سنغافورة</w:t>
      </w:r>
      <w:r w:rsidRPr="00A66CB4">
        <w:t xml:space="preserve">. (2010). </w:t>
      </w:r>
      <w:r w:rsidRPr="00A66CB4">
        <w:rPr>
          <w:rStyle w:val="a4"/>
          <w:rtl/>
        </w:rPr>
        <w:t>قانون المعاملات الإلكترونية لسنة 2010</w:t>
      </w:r>
      <w:r w:rsidRPr="00A66CB4">
        <w:rPr>
          <w:rStyle w:val="a4"/>
        </w:rPr>
        <w:t xml:space="preserve"> (Electronic Transactions Act 2010)</w:t>
      </w:r>
      <w:r w:rsidRPr="00A66CB4">
        <w:t xml:space="preserve">. </w:t>
      </w:r>
      <w:r w:rsidRPr="00A66CB4">
        <w:rPr>
          <w:rtl/>
        </w:rPr>
        <w:t>موقع التشريعات السنغافورية الرسمي</w:t>
      </w:r>
      <w:r w:rsidRPr="00A66CB4">
        <w:t>.</w:t>
      </w:r>
    </w:p>
  </w:footnote>
  <w:footnote w:id="27">
    <w:p w14:paraId="6B72598E" w14:textId="16954DCD" w:rsidR="005723EB" w:rsidRPr="00A66CB4" w:rsidRDefault="005723EB" w:rsidP="00A66CB4">
      <w:pPr>
        <w:pStyle w:val="a7"/>
        <w:jc w:val="both"/>
        <w:rPr>
          <w:rFonts w:ascii="Arial" w:hAnsi="Arial" w:cs="Arial"/>
          <w:color w:val="222222"/>
          <w:shd w:val="clear" w:color="auto" w:fill="FFFFFF"/>
        </w:rPr>
      </w:pPr>
      <w:r w:rsidRPr="00A66CB4">
        <w:rPr>
          <w:rStyle w:val="a8"/>
          <w:rFonts w:hint="cs"/>
          <w:vertAlign w:val="baseline"/>
          <w:rtl/>
        </w:rPr>
        <w:t>(</w:t>
      </w:r>
      <w:r w:rsidRPr="00A66CB4">
        <w:rPr>
          <w:rFonts w:hint="cs"/>
          <w:rtl/>
        </w:rPr>
        <w:t>1)</w:t>
      </w:r>
      <w:r w:rsidRPr="00A66CB4">
        <w:rPr>
          <w:rFonts w:ascii="Arial" w:hAnsi="Arial" w:cs="Arial"/>
          <w:color w:val="222222"/>
          <w:shd w:val="clear" w:color="auto" w:fill="FFFFFF"/>
        </w:rPr>
        <w:t xml:space="preserve"> </w:t>
      </w:r>
      <w:proofErr w:type="spellStart"/>
      <w:r w:rsidRPr="00A66CB4">
        <w:rPr>
          <w:rFonts w:ascii="Arial" w:hAnsi="Arial" w:cs="Arial"/>
          <w:color w:val="222222"/>
          <w:shd w:val="clear" w:color="auto" w:fill="FFFFFF"/>
        </w:rPr>
        <w:t>Rashwan</w:t>
      </w:r>
      <w:proofErr w:type="spellEnd"/>
      <w:r w:rsidRPr="00A66CB4">
        <w:rPr>
          <w:rFonts w:ascii="Arial" w:hAnsi="Arial" w:cs="Arial"/>
          <w:color w:val="222222"/>
          <w:shd w:val="clear" w:color="auto" w:fill="FFFFFF"/>
        </w:rPr>
        <w:t xml:space="preserve">, F. (2025). </w:t>
      </w:r>
      <w:r w:rsidRPr="00A66CB4">
        <w:rPr>
          <w:rFonts w:ascii="Arial" w:hAnsi="Arial" w:cs="Arial"/>
          <w:color w:val="222222"/>
          <w:shd w:val="clear" w:color="auto" w:fill="FFFFFF"/>
          <w:rtl/>
        </w:rPr>
        <w:t>التحديات القانونية للحوكمة الرقمية في المؤسسات العامة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 xml:space="preserve">مجلة القانون والدراسات </w:t>
      </w:r>
      <w:r w:rsidRPr="00A66CB4">
        <w:rPr>
          <w:rFonts w:ascii="Arial" w:hAnsi="Arial" w:cs="Arial" w:hint="cs"/>
          <w:i/>
          <w:iCs/>
          <w:color w:val="222222"/>
          <w:shd w:val="clear" w:color="auto" w:fill="FFFFFF"/>
          <w:rtl/>
        </w:rPr>
        <w:t>الاجتماعية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4</w:t>
      </w:r>
      <w:r w:rsidRPr="00A66CB4">
        <w:rPr>
          <w:rFonts w:ascii="Arial" w:hAnsi="Arial" w:cs="Arial"/>
          <w:color w:val="222222"/>
          <w:shd w:val="clear" w:color="auto" w:fill="FFFFFF"/>
        </w:rPr>
        <w:t>(1) , 287-</w:t>
      </w:r>
    </w:p>
    <w:p w14:paraId="1CE27AEC" w14:textId="43DACFD7" w:rsidR="005723EB" w:rsidRPr="00A66CB4" w:rsidRDefault="005723EB" w:rsidP="00A66CB4">
      <w:pPr>
        <w:pStyle w:val="a7"/>
        <w:jc w:val="both"/>
        <w:rPr>
          <w:rtl/>
        </w:rPr>
      </w:pPr>
      <w:r w:rsidRPr="00A66CB4">
        <w:rPr>
          <w:rFonts w:ascii="Arial" w:hAnsi="Arial" w:cs="Arial"/>
          <w:color w:val="222222"/>
          <w:shd w:val="clear" w:color="auto" w:fill="FFFFFF"/>
        </w:rPr>
        <w:t>347.</w:t>
      </w:r>
    </w:p>
    <w:p w14:paraId="63C47A21" w14:textId="6AD450DA" w:rsidR="005723EB" w:rsidRPr="00A66CB4" w:rsidRDefault="005723EB" w:rsidP="00A66CB4">
      <w:pPr>
        <w:pStyle w:val="a7"/>
        <w:jc w:val="both"/>
        <w:rPr>
          <w:rFonts w:ascii="Arial" w:hAnsi="Arial" w:cs="Arial"/>
          <w:color w:val="222222"/>
          <w:shd w:val="clear" w:color="auto" w:fill="FFFFFF"/>
          <w:rtl/>
        </w:rPr>
      </w:pPr>
      <w:r w:rsidRPr="00A66CB4">
        <w:rPr>
          <w:rFonts w:hint="cs"/>
          <w:rtl/>
        </w:rPr>
        <w:t>(2)</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خالدي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 xml:space="preserve">نعيمة. (2025). تأثير تقنية </w:t>
      </w:r>
      <w:proofErr w:type="spellStart"/>
      <w:r w:rsidRPr="00A66CB4">
        <w:rPr>
          <w:rFonts w:ascii="Arial" w:hAnsi="Arial" w:cs="Arial"/>
          <w:color w:val="222222"/>
          <w:shd w:val="clear" w:color="auto" w:fill="FFFFFF"/>
          <w:rtl/>
        </w:rPr>
        <w:t>البلوكشين</w:t>
      </w:r>
      <w:proofErr w:type="spellEnd"/>
      <w:r w:rsidRPr="00A66CB4">
        <w:rPr>
          <w:rFonts w:ascii="Arial" w:hAnsi="Arial" w:cs="Arial"/>
          <w:color w:val="222222"/>
          <w:shd w:val="clear" w:color="auto" w:fill="FFFFFF"/>
          <w:rtl/>
        </w:rPr>
        <w:t xml:space="preserve"> على تحسين الخدمات المصرفية الإلكترونية دراسة حالة لبنوك رائدة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Journal of Economic Geography</w:t>
      </w:r>
      <w:r w:rsidRPr="00A66CB4">
        <w:rPr>
          <w:rFonts w:ascii="Arial" w:hAnsi="Arial" w:cs="Arial"/>
          <w:color w:val="222222"/>
          <w:shd w:val="clear" w:color="auto" w:fill="FFFFFF"/>
        </w:rPr>
        <w:t>, </w:t>
      </w:r>
      <w:r w:rsidRPr="00A66CB4">
        <w:rPr>
          <w:rFonts w:ascii="Arial" w:hAnsi="Arial" w:cs="Arial"/>
          <w:i/>
          <w:iCs/>
          <w:color w:val="222222"/>
          <w:shd w:val="clear" w:color="auto" w:fill="FFFFFF"/>
        </w:rPr>
        <w:t>2</w:t>
      </w:r>
      <w:r w:rsidRPr="00A66CB4">
        <w:rPr>
          <w:rFonts w:ascii="Arial" w:hAnsi="Arial" w:cs="Arial"/>
          <w:color w:val="222222"/>
          <w:shd w:val="clear" w:color="auto" w:fill="FFFFFF"/>
        </w:rPr>
        <w:t>(1), 72-93</w:t>
      </w:r>
    </w:p>
    <w:p w14:paraId="3C6456EE" w14:textId="3DAF6164" w:rsidR="005723EB" w:rsidRPr="00A66CB4" w:rsidRDefault="005723EB" w:rsidP="00A66CB4">
      <w:pPr>
        <w:pStyle w:val="a7"/>
        <w:jc w:val="both"/>
        <w:rPr>
          <w:rtl/>
        </w:rPr>
      </w:pPr>
      <w:r w:rsidRPr="00A66CB4">
        <w:rPr>
          <w:rFonts w:hint="cs"/>
          <w:rtl/>
        </w:rPr>
        <w:t>(3)</w:t>
      </w:r>
      <w:r w:rsidRPr="00A66CB4">
        <w:rPr>
          <w:rFonts w:ascii="Arial" w:hAnsi="Arial" w:cs="Arial"/>
          <w:color w:val="222222"/>
          <w:shd w:val="clear" w:color="auto" w:fill="FFFFFF"/>
          <w:rtl/>
        </w:rPr>
        <w:t xml:space="preserve"> عبد </w:t>
      </w:r>
      <w:r w:rsidRPr="00A66CB4">
        <w:rPr>
          <w:rFonts w:ascii="Arial" w:hAnsi="Arial" w:cs="Arial" w:hint="cs"/>
          <w:color w:val="222222"/>
          <w:shd w:val="clear" w:color="auto" w:fill="FFFFFF"/>
          <w:rtl/>
        </w:rPr>
        <w:t>الكاظم</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محمد راضي. (2025). التحديات التي تواجه اعتماد التقنيات الرقمية في القطاع المالي</w:t>
      </w:r>
      <w:r w:rsidRPr="00A66CB4">
        <w:rPr>
          <w:rFonts w:ascii="Arial" w:hAnsi="Arial" w:cs="Arial"/>
          <w:color w:val="222222"/>
          <w:shd w:val="clear" w:color="auto" w:fill="FFFFFF"/>
        </w:rPr>
        <w:t>.</w:t>
      </w:r>
    </w:p>
    <w:p w14:paraId="4C18141B" w14:textId="4A39C19F" w:rsidR="005723EB" w:rsidRPr="00A66CB4" w:rsidRDefault="005723EB" w:rsidP="00A66CB4">
      <w:pPr>
        <w:pStyle w:val="a7"/>
        <w:jc w:val="both"/>
        <w:rPr>
          <w:rtl/>
        </w:rPr>
      </w:pPr>
    </w:p>
  </w:footnote>
  <w:footnote w:id="28">
    <w:p w14:paraId="4E9213C1" w14:textId="77777777" w:rsidR="005723EB" w:rsidRPr="00A66CB4" w:rsidRDefault="005723EB" w:rsidP="00A66CB4">
      <w:pPr>
        <w:pStyle w:val="a7"/>
        <w:jc w:val="both"/>
        <w:rPr>
          <w:rtl/>
        </w:rPr>
      </w:pPr>
      <w:r w:rsidRPr="00A66CB4">
        <w:rPr>
          <w:rStyle w:val="a8"/>
          <w:rFonts w:hint="cs"/>
          <w:vertAlign w:val="baseline"/>
          <w:rtl/>
        </w:rPr>
        <w:t>(</w:t>
      </w: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سليمان،</w:t>
      </w:r>
      <w:r w:rsidRPr="00A66CB4">
        <w:rPr>
          <w:rFonts w:ascii="Arial" w:hAnsi="Arial" w:cs="Arial"/>
          <w:color w:val="222222"/>
          <w:shd w:val="clear" w:color="auto" w:fill="FFFFFF"/>
          <w:rtl/>
        </w:rPr>
        <w:t xml:space="preserve"> أ. د/أسامة ربيع </w:t>
      </w:r>
      <w:r w:rsidRPr="00A66CB4">
        <w:rPr>
          <w:rFonts w:ascii="Arial" w:hAnsi="Arial" w:cs="Arial" w:hint="cs"/>
          <w:color w:val="222222"/>
          <w:shd w:val="clear" w:color="auto" w:fill="FFFFFF"/>
          <w:rtl/>
        </w:rPr>
        <w:t>أمين،</w:t>
      </w:r>
      <w:r w:rsidRPr="00A66CB4">
        <w:rPr>
          <w:rFonts w:ascii="Arial" w:hAnsi="Arial" w:cs="Arial"/>
          <w:color w:val="222222"/>
          <w:shd w:val="clear" w:color="auto" w:fill="FFFFFF"/>
          <w:rtl/>
        </w:rPr>
        <w:t xml:space="preserve"> مصطفى </w:t>
      </w:r>
      <w:proofErr w:type="spellStart"/>
      <w:r w:rsidRPr="00A66CB4">
        <w:rPr>
          <w:rFonts w:ascii="Arial" w:hAnsi="Arial" w:cs="Arial"/>
          <w:color w:val="222222"/>
          <w:shd w:val="clear" w:color="auto" w:fill="FFFFFF"/>
          <w:rtl/>
        </w:rPr>
        <w:t>کمال</w:t>
      </w:r>
      <w:proofErr w:type="spellEnd"/>
      <w:r w:rsidRPr="00A66CB4">
        <w:rPr>
          <w:rFonts w:ascii="Arial" w:hAnsi="Arial" w:cs="Arial"/>
          <w:color w:val="222222"/>
          <w:shd w:val="clear" w:color="auto" w:fill="FFFFFF"/>
          <w:rtl/>
        </w:rPr>
        <w:t>, إبراهيم</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 xml:space="preserve">غيداء أبو </w:t>
      </w:r>
      <w:proofErr w:type="spellStart"/>
      <w:r w:rsidRPr="00A66CB4">
        <w:rPr>
          <w:rFonts w:ascii="Arial" w:hAnsi="Arial" w:cs="Arial"/>
          <w:color w:val="222222"/>
          <w:shd w:val="clear" w:color="auto" w:fill="FFFFFF"/>
          <w:rtl/>
        </w:rPr>
        <w:t>بکر</w:t>
      </w:r>
      <w:proofErr w:type="spellEnd"/>
      <w:r w:rsidRPr="00A66CB4">
        <w:rPr>
          <w:rFonts w:ascii="Arial" w:hAnsi="Arial" w:cs="Arial"/>
          <w:color w:val="222222"/>
          <w:shd w:val="clear" w:color="auto" w:fill="FFFFFF"/>
          <w:rtl/>
        </w:rPr>
        <w:t>. (2022). أدوات تحليل البيانات الضخمة في ظل التحول الرقمي لتعزيز أهداف التنمية المستدامة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المجلة العلمية للدراسات والبحوث المالية والإدارية</w:t>
      </w:r>
      <w:r w:rsidRPr="00A66CB4">
        <w:rPr>
          <w:rFonts w:ascii="Arial" w:hAnsi="Arial" w:cs="Arial"/>
          <w:i/>
          <w:iCs/>
          <w:color w:val="222222"/>
          <w:shd w:val="clear" w:color="auto" w:fill="FFFFFF"/>
          <w:cs/>
        </w:rPr>
        <w:t>‎</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13</w:t>
      </w:r>
      <w:r w:rsidRPr="00A66CB4">
        <w:rPr>
          <w:rFonts w:ascii="Arial" w:hAnsi="Arial" w:cs="Arial"/>
          <w:color w:val="222222"/>
          <w:shd w:val="clear" w:color="auto" w:fill="FFFFFF"/>
        </w:rPr>
        <w:t>(3), 1514-1538.</w:t>
      </w:r>
      <w:r w:rsidRPr="00A66CB4">
        <w:rPr>
          <w:rFonts w:ascii="Arial" w:hAnsi="Arial" w:cs="Arial"/>
          <w:color w:val="222222"/>
          <w:shd w:val="clear" w:color="auto" w:fill="FFFFFF"/>
          <w:rtl/>
        </w:rPr>
        <w:t>‏</w:t>
      </w:r>
    </w:p>
    <w:p w14:paraId="18DA78C6" w14:textId="6A801427" w:rsidR="005723EB" w:rsidRPr="00A66CB4" w:rsidRDefault="005723EB" w:rsidP="00A66CB4">
      <w:pPr>
        <w:pStyle w:val="a7"/>
        <w:jc w:val="both"/>
        <w:rPr>
          <w:rtl/>
        </w:rPr>
      </w:pPr>
    </w:p>
  </w:footnote>
  <w:footnote w:id="29">
    <w:p w14:paraId="5632F01D" w14:textId="072E26C3" w:rsidR="005723EB" w:rsidRPr="00A66CB4" w:rsidRDefault="005723EB" w:rsidP="00DC389E">
      <w:pPr>
        <w:pStyle w:val="a7"/>
        <w:numPr>
          <w:ilvl w:val="0"/>
          <w:numId w:val="7"/>
        </w:numPr>
        <w:jc w:val="both"/>
        <w:rPr>
          <w:rFonts w:ascii="Arial" w:hAnsi="Arial" w:cs="Arial"/>
          <w:color w:val="222222"/>
          <w:shd w:val="clear" w:color="auto" w:fill="FFFFFF"/>
        </w:rPr>
      </w:pPr>
      <w:r w:rsidRPr="00A66CB4">
        <w:rPr>
          <w:rFonts w:ascii="Arial" w:hAnsi="Arial" w:cs="Arial"/>
          <w:color w:val="222222"/>
          <w:shd w:val="clear" w:color="auto" w:fill="FFFFFF"/>
          <w:rtl/>
        </w:rPr>
        <w:t xml:space="preserve">تهاني دبيان </w:t>
      </w:r>
      <w:r w:rsidRPr="00A66CB4">
        <w:rPr>
          <w:rFonts w:ascii="Arial" w:hAnsi="Arial" w:cs="Arial" w:hint="cs"/>
          <w:color w:val="222222"/>
          <w:shd w:val="clear" w:color="auto" w:fill="FFFFFF"/>
          <w:rtl/>
        </w:rPr>
        <w:t>الحربي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 xml:space="preserve">ريم علي </w:t>
      </w:r>
      <w:proofErr w:type="spellStart"/>
      <w:r w:rsidRPr="00A66CB4">
        <w:rPr>
          <w:rFonts w:ascii="Arial" w:hAnsi="Arial" w:cs="Arial"/>
          <w:color w:val="222222"/>
          <w:shd w:val="clear" w:color="auto" w:fill="FFFFFF"/>
          <w:rtl/>
        </w:rPr>
        <w:t>الرابغي</w:t>
      </w:r>
      <w:proofErr w:type="spellEnd"/>
      <w:r w:rsidRPr="00A66CB4">
        <w:rPr>
          <w:rFonts w:ascii="Arial" w:hAnsi="Arial" w:cs="Arial"/>
          <w:color w:val="222222"/>
          <w:shd w:val="clear" w:color="auto" w:fill="FFFFFF"/>
          <w:rtl/>
        </w:rPr>
        <w:t>. (2025). دور الحكومة الرقمية ودعمها للجهات الحكومية في تبني التقنيات الناشئة لتفعيل التحول الرقمي: دراسة حالة هيئة الحكومة الرقمية السعودية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Journal of Information Studies and Technology</w:t>
      </w:r>
      <w:r w:rsidRPr="00A66CB4">
        <w:rPr>
          <w:rFonts w:ascii="Arial" w:hAnsi="Arial" w:cs="Arial"/>
          <w:color w:val="222222"/>
          <w:shd w:val="clear" w:color="auto" w:fill="FFFFFF"/>
        </w:rPr>
        <w:t>, </w:t>
      </w:r>
      <w:r w:rsidRPr="00A66CB4">
        <w:rPr>
          <w:rFonts w:ascii="Arial" w:hAnsi="Arial" w:cs="Arial"/>
          <w:i/>
          <w:iCs/>
          <w:color w:val="222222"/>
          <w:shd w:val="clear" w:color="auto" w:fill="FFFFFF"/>
        </w:rPr>
        <w:t>2025</w:t>
      </w:r>
      <w:r w:rsidRPr="00A66CB4">
        <w:rPr>
          <w:rFonts w:ascii="Arial" w:hAnsi="Arial" w:cs="Arial"/>
          <w:color w:val="222222"/>
          <w:shd w:val="clear" w:color="auto" w:fill="FFFFFF"/>
        </w:rPr>
        <w:t>(1).</w:t>
      </w:r>
      <w:r w:rsidRPr="00A66CB4">
        <w:rPr>
          <w:rFonts w:ascii="Arial" w:hAnsi="Arial" w:cs="Arial"/>
          <w:color w:val="222222"/>
          <w:shd w:val="clear" w:color="auto" w:fill="FFFFFF"/>
          <w:rtl/>
        </w:rPr>
        <w:t>‏</w:t>
      </w:r>
    </w:p>
    <w:p w14:paraId="7B3273E7" w14:textId="4FD16186" w:rsidR="005723EB" w:rsidRPr="00A66CB4" w:rsidRDefault="005723EB" w:rsidP="00DC389E">
      <w:pPr>
        <w:pStyle w:val="a7"/>
        <w:numPr>
          <w:ilvl w:val="0"/>
          <w:numId w:val="7"/>
        </w:numPr>
        <w:jc w:val="both"/>
        <w:rPr>
          <w:rFonts w:ascii="Arial" w:hAnsi="Arial" w:cs="Arial"/>
          <w:color w:val="222222"/>
          <w:shd w:val="clear" w:color="auto" w:fill="FFFFFF"/>
        </w:rPr>
      </w:pPr>
      <w:r w:rsidRPr="00A66CB4">
        <w:rPr>
          <w:rFonts w:ascii="Arial" w:hAnsi="Arial" w:cs="Arial"/>
          <w:color w:val="222222"/>
          <w:shd w:val="clear" w:color="auto" w:fill="FFFFFF"/>
          <w:rtl/>
        </w:rPr>
        <w:t>هيله عبد المجيد عبد الحافظ العودة. (2025). التحديات التي تواجه الأمن السيبراني</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مجلة العلوم الإنسانية والطبيعية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6</w:t>
      </w:r>
      <w:r w:rsidRPr="00A66CB4">
        <w:rPr>
          <w:rFonts w:ascii="Arial" w:hAnsi="Arial" w:cs="Arial"/>
          <w:color w:val="222222"/>
          <w:shd w:val="clear" w:color="auto" w:fill="FFFFFF"/>
        </w:rPr>
        <w:t>(7), 720-734.</w:t>
      </w:r>
    </w:p>
    <w:p w14:paraId="7F9C9385" w14:textId="09E50983" w:rsidR="005723EB" w:rsidRPr="00A66CB4" w:rsidRDefault="005723EB" w:rsidP="00A66CB4">
      <w:pPr>
        <w:pStyle w:val="a7"/>
        <w:ind w:left="720"/>
        <w:jc w:val="both"/>
        <w:rPr>
          <w:rFonts w:ascii="Arial" w:hAnsi="Arial" w:cs="Arial"/>
          <w:color w:val="222222"/>
          <w:shd w:val="clear" w:color="auto" w:fill="FFFFFF"/>
        </w:rPr>
      </w:pPr>
    </w:p>
    <w:p w14:paraId="262C490F" w14:textId="77777777" w:rsidR="005723EB" w:rsidRPr="00A66CB4" w:rsidRDefault="005723EB" w:rsidP="00A66CB4">
      <w:pPr>
        <w:pStyle w:val="a7"/>
        <w:jc w:val="both"/>
        <w:rPr>
          <w:rtl/>
        </w:rPr>
      </w:pPr>
    </w:p>
  </w:footnote>
  <w:footnote w:id="30">
    <w:p w14:paraId="0690B54A" w14:textId="34744621" w:rsidR="005723EB" w:rsidRPr="00A66CB4" w:rsidRDefault="005723EB"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سراج</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محمد عبد المنعم. (2025). أثر محددات جودة وظيفة المراجعة الداخلية وهيكل الحوكمة السيبراني على مؤشرات إدارة مخاطر الأمن السيبراني: استخدام نماذج المعادلات الهيكلية القائمة على المربعات الصغرى</w:t>
      </w:r>
      <w:r w:rsidRPr="00A66CB4">
        <w:rPr>
          <w:rFonts w:ascii="Arial" w:hAnsi="Arial" w:cs="Arial"/>
          <w:color w:val="222222"/>
          <w:shd w:val="clear" w:color="auto" w:fill="FFFFFF"/>
        </w:rPr>
        <w:t xml:space="preserve"> PLS-SEM)). </w:t>
      </w:r>
      <w:r w:rsidRPr="00A66CB4">
        <w:rPr>
          <w:rFonts w:ascii="Arial" w:hAnsi="Arial" w:cs="Arial"/>
          <w:i/>
          <w:iCs/>
          <w:color w:val="222222"/>
          <w:shd w:val="clear" w:color="auto" w:fill="FFFFFF"/>
          <w:rtl/>
        </w:rPr>
        <w:t xml:space="preserve">مجلة </w:t>
      </w:r>
      <w:r w:rsidRPr="00A66CB4">
        <w:rPr>
          <w:rFonts w:ascii="Arial" w:hAnsi="Arial" w:cs="Arial" w:hint="cs"/>
          <w:i/>
          <w:iCs/>
          <w:color w:val="222222"/>
          <w:shd w:val="clear" w:color="auto" w:fill="FFFFFF"/>
          <w:rtl/>
        </w:rPr>
        <w:t>الإسكندرية</w:t>
      </w:r>
      <w:r w:rsidRPr="00A66CB4">
        <w:rPr>
          <w:rFonts w:ascii="Arial" w:hAnsi="Arial" w:cs="Arial"/>
          <w:i/>
          <w:iCs/>
          <w:color w:val="222222"/>
          <w:shd w:val="clear" w:color="auto" w:fill="FFFFFF"/>
          <w:rtl/>
        </w:rPr>
        <w:t xml:space="preserve"> للبحوث المحاسبية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9</w:t>
      </w:r>
      <w:r w:rsidRPr="00A66CB4">
        <w:rPr>
          <w:rFonts w:ascii="Arial" w:hAnsi="Arial" w:cs="Arial"/>
          <w:color w:val="222222"/>
          <w:shd w:val="clear" w:color="auto" w:fill="FFFFFF"/>
        </w:rPr>
        <w:t>(3), 463-552.</w:t>
      </w:r>
    </w:p>
  </w:footnote>
  <w:footnote w:id="31">
    <w:p w14:paraId="19329CF8" w14:textId="77EF3818" w:rsidR="005723EB" w:rsidRPr="00A66CB4" w:rsidRDefault="005723EB" w:rsidP="00A66CB4">
      <w:pPr>
        <w:pStyle w:val="a7"/>
        <w:jc w:val="both"/>
        <w:rPr>
          <w:rtl/>
        </w:rPr>
      </w:pPr>
      <w:r w:rsidRPr="00A66CB4">
        <w:rPr>
          <w:rStyle w:val="a8"/>
          <w:rFonts w:hint="cs"/>
          <w:vertAlign w:val="baseline"/>
          <w:rtl/>
        </w:rPr>
        <w:t xml:space="preserve"> (</w:t>
      </w: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علي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 xml:space="preserve">وليد. (2024). قياس أثر الملاءة المهنية للمراجع الداخلي على جودة الأمن </w:t>
      </w:r>
      <w:proofErr w:type="spellStart"/>
      <w:r w:rsidRPr="00A66CB4">
        <w:rPr>
          <w:rFonts w:ascii="Arial" w:hAnsi="Arial" w:cs="Arial"/>
          <w:color w:val="222222"/>
          <w:shd w:val="clear" w:color="auto" w:fill="FFFFFF"/>
          <w:rtl/>
        </w:rPr>
        <w:t>السبيراني</w:t>
      </w:r>
      <w:proofErr w:type="spellEnd"/>
      <w:r w:rsidRPr="00A66CB4">
        <w:rPr>
          <w:rFonts w:ascii="Arial" w:hAnsi="Arial" w:cs="Arial"/>
          <w:color w:val="222222"/>
          <w:shd w:val="clear" w:color="auto" w:fill="FFFFFF"/>
          <w:rtl/>
        </w:rPr>
        <w:t xml:space="preserve"> في ضوء الحوكمة الرقمية-دراسة تطبيقية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المجلة العلمية للدراسات والبحوث المالية والتجارية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5</w:t>
      </w:r>
      <w:r w:rsidRPr="00A66CB4">
        <w:rPr>
          <w:rFonts w:ascii="Arial" w:hAnsi="Arial" w:cs="Arial"/>
          <w:color w:val="222222"/>
          <w:shd w:val="clear" w:color="auto" w:fill="FFFFFF"/>
        </w:rPr>
        <w:t>(2) , 991-1033.</w:t>
      </w:r>
    </w:p>
    <w:p w14:paraId="7B8290BE" w14:textId="55A5D236" w:rsidR="005723EB" w:rsidRPr="00A66CB4" w:rsidRDefault="005723EB" w:rsidP="00A66CB4">
      <w:pPr>
        <w:pStyle w:val="a7"/>
        <w:jc w:val="both"/>
        <w:rPr>
          <w:rtl/>
        </w:rPr>
      </w:pPr>
      <w:r w:rsidRPr="00A66CB4">
        <w:rPr>
          <w:rFonts w:hint="cs"/>
          <w:rtl/>
        </w:rPr>
        <w:t>(2)</w:t>
      </w:r>
      <w:r w:rsidRPr="00A66CB4">
        <w:rPr>
          <w:rFonts w:ascii="Arial" w:hAnsi="Arial" w:cs="Arial"/>
          <w:color w:val="222222"/>
          <w:shd w:val="clear" w:color="auto" w:fill="FFFFFF"/>
          <w:rtl/>
        </w:rPr>
        <w:t xml:space="preserve"> محروس </w:t>
      </w:r>
      <w:r w:rsidRPr="00A66CB4">
        <w:rPr>
          <w:rFonts w:ascii="Arial" w:hAnsi="Arial" w:cs="Arial" w:hint="cs"/>
          <w:color w:val="222222"/>
          <w:shd w:val="clear" w:color="auto" w:fill="FFFFFF"/>
          <w:rtl/>
        </w:rPr>
        <w:t>الخولي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رباب. (2022). مفهوم الثقافة التنظيمية: مراجعة نظرية تطبيقية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المجلة الدولية للسياسات العامة في مصر</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w:t>
      </w:r>
      <w:r w:rsidRPr="00A66CB4">
        <w:rPr>
          <w:rFonts w:ascii="Arial" w:hAnsi="Arial" w:cs="Arial"/>
          <w:color w:val="222222"/>
          <w:shd w:val="clear" w:color="auto" w:fill="FFFFFF"/>
        </w:rPr>
        <w:t>(1) , 50-72.</w:t>
      </w:r>
    </w:p>
    <w:p w14:paraId="13778B47" w14:textId="6037991F" w:rsidR="005723EB" w:rsidRPr="00A66CB4" w:rsidRDefault="005723EB" w:rsidP="00A66CB4">
      <w:pPr>
        <w:pStyle w:val="a7"/>
        <w:jc w:val="both"/>
        <w:rPr>
          <w:rtl/>
        </w:rPr>
      </w:pPr>
      <w:r w:rsidRPr="00A66CB4">
        <w:rPr>
          <w:rFonts w:hint="cs"/>
          <w:rtl/>
        </w:rPr>
        <w:t>(3)</w:t>
      </w:r>
      <w:r w:rsidRPr="00A66CB4">
        <w:rPr>
          <w:rFonts w:ascii="Arial" w:hAnsi="Arial" w:cs="Arial"/>
          <w:color w:val="222222"/>
          <w:shd w:val="clear" w:color="auto" w:fill="FFFFFF"/>
          <w:rtl/>
        </w:rPr>
        <w:t xml:space="preserve"> إدارة الموارد البشرية. (2011). إدارة الموارد البشرية</w:t>
      </w:r>
      <w:r w:rsidRPr="00A66CB4">
        <w:rPr>
          <w:rFonts w:ascii="Arial" w:hAnsi="Arial" w:cs="Arial"/>
          <w:color w:val="222222"/>
          <w:shd w:val="clear" w:color="auto" w:fill="FFFFFF"/>
        </w:rPr>
        <w:t>.</w:t>
      </w:r>
    </w:p>
    <w:p w14:paraId="056541B9" w14:textId="77777777" w:rsidR="005723EB" w:rsidRPr="00A66CB4" w:rsidRDefault="005723EB" w:rsidP="00A66CB4">
      <w:pPr>
        <w:pStyle w:val="a7"/>
        <w:jc w:val="both"/>
        <w:rPr>
          <w:rtl/>
        </w:rPr>
      </w:pPr>
    </w:p>
  </w:footnote>
  <w:footnote w:id="32">
    <w:p w14:paraId="090F46F5" w14:textId="5CBB6CD6" w:rsidR="005723EB" w:rsidRPr="00A66CB4" w:rsidRDefault="005723EB"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ضياء مسلم عبد </w:t>
      </w:r>
      <w:proofErr w:type="spellStart"/>
      <w:r w:rsidRPr="00A66CB4">
        <w:rPr>
          <w:rFonts w:ascii="Arial" w:hAnsi="Arial" w:cs="Arial"/>
          <w:color w:val="222222"/>
          <w:shd w:val="clear" w:color="auto" w:fill="FFFFFF"/>
          <w:rtl/>
        </w:rPr>
        <w:t>الأ</w:t>
      </w:r>
      <w:proofErr w:type="spellEnd"/>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عدي صالح هادي الع. (2023). الركن المعنوي الجريمة النشر الإلكتروني للمواد الإباحية (دراسة مقارنة)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 xml:space="preserve">Journal of </w:t>
      </w:r>
      <w:proofErr w:type="spellStart"/>
      <w:r w:rsidRPr="00A66CB4">
        <w:rPr>
          <w:rFonts w:ascii="Arial" w:hAnsi="Arial" w:cs="Arial"/>
          <w:i/>
          <w:iCs/>
          <w:color w:val="222222"/>
          <w:shd w:val="clear" w:color="auto" w:fill="FFFFFF"/>
        </w:rPr>
        <w:t>Kufa</w:t>
      </w:r>
      <w:proofErr w:type="spellEnd"/>
      <w:r w:rsidRPr="00A66CB4">
        <w:rPr>
          <w:rFonts w:ascii="Arial" w:hAnsi="Arial" w:cs="Arial"/>
          <w:i/>
          <w:iCs/>
          <w:color w:val="222222"/>
          <w:shd w:val="clear" w:color="auto" w:fill="FFFFFF"/>
        </w:rPr>
        <w:t xml:space="preserve"> Legal &amp; Political Science</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15</w:t>
      </w:r>
      <w:r w:rsidRPr="00A66CB4">
        <w:rPr>
          <w:rFonts w:ascii="Arial" w:hAnsi="Arial" w:cs="Arial"/>
          <w:color w:val="222222"/>
          <w:shd w:val="clear" w:color="auto" w:fill="FFFFFF"/>
        </w:rPr>
        <w:t>(57).</w:t>
      </w:r>
      <w:r w:rsidRPr="00A66CB4">
        <w:rPr>
          <w:rFonts w:ascii="Arial" w:hAnsi="Arial" w:cs="Arial"/>
          <w:color w:val="222222"/>
          <w:shd w:val="clear" w:color="auto" w:fill="FFFFFF"/>
          <w:rtl/>
        </w:rPr>
        <w:t>‏</w:t>
      </w:r>
    </w:p>
  </w:footnote>
  <w:footnote w:id="33">
    <w:p w14:paraId="44C851D6" w14:textId="3341E4D4" w:rsidR="005723EB" w:rsidRPr="00A66CB4" w:rsidRDefault="005723EB"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عبد الصمد محمود </w:t>
      </w:r>
      <w:r w:rsidRPr="00A66CB4">
        <w:rPr>
          <w:rFonts w:ascii="Arial" w:hAnsi="Arial" w:cs="Arial" w:hint="cs"/>
          <w:color w:val="222222"/>
          <w:shd w:val="clear" w:color="auto" w:fill="FFFFFF"/>
          <w:rtl/>
        </w:rPr>
        <w:t>عطيه</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ثروت. (2024). السياسة الجنائية لمكافحة الجريمة المعلوماتية في المملكة العربية السعودية (دراسة مقارنة)</w:t>
      </w:r>
      <w:r w:rsidRPr="00A66CB4">
        <w:rPr>
          <w:rFonts w:ascii="Arial" w:hAnsi="Arial" w:cs="Arial"/>
          <w:color w:val="222222"/>
          <w:shd w:val="clear" w:color="auto" w:fill="FFFFFF"/>
        </w:rPr>
        <w:t xml:space="preserve"> Criminal Policy To Combat Information Crime In The Kingdom Of Saudi Arabia (A Comparative Study). </w:t>
      </w:r>
      <w:r w:rsidRPr="00A66CB4">
        <w:rPr>
          <w:rFonts w:ascii="Arial" w:hAnsi="Arial" w:cs="Arial"/>
          <w:i/>
          <w:iCs/>
          <w:color w:val="222222"/>
          <w:shd w:val="clear" w:color="auto" w:fill="FFFFFF"/>
          <w:rtl/>
        </w:rPr>
        <w:t>مجلة البحوث الفقهية والقانونية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46</w:t>
      </w:r>
      <w:r w:rsidRPr="00A66CB4">
        <w:rPr>
          <w:rFonts w:ascii="Arial" w:hAnsi="Arial" w:cs="Arial"/>
          <w:color w:val="222222"/>
          <w:shd w:val="clear" w:color="auto" w:fill="FFFFFF"/>
        </w:rPr>
        <w:t>(46) , 379-478.</w:t>
      </w:r>
    </w:p>
    <w:p w14:paraId="01F46E5D" w14:textId="170BAED8" w:rsidR="005723EB" w:rsidRPr="00A66CB4" w:rsidRDefault="005723EB" w:rsidP="00A66CB4">
      <w:pPr>
        <w:pStyle w:val="a7"/>
        <w:jc w:val="both"/>
        <w:rPr>
          <w:rtl/>
        </w:rPr>
      </w:pPr>
      <w:r w:rsidRPr="00A66CB4">
        <w:rPr>
          <w:rFonts w:hint="cs"/>
          <w:rtl/>
        </w:rPr>
        <w:t>(2)</w:t>
      </w:r>
      <w:r w:rsidRPr="00A66CB4">
        <w:rPr>
          <w:rtl/>
        </w:rPr>
        <w:t xml:space="preserve"> دولة الإمارات العربية المتحدة</w:t>
      </w:r>
      <w:r w:rsidRPr="00A66CB4">
        <w:t xml:space="preserve">. (2021). </w:t>
      </w:r>
      <w:r w:rsidRPr="00A66CB4">
        <w:rPr>
          <w:rStyle w:val="a4"/>
          <w:rtl/>
        </w:rPr>
        <w:t>المرسوم بقانون اتحادي رقم (34) لسنة 2021 بشأن مكافحة الشائعات والجرائم الإلكترونية</w:t>
      </w:r>
      <w:r w:rsidRPr="00A66CB4">
        <w:t xml:space="preserve">. </w:t>
      </w:r>
      <w:r w:rsidRPr="00A66CB4">
        <w:rPr>
          <w:rtl/>
        </w:rPr>
        <w:t>بوابة تشريعات الإمارات العربية المتحدة</w:t>
      </w:r>
      <w:r w:rsidRPr="00A66CB4">
        <w:t>.</w:t>
      </w:r>
    </w:p>
    <w:p w14:paraId="363F64DE" w14:textId="53ED49CA" w:rsidR="005723EB" w:rsidRPr="00A66CB4" w:rsidRDefault="005723EB" w:rsidP="00A66CB4">
      <w:pPr>
        <w:pStyle w:val="a7"/>
        <w:jc w:val="both"/>
        <w:rPr>
          <w:rtl/>
        </w:rPr>
      </w:pPr>
      <w:r w:rsidRPr="00A66CB4">
        <w:rPr>
          <w:rFonts w:hint="cs"/>
          <w:rtl/>
        </w:rPr>
        <w:t>(3)</w:t>
      </w:r>
      <w:r w:rsidRPr="00A66CB4">
        <w:rPr>
          <w:rtl/>
        </w:rPr>
        <w:t xml:space="preserve"> حكومة سنغافورة</w:t>
      </w:r>
      <w:r w:rsidRPr="00A66CB4">
        <w:t xml:space="preserve">. (2012). </w:t>
      </w:r>
      <w:r w:rsidRPr="00A66CB4">
        <w:rPr>
          <w:rStyle w:val="a4"/>
          <w:rtl/>
        </w:rPr>
        <w:t>قانون حماية البيانات الشخصية</w:t>
      </w:r>
      <w:r w:rsidRPr="00A66CB4">
        <w:rPr>
          <w:rStyle w:val="a4"/>
        </w:rPr>
        <w:t xml:space="preserve"> (Personal Data Protection Act 2012)</w:t>
      </w:r>
      <w:r w:rsidRPr="00A66CB4">
        <w:t xml:space="preserve">. </w:t>
      </w:r>
      <w:r w:rsidRPr="00A66CB4">
        <w:rPr>
          <w:rtl/>
        </w:rPr>
        <w:t>موقع التشريعات السنغافورية الرسمي</w:t>
      </w:r>
      <w:r w:rsidRPr="00A66CB4">
        <w:t>.</w:t>
      </w:r>
    </w:p>
  </w:footnote>
  <w:footnote w:id="34">
    <w:p w14:paraId="7F205EDA" w14:textId="3229A648" w:rsidR="005723EB" w:rsidRPr="00A66CB4" w:rsidRDefault="005723EB"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د. ليلى عبد المجيد</w:t>
      </w:r>
      <w:r w:rsidRPr="00A66CB4">
        <w:rPr>
          <w:rFonts w:ascii="Arial" w:hAnsi="Arial" w:cs="Arial"/>
          <w:color w:val="222222"/>
          <w:shd w:val="clear" w:color="auto" w:fill="FFFFFF"/>
        </w:rPr>
        <w:t>. (2021). </w:t>
      </w:r>
      <w:r w:rsidRPr="00A66CB4">
        <w:rPr>
          <w:rFonts w:ascii="Arial" w:hAnsi="Arial" w:cs="Arial"/>
          <w:i/>
          <w:iCs/>
          <w:color w:val="222222"/>
          <w:shd w:val="clear" w:color="auto" w:fill="FFFFFF"/>
          <w:rtl/>
        </w:rPr>
        <w:t>التنظيم التشريعي والقانوني للإعلام التقليدي والإلكتروني</w:t>
      </w:r>
      <w:r w:rsidRPr="00A66CB4">
        <w:rPr>
          <w:rFonts w:ascii="Arial" w:hAnsi="Arial" w:cs="Arial"/>
          <w:color w:val="222222"/>
          <w:shd w:val="clear" w:color="auto" w:fill="FFFFFF"/>
        </w:rPr>
        <w:t xml:space="preserve">. Al </w:t>
      </w:r>
      <w:proofErr w:type="spellStart"/>
      <w:r w:rsidRPr="00A66CB4">
        <w:rPr>
          <w:rFonts w:ascii="Arial" w:hAnsi="Arial" w:cs="Arial"/>
          <w:color w:val="222222"/>
          <w:shd w:val="clear" w:color="auto" w:fill="FFFFFF"/>
        </w:rPr>
        <w:t>Arabi</w:t>
      </w:r>
      <w:proofErr w:type="spellEnd"/>
      <w:r w:rsidRPr="00A66CB4">
        <w:rPr>
          <w:rFonts w:ascii="Arial" w:hAnsi="Arial" w:cs="Arial"/>
          <w:color w:val="222222"/>
          <w:shd w:val="clear" w:color="auto" w:fill="FFFFFF"/>
        </w:rPr>
        <w:t xml:space="preserve"> Publishing and Distributing.</w:t>
      </w:r>
      <w:r w:rsidRPr="00A66CB4">
        <w:rPr>
          <w:rFonts w:ascii="Arial" w:hAnsi="Arial" w:cs="Arial"/>
          <w:color w:val="222222"/>
          <w:shd w:val="clear" w:color="auto" w:fill="FFFFFF"/>
          <w:rtl/>
        </w:rPr>
        <w:t>‏</w:t>
      </w:r>
    </w:p>
  </w:footnote>
  <w:footnote w:id="35">
    <w:p w14:paraId="71083E1F" w14:textId="49B9A2DA" w:rsidR="005723EB" w:rsidRPr="00A66CB4" w:rsidRDefault="005723EB" w:rsidP="00A66CB4">
      <w:pPr>
        <w:pStyle w:val="a7"/>
        <w:jc w:val="both"/>
        <w:rPr>
          <w:rFonts w:ascii="Arial" w:hAnsi="Arial" w:cs="Arial"/>
          <w:color w:val="222222"/>
          <w:shd w:val="clear" w:color="auto" w:fill="FFFFFF"/>
          <w:rtl/>
        </w:rPr>
      </w:pPr>
      <w:r w:rsidRPr="00A66CB4">
        <w:rPr>
          <w:rFonts w:hint="cs"/>
          <w:rtl/>
        </w:rPr>
        <w:t>(1)</w:t>
      </w:r>
      <w:r w:rsidRPr="00A66CB4">
        <w:rPr>
          <w:rFonts w:ascii="Arial" w:hAnsi="Arial" w:cs="Arial"/>
          <w:color w:val="222222"/>
          <w:shd w:val="clear" w:color="auto" w:fill="FFFFFF"/>
          <w:rtl/>
        </w:rPr>
        <w:t xml:space="preserve"> أحمد محمد علي" البديوي </w:t>
      </w:r>
      <w:r w:rsidRPr="00A66CB4">
        <w:rPr>
          <w:rFonts w:ascii="Arial" w:hAnsi="Arial" w:cs="Arial" w:hint="cs"/>
          <w:color w:val="222222"/>
          <w:shd w:val="clear" w:color="auto" w:fill="FFFFFF"/>
          <w:rtl/>
        </w:rPr>
        <w:t>الرحاحلة</w:t>
      </w:r>
      <w:r w:rsidRPr="00A66CB4">
        <w:rPr>
          <w:rFonts w:ascii="Arial" w:hAnsi="Arial" w:cs="Arial"/>
          <w:color w:val="222222"/>
          <w:shd w:val="clear" w:color="auto" w:fill="FFFFFF"/>
          <w:rtl/>
        </w:rPr>
        <w:t>". (2026). دور الحوكمة الرقمية في تعزيز النزاهة ومكافحة الفساد</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مجلة العلوم الإنسانية والطبيعية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7</w:t>
      </w:r>
      <w:r w:rsidRPr="00A66CB4">
        <w:rPr>
          <w:rFonts w:ascii="Arial" w:hAnsi="Arial" w:cs="Arial"/>
          <w:color w:val="222222"/>
          <w:shd w:val="clear" w:color="auto" w:fill="FFFFFF"/>
        </w:rPr>
        <w:t>(1) , 139-155.</w:t>
      </w:r>
    </w:p>
    <w:p w14:paraId="3711063D" w14:textId="4215A962" w:rsidR="005723EB" w:rsidRPr="00A66CB4" w:rsidRDefault="005723EB" w:rsidP="00A66CB4">
      <w:pPr>
        <w:pStyle w:val="a7"/>
        <w:jc w:val="both"/>
        <w:rPr>
          <w:rtl/>
        </w:rPr>
      </w:pPr>
      <w:r w:rsidRPr="00A66CB4">
        <w:rPr>
          <w:rFonts w:ascii="Arial" w:hAnsi="Arial" w:cs="Arial" w:hint="cs"/>
          <w:color w:val="222222"/>
          <w:shd w:val="clear" w:color="auto" w:fill="FFFFFF"/>
          <w:rtl/>
        </w:rPr>
        <w:t>(2) صلا</w:t>
      </w:r>
      <w:r w:rsidRPr="00A66CB4">
        <w:rPr>
          <w:rFonts w:ascii="Arial" w:hAnsi="Arial" w:cs="Arial" w:hint="eastAsia"/>
          <w:color w:val="222222"/>
          <w:shd w:val="clear" w:color="auto" w:fill="FFFFFF"/>
          <w:rtl/>
        </w:rPr>
        <w:t>ح</w:t>
      </w:r>
      <w:r w:rsidRPr="00A66CB4">
        <w:rPr>
          <w:rFonts w:ascii="Arial" w:hAnsi="Arial" w:cs="Arial"/>
          <w:color w:val="222222"/>
          <w:shd w:val="clear" w:color="auto" w:fill="FFFFFF"/>
          <w:rtl/>
        </w:rPr>
        <w:t xml:space="preserve"> الدين رجب فت. (2025). آليات بناء القواعد القانونية لحماية البيانات الشخصية في البيئة الرقمية (دراسة تحليلية في ضوء تطور تقنيات الذكاء الاصطناعي)</w:t>
      </w:r>
      <w:r w:rsidRPr="00A66CB4">
        <w:rPr>
          <w:rFonts w:ascii="Arial" w:hAnsi="Arial" w:cs="Arial"/>
          <w:color w:val="222222"/>
          <w:shd w:val="clear" w:color="auto" w:fill="FFFFFF"/>
        </w:rPr>
        <w:t>. </w:t>
      </w:r>
      <w:proofErr w:type="spellStart"/>
      <w:r w:rsidRPr="00A66CB4">
        <w:rPr>
          <w:rFonts w:ascii="Arial" w:hAnsi="Arial" w:cs="Arial"/>
          <w:i/>
          <w:iCs/>
          <w:color w:val="222222"/>
          <w:shd w:val="clear" w:color="auto" w:fill="FFFFFF"/>
        </w:rPr>
        <w:t>Jerash</w:t>
      </w:r>
      <w:proofErr w:type="spellEnd"/>
      <w:r w:rsidRPr="00A66CB4">
        <w:rPr>
          <w:rFonts w:ascii="Arial" w:hAnsi="Arial" w:cs="Arial"/>
          <w:i/>
          <w:iCs/>
          <w:color w:val="222222"/>
          <w:shd w:val="clear" w:color="auto" w:fill="FFFFFF"/>
        </w:rPr>
        <w:t xml:space="preserve"> Journal for Research &amp; Studies</w:t>
      </w:r>
      <w:r w:rsidRPr="00A66CB4">
        <w:rPr>
          <w:rFonts w:ascii="Arial" w:hAnsi="Arial" w:cs="Arial"/>
          <w:color w:val="222222"/>
          <w:shd w:val="clear" w:color="auto" w:fill="FFFFFF"/>
        </w:rPr>
        <w:t>, </w:t>
      </w:r>
      <w:r w:rsidRPr="00A66CB4">
        <w:rPr>
          <w:rFonts w:ascii="Arial" w:hAnsi="Arial" w:cs="Arial"/>
          <w:i/>
          <w:iCs/>
          <w:color w:val="222222"/>
          <w:shd w:val="clear" w:color="auto" w:fill="FFFFFF"/>
        </w:rPr>
        <w:t>25</w:t>
      </w:r>
      <w:r w:rsidRPr="00A66CB4">
        <w:rPr>
          <w:rFonts w:ascii="Arial" w:hAnsi="Arial" w:cs="Arial"/>
          <w:color w:val="222222"/>
          <w:shd w:val="clear" w:color="auto" w:fill="FFFFFF"/>
        </w:rPr>
        <w:t>(2B), 213.</w:t>
      </w:r>
      <w:r w:rsidRPr="00A66CB4">
        <w:rPr>
          <w:rFonts w:ascii="Arial" w:hAnsi="Arial" w:cs="Arial"/>
          <w:color w:val="222222"/>
          <w:shd w:val="clear" w:color="auto" w:fill="FFFFFF"/>
          <w:rtl/>
        </w:rPr>
        <w:t>‏</w:t>
      </w:r>
    </w:p>
    <w:p w14:paraId="540FF389" w14:textId="5A11AA54" w:rsidR="005723EB" w:rsidRPr="00A66CB4" w:rsidRDefault="005723EB" w:rsidP="00A66CB4">
      <w:pPr>
        <w:pStyle w:val="a7"/>
        <w:jc w:val="both"/>
        <w:rPr>
          <w:rtl/>
        </w:rPr>
      </w:pPr>
      <w:r w:rsidRPr="00A66CB4">
        <w:rPr>
          <w:rFonts w:hint="cs"/>
          <w:rtl/>
        </w:rPr>
        <w:t>(3)</w:t>
      </w:r>
      <w:r w:rsidRPr="00A66CB4">
        <w:rPr>
          <w:rtl/>
        </w:rPr>
        <w:t xml:space="preserve"> إدارة الشؤون الاقتصادية والاجتماعية بالأمم المتحدة، 2024؛ منظمة التعاون الاقتصادي والتنمية، 2024؛ البنك الدولي، 2025</w:t>
      </w:r>
      <w:r w:rsidRPr="00A66CB4">
        <w:t>).</w:t>
      </w:r>
    </w:p>
  </w:footnote>
  <w:footnote w:id="36">
    <w:p w14:paraId="4D06E346" w14:textId="5399C355" w:rsidR="005723EB" w:rsidRPr="00A66CB4" w:rsidRDefault="005723EB" w:rsidP="00A66CB4">
      <w:pPr>
        <w:pStyle w:val="a7"/>
        <w:jc w:val="both"/>
      </w:pP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حبيب</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مها جواد مبارك. (2025). ضمانات المتعاقد مع الإدارة في مواجهة الأزمات والكوارث في عصر التحول الرقمي 2025</w:t>
      </w:r>
      <w:r w:rsidRPr="00A66CB4">
        <w:rPr>
          <w:rFonts w:ascii="Arial" w:hAnsi="Arial" w:cs="Arial"/>
          <w:color w:val="222222"/>
          <w:shd w:val="clear" w:color="auto" w:fill="FFFFFF"/>
        </w:rPr>
        <w:t>/Guarantees between the Contracted and the Management Against Crises and Disasters in the Time of Digital Transformation 2025. </w:t>
      </w:r>
      <w:r w:rsidRPr="00A66CB4">
        <w:rPr>
          <w:rFonts w:ascii="Arial" w:hAnsi="Arial" w:cs="Arial"/>
          <w:i/>
          <w:iCs/>
          <w:color w:val="222222"/>
          <w:shd w:val="clear" w:color="auto" w:fill="FFFFFF"/>
          <w:rtl/>
        </w:rPr>
        <w:t>مجلة البحوث الفقهية والقانونية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48</w:t>
      </w:r>
      <w:r w:rsidRPr="00A66CB4">
        <w:rPr>
          <w:rFonts w:ascii="Arial" w:hAnsi="Arial" w:cs="Arial"/>
          <w:color w:val="222222"/>
          <w:shd w:val="clear" w:color="auto" w:fill="FFFFFF"/>
        </w:rPr>
        <w:t>(48) , 5833-5912.</w:t>
      </w:r>
    </w:p>
  </w:footnote>
  <w:footnote w:id="37">
    <w:p w14:paraId="30002A19" w14:textId="1E3DC8D9" w:rsidR="005723EB" w:rsidRPr="00A66CB4" w:rsidRDefault="005723EB" w:rsidP="00A66CB4">
      <w:pPr>
        <w:pStyle w:val="a7"/>
        <w:jc w:val="both"/>
        <w:rPr>
          <w:rtl/>
        </w:rPr>
      </w:pPr>
      <w:r w:rsidRPr="00A66CB4">
        <w:rPr>
          <w:rStyle w:val="a8"/>
          <w:rFonts w:hint="cs"/>
          <w:vertAlign w:val="baseline"/>
          <w:rtl/>
        </w:rPr>
        <w:t>(</w:t>
      </w:r>
      <w:r w:rsidRPr="00A66CB4">
        <w:rPr>
          <w:rFonts w:hint="cs"/>
          <w:rtl/>
        </w:rPr>
        <w:t>2)</w:t>
      </w:r>
      <w:r w:rsidRPr="00A66CB4">
        <w:rPr>
          <w:rFonts w:ascii="Arial" w:hAnsi="Arial" w:cs="Arial"/>
          <w:color w:val="222222"/>
          <w:shd w:val="clear" w:color="auto" w:fill="FFFFFF"/>
          <w:rtl/>
        </w:rPr>
        <w:t xml:space="preserve"> مجموعة مؤلفين</w:t>
      </w:r>
      <w:r w:rsidRPr="00A66CB4">
        <w:rPr>
          <w:rFonts w:ascii="Arial" w:hAnsi="Arial" w:cs="Arial"/>
          <w:color w:val="222222"/>
          <w:shd w:val="clear" w:color="auto" w:fill="FFFFFF"/>
        </w:rPr>
        <w:t>. (2023). </w:t>
      </w:r>
      <w:r w:rsidRPr="00A66CB4">
        <w:rPr>
          <w:rFonts w:ascii="Arial" w:hAnsi="Arial" w:cs="Arial"/>
          <w:i/>
          <w:iCs/>
          <w:color w:val="222222"/>
          <w:shd w:val="clear" w:color="auto" w:fill="FFFFFF"/>
          <w:rtl/>
        </w:rPr>
        <w:t>الأمن القومي العربي وتحديات الأمن الإقليمي</w:t>
      </w:r>
      <w:r w:rsidRPr="00A66CB4">
        <w:rPr>
          <w:rFonts w:ascii="Arial" w:hAnsi="Arial" w:cs="Arial"/>
          <w:color w:val="222222"/>
          <w:shd w:val="clear" w:color="auto" w:fill="FFFFFF"/>
        </w:rPr>
        <w:t xml:space="preserve">. </w:t>
      </w:r>
      <w:r w:rsidRPr="00A66CB4">
        <w:rPr>
          <w:rFonts w:ascii="Arial" w:hAnsi="Arial" w:cs="Arial"/>
          <w:color w:val="222222"/>
          <w:shd w:val="clear" w:color="auto" w:fill="FFFFFF"/>
          <w:rtl/>
        </w:rPr>
        <w:t>المركز العربي للأبحاث ودراسة السياسات</w:t>
      </w:r>
      <w:r w:rsidRPr="00A66CB4">
        <w:rPr>
          <w:rFonts w:ascii="Arial" w:hAnsi="Arial" w:cs="Arial"/>
          <w:color w:val="222222"/>
          <w:shd w:val="clear" w:color="auto" w:fill="FFFFFF"/>
        </w:rPr>
        <w:t>.</w:t>
      </w:r>
    </w:p>
  </w:footnote>
  <w:footnote w:id="38">
    <w:p w14:paraId="74E4FC99" w14:textId="77777777" w:rsidR="005723EB" w:rsidRPr="00A66CB4" w:rsidRDefault="005723EB" w:rsidP="00A66CB4">
      <w:pPr>
        <w:pStyle w:val="a7"/>
        <w:jc w:val="both"/>
        <w:rPr>
          <w:rFonts w:ascii="Arial" w:hAnsi="Arial" w:cs="Arial"/>
          <w:color w:val="222222"/>
          <w:shd w:val="clear" w:color="auto" w:fill="FFFFFF"/>
          <w:rtl/>
        </w:rPr>
      </w:pPr>
      <w:r w:rsidRPr="00A66CB4">
        <w:rPr>
          <w:rFonts w:hint="cs"/>
          <w:rtl/>
        </w:rPr>
        <w:t>(1)</w:t>
      </w:r>
      <w:r w:rsidRPr="00A66CB4">
        <w:rPr>
          <w:rFonts w:ascii="Arial" w:hAnsi="Arial" w:cs="Arial"/>
          <w:color w:val="222222"/>
          <w:shd w:val="clear" w:color="auto" w:fill="FFFFFF"/>
          <w:rtl/>
        </w:rPr>
        <w:t xml:space="preserve"> </w:t>
      </w:r>
      <w:r w:rsidRPr="00A66CB4">
        <w:rPr>
          <w:rtl/>
        </w:rPr>
        <w:t>المملكة العربية السعودية. (1428هـ)</w:t>
      </w:r>
      <w:r w:rsidRPr="00A66CB4">
        <w:t xml:space="preserve">. </w:t>
      </w:r>
      <w:r w:rsidRPr="00A66CB4">
        <w:rPr>
          <w:rStyle w:val="a4"/>
          <w:rtl/>
        </w:rPr>
        <w:t>نظام التعاملات الإلكترونية، الصادر بالمرسوم الملكي رقم (م/18) وتاريخ 8/3/1428هـ</w:t>
      </w:r>
      <w:r w:rsidRPr="00A66CB4">
        <w:rPr>
          <w:rtl/>
        </w:rPr>
        <w:t>، ال</w:t>
      </w:r>
      <w:r w:rsidRPr="00A66CB4">
        <w:rPr>
          <w:rFonts w:hint="cs"/>
          <w:rtl/>
        </w:rPr>
        <w:t>مادة</w:t>
      </w:r>
      <w:r w:rsidRPr="00A66CB4">
        <w:rPr>
          <w:rtl/>
        </w:rPr>
        <w:t xml:space="preserve"> (5)، و(9)، و(14). هيئة الخبراء بمجلس الوزراء</w:t>
      </w:r>
      <w:r w:rsidRPr="00A66CB4">
        <w:t>.</w:t>
      </w:r>
    </w:p>
    <w:p w14:paraId="49FC9B66" w14:textId="0CD7BAEB" w:rsidR="005723EB" w:rsidRPr="00A66CB4" w:rsidRDefault="005723EB" w:rsidP="00A66CB4">
      <w:pPr>
        <w:pStyle w:val="a7"/>
        <w:jc w:val="both"/>
        <w:rPr>
          <w:rtl/>
        </w:rPr>
      </w:pPr>
      <w:r w:rsidRPr="00A66CB4">
        <w:rPr>
          <w:rFonts w:hint="cs"/>
          <w:rtl/>
        </w:rPr>
        <w:t>(2)</w:t>
      </w:r>
      <w:r w:rsidRPr="00A66CB4">
        <w:rPr>
          <w:rtl/>
        </w:rPr>
        <w:t xml:space="preserve"> دولة الإمارات العربية المتحدة</w:t>
      </w:r>
      <w:r w:rsidRPr="00A66CB4">
        <w:t xml:space="preserve">. (2021). </w:t>
      </w:r>
      <w:r w:rsidRPr="00A66CB4">
        <w:rPr>
          <w:rStyle w:val="a4"/>
          <w:rtl/>
        </w:rPr>
        <w:t>مرسوم بقانون اتحادي رقم (46) لسنة 2021 بشأن المعاملات الإلكترونية وخدمات الثقة</w:t>
      </w:r>
      <w:r w:rsidRPr="00A66CB4">
        <w:rPr>
          <w:rtl/>
        </w:rPr>
        <w:t xml:space="preserve">، </w:t>
      </w:r>
      <w:r w:rsidRPr="00A66CB4">
        <w:rPr>
          <w:rFonts w:hint="cs"/>
          <w:rtl/>
        </w:rPr>
        <w:t xml:space="preserve">المادة </w:t>
      </w:r>
      <w:r w:rsidRPr="00A66CB4">
        <w:rPr>
          <w:rtl/>
        </w:rPr>
        <w:t>(1)، و(19)، و(28). بوابة تشريعات الإمارات العربية المتحدة</w:t>
      </w:r>
      <w:r w:rsidRPr="00A66CB4">
        <w:t>.</w:t>
      </w:r>
    </w:p>
  </w:footnote>
  <w:footnote w:id="39">
    <w:p w14:paraId="364DC8AE" w14:textId="77777777" w:rsidR="005723EB" w:rsidRDefault="005723EB" w:rsidP="00A66CB4">
      <w:pPr>
        <w:spacing w:before="100" w:beforeAutospacing="1" w:after="100" w:afterAutospacing="1" w:line="240" w:lineRule="auto"/>
        <w:jc w:val="left"/>
        <w:rPr>
          <w:rFonts w:ascii="Times New Roman" w:eastAsia="Times New Roman" w:hAnsi="Times New Roman" w:cs="Times New Roman"/>
          <w:sz w:val="20"/>
          <w:szCs w:val="20"/>
          <w:rtl/>
        </w:rPr>
      </w:pPr>
      <w:r w:rsidRPr="00A66CB4">
        <w:rPr>
          <w:rFonts w:hint="cs"/>
          <w:sz w:val="20"/>
          <w:szCs w:val="20"/>
          <w:rtl/>
        </w:rPr>
        <w:t>(1)</w:t>
      </w:r>
      <w:r w:rsidRPr="00A66CB4">
        <w:rPr>
          <w:rFonts w:ascii="Arial" w:hAnsi="Arial" w:cs="Arial"/>
          <w:color w:val="222222"/>
          <w:sz w:val="20"/>
          <w:szCs w:val="20"/>
          <w:shd w:val="clear" w:color="auto" w:fill="FFFFFF"/>
          <w:rtl/>
        </w:rPr>
        <w:t xml:space="preserve"> </w:t>
      </w:r>
      <w:r w:rsidRPr="00A66CB4">
        <w:rPr>
          <w:rFonts w:ascii="Times New Roman" w:eastAsia="Times New Roman" w:hAnsi="Times New Roman" w:cs="Times New Roman"/>
          <w:sz w:val="20"/>
          <w:szCs w:val="20"/>
          <w:rtl/>
        </w:rPr>
        <w:t>حكومة سنغافورة</w:t>
      </w:r>
      <w:r w:rsidRPr="00A66CB4">
        <w:rPr>
          <w:rFonts w:ascii="Times New Roman" w:eastAsia="Times New Roman" w:hAnsi="Times New Roman" w:cs="Times New Roman"/>
          <w:sz w:val="20"/>
          <w:szCs w:val="20"/>
        </w:rPr>
        <w:t xml:space="preserve">. (2010). </w:t>
      </w:r>
      <w:r w:rsidRPr="00A66CB4">
        <w:rPr>
          <w:rFonts w:ascii="Times New Roman" w:eastAsia="Times New Roman" w:hAnsi="Times New Roman" w:cs="Times New Roman"/>
          <w:i/>
          <w:iCs/>
          <w:sz w:val="20"/>
          <w:szCs w:val="20"/>
          <w:rtl/>
        </w:rPr>
        <w:t>قانون المعاملات الإلكترونية لسنة 2010</w:t>
      </w:r>
      <w:r w:rsidRPr="00A66CB4">
        <w:rPr>
          <w:rFonts w:ascii="Times New Roman" w:eastAsia="Times New Roman" w:hAnsi="Times New Roman" w:cs="Times New Roman"/>
          <w:i/>
          <w:iCs/>
          <w:sz w:val="20"/>
          <w:szCs w:val="20"/>
        </w:rPr>
        <w:t xml:space="preserve"> (Electronic Transactions Act 2010)</w:t>
      </w:r>
      <w:r w:rsidRPr="00A66CB4">
        <w:rPr>
          <w:rFonts w:ascii="Times New Roman" w:eastAsia="Times New Roman" w:hAnsi="Times New Roman" w:cs="Times New Roman"/>
          <w:sz w:val="20"/>
          <w:szCs w:val="20"/>
          <w:rtl/>
        </w:rPr>
        <w:t>، ولا سيما المواد (6)، و(8)، و(17)–(19). موقع التشريعات السنغافورية الرسمي</w:t>
      </w:r>
      <w:r w:rsidRPr="00A66CB4">
        <w:rPr>
          <w:rFonts w:ascii="Times New Roman" w:eastAsia="Times New Roman" w:hAnsi="Times New Roman" w:cs="Times New Roman"/>
          <w:sz w:val="20"/>
          <w:szCs w:val="20"/>
        </w:rPr>
        <w:t xml:space="preserve">. </w:t>
      </w:r>
    </w:p>
    <w:p w14:paraId="04753BAA" w14:textId="509213A0" w:rsidR="005723EB" w:rsidRPr="00A66CB4" w:rsidRDefault="005723EB" w:rsidP="00A66CB4">
      <w:pPr>
        <w:spacing w:before="100" w:beforeAutospacing="1" w:after="100" w:afterAutospacing="1" w:line="240" w:lineRule="auto"/>
        <w:jc w:val="left"/>
        <w:rPr>
          <w:rFonts w:ascii="Times New Roman" w:eastAsia="Times New Roman" w:hAnsi="Times New Roman" w:cs="Times New Roman"/>
          <w:sz w:val="20"/>
          <w:szCs w:val="20"/>
          <w:rtl/>
        </w:rPr>
      </w:pPr>
      <w:r w:rsidRPr="00A66CB4">
        <w:rPr>
          <w:rFonts w:ascii="Arial" w:hAnsi="Arial" w:cs="Arial" w:hint="cs"/>
          <w:color w:val="222222"/>
          <w:sz w:val="20"/>
          <w:szCs w:val="20"/>
          <w:shd w:val="clear" w:color="auto" w:fill="FFFFFF"/>
          <w:rtl/>
        </w:rPr>
        <w:t>(2) كرا</w:t>
      </w:r>
      <w:r w:rsidRPr="00A66CB4">
        <w:rPr>
          <w:rFonts w:ascii="Arial" w:hAnsi="Arial" w:cs="Arial" w:hint="eastAsia"/>
          <w:color w:val="222222"/>
          <w:sz w:val="20"/>
          <w:szCs w:val="20"/>
          <w:shd w:val="clear" w:color="auto" w:fill="FFFFFF"/>
          <w:rtl/>
        </w:rPr>
        <w:t>ر</w:t>
      </w:r>
      <w:r w:rsidRPr="00A66CB4">
        <w:rPr>
          <w:rFonts w:ascii="Arial" w:hAnsi="Arial" w:cs="Arial"/>
          <w:color w:val="222222"/>
          <w:sz w:val="20"/>
          <w:szCs w:val="20"/>
          <w:shd w:val="clear" w:color="auto" w:fill="FFFFFF"/>
          <w:rtl/>
        </w:rPr>
        <w:t xml:space="preserve"> غانم </w:t>
      </w:r>
      <w:r w:rsidRPr="00A66CB4">
        <w:rPr>
          <w:rFonts w:ascii="Arial" w:hAnsi="Arial" w:cs="Arial" w:hint="cs"/>
          <w:color w:val="222222"/>
          <w:sz w:val="20"/>
          <w:szCs w:val="20"/>
          <w:shd w:val="clear" w:color="auto" w:fill="FFFFFF"/>
          <w:rtl/>
        </w:rPr>
        <w:t>ب ستان</w:t>
      </w:r>
      <w:r w:rsidRPr="00A66CB4">
        <w:rPr>
          <w:rFonts w:ascii="Arial" w:hAnsi="Arial" w:cs="Arial"/>
          <w:color w:val="222222"/>
          <w:sz w:val="20"/>
          <w:szCs w:val="20"/>
          <w:shd w:val="clear" w:color="auto" w:fill="FFFFFF"/>
          <w:rtl/>
        </w:rPr>
        <w:t>1، الأستاذة الدكتورة/أودين سلوم1. (2025). الوسائل الالكترونية للتثبت من الأهلية ودورها في حماية المتعاقد الإلكتروني</w:t>
      </w:r>
      <w:r w:rsidRPr="00A66CB4">
        <w:rPr>
          <w:rFonts w:ascii="Arial" w:hAnsi="Arial" w:cs="Arial"/>
          <w:color w:val="222222"/>
          <w:sz w:val="20"/>
          <w:szCs w:val="20"/>
          <w:shd w:val="clear" w:color="auto" w:fill="FFFFFF"/>
        </w:rPr>
        <w:t>. </w:t>
      </w:r>
      <w:r w:rsidRPr="00A66CB4">
        <w:rPr>
          <w:rFonts w:ascii="Arial" w:hAnsi="Arial" w:cs="Arial"/>
          <w:i/>
          <w:iCs/>
          <w:color w:val="222222"/>
          <w:sz w:val="20"/>
          <w:szCs w:val="20"/>
          <w:shd w:val="clear" w:color="auto" w:fill="FFFFFF"/>
          <w:rtl/>
        </w:rPr>
        <w:t>مجلة العلوم الإنسانية والطبيعية</w:t>
      </w:r>
      <w:r w:rsidRPr="00A66CB4">
        <w:rPr>
          <w:rFonts w:ascii="Arial" w:hAnsi="Arial" w:cs="Arial"/>
          <w:color w:val="222222"/>
          <w:sz w:val="20"/>
          <w:szCs w:val="20"/>
          <w:shd w:val="clear" w:color="auto" w:fill="FFFFFF"/>
        </w:rPr>
        <w:t>, </w:t>
      </w:r>
      <w:r w:rsidRPr="00A66CB4">
        <w:rPr>
          <w:rFonts w:ascii="Arial" w:hAnsi="Arial" w:cs="Arial"/>
          <w:i/>
          <w:iCs/>
          <w:color w:val="222222"/>
          <w:sz w:val="20"/>
          <w:szCs w:val="20"/>
          <w:shd w:val="clear" w:color="auto" w:fill="FFFFFF"/>
        </w:rPr>
        <w:t>6</w:t>
      </w:r>
      <w:r w:rsidRPr="00A66CB4">
        <w:rPr>
          <w:rFonts w:ascii="Arial" w:hAnsi="Arial" w:cs="Arial"/>
          <w:color w:val="222222"/>
          <w:sz w:val="20"/>
          <w:szCs w:val="20"/>
          <w:shd w:val="clear" w:color="auto" w:fill="FFFFFF"/>
        </w:rPr>
        <w:t>(1) , 517-534.</w:t>
      </w:r>
    </w:p>
  </w:footnote>
  <w:footnote w:id="40">
    <w:p w14:paraId="503A2FC1" w14:textId="1C015558" w:rsidR="005723EB" w:rsidRPr="00A66CB4" w:rsidRDefault="005723EB" w:rsidP="00A66CB4">
      <w:pPr>
        <w:pStyle w:val="a7"/>
        <w:jc w:val="both"/>
        <w:rPr>
          <w:rtl/>
        </w:rPr>
      </w:pPr>
      <w:r w:rsidRPr="00A66CB4">
        <w:rPr>
          <w:rFonts w:hint="cs"/>
          <w:rtl/>
        </w:rPr>
        <w:t>(1)</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الحارثي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hint="cs"/>
          <w:color w:val="222222"/>
          <w:shd w:val="clear" w:color="auto" w:fill="FFFFFF"/>
          <w:rtl/>
        </w:rPr>
        <w:t>عبد الرحم</w:t>
      </w:r>
      <w:r w:rsidRPr="00A66CB4">
        <w:rPr>
          <w:rFonts w:ascii="Arial" w:hAnsi="Arial" w:cs="Arial" w:hint="eastAsia"/>
          <w:color w:val="222222"/>
          <w:shd w:val="clear" w:color="auto" w:fill="FFFFFF"/>
          <w:rtl/>
        </w:rPr>
        <w:t>ن</w:t>
      </w:r>
      <w:r w:rsidRPr="00A66CB4">
        <w:rPr>
          <w:rFonts w:ascii="Arial" w:hAnsi="Arial" w:cs="Arial"/>
          <w:color w:val="222222"/>
          <w:shd w:val="clear" w:color="auto" w:fill="FFFFFF"/>
          <w:rtl/>
        </w:rPr>
        <w:t>. (2026). الحجية القانونية للأدلة الرقمية في نظام الإثبات السعودي دراسة تحليلية</w:t>
      </w:r>
      <w:r w:rsidRPr="00A66CB4">
        <w:rPr>
          <w:rFonts w:ascii="Arial" w:hAnsi="Arial" w:cs="Arial"/>
          <w:color w:val="222222"/>
          <w:shd w:val="clear" w:color="auto" w:fill="FFFFFF"/>
        </w:rPr>
        <w:t>/The Legal Admissibility of Digital Evidence in the Saudi Evidence System An Analytical Study. </w:t>
      </w:r>
      <w:r w:rsidRPr="00A66CB4">
        <w:rPr>
          <w:rFonts w:ascii="Arial" w:hAnsi="Arial" w:cs="Arial"/>
          <w:i/>
          <w:iCs/>
          <w:color w:val="222222"/>
          <w:shd w:val="clear" w:color="auto" w:fill="FFFFFF"/>
          <w:rtl/>
        </w:rPr>
        <w:t>مجلة قطاع الشريعة والقانون</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19</w:t>
      </w:r>
      <w:r w:rsidRPr="00A66CB4">
        <w:rPr>
          <w:rFonts w:ascii="Arial" w:hAnsi="Arial" w:cs="Arial"/>
          <w:color w:val="222222"/>
          <w:shd w:val="clear" w:color="auto" w:fill="FFFFFF"/>
        </w:rPr>
        <w:t>(19) , 1811-1842.</w:t>
      </w:r>
    </w:p>
  </w:footnote>
  <w:footnote w:id="41">
    <w:p w14:paraId="504BF735" w14:textId="69E5FF6E" w:rsidR="005723EB" w:rsidRPr="00A66CB4" w:rsidRDefault="005723EB" w:rsidP="00A66CB4">
      <w:pPr>
        <w:pStyle w:val="a7"/>
        <w:jc w:val="both"/>
        <w:rPr>
          <w:rtl/>
        </w:rPr>
      </w:pPr>
      <w:r w:rsidRPr="00A66CB4">
        <w:rPr>
          <w:rFonts w:hint="cs"/>
          <w:rtl/>
        </w:rPr>
        <w:t>(2)</w:t>
      </w:r>
      <w:r w:rsidRPr="00A66CB4">
        <w:rPr>
          <w:rFonts w:ascii="Arial" w:hAnsi="Arial" w:cs="Arial"/>
          <w:color w:val="222222"/>
          <w:shd w:val="clear" w:color="auto" w:fill="FFFFFF"/>
          <w:rtl/>
        </w:rPr>
        <w:t xml:space="preserve"> </w:t>
      </w:r>
      <w:r w:rsidRPr="00A66CB4">
        <w:rPr>
          <w:rFonts w:ascii="Arial" w:hAnsi="Arial" w:cs="Arial" w:hint="cs"/>
          <w:color w:val="222222"/>
          <w:shd w:val="clear" w:color="auto" w:fill="FFFFFF"/>
          <w:rtl/>
        </w:rPr>
        <w:t>شامي</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 xml:space="preserve">يسين. (2023). تسوية النزاع القضائي بطريق الوساطة في قانون </w:t>
      </w:r>
      <w:r w:rsidRPr="00A66CB4">
        <w:rPr>
          <w:rFonts w:ascii="Arial" w:hAnsi="Arial" w:cs="Arial" w:hint="cs"/>
          <w:color w:val="222222"/>
          <w:shd w:val="clear" w:color="auto" w:fill="FFFFFF"/>
          <w:rtl/>
        </w:rPr>
        <w:t>الإجراءات</w:t>
      </w:r>
      <w:r w:rsidRPr="00A66CB4">
        <w:rPr>
          <w:rFonts w:ascii="Arial" w:hAnsi="Arial" w:cs="Arial"/>
          <w:color w:val="222222"/>
          <w:shd w:val="clear" w:color="auto" w:fill="FFFFFF"/>
          <w:rtl/>
        </w:rPr>
        <w:t xml:space="preserve"> المدنية </w:t>
      </w:r>
      <w:r w:rsidRPr="00A66CB4">
        <w:rPr>
          <w:rFonts w:ascii="Arial" w:hAnsi="Arial" w:cs="Arial" w:hint="cs"/>
          <w:color w:val="222222"/>
          <w:shd w:val="clear" w:color="auto" w:fill="FFFFFF"/>
          <w:rtl/>
        </w:rPr>
        <w:t>والإدارية</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مجلة البحوث والدراسات القانونية والسياسية</w:t>
      </w:r>
      <w:r w:rsidRPr="00A66CB4">
        <w:rPr>
          <w:rFonts w:ascii="Arial" w:hAnsi="Arial" w:cs="Arial"/>
          <w:color w:val="222222"/>
          <w:shd w:val="clear" w:color="auto" w:fill="FFFFFF"/>
        </w:rPr>
        <w:t>, </w:t>
      </w:r>
      <w:r w:rsidRPr="00A66CB4">
        <w:rPr>
          <w:rFonts w:ascii="Arial" w:hAnsi="Arial" w:cs="Arial"/>
          <w:i/>
          <w:iCs/>
          <w:color w:val="222222"/>
          <w:shd w:val="clear" w:color="auto" w:fill="FFFFFF"/>
        </w:rPr>
        <w:t>12</w:t>
      </w:r>
      <w:r w:rsidRPr="00A66CB4">
        <w:rPr>
          <w:rFonts w:ascii="Arial" w:hAnsi="Arial" w:cs="Arial"/>
          <w:color w:val="222222"/>
          <w:shd w:val="clear" w:color="auto" w:fill="FFFFFF"/>
        </w:rPr>
        <w:t>(1) , 77-100.</w:t>
      </w:r>
    </w:p>
  </w:footnote>
  <w:footnote w:id="42">
    <w:p w14:paraId="13F85979" w14:textId="35245BA6" w:rsidR="005723EB" w:rsidRDefault="005723EB" w:rsidP="00A66CB4">
      <w:pPr>
        <w:pStyle w:val="a7"/>
        <w:jc w:val="left"/>
        <w:rPr>
          <w:rtl/>
        </w:rPr>
      </w:pPr>
      <w:r w:rsidRPr="00A66CB4">
        <w:rPr>
          <w:rFonts w:hint="cs"/>
          <w:rtl/>
        </w:rPr>
        <w:t>(1)</w:t>
      </w:r>
      <w:r w:rsidRPr="00A66CB4">
        <w:rPr>
          <w:rFonts w:ascii="Arial" w:hAnsi="Arial" w:cs="Arial"/>
          <w:color w:val="222222"/>
          <w:shd w:val="clear" w:color="auto" w:fill="FFFFFF"/>
          <w:rtl/>
        </w:rPr>
        <w:t xml:space="preserve"> أحمد علي طه </w:t>
      </w:r>
      <w:r w:rsidRPr="00A66CB4">
        <w:rPr>
          <w:rFonts w:ascii="Arial" w:hAnsi="Arial" w:cs="Arial" w:hint="cs"/>
          <w:color w:val="222222"/>
          <w:shd w:val="clear" w:color="auto" w:fill="FFFFFF"/>
          <w:rtl/>
        </w:rPr>
        <w:t>ريان</w:t>
      </w:r>
      <w:r w:rsidRPr="00A66CB4">
        <w:rPr>
          <w:rFonts w:ascii="Arial" w:hAnsi="Arial" w:cs="Arial"/>
          <w:color w:val="222222"/>
          <w:shd w:val="clear" w:color="auto" w:fill="FFFFFF"/>
          <w:rtl/>
        </w:rPr>
        <w:t>،</w:t>
      </w:r>
      <w:r w:rsidRPr="00A66CB4">
        <w:rPr>
          <w:rFonts w:ascii="Arial" w:hAnsi="Arial" w:cs="Arial"/>
          <w:color w:val="222222"/>
          <w:shd w:val="clear" w:color="auto" w:fill="FFFFFF"/>
        </w:rPr>
        <w:t xml:space="preserve"> &amp; </w:t>
      </w:r>
      <w:r w:rsidRPr="00A66CB4">
        <w:rPr>
          <w:rFonts w:ascii="Arial" w:hAnsi="Arial" w:cs="Arial"/>
          <w:color w:val="222222"/>
          <w:shd w:val="clear" w:color="auto" w:fill="FFFFFF"/>
          <w:rtl/>
        </w:rPr>
        <w:t>إيمان. (2021). الحماية التشريعية للحق في خصوصية البيانات في العصر الرقمي</w:t>
      </w:r>
      <w:r w:rsidRPr="00A66CB4">
        <w:rPr>
          <w:rFonts w:ascii="Arial" w:hAnsi="Arial" w:cs="Arial"/>
          <w:color w:val="222222"/>
          <w:shd w:val="clear" w:color="auto" w:fill="FFFFFF"/>
        </w:rPr>
        <w:t>. </w:t>
      </w:r>
      <w:r w:rsidRPr="00A66CB4">
        <w:rPr>
          <w:rFonts w:ascii="Arial" w:hAnsi="Arial" w:cs="Arial"/>
          <w:i/>
          <w:iCs/>
          <w:color w:val="222222"/>
          <w:shd w:val="clear" w:color="auto" w:fill="FFFFFF"/>
          <w:rtl/>
        </w:rPr>
        <w:t xml:space="preserve">مجلة </w:t>
      </w:r>
      <w:proofErr w:type="spellStart"/>
      <w:r w:rsidRPr="00A66CB4">
        <w:rPr>
          <w:rFonts w:ascii="Arial" w:hAnsi="Arial" w:cs="Arial"/>
          <w:i/>
          <w:iCs/>
          <w:color w:val="222222"/>
          <w:shd w:val="clear" w:color="auto" w:fill="FFFFFF"/>
          <w:rtl/>
        </w:rPr>
        <w:t>کلية</w:t>
      </w:r>
      <w:proofErr w:type="spellEnd"/>
      <w:r w:rsidRPr="00A66CB4">
        <w:rPr>
          <w:rFonts w:ascii="Arial" w:hAnsi="Arial" w:cs="Arial"/>
          <w:i/>
          <w:iCs/>
          <w:color w:val="222222"/>
          <w:shd w:val="clear" w:color="auto" w:fill="FFFFFF"/>
          <w:rtl/>
        </w:rPr>
        <w:t xml:space="preserve"> الشريعة </w:t>
      </w:r>
      <w:r w:rsidRPr="00A66CB4">
        <w:rPr>
          <w:rFonts w:ascii="Arial" w:hAnsi="Arial" w:cs="Arial" w:hint="cs"/>
          <w:i/>
          <w:iCs/>
          <w:color w:val="222222"/>
          <w:shd w:val="clear" w:color="auto" w:fill="FFFFFF"/>
          <w:rtl/>
        </w:rPr>
        <w:t>والقانون بطنطا</w:t>
      </w:r>
      <w:r w:rsidRPr="00A66CB4">
        <w:rPr>
          <w:rFonts w:ascii="Arial" w:hAnsi="Arial" w:cs="Arial"/>
          <w:color w:val="222222"/>
          <w:shd w:val="clear" w:color="auto" w:fill="FFFFFF"/>
        </w:rPr>
        <w:t>, </w:t>
      </w:r>
      <w:r w:rsidRPr="00A66CB4">
        <w:rPr>
          <w:rFonts w:ascii="Arial" w:hAnsi="Arial" w:cs="Arial"/>
          <w:i/>
          <w:iCs/>
          <w:color w:val="222222"/>
          <w:shd w:val="clear" w:color="auto" w:fill="FFFFFF"/>
        </w:rPr>
        <w:t>36</w:t>
      </w:r>
      <w:r w:rsidRPr="00A66CB4">
        <w:rPr>
          <w:rFonts w:ascii="Arial" w:hAnsi="Arial" w:cs="Arial"/>
          <w:color w:val="222222"/>
          <w:shd w:val="clear" w:color="auto" w:fill="FFFFFF"/>
        </w:rPr>
        <w:t>(3) , 188-277.</w:t>
      </w:r>
    </w:p>
    <w:p w14:paraId="4EDCCB75" w14:textId="080DFFF0" w:rsidR="005723EB" w:rsidRDefault="005723EB" w:rsidP="00A66CB4">
      <w:pPr>
        <w:pStyle w:val="a7"/>
        <w:jc w:val="left"/>
        <w:rPr>
          <w:rtl/>
        </w:rPr>
      </w:pPr>
      <w:r>
        <w:rPr>
          <w:rFonts w:hint="cs"/>
          <w:rtl/>
        </w:rPr>
        <w:t>(2)</w:t>
      </w:r>
      <w:r w:rsidRPr="007B11E9">
        <w:rPr>
          <w:rtl/>
        </w:rPr>
        <w:t xml:space="preserve"> </w:t>
      </w:r>
      <w:r>
        <w:rPr>
          <w:rtl/>
        </w:rPr>
        <w:t>المملكة العربية السعودية. (1443هـ)</w:t>
      </w:r>
      <w:r>
        <w:t xml:space="preserve">. </w:t>
      </w:r>
      <w:r>
        <w:rPr>
          <w:rStyle w:val="a4"/>
          <w:rtl/>
        </w:rPr>
        <w:t>نظام حماية البيانات الشخصية، الصادر بالمرسوم الملكي رقم (م/19) وتاريخ 9/2/1443هـ، والمعدل بالمرسوم الملكي رقم (م/148) وتاريخ 5/9/1444هـ</w:t>
      </w:r>
      <w:r>
        <w:t xml:space="preserve">. </w:t>
      </w:r>
      <w:r>
        <w:rPr>
          <w:rtl/>
        </w:rPr>
        <w:t>هيئة الخبراء بمجلس الوزراء</w:t>
      </w:r>
      <w:r>
        <w:t>.</w:t>
      </w:r>
    </w:p>
    <w:p w14:paraId="1C2046EC" w14:textId="77777777" w:rsidR="005723EB" w:rsidRPr="007B11E9" w:rsidRDefault="005723EB" w:rsidP="00A66CB4">
      <w:pPr>
        <w:pStyle w:val="a7"/>
        <w:jc w:val="left"/>
        <w:rPr>
          <w:rtl/>
        </w:rPr>
      </w:pPr>
    </w:p>
  </w:footnote>
  <w:footnote w:id="43">
    <w:p w14:paraId="39BEEC2C" w14:textId="39BEAE1E" w:rsidR="005723EB" w:rsidRDefault="005723EB" w:rsidP="00DC389E">
      <w:pPr>
        <w:pStyle w:val="pdq2pgselectionanchorcontainer"/>
        <w:numPr>
          <w:ilvl w:val="0"/>
          <w:numId w:val="10"/>
        </w:numPr>
        <w:bidi/>
        <w:rPr>
          <w:sz w:val="20"/>
          <w:szCs w:val="20"/>
          <w:rtl/>
        </w:rPr>
      </w:pPr>
      <w:r w:rsidRPr="00624BE8">
        <w:rPr>
          <w:sz w:val="20"/>
          <w:szCs w:val="20"/>
          <w:rtl/>
        </w:rPr>
        <w:t>دولة الإمارات العربية المتحدة</w:t>
      </w:r>
      <w:r w:rsidRPr="00624BE8">
        <w:rPr>
          <w:sz w:val="20"/>
          <w:szCs w:val="20"/>
        </w:rPr>
        <w:t xml:space="preserve">. (2021). </w:t>
      </w:r>
      <w:r w:rsidRPr="00624BE8">
        <w:rPr>
          <w:rStyle w:val="a4"/>
          <w:sz w:val="20"/>
          <w:szCs w:val="20"/>
          <w:rtl/>
        </w:rPr>
        <w:t>مرسوم بقانون اتحادي رقم (45) لسنة 2021 بشأن حماية البيانات الشخصية</w:t>
      </w:r>
      <w:r w:rsidRPr="00624BE8">
        <w:rPr>
          <w:sz w:val="20"/>
          <w:szCs w:val="20"/>
        </w:rPr>
        <w:t xml:space="preserve">. </w:t>
      </w:r>
      <w:r w:rsidRPr="00624BE8">
        <w:rPr>
          <w:sz w:val="20"/>
          <w:szCs w:val="20"/>
          <w:rtl/>
        </w:rPr>
        <w:t>بوابة تشريعات الإمارات العربية المتحدة</w:t>
      </w:r>
      <w:r w:rsidRPr="00624BE8">
        <w:rPr>
          <w:sz w:val="20"/>
          <w:szCs w:val="20"/>
        </w:rPr>
        <w:t xml:space="preserve">. </w:t>
      </w:r>
    </w:p>
    <w:p w14:paraId="6B2C2145" w14:textId="4BB89E63" w:rsidR="005723EB" w:rsidRPr="00624BE8" w:rsidRDefault="005723EB" w:rsidP="00DC389E">
      <w:pPr>
        <w:pStyle w:val="pdq2pgselectionanchorcontainer"/>
        <w:numPr>
          <w:ilvl w:val="0"/>
          <w:numId w:val="10"/>
        </w:numPr>
        <w:bidi/>
        <w:rPr>
          <w:sz w:val="20"/>
          <w:szCs w:val="20"/>
        </w:rPr>
      </w:pPr>
      <w:r>
        <w:rPr>
          <w:rtl/>
        </w:rPr>
        <w:t>حكومة سنغافورة</w:t>
      </w:r>
      <w:r>
        <w:t xml:space="preserve">. (2012). </w:t>
      </w:r>
      <w:r>
        <w:rPr>
          <w:rStyle w:val="a4"/>
          <w:rtl/>
        </w:rPr>
        <w:t>قانون حماية البيانات الشخصية لسنة 2012</w:t>
      </w:r>
      <w:r>
        <w:rPr>
          <w:rStyle w:val="a4"/>
        </w:rPr>
        <w:t xml:space="preserve"> (Personal Data Protection Act 2012)</w:t>
      </w:r>
      <w:r>
        <w:rPr>
          <w:rStyle w:val="a4"/>
          <w:rtl/>
        </w:rPr>
        <w:t>، بصيغته المعدلة</w:t>
      </w:r>
      <w:r>
        <w:t xml:space="preserve">. </w:t>
      </w:r>
      <w:r>
        <w:rPr>
          <w:rtl/>
        </w:rPr>
        <w:t>موقع التشريعات السنغافورية الرسمي</w:t>
      </w:r>
      <w:r>
        <w:t>.</w:t>
      </w:r>
    </w:p>
    <w:p w14:paraId="284D4E55" w14:textId="4B01C517" w:rsidR="005723EB" w:rsidRPr="00624BE8" w:rsidRDefault="005723EB" w:rsidP="00624BE8">
      <w:pPr>
        <w:pStyle w:val="a7"/>
        <w:jc w:val="both"/>
      </w:pPr>
    </w:p>
  </w:footnote>
  <w:footnote w:id="44">
    <w:p w14:paraId="59F6B92F" w14:textId="11C9D03F" w:rsidR="005723EB" w:rsidRDefault="005723EB" w:rsidP="00DC389E">
      <w:pPr>
        <w:pStyle w:val="a7"/>
        <w:numPr>
          <w:ilvl w:val="0"/>
          <w:numId w:val="11"/>
        </w:numPr>
        <w:jc w:val="both"/>
        <w:rPr>
          <w:rtl/>
        </w:rPr>
      </w:pPr>
      <w:r>
        <w:rPr>
          <w:rFonts w:ascii="Arial" w:hAnsi="Arial" w:cs="Arial"/>
          <w:color w:val="222222"/>
          <w:shd w:val="clear" w:color="auto" w:fill="FFFFFF"/>
          <w:rtl/>
        </w:rPr>
        <w:t xml:space="preserve">عبد الصمد محمود </w:t>
      </w:r>
      <w:r>
        <w:rPr>
          <w:rFonts w:ascii="Arial" w:hAnsi="Arial" w:cs="Arial" w:hint="cs"/>
          <w:color w:val="222222"/>
          <w:shd w:val="clear" w:color="auto" w:fill="FFFFFF"/>
          <w:rtl/>
        </w:rPr>
        <w:t>عطية</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ثروت. (2024). السياسة الجنائية لمكافحة الجريمة المعلوماتية في المملكة العربية السعودية (دراسة مقارنة)</w:t>
      </w:r>
      <w:r>
        <w:rPr>
          <w:rFonts w:ascii="Arial" w:hAnsi="Arial" w:cs="Arial"/>
          <w:color w:val="222222"/>
          <w:shd w:val="clear" w:color="auto" w:fill="FFFFFF"/>
        </w:rPr>
        <w:t xml:space="preserve"> Criminal Policy To Combat Information Crime In The Kingdom Of Saudi Arabia (A Comparative Study).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46</w:t>
      </w:r>
      <w:r>
        <w:rPr>
          <w:rFonts w:ascii="Arial" w:hAnsi="Arial" w:cs="Arial"/>
          <w:color w:val="222222"/>
          <w:shd w:val="clear" w:color="auto" w:fill="FFFFFF"/>
        </w:rPr>
        <w:t>(46) , 379-478.</w:t>
      </w:r>
    </w:p>
    <w:p w14:paraId="590B2B12" w14:textId="3FDC0C48" w:rsidR="005723EB" w:rsidRDefault="005723EB" w:rsidP="00DC389E">
      <w:pPr>
        <w:pStyle w:val="a7"/>
        <w:numPr>
          <w:ilvl w:val="0"/>
          <w:numId w:val="11"/>
        </w:numPr>
        <w:jc w:val="both"/>
      </w:pPr>
      <w:r>
        <w:rPr>
          <w:rtl/>
        </w:rPr>
        <w:t>دولة الإمارات العربية المتحدة</w:t>
      </w:r>
      <w:r>
        <w:t xml:space="preserve">. (2021). </w:t>
      </w:r>
      <w:r>
        <w:rPr>
          <w:rStyle w:val="a4"/>
          <w:rtl/>
        </w:rPr>
        <w:t>المرسوم بقانون اتحادي رقم (34) لسنة 2021 في شأن مكافحة الشائعات والجرائم الإلكترونية</w:t>
      </w:r>
      <w:r>
        <w:t>.</w:t>
      </w:r>
    </w:p>
    <w:p w14:paraId="77CFF8A6" w14:textId="31A74E57" w:rsidR="005723EB" w:rsidRPr="00E55AD3" w:rsidRDefault="005723EB" w:rsidP="00DC389E">
      <w:pPr>
        <w:pStyle w:val="a7"/>
        <w:numPr>
          <w:ilvl w:val="0"/>
          <w:numId w:val="11"/>
        </w:numPr>
        <w:jc w:val="both"/>
        <w:rPr>
          <w:rtl/>
        </w:rPr>
      </w:pPr>
      <w:r>
        <w:rPr>
          <w:rtl/>
        </w:rPr>
        <w:t>حكومة سنغافورة</w:t>
      </w:r>
      <w:r>
        <w:t xml:space="preserve">. (2023). </w:t>
      </w:r>
      <w:r>
        <w:rPr>
          <w:rStyle w:val="a4"/>
          <w:rtl/>
        </w:rPr>
        <w:t>قانون الأضرار الجنائية عبر الإنترنت لسنة 2023</w:t>
      </w:r>
      <w:r>
        <w:t>.</w:t>
      </w:r>
    </w:p>
  </w:footnote>
  <w:footnote w:id="45">
    <w:p w14:paraId="70C1E07A" w14:textId="22553E1E" w:rsidR="005723EB" w:rsidRDefault="005723EB" w:rsidP="00DC389E">
      <w:pPr>
        <w:pStyle w:val="a7"/>
        <w:numPr>
          <w:ilvl w:val="0"/>
          <w:numId w:val="12"/>
        </w:numPr>
        <w:jc w:val="both"/>
        <w:rPr>
          <w:rtl/>
        </w:rPr>
      </w:pPr>
      <w:r>
        <w:rPr>
          <w:rFonts w:ascii="Arial" w:hAnsi="Arial" w:cs="Arial" w:hint="cs"/>
          <w:color w:val="222222"/>
          <w:shd w:val="clear" w:color="auto" w:fill="FFFFFF"/>
          <w:rtl/>
        </w:rPr>
        <w:t>السلمي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عبد الرحم</w:t>
      </w:r>
      <w:r>
        <w:rPr>
          <w:rFonts w:ascii="Arial" w:hAnsi="Arial" w:cs="Arial" w:hint="eastAsia"/>
          <w:color w:val="222222"/>
          <w:shd w:val="clear" w:color="auto" w:fill="FFFFFF"/>
          <w:rtl/>
        </w:rPr>
        <w:t>ن</w:t>
      </w:r>
      <w:r>
        <w:rPr>
          <w:rFonts w:ascii="Arial" w:hAnsi="Arial" w:cs="Arial"/>
          <w:color w:val="222222"/>
          <w:shd w:val="clear" w:color="auto" w:fill="FFFFFF"/>
          <w:rtl/>
        </w:rPr>
        <w:t xml:space="preserve"> بن فهم. (2025). التقاضي الإلكتروني وأثره على الدعوى الجزائية في التشريع بالمملكة العربية السعودية والمقارن</w:t>
      </w:r>
      <w:r>
        <w:rPr>
          <w:rFonts w:ascii="Arial" w:hAnsi="Arial" w:cs="Arial"/>
          <w:color w:val="222222"/>
          <w:shd w:val="clear" w:color="auto" w:fill="FFFFFF"/>
        </w:rPr>
        <w:t xml:space="preserve"> Electronic litigation and its impact on criminal litigation in Saudi and comparative legislation. </w:t>
      </w:r>
      <w:r>
        <w:rPr>
          <w:rFonts w:ascii="Arial" w:hAnsi="Arial" w:cs="Arial"/>
          <w:i/>
          <w:iCs/>
          <w:color w:val="222222"/>
          <w:shd w:val="clear" w:color="auto" w:fill="FFFFFF"/>
          <w:rtl/>
        </w:rPr>
        <w:t>روح القوانين</w:t>
      </w:r>
      <w:r>
        <w:rPr>
          <w:rFonts w:ascii="Arial" w:hAnsi="Arial" w:cs="Arial"/>
          <w:color w:val="222222"/>
          <w:shd w:val="clear" w:color="auto" w:fill="FFFFFF"/>
        </w:rPr>
        <w:t>, </w:t>
      </w:r>
      <w:r>
        <w:rPr>
          <w:rFonts w:ascii="Arial" w:hAnsi="Arial" w:cs="Arial"/>
          <w:i/>
          <w:iCs/>
          <w:color w:val="222222"/>
          <w:shd w:val="clear" w:color="auto" w:fill="FFFFFF"/>
        </w:rPr>
        <w:t>37</w:t>
      </w:r>
      <w:r>
        <w:rPr>
          <w:rFonts w:ascii="Arial" w:hAnsi="Arial" w:cs="Arial"/>
          <w:color w:val="222222"/>
          <w:shd w:val="clear" w:color="auto" w:fill="FFFFFF"/>
        </w:rPr>
        <w:t>(110) , 865-1026.</w:t>
      </w:r>
    </w:p>
    <w:p w14:paraId="73E4518A" w14:textId="31E00589" w:rsidR="005723EB" w:rsidRDefault="005723EB" w:rsidP="00DC389E">
      <w:pPr>
        <w:pStyle w:val="a7"/>
        <w:numPr>
          <w:ilvl w:val="0"/>
          <w:numId w:val="12"/>
        </w:numPr>
        <w:jc w:val="both"/>
      </w:pPr>
      <w:proofErr w:type="spellStart"/>
      <w:r>
        <w:rPr>
          <w:rFonts w:ascii="Arial" w:hAnsi="Arial" w:cs="Arial" w:hint="cs"/>
          <w:color w:val="222222"/>
          <w:shd w:val="clear" w:color="auto" w:fill="FFFFFF"/>
          <w:rtl/>
        </w:rPr>
        <w:t>هرموزي</w:t>
      </w:r>
      <w:proofErr w:type="spellEnd"/>
      <w:r>
        <w:rPr>
          <w:rFonts w:ascii="Arial" w:hAnsi="Arial" w:cs="Arial" w:hint="cs"/>
          <w:color w:val="222222"/>
          <w:shd w:val="clear" w:color="auto" w:fill="FFFFFF"/>
          <w:rtl/>
        </w:rPr>
        <w:t>،</w:t>
      </w:r>
      <w:r>
        <w:rPr>
          <w:rFonts w:ascii="Arial" w:hAnsi="Arial" w:cs="Arial"/>
          <w:color w:val="222222"/>
          <w:shd w:val="clear" w:color="auto" w:fill="FFFFFF"/>
          <w:rtl/>
        </w:rPr>
        <w:t xml:space="preserve"> </w:t>
      </w:r>
      <w:r>
        <w:rPr>
          <w:rFonts w:ascii="Arial" w:hAnsi="Arial" w:cs="Arial" w:hint="cs"/>
          <w:color w:val="222222"/>
          <w:shd w:val="clear" w:color="auto" w:fill="FFFFFF"/>
          <w:rtl/>
        </w:rPr>
        <w:t>أحلام،</w:t>
      </w:r>
      <w:r>
        <w:rPr>
          <w:rFonts w:ascii="Arial" w:hAnsi="Arial" w:cs="Arial"/>
          <w:color w:val="222222"/>
          <w:shd w:val="clear" w:color="auto" w:fill="FFFFFF"/>
          <w:rtl/>
        </w:rPr>
        <w:t xml:space="preserve"> بوزيد </w:t>
      </w:r>
      <w:proofErr w:type="spellStart"/>
      <w:r>
        <w:rPr>
          <w:rFonts w:ascii="Arial" w:hAnsi="Arial" w:cs="Arial"/>
          <w:color w:val="222222"/>
          <w:shd w:val="clear" w:color="auto" w:fill="FFFFFF"/>
          <w:rtl/>
        </w:rPr>
        <w:t>امحمد</w:t>
      </w:r>
      <w:proofErr w:type="spellEnd"/>
      <w:r>
        <w:rPr>
          <w:rFonts w:ascii="Arial" w:hAnsi="Arial" w:cs="Arial"/>
          <w:color w:val="222222"/>
          <w:shd w:val="clear" w:color="auto" w:fill="FFFFFF"/>
        </w:rPr>
        <w:t xml:space="preserve">, &amp; </w:t>
      </w:r>
      <w:r>
        <w:rPr>
          <w:rFonts w:ascii="Arial" w:hAnsi="Arial" w:cs="Arial"/>
          <w:color w:val="222222"/>
          <w:shd w:val="clear" w:color="auto" w:fill="FFFFFF"/>
          <w:rtl/>
        </w:rPr>
        <w:t>اعمر. (2024). استراتيجيات الذكاء الاصطناعي في تحقيق التنمية المستدامة-تجربة الامارات العربية المتحدة</w:t>
      </w:r>
      <w:r>
        <w:rPr>
          <w:rFonts w:ascii="Arial" w:hAnsi="Arial" w:cs="Arial"/>
          <w:color w:val="222222"/>
          <w:shd w:val="clear" w:color="auto" w:fill="FFFFFF"/>
        </w:rPr>
        <w:t>. </w:t>
      </w:r>
      <w:r>
        <w:rPr>
          <w:rFonts w:ascii="Arial" w:hAnsi="Arial" w:cs="Arial"/>
          <w:i/>
          <w:iCs/>
          <w:color w:val="222222"/>
          <w:shd w:val="clear" w:color="auto" w:fill="FFFFFF"/>
        </w:rPr>
        <w:t>Journal of Economic Geography</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(2), 109-131.</w:t>
      </w:r>
      <w:r>
        <w:rPr>
          <w:rFonts w:ascii="Arial" w:hAnsi="Arial" w:cs="Arial"/>
          <w:color w:val="222222"/>
          <w:shd w:val="clear" w:color="auto" w:fill="FFFFFF"/>
          <w:rtl/>
        </w:rPr>
        <w:t>‏</w:t>
      </w:r>
    </w:p>
    <w:p w14:paraId="7A413959" w14:textId="0BFC8AC6" w:rsidR="005723EB" w:rsidRPr="008F4BE3" w:rsidRDefault="005723EB" w:rsidP="00DC389E">
      <w:pPr>
        <w:pStyle w:val="a7"/>
        <w:numPr>
          <w:ilvl w:val="0"/>
          <w:numId w:val="12"/>
        </w:numPr>
        <w:jc w:val="both"/>
        <w:rPr>
          <w:rtl/>
        </w:rPr>
      </w:pPr>
      <w:r>
        <w:rPr>
          <w:rFonts w:ascii="Arial" w:hAnsi="Arial" w:cs="Arial"/>
          <w:color w:val="222222"/>
          <w:shd w:val="clear" w:color="auto" w:fill="FFFFFF"/>
          <w:rtl/>
        </w:rPr>
        <w:t>الدكتور بلال ياسين الكساسبة. (2022). أثر التنمية الاقتصادية على التحول الديمقراطي في دول جنوب شرق آسيا دراسة حالة (ماليزيا وسنغافورا)</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(1) , 296-332.</w:t>
      </w:r>
    </w:p>
  </w:footnote>
  <w:footnote w:id="46">
    <w:p w14:paraId="0FF0B2BB" w14:textId="222206C7" w:rsidR="005723EB" w:rsidRPr="009D2F8D" w:rsidRDefault="005723EB" w:rsidP="009D2F8D">
      <w:pPr>
        <w:pStyle w:val="a7"/>
        <w:jc w:val="both"/>
        <w:rPr>
          <w:rtl/>
        </w:rPr>
      </w:pPr>
      <w:r>
        <w:rPr>
          <w:rFonts w:hint="cs"/>
          <w:rtl/>
        </w:rPr>
        <w:t>(1)</w:t>
      </w:r>
      <w:r w:rsidRPr="009D2F8D">
        <w:rPr>
          <w:rFonts w:ascii="Arial" w:hAnsi="Arial" w:cs="Arial"/>
          <w:color w:val="222222"/>
          <w:shd w:val="clear" w:color="auto" w:fill="FFFFFF"/>
          <w:rtl/>
        </w:rPr>
        <w:t xml:space="preserve"> </w:t>
      </w:r>
      <w:r>
        <w:rPr>
          <w:rFonts w:ascii="Arial" w:hAnsi="Arial" w:cs="Arial"/>
          <w:color w:val="222222"/>
          <w:shd w:val="clear" w:color="auto" w:fill="FFFFFF"/>
          <w:rtl/>
        </w:rPr>
        <w:t>السلمي</w:t>
      </w:r>
      <w:r>
        <w:rPr>
          <w:rFonts w:ascii="Arial" w:hAnsi="Arial" w:cs="Arial"/>
          <w:color w:val="222222"/>
          <w:shd w:val="clear" w:color="auto" w:fill="FFFFFF"/>
        </w:rPr>
        <w:t xml:space="preserve">, &amp; </w:t>
      </w:r>
      <w:r>
        <w:rPr>
          <w:rFonts w:ascii="Arial" w:hAnsi="Arial" w:cs="Arial"/>
          <w:color w:val="222222"/>
          <w:shd w:val="clear" w:color="auto" w:fill="FFFFFF"/>
          <w:rtl/>
        </w:rPr>
        <w:t>عبدالرحمن بن فهم. (2025). التقاضي الإلكتروني وأثره على الدعوى الجزائية في التشريع بالمملكة العربية السعودية والمقارن</w:t>
      </w:r>
      <w:r>
        <w:rPr>
          <w:rFonts w:ascii="Arial" w:hAnsi="Arial" w:cs="Arial"/>
          <w:color w:val="222222"/>
          <w:shd w:val="clear" w:color="auto" w:fill="FFFFFF"/>
        </w:rPr>
        <w:t xml:space="preserve"> Electronic litigation and its impact on criminal litigation in Saudi and comparative legislation. </w:t>
      </w:r>
      <w:r>
        <w:rPr>
          <w:rFonts w:ascii="Arial" w:hAnsi="Arial" w:cs="Arial"/>
          <w:i/>
          <w:iCs/>
          <w:color w:val="222222"/>
          <w:shd w:val="clear" w:color="auto" w:fill="FFFFFF"/>
          <w:rtl/>
        </w:rPr>
        <w:t>روح القوانين</w:t>
      </w:r>
      <w:r>
        <w:rPr>
          <w:rFonts w:ascii="Arial" w:hAnsi="Arial" w:cs="Arial"/>
          <w:color w:val="222222"/>
          <w:shd w:val="clear" w:color="auto" w:fill="FFFFFF"/>
        </w:rPr>
        <w:t>, </w:t>
      </w:r>
      <w:r>
        <w:rPr>
          <w:rFonts w:ascii="Arial" w:hAnsi="Arial" w:cs="Arial"/>
          <w:i/>
          <w:iCs/>
          <w:color w:val="222222"/>
          <w:shd w:val="clear" w:color="auto" w:fill="FFFFFF"/>
        </w:rPr>
        <w:t>37</w:t>
      </w:r>
      <w:r>
        <w:rPr>
          <w:rFonts w:ascii="Arial" w:hAnsi="Arial" w:cs="Arial"/>
          <w:color w:val="222222"/>
          <w:shd w:val="clear" w:color="auto" w:fill="FFFFFF"/>
        </w:rPr>
        <w:t>(110), 865-1026.</w:t>
      </w:r>
    </w:p>
  </w:footnote>
  <w:footnote w:id="47">
    <w:p w14:paraId="626E18BC" w14:textId="659D4DBC" w:rsidR="005723EB" w:rsidRDefault="005723EB" w:rsidP="009112F0">
      <w:pPr>
        <w:pStyle w:val="a7"/>
        <w:jc w:val="both"/>
        <w:rPr>
          <w:rtl/>
        </w:rPr>
      </w:pPr>
      <w:r>
        <w:rPr>
          <w:rFonts w:hint="cs"/>
          <w:rtl/>
        </w:rPr>
        <w:t>(1)</w:t>
      </w:r>
      <w:r w:rsidRPr="009112F0">
        <w:rPr>
          <w:rFonts w:ascii="Arial" w:hAnsi="Arial" w:cs="Arial"/>
          <w:color w:val="222222"/>
          <w:shd w:val="clear" w:color="auto" w:fill="FFFFFF"/>
          <w:rtl/>
        </w:rPr>
        <w:t xml:space="preserve"> </w:t>
      </w:r>
      <w:r>
        <w:rPr>
          <w:rFonts w:ascii="Arial" w:hAnsi="Arial" w:cs="Arial"/>
          <w:color w:val="222222"/>
          <w:shd w:val="clear" w:color="auto" w:fill="FFFFFF"/>
          <w:rtl/>
        </w:rPr>
        <w:t xml:space="preserve">بن عبد الرزاق </w:t>
      </w:r>
      <w:proofErr w:type="spellStart"/>
      <w:r>
        <w:rPr>
          <w:rFonts w:ascii="Arial" w:hAnsi="Arial" w:cs="Arial"/>
          <w:color w:val="222222"/>
          <w:shd w:val="clear" w:color="auto" w:fill="FFFFFF"/>
          <w:rtl/>
        </w:rPr>
        <w:t>الدايل</w:t>
      </w:r>
      <w:proofErr w:type="spellEnd"/>
      <w:r>
        <w:rPr>
          <w:rFonts w:ascii="Arial" w:hAnsi="Arial" w:cs="Arial"/>
          <w:color w:val="222222"/>
          <w:shd w:val="clear" w:color="auto" w:fill="FFFFFF"/>
          <w:rtl/>
        </w:rPr>
        <w:t xml:space="preserve">. (2025). أثر تقنيات الذكاء الاصطناعي في تطبيق العقوبات البديلة على مرتكبي الجرائم بالمجتمع السعودي من منظور </w:t>
      </w:r>
      <w:proofErr w:type="spellStart"/>
      <w:r>
        <w:rPr>
          <w:rFonts w:ascii="Arial" w:hAnsi="Arial" w:cs="Arial"/>
          <w:color w:val="222222"/>
          <w:shd w:val="clear" w:color="auto" w:fill="FFFFFF"/>
          <w:rtl/>
        </w:rPr>
        <w:t>سوسيولوجي</w:t>
      </w:r>
      <w:proofErr w:type="spellEnd"/>
      <w:r>
        <w:rPr>
          <w:rFonts w:ascii="Arial" w:hAnsi="Arial" w:cs="Arial"/>
          <w:color w:val="222222"/>
          <w:shd w:val="clear" w:color="auto" w:fill="FFFFFF"/>
        </w:rPr>
        <w:t>. </w:t>
      </w:r>
      <w:r>
        <w:rPr>
          <w:rFonts w:ascii="Arial" w:hAnsi="Arial" w:cs="Arial"/>
          <w:i/>
          <w:iCs/>
          <w:color w:val="222222"/>
          <w:shd w:val="clear" w:color="auto" w:fill="FFFFFF"/>
          <w:rtl/>
        </w:rPr>
        <w:t xml:space="preserve">مجلة </w:t>
      </w:r>
      <w:proofErr w:type="spellStart"/>
      <w:r>
        <w:rPr>
          <w:rFonts w:ascii="Arial" w:hAnsi="Arial" w:cs="Arial"/>
          <w:i/>
          <w:iCs/>
          <w:color w:val="222222"/>
          <w:shd w:val="clear" w:color="auto" w:fill="FFFFFF"/>
          <w:rtl/>
        </w:rPr>
        <w:t>کلية</w:t>
      </w:r>
      <w:proofErr w:type="spellEnd"/>
      <w:r>
        <w:rPr>
          <w:rFonts w:ascii="Arial" w:hAnsi="Arial" w:cs="Arial"/>
          <w:i/>
          <w:iCs/>
          <w:color w:val="222222"/>
          <w:shd w:val="clear" w:color="auto" w:fill="FFFFFF"/>
          <w:rtl/>
        </w:rPr>
        <w:t xml:space="preserve"> الخدمة الاجتماعية للدراسات والبحوث الاجتماعية</w:t>
      </w:r>
      <w:r>
        <w:rPr>
          <w:rFonts w:ascii="Arial" w:hAnsi="Arial" w:cs="Arial"/>
          <w:color w:val="222222"/>
          <w:shd w:val="clear" w:color="auto" w:fill="FFFFFF"/>
        </w:rPr>
        <w:t>, </w:t>
      </w:r>
      <w:r>
        <w:rPr>
          <w:rFonts w:ascii="Arial" w:hAnsi="Arial" w:cs="Arial"/>
          <w:i/>
          <w:iCs/>
          <w:color w:val="222222"/>
          <w:shd w:val="clear" w:color="auto" w:fill="FFFFFF"/>
        </w:rPr>
        <w:t>40</w:t>
      </w:r>
      <w:r>
        <w:rPr>
          <w:rFonts w:ascii="Arial" w:hAnsi="Arial" w:cs="Arial"/>
          <w:color w:val="222222"/>
          <w:shd w:val="clear" w:color="auto" w:fill="FFFFFF"/>
        </w:rPr>
        <w:t>(2), 468-506.</w:t>
      </w:r>
    </w:p>
    <w:p w14:paraId="5EBC0222" w14:textId="0D6F79BC" w:rsidR="005723EB" w:rsidRDefault="005723EB" w:rsidP="009112F0">
      <w:pPr>
        <w:pStyle w:val="a7"/>
        <w:jc w:val="both"/>
        <w:rPr>
          <w:rtl/>
        </w:rPr>
      </w:pPr>
      <w:r>
        <w:rPr>
          <w:rFonts w:hint="cs"/>
          <w:rtl/>
        </w:rPr>
        <w:t>(2)</w:t>
      </w:r>
      <w:r w:rsidRPr="005A5C0D">
        <w:rPr>
          <w:rFonts w:ascii="Arial" w:hAnsi="Arial" w:cs="Arial"/>
          <w:color w:val="222222"/>
          <w:shd w:val="clear" w:color="auto" w:fill="FFFFFF"/>
          <w:rtl/>
        </w:rPr>
        <w:t xml:space="preserve"> </w:t>
      </w:r>
      <w:r>
        <w:rPr>
          <w:rFonts w:ascii="Arial" w:hAnsi="Arial" w:cs="Arial"/>
          <w:color w:val="222222"/>
          <w:shd w:val="clear" w:color="auto" w:fill="FFFFFF"/>
          <w:rtl/>
        </w:rPr>
        <w:t xml:space="preserve">إيمان بنت محمد </w:t>
      </w:r>
      <w:r>
        <w:rPr>
          <w:rFonts w:ascii="Arial" w:hAnsi="Arial" w:cs="Arial" w:hint="cs"/>
          <w:color w:val="222222"/>
          <w:shd w:val="clear" w:color="auto" w:fill="FFFFFF"/>
          <w:rtl/>
        </w:rPr>
        <w:t>عسيري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منى بنت داخل </w:t>
      </w:r>
      <w:proofErr w:type="spellStart"/>
      <w:r>
        <w:rPr>
          <w:rFonts w:ascii="Arial" w:hAnsi="Arial" w:cs="Arial"/>
          <w:color w:val="222222"/>
          <w:shd w:val="clear" w:color="auto" w:fill="FFFFFF"/>
          <w:rtl/>
        </w:rPr>
        <w:t>السريحي</w:t>
      </w:r>
      <w:proofErr w:type="spellEnd"/>
      <w:r>
        <w:rPr>
          <w:rFonts w:ascii="Arial" w:hAnsi="Arial" w:cs="Arial"/>
          <w:color w:val="222222"/>
          <w:shd w:val="clear" w:color="auto" w:fill="FFFFFF"/>
          <w:rtl/>
        </w:rPr>
        <w:t>. (2019). منصة البيانات المفتوحة وتفعيلها عبر بوابات الحكومة الإلكترونية لدول مجلس التعاون الخليجي: دراسة مقارنة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2018</w:t>
      </w:r>
      <w:r>
        <w:rPr>
          <w:rFonts w:ascii="Arial" w:hAnsi="Arial" w:cs="Arial"/>
          <w:color w:val="222222"/>
          <w:shd w:val="clear" w:color="auto" w:fill="FFFFFF"/>
        </w:rPr>
        <w:t>(2).</w:t>
      </w:r>
      <w:r>
        <w:rPr>
          <w:rFonts w:ascii="Arial" w:hAnsi="Arial" w:cs="Arial"/>
          <w:color w:val="222222"/>
          <w:shd w:val="clear" w:color="auto" w:fill="FFFFFF"/>
          <w:rtl/>
        </w:rPr>
        <w:t>‏</w:t>
      </w:r>
    </w:p>
    <w:p w14:paraId="089DD59A" w14:textId="7A92EDDE" w:rsidR="005723EB" w:rsidRDefault="005723EB" w:rsidP="009112F0">
      <w:pPr>
        <w:pStyle w:val="a7"/>
        <w:jc w:val="both"/>
      </w:pPr>
      <w:r>
        <w:rPr>
          <w:rFonts w:hint="cs"/>
          <w:rtl/>
        </w:rPr>
        <w:t>(3)</w:t>
      </w:r>
      <w:r w:rsidRPr="005A5C0D">
        <w:rPr>
          <w:rFonts w:ascii="Arial" w:hAnsi="Arial" w:cs="Arial"/>
          <w:color w:val="222222"/>
          <w:shd w:val="clear" w:color="auto" w:fill="FFFFFF"/>
        </w:rPr>
        <w:t xml:space="preserve"> </w:t>
      </w:r>
      <w:proofErr w:type="spellStart"/>
      <w:r>
        <w:rPr>
          <w:rFonts w:ascii="Arial" w:hAnsi="Arial" w:cs="Arial"/>
          <w:color w:val="222222"/>
          <w:shd w:val="clear" w:color="auto" w:fill="FFFFFF"/>
        </w:rPr>
        <w:t>Perdana</w:t>
      </w:r>
      <w:proofErr w:type="spellEnd"/>
      <w:r>
        <w:rPr>
          <w:rFonts w:ascii="Arial" w:hAnsi="Arial" w:cs="Arial"/>
          <w:color w:val="222222"/>
          <w:shd w:val="clear" w:color="auto" w:fill="FFFFFF"/>
        </w:rPr>
        <w:t xml:space="preserve">, A., &amp; Mokhtar, I. A. (2025). Digital transformation in government: Lessons from </w:t>
      </w:r>
      <w:proofErr w:type="spellStart"/>
      <w:r>
        <w:rPr>
          <w:rFonts w:ascii="Arial" w:hAnsi="Arial" w:cs="Arial"/>
          <w:color w:val="222222"/>
          <w:shd w:val="clear" w:color="auto" w:fill="FFFFFF"/>
        </w:rPr>
        <w:t>GovTech</w:t>
      </w:r>
      <w:proofErr w:type="spellEnd"/>
      <w:r>
        <w:rPr>
          <w:rFonts w:ascii="Arial" w:hAnsi="Arial" w:cs="Arial"/>
          <w:color w:val="222222"/>
          <w:shd w:val="clear" w:color="auto" w:fill="FFFFFF"/>
        </w:rPr>
        <w:t xml:space="preserve"> Singapore. </w:t>
      </w:r>
      <w:r>
        <w:rPr>
          <w:rFonts w:ascii="Arial" w:hAnsi="Arial" w:cs="Arial"/>
          <w:i/>
          <w:iCs/>
          <w:color w:val="222222"/>
          <w:shd w:val="clear" w:color="auto" w:fill="FFFFFF"/>
        </w:rPr>
        <w:t>Journal of Information Technology Teaching Cases</w:t>
      </w:r>
      <w:r>
        <w:rPr>
          <w:rFonts w:ascii="Arial" w:hAnsi="Arial" w:cs="Arial"/>
          <w:color w:val="222222"/>
          <w:shd w:val="clear" w:color="auto" w:fill="FFFFFF"/>
        </w:rPr>
        <w:t>, 20438869251362871.</w:t>
      </w:r>
      <w:r>
        <w:rPr>
          <w:rFonts w:ascii="Arial" w:hAnsi="Arial" w:cs="Arial"/>
          <w:color w:val="222222"/>
          <w:shd w:val="clear" w:color="auto" w:fill="FFFFFF"/>
          <w:rtl/>
        </w:rPr>
        <w:t>‏</w:t>
      </w:r>
    </w:p>
  </w:footnote>
  <w:footnote w:id="48">
    <w:p w14:paraId="2379224B" w14:textId="6DF66413" w:rsidR="005723EB" w:rsidRPr="007020DD" w:rsidRDefault="005723EB" w:rsidP="007020DD">
      <w:pPr>
        <w:pStyle w:val="a7"/>
        <w:jc w:val="both"/>
        <w:rPr>
          <w:rtl/>
        </w:rPr>
      </w:pPr>
      <w:r>
        <w:rPr>
          <w:rFonts w:hint="cs"/>
          <w:rtl/>
        </w:rPr>
        <w:t>(1)</w:t>
      </w:r>
      <w:r w:rsidRPr="007020DD">
        <w:rPr>
          <w:rtl/>
        </w:rPr>
        <w:t xml:space="preserve"> </w:t>
      </w:r>
      <w:r>
        <w:rPr>
          <w:rtl/>
        </w:rPr>
        <w:t>هيئة الحكومة الرقمية</w:t>
      </w:r>
      <w:r>
        <w:t xml:space="preserve">. (2025). </w:t>
      </w:r>
      <w:r>
        <w:rPr>
          <w:rStyle w:val="a4"/>
          <w:rtl/>
        </w:rPr>
        <w:t>التقرير السنوي لهيئة الحكومة الرقمية 2024</w:t>
      </w:r>
      <w:r>
        <w:t xml:space="preserve">. </w:t>
      </w:r>
      <w:r>
        <w:rPr>
          <w:rtl/>
        </w:rPr>
        <w:t>المملكة العربية السعودية</w:t>
      </w:r>
      <w:r>
        <w:t>.</w:t>
      </w:r>
    </w:p>
  </w:footnote>
  <w:footnote w:id="49">
    <w:p w14:paraId="25D46F51" w14:textId="46FECC59" w:rsidR="005723EB" w:rsidRPr="007020DD" w:rsidRDefault="005723EB" w:rsidP="007020DD">
      <w:pPr>
        <w:pStyle w:val="a7"/>
        <w:jc w:val="both"/>
        <w:rPr>
          <w:vertAlign w:val="superscript"/>
          <w:rtl/>
        </w:rPr>
      </w:pPr>
      <w:r>
        <w:rPr>
          <w:rFonts w:hint="cs"/>
          <w:rtl/>
        </w:rPr>
        <w:t>(1)</w:t>
      </w:r>
      <w:r w:rsidRPr="007020DD">
        <w:rPr>
          <w:rtl/>
        </w:rPr>
        <w:t xml:space="preserve"> </w:t>
      </w:r>
      <w:r>
        <w:rPr>
          <w:rtl/>
        </w:rPr>
        <w:t>حكومة دولة الإمارات العربية المتحدة</w:t>
      </w:r>
      <w:r>
        <w:t xml:space="preserve">. (2025). </w:t>
      </w:r>
      <w:r>
        <w:rPr>
          <w:rStyle w:val="a4"/>
          <w:rtl/>
        </w:rPr>
        <w:t>تقرير التحول الرقمي الحكومي 2024</w:t>
      </w:r>
      <w:r>
        <w:t xml:space="preserve">. </w:t>
      </w:r>
      <w:r>
        <w:rPr>
          <w:rtl/>
        </w:rPr>
        <w:t>البوابة الرسمية لحكومة دولة الإمارات العربية المتحدة</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2239D7" w14:textId="77777777" w:rsidR="005723EB" w:rsidRDefault="005723EB">
    <w:pPr>
      <w:bidi w:val="0"/>
      <w:spacing w:after="0"/>
      <w:ind w:left="-1440" w:right="10528"/>
      <w:jc w:val="left"/>
    </w:pPr>
    <w:r>
      <w:rPr>
        <w:noProof/>
      </w:rPr>
      <mc:AlternateContent>
        <mc:Choice Requires="wpg">
          <w:drawing>
            <wp:anchor distT="0" distB="0" distL="114300" distR="114300" simplePos="0" relativeHeight="251658240" behindDoc="0" locked="0" layoutInCell="1" allowOverlap="1" wp14:anchorId="52497684" wp14:editId="675486D5">
              <wp:simplePos x="0" y="0"/>
              <wp:positionH relativeFrom="page">
                <wp:posOffset>310896</wp:posOffset>
              </wp:positionH>
              <wp:positionV relativeFrom="page">
                <wp:posOffset>310896</wp:posOffset>
              </wp:positionV>
              <wp:extent cx="6940297" cy="6096"/>
              <wp:effectExtent l="0" t="0" r="0" b="0"/>
              <wp:wrapSquare wrapText="bothSides"/>
              <wp:docPr id="111200" name="Group 111200"/>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65" name="Shape 25336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6" name="Shape 253366"/>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7" name="Shape 253367"/>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7A9B186" id="Group 111200" o:spid="_x0000_s1026" style="position:absolute;left:0;text-align:left;margin-left:24.5pt;margin-top:24.5pt;width:546.5pt;height:.5pt;z-index:251658240;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">
              <v:shape id="Shape 253365"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" path="m,l9144,r,9144l,9144,,e" fillcolor="black" stroked="f" strokeweight="0">
                <v:stroke miterlimit="83231f" joinstyle="miter"/>
                <v:path arrowok="t" textboxrect="0,0,9144,9144"/>
              </v:shape>
              <v:shape id="Shape 253366"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" path="m,l6928104,r,9144l,9144,,e" fillcolor="black" stroked="f" strokeweight="0">
                <v:stroke miterlimit="83231f" joinstyle="miter"/>
                <v:path arrowok="t" textboxrect="0,0,6928104,9144"/>
              </v:shape>
              <v:shape id="Shape 253367"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p w14:paraId="0811D170" w14:textId="77777777" w:rsidR="005723EB" w:rsidRDefault="005723EB">
    <w:r>
      <w:rPr>
        <w:noProof/>
      </w:rPr>
      <mc:AlternateContent>
        <mc:Choice Requires="wpg">
          <w:drawing>
            <wp:anchor distT="0" distB="0" distL="114300" distR="114300" simplePos="0" relativeHeight="251658241" behindDoc="1" locked="0" layoutInCell="1" allowOverlap="1" wp14:anchorId="30C59443" wp14:editId="26D5A3FC">
              <wp:simplePos x="0" y="0"/>
              <wp:positionH relativeFrom="page">
                <wp:posOffset>310896</wp:posOffset>
              </wp:positionH>
              <wp:positionV relativeFrom="page">
                <wp:posOffset>316992</wp:posOffset>
              </wp:positionV>
              <wp:extent cx="6946393" cy="10059924"/>
              <wp:effectExtent l="0" t="0" r="0" b="0"/>
              <wp:wrapNone/>
              <wp:docPr id="111204" name="Group 111204"/>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71" name="Shape 253371"/>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2" name="Shape 253372"/>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3" name="Shape 253373"/>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45EF980" id="Group 111204" o:spid="_x0000_s1026" style="position:absolute;left:0;text-align:left;margin-left:24.5pt;margin-top:24.95pt;width:546.95pt;height:792.1pt;z-index:-251658239;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">
              <v:shape id="Shape 253371"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" path="m,l9144,r,10059924l,10059924,,e" fillcolor="black" stroked="f" strokeweight="0">
                <v:stroke miterlimit="83231f" joinstyle="miter"/>
                <v:path arrowok="t" textboxrect="0,0,9144,10059924"/>
              </v:shape>
              <v:shape id="Shape 253372"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" path="m,l9144,r,10059924l,10059924,,e" fillcolor="black" stroked="f" strokeweight="0">
                <v:stroke miterlimit="83231f" joinstyle="miter"/>
                <v:path arrowok="t" textboxrect="0,0,9144,10059924"/>
              </v:shape>
              <v:shape id="Shape 253373"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" path="m,l9144,r,10059924l,10059924,,e" fillcolor="black" stroked="f" strokeweight="0">
                <v:stroke miterlimit="83231f" joinstyle="miter"/>
                <v:path arrowok="t" textboxrect="0,0,9144,10059924"/>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A5393" w14:textId="77777777" w:rsidR="005723EB" w:rsidRDefault="005723EB">
    <w:pPr>
      <w:bidi w:val="0"/>
      <w:spacing w:after="0"/>
      <w:ind w:left="-1440" w:right="10528"/>
      <w:jc w:val="left"/>
    </w:pPr>
    <w:r>
      <w:rPr>
        <w:noProof/>
      </w:rPr>
      <mc:AlternateContent>
        <mc:Choice Requires="wpg">
          <w:drawing>
            <wp:anchor distT="0" distB="0" distL="114300" distR="114300" simplePos="0" relativeHeight="251658242" behindDoc="0" locked="0" layoutInCell="1" allowOverlap="1" wp14:anchorId="6D00C59F" wp14:editId="51AA651D">
              <wp:simplePos x="0" y="0"/>
              <wp:positionH relativeFrom="page">
                <wp:posOffset>310896</wp:posOffset>
              </wp:positionH>
              <wp:positionV relativeFrom="page">
                <wp:posOffset>310896</wp:posOffset>
              </wp:positionV>
              <wp:extent cx="6940297" cy="6096"/>
              <wp:effectExtent l="0" t="0" r="0" b="0"/>
              <wp:wrapSquare wrapText="bothSides"/>
              <wp:docPr id="111171" name="Group 111171"/>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53" name="Shape 25335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4" name="Shape 253354"/>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5" name="Shape 253355"/>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AC5BBB3" id="Group 111171" o:spid="_x0000_s1026" style="position:absolute;left:0;text-align:left;margin-left:24.5pt;margin-top:24.5pt;width:546.5pt;height:.5pt;z-index:251658242;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">
              <v:shape id="Shape 253353"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" path="m,l9144,r,9144l,9144,,e" fillcolor="black" stroked="f" strokeweight="0">
                <v:stroke miterlimit="83231f" joinstyle="miter"/>
                <v:path arrowok="t" textboxrect="0,0,9144,9144"/>
              </v:shape>
              <v:shape id="Shape 253354"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" path="m,l6928104,r,9144l,9144,,e" fillcolor="black" stroked="f" strokeweight="0">
                <v:stroke miterlimit="83231f" joinstyle="miter"/>
                <v:path arrowok="t" textboxrect="0,0,6928104,9144"/>
              </v:shape>
              <v:shape id="Shape 253355"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01250AB8" w14:textId="77777777" w:rsidR="005723EB" w:rsidRDefault="005723EB">
    <w:r>
      <w:rPr>
        <w:noProof/>
      </w:rPr>
      <mc:AlternateContent>
        <mc:Choice Requires="wpg">
          <w:drawing>
            <wp:anchor distT="0" distB="0" distL="114300" distR="114300" simplePos="0" relativeHeight="251658243" behindDoc="1" locked="0" layoutInCell="1" allowOverlap="1" wp14:anchorId="10F5E939" wp14:editId="4500E176">
              <wp:simplePos x="0" y="0"/>
              <wp:positionH relativeFrom="page">
                <wp:posOffset>310896</wp:posOffset>
              </wp:positionH>
              <wp:positionV relativeFrom="page">
                <wp:posOffset>316992</wp:posOffset>
              </wp:positionV>
              <wp:extent cx="6946393" cy="10059924"/>
              <wp:effectExtent l="0" t="0" r="0" b="0"/>
              <wp:wrapNone/>
              <wp:docPr id="111175" name="Group 111175"/>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59" name="Shape 253359"/>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0" name="Shape 253360"/>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1" name="Shape 253361"/>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156B45E" id="Group 111175" o:spid="_x0000_s1026" style="position:absolute;left:0;text-align:left;margin-left:24.5pt;margin-top:24.95pt;width:546.95pt;height:792.1pt;z-index:-251658237;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rh6jtuECAACvDQAADgAAAAAAAAAA&#10;AAAAAAAuAgAAZHJzL2Uyb0RvYy54bWxQSwECLQAUAAYACAAAACEAUUTX1eAAAAALAQAADwAAAAAA&#10;AAAAAAAAAAA7BQAAZHJzL2Rvd25yZXYueG1sUEsFBgAAAAAEAAQA8wAAAEgGAAAAAA==&#10;">
              <v:shape id="Shape 253359"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" path="m,l9144,r,10059924l,10059924,,e" fillcolor="black" stroked="f" strokeweight="0">
                <v:stroke miterlimit="83231f" joinstyle="miter"/>
                <v:path arrowok="t" textboxrect="0,0,9144,10059924"/>
              </v:shape>
              <v:shape id="Shape 253360"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" path="m,l9144,r,10059924l,10059924,,e" fillcolor="black" stroked="f" strokeweight="0">
                <v:stroke miterlimit="83231f" joinstyle="miter"/>
                <v:path arrowok="t" textboxrect="0,0,9144,10059924"/>
              </v:shape>
              <v:shape id="Shape 253361"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74C38" w14:textId="77777777" w:rsidR="005723EB" w:rsidRDefault="005723EB">
    <w:pPr>
      <w:bidi w:val="0"/>
      <w:spacing w:after="0"/>
      <w:ind w:left="-1440" w:right="10528"/>
      <w:jc w:val="left"/>
    </w:pPr>
    <w:r>
      <w:rPr>
        <w:noProof/>
      </w:rPr>
      <mc:AlternateContent>
        <mc:Choice Requires="wpg">
          <w:drawing>
            <wp:anchor distT="0" distB="0" distL="114300" distR="114300" simplePos="0" relativeHeight="251658244" behindDoc="0" locked="0" layoutInCell="1" allowOverlap="1" wp14:anchorId="3DC6C8AB" wp14:editId="0E0D2449">
              <wp:simplePos x="0" y="0"/>
              <wp:positionH relativeFrom="page">
                <wp:posOffset>310896</wp:posOffset>
              </wp:positionH>
              <wp:positionV relativeFrom="page">
                <wp:posOffset>310896</wp:posOffset>
              </wp:positionV>
              <wp:extent cx="6940297" cy="6096"/>
              <wp:effectExtent l="0" t="0" r="0" b="0"/>
              <wp:wrapSquare wrapText="bothSides"/>
              <wp:docPr id="111148" name="Group 111148"/>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41" name="Shape 2533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2" name="Shape 253342"/>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3" name="Shape 253343"/>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83F27EB" id="Group 111148" o:spid="_x0000_s1026" style="position:absolute;left:0;text-align:left;margin-left:24.5pt;margin-top:24.5pt;width:546.5pt;height:.5pt;z-index:251658244;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">
              <v:shape id="Shape 25334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" path="m,l9144,r,9144l,9144,,e" fillcolor="black" stroked="f" strokeweight="0">
                <v:stroke miterlimit="83231f" joinstyle="miter"/>
                <v:path arrowok="t" textboxrect="0,0,9144,9144"/>
              </v:shape>
              <v:shape id="Shape 253342"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" path="m,l6928104,r,9144l,9144,,e" fillcolor="black" stroked="f" strokeweight="0">
                <v:stroke miterlimit="83231f" joinstyle="miter"/>
                <v:path arrowok="t" textboxrect="0,0,6928104,9144"/>
              </v:shape>
              <v:shape id="Shape 253343"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54F3DA2F" w14:textId="77777777" w:rsidR="005723EB" w:rsidRDefault="005723EB">
    <w:r>
      <w:rPr>
        <w:noProof/>
      </w:rPr>
      <mc:AlternateContent>
        <mc:Choice Requires="wpg">
          <w:drawing>
            <wp:anchor distT="0" distB="0" distL="114300" distR="114300" simplePos="0" relativeHeight="251658245" behindDoc="1" locked="0" layoutInCell="1" allowOverlap="1" wp14:anchorId="2935C808" wp14:editId="0F47A7A3">
              <wp:simplePos x="0" y="0"/>
              <wp:positionH relativeFrom="page">
                <wp:posOffset>310896</wp:posOffset>
              </wp:positionH>
              <wp:positionV relativeFrom="page">
                <wp:posOffset>316992</wp:posOffset>
              </wp:positionV>
              <wp:extent cx="6946393" cy="10059924"/>
              <wp:effectExtent l="0" t="0" r="0" b="0"/>
              <wp:wrapNone/>
              <wp:docPr id="111152" name="Group 111152"/>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47" name="Shape 253347"/>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8" name="Shape 253348"/>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9" name="Shape 253349"/>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470C835" id="Group 111152" o:spid="_x0000_s1026" style="position:absolute;left:0;text-align:left;margin-left:24.5pt;margin-top:24.95pt;width:546.95pt;height:792.1pt;z-index:-251658235;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gNOoFuECAACvDQAADgAAAAAAAAAA&#10;AAAAAAAuAgAAZHJzL2Uyb0RvYy54bWxQSwECLQAUAAYACAAAACEAUUTX1eAAAAALAQAADwAAAAAA&#10;AAAAAAAAAAA7BQAAZHJzL2Rvd25yZXYueG1sUEsFBgAAAAAEAAQA8wAAAEgGAAAAAA==&#10;">
              <v:shape id="Shape 253347"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" path="m,l9144,r,10059924l,10059924,,e" fillcolor="black" stroked="f" strokeweight="0">
                <v:stroke miterlimit="83231f" joinstyle="miter"/>
                <v:path arrowok="t" textboxrect="0,0,9144,10059924"/>
              </v:shape>
              <v:shape id="Shape 253348"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" path="m,l9144,r,10059924l,10059924,,e" fillcolor="black" stroked="f" strokeweight="0">
                <v:stroke miterlimit="83231f" joinstyle="miter"/>
                <v:path arrowok="t" textboxrect="0,0,9144,10059924"/>
              </v:shape>
              <v:shape id="Shape 253349"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D3A35"/>
    <w:multiLevelType w:val="hybridMultilevel"/>
    <w:tmpl w:val="7AEE61C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466033"/>
    <w:multiLevelType w:val="hybridMultilevel"/>
    <w:tmpl w:val="47BAFE46"/>
    <w:lvl w:ilvl="0" w:tplc="7CD6BCB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8A529F8"/>
    <w:multiLevelType w:val="hybridMultilevel"/>
    <w:tmpl w:val="ADD450A4"/>
    <w:lvl w:ilvl="0" w:tplc="214E014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2AA57F2"/>
    <w:multiLevelType w:val="hybridMultilevel"/>
    <w:tmpl w:val="9CA6225C"/>
    <w:lvl w:ilvl="0" w:tplc="8264B0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B3C271D"/>
    <w:multiLevelType w:val="hybridMultilevel"/>
    <w:tmpl w:val="154A3D4A"/>
    <w:lvl w:ilvl="0" w:tplc="7CD6BCB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2521608"/>
    <w:multiLevelType w:val="hybridMultilevel"/>
    <w:tmpl w:val="E152C308"/>
    <w:lvl w:ilvl="0" w:tplc="BE1019D4">
      <w:start w:val="1"/>
      <w:numFmt w:val="bullet"/>
      <w:lvlText w:val="•"/>
      <w:lvlJc w:val="left"/>
      <w:pPr>
        <w:ind w:left="5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B5C6DE2">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5F270D0">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5F68038">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FEDB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1B8DD2C">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9341CD6">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10E3B3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8C0F45A">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4B5F4CB3"/>
    <w:multiLevelType w:val="hybridMultilevel"/>
    <w:tmpl w:val="5DC01294"/>
    <w:lvl w:ilvl="0" w:tplc="2684085C">
      <w:start w:val="1"/>
      <w:numFmt w:val="decimal"/>
      <w:lvlText w:val="%1."/>
      <w:lvlJc w:val="left"/>
      <w:pPr>
        <w:ind w:left="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CEDCCA">
      <w:start w:val="1"/>
      <w:numFmt w:val="lowerLetter"/>
      <w:lvlText w:val="%2"/>
      <w:lvlJc w:val="left"/>
      <w:pPr>
        <w:ind w:left="1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487C86">
      <w:start w:val="1"/>
      <w:numFmt w:val="lowerRoman"/>
      <w:lvlText w:val="%3"/>
      <w:lvlJc w:val="left"/>
      <w:pPr>
        <w:ind w:left="2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A44A66">
      <w:start w:val="1"/>
      <w:numFmt w:val="decimal"/>
      <w:lvlText w:val="%4"/>
      <w:lvlJc w:val="left"/>
      <w:pPr>
        <w:ind w:left="2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54986E">
      <w:start w:val="1"/>
      <w:numFmt w:val="lowerLetter"/>
      <w:lvlText w:val="%5"/>
      <w:lvlJc w:val="left"/>
      <w:pPr>
        <w:ind w:left="3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323B20">
      <w:start w:val="1"/>
      <w:numFmt w:val="lowerRoman"/>
      <w:lvlText w:val="%6"/>
      <w:lvlJc w:val="left"/>
      <w:pPr>
        <w:ind w:left="4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3412EE">
      <w:start w:val="1"/>
      <w:numFmt w:val="decimal"/>
      <w:lvlText w:val="%7"/>
      <w:lvlJc w:val="left"/>
      <w:pPr>
        <w:ind w:left="5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6C1F34">
      <w:start w:val="1"/>
      <w:numFmt w:val="lowerLetter"/>
      <w:lvlText w:val="%8"/>
      <w:lvlJc w:val="left"/>
      <w:pPr>
        <w:ind w:left="5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B4C3D2">
      <w:start w:val="1"/>
      <w:numFmt w:val="lowerRoman"/>
      <w:lvlText w:val="%9"/>
      <w:lvlJc w:val="left"/>
      <w:pPr>
        <w:ind w:left="6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2592F33"/>
    <w:multiLevelType w:val="multilevel"/>
    <w:tmpl w:val="0C30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296FAF"/>
    <w:multiLevelType w:val="hybridMultilevel"/>
    <w:tmpl w:val="66822286"/>
    <w:lvl w:ilvl="0" w:tplc="7CD6BCB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4194F37"/>
    <w:multiLevelType w:val="multilevel"/>
    <w:tmpl w:val="71F6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C52866"/>
    <w:multiLevelType w:val="hybridMultilevel"/>
    <w:tmpl w:val="C9A68364"/>
    <w:lvl w:ilvl="0" w:tplc="603AF86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0F83069"/>
    <w:multiLevelType w:val="hybridMultilevel"/>
    <w:tmpl w:val="ADEA87E8"/>
    <w:lvl w:ilvl="0" w:tplc="363CEA12">
      <w:start w:val="1"/>
      <w:numFmt w:val="bullet"/>
      <w:lvlText w:val="•"/>
      <w:lvlJc w:val="left"/>
      <w:pPr>
        <w:ind w:left="3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13E9434">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ACF09A">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EFE17CC">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7005C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DCBDAA">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D18E74A">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9AE3D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73EEEAE">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3E851E5"/>
    <w:multiLevelType w:val="hybridMultilevel"/>
    <w:tmpl w:val="1C3EE11E"/>
    <w:lvl w:ilvl="0" w:tplc="B5C4A314">
      <w:start w:val="1"/>
      <w:numFmt w:val="decimal"/>
      <w:lvlText w:val="%1."/>
      <w:lvlJc w:val="left"/>
      <w:pPr>
        <w:ind w:left="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506A32">
      <w:start w:val="1"/>
      <w:numFmt w:val="lowerLetter"/>
      <w:lvlText w:val="%2"/>
      <w:lvlJc w:val="left"/>
      <w:pPr>
        <w:ind w:left="1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FC7F12">
      <w:start w:val="1"/>
      <w:numFmt w:val="lowerRoman"/>
      <w:lvlText w:val="%3"/>
      <w:lvlJc w:val="left"/>
      <w:pPr>
        <w:ind w:left="2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20CACE">
      <w:start w:val="1"/>
      <w:numFmt w:val="decimal"/>
      <w:lvlText w:val="%4"/>
      <w:lvlJc w:val="left"/>
      <w:pPr>
        <w:ind w:left="2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8ED2EA">
      <w:start w:val="1"/>
      <w:numFmt w:val="lowerLetter"/>
      <w:lvlText w:val="%5"/>
      <w:lvlJc w:val="left"/>
      <w:pPr>
        <w:ind w:left="3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8C6692">
      <w:start w:val="1"/>
      <w:numFmt w:val="lowerRoman"/>
      <w:lvlText w:val="%6"/>
      <w:lvlJc w:val="left"/>
      <w:pPr>
        <w:ind w:left="4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9C2FE8">
      <w:start w:val="1"/>
      <w:numFmt w:val="decimal"/>
      <w:lvlText w:val="%7"/>
      <w:lvlJc w:val="left"/>
      <w:pPr>
        <w:ind w:left="5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08AAF0">
      <w:start w:val="1"/>
      <w:numFmt w:val="lowerLetter"/>
      <w:lvlText w:val="%8"/>
      <w:lvlJc w:val="left"/>
      <w:pPr>
        <w:ind w:left="5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0696E6">
      <w:start w:val="1"/>
      <w:numFmt w:val="lowerRoman"/>
      <w:lvlText w:val="%9"/>
      <w:lvlJc w:val="left"/>
      <w:pPr>
        <w:ind w:left="6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91E4106"/>
    <w:multiLevelType w:val="hybridMultilevel"/>
    <w:tmpl w:val="39328D28"/>
    <w:lvl w:ilvl="0" w:tplc="913ACB9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AB95056"/>
    <w:multiLevelType w:val="hybridMultilevel"/>
    <w:tmpl w:val="7DEC5350"/>
    <w:lvl w:ilvl="0" w:tplc="7FE4EB42">
      <w:start w:val="1"/>
      <w:numFmt w:val="bullet"/>
      <w:lvlText w:val="•"/>
      <w:lvlJc w:val="left"/>
      <w:pPr>
        <w:ind w:left="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5ACA1EC">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A4E4AE">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EBE827A">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27C406C">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9186B64">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9EBFBC">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E6C7A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D484D8">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2"/>
  </w:num>
  <w:num w:numId="2">
    <w:abstractNumId w:val="6"/>
  </w:num>
  <w:num w:numId="3">
    <w:abstractNumId w:val="14"/>
  </w:num>
  <w:num w:numId="4">
    <w:abstractNumId w:val="11"/>
  </w:num>
  <w:num w:numId="5">
    <w:abstractNumId w:val="5"/>
  </w:num>
  <w:num w:numId="6">
    <w:abstractNumId w:val="7"/>
  </w:num>
  <w:num w:numId="7">
    <w:abstractNumId w:val="3"/>
  </w:num>
  <w:num w:numId="8">
    <w:abstractNumId w:val="9"/>
  </w:num>
  <w:num w:numId="9">
    <w:abstractNumId w:val="0"/>
  </w:num>
  <w:num w:numId="10">
    <w:abstractNumId w:val="8"/>
  </w:num>
  <w:num w:numId="11">
    <w:abstractNumId w:val="1"/>
  </w:num>
  <w:num w:numId="12">
    <w:abstractNumId w:val="4"/>
  </w:num>
  <w:num w:numId="13">
    <w:abstractNumId w:val="13"/>
  </w:num>
  <w:num w:numId="14">
    <w:abstractNumId w:val="2"/>
  </w:num>
  <w:num w:numId="15">
    <w:abstractNumId w:val="10"/>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r. Ibrahim">
    <w15:presenceInfo w15:providerId="Windows Live" w15:userId="4943be808cf15238"/>
  </w15:person>
  <w15:person w15:author="ibrahim h">
    <w15:presenceInfo w15:providerId="Windows Live" w15:userId="4943be808cf152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B06"/>
    <w:rsid w:val="000057EB"/>
    <w:rsid w:val="000166BF"/>
    <w:rsid w:val="0003162B"/>
    <w:rsid w:val="00033FE1"/>
    <w:rsid w:val="00035CDA"/>
    <w:rsid w:val="000407E8"/>
    <w:rsid w:val="00060AE0"/>
    <w:rsid w:val="000669A5"/>
    <w:rsid w:val="00072648"/>
    <w:rsid w:val="000733ED"/>
    <w:rsid w:val="0007403E"/>
    <w:rsid w:val="00081600"/>
    <w:rsid w:val="00092562"/>
    <w:rsid w:val="00094165"/>
    <w:rsid w:val="000A0FEC"/>
    <w:rsid w:val="000A2FA9"/>
    <w:rsid w:val="000A614A"/>
    <w:rsid w:val="000A7209"/>
    <w:rsid w:val="000A7A7C"/>
    <w:rsid w:val="000B1E7C"/>
    <w:rsid w:val="000B5528"/>
    <w:rsid w:val="000B76CA"/>
    <w:rsid w:val="000C2A13"/>
    <w:rsid w:val="000C475B"/>
    <w:rsid w:val="000C4F85"/>
    <w:rsid w:val="000D0436"/>
    <w:rsid w:val="000D5560"/>
    <w:rsid w:val="000E1C3B"/>
    <w:rsid w:val="000E4AD0"/>
    <w:rsid w:val="000F0D3C"/>
    <w:rsid w:val="00101EFA"/>
    <w:rsid w:val="00103495"/>
    <w:rsid w:val="00114370"/>
    <w:rsid w:val="00122CF6"/>
    <w:rsid w:val="001253E8"/>
    <w:rsid w:val="00133098"/>
    <w:rsid w:val="00137F42"/>
    <w:rsid w:val="0014093E"/>
    <w:rsid w:val="001450EE"/>
    <w:rsid w:val="00147930"/>
    <w:rsid w:val="001537F5"/>
    <w:rsid w:val="001561EE"/>
    <w:rsid w:val="00161D51"/>
    <w:rsid w:val="0016554B"/>
    <w:rsid w:val="00167EB3"/>
    <w:rsid w:val="00171837"/>
    <w:rsid w:val="0017347B"/>
    <w:rsid w:val="001742CB"/>
    <w:rsid w:val="00175A93"/>
    <w:rsid w:val="0018393C"/>
    <w:rsid w:val="00185E50"/>
    <w:rsid w:val="00186A24"/>
    <w:rsid w:val="00187C01"/>
    <w:rsid w:val="001A32B2"/>
    <w:rsid w:val="001A5DD6"/>
    <w:rsid w:val="001B2048"/>
    <w:rsid w:val="001C44D6"/>
    <w:rsid w:val="001C4EEC"/>
    <w:rsid w:val="001C60AE"/>
    <w:rsid w:val="001C78D3"/>
    <w:rsid w:val="001D0146"/>
    <w:rsid w:val="001D4885"/>
    <w:rsid w:val="001D78DD"/>
    <w:rsid w:val="001E21F2"/>
    <w:rsid w:val="001F13FD"/>
    <w:rsid w:val="001F5BF8"/>
    <w:rsid w:val="001F7A38"/>
    <w:rsid w:val="002035C2"/>
    <w:rsid w:val="00205096"/>
    <w:rsid w:val="0020562A"/>
    <w:rsid w:val="002167D0"/>
    <w:rsid w:val="002272C7"/>
    <w:rsid w:val="002304D5"/>
    <w:rsid w:val="002415FF"/>
    <w:rsid w:val="00243387"/>
    <w:rsid w:val="00246BB6"/>
    <w:rsid w:val="002553C1"/>
    <w:rsid w:val="0025581A"/>
    <w:rsid w:val="00256FA3"/>
    <w:rsid w:val="00262C35"/>
    <w:rsid w:val="00263CD1"/>
    <w:rsid w:val="0027352E"/>
    <w:rsid w:val="0027525C"/>
    <w:rsid w:val="00284AB9"/>
    <w:rsid w:val="002A3CBD"/>
    <w:rsid w:val="002A5FA0"/>
    <w:rsid w:val="002A776B"/>
    <w:rsid w:val="002B20BE"/>
    <w:rsid w:val="002B26D1"/>
    <w:rsid w:val="002B5461"/>
    <w:rsid w:val="002B6CE9"/>
    <w:rsid w:val="002B7282"/>
    <w:rsid w:val="002C21E1"/>
    <w:rsid w:val="002C7616"/>
    <w:rsid w:val="002D0106"/>
    <w:rsid w:val="002D0A19"/>
    <w:rsid w:val="002D0BEB"/>
    <w:rsid w:val="002D2E33"/>
    <w:rsid w:val="002D3A38"/>
    <w:rsid w:val="002E309A"/>
    <w:rsid w:val="002E69D6"/>
    <w:rsid w:val="002F0C4A"/>
    <w:rsid w:val="002F4416"/>
    <w:rsid w:val="00301C1B"/>
    <w:rsid w:val="003122E7"/>
    <w:rsid w:val="0032018D"/>
    <w:rsid w:val="00323404"/>
    <w:rsid w:val="00325595"/>
    <w:rsid w:val="00330EF6"/>
    <w:rsid w:val="00341317"/>
    <w:rsid w:val="003456F3"/>
    <w:rsid w:val="003505C5"/>
    <w:rsid w:val="0035293F"/>
    <w:rsid w:val="00361B7D"/>
    <w:rsid w:val="00367CDE"/>
    <w:rsid w:val="00375953"/>
    <w:rsid w:val="00376A7A"/>
    <w:rsid w:val="0037781B"/>
    <w:rsid w:val="00385F2F"/>
    <w:rsid w:val="003879A6"/>
    <w:rsid w:val="003A0856"/>
    <w:rsid w:val="003A7BDA"/>
    <w:rsid w:val="003B3BAB"/>
    <w:rsid w:val="003B44EF"/>
    <w:rsid w:val="003C58D5"/>
    <w:rsid w:val="003E7071"/>
    <w:rsid w:val="003F2C35"/>
    <w:rsid w:val="00405481"/>
    <w:rsid w:val="00406949"/>
    <w:rsid w:val="004141E3"/>
    <w:rsid w:val="00433314"/>
    <w:rsid w:val="00442336"/>
    <w:rsid w:val="00444862"/>
    <w:rsid w:val="00445B3C"/>
    <w:rsid w:val="0044620A"/>
    <w:rsid w:val="0046275F"/>
    <w:rsid w:val="00462B76"/>
    <w:rsid w:val="00465B37"/>
    <w:rsid w:val="004714D6"/>
    <w:rsid w:val="004815A3"/>
    <w:rsid w:val="00481F64"/>
    <w:rsid w:val="00495A3A"/>
    <w:rsid w:val="004A18A6"/>
    <w:rsid w:val="004A6999"/>
    <w:rsid w:val="004B2A4D"/>
    <w:rsid w:val="004B6247"/>
    <w:rsid w:val="004B7C52"/>
    <w:rsid w:val="004C127D"/>
    <w:rsid w:val="004E091D"/>
    <w:rsid w:val="004E0B7D"/>
    <w:rsid w:val="004E1D2A"/>
    <w:rsid w:val="004E4530"/>
    <w:rsid w:val="004F0721"/>
    <w:rsid w:val="004F46C6"/>
    <w:rsid w:val="00515C9A"/>
    <w:rsid w:val="00522A40"/>
    <w:rsid w:val="005243E8"/>
    <w:rsid w:val="00530A59"/>
    <w:rsid w:val="00543038"/>
    <w:rsid w:val="00543A68"/>
    <w:rsid w:val="00544A92"/>
    <w:rsid w:val="00553383"/>
    <w:rsid w:val="00556D27"/>
    <w:rsid w:val="0056277A"/>
    <w:rsid w:val="00567094"/>
    <w:rsid w:val="005723EB"/>
    <w:rsid w:val="00575E84"/>
    <w:rsid w:val="00576DB0"/>
    <w:rsid w:val="00586374"/>
    <w:rsid w:val="005947A2"/>
    <w:rsid w:val="00596D4C"/>
    <w:rsid w:val="005A0259"/>
    <w:rsid w:val="005A0C6C"/>
    <w:rsid w:val="005A2AFD"/>
    <w:rsid w:val="005A5C0D"/>
    <w:rsid w:val="005A78C8"/>
    <w:rsid w:val="005B112F"/>
    <w:rsid w:val="005B1F6D"/>
    <w:rsid w:val="005C0D01"/>
    <w:rsid w:val="005C0ECA"/>
    <w:rsid w:val="005C37CF"/>
    <w:rsid w:val="005C5554"/>
    <w:rsid w:val="005C5656"/>
    <w:rsid w:val="005C60F0"/>
    <w:rsid w:val="005D58F5"/>
    <w:rsid w:val="005D6FF7"/>
    <w:rsid w:val="005E2173"/>
    <w:rsid w:val="005E3CCF"/>
    <w:rsid w:val="005E4EBB"/>
    <w:rsid w:val="0060307F"/>
    <w:rsid w:val="00605449"/>
    <w:rsid w:val="00605D0E"/>
    <w:rsid w:val="006071EC"/>
    <w:rsid w:val="006216C4"/>
    <w:rsid w:val="006216CE"/>
    <w:rsid w:val="00622D82"/>
    <w:rsid w:val="00624BE8"/>
    <w:rsid w:val="00656E84"/>
    <w:rsid w:val="00661E39"/>
    <w:rsid w:val="00664569"/>
    <w:rsid w:val="00681EE5"/>
    <w:rsid w:val="006840D6"/>
    <w:rsid w:val="0068500B"/>
    <w:rsid w:val="00687D4D"/>
    <w:rsid w:val="006A0B8C"/>
    <w:rsid w:val="006A76A4"/>
    <w:rsid w:val="006B5CF3"/>
    <w:rsid w:val="006B678C"/>
    <w:rsid w:val="006B7129"/>
    <w:rsid w:val="006C1859"/>
    <w:rsid w:val="006C5AE7"/>
    <w:rsid w:val="006C71BB"/>
    <w:rsid w:val="006D6A6A"/>
    <w:rsid w:val="006E34AB"/>
    <w:rsid w:val="006E6266"/>
    <w:rsid w:val="006E7F2A"/>
    <w:rsid w:val="006F0011"/>
    <w:rsid w:val="006F1E47"/>
    <w:rsid w:val="006F6314"/>
    <w:rsid w:val="006F7FC7"/>
    <w:rsid w:val="007020DD"/>
    <w:rsid w:val="00706687"/>
    <w:rsid w:val="00706943"/>
    <w:rsid w:val="0071079F"/>
    <w:rsid w:val="007128BB"/>
    <w:rsid w:val="00723BE7"/>
    <w:rsid w:val="00723C82"/>
    <w:rsid w:val="00732081"/>
    <w:rsid w:val="0073634D"/>
    <w:rsid w:val="00745B06"/>
    <w:rsid w:val="00753A23"/>
    <w:rsid w:val="007544F0"/>
    <w:rsid w:val="00776E76"/>
    <w:rsid w:val="00785414"/>
    <w:rsid w:val="00787B32"/>
    <w:rsid w:val="0079004E"/>
    <w:rsid w:val="007A252C"/>
    <w:rsid w:val="007B11E9"/>
    <w:rsid w:val="007B1CF8"/>
    <w:rsid w:val="007C4618"/>
    <w:rsid w:val="007C5981"/>
    <w:rsid w:val="007D1417"/>
    <w:rsid w:val="007E383E"/>
    <w:rsid w:val="007E40EF"/>
    <w:rsid w:val="007E7CDD"/>
    <w:rsid w:val="007F42D0"/>
    <w:rsid w:val="007F4E72"/>
    <w:rsid w:val="00805015"/>
    <w:rsid w:val="0080653B"/>
    <w:rsid w:val="00807C78"/>
    <w:rsid w:val="00825348"/>
    <w:rsid w:val="00825FC7"/>
    <w:rsid w:val="00827DE4"/>
    <w:rsid w:val="008312AB"/>
    <w:rsid w:val="00832CEE"/>
    <w:rsid w:val="0083328E"/>
    <w:rsid w:val="008337B5"/>
    <w:rsid w:val="00841FAE"/>
    <w:rsid w:val="00843EA1"/>
    <w:rsid w:val="00862135"/>
    <w:rsid w:val="008649CB"/>
    <w:rsid w:val="00873376"/>
    <w:rsid w:val="0089592B"/>
    <w:rsid w:val="00896529"/>
    <w:rsid w:val="008A16E2"/>
    <w:rsid w:val="008A336C"/>
    <w:rsid w:val="008A445A"/>
    <w:rsid w:val="008B17A5"/>
    <w:rsid w:val="008D5362"/>
    <w:rsid w:val="008E0125"/>
    <w:rsid w:val="008E1FAE"/>
    <w:rsid w:val="008F09EE"/>
    <w:rsid w:val="008F4BE3"/>
    <w:rsid w:val="00905371"/>
    <w:rsid w:val="009112F0"/>
    <w:rsid w:val="00913640"/>
    <w:rsid w:val="00914B5C"/>
    <w:rsid w:val="00924EFC"/>
    <w:rsid w:val="0093132B"/>
    <w:rsid w:val="0094195C"/>
    <w:rsid w:val="00941B94"/>
    <w:rsid w:val="00944B7F"/>
    <w:rsid w:val="00945331"/>
    <w:rsid w:val="00957DBE"/>
    <w:rsid w:val="00964540"/>
    <w:rsid w:val="00964C7C"/>
    <w:rsid w:val="00970C45"/>
    <w:rsid w:val="00971DD2"/>
    <w:rsid w:val="00981A86"/>
    <w:rsid w:val="0099375D"/>
    <w:rsid w:val="009970C1"/>
    <w:rsid w:val="009A1B7F"/>
    <w:rsid w:val="009A3DC7"/>
    <w:rsid w:val="009A47AA"/>
    <w:rsid w:val="009B6E91"/>
    <w:rsid w:val="009C05D8"/>
    <w:rsid w:val="009C0C21"/>
    <w:rsid w:val="009C25CB"/>
    <w:rsid w:val="009C4110"/>
    <w:rsid w:val="009D2F8D"/>
    <w:rsid w:val="009E49F1"/>
    <w:rsid w:val="009E654B"/>
    <w:rsid w:val="009E6D9B"/>
    <w:rsid w:val="009F228E"/>
    <w:rsid w:val="009F2E74"/>
    <w:rsid w:val="009F67B1"/>
    <w:rsid w:val="009F7783"/>
    <w:rsid w:val="00A000ED"/>
    <w:rsid w:val="00A04B02"/>
    <w:rsid w:val="00A119B2"/>
    <w:rsid w:val="00A14163"/>
    <w:rsid w:val="00A23B2F"/>
    <w:rsid w:val="00A24403"/>
    <w:rsid w:val="00A275BE"/>
    <w:rsid w:val="00A300CC"/>
    <w:rsid w:val="00A32369"/>
    <w:rsid w:val="00A33219"/>
    <w:rsid w:val="00A33AB6"/>
    <w:rsid w:val="00A3513C"/>
    <w:rsid w:val="00A35667"/>
    <w:rsid w:val="00A40A04"/>
    <w:rsid w:val="00A577EB"/>
    <w:rsid w:val="00A62D0F"/>
    <w:rsid w:val="00A66CB4"/>
    <w:rsid w:val="00A67EE8"/>
    <w:rsid w:val="00A7275C"/>
    <w:rsid w:val="00A75063"/>
    <w:rsid w:val="00A9138E"/>
    <w:rsid w:val="00A91EC3"/>
    <w:rsid w:val="00A95453"/>
    <w:rsid w:val="00AA2343"/>
    <w:rsid w:val="00AA2D35"/>
    <w:rsid w:val="00AA54A3"/>
    <w:rsid w:val="00AA5892"/>
    <w:rsid w:val="00AB12F7"/>
    <w:rsid w:val="00AB790E"/>
    <w:rsid w:val="00AD2D47"/>
    <w:rsid w:val="00AD3182"/>
    <w:rsid w:val="00AD3CAD"/>
    <w:rsid w:val="00AD4DB0"/>
    <w:rsid w:val="00AD6692"/>
    <w:rsid w:val="00AF2AA1"/>
    <w:rsid w:val="00AF38E5"/>
    <w:rsid w:val="00AF4DAE"/>
    <w:rsid w:val="00AF69EF"/>
    <w:rsid w:val="00B02F67"/>
    <w:rsid w:val="00B1474E"/>
    <w:rsid w:val="00B16E9F"/>
    <w:rsid w:val="00B21484"/>
    <w:rsid w:val="00B23FDE"/>
    <w:rsid w:val="00B30A88"/>
    <w:rsid w:val="00B34DFA"/>
    <w:rsid w:val="00B35857"/>
    <w:rsid w:val="00B364CE"/>
    <w:rsid w:val="00B40015"/>
    <w:rsid w:val="00B44BA6"/>
    <w:rsid w:val="00B61984"/>
    <w:rsid w:val="00B76251"/>
    <w:rsid w:val="00B77814"/>
    <w:rsid w:val="00B8162E"/>
    <w:rsid w:val="00B91C6C"/>
    <w:rsid w:val="00B92F79"/>
    <w:rsid w:val="00BA15BE"/>
    <w:rsid w:val="00BA44CA"/>
    <w:rsid w:val="00BB518F"/>
    <w:rsid w:val="00BB550B"/>
    <w:rsid w:val="00BC0C4C"/>
    <w:rsid w:val="00BC0F40"/>
    <w:rsid w:val="00BD391A"/>
    <w:rsid w:val="00BE3196"/>
    <w:rsid w:val="00BE5AB8"/>
    <w:rsid w:val="00C0397B"/>
    <w:rsid w:val="00C10857"/>
    <w:rsid w:val="00C10DA4"/>
    <w:rsid w:val="00C17537"/>
    <w:rsid w:val="00C23D1F"/>
    <w:rsid w:val="00C36A83"/>
    <w:rsid w:val="00C37D6B"/>
    <w:rsid w:val="00C40B09"/>
    <w:rsid w:val="00C41252"/>
    <w:rsid w:val="00C43AD9"/>
    <w:rsid w:val="00C47A9D"/>
    <w:rsid w:val="00C500C5"/>
    <w:rsid w:val="00C53302"/>
    <w:rsid w:val="00C873A8"/>
    <w:rsid w:val="00C92855"/>
    <w:rsid w:val="00C94A38"/>
    <w:rsid w:val="00C95A4B"/>
    <w:rsid w:val="00CA1B5E"/>
    <w:rsid w:val="00CD0678"/>
    <w:rsid w:val="00CD3237"/>
    <w:rsid w:val="00CD4246"/>
    <w:rsid w:val="00CE01A4"/>
    <w:rsid w:val="00CE2630"/>
    <w:rsid w:val="00CF09B8"/>
    <w:rsid w:val="00CF2016"/>
    <w:rsid w:val="00CF7A13"/>
    <w:rsid w:val="00D06CDB"/>
    <w:rsid w:val="00D07025"/>
    <w:rsid w:val="00D138ED"/>
    <w:rsid w:val="00D20876"/>
    <w:rsid w:val="00D27886"/>
    <w:rsid w:val="00D329D1"/>
    <w:rsid w:val="00D3434E"/>
    <w:rsid w:val="00D40119"/>
    <w:rsid w:val="00D42CD7"/>
    <w:rsid w:val="00D47F71"/>
    <w:rsid w:val="00D64389"/>
    <w:rsid w:val="00D92DC6"/>
    <w:rsid w:val="00D93D64"/>
    <w:rsid w:val="00D94123"/>
    <w:rsid w:val="00D94925"/>
    <w:rsid w:val="00DA1A91"/>
    <w:rsid w:val="00DA34D7"/>
    <w:rsid w:val="00DA5D3C"/>
    <w:rsid w:val="00DB1737"/>
    <w:rsid w:val="00DB4D37"/>
    <w:rsid w:val="00DC389E"/>
    <w:rsid w:val="00DD22FA"/>
    <w:rsid w:val="00DE2257"/>
    <w:rsid w:val="00DE2C37"/>
    <w:rsid w:val="00E058A7"/>
    <w:rsid w:val="00E05FD0"/>
    <w:rsid w:val="00E10747"/>
    <w:rsid w:val="00E13C3F"/>
    <w:rsid w:val="00E15A2B"/>
    <w:rsid w:val="00E160B3"/>
    <w:rsid w:val="00E242F3"/>
    <w:rsid w:val="00E31EBE"/>
    <w:rsid w:val="00E342D4"/>
    <w:rsid w:val="00E354BE"/>
    <w:rsid w:val="00E35F7F"/>
    <w:rsid w:val="00E36C02"/>
    <w:rsid w:val="00E451DE"/>
    <w:rsid w:val="00E475D3"/>
    <w:rsid w:val="00E55AD3"/>
    <w:rsid w:val="00E578AB"/>
    <w:rsid w:val="00E60D7D"/>
    <w:rsid w:val="00E85B85"/>
    <w:rsid w:val="00E86C42"/>
    <w:rsid w:val="00E92037"/>
    <w:rsid w:val="00E92A92"/>
    <w:rsid w:val="00EA004E"/>
    <w:rsid w:val="00EA1A83"/>
    <w:rsid w:val="00EA5869"/>
    <w:rsid w:val="00EB0133"/>
    <w:rsid w:val="00EB3F51"/>
    <w:rsid w:val="00EB6A84"/>
    <w:rsid w:val="00EC2A53"/>
    <w:rsid w:val="00ED0B67"/>
    <w:rsid w:val="00ED1F7B"/>
    <w:rsid w:val="00ED37A3"/>
    <w:rsid w:val="00ED37C8"/>
    <w:rsid w:val="00EE5CDE"/>
    <w:rsid w:val="00EF398E"/>
    <w:rsid w:val="00F11DC4"/>
    <w:rsid w:val="00F20761"/>
    <w:rsid w:val="00F2622C"/>
    <w:rsid w:val="00F306DC"/>
    <w:rsid w:val="00F33F88"/>
    <w:rsid w:val="00F3685A"/>
    <w:rsid w:val="00F406DB"/>
    <w:rsid w:val="00F43B89"/>
    <w:rsid w:val="00F44011"/>
    <w:rsid w:val="00F503E2"/>
    <w:rsid w:val="00F54158"/>
    <w:rsid w:val="00F5460F"/>
    <w:rsid w:val="00F62A39"/>
    <w:rsid w:val="00F675E5"/>
    <w:rsid w:val="00F76FFA"/>
    <w:rsid w:val="00F82D9A"/>
    <w:rsid w:val="00F86D3C"/>
    <w:rsid w:val="00F87B67"/>
    <w:rsid w:val="00F9457E"/>
    <w:rsid w:val="00FA13BA"/>
    <w:rsid w:val="00FA5A10"/>
    <w:rsid w:val="00FA7BD4"/>
    <w:rsid w:val="00FB03C3"/>
    <w:rsid w:val="00FB14A7"/>
    <w:rsid w:val="00FC56C7"/>
    <w:rsid w:val="00FE4565"/>
    <w:rsid w:val="00FE7ABB"/>
    <w:rsid w:val="00FF2EBB"/>
    <w:rsid w:val="00FF3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047E22"/>
  <w15:docId w15:val="{AA108E69-7476-482E-8DAE-32B4607CE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jc w:val="right"/>
    </w:pPr>
  </w:style>
  <w:style w:type="paragraph" w:styleId="1">
    <w:name w:val="heading 1"/>
    <w:next w:val="a"/>
    <w:link w:val="1Char"/>
    <w:uiPriority w:val="9"/>
    <w:unhideWhenUsed/>
    <w:qFormat/>
    <w:pPr>
      <w:keepNext/>
      <w:keepLines/>
      <w:bidi/>
      <w:spacing w:after="0"/>
      <w:ind w:left="58"/>
      <w:jc w:val="center"/>
      <w:outlineLvl w:val="0"/>
    </w:pPr>
    <w:rPr>
      <w:rFonts w:ascii="Diwani Bent" w:eastAsia="Diwani Bent" w:hAnsi="Diwani Bent" w:cs="Diwani Bent"/>
      <w:color w:val="000000"/>
      <w:sz w:val="72"/>
    </w:rPr>
  </w:style>
  <w:style w:type="paragraph" w:styleId="2">
    <w:name w:val="heading 2"/>
    <w:next w:val="a"/>
    <w:link w:val="2Char"/>
    <w:uiPriority w:val="9"/>
    <w:unhideWhenUsed/>
    <w:qFormat/>
    <w:pPr>
      <w:keepNext/>
      <w:keepLines/>
      <w:bidi/>
      <w:spacing w:after="364" w:line="265" w:lineRule="auto"/>
      <w:ind w:left="10" w:right="70" w:hanging="10"/>
      <w:outlineLvl w:val="1"/>
    </w:pPr>
    <w:rPr>
      <w:rFonts w:ascii="Times New Roman" w:eastAsia="Times New Roman" w:hAnsi="Times New Roman" w:cs="Times New Roman"/>
      <w:b/>
      <w:color w:val="000000"/>
      <w:sz w:val="28"/>
    </w:rPr>
  </w:style>
  <w:style w:type="paragraph" w:styleId="3">
    <w:name w:val="heading 3"/>
    <w:next w:val="a"/>
    <w:link w:val="3Char"/>
    <w:uiPriority w:val="9"/>
    <w:unhideWhenUsed/>
    <w:qFormat/>
    <w:pPr>
      <w:keepNext/>
      <w:keepLines/>
      <w:bidi/>
      <w:spacing w:after="364" w:line="265" w:lineRule="auto"/>
      <w:ind w:left="10" w:right="70" w:hanging="10"/>
      <w:outlineLvl w:val="2"/>
    </w:pPr>
    <w:rPr>
      <w:rFonts w:ascii="Times New Roman" w:eastAsia="Times New Roman" w:hAnsi="Times New Roman" w:cs="Times New Roman"/>
      <w:b/>
      <w:color w:val="000000"/>
      <w:sz w:val="28"/>
    </w:rPr>
  </w:style>
  <w:style w:type="paragraph" w:styleId="4">
    <w:name w:val="heading 4"/>
    <w:basedOn w:val="a"/>
    <w:next w:val="a"/>
    <w:link w:val="4Char"/>
    <w:uiPriority w:val="9"/>
    <w:semiHidden/>
    <w:unhideWhenUsed/>
    <w:qFormat/>
    <w:rsid w:val="003A085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rPr>
      <w:rFonts w:ascii="Diwani Bent" w:eastAsia="Diwani Bent" w:hAnsi="Diwani Bent" w:cs="Diwani Bent"/>
      <w:color w:val="000000"/>
      <w:sz w:val="72"/>
    </w:rPr>
  </w:style>
  <w:style w:type="character" w:customStyle="1" w:styleId="2Char">
    <w:name w:val="عنوان 2 Char"/>
    <w:link w:val="2"/>
    <w:rPr>
      <w:rFonts w:ascii="Times New Roman" w:eastAsia="Times New Roman" w:hAnsi="Times New Roman" w:cs="Times New Roman"/>
      <w:b/>
      <w:color w:val="000000"/>
      <w:sz w:val="28"/>
    </w:rPr>
  </w:style>
  <w:style w:type="character" w:customStyle="1" w:styleId="3Char">
    <w:name w:val="عنوان 3 Char"/>
    <w:link w:val="3"/>
    <w:rPr>
      <w:rFonts w:ascii="Times New Roman" w:eastAsia="Times New Roman" w:hAnsi="Times New Roman" w:cs="Times New Roman"/>
      <w:b/>
      <w:color w:val="000000"/>
      <w:sz w:val="28"/>
    </w:rPr>
  </w:style>
  <w:style w:type="character" w:styleId="a3">
    <w:name w:val="Strong"/>
    <w:basedOn w:val="a0"/>
    <w:uiPriority w:val="22"/>
    <w:qFormat/>
    <w:rsid w:val="00A300CC"/>
    <w:rPr>
      <w:b/>
      <w:bCs/>
    </w:rPr>
  </w:style>
  <w:style w:type="character" w:styleId="a4">
    <w:name w:val="Emphasis"/>
    <w:basedOn w:val="a0"/>
    <w:uiPriority w:val="20"/>
    <w:qFormat/>
    <w:rsid w:val="00A300CC"/>
    <w:rPr>
      <w:i/>
      <w:iCs/>
    </w:rPr>
  </w:style>
  <w:style w:type="paragraph" w:styleId="a5">
    <w:name w:val="Normal (Web)"/>
    <w:basedOn w:val="a"/>
    <w:uiPriority w:val="99"/>
    <w:unhideWhenUsed/>
    <w:rsid w:val="000E1C3B"/>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styleId="a6">
    <w:name w:val="List Paragraph"/>
    <w:basedOn w:val="a"/>
    <w:uiPriority w:val="34"/>
    <w:qFormat/>
    <w:rsid w:val="00BC0C4C"/>
    <w:pPr>
      <w:ind w:left="720"/>
      <w:contextualSpacing/>
    </w:pPr>
  </w:style>
  <w:style w:type="paragraph" w:styleId="a7">
    <w:name w:val="footnote text"/>
    <w:basedOn w:val="a"/>
    <w:link w:val="Char"/>
    <w:uiPriority w:val="99"/>
    <w:unhideWhenUsed/>
    <w:rsid w:val="00D06CDB"/>
    <w:pPr>
      <w:spacing w:after="0" w:line="240" w:lineRule="auto"/>
    </w:pPr>
    <w:rPr>
      <w:sz w:val="20"/>
      <w:szCs w:val="20"/>
    </w:rPr>
  </w:style>
  <w:style w:type="character" w:customStyle="1" w:styleId="Char">
    <w:name w:val="نص حاشية سفلية Char"/>
    <w:basedOn w:val="a0"/>
    <w:link w:val="a7"/>
    <w:uiPriority w:val="99"/>
    <w:rsid w:val="00D06CDB"/>
    <w:rPr>
      <w:rFonts w:ascii="Calibri" w:eastAsia="Calibri" w:hAnsi="Calibri" w:cs="Calibri"/>
      <w:color w:val="000000"/>
      <w:sz w:val="20"/>
      <w:szCs w:val="20"/>
    </w:rPr>
  </w:style>
  <w:style w:type="character" w:styleId="a8">
    <w:name w:val="footnote reference"/>
    <w:basedOn w:val="a0"/>
    <w:uiPriority w:val="99"/>
    <w:semiHidden/>
    <w:unhideWhenUsed/>
    <w:rsid w:val="00D06CDB"/>
    <w:rPr>
      <w:vertAlign w:val="superscript"/>
    </w:rPr>
  </w:style>
  <w:style w:type="paragraph" w:styleId="a9">
    <w:name w:val="No Spacing"/>
    <w:uiPriority w:val="1"/>
    <w:qFormat/>
    <w:rsid w:val="007E7CDD"/>
    <w:pPr>
      <w:bidi/>
      <w:spacing w:after="0" w:line="240" w:lineRule="auto"/>
      <w:jc w:val="right"/>
    </w:pPr>
    <w:rPr>
      <w:rFonts w:ascii="Calibri" w:eastAsia="Calibri" w:hAnsi="Calibri" w:cs="Calibri"/>
      <w:color w:val="000000"/>
    </w:rPr>
  </w:style>
  <w:style w:type="paragraph" w:styleId="aa">
    <w:name w:val="Subtitle"/>
    <w:basedOn w:val="a"/>
    <w:next w:val="a"/>
    <w:link w:val="Char0"/>
    <w:uiPriority w:val="11"/>
    <w:qFormat/>
    <w:rsid w:val="00A33AB6"/>
    <w:pPr>
      <w:numPr>
        <w:ilvl w:val="1"/>
      </w:numPr>
    </w:pPr>
    <w:rPr>
      <w:color w:val="5A5A5A" w:themeColor="text1" w:themeTint="A5"/>
      <w:spacing w:val="15"/>
    </w:rPr>
  </w:style>
  <w:style w:type="character" w:customStyle="1" w:styleId="Char0">
    <w:name w:val="عنوان فرعي Char"/>
    <w:basedOn w:val="a0"/>
    <w:link w:val="aa"/>
    <w:uiPriority w:val="11"/>
    <w:rsid w:val="00A33AB6"/>
    <w:rPr>
      <w:color w:val="5A5A5A" w:themeColor="text1" w:themeTint="A5"/>
      <w:spacing w:val="15"/>
    </w:rPr>
  </w:style>
  <w:style w:type="paragraph" w:styleId="ab">
    <w:name w:val="header"/>
    <w:basedOn w:val="a"/>
    <w:link w:val="Char1"/>
    <w:uiPriority w:val="99"/>
    <w:semiHidden/>
    <w:unhideWhenUsed/>
    <w:rsid w:val="009F67B1"/>
    <w:pPr>
      <w:tabs>
        <w:tab w:val="center" w:pos="4513"/>
        <w:tab w:val="right" w:pos="9026"/>
      </w:tabs>
      <w:spacing w:after="0" w:line="240" w:lineRule="auto"/>
    </w:pPr>
  </w:style>
  <w:style w:type="character" w:customStyle="1" w:styleId="Char1">
    <w:name w:val="رأس الصفحة Char"/>
    <w:basedOn w:val="a0"/>
    <w:link w:val="ab"/>
    <w:uiPriority w:val="99"/>
    <w:semiHidden/>
    <w:rsid w:val="009F67B1"/>
    <w:rPr>
      <w:rFonts w:ascii="Calibri" w:eastAsia="Calibri" w:hAnsi="Calibri" w:cs="Calibri"/>
      <w:color w:val="000000"/>
    </w:rPr>
  </w:style>
  <w:style w:type="paragraph" w:styleId="ac">
    <w:name w:val="footer"/>
    <w:basedOn w:val="a"/>
    <w:link w:val="Char2"/>
    <w:uiPriority w:val="99"/>
    <w:unhideWhenUsed/>
    <w:rsid w:val="009F67B1"/>
    <w:pPr>
      <w:tabs>
        <w:tab w:val="center" w:pos="4513"/>
        <w:tab w:val="right" w:pos="9026"/>
      </w:tabs>
      <w:spacing w:after="0" w:line="240" w:lineRule="auto"/>
    </w:pPr>
  </w:style>
  <w:style w:type="character" w:customStyle="1" w:styleId="Char2">
    <w:name w:val="تذييل الصفحة Char"/>
    <w:basedOn w:val="a0"/>
    <w:link w:val="ac"/>
    <w:uiPriority w:val="99"/>
    <w:rsid w:val="009F67B1"/>
    <w:rPr>
      <w:rFonts w:ascii="Calibri" w:eastAsia="Calibri" w:hAnsi="Calibri" w:cs="Calibri"/>
      <w:color w:val="000000"/>
    </w:rPr>
  </w:style>
  <w:style w:type="character" w:customStyle="1" w:styleId="whitespace-normal">
    <w:name w:val="whitespace-normal"/>
    <w:basedOn w:val="a0"/>
    <w:rsid w:val="00405481"/>
  </w:style>
  <w:style w:type="character" w:customStyle="1" w:styleId="dont-break-out">
    <w:name w:val="dont-break-out"/>
    <w:basedOn w:val="a0"/>
    <w:rsid w:val="002D3A38"/>
  </w:style>
  <w:style w:type="character" w:customStyle="1" w:styleId="separator">
    <w:name w:val="separator"/>
    <w:basedOn w:val="a0"/>
    <w:rsid w:val="002D3A38"/>
  </w:style>
  <w:style w:type="character" w:customStyle="1" w:styleId="4Char">
    <w:name w:val="عنوان 4 Char"/>
    <w:basedOn w:val="a0"/>
    <w:link w:val="4"/>
    <w:uiPriority w:val="9"/>
    <w:semiHidden/>
    <w:rsid w:val="003A0856"/>
    <w:rPr>
      <w:rFonts w:asciiTheme="majorHAnsi" w:eastAsiaTheme="majorEastAsia" w:hAnsiTheme="majorHAnsi" w:cstheme="majorBidi"/>
      <w:i/>
      <w:iCs/>
      <w:color w:val="2E74B5" w:themeColor="accent1" w:themeShade="BF"/>
    </w:rPr>
  </w:style>
  <w:style w:type="paragraph" w:customStyle="1" w:styleId="pdq2pgselectionanchorcontainer">
    <w:name w:val="pdq2pg_selectionanchorcontainer"/>
    <w:basedOn w:val="a"/>
    <w:rsid w:val="002B20BE"/>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isselectedend">
    <w:name w:val="isselectedend"/>
    <w:basedOn w:val="a"/>
    <w:rsid w:val="00905371"/>
    <w:pPr>
      <w:bidi w:val="0"/>
      <w:spacing w:before="100" w:beforeAutospacing="1" w:after="100" w:afterAutospacing="1" w:line="240" w:lineRule="auto"/>
      <w:jc w:val="left"/>
    </w:pPr>
    <w:rPr>
      <w:rFonts w:ascii="Times New Roman" w:eastAsia="Times New Roman" w:hAnsi="Times New Roman" w:cs="Times New Roman"/>
      <w:sz w:val="24"/>
      <w:szCs w:val="24"/>
    </w:rPr>
  </w:style>
  <w:style w:type="character" w:styleId="ad">
    <w:name w:val="annotation reference"/>
    <w:basedOn w:val="a0"/>
    <w:uiPriority w:val="99"/>
    <w:semiHidden/>
    <w:unhideWhenUsed/>
    <w:rsid w:val="00B16E9F"/>
    <w:rPr>
      <w:sz w:val="16"/>
      <w:szCs w:val="16"/>
    </w:rPr>
  </w:style>
  <w:style w:type="paragraph" w:styleId="ae">
    <w:name w:val="annotation text"/>
    <w:basedOn w:val="a"/>
    <w:link w:val="Char3"/>
    <w:uiPriority w:val="99"/>
    <w:unhideWhenUsed/>
    <w:rsid w:val="00B16E9F"/>
    <w:pPr>
      <w:spacing w:line="240" w:lineRule="auto"/>
    </w:pPr>
    <w:rPr>
      <w:sz w:val="20"/>
      <w:szCs w:val="20"/>
    </w:rPr>
  </w:style>
  <w:style w:type="character" w:customStyle="1" w:styleId="Char3">
    <w:name w:val="نص تعليق Char"/>
    <w:basedOn w:val="a0"/>
    <w:link w:val="ae"/>
    <w:uiPriority w:val="99"/>
    <w:rsid w:val="00B16E9F"/>
    <w:rPr>
      <w:sz w:val="20"/>
      <w:szCs w:val="20"/>
    </w:rPr>
  </w:style>
  <w:style w:type="paragraph" w:styleId="af">
    <w:name w:val="annotation subject"/>
    <w:basedOn w:val="ae"/>
    <w:next w:val="ae"/>
    <w:link w:val="Char4"/>
    <w:uiPriority w:val="99"/>
    <w:semiHidden/>
    <w:unhideWhenUsed/>
    <w:rsid w:val="00B16E9F"/>
    <w:rPr>
      <w:b/>
      <w:bCs/>
    </w:rPr>
  </w:style>
  <w:style w:type="character" w:customStyle="1" w:styleId="Char4">
    <w:name w:val="موضوع تعليق Char"/>
    <w:basedOn w:val="Char3"/>
    <w:link w:val="af"/>
    <w:uiPriority w:val="99"/>
    <w:semiHidden/>
    <w:rsid w:val="00B16E9F"/>
    <w:rPr>
      <w:b/>
      <w:bCs/>
      <w:sz w:val="20"/>
      <w:szCs w:val="20"/>
    </w:rPr>
  </w:style>
  <w:style w:type="paragraph" w:styleId="af0">
    <w:name w:val="Balloon Text"/>
    <w:basedOn w:val="a"/>
    <w:link w:val="Char5"/>
    <w:uiPriority w:val="99"/>
    <w:semiHidden/>
    <w:unhideWhenUsed/>
    <w:rsid w:val="005723EB"/>
    <w:pPr>
      <w:spacing w:after="0" w:line="240" w:lineRule="auto"/>
    </w:pPr>
    <w:rPr>
      <w:rFonts w:ascii="Tahoma" w:hAnsi="Tahoma" w:cs="Tahoma"/>
      <w:sz w:val="18"/>
      <w:szCs w:val="18"/>
    </w:rPr>
  </w:style>
  <w:style w:type="character" w:customStyle="1" w:styleId="Char5">
    <w:name w:val="نص في بالون Char"/>
    <w:basedOn w:val="a0"/>
    <w:link w:val="af0"/>
    <w:uiPriority w:val="99"/>
    <w:semiHidden/>
    <w:rsid w:val="005723EB"/>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87859">
      <w:bodyDiv w:val="1"/>
      <w:marLeft w:val="0"/>
      <w:marRight w:val="0"/>
      <w:marTop w:val="0"/>
      <w:marBottom w:val="0"/>
      <w:divBdr>
        <w:top w:val="none" w:sz="0" w:space="0" w:color="auto"/>
        <w:left w:val="none" w:sz="0" w:space="0" w:color="auto"/>
        <w:bottom w:val="none" w:sz="0" w:space="0" w:color="auto"/>
        <w:right w:val="none" w:sz="0" w:space="0" w:color="auto"/>
      </w:divBdr>
    </w:div>
    <w:div w:id="10839458">
      <w:bodyDiv w:val="1"/>
      <w:marLeft w:val="0"/>
      <w:marRight w:val="0"/>
      <w:marTop w:val="0"/>
      <w:marBottom w:val="0"/>
      <w:divBdr>
        <w:top w:val="none" w:sz="0" w:space="0" w:color="auto"/>
        <w:left w:val="none" w:sz="0" w:space="0" w:color="auto"/>
        <w:bottom w:val="none" w:sz="0" w:space="0" w:color="auto"/>
        <w:right w:val="none" w:sz="0" w:space="0" w:color="auto"/>
      </w:divBdr>
    </w:div>
    <w:div w:id="15934367">
      <w:bodyDiv w:val="1"/>
      <w:marLeft w:val="0"/>
      <w:marRight w:val="0"/>
      <w:marTop w:val="0"/>
      <w:marBottom w:val="0"/>
      <w:divBdr>
        <w:top w:val="none" w:sz="0" w:space="0" w:color="auto"/>
        <w:left w:val="none" w:sz="0" w:space="0" w:color="auto"/>
        <w:bottom w:val="none" w:sz="0" w:space="0" w:color="auto"/>
        <w:right w:val="none" w:sz="0" w:space="0" w:color="auto"/>
      </w:divBdr>
    </w:div>
    <w:div w:id="24453454">
      <w:bodyDiv w:val="1"/>
      <w:marLeft w:val="0"/>
      <w:marRight w:val="0"/>
      <w:marTop w:val="0"/>
      <w:marBottom w:val="0"/>
      <w:divBdr>
        <w:top w:val="none" w:sz="0" w:space="0" w:color="auto"/>
        <w:left w:val="none" w:sz="0" w:space="0" w:color="auto"/>
        <w:bottom w:val="none" w:sz="0" w:space="0" w:color="auto"/>
        <w:right w:val="none" w:sz="0" w:space="0" w:color="auto"/>
      </w:divBdr>
    </w:div>
    <w:div w:id="27487426">
      <w:bodyDiv w:val="1"/>
      <w:marLeft w:val="0"/>
      <w:marRight w:val="0"/>
      <w:marTop w:val="0"/>
      <w:marBottom w:val="0"/>
      <w:divBdr>
        <w:top w:val="none" w:sz="0" w:space="0" w:color="auto"/>
        <w:left w:val="none" w:sz="0" w:space="0" w:color="auto"/>
        <w:bottom w:val="none" w:sz="0" w:space="0" w:color="auto"/>
        <w:right w:val="none" w:sz="0" w:space="0" w:color="auto"/>
      </w:divBdr>
    </w:div>
    <w:div w:id="29690472">
      <w:bodyDiv w:val="1"/>
      <w:marLeft w:val="0"/>
      <w:marRight w:val="0"/>
      <w:marTop w:val="0"/>
      <w:marBottom w:val="0"/>
      <w:divBdr>
        <w:top w:val="none" w:sz="0" w:space="0" w:color="auto"/>
        <w:left w:val="none" w:sz="0" w:space="0" w:color="auto"/>
        <w:bottom w:val="none" w:sz="0" w:space="0" w:color="auto"/>
        <w:right w:val="none" w:sz="0" w:space="0" w:color="auto"/>
      </w:divBdr>
    </w:div>
    <w:div w:id="29695844">
      <w:bodyDiv w:val="1"/>
      <w:marLeft w:val="0"/>
      <w:marRight w:val="0"/>
      <w:marTop w:val="0"/>
      <w:marBottom w:val="0"/>
      <w:divBdr>
        <w:top w:val="none" w:sz="0" w:space="0" w:color="auto"/>
        <w:left w:val="none" w:sz="0" w:space="0" w:color="auto"/>
        <w:bottom w:val="none" w:sz="0" w:space="0" w:color="auto"/>
        <w:right w:val="none" w:sz="0" w:space="0" w:color="auto"/>
      </w:divBdr>
    </w:div>
    <w:div w:id="33695935">
      <w:bodyDiv w:val="1"/>
      <w:marLeft w:val="0"/>
      <w:marRight w:val="0"/>
      <w:marTop w:val="0"/>
      <w:marBottom w:val="0"/>
      <w:divBdr>
        <w:top w:val="none" w:sz="0" w:space="0" w:color="auto"/>
        <w:left w:val="none" w:sz="0" w:space="0" w:color="auto"/>
        <w:bottom w:val="none" w:sz="0" w:space="0" w:color="auto"/>
        <w:right w:val="none" w:sz="0" w:space="0" w:color="auto"/>
      </w:divBdr>
    </w:div>
    <w:div w:id="46340924">
      <w:bodyDiv w:val="1"/>
      <w:marLeft w:val="0"/>
      <w:marRight w:val="0"/>
      <w:marTop w:val="0"/>
      <w:marBottom w:val="0"/>
      <w:divBdr>
        <w:top w:val="none" w:sz="0" w:space="0" w:color="auto"/>
        <w:left w:val="none" w:sz="0" w:space="0" w:color="auto"/>
        <w:bottom w:val="none" w:sz="0" w:space="0" w:color="auto"/>
        <w:right w:val="none" w:sz="0" w:space="0" w:color="auto"/>
      </w:divBdr>
      <w:divsChild>
        <w:div w:id="20048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461368">
      <w:bodyDiv w:val="1"/>
      <w:marLeft w:val="0"/>
      <w:marRight w:val="0"/>
      <w:marTop w:val="0"/>
      <w:marBottom w:val="0"/>
      <w:divBdr>
        <w:top w:val="none" w:sz="0" w:space="0" w:color="auto"/>
        <w:left w:val="none" w:sz="0" w:space="0" w:color="auto"/>
        <w:bottom w:val="none" w:sz="0" w:space="0" w:color="auto"/>
        <w:right w:val="none" w:sz="0" w:space="0" w:color="auto"/>
      </w:divBdr>
    </w:div>
    <w:div w:id="53739819">
      <w:bodyDiv w:val="1"/>
      <w:marLeft w:val="0"/>
      <w:marRight w:val="0"/>
      <w:marTop w:val="0"/>
      <w:marBottom w:val="0"/>
      <w:divBdr>
        <w:top w:val="none" w:sz="0" w:space="0" w:color="auto"/>
        <w:left w:val="none" w:sz="0" w:space="0" w:color="auto"/>
        <w:bottom w:val="none" w:sz="0" w:space="0" w:color="auto"/>
        <w:right w:val="none" w:sz="0" w:space="0" w:color="auto"/>
      </w:divBdr>
    </w:div>
    <w:div w:id="62340665">
      <w:bodyDiv w:val="1"/>
      <w:marLeft w:val="0"/>
      <w:marRight w:val="0"/>
      <w:marTop w:val="0"/>
      <w:marBottom w:val="0"/>
      <w:divBdr>
        <w:top w:val="none" w:sz="0" w:space="0" w:color="auto"/>
        <w:left w:val="none" w:sz="0" w:space="0" w:color="auto"/>
        <w:bottom w:val="none" w:sz="0" w:space="0" w:color="auto"/>
        <w:right w:val="none" w:sz="0" w:space="0" w:color="auto"/>
      </w:divBdr>
    </w:div>
    <w:div w:id="65997981">
      <w:bodyDiv w:val="1"/>
      <w:marLeft w:val="0"/>
      <w:marRight w:val="0"/>
      <w:marTop w:val="0"/>
      <w:marBottom w:val="0"/>
      <w:divBdr>
        <w:top w:val="none" w:sz="0" w:space="0" w:color="auto"/>
        <w:left w:val="none" w:sz="0" w:space="0" w:color="auto"/>
        <w:bottom w:val="none" w:sz="0" w:space="0" w:color="auto"/>
        <w:right w:val="none" w:sz="0" w:space="0" w:color="auto"/>
      </w:divBdr>
    </w:div>
    <w:div w:id="66660175">
      <w:bodyDiv w:val="1"/>
      <w:marLeft w:val="0"/>
      <w:marRight w:val="0"/>
      <w:marTop w:val="0"/>
      <w:marBottom w:val="0"/>
      <w:divBdr>
        <w:top w:val="none" w:sz="0" w:space="0" w:color="auto"/>
        <w:left w:val="none" w:sz="0" w:space="0" w:color="auto"/>
        <w:bottom w:val="none" w:sz="0" w:space="0" w:color="auto"/>
        <w:right w:val="none" w:sz="0" w:space="0" w:color="auto"/>
      </w:divBdr>
    </w:div>
    <w:div w:id="67700524">
      <w:bodyDiv w:val="1"/>
      <w:marLeft w:val="0"/>
      <w:marRight w:val="0"/>
      <w:marTop w:val="0"/>
      <w:marBottom w:val="0"/>
      <w:divBdr>
        <w:top w:val="none" w:sz="0" w:space="0" w:color="auto"/>
        <w:left w:val="none" w:sz="0" w:space="0" w:color="auto"/>
        <w:bottom w:val="none" w:sz="0" w:space="0" w:color="auto"/>
        <w:right w:val="none" w:sz="0" w:space="0" w:color="auto"/>
      </w:divBdr>
    </w:div>
    <w:div w:id="78409046">
      <w:bodyDiv w:val="1"/>
      <w:marLeft w:val="0"/>
      <w:marRight w:val="0"/>
      <w:marTop w:val="0"/>
      <w:marBottom w:val="0"/>
      <w:divBdr>
        <w:top w:val="none" w:sz="0" w:space="0" w:color="auto"/>
        <w:left w:val="none" w:sz="0" w:space="0" w:color="auto"/>
        <w:bottom w:val="none" w:sz="0" w:space="0" w:color="auto"/>
        <w:right w:val="none" w:sz="0" w:space="0" w:color="auto"/>
      </w:divBdr>
    </w:div>
    <w:div w:id="80297497">
      <w:bodyDiv w:val="1"/>
      <w:marLeft w:val="0"/>
      <w:marRight w:val="0"/>
      <w:marTop w:val="0"/>
      <w:marBottom w:val="0"/>
      <w:divBdr>
        <w:top w:val="none" w:sz="0" w:space="0" w:color="auto"/>
        <w:left w:val="none" w:sz="0" w:space="0" w:color="auto"/>
        <w:bottom w:val="none" w:sz="0" w:space="0" w:color="auto"/>
        <w:right w:val="none" w:sz="0" w:space="0" w:color="auto"/>
      </w:divBdr>
    </w:div>
    <w:div w:id="83453723">
      <w:bodyDiv w:val="1"/>
      <w:marLeft w:val="0"/>
      <w:marRight w:val="0"/>
      <w:marTop w:val="0"/>
      <w:marBottom w:val="0"/>
      <w:divBdr>
        <w:top w:val="none" w:sz="0" w:space="0" w:color="auto"/>
        <w:left w:val="none" w:sz="0" w:space="0" w:color="auto"/>
        <w:bottom w:val="none" w:sz="0" w:space="0" w:color="auto"/>
        <w:right w:val="none" w:sz="0" w:space="0" w:color="auto"/>
      </w:divBdr>
    </w:div>
    <w:div w:id="86312280">
      <w:bodyDiv w:val="1"/>
      <w:marLeft w:val="0"/>
      <w:marRight w:val="0"/>
      <w:marTop w:val="0"/>
      <w:marBottom w:val="0"/>
      <w:divBdr>
        <w:top w:val="none" w:sz="0" w:space="0" w:color="auto"/>
        <w:left w:val="none" w:sz="0" w:space="0" w:color="auto"/>
        <w:bottom w:val="none" w:sz="0" w:space="0" w:color="auto"/>
        <w:right w:val="none" w:sz="0" w:space="0" w:color="auto"/>
      </w:divBdr>
    </w:div>
    <w:div w:id="86704424">
      <w:bodyDiv w:val="1"/>
      <w:marLeft w:val="0"/>
      <w:marRight w:val="0"/>
      <w:marTop w:val="0"/>
      <w:marBottom w:val="0"/>
      <w:divBdr>
        <w:top w:val="none" w:sz="0" w:space="0" w:color="auto"/>
        <w:left w:val="none" w:sz="0" w:space="0" w:color="auto"/>
        <w:bottom w:val="none" w:sz="0" w:space="0" w:color="auto"/>
        <w:right w:val="none" w:sz="0" w:space="0" w:color="auto"/>
      </w:divBdr>
    </w:div>
    <w:div w:id="91292084">
      <w:bodyDiv w:val="1"/>
      <w:marLeft w:val="0"/>
      <w:marRight w:val="0"/>
      <w:marTop w:val="0"/>
      <w:marBottom w:val="0"/>
      <w:divBdr>
        <w:top w:val="none" w:sz="0" w:space="0" w:color="auto"/>
        <w:left w:val="none" w:sz="0" w:space="0" w:color="auto"/>
        <w:bottom w:val="none" w:sz="0" w:space="0" w:color="auto"/>
        <w:right w:val="none" w:sz="0" w:space="0" w:color="auto"/>
      </w:divBdr>
    </w:div>
    <w:div w:id="92364471">
      <w:bodyDiv w:val="1"/>
      <w:marLeft w:val="0"/>
      <w:marRight w:val="0"/>
      <w:marTop w:val="0"/>
      <w:marBottom w:val="0"/>
      <w:divBdr>
        <w:top w:val="none" w:sz="0" w:space="0" w:color="auto"/>
        <w:left w:val="none" w:sz="0" w:space="0" w:color="auto"/>
        <w:bottom w:val="none" w:sz="0" w:space="0" w:color="auto"/>
        <w:right w:val="none" w:sz="0" w:space="0" w:color="auto"/>
      </w:divBdr>
    </w:div>
    <w:div w:id="94643416">
      <w:bodyDiv w:val="1"/>
      <w:marLeft w:val="0"/>
      <w:marRight w:val="0"/>
      <w:marTop w:val="0"/>
      <w:marBottom w:val="0"/>
      <w:divBdr>
        <w:top w:val="none" w:sz="0" w:space="0" w:color="auto"/>
        <w:left w:val="none" w:sz="0" w:space="0" w:color="auto"/>
        <w:bottom w:val="none" w:sz="0" w:space="0" w:color="auto"/>
        <w:right w:val="none" w:sz="0" w:space="0" w:color="auto"/>
      </w:divBdr>
    </w:div>
    <w:div w:id="100226618">
      <w:bodyDiv w:val="1"/>
      <w:marLeft w:val="0"/>
      <w:marRight w:val="0"/>
      <w:marTop w:val="0"/>
      <w:marBottom w:val="0"/>
      <w:divBdr>
        <w:top w:val="none" w:sz="0" w:space="0" w:color="auto"/>
        <w:left w:val="none" w:sz="0" w:space="0" w:color="auto"/>
        <w:bottom w:val="none" w:sz="0" w:space="0" w:color="auto"/>
        <w:right w:val="none" w:sz="0" w:space="0" w:color="auto"/>
      </w:divBdr>
    </w:div>
    <w:div w:id="103044132">
      <w:bodyDiv w:val="1"/>
      <w:marLeft w:val="0"/>
      <w:marRight w:val="0"/>
      <w:marTop w:val="0"/>
      <w:marBottom w:val="0"/>
      <w:divBdr>
        <w:top w:val="none" w:sz="0" w:space="0" w:color="auto"/>
        <w:left w:val="none" w:sz="0" w:space="0" w:color="auto"/>
        <w:bottom w:val="none" w:sz="0" w:space="0" w:color="auto"/>
        <w:right w:val="none" w:sz="0" w:space="0" w:color="auto"/>
      </w:divBdr>
      <w:divsChild>
        <w:div w:id="750275122">
          <w:marLeft w:val="0"/>
          <w:marRight w:val="0"/>
          <w:marTop w:val="0"/>
          <w:marBottom w:val="0"/>
          <w:divBdr>
            <w:top w:val="none" w:sz="0" w:space="0" w:color="auto"/>
            <w:left w:val="none" w:sz="0" w:space="0" w:color="auto"/>
            <w:bottom w:val="none" w:sz="0" w:space="0" w:color="auto"/>
            <w:right w:val="none" w:sz="0" w:space="0" w:color="auto"/>
          </w:divBdr>
          <w:divsChild>
            <w:div w:id="195239856">
              <w:marLeft w:val="0"/>
              <w:marRight w:val="0"/>
              <w:marTop w:val="0"/>
              <w:marBottom w:val="0"/>
              <w:divBdr>
                <w:top w:val="none" w:sz="0" w:space="0" w:color="auto"/>
                <w:left w:val="none" w:sz="0" w:space="0" w:color="auto"/>
                <w:bottom w:val="none" w:sz="0" w:space="0" w:color="auto"/>
                <w:right w:val="none" w:sz="0" w:space="0" w:color="auto"/>
              </w:divBdr>
              <w:divsChild>
                <w:div w:id="1422793567">
                  <w:marLeft w:val="0"/>
                  <w:marRight w:val="0"/>
                  <w:marTop w:val="0"/>
                  <w:marBottom w:val="0"/>
                  <w:divBdr>
                    <w:top w:val="none" w:sz="0" w:space="0" w:color="auto"/>
                    <w:left w:val="none" w:sz="0" w:space="0" w:color="auto"/>
                    <w:bottom w:val="none" w:sz="0" w:space="0" w:color="auto"/>
                    <w:right w:val="none" w:sz="0" w:space="0" w:color="auto"/>
                  </w:divBdr>
                  <w:divsChild>
                    <w:div w:id="1256208974">
                      <w:marLeft w:val="0"/>
                      <w:marRight w:val="0"/>
                      <w:marTop w:val="0"/>
                      <w:marBottom w:val="0"/>
                      <w:divBdr>
                        <w:top w:val="none" w:sz="0" w:space="0" w:color="auto"/>
                        <w:left w:val="none" w:sz="0" w:space="0" w:color="auto"/>
                        <w:bottom w:val="none" w:sz="0" w:space="0" w:color="auto"/>
                        <w:right w:val="none" w:sz="0" w:space="0" w:color="auto"/>
                      </w:divBdr>
                      <w:divsChild>
                        <w:div w:id="2039620068">
                          <w:marLeft w:val="0"/>
                          <w:marRight w:val="0"/>
                          <w:marTop w:val="0"/>
                          <w:marBottom w:val="0"/>
                          <w:divBdr>
                            <w:top w:val="none" w:sz="0" w:space="0" w:color="auto"/>
                            <w:left w:val="none" w:sz="0" w:space="0" w:color="auto"/>
                            <w:bottom w:val="none" w:sz="0" w:space="0" w:color="auto"/>
                            <w:right w:val="none" w:sz="0" w:space="0" w:color="auto"/>
                          </w:divBdr>
                          <w:divsChild>
                            <w:div w:id="686324648">
                              <w:marLeft w:val="0"/>
                              <w:marRight w:val="0"/>
                              <w:marTop w:val="0"/>
                              <w:marBottom w:val="0"/>
                              <w:divBdr>
                                <w:top w:val="none" w:sz="0" w:space="0" w:color="auto"/>
                                <w:left w:val="none" w:sz="0" w:space="0" w:color="auto"/>
                                <w:bottom w:val="none" w:sz="0" w:space="0" w:color="auto"/>
                                <w:right w:val="none" w:sz="0" w:space="0" w:color="auto"/>
                              </w:divBdr>
                              <w:divsChild>
                                <w:div w:id="1429429095">
                                  <w:marLeft w:val="0"/>
                                  <w:marRight w:val="0"/>
                                  <w:marTop w:val="0"/>
                                  <w:marBottom w:val="0"/>
                                  <w:divBdr>
                                    <w:top w:val="none" w:sz="0" w:space="0" w:color="auto"/>
                                    <w:left w:val="none" w:sz="0" w:space="0" w:color="auto"/>
                                    <w:bottom w:val="none" w:sz="0" w:space="0" w:color="auto"/>
                                    <w:right w:val="none" w:sz="0" w:space="0" w:color="auto"/>
                                  </w:divBdr>
                                  <w:divsChild>
                                    <w:div w:id="19858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885171">
      <w:bodyDiv w:val="1"/>
      <w:marLeft w:val="0"/>
      <w:marRight w:val="0"/>
      <w:marTop w:val="0"/>
      <w:marBottom w:val="0"/>
      <w:divBdr>
        <w:top w:val="none" w:sz="0" w:space="0" w:color="auto"/>
        <w:left w:val="none" w:sz="0" w:space="0" w:color="auto"/>
        <w:bottom w:val="none" w:sz="0" w:space="0" w:color="auto"/>
        <w:right w:val="none" w:sz="0" w:space="0" w:color="auto"/>
      </w:divBdr>
    </w:div>
    <w:div w:id="105733122">
      <w:bodyDiv w:val="1"/>
      <w:marLeft w:val="0"/>
      <w:marRight w:val="0"/>
      <w:marTop w:val="0"/>
      <w:marBottom w:val="0"/>
      <w:divBdr>
        <w:top w:val="none" w:sz="0" w:space="0" w:color="auto"/>
        <w:left w:val="none" w:sz="0" w:space="0" w:color="auto"/>
        <w:bottom w:val="none" w:sz="0" w:space="0" w:color="auto"/>
        <w:right w:val="none" w:sz="0" w:space="0" w:color="auto"/>
      </w:divBdr>
    </w:div>
    <w:div w:id="124541420">
      <w:bodyDiv w:val="1"/>
      <w:marLeft w:val="0"/>
      <w:marRight w:val="0"/>
      <w:marTop w:val="0"/>
      <w:marBottom w:val="0"/>
      <w:divBdr>
        <w:top w:val="none" w:sz="0" w:space="0" w:color="auto"/>
        <w:left w:val="none" w:sz="0" w:space="0" w:color="auto"/>
        <w:bottom w:val="none" w:sz="0" w:space="0" w:color="auto"/>
        <w:right w:val="none" w:sz="0" w:space="0" w:color="auto"/>
      </w:divBdr>
    </w:div>
    <w:div w:id="127283434">
      <w:bodyDiv w:val="1"/>
      <w:marLeft w:val="0"/>
      <w:marRight w:val="0"/>
      <w:marTop w:val="0"/>
      <w:marBottom w:val="0"/>
      <w:divBdr>
        <w:top w:val="none" w:sz="0" w:space="0" w:color="auto"/>
        <w:left w:val="none" w:sz="0" w:space="0" w:color="auto"/>
        <w:bottom w:val="none" w:sz="0" w:space="0" w:color="auto"/>
        <w:right w:val="none" w:sz="0" w:space="0" w:color="auto"/>
      </w:divBdr>
    </w:div>
    <w:div w:id="127826789">
      <w:bodyDiv w:val="1"/>
      <w:marLeft w:val="0"/>
      <w:marRight w:val="0"/>
      <w:marTop w:val="0"/>
      <w:marBottom w:val="0"/>
      <w:divBdr>
        <w:top w:val="none" w:sz="0" w:space="0" w:color="auto"/>
        <w:left w:val="none" w:sz="0" w:space="0" w:color="auto"/>
        <w:bottom w:val="none" w:sz="0" w:space="0" w:color="auto"/>
        <w:right w:val="none" w:sz="0" w:space="0" w:color="auto"/>
      </w:divBdr>
    </w:div>
    <w:div w:id="133329013">
      <w:bodyDiv w:val="1"/>
      <w:marLeft w:val="0"/>
      <w:marRight w:val="0"/>
      <w:marTop w:val="0"/>
      <w:marBottom w:val="0"/>
      <w:divBdr>
        <w:top w:val="none" w:sz="0" w:space="0" w:color="auto"/>
        <w:left w:val="none" w:sz="0" w:space="0" w:color="auto"/>
        <w:bottom w:val="none" w:sz="0" w:space="0" w:color="auto"/>
        <w:right w:val="none" w:sz="0" w:space="0" w:color="auto"/>
      </w:divBdr>
    </w:div>
    <w:div w:id="134490866">
      <w:bodyDiv w:val="1"/>
      <w:marLeft w:val="0"/>
      <w:marRight w:val="0"/>
      <w:marTop w:val="0"/>
      <w:marBottom w:val="0"/>
      <w:divBdr>
        <w:top w:val="none" w:sz="0" w:space="0" w:color="auto"/>
        <w:left w:val="none" w:sz="0" w:space="0" w:color="auto"/>
        <w:bottom w:val="none" w:sz="0" w:space="0" w:color="auto"/>
        <w:right w:val="none" w:sz="0" w:space="0" w:color="auto"/>
      </w:divBdr>
    </w:div>
    <w:div w:id="135997285">
      <w:bodyDiv w:val="1"/>
      <w:marLeft w:val="0"/>
      <w:marRight w:val="0"/>
      <w:marTop w:val="0"/>
      <w:marBottom w:val="0"/>
      <w:divBdr>
        <w:top w:val="none" w:sz="0" w:space="0" w:color="auto"/>
        <w:left w:val="none" w:sz="0" w:space="0" w:color="auto"/>
        <w:bottom w:val="none" w:sz="0" w:space="0" w:color="auto"/>
        <w:right w:val="none" w:sz="0" w:space="0" w:color="auto"/>
      </w:divBdr>
    </w:div>
    <w:div w:id="136067773">
      <w:bodyDiv w:val="1"/>
      <w:marLeft w:val="0"/>
      <w:marRight w:val="0"/>
      <w:marTop w:val="0"/>
      <w:marBottom w:val="0"/>
      <w:divBdr>
        <w:top w:val="none" w:sz="0" w:space="0" w:color="auto"/>
        <w:left w:val="none" w:sz="0" w:space="0" w:color="auto"/>
        <w:bottom w:val="none" w:sz="0" w:space="0" w:color="auto"/>
        <w:right w:val="none" w:sz="0" w:space="0" w:color="auto"/>
      </w:divBdr>
    </w:div>
    <w:div w:id="138034042">
      <w:bodyDiv w:val="1"/>
      <w:marLeft w:val="0"/>
      <w:marRight w:val="0"/>
      <w:marTop w:val="0"/>
      <w:marBottom w:val="0"/>
      <w:divBdr>
        <w:top w:val="none" w:sz="0" w:space="0" w:color="auto"/>
        <w:left w:val="none" w:sz="0" w:space="0" w:color="auto"/>
        <w:bottom w:val="none" w:sz="0" w:space="0" w:color="auto"/>
        <w:right w:val="none" w:sz="0" w:space="0" w:color="auto"/>
      </w:divBdr>
    </w:div>
    <w:div w:id="139199269">
      <w:bodyDiv w:val="1"/>
      <w:marLeft w:val="0"/>
      <w:marRight w:val="0"/>
      <w:marTop w:val="0"/>
      <w:marBottom w:val="0"/>
      <w:divBdr>
        <w:top w:val="none" w:sz="0" w:space="0" w:color="auto"/>
        <w:left w:val="none" w:sz="0" w:space="0" w:color="auto"/>
        <w:bottom w:val="none" w:sz="0" w:space="0" w:color="auto"/>
        <w:right w:val="none" w:sz="0" w:space="0" w:color="auto"/>
      </w:divBdr>
    </w:div>
    <w:div w:id="142159402">
      <w:bodyDiv w:val="1"/>
      <w:marLeft w:val="0"/>
      <w:marRight w:val="0"/>
      <w:marTop w:val="0"/>
      <w:marBottom w:val="0"/>
      <w:divBdr>
        <w:top w:val="none" w:sz="0" w:space="0" w:color="auto"/>
        <w:left w:val="none" w:sz="0" w:space="0" w:color="auto"/>
        <w:bottom w:val="none" w:sz="0" w:space="0" w:color="auto"/>
        <w:right w:val="none" w:sz="0" w:space="0" w:color="auto"/>
      </w:divBdr>
    </w:div>
    <w:div w:id="145053089">
      <w:bodyDiv w:val="1"/>
      <w:marLeft w:val="0"/>
      <w:marRight w:val="0"/>
      <w:marTop w:val="0"/>
      <w:marBottom w:val="0"/>
      <w:divBdr>
        <w:top w:val="none" w:sz="0" w:space="0" w:color="auto"/>
        <w:left w:val="none" w:sz="0" w:space="0" w:color="auto"/>
        <w:bottom w:val="none" w:sz="0" w:space="0" w:color="auto"/>
        <w:right w:val="none" w:sz="0" w:space="0" w:color="auto"/>
      </w:divBdr>
    </w:div>
    <w:div w:id="145322281">
      <w:bodyDiv w:val="1"/>
      <w:marLeft w:val="0"/>
      <w:marRight w:val="0"/>
      <w:marTop w:val="0"/>
      <w:marBottom w:val="0"/>
      <w:divBdr>
        <w:top w:val="none" w:sz="0" w:space="0" w:color="auto"/>
        <w:left w:val="none" w:sz="0" w:space="0" w:color="auto"/>
        <w:bottom w:val="none" w:sz="0" w:space="0" w:color="auto"/>
        <w:right w:val="none" w:sz="0" w:space="0" w:color="auto"/>
      </w:divBdr>
    </w:div>
    <w:div w:id="151261800">
      <w:bodyDiv w:val="1"/>
      <w:marLeft w:val="0"/>
      <w:marRight w:val="0"/>
      <w:marTop w:val="0"/>
      <w:marBottom w:val="0"/>
      <w:divBdr>
        <w:top w:val="none" w:sz="0" w:space="0" w:color="auto"/>
        <w:left w:val="none" w:sz="0" w:space="0" w:color="auto"/>
        <w:bottom w:val="none" w:sz="0" w:space="0" w:color="auto"/>
        <w:right w:val="none" w:sz="0" w:space="0" w:color="auto"/>
      </w:divBdr>
    </w:div>
    <w:div w:id="151458838">
      <w:bodyDiv w:val="1"/>
      <w:marLeft w:val="0"/>
      <w:marRight w:val="0"/>
      <w:marTop w:val="0"/>
      <w:marBottom w:val="0"/>
      <w:divBdr>
        <w:top w:val="none" w:sz="0" w:space="0" w:color="auto"/>
        <w:left w:val="none" w:sz="0" w:space="0" w:color="auto"/>
        <w:bottom w:val="none" w:sz="0" w:space="0" w:color="auto"/>
        <w:right w:val="none" w:sz="0" w:space="0" w:color="auto"/>
      </w:divBdr>
    </w:div>
    <w:div w:id="153837641">
      <w:bodyDiv w:val="1"/>
      <w:marLeft w:val="0"/>
      <w:marRight w:val="0"/>
      <w:marTop w:val="0"/>
      <w:marBottom w:val="0"/>
      <w:divBdr>
        <w:top w:val="none" w:sz="0" w:space="0" w:color="auto"/>
        <w:left w:val="none" w:sz="0" w:space="0" w:color="auto"/>
        <w:bottom w:val="none" w:sz="0" w:space="0" w:color="auto"/>
        <w:right w:val="none" w:sz="0" w:space="0" w:color="auto"/>
      </w:divBdr>
    </w:div>
    <w:div w:id="162546843">
      <w:bodyDiv w:val="1"/>
      <w:marLeft w:val="0"/>
      <w:marRight w:val="0"/>
      <w:marTop w:val="0"/>
      <w:marBottom w:val="0"/>
      <w:divBdr>
        <w:top w:val="none" w:sz="0" w:space="0" w:color="auto"/>
        <w:left w:val="none" w:sz="0" w:space="0" w:color="auto"/>
        <w:bottom w:val="none" w:sz="0" w:space="0" w:color="auto"/>
        <w:right w:val="none" w:sz="0" w:space="0" w:color="auto"/>
      </w:divBdr>
    </w:div>
    <w:div w:id="163054185">
      <w:bodyDiv w:val="1"/>
      <w:marLeft w:val="0"/>
      <w:marRight w:val="0"/>
      <w:marTop w:val="0"/>
      <w:marBottom w:val="0"/>
      <w:divBdr>
        <w:top w:val="none" w:sz="0" w:space="0" w:color="auto"/>
        <w:left w:val="none" w:sz="0" w:space="0" w:color="auto"/>
        <w:bottom w:val="none" w:sz="0" w:space="0" w:color="auto"/>
        <w:right w:val="none" w:sz="0" w:space="0" w:color="auto"/>
      </w:divBdr>
    </w:div>
    <w:div w:id="170459747">
      <w:bodyDiv w:val="1"/>
      <w:marLeft w:val="0"/>
      <w:marRight w:val="0"/>
      <w:marTop w:val="0"/>
      <w:marBottom w:val="0"/>
      <w:divBdr>
        <w:top w:val="none" w:sz="0" w:space="0" w:color="auto"/>
        <w:left w:val="none" w:sz="0" w:space="0" w:color="auto"/>
        <w:bottom w:val="none" w:sz="0" w:space="0" w:color="auto"/>
        <w:right w:val="none" w:sz="0" w:space="0" w:color="auto"/>
      </w:divBdr>
    </w:div>
    <w:div w:id="173233797">
      <w:bodyDiv w:val="1"/>
      <w:marLeft w:val="0"/>
      <w:marRight w:val="0"/>
      <w:marTop w:val="0"/>
      <w:marBottom w:val="0"/>
      <w:divBdr>
        <w:top w:val="none" w:sz="0" w:space="0" w:color="auto"/>
        <w:left w:val="none" w:sz="0" w:space="0" w:color="auto"/>
        <w:bottom w:val="none" w:sz="0" w:space="0" w:color="auto"/>
        <w:right w:val="none" w:sz="0" w:space="0" w:color="auto"/>
      </w:divBdr>
    </w:div>
    <w:div w:id="173494887">
      <w:bodyDiv w:val="1"/>
      <w:marLeft w:val="0"/>
      <w:marRight w:val="0"/>
      <w:marTop w:val="0"/>
      <w:marBottom w:val="0"/>
      <w:divBdr>
        <w:top w:val="none" w:sz="0" w:space="0" w:color="auto"/>
        <w:left w:val="none" w:sz="0" w:space="0" w:color="auto"/>
        <w:bottom w:val="none" w:sz="0" w:space="0" w:color="auto"/>
        <w:right w:val="none" w:sz="0" w:space="0" w:color="auto"/>
      </w:divBdr>
    </w:div>
    <w:div w:id="182791285">
      <w:bodyDiv w:val="1"/>
      <w:marLeft w:val="0"/>
      <w:marRight w:val="0"/>
      <w:marTop w:val="0"/>
      <w:marBottom w:val="0"/>
      <w:divBdr>
        <w:top w:val="none" w:sz="0" w:space="0" w:color="auto"/>
        <w:left w:val="none" w:sz="0" w:space="0" w:color="auto"/>
        <w:bottom w:val="none" w:sz="0" w:space="0" w:color="auto"/>
        <w:right w:val="none" w:sz="0" w:space="0" w:color="auto"/>
      </w:divBdr>
    </w:div>
    <w:div w:id="195237036">
      <w:bodyDiv w:val="1"/>
      <w:marLeft w:val="0"/>
      <w:marRight w:val="0"/>
      <w:marTop w:val="0"/>
      <w:marBottom w:val="0"/>
      <w:divBdr>
        <w:top w:val="none" w:sz="0" w:space="0" w:color="auto"/>
        <w:left w:val="none" w:sz="0" w:space="0" w:color="auto"/>
        <w:bottom w:val="none" w:sz="0" w:space="0" w:color="auto"/>
        <w:right w:val="none" w:sz="0" w:space="0" w:color="auto"/>
      </w:divBdr>
    </w:div>
    <w:div w:id="208230206">
      <w:bodyDiv w:val="1"/>
      <w:marLeft w:val="0"/>
      <w:marRight w:val="0"/>
      <w:marTop w:val="0"/>
      <w:marBottom w:val="0"/>
      <w:divBdr>
        <w:top w:val="none" w:sz="0" w:space="0" w:color="auto"/>
        <w:left w:val="none" w:sz="0" w:space="0" w:color="auto"/>
        <w:bottom w:val="none" w:sz="0" w:space="0" w:color="auto"/>
        <w:right w:val="none" w:sz="0" w:space="0" w:color="auto"/>
      </w:divBdr>
    </w:div>
    <w:div w:id="212469830">
      <w:bodyDiv w:val="1"/>
      <w:marLeft w:val="0"/>
      <w:marRight w:val="0"/>
      <w:marTop w:val="0"/>
      <w:marBottom w:val="0"/>
      <w:divBdr>
        <w:top w:val="none" w:sz="0" w:space="0" w:color="auto"/>
        <w:left w:val="none" w:sz="0" w:space="0" w:color="auto"/>
        <w:bottom w:val="none" w:sz="0" w:space="0" w:color="auto"/>
        <w:right w:val="none" w:sz="0" w:space="0" w:color="auto"/>
      </w:divBdr>
      <w:divsChild>
        <w:div w:id="1290942388">
          <w:marLeft w:val="0"/>
          <w:marRight w:val="0"/>
          <w:marTop w:val="0"/>
          <w:marBottom w:val="0"/>
          <w:divBdr>
            <w:top w:val="none" w:sz="0" w:space="0" w:color="auto"/>
            <w:left w:val="none" w:sz="0" w:space="0" w:color="auto"/>
            <w:bottom w:val="none" w:sz="0" w:space="0" w:color="auto"/>
            <w:right w:val="none" w:sz="0" w:space="0" w:color="auto"/>
          </w:divBdr>
          <w:divsChild>
            <w:div w:id="1527403287">
              <w:marLeft w:val="0"/>
              <w:marRight w:val="0"/>
              <w:marTop w:val="0"/>
              <w:marBottom w:val="0"/>
              <w:divBdr>
                <w:top w:val="none" w:sz="0" w:space="0" w:color="auto"/>
                <w:left w:val="none" w:sz="0" w:space="0" w:color="auto"/>
                <w:bottom w:val="none" w:sz="0" w:space="0" w:color="auto"/>
                <w:right w:val="none" w:sz="0" w:space="0" w:color="auto"/>
              </w:divBdr>
              <w:divsChild>
                <w:div w:id="1606501199">
                  <w:marLeft w:val="0"/>
                  <w:marRight w:val="0"/>
                  <w:marTop w:val="0"/>
                  <w:marBottom w:val="0"/>
                  <w:divBdr>
                    <w:top w:val="none" w:sz="0" w:space="0" w:color="auto"/>
                    <w:left w:val="none" w:sz="0" w:space="0" w:color="auto"/>
                    <w:bottom w:val="none" w:sz="0" w:space="0" w:color="auto"/>
                    <w:right w:val="none" w:sz="0" w:space="0" w:color="auto"/>
                  </w:divBdr>
                  <w:divsChild>
                    <w:div w:id="1096049436">
                      <w:marLeft w:val="0"/>
                      <w:marRight w:val="0"/>
                      <w:marTop w:val="0"/>
                      <w:marBottom w:val="0"/>
                      <w:divBdr>
                        <w:top w:val="none" w:sz="0" w:space="0" w:color="auto"/>
                        <w:left w:val="none" w:sz="0" w:space="0" w:color="auto"/>
                        <w:bottom w:val="none" w:sz="0" w:space="0" w:color="auto"/>
                        <w:right w:val="none" w:sz="0" w:space="0" w:color="auto"/>
                      </w:divBdr>
                      <w:divsChild>
                        <w:div w:id="1895964212">
                          <w:marLeft w:val="0"/>
                          <w:marRight w:val="0"/>
                          <w:marTop w:val="0"/>
                          <w:marBottom w:val="0"/>
                          <w:divBdr>
                            <w:top w:val="none" w:sz="0" w:space="0" w:color="auto"/>
                            <w:left w:val="none" w:sz="0" w:space="0" w:color="auto"/>
                            <w:bottom w:val="none" w:sz="0" w:space="0" w:color="auto"/>
                            <w:right w:val="none" w:sz="0" w:space="0" w:color="auto"/>
                          </w:divBdr>
                          <w:divsChild>
                            <w:div w:id="1886211954">
                              <w:marLeft w:val="0"/>
                              <w:marRight w:val="0"/>
                              <w:marTop w:val="0"/>
                              <w:marBottom w:val="0"/>
                              <w:divBdr>
                                <w:top w:val="none" w:sz="0" w:space="0" w:color="auto"/>
                                <w:left w:val="none" w:sz="0" w:space="0" w:color="auto"/>
                                <w:bottom w:val="none" w:sz="0" w:space="0" w:color="auto"/>
                                <w:right w:val="none" w:sz="0" w:space="0" w:color="auto"/>
                              </w:divBdr>
                              <w:divsChild>
                                <w:div w:id="1266185297">
                                  <w:marLeft w:val="0"/>
                                  <w:marRight w:val="0"/>
                                  <w:marTop w:val="0"/>
                                  <w:marBottom w:val="0"/>
                                  <w:divBdr>
                                    <w:top w:val="none" w:sz="0" w:space="0" w:color="auto"/>
                                    <w:left w:val="none" w:sz="0" w:space="0" w:color="auto"/>
                                    <w:bottom w:val="none" w:sz="0" w:space="0" w:color="auto"/>
                                    <w:right w:val="none" w:sz="0" w:space="0" w:color="auto"/>
                                  </w:divBdr>
                                  <w:divsChild>
                                    <w:div w:id="125778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011758">
      <w:bodyDiv w:val="1"/>
      <w:marLeft w:val="0"/>
      <w:marRight w:val="0"/>
      <w:marTop w:val="0"/>
      <w:marBottom w:val="0"/>
      <w:divBdr>
        <w:top w:val="none" w:sz="0" w:space="0" w:color="auto"/>
        <w:left w:val="none" w:sz="0" w:space="0" w:color="auto"/>
        <w:bottom w:val="none" w:sz="0" w:space="0" w:color="auto"/>
        <w:right w:val="none" w:sz="0" w:space="0" w:color="auto"/>
      </w:divBdr>
    </w:div>
    <w:div w:id="216203838">
      <w:bodyDiv w:val="1"/>
      <w:marLeft w:val="0"/>
      <w:marRight w:val="0"/>
      <w:marTop w:val="0"/>
      <w:marBottom w:val="0"/>
      <w:divBdr>
        <w:top w:val="none" w:sz="0" w:space="0" w:color="auto"/>
        <w:left w:val="none" w:sz="0" w:space="0" w:color="auto"/>
        <w:bottom w:val="none" w:sz="0" w:space="0" w:color="auto"/>
        <w:right w:val="none" w:sz="0" w:space="0" w:color="auto"/>
      </w:divBdr>
    </w:div>
    <w:div w:id="218323638">
      <w:bodyDiv w:val="1"/>
      <w:marLeft w:val="0"/>
      <w:marRight w:val="0"/>
      <w:marTop w:val="0"/>
      <w:marBottom w:val="0"/>
      <w:divBdr>
        <w:top w:val="none" w:sz="0" w:space="0" w:color="auto"/>
        <w:left w:val="none" w:sz="0" w:space="0" w:color="auto"/>
        <w:bottom w:val="none" w:sz="0" w:space="0" w:color="auto"/>
        <w:right w:val="none" w:sz="0" w:space="0" w:color="auto"/>
      </w:divBdr>
    </w:div>
    <w:div w:id="222369993">
      <w:bodyDiv w:val="1"/>
      <w:marLeft w:val="0"/>
      <w:marRight w:val="0"/>
      <w:marTop w:val="0"/>
      <w:marBottom w:val="0"/>
      <w:divBdr>
        <w:top w:val="none" w:sz="0" w:space="0" w:color="auto"/>
        <w:left w:val="none" w:sz="0" w:space="0" w:color="auto"/>
        <w:bottom w:val="none" w:sz="0" w:space="0" w:color="auto"/>
        <w:right w:val="none" w:sz="0" w:space="0" w:color="auto"/>
      </w:divBdr>
    </w:div>
    <w:div w:id="224994428">
      <w:bodyDiv w:val="1"/>
      <w:marLeft w:val="0"/>
      <w:marRight w:val="0"/>
      <w:marTop w:val="0"/>
      <w:marBottom w:val="0"/>
      <w:divBdr>
        <w:top w:val="none" w:sz="0" w:space="0" w:color="auto"/>
        <w:left w:val="none" w:sz="0" w:space="0" w:color="auto"/>
        <w:bottom w:val="none" w:sz="0" w:space="0" w:color="auto"/>
        <w:right w:val="none" w:sz="0" w:space="0" w:color="auto"/>
      </w:divBdr>
    </w:div>
    <w:div w:id="226960315">
      <w:bodyDiv w:val="1"/>
      <w:marLeft w:val="0"/>
      <w:marRight w:val="0"/>
      <w:marTop w:val="0"/>
      <w:marBottom w:val="0"/>
      <w:divBdr>
        <w:top w:val="none" w:sz="0" w:space="0" w:color="auto"/>
        <w:left w:val="none" w:sz="0" w:space="0" w:color="auto"/>
        <w:bottom w:val="none" w:sz="0" w:space="0" w:color="auto"/>
        <w:right w:val="none" w:sz="0" w:space="0" w:color="auto"/>
      </w:divBdr>
    </w:div>
    <w:div w:id="227305547">
      <w:bodyDiv w:val="1"/>
      <w:marLeft w:val="0"/>
      <w:marRight w:val="0"/>
      <w:marTop w:val="0"/>
      <w:marBottom w:val="0"/>
      <w:divBdr>
        <w:top w:val="none" w:sz="0" w:space="0" w:color="auto"/>
        <w:left w:val="none" w:sz="0" w:space="0" w:color="auto"/>
        <w:bottom w:val="none" w:sz="0" w:space="0" w:color="auto"/>
        <w:right w:val="none" w:sz="0" w:space="0" w:color="auto"/>
      </w:divBdr>
    </w:div>
    <w:div w:id="227619216">
      <w:bodyDiv w:val="1"/>
      <w:marLeft w:val="0"/>
      <w:marRight w:val="0"/>
      <w:marTop w:val="0"/>
      <w:marBottom w:val="0"/>
      <w:divBdr>
        <w:top w:val="none" w:sz="0" w:space="0" w:color="auto"/>
        <w:left w:val="none" w:sz="0" w:space="0" w:color="auto"/>
        <w:bottom w:val="none" w:sz="0" w:space="0" w:color="auto"/>
        <w:right w:val="none" w:sz="0" w:space="0" w:color="auto"/>
      </w:divBdr>
    </w:div>
    <w:div w:id="228073335">
      <w:bodyDiv w:val="1"/>
      <w:marLeft w:val="0"/>
      <w:marRight w:val="0"/>
      <w:marTop w:val="0"/>
      <w:marBottom w:val="0"/>
      <w:divBdr>
        <w:top w:val="none" w:sz="0" w:space="0" w:color="auto"/>
        <w:left w:val="none" w:sz="0" w:space="0" w:color="auto"/>
        <w:bottom w:val="none" w:sz="0" w:space="0" w:color="auto"/>
        <w:right w:val="none" w:sz="0" w:space="0" w:color="auto"/>
      </w:divBdr>
    </w:div>
    <w:div w:id="236860528">
      <w:bodyDiv w:val="1"/>
      <w:marLeft w:val="0"/>
      <w:marRight w:val="0"/>
      <w:marTop w:val="0"/>
      <w:marBottom w:val="0"/>
      <w:divBdr>
        <w:top w:val="none" w:sz="0" w:space="0" w:color="auto"/>
        <w:left w:val="none" w:sz="0" w:space="0" w:color="auto"/>
        <w:bottom w:val="none" w:sz="0" w:space="0" w:color="auto"/>
        <w:right w:val="none" w:sz="0" w:space="0" w:color="auto"/>
      </w:divBdr>
    </w:div>
    <w:div w:id="240532854">
      <w:bodyDiv w:val="1"/>
      <w:marLeft w:val="0"/>
      <w:marRight w:val="0"/>
      <w:marTop w:val="0"/>
      <w:marBottom w:val="0"/>
      <w:divBdr>
        <w:top w:val="none" w:sz="0" w:space="0" w:color="auto"/>
        <w:left w:val="none" w:sz="0" w:space="0" w:color="auto"/>
        <w:bottom w:val="none" w:sz="0" w:space="0" w:color="auto"/>
        <w:right w:val="none" w:sz="0" w:space="0" w:color="auto"/>
      </w:divBdr>
    </w:div>
    <w:div w:id="243495367">
      <w:bodyDiv w:val="1"/>
      <w:marLeft w:val="0"/>
      <w:marRight w:val="0"/>
      <w:marTop w:val="0"/>
      <w:marBottom w:val="0"/>
      <w:divBdr>
        <w:top w:val="none" w:sz="0" w:space="0" w:color="auto"/>
        <w:left w:val="none" w:sz="0" w:space="0" w:color="auto"/>
        <w:bottom w:val="none" w:sz="0" w:space="0" w:color="auto"/>
        <w:right w:val="none" w:sz="0" w:space="0" w:color="auto"/>
      </w:divBdr>
    </w:div>
    <w:div w:id="247201908">
      <w:bodyDiv w:val="1"/>
      <w:marLeft w:val="0"/>
      <w:marRight w:val="0"/>
      <w:marTop w:val="0"/>
      <w:marBottom w:val="0"/>
      <w:divBdr>
        <w:top w:val="none" w:sz="0" w:space="0" w:color="auto"/>
        <w:left w:val="none" w:sz="0" w:space="0" w:color="auto"/>
        <w:bottom w:val="none" w:sz="0" w:space="0" w:color="auto"/>
        <w:right w:val="none" w:sz="0" w:space="0" w:color="auto"/>
      </w:divBdr>
    </w:div>
    <w:div w:id="247884379">
      <w:bodyDiv w:val="1"/>
      <w:marLeft w:val="0"/>
      <w:marRight w:val="0"/>
      <w:marTop w:val="0"/>
      <w:marBottom w:val="0"/>
      <w:divBdr>
        <w:top w:val="none" w:sz="0" w:space="0" w:color="auto"/>
        <w:left w:val="none" w:sz="0" w:space="0" w:color="auto"/>
        <w:bottom w:val="none" w:sz="0" w:space="0" w:color="auto"/>
        <w:right w:val="none" w:sz="0" w:space="0" w:color="auto"/>
      </w:divBdr>
    </w:div>
    <w:div w:id="249969401">
      <w:bodyDiv w:val="1"/>
      <w:marLeft w:val="0"/>
      <w:marRight w:val="0"/>
      <w:marTop w:val="0"/>
      <w:marBottom w:val="0"/>
      <w:divBdr>
        <w:top w:val="none" w:sz="0" w:space="0" w:color="auto"/>
        <w:left w:val="none" w:sz="0" w:space="0" w:color="auto"/>
        <w:bottom w:val="none" w:sz="0" w:space="0" w:color="auto"/>
        <w:right w:val="none" w:sz="0" w:space="0" w:color="auto"/>
      </w:divBdr>
    </w:div>
    <w:div w:id="249973660">
      <w:bodyDiv w:val="1"/>
      <w:marLeft w:val="0"/>
      <w:marRight w:val="0"/>
      <w:marTop w:val="0"/>
      <w:marBottom w:val="0"/>
      <w:divBdr>
        <w:top w:val="none" w:sz="0" w:space="0" w:color="auto"/>
        <w:left w:val="none" w:sz="0" w:space="0" w:color="auto"/>
        <w:bottom w:val="none" w:sz="0" w:space="0" w:color="auto"/>
        <w:right w:val="none" w:sz="0" w:space="0" w:color="auto"/>
      </w:divBdr>
    </w:div>
    <w:div w:id="251546204">
      <w:bodyDiv w:val="1"/>
      <w:marLeft w:val="0"/>
      <w:marRight w:val="0"/>
      <w:marTop w:val="0"/>
      <w:marBottom w:val="0"/>
      <w:divBdr>
        <w:top w:val="none" w:sz="0" w:space="0" w:color="auto"/>
        <w:left w:val="none" w:sz="0" w:space="0" w:color="auto"/>
        <w:bottom w:val="none" w:sz="0" w:space="0" w:color="auto"/>
        <w:right w:val="none" w:sz="0" w:space="0" w:color="auto"/>
      </w:divBdr>
    </w:div>
    <w:div w:id="251858180">
      <w:bodyDiv w:val="1"/>
      <w:marLeft w:val="0"/>
      <w:marRight w:val="0"/>
      <w:marTop w:val="0"/>
      <w:marBottom w:val="0"/>
      <w:divBdr>
        <w:top w:val="none" w:sz="0" w:space="0" w:color="auto"/>
        <w:left w:val="none" w:sz="0" w:space="0" w:color="auto"/>
        <w:bottom w:val="none" w:sz="0" w:space="0" w:color="auto"/>
        <w:right w:val="none" w:sz="0" w:space="0" w:color="auto"/>
      </w:divBdr>
    </w:div>
    <w:div w:id="256519949">
      <w:bodyDiv w:val="1"/>
      <w:marLeft w:val="0"/>
      <w:marRight w:val="0"/>
      <w:marTop w:val="0"/>
      <w:marBottom w:val="0"/>
      <w:divBdr>
        <w:top w:val="none" w:sz="0" w:space="0" w:color="auto"/>
        <w:left w:val="none" w:sz="0" w:space="0" w:color="auto"/>
        <w:bottom w:val="none" w:sz="0" w:space="0" w:color="auto"/>
        <w:right w:val="none" w:sz="0" w:space="0" w:color="auto"/>
      </w:divBdr>
    </w:div>
    <w:div w:id="256718023">
      <w:bodyDiv w:val="1"/>
      <w:marLeft w:val="0"/>
      <w:marRight w:val="0"/>
      <w:marTop w:val="0"/>
      <w:marBottom w:val="0"/>
      <w:divBdr>
        <w:top w:val="none" w:sz="0" w:space="0" w:color="auto"/>
        <w:left w:val="none" w:sz="0" w:space="0" w:color="auto"/>
        <w:bottom w:val="none" w:sz="0" w:space="0" w:color="auto"/>
        <w:right w:val="none" w:sz="0" w:space="0" w:color="auto"/>
      </w:divBdr>
      <w:divsChild>
        <w:div w:id="1216430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6836136">
      <w:bodyDiv w:val="1"/>
      <w:marLeft w:val="0"/>
      <w:marRight w:val="0"/>
      <w:marTop w:val="0"/>
      <w:marBottom w:val="0"/>
      <w:divBdr>
        <w:top w:val="none" w:sz="0" w:space="0" w:color="auto"/>
        <w:left w:val="none" w:sz="0" w:space="0" w:color="auto"/>
        <w:bottom w:val="none" w:sz="0" w:space="0" w:color="auto"/>
        <w:right w:val="none" w:sz="0" w:space="0" w:color="auto"/>
      </w:divBdr>
      <w:divsChild>
        <w:div w:id="213155739">
          <w:marLeft w:val="0"/>
          <w:marRight w:val="0"/>
          <w:marTop w:val="0"/>
          <w:marBottom w:val="0"/>
          <w:divBdr>
            <w:top w:val="none" w:sz="0" w:space="0" w:color="auto"/>
            <w:left w:val="none" w:sz="0" w:space="0" w:color="auto"/>
            <w:bottom w:val="none" w:sz="0" w:space="0" w:color="auto"/>
            <w:right w:val="none" w:sz="0" w:space="0" w:color="auto"/>
          </w:divBdr>
          <w:divsChild>
            <w:div w:id="1723409587">
              <w:marLeft w:val="0"/>
              <w:marRight w:val="0"/>
              <w:marTop w:val="0"/>
              <w:marBottom w:val="0"/>
              <w:divBdr>
                <w:top w:val="none" w:sz="0" w:space="0" w:color="auto"/>
                <w:left w:val="none" w:sz="0" w:space="0" w:color="auto"/>
                <w:bottom w:val="none" w:sz="0" w:space="0" w:color="auto"/>
                <w:right w:val="none" w:sz="0" w:space="0" w:color="auto"/>
              </w:divBdr>
              <w:divsChild>
                <w:div w:id="1108935386">
                  <w:marLeft w:val="0"/>
                  <w:marRight w:val="0"/>
                  <w:marTop w:val="0"/>
                  <w:marBottom w:val="0"/>
                  <w:divBdr>
                    <w:top w:val="none" w:sz="0" w:space="0" w:color="auto"/>
                    <w:left w:val="none" w:sz="0" w:space="0" w:color="auto"/>
                    <w:bottom w:val="none" w:sz="0" w:space="0" w:color="auto"/>
                    <w:right w:val="none" w:sz="0" w:space="0" w:color="auto"/>
                  </w:divBdr>
                  <w:divsChild>
                    <w:div w:id="1961835506">
                      <w:marLeft w:val="0"/>
                      <w:marRight w:val="0"/>
                      <w:marTop w:val="0"/>
                      <w:marBottom w:val="0"/>
                      <w:divBdr>
                        <w:top w:val="none" w:sz="0" w:space="0" w:color="auto"/>
                        <w:left w:val="none" w:sz="0" w:space="0" w:color="auto"/>
                        <w:bottom w:val="none" w:sz="0" w:space="0" w:color="auto"/>
                        <w:right w:val="none" w:sz="0" w:space="0" w:color="auto"/>
                      </w:divBdr>
                      <w:divsChild>
                        <w:div w:id="1197693981">
                          <w:marLeft w:val="0"/>
                          <w:marRight w:val="0"/>
                          <w:marTop w:val="0"/>
                          <w:marBottom w:val="0"/>
                          <w:divBdr>
                            <w:top w:val="none" w:sz="0" w:space="0" w:color="auto"/>
                            <w:left w:val="none" w:sz="0" w:space="0" w:color="auto"/>
                            <w:bottom w:val="none" w:sz="0" w:space="0" w:color="auto"/>
                            <w:right w:val="none" w:sz="0" w:space="0" w:color="auto"/>
                          </w:divBdr>
                          <w:divsChild>
                            <w:div w:id="1782262882">
                              <w:marLeft w:val="0"/>
                              <w:marRight w:val="0"/>
                              <w:marTop w:val="0"/>
                              <w:marBottom w:val="0"/>
                              <w:divBdr>
                                <w:top w:val="none" w:sz="0" w:space="0" w:color="auto"/>
                                <w:left w:val="none" w:sz="0" w:space="0" w:color="auto"/>
                                <w:bottom w:val="none" w:sz="0" w:space="0" w:color="auto"/>
                                <w:right w:val="none" w:sz="0" w:space="0" w:color="auto"/>
                              </w:divBdr>
                              <w:divsChild>
                                <w:div w:id="1767920205">
                                  <w:marLeft w:val="0"/>
                                  <w:marRight w:val="0"/>
                                  <w:marTop w:val="0"/>
                                  <w:marBottom w:val="0"/>
                                  <w:divBdr>
                                    <w:top w:val="none" w:sz="0" w:space="0" w:color="auto"/>
                                    <w:left w:val="none" w:sz="0" w:space="0" w:color="auto"/>
                                    <w:bottom w:val="none" w:sz="0" w:space="0" w:color="auto"/>
                                    <w:right w:val="none" w:sz="0" w:space="0" w:color="auto"/>
                                  </w:divBdr>
                                  <w:divsChild>
                                    <w:div w:id="157385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3346310">
      <w:bodyDiv w:val="1"/>
      <w:marLeft w:val="0"/>
      <w:marRight w:val="0"/>
      <w:marTop w:val="0"/>
      <w:marBottom w:val="0"/>
      <w:divBdr>
        <w:top w:val="none" w:sz="0" w:space="0" w:color="auto"/>
        <w:left w:val="none" w:sz="0" w:space="0" w:color="auto"/>
        <w:bottom w:val="none" w:sz="0" w:space="0" w:color="auto"/>
        <w:right w:val="none" w:sz="0" w:space="0" w:color="auto"/>
      </w:divBdr>
    </w:div>
    <w:div w:id="273295087">
      <w:bodyDiv w:val="1"/>
      <w:marLeft w:val="0"/>
      <w:marRight w:val="0"/>
      <w:marTop w:val="0"/>
      <w:marBottom w:val="0"/>
      <w:divBdr>
        <w:top w:val="none" w:sz="0" w:space="0" w:color="auto"/>
        <w:left w:val="none" w:sz="0" w:space="0" w:color="auto"/>
        <w:bottom w:val="none" w:sz="0" w:space="0" w:color="auto"/>
        <w:right w:val="none" w:sz="0" w:space="0" w:color="auto"/>
      </w:divBdr>
    </w:div>
    <w:div w:id="276572247">
      <w:bodyDiv w:val="1"/>
      <w:marLeft w:val="0"/>
      <w:marRight w:val="0"/>
      <w:marTop w:val="0"/>
      <w:marBottom w:val="0"/>
      <w:divBdr>
        <w:top w:val="none" w:sz="0" w:space="0" w:color="auto"/>
        <w:left w:val="none" w:sz="0" w:space="0" w:color="auto"/>
        <w:bottom w:val="none" w:sz="0" w:space="0" w:color="auto"/>
        <w:right w:val="none" w:sz="0" w:space="0" w:color="auto"/>
      </w:divBdr>
    </w:div>
    <w:div w:id="281766568">
      <w:bodyDiv w:val="1"/>
      <w:marLeft w:val="0"/>
      <w:marRight w:val="0"/>
      <w:marTop w:val="0"/>
      <w:marBottom w:val="0"/>
      <w:divBdr>
        <w:top w:val="none" w:sz="0" w:space="0" w:color="auto"/>
        <w:left w:val="none" w:sz="0" w:space="0" w:color="auto"/>
        <w:bottom w:val="none" w:sz="0" w:space="0" w:color="auto"/>
        <w:right w:val="none" w:sz="0" w:space="0" w:color="auto"/>
      </w:divBdr>
    </w:div>
    <w:div w:id="292176946">
      <w:bodyDiv w:val="1"/>
      <w:marLeft w:val="0"/>
      <w:marRight w:val="0"/>
      <w:marTop w:val="0"/>
      <w:marBottom w:val="0"/>
      <w:divBdr>
        <w:top w:val="none" w:sz="0" w:space="0" w:color="auto"/>
        <w:left w:val="none" w:sz="0" w:space="0" w:color="auto"/>
        <w:bottom w:val="none" w:sz="0" w:space="0" w:color="auto"/>
        <w:right w:val="none" w:sz="0" w:space="0" w:color="auto"/>
      </w:divBdr>
    </w:div>
    <w:div w:id="296759275">
      <w:bodyDiv w:val="1"/>
      <w:marLeft w:val="0"/>
      <w:marRight w:val="0"/>
      <w:marTop w:val="0"/>
      <w:marBottom w:val="0"/>
      <w:divBdr>
        <w:top w:val="none" w:sz="0" w:space="0" w:color="auto"/>
        <w:left w:val="none" w:sz="0" w:space="0" w:color="auto"/>
        <w:bottom w:val="none" w:sz="0" w:space="0" w:color="auto"/>
        <w:right w:val="none" w:sz="0" w:space="0" w:color="auto"/>
      </w:divBdr>
    </w:div>
    <w:div w:id="298001123">
      <w:bodyDiv w:val="1"/>
      <w:marLeft w:val="0"/>
      <w:marRight w:val="0"/>
      <w:marTop w:val="0"/>
      <w:marBottom w:val="0"/>
      <w:divBdr>
        <w:top w:val="none" w:sz="0" w:space="0" w:color="auto"/>
        <w:left w:val="none" w:sz="0" w:space="0" w:color="auto"/>
        <w:bottom w:val="none" w:sz="0" w:space="0" w:color="auto"/>
        <w:right w:val="none" w:sz="0" w:space="0" w:color="auto"/>
      </w:divBdr>
    </w:div>
    <w:div w:id="301620048">
      <w:bodyDiv w:val="1"/>
      <w:marLeft w:val="0"/>
      <w:marRight w:val="0"/>
      <w:marTop w:val="0"/>
      <w:marBottom w:val="0"/>
      <w:divBdr>
        <w:top w:val="none" w:sz="0" w:space="0" w:color="auto"/>
        <w:left w:val="none" w:sz="0" w:space="0" w:color="auto"/>
        <w:bottom w:val="none" w:sz="0" w:space="0" w:color="auto"/>
        <w:right w:val="none" w:sz="0" w:space="0" w:color="auto"/>
      </w:divBdr>
    </w:div>
    <w:div w:id="303702464">
      <w:bodyDiv w:val="1"/>
      <w:marLeft w:val="0"/>
      <w:marRight w:val="0"/>
      <w:marTop w:val="0"/>
      <w:marBottom w:val="0"/>
      <w:divBdr>
        <w:top w:val="none" w:sz="0" w:space="0" w:color="auto"/>
        <w:left w:val="none" w:sz="0" w:space="0" w:color="auto"/>
        <w:bottom w:val="none" w:sz="0" w:space="0" w:color="auto"/>
        <w:right w:val="none" w:sz="0" w:space="0" w:color="auto"/>
      </w:divBdr>
    </w:div>
    <w:div w:id="305090746">
      <w:bodyDiv w:val="1"/>
      <w:marLeft w:val="0"/>
      <w:marRight w:val="0"/>
      <w:marTop w:val="0"/>
      <w:marBottom w:val="0"/>
      <w:divBdr>
        <w:top w:val="none" w:sz="0" w:space="0" w:color="auto"/>
        <w:left w:val="none" w:sz="0" w:space="0" w:color="auto"/>
        <w:bottom w:val="none" w:sz="0" w:space="0" w:color="auto"/>
        <w:right w:val="none" w:sz="0" w:space="0" w:color="auto"/>
      </w:divBdr>
    </w:div>
    <w:div w:id="309755505">
      <w:bodyDiv w:val="1"/>
      <w:marLeft w:val="0"/>
      <w:marRight w:val="0"/>
      <w:marTop w:val="0"/>
      <w:marBottom w:val="0"/>
      <w:divBdr>
        <w:top w:val="none" w:sz="0" w:space="0" w:color="auto"/>
        <w:left w:val="none" w:sz="0" w:space="0" w:color="auto"/>
        <w:bottom w:val="none" w:sz="0" w:space="0" w:color="auto"/>
        <w:right w:val="none" w:sz="0" w:space="0" w:color="auto"/>
      </w:divBdr>
    </w:div>
    <w:div w:id="317081687">
      <w:bodyDiv w:val="1"/>
      <w:marLeft w:val="0"/>
      <w:marRight w:val="0"/>
      <w:marTop w:val="0"/>
      <w:marBottom w:val="0"/>
      <w:divBdr>
        <w:top w:val="none" w:sz="0" w:space="0" w:color="auto"/>
        <w:left w:val="none" w:sz="0" w:space="0" w:color="auto"/>
        <w:bottom w:val="none" w:sz="0" w:space="0" w:color="auto"/>
        <w:right w:val="none" w:sz="0" w:space="0" w:color="auto"/>
      </w:divBdr>
    </w:div>
    <w:div w:id="318926630">
      <w:bodyDiv w:val="1"/>
      <w:marLeft w:val="0"/>
      <w:marRight w:val="0"/>
      <w:marTop w:val="0"/>
      <w:marBottom w:val="0"/>
      <w:divBdr>
        <w:top w:val="none" w:sz="0" w:space="0" w:color="auto"/>
        <w:left w:val="none" w:sz="0" w:space="0" w:color="auto"/>
        <w:bottom w:val="none" w:sz="0" w:space="0" w:color="auto"/>
        <w:right w:val="none" w:sz="0" w:space="0" w:color="auto"/>
      </w:divBdr>
    </w:div>
    <w:div w:id="321007179">
      <w:bodyDiv w:val="1"/>
      <w:marLeft w:val="0"/>
      <w:marRight w:val="0"/>
      <w:marTop w:val="0"/>
      <w:marBottom w:val="0"/>
      <w:divBdr>
        <w:top w:val="none" w:sz="0" w:space="0" w:color="auto"/>
        <w:left w:val="none" w:sz="0" w:space="0" w:color="auto"/>
        <w:bottom w:val="none" w:sz="0" w:space="0" w:color="auto"/>
        <w:right w:val="none" w:sz="0" w:space="0" w:color="auto"/>
      </w:divBdr>
    </w:div>
    <w:div w:id="326904634">
      <w:bodyDiv w:val="1"/>
      <w:marLeft w:val="0"/>
      <w:marRight w:val="0"/>
      <w:marTop w:val="0"/>
      <w:marBottom w:val="0"/>
      <w:divBdr>
        <w:top w:val="none" w:sz="0" w:space="0" w:color="auto"/>
        <w:left w:val="none" w:sz="0" w:space="0" w:color="auto"/>
        <w:bottom w:val="none" w:sz="0" w:space="0" w:color="auto"/>
        <w:right w:val="none" w:sz="0" w:space="0" w:color="auto"/>
      </w:divBdr>
    </w:div>
    <w:div w:id="329990899">
      <w:bodyDiv w:val="1"/>
      <w:marLeft w:val="0"/>
      <w:marRight w:val="0"/>
      <w:marTop w:val="0"/>
      <w:marBottom w:val="0"/>
      <w:divBdr>
        <w:top w:val="none" w:sz="0" w:space="0" w:color="auto"/>
        <w:left w:val="none" w:sz="0" w:space="0" w:color="auto"/>
        <w:bottom w:val="none" w:sz="0" w:space="0" w:color="auto"/>
        <w:right w:val="none" w:sz="0" w:space="0" w:color="auto"/>
      </w:divBdr>
    </w:div>
    <w:div w:id="332687668">
      <w:bodyDiv w:val="1"/>
      <w:marLeft w:val="0"/>
      <w:marRight w:val="0"/>
      <w:marTop w:val="0"/>
      <w:marBottom w:val="0"/>
      <w:divBdr>
        <w:top w:val="none" w:sz="0" w:space="0" w:color="auto"/>
        <w:left w:val="none" w:sz="0" w:space="0" w:color="auto"/>
        <w:bottom w:val="none" w:sz="0" w:space="0" w:color="auto"/>
        <w:right w:val="none" w:sz="0" w:space="0" w:color="auto"/>
      </w:divBdr>
    </w:div>
    <w:div w:id="332994778">
      <w:bodyDiv w:val="1"/>
      <w:marLeft w:val="0"/>
      <w:marRight w:val="0"/>
      <w:marTop w:val="0"/>
      <w:marBottom w:val="0"/>
      <w:divBdr>
        <w:top w:val="none" w:sz="0" w:space="0" w:color="auto"/>
        <w:left w:val="none" w:sz="0" w:space="0" w:color="auto"/>
        <w:bottom w:val="none" w:sz="0" w:space="0" w:color="auto"/>
        <w:right w:val="none" w:sz="0" w:space="0" w:color="auto"/>
      </w:divBdr>
    </w:div>
    <w:div w:id="333920639">
      <w:bodyDiv w:val="1"/>
      <w:marLeft w:val="0"/>
      <w:marRight w:val="0"/>
      <w:marTop w:val="0"/>
      <w:marBottom w:val="0"/>
      <w:divBdr>
        <w:top w:val="none" w:sz="0" w:space="0" w:color="auto"/>
        <w:left w:val="none" w:sz="0" w:space="0" w:color="auto"/>
        <w:bottom w:val="none" w:sz="0" w:space="0" w:color="auto"/>
        <w:right w:val="none" w:sz="0" w:space="0" w:color="auto"/>
      </w:divBdr>
    </w:div>
    <w:div w:id="338702593">
      <w:bodyDiv w:val="1"/>
      <w:marLeft w:val="0"/>
      <w:marRight w:val="0"/>
      <w:marTop w:val="0"/>
      <w:marBottom w:val="0"/>
      <w:divBdr>
        <w:top w:val="none" w:sz="0" w:space="0" w:color="auto"/>
        <w:left w:val="none" w:sz="0" w:space="0" w:color="auto"/>
        <w:bottom w:val="none" w:sz="0" w:space="0" w:color="auto"/>
        <w:right w:val="none" w:sz="0" w:space="0" w:color="auto"/>
      </w:divBdr>
    </w:div>
    <w:div w:id="345596938">
      <w:bodyDiv w:val="1"/>
      <w:marLeft w:val="0"/>
      <w:marRight w:val="0"/>
      <w:marTop w:val="0"/>
      <w:marBottom w:val="0"/>
      <w:divBdr>
        <w:top w:val="none" w:sz="0" w:space="0" w:color="auto"/>
        <w:left w:val="none" w:sz="0" w:space="0" w:color="auto"/>
        <w:bottom w:val="none" w:sz="0" w:space="0" w:color="auto"/>
        <w:right w:val="none" w:sz="0" w:space="0" w:color="auto"/>
      </w:divBdr>
    </w:div>
    <w:div w:id="351028749">
      <w:bodyDiv w:val="1"/>
      <w:marLeft w:val="0"/>
      <w:marRight w:val="0"/>
      <w:marTop w:val="0"/>
      <w:marBottom w:val="0"/>
      <w:divBdr>
        <w:top w:val="none" w:sz="0" w:space="0" w:color="auto"/>
        <w:left w:val="none" w:sz="0" w:space="0" w:color="auto"/>
        <w:bottom w:val="none" w:sz="0" w:space="0" w:color="auto"/>
        <w:right w:val="none" w:sz="0" w:space="0" w:color="auto"/>
      </w:divBdr>
      <w:divsChild>
        <w:div w:id="938567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9864727">
      <w:bodyDiv w:val="1"/>
      <w:marLeft w:val="0"/>
      <w:marRight w:val="0"/>
      <w:marTop w:val="0"/>
      <w:marBottom w:val="0"/>
      <w:divBdr>
        <w:top w:val="none" w:sz="0" w:space="0" w:color="auto"/>
        <w:left w:val="none" w:sz="0" w:space="0" w:color="auto"/>
        <w:bottom w:val="none" w:sz="0" w:space="0" w:color="auto"/>
        <w:right w:val="none" w:sz="0" w:space="0" w:color="auto"/>
      </w:divBdr>
    </w:div>
    <w:div w:id="361127739">
      <w:bodyDiv w:val="1"/>
      <w:marLeft w:val="0"/>
      <w:marRight w:val="0"/>
      <w:marTop w:val="0"/>
      <w:marBottom w:val="0"/>
      <w:divBdr>
        <w:top w:val="none" w:sz="0" w:space="0" w:color="auto"/>
        <w:left w:val="none" w:sz="0" w:space="0" w:color="auto"/>
        <w:bottom w:val="none" w:sz="0" w:space="0" w:color="auto"/>
        <w:right w:val="none" w:sz="0" w:space="0" w:color="auto"/>
      </w:divBdr>
    </w:div>
    <w:div w:id="361247280">
      <w:bodyDiv w:val="1"/>
      <w:marLeft w:val="0"/>
      <w:marRight w:val="0"/>
      <w:marTop w:val="0"/>
      <w:marBottom w:val="0"/>
      <w:divBdr>
        <w:top w:val="none" w:sz="0" w:space="0" w:color="auto"/>
        <w:left w:val="none" w:sz="0" w:space="0" w:color="auto"/>
        <w:bottom w:val="none" w:sz="0" w:space="0" w:color="auto"/>
        <w:right w:val="none" w:sz="0" w:space="0" w:color="auto"/>
      </w:divBdr>
    </w:div>
    <w:div w:id="364404482">
      <w:bodyDiv w:val="1"/>
      <w:marLeft w:val="0"/>
      <w:marRight w:val="0"/>
      <w:marTop w:val="0"/>
      <w:marBottom w:val="0"/>
      <w:divBdr>
        <w:top w:val="none" w:sz="0" w:space="0" w:color="auto"/>
        <w:left w:val="none" w:sz="0" w:space="0" w:color="auto"/>
        <w:bottom w:val="none" w:sz="0" w:space="0" w:color="auto"/>
        <w:right w:val="none" w:sz="0" w:space="0" w:color="auto"/>
      </w:divBdr>
    </w:div>
    <w:div w:id="364602304">
      <w:bodyDiv w:val="1"/>
      <w:marLeft w:val="0"/>
      <w:marRight w:val="0"/>
      <w:marTop w:val="0"/>
      <w:marBottom w:val="0"/>
      <w:divBdr>
        <w:top w:val="none" w:sz="0" w:space="0" w:color="auto"/>
        <w:left w:val="none" w:sz="0" w:space="0" w:color="auto"/>
        <w:bottom w:val="none" w:sz="0" w:space="0" w:color="auto"/>
        <w:right w:val="none" w:sz="0" w:space="0" w:color="auto"/>
      </w:divBdr>
    </w:div>
    <w:div w:id="376515225">
      <w:bodyDiv w:val="1"/>
      <w:marLeft w:val="0"/>
      <w:marRight w:val="0"/>
      <w:marTop w:val="0"/>
      <w:marBottom w:val="0"/>
      <w:divBdr>
        <w:top w:val="none" w:sz="0" w:space="0" w:color="auto"/>
        <w:left w:val="none" w:sz="0" w:space="0" w:color="auto"/>
        <w:bottom w:val="none" w:sz="0" w:space="0" w:color="auto"/>
        <w:right w:val="none" w:sz="0" w:space="0" w:color="auto"/>
      </w:divBdr>
    </w:div>
    <w:div w:id="384329658">
      <w:bodyDiv w:val="1"/>
      <w:marLeft w:val="0"/>
      <w:marRight w:val="0"/>
      <w:marTop w:val="0"/>
      <w:marBottom w:val="0"/>
      <w:divBdr>
        <w:top w:val="none" w:sz="0" w:space="0" w:color="auto"/>
        <w:left w:val="none" w:sz="0" w:space="0" w:color="auto"/>
        <w:bottom w:val="none" w:sz="0" w:space="0" w:color="auto"/>
        <w:right w:val="none" w:sz="0" w:space="0" w:color="auto"/>
      </w:divBdr>
    </w:div>
    <w:div w:id="384572824">
      <w:bodyDiv w:val="1"/>
      <w:marLeft w:val="0"/>
      <w:marRight w:val="0"/>
      <w:marTop w:val="0"/>
      <w:marBottom w:val="0"/>
      <w:divBdr>
        <w:top w:val="none" w:sz="0" w:space="0" w:color="auto"/>
        <w:left w:val="none" w:sz="0" w:space="0" w:color="auto"/>
        <w:bottom w:val="none" w:sz="0" w:space="0" w:color="auto"/>
        <w:right w:val="none" w:sz="0" w:space="0" w:color="auto"/>
      </w:divBdr>
    </w:div>
    <w:div w:id="391513299">
      <w:bodyDiv w:val="1"/>
      <w:marLeft w:val="0"/>
      <w:marRight w:val="0"/>
      <w:marTop w:val="0"/>
      <w:marBottom w:val="0"/>
      <w:divBdr>
        <w:top w:val="none" w:sz="0" w:space="0" w:color="auto"/>
        <w:left w:val="none" w:sz="0" w:space="0" w:color="auto"/>
        <w:bottom w:val="none" w:sz="0" w:space="0" w:color="auto"/>
        <w:right w:val="none" w:sz="0" w:space="0" w:color="auto"/>
      </w:divBdr>
    </w:div>
    <w:div w:id="396242399">
      <w:bodyDiv w:val="1"/>
      <w:marLeft w:val="0"/>
      <w:marRight w:val="0"/>
      <w:marTop w:val="0"/>
      <w:marBottom w:val="0"/>
      <w:divBdr>
        <w:top w:val="none" w:sz="0" w:space="0" w:color="auto"/>
        <w:left w:val="none" w:sz="0" w:space="0" w:color="auto"/>
        <w:bottom w:val="none" w:sz="0" w:space="0" w:color="auto"/>
        <w:right w:val="none" w:sz="0" w:space="0" w:color="auto"/>
      </w:divBdr>
    </w:div>
    <w:div w:id="398672204">
      <w:bodyDiv w:val="1"/>
      <w:marLeft w:val="0"/>
      <w:marRight w:val="0"/>
      <w:marTop w:val="0"/>
      <w:marBottom w:val="0"/>
      <w:divBdr>
        <w:top w:val="none" w:sz="0" w:space="0" w:color="auto"/>
        <w:left w:val="none" w:sz="0" w:space="0" w:color="auto"/>
        <w:bottom w:val="none" w:sz="0" w:space="0" w:color="auto"/>
        <w:right w:val="none" w:sz="0" w:space="0" w:color="auto"/>
      </w:divBdr>
    </w:div>
    <w:div w:id="400371657">
      <w:bodyDiv w:val="1"/>
      <w:marLeft w:val="0"/>
      <w:marRight w:val="0"/>
      <w:marTop w:val="0"/>
      <w:marBottom w:val="0"/>
      <w:divBdr>
        <w:top w:val="none" w:sz="0" w:space="0" w:color="auto"/>
        <w:left w:val="none" w:sz="0" w:space="0" w:color="auto"/>
        <w:bottom w:val="none" w:sz="0" w:space="0" w:color="auto"/>
        <w:right w:val="none" w:sz="0" w:space="0" w:color="auto"/>
      </w:divBdr>
    </w:div>
    <w:div w:id="401022333">
      <w:bodyDiv w:val="1"/>
      <w:marLeft w:val="0"/>
      <w:marRight w:val="0"/>
      <w:marTop w:val="0"/>
      <w:marBottom w:val="0"/>
      <w:divBdr>
        <w:top w:val="none" w:sz="0" w:space="0" w:color="auto"/>
        <w:left w:val="none" w:sz="0" w:space="0" w:color="auto"/>
        <w:bottom w:val="none" w:sz="0" w:space="0" w:color="auto"/>
        <w:right w:val="none" w:sz="0" w:space="0" w:color="auto"/>
      </w:divBdr>
      <w:divsChild>
        <w:div w:id="189075081">
          <w:marLeft w:val="0"/>
          <w:marRight w:val="0"/>
          <w:marTop w:val="0"/>
          <w:marBottom w:val="0"/>
          <w:divBdr>
            <w:top w:val="none" w:sz="0" w:space="0" w:color="auto"/>
            <w:left w:val="none" w:sz="0" w:space="0" w:color="auto"/>
            <w:bottom w:val="none" w:sz="0" w:space="0" w:color="auto"/>
            <w:right w:val="none" w:sz="0" w:space="0" w:color="auto"/>
          </w:divBdr>
          <w:divsChild>
            <w:div w:id="192414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10835">
      <w:bodyDiv w:val="1"/>
      <w:marLeft w:val="0"/>
      <w:marRight w:val="0"/>
      <w:marTop w:val="0"/>
      <w:marBottom w:val="0"/>
      <w:divBdr>
        <w:top w:val="none" w:sz="0" w:space="0" w:color="auto"/>
        <w:left w:val="none" w:sz="0" w:space="0" w:color="auto"/>
        <w:bottom w:val="none" w:sz="0" w:space="0" w:color="auto"/>
        <w:right w:val="none" w:sz="0" w:space="0" w:color="auto"/>
      </w:divBdr>
      <w:divsChild>
        <w:div w:id="1325166660">
          <w:marLeft w:val="0"/>
          <w:marRight w:val="0"/>
          <w:marTop w:val="0"/>
          <w:marBottom w:val="0"/>
          <w:divBdr>
            <w:top w:val="none" w:sz="0" w:space="0" w:color="auto"/>
            <w:left w:val="none" w:sz="0" w:space="0" w:color="auto"/>
            <w:bottom w:val="none" w:sz="0" w:space="0" w:color="auto"/>
            <w:right w:val="none" w:sz="0" w:space="0" w:color="auto"/>
          </w:divBdr>
          <w:divsChild>
            <w:div w:id="207646022">
              <w:marLeft w:val="0"/>
              <w:marRight w:val="0"/>
              <w:marTop w:val="0"/>
              <w:marBottom w:val="0"/>
              <w:divBdr>
                <w:top w:val="none" w:sz="0" w:space="0" w:color="auto"/>
                <w:left w:val="none" w:sz="0" w:space="0" w:color="auto"/>
                <w:bottom w:val="none" w:sz="0" w:space="0" w:color="auto"/>
                <w:right w:val="none" w:sz="0" w:space="0" w:color="auto"/>
              </w:divBdr>
              <w:divsChild>
                <w:div w:id="2111581648">
                  <w:marLeft w:val="0"/>
                  <w:marRight w:val="0"/>
                  <w:marTop w:val="0"/>
                  <w:marBottom w:val="0"/>
                  <w:divBdr>
                    <w:top w:val="none" w:sz="0" w:space="0" w:color="auto"/>
                    <w:left w:val="none" w:sz="0" w:space="0" w:color="auto"/>
                    <w:bottom w:val="none" w:sz="0" w:space="0" w:color="auto"/>
                    <w:right w:val="none" w:sz="0" w:space="0" w:color="auto"/>
                  </w:divBdr>
                  <w:divsChild>
                    <w:div w:id="1791045088">
                      <w:marLeft w:val="0"/>
                      <w:marRight w:val="0"/>
                      <w:marTop w:val="160"/>
                      <w:marBottom w:val="0"/>
                      <w:divBdr>
                        <w:top w:val="none" w:sz="0" w:space="0" w:color="auto"/>
                        <w:left w:val="none" w:sz="0" w:space="0" w:color="auto"/>
                        <w:bottom w:val="none" w:sz="0" w:space="0" w:color="auto"/>
                        <w:right w:val="none" w:sz="0" w:space="0" w:color="auto"/>
                      </w:divBdr>
                    </w:div>
                  </w:divsChild>
                </w:div>
              </w:divsChild>
            </w:div>
          </w:divsChild>
        </w:div>
      </w:divsChild>
    </w:div>
    <w:div w:id="403796769">
      <w:bodyDiv w:val="1"/>
      <w:marLeft w:val="0"/>
      <w:marRight w:val="0"/>
      <w:marTop w:val="0"/>
      <w:marBottom w:val="0"/>
      <w:divBdr>
        <w:top w:val="none" w:sz="0" w:space="0" w:color="auto"/>
        <w:left w:val="none" w:sz="0" w:space="0" w:color="auto"/>
        <w:bottom w:val="none" w:sz="0" w:space="0" w:color="auto"/>
        <w:right w:val="none" w:sz="0" w:space="0" w:color="auto"/>
      </w:divBdr>
    </w:div>
    <w:div w:id="409738852">
      <w:bodyDiv w:val="1"/>
      <w:marLeft w:val="0"/>
      <w:marRight w:val="0"/>
      <w:marTop w:val="0"/>
      <w:marBottom w:val="0"/>
      <w:divBdr>
        <w:top w:val="none" w:sz="0" w:space="0" w:color="auto"/>
        <w:left w:val="none" w:sz="0" w:space="0" w:color="auto"/>
        <w:bottom w:val="none" w:sz="0" w:space="0" w:color="auto"/>
        <w:right w:val="none" w:sz="0" w:space="0" w:color="auto"/>
      </w:divBdr>
    </w:div>
    <w:div w:id="414280877">
      <w:bodyDiv w:val="1"/>
      <w:marLeft w:val="0"/>
      <w:marRight w:val="0"/>
      <w:marTop w:val="0"/>
      <w:marBottom w:val="0"/>
      <w:divBdr>
        <w:top w:val="none" w:sz="0" w:space="0" w:color="auto"/>
        <w:left w:val="none" w:sz="0" w:space="0" w:color="auto"/>
        <w:bottom w:val="none" w:sz="0" w:space="0" w:color="auto"/>
        <w:right w:val="none" w:sz="0" w:space="0" w:color="auto"/>
      </w:divBdr>
    </w:div>
    <w:div w:id="415632738">
      <w:bodyDiv w:val="1"/>
      <w:marLeft w:val="0"/>
      <w:marRight w:val="0"/>
      <w:marTop w:val="0"/>
      <w:marBottom w:val="0"/>
      <w:divBdr>
        <w:top w:val="none" w:sz="0" w:space="0" w:color="auto"/>
        <w:left w:val="none" w:sz="0" w:space="0" w:color="auto"/>
        <w:bottom w:val="none" w:sz="0" w:space="0" w:color="auto"/>
        <w:right w:val="none" w:sz="0" w:space="0" w:color="auto"/>
      </w:divBdr>
    </w:div>
    <w:div w:id="416023701">
      <w:bodyDiv w:val="1"/>
      <w:marLeft w:val="0"/>
      <w:marRight w:val="0"/>
      <w:marTop w:val="0"/>
      <w:marBottom w:val="0"/>
      <w:divBdr>
        <w:top w:val="none" w:sz="0" w:space="0" w:color="auto"/>
        <w:left w:val="none" w:sz="0" w:space="0" w:color="auto"/>
        <w:bottom w:val="none" w:sz="0" w:space="0" w:color="auto"/>
        <w:right w:val="none" w:sz="0" w:space="0" w:color="auto"/>
      </w:divBdr>
    </w:div>
    <w:div w:id="417793408">
      <w:bodyDiv w:val="1"/>
      <w:marLeft w:val="0"/>
      <w:marRight w:val="0"/>
      <w:marTop w:val="0"/>
      <w:marBottom w:val="0"/>
      <w:divBdr>
        <w:top w:val="none" w:sz="0" w:space="0" w:color="auto"/>
        <w:left w:val="none" w:sz="0" w:space="0" w:color="auto"/>
        <w:bottom w:val="none" w:sz="0" w:space="0" w:color="auto"/>
        <w:right w:val="none" w:sz="0" w:space="0" w:color="auto"/>
      </w:divBdr>
    </w:div>
    <w:div w:id="420830915">
      <w:bodyDiv w:val="1"/>
      <w:marLeft w:val="0"/>
      <w:marRight w:val="0"/>
      <w:marTop w:val="0"/>
      <w:marBottom w:val="0"/>
      <w:divBdr>
        <w:top w:val="none" w:sz="0" w:space="0" w:color="auto"/>
        <w:left w:val="none" w:sz="0" w:space="0" w:color="auto"/>
        <w:bottom w:val="none" w:sz="0" w:space="0" w:color="auto"/>
        <w:right w:val="none" w:sz="0" w:space="0" w:color="auto"/>
      </w:divBdr>
    </w:div>
    <w:div w:id="423305073">
      <w:bodyDiv w:val="1"/>
      <w:marLeft w:val="0"/>
      <w:marRight w:val="0"/>
      <w:marTop w:val="0"/>
      <w:marBottom w:val="0"/>
      <w:divBdr>
        <w:top w:val="none" w:sz="0" w:space="0" w:color="auto"/>
        <w:left w:val="none" w:sz="0" w:space="0" w:color="auto"/>
        <w:bottom w:val="none" w:sz="0" w:space="0" w:color="auto"/>
        <w:right w:val="none" w:sz="0" w:space="0" w:color="auto"/>
      </w:divBdr>
    </w:div>
    <w:div w:id="426073778">
      <w:bodyDiv w:val="1"/>
      <w:marLeft w:val="0"/>
      <w:marRight w:val="0"/>
      <w:marTop w:val="0"/>
      <w:marBottom w:val="0"/>
      <w:divBdr>
        <w:top w:val="none" w:sz="0" w:space="0" w:color="auto"/>
        <w:left w:val="none" w:sz="0" w:space="0" w:color="auto"/>
        <w:bottom w:val="none" w:sz="0" w:space="0" w:color="auto"/>
        <w:right w:val="none" w:sz="0" w:space="0" w:color="auto"/>
      </w:divBdr>
      <w:divsChild>
        <w:div w:id="1056853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0315813">
      <w:bodyDiv w:val="1"/>
      <w:marLeft w:val="0"/>
      <w:marRight w:val="0"/>
      <w:marTop w:val="0"/>
      <w:marBottom w:val="0"/>
      <w:divBdr>
        <w:top w:val="none" w:sz="0" w:space="0" w:color="auto"/>
        <w:left w:val="none" w:sz="0" w:space="0" w:color="auto"/>
        <w:bottom w:val="none" w:sz="0" w:space="0" w:color="auto"/>
        <w:right w:val="none" w:sz="0" w:space="0" w:color="auto"/>
      </w:divBdr>
    </w:div>
    <w:div w:id="431777960">
      <w:bodyDiv w:val="1"/>
      <w:marLeft w:val="0"/>
      <w:marRight w:val="0"/>
      <w:marTop w:val="0"/>
      <w:marBottom w:val="0"/>
      <w:divBdr>
        <w:top w:val="none" w:sz="0" w:space="0" w:color="auto"/>
        <w:left w:val="none" w:sz="0" w:space="0" w:color="auto"/>
        <w:bottom w:val="none" w:sz="0" w:space="0" w:color="auto"/>
        <w:right w:val="none" w:sz="0" w:space="0" w:color="auto"/>
      </w:divBdr>
      <w:divsChild>
        <w:div w:id="297730112">
          <w:marLeft w:val="0"/>
          <w:marRight w:val="0"/>
          <w:marTop w:val="0"/>
          <w:marBottom w:val="0"/>
          <w:divBdr>
            <w:top w:val="none" w:sz="0" w:space="0" w:color="auto"/>
            <w:left w:val="none" w:sz="0" w:space="0" w:color="auto"/>
            <w:bottom w:val="none" w:sz="0" w:space="0" w:color="auto"/>
            <w:right w:val="none" w:sz="0" w:space="0" w:color="auto"/>
          </w:divBdr>
          <w:divsChild>
            <w:div w:id="1958826681">
              <w:marLeft w:val="0"/>
              <w:marRight w:val="0"/>
              <w:marTop w:val="0"/>
              <w:marBottom w:val="0"/>
              <w:divBdr>
                <w:top w:val="none" w:sz="0" w:space="0" w:color="auto"/>
                <w:left w:val="none" w:sz="0" w:space="0" w:color="auto"/>
                <w:bottom w:val="none" w:sz="0" w:space="0" w:color="auto"/>
                <w:right w:val="none" w:sz="0" w:space="0" w:color="auto"/>
              </w:divBdr>
              <w:divsChild>
                <w:div w:id="436943819">
                  <w:marLeft w:val="0"/>
                  <w:marRight w:val="0"/>
                  <w:marTop w:val="0"/>
                  <w:marBottom w:val="0"/>
                  <w:divBdr>
                    <w:top w:val="none" w:sz="0" w:space="0" w:color="auto"/>
                    <w:left w:val="none" w:sz="0" w:space="0" w:color="auto"/>
                    <w:bottom w:val="none" w:sz="0" w:space="0" w:color="auto"/>
                    <w:right w:val="none" w:sz="0" w:space="0" w:color="auto"/>
                  </w:divBdr>
                  <w:divsChild>
                    <w:div w:id="613637834">
                      <w:marLeft w:val="0"/>
                      <w:marRight w:val="0"/>
                      <w:marTop w:val="0"/>
                      <w:marBottom w:val="0"/>
                      <w:divBdr>
                        <w:top w:val="none" w:sz="0" w:space="0" w:color="auto"/>
                        <w:left w:val="none" w:sz="0" w:space="0" w:color="auto"/>
                        <w:bottom w:val="none" w:sz="0" w:space="0" w:color="auto"/>
                        <w:right w:val="none" w:sz="0" w:space="0" w:color="auto"/>
                      </w:divBdr>
                      <w:divsChild>
                        <w:div w:id="1888182470">
                          <w:marLeft w:val="0"/>
                          <w:marRight w:val="0"/>
                          <w:marTop w:val="0"/>
                          <w:marBottom w:val="0"/>
                          <w:divBdr>
                            <w:top w:val="none" w:sz="0" w:space="0" w:color="auto"/>
                            <w:left w:val="none" w:sz="0" w:space="0" w:color="auto"/>
                            <w:bottom w:val="none" w:sz="0" w:space="0" w:color="auto"/>
                            <w:right w:val="none" w:sz="0" w:space="0" w:color="auto"/>
                          </w:divBdr>
                          <w:divsChild>
                            <w:div w:id="71396903">
                              <w:marLeft w:val="0"/>
                              <w:marRight w:val="0"/>
                              <w:marTop w:val="0"/>
                              <w:marBottom w:val="0"/>
                              <w:divBdr>
                                <w:top w:val="none" w:sz="0" w:space="0" w:color="auto"/>
                                <w:left w:val="none" w:sz="0" w:space="0" w:color="auto"/>
                                <w:bottom w:val="none" w:sz="0" w:space="0" w:color="auto"/>
                                <w:right w:val="none" w:sz="0" w:space="0" w:color="auto"/>
                              </w:divBdr>
                              <w:divsChild>
                                <w:div w:id="214584435">
                                  <w:marLeft w:val="0"/>
                                  <w:marRight w:val="0"/>
                                  <w:marTop w:val="0"/>
                                  <w:marBottom w:val="0"/>
                                  <w:divBdr>
                                    <w:top w:val="none" w:sz="0" w:space="0" w:color="auto"/>
                                    <w:left w:val="none" w:sz="0" w:space="0" w:color="auto"/>
                                    <w:bottom w:val="none" w:sz="0" w:space="0" w:color="auto"/>
                                    <w:right w:val="none" w:sz="0" w:space="0" w:color="auto"/>
                                  </w:divBdr>
                                  <w:divsChild>
                                    <w:div w:id="94430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573969">
      <w:bodyDiv w:val="1"/>
      <w:marLeft w:val="0"/>
      <w:marRight w:val="0"/>
      <w:marTop w:val="0"/>
      <w:marBottom w:val="0"/>
      <w:divBdr>
        <w:top w:val="none" w:sz="0" w:space="0" w:color="auto"/>
        <w:left w:val="none" w:sz="0" w:space="0" w:color="auto"/>
        <w:bottom w:val="none" w:sz="0" w:space="0" w:color="auto"/>
        <w:right w:val="none" w:sz="0" w:space="0" w:color="auto"/>
      </w:divBdr>
    </w:div>
    <w:div w:id="439688864">
      <w:bodyDiv w:val="1"/>
      <w:marLeft w:val="0"/>
      <w:marRight w:val="0"/>
      <w:marTop w:val="0"/>
      <w:marBottom w:val="0"/>
      <w:divBdr>
        <w:top w:val="none" w:sz="0" w:space="0" w:color="auto"/>
        <w:left w:val="none" w:sz="0" w:space="0" w:color="auto"/>
        <w:bottom w:val="none" w:sz="0" w:space="0" w:color="auto"/>
        <w:right w:val="none" w:sz="0" w:space="0" w:color="auto"/>
      </w:divBdr>
    </w:div>
    <w:div w:id="444354528">
      <w:bodyDiv w:val="1"/>
      <w:marLeft w:val="0"/>
      <w:marRight w:val="0"/>
      <w:marTop w:val="0"/>
      <w:marBottom w:val="0"/>
      <w:divBdr>
        <w:top w:val="none" w:sz="0" w:space="0" w:color="auto"/>
        <w:left w:val="none" w:sz="0" w:space="0" w:color="auto"/>
        <w:bottom w:val="none" w:sz="0" w:space="0" w:color="auto"/>
        <w:right w:val="none" w:sz="0" w:space="0" w:color="auto"/>
      </w:divBdr>
    </w:div>
    <w:div w:id="446235378">
      <w:bodyDiv w:val="1"/>
      <w:marLeft w:val="0"/>
      <w:marRight w:val="0"/>
      <w:marTop w:val="0"/>
      <w:marBottom w:val="0"/>
      <w:divBdr>
        <w:top w:val="none" w:sz="0" w:space="0" w:color="auto"/>
        <w:left w:val="none" w:sz="0" w:space="0" w:color="auto"/>
        <w:bottom w:val="none" w:sz="0" w:space="0" w:color="auto"/>
        <w:right w:val="none" w:sz="0" w:space="0" w:color="auto"/>
      </w:divBdr>
    </w:div>
    <w:div w:id="447702716">
      <w:bodyDiv w:val="1"/>
      <w:marLeft w:val="0"/>
      <w:marRight w:val="0"/>
      <w:marTop w:val="0"/>
      <w:marBottom w:val="0"/>
      <w:divBdr>
        <w:top w:val="none" w:sz="0" w:space="0" w:color="auto"/>
        <w:left w:val="none" w:sz="0" w:space="0" w:color="auto"/>
        <w:bottom w:val="none" w:sz="0" w:space="0" w:color="auto"/>
        <w:right w:val="none" w:sz="0" w:space="0" w:color="auto"/>
      </w:divBdr>
    </w:div>
    <w:div w:id="452942080">
      <w:bodyDiv w:val="1"/>
      <w:marLeft w:val="0"/>
      <w:marRight w:val="0"/>
      <w:marTop w:val="0"/>
      <w:marBottom w:val="0"/>
      <w:divBdr>
        <w:top w:val="none" w:sz="0" w:space="0" w:color="auto"/>
        <w:left w:val="none" w:sz="0" w:space="0" w:color="auto"/>
        <w:bottom w:val="none" w:sz="0" w:space="0" w:color="auto"/>
        <w:right w:val="none" w:sz="0" w:space="0" w:color="auto"/>
      </w:divBdr>
    </w:div>
    <w:div w:id="453644696">
      <w:bodyDiv w:val="1"/>
      <w:marLeft w:val="0"/>
      <w:marRight w:val="0"/>
      <w:marTop w:val="0"/>
      <w:marBottom w:val="0"/>
      <w:divBdr>
        <w:top w:val="none" w:sz="0" w:space="0" w:color="auto"/>
        <w:left w:val="none" w:sz="0" w:space="0" w:color="auto"/>
        <w:bottom w:val="none" w:sz="0" w:space="0" w:color="auto"/>
        <w:right w:val="none" w:sz="0" w:space="0" w:color="auto"/>
      </w:divBdr>
    </w:div>
    <w:div w:id="460346419">
      <w:bodyDiv w:val="1"/>
      <w:marLeft w:val="0"/>
      <w:marRight w:val="0"/>
      <w:marTop w:val="0"/>
      <w:marBottom w:val="0"/>
      <w:divBdr>
        <w:top w:val="none" w:sz="0" w:space="0" w:color="auto"/>
        <w:left w:val="none" w:sz="0" w:space="0" w:color="auto"/>
        <w:bottom w:val="none" w:sz="0" w:space="0" w:color="auto"/>
        <w:right w:val="none" w:sz="0" w:space="0" w:color="auto"/>
      </w:divBdr>
    </w:div>
    <w:div w:id="461925491">
      <w:bodyDiv w:val="1"/>
      <w:marLeft w:val="0"/>
      <w:marRight w:val="0"/>
      <w:marTop w:val="0"/>
      <w:marBottom w:val="0"/>
      <w:divBdr>
        <w:top w:val="none" w:sz="0" w:space="0" w:color="auto"/>
        <w:left w:val="none" w:sz="0" w:space="0" w:color="auto"/>
        <w:bottom w:val="none" w:sz="0" w:space="0" w:color="auto"/>
        <w:right w:val="none" w:sz="0" w:space="0" w:color="auto"/>
      </w:divBdr>
    </w:div>
    <w:div w:id="463737996">
      <w:bodyDiv w:val="1"/>
      <w:marLeft w:val="0"/>
      <w:marRight w:val="0"/>
      <w:marTop w:val="0"/>
      <w:marBottom w:val="0"/>
      <w:divBdr>
        <w:top w:val="none" w:sz="0" w:space="0" w:color="auto"/>
        <w:left w:val="none" w:sz="0" w:space="0" w:color="auto"/>
        <w:bottom w:val="none" w:sz="0" w:space="0" w:color="auto"/>
        <w:right w:val="none" w:sz="0" w:space="0" w:color="auto"/>
      </w:divBdr>
    </w:div>
    <w:div w:id="465662896">
      <w:bodyDiv w:val="1"/>
      <w:marLeft w:val="0"/>
      <w:marRight w:val="0"/>
      <w:marTop w:val="0"/>
      <w:marBottom w:val="0"/>
      <w:divBdr>
        <w:top w:val="none" w:sz="0" w:space="0" w:color="auto"/>
        <w:left w:val="none" w:sz="0" w:space="0" w:color="auto"/>
        <w:bottom w:val="none" w:sz="0" w:space="0" w:color="auto"/>
        <w:right w:val="none" w:sz="0" w:space="0" w:color="auto"/>
      </w:divBdr>
    </w:div>
    <w:div w:id="465703150">
      <w:bodyDiv w:val="1"/>
      <w:marLeft w:val="0"/>
      <w:marRight w:val="0"/>
      <w:marTop w:val="0"/>
      <w:marBottom w:val="0"/>
      <w:divBdr>
        <w:top w:val="none" w:sz="0" w:space="0" w:color="auto"/>
        <w:left w:val="none" w:sz="0" w:space="0" w:color="auto"/>
        <w:bottom w:val="none" w:sz="0" w:space="0" w:color="auto"/>
        <w:right w:val="none" w:sz="0" w:space="0" w:color="auto"/>
      </w:divBdr>
    </w:div>
    <w:div w:id="465859755">
      <w:bodyDiv w:val="1"/>
      <w:marLeft w:val="0"/>
      <w:marRight w:val="0"/>
      <w:marTop w:val="0"/>
      <w:marBottom w:val="0"/>
      <w:divBdr>
        <w:top w:val="none" w:sz="0" w:space="0" w:color="auto"/>
        <w:left w:val="none" w:sz="0" w:space="0" w:color="auto"/>
        <w:bottom w:val="none" w:sz="0" w:space="0" w:color="auto"/>
        <w:right w:val="none" w:sz="0" w:space="0" w:color="auto"/>
      </w:divBdr>
    </w:div>
    <w:div w:id="470905596">
      <w:bodyDiv w:val="1"/>
      <w:marLeft w:val="0"/>
      <w:marRight w:val="0"/>
      <w:marTop w:val="0"/>
      <w:marBottom w:val="0"/>
      <w:divBdr>
        <w:top w:val="none" w:sz="0" w:space="0" w:color="auto"/>
        <w:left w:val="none" w:sz="0" w:space="0" w:color="auto"/>
        <w:bottom w:val="none" w:sz="0" w:space="0" w:color="auto"/>
        <w:right w:val="none" w:sz="0" w:space="0" w:color="auto"/>
      </w:divBdr>
    </w:div>
    <w:div w:id="472987093">
      <w:bodyDiv w:val="1"/>
      <w:marLeft w:val="0"/>
      <w:marRight w:val="0"/>
      <w:marTop w:val="0"/>
      <w:marBottom w:val="0"/>
      <w:divBdr>
        <w:top w:val="none" w:sz="0" w:space="0" w:color="auto"/>
        <w:left w:val="none" w:sz="0" w:space="0" w:color="auto"/>
        <w:bottom w:val="none" w:sz="0" w:space="0" w:color="auto"/>
        <w:right w:val="none" w:sz="0" w:space="0" w:color="auto"/>
      </w:divBdr>
    </w:div>
    <w:div w:id="475227616">
      <w:bodyDiv w:val="1"/>
      <w:marLeft w:val="0"/>
      <w:marRight w:val="0"/>
      <w:marTop w:val="0"/>
      <w:marBottom w:val="0"/>
      <w:divBdr>
        <w:top w:val="none" w:sz="0" w:space="0" w:color="auto"/>
        <w:left w:val="none" w:sz="0" w:space="0" w:color="auto"/>
        <w:bottom w:val="none" w:sz="0" w:space="0" w:color="auto"/>
        <w:right w:val="none" w:sz="0" w:space="0" w:color="auto"/>
      </w:divBdr>
    </w:div>
    <w:div w:id="480079091">
      <w:bodyDiv w:val="1"/>
      <w:marLeft w:val="0"/>
      <w:marRight w:val="0"/>
      <w:marTop w:val="0"/>
      <w:marBottom w:val="0"/>
      <w:divBdr>
        <w:top w:val="none" w:sz="0" w:space="0" w:color="auto"/>
        <w:left w:val="none" w:sz="0" w:space="0" w:color="auto"/>
        <w:bottom w:val="none" w:sz="0" w:space="0" w:color="auto"/>
        <w:right w:val="none" w:sz="0" w:space="0" w:color="auto"/>
      </w:divBdr>
    </w:div>
    <w:div w:id="485048822">
      <w:bodyDiv w:val="1"/>
      <w:marLeft w:val="0"/>
      <w:marRight w:val="0"/>
      <w:marTop w:val="0"/>
      <w:marBottom w:val="0"/>
      <w:divBdr>
        <w:top w:val="none" w:sz="0" w:space="0" w:color="auto"/>
        <w:left w:val="none" w:sz="0" w:space="0" w:color="auto"/>
        <w:bottom w:val="none" w:sz="0" w:space="0" w:color="auto"/>
        <w:right w:val="none" w:sz="0" w:space="0" w:color="auto"/>
      </w:divBdr>
    </w:div>
    <w:div w:id="506987266">
      <w:bodyDiv w:val="1"/>
      <w:marLeft w:val="0"/>
      <w:marRight w:val="0"/>
      <w:marTop w:val="0"/>
      <w:marBottom w:val="0"/>
      <w:divBdr>
        <w:top w:val="none" w:sz="0" w:space="0" w:color="auto"/>
        <w:left w:val="none" w:sz="0" w:space="0" w:color="auto"/>
        <w:bottom w:val="none" w:sz="0" w:space="0" w:color="auto"/>
        <w:right w:val="none" w:sz="0" w:space="0" w:color="auto"/>
      </w:divBdr>
    </w:div>
    <w:div w:id="508373428">
      <w:bodyDiv w:val="1"/>
      <w:marLeft w:val="0"/>
      <w:marRight w:val="0"/>
      <w:marTop w:val="0"/>
      <w:marBottom w:val="0"/>
      <w:divBdr>
        <w:top w:val="none" w:sz="0" w:space="0" w:color="auto"/>
        <w:left w:val="none" w:sz="0" w:space="0" w:color="auto"/>
        <w:bottom w:val="none" w:sz="0" w:space="0" w:color="auto"/>
        <w:right w:val="none" w:sz="0" w:space="0" w:color="auto"/>
      </w:divBdr>
    </w:div>
    <w:div w:id="513224921">
      <w:bodyDiv w:val="1"/>
      <w:marLeft w:val="0"/>
      <w:marRight w:val="0"/>
      <w:marTop w:val="0"/>
      <w:marBottom w:val="0"/>
      <w:divBdr>
        <w:top w:val="none" w:sz="0" w:space="0" w:color="auto"/>
        <w:left w:val="none" w:sz="0" w:space="0" w:color="auto"/>
        <w:bottom w:val="none" w:sz="0" w:space="0" w:color="auto"/>
        <w:right w:val="none" w:sz="0" w:space="0" w:color="auto"/>
      </w:divBdr>
    </w:div>
    <w:div w:id="514463476">
      <w:bodyDiv w:val="1"/>
      <w:marLeft w:val="0"/>
      <w:marRight w:val="0"/>
      <w:marTop w:val="0"/>
      <w:marBottom w:val="0"/>
      <w:divBdr>
        <w:top w:val="none" w:sz="0" w:space="0" w:color="auto"/>
        <w:left w:val="none" w:sz="0" w:space="0" w:color="auto"/>
        <w:bottom w:val="none" w:sz="0" w:space="0" w:color="auto"/>
        <w:right w:val="none" w:sz="0" w:space="0" w:color="auto"/>
      </w:divBdr>
    </w:div>
    <w:div w:id="525556907">
      <w:bodyDiv w:val="1"/>
      <w:marLeft w:val="0"/>
      <w:marRight w:val="0"/>
      <w:marTop w:val="0"/>
      <w:marBottom w:val="0"/>
      <w:divBdr>
        <w:top w:val="none" w:sz="0" w:space="0" w:color="auto"/>
        <w:left w:val="none" w:sz="0" w:space="0" w:color="auto"/>
        <w:bottom w:val="none" w:sz="0" w:space="0" w:color="auto"/>
        <w:right w:val="none" w:sz="0" w:space="0" w:color="auto"/>
      </w:divBdr>
    </w:div>
    <w:div w:id="533422672">
      <w:bodyDiv w:val="1"/>
      <w:marLeft w:val="0"/>
      <w:marRight w:val="0"/>
      <w:marTop w:val="0"/>
      <w:marBottom w:val="0"/>
      <w:divBdr>
        <w:top w:val="none" w:sz="0" w:space="0" w:color="auto"/>
        <w:left w:val="none" w:sz="0" w:space="0" w:color="auto"/>
        <w:bottom w:val="none" w:sz="0" w:space="0" w:color="auto"/>
        <w:right w:val="none" w:sz="0" w:space="0" w:color="auto"/>
      </w:divBdr>
    </w:div>
    <w:div w:id="535853634">
      <w:bodyDiv w:val="1"/>
      <w:marLeft w:val="0"/>
      <w:marRight w:val="0"/>
      <w:marTop w:val="0"/>
      <w:marBottom w:val="0"/>
      <w:divBdr>
        <w:top w:val="none" w:sz="0" w:space="0" w:color="auto"/>
        <w:left w:val="none" w:sz="0" w:space="0" w:color="auto"/>
        <w:bottom w:val="none" w:sz="0" w:space="0" w:color="auto"/>
        <w:right w:val="none" w:sz="0" w:space="0" w:color="auto"/>
      </w:divBdr>
    </w:div>
    <w:div w:id="543980379">
      <w:bodyDiv w:val="1"/>
      <w:marLeft w:val="0"/>
      <w:marRight w:val="0"/>
      <w:marTop w:val="0"/>
      <w:marBottom w:val="0"/>
      <w:divBdr>
        <w:top w:val="none" w:sz="0" w:space="0" w:color="auto"/>
        <w:left w:val="none" w:sz="0" w:space="0" w:color="auto"/>
        <w:bottom w:val="none" w:sz="0" w:space="0" w:color="auto"/>
        <w:right w:val="none" w:sz="0" w:space="0" w:color="auto"/>
      </w:divBdr>
      <w:divsChild>
        <w:div w:id="296491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916296">
      <w:bodyDiv w:val="1"/>
      <w:marLeft w:val="0"/>
      <w:marRight w:val="0"/>
      <w:marTop w:val="0"/>
      <w:marBottom w:val="0"/>
      <w:divBdr>
        <w:top w:val="none" w:sz="0" w:space="0" w:color="auto"/>
        <w:left w:val="none" w:sz="0" w:space="0" w:color="auto"/>
        <w:bottom w:val="none" w:sz="0" w:space="0" w:color="auto"/>
        <w:right w:val="none" w:sz="0" w:space="0" w:color="auto"/>
      </w:divBdr>
    </w:div>
    <w:div w:id="547768798">
      <w:bodyDiv w:val="1"/>
      <w:marLeft w:val="0"/>
      <w:marRight w:val="0"/>
      <w:marTop w:val="0"/>
      <w:marBottom w:val="0"/>
      <w:divBdr>
        <w:top w:val="none" w:sz="0" w:space="0" w:color="auto"/>
        <w:left w:val="none" w:sz="0" w:space="0" w:color="auto"/>
        <w:bottom w:val="none" w:sz="0" w:space="0" w:color="auto"/>
        <w:right w:val="none" w:sz="0" w:space="0" w:color="auto"/>
      </w:divBdr>
    </w:div>
    <w:div w:id="549415606">
      <w:bodyDiv w:val="1"/>
      <w:marLeft w:val="0"/>
      <w:marRight w:val="0"/>
      <w:marTop w:val="0"/>
      <w:marBottom w:val="0"/>
      <w:divBdr>
        <w:top w:val="none" w:sz="0" w:space="0" w:color="auto"/>
        <w:left w:val="none" w:sz="0" w:space="0" w:color="auto"/>
        <w:bottom w:val="none" w:sz="0" w:space="0" w:color="auto"/>
        <w:right w:val="none" w:sz="0" w:space="0" w:color="auto"/>
      </w:divBdr>
    </w:div>
    <w:div w:id="551043076">
      <w:bodyDiv w:val="1"/>
      <w:marLeft w:val="0"/>
      <w:marRight w:val="0"/>
      <w:marTop w:val="0"/>
      <w:marBottom w:val="0"/>
      <w:divBdr>
        <w:top w:val="none" w:sz="0" w:space="0" w:color="auto"/>
        <w:left w:val="none" w:sz="0" w:space="0" w:color="auto"/>
        <w:bottom w:val="none" w:sz="0" w:space="0" w:color="auto"/>
        <w:right w:val="none" w:sz="0" w:space="0" w:color="auto"/>
      </w:divBdr>
    </w:div>
    <w:div w:id="551817688">
      <w:bodyDiv w:val="1"/>
      <w:marLeft w:val="0"/>
      <w:marRight w:val="0"/>
      <w:marTop w:val="0"/>
      <w:marBottom w:val="0"/>
      <w:divBdr>
        <w:top w:val="none" w:sz="0" w:space="0" w:color="auto"/>
        <w:left w:val="none" w:sz="0" w:space="0" w:color="auto"/>
        <w:bottom w:val="none" w:sz="0" w:space="0" w:color="auto"/>
        <w:right w:val="none" w:sz="0" w:space="0" w:color="auto"/>
      </w:divBdr>
    </w:div>
    <w:div w:id="552539627">
      <w:bodyDiv w:val="1"/>
      <w:marLeft w:val="0"/>
      <w:marRight w:val="0"/>
      <w:marTop w:val="0"/>
      <w:marBottom w:val="0"/>
      <w:divBdr>
        <w:top w:val="none" w:sz="0" w:space="0" w:color="auto"/>
        <w:left w:val="none" w:sz="0" w:space="0" w:color="auto"/>
        <w:bottom w:val="none" w:sz="0" w:space="0" w:color="auto"/>
        <w:right w:val="none" w:sz="0" w:space="0" w:color="auto"/>
      </w:divBdr>
    </w:div>
    <w:div w:id="554392251">
      <w:bodyDiv w:val="1"/>
      <w:marLeft w:val="0"/>
      <w:marRight w:val="0"/>
      <w:marTop w:val="0"/>
      <w:marBottom w:val="0"/>
      <w:divBdr>
        <w:top w:val="none" w:sz="0" w:space="0" w:color="auto"/>
        <w:left w:val="none" w:sz="0" w:space="0" w:color="auto"/>
        <w:bottom w:val="none" w:sz="0" w:space="0" w:color="auto"/>
        <w:right w:val="none" w:sz="0" w:space="0" w:color="auto"/>
      </w:divBdr>
    </w:div>
    <w:div w:id="556278717">
      <w:bodyDiv w:val="1"/>
      <w:marLeft w:val="0"/>
      <w:marRight w:val="0"/>
      <w:marTop w:val="0"/>
      <w:marBottom w:val="0"/>
      <w:divBdr>
        <w:top w:val="none" w:sz="0" w:space="0" w:color="auto"/>
        <w:left w:val="none" w:sz="0" w:space="0" w:color="auto"/>
        <w:bottom w:val="none" w:sz="0" w:space="0" w:color="auto"/>
        <w:right w:val="none" w:sz="0" w:space="0" w:color="auto"/>
      </w:divBdr>
    </w:div>
    <w:div w:id="560484511">
      <w:bodyDiv w:val="1"/>
      <w:marLeft w:val="0"/>
      <w:marRight w:val="0"/>
      <w:marTop w:val="0"/>
      <w:marBottom w:val="0"/>
      <w:divBdr>
        <w:top w:val="none" w:sz="0" w:space="0" w:color="auto"/>
        <w:left w:val="none" w:sz="0" w:space="0" w:color="auto"/>
        <w:bottom w:val="none" w:sz="0" w:space="0" w:color="auto"/>
        <w:right w:val="none" w:sz="0" w:space="0" w:color="auto"/>
      </w:divBdr>
    </w:div>
    <w:div w:id="564225248">
      <w:bodyDiv w:val="1"/>
      <w:marLeft w:val="0"/>
      <w:marRight w:val="0"/>
      <w:marTop w:val="0"/>
      <w:marBottom w:val="0"/>
      <w:divBdr>
        <w:top w:val="none" w:sz="0" w:space="0" w:color="auto"/>
        <w:left w:val="none" w:sz="0" w:space="0" w:color="auto"/>
        <w:bottom w:val="none" w:sz="0" w:space="0" w:color="auto"/>
        <w:right w:val="none" w:sz="0" w:space="0" w:color="auto"/>
      </w:divBdr>
    </w:div>
    <w:div w:id="570892928">
      <w:bodyDiv w:val="1"/>
      <w:marLeft w:val="0"/>
      <w:marRight w:val="0"/>
      <w:marTop w:val="0"/>
      <w:marBottom w:val="0"/>
      <w:divBdr>
        <w:top w:val="none" w:sz="0" w:space="0" w:color="auto"/>
        <w:left w:val="none" w:sz="0" w:space="0" w:color="auto"/>
        <w:bottom w:val="none" w:sz="0" w:space="0" w:color="auto"/>
        <w:right w:val="none" w:sz="0" w:space="0" w:color="auto"/>
      </w:divBdr>
    </w:div>
    <w:div w:id="574365892">
      <w:bodyDiv w:val="1"/>
      <w:marLeft w:val="0"/>
      <w:marRight w:val="0"/>
      <w:marTop w:val="0"/>
      <w:marBottom w:val="0"/>
      <w:divBdr>
        <w:top w:val="none" w:sz="0" w:space="0" w:color="auto"/>
        <w:left w:val="none" w:sz="0" w:space="0" w:color="auto"/>
        <w:bottom w:val="none" w:sz="0" w:space="0" w:color="auto"/>
        <w:right w:val="none" w:sz="0" w:space="0" w:color="auto"/>
      </w:divBdr>
    </w:div>
    <w:div w:id="575406596">
      <w:bodyDiv w:val="1"/>
      <w:marLeft w:val="0"/>
      <w:marRight w:val="0"/>
      <w:marTop w:val="0"/>
      <w:marBottom w:val="0"/>
      <w:divBdr>
        <w:top w:val="none" w:sz="0" w:space="0" w:color="auto"/>
        <w:left w:val="none" w:sz="0" w:space="0" w:color="auto"/>
        <w:bottom w:val="none" w:sz="0" w:space="0" w:color="auto"/>
        <w:right w:val="none" w:sz="0" w:space="0" w:color="auto"/>
      </w:divBdr>
    </w:div>
    <w:div w:id="577637171">
      <w:bodyDiv w:val="1"/>
      <w:marLeft w:val="0"/>
      <w:marRight w:val="0"/>
      <w:marTop w:val="0"/>
      <w:marBottom w:val="0"/>
      <w:divBdr>
        <w:top w:val="none" w:sz="0" w:space="0" w:color="auto"/>
        <w:left w:val="none" w:sz="0" w:space="0" w:color="auto"/>
        <w:bottom w:val="none" w:sz="0" w:space="0" w:color="auto"/>
        <w:right w:val="none" w:sz="0" w:space="0" w:color="auto"/>
      </w:divBdr>
    </w:div>
    <w:div w:id="582028876">
      <w:bodyDiv w:val="1"/>
      <w:marLeft w:val="0"/>
      <w:marRight w:val="0"/>
      <w:marTop w:val="0"/>
      <w:marBottom w:val="0"/>
      <w:divBdr>
        <w:top w:val="none" w:sz="0" w:space="0" w:color="auto"/>
        <w:left w:val="none" w:sz="0" w:space="0" w:color="auto"/>
        <w:bottom w:val="none" w:sz="0" w:space="0" w:color="auto"/>
        <w:right w:val="none" w:sz="0" w:space="0" w:color="auto"/>
      </w:divBdr>
      <w:divsChild>
        <w:div w:id="1516504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3027816">
      <w:bodyDiv w:val="1"/>
      <w:marLeft w:val="0"/>
      <w:marRight w:val="0"/>
      <w:marTop w:val="0"/>
      <w:marBottom w:val="0"/>
      <w:divBdr>
        <w:top w:val="none" w:sz="0" w:space="0" w:color="auto"/>
        <w:left w:val="none" w:sz="0" w:space="0" w:color="auto"/>
        <w:bottom w:val="none" w:sz="0" w:space="0" w:color="auto"/>
        <w:right w:val="none" w:sz="0" w:space="0" w:color="auto"/>
      </w:divBdr>
    </w:div>
    <w:div w:id="583228554">
      <w:bodyDiv w:val="1"/>
      <w:marLeft w:val="0"/>
      <w:marRight w:val="0"/>
      <w:marTop w:val="0"/>
      <w:marBottom w:val="0"/>
      <w:divBdr>
        <w:top w:val="none" w:sz="0" w:space="0" w:color="auto"/>
        <w:left w:val="none" w:sz="0" w:space="0" w:color="auto"/>
        <w:bottom w:val="none" w:sz="0" w:space="0" w:color="auto"/>
        <w:right w:val="none" w:sz="0" w:space="0" w:color="auto"/>
      </w:divBdr>
    </w:div>
    <w:div w:id="586811572">
      <w:bodyDiv w:val="1"/>
      <w:marLeft w:val="0"/>
      <w:marRight w:val="0"/>
      <w:marTop w:val="0"/>
      <w:marBottom w:val="0"/>
      <w:divBdr>
        <w:top w:val="none" w:sz="0" w:space="0" w:color="auto"/>
        <w:left w:val="none" w:sz="0" w:space="0" w:color="auto"/>
        <w:bottom w:val="none" w:sz="0" w:space="0" w:color="auto"/>
        <w:right w:val="none" w:sz="0" w:space="0" w:color="auto"/>
      </w:divBdr>
    </w:div>
    <w:div w:id="586888008">
      <w:bodyDiv w:val="1"/>
      <w:marLeft w:val="0"/>
      <w:marRight w:val="0"/>
      <w:marTop w:val="0"/>
      <w:marBottom w:val="0"/>
      <w:divBdr>
        <w:top w:val="none" w:sz="0" w:space="0" w:color="auto"/>
        <w:left w:val="none" w:sz="0" w:space="0" w:color="auto"/>
        <w:bottom w:val="none" w:sz="0" w:space="0" w:color="auto"/>
        <w:right w:val="none" w:sz="0" w:space="0" w:color="auto"/>
      </w:divBdr>
    </w:div>
    <w:div w:id="589658241">
      <w:bodyDiv w:val="1"/>
      <w:marLeft w:val="0"/>
      <w:marRight w:val="0"/>
      <w:marTop w:val="0"/>
      <w:marBottom w:val="0"/>
      <w:divBdr>
        <w:top w:val="none" w:sz="0" w:space="0" w:color="auto"/>
        <w:left w:val="none" w:sz="0" w:space="0" w:color="auto"/>
        <w:bottom w:val="none" w:sz="0" w:space="0" w:color="auto"/>
        <w:right w:val="none" w:sz="0" w:space="0" w:color="auto"/>
      </w:divBdr>
    </w:div>
    <w:div w:id="592588348">
      <w:bodyDiv w:val="1"/>
      <w:marLeft w:val="0"/>
      <w:marRight w:val="0"/>
      <w:marTop w:val="0"/>
      <w:marBottom w:val="0"/>
      <w:divBdr>
        <w:top w:val="none" w:sz="0" w:space="0" w:color="auto"/>
        <w:left w:val="none" w:sz="0" w:space="0" w:color="auto"/>
        <w:bottom w:val="none" w:sz="0" w:space="0" w:color="auto"/>
        <w:right w:val="none" w:sz="0" w:space="0" w:color="auto"/>
      </w:divBdr>
    </w:div>
    <w:div w:id="593783872">
      <w:bodyDiv w:val="1"/>
      <w:marLeft w:val="0"/>
      <w:marRight w:val="0"/>
      <w:marTop w:val="0"/>
      <w:marBottom w:val="0"/>
      <w:divBdr>
        <w:top w:val="none" w:sz="0" w:space="0" w:color="auto"/>
        <w:left w:val="none" w:sz="0" w:space="0" w:color="auto"/>
        <w:bottom w:val="none" w:sz="0" w:space="0" w:color="auto"/>
        <w:right w:val="none" w:sz="0" w:space="0" w:color="auto"/>
      </w:divBdr>
    </w:div>
    <w:div w:id="593830087">
      <w:bodyDiv w:val="1"/>
      <w:marLeft w:val="0"/>
      <w:marRight w:val="0"/>
      <w:marTop w:val="0"/>
      <w:marBottom w:val="0"/>
      <w:divBdr>
        <w:top w:val="none" w:sz="0" w:space="0" w:color="auto"/>
        <w:left w:val="none" w:sz="0" w:space="0" w:color="auto"/>
        <w:bottom w:val="none" w:sz="0" w:space="0" w:color="auto"/>
        <w:right w:val="none" w:sz="0" w:space="0" w:color="auto"/>
      </w:divBdr>
    </w:div>
    <w:div w:id="594244286">
      <w:bodyDiv w:val="1"/>
      <w:marLeft w:val="0"/>
      <w:marRight w:val="0"/>
      <w:marTop w:val="0"/>
      <w:marBottom w:val="0"/>
      <w:divBdr>
        <w:top w:val="none" w:sz="0" w:space="0" w:color="auto"/>
        <w:left w:val="none" w:sz="0" w:space="0" w:color="auto"/>
        <w:bottom w:val="none" w:sz="0" w:space="0" w:color="auto"/>
        <w:right w:val="none" w:sz="0" w:space="0" w:color="auto"/>
      </w:divBdr>
    </w:div>
    <w:div w:id="597374956">
      <w:bodyDiv w:val="1"/>
      <w:marLeft w:val="0"/>
      <w:marRight w:val="0"/>
      <w:marTop w:val="0"/>
      <w:marBottom w:val="0"/>
      <w:divBdr>
        <w:top w:val="none" w:sz="0" w:space="0" w:color="auto"/>
        <w:left w:val="none" w:sz="0" w:space="0" w:color="auto"/>
        <w:bottom w:val="none" w:sz="0" w:space="0" w:color="auto"/>
        <w:right w:val="none" w:sz="0" w:space="0" w:color="auto"/>
      </w:divBdr>
    </w:div>
    <w:div w:id="597758360">
      <w:bodyDiv w:val="1"/>
      <w:marLeft w:val="0"/>
      <w:marRight w:val="0"/>
      <w:marTop w:val="0"/>
      <w:marBottom w:val="0"/>
      <w:divBdr>
        <w:top w:val="none" w:sz="0" w:space="0" w:color="auto"/>
        <w:left w:val="none" w:sz="0" w:space="0" w:color="auto"/>
        <w:bottom w:val="none" w:sz="0" w:space="0" w:color="auto"/>
        <w:right w:val="none" w:sz="0" w:space="0" w:color="auto"/>
      </w:divBdr>
    </w:div>
    <w:div w:id="600530203">
      <w:bodyDiv w:val="1"/>
      <w:marLeft w:val="0"/>
      <w:marRight w:val="0"/>
      <w:marTop w:val="0"/>
      <w:marBottom w:val="0"/>
      <w:divBdr>
        <w:top w:val="none" w:sz="0" w:space="0" w:color="auto"/>
        <w:left w:val="none" w:sz="0" w:space="0" w:color="auto"/>
        <w:bottom w:val="none" w:sz="0" w:space="0" w:color="auto"/>
        <w:right w:val="none" w:sz="0" w:space="0" w:color="auto"/>
      </w:divBdr>
    </w:div>
    <w:div w:id="601259813">
      <w:bodyDiv w:val="1"/>
      <w:marLeft w:val="0"/>
      <w:marRight w:val="0"/>
      <w:marTop w:val="0"/>
      <w:marBottom w:val="0"/>
      <w:divBdr>
        <w:top w:val="none" w:sz="0" w:space="0" w:color="auto"/>
        <w:left w:val="none" w:sz="0" w:space="0" w:color="auto"/>
        <w:bottom w:val="none" w:sz="0" w:space="0" w:color="auto"/>
        <w:right w:val="none" w:sz="0" w:space="0" w:color="auto"/>
      </w:divBdr>
    </w:div>
    <w:div w:id="601766139">
      <w:bodyDiv w:val="1"/>
      <w:marLeft w:val="0"/>
      <w:marRight w:val="0"/>
      <w:marTop w:val="0"/>
      <w:marBottom w:val="0"/>
      <w:divBdr>
        <w:top w:val="none" w:sz="0" w:space="0" w:color="auto"/>
        <w:left w:val="none" w:sz="0" w:space="0" w:color="auto"/>
        <w:bottom w:val="none" w:sz="0" w:space="0" w:color="auto"/>
        <w:right w:val="none" w:sz="0" w:space="0" w:color="auto"/>
      </w:divBdr>
    </w:div>
    <w:div w:id="603344649">
      <w:bodyDiv w:val="1"/>
      <w:marLeft w:val="0"/>
      <w:marRight w:val="0"/>
      <w:marTop w:val="0"/>
      <w:marBottom w:val="0"/>
      <w:divBdr>
        <w:top w:val="none" w:sz="0" w:space="0" w:color="auto"/>
        <w:left w:val="none" w:sz="0" w:space="0" w:color="auto"/>
        <w:bottom w:val="none" w:sz="0" w:space="0" w:color="auto"/>
        <w:right w:val="none" w:sz="0" w:space="0" w:color="auto"/>
      </w:divBdr>
    </w:div>
    <w:div w:id="606038115">
      <w:bodyDiv w:val="1"/>
      <w:marLeft w:val="0"/>
      <w:marRight w:val="0"/>
      <w:marTop w:val="0"/>
      <w:marBottom w:val="0"/>
      <w:divBdr>
        <w:top w:val="none" w:sz="0" w:space="0" w:color="auto"/>
        <w:left w:val="none" w:sz="0" w:space="0" w:color="auto"/>
        <w:bottom w:val="none" w:sz="0" w:space="0" w:color="auto"/>
        <w:right w:val="none" w:sz="0" w:space="0" w:color="auto"/>
      </w:divBdr>
      <w:divsChild>
        <w:div w:id="431630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1320816">
      <w:bodyDiv w:val="1"/>
      <w:marLeft w:val="0"/>
      <w:marRight w:val="0"/>
      <w:marTop w:val="0"/>
      <w:marBottom w:val="0"/>
      <w:divBdr>
        <w:top w:val="none" w:sz="0" w:space="0" w:color="auto"/>
        <w:left w:val="none" w:sz="0" w:space="0" w:color="auto"/>
        <w:bottom w:val="none" w:sz="0" w:space="0" w:color="auto"/>
        <w:right w:val="none" w:sz="0" w:space="0" w:color="auto"/>
      </w:divBdr>
    </w:div>
    <w:div w:id="613025713">
      <w:bodyDiv w:val="1"/>
      <w:marLeft w:val="0"/>
      <w:marRight w:val="0"/>
      <w:marTop w:val="0"/>
      <w:marBottom w:val="0"/>
      <w:divBdr>
        <w:top w:val="none" w:sz="0" w:space="0" w:color="auto"/>
        <w:left w:val="none" w:sz="0" w:space="0" w:color="auto"/>
        <w:bottom w:val="none" w:sz="0" w:space="0" w:color="auto"/>
        <w:right w:val="none" w:sz="0" w:space="0" w:color="auto"/>
      </w:divBdr>
    </w:div>
    <w:div w:id="614562554">
      <w:bodyDiv w:val="1"/>
      <w:marLeft w:val="0"/>
      <w:marRight w:val="0"/>
      <w:marTop w:val="0"/>
      <w:marBottom w:val="0"/>
      <w:divBdr>
        <w:top w:val="none" w:sz="0" w:space="0" w:color="auto"/>
        <w:left w:val="none" w:sz="0" w:space="0" w:color="auto"/>
        <w:bottom w:val="none" w:sz="0" w:space="0" w:color="auto"/>
        <w:right w:val="none" w:sz="0" w:space="0" w:color="auto"/>
      </w:divBdr>
    </w:div>
    <w:div w:id="618680182">
      <w:bodyDiv w:val="1"/>
      <w:marLeft w:val="0"/>
      <w:marRight w:val="0"/>
      <w:marTop w:val="0"/>
      <w:marBottom w:val="0"/>
      <w:divBdr>
        <w:top w:val="none" w:sz="0" w:space="0" w:color="auto"/>
        <w:left w:val="none" w:sz="0" w:space="0" w:color="auto"/>
        <w:bottom w:val="none" w:sz="0" w:space="0" w:color="auto"/>
        <w:right w:val="none" w:sz="0" w:space="0" w:color="auto"/>
      </w:divBdr>
      <w:divsChild>
        <w:div w:id="777334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1498259">
      <w:bodyDiv w:val="1"/>
      <w:marLeft w:val="0"/>
      <w:marRight w:val="0"/>
      <w:marTop w:val="0"/>
      <w:marBottom w:val="0"/>
      <w:divBdr>
        <w:top w:val="none" w:sz="0" w:space="0" w:color="auto"/>
        <w:left w:val="none" w:sz="0" w:space="0" w:color="auto"/>
        <w:bottom w:val="none" w:sz="0" w:space="0" w:color="auto"/>
        <w:right w:val="none" w:sz="0" w:space="0" w:color="auto"/>
      </w:divBdr>
    </w:div>
    <w:div w:id="628051743">
      <w:bodyDiv w:val="1"/>
      <w:marLeft w:val="0"/>
      <w:marRight w:val="0"/>
      <w:marTop w:val="0"/>
      <w:marBottom w:val="0"/>
      <w:divBdr>
        <w:top w:val="none" w:sz="0" w:space="0" w:color="auto"/>
        <w:left w:val="none" w:sz="0" w:space="0" w:color="auto"/>
        <w:bottom w:val="none" w:sz="0" w:space="0" w:color="auto"/>
        <w:right w:val="none" w:sz="0" w:space="0" w:color="auto"/>
      </w:divBdr>
    </w:div>
    <w:div w:id="631599529">
      <w:bodyDiv w:val="1"/>
      <w:marLeft w:val="0"/>
      <w:marRight w:val="0"/>
      <w:marTop w:val="0"/>
      <w:marBottom w:val="0"/>
      <w:divBdr>
        <w:top w:val="none" w:sz="0" w:space="0" w:color="auto"/>
        <w:left w:val="none" w:sz="0" w:space="0" w:color="auto"/>
        <w:bottom w:val="none" w:sz="0" w:space="0" w:color="auto"/>
        <w:right w:val="none" w:sz="0" w:space="0" w:color="auto"/>
      </w:divBdr>
      <w:divsChild>
        <w:div w:id="1860505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581131">
      <w:bodyDiv w:val="1"/>
      <w:marLeft w:val="0"/>
      <w:marRight w:val="0"/>
      <w:marTop w:val="0"/>
      <w:marBottom w:val="0"/>
      <w:divBdr>
        <w:top w:val="none" w:sz="0" w:space="0" w:color="auto"/>
        <w:left w:val="none" w:sz="0" w:space="0" w:color="auto"/>
        <w:bottom w:val="none" w:sz="0" w:space="0" w:color="auto"/>
        <w:right w:val="none" w:sz="0" w:space="0" w:color="auto"/>
      </w:divBdr>
    </w:div>
    <w:div w:id="639652815">
      <w:bodyDiv w:val="1"/>
      <w:marLeft w:val="0"/>
      <w:marRight w:val="0"/>
      <w:marTop w:val="0"/>
      <w:marBottom w:val="0"/>
      <w:divBdr>
        <w:top w:val="none" w:sz="0" w:space="0" w:color="auto"/>
        <w:left w:val="none" w:sz="0" w:space="0" w:color="auto"/>
        <w:bottom w:val="none" w:sz="0" w:space="0" w:color="auto"/>
        <w:right w:val="none" w:sz="0" w:space="0" w:color="auto"/>
      </w:divBdr>
    </w:div>
    <w:div w:id="639845576">
      <w:bodyDiv w:val="1"/>
      <w:marLeft w:val="0"/>
      <w:marRight w:val="0"/>
      <w:marTop w:val="0"/>
      <w:marBottom w:val="0"/>
      <w:divBdr>
        <w:top w:val="none" w:sz="0" w:space="0" w:color="auto"/>
        <w:left w:val="none" w:sz="0" w:space="0" w:color="auto"/>
        <w:bottom w:val="none" w:sz="0" w:space="0" w:color="auto"/>
        <w:right w:val="none" w:sz="0" w:space="0" w:color="auto"/>
      </w:divBdr>
    </w:div>
    <w:div w:id="639846359">
      <w:bodyDiv w:val="1"/>
      <w:marLeft w:val="0"/>
      <w:marRight w:val="0"/>
      <w:marTop w:val="0"/>
      <w:marBottom w:val="0"/>
      <w:divBdr>
        <w:top w:val="none" w:sz="0" w:space="0" w:color="auto"/>
        <w:left w:val="none" w:sz="0" w:space="0" w:color="auto"/>
        <w:bottom w:val="none" w:sz="0" w:space="0" w:color="auto"/>
        <w:right w:val="none" w:sz="0" w:space="0" w:color="auto"/>
      </w:divBdr>
    </w:div>
    <w:div w:id="642471436">
      <w:bodyDiv w:val="1"/>
      <w:marLeft w:val="0"/>
      <w:marRight w:val="0"/>
      <w:marTop w:val="0"/>
      <w:marBottom w:val="0"/>
      <w:divBdr>
        <w:top w:val="none" w:sz="0" w:space="0" w:color="auto"/>
        <w:left w:val="none" w:sz="0" w:space="0" w:color="auto"/>
        <w:bottom w:val="none" w:sz="0" w:space="0" w:color="auto"/>
        <w:right w:val="none" w:sz="0" w:space="0" w:color="auto"/>
      </w:divBdr>
    </w:div>
    <w:div w:id="649745875">
      <w:bodyDiv w:val="1"/>
      <w:marLeft w:val="0"/>
      <w:marRight w:val="0"/>
      <w:marTop w:val="0"/>
      <w:marBottom w:val="0"/>
      <w:divBdr>
        <w:top w:val="none" w:sz="0" w:space="0" w:color="auto"/>
        <w:left w:val="none" w:sz="0" w:space="0" w:color="auto"/>
        <w:bottom w:val="none" w:sz="0" w:space="0" w:color="auto"/>
        <w:right w:val="none" w:sz="0" w:space="0" w:color="auto"/>
      </w:divBdr>
    </w:div>
    <w:div w:id="649750025">
      <w:bodyDiv w:val="1"/>
      <w:marLeft w:val="0"/>
      <w:marRight w:val="0"/>
      <w:marTop w:val="0"/>
      <w:marBottom w:val="0"/>
      <w:divBdr>
        <w:top w:val="none" w:sz="0" w:space="0" w:color="auto"/>
        <w:left w:val="none" w:sz="0" w:space="0" w:color="auto"/>
        <w:bottom w:val="none" w:sz="0" w:space="0" w:color="auto"/>
        <w:right w:val="none" w:sz="0" w:space="0" w:color="auto"/>
      </w:divBdr>
      <w:divsChild>
        <w:div w:id="1763913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1954350">
      <w:bodyDiv w:val="1"/>
      <w:marLeft w:val="0"/>
      <w:marRight w:val="0"/>
      <w:marTop w:val="0"/>
      <w:marBottom w:val="0"/>
      <w:divBdr>
        <w:top w:val="none" w:sz="0" w:space="0" w:color="auto"/>
        <w:left w:val="none" w:sz="0" w:space="0" w:color="auto"/>
        <w:bottom w:val="none" w:sz="0" w:space="0" w:color="auto"/>
        <w:right w:val="none" w:sz="0" w:space="0" w:color="auto"/>
      </w:divBdr>
    </w:div>
    <w:div w:id="657419399">
      <w:bodyDiv w:val="1"/>
      <w:marLeft w:val="0"/>
      <w:marRight w:val="0"/>
      <w:marTop w:val="0"/>
      <w:marBottom w:val="0"/>
      <w:divBdr>
        <w:top w:val="none" w:sz="0" w:space="0" w:color="auto"/>
        <w:left w:val="none" w:sz="0" w:space="0" w:color="auto"/>
        <w:bottom w:val="none" w:sz="0" w:space="0" w:color="auto"/>
        <w:right w:val="none" w:sz="0" w:space="0" w:color="auto"/>
      </w:divBdr>
    </w:div>
    <w:div w:id="660083198">
      <w:bodyDiv w:val="1"/>
      <w:marLeft w:val="0"/>
      <w:marRight w:val="0"/>
      <w:marTop w:val="0"/>
      <w:marBottom w:val="0"/>
      <w:divBdr>
        <w:top w:val="none" w:sz="0" w:space="0" w:color="auto"/>
        <w:left w:val="none" w:sz="0" w:space="0" w:color="auto"/>
        <w:bottom w:val="none" w:sz="0" w:space="0" w:color="auto"/>
        <w:right w:val="none" w:sz="0" w:space="0" w:color="auto"/>
      </w:divBdr>
    </w:div>
    <w:div w:id="666908364">
      <w:bodyDiv w:val="1"/>
      <w:marLeft w:val="0"/>
      <w:marRight w:val="0"/>
      <w:marTop w:val="0"/>
      <w:marBottom w:val="0"/>
      <w:divBdr>
        <w:top w:val="none" w:sz="0" w:space="0" w:color="auto"/>
        <w:left w:val="none" w:sz="0" w:space="0" w:color="auto"/>
        <w:bottom w:val="none" w:sz="0" w:space="0" w:color="auto"/>
        <w:right w:val="none" w:sz="0" w:space="0" w:color="auto"/>
      </w:divBdr>
    </w:div>
    <w:div w:id="667438299">
      <w:bodyDiv w:val="1"/>
      <w:marLeft w:val="0"/>
      <w:marRight w:val="0"/>
      <w:marTop w:val="0"/>
      <w:marBottom w:val="0"/>
      <w:divBdr>
        <w:top w:val="none" w:sz="0" w:space="0" w:color="auto"/>
        <w:left w:val="none" w:sz="0" w:space="0" w:color="auto"/>
        <w:bottom w:val="none" w:sz="0" w:space="0" w:color="auto"/>
        <w:right w:val="none" w:sz="0" w:space="0" w:color="auto"/>
      </w:divBdr>
    </w:div>
    <w:div w:id="679359876">
      <w:bodyDiv w:val="1"/>
      <w:marLeft w:val="0"/>
      <w:marRight w:val="0"/>
      <w:marTop w:val="0"/>
      <w:marBottom w:val="0"/>
      <w:divBdr>
        <w:top w:val="none" w:sz="0" w:space="0" w:color="auto"/>
        <w:left w:val="none" w:sz="0" w:space="0" w:color="auto"/>
        <w:bottom w:val="none" w:sz="0" w:space="0" w:color="auto"/>
        <w:right w:val="none" w:sz="0" w:space="0" w:color="auto"/>
      </w:divBdr>
    </w:div>
    <w:div w:id="680085781">
      <w:bodyDiv w:val="1"/>
      <w:marLeft w:val="0"/>
      <w:marRight w:val="0"/>
      <w:marTop w:val="0"/>
      <w:marBottom w:val="0"/>
      <w:divBdr>
        <w:top w:val="none" w:sz="0" w:space="0" w:color="auto"/>
        <w:left w:val="none" w:sz="0" w:space="0" w:color="auto"/>
        <w:bottom w:val="none" w:sz="0" w:space="0" w:color="auto"/>
        <w:right w:val="none" w:sz="0" w:space="0" w:color="auto"/>
      </w:divBdr>
    </w:div>
    <w:div w:id="691222321">
      <w:bodyDiv w:val="1"/>
      <w:marLeft w:val="0"/>
      <w:marRight w:val="0"/>
      <w:marTop w:val="0"/>
      <w:marBottom w:val="0"/>
      <w:divBdr>
        <w:top w:val="none" w:sz="0" w:space="0" w:color="auto"/>
        <w:left w:val="none" w:sz="0" w:space="0" w:color="auto"/>
        <w:bottom w:val="none" w:sz="0" w:space="0" w:color="auto"/>
        <w:right w:val="none" w:sz="0" w:space="0" w:color="auto"/>
      </w:divBdr>
    </w:div>
    <w:div w:id="691879981">
      <w:bodyDiv w:val="1"/>
      <w:marLeft w:val="0"/>
      <w:marRight w:val="0"/>
      <w:marTop w:val="0"/>
      <w:marBottom w:val="0"/>
      <w:divBdr>
        <w:top w:val="none" w:sz="0" w:space="0" w:color="auto"/>
        <w:left w:val="none" w:sz="0" w:space="0" w:color="auto"/>
        <w:bottom w:val="none" w:sz="0" w:space="0" w:color="auto"/>
        <w:right w:val="none" w:sz="0" w:space="0" w:color="auto"/>
      </w:divBdr>
    </w:div>
    <w:div w:id="697201264">
      <w:bodyDiv w:val="1"/>
      <w:marLeft w:val="0"/>
      <w:marRight w:val="0"/>
      <w:marTop w:val="0"/>
      <w:marBottom w:val="0"/>
      <w:divBdr>
        <w:top w:val="none" w:sz="0" w:space="0" w:color="auto"/>
        <w:left w:val="none" w:sz="0" w:space="0" w:color="auto"/>
        <w:bottom w:val="none" w:sz="0" w:space="0" w:color="auto"/>
        <w:right w:val="none" w:sz="0" w:space="0" w:color="auto"/>
      </w:divBdr>
    </w:div>
    <w:div w:id="701445453">
      <w:bodyDiv w:val="1"/>
      <w:marLeft w:val="0"/>
      <w:marRight w:val="0"/>
      <w:marTop w:val="0"/>
      <w:marBottom w:val="0"/>
      <w:divBdr>
        <w:top w:val="none" w:sz="0" w:space="0" w:color="auto"/>
        <w:left w:val="none" w:sz="0" w:space="0" w:color="auto"/>
        <w:bottom w:val="none" w:sz="0" w:space="0" w:color="auto"/>
        <w:right w:val="none" w:sz="0" w:space="0" w:color="auto"/>
      </w:divBdr>
    </w:div>
    <w:div w:id="706563440">
      <w:bodyDiv w:val="1"/>
      <w:marLeft w:val="0"/>
      <w:marRight w:val="0"/>
      <w:marTop w:val="0"/>
      <w:marBottom w:val="0"/>
      <w:divBdr>
        <w:top w:val="none" w:sz="0" w:space="0" w:color="auto"/>
        <w:left w:val="none" w:sz="0" w:space="0" w:color="auto"/>
        <w:bottom w:val="none" w:sz="0" w:space="0" w:color="auto"/>
        <w:right w:val="none" w:sz="0" w:space="0" w:color="auto"/>
      </w:divBdr>
    </w:div>
    <w:div w:id="708187072">
      <w:bodyDiv w:val="1"/>
      <w:marLeft w:val="0"/>
      <w:marRight w:val="0"/>
      <w:marTop w:val="0"/>
      <w:marBottom w:val="0"/>
      <w:divBdr>
        <w:top w:val="none" w:sz="0" w:space="0" w:color="auto"/>
        <w:left w:val="none" w:sz="0" w:space="0" w:color="auto"/>
        <w:bottom w:val="none" w:sz="0" w:space="0" w:color="auto"/>
        <w:right w:val="none" w:sz="0" w:space="0" w:color="auto"/>
      </w:divBdr>
    </w:div>
    <w:div w:id="721561859">
      <w:bodyDiv w:val="1"/>
      <w:marLeft w:val="0"/>
      <w:marRight w:val="0"/>
      <w:marTop w:val="0"/>
      <w:marBottom w:val="0"/>
      <w:divBdr>
        <w:top w:val="none" w:sz="0" w:space="0" w:color="auto"/>
        <w:left w:val="none" w:sz="0" w:space="0" w:color="auto"/>
        <w:bottom w:val="none" w:sz="0" w:space="0" w:color="auto"/>
        <w:right w:val="none" w:sz="0" w:space="0" w:color="auto"/>
      </w:divBdr>
    </w:div>
    <w:div w:id="723259104">
      <w:bodyDiv w:val="1"/>
      <w:marLeft w:val="0"/>
      <w:marRight w:val="0"/>
      <w:marTop w:val="0"/>
      <w:marBottom w:val="0"/>
      <w:divBdr>
        <w:top w:val="none" w:sz="0" w:space="0" w:color="auto"/>
        <w:left w:val="none" w:sz="0" w:space="0" w:color="auto"/>
        <w:bottom w:val="none" w:sz="0" w:space="0" w:color="auto"/>
        <w:right w:val="none" w:sz="0" w:space="0" w:color="auto"/>
      </w:divBdr>
      <w:divsChild>
        <w:div w:id="58283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3797742">
      <w:bodyDiv w:val="1"/>
      <w:marLeft w:val="0"/>
      <w:marRight w:val="0"/>
      <w:marTop w:val="0"/>
      <w:marBottom w:val="0"/>
      <w:divBdr>
        <w:top w:val="none" w:sz="0" w:space="0" w:color="auto"/>
        <w:left w:val="none" w:sz="0" w:space="0" w:color="auto"/>
        <w:bottom w:val="none" w:sz="0" w:space="0" w:color="auto"/>
        <w:right w:val="none" w:sz="0" w:space="0" w:color="auto"/>
      </w:divBdr>
    </w:div>
    <w:div w:id="725684027">
      <w:bodyDiv w:val="1"/>
      <w:marLeft w:val="0"/>
      <w:marRight w:val="0"/>
      <w:marTop w:val="0"/>
      <w:marBottom w:val="0"/>
      <w:divBdr>
        <w:top w:val="none" w:sz="0" w:space="0" w:color="auto"/>
        <w:left w:val="none" w:sz="0" w:space="0" w:color="auto"/>
        <w:bottom w:val="none" w:sz="0" w:space="0" w:color="auto"/>
        <w:right w:val="none" w:sz="0" w:space="0" w:color="auto"/>
      </w:divBdr>
      <w:divsChild>
        <w:div w:id="1294406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9769006">
      <w:bodyDiv w:val="1"/>
      <w:marLeft w:val="0"/>
      <w:marRight w:val="0"/>
      <w:marTop w:val="0"/>
      <w:marBottom w:val="0"/>
      <w:divBdr>
        <w:top w:val="none" w:sz="0" w:space="0" w:color="auto"/>
        <w:left w:val="none" w:sz="0" w:space="0" w:color="auto"/>
        <w:bottom w:val="none" w:sz="0" w:space="0" w:color="auto"/>
        <w:right w:val="none" w:sz="0" w:space="0" w:color="auto"/>
      </w:divBdr>
    </w:div>
    <w:div w:id="735125168">
      <w:bodyDiv w:val="1"/>
      <w:marLeft w:val="0"/>
      <w:marRight w:val="0"/>
      <w:marTop w:val="0"/>
      <w:marBottom w:val="0"/>
      <w:divBdr>
        <w:top w:val="none" w:sz="0" w:space="0" w:color="auto"/>
        <w:left w:val="none" w:sz="0" w:space="0" w:color="auto"/>
        <w:bottom w:val="none" w:sz="0" w:space="0" w:color="auto"/>
        <w:right w:val="none" w:sz="0" w:space="0" w:color="auto"/>
      </w:divBdr>
    </w:div>
    <w:div w:id="741950129">
      <w:bodyDiv w:val="1"/>
      <w:marLeft w:val="0"/>
      <w:marRight w:val="0"/>
      <w:marTop w:val="0"/>
      <w:marBottom w:val="0"/>
      <w:divBdr>
        <w:top w:val="none" w:sz="0" w:space="0" w:color="auto"/>
        <w:left w:val="none" w:sz="0" w:space="0" w:color="auto"/>
        <w:bottom w:val="none" w:sz="0" w:space="0" w:color="auto"/>
        <w:right w:val="none" w:sz="0" w:space="0" w:color="auto"/>
      </w:divBdr>
    </w:div>
    <w:div w:id="742944674">
      <w:bodyDiv w:val="1"/>
      <w:marLeft w:val="0"/>
      <w:marRight w:val="0"/>
      <w:marTop w:val="0"/>
      <w:marBottom w:val="0"/>
      <w:divBdr>
        <w:top w:val="none" w:sz="0" w:space="0" w:color="auto"/>
        <w:left w:val="none" w:sz="0" w:space="0" w:color="auto"/>
        <w:bottom w:val="none" w:sz="0" w:space="0" w:color="auto"/>
        <w:right w:val="none" w:sz="0" w:space="0" w:color="auto"/>
      </w:divBdr>
    </w:div>
    <w:div w:id="745959935">
      <w:bodyDiv w:val="1"/>
      <w:marLeft w:val="0"/>
      <w:marRight w:val="0"/>
      <w:marTop w:val="0"/>
      <w:marBottom w:val="0"/>
      <w:divBdr>
        <w:top w:val="none" w:sz="0" w:space="0" w:color="auto"/>
        <w:left w:val="none" w:sz="0" w:space="0" w:color="auto"/>
        <w:bottom w:val="none" w:sz="0" w:space="0" w:color="auto"/>
        <w:right w:val="none" w:sz="0" w:space="0" w:color="auto"/>
      </w:divBdr>
    </w:div>
    <w:div w:id="747120597">
      <w:bodyDiv w:val="1"/>
      <w:marLeft w:val="0"/>
      <w:marRight w:val="0"/>
      <w:marTop w:val="0"/>
      <w:marBottom w:val="0"/>
      <w:divBdr>
        <w:top w:val="none" w:sz="0" w:space="0" w:color="auto"/>
        <w:left w:val="none" w:sz="0" w:space="0" w:color="auto"/>
        <w:bottom w:val="none" w:sz="0" w:space="0" w:color="auto"/>
        <w:right w:val="none" w:sz="0" w:space="0" w:color="auto"/>
      </w:divBdr>
    </w:div>
    <w:div w:id="748500710">
      <w:bodyDiv w:val="1"/>
      <w:marLeft w:val="0"/>
      <w:marRight w:val="0"/>
      <w:marTop w:val="0"/>
      <w:marBottom w:val="0"/>
      <w:divBdr>
        <w:top w:val="none" w:sz="0" w:space="0" w:color="auto"/>
        <w:left w:val="none" w:sz="0" w:space="0" w:color="auto"/>
        <w:bottom w:val="none" w:sz="0" w:space="0" w:color="auto"/>
        <w:right w:val="none" w:sz="0" w:space="0" w:color="auto"/>
      </w:divBdr>
    </w:div>
    <w:div w:id="756246398">
      <w:bodyDiv w:val="1"/>
      <w:marLeft w:val="0"/>
      <w:marRight w:val="0"/>
      <w:marTop w:val="0"/>
      <w:marBottom w:val="0"/>
      <w:divBdr>
        <w:top w:val="none" w:sz="0" w:space="0" w:color="auto"/>
        <w:left w:val="none" w:sz="0" w:space="0" w:color="auto"/>
        <w:bottom w:val="none" w:sz="0" w:space="0" w:color="auto"/>
        <w:right w:val="none" w:sz="0" w:space="0" w:color="auto"/>
      </w:divBdr>
    </w:div>
    <w:div w:id="757673980">
      <w:bodyDiv w:val="1"/>
      <w:marLeft w:val="0"/>
      <w:marRight w:val="0"/>
      <w:marTop w:val="0"/>
      <w:marBottom w:val="0"/>
      <w:divBdr>
        <w:top w:val="none" w:sz="0" w:space="0" w:color="auto"/>
        <w:left w:val="none" w:sz="0" w:space="0" w:color="auto"/>
        <w:bottom w:val="none" w:sz="0" w:space="0" w:color="auto"/>
        <w:right w:val="none" w:sz="0" w:space="0" w:color="auto"/>
      </w:divBdr>
    </w:div>
    <w:div w:id="761219324">
      <w:bodyDiv w:val="1"/>
      <w:marLeft w:val="0"/>
      <w:marRight w:val="0"/>
      <w:marTop w:val="0"/>
      <w:marBottom w:val="0"/>
      <w:divBdr>
        <w:top w:val="none" w:sz="0" w:space="0" w:color="auto"/>
        <w:left w:val="none" w:sz="0" w:space="0" w:color="auto"/>
        <w:bottom w:val="none" w:sz="0" w:space="0" w:color="auto"/>
        <w:right w:val="none" w:sz="0" w:space="0" w:color="auto"/>
      </w:divBdr>
    </w:div>
    <w:div w:id="767315309">
      <w:bodyDiv w:val="1"/>
      <w:marLeft w:val="0"/>
      <w:marRight w:val="0"/>
      <w:marTop w:val="0"/>
      <w:marBottom w:val="0"/>
      <w:divBdr>
        <w:top w:val="none" w:sz="0" w:space="0" w:color="auto"/>
        <w:left w:val="none" w:sz="0" w:space="0" w:color="auto"/>
        <w:bottom w:val="none" w:sz="0" w:space="0" w:color="auto"/>
        <w:right w:val="none" w:sz="0" w:space="0" w:color="auto"/>
      </w:divBdr>
    </w:div>
    <w:div w:id="770206373">
      <w:bodyDiv w:val="1"/>
      <w:marLeft w:val="0"/>
      <w:marRight w:val="0"/>
      <w:marTop w:val="0"/>
      <w:marBottom w:val="0"/>
      <w:divBdr>
        <w:top w:val="none" w:sz="0" w:space="0" w:color="auto"/>
        <w:left w:val="none" w:sz="0" w:space="0" w:color="auto"/>
        <w:bottom w:val="none" w:sz="0" w:space="0" w:color="auto"/>
        <w:right w:val="none" w:sz="0" w:space="0" w:color="auto"/>
      </w:divBdr>
      <w:divsChild>
        <w:div w:id="461770803">
          <w:marLeft w:val="0"/>
          <w:marRight w:val="0"/>
          <w:marTop w:val="0"/>
          <w:marBottom w:val="0"/>
          <w:divBdr>
            <w:top w:val="none" w:sz="0" w:space="0" w:color="auto"/>
            <w:left w:val="none" w:sz="0" w:space="0" w:color="auto"/>
            <w:bottom w:val="none" w:sz="0" w:space="0" w:color="auto"/>
            <w:right w:val="none" w:sz="0" w:space="0" w:color="auto"/>
          </w:divBdr>
          <w:divsChild>
            <w:div w:id="1438211853">
              <w:marLeft w:val="0"/>
              <w:marRight w:val="0"/>
              <w:marTop w:val="0"/>
              <w:marBottom w:val="225"/>
              <w:divBdr>
                <w:top w:val="none" w:sz="0" w:space="0" w:color="auto"/>
                <w:left w:val="none" w:sz="0" w:space="0" w:color="auto"/>
                <w:bottom w:val="none" w:sz="0" w:space="0" w:color="auto"/>
                <w:right w:val="none" w:sz="0" w:space="0" w:color="auto"/>
              </w:divBdr>
              <w:divsChild>
                <w:div w:id="124067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299533">
          <w:marLeft w:val="0"/>
          <w:marRight w:val="0"/>
          <w:marTop w:val="0"/>
          <w:marBottom w:val="0"/>
          <w:divBdr>
            <w:top w:val="none" w:sz="0" w:space="0" w:color="auto"/>
            <w:left w:val="none" w:sz="0" w:space="0" w:color="auto"/>
            <w:bottom w:val="none" w:sz="0" w:space="0" w:color="auto"/>
            <w:right w:val="none" w:sz="0" w:space="0" w:color="auto"/>
          </w:divBdr>
          <w:divsChild>
            <w:div w:id="1709405657">
              <w:marLeft w:val="0"/>
              <w:marRight w:val="0"/>
              <w:marTop w:val="0"/>
              <w:marBottom w:val="225"/>
              <w:divBdr>
                <w:top w:val="none" w:sz="0" w:space="0" w:color="auto"/>
                <w:left w:val="none" w:sz="0" w:space="0" w:color="auto"/>
                <w:bottom w:val="none" w:sz="0" w:space="0" w:color="auto"/>
                <w:right w:val="none" w:sz="0" w:space="0" w:color="auto"/>
              </w:divBdr>
              <w:divsChild>
                <w:div w:id="193436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801155">
      <w:bodyDiv w:val="1"/>
      <w:marLeft w:val="0"/>
      <w:marRight w:val="0"/>
      <w:marTop w:val="0"/>
      <w:marBottom w:val="0"/>
      <w:divBdr>
        <w:top w:val="none" w:sz="0" w:space="0" w:color="auto"/>
        <w:left w:val="none" w:sz="0" w:space="0" w:color="auto"/>
        <w:bottom w:val="none" w:sz="0" w:space="0" w:color="auto"/>
        <w:right w:val="none" w:sz="0" w:space="0" w:color="auto"/>
      </w:divBdr>
    </w:div>
    <w:div w:id="784538926">
      <w:bodyDiv w:val="1"/>
      <w:marLeft w:val="0"/>
      <w:marRight w:val="0"/>
      <w:marTop w:val="0"/>
      <w:marBottom w:val="0"/>
      <w:divBdr>
        <w:top w:val="none" w:sz="0" w:space="0" w:color="auto"/>
        <w:left w:val="none" w:sz="0" w:space="0" w:color="auto"/>
        <w:bottom w:val="none" w:sz="0" w:space="0" w:color="auto"/>
        <w:right w:val="none" w:sz="0" w:space="0" w:color="auto"/>
      </w:divBdr>
      <w:divsChild>
        <w:div w:id="1548226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8082934">
      <w:bodyDiv w:val="1"/>
      <w:marLeft w:val="0"/>
      <w:marRight w:val="0"/>
      <w:marTop w:val="0"/>
      <w:marBottom w:val="0"/>
      <w:divBdr>
        <w:top w:val="none" w:sz="0" w:space="0" w:color="auto"/>
        <w:left w:val="none" w:sz="0" w:space="0" w:color="auto"/>
        <w:bottom w:val="none" w:sz="0" w:space="0" w:color="auto"/>
        <w:right w:val="none" w:sz="0" w:space="0" w:color="auto"/>
      </w:divBdr>
    </w:div>
    <w:div w:id="795871004">
      <w:bodyDiv w:val="1"/>
      <w:marLeft w:val="0"/>
      <w:marRight w:val="0"/>
      <w:marTop w:val="0"/>
      <w:marBottom w:val="0"/>
      <w:divBdr>
        <w:top w:val="none" w:sz="0" w:space="0" w:color="auto"/>
        <w:left w:val="none" w:sz="0" w:space="0" w:color="auto"/>
        <w:bottom w:val="none" w:sz="0" w:space="0" w:color="auto"/>
        <w:right w:val="none" w:sz="0" w:space="0" w:color="auto"/>
      </w:divBdr>
    </w:div>
    <w:div w:id="796027950">
      <w:bodyDiv w:val="1"/>
      <w:marLeft w:val="0"/>
      <w:marRight w:val="0"/>
      <w:marTop w:val="0"/>
      <w:marBottom w:val="0"/>
      <w:divBdr>
        <w:top w:val="none" w:sz="0" w:space="0" w:color="auto"/>
        <w:left w:val="none" w:sz="0" w:space="0" w:color="auto"/>
        <w:bottom w:val="none" w:sz="0" w:space="0" w:color="auto"/>
        <w:right w:val="none" w:sz="0" w:space="0" w:color="auto"/>
      </w:divBdr>
    </w:div>
    <w:div w:id="796340157">
      <w:bodyDiv w:val="1"/>
      <w:marLeft w:val="0"/>
      <w:marRight w:val="0"/>
      <w:marTop w:val="0"/>
      <w:marBottom w:val="0"/>
      <w:divBdr>
        <w:top w:val="none" w:sz="0" w:space="0" w:color="auto"/>
        <w:left w:val="none" w:sz="0" w:space="0" w:color="auto"/>
        <w:bottom w:val="none" w:sz="0" w:space="0" w:color="auto"/>
        <w:right w:val="none" w:sz="0" w:space="0" w:color="auto"/>
      </w:divBdr>
    </w:div>
    <w:div w:id="798449169">
      <w:bodyDiv w:val="1"/>
      <w:marLeft w:val="0"/>
      <w:marRight w:val="0"/>
      <w:marTop w:val="0"/>
      <w:marBottom w:val="0"/>
      <w:divBdr>
        <w:top w:val="none" w:sz="0" w:space="0" w:color="auto"/>
        <w:left w:val="none" w:sz="0" w:space="0" w:color="auto"/>
        <w:bottom w:val="none" w:sz="0" w:space="0" w:color="auto"/>
        <w:right w:val="none" w:sz="0" w:space="0" w:color="auto"/>
      </w:divBdr>
    </w:div>
    <w:div w:id="799109517">
      <w:bodyDiv w:val="1"/>
      <w:marLeft w:val="0"/>
      <w:marRight w:val="0"/>
      <w:marTop w:val="0"/>
      <w:marBottom w:val="0"/>
      <w:divBdr>
        <w:top w:val="none" w:sz="0" w:space="0" w:color="auto"/>
        <w:left w:val="none" w:sz="0" w:space="0" w:color="auto"/>
        <w:bottom w:val="none" w:sz="0" w:space="0" w:color="auto"/>
        <w:right w:val="none" w:sz="0" w:space="0" w:color="auto"/>
      </w:divBdr>
    </w:div>
    <w:div w:id="808714357">
      <w:bodyDiv w:val="1"/>
      <w:marLeft w:val="0"/>
      <w:marRight w:val="0"/>
      <w:marTop w:val="0"/>
      <w:marBottom w:val="0"/>
      <w:divBdr>
        <w:top w:val="none" w:sz="0" w:space="0" w:color="auto"/>
        <w:left w:val="none" w:sz="0" w:space="0" w:color="auto"/>
        <w:bottom w:val="none" w:sz="0" w:space="0" w:color="auto"/>
        <w:right w:val="none" w:sz="0" w:space="0" w:color="auto"/>
      </w:divBdr>
    </w:div>
    <w:div w:id="811099621">
      <w:bodyDiv w:val="1"/>
      <w:marLeft w:val="0"/>
      <w:marRight w:val="0"/>
      <w:marTop w:val="0"/>
      <w:marBottom w:val="0"/>
      <w:divBdr>
        <w:top w:val="none" w:sz="0" w:space="0" w:color="auto"/>
        <w:left w:val="none" w:sz="0" w:space="0" w:color="auto"/>
        <w:bottom w:val="none" w:sz="0" w:space="0" w:color="auto"/>
        <w:right w:val="none" w:sz="0" w:space="0" w:color="auto"/>
      </w:divBdr>
    </w:div>
    <w:div w:id="812449920">
      <w:bodyDiv w:val="1"/>
      <w:marLeft w:val="0"/>
      <w:marRight w:val="0"/>
      <w:marTop w:val="0"/>
      <w:marBottom w:val="0"/>
      <w:divBdr>
        <w:top w:val="none" w:sz="0" w:space="0" w:color="auto"/>
        <w:left w:val="none" w:sz="0" w:space="0" w:color="auto"/>
        <w:bottom w:val="none" w:sz="0" w:space="0" w:color="auto"/>
        <w:right w:val="none" w:sz="0" w:space="0" w:color="auto"/>
      </w:divBdr>
    </w:div>
    <w:div w:id="814376762">
      <w:bodyDiv w:val="1"/>
      <w:marLeft w:val="0"/>
      <w:marRight w:val="0"/>
      <w:marTop w:val="0"/>
      <w:marBottom w:val="0"/>
      <w:divBdr>
        <w:top w:val="none" w:sz="0" w:space="0" w:color="auto"/>
        <w:left w:val="none" w:sz="0" w:space="0" w:color="auto"/>
        <w:bottom w:val="none" w:sz="0" w:space="0" w:color="auto"/>
        <w:right w:val="none" w:sz="0" w:space="0" w:color="auto"/>
      </w:divBdr>
    </w:div>
    <w:div w:id="821966862">
      <w:bodyDiv w:val="1"/>
      <w:marLeft w:val="0"/>
      <w:marRight w:val="0"/>
      <w:marTop w:val="0"/>
      <w:marBottom w:val="0"/>
      <w:divBdr>
        <w:top w:val="none" w:sz="0" w:space="0" w:color="auto"/>
        <w:left w:val="none" w:sz="0" w:space="0" w:color="auto"/>
        <w:bottom w:val="none" w:sz="0" w:space="0" w:color="auto"/>
        <w:right w:val="none" w:sz="0" w:space="0" w:color="auto"/>
      </w:divBdr>
    </w:div>
    <w:div w:id="827138135">
      <w:bodyDiv w:val="1"/>
      <w:marLeft w:val="0"/>
      <w:marRight w:val="0"/>
      <w:marTop w:val="0"/>
      <w:marBottom w:val="0"/>
      <w:divBdr>
        <w:top w:val="none" w:sz="0" w:space="0" w:color="auto"/>
        <w:left w:val="none" w:sz="0" w:space="0" w:color="auto"/>
        <w:bottom w:val="none" w:sz="0" w:space="0" w:color="auto"/>
        <w:right w:val="none" w:sz="0" w:space="0" w:color="auto"/>
      </w:divBdr>
    </w:div>
    <w:div w:id="827213092">
      <w:bodyDiv w:val="1"/>
      <w:marLeft w:val="0"/>
      <w:marRight w:val="0"/>
      <w:marTop w:val="0"/>
      <w:marBottom w:val="0"/>
      <w:divBdr>
        <w:top w:val="none" w:sz="0" w:space="0" w:color="auto"/>
        <w:left w:val="none" w:sz="0" w:space="0" w:color="auto"/>
        <w:bottom w:val="none" w:sz="0" w:space="0" w:color="auto"/>
        <w:right w:val="none" w:sz="0" w:space="0" w:color="auto"/>
      </w:divBdr>
    </w:div>
    <w:div w:id="837382777">
      <w:bodyDiv w:val="1"/>
      <w:marLeft w:val="0"/>
      <w:marRight w:val="0"/>
      <w:marTop w:val="0"/>
      <w:marBottom w:val="0"/>
      <w:divBdr>
        <w:top w:val="none" w:sz="0" w:space="0" w:color="auto"/>
        <w:left w:val="none" w:sz="0" w:space="0" w:color="auto"/>
        <w:bottom w:val="none" w:sz="0" w:space="0" w:color="auto"/>
        <w:right w:val="none" w:sz="0" w:space="0" w:color="auto"/>
      </w:divBdr>
    </w:div>
    <w:div w:id="840044934">
      <w:bodyDiv w:val="1"/>
      <w:marLeft w:val="0"/>
      <w:marRight w:val="0"/>
      <w:marTop w:val="0"/>
      <w:marBottom w:val="0"/>
      <w:divBdr>
        <w:top w:val="none" w:sz="0" w:space="0" w:color="auto"/>
        <w:left w:val="none" w:sz="0" w:space="0" w:color="auto"/>
        <w:bottom w:val="none" w:sz="0" w:space="0" w:color="auto"/>
        <w:right w:val="none" w:sz="0" w:space="0" w:color="auto"/>
      </w:divBdr>
    </w:div>
    <w:div w:id="840123750">
      <w:bodyDiv w:val="1"/>
      <w:marLeft w:val="0"/>
      <w:marRight w:val="0"/>
      <w:marTop w:val="0"/>
      <w:marBottom w:val="0"/>
      <w:divBdr>
        <w:top w:val="none" w:sz="0" w:space="0" w:color="auto"/>
        <w:left w:val="none" w:sz="0" w:space="0" w:color="auto"/>
        <w:bottom w:val="none" w:sz="0" w:space="0" w:color="auto"/>
        <w:right w:val="none" w:sz="0" w:space="0" w:color="auto"/>
      </w:divBdr>
    </w:div>
    <w:div w:id="844396841">
      <w:bodyDiv w:val="1"/>
      <w:marLeft w:val="0"/>
      <w:marRight w:val="0"/>
      <w:marTop w:val="0"/>
      <w:marBottom w:val="0"/>
      <w:divBdr>
        <w:top w:val="none" w:sz="0" w:space="0" w:color="auto"/>
        <w:left w:val="none" w:sz="0" w:space="0" w:color="auto"/>
        <w:bottom w:val="none" w:sz="0" w:space="0" w:color="auto"/>
        <w:right w:val="none" w:sz="0" w:space="0" w:color="auto"/>
      </w:divBdr>
    </w:div>
    <w:div w:id="850021944">
      <w:bodyDiv w:val="1"/>
      <w:marLeft w:val="0"/>
      <w:marRight w:val="0"/>
      <w:marTop w:val="0"/>
      <w:marBottom w:val="0"/>
      <w:divBdr>
        <w:top w:val="none" w:sz="0" w:space="0" w:color="auto"/>
        <w:left w:val="none" w:sz="0" w:space="0" w:color="auto"/>
        <w:bottom w:val="none" w:sz="0" w:space="0" w:color="auto"/>
        <w:right w:val="none" w:sz="0" w:space="0" w:color="auto"/>
      </w:divBdr>
    </w:div>
    <w:div w:id="852455338">
      <w:bodyDiv w:val="1"/>
      <w:marLeft w:val="0"/>
      <w:marRight w:val="0"/>
      <w:marTop w:val="0"/>
      <w:marBottom w:val="0"/>
      <w:divBdr>
        <w:top w:val="none" w:sz="0" w:space="0" w:color="auto"/>
        <w:left w:val="none" w:sz="0" w:space="0" w:color="auto"/>
        <w:bottom w:val="none" w:sz="0" w:space="0" w:color="auto"/>
        <w:right w:val="none" w:sz="0" w:space="0" w:color="auto"/>
      </w:divBdr>
    </w:div>
    <w:div w:id="863175410">
      <w:bodyDiv w:val="1"/>
      <w:marLeft w:val="0"/>
      <w:marRight w:val="0"/>
      <w:marTop w:val="0"/>
      <w:marBottom w:val="0"/>
      <w:divBdr>
        <w:top w:val="none" w:sz="0" w:space="0" w:color="auto"/>
        <w:left w:val="none" w:sz="0" w:space="0" w:color="auto"/>
        <w:bottom w:val="none" w:sz="0" w:space="0" w:color="auto"/>
        <w:right w:val="none" w:sz="0" w:space="0" w:color="auto"/>
      </w:divBdr>
      <w:divsChild>
        <w:div w:id="55917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405741">
      <w:bodyDiv w:val="1"/>
      <w:marLeft w:val="0"/>
      <w:marRight w:val="0"/>
      <w:marTop w:val="0"/>
      <w:marBottom w:val="0"/>
      <w:divBdr>
        <w:top w:val="none" w:sz="0" w:space="0" w:color="auto"/>
        <w:left w:val="none" w:sz="0" w:space="0" w:color="auto"/>
        <w:bottom w:val="none" w:sz="0" w:space="0" w:color="auto"/>
        <w:right w:val="none" w:sz="0" w:space="0" w:color="auto"/>
      </w:divBdr>
    </w:div>
    <w:div w:id="868951097">
      <w:bodyDiv w:val="1"/>
      <w:marLeft w:val="0"/>
      <w:marRight w:val="0"/>
      <w:marTop w:val="0"/>
      <w:marBottom w:val="0"/>
      <w:divBdr>
        <w:top w:val="none" w:sz="0" w:space="0" w:color="auto"/>
        <w:left w:val="none" w:sz="0" w:space="0" w:color="auto"/>
        <w:bottom w:val="none" w:sz="0" w:space="0" w:color="auto"/>
        <w:right w:val="none" w:sz="0" w:space="0" w:color="auto"/>
      </w:divBdr>
    </w:div>
    <w:div w:id="884803047">
      <w:bodyDiv w:val="1"/>
      <w:marLeft w:val="0"/>
      <w:marRight w:val="0"/>
      <w:marTop w:val="0"/>
      <w:marBottom w:val="0"/>
      <w:divBdr>
        <w:top w:val="none" w:sz="0" w:space="0" w:color="auto"/>
        <w:left w:val="none" w:sz="0" w:space="0" w:color="auto"/>
        <w:bottom w:val="none" w:sz="0" w:space="0" w:color="auto"/>
        <w:right w:val="none" w:sz="0" w:space="0" w:color="auto"/>
      </w:divBdr>
    </w:div>
    <w:div w:id="884827689">
      <w:bodyDiv w:val="1"/>
      <w:marLeft w:val="0"/>
      <w:marRight w:val="0"/>
      <w:marTop w:val="0"/>
      <w:marBottom w:val="0"/>
      <w:divBdr>
        <w:top w:val="none" w:sz="0" w:space="0" w:color="auto"/>
        <w:left w:val="none" w:sz="0" w:space="0" w:color="auto"/>
        <w:bottom w:val="none" w:sz="0" w:space="0" w:color="auto"/>
        <w:right w:val="none" w:sz="0" w:space="0" w:color="auto"/>
      </w:divBdr>
    </w:div>
    <w:div w:id="894853772">
      <w:bodyDiv w:val="1"/>
      <w:marLeft w:val="0"/>
      <w:marRight w:val="0"/>
      <w:marTop w:val="0"/>
      <w:marBottom w:val="0"/>
      <w:divBdr>
        <w:top w:val="none" w:sz="0" w:space="0" w:color="auto"/>
        <w:left w:val="none" w:sz="0" w:space="0" w:color="auto"/>
        <w:bottom w:val="none" w:sz="0" w:space="0" w:color="auto"/>
        <w:right w:val="none" w:sz="0" w:space="0" w:color="auto"/>
      </w:divBdr>
    </w:div>
    <w:div w:id="896670364">
      <w:bodyDiv w:val="1"/>
      <w:marLeft w:val="0"/>
      <w:marRight w:val="0"/>
      <w:marTop w:val="0"/>
      <w:marBottom w:val="0"/>
      <w:divBdr>
        <w:top w:val="none" w:sz="0" w:space="0" w:color="auto"/>
        <w:left w:val="none" w:sz="0" w:space="0" w:color="auto"/>
        <w:bottom w:val="none" w:sz="0" w:space="0" w:color="auto"/>
        <w:right w:val="none" w:sz="0" w:space="0" w:color="auto"/>
      </w:divBdr>
    </w:div>
    <w:div w:id="897521097">
      <w:bodyDiv w:val="1"/>
      <w:marLeft w:val="0"/>
      <w:marRight w:val="0"/>
      <w:marTop w:val="0"/>
      <w:marBottom w:val="0"/>
      <w:divBdr>
        <w:top w:val="none" w:sz="0" w:space="0" w:color="auto"/>
        <w:left w:val="none" w:sz="0" w:space="0" w:color="auto"/>
        <w:bottom w:val="none" w:sz="0" w:space="0" w:color="auto"/>
        <w:right w:val="none" w:sz="0" w:space="0" w:color="auto"/>
      </w:divBdr>
    </w:div>
    <w:div w:id="898978020">
      <w:bodyDiv w:val="1"/>
      <w:marLeft w:val="0"/>
      <w:marRight w:val="0"/>
      <w:marTop w:val="0"/>
      <w:marBottom w:val="0"/>
      <w:divBdr>
        <w:top w:val="none" w:sz="0" w:space="0" w:color="auto"/>
        <w:left w:val="none" w:sz="0" w:space="0" w:color="auto"/>
        <w:bottom w:val="none" w:sz="0" w:space="0" w:color="auto"/>
        <w:right w:val="none" w:sz="0" w:space="0" w:color="auto"/>
      </w:divBdr>
    </w:div>
    <w:div w:id="909729149">
      <w:bodyDiv w:val="1"/>
      <w:marLeft w:val="0"/>
      <w:marRight w:val="0"/>
      <w:marTop w:val="0"/>
      <w:marBottom w:val="0"/>
      <w:divBdr>
        <w:top w:val="none" w:sz="0" w:space="0" w:color="auto"/>
        <w:left w:val="none" w:sz="0" w:space="0" w:color="auto"/>
        <w:bottom w:val="none" w:sz="0" w:space="0" w:color="auto"/>
        <w:right w:val="none" w:sz="0" w:space="0" w:color="auto"/>
      </w:divBdr>
    </w:div>
    <w:div w:id="909848583">
      <w:bodyDiv w:val="1"/>
      <w:marLeft w:val="0"/>
      <w:marRight w:val="0"/>
      <w:marTop w:val="0"/>
      <w:marBottom w:val="0"/>
      <w:divBdr>
        <w:top w:val="none" w:sz="0" w:space="0" w:color="auto"/>
        <w:left w:val="none" w:sz="0" w:space="0" w:color="auto"/>
        <w:bottom w:val="none" w:sz="0" w:space="0" w:color="auto"/>
        <w:right w:val="none" w:sz="0" w:space="0" w:color="auto"/>
      </w:divBdr>
    </w:div>
    <w:div w:id="910626899">
      <w:bodyDiv w:val="1"/>
      <w:marLeft w:val="0"/>
      <w:marRight w:val="0"/>
      <w:marTop w:val="0"/>
      <w:marBottom w:val="0"/>
      <w:divBdr>
        <w:top w:val="none" w:sz="0" w:space="0" w:color="auto"/>
        <w:left w:val="none" w:sz="0" w:space="0" w:color="auto"/>
        <w:bottom w:val="none" w:sz="0" w:space="0" w:color="auto"/>
        <w:right w:val="none" w:sz="0" w:space="0" w:color="auto"/>
      </w:divBdr>
    </w:div>
    <w:div w:id="911162502">
      <w:bodyDiv w:val="1"/>
      <w:marLeft w:val="0"/>
      <w:marRight w:val="0"/>
      <w:marTop w:val="0"/>
      <w:marBottom w:val="0"/>
      <w:divBdr>
        <w:top w:val="none" w:sz="0" w:space="0" w:color="auto"/>
        <w:left w:val="none" w:sz="0" w:space="0" w:color="auto"/>
        <w:bottom w:val="none" w:sz="0" w:space="0" w:color="auto"/>
        <w:right w:val="none" w:sz="0" w:space="0" w:color="auto"/>
      </w:divBdr>
    </w:div>
    <w:div w:id="913394401">
      <w:bodyDiv w:val="1"/>
      <w:marLeft w:val="0"/>
      <w:marRight w:val="0"/>
      <w:marTop w:val="0"/>
      <w:marBottom w:val="0"/>
      <w:divBdr>
        <w:top w:val="none" w:sz="0" w:space="0" w:color="auto"/>
        <w:left w:val="none" w:sz="0" w:space="0" w:color="auto"/>
        <w:bottom w:val="none" w:sz="0" w:space="0" w:color="auto"/>
        <w:right w:val="none" w:sz="0" w:space="0" w:color="auto"/>
      </w:divBdr>
    </w:div>
    <w:div w:id="913397899">
      <w:bodyDiv w:val="1"/>
      <w:marLeft w:val="0"/>
      <w:marRight w:val="0"/>
      <w:marTop w:val="0"/>
      <w:marBottom w:val="0"/>
      <w:divBdr>
        <w:top w:val="none" w:sz="0" w:space="0" w:color="auto"/>
        <w:left w:val="none" w:sz="0" w:space="0" w:color="auto"/>
        <w:bottom w:val="none" w:sz="0" w:space="0" w:color="auto"/>
        <w:right w:val="none" w:sz="0" w:space="0" w:color="auto"/>
      </w:divBdr>
    </w:div>
    <w:div w:id="916984357">
      <w:bodyDiv w:val="1"/>
      <w:marLeft w:val="0"/>
      <w:marRight w:val="0"/>
      <w:marTop w:val="0"/>
      <w:marBottom w:val="0"/>
      <w:divBdr>
        <w:top w:val="none" w:sz="0" w:space="0" w:color="auto"/>
        <w:left w:val="none" w:sz="0" w:space="0" w:color="auto"/>
        <w:bottom w:val="none" w:sz="0" w:space="0" w:color="auto"/>
        <w:right w:val="none" w:sz="0" w:space="0" w:color="auto"/>
      </w:divBdr>
    </w:div>
    <w:div w:id="926882781">
      <w:bodyDiv w:val="1"/>
      <w:marLeft w:val="0"/>
      <w:marRight w:val="0"/>
      <w:marTop w:val="0"/>
      <w:marBottom w:val="0"/>
      <w:divBdr>
        <w:top w:val="none" w:sz="0" w:space="0" w:color="auto"/>
        <w:left w:val="none" w:sz="0" w:space="0" w:color="auto"/>
        <w:bottom w:val="none" w:sz="0" w:space="0" w:color="auto"/>
        <w:right w:val="none" w:sz="0" w:space="0" w:color="auto"/>
      </w:divBdr>
    </w:div>
    <w:div w:id="929001006">
      <w:bodyDiv w:val="1"/>
      <w:marLeft w:val="0"/>
      <w:marRight w:val="0"/>
      <w:marTop w:val="0"/>
      <w:marBottom w:val="0"/>
      <w:divBdr>
        <w:top w:val="none" w:sz="0" w:space="0" w:color="auto"/>
        <w:left w:val="none" w:sz="0" w:space="0" w:color="auto"/>
        <w:bottom w:val="none" w:sz="0" w:space="0" w:color="auto"/>
        <w:right w:val="none" w:sz="0" w:space="0" w:color="auto"/>
      </w:divBdr>
    </w:div>
    <w:div w:id="930548725">
      <w:bodyDiv w:val="1"/>
      <w:marLeft w:val="0"/>
      <w:marRight w:val="0"/>
      <w:marTop w:val="0"/>
      <w:marBottom w:val="0"/>
      <w:divBdr>
        <w:top w:val="none" w:sz="0" w:space="0" w:color="auto"/>
        <w:left w:val="none" w:sz="0" w:space="0" w:color="auto"/>
        <w:bottom w:val="none" w:sz="0" w:space="0" w:color="auto"/>
        <w:right w:val="none" w:sz="0" w:space="0" w:color="auto"/>
      </w:divBdr>
    </w:div>
    <w:div w:id="932472388">
      <w:bodyDiv w:val="1"/>
      <w:marLeft w:val="0"/>
      <w:marRight w:val="0"/>
      <w:marTop w:val="0"/>
      <w:marBottom w:val="0"/>
      <w:divBdr>
        <w:top w:val="none" w:sz="0" w:space="0" w:color="auto"/>
        <w:left w:val="none" w:sz="0" w:space="0" w:color="auto"/>
        <w:bottom w:val="none" w:sz="0" w:space="0" w:color="auto"/>
        <w:right w:val="none" w:sz="0" w:space="0" w:color="auto"/>
      </w:divBdr>
    </w:div>
    <w:div w:id="933514193">
      <w:bodyDiv w:val="1"/>
      <w:marLeft w:val="0"/>
      <w:marRight w:val="0"/>
      <w:marTop w:val="0"/>
      <w:marBottom w:val="0"/>
      <w:divBdr>
        <w:top w:val="none" w:sz="0" w:space="0" w:color="auto"/>
        <w:left w:val="none" w:sz="0" w:space="0" w:color="auto"/>
        <w:bottom w:val="none" w:sz="0" w:space="0" w:color="auto"/>
        <w:right w:val="none" w:sz="0" w:space="0" w:color="auto"/>
      </w:divBdr>
    </w:div>
    <w:div w:id="934901240">
      <w:bodyDiv w:val="1"/>
      <w:marLeft w:val="0"/>
      <w:marRight w:val="0"/>
      <w:marTop w:val="0"/>
      <w:marBottom w:val="0"/>
      <w:divBdr>
        <w:top w:val="none" w:sz="0" w:space="0" w:color="auto"/>
        <w:left w:val="none" w:sz="0" w:space="0" w:color="auto"/>
        <w:bottom w:val="none" w:sz="0" w:space="0" w:color="auto"/>
        <w:right w:val="none" w:sz="0" w:space="0" w:color="auto"/>
      </w:divBdr>
    </w:div>
    <w:div w:id="935946523">
      <w:bodyDiv w:val="1"/>
      <w:marLeft w:val="0"/>
      <w:marRight w:val="0"/>
      <w:marTop w:val="0"/>
      <w:marBottom w:val="0"/>
      <w:divBdr>
        <w:top w:val="none" w:sz="0" w:space="0" w:color="auto"/>
        <w:left w:val="none" w:sz="0" w:space="0" w:color="auto"/>
        <w:bottom w:val="none" w:sz="0" w:space="0" w:color="auto"/>
        <w:right w:val="none" w:sz="0" w:space="0" w:color="auto"/>
      </w:divBdr>
    </w:div>
    <w:div w:id="936134314">
      <w:bodyDiv w:val="1"/>
      <w:marLeft w:val="0"/>
      <w:marRight w:val="0"/>
      <w:marTop w:val="0"/>
      <w:marBottom w:val="0"/>
      <w:divBdr>
        <w:top w:val="none" w:sz="0" w:space="0" w:color="auto"/>
        <w:left w:val="none" w:sz="0" w:space="0" w:color="auto"/>
        <w:bottom w:val="none" w:sz="0" w:space="0" w:color="auto"/>
        <w:right w:val="none" w:sz="0" w:space="0" w:color="auto"/>
      </w:divBdr>
    </w:div>
    <w:div w:id="946547565">
      <w:bodyDiv w:val="1"/>
      <w:marLeft w:val="0"/>
      <w:marRight w:val="0"/>
      <w:marTop w:val="0"/>
      <w:marBottom w:val="0"/>
      <w:divBdr>
        <w:top w:val="none" w:sz="0" w:space="0" w:color="auto"/>
        <w:left w:val="none" w:sz="0" w:space="0" w:color="auto"/>
        <w:bottom w:val="none" w:sz="0" w:space="0" w:color="auto"/>
        <w:right w:val="none" w:sz="0" w:space="0" w:color="auto"/>
      </w:divBdr>
    </w:div>
    <w:div w:id="948010358">
      <w:bodyDiv w:val="1"/>
      <w:marLeft w:val="0"/>
      <w:marRight w:val="0"/>
      <w:marTop w:val="0"/>
      <w:marBottom w:val="0"/>
      <w:divBdr>
        <w:top w:val="none" w:sz="0" w:space="0" w:color="auto"/>
        <w:left w:val="none" w:sz="0" w:space="0" w:color="auto"/>
        <w:bottom w:val="none" w:sz="0" w:space="0" w:color="auto"/>
        <w:right w:val="none" w:sz="0" w:space="0" w:color="auto"/>
      </w:divBdr>
    </w:div>
    <w:div w:id="954479325">
      <w:bodyDiv w:val="1"/>
      <w:marLeft w:val="0"/>
      <w:marRight w:val="0"/>
      <w:marTop w:val="0"/>
      <w:marBottom w:val="0"/>
      <w:divBdr>
        <w:top w:val="none" w:sz="0" w:space="0" w:color="auto"/>
        <w:left w:val="none" w:sz="0" w:space="0" w:color="auto"/>
        <w:bottom w:val="none" w:sz="0" w:space="0" w:color="auto"/>
        <w:right w:val="none" w:sz="0" w:space="0" w:color="auto"/>
      </w:divBdr>
      <w:divsChild>
        <w:div w:id="258607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762878">
      <w:bodyDiv w:val="1"/>
      <w:marLeft w:val="0"/>
      <w:marRight w:val="0"/>
      <w:marTop w:val="0"/>
      <w:marBottom w:val="0"/>
      <w:divBdr>
        <w:top w:val="none" w:sz="0" w:space="0" w:color="auto"/>
        <w:left w:val="none" w:sz="0" w:space="0" w:color="auto"/>
        <w:bottom w:val="none" w:sz="0" w:space="0" w:color="auto"/>
        <w:right w:val="none" w:sz="0" w:space="0" w:color="auto"/>
      </w:divBdr>
    </w:div>
    <w:div w:id="965114337">
      <w:bodyDiv w:val="1"/>
      <w:marLeft w:val="0"/>
      <w:marRight w:val="0"/>
      <w:marTop w:val="0"/>
      <w:marBottom w:val="0"/>
      <w:divBdr>
        <w:top w:val="none" w:sz="0" w:space="0" w:color="auto"/>
        <w:left w:val="none" w:sz="0" w:space="0" w:color="auto"/>
        <w:bottom w:val="none" w:sz="0" w:space="0" w:color="auto"/>
        <w:right w:val="none" w:sz="0" w:space="0" w:color="auto"/>
      </w:divBdr>
    </w:div>
    <w:div w:id="974525386">
      <w:bodyDiv w:val="1"/>
      <w:marLeft w:val="0"/>
      <w:marRight w:val="0"/>
      <w:marTop w:val="0"/>
      <w:marBottom w:val="0"/>
      <w:divBdr>
        <w:top w:val="none" w:sz="0" w:space="0" w:color="auto"/>
        <w:left w:val="none" w:sz="0" w:space="0" w:color="auto"/>
        <w:bottom w:val="none" w:sz="0" w:space="0" w:color="auto"/>
        <w:right w:val="none" w:sz="0" w:space="0" w:color="auto"/>
      </w:divBdr>
    </w:div>
    <w:div w:id="981039701">
      <w:bodyDiv w:val="1"/>
      <w:marLeft w:val="0"/>
      <w:marRight w:val="0"/>
      <w:marTop w:val="0"/>
      <w:marBottom w:val="0"/>
      <w:divBdr>
        <w:top w:val="none" w:sz="0" w:space="0" w:color="auto"/>
        <w:left w:val="none" w:sz="0" w:space="0" w:color="auto"/>
        <w:bottom w:val="none" w:sz="0" w:space="0" w:color="auto"/>
        <w:right w:val="none" w:sz="0" w:space="0" w:color="auto"/>
      </w:divBdr>
    </w:div>
    <w:div w:id="981083206">
      <w:bodyDiv w:val="1"/>
      <w:marLeft w:val="0"/>
      <w:marRight w:val="0"/>
      <w:marTop w:val="0"/>
      <w:marBottom w:val="0"/>
      <w:divBdr>
        <w:top w:val="none" w:sz="0" w:space="0" w:color="auto"/>
        <w:left w:val="none" w:sz="0" w:space="0" w:color="auto"/>
        <w:bottom w:val="none" w:sz="0" w:space="0" w:color="auto"/>
        <w:right w:val="none" w:sz="0" w:space="0" w:color="auto"/>
      </w:divBdr>
      <w:divsChild>
        <w:div w:id="1588618165">
          <w:marLeft w:val="0"/>
          <w:marRight w:val="0"/>
          <w:marTop w:val="0"/>
          <w:marBottom w:val="0"/>
          <w:divBdr>
            <w:top w:val="none" w:sz="0" w:space="0" w:color="auto"/>
            <w:left w:val="none" w:sz="0" w:space="0" w:color="auto"/>
            <w:bottom w:val="none" w:sz="0" w:space="0" w:color="auto"/>
            <w:right w:val="none" w:sz="0" w:space="0" w:color="auto"/>
          </w:divBdr>
          <w:divsChild>
            <w:div w:id="1537506835">
              <w:marLeft w:val="0"/>
              <w:marRight w:val="0"/>
              <w:marTop w:val="0"/>
              <w:marBottom w:val="0"/>
              <w:divBdr>
                <w:top w:val="none" w:sz="0" w:space="0" w:color="auto"/>
                <w:left w:val="none" w:sz="0" w:space="0" w:color="auto"/>
                <w:bottom w:val="none" w:sz="0" w:space="0" w:color="auto"/>
                <w:right w:val="none" w:sz="0" w:space="0" w:color="auto"/>
              </w:divBdr>
              <w:divsChild>
                <w:div w:id="594871365">
                  <w:marLeft w:val="0"/>
                  <w:marRight w:val="0"/>
                  <w:marTop w:val="0"/>
                  <w:marBottom w:val="0"/>
                  <w:divBdr>
                    <w:top w:val="none" w:sz="0" w:space="0" w:color="auto"/>
                    <w:left w:val="none" w:sz="0" w:space="0" w:color="auto"/>
                    <w:bottom w:val="none" w:sz="0" w:space="0" w:color="auto"/>
                    <w:right w:val="none" w:sz="0" w:space="0" w:color="auto"/>
                  </w:divBdr>
                  <w:divsChild>
                    <w:div w:id="1544636699">
                      <w:marLeft w:val="0"/>
                      <w:marRight w:val="0"/>
                      <w:marTop w:val="0"/>
                      <w:marBottom w:val="0"/>
                      <w:divBdr>
                        <w:top w:val="none" w:sz="0" w:space="0" w:color="auto"/>
                        <w:left w:val="none" w:sz="0" w:space="0" w:color="auto"/>
                        <w:bottom w:val="none" w:sz="0" w:space="0" w:color="auto"/>
                        <w:right w:val="none" w:sz="0" w:space="0" w:color="auto"/>
                      </w:divBdr>
                      <w:divsChild>
                        <w:div w:id="1763916233">
                          <w:marLeft w:val="0"/>
                          <w:marRight w:val="0"/>
                          <w:marTop w:val="0"/>
                          <w:marBottom w:val="0"/>
                          <w:divBdr>
                            <w:top w:val="none" w:sz="0" w:space="0" w:color="auto"/>
                            <w:left w:val="none" w:sz="0" w:space="0" w:color="auto"/>
                            <w:bottom w:val="none" w:sz="0" w:space="0" w:color="auto"/>
                            <w:right w:val="none" w:sz="0" w:space="0" w:color="auto"/>
                          </w:divBdr>
                          <w:divsChild>
                            <w:div w:id="649555638">
                              <w:marLeft w:val="0"/>
                              <w:marRight w:val="0"/>
                              <w:marTop w:val="0"/>
                              <w:marBottom w:val="0"/>
                              <w:divBdr>
                                <w:top w:val="none" w:sz="0" w:space="0" w:color="auto"/>
                                <w:left w:val="none" w:sz="0" w:space="0" w:color="auto"/>
                                <w:bottom w:val="none" w:sz="0" w:space="0" w:color="auto"/>
                                <w:right w:val="none" w:sz="0" w:space="0" w:color="auto"/>
                              </w:divBdr>
                              <w:divsChild>
                                <w:div w:id="2061397284">
                                  <w:marLeft w:val="0"/>
                                  <w:marRight w:val="0"/>
                                  <w:marTop w:val="0"/>
                                  <w:marBottom w:val="0"/>
                                  <w:divBdr>
                                    <w:top w:val="none" w:sz="0" w:space="0" w:color="auto"/>
                                    <w:left w:val="none" w:sz="0" w:space="0" w:color="auto"/>
                                    <w:bottom w:val="none" w:sz="0" w:space="0" w:color="auto"/>
                                    <w:right w:val="none" w:sz="0" w:space="0" w:color="auto"/>
                                  </w:divBdr>
                                  <w:divsChild>
                                    <w:div w:id="84555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2152488">
      <w:bodyDiv w:val="1"/>
      <w:marLeft w:val="0"/>
      <w:marRight w:val="0"/>
      <w:marTop w:val="0"/>
      <w:marBottom w:val="0"/>
      <w:divBdr>
        <w:top w:val="none" w:sz="0" w:space="0" w:color="auto"/>
        <w:left w:val="none" w:sz="0" w:space="0" w:color="auto"/>
        <w:bottom w:val="none" w:sz="0" w:space="0" w:color="auto"/>
        <w:right w:val="none" w:sz="0" w:space="0" w:color="auto"/>
      </w:divBdr>
    </w:div>
    <w:div w:id="992875668">
      <w:bodyDiv w:val="1"/>
      <w:marLeft w:val="0"/>
      <w:marRight w:val="0"/>
      <w:marTop w:val="0"/>
      <w:marBottom w:val="0"/>
      <w:divBdr>
        <w:top w:val="none" w:sz="0" w:space="0" w:color="auto"/>
        <w:left w:val="none" w:sz="0" w:space="0" w:color="auto"/>
        <w:bottom w:val="none" w:sz="0" w:space="0" w:color="auto"/>
        <w:right w:val="none" w:sz="0" w:space="0" w:color="auto"/>
      </w:divBdr>
    </w:div>
    <w:div w:id="994644747">
      <w:bodyDiv w:val="1"/>
      <w:marLeft w:val="0"/>
      <w:marRight w:val="0"/>
      <w:marTop w:val="0"/>
      <w:marBottom w:val="0"/>
      <w:divBdr>
        <w:top w:val="none" w:sz="0" w:space="0" w:color="auto"/>
        <w:left w:val="none" w:sz="0" w:space="0" w:color="auto"/>
        <w:bottom w:val="none" w:sz="0" w:space="0" w:color="auto"/>
        <w:right w:val="none" w:sz="0" w:space="0" w:color="auto"/>
      </w:divBdr>
    </w:div>
    <w:div w:id="994917631">
      <w:bodyDiv w:val="1"/>
      <w:marLeft w:val="0"/>
      <w:marRight w:val="0"/>
      <w:marTop w:val="0"/>
      <w:marBottom w:val="0"/>
      <w:divBdr>
        <w:top w:val="none" w:sz="0" w:space="0" w:color="auto"/>
        <w:left w:val="none" w:sz="0" w:space="0" w:color="auto"/>
        <w:bottom w:val="none" w:sz="0" w:space="0" w:color="auto"/>
        <w:right w:val="none" w:sz="0" w:space="0" w:color="auto"/>
      </w:divBdr>
      <w:divsChild>
        <w:div w:id="24674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7272173">
      <w:bodyDiv w:val="1"/>
      <w:marLeft w:val="0"/>
      <w:marRight w:val="0"/>
      <w:marTop w:val="0"/>
      <w:marBottom w:val="0"/>
      <w:divBdr>
        <w:top w:val="none" w:sz="0" w:space="0" w:color="auto"/>
        <w:left w:val="none" w:sz="0" w:space="0" w:color="auto"/>
        <w:bottom w:val="none" w:sz="0" w:space="0" w:color="auto"/>
        <w:right w:val="none" w:sz="0" w:space="0" w:color="auto"/>
      </w:divBdr>
    </w:div>
    <w:div w:id="998967996">
      <w:bodyDiv w:val="1"/>
      <w:marLeft w:val="0"/>
      <w:marRight w:val="0"/>
      <w:marTop w:val="0"/>
      <w:marBottom w:val="0"/>
      <w:divBdr>
        <w:top w:val="none" w:sz="0" w:space="0" w:color="auto"/>
        <w:left w:val="none" w:sz="0" w:space="0" w:color="auto"/>
        <w:bottom w:val="none" w:sz="0" w:space="0" w:color="auto"/>
        <w:right w:val="none" w:sz="0" w:space="0" w:color="auto"/>
      </w:divBdr>
    </w:div>
    <w:div w:id="1003165784">
      <w:bodyDiv w:val="1"/>
      <w:marLeft w:val="0"/>
      <w:marRight w:val="0"/>
      <w:marTop w:val="0"/>
      <w:marBottom w:val="0"/>
      <w:divBdr>
        <w:top w:val="none" w:sz="0" w:space="0" w:color="auto"/>
        <w:left w:val="none" w:sz="0" w:space="0" w:color="auto"/>
        <w:bottom w:val="none" w:sz="0" w:space="0" w:color="auto"/>
        <w:right w:val="none" w:sz="0" w:space="0" w:color="auto"/>
      </w:divBdr>
    </w:div>
    <w:div w:id="1003434456">
      <w:bodyDiv w:val="1"/>
      <w:marLeft w:val="0"/>
      <w:marRight w:val="0"/>
      <w:marTop w:val="0"/>
      <w:marBottom w:val="0"/>
      <w:divBdr>
        <w:top w:val="none" w:sz="0" w:space="0" w:color="auto"/>
        <w:left w:val="none" w:sz="0" w:space="0" w:color="auto"/>
        <w:bottom w:val="none" w:sz="0" w:space="0" w:color="auto"/>
        <w:right w:val="none" w:sz="0" w:space="0" w:color="auto"/>
      </w:divBdr>
      <w:divsChild>
        <w:div w:id="2039577864">
          <w:marLeft w:val="0"/>
          <w:marRight w:val="0"/>
          <w:marTop w:val="0"/>
          <w:marBottom w:val="0"/>
          <w:divBdr>
            <w:top w:val="none" w:sz="0" w:space="0" w:color="auto"/>
            <w:left w:val="none" w:sz="0" w:space="0" w:color="auto"/>
            <w:bottom w:val="none" w:sz="0" w:space="0" w:color="auto"/>
            <w:right w:val="none" w:sz="0" w:space="0" w:color="auto"/>
          </w:divBdr>
          <w:divsChild>
            <w:div w:id="89956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044276">
      <w:bodyDiv w:val="1"/>
      <w:marLeft w:val="0"/>
      <w:marRight w:val="0"/>
      <w:marTop w:val="0"/>
      <w:marBottom w:val="0"/>
      <w:divBdr>
        <w:top w:val="none" w:sz="0" w:space="0" w:color="auto"/>
        <w:left w:val="none" w:sz="0" w:space="0" w:color="auto"/>
        <w:bottom w:val="none" w:sz="0" w:space="0" w:color="auto"/>
        <w:right w:val="none" w:sz="0" w:space="0" w:color="auto"/>
      </w:divBdr>
    </w:div>
    <w:div w:id="1005089845">
      <w:bodyDiv w:val="1"/>
      <w:marLeft w:val="0"/>
      <w:marRight w:val="0"/>
      <w:marTop w:val="0"/>
      <w:marBottom w:val="0"/>
      <w:divBdr>
        <w:top w:val="none" w:sz="0" w:space="0" w:color="auto"/>
        <w:left w:val="none" w:sz="0" w:space="0" w:color="auto"/>
        <w:bottom w:val="none" w:sz="0" w:space="0" w:color="auto"/>
        <w:right w:val="none" w:sz="0" w:space="0" w:color="auto"/>
      </w:divBdr>
    </w:div>
    <w:div w:id="1005354839">
      <w:bodyDiv w:val="1"/>
      <w:marLeft w:val="0"/>
      <w:marRight w:val="0"/>
      <w:marTop w:val="0"/>
      <w:marBottom w:val="0"/>
      <w:divBdr>
        <w:top w:val="none" w:sz="0" w:space="0" w:color="auto"/>
        <w:left w:val="none" w:sz="0" w:space="0" w:color="auto"/>
        <w:bottom w:val="none" w:sz="0" w:space="0" w:color="auto"/>
        <w:right w:val="none" w:sz="0" w:space="0" w:color="auto"/>
      </w:divBdr>
    </w:div>
    <w:div w:id="1017998966">
      <w:bodyDiv w:val="1"/>
      <w:marLeft w:val="0"/>
      <w:marRight w:val="0"/>
      <w:marTop w:val="0"/>
      <w:marBottom w:val="0"/>
      <w:divBdr>
        <w:top w:val="none" w:sz="0" w:space="0" w:color="auto"/>
        <w:left w:val="none" w:sz="0" w:space="0" w:color="auto"/>
        <w:bottom w:val="none" w:sz="0" w:space="0" w:color="auto"/>
        <w:right w:val="none" w:sz="0" w:space="0" w:color="auto"/>
      </w:divBdr>
    </w:div>
    <w:div w:id="1031422277">
      <w:bodyDiv w:val="1"/>
      <w:marLeft w:val="0"/>
      <w:marRight w:val="0"/>
      <w:marTop w:val="0"/>
      <w:marBottom w:val="0"/>
      <w:divBdr>
        <w:top w:val="none" w:sz="0" w:space="0" w:color="auto"/>
        <w:left w:val="none" w:sz="0" w:space="0" w:color="auto"/>
        <w:bottom w:val="none" w:sz="0" w:space="0" w:color="auto"/>
        <w:right w:val="none" w:sz="0" w:space="0" w:color="auto"/>
      </w:divBdr>
    </w:div>
    <w:div w:id="1032418960">
      <w:bodyDiv w:val="1"/>
      <w:marLeft w:val="0"/>
      <w:marRight w:val="0"/>
      <w:marTop w:val="0"/>
      <w:marBottom w:val="0"/>
      <w:divBdr>
        <w:top w:val="none" w:sz="0" w:space="0" w:color="auto"/>
        <w:left w:val="none" w:sz="0" w:space="0" w:color="auto"/>
        <w:bottom w:val="none" w:sz="0" w:space="0" w:color="auto"/>
        <w:right w:val="none" w:sz="0" w:space="0" w:color="auto"/>
      </w:divBdr>
    </w:div>
    <w:div w:id="1033965290">
      <w:bodyDiv w:val="1"/>
      <w:marLeft w:val="0"/>
      <w:marRight w:val="0"/>
      <w:marTop w:val="0"/>
      <w:marBottom w:val="0"/>
      <w:divBdr>
        <w:top w:val="none" w:sz="0" w:space="0" w:color="auto"/>
        <w:left w:val="none" w:sz="0" w:space="0" w:color="auto"/>
        <w:bottom w:val="none" w:sz="0" w:space="0" w:color="auto"/>
        <w:right w:val="none" w:sz="0" w:space="0" w:color="auto"/>
      </w:divBdr>
    </w:div>
    <w:div w:id="1036465554">
      <w:bodyDiv w:val="1"/>
      <w:marLeft w:val="0"/>
      <w:marRight w:val="0"/>
      <w:marTop w:val="0"/>
      <w:marBottom w:val="0"/>
      <w:divBdr>
        <w:top w:val="none" w:sz="0" w:space="0" w:color="auto"/>
        <w:left w:val="none" w:sz="0" w:space="0" w:color="auto"/>
        <w:bottom w:val="none" w:sz="0" w:space="0" w:color="auto"/>
        <w:right w:val="none" w:sz="0" w:space="0" w:color="auto"/>
      </w:divBdr>
    </w:div>
    <w:div w:id="1037974833">
      <w:bodyDiv w:val="1"/>
      <w:marLeft w:val="0"/>
      <w:marRight w:val="0"/>
      <w:marTop w:val="0"/>
      <w:marBottom w:val="0"/>
      <w:divBdr>
        <w:top w:val="none" w:sz="0" w:space="0" w:color="auto"/>
        <w:left w:val="none" w:sz="0" w:space="0" w:color="auto"/>
        <w:bottom w:val="none" w:sz="0" w:space="0" w:color="auto"/>
        <w:right w:val="none" w:sz="0" w:space="0" w:color="auto"/>
      </w:divBdr>
    </w:div>
    <w:div w:id="1038354264">
      <w:bodyDiv w:val="1"/>
      <w:marLeft w:val="0"/>
      <w:marRight w:val="0"/>
      <w:marTop w:val="0"/>
      <w:marBottom w:val="0"/>
      <w:divBdr>
        <w:top w:val="none" w:sz="0" w:space="0" w:color="auto"/>
        <w:left w:val="none" w:sz="0" w:space="0" w:color="auto"/>
        <w:bottom w:val="none" w:sz="0" w:space="0" w:color="auto"/>
        <w:right w:val="none" w:sz="0" w:space="0" w:color="auto"/>
      </w:divBdr>
    </w:div>
    <w:div w:id="1038625500">
      <w:bodyDiv w:val="1"/>
      <w:marLeft w:val="0"/>
      <w:marRight w:val="0"/>
      <w:marTop w:val="0"/>
      <w:marBottom w:val="0"/>
      <w:divBdr>
        <w:top w:val="none" w:sz="0" w:space="0" w:color="auto"/>
        <w:left w:val="none" w:sz="0" w:space="0" w:color="auto"/>
        <w:bottom w:val="none" w:sz="0" w:space="0" w:color="auto"/>
        <w:right w:val="none" w:sz="0" w:space="0" w:color="auto"/>
      </w:divBdr>
    </w:div>
    <w:div w:id="1038746618">
      <w:bodyDiv w:val="1"/>
      <w:marLeft w:val="0"/>
      <w:marRight w:val="0"/>
      <w:marTop w:val="0"/>
      <w:marBottom w:val="0"/>
      <w:divBdr>
        <w:top w:val="none" w:sz="0" w:space="0" w:color="auto"/>
        <w:left w:val="none" w:sz="0" w:space="0" w:color="auto"/>
        <w:bottom w:val="none" w:sz="0" w:space="0" w:color="auto"/>
        <w:right w:val="none" w:sz="0" w:space="0" w:color="auto"/>
      </w:divBdr>
    </w:div>
    <w:div w:id="1039936301">
      <w:bodyDiv w:val="1"/>
      <w:marLeft w:val="0"/>
      <w:marRight w:val="0"/>
      <w:marTop w:val="0"/>
      <w:marBottom w:val="0"/>
      <w:divBdr>
        <w:top w:val="none" w:sz="0" w:space="0" w:color="auto"/>
        <w:left w:val="none" w:sz="0" w:space="0" w:color="auto"/>
        <w:bottom w:val="none" w:sz="0" w:space="0" w:color="auto"/>
        <w:right w:val="none" w:sz="0" w:space="0" w:color="auto"/>
      </w:divBdr>
    </w:div>
    <w:div w:id="1045638172">
      <w:bodyDiv w:val="1"/>
      <w:marLeft w:val="0"/>
      <w:marRight w:val="0"/>
      <w:marTop w:val="0"/>
      <w:marBottom w:val="0"/>
      <w:divBdr>
        <w:top w:val="none" w:sz="0" w:space="0" w:color="auto"/>
        <w:left w:val="none" w:sz="0" w:space="0" w:color="auto"/>
        <w:bottom w:val="none" w:sz="0" w:space="0" w:color="auto"/>
        <w:right w:val="none" w:sz="0" w:space="0" w:color="auto"/>
      </w:divBdr>
    </w:div>
    <w:div w:id="1051344284">
      <w:bodyDiv w:val="1"/>
      <w:marLeft w:val="0"/>
      <w:marRight w:val="0"/>
      <w:marTop w:val="0"/>
      <w:marBottom w:val="0"/>
      <w:divBdr>
        <w:top w:val="none" w:sz="0" w:space="0" w:color="auto"/>
        <w:left w:val="none" w:sz="0" w:space="0" w:color="auto"/>
        <w:bottom w:val="none" w:sz="0" w:space="0" w:color="auto"/>
        <w:right w:val="none" w:sz="0" w:space="0" w:color="auto"/>
      </w:divBdr>
    </w:div>
    <w:div w:id="1053966988">
      <w:bodyDiv w:val="1"/>
      <w:marLeft w:val="0"/>
      <w:marRight w:val="0"/>
      <w:marTop w:val="0"/>
      <w:marBottom w:val="0"/>
      <w:divBdr>
        <w:top w:val="none" w:sz="0" w:space="0" w:color="auto"/>
        <w:left w:val="none" w:sz="0" w:space="0" w:color="auto"/>
        <w:bottom w:val="none" w:sz="0" w:space="0" w:color="auto"/>
        <w:right w:val="none" w:sz="0" w:space="0" w:color="auto"/>
      </w:divBdr>
    </w:div>
    <w:div w:id="1055740684">
      <w:bodyDiv w:val="1"/>
      <w:marLeft w:val="0"/>
      <w:marRight w:val="0"/>
      <w:marTop w:val="0"/>
      <w:marBottom w:val="0"/>
      <w:divBdr>
        <w:top w:val="none" w:sz="0" w:space="0" w:color="auto"/>
        <w:left w:val="none" w:sz="0" w:space="0" w:color="auto"/>
        <w:bottom w:val="none" w:sz="0" w:space="0" w:color="auto"/>
        <w:right w:val="none" w:sz="0" w:space="0" w:color="auto"/>
      </w:divBdr>
    </w:div>
    <w:div w:id="1056200607">
      <w:bodyDiv w:val="1"/>
      <w:marLeft w:val="0"/>
      <w:marRight w:val="0"/>
      <w:marTop w:val="0"/>
      <w:marBottom w:val="0"/>
      <w:divBdr>
        <w:top w:val="none" w:sz="0" w:space="0" w:color="auto"/>
        <w:left w:val="none" w:sz="0" w:space="0" w:color="auto"/>
        <w:bottom w:val="none" w:sz="0" w:space="0" w:color="auto"/>
        <w:right w:val="none" w:sz="0" w:space="0" w:color="auto"/>
      </w:divBdr>
    </w:div>
    <w:div w:id="1056590667">
      <w:bodyDiv w:val="1"/>
      <w:marLeft w:val="0"/>
      <w:marRight w:val="0"/>
      <w:marTop w:val="0"/>
      <w:marBottom w:val="0"/>
      <w:divBdr>
        <w:top w:val="none" w:sz="0" w:space="0" w:color="auto"/>
        <w:left w:val="none" w:sz="0" w:space="0" w:color="auto"/>
        <w:bottom w:val="none" w:sz="0" w:space="0" w:color="auto"/>
        <w:right w:val="none" w:sz="0" w:space="0" w:color="auto"/>
      </w:divBdr>
    </w:div>
    <w:div w:id="1058014853">
      <w:bodyDiv w:val="1"/>
      <w:marLeft w:val="0"/>
      <w:marRight w:val="0"/>
      <w:marTop w:val="0"/>
      <w:marBottom w:val="0"/>
      <w:divBdr>
        <w:top w:val="none" w:sz="0" w:space="0" w:color="auto"/>
        <w:left w:val="none" w:sz="0" w:space="0" w:color="auto"/>
        <w:bottom w:val="none" w:sz="0" w:space="0" w:color="auto"/>
        <w:right w:val="none" w:sz="0" w:space="0" w:color="auto"/>
      </w:divBdr>
    </w:div>
    <w:div w:id="1061638346">
      <w:bodyDiv w:val="1"/>
      <w:marLeft w:val="0"/>
      <w:marRight w:val="0"/>
      <w:marTop w:val="0"/>
      <w:marBottom w:val="0"/>
      <w:divBdr>
        <w:top w:val="none" w:sz="0" w:space="0" w:color="auto"/>
        <w:left w:val="none" w:sz="0" w:space="0" w:color="auto"/>
        <w:bottom w:val="none" w:sz="0" w:space="0" w:color="auto"/>
        <w:right w:val="none" w:sz="0" w:space="0" w:color="auto"/>
      </w:divBdr>
    </w:div>
    <w:div w:id="1061715238">
      <w:bodyDiv w:val="1"/>
      <w:marLeft w:val="0"/>
      <w:marRight w:val="0"/>
      <w:marTop w:val="0"/>
      <w:marBottom w:val="0"/>
      <w:divBdr>
        <w:top w:val="none" w:sz="0" w:space="0" w:color="auto"/>
        <w:left w:val="none" w:sz="0" w:space="0" w:color="auto"/>
        <w:bottom w:val="none" w:sz="0" w:space="0" w:color="auto"/>
        <w:right w:val="none" w:sz="0" w:space="0" w:color="auto"/>
      </w:divBdr>
    </w:div>
    <w:div w:id="1062560648">
      <w:bodyDiv w:val="1"/>
      <w:marLeft w:val="0"/>
      <w:marRight w:val="0"/>
      <w:marTop w:val="0"/>
      <w:marBottom w:val="0"/>
      <w:divBdr>
        <w:top w:val="none" w:sz="0" w:space="0" w:color="auto"/>
        <w:left w:val="none" w:sz="0" w:space="0" w:color="auto"/>
        <w:bottom w:val="none" w:sz="0" w:space="0" w:color="auto"/>
        <w:right w:val="none" w:sz="0" w:space="0" w:color="auto"/>
      </w:divBdr>
    </w:div>
    <w:div w:id="1079978744">
      <w:bodyDiv w:val="1"/>
      <w:marLeft w:val="0"/>
      <w:marRight w:val="0"/>
      <w:marTop w:val="0"/>
      <w:marBottom w:val="0"/>
      <w:divBdr>
        <w:top w:val="none" w:sz="0" w:space="0" w:color="auto"/>
        <w:left w:val="none" w:sz="0" w:space="0" w:color="auto"/>
        <w:bottom w:val="none" w:sz="0" w:space="0" w:color="auto"/>
        <w:right w:val="none" w:sz="0" w:space="0" w:color="auto"/>
      </w:divBdr>
    </w:div>
    <w:div w:id="1082221963">
      <w:bodyDiv w:val="1"/>
      <w:marLeft w:val="0"/>
      <w:marRight w:val="0"/>
      <w:marTop w:val="0"/>
      <w:marBottom w:val="0"/>
      <w:divBdr>
        <w:top w:val="none" w:sz="0" w:space="0" w:color="auto"/>
        <w:left w:val="none" w:sz="0" w:space="0" w:color="auto"/>
        <w:bottom w:val="none" w:sz="0" w:space="0" w:color="auto"/>
        <w:right w:val="none" w:sz="0" w:space="0" w:color="auto"/>
      </w:divBdr>
    </w:div>
    <w:div w:id="1084911213">
      <w:bodyDiv w:val="1"/>
      <w:marLeft w:val="0"/>
      <w:marRight w:val="0"/>
      <w:marTop w:val="0"/>
      <w:marBottom w:val="0"/>
      <w:divBdr>
        <w:top w:val="none" w:sz="0" w:space="0" w:color="auto"/>
        <w:left w:val="none" w:sz="0" w:space="0" w:color="auto"/>
        <w:bottom w:val="none" w:sz="0" w:space="0" w:color="auto"/>
        <w:right w:val="none" w:sz="0" w:space="0" w:color="auto"/>
      </w:divBdr>
    </w:div>
    <w:div w:id="1097793766">
      <w:bodyDiv w:val="1"/>
      <w:marLeft w:val="0"/>
      <w:marRight w:val="0"/>
      <w:marTop w:val="0"/>
      <w:marBottom w:val="0"/>
      <w:divBdr>
        <w:top w:val="none" w:sz="0" w:space="0" w:color="auto"/>
        <w:left w:val="none" w:sz="0" w:space="0" w:color="auto"/>
        <w:bottom w:val="none" w:sz="0" w:space="0" w:color="auto"/>
        <w:right w:val="none" w:sz="0" w:space="0" w:color="auto"/>
      </w:divBdr>
    </w:div>
    <w:div w:id="1108308476">
      <w:bodyDiv w:val="1"/>
      <w:marLeft w:val="0"/>
      <w:marRight w:val="0"/>
      <w:marTop w:val="0"/>
      <w:marBottom w:val="0"/>
      <w:divBdr>
        <w:top w:val="none" w:sz="0" w:space="0" w:color="auto"/>
        <w:left w:val="none" w:sz="0" w:space="0" w:color="auto"/>
        <w:bottom w:val="none" w:sz="0" w:space="0" w:color="auto"/>
        <w:right w:val="none" w:sz="0" w:space="0" w:color="auto"/>
      </w:divBdr>
    </w:div>
    <w:div w:id="1111825038">
      <w:bodyDiv w:val="1"/>
      <w:marLeft w:val="0"/>
      <w:marRight w:val="0"/>
      <w:marTop w:val="0"/>
      <w:marBottom w:val="0"/>
      <w:divBdr>
        <w:top w:val="none" w:sz="0" w:space="0" w:color="auto"/>
        <w:left w:val="none" w:sz="0" w:space="0" w:color="auto"/>
        <w:bottom w:val="none" w:sz="0" w:space="0" w:color="auto"/>
        <w:right w:val="none" w:sz="0" w:space="0" w:color="auto"/>
      </w:divBdr>
    </w:div>
    <w:div w:id="1112745154">
      <w:bodyDiv w:val="1"/>
      <w:marLeft w:val="0"/>
      <w:marRight w:val="0"/>
      <w:marTop w:val="0"/>
      <w:marBottom w:val="0"/>
      <w:divBdr>
        <w:top w:val="none" w:sz="0" w:space="0" w:color="auto"/>
        <w:left w:val="none" w:sz="0" w:space="0" w:color="auto"/>
        <w:bottom w:val="none" w:sz="0" w:space="0" w:color="auto"/>
        <w:right w:val="none" w:sz="0" w:space="0" w:color="auto"/>
      </w:divBdr>
    </w:div>
    <w:div w:id="1113741890">
      <w:bodyDiv w:val="1"/>
      <w:marLeft w:val="0"/>
      <w:marRight w:val="0"/>
      <w:marTop w:val="0"/>
      <w:marBottom w:val="0"/>
      <w:divBdr>
        <w:top w:val="none" w:sz="0" w:space="0" w:color="auto"/>
        <w:left w:val="none" w:sz="0" w:space="0" w:color="auto"/>
        <w:bottom w:val="none" w:sz="0" w:space="0" w:color="auto"/>
        <w:right w:val="none" w:sz="0" w:space="0" w:color="auto"/>
      </w:divBdr>
    </w:div>
    <w:div w:id="1125000774">
      <w:bodyDiv w:val="1"/>
      <w:marLeft w:val="0"/>
      <w:marRight w:val="0"/>
      <w:marTop w:val="0"/>
      <w:marBottom w:val="0"/>
      <w:divBdr>
        <w:top w:val="none" w:sz="0" w:space="0" w:color="auto"/>
        <w:left w:val="none" w:sz="0" w:space="0" w:color="auto"/>
        <w:bottom w:val="none" w:sz="0" w:space="0" w:color="auto"/>
        <w:right w:val="none" w:sz="0" w:space="0" w:color="auto"/>
      </w:divBdr>
    </w:div>
    <w:div w:id="1135680695">
      <w:bodyDiv w:val="1"/>
      <w:marLeft w:val="0"/>
      <w:marRight w:val="0"/>
      <w:marTop w:val="0"/>
      <w:marBottom w:val="0"/>
      <w:divBdr>
        <w:top w:val="none" w:sz="0" w:space="0" w:color="auto"/>
        <w:left w:val="none" w:sz="0" w:space="0" w:color="auto"/>
        <w:bottom w:val="none" w:sz="0" w:space="0" w:color="auto"/>
        <w:right w:val="none" w:sz="0" w:space="0" w:color="auto"/>
      </w:divBdr>
    </w:div>
    <w:div w:id="1138033171">
      <w:bodyDiv w:val="1"/>
      <w:marLeft w:val="0"/>
      <w:marRight w:val="0"/>
      <w:marTop w:val="0"/>
      <w:marBottom w:val="0"/>
      <w:divBdr>
        <w:top w:val="none" w:sz="0" w:space="0" w:color="auto"/>
        <w:left w:val="none" w:sz="0" w:space="0" w:color="auto"/>
        <w:bottom w:val="none" w:sz="0" w:space="0" w:color="auto"/>
        <w:right w:val="none" w:sz="0" w:space="0" w:color="auto"/>
      </w:divBdr>
    </w:div>
    <w:div w:id="1138455647">
      <w:bodyDiv w:val="1"/>
      <w:marLeft w:val="0"/>
      <w:marRight w:val="0"/>
      <w:marTop w:val="0"/>
      <w:marBottom w:val="0"/>
      <w:divBdr>
        <w:top w:val="none" w:sz="0" w:space="0" w:color="auto"/>
        <w:left w:val="none" w:sz="0" w:space="0" w:color="auto"/>
        <w:bottom w:val="none" w:sz="0" w:space="0" w:color="auto"/>
        <w:right w:val="none" w:sz="0" w:space="0" w:color="auto"/>
      </w:divBdr>
    </w:div>
    <w:div w:id="1140534461">
      <w:bodyDiv w:val="1"/>
      <w:marLeft w:val="0"/>
      <w:marRight w:val="0"/>
      <w:marTop w:val="0"/>
      <w:marBottom w:val="0"/>
      <w:divBdr>
        <w:top w:val="none" w:sz="0" w:space="0" w:color="auto"/>
        <w:left w:val="none" w:sz="0" w:space="0" w:color="auto"/>
        <w:bottom w:val="none" w:sz="0" w:space="0" w:color="auto"/>
        <w:right w:val="none" w:sz="0" w:space="0" w:color="auto"/>
      </w:divBdr>
    </w:div>
    <w:div w:id="1147042996">
      <w:bodyDiv w:val="1"/>
      <w:marLeft w:val="0"/>
      <w:marRight w:val="0"/>
      <w:marTop w:val="0"/>
      <w:marBottom w:val="0"/>
      <w:divBdr>
        <w:top w:val="none" w:sz="0" w:space="0" w:color="auto"/>
        <w:left w:val="none" w:sz="0" w:space="0" w:color="auto"/>
        <w:bottom w:val="none" w:sz="0" w:space="0" w:color="auto"/>
        <w:right w:val="none" w:sz="0" w:space="0" w:color="auto"/>
      </w:divBdr>
    </w:div>
    <w:div w:id="1157956547">
      <w:bodyDiv w:val="1"/>
      <w:marLeft w:val="0"/>
      <w:marRight w:val="0"/>
      <w:marTop w:val="0"/>
      <w:marBottom w:val="0"/>
      <w:divBdr>
        <w:top w:val="none" w:sz="0" w:space="0" w:color="auto"/>
        <w:left w:val="none" w:sz="0" w:space="0" w:color="auto"/>
        <w:bottom w:val="none" w:sz="0" w:space="0" w:color="auto"/>
        <w:right w:val="none" w:sz="0" w:space="0" w:color="auto"/>
      </w:divBdr>
    </w:div>
    <w:div w:id="1158109150">
      <w:bodyDiv w:val="1"/>
      <w:marLeft w:val="0"/>
      <w:marRight w:val="0"/>
      <w:marTop w:val="0"/>
      <w:marBottom w:val="0"/>
      <w:divBdr>
        <w:top w:val="none" w:sz="0" w:space="0" w:color="auto"/>
        <w:left w:val="none" w:sz="0" w:space="0" w:color="auto"/>
        <w:bottom w:val="none" w:sz="0" w:space="0" w:color="auto"/>
        <w:right w:val="none" w:sz="0" w:space="0" w:color="auto"/>
      </w:divBdr>
      <w:divsChild>
        <w:div w:id="343171374">
          <w:marLeft w:val="0"/>
          <w:marRight w:val="0"/>
          <w:marTop w:val="0"/>
          <w:marBottom w:val="0"/>
          <w:divBdr>
            <w:top w:val="none" w:sz="0" w:space="0" w:color="auto"/>
            <w:left w:val="none" w:sz="0" w:space="0" w:color="auto"/>
            <w:bottom w:val="none" w:sz="0" w:space="0" w:color="auto"/>
            <w:right w:val="none" w:sz="0" w:space="0" w:color="auto"/>
          </w:divBdr>
          <w:divsChild>
            <w:div w:id="474491070">
              <w:marLeft w:val="0"/>
              <w:marRight w:val="0"/>
              <w:marTop w:val="0"/>
              <w:marBottom w:val="0"/>
              <w:divBdr>
                <w:top w:val="none" w:sz="0" w:space="0" w:color="auto"/>
                <w:left w:val="none" w:sz="0" w:space="0" w:color="auto"/>
                <w:bottom w:val="none" w:sz="0" w:space="0" w:color="auto"/>
                <w:right w:val="none" w:sz="0" w:space="0" w:color="auto"/>
              </w:divBdr>
              <w:divsChild>
                <w:div w:id="68120751">
                  <w:marLeft w:val="0"/>
                  <w:marRight w:val="0"/>
                  <w:marTop w:val="0"/>
                  <w:marBottom w:val="0"/>
                  <w:divBdr>
                    <w:top w:val="none" w:sz="0" w:space="0" w:color="auto"/>
                    <w:left w:val="none" w:sz="0" w:space="0" w:color="auto"/>
                    <w:bottom w:val="none" w:sz="0" w:space="0" w:color="auto"/>
                    <w:right w:val="none" w:sz="0" w:space="0" w:color="auto"/>
                  </w:divBdr>
                  <w:divsChild>
                    <w:div w:id="601648196">
                      <w:marLeft w:val="0"/>
                      <w:marRight w:val="0"/>
                      <w:marTop w:val="0"/>
                      <w:marBottom w:val="0"/>
                      <w:divBdr>
                        <w:top w:val="none" w:sz="0" w:space="0" w:color="auto"/>
                        <w:left w:val="none" w:sz="0" w:space="0" w:color="auto"/>
                        <w:bottom w:val="none" w:sz="0" w:space="0" w:color="auto"/>
                        <w:right w:val="none" w:sz="0" w:space="0" w:color="auto"/>
                      </w:divBdr>
                      <w:divsChild>
                        <w:div w:id="1939753106">
                          <w:marLeft w:val="0"/>
                          <w:marRight w:val="0"/>
                          <w:marTop w:val="0"/>
                          <w:marBottom w:val="0"/>
                          <w:divBdr>
                            <w:top w:val="none" w:sz="0" w:space="0" w:color="auto"/>
                            <w:left w:val="none" w:sz="0" w:space="0" w:color="auto"/>
                            <w:bottom w:val="none" w:sz="0" w:space="0" w:color="auto"/>
                            <w:right w:val="none" w:sz="0" w:space="0" w:color="auto"/>
                          </w:divBdr>
                          <w:divsChild>
                            <w:div w:id="1133138659">
                              <w:marLeft w:val="0"/>
                              <w:marRight w:val="0"/>
                              <w:marTop w:val="0"/>
                              <w:marBottom w:val="0"/>
                              <w:divBdr>
                                <w:top w:val="none" w:sz="0" w:space="0" w:color="auto"/>
                                <w:left w:val="none" w:sz="0" w:space="0" w:color="auto"/>
                                <w:bottom w:val="none" w:sz="0" w:space="0" w:color="auto"/>
                                <w:right w:val="none" w:sz="0" w:space="0" w:color="auto"/>
                              </w:divBdr>
                              <w:divsChild>
                                <w:div w:id="1733381737">
                                  <w:marLeft w:val="0"/>
                                  <w:marRight w:val="0"/>
                                  <w:marTop w:val="0"/>
                                  <w:marBottom w:val="0"/>
                                  <w:divBdr>
                                    <w:top w:val="none" w:sz="0" w:space="0" w:color="auto"/>
                                    <w:left w:val="none" w:sz="0" w:space="0" w:color="auto"/>
                                    <w:bottom w:val="none" w:sz="0" w:space="0" w:color="auto"/>
                                    <w:right w:val="none" w:sz="0" w:space="0" w:color="auto"/>
                                  </w:divBdr>
                                  <w:divsChild>
                                    <w:div w:id="70532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300817">
      <w:bodyDiv w:val="1"/>
      <w:marLeft w:val="0"/>
      <w:marRight w:val="0"/>
      <w:marTop w:val="0"/>
      <w:marBottom w:val="0"/>
      <w:divBdr>
        <w:top w:val="none" w:sz="0" w:space="0" w:color="auto"/>
        <w:left w:val="none" w:sz="0" w:space="0" w:color="auto"/>
        <w:bottom w:val="none" w:sz="0" w:space="0" w:color="auto"/>
        <w:right w:val="none" w:sz="0" w:space="0" w:color="auto"/>
      </w:divBdr>
    </w:div>
    <w:div w:id="1168984657">
      <w:bodyDiv w:val="1"/>
      <w:marLeft w:val="0"/>
      <w:marRight w:val="0"/>
      <w:marTop w:val="0"/>
      <w:marBottom w:val="0"/>
      <w:divBdr>
        <w:top w:val="none" w:sz="0" w:space="0" w:color="auto"/>
        <w:left w:val="none" w:sz="0" w:space="0" w:color="auto"/>
        <w:bottom w:val="none" w:sz="0" w:space="0" w:color="auto"/>
        <w:right w:val="none" w:sz="0" w:space="0" w:color="auto"/>
      </w:divBdr>
    </w:div>
    <w:div w:id="1169783884">
      <w:bodyDiv w:val="1"/>
      <w:marLeft w:val="0"/>
      <w:marRight w:val="0"/>
      <w:marTop w:val="0"/>
      <w:marBottom w:val="0"/>
      <w:divBdr>
        <w:top w:val="none" w:sz="0" w:space="0" w:color="auto"/>
        <w:left w:val="none" w:sz="0" w:space="0" w:color="auto"/>
        <w:bottom w:val="none" w:sz="0" w:space="0" w:color="auto"/>
        <w:right w:val="none" w:sz="0" w:space="0" w:color="auto"/>
      </w:divBdr>
    </w:div>
    <w:div w:id="1174536512">
      <w:bodyDiv w:val="1"/>
      <w:marLeft w:val="0"/>
      <w:marRight w:val="0"/>
      <w:marTop w:val="0"/>
      <w:marBottom w:val="0"/>
      <w:divBdr>
        <w:top w:val="none" w:sz="0" w:space="0" w:color="auto"/>
        <w:left w:val="none" w:sz="0" w:space="0" w:color="auto"/>
        <w:bottom w:val="none" w:sz="0" w:space="0" w:color="auto"/>
        <w:right w:val="none" w:sz="0" w:space="0" w:color="auto"/>
      </w:divBdr>
      <w:divsChild>
        <w:div w:id="180629634">
          <w:marLeft w:val="0"/>
          <w:marRight w:val="0"/>
          <w:marTop w:val="0"/>
          <w:marBottom w:val="0"/>
          <w:divBdr>
            <w:top w:val="none" w:sz="0" w:space="0" w:color="auto"/>
            <w:left w:val="none" w:sz="0" w:space="0" w:color="auto"/>
            <w:bottom w:val="none" w:sz="0" w:space="0" w:color="auto"/>
            <w:right w:val="none" w:sz="0" w:space="0" w:color="auto"/>
          </w:divBdr>
          <w:divsChild>
            <w:div w:id="1378775495">
              <w:marLeft w:val="0"/>
              <w:marRight w:val="0"/>
              <w:marTop w:val="0"/>
              <w:marBottom w:val="0"/>
              <w:divBdr>
                <w:top w:val="none" w:sz="0" w:space="0" w:color="auto"/>
                <w:left w:val="none" w:sz="0" w:space="0" w:color="auto"/>
                <w:bottom w:val="none" w:sz="0" w:space="0" w:color="auto"/>
                <w:right w:val="none" w:sz="0" w:space="0" w:color="auto"/>
              </w:divBdr>
              <w:divsChild>
                <w:div w:id="264508827">
                  <w:marLeft w:val="0"/>
                  <w:marRight w:val="0"/>
                  <w:marTop w:val="0"/>
                  <w:marBottom w:val="0"/>
                  <w:divBdr>
                    <w:top w:val="none" w:sz="0" w:space="0" w:color="auto"/>
                    <w:left w:val="none" w:sz="0" w:space="0" w:color="auto"/>
                    <w:bottom w:val="none" w:sz="0" w:space="0" w:color="auto"/>
                    <w:right w:val="none" w:sz="0" w:space="0" w:color="auto"/>
                  </w:divBdr>
                  <w:divsChild>
                    <w:div w:id="773674888">
                      <w:marLeft w:val="0"/>
                      <w:marRight w:val="0"/>
                      <w:marTop w:val="0"/>
                      <w:marBottom w:val="0"/>
                      <w:divBdr>
                        <w:top w:val="none" w:sz="0" w:space="0" w:color="auto"/>
                        <w:left w:val="none" w:sz="0" w:space="0" w:color="auto"/>
                        <w:bottom w:val="none" w:sz="0" w:space="0" w:color="auto"/>
                        <w:right w:val="none" w:sz="0" w:space="0" w:color="auto"/>
                      </w:divBdr>
                      <w:divsChild>
                        <w:div w:id="1494830160">
                          <w:marLeft w:val="0"/>
                          <w:marRight w:val="0"/>
                          <w:marTop w:val="0"/>
                          <w:marBottom w:val="0"/>
                          <w:divBdr>
                            <w:top w:val="none" w:sz="0" w:space="0" w:color="auto"/>
                            <w:left w:val="none" w:sz="0" w:space="0" w:color="auto"/>
                            <w:bottom w:val="none" w:sz="0" w:space="0" w:color="auto"/>
                            <w:right w:val="none" w:sz="0" w:space="0" w:color="auto"/>
                          </w:divBdr>
                          <w:divsChild>
                            <w:div w:id="546336401">
                              <w:marLeft w:val="0"/>
                              <w:marRight w:val="0"/>
                              <w:marTop w:val="0"/>
                              <w:marBottom w:val="0"/>
                              <w:divBdr>
                                <w:top w:val="none" w:sz="0" w:space="0" w:color="auto"/>
                                <w:left w:val="none" w:sz="0" w:space="0" w:color="auto"/>
                                <w:bottom w:val="none" w:sz="0" w:space="0" w:color="auto"/>
                                <w:right w:val="none" w:sz="0" w:space="0" w:color="auto"/>
                              </w:divBdr>
                              <w:divsChild>
                                <w:div w:id="2054846210">
                                  <w:marLeft w:val="0"/>
                                  <w:marRight w:val="0"/>
                                  <w:marTop w:val="0"/>
                                  <w:marBottom w:val="0"/>
                                  <w:divBdr>
                                    <w:top w:val="none" w:sz="0" w:space="0" w:color="auto"/>
                                    <w:left w:val="none" w:sz="0" w:space="0" w:color="auto"/>
                                    <w:bottom w:val="none" w:sz="0" w:space="0" w:color="auto"/>
                                    <w:right w:val="none" w:sz="0" w:space="0" w:color="auto"/>
                                  </w:divBdr>
                                  <w:divsChild>
                                    <w:div w:id="154725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3590">
                  <w:marLeft w:val="0"/>
                  <w:marRight w:val="0"/>
                  <w:marTop w:val="0"/>
                  <w:marBottom w:val="0"/>
                  <w:divBdr>
                    <w:top w:val="none" w:sz="0" w:space="0" w:color="auto"/>
                    <w:left w:val="none" w:sz="0" w:space="0" w:color="auto"/>
                    <w:bottom w:val="none" w:sz="0" w:space="0" w:color="auto"/>
                    <w:right w:val="none" w:sz="0" w:space="0" w:color="auto"/>
                  </w:divBdr>
                  <w:divsChild>
                    <w:div w:id="1801459614">
                      <w:marLeft w:val="0"/>
                      <w:marRight w:val="0"/>
                      <w:marTop w:val="0"/>
                      <w:marBottom w:val="0"/>
                      <w:divBdr>
                        <w:top w:val="none" w:sz="0" w:space="0" w:color="auto"/>
                        <w:left w:val="none" w:sz="0" w:space="0" w:color="auto"/>
                        <w:bottom w:val="none" w:sz="0" w:space="0" w:color="auto"/>
                        <w:right w:val="none" w:sz="0" w:space="0" w:color="auto"/>
                      </w:divBdr>
                      <w:divsChild>
                        <w:div w:id="1577595110">
                          <w:marLeft w:val="0"/>
                          <w:marRight w:val="0"/>
                          <w:marTop w:val="0"/>
                          <w:marBottom w:val="0"/>
                          <w:divBdr>
                            <w:top w:val="none" w:sz="0" w:space="0" w:color="auto"/>
                            <w:left w:val="none" w:sz="0" w:space="0" w:color="auto"/>
                            <w:bottom w:val="none" w:sz="0" w:space="0" w:color="auto"/>
                            <w:right w:val="none" w:sz="0" w:space="0" w:color="auto"/>
                          </w:divBdr>
                          <w:divsChild>
                            <w:div w:id="57022925">
                              <w:marLeft w:val="0"/>
                              <w:marRight w:val="0"/>
                              <w:marTop w:val="0"/>
                              <w:marBottom w:val="0"/>
                              <w:divBdr>
                                <w:top w:val="none" w:sz="0" w:space="0" w:color="auto"/>
                                <w:left w:val="none" w:sz="0" w:space="0" w:color="auto"/>
                                <w:bottom w:val="none" w:sz="0" w:space="0" w:color="auto"/>
                                <w:right w:val="none" w:sz="0" w:space="0" w:color="auto"/>
                              </w:divBdr>
                              <w:divsChild>
                                <w:div w:id="1071387206">
                                  <w:marLeft w:val="0"/>
                                  <w:marRight w:val="0"/>
                                  <w:marTop w:val="0"/>
                                  <w:marBottom w:val="0"/>
                                  <w:divBdr>
                                    <w:top w:val="none" w:sz="0" w:space="0" w:color="auto"/>
                                    <w:left w:val="none" w:sz="0" w:space="0" w:color="auto"/>
                                    <w:bottom w:val="none" w:sz="0" w:space="0" w:color="auto"/>
                                    <w:right w:val="none" w:sz="0" w:space="0" w:color="auto"/>
                                  </w:divBdr>
                                  <w:divsChild>
                                    <w:div w:id="724374441">
                                      <w:marLeft w:val="0"/>
                                      <w:marRight w:val="0"/>
                                      <w:marTop w:val="0"/>
                                      <w:marBottom w:val="0"/>
                                      <w:divBdr>
                                        <w:top w:val="none" w:sz="0" w:space="0" w:color="auto"/>
                                        <w:left w:val="none" w:sz="0" w:space="0" w:color="auto"/>
                                        <w:bottom w:val="none" w:sz="0" w:space="0" w:color="auto"/>
                                        <w:right w:val="none" w:sz="0" w:space="0" w:color="auto"/>
                                      </w:divBdr>
                                      <w:divsChild>
                                        <w:div w:id="208680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027220">
                  <w:marLeft w:val="0"/>
                  <w:marRight w:val="0"/>
                  <w:marTop w:val="0"/>
                  <w:marBottom w:val="0"/>
                  <w:divBdr>
                    <w:top w:val="none" w:sz="0" w:space="0" w:color="auto"/>
                    <w:left w:val="none" w:sz="0" w:space="0" w:color="auto"/>
                    <w:bottom w:val="none" w:sz="0" w:space="0" w:color="auto"/>
                    <w:right w:val="none" w:sz="0" w:space="0" w:color="auto"/>
                  </w:divBdr>
                  <w:divsChild>
                    <w:div w:id="988172005">
                      <w:marLeft w:val="0"/>
                      <w:marRight w:val="0"/>
                      <w:marTop w:val="0"/>
                      <w:marBottom w:val="0"/>
                      <w:divBdr>
                        <w:top w:val="none" w:sz="0" w:space="0" w:color="auto"/>
                        <w:left w:val="none" w:sz="0" w:space="0" w:color="auto"/>
                        <w:bottom w:val="none" w:sz="0" w:space="0" w:color="auto"/>
                        <w:right w:val="none" w:sz="0" w:space="0" w:color="auto"/>
                      </w:divBdr>
                      <w:divsChild>
                        <w:div w:id="504630087">
                          <w:marLeft w:val="0"/>
                          <w:marRight w:val="0"/>
                          <w:marTop w:val="0"/>
                          <w:marBottom w:val="0"/>
                          <w:divBdr>
                            <w:top w:val="none" w:sz="0" w:space="0" w:color="auto"/>
                            <w:left w:val="none" w:sz="0" w:space="0" w:color="auto"/>
                            <w:bottom w:val="none" w:sz="0" w:space="0" w:color="auto"/>
                            <w:right w:val="none" w:sz="0" w:space="0" w:color="auto"/>
                          </w:divBdr>
                          <w:divsChild>
                            <w:div w:id="1746106847">
                              <w:marLeft w:val="0"/>
                              <w:marRight w:val="0"/>
                              <w:marTop w:val="0"/>
                              <w:marBottom w:val="0"/>
                              <w:divBdr>
                                <w:top w:val="none" w:sz="0" w:space="0" w:color="auto"/>
                                <w:left w:val="none" w:sz="0" w:space="0" w:color="auto"/>
                                <w:bottom w:val="none" w:sz="0" w:space="0" w:color="auto"/>
                                <w:right w:val="none" w:sz="0" w:space="0" w:color="auto"/>
                              </w:divBdr>
                              <w:divsChild>
                                <w:div w:id="524100543">
                                  <w:marLeft w:val="0"/>
                                  <w:marRight w:val="0"/>
                                  <w:marTop w:val="0"/>
                                  <w:marBottom w:val="0"/>
                                  <w:divBdr>
                                    <w:top w:val="none" w:sz="0" w:space="0" w:color="auto"/>
                                    <w:left w:val="none" w:sz="0" w:space="0" w:color="auto"/>
                                    <w:bottom w:val="none" w:sz="0" w:space="0" w:color="auto"/>
                                    <w:right w:val="none" w:sz="0" w:space="0" w:color="auto"/>
                                  </w:divBdr>
                                  <w:divsChild>
                                    <w:div w:id="1664580858">
                                      <w:marLeft w:val="0"/>
                                      <w:marRight w:val="0"/>
                                      <w:marTop w:val="0"/>
                                      <w:marBottom w:val="0"/>
                                      <w:divBdr>
                                        <w:top w:val="none" w:sz="0" w:space="0" w:color="auto"/>
                                        <w:left w:val="none" w:sz="0" w:space="0" w:color="auto"/>
                                        <w:bottom w:val="none" w:sz="0" w:space="0" w:color="auto"/>
                                        <w:right w:val="none" w:sz="0" w:space="0" w:color="auto"/>
                                      </w:divBdr>
                                      <w:divsChild>
                                        <w:div w:id="515849680">
                                          <w:blockQuote w:val="1"/>
                                          <w:marLeft w:val="720"/>
                                          <w:marRight w:val="720"/>
                                          <w:marTop w:val="100"/>
                                          <w:marBottom w:val="100"/>
                                          <w:divBdr>
                                            <w:top w:val="none" w:sz="0" w:space="0" w:color="auto"/>
                                            <w:left w:val="none" w:sz="0" w:space="0" w:color="auto"/>
                                            <w:bottom w:val="none" w:sz="0" w:space="0" w:color="auto"/>
                                            <w:right w:val="none" w:sz="0" w:space="0" w:color="auto"/>
                                          </w:divBdr>
                                        </w:div>
                                        <w:div w:id="628821244">
                                          <w:blockQuote w:val="1"/>
                                          <w:marLeft w:val="720"/>
                                          <w:marRight w:val="720"/>
                                          <w:marTop w:val="100"/>
                                          <w:marBottom w:val="100"/>
                                          <w:divBdr>
                                            <w:top w:val="none" w:sz="0" w:space="0" w:color="auto"/>
                                            <w:left w:val="none" w:sz="0" w:space="0" w:color="auto"/>
                                            <w:bottom w:val="none" w:sz="0" w:space="0" w:color="auto"/>
                                            <w:right w:val="none" w:sz="0" w:space="0" w:color="auto"/>
                                          </w:divBdr>
                                        </w:div>
                                        <w:div w:id="977147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460995">
                                          <w:blockQuote w:val="1"/>
                                          <w:marLeft w:val="720"/>
                                          <w:marRight w:val="720"/>
                                          <w:marTop w:val="100"/>
                                          <w:marBottom w:val="100"/>
                                          <w:divBdr>
                                            <w:top w:val="none" w:sz="0" w:space="0" w:color="auto"/>
                                            <w:left w:val="none" w:sz="0" w:space="0" w:color="auto"/>
                                            <w:bottom w:val="none" w:sz="0" w:space="0" w:color="auto"/>
                                            <w:right w:val="none" w:sz="0" w:space="0" w:color="auto"/>
                                          </w:divBdr>
                                        </w:div>
                                        <w:div w:id="1815565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050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646860">
          <w:marLeft w:val="0"/>
          <w:marRight w:val="0"/>
          <w:marTop w:val="0"/>
          <w:marBottom w:val="0"/>
          <w:divBdr>
            <w:top w:val="none" w:sz="0" w:space="0" w:color="auto"/>
            <w:left w:val="none" w:sz="0" w:space="0" w:color="auto"/>
            <w:bottom w:val="none" w:sz="0" w:space="0" w:color="auto"/>
            <w:right w:val="none" w:sz="0" w:space="0" w:color="auto"/>
          </w:divBdr>
          <w:divsChild>
            <w:div w:id="462160424">
              <w:marLeft w:val="0"/>
              <w:marRight w:val="0"/>
              <w:marTop w:val="0"/>
              <w:marBottom w:val="0"/>
              <w:divBdr>
                <w:top w:val="none" w:sz="0" w:space="0" w:color="auto"/>
                <w:left w:val="none" w:sz="0" w:space="0" w:color="auto"/>
                <w:bottom w:val="none" w:sz="0" w:space="0" w:color="auto"/>
                <w:right w:val="none" w:sz="0" w:space="0" w:color="auto"/>
              </w:divBdr>
              <w:divsChild>
                <w:div w:id="946742452">
                  <w:marLeft w:val="0"/>
                  <w:marRight w:val="0"/>
                  <w:marTop w:val="0"/>
                  <w:marBottom w:val="0"/>
                  <w:divBdr>
                    <w:top w:val="none" w:sz="0" w:space="0" w:color="auto"/>
                    <w:left w:val="none" w:sz="0" w:space="0" w:color="auto"/>
                    <w:bottom w:val="none" w:sz="0" w:space="0" w:color="auto"/>
                    <w:right w:val="none" w:sz="0" w:space="0" w:color="auto"/>
                  </w:divBdr>
                  <w:divsChild>
                    <w:div w:id="1523977011">
                      <w:marLeft w:val="0"/>
                      <w:marRight w:val="0"/>
                      <w:marTop w:val="0"/>
                      <w:marBottom w:val="0"/>
                      <w:divBdr>
                        <w:top w:val="none" w:sz="0" w:space="0" w:color="auto"/>
                        <w:left w:val="none" w:sz="0" w:space="0" w:color="auto"/>
                        <w:bottom w:val="none" w:sz="0" w:space="0" w:color="auto"/>
                        <w:right w:val="none" w:sz="0" w:space="0" w:color="auto"/>
                      </w:divBdr>
                      <w:divsChild>
                        <w:div w:id="2002849328">
                          <w:marLeft w:val="0"/>
                          <w:marRight w:val="0"/>
                          <w:marTop w:val="0"/>
                          <w:marBottom w:val="0"/>
                          <w:divBdr>
                            <w:top w:val="none" w:sz="0" w:space="0" w:color="auto"/>
                            <w:left w:val="none" w:sz="0" w:space="0" w:color="auto"/>
                            <w:bottom w:val="none" w:sz="0" w:space="0" w:color="auto"/>
                            <w:right w:val="none" w:sz="0" w:space="0" w:color="auto"/>
                          </w:divBdr>
                          <w:divsChild>
                            <w:div w:id="391660568">
                              <w:marLeft w:val="0"/>
                              <w:marRight w:val="0"/>
                              <w:marTop w:val="0"/>
                              <w:marBottom w:val="0"/>
                              <w:divBdr>
                                <w:top w:val="none" w:sz="0" w:space="0" w:color="auto"/>
                                <w:left w:val="none" w:sz="0" w:space="0" w:color="auto"/>
                                <w:bottom w:val="none" w:sz="0" w:space="0" w:color="auto"/>
                                <w:right w:val="none" w:sz="0" w:space="0" w:color="auto"/>
                              </w:divBdr>
                              <w:divsChild>
                                <w:div w:id="1336880732">
                                  <w:marLeft w:val="0"/>
                                  <w:marRight w:val="0"/>
                                  <w:marTop w:val="0"/>
                                  <w:marBottom w:val="0"/>
                                  <w:divBdr>
                                    <w:top w:val="none" w:sz="0" w:space="0" w:color="auto"/>
                                    <w:left w:val="none" w:sz="0" w:space="0" w:color="auto"/>
                                    <w:bottom w:val="none" w:sz="0" w:space="0" w:color="auto"/>
                                    <w:right w:val="none" w:sz="0" w:space="0" w:color="auto"/>
                                  </w:divBdr>
                                  <w:divsChild>
                                    <w:div w:id="839808457">
                                      <w:marLeft w:val="0"/>
                                      <w:marRight w:val="0"/>
                                      <w:marTop w:val="0"/>
                                      <w:marBottom w:val="0"/>
                                      <w:divBdr>
                                        <w:top w:val="none" w:sz="0" w:space="0" w:color="auto"/>
                                        <w:left w:val="none" w:sz="0" w:space="0" w:color="auto"/>
                                        <w:bottom w:val="none" w:sz="0" w:space="0" w:color="auto"/>
                                        <w:right w:val="none" w:sz="0" w:space="0" w:color="auto"/>
                                      </w:divBdr>
                                      <w:divsChild>
                                        <w:div w:id="6057589">
                                          <w:marLeft w:val="0"/>
                                          <w:marRight w:val="0"/>
                                          <w:marTop w:val="0"/>
                                          <w:marBottom w:val="0"/>
                                          <w:divBdr>
                                            <w:top w:val="none" w:sz="0" w:space="0" w:color="auto"/>
                                            <w:left w:val="none" w:sz="0" w:space="0" w:color="auto"/>
                                            <w:bottom w:val="none" w:sz="0" w:space="0" w:color="auto"/>
                                            <w:right w:val="none" w:sz="0" w:space="0" w:color="auto"/>
                                          </w:divBdr>
                                          <w:divsChild>
                                            <w:div w:id="868562918">
                                              <w:marLeft w:val="0"/>
                                              <w:marRight w:val="0"/>
                                              <w:marTop w:val="0"/>
                                              <w:marBottom w:val="0"/>
                                              <w:divBdr>
                                                <w:top w:val="none" w:sz="0" w:space="0" w:color="auto"/>
                                                <w:left w:val="none" w:sz="0" w:space="0" w:color="auto"/>
                                                <w:bottom w:val="none" w:sz="0" w:space="0" w:color="auto"/>
                                                <w:right w:val="none" w:sz="0" w:space="0" w:color="auto"/>
                                              </w:divBdr>
                                              <w:divsChild>
                                                <w:div w:id="10034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9546202">
      <w:bodyDiv w:val="1"/>
      <w:marLeft w:val="0"/>
      <w:marRight w:val="0"/>
      <w:marTop w:val="0"/>
      <w:marBottom w:val="0"/>
      <w:divBdr>
        <w:top w:val="none" w:sz="0" w:space="0" w:color="auto"/>
        <w:left w:val="none" w:sz="0" w:space="0" w:color="auto"/>
        <w:bottom w:val="none" w:sz="0" w:space="0" w:color="auto"/>
        <w:right w:val="none" w:sz="0" w:space="0" w:color="auto"/>
      </w:divBdr>
    </w:div>
    <w:div w:id="1184326738">
      <w:bodyDiv w:val="1"/>
      <w:marLeft w:val="0"/>
      <w:marRight w:val="0"/>
      <w:marTop w:val="0"/>
      <w:marBottom w:val="0"/>
      <w:divBdr>
        <w:top w:val="none" w:sz="0" w:space="0" w:color="auto"/>
        <w:left w:val="none" w:sz="0" w:space="0" w:color="auto"/>
        <w:bottom w:val="none" w:sz="0" w:space="0" w:color="auto"/>
        <w:right w:val="none" w:sz="0" w:space="0" w:color="auto"/>
      </w:divBdr>
      <w:divsChild>
        <w:div w:id="356736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3836041">
      <w:bodyDiv w:val="1"/>
      <w:marLeft w:val="0"/>
      <w:marRight w:val="0"/>
      <w:marTop w:val="0"/>
      <w:marBottom w:val="0"/>
      <w:divBdr>
        <w:top w:val="none" w:sz="0" w:space="0" w:color="auto"/>
        <w:left w:val="none" w:sz="0" w:space="0" w:color="auto"/>
        <w:bottom w:val="none" w:sz="0" w:space="0" w:color="auto"/>
        <w:right w:val="none" w:sz="0" w:space="0" w:color="auto"/>
      </w:divBdr>
    </w:div>
    <w:div w:id="1194808551">
      <w:bodyDiv w:val="1"/>
      <w:marLeft w:val="0"/>
      <w:marRight w:val="0"/>
      <w:marTop w:val="0"/>
      <w:marBottom w:val="0"/>
      <w:divBdr>
        <w:top w:val="none" w:sz="0" w:space="0" w:color="auto"/>
        <w:left w:val="none" w:sz="0" w:space="0" w:color="auto"/>
        <w:bottom w:val="none" w:sz="0" w:space="0" w:color="auto"/>
        <w:right w:val="none" w:sz="0" w:space="0" w:color="auto"/>
      </w:divBdr>
    </w:div>
    <w:div w:id="1196382162">
      <w:bodyDiv w:val="1"/>
      <w:marLeft w:val="0"/>
      <w:marRight w:val="0"/>
      <w:marTop w:val="0"/>
      <w:marBottom w:val="0"/>
      <w:divBdr>
        <w:top w:val="none" w:sz="0" w:space="0" w:color="auto"/>
        <w:left w:val="none" w:sz="0" w:space="0" w:color="auto"/>
        <w:bottom w:val="none" w:sz="0" w:space="0" w:color="auto"/>
        <w:right w:val="none" w:sz="0" w:space="0" w:color="auto"/>
      </w:divBdr>
    </w:div>
    <w:div w:id="1197158822">
      <w:bodyDiv w:val="1"/>
      <w:marLeft w:val="0"/>
      <w:marRight w:val="0"/>
      <w:marTop w:val="0"/>
      <w:marBottom w:val="0"/>
      <w:divBdr>
        <w:top w:val="none" w:sz="0" w:space="0" w:color="auto"/>
        <w:left w:val="none" w:sz="0" w:space="0" w:color="auto"/>
        <w:bottom w:val="none" w:sz="0" w:space="0" w:color="auto"/>
        <w:right w:val="none" w:sz="0" w:space="0" w:color="auto"/>
      </w:divBdr>
      <w:divsChild>
        <w:div w:id="1533808553">
          <w:marLeft w:val="0"/>
          <w:marRight w:val="0"/>
          <w:marTop w:val="0"/>
          <w:marBottom w:val="0"/>
          <w:divBdr>
            <w:top w:val="none" w:sz="0" w:space="0" w:color="auto"/>
            <w:left w:val="none" w:sz="0" w:space="0" w:color="auto"/>
            <w:bottom w:val="none" w:sz="0" w:space="0" w:color="auto"/>
            <w:right w:val="none" w:sz="0" w:space="0" w:color="auto"/>
          </w:divBdr>
          <w:divsChild>
            <w:div w:id="1940021277">
              <w:marLeft w:val="0"/>
              <w:marRight w:val="0"/>
              <w:marTop w:val="0"/>
              <w:marBottom w:val="0"/>
              <w:divBdr>
                <w:top w:val="none" w:sz="0" w:space="0" w:color="auto"/>
                <w:left w:val="none" w:sz="0" w:space="0" w:color="auto"/>
                <w:bottom w:val="none" w:sz="0" w:space="0" w:color="auto"/>
                <w:right w:val="none" w:sz="0" w:space="0" w:color="auto"/>
              </w:divBdr>
              <w:divsChild>
                <w:div w:id="1019239790">
                  <w:marLeft w:val="0"/>
                  <w:marRight w:val="0"/>
                  <w:marTop w:val="0"/>
                  <w:marBottom w:val="0"/>
                  <w:divBdr>
                    <w:top w:val="none" w:sz="0" w:space="0" w:color="auto"/>
                    <w:left w:val="none" w:sz="0" w:space="0" w:color="auto"/>
                    <w:bottom w:val="none" w:sz="0" w:space="0" w:color="auto"/>
                    <w:right w:val="none" w:sz="0" w:space="0" w:color="auto"/>
                  </w:divBdr>
                  <w:divsChild>
                    <w:div w:id="1917200245">
                      <w:marLeft w:val="0"/>
                      <w:marRight w:val="0"/>
                      <w:marTop w:val="0"/>
                      <w:marBottom w:val="0"/>
                      <w:divBdr>
                        <w:top w:val="none" w:sz="0" w:space="0" w:color="auto"/>
                        <w:left w:val="none" w:sz="0" w:space="0" w:color="auto"/>
                        <w:bottom w:val="none" w:sz="0" w:space="0" w:color="auto"/>
                        <w:right w:val="none" w:sz="0" w:space="0" w:color="auto"/>
                      </w:divBdr>
                      <w:divsChild>
                        <w:div w:id="2040348873">
                          <w:marLeft w:val="0"/>
                          <w:marRight w:val="0"/>
                          <w:marTop w:val="0"/>
                          <w:marBottom w:val="0"/>
                          <w:divBdr>
                            <w:top w:val="none" w:sz="0" w:space="0" w:color="auto"/>
                            <w:left w:val="none" w:sz="0" w:space="0" w:color="auto"/>
                            <w:bottom w:val="none" w:sz="0" w:space="0" w:color="auto"/>
                            <w:right w:val="none" w:sz="0" w:space="0" w:color="auto"/>
                          </w:divBdr>
                          <w:divsChild>
                            <w:div w:id="790712689">
                              <w:marLeft w:val="0"/>
                              <w:marRight w:val="0"/>
                              <w:marTop w:val="0"/>
                              <w:marBottom w:val="0"/>
                              <w:divBdr>
                                <w:top w:val="none" w:sz="0" w:space="0" w:color="auto"/>
                                <w:left w:val="none" w:sz="0" w:space="0" w:color="auto"/>
                                <w:bottom w:val="none" w:sz="0" w:space="0" w:color="auto"/>
                                <w:right w:val="none" w:sz="0" w:space="0" w:color="auto"/>
                              </w:divBdr>
                              <w:divsChild>
                                <w:div w:id="1245342011">
                                  <w:marLeft w:val="0"/>
                                  <w:marRight w:val="0"/>
                                  <w:marTop w:val="0"/>
                                  <w:marBottom w:val="0"/>
                                  <w:divBdr>
                                    <w:top w:val="none" w:sz="0" w:space="0" w:color="auto"/>
                                    <w:left w:val="none" w:sz="0" w:space="0" w:color="auto"/>
                                    <w:bottom w:val="none" w:sz="0" w:space="0" w:color="auto"/>
                                    <w:right w:val="none" w:sz="0" w:space="0" w:color="auto"/>
                                  </w:divBdr>
                                  <w:divsChild>
                                    <w:div w:id="20052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199699">
      <w:bodyDiv w:val="1"/>
      <w:marLeft w:val="0"/>
      <w:marRight w:val="0"/>
      <w:marTop w:val="0"/>
      <w:marBottom w:val="0"/>
      <w:divBdr>
        <w:top w:val="none" w:sz="0" w:space="0" w:color="auto"/>
        <w:left w:val="none" w:sz="0" w:space="0" w:color="auto"/>
        <w:bottom w:val="none" w:sz="0" w:space="0" w:color="auto"/>
        <w:right w:val="none" w:sz="0" w:space="0" w:color="auto"/>
      </w:divBdr>
    </w:div>
    <w:div w:id="1199272475">
      <w:bodyDiv w:val="1"/>
      <w:marLeft w:val="0"/>
      <w:marRight w:val="0"/>
      <w:marTop w:val="0"/>
      <w:marBottom w:val="0"/>
      <w:divBdr>
        <w:top w:val="none" w:sz="0" w:space="0" w:color="auto"/>
        <w:left w:val="none" w:sz="0" w:space="0" w:color="auto"/>
        <w:bottom w:val="none" w:sz="0" w:space="0" w:color="auto"/>
        <w:right w:val="none" w:sz="0" w:space="0" w:color="auto"/>
      </w:divBdr>
    </w:div>
    <w:div w:id="1208493982">
      <w:bodyDiv w:val="1"/>
      <w:marLeft w:val="0"/>
      <w:marRight w:val="0"/>
      <w:marTop w:val="0"/>
      <w:marBottom w:val="0"/>
      <w:divBdr>
        <w:top w:val="none" w:sz="0" w:space="0" w:color="auto"/>
        <w:left w:val="none" w:sz="0" w:space="0" w:color="auto"/>
        <w:bottom w:val="none" w:sz="0" w:space="0" w:color="auto"/>
        <w:right w:val="none" w:sz="0" w:space="0" w:color="auto"/>
      </w:divBdr>
      <w:divsChild>
        <w:div w:id="1377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937980">
      <w:bodyDiv w:val="1"/>
      <w:marLeft w:val="0"/>
      <w:marRight w:val="0"/>
      <w:marTop w:val="0"/>
      <w:marBottom w:val="0"/>
      <w:divBdr>
        <w:top w:val="none" w:sz="0" w:space="0" w:color="auto"/>
        <w:left w:val="none" w:sz="0" w:space="0" w:color="auto"/>
        <w:bottom w:val="none" w:sz="0" w:space="0" w:color="auto"/>
        <w:right w:val="none" w:sz="0" w:space="0" w:color="auto"/>
      </w:divBdr>
    </w:div>
    <w:div w:id="1219701738">
      <w:bodyDiv w:val="1"/>
      <w:marLeft w:val="0"/>
      <w:marRight w:val="0"/>
      <w:marTop w:val="0"/>
      <w:marBottom w:val="0"/>
      <w:divBdr>
        <w:top w:val="none" w:sz="0" w:space="0" w:color="auto"/>
        <w:left w:val="none" w:sz="0" w:space="0" w:color="auto"/>
        <w:bottom w:val="none" w:sz="0" w:space="0" w:color="auto"/>
        <w:right w:val="none" w:sz="0" w:space="0" w:color="auto"/>
      </w:divBdr>
    </w:div>
    <w:div w:id="1229414513">
      <w:bodyDiv w:val="1"/>
      <w:marLeft w:val="0"/>
      <w:marRight w:val="0"/>
      <w:marTop w:val="0"/>
      <w:marBottom w:val="0"/>
      <w:divBdr>
        <w:top w:val="none" w:sz="0" w:space="0" w:color="auto"/>
        <w:left w:val="none" w:sz="0" w:space="0" w:color="auto"/>
        <w:bottom w:val="none" w:sz="0" w:space="0" w:color="auto"/>
        <w:right w:val="none" w:sz="0" w:space="0" w:color="auto"/>
      </w:divBdr>
    </w:div>
    <w:div w:id="1230461130">
      <w:bodyDiv w:val="1"/>
      <w:marLeft w:val="0"/>
      <w:marRight w:val="0"/>
      <w:marTop w:val="0"/>
      <w:marBottom w:val="0"/>
      <w:divBdr>
        <w:top w:val="none" w:sz="0" w:space="0" w:color="auto"/>
        <w:left w:val="none" w:sz="0" w:space="0" w:color="auto"/>
        <w:bottom w:val="none" w:sz="0" w:space="0" w:color="auto"/>
        <w:right w:val="none" w:sz="0" w:space="0" w:color="auto"/>
      </w:divBdr>
    </w:div>
    <w:div w:id="1230649181">
      <w:bodyDiv w:val="1"/>
      <w:marLeft w:val="0"/>
      <w:marRight w:val="0"/>
      <w:marTop w:val="0"/>
      <w:marBottom w:val="0"/>
      <w:divBdr>
        <w:top w:val="none" w:sz="0" w:space="0" w:color="auto"/>
        <w:left w:val="none" w:sz="0" w:space="0" w:color="auto"/>
        <w:bottom w:val="none" w:sz="0" w:space="0" w:color="auto"/>
        <w:right w:val="none" w:sz="0" w:space="0" w:color="auto"/>
      </w:divBdr>
    </w:div>
    <w:div w:id="1235434214">
      <w:bodyDiv w:val="1"/>
      <w:marLeft w:val="0"/>
      <w:marRight w:val="0"/>
      <w:marTop w:val="0"/>
      <w:marBottom w:val="0"/>
      <w:divBdr>
        <w:top w:val="none" w:sz="0" w:space="0" w:color="auto"/>
        <w:left w:val="none" w:sz="0" w:space="0" w:color="auto"/>
        <w:bottom w:val="none" w:sz="0" w:space="0" w:color="auto"/>
        <w:right w:val="none" w:sz="0" w:space="0" w:color="auto"/>
      </w:divBdr>
    </w:div>
    <w:div w:id="1240097938">
      <w:bodyDiv w:val="1"/>
      <w:marLeft w:val="0"/>
      <w:marRight w:val="0"/>
      <w:marTop w:val="0"/>
      <w:marBottom w:val="0"/>
      <w:divBdr>
        <w:top w:val="none" w:sz="0" w:space="0" w:color="auto"/>
        <w:left w:val="none" w:sz="0" w:space="0" w:color="auto"/>
        <w:bottom w:val="none" w:sz="0" w:space="0" w:color="auto"/>
        <w:right w:val="none" w:sz="0" w:space="0" w:color="auto"/>
      </w:divBdr>
    </w:div>
    <w:div w:id="1241139281">
      <w:bodyDiv w:val="1"/>
      <w:marLeft w:val="0"/>
      <w:marRight w:val="0"/>
      <w:marTop w:val="0"/>
      <w:marBottom w:val="0"/>
      <w:divBdr>
        <w:top w:val="none" w:sz="0" w:space="0" w:color="auto"/>
        <w:left w:val="none" w:sz="0" w:space="0" w:color="auto"/>
        <w:bottom w:val="none" w:sz="0" w:space="0" w:color="auto"/>
        <w:right w:val="none" w:sz="0" w:space="0" w:color="auto"/>
      </w:divBdr>
    </w:div>
    <w:div w:id="1242980616">
      <w:bodyDiv w:val="1"/>
      <w:marLeft w:val="0"/>
      <w:marRight w:val="0"/>
      <w:marTop w:val="0"/>
      <w:marBottom w:val="0"/>
      <w:divBdr>
        <w:top w:val="none" w:sz="0" w:space="0" w:color="auto"/>
        <w:left w:val="none" w:sz="0" w:space="0" w:color="auto"/>
        <w:bottom w:val="none" w:sz="0" w:space="0" w:color="auto"/>
        <w:right w:val="none" w:sz="0" w:space="0" w:color="auto"/>
      </w:divBdr>
    </w:div>
    <w:div w:id="1244293405">
      <w:bodyDiv w:val="1"/>
      <w:marLeft w:val="0"/>
      <w:marRight w:val="0"/>
      <w:marTop w:val="0"/>
      <w:marBottom w:val="0"/>
      <w:divBdr>
        <w:top w:val="none" w:sz="0" w:space="0" w:color="auto"/>
        <w:left w:val="none" w:sz="0" w:space="0" w:color="auto"/>
        <w:bottom w:val="none" w:sz="0" w:space="0" w:color="auto"/>
        <w:right w:val="none" w:sz="0" w:space="0" w:color="auto"/>
      </w:divBdr>
    </w:div>
    <w:div w:id="1245384381">
      <w:bodyDiv w:val="1"/>
      <w:marLeft w:val="0"/>
      <w:marRight w:val="0"/>
      <w:marTop w:val="0"/>
      <w:marBottom w:val="0"/>
      <w:divBdr>
        <w:top w:val="none" w:sz="0" w:space="0" w:color="auto"/>
        <w:left w:val="none" w:sz="0" w:space="0" w:color="auto"/>
        <w:bottom w:val="none" w:sz="0" w:space="0" w:color="auto"/>
        <w:right w:val="none" w:sz="0" w:space="0" w:color="auto"/>
      </w:divBdr>
    </w:div>
    <w:div w:id="1249148515">
      <w:bodyDiv w:val="1"/>
      <w:marLeft w:val="0"/>
      <w:marRight w:val="0"/>
      <w:marTop w:val="0"/>
      <w:marBottom w:val="0"/>
      <w:divBdr>
        <w:top w:val="none" w:sz="0" w:space="0" w:color="auto"/>
        <w:left w:val="none" w:sz="0" w:space="0" w:color="auto"/>
        <w:bottom w:val="none" w:sz="0" w:space="0" w:color="auto"/>
        <w:right w:val="none" w:sz="0" w:space="0" w:color="auto"/>
      </w:divBdr>
    </w:div>
    <w:div w:id="1249651466">
      <w:bodyDiv w:val="1"/>
      <w:marLeft w:val="0"/>
      <w:marRight w:val="0"/>
      <w:marTop w:val="0"/>
      <w:marBottom w:val="0"/>
      <w:divBdr>
        <w:top w:val="none" w:sz="0" w:space="0" w:color="auto"/>
        <w:left w:val="none" w:sz="0" w:space="0" w:color="auto"/>
        <w:bottom w:val="none" w:sz="0" w:space="0" w:color="auto"/>
        <w:right w:val="none" w:sz="0" w:space="0" w:color="auto"/>
      </w:divBdr>
    </w:div>
    <w:div w:id="1249776733">
      <w:bodyDiv w:val="1"/>
      <w:marLeft w:val="0"/>
      <w:marRight w:val="0"/>
      <w:marTop w:val="0"/>
      <w:marBottom w:val="0"/>
      <w:divBdr>
        <w:top w:val="none" w:sz="0" w:space="0" w:color="auto"/>
        <w:left w:val="none" w:sz="0" w:space="0" w:color="auto"/>
        <w:bottom w:val="none" w:sz="0" w:space="0" w:color="auto"/>
        <w:right w:val="none" w:sz="0" w:space="0" w:color="auto"/>
      </w:divBdr>
    </w:div>
    <w:div w:id="1250967321">
      <w:bodyDiv w:val="1"/>
      <w:marLeft w:val="0"/>
      <w:marRight w:val="0"/>
      <w:marTop w:val="0"/>
      <w:marBottom w:val="0"/>
      <w:divBdr>
        <w:top w:val="none" w:sz="0" w:space="0" w:color="auto"/>
        <w:left w:val="none" w:sz="0" w:space="0" w:color="auto"/>
        <w:bottom w:val="none" w:sz="0" w:space="0" w:color="auto"/>
        <w:right w:val="none" w:sz="0" w:space="0" w:color="auto"/>
      </w:divBdr>
    </w:div>
    <w:div w:id="1253127524">
      <w:bodyDiv w:val="1"/>
      <w:marLeft w:val="0"/>
      <w:marRight w:val="0"/>
      <w:marTop w:val="0"/>
      <w:marBottom w:val="0"/>
      <w:divBdr>
        <w:top w:val="none" w:sz="0" w:space="0" w:color="auto"/>
        <w:left w:val="none" w:sz="0" w:space="0" w:color="auto"/>
        <w:bottom w:val="none" w:sz="0" w:space="0" w:color="auto"/>
        <w:right w:val="none" w:sz="0" w:space="0" w:color="auto"/>
      </w:divBdr>
    </w:div>
    <w:div w:id="1255280682">
      <w:bodyDiv w:val="1"/>
      <w:marLeft w:val="0"/>
      <w:marRight w:val="0"/>
      <w:marTop w:val="0"/>
      <w:marBottom w:val="0"/>
      <w:divBdr>
        <w:top w:val="none" w:sz="0" w:space="0" w:color="auto"/>
        <w:left w:val="none" w:sz="0" w:space="0" w:color="auto"/>
        <w:bottom w:val="none" w:sz="0" w:space="0" w:color="auto"/>
        <w:right w:val="none" w:sz="0" w:space="0" w:color="auto"/>
      </w:divBdr>
      <w:divsChild>
        <w:div w:id="1297250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7324575">
      <w:bodyDiv w:val="1"/>
      <w:marLeft w:val="0"/>
      <w:marRight w:val="0"/>
      <w:marTop w:val="0"/>
      <w:marBottom w:val="0"/>
      <w:divBdr>
        <w:top w:val="none" w:sz="0" w:space="0" w:color="auto"/>
        <w:left w:val="none" w:sz="0" w:space="0" w:color="auto"/>
        <w:bottom w:val="none" w:sz="0" w:space="0" w:color="auto"/>
        <w:right w:val="none" w:sz="0" w:space="0" w:color="auto"/>
      </w:divBdr>
    </w:div>
    <w:div w:id="1267470771">
      <w:bodyDiv w:val="1"/>
      <w:marLeft w:val="0"/>
      <w:marRight w:val="0"/>
      <w:marTop w:val="0"/>
      <w:marBottom w:val="0"/>
      <w:divBdr>
        <w:top w:val="none" w:sz="0" w:space="0" w:color="auto"/>
        <w:left w:val="none" w:sz="0" w:space="0" w:color="auto"/>
        <w:bottom w:val="none" w:sz="0" w:space="0" w:color="auto"/>
        <w:right w:val="none" w:sz="0" w:space="0" w:color="auto"/>
      </w:divBdr>
    </w:div>
    <w:div w:id="1271472594">
      <w:bodyDiv w:val="1"/>
      <w:marLeft w:val="0"/>
      <w:marRight w:val="0"/>
      <w:marTop w:val="0"/>
      <w:marBottom w:val="0"/>
      <w:divBdr>
        <w:top w:val="none" w:sz="0" w:space="0" w:color="auto"/>
        <w:left w:val="none" w:sz="0" w:space="0" w:color="auto"/>
        <w:bottom w:val="none" w:sz="0" w:space="0" w:color="auto"/>
        <w:right w:val="none" w:sz="0" w:space="0" w:color="auto"/>
      </w:divBdr>
    </w:div>
    <w:div w:id="1271665134">
      <w:bodyDiv w:val="1"/>
      <w:marLeft w:val="0"/>
      <w:marRight w:val="0"/>
      <w:marTop w:val="0"/>
      <w:marBottom w:val="0"/>
      <w:divBdr>
        <w:top w:val="none" w:sz="0" w:space="0" w:color="auto"/>
        <w:left w:val="none" w:sz="0" w:space="0" w:color="auto"/>
        <w:bottom w:val="none" w:sz="0" w:space="0" w:color="auto"/>
        <w:right w:val="none" w:sz="0" w:space="0" w:color="auto"/>
      </w:divBdr>
    </w:div>
    <w:div w:id="1275362082">
      <w:bodyDiv w:val="1"/>
      <w:marLeft w:val="0"/>
      <w:marRight w:val="0"/>
      <w:marTop w:val="0"/>
      <w:marBottom w:val="0"/>
      <w:divBdr>
        <w:top w:val="none" w:sz="0" w:space="0" w:color="auto"/>
        <w:left w:val="none" w:sz="0" w:space="0" w:color="auto"/>
        <w:bottom w:val="none" w:sz="0" w:space="0" w:color="auto"/>
        <w:right w:val="none" w:sz="0" w:space="0" w:color="auto"/>
      </w:divBdr>
    </w:div>
    <w:div w:id="1283073553">
      <w:bodyDiv w:val="1"/>
      <w:marLeft w:val="0"/>
      <w:marRight w:val="0"/>
      <w:marTop w:val="0"/>
      <w:marBottom w:val="0"/>
      <w:divBdr>
        <w:top w:val="none" w:sz="0" w:space="0" w:color="auto"/>
        <w:left w:val="none" w:sz="0" w:space="0" w:color="auto"/>
        <w:bottom w:val="none" w:sz="0" w:space="0" w:color="auto"/>
        <w:right w:val="none" w:sz="0" w:space="0" w:color="auto"/>
      </w:divBdr>
    </w:div>
    <w:div w:id="1284964541">
      <w:bodyDiv w:val="1"/>
      <w:marLeft w:val="0"/>
      <w:marRight w:val="0"/>
      <w:marTop w:val="0"/>
      <w:marBottom w:val="0"/>
      <w:divBdr>
        <w:top w:val="none" w:sz="0" w:space="0" w:color="auto"/>
        <w:left w:val="none" w:sz="0" w:space="0" w:color="auto"/>
        <w:bottom w:val="none" w:sz="0" w:space="0" w:color="auto"/>
        <w:right w:val="none" w:sz="0" w:space="0" w:color="auto"/>
      </w:divBdr>
    </w:div>
    <w:div w:id="1288001630">
      <w:bodyDiv w:val="1"/>
      <w:marLeft w:val="0"/>
      <w:marRight w:val="0"/>
      <w:marTop w:val="0"/>
      <w:marBottom w:val="0"/>
      <w:divBdr>
        <w:top w:val="none" w:sz="0" w:space="0" w:color="auto"/>
        <w:left w:val="none" w:sz="0" w:space="0" w:color="auto"/>
        <w:bottom w:val="none" w:sz="0" w:space="0" w:color="auto"/>
        <w:right w:val="none" w:sz="0" w:space="0" w:color="auto"/>
      </w:divBdr>
      <w:divsChild>
        <w:div w:id="406611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1549776">
      <w:bodyDiv w:val="1"/>
      <w:marLeft w:val="0"/>
      <w:marRight w:val="0"/>
      <w:marTop w:val="0"/>
      <w:marBottom w:val="0"/>
      <w:divBdr>
        <w:top w:val="none" w:sz="0" w:space="0" w:color="auto"/>
        <w:left w:val="none" w:sz="0" w:space="0" w:color="auto"/>
        <w:bottom w:val="none" w:sz="0" w:space="0" w:color="auto"/>
        <w:right w:val="none" w:sz="0" w:space="0" w:color="auto"/>
      </w:divBdr>
    </w:div>
    <w:div w:id="1292438337">
      <w:bodyDiv w:val="1"/>
      <w:marLeft w:val="0"/>
      <w:marRight w:val="0"/>
      <w:marTop w:val="0"/>
      <w:marBottom w:val="0"/>
      <w:divBdr>
        <w:top w:val="none" w:sz="0" w:space="0" w:color="auto"/>
        <w:left w:val="none" w:sz="0" w:space="0" w:color="auto"/>
        <w:bottom w:val="none" w:sz="0" w:space="0" w:color="auto"/>
        <w:right w:val="none" w:sz="0" w:space="0" w:color="auto"/>
      </w:divBdr>
    </w:div>
    <w:div w:id="1294751701">
      <w:bodyDiv w:val="1"/>
      <w:marLeft w:val="0"/>
      <w:marRight w:val="0"/>
      <w:marTop w:val="0"/>
      <w:marBottom w:val="0"/>
      <w:divBdr>
        <w:top w:val="none" w:sz="0" w:space="0" w:color="auto"/>
        <w:left w:val="none" w:sz="0" w:space="0" w:color="auto"/>
        <w:bottom w:val="none" w:sz="0" w:space="0" w:color="auto"/>
        <w:right w:val="none" w:sz="0" w:space="0" w:color="auto"/>
      </w:divBdr>
    </w:div>
    <w:div w:id="1295063409">
      <w:bodyDiv w:val="1"/>
      <w:marLeft w:val="0"/>
      <w:marRight w:val="0"/>
      <w:marTop w:val="0"/>
      <w:marBottom w:val="0"/>
      <w:divBdr>
        <w:top w:val="none" w:sz="0" w:space="0" w:color="auto"/>
        <w:left w:val="none" w:sz="0" w:space="0" w:color="auto"/>
        <w:bottom w:val="none" w:sz="0" w:space="0" w:color="auto"/>
        <w:right w:val="none" w:sz="0" w:space="0" w:color="auto"/>
      </w:divBdr>
    </w:div>
    <w:div w:id="1299871305">
      <w:bodyDiv w:val="1"/>
      <w:marLeft w:val="0"/>
      <w:marRight w:val="0"/>
      <w:marTop w:val="0"/>
      <w:marBottom w:val="0"/>
      <w:divBdr>
        <w:top w:val="none" w:sz="0" w:space="0" w:color="auto"/>
        <w:left w:val="none" w:sz="0" w:space="0" w:color="auto"/>
        <w:bottom w:val="none" w:sz="0" w:space="0" w:color="auto"/>
        <w:right w:val="none" w:sz="0" w:space="0" w:color="auto"/>
      </w:divBdr>
      <w:divsChild>
        <w:div w:id="694771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8586071">
      <w:bodyDiv w:val="1"/>
      <w:marLeft w:val="0"/>
      <w:marRight w:val="0"/>
      <w:marTop w:val="0"/>
      <w:marBottom w:val="0"/>
      <w:divBdr>
        <w:top w:val="none" w:sz="0" w:space="0" w:color="auto"/>
        <w:left w:val="none" w:sz="0" w:space="0" w:color="auto"/>
        <w:bottom w:val="none" w:sz="0" w:space="0" w:color="auto"/>
        <w:right w:val="none" w:sz="0" w:space="0" w:color="auto"/>
      </w:divBdr>
    </w:div>
    <w:div w:id="1311130106">
      <w:bodyDiv w:val="1"/>
      <w:marLeft w:val="0"/>
      <w:marRight w:val="0"/>
      <w:marTop w:val="0"/>
      <w:marBottom w:val="0"/>
      <w:divBdr>
        <w:top w:val="none" w:sz="0" w:space="0" w:color="auto"/>
        <w:left w:val="none" w:sz="0" w:space="0" w:color="auto"/>
        <w:bottom w:val="none" w:sz="0" w:space="0" w:color="auto"/>
        <w:right w:val="none" w:sz="0" w:space="0" w:color="auto"/>
      </w:divBdr>
    </w:div>
    <w:div w:id="1314723616">
      <w:bodyDiv w:val="1"/>
      <w:marLeft w:val="0"/>
      <w:marRight w:val="0"/>
      <w:marTop w:val="0"/>
      <w:marBottom w:val="0"/>
      <w:divBdr>
        <w:top w:val="none" w:sz="0" w:space="0" w:color="auto"/>
        <w:left w:val="none" w:sz="0" w:space="0" w:color="auto"/>
        <w:bottom w:val="none" w:sz="0" w:space="0" w:color="auto"/>
        <w:right w:val="none" w:sz="0" w:space="0" w:color="auto"/>
      </w:divBdr>
      <w:divsChild>
        <w:div w:id="1070736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0228992">
      <w:bodyDiv w:val="1"/>
      <w:marLeft w:val="0"/>
      <w:marRight w:val="0"/>
      <w:marTop w:val="0"/>
      <w:marBottom w:val="0"/>
      <w:divBdr>
        <w:top w:val="none" w:sz="0" w:space="0" w:color="auto"/>
        <w:left w:val="none" w:sz="0" w:space="0" w:color="auto"/>
        <w:bottom w:val="none" w:sz="0" w:space="0" w:color="auto"/>
        <w:right w:val="none" w:sz="0" w:space="0" w:color="auto"/>
      </w:divBdr>
    </w:div>
    <w:div w:id="1320966056">
      <w:bodyDiv w:val="1"/>
      <w:marLeft w:val="0"/>
      <w:marRight w:val="0"/>
      <w:marTop w:val="0"/>
      <w:marBottom w:val="0"/>
      <w:divBdr>
        <w:top w:val="none" w:sz="0" w:space="0" w:color="auto"/>
        <w:left w:val="none" w:sz="0" w:space="0" w:color="auto"/>
        <w:bottom w:val="none" w:sz="0" w:space="0" w:color="auto"/>
        <w:right w:val="none" w:sz="0" w:space="0" w:color="auto"/>
      </w:divBdr>
    </w:div>
    <w:div w:id="1327974066">
      <w:bodyDiv w:val="1"/>
      <w:marLeft w:val="0"/>
      <w:marRight w:val="0"/>
      <w:marTop w:val="0"/>
      <w:marBottom w:val="0"/>
      <w:divBdr>
        <w:top w:val="none" w:sz="0" w:space="0" w:color="auto"/>
        <w:left w:val="none" w:sz="0" w:space="0" w:color="auto"/>
        <w:bottom w:val="none" w:sz="0" w:space="0" w:color="auto"/>
        <w:right w:val="none" w:sz="0" w:space="0" w:color="auto"/>
      </w:divBdr>
    </w:div>
    <w:div w:id="1328291827">
      <w:bodyDiv w:val="1"/>
      <w:marLeft w:val="0"/>
      <w:marRight w:val="0"/>
      <w:marTop w:val="0"/>
      <w:marBottom w:val="0"/>
      <w:divBdr>
        <w:top w:val="none" w:sz="0" w:space="0" w:color="auto"/>
        <w:left w:val="none" w:sz="0" w:space="0" w:color="auto"/>
        <w:bottom w:val="none" w:sz="0" w:space="0" w:color="auto"/>
        <w:right w:val="none" w:sz="0" w:space="0" w:color="auto"/>
      </w:divBdr>
    </w:div>
    <w:div w:id="1329097378">
      <w:bodyDiv w:val="1"/>
      <w:marLeft w:val="0"/>
      <w:marRight w:val="0"/>
      <w:marTop w:val="0"/>
      <w:marBottom w:val="0"/>
      <w:divBdr>
        <w:top w:val="none" w:sz="0" w:space="0" w:color="auto"/>
        <w:left w:val="none" w:sz="0" w:space="0" w:color="auto"/>
        <w:bottom w:val="none" w:sz="0" w:space="0" w:color="auto"/>
        <w:right w:val="none" w:sz="0" w:space="0" w:color="auto"/>
      </w:divBdr>
    </w:div>
    <w:div w:id="1331367748">
      <w:bodyDiv w:val="1"/>
      <w:marLeft w:val="0"/>
      <w:marRight w:val="0"/>
      <w:marTop w:val="0"/>
      <w:marBottom w:val="0"/>
      <w:divBdr>
        <w:top w:val="none" w:sz="0" w:space="0" w:color="auto"/>
        <w:left w:val="none" w:sz="0" w:space="0" w:color="auto"/>
        <w:bottom w:val="none" w:sz="0" w:space="0" w:color="auto"/>
        <w:right w:val="none" w:sz="0" w:space="0" w:color="auto"/>
      </w:divBdr>
    </w:div>
    <w:div w:id="1331450084">
      <w:bodyDiv w:val="1"/>
      <w:marLeft w:val="0"/>
      <w:marRight w:val="0"/>
      <w:marTop w:val="0"/>
      <w:marBottom w:val="0"/>
      <w:divBdr>
        <w:top w:val="none" w:sz="0" w:space="0" w:color="auto"/>
        <w:left w:val="none" w:sz="0" w:space="0" w:color="auto"/>
        <w:bottom w:val="none" w:sz="0" w:space="0" w:color="auto"/>
        <w:right w:val="none" w:sz="0" w:space="0" w:color="auto"/>
      </w:divBdr>
    </w:div>
    <w:div w:id="1343972382">
      <w:bodyDiv w:val="1"/>
      <w:marLeft w:val="0"/>
      <w:marRight w:val="0"/>
      <w:marTop w:val="0"/>
      <w:marBottom w:val="0"/>
      <w:divBdr>
        <w:top w:val="none" w:sz="0" w:space="0" w:color="auto"/>
        <w:left w:val="none" w:sz="0" w:space="0" w:color="auto"/>
        <w:bottom w:val="none" w:sz="0" w:space="0" w:color="auto"/>
        <w:right w:val="none" w:sz="0" w:space="0" w:color="auto"/>
      </w:divBdr>
    </w:div>
    <w:div w:id="1345324172">
      <w:bodyDiv w:val="1"/>
      <w:marLeft w:val="0"/>
      <w:marRight w:val="0"/>
      <w:marTop w:val="0"/>
      <w:marBottom w:val="0"/>
      <w:divBdr>
        <w:top w:val="none" w:sz="0" w:space="0" w:color="auto"/>
        <w:left w:val="none" w:sz="0" w:space="0" w:color="auto"/>
        <w:bottom w:val="none" w:sz="0" w:space="0" w:color="auto"/>
        <w:right w:val="none" w:sz="0" w:space="0" w:color="auto"/>
      </w:divBdr>
    </w:div>
    <w:div w:id="1346058167">
      <w:bodyDiv w:val="1"/>
      <w:marLeft w:val="0"/>
      <w:marRight w:val="0"/>
      <w:marTop w:val="0"/>
      <w:marBottom w:val="0"/>
      <w:divBdr>
        <w:top w:val="none" w:sz="0" w:space="0" w:color="auto"/>
        <w:left w:val="none" w:sz="0" w:space="0" w:color="auto"/>
        <w:bottom w:val="none" w:sz="0" w:space="0" w:color="auto"/>
        <w:right w:val="none" w:sz="0" w:space="0" w:color="auto"/>
      </w:divBdr>
    </w:div>
    <w:div w:id="1346400062">
      <w:bodyDiv w:val="1"/>
      <w:marLeft w:val="0"/>
      <w:marRight w:val="0"/>
      <w:marTop w:val="0"/>
      <w:marBottom w:val="0"/>
      <w:divBdr>
        <w:top w:val="none" w:sz="0" w:space="0" w:color="auto"/>
        <w:left w:val="none" w:sz="0" w:space="0" w:color="auto"/>
        <w:bottom w:val="none" w:sz="0" w:space="0" w:color="auto"/>
        <w:right w:val="none" w:sz="0" w:space="0" w:color="auto"/>
      </w:divBdr>
      <w:divsChild>
        <w:div w:id="1391072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2492811">
      <w:bodyDiv w:val="1"/>
      <w:marLeft w:val="0"/>
      <w:marRight w:val="0"/>
      <w:marTop w:val="0"/>
      <w:marBottom w:val="0"/>
      <w:divBdr>
        <w:top w:val="none" w:sz="0" w:space="0" w:color="auto"/>
        <w:left w:val="none" w:sz="0" w:space="0" w:color="auto"/>
        <w:bottom w:val="none" w:sz="0" w:space="0" w:color="auto"/>
        <w:right w:val="none" w:sz="0" w:space="0" w:color="auto"/>
      </w:divBdr>
    </w:div>
    <w:div w:id="1355810594">
      <w:bodyDiv w:val="1"/>
      <w:marLeft w:val="0"/>
      <w:marRight w:val="0"/>
      <w:marTop w:val="0"/>
      <w:marBottom w:val="0"/>
      <w:divBdr>
        <w:top w:val="none" w:sz="0" w:space="0" w:color="auto"/>
        <w:left w:val="none" w:sz="0" w:space="0" w:color="auto"/>
        <w:bottom w:val="none" w:sz="0" w:space="0" w:color="auto"/>
        <w:right w:val="none" w:sz="0" w:space="0" w:color="auto"/>
      </w:divBdr>
    </w:div>
    <w:div w:id="1361276270">
      <w:bodyDiv w:val="1"/>
      <w:marLeft w:val="0"/>
      <w:marRight w:val="0"/>
      <w:marTop w:val="0"/>
      <w:marBottom w:val="0"/>
      <w:divBdr>
        <w:top w:val="none" w:sz="0" w:space="0" w:color="auto"/>
        <w:left w:val="none" w:sz="0" w:space="0" w:color="auto"/>
        <w:bottom w:val="none" w:sz="0" w:space="0" w:color="auto"/>
        <w:right w:val="none" w:sz="0" w:space="0" w:color="auto"/>
      </w:divBdr>
    </w:div>
    <w:div w:id="1364284256">
      <w:bodyDiv w:val="1"/>
      <w:marLeft w:val="0"/>
      <w:marRight w:val="0"/>
      <w:marTop w:val="0"/>
      <w:marBottom w:val="0"/>
      <w:divBdr>
        <w:top w:val="none" w:sz="0" w:space="0" w:color="auto"/>
        <w:left w:val="none" w:sz="0" w:space="0" w:color="auto"/>
        <w:bottom w:val="none" w:sz="0" w:space="0" w:color="auto"/>
        <w:right w:val="none" w:sz="0" w:space="0" w:color="auto"/>
      </w:divBdr>
    </w:div>
    <w:div w:id="1372994449">
      <w:bodyDiv w:val="1"/>
      <w:marLeft w:val="0"/>
      <w:marRight w:val="0"/>
      <w:marTop w:val="0"/>
      <w:marBottom w:val="0"/>
      <w:divBdr>
        <w:top w:val="none" w:sz="0" w:space="0" w:color="auto"/>
        <w:left w:val="none" w:sz="0" w:space="0" w:color="auto"/>
        <w:bottom w:val="none" w:sz="0" w:space="0" w:color="auto"/>
        <w:right w:val="none" w:sz="0" w:space="0" w:color="auto"/>
      </w:divBdr>
    </w:div>
    <w:div w:id="1374385336">
      <w:bodyDiv w:val="1"/>
      <w:marLeft w:val="0"/>
      <w:marRight w:val="0"/>
      <w:marTop w:val="0"/>
      <w:marBottom w:val="0"/>
      <w:divBdr>
        <w:top w:val="none" w:sz="0" w:space="0" w:color="auto"/>
        <w:left w:val="none" w:sz="0" w:space="0" w:color="auto"/>
        <w:bottom w:val="none" w:sz="0" w:space="0" w:color="auto"/>
        <w:right w:val="none" w:sz="0" w:space="0" w:color="auto"/>
      </w:divBdr>
    </w:div>
    <w:div w:id="1376277240">
      <w:bodyDiv w:val="1"/>
      <w:marLeft w:val="0"/>
      <w:marRight w:val="0"/>
      <w:marTop w:val="0"/>
      <w:marBottom w:val="0"/>
      <w:divBdr>
        <w:top w:val="none" w:sz="0" w:space="0" w:color="auto"/>
        <w:left w:val="none" w:sz="0" w:space="0" w:color="auto"/>
        <w:bottom w:val="none" w:sz="0" w:space="0" w:color="auto"/>
        <w:right w:val="none" w:sz="0" w:space="0" w:color="auto"/>
      </w:divBdr>
    </w:div>
    <w:div w:id="1378117085">
      <w:bodyDiv w:val="1"/>
      <w:marLeft w:val="0"/>
      <w:marRight w:val="0"/>
      <w:marTop w:val="0"/>
      <w:marBottom w:val="0"/>
      <w:divBdr>
        <w:top w:val="none" w:sz="0" w:space="0" w:color="auto"/>
        <w:left w:val="none" w:sz="0" w:space="0" w:color="auto"/>
        <w:bottom w:val="none" w:sz="0" w:space="0" w:color="auto"/>
        <w:right w:val="none" w:sz="0" w:space="0" w:color="auto"/>
      </w:divBdr>
    </w:div>
    <w:div w:id="1380475414">
      <w:bodyDiv w:val="1"/>
      <w:marLeft w:val="0"/>
      <w:marRight w:val="0"/>
      <w:marTop w:val="0"/>
      <w:marBottom w:val="0"/>
      <w:divBdr>
        <w:top w:val="none" w:sz="0" w:space="0" w:color="auto"/>
        <w:left w:val="none" w:sz="0" w:space="0" w:color="auto"/>
        <w:bottom w:val="none" w:sz="0" w:space="0" w:color="auto"/>
        <w:right w:val="none" w:sz="0" w:space="0" w:color="auto"/>
      </w:divBdr>
      <w:divsChild>
        <w:div w:id="7245722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4938908">
      <w:bodyDiv w:val="1"/>
      <w:marLeft w:val="0"/>
      <w:marRight w:val="0"/>
      <w:marTop w:val="0"/>
      <w:marBottom w:val="0"/>
      <w:divBdr>
        <w:top w:val="none" w:sz="0" w:space="0" w:color="auto"/>
        <w:left w:val="none" w:sz="0" w:space="0" w:color="auto"/>
        <w:bottom w:val="none" w:sz="0" w:space="0" w:color="auto"/>
        <w:right w:val="none" w:sz="0" w:space="0" w:color="auto"/>
      </w:divBdr>
    </w:div>
    <w:div w:id="1386565918">
      <w:bodyDiv w:val="1"/>
      <w:marLeft w:val="0"/>
      <w:marRight w:val="0"/>
      <w:marTop w:val="0"/>
      <w:marBottom w:val="0"/>
      <w:divBdr>
        <w:top w:val="none" w:sz="0" w:space="0" w:color="auto"/>
        <w:left w:val="none" w:sz="0" w:space="0" w:color="auto"/>
        <w:bottom w:val="none" w:sz="0" w:space="0" w:color="auto"/>
        <w:right w:val="none" w:sz="0" w:space="0" w:color="auto"/>
      </w:divBdr>
    </w:div>
    <w:div w:id="1386679172">
      <w:bodyDiv w:val="1"/>
      <w:marLeft w:val="0"/>
      <w:marRight w:val="0"/>
      <w:marTop w:val="0"/>
      <w:marBottom w:val="0"/>
      <w:divBdr>
        <w:top w:val="none" w:sz="0" w:space="0" w:color="auto"/>
        <w:left w:val="none" w:sz="0" w:space="0" w:color="auto"/>
        <w:bottom w:val="none" w:sz="0" w:space="0" w:color="auto"/>
        <w:right w:val="none" w:sz="0" w:space="0" w:color="auto"/>
      </w:divBdr>
    </w:div>
    <w:div w:id="1387879307">
      <w:bodyDiv w:val="1"/>
      <w:marLeft w:val="0"/>
      <w:marRight w:val="0"/>
      <w:marTop w:val="0"/>
      <w:marBottom w:val="0"/>
      <w:divBdr>
        <w:top w:val="none" w:sz="0" w:space="0" w:color="auto"/>
        <w:left w:val="none" w:sz="0" w:space="0" w:color="auto"/>
        <w:bottom w:val="none" w:sz="0" w:space="0" w:color="auto"/>
        <w:right w:val="none" w:sz="0" w:space="0" w:color="auto"/>
      </w:divBdr>
      <w:divsChild>
        <w:div w:id="1094933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8450110">
      <w:bodyDiv w:val="1"/>
      <w:marLeft w:val="0"/>
      <w:marRight w:val="0"/>
      <w:marTop w:val="0"/>
      <w:marBottom w:val="0"/>
      <w:divBdr>
        <w:top w:val="none" w:sz="0" w:space="0" w:color="auto"/>
        <w:left w:val="none" w:sz="0" w:space="0" w:color="auto"/>
        <w:bottom w:val="none" w:sz="0" w:space="0" w:color="auto"/>
        <w:right w:val="none" w:sz="0" w:space="0" w:color="auto"/>
      </w:divBdr>
    </w:div>
    <w:div w:id="1390884597">
      <w:bodyDiv w:val="1"/>
      <w:marLeft w:val="0"/>
      <w:marRight w:val="0"/>
      <w:marTop w:val="0"/>
      <w:marBottom w:val="0"/>
      <w:divBdr>
        <w:top w:val="none" w:sz="0" w:space="0" w:color="auto"/>
        <w:left w:val="none" w:sz="0" w:space="0" w:color="auto"/>
        <w:bottom w:val="none" w:sz="0" w:space="0" w:color="auto"/>
        <w:right w:val="none" w:sz="0" w:space="0" w:color="auto"/>
      </w:divBdr>
      <w:divsChild>
        <w:div w:id="909121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1729748">
      <w:bodyDiv w:val="1"/>
      <w:marLeft w:val="0"/>
      <w:marRight w:val="0"/>
      <w:marTop w:val="0"/>
      <w:marBottom w:val="0"/>
      <w:divBdr>
        <w:top w:val="none" w:sz="0" w:space="0" w:color="auto"/>
        <w:left w:val="none" w:sz="0" w:space="0" w:color="auto"/>
        <w:bottom w:val="none" w:sz="0" w:space="0" w:color="auto"/>
        <w:right w:val="none" w:sz="0" w:space="0" w:color="auto"/>
      </w:divBdr>
    </w:div>
    <w:div w:id="1394083915">
      <w:bodyDiv w:val="1"/>
      <w:marLeft w:val="0"/>
      <w:marRight w:val="0"/>
      <w:marTop w:val="0"/>
      <w:marBottom w:val="0"/>
      <w:divBdr>
        <w:top w:val="none" w:sz="0" w:space="0" w:color="auto"/>
        <w:left w:val="none" w:sz="0" w:space="0" w:color="auto"/>
        <w:bottom w:val="none" w:sz="0" w:space="0" w:color="auto"/>
        <w:right w:val="none" w:sz="0" w:space="0" w:color="auto"/>
      </w:divBdr>
    </w:div>
    <w:div w:id="1396273427">
      <w:bodyDiv w:val="1"/>
      <w:marLeft w:val="0"/>
      <w:marRight w:val="0"/>
      <w:marTop w:val="0"/>
      <w:marBottom w:val="0"/>
      <w:divBdr>
        <w:top w:val="none" w:sz="0" w:space="0" w:color="auto"/>
        <w:left w:val="none" w:sz="0" w:space="0" w:color="auto"/>
        <w:bottom w:val="none" w:sz="0" w:space="0" w:color="auto"/>
        <w:right w:val="none" w:sz="0" w:space="0" w:color="auto"/>
      </w:divBdr>
    </w:div>
    <w:div w:id="1397320270">
      <w:bodyDiv w:val="1"/>
      <w:marLeft w:val="0"/>
      <w:marRight w:val="0"/>
      <w:marTop w:val="0"/>
      <w:marBottom w:val="0"/>
      <w:divBdr>
        <w:top w:val="none" w:sz="0" w:space="0" w:color="auto"/>
        <w:left w:val="none" w:sz="0" w:space="0" w:color="auto"/>
        <w:bottom w:val="none" w:sz="0" w:space="0" w:color="auto"/>
        <w:right w:val="none" w:sz="0" w:space="0" w:color="auto"/>
      </w:divBdr>
    </w:div>
    <w:div w:id="1410927062">
      <w:bodyDiv w:val="1"/>
      <w:marLeft w:val="0"/>
      <w:marRight w:val="0"/>
      <w:marTop w:val="0"/>
      <w:marBottom w:val="0"/>
      <w:divBdr>
        <w:top w:val="none" w:sz="0" w:space="0" w:color="auto"/>
        <w:left w:val="none" w:sz="0" w:space="0" w:color="auto"/>
        <w:bottom w:val="none" w:sz="0" w:space="0" w:color="auto"/>
        <w:right w:val="none" w:sz="0" w:space="0" w:color="auto"/>
      </w:divBdr>
    </w:div>
    <w:div w:id="1424496693">
      <w:bodyDiv w:val="1"/>
      <w:marLeft w:val="0"/>
      <w:marRight w:val="0"/>
      <w:marTop w:val="0"/>
      <w:marBottom w:val="0"/>
      <w:divBdr>
        <w:top w:val="none" w:sz="0" w:space="0" w:color="auto"/>
        <w:left w:val="none" w:sz="0" w:space="0" w:color="auto"/>
        <w:bottom w:val="none" w:sz="0" w:space="0" w:color="auto"/>
        <w:right w:val="none" w:sz="0" w:space="0" w:color="auto"/>
      </w:divBdr>
    </w:div>
    <w:div w:id="1427531601">
      <w:bodyDiv w:val="1"/>
      <w:marLeft w:val="0"/>
      <w:marRight w:val="0"/>
      <w:marTop w:val="0"/>
      <w:marBottom w:val="0"/>
      <w:divBdr>
        <w:top w:val="none" w:sz="0" w:space="0" w:color="auto"/>
        <w:left w:val="none" w:sz="0" w:space="0" w:color="auto"/>
        <w:bottom w:val="none" w:sz="0" w:space="0" w:color="auto"/>
        <w:right w:val="none" w:sz="0" w:space="0" w:color="auto"/>
      </w:divBdr>
    </w:div>
    <w:div w:id="1429622996">
      <w:bodyDiv w:val="1"/>
      <w:marLeft w:val="0"/>
      <w:marRight w:val="0"/>
      <w:marTop w:val="0"/>
      <w:marBottom w:val="0"/>
      <w:divBdr>
        <w:top w:val="none" w:sz="0" w:space="0" w:color="auto"/>
        <w:left w:val="none" w:sz="0" w:space="0" w:color="auto"/>
        <w:bottom w:val="none" w:sz="0" w:space="0" w:color="auto"/>
        <w:right w:val="none" w:sz="0" w:space="0" w:color="auto"/>
      </w:divBdr>
    </w:div>
    <w:div w:id="1430084323">
      <w:bodyDiv w:val="1"/>
      <w:marLeft w:val="0"/>
      <w:marRight w:val="0"/>
      <w:marTop w:val="0"/>
      <w:marBottom w:val="0"/>
      <w:divBdr>
        <w:top w:val="none" w:sz="0" w:space="0" w:color="auto"/>
        <w:left w:val="none" w:sz="0" w:space="0" w:color="auto"/>
        <w:bottom w:val="none" w:sz="0" w:space="0" w:color="auto"/>
        <w:right w:val="none" w:sz="0" w:space="0" w:color="auto"/>
      </w:divBdr>
    </w:div>
    <w:div w:id="1433428605">
      <w:bodyDiv w:val="1"/>
      <w:marLeft w:val="0"/>
      <w:marRight w:val="0"/>
      <w:marTop w:val="0"/>
      <w:marBottom w:val="0"/>
      <w:divBdr>
        <w:top w:val="none" w:sz="0" w:space="0" w:color="auto"/>
        <w:left w:val="none" w:sz="0" w:space="0" w:color="auto"/>
        <w:bottom w:val="none" w:sz="0" w:space="0" w:color="auto"/>
        <w:right w:val="none" w:sz="0" w:space="0" w:color="auto"/>
      </w:divBdr>
    </w:div>
    <w:div w:id="1433478352">
      <w:bodyDiv w:val="1"/>
      <w:marLeft w:val="0"/>
      <w:marRight w:val="0"/>
      <w:marTop w:val="0"/>
      <w:marBottom w:val="0"/>
      <w:divBdr>
        <w:top w:val="none" w:sz="0" w:space="0" w:color="auto"/>
        <w:left w:val="none" w:sz="0" w:space="0" w:color="auto"/>
        <w:bottom w:val="none" w:sz="0" w:space="0" w:color="auto"/>
        <w:right w:val="none" w:sz="0" w:space="0" w:color="auto"/>
      </w:divBdr>
    </w:div>
    <w:div w:id="1436244217">
      <w:bodyDiv w:val="1"/>
      <w:marLeft w:val="0"/>
      <w:marRight w:val="0"/>
      <w:marTop w:val="0"/>
      <w:marBottom w:val="0"/>
      <w:divBdr>
        <w:top w:val="none" w:sz="0" w:space="0" w:color="auto"/>
        <w:left w:val="none" w:sz="0" w:space="0" w:color="auto"/>
        <w:bottom w:val="none" w:sz="0" w:space="0" w:color="auto"/>
        <w:right w:val="none" w:sz="0" w:space="0" w:color="auto"/>
      </w:divBdr>
    </w:div>
    <w:div w:id="1437402759">
      <w:bodyDiv w:val="1"/>
      <w:marLeft w:val="0"/>
      <w:marRight w:val="0"/>
      <w:marTop w:val="0"/>
      <w:marBottom w:val="0"/>
      <w:divBdr>
        <w:top w:val="none" w:sz="0" w:space="0" w:color="auto"/>
        <w:left w:val="none" w:sz="0" w:space="0" w:color="auto"/>
        <w:bottom w:val="none" w:sz="0" w:space="0" w:color="auto"/>
        <w:right w:val="none" w:sz="0" w:space="0" w:color="auto"/>
      </w:divBdr>
    </w:div>
    <w:div w:id="1437484043">
      <w:bodyDiv w:val="1"/>
      <w:marLeft w:val="0"/>
      <w:marRight w:val="0"/>
      <w:marTop w:val="0"/>
      <w:marBottom w:val="0"/>
      <w:divBdr>
        <w:top w:val="none" w:sz="0" w:space="0" w:color="auto"/>
        <w:left w:val="none" w:sz="0" w:space="0" w:color="auto"/>
        <w:bottom w:val="none" w:sz="0" w:space="0" w:color="auto"/>
        <w:right w:val="none" w:sz="0" w:space="0" w:color="auto"/>
      </w:divBdr>
    </w:div>
    <w:div w:id="1437598628">
      <w:bodyDiv w:val="1"/>
      <w:marLeft w:val="0"/>
      <w:marRight w:val="0"/>
      <w:marTop w:val="0"/>
      <w:marBottom w:val="0"/>
      <w:divBdr>
        <w:top w:val="none" w:sz="0" w:space="0" w:color="auto"/>
        <w:left w:val="none" w:sz="0" w:space="0" w:color="auto"/>
        <w:bottom w:val="none" w:sz="0" w:space="0" w:color="auto"/>
        <w:right w:val="none" w:sz="0" w:space="0" w:color="auto"/>
      </w:divBdr>
    </w:div>
    <w:div w:id="1439640951">
      <w:bodyDiv w:val="1"/>
      <w:marLeft w:val="0"/>
      <w:marRight w:val="0"/>
      <w:marTop w:val="0"/>
      <w:marBottom w:val="0"/>
      <w:divBdr>
        <w:top w:val="none" w:sz="0" w:space="0" w:color="auto"/>
        <w:left w:val="none" w:sz="0" w:space="0" w:color="auto"/>
        <w:bottom w:val="none" w:sz="0" w:space="0" w:color="auto"/>
        <w:right w:val="none" w:sz="0" w:space="0" w:color="auto"/>
      </w:divBdr>
    </w:div>
    <w:div w:id="1440369926">
      <w:bodyDiv w:val="1"/>
      <w:marLeft w:val="0"/>
      <w:marRight w:val="0"/>
      <w:marTop w:val="0"/>
      <w:marBottom w:val="0"/>
      <w:divBdr>
        <w:top w:val="none" w:sz="0" w:space="0" w:color="auto"/>
        <w:left w:val="none" w:sz="0" w:space="0" w:color="auto"/>
        <w:bottom w:val="none" w:sz="0" w:space="0" w:color="auto"/>
        <w:right w:val="none" w:sz="0" w:space="0" w:color="auto"/>
      </w:divBdr>
    </w:div>
    <w:div w:id="1440756709">
      <w:bodyDiv w:val="1"/>
      <w:marLeft w:val="0"/>
      <w:marRight w:val="0"/>
      <w:marTop w:val="0"/>
      <w:marBottom w:val="0"/>
      <w:divBdr>
        <w:top w:val="none" w:sz="0" w:space="0" w:color="auto"/>
        <w:left w:val="none" w:sz="0" w:space="0" w:color="auto"/>
        <w:bottom w:val="none" w:sz="0" w:space="0" w:color="auto"/>
        <w:right w:val="none" w:sz="0" w:space="0" w:color="auto"/>
      </w:divBdr>
    </w:div>
    <w:div w:id="1448427683">
      <w:bodyDiv w:val="1"/>
      <w:marLeft w:val="0"/>
      <w:marRight w:val="0"/>
      <w:marTop w:val="0"/>
      <w:marBottom w:val="0"/>
      <w:divBdr>
        <w:top w:val="none" w:sz="0" w:space="0" w:color="auto"/>
        <w:left w:val="none" w:sz="0" w:space="0" w:color="auto"/>
        <w:bottom w:val="none" w:sz="0" w:space="0" w:color="auto"/>
        <w:right w:val="none" w:sz="0" w:space="0" w:color="auto"/>
      </w:divBdr>
    </w:div>
    <w:div w:id="1457261381">
      <w:bodyDiv w:val="1"/>
      <w:marLeft w:val="0"/>
      <w:marRight w:val="0"/>
      <w:marTop w:val="0"/>
      <w:marBottom w:val="0"/>
      <w:divBdr>
        <w:top w:val="none" w:sz="0" w:space="0" w:color="auto"/>
        <w:left w:val="none" w:sz="0" w:space="0" w:color="auto"/>
        <w:bottom w:val="none" w:sz="0" w:space="0" w:color="auto"/>
        <w:right w:val="none" w:sz="0" w:space="0" w:color="auto"/>
      </w:divBdr>
    </w:div>
    <w:div w:id="1457749457">
      <w:bodyDiv w:val="1"/>
      <w:marLeft w:val="0"/>
      <w:marRight w:val="0"/>
      <w:marTop w:val="0"/>
      <w:marBottom w:val="0"/>
      <w:divBdr>
        <w:top w:val="none" w:sz="0" w:space="0" w:color="auto"/>
        <w:left w:val="none" w:sz="0" w:space="0" w:color="auto"/>
        <w:bottom w:val="none" w:sz="0" w:space="0" w:color="auto"/>
        <w:right w:val="none" w:sz="0" w:space="0" w:color="auto"/>
      </w:divBdr>
    </w:div>
    <w:div w:id="1458835683">
      <w:bodyDiv w:val="1"/>
      <w:marLeft w:val="0"/>
      <w:marRight w:val="0"/>
      <w:marTop w:val="0"/>
      <w:marBottom w:val="0"/>
      <w:divBdr>
        <w:top w:val="none" w:sz="0" w:space="0" w:color="auto"/>
        <w:left w:val="none" w:sz="0" w:space="0" w:color="auto"/>
        <w:bottom w:val="none" w:sz="0" w:space="0" w:color="auto"/>
        <w:right w:val="none" w:sz="0" w:space="0" w:color="auto"/>
      </w:divBdr>
    </w:div>
    <w:div w:id="1464349450">
      <w:bodyDiv w:val="1"/>
      <w:marLeft w:val="0"/>
      <w:marRight w:val="0"/>
      <w:marTop w:val="0"/>
      <w:marBottom w:val="0"/>
      <w:divBdr>
        <w:top w:val="none" w:sz="0" w:space="0" w:color="auto"/>
        <w:left w:val="none" w:sz="0" w:space="0" w:color="auto"/>
        <w:bottom w:val="none" w:sz="0" w:space="0" w:color="auto"/>
        <w:right w:val="none" w:sz="0" w:space="0" w:color="auto"/>
      </w:divBdr>
    </w:div>
    <w:div w:id="1465150216">
      <w:bodyDiv w:val="1"/>
      <w:marLeft w:val="0"/>
      <w:marRight w:val="0"/>
      <w:marTop w:val="0"/>
      <w:marBottom w:val="0"/>
      <w:divBdr>
        <w:top w:val="none" w:sz="0" w:space="0" w:color="auto"/>
        <w:left w:val="none" w:sz="0" w:space="0" w:color="auto"/>
        <w:bottom w:val="none" w:sz="0" w:space="0" w:color="auto"/>
        <w:right w:val="none" w:sz="0" w:space="0" w:color="auto"/>
      </w:divBdr>
    </w:div>
    <w:div w:id="1466239762">
      <w:bodyDiv w:val="1"/>
      <w:marLeft w:val="0"/>
      <w:marRight w:val="0"/>
      <w:marTop w:val="0"/>
      <w:marBottom w:val="0"/>
      <w:divBdr>
        <w:top w:val="none" w:sz="0" w:space="0" w:color="auto"/>
        <w:left w:val="none" w:sz="0" w:space="0" w:color="auto"/>
        <w:bottom w:val="none" w:sz="0" w:space="0" w:color="auto"/>
        <w:right w:val="none" w:sz="0" w:space="0" w:color="auto"/>
      </w:divBdr>
    </w:div>
    <w:div w:id="1466701496">
      <w:bodyDiv w:val="1"/>
      <w:marLeft w:val="0"/>
      <w:marRight w:val="0"/>
      <w:marTop w:val="0"/>
      <w:marBottom w:val="0"/>
      <w:divBdr>
        <w:top w:val="none" w:sz="0" w:space="0" w:color="auto"/>
        <w:left w:val="none" w:sz="0" w:space="0" w:color="auto"/>
        <w:bottom w:val="none" w:sz="0" w:space="0" w:color="auto"/>
        <w:right w:val="none" w:sz="0" w:space="0" w:color="auto"/>
      </w:divBdr>
    </w:div>
    <w:div w:id="1467963890">
      <w:bodyDiv w:val="1"/>
      <w:marLeft w:val="0"/>
      <w:marRight w:val="0"/>
      <w:marTop w:val="0"/>
      <w:marBottom w:val="0"/>
      <w:divBdr>
        <w:top w:val="none" w:sz="0" w:space="0" w:color="auto"/>
        <w:left w:val="none" w:sz="0" w:space="0" w:color="auto"/>
        <w:bottom w:val="none" w:sz="0" w:space="0" w:color="auto"/>
        <w:right w:val="none" w:sz="0" w:space="0" w:color="auto"/>
      </w:divBdr>
    </w:div>
    <w:div w:id="1469319311">
      <w:bodyDiv w:val="1"/>
      <w:marLeft w:val="0"/>
      <w:marRight w:val="0"/>
      <w:marTop w:val="0"/>
      <w:marBottom w:val="0"/>
      <w:divBdr>
        <w:top w:val="none" w:sz="0" w:space="0" w:color="auto"/>
        <w:left w:val="none" w:sz="0" w:space="0" w:color="auto"/>
        <w:bottom w:val="none" w:sz="0" w:space="0" w:color="auto"/>
        <w:right w:val="none" w:sz="0" w:space="0" w:color="auto"/>
      </w:divBdr>
    </w:div>
    <w:div w:id="1469934674">
      <w:bodyDiv w:val="1"/>
      <w:marLeft w:val="0"/>
      <w:marRight w:val="0"/>
      <w:marTop w:val="0"/>
      <w:marBottom w:val="0"/>
      <w:divBdr>
        <w:top w:val="none" w:sz="0" w:space="0" w:color="auto"/>
        <w:left w:val="none" w:sz="0" w:space="0" w:color="auto"/>
        <w:bottom w:val="none" w:sz="0" w:space="0" w:color="auto"/>
        <w:right w:val="none" w:sz="0" w:space="0" w:color="auto"/>
      </w:divBdr>
    </w:div>
    <w:div w:id="1474789305">
      <w:bodyDiv w:val="1"/>
      <w:marLeft w:val="0"/>
      <w:marRight w:val="0"/>
      <w:marTop w:val="0"/>
      <w:marBottom w:val="0"/>
      <w:divBdr>
        <w:top w:val="none" w:sz="0" w:space="0" w:color="auto"/>
        <w:left w:val="none" w:sz="0" w:space="0" w:color="auto"/>
        <w:bottom w:val="none" w:sz="0" w:space="0" w:color="auto"/>
        <w:right w:val="none" w:sz="0" w:space="0" w:color="auto"/>
      </w:divBdr>
    </w:div>
    <w:div w:id="1475024298">
      <w:bodyDiv w:val="1"/>
      <w:marLeft w:val="0"/>
      <w:marRight w:val="0"/>
      <w:marTop w:val="0"/>
      <w:marBottom w:val="0"/>
      <w:divBdr>
        <w:top w:val="none" w:sz="0" w:space="0" w:color="auto"/>
        <w:left w:val="none" w:sz="0" w:space="0" w:color="auto"/>
        <w:bottom w:val="none" w:sz="0" w:space="0" w:color="auto"/>
        <w:right w:val="none" w:sz="0" w:space="0" w:color="auto"/>
      </w:divBdr>
    </w:div>
    <w:div w:id="1479958686">
      <w:bodyDiv w:val="1"/>
      <w:marLeft w:val="0"/>
      <w:marRight w:val="0"/>
      <w:marTop w:val="0"/>
      <w:marBottom w:val="0"/>
      <w:divBdr>
        <w:top w:val="none" w:sz="0" w:space="0" w:color="auto"/>
        <w:left w:val="none" w:sz="0" w:space="0" w:color="auto"/>
        <w:bottom w:val="none" w:sz="0" w:space="0" w:color="auto"/>
        <w:right w:val="none" w:sz="0" w:space="0" w:color="auto"/>
      </w:divBdr>
    </w:div>
    <w:div w:id="1487938578">
      <w:bodyDiv w:val="1"/>
      <w:marLeft w:val="0"/>
      <w:marRight w:val="0"/>
      <w:marTop w:val="0"/>
      <w:marBottom w:val="0"/>
      <w:divBdr>
        <w:top w:val="none" w:sz="0" w:space="0" w:color="auto"/>
        <w:left w:val="none" w:sz="0" w:space="0" w:color="auto"/>
        <w:bottom w:val="none" w:sz="0" w:space="0" w:color="auto"/>
        <w:right w:val="none" w:sz="0" w:space="0" w:color="auto"/>
      </w:divBdr>
    </w:div>
    <w:div w:id="1489053700">
      <w:bodyDiv w:val="1"/>
      <w:marLeft w:val="0"/>
      <w:marRight w:val="0"/>
      <w:marTop w:val="0"/>
      <w:marBottom w:val="0"/>
      <w:divBdr>
        <w:top w:val="none" w:sz="0" w:space="0" w:color="auto"/>
        <w:left w:val="none" w:sz="0" w:space="0" w:color="auto"/>
        <w:bottom w:val="none" w:sz="0" w:space="0" w:color="auto"/>
        <w:right w:val="none" w:sz="0" w:space="0" w:color="auto"/>
      </w:divBdr>
    </w:div>
    <w:div w:id="1489714273">
      <w:bodyDiv w:val="1"/>
      <w:marLeft w:val="0"/>
      <w:marRight w:val="0"/>
      <w:marTop w:val="0"/>
      <w:marBottom w:val="0"/>
      <w:divBdr>
        <w:top w:val="none" w:sz="0" w:space="0" w:color="auto"/>
        <w:left w:val="none" w:sz="0" w:space="0" w:color="auto"/>
        <w:bottom w:val="none" w:sz="0" w:space="0" w:color="auto"/>
        <w:right w:val="none" w:sz="0" w:space="0" w:color="auto"/>
      </w:divBdr>
    </w:div>
    <w:div w:id="1492797507">
      <w:bodyDiv w:val="1"/>
      <w:marLeft w:val="0"/>
      <w:marRight w:val="0"/>
      <w:marTop w:val="0"/>
      <w:marBottom w:val="0"/>
      <w:divBdr>
        <w:top w:val="none" w:sz="0" w:space="0" w:color="auto"/>
        <w:left w:val="none" w:sz="0" w:space="0" w:color="auto"/>
        <w:bottom w:val="none" w:sz="0" w:space="0" w:color="auto"/>
        <w:right w:val="none" w:sz="0" w:space="0" w:color="auto"/>
      </w:divBdr>
    </w:div>
    <w:div w:id="1497182333">
      <w:bodyDiv w:val="1"/>
      <w:marLeft w:val="0"/>
      <w:marRight w:val="0"/>
      <w:marTop w:val="0"/>
      <w:marBottom w:val="0"/>
      <w:divBdr>
        <w:top w:val="none" w:sz="0" w:space="0" w:color="auto"/>
        <w:left w:val="none" w:sz="0" w:space="0" w:color="auto"/>
        <w:bottom w:val="none" w:sz="0" w:space="0" w:color="auto"/>
        <w:right w:val="none" w:sz="0" w:space="0" w:color="auto"/>
      </w:divBdr>
    </w:div>
    <w:div w:id="1499423316">
      <w:bodyDiv w:val="1"/>
      <w:marLeft w:val="0"/>
      <w:marRight w:val="0"/>
      <w:marTop w:val="0"/>
      <w:marBottom w:val="0"/>
      <w:divBdr>
        <w:top w:val="none" w:sz="0" w:space="0" w:color="auto"/>
        <w:left w:val="none" w:sz="0" w:space="0" w:color="auto"/>
        <w:bottom w:val="none" w:sz="0" w:space="0" w:color="auto"/>
        <w:right w:val="none" w:sz="0" w:space="0" w:color="auto"/>
      </w:divBdr>
    </w:div>
    <w:div w:id="1500344387">
      <w:bodyDiv w:val="1"/>
      <w:marLeft w:val="0"/>
      <w:marRight w:val="0"/>
      <w:marTop w:val="0"/>
      <w:marBottom w:val="0"/>
      <w:divBdr>
        <w:top w:val="none" w:sz="0" w:space="0" w:color="auto"/>
        <w:left w:val="none" w:sz="0" w:space="0" w:color="auto"/>
        <w:bottom w:val="none" w:sz="0" w:space="0" w:color="auto"/>
        <w:right w:val="none" w:sz="0" w:space="0" w:color="auto"/>
      </w:divBdr>
    </w:div>
    <w:div w:id="1501039162">
      <w:bodyDiv w:val="1"/>
      <w:marLeft w:val="0"/>
      <w:marRight w:val="0"/>
      <w:marTop w:val="0"/>
      <w:marBottom w:val="0"/>
      <w:divBdr>
        <w:top w:val="none" w:sz="0" w:space="0" w:color="auto"/>
        <w:left w:val="none" w:sz="0" w:space="0" w:color="auto"/>
        <w:bottom w:val="none" w:sz="0" w:space="0" w:color="auto"/>
        <w:right w:val="none" w:sz="0" w:space="0" w:color="auto"/>
      </w:divBdr>
    </w:div>
    <w:div w:id="1503281548">
      <w:bodyDiv w:val="1"/>
      <w:marLeft w:val="0"/>
      <w:marRight w:val="0"/>
      <w:marTop w:val="0"/>
      <w:marBottom w:val="0"/>
      <w:divBdr>
        <w:top w:val="none" w:sz="0" w:space="0" w:color="auto"/>
        <w:left w:val="none" w:sz="0" w:space="0" w:color="auto"/>
        <w:bottom w:val="none" w:sz="0" w:space="0" w:color="auto"/>
        <w:right w:val="none" w:sz="0" w:space="0" w:color="auto"/>
      </w:divBdr>
    </w:div>
    <w:div w:id="1508131611">
      <w:bodyDiv w:val="1"/>
      <w:marLeft w:val="0"/>
      <w:marRight w:val="0"/>
      <w:marTop w:val="0"/>
      <w:marBottom w:val="0"/>
      <w:divBdr>
        <w:top w:val="none" w:sz="0" w:space="0" w:color="auto"/>
        <w:left w:val="none" w:sz="0" w:space="0" w:color="auto"/>
        <w:bottom w:val="none" w:sz="0" w:space="0" w:color="auto"/>
        <w:right w:val="none" w:sz="0" w:space="0" w:color="auto"/>
      </w:divBdr>
    </w:div>
    <w:div w:id="1508442153">
      <w:bodyDiv w:val="1"/>
      <w:marLeft w:val="0"/>
      <w:marRight w:val="0"/>
      <w:marTop w:val="0"/>
      <w:marBottom w:val="0"/>
      <w:divBdr>
        <w:top w:val="none" w:sz="0" w:space="0" w:color="auto"/>
        <w:left w:val="none" w:sz="0" w:space="0" w:color="auto"/>
        <w:bottom w:val="none" w:sz="0" w:space="0" w:color="auto"/>
        <w:right w:val="none" w:sz="0" w:space="0" w:color="auto"/>
      </w:divBdr>
    </w:div>
    <w:div w:id="1511288738">
      <w:bodyDiv w:val="1"/>
      <w:marLeft w:val="0"/>
      <w:marRight w:val="0"/>
      <w:marTop w:val="0"/>
      <w:marBottom w:val="0"/>
      <w:divBdr>
        <w:top w:val="none" w:sz="0" w:space="0" w:color="auto"/>
        <w:left w:val="none" w:sz="0" w:space="0" w:color="auto"/>
        <w:bottom w:val="none" w:sz="0" w:space="0" w:color="auto"/>
        <w:right w:val="none" w:sz="0" w:space="0" w:color="auto"/>
      </w:divBdr>
    </w:div>
    <w:div w:id="1526287141">
      <w:bodyDiv w:val="1"/>
      <w:marLeft w:val="0"/>
      <w:marRight w:val="0"/>
      <w:marTop w:val="0"/>
      <w:marBottom w:val="0"/>
      <w:divBdr>
        <w:top w:val="none" w:sz="0" w:space="0" w:color="auto"/>
        <w:left w:val="none" w:sz="0" w:space="0" w:color="auto"/>
        <w:bottom w:val="none" w:sz="0" w:space="0" w:color="auto"/>
        <w:right w:val="none" w:sz="0" w:space="0" w:color="auto"/>
      </w:divBdr>
    </w:div>
    <w:div w:id="1527475437">
      <w:bodyDiv w:val="1"/>
      <w:marLeft w:val="0"/>
      <w:marRight w:val="0"/>
      <w:marTop w:val="0"/>
      <w:marBottom w:val="0"/>
      <w:divBdr>
        <w:top w:val="none" w:sz="0" w:space="0" w:color="auto"/>
        <w:left w:val="none" w:sz="0" w:space="0" w:color="auto"/>
        <w:bottom w:val="none" w:sz="0" w:space="0" w:color="auto"/>
        <w:right w:val="none" w:sz="0" w:space="0" w:color="auto"/>
      </w:divBdr>
    </w:div>
    <w:div w:id="1529756398">
      <w:bodyDiv w:val="1"/>
      <w:marLeft w:val="0"/>
      <w:marRight w:val="0"/>
      <w:marTop w:val="0"/>
      <w:marBottom w:val="0"/>
      <w:divBdr>
        <w:top w:val="none" w:sz="0" w:space="0" w:color="auto"/>
        <w:left w:val="none" w:sz="0" w:space="0" w:color="auto"/>
        <w:bottom w:val="none" w:sz="0" w:space="0" w:color="auto"/>
        <w:right w:val="none" w:sz="0" w:space="0" w:color="auto"/>
      </w:divBdr>
      <w:divsChild>
        <w:div w:id="1645037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1044469">
      <w:bodyDiv w:val="1"/>
      <w:marLeft w:val="0"/>
      <w:marRight w:val="0"/>
      <w:marTop w:val="0"/>
      <w:marBottom w:val="0"/>
      <w:divBdr>
        <w:top w:val="none" w:sz="0" w:space="0" w:color="auto"/>
        <w:left w:val="none" w:sz="0" w:space="0" w:color="auto"/>
        <w:bottom w:val="none" w:sz="0" w:space="0" w:color="auto"/>
        <w:right w:val="none" w:sz="0" w:space="0" w:color="auto"/>
      </w:divBdr>
    </w:div>
    <w:div w:id="1542935491">
      <w:bodyDiv w:val="1"/>
      <w:marLeft w:val="0"/>
      <w:marRight w:val="0"/>
      <w:marTop w:val="0"/>
      <w:marBottom w:val="0"/>
      <w:divBdr>
        <w:top w:val="none" w:sz="0" w:space="0" w:color="auto"/>
        <w:left w:val="none" w:sz="0" w:space="0" w:color="auto"/>
        <w:bottom w:val="none" w:sz="0" w:space="0" w:color="auto"/>
        <w:right w:val="none" w:sz="0" w:space="0" w:color="auto"/>
      </w:divBdr>
    </w:div>
    <w:div w:id="1548449195">
      <w:bodyDiv w:val="1"/>
      <w:marLeft w:val="0"/>
      <w:marRight w:val="0"/>
      <w:marTop w:val="0"/>
      <w:marBottom w:val="0"/>
      <w:divBdr>
        <w:top w:val="none" w:sz="0" w:space="0" w:color="auto"/>
        <w:left w:val="none" w:sz="0" w:space="0" w:color="auto"/>
        <w:bottom w:val="none" w:sz="0" w:space="0" w:color="auto"/>
        <w:right w:val="none" w:sz="0" w:space="0" w:color="auto"/>
      </w:divBdr>
    </w:div>
    <w:div w:id="1551920978">
      <w:bodyDiv w:val="1"/>
      <w:marLeft w:val="0"/>
      <w:marRight w:val="0"/>
      <w:marTop w:val="0"/>
      <w:marBottom w:val="0"/>
      <w:divBdr>
        <w:top w:val="none" w:sz="0" w:space="0" w:color="auto"/>
        <w:left w:val="none" w:sz="0" w:space="0" w:color="auto"/>
        <w:bottom w:val="none" w:sz="0" w:space="0" w:color="auto"/>
        <w:right w:val="none" w:sz="0" w:space="0" w:color="auto"/>
      </w:divBdr>
      <w:divsChild>
        <w:div w:id="668756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3888031">
      <w:bodyDiv w:val="1"/>
      <w:marLeft w:val="0"/>
      <w:marRight w:val="0"/>
      <w:marTop w:val="0"/>
      <w:marBottom w:val="0"/>
      <w:divBdr>
        <w:top w:val="none" w:sz="0" w:space="0" w:color="auto"/>
        <w:left w:val="none" w:sz="0" w:space="0" w:color="auto"/>
        <w:bottom w:val="none" w:sz="0" w:space="0" w:color="auto"/>
        <w:right w:val="none" w:sz="0" w:space="0" w:color="auto"/>
      </w:divBdr>
    </w:div>
    <w:div w:id="1555585917">
      <w:bodyDiv w:val="1"/>
      <w:marLeft w:val="0"/>
      <w:marRight w:val="0"/>
      <w:marTop w:val="0"/>
      <w:marBottom w:val="0"/>
      <w:divBdr>
        <w:top w:val="none" w:sz="0" w:space="0" w:color="auto"/>
        <w:left w:val="none" w:sz="0" w:space="0" w:color="auto"/>
        <w:bottom w:val="none" w:sz="0" w:space="0" w:color="auto"/>
        <w:right w:val="none" w:sz="0" w:space="0" w:color="auto"/>
      </w:divBdr>
      <w:divsChild>
        <w:div w:id="1091853494">
          <w:marLeft w:val="0"/>
          <w:marRight w:val="0"/>
          <w:marTop w:val="0"/>
          <w:marBottom w:val="0"/>
          <w:divBdr>
            <w:top w:val="none" w:sz="0" w:space="0" w:color="auto"/>
            <w:left w:val="none" w:sz="0" w:space="0" w:color="auto"/>
            <w:bottom w:val="none" w:sz="0" w:space="0" w:color="auto"/>
            <w:right w:val="none" w:sz="0" w:space="0" w:color="auto"/>
          </w:divBdr>
          <w:divsChild>
            <w:div w:id="1377773299">
              <w:marLeft w:val="0"/>
              <w:marRight w:val="0"/>
              <w:marTop w:val="0"/>
              <w:marBottom w:val="0"/>
              <w:divBdr>
                <w:top w:val="none" w:sz="0" w:space="0" w:color="auto"/>
                <w:left w:val="none" w:sz="0" w:space="0" w:color="auto"/>
                <w:bottom w:val="none" w:sz="0" w:space="0" w:color="auto"/>
                <w:right w:val="none" w:sz="0" w:space="0" w:color="auto"/>
              </w:divBdr>
              <w:divsChild>
                <w:div w:id="8066155">
                  <w:marLeft w:val="0"/>
                  <w:marRight w:val="0"/>
                  <w:marTop w:val="0"/>
                  <w:marBottom w:val="0"/>
                  <w:divBdr>
                    <w:top w:val="none" w:sz="0" w:space="0" w:color="auto"/>
                    <w:left w:val="none" w:sz="0" w:space="0" w:color="auto"/>
                    <w:bottom w:val="none" w:sz="0" w:space="0" w:color="auto"/>
                    <w:right w:val="none" w:sz="0" w:space="0" w:color="auto"/>
                  </w:divBdr>
                  <w:divsChild>
                    <w:div w:id="1428578394">
                      <w:marLeft w:val="0"/>
                      <w:marRight w:val="0"/>
                      <w:marTop w:val="0"/>
                      <w:marBottom w:val="0"/>
                      <w:divBdr>
                        <w:top w:val="none" w:sz="0" w:space="0" w:color="auto"/>
                        <w:left w:val="none" w:sz="0" w:space="0" w:color="auto"/>
                        <w:bottom w:val="none" w:sz="0" w:space="0" w:color="auto"/>
                        <w:right w:val="none" w:sz="0" w:space="0" w:color="auto"/>
                      </w:divBdr>
                      <w:divsChild>
                        <w:div w:id="414590954">
                          <w:marLeft w:val="0"/>
                          <w:marRight w:val="0"/>
                          <w:marTop w:val="0"/>
                          <w:marBottom w:val="0"/>
                          <w:divBdr>
                            <w:top w:val="none" w:sz="0" w:space="0" w:color="auto"/>
                            <w:left w:val="none" w:sz="0" w:space="0" w:color="auto"/>
                            <w:bottom w:val="none" w:sz="0" w:space="0" w:color="auto"/>
                            <w:right w:val="none" w:sz="0" w:space="0" w:color="auto"/>
                          </w:divBdr>
                          <w:divsChild>
                            <w:div w:id="365638303">
                              <w:marLeft w:val="0"/>
                              <w:marRight w:val="0"/>
                              <w:marTop w:val="0"/>
                              <w:marBottom w:val="0"/>
                              <w:divBdr>
                                <w:top w:val="none" w:sz="0" w:space="0" w:color="auto"/>
                                <w:left w:val="none" w:sz="0" w:space="0" w:color="auto"/>
                                <w:bottom w:val="none" w:sz="0" w:space="0" w:color="auto"/>
                                <w:right w:val="none" w:sz="0" w:space="0" w:color="auto"/>
                              </w:divBdr>
                              <w:divsChild>
                                <w:div w:id="510070662">
                                  <w:marLeft w:val="0"/>
                                  <w:marRight w:val="0"/>
                                  <w:marTop w:val="0"/>
                                  <w:marBottom w:val="0"/>
                                  <w:divBdr>
                                    <w:top w:val="none" w:sz="0" w:space="0" w:color="auto"/>
                                    <w:left w:val="none" w:sz="0" w:space="0" w:color="auto"/>
                                    <w:bottom w:val="none" w:sz="0" w:space="0" w:color="auto"/>
                                    <w:right w:val="none" w:sz="0" w:space="0" w:color="auto"/>
                                  </w:divBdr>
                                  <w:divsChild>
                                    <w:div w:id="129501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7013614">
      <w:bodyDiv w:val="1"/>
      <w:marLeft w:val="0"/>
      <w:marRight w:val="0"/>
      <w:marTop w:val="0"/>
      <w:marBottom w:val="0"/>
      <w:divBdr>
        <w:top w:val="none" w:sz="0" w:space="0" w:color="auto"/>
        <w:left w:val="none" w:sz="0" w:space="0" w:color="auto"/>
        <w:bottom w:val="none" w:sz="0" w:space="0" w:color="auto"/>
        <w:right w:val="none" w:sz="0" w:space="0" w:color="auto"/>
      </w:divBdr>
    </w:div>
    <w:div w:id="1557354744">
      <w:bodyDiv w:val="1"/>
      <w:marLeft w:val="0"/>
      <w:marRight w:val="0"/>
      <w:marTop w:val="0"/>
      <w:marBottom w:val="0"/>
      <w:divBdr>
        <w:top w:val="none" w:sz="0" w:space="0" w:color="auto"/>
        <w:left w:val="none" w:sz="0" w:space="0" w:color="auto"/>
        <w:bottom w:val="none" w:sz="0" w:space="0" w:color="auto"/>
        <w:right w:val="none" w:sz="0" w:space="0" w:color="auto"/>
      </w:divBdr>
    </w:div>
    <w:div w:id="1560242740">
      <w:bodyDiv w:val="1"/>
      <w:marLeft w:val="0"/>
      <w:marRight w:val="0"/>
      <w:marTop w:val="0"/>
      <w:marBottom w:val="0"/>
      <w:divBdr>
        <w:top w:val="none" w:sz="0" w:space="0" w:color="auto"/>
        <w:left w:val="none" w:sz="0" w:space="0" w:color="auto"/>
        <w:bottom w:val="none" w:sz="0" w:space="0" w:color="auto"/>
        <w:right w:val="none" w:sz="0" w:space="0" w:color="auto"/>
      </w:divBdr>
    </w:div>
    <w:div w:id="1564606522">
      <w:bodyDiv w:val="1"/>
      <w:marLeft w:val="0"/>
      <w:marRight w:val="0"/>
      <w:marTop w:val="0"/>
      <w:marBottom w:val="0"/>
      <w:divBdr>
        <w:top w:val="none" w:sz="0" w:space="0" w:color="auto"/>
        <w:left w:val="none" w:sz="0" w:space="0" w:color="auto"/>
        <w:bottom w:val="none" w:sz="0" w:space="0" w:color="auto"/>
        <w:right w:val="none" w:sz="0" w:space="0" w:color="auto"/>
      </w:divBdr>
    </w:div>
    <w:div w:id="1584992861">
      <w:bodyDiv w:val="1"/>
      <w:marLeft w:val="0"/>
      <w:marRight w:val="0"/>
      <w:marTop w:val="0"/>
      <w:marBottom w:val="0"/>
      <w:divBdr>
        <w:top w:val="none" w:sz="0" w:space="0" w:color="auto"/>
        <w:left w:val="none" w:sz="0" w:space="0" w:color="auto"/>
        <w:bottom w:val="none" w:sz="0" w:space="0" w:color="auto"/>
        <w:right w:val="none" w:sz="0" w:space="0" w:color="auto"/>
      </w:divBdr>
    </w:div>
    <w:div w:id="1585139043">
      <w:bodyDiv w:val="1"/>
      <w:marLeft w:val="0"/>
      <w:marRight w:val="0"/>
      <w:marTop w:val="0"/>
      <w:marBottom w:val="0"/>
      <w:divBdr>
        <w:top w:val="none" w:sz="0" w:space="0" w:color="auto"/>
        <w:left w:val="none" w:sz="0" w:space="0" w:color="auto"/>
        <w:bottom w:val="none" w:sz="0" w:space="0" w:color="auto"/>
        <w:right w:val="none" w:sz="0" w:space="0" w:color="auto"/>
      </w:divBdr>
      <w:divsChild>
        <w:div w:id="2045324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6692271">
      <w:bodyDiv w:val="1"/>
      <w:marLeft w:val="0"/>
      <w:marRight w:val="0"/>
      <w:marTop w:val="0"/>
      <w:marBottom w:val="0"/>
      <w:divBdr>
        <w:top w:val="none" w:sz="0" w:space="0" w:color="auto"/>
        <w:left w:val="none" w:sz="0" w:space="0" w:color="auto"/>
        <w:bottom w:val="none" w:sz="0" w:space="0" w:color="auto"/>
        <w:right w:val="none" w:sz="0" w:space="0" w:color="auto"/>
      </w:divBdr>
    </w:div>
    <w:div w:id="1587181879">
      <w:bodyDiv w:val="1"/>
      <w:marLeft w:val="0"/>
      <w:marRight w:val="0"/>
      <w:marTop w:val="0"/>
      <w:marBottom w:val="0"/>
      <w:divBdr>
        <w:top w:val="none" w:sz="0" w:space="0" w:color="auto"/>
        <w:left w:val="none" w:sz="0" w:space="0" w:color="auto"/>
        <w:bottom w:val="none" w:sz="0" w:space="0" w:color="auto"/>
        <w:right w:val="none" w:sz="0" w:space="0" w:color="auto"/>
      </w:divBdr>
    </w:div>
    <w:div w:id="1591548208">
      <w:bodyDiv w:val="1"/>
      <w:marLeft w:val="0"/>
      <w:marRight w:val="0"/>
      <w:marTop w:val="0"/>
      <w:marBottom w:val="0"/>
      <w:divBdr>
        <w:top w:val="none" w:sz="0" w:space="0" w:color="auto"/>
        <w:left w:val="none" w:sz="0" w:space="0" w:color="auto"/>
        <w:bottom w:val="none" w:sz="0" w:space="0" w:color="auto"/>
        <w:right w:val="none" w:sz="0" w:space="0" w:color="auto"/>
      </w:divBdr>
    </w:div>
    <w:div w:id="1594708296">
      <w:bodyDiv w:val="1"/>
      <w:marLeft w:val="0"/>
      <w:marRight w:val="0"/>
      <w:marTop w:val="0"/>
      <w:marBottom w:val="0"/>
      <w:divBdr>
        <w:top w:val="none" w:sz="0" w:space="0" w:color="auto"/>
        <w:left w:val="none" w:sz="0" w:space="0" w:color="auto"/>
        <w:bottom w:val="none" w:sz="0" w:space="0" w:color="auto"/>
        <w:right w:val="none" w:sz="0" w:space="0" w:color="auto"/>
      </w:divBdr>
    </w:div>
    <w:div w:id="1598755286">
      <w:bodyDiv w:val="1"/>
      <w:marLeft w:val="0"/>
      <w:marRight w:val="0"/>
      <w:marTop w:val="0"/>
      <w:marBottom w:val="0"/>
      <w:divBdr>
        <w:top w:val="none" w:sz="0" w:space="0" w:color="auto"/>
        <w:left w:val="none" w:sz="0" w:space="0" w:color="auto"/>
        <w:bottom w:val="none" w:sz="0" w:space="0" w:color="auto"/>
        <w:right w:val="none" w:sz="0" w:space="0" w:color="auto"/>
      </w:divBdr>
    </w:div>
    <w:div w:id="1608192868">
      <w:bodyDiv w:val="1"/>
      <w:marLeft w:val="0"/>
      <w:marRight w:val="0"/>
      <w:marTop w:val="0"/>
      <w:marBottom w:val="0"/>
      <w:divBdr>
        <w:top w:val="none" w:sz="0" w:space="0" w:color="auto"/>
        <w:left w:val="none" w:sz="0" w:space="0" w:color="auto"/>
        <w:bottom w:val="none" w:sz="0" w:space="0" w:color="auto"/>
        <w:right w:val="none" w:sz="0" w:space="0" w:color="auto"/>
      </w:divBdr>
    </w:div>
    <w:div w:id="1609005908">
      <w:bodyDiv w:val="1"/>
      <w:marLeft w:val="0"/>
      <w:marRight w:val="0"/>
      <w:marTop w:val="0"/>
      <w:marBottom w:val="0"/>
      <w:divBdr>
        <w:top w:val="none" w:sz="0" w:space="0" w:color="auto"/>
        <w:left w:val="none" w:sz="0" w:space="0" w:color="auto"/>
        <w:bottom w:val="none" w:sz="0" w:space="0" w:color="auto"/>
        <w:right w:val="none" w:sz="0" w:space="0" w:color="auto"/>
      </w:divBdr>
    </w:div>
    <w:div w:id="1610045037">
      <w:bodyDiv w:val="1"/>
      <w:marLeft w:val="0"/>
      <w:marRight w:val="0"/>
      <w:marTop w:val="0"/>
      <w:marBottom w:val="0"/>
      <w:divBdr>
        <w:top w:val="none" w:sz="0" w:space="0" w:color="auto"/>
        <w:left w:val="none" w:sz="0" w:space="0" w:color="auto"/>
        <w:bottom w:val="none" w:sz="0" w:space="0" w:color="auto"/>
        <w:right w:val="none" w:sz="0" w:space="0" w:color="auto"/>
      </w:divBdr>
    </w:div>
    <w:div w:id="1612317491">
      <w:bodyDiv w:val="1"/>
      <w:marLeft w:val="0"/>
      <w:marRight w:val="0"/>
      <w:marTop w:val="0"/>
      <w:marBottom w:val="0"/>
      <w:divBdr>
        <w:top w:val="none" w:sz="0" w:space="0" w:color="auto"/>
        <w:left w:val="none" w:sz="0" w:space="0" w:color="auto"/>
        <w:bottom w:val="none" w:sz="0" w:space="0" w:color="auto"/>
        <w:right w:val="none" w:sz="0" w:space="0" w:color="auto"/>
      </w:divBdr>
    </w:div>
    <w:div w:id="1612934324">
      <w:bodyDiv w:val="1"/>
      <w:marLeft w:val="0"/>
      <w:marRight w:val="0"/>
      <w:marTop w:val="0"/>
      <w:marBottom w:val="0"/>
      <w:divBdr>
        <w:top w:val="none" w:sz="0" w:space="0" w:color="auto"/>
        <w:left w:val="none" w:sz="0" w:space="0" w:color="auto"/>
        <w:bottom w:val="none" w:sz="0" w:space="0" w:color="auto"/>
        <w:right w:val="none" w:sz="0" w:space="0" w:color="auto"/>
      </w:divBdr>
    </w:div>
    <w:div w:id="1616712768">
      <w:bodyDiv w:val="1"/>
      <w:marLeft w:val="0"/>
      <w:marRight w:val="0"/>
      <w:marTop w:val="0"/>
      <w:marBottom w:val="0"/>
      <w:divBdr>
        <w:top w:val="none" w:sz="0" w:space="0" w:color="auto"/>
        <w:left w:val="none" w:sz="0" w:space="0" w:color="auto"/>
        <w:bottom w:val="none" w:sz="0" w:space="0" w:color="auto"/>
        <w:right w:val="none" w:sz="0" w:space="0" w:color="auto"/>
      </w:divBdr>
    </w:div>
    <w:div w:id="1617251753">
      <w:bodyDiv w:val="1"/>
      <w:marLeft w:val="0"/>
      <w:marRight w:val="0"/>
      <w:marTop w:val="0"/>
      <w:marBottom w:val="0"/>
      <w:divBdr>
        <w:top w:val="none" w:sz="0" w:space="0" w:color="auto"/>
        <w:left w:val="none" w:sz="0" w:space="0" w:color="auto"/>
        <w:bottom w:val="none" w:sz="0" w:space="0" w:color="auto"/>
        <w:right w:val="none" w:sz="0" w:space="0" w:color="auto"/>
      </w:divBdr>
    </w:div>
    <w:div w:id="1621952872">
      <w:bodyDiv w:val="1"/>
      <w:marLeft w:val="0"/>
      <w:marRight w:val="0"/>
      <w:marTop w:val="0"/>
      <w:marBottom w:val="0"/>
      <w:divBdr>
        <w:top w:val="none" w:sz="0" w:space="0" w:color="auto"/>
        <w:left w:val="none" w:sz="0" w:space="0" w:color="auto"/>
        <w:bottom w:val="none" w:sz="0" w:space="0" w:color="auto"/>
        <w:right w:val="none" w:sz="0" w:space="0" w:color="auto"/>
      </w:divBdr>
    </w:div>
    <w:div w:id="1622177910">
      <w:bodyDiv w:val="1"/>
      <w:marLeft w:val="0"/>
      <w:marRight w:val="0"/>
      <w:marTop w:val="0"/>
      <w:marBottom w:val="0"/>
      <w:divBdr>
        <w:top w:val="none" w:sz="0" w:space="0" w:color="auto"/>
        <w:left w:val="none" w:sz="0" w:space="0" w:color="auto"/>
        <w:bottom w:val="none" w:sz="0" w:space="0" w:color="auto"/>
        <w:right w:val="none" w:sz="0" w:space="0" w:color="auto"/>
      </w:divBdr>
    </w:div>
    <w:div w:id="1622494712">
      <w:bodyDiv w:val="1"/>
      <w:marLeft w:val="0"/>
      <w:marRight w:val="0"/>
      <w:marTop w:val="0"/>
      <w:marBottom w:val="0"/>
      <w:divBdr>
        <w:top w:val="none" w:sz="0" w:space="0" w:color="auto"/>
        <w:left w:val="none" w:sz="0" w:space="0" w:color="auto"/>
        <w:bottom w:val="none" w:sz="0" w:space="0" w:color="auto"/>
        <w:right w:val="none" w:sz="0" w:space="0" w:color="auto"/>
      </w:divBdr>
    </w:div>
    <w:div w:id="1623531047">
      <w:bodyDiv w:val="1"/>
      <w:marLeft w:val="0"/>
      <w:marRight w:val="0"/>
      <w:marTop w:val="0"/>
      <w:marBottom w:val="0"/>
      <w:divBdr>
        <w:top w:val="none" w:sz="0" w:space="0" w:color="auto"/>
        <w:left w:val="none" w:sz="0" w:space="0" w:color="auto"/>
        <w:bottom w:val="none" w:sz="0" w:space="0" w:color="auto"/>
        <w:right w:val="none" w:sz="0" w:space="0" w:color="auto"/>
      </w:divBdr>
    </w:div>
    <w:div w:id="1627345259">
      <w:bodyDiv w:val="1"/>
      <w:marLeft w:val="0"/>
      <w:marRight w:val="0"/>
      <w:marTop w:val="0"/>
      <w:marBottom w:val="0"/>
      <w:divBdr>
        <w:top w:val="none" w:sz="0" w:space="0" w:color="auto"/>
        <w:left w:val="none" w:sz="0" w:space="0" w:color="auto"/>
        <w:bottom w:val="none" w:sz="0" w:space="0" w:color="auto"/>
        <w:right w:val="none" w:sz="0" w:space="0" w:color="auto"/>
      </w:divBdr>
    </w:div>
    <w:div w:id="1627811074">
      <w:bodyDiv w:val="1"/>
      <w:marLeft w:val="0"/>
      <w:marRight w:val="0"/>
      <w:marTop w:val="0"/>
      <w:marBottom w:val="0"/>
      <w:divBdr>
        <w:top w:val="none" w:sz="0" w:space="0" w:color="auto"/>
        <w:left w:val="none" w:sz="0" w:space="0" w:color="auto"/>
        <w:bottom w:val="none" w:sz="0" w:space="0" w:color="auto"/>
        <w:right w:val="none" w:sz="0" w:space="0" w:color="auto"/>
      </w:divBdr>
    </w:div>
    <w:div w:id="1637181682">
      <w:bodyDiv w:val="1"/>
      <w:marLeft w:val="0"/>
      <w:marRight w:val="0"/>
      <w:marTop w:val="0"/>
      <w:marBottom w:val="0"/>
      <w:divBdr>
        <w:top w:val="none" w:sz="0" w:space="0" w:color="auto"/>
        <w:left w:val="none" w:sz="0" w:space="0" w:color="auto"/>
        <w:bottom w:val="none" w:sz="0" w:space="0" w:color="auto"/>
        <w:right w:val="none" w:sz="0" w:space="0" w:color="auto"/>
      </w:divBdr>
    </w:div>
    <w:div w:id="1641762321">
      <w:bodyDiv w:val="1"/>
      <w:marLeft w:val="0"/>
      <w:marRight w:val="0"/>
      <w:marTop w:val="0"/>
      <w:marBottom w:val="0"/>
      <w:divBdr>
        <w:top w:val="none" w:sz="0" w:space="0" w:color="auto"/>
        <w:left w:val="none" w:sz="0" w:space="0" w:color="auto"/>
        <w:bottom w:val="none" w:sz="0" w:space="0" w:color="auto"/>
        <w:right w:val="none" w:sz="0" w:space="0" w:color="auto"/>
      </w:divBdr>
    </w:div>
    <w:div w:id="1642033939">
      <w:bodyDiv w:val="1"/>
      <w:marLeft w:val="0"/>
      <w:marRight w:val="0"/>
      <w:marTop w:val="0"/>
      <w:marBottom w:val="0"/>
      <w:divBdr>
        <w:top w:val="none" w:sz="0" w:space="0" w:color="auto"/>
        <w:left w:val="none" w:sz="0" w:space="0" w:color="auto"/>
        <w:bottom w:val="none" w:sz="0" w:space="0" w:color="auto"/>
        <w:right w:val="none" w:sz="0" w:space="0" w:color="auto"/>
      </w:divBdr>
      <w:divsChild>
        <w:div w:id="452403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6658999">
      <w:bodyDiv w:val="1"/>
      <w:marLeft w:val="0"/>
      <w:marRight w:val="0"/>
      <w:marTop w:val="0"/>
      <w:marBottom w:val="0"/>
      <w:divBdr>
        <w:top w:val="none" w:sz="0" w:space="0" w:color="auto"/>
        <w:left w:val="none" w:sz="0" w:space="0" w:color="auto"/>
        <w:bottom w:val="none" w:sz="0" w:space="0" w:color="auto"/>
        <w:right w:val="none" w:sz="0" w:space="0" w:color="auto"/>
      </w:divBdr>
    </w:div>
    <w:div w:id="1649632267">
      <w:bodyDiv w:val="1"/>
      <w:marLeft w:val="0"/>
      <w:marRight w:val="0"/>
      <w:marTop w:val="0"/>
      <w:marBottom w:val="0"/>
      <w:divBdr>
        <w:top w:val="none" w:sz="0" w:space="0" w:color="auto"/>
        <w:left w:val="none" w:sz="0" w:space="0" w:color="auto"/>
        <w:bottom w:val="none" w:sz="0" w:space="0" w:color="auto"/>
        <w:right w:val="none" w:sz="0" w:space="0" w:color="auto"/>
      </w:divBdr>
    </w:div>
    <w:div w:id="1653750459">
      <w:bodyDiv w:val="1"/>
      <w:marLeft w:val="0"/>
      <w:marRight w:val="0"/>
      <w:marTop w:val="0"/>
      <w:marBottom w:val="0"/>
      <w:divBdr>
        <w:top w:val="none" w:sz="0" w:space="0" w:color="auto"/>
        <w:left w:val="none" w:sz="0" w:space="0" w:color="auto"/>
        <w:bottom w:val="none" w:sz="0" w:space="0" w:color="auto"/>
        <w:right w:val="none" w:sz="0" w:space="0" w:color="auto"/>
      </w:divBdr>
    </w:div>
    <w:div w:id="1665236809">
      <w:bodyDiv w:val="1"/>
      <w:marLeft w:val="0"/>
      <w:marRight w:val="0"/>
      <w:marTop w:val="0"/>
      <w:marBottom w:val="0"/>
      <w:divBdr>
        <w:top w:val="none" w:sz="0" w:space="0" w:color="auto"/>
        <w:left w:val="none" w:sz="0" w:space="0" w:color="auto"/>
        <w:bottom w:val="none" w:sz="0" w:space="0" w:color="auto"/>
        <w:right w:val="none" w:sz="0" w:space="0" w:color="auto"/>
      </w:divBdr>
    </w:div>
    <w:div w:id="1665816780">
      <w:bodyDiv w:val="1"/>
      <w:marLeft w:val="0"/>
      <w:marRight w:val="0"/>
      <w:marTop w:val="0"/>
      <w:marBottom w:val="0"/>
      <w:divBdr>
        <w:top w:val="none" w:sz="0" w:space="0" w:color="auto"/>
        <w:left w:val="none" w:sz="0" w:space="0" w:color="auto"/>
        <w:bottom w:val="none" w:sz="0" w:space="0" w:color="auto"/>
        <w:right w:val="none" w:sz="0" w:space="0" w:color="auto"/>
      </w:divBdr>
    </w:div>
    <w:div w:id="1667515926">
      <w:bodyDiv w:val="1"/>
      <w:marLeft w:val="0"/>
      <w:marRight w:val="0"/>
      <w:marTop w:val="0"/>
      <w:marBottom w:val="0"/>
      <w:divBdr>
        <w:top w:val="none" w:sz="0" w:space="0" w:color="auto"/>
        <w:left w:val="none" w:sz="0" w:space="0" w:color="auto"/>
        <w:bottom w:val="none" w:sz="0" w:space="0" w:color="auto"/>
        <w:right w:val="none" w:sz="0" w:space="0" w:color="auto"/>
      </w:divBdr>
    </w:div>
    <w:div w:id="1670526358">
      <w:bodyDiv w:val="1"/>
      <w:marLeft w:val="0"/>
      <w:marRight w:val="0"/>
      <w:marTop w:val="0"/>
      <w:marBottom w:val="0"/>
      <w:divBdr>
        <w:top w:val="none" w:sz="0" w:space="0" w:color="auto"/>
        <w:left w:val="none" w:sz="0" w:space="0" w:color="auto"/>
        <w:bottom w:val="none" w:sz="0" w:space="0" w:color="auto"/>
        <w:right w:val="none" w:sz="0" w:space="0" w:color="auto"/>
      </w:divBdr>
    </w:div>
    <w:div w:id="1674797015">
      <w:bodyDiv w:val="1"/>
      <w:marLeft w:val="0"/>
      <w:marRight w:val="0"/>
      <w:marTop w:val="0"/>
      <w:marBottom w:val="0"/>
      <w:divBdr>
        <w:top w:val="none" w:sz="0" w:space="0" w:color="auto"/>
        <w:left w:val="none" w:sz="0" w:space="0" w:color="auto"/>
        <w:bottom w:val="none" w:sz="0" w:space="0" w:color="auto"/>
        <w:right w:val="none" w:sz="0" w:space="0" w:color="auto"/>
      </w:divBdr>
    </w:div>
    <w:div w:id="1676031601">
      <w:bodyDiv w:val="1"/>
      <w:marLeft w:val="0"/>
      <w:marRight w:val="0"/>
      <w:marTop w:val="0"/>
      <w:marBottom w:val="0"/>
      <w:divBdr>
        <w:top w:val="none" w:sz="0" w:space="0" w:color="auto"/>
        <w:left w:val="none" w:sz="0" w:space="0" w:color="auto"/>
        <w:bottom w:val="none" w:sz="0" w:space="0" w:color="auto"/>
        <w:right w:val="none" w:sz="0" w:space="0" w:color="auto"/>
      </w:divBdr>
    </w:div>
    <w:div w:id="1676414461">
      <w:bodyDiv w:val="1"/>
      <w:marLeft w:val="0"/>
      <w:marRight w:val="0"/>
      <w:marTop w:val="0"/>
      <w:marBottom w:val="0"/>
      <w:divBdr>
        <w:top w:val="none" w:sz="0" w:space="0" w:color="auto"/>
        <w:left w:val="none" w:sz="0" w:space="0" w:color="auto"/>
        <w:bottom w:val="none" w:sz="0" w:space="0" w:color="auto"/>
        <w:right w:val="none" w:sz="0" w:space="0" w:color="auto"/>
      </w:divBdr>
    </w:div>
    <w:div w:id="1680614763">
      <w:bodyDiv w:val="1"/>
      <w:marLeft w:val="0"/>
      <w:marRight w:val="0"/>
      <w:marTop w:val="0"/>
      <w:marBottom w:val="0"/>
      <w:divBdr>
        <w:top w:val="none" w:sz="0" w:space="0" w:color="auto"/>
        <w:left w:val="none" w:sz="0" w:space="0" w:color="auto"/>
        <w:bottom w:val="none" w:sz="0" w:space="0" w:color="auto"/>
        <w:right w:val="none" w:sz="0" w:space="0" w:color="auto"/>
      </w:divBdr>
    </w:div>
    <w:div w:id="1681738061">
      <w:bodyDiv w:val="1"/>
      <w:marLeft w:val="0"/>
      <w:marRight w:val="0"/>
      <w:marTop w:val="0"/>
      <w:marBottom w:val="0"/>
      <w:divBdr>
        <w:top w:val="none" w:sz="0" w:space="0" w:color="auto"/>
        <w:left w:val="none" w:sz="0" w:space="0" w:color="auto"/>
        <w:bottom w:val="none" w:sz="0" w:space="0" w:color="auto"/>
        <w:right w:val="none" w:sz="0" w:space="0" w:color="auto"/>
      </w:divBdr>
    </w:div>
    <w:div w:id="1686708697">
      <w:bodyDiv w:val="1"/>
      <w:marLeft w:val="0"/>
      <w:marRight w:val="0"/>
      <w:marTop w:val="0"/>
      <w:marBottom w:val="0"/>
      <w:divBdr>
        <w:top w:val="none" w:sz="0" w:space="0" w:color="auto"/>
        <w:left w:val="none" w:sz="0" w:space="0" w:color="auto"/>
        <w:bottom w:val="none" w:sz="0" w:space="0" w:color="auto"/>
        <w:right w:val="none" w:sz="0" w:space="0" w:color="auto"/>
      </w:divBdr>
    </w:div>
    <w:div w:id="1689595267">
      <w:bodyDiv w:val="1"/>
      <w:marLeft w:val="0"/>
      <w:marRight w:val="0"/>
      <w:marTop w:val="0"/>
      <w:marBottom w:val="0"/>
      <w:divBdr>
        <w:top w:val="none" w:sz="0" w:space="0" w:color="auto"/>
        <w:left w:val="none" w:sz="0" w:space="0" w:color="auto"/>
        <w:bottom w:val="none" w:sz="0" w:space="0" w:color="auto"/>
        <w:right w:val="none" w:sz="0" w:space="0" w:color="auto"/>
      </w:divBdr>
    </w:div>
    <w:div w:id="1689939390">
      <w:bodyDiv w:val="1"/>
      <w:marLeft w:val="0"/>
      <w:marRight w:val="0"/>
      <w:marTop w:val="0"/>
      <w:marBottom w:val="0"/>
      <w:divBdr>
        <w:top w:val="none" w:sz="0" w:space="0" w:color="auto"/>
        <w:left w:val="none" w:sz="0" w:space="0" w:color="auto"/>
        <w:bottom w:val="none" w:sz="0" w:space="0" w:color="auto"/>
        <w:right w:val="none" w:sz="0" w:space="0" w:color="auto"/>
      </w:divBdr>
    </w:div>
    <w:div w:id="1691686841">
      <w:bodyDiv w:val="1"/>
      <w:marLeft w:val="0"/>
      <w:marRight w:val="0"/>
      <w:marTop w:val="0"/>
      <w:marBottom w:val="0"/>
      <w:divBdr>
        <w:top w:val="none" w:sz="0" w:space="0" w:color="auto"/>
        <w:left w:val="none" w:sz="0" w:space="0" w:color="auto"/>
        <w:bottom w:val="none" w:sz="0" w:space="0" w:color="auto"/>
        <w:right w:val="none" w:sz="0" w:space="0" w:color="auto"/>
      </w:divBdr>
    </w:div>
    <w:div w:id="1691762331">
      <w:bodyDiv w:val="1"/>
      <w:marLeft w:val="0"/>
      <w:marRight w:val="0"/>
      <w:marTop w:val="0"/>
      <w:marBottom w:val="0"/>
      <w:divBdr>
        <w:top w:val="none" w:sz="0" w:space="0" w:color="auto"/>
        <w:left w:val="none" w:sz="0" w:space="0" w:color="auto"/>
        <w:bottom w:val="none" w:sz="0" w:space="0" w:color="auto"/>
        <w:right w:val="none" w:sz="0" w:space="0" w:color="auto"/>
      </w:divBdr>
    </w:div>
    <w:div w:id="1694264402">
      <w:bodyDiv w:val="1"/>
      <w:marLeft w:val="0"/>
      <w:marRight w:val="0"/>
      <w:marTop w:val="0"/>
      <w:marBottom w:val="0"/>
      <w:divBdr>
        <w:top w:val="none" w:sz="0" w:space="0" w:color="auto"/>
        <w:left w:val="none" w:sz="0" w:space="0" w:color="auto"/>
        <w:bottom w:val="none" w:sz="0" w:space="0" w:color="auto"/>
        <w:right w:val="none" w:sz="0" w:space="0" w:color="auto"/>
      </w:divBdr>
    </w:div>
    <w:div w:id="1699042443">
      <w:bodyDiv w:val="1"/>
      <w:marLeft w:val="0"/>
      <w:marRight w:val="0"/>
      <w:marTop w:val="0"/>
      <w:marBottom w:val="0"/>
      <w:divBdr>
        <w:top w:val="none" w:sz="0" w:space="0" w:color="auto"/>
        <w:left w:val="none" w:sz="0" w:space="0" w:color="auto"/>
        <w:bottom w:val="none" w:sz="0" w:space="0" w:color="auto"/>
        <w:right w:val="none" w:sz="0" w:space="0" w:color="auto"/>
      </w:divBdr>
    </w:div>
    <w:div w:id="1699425155">
      <w:bodyDiv w:val="1"/>
      <w:marLeft w:val="0"/>
      <w:marRight w:val="0"/>
      <w:marTop w:val="0"/>
      <w:marBottom w:val="0"/>
      <w:divBdr>
        <w:top w:val="none" w:sz="0" w:space="0" w:color="auto"/>
        <w:left w:val="none" w:sz="0" w:space="0" w:color="auto"/>
        <w:bottom w:val="none" w:sz="0" w:space="0" w:color="auto"/>
        <w:right w:val="none" w:sz="0" w:space="0" w:color="auto"/>
      </w:divBdr>
    </w:div>
    <w:div w:id="1702628746">
      <w:bodyDiv w:val="1"/>
      <w:marLeft w:val="0"/>
      <w:marRight w:val="0"/>
      <w:marTop w:val="0"/>
      <w:marBottom w:val="0"/>
      <w:divBdr>
        <w:top w:val="none" w:sz="0" w:space="0" w:color="auto"/>
        <w:left w:val="none" w:sz="0" w:space="0" w:color="auto"/>
        <w:bottom w:val="none" w:sz="0" w:space="0" w:color="auto"/>
        <w:right w:val="none" w:sz="0" w:space="0" w:color="auto"/>
      </w:divBdr>
    </w:div>
    <w:div w:id="1703900929">
      <w:bodyDiv w:val="1"/>
      <w:marLeft w:val="0"/>
      <w:marRight w:val="0"/>
      <w:marTop w:val="0"/>
      <w:marBottom w:val="0"/>
      <w:divBdr>
        <w:top w:val="none" w:sz="0" w:space="0" w:color="auto"/>
        <w:left w:val="none" w:sz="0" w:space="0" w:color="auto"/>
        <w:bottom w:val="none" w:sz="0" w:space="0" w:color="auto"/>
        <w:right w:val="none" w:sz="0" w:space="0" w:color="auto"/>
      </w:divBdr>
    </w:div>
    <w:div w:id="1705514940">
      <w:bodyDiv w:val="1"/>
      <w:marLeft w:val="0"/>
      <w:marRight w:val="0"/>
      <w:marTop w:val="0"/>
      <w:marBottom w:val="0"/>
      <w:divBdr>
        <w:top w:val="none" w:sz="0" w:space="0" w:color="auto"/>
        <w:left w:val="none" w:sz="0" w:space="0" w:color="auto"/>
        <w:bottom w:val="none" w:sz="0" w:space="0" w:color="auto"/>
        <w:right w:val="none" w:sz="0" w:space="0" w:color="auto"/>
      </w:divBdr>
    </w:div>
    <w:div w:id="1713069693">
      <w:bodyDiv w:val="1"/>
      <w:marLeft w:val="0"/>
      <w:marRight w:val="0"/>
      <w:marTop w:val="0"/>
      <w:marBottom w:val="0"/>
      <w:divBdr>
        <w:top w:val="none" w:sz="0" w:space="0" w:color="auto"/>
        <w:left w:val="none" w:sz="0" w:space="0" w:color="auto"/>
        <w:bottom w:val="none" w:sz="0" w:space="0" w:color="auto"/>
        <w:right w:val="none" w:sz="0" w:space="0" w:color="auto"/>
      </w:divBdr>
    </w:div>
    <w:div w:id="1714690799">
      <w:bodyDiv w:val="1"/>
      <w:marLeft w:val="0"/>
      <w:marRight w:val="0"/>
      <w:marTop w:val="0"/>
      <w:marBottom w:val="0"/>
      <w:divBdr>
        <w:top w:val="none" w:sz="0" w:space="0" w:color="auto"/>
        <w:left w:val="none" w:sz="0" w:space="0" w:color="auto"/>
        <w:bottom w:val="none" w:sz="0" w:space="0" w:color="auto"/>
        <w:right w:val="none" w:sz="0" w:space="0" w:color="auto"/>
      </w:divBdr>
    </w:div>
    <w:div w:id="1720088504">
      <w:bodyDiv w:val="1"/>
      <w:marLeft w:val="0"/>
      <w:marRight w:val="0"/>
      <w:marTop w:val="0"/>
      <w:marBottom w:val="0"/>
      <w:divBdr>
        <w:top w:val="none" w:sz="0" w:space="0" w:color="auto"/>
        <w:left w:val="none" w:sz="0" w:space="0" w:color="auto"/>
        <w:bottom w:val="none" w:sz="0" w:space="0" w:color="auto"/>
        <w:right w:val="none" w:sz="0" w:space="0" w:color="auto"/>
      </w:divBdr>
    </w:div>
    <w:div w:id="1721057386">
      <w:bodyDiv w:val="1"/>
      <w:marLeft w:val="0"/>
      <w:marRight w:val="0"/>
      <w:marTop w:val="0"/>
      <w:marBottom w:val="0"/>
      <w:divBdr>
        <w:top w:val="none" w:sz="0" w:space="0" w:color="auto"/>
        <w:left w:val="none" w:sz="0" w:space="0" w:color="auto"/>
        <w:bottom w:val="none" w:sz="0" w:space="0" w:color="auto"/>
        <w:right w:val="none" w:sz="0" w:space="0" w:color="auto"/>
      </w:divBdr>
    </w:div>
    <w:div w:id="1721132454">
      <w:bodyDiv w:val="1"/>
      <w:marLeft w:val="0"/>
      <w:marRight w:val="0"/>
      <w:marTop w:val="0"/>
      <w:marBottom w:val="0"/>
      <w:divBdr>
        <w:top w:val="none" w:sz="0" w:space="0" w:color="auto"/>
        <w:left w:val="none" w:sz="0" w:space="0" w:color="auto"/>
        <w:bottom w:val="none" w:sz="0" w:space="0" w:color="auto"/>
        <w:right w:val="none" w:sz="0" w:space="0" w:color="auto"/>
      </w:divBdr>
      <w:divsChild>
        <w:div w:id="291862592">
          <w:marLeft w:val="0"/>
          <w:marRight w:val="0"/>
          <w:marTop w:val="0"/>
          <w:marBottom w:val="0"/>
          <w:divBdr>
            <w:top w:val="none" w:sz="0" w:space="0" w:color="auto"/>
            <w:left w:val="none" w:sz="0" w:space="0" w:color="auto"/>
            <w:bottom w:val="none" w:sz="0" w:space="0" w:color="auto"/>
            <w:right w:val="none" w:sz="0" w:space="0" w:color="auto"/>
          </w:divBdr>
          <w:divsChild>
            <w:div w:id="1476140488">
              <w:marLeft w:val="0"/>
              <w:marRight w:val="0"/>
              <w:marTop w:val="0"/>
              <w:marBottom w:val="0"/>
              <w:divBdr>
                <w:top w:val="none" w:sz="0" w:space="0" w:color="auto"/>
                <w:left w:val="none" w:sz="0" w:space="0" w:color="auto"/>
                <w:bottom w:val="none" w:sz="0" w:space="0" w:color="auto"/>
                <w:right w:val="none" w:sz="0" w:space="0" w:color="auto"/>
              </w:divBdr>
              <w:divsChild>
                <w:div w:id="1190410056">
                  <w:marLeft w:val="0"/>
                  <w:marRight w:val="0"/>
                  <w:marTop w:val="0"/>
                  <w:marBottom w:val="0"/>
                  <w:divBdr>
                    <w:top w:val="none" w:sz="0" w:space="0" w:color="auto"/>
                    <w:left w:val="none" w:sz="0" w:space="0" w:color="auto"/>
                    <w:bottom w:val="none" w:sz="0" w:space="0" w:color="auto"/>
                    <w:right w:val="none" w:sz="0" w:space="0" w:color="auto"/>
                  </w:divBdr>
                  <w:divsChild>
                    <w:div w:id="1608199897">
                      <w:marLeft w:val="0"/>
                      <w:marRight w:val="0"/>
                      <w:marTop w:val="0"/>
                      <w:marBottom w:val="0"/>
                      <w:divBdr>
                        <w:top w:val="none" w:sz="0" w:space="0" w:color="auto"/>
                        <w:left w:val="none" w:sz="0" w:space="0" w:color="auto"/>
                        <w:bottom w:val="none" w:sz="0" w:space="0" w:color="auto"/>
                        <w:right w:val="none" w:sz="0" w:space="0" w:color="auto"/>
                      </w:divBdr>
                      <w:divsChild>
                        <w:div w:id="2007323166">
                          <w:marLeft w:val="0"/>
                          <w:marRight w:val="0"/>
                          <w:marTop w:val="0"/>
                          <w:marBottom w:val="0"/>
                          <w:divBdr>
                            <w:top w:val="none" w:sz="0" w:space="0" w:color="auto"/>
                            <w:left w:val="none" w:sz="0" w:space="0" w:color="auto"/>
                            <w:bottom w:val="none" w:sz="0" w:space="0" w:color="auto"/>
                            <w:right w:val="none" w:sz="0" w:space="0" w:color="auto"/>
                          </w:divBdr>
                          <w:divsChild>
                            <w:div w:id="1214196028">
                              <w:marLeft w:val="0"/>
                              <w:marRight w:val="0"/>
                              <w:marTop w:val="0"/>
                              <w:marBottom w:val="0"/>
                              <w:divBdr>
                                <w:top w:val="none" w:sz="0" w:space="0" w:color="auto"/>
                                <w:left w:val="none" w:sz="0" w:space="0" w:color="auto"/>
                                <w:bottom w:val="none" w:sz="0" w:space="0" w:color="auto"/>
                                <w:right w:val="none" w:sz="0" w:space="0" w:color="auto"/>
                              </w:divBdr>
                              <w:divsChild>
                                <w:div w:id="994408188">
                                  <w:marLeft w:val="0"/>
                                  <w:marRight w:val="0"/>
                                  <w:marTop w:val="0"/>
                                  <w:marBottom w:val="0"/>
                                  <w:divBdr>
                                    <w:top w:val="none" w:sz="0" w:space="0" w:color="auto"/>
                                    <w:left w:val="none" w:sz="0" w:space="0" w:color="auto"/>
                                    <w:bottom w:val="none" w:sz="0" w:space="0" w:color="auto"/>
                                    <w:right w:val="none" w:sz="0" w:space="0" w:color="auto"/>
                                  </w:divBdr>
                                  <w:divsChild>
                                    <w:div w:id="21517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3283309">
      <w:bodyDiv w:val="1"/>
      <w:marLeft w:val="0"/>
      <w:marRight w:val="0"/>
      <w:marTop w:val="0"/>
      <w:marBottom w:val="0"/>
      <w:divBdr>
        <w:top w:val="none" w:sz="0" w:space="0" w:color="auto"/>
        <w:left w:val="none" w:sz="0" w:space="0" w:color="auto"/>
        <w:bottom w:val="none" w:sz="0" w:space="0" w:color="auto"/>
        <w:right w:val="none" w:sz="0" w:space="0" w:color="auto"/>
      </w:divBdr>
    </w:div>
    <w:div w:id="1724062531">
      <w:bodyDiv w:val="1"/>
      <w:marLeft w:val="0"/>
      <w:marRight w:val="0"/>
      <w:marTop w:val="0"/>
      <w:marBottom w:val="0"/>
      <w:divBdr>
        <w:top w:val="none" w:sz="0" w:space="0" w:color="auto"/>
        <w:left w:val="none" w:sz="0" w:space="0" w:color="auto"/>
        <w:bottom w:val="none" w:sz="0" w:space="0" w:color="auto"/>
        <w:right w:val="none" w:sz="0" w:space="0" w:color="auto"/>
      </w:divBdr>
    </w:div>
    <w:div w:id="1725717192">
      <w:bodyDiv w:val="1"/>
      <w:marLeft w:val="0"/>
      <w:marRight w:val="0"/>
      <w:marTop w:val="0"/>
      <w:marBottom w:val="0"/>
      <w:divBdr>
        <w:top w:val="none" w:sz="0" w:space="0" w:color="auto"/>
        <w:left w:val="none" w:sz="0" w:space="0" w:color="auto"/>
        <w:bottom w:val="none" w:sz="0" w:space="0" w:color="auto"/>
        <w:right w:val="none" w:sz="0" w:space="0" w:color="auto"/>
      </w:divBdr>
    </w:div>
    <w:div w:id="1726179390">
      <w:bodyDiv w:val="1"/>
      <w:marLeft w:val="0"/>
      <w:marRight w:val="0"/>
      <w:marTop w:val="0"/>
      <w:marBottom w:val="0"/>
      <w:divBdr>
        <w:top w:val="none" w:sz="0" w:space="0" w:color="auto"/>
        <w:left w:val="none" w:sz="0" w:space="0" w:color="auto"/>
        <w:bottom w:val="none" w:sz="0" w:space="0" w:color="auto"/>
        <w:right w:val="none" w:sz="0" w:space="0" w:color="auto"/>
      </w:divBdr>
    </w:div>
    <w:div w:id="1728525880">
      <w:bodyDiv w:val="1"/>
      <w:marLeft w:val="0"/>
      <w:marRight w:val="0"/>
      <w:marTop w:val="0"/>
      <w:marBottom w:val="0"/>
      <w:divBdr>
        <w:top w:val="none" w:sz="0" w:space="0" w:color="auto"/>
        <w:left w:val="none" w:sz="0" w:space="0" w:color="auto"/>
        <w:bottom w:val="none" w:sz="0" w:space="0" w:color="auto"/>
        <w:right w:val="none" w:sz="0" w:space="0" w:color="auto"/>
      </w:divBdr>
    </w:div>
    <w:div w:id="1729305436">
      <w:bodyDiv w:val="1"/>
      <w:marLeft w:val="0"/>
      <w:marRight w:val="0"/>
      <w:marTop w:val="0"/>
      <w:marBottom w:val="0"/>
      <w:divBdr>
        <w:top w:val="none" w:sz="0" w:space="0" w:color="auto"/>
        <w:left w:val="none" w:sz="0" w:space="0" w:color="auto"/>
        <w:bottom w:val="none" w:sz="0" w:space="0" w:color="auto"/>
        <w:right w:val="none" w:sz="0" w:space="0" w:color="auto"/>
      </w:divBdr>
    </w:div>
    <w:div w:id="1731339467">
      <w:bodyDiv w:val="1"/>
      <w:marLeft w:val="0"/>
      <w:marRight w:val="0"/>
      <w:marTop w:val="0"/>
      <w:marBottom w:val="0"/>
      <w:divBdr>
        <w:top w:val="none" w:sz="0" w:space="0" w:color="auto"/>
        <w:left w:val="none" w:sz="0" w:space="0" w:color="auto"/>
        <w:bottom w:val="none" w:sz="0" w:space="0" w:color="auto"/>
        <w:right w:val="none" w:sz="0" w:space="0" w:color="auto"/>
      </w:divBdr>
    </w:div>
    <w:div w:id="1736856562">
      <w:bodyDiv w:val="1"/>
      <w:marLeft w:val="0"/>
      <w:marRight w:val="0"/>
      <w:marTop w:val="0"/>
      <w:marBottom w:val="0"/>
      <w:divBdr>
        <w:top w:val="none" w:sz="0" w:space="0" w:color="auto"/>
        <w:left w:val="none" w:sz="0" w:space="0" w:color="auto"/>
        <w:bottom w:val="none" w:sz="0" w:space="0" w:color="auto"/>
        <w:right w:val="none" w:sz="0" w:space="0" w:color="auto"/>
      </w:divBdr>
    </w:div>
    <w:div w:id="1739590248">
      <w:bodyDiv w:val="1"/>
      <w:marLeft w:val="0"/>
      <w:marRight w:val="0"/>
      <w:marTop w:val="0"/>
      <w:marBottom w:val="0"/>
      <w:divBdr>
        <w:top w:val="none" w:sz="0" w:space="0" w:color="auto"/>
        <w:left w:val="none" w:sz="0" w:space="0" w:color="auto"/>
        <w:bottom w:val="none" w:sz="0" w:space="0" w:color="auto"/>
        <w:right w:val="none" w:sz="0" w:space="0" w:color="auto"/>
      </w:divBdr>
    </w:div>
    <w:div w:id="1740178478">
      <w:bodyDiv w:val="1"/>
      <w:marLeft w:val="0"/>
      <w:marRight w:val="0"/>
      <w:marTop w:val="0"/>
      <w:marBottom w:val="0"/>
      <w:divBdr>
        <w:top w:val="none" w:sz="0" w:space="0" w:color="auto"/>
        <w:left w:val="none" w:sz="0" w:space="0" w:color="auto"/>
        <w:bottom w:val="none" w:sz="0" w:space="0" w:color="auto"/>
        <w:right w:val="none" w:sz="0" w:space="0" w:color="auto"/>
      </w:divBdr>
    </w:div>
    <w:div w:id="1745757328">
      <w:bodyDiv w:val="1"/>
      <w:marLeft w:val="0"/>
      <w:marRight w:val="0"/>
      <w:marTop w:val="0"/>
      <w:marBottom w:val="0"/>
      <w:divBdr>
        <w:top w:val="none" w:sz="0" w:space="0" w:color="auto"/>
        <w:left w:val="none" w:sz="0" w:space="0" w:color="auto"/>
        <w:bottom w:val="none" w:sz="0" w:space="0" w:color="auto"/>
        <w:right w:val="none" w:sz="0" w:space="0" w:color="auto"/>
      </w:divBdr>
    </w:div>
    <w:div w:id="1747678560">
      <w:bodyDiv w:val="1"/>
      <w:marLeft w:val="0"/>
      <w:marRight w:val="0"/>
      <w:marTop w:val="0"/>
      <w:marBottom w:val="0"/>
      <w:divBdr>
        <w:top w:val="none" w:sz="0" w:space="0" w:color="auto"/>
        <w:left w:val="none" w:sz="0" w:space="0" w:color="auto"/>
        <w:bottom w:val="none" w:sz="0" w:space="0" w:color="auto"/>
        <w:right w:val="none" w:sz="0" w:space="0" w:color="auto"/>
      </w:divBdr>
    </w:div>
    <w:div w:id="1753745453">
      <w:bodyDiv w:val="1"/>
      <w:marLeft w:val="0"/>
      <w:marRight w:val="0"/>
      <w:marTop w:val="0"/>
      <w:marBottom w:val="0"/>
      <w:divBdr>
        <w:top w:val="none" w:sz="0" w:space="0" w:color="auto"/>
        <w:left w:val="none" w:sz="0" w:space="0" w:color="auto"/>
        <w:bottom w:val="none" w:sz="0" w:space="0" w:color="auto"/>
        <w:right w:val="none" w:sz="0" w:space="0" w:color="auto"/>
      </w:divBdr>
    </w:div>
    <w:div w:id="1756169291">
      <w:bodyDiv w:val="1"/>
      <w:marLeft w:val="0"/>
      <w:marRight w:val="0"/>
      <w:marTop w:val="0"/>
      <w:marBottom w:val="0"/>
      <w:divBdr>
        <w:top w:val="none" w:sz="0" w:space="0" w:color="auto"/>
        <w:left w:val="none" w:sz="0" w:space="0" w:color="auto"/>
        <w:bottom w:val="none" w:sz="0" w:space="0" w:color="auto"/>
        <w:right w:val="none" w:sz="0" w:space="0" w:color="auto"/>
      </w:divBdr>
    </w:div>
    <w:div w:id="1761220216">
      <w:bodyDiv w:val="1"/>
      <w:marLeft w:val="0"/>
      <w:marRight w:val="0"/>
      <w:marTop w:val="0"/>
      <w:marBottom w:val="0"/>
      <w:divBdr>
        <w:top w:val="none" w:sz="0" w:space="0" w:color="auto"/>
        <w:left w:val="none" w:sz="0" w:space="0" w:color="auto"/>
        <w:bottom w:val="none" w:sz="0" w:space="0" w:color="auto"/>
        <w:right w:val="none" w:sz="0" w:space="0" w:color="auto"/>
      </w:divBdr>
    </w:div>
    <w:div w:id="1763646166">
      <w:bodyDiv w:val="1"/>
      <w:marLeft w:val="0"/>
      <w:marRight w:val="0"/>
      <w:marTop w:val="0"/>
      <w:marBottom w:val="0"/>
      <w:divBdr>
        <w:top w:val="none" w:sz="0" w:space="0" w:color="auto"/>
        <w:left w:val="none" w:sz="0" w:space="0" w:color="auto"/>
        <w:bottom w:val="none" w:sz="0" w:space="0" w:color="auto"/>
        <w:right w:val="none" w:sz="0" w:space="0" w:color="auto"/>
      </w:divBdr>
    </w:div>
    <w:div w:id="1764691850">
      <w:bodyDiv w:val="1"/>
      <w:marLeft w:val="0"/>
      <w:marRight w:val="0"/>
      <w:marTop w:val="0"/>
      <w:marBottom w:val="0"/>
      <w:divBdr>
        <w:top w:val="none" w:sz="0" w:space="0" w:color="auto"/>
        <w:left w:val="none" w:sz="0" w:space="0" w:color="auto"/>
        <w:bottom w:val="none" w:sz="0" w:space="0" w:color="auto"/>
        <w:right w:val="none" w:sz="0" w:space="0" w:color="auto"/>
      </w:divBdr>
    </w:div>
    <w:div w:id="1767459088">
      <w:bodyDiv w:val="1"/>
      <w:marLeft w:val="0"/>
      <w:marRight w:val="0"/>
      <w:marTop w:val="0"/>
      <w:marBottom w:val="0"/>
      <w:divBdr>
        <w:top w:val="none" w:sz="0" w:space="0" w:color="auto"/>
        <w:left w:val="none" w:sz="0" w:space="0" w:color="auto"/>
        <w:bottom w:val="none" w:sz="0" w:space="0" w:color="auto"/>
        <w:right w:val="none" w:sz="0" w:space="0" w:color="auto"/>
      </w:divBdr>
    </w:div>
    <w:div w:id="1769422748">
      <w:bodyDiv w:val="1"/>
      <w:marLeft w:val="0"/>
      <w:marRight w:val="0"/>
      <w:marTop w:val="0"/>
      <w:marBottom w:val="0"/>
      <w:divBdr>
        <w:top w:val="none" w:sz="0" w:space="0" w:color="auto"/>
        <w:left w:val="none" w:sz="0" w:space="0" w:color="auto"/>
        <w:bottom w:val="none" w:sz="0" w:space="0" w:color="auto"/>
        <w:right w:val="none" w:sz="0" w:space="0" w:color="auto"/>
      </w:divBdr>
    </w:div>
    <w:div w:id="1770927165">
      <w:bodyDiv w:val="1"/>
      <w:marLeft w:val="0"/>
      <w:marRight w:val="0"/>
      <w:marTop w:val="0"/>
      <w:marBottom w:val="0"/>
      <w:divBdr>
        <w:top w:val="none" w:sz="0" w:space="0" w:color="auto"/>
        <w:left w:val="none" w:sz="0" w:space="0" w:color="auto"/>
        <w:bottom w:val="none" w:sz="0" w:space="0" w:color="auto"/>
        <w:right w:val="none" w:sz="0" w:space="0" w:color="auto"/>
      </w:divBdr>
    </w:div>
    <w:div w:id="1773818403">
      <w:bodyDiv w:val="1"/>
      <w:marLeft w:val="0"/>
      <w:marRight w:val="0"/>
      <w:marTop w:val="0"/>
      <w:marBottom w:val="0"/>
      <w:divBdr>
        <w:top w:val="none" w:sz="0" w:space="0" w:color="auto"/>
        <w:left w:val="none" w:sz="0" w:space="0" w:color="auto"/>
        <w:bottom w:val="none" w:sz="0" w:space="0" w:color="auto"/>
        <w:right w:val="none" w:sz="0" w:space="0" w:color="auto"/>
      </w:divBdr>
    </w:div>
    <w:div w:id="1780249545">
      <w:bodyDiv w:val="1"/>
      <w:marLeft w:val="0"/>
      <w:marRight w:val="0"/>
      <w:marTop w:val="0"/>
      <w:marBottom w:val="0"/>
      <w:divBdr>
        <w:top w:val="none" w:sz="0" w:space="0" w:color="auto"/>
        <w:left w:val="none" w:sz="0" w:space="0" w:color="auto"/>
        <w:bottom w:val="none" w:sz="0" w:space="0" w:color="auto"/>
        <w:right w:val="none" w:sz="0" w:space="0" w:color="auto"/>
      </w:divBdr>
    </w:div>
    <w:div w:id="1785922073">
      <w:bodyDiv w:val="1"/>
      <w:marLeft w:val="0"/>
      <w:marRight w:val="0"/>
      <w:marTop w:val="0"/>
      <w:marBottom w:val="0"/>
      <w:divBdr>
        <w:top w:val="none" w:sz="0" w:space="0" w:color="auto"/>
        <w:left w:val="none" w:sz="0" w:space="0" w:color="auto"/>
        <w:bottom w:val="none" w:sz="0" w:space="0" w:color="auto"/>
        <w:right w:val="none" w:sz="0" w:space="0" w:color="auto"/>
      </w:divBdr>
    </w:div>
    <w:div w:id="1790275868">
      <w:bodyDiv w:val="1"/>
      <w:marLeft w:val="0"/>
      <w:marRight w:val="0"/>
      <w:marTop w:val="0"/>
      <w:marBottom w:val="0"/>
      <w:divBdr>
        <w:top w:val="none" w:sz="0" w:space="0" w:color="auto"/>
        <w:left w:val="none" w:sz="0" w:space="0" w:color="auto"/>
        <w:bottom w:val="none" w:sz="0" w:space="0" w:color="auto"/>
        <w:right w:val="none" w:sz="0" w:space="0" w:color="auto"/>
      </w:divBdr>
    </w:div>
    <w:div w:id="1793862959">
      <w:bodyDiv w:val="1"/>
      <w:marLeft w:val="0"/>
      <w:marRight w:val="0"/>
      <w:marTop w:val="0"/>
      <w:marBottom w:val="0"/>
      <w:divBdr>
        <w:top w:val="none" w:sz="0" w:space="0" w:color="auto"/>
        <w:left w:val="none" w:sz="0" w:space="0" w:color="auto"/>
        <w:bottom w:val="none" w:sz="0" w:space="0" w:color="auto"/>
        <w:right w:val="none" w:sz="0" w:space="0" w:color="auto"/>
      </w:divBdr>
    </w:div>
    <w:div w:id="1796562312">
      <w:bodyDiv w:val="1"/>
      <w:marLeft w:val="0"/>
      <w:marRight w:val="0"/>
      <w:marTop w:val="0"/>
      <w:marBottom w:val="0"/>
      <w:divBdr>
        <w:top w:val="none" w:sz="0" w:space="0" w:color="auto"/>
        <w:left w:val="none" w:sz="0" w:space="0" w:color="auto"/>
        <w:bottom w:val="none" w:sz="0" w:space="0" w:color="auto"/>
        <w:right w:val="none" w:sz="0" w:space="0" w:color="auto"/>
      </w:divBdr>
    </w:div>
    <w:div w:id="1799756800">
      <w:bodyDiv w:val="1"/>
      <w:marLeft w:val="0"/>
      <w:marRight w:val="0"/>
      <w:marTop w:val="0"/>
      <w:marBottom w:val="0"/>
      <w:divBdr>
        <w:top w:val="none" w:sz="0" w:space="0" w:color="auto"/>
        <w:left w:val="none" w:sz="0" w:space="0" w:color="auto"/>
        <w:bottom w:val="none" w:sz="0" w:space="0" w:color="auto"/>
        <w:right w:val="none" w:sz="0" w:space="0" w:color="auto"/>
      </w:divBdr>
    </w:div>
    <w:div w:id="1799882853">
      <w:bodyDiv w:val="1"/>
      <w:marLeft w:val="0"/>
      <w:marRight w:val="0"/>
      <w:marTop w:val="0"/>
      <w:marBottom w:val="0"/>
      <w:divBdr>
        <w:top w:val="none" w:sz="0" w:space="0" w:color="auto"/>
        <w:left w:val="none" w:sz="0" w:space="0" w:color="auto"/>
        <w:bottom w:val="none" w:sz="0" w:space="0" w:color="auto"/>
        <w:right w:val="none" w:sz="0" w:space="0" w:color="auto"/>
      </w:divBdr>
    </w:div>
    <w:div w:id="1807626631">
      <w:bodyDiv w:val="1"/>
      <w:marLeft w:val="0"/>
      <w:marRight w:val="0"/>
      <w:marTop w:val="0"/>
      <w:marBottom w:val="0"/>
      <w:divBdr>
        <w:top w:val="none" w:sz="0" w:space="0" w:color="auto"/>
        <w:left w:val="none" w:sz="0" w:space="0" w:color="auto"/>
        <w:bottom w:val="none" w:sz="0" w:space="0" w:color="auto"/>
        <w:right w:val="none" w:sz="0" w:space="0" w:color="auto"/>
      </w:divBdr>
    </w:div>
    <w:div w:id="1808623850">
      <w:bodyDiv w:val="1"/>
      <w:marLeft w:val="0"/>
      <w:marRight w:val="0"/>
      <w:marTop w:val="0"/>
      <w:marBottom w:val="0"/>
      <w:divBdr>
        <w:top w:val="none" w:sz="0" w:space="0" w:color="auto"/>
        <w:left w:val="none" w:sz="0" w:space="0" w:color="auto"/>
        <w:bottom w:val="none" w:sz="0" w:space="0" w:color="auto"/>
        <w:right w:val="none" w:sz="0" w:space="0" w:color="auto"/>
      </w:divBdr>
    </w:div>
    <w:div w:id="1810241288">
      <w:bodyDiv w:val="1"/>
      <w:marLeft w:val="0"/>
      <w:marRight w:val="0"/>
      <w:marTop w:val="0"/>
      <w:marBottom w:val="0"/>
      <w:divBdr>
        <w:top w:val="none" w:sz="0" w:space="0" w:color="auto"/>
        <w:left w:val="none" w:sz="0" w:space="0" w:color="auto"/>
        <w:bottom w:val="none" w:sz="0" w:space="0" w:color="auto"/>
        <w:right w:val="none" w:sz="0" w:space="0" w:color="auto"/>
      </w:divBdr>
    </w:div>
    <w:div w:id="1812483535">
      <w:bodyDiv w:val="1"/>
      <w:marLeft w:val="0"/>
      <w:marRight w:val="0"/>
      <w:marTop w:val="0"/>
      <w:marBottom w:val="0"/>
      <w:divBdr>
        <w:top w:val="none" w:sz="0" w:space="0" w:color="auto"/>
        <w:left w:val="none" w:sz="0" w:space="0" w:color="auto"/>
        <w:bottom w:val="none" w:sz="0" w:space="0" w:color="auto"/>
        <w:right w:val="none" w:sz="0" w:space="0" w:color="auto"/>
      </w:divBdr>
      <w:divsChild>
        <w:div w:id="578179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3448124">
      <w:bodyDiv w:val="1"/>
      <w:marLeft w:val="0"/>
      <w:marRight w:val="0"/>
      <w:marTop w:val="0"/>
      <w:marBottom w:val="0"/>
      <w:divBdr>
        <w:top w:val="none" w:sz="0" w:space="0" w:color="auto"/>
        <w:left w:val="none" w:sz="0" w:space="0" w:color="auto"/>
        <w:bottom w:val="none" w:sz="0" w:space="0" w:color="auto"/>
        <w:right w:val="none" w:sz="0" w:space="0" w:color="auto"/>
      </w:divBdr>
    </w:div>
    <w:div w:id="1814833339">
      <w:bodyDiv w:val="1"/>
      <w:marLeft w:val="0"/>
      <w:marRight w:val="0"/>
      <w:marTop w:val="0"/>
      <w:marBottom w:val="0"/>
      <w:divBdr>
        <w:top w:val="none" w:sz="0" w:space="0" w:color="auto"/>
        <w:left w:val="none" w:sz="0" w:space="0" w:color="auto"/>
        <w:bottom w:val="none" w:sz="0" w:space="0" w:color="auto"/>
        <w:right w:val="none" w:sz="0" w:space="0" w:color="auto"/>
      </w:divBdr>
    </w:div>
    <w:div w:id="1816143952">
      <w:bodyDiv w:val="1"/>
      <w:marLeft w:val="0"/>
      <w:marRight w:val="0"/>
      <w:marTop w:val="0"/>
      <w:marBottom w:val="0"/>
      <w:divBdr>
        <w:top w:val="none" w:sz="0" w:space="0" w:color="auto"/>
        <w:left w:val="none" w:sz="0" w:space="0" w:color="auto"/>
        <w:bottom w:val="none" w:sz="0" w:space="0" w:color="auto"/>
        <w:right w:val="none" w:sz="0" w:space="0" w:color="auto"/>
      </w:divBdr>
    </w:div>
    <w:div w:id="1823039664">
      <w:bodyDiv w:val="1"/>
      <w:marLeft w:val="0"/>
      <w:marRight w:val="0"/>
      <w:marTop w:val="0"/>
      <w:marBottom w:val="0"/>
      <w:divBdr>
        <w:top w:val="none" w:sz="0" w:space="0" w:color="auto"/>
        <w:left w:val="none" w:sz="0" w:space="0" w:color="auto"/>
        <w:bottom w:val="none" w:sz="0" w:space="0" w:color="auto"/>
        <w:right w:val="none" w:sz="0" w:space="0" w:color="auto"/>
      </w:divBdr>
    </w:div>
    <w:div w:id="1823932646">
      <w:bodyDiv w:val="1"/>
      <w:marLeft w:val="0"/>
      <w:marRight w:val="0"/>
      <w:marTop w:val="0"/>
      <w:marBottom w:val="0"/>
      <w:divBdr>
        <w:top w:val="none" w:sz="0" w:space="0" w:color="auto"/>
        <w:left w:val="none" w:sz="0" w:space="0" w:color="auto"/>
        <w:bottom w:val="none" w:sz="0" w:space="0" w:color="auto"/>
        <w:right w:val="none" w:sz="0" w:space="0" w:color="auto"/>
      </w:divBdr>
    </w:div>
    <w:div w:id="1824850215">
      <w:bodyDiv w:val="1"/>
      <w:marLeft w:val="0"/>
      <w:marRight w:val="0"/>
      <w:marTop w:val="0"/>
      <w:marBottom w:val="0"/>
      <w:divBdr>
        <w:top w:val="none" w:sz="0" w:space="0" w:color="auto"/>
        <w:left w:val="none" w:sz="0" w:space="0" w:color="auto"/>
        <w:bottom w:val="none" w:sz="0" w:space="0" w:color="auto"/>
        <w:right w:val="none" w:sz="0" w:space="0" w:color="auto"/>
      </w:divBdr>
    </w:div>
    <w:div w:id="1827627305">
      <w:bodyDiv w:val="1"/>
      <w:marLeft w:val="0"/>
      <w:marRight w:val="0"/>
      <w:marTop w:val="0"/>
      <w:marBottom w:val="0"/>
      <w:divBdr>
        <w:top w:val="none" w:sz="0" w:space="0" w:color="auto"/>
        <w:left w:val="none" w:sz="0" w:space="0" w:color="auto"/>
        <w:bottom w:val="none" w:sz="0" w:space="0" w:color="auto"/>
        <w:right w:val="none" w:sz="0" w:space="0" w:color="auto"/>
      </w:divBdr>
    </w:div>
    <w:div w:id="1830823964">
      <w:bodyDiv w:val="1"/>
      <w:marLeft w:val="0"/>
      <w:marRight w:val="0"/>
      <w:marTop w:val="0"/>
      <w:marBottom w:val="0"/>
      <w:divBdr>
        <w:top w:val="none" w:sz="0" w:space="0" w:color="auto"/>
        <w:left w:val="none" w:sz="0" w:space="0" w:color="auto"/>
        <w:bottom w:val="none" w:sz="0" w:space="0" w:color="auto"/>
        <w:right w:val="none" w:sz="0" w:space="0" w:color="auto"/>
      </w:divBdr>
    </w:div>
    <w:div w:id="1833251887">
      <w:bodyDiv w:val="1"/>
      <w:marLeft w:val="0"/>
      <w:marRight w:val="0"/>
      <w:marTop w:val="0"/>
      <w:marBottom w:val="0"/>
      <w:divBdr>
        <w:top w:val="none" w:sz="0" w:space="0" w:color="auto"/>
        <w:left w:val="none" w:sz="0" w:space="0" w:color="auto"/>
        <w:bottom w:val="none" w:sz="0" w:space="0" w:color="auto"/>
        <w:right w:val="none" w:sz="0" w:space="0" w:color="auto"/>
      </w:divBdr>
      <w:divsChild>
        <w:div w:id="1185091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4563009">
      <w:bodyDiv w:val="1"/>
      <w:marLeft w:val="0"/>
      <w:marRight w:val="0"/>
      <w:marTop w:val="0"/>
      <w:marBottom w:val="0"/>
      <w:divBdr>
        <w:top w:val="none" w:sz="0" w:space="0" w:color="auto"/>
        <w:left w:val="none" w:sz="0" w:space="0" w:color="auto"/>
        <w:bottom w:val="none" w:sz="0" w:space="0" w:color="auto"/>
        <w:right w:val="none" w:sz="0" w:space="0" w:color="auto"/>
      </w:divBdr>
    </w:div>
    <w:div w:id="1840995350">
      <w:bodyDiv w:val="1"/>
      <w:marLeft w:val="0"/>
      <w:marRight w:val="0"/>
      <w:marTop w:val="0"/>
      <w:marBottom w:val="0"/>
      <w:divBdr>
        <w:top w:val="none" w:sz="0" w:space="0" w:color="auto"/>
        <w:left w:val="none" w:sz="0" w:space="0" w:color="auto"/>
        <w:bottom w:val="none" w:sz="0" w:space="0" w:color="auto"/>
        <w:right w:val="none" w:sz="0" w:space="0" w:color="auto"/>
      </w:divBdr>
    </w:div>
    <w:div w:id="1847207772">
      <w:bodyDiv w:val="1"/>
      <w:marLeft w:val="0"/>
      <w:marRight w:val="0"/>
      <w:marTop w:val="0"/>
      <w:marBottom w:val="0"/>
      <w:divBdr>
        <w:top w:val="none" w:sz="0" w:space="0" w:color="auto"/>
        <w:left w:val="none" w:sz="0" w:space="0" w:color="auto"/>
        <w:bottom w:val="none" w:sz="0" w:space="0" w:color="auto"/>
        <w:right w:val="none" w:sz="0" w:space="0" w:color="auto"/>
      </w:divBdr>
    </w:div>
    <w:div w:id="1847671410">
      <w:bodyDiv w:val="1"/>
      <w:marLeft w:val="0"/>
      <w:marRight w:val="0"/>
      <w:marTop w:val="0"/>
      <w:marBottom w:val="0"/>
      <w:divBdr>
        <w:top w:val="none" w:sz="0" w:space="0" w:color="auto"/>
        <w:left w:val="none" w:sz="0" w:space="0" w:color="auto"/>
        <w:bottom w:val="none" w:sz="0" w:space="0" w:color="auto"/>
        <w:right w:val="none" w:sz="0" w:space="0" w:color="auto"/>
      </w:divBdr>
    </w:div>
    <w:div w:id="1848012647">
      <w:bodyDiv w:val="1"/>
      <w:marLeft w:val="0"/>
      <w:marRight w:val="0"/>
      <w:marTop w:val="0"/>
      <w:marBottom w:val="0"/>
      <w:divBdr>
        <w:top w:val="none" w:sz="0" w:space="0" w:color="auto"/>
        <w:left w:val="none" w:sz="0" w:space="0" w:color="auto"/>
        <w:bottom w:val="none" w:sz="0" w:space="0" w:color="auto"/>
        <w:right w:val="none" w:sz="0" w:space="0" w:color="auto"/>
      </w:divBdr>
    </w:div>
    <w:div w:id="1850630931">
      <w:bodyDiv w:val="1"/>
      <w:marLeft w:val="0"/>
      <w:marRight w:val="0"/>
      <w:marTop w:val="0"/>
      <w:marBottom w:val="0"/>
      <w:divBdr>
        <w:top w:val="none" w:sz="0" w:space="0" w:color="auto"/>
        <w:left w:val="none" w:sz="0" w:space="0" w:color="auto"/>
        <w:bottom w:val="none" w:sz="0" w:space="0" w:color="auto"/>
        <w:right w:val="none" w:sz="0" w:space="0" w:color="auto"/>
      </w:divBdr>
    </w:div>
    <w:div w:id="1857965169">
      <w:bodyDiv w:val="1"/>
      <w:marLeft w:val="0"/>
      <w:marRight w:val="0"/>
      <w:marTop w:val="0"/>
      <w:marBottom w:val="0"/>
      <w:divBdr>
        <w:top w:val="none" w:sz="0" w:space="0" w:color="auto"/>
        <w:left w:val="none" w:sz="0" w:space="0" w:color="auto"/>
        <w:bottom w:val="none" w:sz="0" w:space="0" w:color="auto"/>
        <w:right w:val="none" w:sz="0" w:space="0" w:color="auto"/>
      </w:divBdr>
    </w:div>
    <w:div w:id="1860505513">
      <w:bodyDiv w:val="1"/>
      <w:marLeft w:val="0"/>
      <w:marRight w:val="0"/>
      <w:marTop w:val="0"/>
      <w:marBottom w:val="0"/>
      <w:divBdr>
        <w:top w:val="none" w:sz="0" w:space="0" w:color="auto"/>
        <w:left w:val="none" w:sz="0" w:space="0" w:color="auto"/>
        <w:bottom w:val="none" w:sz="0" w:space="0" w:color="auto"/>
        <w:right w:val="none" w:sz="0" w:space="0" w:color="auto"/>
      </w:divBdr>
    </w:div>
    <w:div w:id="1866938039">
      <w:bodyDiv w:val="1"/>
      <w:marLeft w:val="0"/>
      <w:marRight w:val="0"/>
      <w:marTop w:val="0"/>
      <w:marBottom w:val="0"/>
      <w:divBdr>
        <w:top w:val="none" w:sz="0" w:space="0" w:color="auto"/>
        <w:left w:val="none" w:sz="0" w:space="0" w:color="auto"/>
        <w:bottom w:val="none" w:sz="0" w:space="0" w:color="auto"/>
        <w:right w:val="none" w:sz="0" w:space="0" w:color="auto"/>
      </w:divBdr>
    </w:div>
    <w:div w:id="1867448381">
      <w:bodyDiv w:val="1"/>
      <w:marLeft w:val="0"/>
      <w:marRight w:val="0"/>
      <w:marTop w:val="0"/>
      <w:marBottom w:val="0"/>
      <w:divBdr>
        <w:top w:val="none" w:sz="0" w:space="0" w:color="auto"/>
        <w:left w:val="none" w:sz="0" w:space="0" w:color="auto"/>
        <w:bottom w:val="none" w:sz="0" w:space="0" w:color="auto"/>
        <w:right w:val="none" w:sz="0" w:space="0" w:color="auto"/>
      </w:divBdr>
      <w:divsChild>
        <w:div w:id="2033652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1648120">
      <w:bodyDiv w:val="1"/>
      <w:marLeft w:val="0"/>
      <w:marRight w:val="0"/>
      <w:marTop w:val="0"/>
      <w:marBottom w:val="0"/>
      <w:divBdr>
        <w:top w:val="none" w:sz="0" w:space="0" w:color="auto"/>
        <w:left w:val="none" w:sz="0" w:space="0" w:color="auto"/>
        <w:bottom w:val="none" w:sz="0" w:space="0" w:color="auto"/>
        <w:right w:val="none" w:sz="0" w:space="0" w:color="auto"/>
      </w:divBdr>
      <w:divsChild>
        <w:div w:id="2024093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0362672">
      <w:bodyDiv w:val="1"/>
      <w:marLeft w:val="0"/>
      <w:marRight w:val="0"/>
      <w:marTop w:val="0"/>
      <w:marBottom w:val="0"/>
      <w:divBdr>
        <w:top w:val="none" w:sz="0" w:space="0" w:color="auto"/>
        <w:left w:val="none" w:sz="0" w:space="0" w:color="auto"/>
        <w:bottom w:val="none" w:sz="0" w:space="0" w:color="auto"/>
        <w:right w:val="none" w:sz="0" w:space="0" w:color="auto"/>
      </w:divBdr>
      <w:divsChild>
        <w:div w:id="550577584">
          <w:marLeft w:val="0"/>
          <w:marRight w:val="0"/>
          <w:marTop w:val="0"/>
          <w:marBottom w:val="0"/>
          <w:divBdr>
            <w:top w:val="none" w:sz="0" w:space="0" w:color="auto"/>
            <w:left w:val="none" w:sz="0" w:space="0" w:color="auto"/>
            <w:bottom w:val="none" w:sz="0" w:space="0" w:color="auto"/>
            <w:right w:val="none" w:sz="0" w:space="0" w:color="auto"/>
          </w:divBdr>
          <w:divsChild>
            <w:div w:id="2132244856">
              <w:marLeft w:val="0"/>
              <w:marRight w:val="0"/>
              <w:marTop w:val="0"/>
              <w:marBottom w:val="0"/>
              <w:divBdr>
                <w:top w:val="none" w:sz="0" w:space="0" w:color="auto"/>
                <w:left w:val="none" w:sz="0" w:space="0" w:color="auto"/>
                <w:bottom w:val="none" w:sz="0" w:space="0" w:color="auto"/>
                <w:right w:val="none" w:sz="0" w:space="0" w:color="auto"/>
              </w:divBdr>
              <w:divsChild>
                <w:div w:id="498615517">
                  <w:marLeft w:val="0"/>
                  <w:marRight w:val="0"/>
                  <w:marTop w:val="0"/>
                  <w:marBottom w:val="0"/>
                  <w:divBdr>
                    <w:top w:val="none" w:sz="0" w:space="0" w:color="auto"/>
                    <w:left w:val="none" w:sz="0" w:space="0" w:color="auto"/>
                    <w:bottom w:val="none" w:sz="0" w:space="0" w:color="auto"/>
                    <w:right w:val="none" w:sz="0" w:space="0" w:color="auto"/>
                  </w:divBdr>
                  <w:divsChild>
                    <w:div w:id="1708335137">
                      <w:marLeft w:val="0"/>
                      <w:marRight w:val="0"/>
                      <w:marTop w:val="0"/>
                      <w:marBottom w:val="0"/>
                      <w:divBdr>
                        <w:top w:val="none" w:sz="0" w:space="0" w:color="auto"/>
                        <w:left w:val="none" w:sz="0" w:space="0" w:color="auto"/>
                        <w:bottom w:val="none" w:sz="0" w:space="0" w:color="auto"/>
                        <w:right w:val="none" w:sz="0" w:space="0" w:color="auto"/>
                      </w:divBdr>
                      <w:divsChild>
                        <w:div w:id="337385576">
                          <w:marLeft w:val="0"/>
                          <w:marRight w:val="0"/>
                          <w:marTop w:val="0"/>
                          <w:marBottom w:val="0"/>
                          <w:divBdr>
                            <w:top w:val="none" w:sz="0" w:space="0" w:color="auto"/>
                            <w:left w:val="none" w:sz="0" w:space="0" w:color="auto"/>
                            <w:bottom w:val="none" w:sz="0" w:space="0" w:color="auto"/>
                            <w:right w:val="none" w:sz="0" w:space="0" w:color="auto"/>
                          </w:divBdr>
                          <w:divsChild>
                            <w:div w:id="1464690739">
                              <w:marLeft w:val="0"/>
                              <w:marRight w:val="0"/>
                              <w:marTop w:val="0"/>
                              <w:marBottom w:val="0"/>
                              <w:divBdr>
                                <w:top w:val="none" w:sz="0" w:space="0" w:color="auto"/>
                                <w:left w:val="none" w:sz="0" w:space="0" w:color="auto"/>
                                <w:bottom w:val="none" w:sz="0" w:space="0" w:color="auto"/>
                                <w:right w:val="none" w:sz="0" w:space="0" w:color="auto"/>
                              </w:divBdr>
                              <w:divsChild>
                                <w:div w:id="508566716">
                                  <w:marLeft w:val="0"/>
                                  <w:marRight w:val="0"/>
                                  <w:marTop w:val="0"/>
                                  <w:marBottom w:val="0"/>
                                  <w:divBdr>
                                    <w:top w:val="none" w:sz="0" w:space="0" w:color="auto"/>
                                    <w:left w:val="none" w:sz="0" w:space="0" w:color="auto"/>
                                    <w:bottom w:val="none" w:sz="0" w:space="0" w:color="auto"/>
                                    <w:right w:val="none" w:sz="0" w:space="0" w:color="auto"/>
                                  </w:divBdr>
                                  <w:divsChild>
                                    <w:div w:id="127987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209204">
      <w:bodyDiv w:val="1"/>
      <w:marLeft w:val="0"/>
      <w:marRight w:val="0"/>
      <w:marTop w:val="0"/>
      <w:marBottom w:val="0"/>
      <w:divBdr>
        <w:top w:val="none" w:sz="0" w:space="0" w:color="auto"/>
        <w:left w:val="none" w:sz="0" w:space="0" w:color="auto"/>
        <w:bottom w:val="none" w:sz="0" w:space="0" w:color="auto"/>
        <w:right w:val="none" w:sz="0" w:space="0" w:color="auto"/>
      </w:divBdr>
    </w:div>
    <w:div w:id="1890261626">
      <w:bodyDiv w:val="1"/>
      <w:marLeft w:val="0"/>
      <w:marRight w:val="0"/>
      <w:marTop w:val="0"/>
      <w:marBottom w:val="0"/>
      <w:divBdr>
        <w:top w:val="none" w:sz="0" w:space="0" w:color="auto"/>
        <w:left w:val="none" w:sz="0" w:space="0" w:color="auto"/>
        <w:bottom w:val="none" w:sz="0" w:space="0" w:color="auto"/>
        <w:right w:val="none" w:sz="0" w:space="0" w:color="auto"/>
      </w:divBdr>
    </w:div>
    <w:div w:id="1891111167">
      <w:bodyDiv w:val="1"/>
      <w:marLeft w:val="0"/>
      <w:marRight w:val="0"/>
      <w:marTop w:val="0"/>
      <w:marBottom w:val="0"/>
      <w:divBdr>
        <w:top w:val="none" w:sz="0" w:space="0" w:color="auto"/>
        <w:left w:val="none" w:sz="0" w:space="0" w:color="auto"/>
        <w:bottom w:val="none" w:sz="0" w:space="0" w:color="auto"/>
        <w:right w:val="none" w:sz="0" w:space="0" w:color="auto"/>
      </w:divBdr>
    </w:div>
    <w:div w:id="1897202716">
      <w:bodyDiv w:val="1"/>
      <w:marLeft w:val="0"/>
      <w:marRight w:val="0"/>
      <w:marTop w:val="0"/>
      <w:marBottom w:val="0"/>
      <w:divBdr>
        <w:top w:val="none" w:sz="0" w:space="0" w:color="auto"/>
        <w:left w:val="none" w:sz="0" w:space="0" w:color="auto"/>
        <w:bottom w:val="none" w:sz="0" w:space="0" w:color="auto"/>
        <w:right w:val="none" w:sz="0" w:space="0" w:color="auto"/>
      </w:divBdr>
    </w:div>
    <w:div w:id="1901668632">
      <w:bodyDiv w:val="1"/>
      <w:marLeft w:val="0"/>
      <w:marRight w:val="0"/>
      <w:marTop w:val="0"/>
      <w:marBottom w:val="0"/>
      <w:divBdr>
        <w:top w:val="none" w:sz="0" w:space="0" w:color="auto"/>
        <w:left w:val="none" w:sz="0" w:space="0" w:color="auto"/>
        <w:bottom w:val="none" w:sz="0" w:space="0" w:color="auto"/>
        <w:right w:val="none" w:sz="0" w:space="0" w:color="auto"/>
      </w:divBdr>
    </w:div>
    <w:div w:id="1902594686">
      <w:bodyDiv w:val="1"/>
      <w:marLeft w:val="0"/>
      <w:marRight w:val="0"/>
      <w:marTop w:val="0"/>
      <w:marBottom w:val="0"/>
      <w:divBdr>
        <w:top w:val="none" w:sz="0" w:space="0" w:color="auto"/>
        <w:left w:val="none" w:sz="0" w:space="0" w:color="auto"/>
        <w:bottom w:val="none" w:sz="0" w:space="0" w:color="auto"/>
        <w:right w:val="none" w:sz="0" w:space="0" w:color="auto"/>
      </w:divBdr>
    </w:div>
    <w:div w:id="1905221025">
      <w:bodyDiv w:val="1"/>
      <w:marLeft w:val="0"/>
      <w:marRight w:val="0"/>
      <w:marTop w:val="0"/>
      <w:marBottom w:val="0"/>
      <w:divBdr>
        <w:top w:val="none" w:sz="0" w:space="0" w:color="auto"/>
        <w:left w:val="none" w:sz="0" w:space="0" w:color="auto"/>
        <w:bottom w:val="none" w:sz="0" w:space="0" w:color="auto"/>
        <w:right w:val="none" w:sz="0" w:space="0" w:color="auto"/>
      </w:divBdr>
      <w:divsChild>
        <w:div w:id="506211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6986145">
      <w:bodyDiv w:val="1"/>
      <w:marLeft w:val="0"/>
      <w:marRight w:val="0"/>
      <w:marTop w:val="0"/>
      <w:marBottom w:val="0"/>
      <w:divBdr>
        <w:top w:val="none" w:sz="0" w:space="0" w:color="auto"/>
        <w:left w:val="none" w:sz="0" w:space="0" w:color="auto"/>
        <w:bottom w:val="none" w:sz="0" w:space="0" w:color="auto"/>
        <w:right w:val="none" w:sz="0" w:space="0" w:color="auto"/>
      </w:divBdr>
    </w:div>
    <w:div w:id="1907252900">
      <w:bodyDiv w:val="1"/>
      <w:marLeft w:val="0"/>
      <w:marRight w:val="0"/>
      <w:marTop w:val="0"/>
      <w:marBottom w:val="0"/>
      <w:divBdr>
        <w:top w:val="none" w:sz="0" w:space="0" w:color="auto"/>
        <w:left w:val="none" w:sz="0" w:space="0" w:color="auto"/>
        <w:bottom w:val="none" w:sz="0" w:space="0" w:color="auto"/>
        <w:right w:val="none" w:sz="0" w:space="0" w:color="auto"/>
      </w:divBdr>
    </w:div>
    <w:div w:id="1910380048">
      <w:bodyDiv w:val="1"/>
      <w:marLeft w:val="0"/>
      <w:marRight w:val="0"/>
      <w:marTop w:val="0"/>
      <w:marBottom w:val="0"/>
      <w:divBdr>
        <w:top w:val="none" w:sz="0" w:space="0" w:color="auto"/>
        <w:left w:val="none" w:sz="0" w:space="0" w:color="auto"/>
        <w:bottom w:val="none" w:sz="0" w:space="0" w:color="auto"/>
        <w:right w:val="none" w:sz="0" w:space="0" w:color="auto"/>
      </w:divBdr>
    </w:div>
    <w:div w:id="1915119771">
      <w:bodyDiv w:val="1"/>
      <w:marLeft w:val="0"/>
      <w:marRight w:val="0"/>
      <w:marTop w:val="0"/>
      <w:marBottom w:val="0"/>
      <w:divBdr>
        <w:top w:val="none" w:sz="0" w:space="0" w:color="auto"/>
        <w:left w:val="none" w:sz="0" w:space="0" w:color="auto"/>
        <w:bottom w:val="none" w:sz="0" w:space="0" w:color="auto"/>
        <w:right w:val="none" w:sz="0" w:space="0" w:color="auto"/>
      </w:divBdr>
    </w:div>
    <w:div w:id="1917670650">
      <w:bodyDiv w:val="1"/>
      <w:marLeft w:val="0"/>
      <w:marRight w:val="0"/>
      <w:marTop w:val="0"/>
      <w:marBottom w:val="0"/>
      <w:divBdr>
        <w:top w:val="none" w:sz="0" w:space="0" w:color="auto"/>
        <w:left w:val="none" w:sz="0" w:space="0" w:color="auto"/>
        <w:bottom w:val="none" w:sz="0" w:space="0" w:color="auto"/>
        <w:right w:val="none" w:sz="0" w:space="0" w:color="auto"/>
      </w:divBdr>
      <w:divsChild>
        <w:div w:id="1407189999">
          <w:marLeft w:val="0"/>
          <w:marRight w:val="0"/>
          <w:marTop w:val="0"/>
          <w:marBottom w:val="0"/>
          <w:divBdr>
            <w:top w:val="none" w:sz="0" w:space="0" w:color="auto"/>
            <w:left w:val="none" w:sz="0" w:space="0" w:color="auto"/>
            <w:bottom w:val="none" w:sz="0" w:space="0" w:color="auto"/>
            <w:right w:val="none" w:sz="0" w:space="0" w:color="auto"/>
          </w:divBdr>
        </w:div>
      </w:divsChild>
    </w:div>
    <w:div w:id="1917737697">
      <w:bodyDiv w:val="1"/>
      <w:marLeft w:val="0"/>
      <w:marRight w:val="0"/>
      <w:marTop w:val="0"/>
      <w:marBottom w:val="0"/>
      <w:divBdr>
        <w:top w:val="none" w:sz="0" w:space="0" w:color="auto"/>
        <w:left w:val="none" w:sz="0" w:space="0" w:color="auto"/>
        <w:bottom w:val="none" w:sz="0" w:space="0" w:color="auto"/>
        <w:right w:val="none" w:sz="0" w:space="0" w:color="auto"/>
      </w:divBdr>
    </w:div>
    <w:div w:id="1918632676">
      <w:bodyDiv w:val="1"/>
      <w:marLeft w:val="0"/>
      <w:marRight w:val="0"/>
      <w:marTop w:val="0"/>
      <w:marBottom w:val="0"/>
      <w:divBdr>
        <w:top w:val="none" w:sz="0" w:space="0" w:color="auto"/>
        <w:left w:val="none" w:sz="0" w:space="0" w:color="auto"/>
        <w:bottom w:val="none" w:sz="0" w:space="0" w:color="auto"/>
        <w:right w:val="none" w:sz="0" w:space="0" w:color="auto"/>
      </w:divBdr>
    </w:div>
    <w:div w:id="1922836292">
      <w:bodyDiv w:val="1"/>
      <w:marLeft w:val="0"/>
      <w:marRight w:val="0"/>
      <w:marTop w:val="0"/>
      <w:marBottom w:val="0"/>
      <w:divBdr>
        <w:top w:val="none" w:sz="0" w:space="0" w:color="auto"/>
        <w:left w:val="none" w:sz="0" w:space="0" w:color="auto"/>
        <w:bottom w:val="none" w:sz="0" w:space="0" w:color="auto"/>
        <w:right w:val="none" w:sz="0" w:space="0" w:color="auto"/>
      </w:divBdr>
      <w:divsChild>
        <w:div w:id="450788193">
          <w:marLeft w:val="0"/>
          <w:marRight w:val="0"/>
          <w:marTop w:val="0"/>
          <w:marBottom w:val="0"/>
          <w:divBdr>
            <w:top w:val="none" w:sz="0" w:space="0" w:color="auto"/>
            <w:left w:val="none" w:sz="0" w:space="0" w:color="auto"/>
            <w:bottom w:val="none" w:sz="0" w:space="0" w:color="auto"/>
            <w:right w:val="none" w:sz="0" w:space="0" w:color="auto"/>
          </w:divBdr>
          <w:divsChild>
            <w:div w:id="1115902128">
              <w:marLeft w:val="0"/>
              <w:marRight w:val="0"/>
              <w:marTop w:val="0"/>
              <w:marBottom w:val="0"/>
              <w:divBdr>
                <w:top w:val="none" w:sz="0" w:space="0" w:color="auto"/>
                <w:left w:val="none" w:sz="0" w:space="0" w:color="auto"/>
                <w:bottom w:val="none" w:sz="0" w:space="0" w:color="auto"/>
                <w:right w:val="none" w:sz="0" w:space="0" w:color="auto"/>
              </w:divBdr>
              <w:divsChild>
                <w:div w:id="2051228068">
                  <w:marLeft w:val="0"/>
                  <w:marRight w:val="0"/>
                  <w:marTop w:val="0"/>
                  <w:marBottom w:val="0"/>
                  <w:divBdr>
                    <w:top w:val="none" w:sz="0" w:space="0" w:color="auto"/>
                    <w:left w:val="none" w:sz="0" w:space="0" w:color="auto"/>
                    <w:bottom w:val="none" w:sz="0" w:space="0" w:color="auto"/>
                    <w:right w:val="none" w:sz="0" w:space="0" w:color="auto"/>
                  </w:divBdr>
                  <w:divsChild>
                    <w:div w:id="1183662898">
                      <w:marLeft w:val="0"/>
                      <w:marRight w:val="0"/>
                      <w:marTop w:val="0"/>
                      <w:marBottom w:val="0"/>
                      <w:divBdr>
                        <w:top w:val="none" w:sz="0" w:space="0" w:color="auto"/>
                        <w:left w:val="none" w:sz="0" w:space="0" w:color="auto"/>
                        <w:bottom w:val="none" w:sz="0" w:space="0" w:color="auto"/>
                        <w:right w:val="none" w:sz="0" w:space="0" w:color="auto"/>
                      </w:divBdr>
                      <w:divsChild>
                        <w:div w:id="1928927235">
                          <w:marLeft w:val="0"/>
                          <w:marRight w:val="0"/>
                          <w:marTop w:val="0"/>
                          <w:marBottom w:val="0"/>
                          <w:divBdr>
                            <w:top w:val="none" w:sz="0" w:space="0" w:color="auto"/>
                            <w:left w:val="none" w:sz="0" w:space="0" w:color="auto"/>
                            <w:bottom w:val="none" w:sz="0" w:space="0" w:color="auto"/>
                            <w:right w:val="none" w:sz="0" w:space="0" w:color="auto"/>
                          </w:divBdr>
                          <w:divsChild>
                            <w:div w:id="1423333141">
                              <w:marLeft w:val="0"/>
                              <w:marRight w:val="0"/>
                              <w:marTop w:val="0"/>
                              <w:marBottom w:val="0"/>
                              <w:divBdr>
                                <w:top w:val="none" w:sz="0" w:space="0" w:color="auto"/>
                                <w:left w:val="none" w:sz="0" w:space="0" w:color="auto"/>
                                <w:bottom w:val="none" w:sz="0" w:space="0" w:color="auto"/>
                                <w:right w:val="none" w:sz="0" w:space="0" w:color="auto"/>
                              </w:divBdr>
                              <w:divsChild>
                                <w:div w:id="1756588659">
                                  <w:marLeft w:val="0"/>
                                  <w:marRight w:val="0"/>
                                  <w:marTop w:val="0"/>
                                  <w:marBottom w:val="0"/>
                                  <w:divBdr>
                                    <w:top w:val="none" w:sz="0" w:space="0" w:color="auto"/>
                                    <w:left w:val="none" w:sz="0" w:space="0" w:color="auto"/>
                                    <w:bottom w:val="none" w:sz="0" w:space="0" w:color="auto"/>
                                    <w:right w:val="none" w:sz="0" w:space="0" w:color="auto"/>
                                  </w:divBdr>
                                  <w:divsChild>
                                    <w:div w:id="952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147465">
      <w:bodyDiv w:val="1"/>
      <w:marLeft w:val="0"/>
      <w:marRight w:val="0"/>
      <w:marTop w:val="0"/>
      <w:marBottom w:val="0"/>
      <w:divBdr>
        <w:top w:val="none" w:sz="0" w:space="0" w:color="auto"/>
        <w:left w:val="none" w:sz="0" w:space="0" w:color="auto"/>
        <w:bottom w:val="none" w:sz="0" w:space="0" w:color="auto"/>
        <w:right w:val="none" w:sz="0" w:space="0" w:color="auto"/>
      </w:divBdr>
      <w:divsChild>
        <w:div w:id="10592853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4685324">
      <w:bodyDiv w:val="1"/>
      <w:marLeft w:val="0"/>
      <w:marRight w:val="0"/>
      <w:marTop w:val="0"/>
      <w:marBottom w:val="0"/>
      <w:divBdr>
        <w:top w:val="none" w:sz="0" w:space="0" w:color="auto"/>
        <w:left w:val="none" w:sz="0" w:space="0" w:color="auto"/>
        <w:bottom w:val="none" w:sz="0" w:space="0" w:color="auto"/>
        <w:right w:val="none" w:sz="0" w:space="0" w:color="auto"/>
      </w:divBdr>
    </w:div>
    <w:div w:id="1925139883">
      <w:bodyDiv w:val="1"/>
      <w:marLeft w:val="0"/>
      <w:marRight w:val="0"/>
      <w:marTop w:val="0"/>
      <w:marBottom w:val="0"/>
      <w:divBdr>
        <w:top w:val="none" w:sz="0" w:space="0" w:color="auto"/>
        <w:left w:val="none" w:sz="0" w:space="0" w:color="auto"/>
        <w:bottom w:val="none" w:sz="0" w:space="0" w:color="auto"/>
        <w:right w:val="none" w:sz="0" w:space="0" w:color="auto"/>
      </w:divBdr>
    </w:div>
    <w:div w:id="1932739019">
      <w:bodyDiv w:val="1"/>
      <w:marLeft w:val="0"/>
      <w:marRight w:val="0"/>
      <w:marTop w:val="0"/>
      <w:marBottom w:val="0"/>
      <w:divBdr>
        <w:top w:val="none" w:sz="0" w:space="0" w:color="auto"/>
        <w:left w:val="none" w:sz="0" w:space="0" w:color="auto"/>
        <w:bottom w:val="none" w:sz="0" w:space="0" w:color="auto"/>
        <w:right w:val="none" w:sz="0" w:space="0" w:color="auto"/>
      </w:divBdr>
    </w:div>
    <w:div w:id="1937248849">
      <w:bodyDiv w:val="1"/>
      <w:marLeft w:val="0"/>
      <w:marRight w:val="0"/>
      <w:marTop w:val="0"/>
      <w:marBottom w:val="0"/>
      <w:divBdr>
        <w:top w:val="none" w:sz="0" w:space="0" w:color="auto"/>
        <w:left w:val="none" w:sz="0" w:space="0" w:color="auto"/>
        <w:bottom w:val="none" w:sz="0" w:space="0" w:color="auto"/>
        <w:right w:val="none" w:sz="0" w:space="0" w:color="auto"/>
      </w:divBdr>
    </w:div>
    <w:div w:id="1937470515">
      <w:bodyDiv w:val="1"/>
      <w:marLeft w:val="0"/>
      <w:marRight w:val="0"/>
      <w:marTop w:val="0"/>
      <w:marBottom w:val="0"/>
      <w:divBdr>
        <w:top w:val="none" w:sz="0" w:space="0" w:color="auto"/>
        <w:left w:val="none" w:sz="0" w:space="0" w:color="auto"/>
        <w:bottom w:val="none" w:sz="0" w:space="0" w:color="auto"/>
        <w:right w:val="none" w:sz="0" w:space="0" w:color="auto"/>
      </w:divBdr>
    </w:div>
    <w:div w:id="1942377808">
      <w:bodyDiv w:val="1"/>
      <w:marLeft w:val="0"/>
      <w:marRight w:val="0"/>
      <w:marTop w:val="0"/>
      <w:marBottom w:val="0"/>
      <w:divBdr>
        <w:top w:val="none" w:sz="0" w:space="0" w:color="auto"/>
        <w:left w:val="none" w:sz="0" w:space="0" w:color="auto"/>
        <w:bottom w:val="none" w:sz="0" w:space="0" w:color="auto"/>
        <w:right w:val="none" w:sz="0" w:space="0" w:color="auto"/>
      </w:divBdr>
    </w:div>
    <w:div w:id="1943603792">
      <w:bodyDiv w:val="1"/>
      <w:marLeft w:val="0"/>
      <w:marRight w:val="0"/>
      <w:marTop w:val="0"/>
      <w:marBottom w:val="0"/>
      <w:divBdr>
        <w:top w:val="none" w:sz="0" w:space="0" w:color="auto"/>
        <w:left w:val="none" w:sz="0" w:space="0" w:color="auto"/>
        <w:bottom w:val="none" w:sz="0" w:space="0" w:color="auto"/>
        <w:right w:val="none" w:sz="0" w:space="0" w:color="auto"/>
      </w:divBdr>
    </w:div>
    <w:div w:id="1944263592">
      <w:bodyDiv w:val="1"/>
      <w:marLeft w:val="0"/>
      <w:marRight w:val="0"/>
      <w:marTop w:val="0"/>
      <w:marBottom w:val="0"/>
      <w:divBdr>
        <w:top w:val="none" w:sz="0" w:space="0" w:color="auto"/>
        <w:left w:val="none" w:sz="0" w:space="0" w:color="auto"/>
        <w:bottom w:val="none" w:sz="0" w:space="0" w:color="auto"/>
        <w:right w:val="none" w:sz="0" w:space="0" w:color="auto"/>
      </w:divBdr>
    </w:div>
    <w:div w:id="1944650981">
      <w:bodyDiv w:val="1"/>
      <w:marLeft w:val="0"/>
      <w:marRight w:val="0"/>
      <w:marTop w:val="0"/>
      <w:marBottom w:val="0"/>
      <w:divBdr>
        <w:top w:val="none" w:sz="0" w:space="0" w:color="auto"/>
        <w:left w:val="none" w:sz="0" w:space="0" w:color="auto"/>
        <w:bottom w:val="none" w:sz="0" w:space="0" w:color="auto"/>
        <w:right w:val="none" w:sz="0" w:space="0" w:color="auto"/>
      </w:divBdr>
      <w:divsChild>
        <w:div w:id="1421564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648586">
      <w:bodyDiv w:val="1"/>
      <w:marLeft w:val="0"/>
      <w:marRight w:val="0"/>
      <w:marTop w:val="0"/>
      <w:marBottom w:val="0"/>
      <w:divBdr>
        <w:top w:val="none" w:sz="0" w:space="0" w:color="auto"/>
        <w:left w:val="none" w:sz="0" w:space="0" w:color="auto"/>
        <w:bottom w:val="none" w:sz="0" w:space="0" w:color="auto"/>
        <w:right w:val="none" w:sz="0" w:space="0" w:color="auto"/>
      </w:divBdr>
    </w:div>
    <w:div w:id="1952395198">
      <w:bodyDiv w:val="1"/>
      <w:marLeft w:val="0"/>
      <w:marRight w:val="0"/>
      <w:marTop w:val="0"/>
      <w:marBottom w:val="0"/>
      <w:divBdr>
        <w:top w:val="none" w:sz="0" w:space="0" w:color="auto"/>
        <w:left w:val="none" w:sz="0" w:space="0" w:color="auto"/>
        <w:bottom w:val="none" w:sz="0" w:space="0" w:color="auto"/>
        <w:right w:val="none" w:sz="0" w:space="0" w:color="auto"/>
      </w:divBdr>
    </w:div>
    <w:div w:id="1967078889">
      <w:bodyDiv w:val="1"/>
      <w:marLeft w:val="0"/>
      <w:marRight w:val="0"/>
      <w:marTop w:val="0"/>
      <w:marBottom w:val="0"/>
      <w:divBdr>
        <w:top w:val="none" w:sz="0" w:space="0" w:color="auto"/>
        <w:left w:val="none" w:sz="0" w:space="0" w:color="auto"/>
        <w:bottom w:val="none" w:sz="0" w:space="0" w:color="auto"/>
        <w:right w:val="none" w:sz="0" w:space="0" w:color="auto"/>
      </w:divBdr>
    </w:div>
    <w:div w:id="1968733757">
      <w:bodyDiv w:val="1"/>
      <w:marLeft w:val="0"/>
      <w:marRight w:val="0"/>
      <w:marTop w:val="0"/>
      <w:marBottom w:val="0"/>
      <w:divBdr>
        <w:top w:val="none" w:sz="0" w:space="0" w:color="auto"/>
        <w:left w:val="none" w:sz="0" w:space="0" w:color="auto"/>
        <w:bottom w:val="none" w:sz="0" w:space="0" w:color="auto"/>
        <w:right w:val="none" w:sz="0" w:space="0" w:color="auto"/>
      </w:divBdr>
    </w:div>
    <w:div w:id="1969162247">
      <w:bodyDiv w:val="1"/>
      <w:marLeft w:val="0"/>
      <w:marRight w:val="0"/>
      <w:marTop w:val="0"/>
      <w:marBottom w:val="0"/>
      <w:divBdr>
        <w:top w:val="none" w:sz="0" w:space="0" w:color="auto"/>
        <w:left w:val="none" w:sz="0" w:space="0" w:color="auto"/>
        <w:bottom w:val="none" w:sz="0" w:space="0" w:color="auto"/>
        <w:right w:val="none" w:sz="0" w:space="0" w:color="auto"/>
      </w:divBdr>
      <w:divsChild>
        <w:div w:id="651569571">
          <w:marLeft w:val="0"/>
          <w:marRight w:val="0"/>
          <w:marTop w:val="0"/>
          <w:marBottom w:val="0"/>
          <w:divBdr>
            <w:top w:val="none" w:sz="0" w:space="0" w:color="auto"/>
            <w:left w:val="none" w:sz="0" w:space="0" w:color="auto"/>
            <w:bottom w:val="none" w:sz="0" w:space="0" w:color="auto"/>
            <w:right w:val="none" w:sz="0" w:space="0" w:color="auto"/>
          </w:divBdr>
          <w:divsChild>
            <w:div w:id="2135638652">
              <w:marLeft w:val="0"/>
              <w:marRight w:val="0"/>
              <w:marTop w:val="0"/>
              <w:marBottom w:val="0"/>
              <w:divBdr>
                <w:top w:val="none" w:sz="0" w:space="0" w:color="auto"/>
                <w:left w:val="none" w:sz="0" w:space="0" w:color="auto"/>
                <w:bottom w:val="none" w:sz="0" w:space="0" w:color="auto"/>
                <w:right w:val="none" w:sz="0" w:space="0" w:color="auto"/>
              </w:divBdr>
              <w:divsChild>
                <w:div w:id="634064360">
                  <w:marLeft w:val="0"/>
                  <w:marRight w:val="0"/>
                  <w:marTop w:val="0"/>
                  <w:marBottom w:val="0"/>
                  <w:divBdr>
                    <w:top w:val="none" w:sz="0" w:space="0" w:color="auto"/>
                    <w:left w:val="none" w:sz="0" w:space="0" w:color="auto"/>
                    <w:bottom w:val="none" w:sz="0" w:space="0" w:color="auto"/>
                    <w:right w:val="none" w:sz="0" w:space="0" w:color="auto"/>
                  </w:divBdr>
                  <w:divsChild>
                    <w:div w:id="1659382024">
                      <w:marLeft w:val="0"/>
                      <w:marRight w:val="0"/>
                      <w:marTop w:val="0"/>
                      <w:marBottom w:val="0"/>
                      <w:divBdr>
                        <w:top w:val="none" w:sz="0" w:space="0" w:color="auto"/>
                        <w:left w:val="none" w:sz="0" w:space="0" w:color="auto"/>
                        <w:bottom w:val="none" w:sz="0" w:space="0" w:color="auto"/>
                        <w:right w:val="none" w:sz="0" w:space="0" w:color="auto"/>
                      </w:divBdr>
                      <w:divsChild>
                        <w:div w:id="557938015">
                          <w:marLeft w:val="0"/>
                          <w:marRight w:val="0"/>
                          <w:marTop w:val="0"/>
                          <w:marBottom w:val="0"/>
                          <w:divBdr>
                            <w:top w:val="none" w:sz="0" w:space="0" w:color="auto"/>
                            <w:left w:val="none" w:sz="0" w:space="0" w:color="auto"/>
                            <w:bottom w:val="none" w:sz="0" w:space="0" w:color="auto"/>
                            <w:right w:val="none" w:sz="0" w:space="0" w:color="auto"/>
                          </w:divBdr>
                          <w:divsChild>
                            <w:div w:id="1516729833">
                              <w:marLeft w:val="0"/>
                              <w:marRight w:val="0"/>
                              <w:marTop w:val="0"/>
                              <w:marBottom w:val="0"/>
                              <w:divBdr>
                                <w:top w:val="none" w:sz="0" w:space="0" w:color="auto"/>
                                <w:left w:val="none" w:sz="0" w:space="0" w:color="auto"/>
                                <w:bottom w:val="none" w:sz="0" w:space="0" w:color="auto"/>
                                <w:right w:val="none" w:sz="0" w:space="0" w:color="auto"/>
                              </w:divBdr>
                              <w:divsChild>
                                <w:div w:id="2105344426">
                                  <w:marLeft w:val="0"/>
                                  <w:marRight w:val="0"/>
                                  <w:marTop w:val="0"/>
                                  <w:marBottom w:val="0"/>
                                  <w:divBdr>
                                    <w:top w:val="none" w:sz="0" w:space="0" w:color="auto"/>
                                    <w:left w:val="none" w:sz="0" w:space="0" w:color="auto"/>
                                    <w:bottom w:val="none" w:sz="0" w:space="0" w:color="auto"/>
                                    <w:right w:val="none" w:sz="0" w:space="0" w:color="auto"/>
                                  </w:divBdr>
                                  <w:divsChild>
                                    <w:div w:id="99591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9234667">
      <w:bodyDiv w:val="1"/>
      <w:marLeft w:val="0"/>
      <w:marRight w:val="0"/>
      <w:marTop w:val="0"/>
      <w:marBottom w:val="0"/>
      <w:divBdr>
        <w:top w:val="none" w:sz="0" w:space="0" w:color="auto"/>
        <w:left w:val="none" w:sz="0" w:space="0" w:color="auto"/>
        <w:bottom w:val="none" w:sz="0" w:space="0" w:color="auto"/>
        <w:right w:val="none" w:sz="0" w:space="0" w:color="auto"/>
      </w:divBdr>
    </w:div>
    <w:div w:id="1971938506">
      <w:bodyDiv w:val="1"/>
      <w:marLeft w:val="0"/>
      <w:marRight w:val="0"/>
      <w:marTop w:val="0"/>
      <w:marBottom w:val="0"/>
      <w:divBdr>
        <w:top w:val="none" w:sz="0" w:space="0" w:color="auto"/>
        <w:left w:val="none" w:sz="0" w:space="0" w:color="auto"/>
        <w:bottom w:val="none" w:sz="0" w:space="0" w:color="auto"/>
        <w:right w:val="none" w:sz="0" w:space="0" w:color="auto"/>
      </w:divBdr>
    </w:div>
    <w:div w:id="1974409676">
      <w:bodyDiv w:val="1"/>
      <w:marLeft w:val="0"/>
      <w:marRight w:val="0"/>
      <w:marTop w:val="0"/>
      <w:marBottom w:val="0"/>
      <w:divBdr>
        <w:top w:val="none" w:sz="0" w:space="0" w:color="auto"/>
        <w:left w:val="none" w:sz="0" w:space="0" w:color="auto"/>
        <w:bottom w:val="none" w:sz="0" w:space="0" w:color="auto"/>
        <w:right w:val="none" w:sz="0" w:space="0" w:color="auto"/>
      </w:divBdr>
    </w:div>
    <w:div w:id="1975520312">
      <w:bodyDiv w:val="1"/>
      <w:marLeft w:val="0"/>
      <w:marRight w:val="0"/>
      <w:marTop w:val="0"/>
      <w:marBottom w:val="0"/>
      <w:divBdr>
        <w:top w:val="none" w:sz="0" w:space="0" w:color="auto"/>
        <w:left w:val="none" w:sz="0" w:space="0" w:color="auto"/>
        <w:bottom w:val="none" w:sz="0" w:space="0" w:color="auto"/>
        <w:right w:val="none" w:sz="0" w:space="0" w:color="auto"/>
      </w:divBdr>
    </w:div>
    <w:div w:id="1978533741">
      <w:bodyDiv w:val="1"/>
      <w:marLeft w:val="0"/>
      <w:marRight w:val="0"/>
      <w:marTop w:val="0"/>
      <w:marBottom w:val="0"/>
      <w:divBdr>
        <w:top w:val="none" w:sz="0" w:space="0" w:color="auto"/>
        <w:left w:val="none" w:sz="0" w:space="0" w:color="auto"/>
        <w:bottom w:val="none" w:sz="0" w:space="0" w:color="auto"/>
        <w:right w:val="none" w:sz="0" w:space="0" w:color="auto"/>
      </w:divBdr>
    </w:div>
    <w:div w:id="1979143902">
      <w:bodyDiv w:val="1"/>
      <w:marLeft w:val="0"/>
      <w:marRight w:val="0"/>
      <w:marTop w:val="0"/>
      <w:marBottom w:val="0"/>
      <w:divBdr>
        <w:top w:val="none" w:sz="0" w:space="0" w:color="auto"/>
        <w:left w:val="none" w:sz="0" w:space="0" w:color="auto"/>
        <w:bottom w:val="none" w:sz="0" w:space="0" w:color="auto"/>
        <w:right w:val="none" w:sz="0" w:space="0" w:color="auto"/>
      </w:divBdr>
    </w:div>
    <w:div w:id="1998990709">
      <w:bodyDiv w:val="1"/>
      <w:marLeft w:val="0"/>
      <w:marRight w:val="0"/>
      <w:marTop w:val="0"/>
      <w:marBottom w:val="0"/>
      <w:divBdr>
        <w:top w:val="none" w:sz="0" w:space="0" w:color="auto"/>
        <w:left w:val="none" w:sz="0" w:space="0" w:color="auto"/>
        <w:bottom w:val="none" w:sz="0" w:space="0" w:color="auto"/>
        <w:right w:val="none" w:sz="0" w:space="0" w:color="auto"/>
      </w:divBdr>
      <w:divsChild>
        <w:div w:id="792290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110789">
      <w:bodyDiv w:val="1"/>
      <w:marLeft w:val="0"/>
      <w:marRight w:val="0"/>
      <w:marTop w:val="0"/>
      <w:marBottom w:val="0"/>
      <w:divBdr>
        <w:top w:val="none" w:sz="0" w:space="0" w:color="auto"/>
        <w:left w:val="none" w:sz="0" w:space="0" w:color="auto"/>
        <w:bottom w:val="none" w:sz="0" w:space="0" w:color="auto"/>
        <w:right w:val="none" w:sz="0" w:space="0" w:color="auto"/>
      </w:divBdr>
    </w:div>
    <w:div w:id="1999193059">
      <w:bodyDiv w:val="1"/>
      <w:marLeft w:val="0"/>
      <w:marRight w:val="0"/>
      <w:marTop w:val="0"/>
      <w:marBottom w:val="0"/>
      <w:divBdr>
        <w:top w:val="none" w:sz="0" w:space="0" w:color="auto"/>
        <w:left w:val="none" w:sz="0" w:space="0" w:color="auto"/>
        <w:bottom w:val="none" w:sz="0" w:space="0" w:color="auto"/>
        <w:right w:val="none" w:sz="0" w:space="0" w:color="auto"/>
      </w:divBdr>
    </w:div>
    <w:div w:id="2004164501">
      <w:bodyDiv w:val="1"/>
      <w:marLeft w:val="0"/>
      <w:marRight w:val="0"/>
      <w:marTop w:val="0"/>
      <w:marBottom w:val="0"/>
      <w:divBdr>
        <w:top w:val="none" w:sz="0" w:space="0" w:color="auto"/>
        <w:left w:val="none" w:sz="0" w:space="0" w:color="auto"/>
        <w:bottom w:val="none" w:sz="0" w:space="0" w:color="auto"/>
        <w:right w:val="none" w:sz="0" w:space="0" w:color="auto"/>
      </w:divBdr>
    </w:div>
    <w:div w:id="2006935227">
      <w:bodyDiv w:val="1"/>
      <w:marLeft w:val="0"/>
      <w:marRight w:val="0"/>
      <w:marTop w:val="0"/>
      <w:marBottom w:val="0"/>
      <w:divBdr>
        <w:top w:val="none" w:sz="0" w:space="0" w:color="auto"/>
        <w:left w:val="none" w:sz="0" w:space="0" w:color="auto"/>
        <w:bottom w:val="none" w:sz="0" w:space="0" w:color="auto"/>
        <w:right w:val="none" w:sz="0" w:space="0" w:color="auto"/>
      </w:divBdr>
    </w:div>
    <w:div w:id="2012949037">
      <w:bodyDiv w:val="1"/>
      <w:marLeft w:val="0"/>
      <w:marRight w:val="0"/>
      <w:marTop w:val="0"/>
      <w:marBottom w:val="0"/>
      <w:divBdr>
        <w:top w:val="none" w:sz="0" w:space="0" w:color="auto"/>
        <w:left w:val="none" w:sz="0" w:space="0" w:color="auto"/>
        <w:bottom w:val="none" w:sz="0" w:space="0" w:color="auto"/>
        <w:right w:val="none" w:sz="0" w:space="0" w:color="auto"/>
      </w:divBdr>
    </w:div>
    <w:div w:id="2030569842">
      <w:bodyDiv w:val="1"/>
      <w:marLeft w:val="0"/>
      <w:marRight w:val="0"/>
      <w:marTop w:val="0"/>
      <w:marBottom w:val="0"/>
      <w:divBdr>
        <w:top w:val="none" w:sz="0" w:space="0" w:color="auto"/>
        <w:left w:val="none" w:sz="0" w:space="0" w:color="auto"/>
        <w:bottom w:val="none" w:sz="0" w:space="0" w:color="auto"/>
        <w:right w:val="none" w:sz="0" w:space="0" w:color="auto"/>
      </w:divBdr>
    </w:div>
    <w:div w:id="2035769439">
      <w:bodyDiv w:val="1"/>
      <w:marLeft w:val="0"/>
      <w:marRight w:val="0"/>
      <w:marTop w:val="0"/>
      <w:marBottom w:val="0"/>
      <w:divBdr>
        <w:top w:val="none" w:sz="0" w:space="0" w:color="auto"/>
        <w:left w:val="none" w:sz="0" w:space="0" w:color="auto"/>
        <w:bottom w:val="none" w:sz="0" w:space="0" w:color="auto"/>
        <w:right w:val="none" w:sz="0" w:space="0" w:color="auto"/>
      </w:divBdr>
    </w:div>
    <w:div w:id="2040545229">
      <w:bodyDiv w:val="1"/>
      <w:marLeft w:val="0"/>
      <w:marRight w:val="0"/>
      <w:marTop w:val="0"/>
      <w:marBottom w:val="0"/>
      <w:divBdr>
        <w:top w:val="none" w:sz="0" w:space="0" w:color="auto"/>
        <w:left w:val="none" w:sz="0" w:space="0" w:color="auto"/>
        <w:bottom w:val="none" w:sz="0" w:space="0" w:color="auto"/>
        <w:right w:val="none" w:sz="0" w:space="0" w:color="auto"/>
      </w:divBdr>
    </w:div>
    <w:div w:id="2044330364">
      <w:bodyDiv w:val="1"/>
      <w:marLeft w:val="0"/>
      <w:marRight w:val="0"/>
      <w:marTop w:val="0"/>
      <w:marBottom w:val="0"/>
      <w:divBdr>
        <w:top w:val="none" w:sz="0" w:space="0" w:color="auto"/>
        <w:left w:val="none" w:sz="0" w:space="0" w:color="auto"/>
        <w:bottom w:val="none" w:sz="0" w:space="0" w:color="auto"/>
        <w:right w:val="none" w:sz="0" w:space="0" w:color="auto"/>
      </w:divBdr>
    </w:div>
    <w:div w:id="2046710848">
      <w:bodyDiv w:val="1"/>
      <w:marLeft w:val="0"/>
      <w:marRight w:val="0"/>
      <w:marTop w:val="0"/>
      <w:marBottom w:val="0"/>
      <w:divBdr>
        <w:top w:val="none" w:sz="0" w:space="0" w:color="auto"/>
        <w:left w:val="none" w:sz="0" w:space="0" w:color="auto"/>
        <w:bottom w:val="none" w:sz="0" w:space="0" w:color="auto"/>
        <w:right w:val="none" w:sz="0" w:space="0" w:color="auto"/>
      </w:divBdr>
    </w:div>
    <w:div w:id="2051567660">
      <w:bodyDiv w:val="1"/>
      <w:marLeft w:val="0"/>
      <w:marRight w:val="0"/>
      <w:marTop w:val="0"/>
      <w:marBottom w:val="0"/>
      <w:divBdr>
        <w:top w:val="none" w:sz="0" w:space="0" w:color="auto"/>
        <w:left w:val="none" w:sz="0" w:space="0" w:color="auto"/>
        <w:bottom w:val="none" w:sz="0" w:space="0" w:color="auto"/>
        <w:right w:val="none" w:sz="0" w:space="0" w:color="auto"/>
      </w:divBdr>
    </w:div>
    <w:div w:id="2053846966">
      <w:bodyDiv w:val="1"/>
      <w:marLeft w:val="0"/>
      <w:marRight w:val="0"/>
      <w:marTop w:val="0"/>
      <w:marBottom w:val="0"/>
      <w:divBdr>
        <w:top w:val="none" w:sz="0" w:space="0" w:color="auto"/>
        <w:left w:val="none" w:sz="0" w:space="0" w:color="auto"/>
        <w:bottom w:val="none" w:sz="0" w:space="0" w:color="auto"/>
        <w:right w:val="none" w:sz="0" w:space="0" w:color="auto"/>
      </w:divBdr>
    </w:div>
    <w:div w:id="2060400151">
      <w:bodyDiv w:val="1"/>
      <w:marLeft w:val="0"/>
      <w:marRight w:val="0"/>
      <w:marTop w:val="0"/>
      <w:marBottom w:val="0"/>
      <w:divBdr>
        <w:top w:val="none" w:sz="0" w:space="0" w:color="auto"/>
        <w:left w:val="none" w:sz="0" w:space="0" w:color="auto"/>
        <w:bottom w:val="none" w:sz="0" w:space="0" w:color="auto"/>
        <w:right w:val="none" w:sz="0" w:space="0" w:color="auto"/>
      </w:divBdr>
    </w:div>
    <w:div w:id="2065257471">
      <w:bodyDiv w:val="1"/>
      <w:marLeft w:val="0"/>
      <w:marRight w:val="0"/>
      <w:marTop w:val="0"/>
      <w:marBottom w:val="0"/>
      <w:divBdr>
        <w:top w:val="none" w:sz="0" w:space="0" w:color="auto"/>
        <w:left w:val="none" w:sz="0" w:space="0" w:color="auto"/>
        <w:bottom w:val="none" w:sz="0" w:space="0" w:color="auto"/>
        <w:right w:val="none" w:sz="0" w:space="0" w:color="auto"/>
      </w:divBdr>
    </w:div>
    <w:div w:id="2068525275">
      <w:bodyDiv w:val="1"/>
      <w:marLeft w:val="0"/>
      <w:marRight w:val="0"/>
      <w:marTop w:val="0"/>
      <w:marBottom w:val="0"/>
      <w:divBdr>
        <w:top w:val="none" w:sz="0" w:space="0" w:color="auto"/>
        <w:left w:val="none" w:sz="0" w:space="0" w:color="auto"/>
        <w:bottom w:val="none" w:sz="0" w:space="0" w:color="auto"/>
        <w:right w:val="none" w:sz="0" w:space="0" w:color="auto"/>
      </w:divBdr>
    </w:div>
    <w:div w:id="2070683957">
      <w:bodyDiv w:val="1"/>
      <w:marLeft w:val="0"/>
      <w:marRight w:val="0"/>
      <w:marTop w:val="0"/>
      <w:marBottom w:val="0"/>
      <w:divBdr>
        <w:top w:val="none" w:sz="0" w:space="0" w:color="auto"/>
        <w:left w:val="none" w:sz="0" w:space="0" w:color="auto"/>
        <w:bottom w:val="none" w:sz="0" w:space="0" w:color="auto"/>
        <w:right w:val="none" w:sz="0" w:space="0" w:color="auto"/>
      </w:divBdr>
      <w:divsChild>
        <w:div w:id="722951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548464">
      <w:bodyDiv w:val="1"/>
      <w:marLeft w:val="0"/>
      <w:marRight w:val="0"/>
      <w:marTop w:val="0"/>
      <w:marBottom w:val="0"/>
      <w:divBdr>
        <w:top w:val="none" w:sz="0" w:space="0" w:color="auto"/>
        <w:left w:val="none" w:sz="0" w:space="0" w:color="auto"/>
        <w:bottom w:val="none" w:sz="0" w:space="0" w:color="auto"/>
        <w:right w:val="none" w:sz="0" w:space="0" w:color="auto"/>
      </w:divBdr>
    </w:div>
    <w:div w:id="2090617457">
      <w:bodyDiv w:val="1"/>
      <w:marLeft w:val="0"/>
      <w:marRight w:val="0"/>
      <w:marTop w:val="0"/>
      <w:marBottom w:val="0"/>
      <w:divBdr>
        <w:top w:val="none" w:sz="0" w:space="0" w:color="auto"/>
        <w:left w:val="none" w:sz="0" w:space="0" w:color="auto"/>
        <w:bottom w:val="none" w:sz="0" w:space="0" w:color="auto"/>
        <w:right w:val="none" w:sz="0" w:space="0" w:color="auto"/>
      </w:divBdr>
    </w:div>
    <w:div w:id="2094353766">
      <w:bodyDiv w:val="1"/>
      <w:marLeft w:val="0"/>
      <w:marRight w:val="0"/>
      <w:marTop w:val="0"/>
      <w:marBottom w:val="0"/>
      <w:divBdr>
        <w:top w:val="none" w:sz="0" w:space="0" w:color="auto"/>
        <w:left w:val="none" w:sz="0" w:space="0" w:color="auto"/>
        <w:bottom w:val="none" w:sz="0" w:space="0" w:color="auto"/>
        <w:right w:val="none" w:sz="0" w:space="0" w:color="auto"/>
      </w:divBdr>
    </w:div>
    <w:div w:id="2097752356">
      <w:bodyDiv w:val="1"/>
      <w:marLeft w:val="0"/>
      <w:marRight w:val="0"/>
      <w:marTop w:val="0"/>
      <w:marBottom w:val="0"/>
      <w:divBdr>
        <w:top w:val="none" w:sz="0" w:space="0" w:color="auto"/>
        <w:left w:val="none" w:sz="0" w:space="0" w:color="auto"/>
        <w:bottom w:val="none" w:sz="0" w:space="0" w:color="auto"/>
        <w:right w:val="none" w:sz="0" w:space="0" w:color="auto"/>
      </w:divBdr>
    </w:div>
    <w:div w:id="2099137459">
      <w:bodyDiv w:val="1"/>
      <w:marLeft w:val="0"/>
      <w:marRight w:val="0"/>
      <w:marTop w:val="0"/>
      <w:marBottom w:val="0"/>
      <w:divBdr>
        <w:top w:val="none" w:sz="0" w:space="0" w:color="auto"/>
        <w:left w:val="none" w:sz="0" w:space="0" w:color="auto"/>
        <w:bottom w:val="none" w:sz="0" w:space="0" w:color="auto"/>
        <w:right w:val="none" w:sz="0" w:space="0" w:color="auto"/>
      </w:divBdr>
    </w:div>
    <w:div w:id="2102405996">
      <w:bodyDiv w:val="1"/>
      <w:marLeft w:val="0"/>
      <w:marRight w:val="0"/>
      <w:marTop w:val="0"/>
      <w:marBottom w:val="0"/>
      <w:divBdr>
        <w:top w:val="none" w:sz="0" w:space="0" w:color="auto"/>
        <w:left w:val="none" w:sz="0" w:space="0" w:color="auto"/>
        <w:bottom w:val="none" w:sz="0" w:space="0" w:color="auto"/>
        <w:right w:val="none" w:sz="0" w:space="0" w:color="auto"/>
      </w:divBdr>
    </w:div>
    <w:div w:id="2102723959">
      <w:bodyDiv w:val="1"/>
      <w:marLeft w:val="0"/>
      <w:marRight w:val="0"/>
      <w:marTop w:val="0"/>
      <w:marBottom w:val="0"/>
      <w:divBdr>
        <w:top w:val="none" w:sz="0" w:space="0" w:color="auto"/>
        <w:left w:val="none" w:sz="0" w:space="0" w:color="auto"/>
        <w:bottom w:val="none" w:sz="0" w:space="0" w:color="auto"/>
        <w:right w:val="none" w:sz="0" w:space="0" w:color="auto"/>
      </w:divBdr>
    </w:div>
    <w:div w:id="2106799391">
      <w:bodyDiv w:val="1"/>
      <w:marLeft w:val="0"/>
      <w:marRight w:val="0"/>
      <w:marTop w:val="0"/>
      <w:marBottom w:val="0"/>
      <w:divBdr>
        <w:top w:val="none" w:sz="0" w:space="0" w:color="auto"/>
        <w:left w:val="none" w:sz="0" w:space="0" w:color="auto"/>
        <w:bottom w:val="none" w:sz="0" w:space="0" w:color="auto"/>
        <w:right w:val="none" w:sz="0" w:space="0" w:color="auto"/>
      </w:divBdr>
      <w:divsChild>
        <w:div w:id="1169754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2125316">
      <w:bodyDiv w:val="1"/>
      <w:marLeft w:val="0"/>
      <w:marRight w:val="0"/>
      <w:marTop w:val="0"/>
      <w:marBottom w:val="0"/>
      <w:divBdr>
        <w:top w:val="none" w:sz="0" w:space="0" w:color="auto"/>
        <w:left w:val="none" w:sz="0" w:space="0" w:color="auto"/>
        <w:bottom w:val="none" w:sz="0" w:space="0" w:color="auto"/>
        <w:right w:val="none" w:sz="0" w:space="0" w:color="auto"/>
      </w:divBdr>
    </w:div>
    <w:div w:id="2112161202">
      <w:bodyDiv w:val="1"/>
      <w:marLeft w:val="0"/>
      <w:marRight w:val="0"/>
      <w:marTop w:val="0"/>
      <w:marBottom w:val="0"/>
      <w:divBdr>
        <w:top w:val="none" w:sz="0" w:space="0" w:color="auto"/>
        <w:left w:val="none" w:sz="0" w:space="0" w:color="auto"/>
        <w:bottom w:val="none" w:sz="0" w:space="0" w:color="auto"/>
        <w:right w:val="none" w:sz="0" w:space="0" w:color="auto"/>
      </w:divBdr>
      <w:divsChild>
        <w:div w:id="9780015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294328">
      <w:bodyDiv w:val="1"/>
      <w:marLeft w:val="0"/>
      <w:marRight w:val="0"/>
      <w:marTop w:val="0"/>
      <w:marBottom w:val="0"/>
      <w:divBdr>
        <w:top w:val="none" w:sz="0" w:space="0" w:color="auto"/>
        <w:left w:val="none" w:sz="0" w:space="0" w:color="auto"/>
        <w:bottom w:val="none" w:sz="0" w:space="0" w:color="auto"/>
        <w:right w:val="none" w:sz="0" w:space="0" w:color="auto"/>
      </w:divBdr>
    </w:div>
    <w:div w:id="2124762175">
      <w:bodyDiv w:val="1"/>
      <w:marLeft w:val="0"/>
      <w:marRight w:val="0"/>
      <w:marTop w:val="0"/>
      <w:marBottom w:val="0"/>
      <w:divBdr>
        <w:top w:val="none" w:sz="0" w:space="0" w:color="auto"/>
        <w:left w:val="none" w:sz="0" w:space="0" w:color="auto"/>
        <w:bottom w:val="none" w:sz="0" w:space="0" w:color="auto"/>
        <w:right w:val="none" w:sz="0" w:space="0" w:color="auto"/>
      </w:divBdr>
      <w:divsChild>
        <w:div w:id="1993100313">
          <w:marLeft w:val="0"/>
          <w:marRight w:val="0"/>
          <w:marTop w:val="0"/>
          <w:marBottom w:val="0"/>
          <w:divBdr>
            <w:top w:val="none" w:sz="0" w:space="0" w:color="auto"/>
            <w:left w:val="none" w:sz="0" w:space="0" w:color="auto"/>
            <w:bottom w:val="none" w:sz="0" w:space="0" w:color="auto"/>
            <w:right w:val="none" w:sz="0" w:space="0" w:color="auto"/>
          </w:divBdr>
          <w:divsChild>
            <w:div w:id="1749617741">
              <w:marLeft w:val="0"/>
              <w:marRight w:val="0"/>
              <w:marTop w:val="0"/>
              <w:marBottom w:val="0"/>
              <w:divBdr>
                <w:top w:val="none" w:sz="0" w:space="0" w:color="auto"/>
                <w:left w:val="none" w:sz="0" w:space="0" w:color="auto"/>
                <w:bottom w:val="none" w:sz="0" w:space="0" w:color="auto"/>
                <w:right w:val="none" w:sz="0" w:space="0" w:color="auto"/>
              </w:divBdr>
              <w:divsChild>
                <w:div w:id="577986222">
                  <w:marLeft w:val="0"/>
                  <w:marRight w:val="0"/>
                  <w:marTop w:val="0"/>
                  <w:marBottom w:val="0"/>
                  <w:divBdr>
                    <w:top w:val="none" w:sz="0" w:space="0" w:color="auto"/>
                    <w:left w:val="none" w:sz="0" w:space="0" w:color="auto"/>
                    <w:bottom w:val="none" w:sz="0" w:space="0" w:color="auto"/>
                    <w:right w:val="none" w:sz="0" w:space="0" w:color="auto"/>
                  </w:divBdr>
                  <w:divsChild>
                    <w:div w:id="1582644482">
                      <w:marLeft w:val="0"/>
                      <w:marRight w:val="0"/>
                      <w:marTop w:val="0"/>
                      <w:marBottom w:val="0"/>
                      <w:divBdr>
                        <w:top w:val="none" w:sz="0" w:space="0" w:color="auto"/>
                        <w:left w:val="none" w:sz="0" w:space="0" w:color="auto"/>
                        <w:bottom w:val="none" w:sz="0" w:space="0" w:color="auto"/>
                        <w:right w:val="none" w:sz="0" w:space="0" w:color="auto"/>
                      </w:divBdr>
                      <w:divsChild>
                        <w:div w:id="561330639">
                          <w:marLeft w:val="0"/>
                          <w:marRight w:val="0"/>
                          <w:marTop w:val="0"/>
                          <w:marBottom w:val="0"/>
                          <w:divBdr>
                            <w:top w:val="none" w:sz="0" w:space="0" w:color="auto"/>
                            <w:left w:val="none" w:sz="0" w:space="0" w:color="auto"/>
                            <w:bottom w:val="none" w:sz="0" w:space="0" w:color="auto"/>
                            <w:right w:val="none" w:sz="0" w:space="0" w:color="auto"/>
                          </w:divBdr>
                          <w:divsChild>
                            <w:div w:id="230820799">
                              <w:marLeft w:val="0"/>
                              <w:marRight w:val="0"/>
                              <w:marTop w:val="0"/>
                              <w:marBottom w:val="0"/>
                              <w:divBdr>
                                <w:top w:val="none" w:sz="0" w:space="0" w:color="auto"/>
                                <w:left w:val="none" w:sz="0" w:space="0" w:color="auto"/>
                                <w:bottom w:val="none" w:sz="0" w:space="0" w:color="auto"/>
                                <w:right w:val="none" w:sz="0" w:space="0" w:color="auto"/>
                              </w:divBdr>
                              <w:divsChild>
                                <w:div w:id="731544238">
                                  <w:marLeft w:val="0"/>
                                  <w:marRight w:val="0"/>
                                  <w:marTop w:val="0"/>
                                  <w:marBottom w:val="0"/>
                                  <w:divBdr>
                                    <w:top w:val="none" w:sz="0" w:space="0" w:color="auto"/>
                                    <w:left w:val="none" w:sz="0" w:space="0" w:color="auto"/>
                                    <w:bottom w:val="none" w:sz="0" w:space="0" w:color="auto"/>
                                    <w:right w:val="none" w:sz="0" w:space="0" w:color="auto"/>
                                  </w:divBdr>
                                  <w:divsChild>
                                    <w:div w:id="155681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222254">
      <w:bodyDiv w:val="1"/>
      <w:marLeft w:val="0"/>
      <w:marRight w:val="0"/>
      <w:marTop w:val="0"/>
      <w:marBottom w:val="0"/>
      <w:divBdr>
        <w:top w:val="none" w:sz="0" w:space="0" w:color="auto"/>
        <w:left w:val="none" w:sz="0" w:space="0" w:color="auto"/>
        <w:bottom w:val="none" w:sz="0" w:space="0" w:color="auto"/>
        <w:right w:val="none" w:sz="0" w:space="0" w:color="auto"/>
      </w:divBdr>
    </w:div>
    <w:div w:id="2133287044">
      <w:bodyDiv w:val="1"/>
      <w:marLeft w:val="0"/>
      <w:marRight w:val="0"/>
      <w:marTop w:val="0"/>
      <w:marBottom w:val="0"/>
      <w:divBdr>
        <w:top w:val="none" w:sz="0" w:space="0" w:color="auto"/>
        <w:left w:val="none" w:sz="0" w:space="0" w:color="auto"/>
        <w:bottom w:val="none" w:sz="0" w:space="0" w:color="auto"/>
        <w:right w:val="none" w:sz="0" w:space="0" w:color="auto"/>
      </w:divBdr>
    </w:div>
    <w:div w:id="2140950977">
      <w:bodyDiv w:val="1"/>
      <w:marLeft w:val="0"/>
      <w:marRight w:val="0"/>
      <w:marTop w:val="0"/>
      <w:marBottom w:val="0"/>
      <w:divBdr>
        <w:top w:val="none" w:sz="0" w:space="0" w:color="auto"/>
        <w:left w:val="none" w:sz="0" w:space="0" w:color="auto"/>
        <w:bottom w:val="none" w:sz="0" w:space="0" w:color="auto"/>
        <w:right w:val="none" w:sz="0" w:space="0" w:color="auto"/>
      </w:divBdr>
      <w:divsChild>
        <w:div w:id="3581637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4302989">
      <w:bodyDiv w:val="1"/>
      <w:marLeft w:val="0"/>
      <w:marRight w:val="0"/>
      <w:marTop w:val="0"/>
      <w:marBottom w:val="0"/>
      <w:divBdr>
        <w:top w:val="none" w:sz="0" w:space="0" w:color="auto"/>
        <w:left w:val="none" w:sz="0" w:space="0" w:color="auto"/>
        <w:bottom w:val="none" w:sz="0" w:space="0" w:color="auto"/>
        <w:right w:val="none" w:sz="0" w:space="0" w:color="auto"/>
      </w:divBdr>
    </w:div>
    <w:div w:id="2144731513">
      <w:bodyDiv w:val="1"/>
      <w:marLeft w:val="0"/>
      <w:marRight w:val="0"/>
      <w:marTop w:val="0"/>
      <w:marBottom w:val="0"/>
      <w:divBdr>
        <w:top w:val="none" w:sz="0" w:space="0" w:color="auto"/>
        <w:left w:val="none" w:sz="0" w:space="0" w:color="auto"/>
        <w:bottom w:val="none" w:sz="0" w:space="0" w:color="auto"/>
        <w:right w:val="none" w:sz="0" w:space="0" w:color="auto"/>
      </w:divBdr>
    </w:div>
    <w:div w:id="2145462583">
      <w:bodyDiv w:val="1"/>
      <w:marLeft w:val="0"/>
      <w:marRight w:val="0"/>
      <w:marTop w:val="0"/>
      <w:marBottom w:val="0"/>
      <w:divBdr>
        <w:top w:val="none" w:sz="0" w:space="0" w:color="auto"/>
        <w:left w:val="none" w:sz="0" w:space="0" w:color="auto"/>
        <w:bottom w:val="none" w:sz="0" w:space="0" w:color="auto"/>
        <w:right w:val="none" w:sz="0" w:space="0" w:color="auto"/>
      </w:divBdr>
    </w:div>
    <w:div w:id="2145542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omments" Target="comments.xml"/><Relationship Id="rId10" Type="http://schemas.openxmlformats.org/officeDocument/2006/relationships/header" Target="header2.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microsoft.com/office/2016/09/relationships/commentsIds" Target="commentsId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9C254-12D7-4A3D-A898-BB4DEF732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86</Pages>
  <Words>22093</Words>
  <Characters>125936</Characters>
  <Application>Microsoft Office Word</Application>
  <DocSecurity>0</DocSecurity>
  <Lines>1049</Lines>
  <Paragraphs>295</Paragraphs>
  <ScaleCrop>false</ScaleCrop>
  <HeadingPairs>
    <vt:vector size="2" baseType="variant">
      <vt:variant>
        <vt:lpstr>العنوان</vt:lpstr>
      </vt:variant>
      <vt:variant>
        <vt:i4>1</vt:i4>
      </vt:variant>
    </vt:vector>
  </HeadingPairs>
  <TitlesOfParts>
    <vt:vector size="1" baseType="lpstr">
      <vt:lpstr>"حماية البيانات الشخصية في البيئة الرقمية: دراسة مقارنة بين التشريعات العربية والدولية"</vt:lpstr>
    </vt:vector>
  </TitlesOfParts>
  <Company/>
  <LinksUpToDate>false</LinksUpToDate>
  <CharactersWithSpaces>147734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"حماية البيانات الشخصية في البيئة الرقمية: دراسة مقارنة بين التشريعات العربية والدولية"</dc:title>
  <dc:subject/>
  <dc:creator>acer</dc:creator>
  <cp:keywords/>
  <dc:description/>
  <cp:lastModifiedBy>Dr. Ibrahim</cp:lastModifiedBy>
  <cp:revision>8</cp:revision>
  <dcterms:created xsi:type="dcterms:W3CDTF">2026-08-17T12:11:00Z</dcterms:created>
  <dcterms:modified xsi:type="dcterms:W3CDTF">2026-08-17T16:47:00Z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3535c500-cade-47c0-acd0-3e45c59ddfc9</vt:lpwstr>
  </property>
</Properties>
</file>