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3DBCAAA"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F75D94">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E8DBA93" w14:textId="77777777" w:rsidR="00F75D94" w:rsidRDefault="002C6D9E" w:rsidP="002C6D9E">
      <w:pPr>
        <w:jc w:val="center"/>
        <w:rPr>
          <w:rFonts w:ascii="Sakkal Majalla" w:hAnsi="Sakkal Majalla" w:cs="Sakkal Majalla"/>
          <w:b/>
          <w:bCs/>
          <w:sz w:val="28"/>
          <w:szCs w:val="28"/>
          <w:rtl/>
          <w:lang w:bidi="ar-EG"/>
        </w:rPr>
      </w:pPr>
      <w:r w:rsidRPr="002C6D9E">
        <w:rPr>
          <w:rFonts w:ascii="Sakkal Majalla" w:hAnsi="Sakkal Majalla" w:cs="Sakkal Majalla" w:hint="cs"/>
          <w:b/>
          <w:bCs/>
          <w:sz w:val="28"/>
          <w:szCs w:val="28"/>
          <w:rtl/>
          <w:lang w:bidi="ar-EG"/>
        </w:rPr>
        <w:t>دور</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إدارة</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المخاطر</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في</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تقليل</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معدلات</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العدوى</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المكتسبة</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داخل</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المستشفيات</w:t>
      </w:r>
      <w:r w:rsidRPr="002C6D9E">
        <w:rPr>
          <w:rFonts w:ascii="Sakkal Majalla" w:hAnsi="Sakkal Majalla" w:cs="Sakkal Majalla"/>
          <w:b/>
          <w:bCs/>
          <w:sz w:val="28"/>
          <w:szCs w:val="28"/>
          <w:rtl/>
          <w:lang w:bidi="ar-EG"/>
        </w:rPr>
        <w:t xml:space="preserve"> –</w:t>
      </w:r>
    </w:p>
    <w:p w14:paraId="15C28831" w14:textId="726A2EAE" w:rsidR="009125CE" w:rsidRPr="002C6D9E" w:rsidRDefault="002C6D9E" w:rsidP="002C6D9E">
      <w:pPr>
        <w:jc w:val="center"/>
        <w:rPr>
          <w:rFonts w:ascii="Sakkal Majalla" w:hAnsi="Sakkal Majalla" w:cs="Sakkal Majalla"/>
          <w:b/>
          <w:bCs/>
          <w:sz w:val="28"/>
          <w:szCs w:val="28"/>
          <w:rtl/>
          <w:lang w:bidi="ar-EG"/>
        </w:rPr>
      </w:pP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دراسة</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تطبيقية</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في</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المستشفى</w:t>
      </w:r>
      <w:r w:rsidRPr="002C6D9E">
        <w:rPr>
          <w:rFonts w:ascii="Sakkal Majalla" w:hAnsi="Sakkal Majalla" w:cs="Sakkal Majalla"/>
          <w:b/>
          <w:bCs/>
          <w:sz w:val="28"/>
          <w:szCs w:val="28"/>
          <w:rtl/>
          <w:lang w:bidi="ar-EG"/>
        </w:rPr>
        <w:t xml:space="preserve"> </w:t>
      </w:r>
      <w:r w:rsidRPr="002C6D9E">
        <w:rPr>
          <w:rFonts w:ascii="Sakkal Majalla" w:hAnsi="Sakkal Majalla" w:cs="Sakkal Majalla" w:hint="cs"/>
          <w:b/>
          <w:bCs/>
          <w:sz w:val="28"/>
          <w:szCs w:val="28"/>
          <w:rtl/>
          <w:lang w:bidi="ar-EG"/>
        </w:rPr>
        <w:t>التخصصي</w:t>
      </w:r>
      <w:r w:rsidRPr="002C6D9E">
        <w:rPr>
          <w:rFonts w:ascii="Sakkal Majalla" w:hAnsi="Sakkal Majalla" w:cs="Sakkal Majalla"/>
          <w:b/>
          <w:bCs/>
          <w:sz w:val="28"/>
          <w:szCs w:val="28"/>
          <w:rtl/>
          <w:lang w:bidi="ar-EG"/>
        </w:rPr>
        <w:t>.</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6E263FD3" w14:textId="0ED3E7A4" w:rsidR="00444216" w:rsidRPr="00E12747" w:rsidRDefault="00444216" w:rsidP="00F75D94">
      <w:pPr>
        <w:bidi w:val="0"/>
        <w:spacing w:after="0" w:line="360" w:lineRule="auto"/>
        <w:jc w:val="center"/>
        <w:rPr>
          <w:rFonts w:asciiTheme="majorBidi" w:eastAsiaTheme="minorEastAsia" w:hAnsiTheme="majorBidi" w:cstheme="majorBidi"/>
          <w:b/>
          <w:bCs/>
          <w:color w:val="000000" w:themeColor="text1"/>
          <w:kern w:val="0"/>
          <w:sz w:val="28"/>
          <w:szCs w:val="28"/>
          <w14:ligatures w14:val="none"/>
        </w:rPr>
      </w:pPr>
      <w:r w:rsidRPr="00E12747">
        <w:rPr>
          <w:rFonts w:asciiTheme="majorBidi" w:eastAsiaTheme="minorEastAsia" w:hAnsiTheme="majorBidi" w:cstheme="majorBidi"/>
          <w:b/>
          <w:bCs/>
          <w:color w:val="000000" w:themeColor="text1"/>
          <w:kern w:val="0"/>
          <w:sz w:val="28"/>
          <w:szCs w:val="28"/>
          <w14:ligatures w14:val="none"/>
        </w:rPr>
        <w:t>The Role of Risk Management in Reducing the Rates of Hospital-Acquired Infections – An Applied Study at the Specialized Hospital</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51FAC721" w14:textId="77777777" w:rsidR="00F75D94" w:rsidRPr="001902DB" w:rsidRDefault="00F75D94" w:rsidP="00F75D94">
      <w:pPr>
        <w:jc w:val="center"/>
        <w:divId w:val="1179391135"/>
        <w:rPr>
          <w:rFonts w:ascii="Sakkal Majalla" w:hAnsi="Sakkal Majalla" w:cs="Sakkal Majalla"/>
          <w:b/>
          <w:bCs/>
          <w:sz w:val="28"/>
          <w:szCs w:val="28"/>
          <w:lang w:bidi="ar-EG"/>
        </w:rPr>
      </w:pPr>
    </w:p>
    <w:p w14:paraId="1CB62212" w14:textId="77777777" w:rsidR="00F75D94" w:rsidRPr="001902DB" w:rsidRDefault="00F75D94" w:rsidP="00F75D94">
      <w:pPr>
        <w:jc w:val="center"/>
        <w:divId w:val="1179391135"/>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245C14B" w14:textId="77777777" w:rsidR="00F75D94" w:rsidRPr="001902DB" w:rsidRDefault="00F75D94" w:rsidP="00F75D94">
      <w:pPr>
        <w:jc w:val="center"/>
        <w:divId w:val="1179391135"/>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سالم سوندي مهدي آل خداش</w:t>
      </w:r>
    </w:p>
    <w:p w14:paraId="191508EE" w14:textId="77777777" w:rsidR="00F75D94" w:rsidRDefault="00F75D94" w:rsidP="00F75D94">
      <w:pPr>
        <w:jc w:val="center"/>
        <w:divId w:val="1179391135"/>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7044C28" w14:textId="77777777" w:rsidR="00F75D94" w:rsidRPr="001902DB" w:rsidRDefault="00F75D94" w:rsidP="00F75D94">
      <w:pPr>
        <w:jc w:val="center"/>
        <w:divId w:val="1179391135"/>
        <w:rPr>
          <w:rFonts w:ascii="Sakkal Majalla" w:hAnsi="Sakkal Majalla" w:cs="Sakkal Majalla"/>
          <w:b/>
          <w:bCs/>
          <w:sz w:val="28"/>
          <w:szCs w:val="28"/>
          <w:lang w:bidi="ar-EG"/>
        </w:rPr>
      </w:pPr>
      <w:r>
        <w:rPr>
          <w:rFonts w:ascii="Sakkal Majalla" w:hAnsi="Sakkal Majalla" w:cs="Sakkal Majalla"/>
          <w:b/>
          <w:bCs/>
          <w:sz w:val="28"/>
          <w:szCs w:val="28"/>
          <w:lang w:bidi="ar-EG"/>
        </w:rPr>
        <w:t>251000080</w:t>
      </w:r>
    </w:p>
    <w:p w14:paraId="5AEA6F20" w14:textId="77777777" w:rsidR="00F75D94" w:rsidRDefault="00F75D94" w:rsidP="00F75D94">
      <w:pPr>
        <w:jc w:val="center"/>
        <w:divId w:val="1179391135"/>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إشراف</w:t>
      </w:r>
    </w:p>
    <w:p w14:paraId="6EB5FB3C" w14:textId="77777777" w:rsidR="00F75D94" w:rsidRDefault="00F75D94" w:rsidP="00F75D94">
      <w:pPr>
        <w:jc w:val="center"/>
        <w:divId w:val="1179391135"/>
        <w:rPr>
          <w:rFonts w:ascii="Sakkal Majalla" w:hAnsi="Sakkal Majalla" w:cs="Sakkal Majalla"/>
          <w:b/>
          <w:bCs/>
          <w:sz w:val="28"/>
          <w:szCs w:val="28"/>
        </w:rPr>
      </w:pPr>
      <w:r>
        <w:rPr>
          <w:rFonts w:ascii="Sakkal Majalla" w:hAnsi="Sakkal Majalla" w:cs="Sakkal Majalla" w:hint="cs"/>
          <w:b/>
          <w:bCs/>
          <w:sz w:val="28"/>
          <w:szCs w:val="28"/>
          <w:rtl/>
        </w:rPr>
        <w:t>د. فايز جراد</w:t>
      </w:r>
    </w:p>
    <w:p w14:paraId="3FAAE95A" w14:textId="2078E9DB" w:rsidR="00F75D94" w:rsidRDefault="00F75D94" w:rsidP="00F75D94">
      <w:pPr>
        <w:jc w:val="center"/>
        <w:divId w:val="1179391135"/>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hint="cs"/>
          <w:b/>
          <w:bCs/>
          <w:sz w:val="28"/>
          <w:szCs w:val="28"/>
          <w:rtl/>
        </w:rPr>
        <w:t>د. الفيص</w:t>
      </w:r>
      <w:r>
        <w:rPr>
          <w:rFonts w:ascii="Sakkal Majalla" w:hAnsi="Sakkal Majalla" w:cs="Sakkal Majalla" w:hint="eastAsia"/>
          <w:b/>
          <w:bCs/>
          <w:sz w:val="28"/>
          <w:szCs w:val="28"/>
          <w:rtl/>
        </w:rPr>
        <w:t>ل</w:t>
      </w:r>
      <w:r>
        <w:rPr>
          <w:rFonts w:ascii="Sakkal Majalla" w:hAnsi="Sakkal Majalla" w:cs="Sakkal Majalla" w:hint="cs"/>
          <w:b/>
          <w:bCs/>
          <w:sz w:val="28"/>
          <w:szCs w:val="28"/>
          <w:rtl/>
        </w:rPr>
        <w:t xml:space="preserve"> </w:t>
      </w:r>
      <w:r>
        <w:rPr>
          <w:rFonts w:ascii="Sakkal Majalla" w:hAnsi="Sakkal Majalla" w:cs="Sakkal Majalla" w:hint="cs"/>
          <w:b/>
          <w:bCs/>
          <w:sz w:val="28"/>
          <w:szCs w:val="28"/>
          <w:rtl/>
        </w:rPr>
        <w:t>عبد الحمي</w:t>
      </w:r>
      <w:r>
        <w:rPr>
          <w:rFonts w:ascii="Sakkal Majalla" w:hAnsi="Sakkal Majalla" w:cs="Sakkal Majalla" w:hint="eastAsia"/>
          <w:b/>
          <w:bCs/>
          <w:sz w:val="28"/>
          <w:szCs w:val="28"/>
          <w:rtl/>
        </w:rPr>
        <w:t>د</w:t>
      </w:r>
    </w:p>
    <w:p w14:paraId="67209713" w14:textId="01F7854D" w:rsidR="004A50FA" w:rsidRDefault="004A50FA" w:rsidP="00F75D94">
      <w:pPr>
        <w:bidi w:val="0"/>
        <w:spacing w:after="0" w:line="360" w:lineRule="auto"/>
        <w:jc w:val="center"/>
        <w:divId w:val="1179391135"/>
        <w:rPr>
          <w:rFonts w:asciiTheme="majorBidi" w:eastAsiaTheme="minorEastAsia" w:hAnsiTheme="majorBidi" w:cstheme="majorBidi"/>
          <w:color w:val="000000" w:themeColor="text1"/>
          <w:kern w:val="0"/>
          <w:sz w:val="28"/>
          <w:szCs w:val="28"/>
          <w:rtl/>
          <w14:ligatures w14:val="none"/>
        </w:rPr>
      </w:pPr>
    </w:p>
    <w:p w14:paraId="0FC19366" w14:textId="10405AEB" w:rsidR="00F75D94" w:rsidRDefault="00F75D94" w:rsidP="00F75D94">
      <w:pPr>
        <w:bidi w:val="0"/>
        <w:spacing w:after="0" w:line="360" w:lineRule="auto"/>
        <w:jc w:val="both"/>
        <w:divId w:val="1179391135"/>
        <w:rPr>
          <w:rFonts w:asciiTheme="majorBidi" w:eastAsiaTheme="minorEastAsia" w:hAnsiTheme="majorBidi" w:cstheme="majorBidi"/>
          <w:color w:val="000000" w:themeColor="text1"/>
          <w:kern w:val="0"/>
          <w:sz w:val="28"/>
          <w:szCs w:val="28"/>
          <w:rtl/>
          <w14:ligatures w14:val="none"/>
        </w:rPr>
      </w:pPr>
    </w:p>
    <w:p w14:paraId="511EA275" w14:textId="076B214E" w:rsidR="00F75D94" w:rsidRDefault="00F75D94" w:rsidP="00F75D94">
      <w:pPr>
        <w:jc w:val="center"/>
        <w:divId w:val="1179391135"/>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العام الدراسي</w:t>
      </w:r>
    </w:p>
    <w:p w14:paraId="33318BFB" w14:textId="5E7DECB1" w:rsidR="00F75D94" w:rsidRDefault="00F75D94" w:rsidP="00F75D94">
      <w:pPr>
        <w:bidi w:val="0"/>
        <w:spacing w:after="0" w:line="360" w:lineRule="auto"/>
        <w:jc w:val="center"/>
        <w:divId w:val="1179391135"/>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1FEE3C49" w14:textId="77777777" w:rsidR="00F75D94" w:rsidRPr="00F75D94" w:rsidRDefault="00F75D94" w:rsidP="00F75D94">
      <w:pPr>
        <w:bidi w:val="0"/>
        <w:spacing w:after="0" w:line="360" w:lineRule="auto"/>
        <w:jc w:val="center"/>
        <w:divId w:val="1179391135"/>
        <w:rPr>
          <w:rFonts w:ascii="Sakkal Majalla" w:hAnsi="Sakkal Majalla" w:cs="Sakkal Majalla"/>
          <w:b/>
          <w:bCs/>
          <w:sz w:val="28"/>
          <w:szCs w:val="28"/>
          <w:rtl/>
          <w:lang w:bidi="ar-EG"/>
        </w:rPr>
      </w:pPr>
    </w:p>
    <w:p w14:paraId="6850B168" w14:textId="77777777" w:rsidR="004A50FA" w:rsidRPr="008E5779" w:rsidRDefault="004A50FA" w:rsidP="008E5779">
      <w:pPr>
        <w:bidi w:val="0"/>
        <w:spacing w:after="0" w:line="360" w:lineRule="auto"/>
        <w:jc w:val="both"/>
        <w:divId w:val="1179391135"/>
        <w:rPr>
          <w:rFonts w:asciiTheme="majorBidi" w:eastAsiaTheme="minorEastAsia" w:hAnsiTheme="majorBidi" w:cstheme="majorBidi"/>
          <w:b/>
          <w:bCs/>
          <w:color w:val="000000" w:themeColor="text1"/>
          <w:kern w:val="0"/>
          <w:sz w:val="28"/>
          <w:szCs w:val="28"/>
          <w14:ligatures w14:val="none"/>
        </w:rPr>
      </w:pPr>
      <w:r w:rsidRPr="008E5779">
        <w:rPr>
          <w:rFonts w:asciiTheme="majorBidi" w:eastAsiaTheme="minorEastAsia" w:hAnsiTheme="majorBidi" w:cstheme="majorBidi"/>
          <w:b/>
          <w:bCs/>
          <w:color w:val="000000" w:themeColor="text1"/>
          <w:kern w:val="0"/>
          <w:sz w:val="28"/>
          <w:szCs w:val="28"/>
          <w14:ligatures w14:val="none"/>
        </w:rPr>
        <w:t>Acknowledgement</w:t>
      </w:r>
    </w:p>
    <w:p w14:paraId="7AB2C622" w14:textId="77777777" w:rsidR="004A50FA" w:rsidRPr="008E5779" w:rsidRDefault="004A50FA" w:rsidP="008E5779">
      <w:pPr>
        <w:bidi w:val="0"/>
        <w:spacing w:after="0" w:line="360" w:lineRule="auto"/>
        <w:jc w:val="both"/>
        <w:divId w:val="1179391135"/>
        <w:rPr>
          <w:rFonts w:asciiTheme="majorBidi" w:eastAsiaTheme="minorEastAsia" w:hAnsiTheme="majorBidi" w:cstheme="majorBidi"/>
          <w:color w:val="000000" w:themeColor="text1"/>
          <w:kern w:val="0"/>
          <w:sz w:val="28"/>
          <w:szCs w:val="28"/>
          <w14:ligatures w14:val="none"/>
        </w:rPr>
      </w:pPr>
    </w:p>
    <w:p w14:paraId="2BFB90E8" w14:textId="6373A044" w:rsidR="004A50FA" w:rsidRPr="008E5779" w:rsidRDefault="004A50FA" w:rsidP="008E5779">
      <w:pPr>
        <w:bidi w:val="0"/>
        <w:spacing w:after="0" w:line="360" w:lineRule="auto"/>
        <w:jc w:val="both"/>
        <w:divId w:val="1179391135"/>
        <w:rPr>
          <w:rFonts w:asciiTheme="majorBidi" w:eastAsiaTheme="minorEastAsia" w:hAnsiTheme="majorBidi" w:cstheme="majorBidi"/>
          <w:color w:val="000000" w:themeColor="text1"/>
          <w:kern w:val="0"/>
          <w:sz w:val="28"/>
          <w:szCs w:val="28"/>
          <w14:ligatures w14:val="none"/>
        </w:rPr>
      </w:pPr>
      <w:r w:rsidRPr="008E5779">
        <w:rPr>
          <w:rFonts w:asciiTheme="majorBidi" w:eastAsiaTheme="minorEastAsia" w:hAnsiTheme="majorBidi" w:cstheme="majorBidi"/>
          <w:color w:val="000000" w:themeColor="text1"/>
          <w:kern w:val="0"/>
          <w:sz w:val="28"/>
          <w:szCs w:val="28"/>
          <w14:ligatures w14:val="none"/>
        </w:rPr>
        <w:t>First and foremost, I would like to express my deepest gratitude to Allah Almighty for granting me the strength, patience, and perseverance to complete this research successfully.</w:t>
      </w:r>
    </w:p>
    <w:p w14:paraId="39958743" w14:textId="0EC5E137" w:rsidR="004A50FA" w:rsidRPr="008E5779" w:rsidRDefault="004A50FA" w:rsidP="008B4717">
      <w:pPr>
        <w:bidi w:val="0"/>
        <w:spacing w:after="0" w:line="360" w:lineRule="auto"/>
        <w:jc w:val="both"/>
        <w:divId w:val="1179391135"/>
        <w:rPr>
          <w:rFonts w:asciiTheme="majorBidi" w:eastAsiaTheme="minorEastAsia" w:hAnsiTheme="majorBidi" w:cstheme="majorBidi"/>
          <w:color w:val="000000" w:themeColor="text1"/>
          <w:kern w:val="0"/>
          <w:sz w:val="28"/>
          <w:szCs w:val="28"/>
          <w14:ligatures w14:val="none"/>
        </w:rPr>
      </w:pPr>
      <w:r w:rsidRPr="008E5779">
        <w:rPr>
          <w:rFonts w:asciiTheme="majorBidi" w:eastAsiaTheme="minorEastAsia" w:hAnsiTheme="majorBidi" w:cstheme="majorBidi"/>
          <w:color w:val="000000" w:themeColor="text1"/>
          <w:kern w:val="0"/>
          <w:sz w:val="28"/>
          <w:szCs w:val="28"/>
          <w14:ligatures w14:val="none"/>
        </w:rPr>
        <w:t>I am profoundly thankful to my supervisor</w:t>
      </w:r>
      <w:r w:rsidR="008E5779">
        <w:rPr>
          <w:rFonts w:asciiTheme="majorBidi" w:eastAsiaTheme="minorEastAsia" w:hAnsiTheme="majorBidi" w:cstheme="majorBidi"/>
          <w:color w:val="000000" w:themeColor="text1"/>
          <w:kern w:val="0"/>
          <w:sz w:val="28"/>
          <w:szCs w:val="28"/>
          <w14:ligatures w14:val="none"/>
        </w:rPr>
        <w:t>,</w:t>
      </w:r>
      <w:r w:rsidRPr="008E5779">
        <w:rPr>
          <w:rFonts w:asciiTheme="majorBidi" w:eastAsiaTheme="minorEastAsia" w:hAnsiTheme="majorBidi" w:cstheme="majorBidi"/>
          <w:color w:val="000000" w:themeColor="text1"/>
          <w:kern w:val="0"/>
          <w:sz w:val="28"/>
          <w:szCs w:val="28"/>
          <w14:ligatures w14:val="none"/>
        </w:rPr>
        <w:t xml:space="preserve"> whose guidance, expertise, and continuous support were invaluable throughout every stage of this study. Your insightful comments, encouragement, and constructive feedback greatly enhanced the quality and rigor of this research.</w:t>
      </w:r>
    </w:p>
    <w:p w14:paraId="2912AEA1" w14:textId="585DAAEF" w:rsidR="004A50FA" w:rsidRPr="008E5779" w:rsidRDefault="004A50FA" w:rsidP="008B4717">
      <w:pPr>
        <w:bidi w:val="0"/>
        <w:spacing w:after="0" w:line="360" w:lineRule="auto"/>
        <w:jc w:val="both"/>
        <w:divId w:val="1179391135"/>
        <w:rPr>
          <w:rFonts w:asciiTheme="majorBidi" w:eastAsiaTheme="minorEastAsia" w:hAnsiTheme="majorBidi" w:cstheme="majorBidi"/>
          <w:color w:val="000000" w:themeColor="text1"/>
          <w:kern w:val="0"/>
          <w:sz w:val="28"/>
          <w:szCs w:val="28"/>
          <w14:ligatures w14:val="none"/>
        </w:rPr>
      </w:pPr>
      <w:r w:rsidRPr="008E5779">
        <w:rPr>
          <w:rFonts w:asciiTheme="majorBidi" w:eastAsiaTheme="minorEastAsia" w:hAnsiTheme="majorBidi" w:cstheme="majorBidi"/>
          <w:color w:val="000000" w:themeColor="text1"/>
          <w:kern w:val="0"/>
          <w:sz w:val="28"/>
          <w:szCs w:val="28"/>
          <w14:ligatures w14:val="none"/>
        </w:rPr>
        <w:t>I would also like to extend my sincere appreciation to the staff of King Faisal Specialist Hospital and Research Centre (KFSHRC), especially the infection control officers, risk management personnel, physicians, and nurses who generously shared their time, experiences, and knowledge. Without their cooperation and willingness to participate in the study, this research would not have been possible.</w:t>
      </w:r>
    </w:p>
    <w:p w14:paraId="50579D1A" w14:textId="1C737642" w:rsidR="004A50FA" w:rsidRPr="008E5779" w:rsidRDefault="004A50FA" w:rsidP="008B4717">
      <w:pPr>
        <w:bidi w:val="0"/>
        <w:spacing w:after="0" w:line="360" w:lineRule="auto"/>
        <w:jc w:val="both"/>
        <w:divId w:val="1179391135"/>
        <w:rPr>
          <w:rFonts w:asciiTheme="majorBidi" w:eastAsiaTheme="minorEastAsia" w:hAnsiTheme="majorBidi" w:cstheme="majorBidi"/>
          <w:color w:val="000000" w:themeColor="text1"/>
          <w:kern w:val="0"/>
          <w:sz w:val="28"/>
          <w:szCs w:val="28"/>
          <w14:ligatures w14:val="none"/>
        </w:rPr>
      </w:pPr>
      <w:r w:rsidRPr="008E5779">
        <w:rPr>
          <w:rFonts w:asciiTheme="majorBidi" w:eastAsiaTheme="minorEastAsia" w:hAnsiTheme="majorBidi" w:cstheme="majorBidi"/>
          <w:color w:val="000000" w:themeColor="text1"/>
          <w:kern w:val="0"/>
          <w:sz w:val="28"/>
          <w:szCs w:val="28"/>
          <w14:ligatures w14:val="none"/>
        </w:rPr>
        <w:t>Special thanks go to my family and friends for their unwavering support, understanding, and encouragement during the long and demanding process of conducting this research. Your patience and motivation kept me focused and inspired throughout this journey.</w:t>
      </w:r>
    </w:p>
    <w:p w14:paraId="4C32CAFB" w14:textId="77777777" w:rsidR="004A50FA" w:rsidRPr="008E5779" w:rsidRDefault="004A50FA" w:rsidP="008E5779">
      <w:pPr>
        <w:bidi w:val="0"/>
        <w:spacing w:after="0" w:line="360" w:lineRule="auto"/>
        <w:jc w:val="both"/>
        <w:divId w:val="1179391135"/>
        <w:rPr>
          <w:rFonts w:asciiTheme="majorBidi" w:eastAsiaTheme="minorEastAsia" w:hAnsiTheme="majorBidi" w:cstheme="majorBidi"/>
          <w:color w:val="000000" w:themeColor="text1"/>
          <w:kern w:val="0"/>
          <w:sz w:val="28"/>
          <w:szCs w:val="28"/>
          <w14:ligatures w14:val="none"/>
        </w:rPr>
      </w:pPr>
      <w:r w:rsidRPr="008E5779">
        <w:rPr>
          <w:rFonts w:asciiTheme="majorBidi" w:eastAsiaTheme="minorEastAsia" w:hAnsiTheme="majorBidi" w:cstheme="majorBidi"/>
          <w:color w:val="000000" w:themeColor="text1"/>
          <w:kern w:val="0"/>
          <w:sz w:val="28"/>
          <w:szCs w:val="28"/>
          <w14:ligatures w14:val="none"/>
        </w:rPr>
        <w:t>Finally, I would like to acknowledge all authors, scholars, and practitioners whose work provided the foundation for this study. Their contributions in the fields of infection control, risk management, and healthcare safety have been instrumental in shaping the theoretical and practical framework of this research.</w:t>
      </w:r>
    </w:p>
    <w:p w14:paraId="53A1E589" w14:textId="77777777" w:rsidR="004A50FA" w:rsidRPr="008E5779" w:rsidRDefault="004A50FA" w:rsidP="008E5779">
      <w:pPr>
        <w:bidi w:val="0"/>
        <w:spacing w:after="0" w:line="360" w:lineRule="auto"/>
        <w:jc w:val="both"/>
        <w:divId w:val="1179391135"/>
        <w:rPr>
          <w:rFonts w:asciiTheme="majorBidi" w:eastAsiaTheme="minorEastAsia" w:hAnsiTheme="majorBidi" w:cstheme="majorBidi"/>
          <w:color w:val="000000" w:themeColor="text1"/>
          <w:kern w:val="0"/>
          <w:sz w:val="28"/>
          <w:szCs w:val="28"/>
          <w14:ligatures w14:val="none"/>
        </w:rPr>
      </w:pPr>
    </w:p>
    <w:p w14:paraId="183F6712" w14:textId="77777777" w:rsidR="00EF13A8" w:rsidRDefault="00EF13A8" w:rsidP="008E5779">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6BB9525A" w14:textId="77777777" w:rsidR="008B4717" w:rsidRDefault="008B4717" w:rsidP="008B4717">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75F41AB7" w14:textId="77777777" w:rsidR="008B4717" w:rsidRDefault="008B4717" w:rsidP="008B4717">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3214D89E" w14:textId="77777777" w:rsidR="008B4717" w:rsidRDefault="008B4717" w:rsidP="008B4717">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080519C1" w14:textId="77777777" w:rsidR="00275181" w:rsidRDefault="00275181" w:rsidP="00275181">
      <w:pPr>
        <w:bidi w:val="0"/>
        <w:spacing w:after="0" w:line="360" w:lineRule="auto"/>
        <w:jc w:val="both"/>
        <w:divId w:val="1471896754"/>
        <w:rPr>
          <w:rFonts w:asciiTheme="majorBidi" w:eastAsiaTheme="minorEastAsia" w:hAnsiTheme="majorBidi" w:cstheme="majorBidi"/>
          <w:b/>
          <w:bCs/>
          <w:color w:val="000000" w:themeColor="text1"/>
          <w:kern w:val="0"/>
          <w:sz w:val="28"/>
          <w:szCs w:val="28"/>
          <w14:ligatures w14:val="none"/>
        </w:rPr>
      </w:pPr>
    </w:p>
    <w:p w14:paraId="5361D5BC" w14:textId="6CEAD548" w:rsidR="00EF13A8" w:rsidRPr="008B4717" w:rsidRDefault="00EF13A8" w:rsidP="00275181">
      <w:pPr>
        <w:bidi w:val="0"/>
        <w:spacing w:after="0" w:line="360" w:lineRule="auto"/>
        <w:jc w:val="both"/>
        <w:outlineLvl w:val="0"/>
        <w:divId w:val="1471896754"/>
        <w:rPr>
          <w:rFonts w:asciiTheme="majorBidi" w:eastAsiaTheme="minorEastAsia" w:hAnsiTheme="majorBidi" w:cstheme="majorBidi"/>
          <w:b/>
          <w:bCs/>
          <w:color w:val="000000" w:themeColor="text1"/>
          <w:kern w:val="0"/>
          <w:sz w:val="28"/>
          <w:szCs w:val="28"/>
          <w14:ligatures w14:val="none"/>
        </w:rPr>
      </w:pPr>
      <w:bookmarkStart w:id="0" w:name="_Toc212139821"/>
      <w:r w:rsidRPr="008B4717">
        <w:rPr>
          <w:rFonts w:asciiTheme="majorBidi" w:eastAsiaTheme="minorEastAsia" w:hAnsiTheme="majorBidi" w:cstheme="majorBidi"/>
          <w:b/>
          <w:bCs/>
          <w:color w:val="000000" w:themeColor="text1"/>
          <w:kern w:val="0"/>
          <w:sz w:val="28"/>
          <w:szCs w:val="28"/>
          <w14:ligatures w14:val="none"/>
        </w:rPr>
        <w:t>Abstract</w:t>
      </w:r>
      <w:bookmarkEnd w:id="0"/>
    </w:p>
    <w:p w14:paraId="6B516FFA" w14:textId="77777777" w:rsidR="00EF13A8" w:rsidRPr="008E5779" w:rsidRDefault="00EF13A8" w:rsidP="008E5779">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28752D74" w14:textId="0DB3908A" w:rsidR="00EF13A8" w:rsidRPr="008E5779" w:rsidRDefault="00EF13A8" w:rsidP="008B4717">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r w:rsidRPr="008E5779">
        <w:rPr>
          <w:rFonts w:asciiTheme="majorBidi" w:eastAsiaTheme="minorEastAsia" w:hAnsiTheme="majorBidi" w:cstheme="majorBidi"/>
          <w:color w:val="000000" w:themeColor="text1"/>
          <w:kern w:val="0"/>
          <w:sz w:val="28"/>
          <w:szCs w:val="28"/>
          <w14:ligatures w14:val="none"/>
        </w:rPr>
        <w:t>Hospital-acquired infections (HAIs) remain a significant challenge to patient safety and healthcare quality worldwide. Despite extensive infection control measures, many hospitals continue to experience preventable infections, resulting in increased morbidity, mortality, and healthcare costs. This study investigates the role of risk management in reducing hospital-acquired infections, using King Faisal Specialist Hospital and Research Centre (KFSHRC) as a case study. The research aims to examine how structured risk management frameworks, combined with staff knowledge, attitudes, and practices, can enhance infection prevention and promote a culture of safety.</w:t>
      </w:r>
    </w:p>
    <w:p w14:paraId="4A4BDCD0" w14:textId="3CBCBB5A" w:rsidR="00EF13A8" w:rsidRDefault="00EF13A8" w:rsidP="008B4717">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r w:rsidRPr="008E5779">
        <w:rPr>
          <w:rFonts w:asciiTheme="majorBidi" w:eastAsiaTheme="minorEastAsia" w:hAnsiTheme="majorBidi" w:cstheme="majorBidi"/>
          <w:color w:val="000000" w:themeColor="text1"/>
          <w:kern w:val="0"/>
          <w:sz w:val="28"/>
          <w:szCs w:val="28"/>
          <w14:ligatures w14:val="none"/>
        </w:rPr>
        <w:t>The study employs a descriptive-analytical case study design with a mixed-methods approach, integrating quantitative and qualitative data. A structured questionnaire was administered to 150 healthcare professionals, including physicians, nurses, infection control officers, and risk management personnel, to assess their knowledge, attitudes, practices, and perceptions of risk management effectiveness. Complementary qualitative data were collected through semi-structured interviews with key informants, document and record reviews, and direct observations of infection control practices in high-risk departments. Triangulation of data ensured reliability, validity, and depth of analysis, linking self-reported behaviors to institutional records and observed practices.</w:t>
      </w:r>
    </w:p>
    <w:p w14:paraId="15B936C8"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682F604F"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083422CE"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3B5CE4DC"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124C1035"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788BAFF7"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3BC4CD94"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53334998" w14:textId="3C4A6FAA" w:rsidR="00D750EF" w:rsidRDefault="00D750EF" w:rsidP="00D750EF">
      <w:pPr>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r>
        <w:rPr>
          <w:rFonts w:asciiTheme="majorBidi" w:eastAsiaTheme="minorEastAsia" w:hAnsiTheme="majorBidi" w:cstheme="majorBidi" w:hint="cs"/>
          <w:color w:val="000000" w:themeColor="text1"/>
          <w:kern w:val="0"/>
          <w:sz w:val="28"/>
          <w:szCs w:val="28"/>
          <w:rtl/>
          <w14:ligatures w14:val="none"/>
        </w:rPr>
        <w:t xml:space="preserve">الملخص </w:t>
      </w:r>
    </w:p>
    <w:p w14:paraId="763A4161" w14:textId="03FD6B14" w:rsidR="00D750EF" w:rsidRPr="00D750EF" w:rsidRDefault="00D750EF" w:rsidP="00D750EF">
      <w:pPr>
        <w:spacing w:after="0" w:line="360" w:lineRule="auto"/>
        <w:jc w:val="both"/>
        <w:divId w:val="39256624"/>
        <w:rPr>
          <w:rFonts w:asciiTheme="majorBidi" w:eastAsiaTheme="minorEastAsia" w:hAnsiTheme="majorBidi" w:cstheme="majorBidi"/>
          <w:color w:val="000000" w:themeColor="text1"/>
          <w:kern w:val="0"/>
          <w:sz w:val="28"/>
          <w:szCs w:val="28"/>
          <w:rtl/>
          <w14:ligatures w14:val="none"/>
        </w:rPr>
      </w:pPr>
      <w:r w:rsidRPr="00D750EF">
        <w:rPr>
          <w:rFonts w:asciiTheme="majorBidi" w:eastAsiaTheme="minorEastAsia" w:hAnsiTheme="majorBidi" w:cstheme="majorBidi"/>
          <w:color w:val="000000" w:themeColor="text1"/>
          <w:kern w:val="0"/>
          <w:sz w:val="28"/>
          <w:szCs w:val="28"/>
          <w:rtl/>
          <w14:ligatures w14:val="none"/>
        </w:rPr>
        <w:t>العدوى المكتسبة في المستشفيات (</w:t>
      </w:r>
      <w:r w:rsidRPr="00D750EF">
        <w:rPr>
          <w:rFonts w:asciiTheme="majorBidi" w:eastAsiaTheme="minorEastAsia" w:hAnsiTheme="majorBidi" w:cstheme="majorBidi"/>
          <w:color w:val="000000" w:themeColor="text1"/>
          <w:kern w:val="0"/>
          <w:sz w:val="28"/>
          <w:szCs w:val="28"/>
          <w14:ligatures w14:val="none"/>
        </w:rPr>
        <w:t>HAIs</w:t>
      </w:r>
      <w:r w:rsidRPr="00D750EF">
        <w:rPr>
          <w:rFonts w:asciiTheme="majorBidi" w:eastAsiaTheme="minorEastAsia" w:hAnsiTheme="majorBidi" w:cstheme="majorBidi"/>
          <w:color w:val="000000" w:themeColor="text1"/>
          <w:kern w:val="0"/>
          <w:sz w:val="28"/>
          <w:szCs w:val="28"/>
          <w:rtl/>
          <w14:ligatures w14:val="none"/>
        </w:rPr>
        <w:t>) تظل تحديًا كبيرًا لسلامة المرضى وجودة الرعاية الصحية على مستوى العالم. فعلى الرغم من الإجراءات المكثفة للسيطرة على العدوى، لا تزال العديد من المستشفيات تشهد إصابات يمكن الوقاية منها، مما يؤدي إلى زيادة معدل المراضة والوفيات وتكاليف الرعاية الصحية. تهدف هذه الدراسة إلى دراسة دور إدارة المخاطر في الحد من العدوى المكتسبة في المستشفيات، مع استخدام مستشفى الملك فيصل التخصصي ومركز الأبحاث (</w:t>
      </w:r>
      <w:r w:rsidRPr="00D750EF">
        <w:rPr>
          <w:rFonts w:asciiTheme="majorBidi" w:eastAsiaTheme="minorEastAsia" w:hAnsiTheme="majorBidi" w:cstheme="majorBidi"/>
          <w:color w:val="000000" w:themeColor="text1"/>
          <w:kern w:val="0"/>
          <w:sz w:val="28"/>
          <w:szCs w:val="28"/>
          <w14:ligatures w14:val="none"/>
        </w:rPr>
        <w:t>KFSHRC</w:t>
      </w:r>
      <w:r w:rsidRPr="00D750EF">
        <w:rPr>
          <w:rFonts w:asciiTheme="majorBidi" w:eastAsiaTheme="minorEastAsia" w:hAnsiTheme="majorBidi" w:cstheme="majorBidi"/>
          <w:color w:val="000000" w:themeColor="text1"/>
          <w:kern w:val="0"/>
          <w:sz w:val="28"/>
          <w:szCs w:val="28"/>
          <w:rtl/>
          <w14:ligatures w14:val="none"/>
        </w:rPr>
        <w:t>) كمثال تطبيقي. كما تهدف الدراسة إلى فحص كيفية تعزيز الوقاية من العدوى وتعزيز ثقافة السلامة من خلال أطر إدارة المخاطر المنظمة، بالاشتراك مع معرفة الموظفين ومواقفهم وممارساتهم.</w:t>
      </w:r>
    </w:p>
    <w:p w14:paraId="33EB1EE0" w14:textId="77777777" w:rsidR="00D750EF" w:rsidRPr="00D750EF" w:rsidRDefault="00D750EF" w:rsidP="00D750EF">
      <w:pPr>
        <w:spacing w:after="0" w:line="360" w:lineRule="auto"/>
        <w:jc w:val="both"/>
        <w:divId w:val="39256624"/>
        <w:rPr>
          <w:rFonts w:asciiTheme="majorBidi" w:eastAsiaTheme="minorEastAsia" w:hAnsiTheme="majorBidi" w:cstheme="majorBidi"/>
          <w:color w:val="000000" w:themeColor="text1"/>
          <w:kern w:val="0"/>
          <w:sz w:val="28"/>
          <w:szCs w:val="28"/>
          <w14:ligatures w14:val="none"/>
        </w:rPr>
      </w:pPr>
      <w:r w:rsidRPr="00D750EF">
        <w:rPr>
          <w:rFonts w:asciiTheme="majorBidi" w:eastAsiaTheme="minorEastAsia" w:hAnsiTheme="majorBidi" w:cstheme="majorBidi"/>
          <w:color w:val="000000" w:themeColor="text1"/>
          <w:kern w:val="0"/>
          <w:sz w:val="28"/>
          <w:szCs w:val="28"/>
          <w:rtl/>
          <w14:ligatures w14:val="none"/>
        </w:rPr>
        <w:t>تتبنى الدراسة تصميم دراسة حالة وصفي-تحليلي باستخدام منهج مختلط، يجمع بين البيانات الكمية والنوعية. تم توزيع استبيان منظم على 150 من العاملين في القطاع الصحي، بما في ذلك الأطباء والممرضين ومسؤولي مكافحة العدوى وموظفي إدارة المخاطر، لتقييم معرفتهم ومواقفهم وممارساتهم وانطباعاتهم حول فعالية إدارة المخاطر. كما تم جمع بيانات نوعية تكميلية من خلال مقابلات شبه منظمة مع المطلعين الرئيسيين، ومراجعة الوثائق والسجلات، والملاحظات المباشرة لممارسات مكافحة العدوى في الأقسام عالية الخطورة. وقد ضمنت المقاربة المثلثية للبيانات موثوقية وصحة التحليل وعمقه، من خلال ربط السلوكيات المبلغ عنها ذاتيًا بالسجلات المؤسسية والممارسات الملاحظة فعليًا.</w:t>
      </w:r>
    </w:p>
    <w:p w14:paraId="4447676F" w14:textId="77777777" w:rsidR="00D750EF" w:rsidRPr="00D750EF" w:rsidRDefault="00D750EF" w:rsidP="00D750EF">
      <w:pPr>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7F521CE3" w14:textId="77777777" w:rsidR="00EF13A8" w:rsidRPr="00D750EF" w:rsidRDefault="00EF13A8"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457915E4" w14:textId="77777777" w:rsidR="00112534" w:rsidRDefault="00112534" w:rsidP="00112534">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112625A4" w14:textId="77777777" w:rsidR="00112534" w:rsidRDefault="00112534" w:rsidP="00112534">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3D6D2B7B" w14:textId="77777777" w:rsidR="00112534" w:rsidRDefault="00112534" w:rsidP="00112534">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00A42860" w14:textId="77777777" w:rsidR="00112534" w:rsidRPr="008E5779" w:rsidRDefault="00112534" w:rsidP="00112534">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6E3F1594" w14:textId="77777777" w:rsidR="00EF13A8" w:rsidRDefault="00EF13A8" w:rsidP="008E5779">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549FA7EB"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0609BD0D"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0FB74C7E"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04832C9D"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0FD4C074" w14:textId="77777777" w:rsidR="00D750EF"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rtl/>
          <w14:ligatures w14:val="none"/>
        </w:rPr>
      </w:pPr>
    </w:p>
    <w:p w14:paraId="45659A1F" w14:textId="77777777" w:rsidR="00D750EF" w:rsidRPr="008E5779" w:rsidRDefault="00D750EF" w:rsidP="00D750EF">
      <w:pPr>
        <w:bidi w:val="0"/>
        <w:spacing w:after="0" w:line="360" w:lineRule="auto"/>
        <w:jc w:val="both"/>
        <w:divId w:val="1471896754"/>
        <w:rPr>
          <w:rFonts w:asciiTheme="majorBidi" w:eastAsiaTheme="minorEastAsia" w:hAnsiTheme="majorBidi" w:cstheme="majorBidi"/>
          <w:color w:val="000000" w:themeColor="text1"/>
          <w:kern w:val="0"/>
          <w:sz w:val="28"/>
          <w:szCs w:val="28"/>
          <w14:ligatures w14:val="none"/>
        </w:rPr>
      </w:pPr>
    </w:p>
    <w:p w14:paraId="6FABDA0E" w14:textId="77777777" w:rsidR="00EF13A8" w:rsidRDefault="00EF13A8" w:rsidP="00EF13A8">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5E83C626" w14:textId="3DD264C2" w:rsidR="00EF13A8" w:rsidRDefault="0078305A"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r>
        <w:rPr>
          <w:rFonts w:asciiTheme="majorBidi" w:eastAsiaTheme="minorEastAsia" w:hAnsiTheme="majorBidi" w:cstheme="majorBidi"/>
          <w:b/>
          <w:bCs/>
          <w:color w:val="000000" w:themeColor="text1"/>
          <w:kern w:val="0"/>
          <w:sz w:val="28"/>
          <w:szCs w:val="28"/>
          <w14:ligatures w14:val="none"/>
        </w:rPr>
        <w:t xml:space="preserve">Table of Contents </w:t>
      </w:r>
    </w:p>
    <w:sdt>
      <w:sdtPr>
        <w:rPr>
          <w:rFonts w:asciiTheme="minorHAnsi" w:eastAsiaTheme="minorHAnsi" w:hAnsiTheme="minorHAnsi" w:cstheme="minorBidi"/>
          <w:b/>
          <w:bCs/>
          <w:color w:val="auto"/>
          <w:kern w:val="2"/>
          <w:sz w:val="22"/>
          <w:szCs w:val="22"/>
          <w14:ligatures w14:val="standardContextual"/>
        </w:rPr>
        <w:id w:val="1036310668"/>
        <w:docPartObj>
          <w:docPartGallery w:val="Table of Contents"/>
          <w:docPartUnique/>
        </w:docPartObj>
      </w:sdtPr>
      <w:sdtEndPr>
        <w:rPr>
          <w:b w:val="0"/>
          <w:bCs w:val="0"/>
        </w:rPr>
      </w:sdtEndPr>
      <w:sdtContent>
        <w:p w14:paraId="20BBA00D" w14:textId="53BB5BB1" w:rsidR="00C86C86" w:rsidRPr="00C86C86" w:rsidRDefault="00C86C86" w:rsidP="00C86C86">
          <w:pPr>
            <w:pStyle w:val="TOCHeading"/>
            <w:rPr>
              <w:b/>
              <w:bCs/>
            </w:rPr>
          </w:pPr>
        </w:p>
        <w:p w14:paraId="78804CE3" w14:textId="117001EE" w:rsidR="00C86C86" w:rsidRPr="00C86C86" w:rsidRDefault="00C86C86" w:rsidP="00C86C86">
          <w:pPr>
            <w:pStyle w:val="TOC1"/>
            <w:tabs>
              <w:tab w:val="right" w:leader="dot" w:pos="8822"/>
            </w:tabs>
            <w:bidi w:val="0"/>
            <w:rPr>
              <w:b/>
              <w:bCs/>
              <w:noProof/>
              <w:rtl/>
            </w:rPr>
          </w:pPr>
          <w:r w:rsidRPr="00C86C86">
            <w:rPr>
              <w:b/>
              <w:bCs/>
            </w:rPr>
            <w:fldChar w:fldCharType="begin"/>
          </w:r>
          <w:r w:rsidRPr="00C86C86">
            <w:rPr>
              <w:b/>
              <w:bCs/>
            </w:rPr>
            <w:instrText xml:space="preserve"> TOC \o "1-3" \h \z \u </w:instrText>
          </w:r>
          <w:r w:rsidRPr="00C86C86">
            <w:rPr>
              <w:b/>
              <w:bCs/>
            </w:rPr>
            <w:fldChar w:fldCharType="separate"/>
          </w:r>
          <w:hyperlink w:anchor="_Toc212139821" w:history="1">
            <w:r w:rsidRPr="00C86C86">
              <w:rPr>
                <w:rStyle w:val="Hyperlink"/>
                <w:rFonts w:asciiTheme="majorBidi" w:hAnsiTheme="majorBidi" w:cstheme="majorBidi"/>
                <w:b/>
                <w:bCs/>
                <w:noProof/>
                <w:kern w:val="0"/>
                <w14:ligatures w14:val="none"/>
              </w:rPr>
              <w:t>Abstract</w:t>
            </w:r>
            <w:r w:rsidRPr="00C86C86">
              <w:rPr>
                <w:b/>
                <w:bCs/>
                <w:noProof/>
                <w:webHidden/>
                <w:rtl/>
              </w:rPr>
              <w:tab/>
            </w:r>
            <w:r w:rsidRPr="00C86C86">
              <w:rPr>
                <w:rStyle w:val="Hyperlink"/>
                <w:b/>
                <w:bCs/>
                <w:noProof/>
                <w:rtl/>
              </w:rPr>
              <w:fldChar w:fldCharType="begin"/>
            </w:r>
            <w:r w:rsidRPr="00C86C86">
              <w:rPr>
                <w:b/>
                <w:bCs/>
                <w:noProof/>
                <w:webHidden/>
                <w:rtl/>
              </w:rPr>
              <w:instrText xml:space="preserve"> </w:instrText>
            </w:r>
            <w:r w:rsidRPr="00C86C86">
              <w:rPr>
                <w:b/>
                <w:bCs/>
                <w:noProof/>
                <w:webHidden/>
              </w:rPr>
              <w:instrText>PAGEREF</w:instrText>
            </w:r>
            <w:r w:rsidRPr="00C86C86">
              <w:rPr>
                <w:b/>
                <w:bCs/>
                <w:noProof/>
                <w:webHidden/>
                <w:rtl/>
              </w:rPr>
              <w:instrText xml:space="preserve"> _</w:instrText>
            </w:r>
            <w:r w:rsidRPr="00C86C86">
              <w:rPr>
                <w:b/>
                <w:bCs/>
                <w:noProof/>
                <w:webHidden/>
              </w:rPr>
              <w:instrText>Toc212139821 \h</w:instrText>
            </w:r>
            <w:r w:rsidRPr="00C86C86">
              <w:rPr>
                <w:b/>
                <w:bCs/>
                <w:noProof/>
                <w:webHidden/>
                <w:rtl/>
              </w:rPr>
              <w:instrText xml:space="preserve"> </w:instrText>
            </w:r>
            <w:r w:rsidRPr="00C86C86">
              <w:rPr>
                <w:rStyle w:val="Hyperlink"/>
                <w:b/>
                <w:bCs/>
                <w:noProof/>
                <w:rtl/>
              </w:rPr>
            </w:r>
            <w:r w:rsidRPr="00C86C86">
              <w:rPr>
                <w:rStyle w:val="Hyperlink"/>
                <w:b/>
                <w:bCs/>
                <w:noProof/>
                <w:rtl/>
              </w:rPr>
              <w:fldChar w:fldCharType="separate"/>
            </w:r>
            <w:r w:rsidR="00960850">
              <w:rPr>
                <w:b/>
                <w:bCs/>
                <w:noProof/>
                <w:webHidden/>
              </w:rPr>
              <w:t>3</w:t>
            </w:r>
            <w:r w:rsidRPr="00C86C86">
              <w:rPr>
                <w:rStyle w:val="Hyperlink"/>
                <w:b/>
                <w:bCs/>
                <w:noProof/>
                <w:rtl/>
              </w:rPr>
              <w:fldChar w:fldCharType="end"/>
            </w:r>
          </w:hyperlink>
        </w:p>
        <w:p w14:paraId="6D1289A9" w14:textId="5A958AF2" w:rsidR="00C86C86" w:rsidRPr="00C86C86" w:rsidRDefault="001F120E" w:rsidP="00C86C86">
          <w:pPr>
            <w:pStyle w:val="TOC1"/>
            <w:tabs>
              <w:tab w:val="right" w:leader="dot" w:pos="8822"/>
            </w:tabs>
            <w:bidi w:val="0"/>
            <w:rPr>
              <w:b/>
              <w:bCs/>
              <w:noProof/>
              <w:rtl/>
            </w:rPr>
          </w:pPr>
          <w:hyperlink w:anchor="_Toc212139822" w:history="1">
            <w:r w:rsidR="00C86C86" w:rsidRPr="00C86C86">
              <w:rPr>
                <w:rStyle w:val="Hyperlink"/>
                <w:rFonts w:asciiTheme="majorBidi" w:hAnsiTheme="majorBidi" w:cstheme="majorBidi"/>
                <w:b/>
                <w:bCs/>
                <w:noProof/>
                <w:kern w:val="0"/>
                <w14:ligatures w14:val="none"/>
              </w:rPr>
              <w:t>Chapter One: Introduction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Toc212139822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w:t>
            </w:r>
            <w:r w:rsidR="00C86C86" w:rsidRPr="00C86C86">
              <w:rPr>
                <w:rStyle w:val="Hyperlink"/>
                <w:b/>
                <w:bCs/>
                <w:noProof/>
                <w:rtl/>
              </w:rPr>
              <w:fldChar w:fldCharType="end"/>
            </w:r>
          </w:hyperlink>
        </w:p>
        <w:p w14:paraId="7B38197E" w14:textId="44A5C93F" w:rsidR="00C86C86" w:rsidRPr="00C86C86" w:rsidRDefault="001F120E" w:rsidP="00C86C86">
          <w:pPr>
            <w:pStyle w:val="TOC2"/>
            <w:tabs>
              <w:tab w:val="right" w:leader="dot" w:pos="8822"/>
            </w:tabs>
            <w:bidi w:val="0"/>
            <w:rPr>
              <w:b/>
              <w:bCs/>
              <w:noProof/>
              <w:rtl/>
            </w:rPr>
          </w:pPr>
          <w:hyperlink w:anchor="_Toc212139823" w:history="1">
            <w:r w:rsidR="00C86C86" w:rsidRPr="00C86C86">
              <w:rPr>
                <w:rStyle w:val="Hyperlink"/>
                <w:rFonts w:asciiTheme="majorBidi" w:hAnsiTheme="majorBidi" w:cstheme="majorBidi"/>
                <w:b/>
                <w:bCs/>
                <w:noProof/>
                <w:kern w:val="0"/>
                <w14:ligatures w14:val="none"/>
              </w:rPr>
              <w:t>1.1 Background of the Study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Toc212139823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w:t>
            </w:r>
            <w:r w:rsidR="00C86C86" w:rsidRPr="00C86C86">
              <w:rPr>
                <w:rStyle w:val="Hyperlink"/>
                <w:b/>
                <w:bCs/>
                <w:noProof/>
                <w:rtl/>
              </w:rPr>
              <w:fldChar w:fldCharType="end"/>
            </w:r>
          </w:hyperlink>
        </w:p>
        <w:p w14:paraId="3236F5C7" w14:textId="06514747" w:rsidR="00C86C86" w:rsidRPr="00C86C86" w:rsidRDefault="001F120E" w:rsidP="00C86C86">
          <w:pPr>
            <w:pStyle w:val="TOC2"/>
            <w:tabs>
              <w:tab w:val="right" w:leader="dot" w:pos="8822"/>
            </w:tabs>
            <w:bidi w:val="0"/>
            <w:rPr>
              <w:b/>
              <w:bCs/>
              <w:noProof/>
              <w:rtl/>
            </w:rPr>
          </w:pPr>
          <w:hyperlink w:anchor="_Toc212139824" w:history="1">
            <w:r w:rsidR="00C86C86" w:rsidRPr="00C86C86">
              <w:rPr>
                <w:rStyle w:val="Hyperlink"/>
                <w:rFonts w:asciiTheme="majorBidi" w:hAnsiTheme="majorBidi" w:cstheme="majorBidi"/>
                <w:b/>
                <w:bCs/>
                <w:noProof/>
                <w:kern w:val="0"/>
                <w14:ligatures w14:val="none"/>
              </w:rPr>
              <w:t>1.2 Statement of the Problem</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Toc212139824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11</w:t>
            </w:r>
            <w:r w:rsidR="00C86C86" w:rsidRPr="00C86C86">
              <w:rPr>
                <w:rStyle w:val="Hyperlink"/>
                <w:b/>
                <w:bCs/>
                <w:noProof/>
                <w:rtl/>
              </w:rPr>
              <w:fldChar w:fldCharType="end"/>
            </w:r>
          </w:hyperlink>
        </w:p>
        <w:p w14:paraId="017FA8A4" w14:textId="594A47A7" w:rsidR="00C86C86" w:rsidRPr="00C86C86" w:rsidRDefault="001F120E" w:rsidP="00C86C86">
          <w:pPr>
            <w:pStyle w:val="TOC2"/>
            <w:tabs>
              <w:tab w:val="right" w:leader="dot" w:pos="8822"/>
            </w:tabs>
            <w:bidi w:val="0"/>
            <w:rPr>
              <w:b/>
              <w:bCs/>
              <w:noProof/>
              <w:rtl/>
            </w:rPr>
          </w:pPr>
          <w:hyperlink w:anchor="_Toc212139825" w:history="1">
            <w:r w:rsidR="00C86C86" w:rsidRPr="00C86C86">
              <w:rPr>
                <w:rStyle w:val="Hyperlink"/>
                <w:rFonts w:asciiTheme="majorBidi" w:hAnsiTheme="majorBidi" w:cstheme="majorBidi"/>
                <w:b/>
                <w:bCs/>
                <w:noProof/>
                <w:kern w:val="0"/>
                <w14:ligatures w14:val="none"/>
              </w:rPr>
              <w:t>1.3 Significance of the Study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Toc212139825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14</w:t>
            </w:r>
            <w:r w:rsidR="00C86C86" w:rsidRPr="00C86C86">
              <w:rPr>
                <w:rStyle w:val="Hyperlink"/>
                <w:b/>
                <w:bCs/>
                <w:noProof/>
                <w:rtl/>
              </w:rPr>
              <w:fldChar w:fldCharType="end"/>
            </w:r>
          </w:hyperlink>
        </w:p>
        <w:p w14:paraId="19754AC9" w14:textId="0246E73F" w:rsidR="00C86C86" w:rsidRPr="00C86C86" w:rsidRDefault="001F120E" w:rsidP="00C86C86">
          <w:pPr>
            <w:pStyle w:val="TOC2"/>
            <w:tabs>
              <w:tab w:val="right" w:leader="dot" w:pos="8822"/>
            </w:tabs>
            <w:bidi w:val="0"/>
            <w:rPr>
              <w:b/>
              <w:bCs/>
              <w:noProof/>
              <w:rtl/>
            </w:rPr>
          </w:pPr>
          <w:hyperlink w:anchor="_Toc212139826" w:history="1">
            <w:r w:rsidR="00C86C86" w:rsidRPr="00C86C86">
              <w:rPr>
                <w:rStyle w:val="Hyperlink"/>
                <w:rFonts w:asciiTheme="majorBidi" w:hAnsiTheme="majorBidi" w:cstheme="majorBidi"/>
                <w:b/>
                <w:bCs/>
                <w:noProof/>
                <w:kern w:val="0"/>
                <w14:ligatures w14:val="none"/>
              </w:rPr>
              <w:t>1.4 General Objective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Toc212139826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18</w:t>
            </w:r>
            <w:r w:rsidR="00C86C86" w:rsidRPr="00C86C86">
              <w:rPr>
                <w:rStyle w:val="Hyperlink"/>
                <w:b/>
                <w:bCs/>
                <w:noProof/>
                <w:rtl/>
              </w:rPr>
              <w:fldChar w:fldCharType="end"/>
            </w:r>
          </w:hyperlink>
        </w:p>
        <w:p w14:paraId="43C2C521" w14:textId="37666C71" w:rsidR="00C86C86" w:rsidRPr="00C86C86" w:rsidRDefault="001F120E" w:rsidP="00C86C86">
          <w:pPr>
            <w:pStyle w:val="TOC3"/>
            <w:tabs>
              <w:tab w:val="right" w:leader="dot" w:pos="8822"/>
            </w:tabs>
            <w:bidi w:val="0"/>
            <w:rPr>
              <w:b/>
              <w:bCs/>
              <w:noProof/>
              <w:rtl/>
            </w:rPr>
          </w:pPr>
          <w:hyperlink w:anchor="_Toc212139827" w:history="1">
            <w:r w:rsidR="00C86C86" w:rsidRPr="00C86C86">
              <w:rPr>
                <w:rStyle w:val="Hyperlink"/>
                <w:rFonts w:asciiTheme="majorBidi" w:hAnsiTheme="majorBidi" w:cstheme="majorBidi"/>
                <w:b/>
                <w:bCs/>
                <w:noProof/>
                <w:kern w:val="0"/>
                <w14:ligatures w14:val="none"/>
              </w:rPr>
              <w:t>Specific Objectives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Toc212139827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18</w:t>
            </w:r>
            <w:r w:rsidR="00C86C86" w:rsidRPr="00C86C86">
              <w:rPr>
                <w:rStyle w:val="Hyperlink"/>
                <w:b/>
                <w:bCs/>
                <w:noProof/>
                <w:rtl/>
              </w:rPr>
              <w:fldChar w:fldCharType="end"/>
            </w:r>
          </w:hyperlink>
        </w:p>
        <w:p w14:paraId="22116C9A" w14:textId="116FF529" w:rsidR="00C86C86" w:rsidRPr="00C86C86" w:rsidRDefault="001F120E" w:rsidP="00C86C86">
          <w:pPr>
            <w:pStyle w:val="TOC3"/>
            <w:tabs>
              <w:tab w:val="right" w:leader="dot" w:pos="8822"/>
            </w:tabs>
            <w:bidi w:val="0"/>
            <w:rPr>
              <w:b/>
              <w:bCs/>
              <w:noProof/>
              <w:rtl/>
            </w:rPr>
          </w:pPr>
          <w:hyperlink w:anchor="_Toc212139828" w:history="1">
            <w:r w:rsidR="00C86C86" w:rsidRPr="00C86C86">
              <w:rPr>
                <w:rStyle w:val="Hyperlink"/>
                <w:rFonts w:asciiTheme="majorBidi" w:hAnsiTheme="majorBidi" w:cstheme="majorBidi"/>
                <w:b/>
                <w:bCs/>
                <w:noProof/>
                <w:kern w:val="0"/>
                <w14:ligatures w14:val="none"/>
              </w:rPr>
              <w:t>Research Questions Embedded in Objectives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Toc212139828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20</w:t>
            </w:r>
            <w:r w:rsidR="00C86C86" w:rsidRPr="00C86C86">
              <w:rPr>
                <w:rStyle w:val="Hyperlink"/>
                <w:b/>
                <w:bCs/>
                <w:noProof/>
                <w:rtl/>
              </w:rPr>
              <w:fldChar w:fldCharType="end"/>
            </w:r>
          </w:hyperlink>
        </w:p>
        <w:p w14:paraId="1180176E" w14:textId="5FFCEC7E" w:rsidR="00C86C86" w:rsidRPr="00C86C86" w:rsidRDefault="001F120E" w:rsidP="00C86C86">
          <w:pPr>
            <w:pStyle w:val="TOC3"/>
            <w:tabs>
              <w:tab w:val="right" w:leader="dot" w:pos="8822"/>
            </w:tabs>
            <w:bidi w:val="0"/>
            <w:rPr>
              <w:b/>
              <w:bCs/>
              <w:noProof/>
              <w:rtl/>
            </w:rPr>
          </w:pPr>
          <w:hyperlink w:anchor="_Toc212139829" w:history="1">
            <w:r w:rsidR="00C86C86" w:rsidRPr="00C86C86">
              <w:rPr>
                <w:rStyle w:val="Hyperlink"/>
                <w:rFonts w:asciiTheme="majorBidi" w:hAnsiTheme="majorBidi" w:cstheme="majorBidi"/>
                <w:b/>
                <w:bCs/>
                <w:noProof/>
                <w:kern w:val="0"/>
                <w14:ligatures w14:val="none"/>
              </w:rPr>
              <w:t>Strategic Relevance of the Objectives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Toc212139829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20</w:t>
            </w:r>
            <w:r w:rsidR="00C86C86" w:rsidRPr="00C86C86">
              <w:rPr>
                <w:rStyle w:val="Hyperlink"/>
                <w:b/>
                <w:bCs/>
                <w:noProof/>
                <w:rtl/>
              </w:rPr>
              <w:fldChar w:fldCharType="end"/>
            </w:r>
          </w:hyperlink>
        </w:p>
        <w:p w14:paraId="7A0F955F" w14:textId="5B6623DB" w:rsidR="00C86C86" w:rsidRPr="00C86C86" w:rsidRDefault="001F120E" w:rsidP="00C86C86">
          <w:pPr>
            <w:pStyle w:val="TOC2"/>
            <w:tabs>
              <w:tab w:val="right" w:leader="dot" w:pos="8822"/>
            </w:tabs>
            <w:bidi w:val="0"/>
            <w:rPr>
              <w:b/>
              <w:bCs/>
              <w:noProof/>
              <w:rtl/>
            </w:rPr>
          </w:pPr>
          <w:hyperlink w:anchor="_Toc212139830" w:history="1">
            <w:r w:rsidR="00C86C86" w:rsidRPr="00C86C86">
              <w:rPr>
                <w:rStyle w:val="Hyperlink"/>
                <w:rFonts w:asciiTheme="majorBidi" w:hAnsiTheme="majorBidi" w:cstheme="majorBidi"/>
                <w:b/>
                <w:bCs/>
                <w:noProof/>
                <w:kern w:val="0"/>
                <w14:ligatures w14:val="none"/>
              </w:rPr>
              <w:t>1.5 Research Hypotheses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Toc212139830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21</w:t>
            </w:r>
            <w:r w:rsidR="00C86C86" w:rsidRPr="00C86C86">
              <w:rPr>
                <w:rStyle w:val="Hyperlink"/>
                <w:b/>
                <w:bCs/>
                <w:noProof/>
                <w:rtl/>
              </w:rPr>
              <w:fldChar w:fldCharType="end"/>
            </w:r>
          </w:hyperlink>
        </w:p>
        <w:p w14:paraId="42E2697A" w14:textId="0B8224B2" w:rsidR="00C86C86" w:rsidRPr="00C86C86" w:rsidRDefault="001F120E" w:rsidP="00C86C86">
          <w:pPr>
            <w:pStyle w:val="TOC3"/>
            <w:tabs>
              <w:tab w:val="right" w:leader="dot" w:pos="8822"/>
            </w:tabs>
            <w:bidi w:val="0"/>
            <w:rPr>
              <w:b/>
              <w:bCs/>
              <w:noProof/>
              <w:rtl/>
            </w:rPr>
          </w:pPr>
          <w:hyperlink w:anchor="_Toc212139831" w:history="1">
            <w:r w:rsidR="00C86C86" w:rsidRPr="00C86C86">
              <w:rPr>
                <w:rStyle w:val="Hyperlink"/>
                <w:rFonts w:asciiTheme="majorBidi" w:hAnsiTheme="majorBidi" w:cstheme="majorBidi"/>
                <w:b/>
                <w:bCs/>
                <w:noProof/>
                <w:kern w:val="0"/>
                <w14:ligatures w14:val="none"/>
              </w:rPr>
              <w:t>Main Hypothesis (H1):</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Toc212139831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21</w:t>
            </w:r>
            <w:r w:rsidR="00C86C86" w:rsidRPr="00C86C86">
              <w:rPr>
                <w:rStyle w:val="Hyperlink"/>
                <w:b/>
                <w:bCs/>
                <w:noProof/>
                <w:rtl/>
              </w:rPr>
              <w:fldChar w:fldCharType="end"/>
            </w:r>
          </w:hyperlink>
        </w:p>
        <w:p w14:paraId="02F552DA" w14:textId="487F707A" w:rsidR="00C86C86" w:rsidRPr="00C86C86" w:rsidRDefault="001F120E" w:rsidP="00C86C86">
          <w:pPr>
            <w:pStyle w:val="TOC3"/>
            <w:tabs>
              <w:tab w:val="right" w:leader="dot" w:pos="8822"/>
            </w:tabs>
            <w:bidi w:val="0"/>
            <w:rPr>
              <w:b/>
              <w:bCs/>
              <w:noProof/>
              <w:rtl/>
            </w:rPr>
          </w:pPr>
          <w:hyperlink w:anchor="_Toc212139832" w:history="1">
            <w:r w:rsidR="00C86C86" w:rsidRPr="00C86C86">
              <w:rPr>
                <w:rStyle w:val="Hyperlink"/>
                <w:rFonts w:asciiTheme="majorBidi" w:hAnsiTheme="majorBidi" w:cstheme="majorBidi"/>
                <w:b/>
                <w:bCs/>
                <w:noProof/>
                <w:kern w:val="0"/>
                <w14:ligatures w14:val="none"/>
              </w:rPr>
              <w:t>Sub-Hypotheses: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22</w:t>
            </w:r>
            <w:r w:rsidR="00C86C86" w:rsidRPr="00C86C86">
              <w:rPr>
                <w:rStyle w:val="Hyperlink"/>
                <w:b/>
                <w:bCs/>
                <w:noProof/>
                <w:rtl/>
              </w:rPr>
              <w:fldChar w:fldCharType="end"/>
            </w:r>
          </w:hyperlink>
        </w:p>
        <w:p w14:paraId="18782D65" w14:textId="2660FE3E" w:rsidR="00C86C86" w:rsidRPr="00C86C86" w:rsidRDefault="001F120E" w:rsidP="00C86C86">
          <w:pPr>
            <w:pStyle w:val="TOC3"/>
            <w:tabs>
              <w:tab w:val="right" w:leader="dot" w:pos="8822"/>
            </w:tabs>
            <w:bidi w:val="0"/>
            <w:rPr>
              <w:b/>
              <w:bCs/>
              <w:noProof/>
              <w:rtl/>
            </w:rPr>
          </w:pPr>
          <w:hyperlink w:anchor="_Toc212139833" w:history="1">
            <w:r w:rsidR="00C86C86" w:rsidRPr="00C86C86">
              <w:rPr>
                <w:rStyle w:val="Hyperlink"/>
                <w:rFonts w:asciiTheme="majorBidi" w:hAnsiTheme="majorBidi" w:cstheme="majorBidi"/>
                <w:b/>
                <w:bCs/>
                <w:noProof/>
                <w:kern w:val="0"/>
                <w14:ligatures w14:val="none"/>
              </w:rPr>
              <w:t>Null Hypotheses (H0):</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24</w:t>
            </w:r>
            <w:r w:rsidR="00C86C86" w:rsidRPr="00C86C86">
              <w:rPr>
                <w:rStyle w:val="Hyperlink"/>
                <w:b/>
                <w:bCs/>
                <w:noProof/>
                <w:rtl/>
              </w:rPr>
              <w:fldChar w:fldCharType="end"/>
            </w:r>
          </w:hyperlink>
        </w:p>
        <w:p w14:paraId="55723803" w14:textId="75BC020C" w:rsidR="00C86C86" w:rsidRPr="00C86C86" w:rsidRDefault="001F120E" w:rsidP="00C86C86">
          <w:pPr>
            <w:pStyle w:val="TOC3"/>
            <w:tabs>
              <w:tab w:val="right" w:leader="dot" w:pos="8822"/>
            </w:tabs>
            <w:bidi w:val="0"/>
            <w:rPr>
              <w:b/>
              <w:bCs/>
              <w:noProof/>
              <w:rtl/>
            </w:rPr>
          </w:pPr>
          <w:hyperlink w:anchor="_Toc212139834" w:history="1">
            <w:r w:rsidR="00C86C86" w:rsidRPr="00C86C86">
              <w:rPr>
                <w:rStyle w:val="Hyperlink"/>
                <w:rFonts w:asciiTheme="majorBidi" w:hAnsiTheme="majorBidi" w:cstheme="majorBidi"/>
                <w:b/>
                <w:bCs/>
                <w:noProof/>
                <w:kern w:val="0"/>
                <w14:ligatures w14:val="none"/>
              </w:rPr>
              <w:t>Strategic Role of Hypotheses in the Study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24</w:t>
            </w:r>
            <w:r w:rsidR="00C86C86" w:rsidRPr="00C86C86">
              <w:rPr>
                <w:rStyle w:val="Hyperlink"/>
                <w:b/>
                <w:bCs/>
                <w:noProof/>
                <w:rtl/>
              </w:rPr>
              <w:fldChar w:fldCharType="end"/>
            </w:r>
          </w:hyperlink>
        </w:p>
        <w:p w14:paraId="19DB9E0A" w14:textId="5DCB1518" w:rsidR="00C86C86" w:rsidRPr="00C86C86" w:rsidRDefault="001F120E" w:rsidP="00C86C86">
          <w:pPr>
            <w:pStyle w:val="TOC1"/>
            <w:tabs>
              <w:tab w:val="right" w:leader="dot" w:pos="8822"/>
            </w:tabs>
            <w:bidi w:val="0"/>
            <w:rPr>
              <w:b/>
              <w:bCs/>
              <w:noProof/>
              <w:rtl/>
            </w:rPr>
          </w:pPr>
          <w:hyperlink w:anchor="_Toc212139835" w:history="1">
            <w:r w:rsidR="00C86C86" w:rsidRPr="00C86C86">
              <w:rPr>
                <w:rStyle w:val="Hyperlink"/>
                <w:rFonts w:asciiTheme="majorBidi" w:hAnsiTheme="majorBidi" w:cstheme="majorBidi"/>
                <w:b/>
                <w:bCs/>
                <w:noProof/>
                <w:kern w:val="0"/>
                <w14:ligatures w14:val="none"/>
              </w:rPr>
              <w:t>Chapter Two: Literature Review</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25</w:t>
            </w:r>
            <w:r w:rsidR="00C86C86" w:rsidRPr="00C86C86">
              <w:rPr>
                <w:rStyle w:val="Hyperlink"/>
                <w:b/>
                <w:bCs/>
                <w:noProof/>
                <w:rtl/>
              </w:rPr>
              <w:fldChar w:fldCharType="end"/>
            </w:r>
          </w:hyperlink>
        </w:p>
        <w:p w14:paraId="194A9C09" w14:textId="1F2744AF" w:rsidR="00C86C86" w:rsidRPr="00C86C86" w:rsidRDefault="001F120E" w:rsidP="00C86C86">
          <w:pPr>
            <w:pStyle w:val="TOC2"/>
            <w:tabs>
              <w:tab w:val="right" w:leader="dot" w:pos="8822"/>
            </w:tabs>
            <w:bidi w:val="0"/>
            <w:rPr>
              <w:b/>
              <w:bCs/>
              <w:noProof/>
              <w:rtl/>
            </w:rPr>
          </w:pPr>
          <w:hyperlink w:anchor="_Toc212139836" w:history="1">
            <w:r w:rsidR="00C86C86" w:rsidRPr="00C86C86">
              <w:rPr>
                <w:rStyle w:val="Hyperlink"/>
                <w:rFonts w:asciiTheme="majorBidi" w:hAnsiTheme="majorBidi" w:cstheme="majorBidi"/>
                <w:b/>
                <w:bCs/>
                <w:noProof/>
                <w:kern w:val="0"/>
                <w14:ligatures w14:val="none"/>
              </w:rPr>
              <w:t>Introduction to the Global Burden of Hospital-Acquired Infections (HAIs)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Toc212139836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25</w:t>
            </w:r>
            <w:r w:rsidR="00C86C86" w:rsidRPr="00C86C86">
              <w:rPr>
                <w:rStyle w:val="Hyperlink"/>
                <w:b/>
                <w:bCs/>
                <w:noProof/>
                <w:rtl/>
              </w:rPr>
              <w:fldChar w:fldCharType="end"/>
            </w:r>
          </w:hyperlink>
        </w:p>
        <w:p w14:paraId="5E50B3CC" w14:textId="7094086F" w:rsidR="00C86C86" w:rsidRPr="00C86C86" w:rsidRDefault="001F120E" w:rsidP="00C86C86">
          <w:pPr>
            <w:pStyle w:val="TOC2"/>
            <w:tabs>
              <w:tab w:val="right" w:leader="dot" w:pos="8822"/>
            </w:tabs>
            <w:bidi w:val="0"/>
            <w:rPr>
              <w:b/>
              <w:bCs/>
              <w:noProof/>
              <w:rtl/>
            </w:rPr>
          </w:pPr>
          <w:hyperlink w:anchor="_Toc212139837" w:history="1">
            <w:r w:rsidR="00C86C86" w:rsidRPr="00C86C86">
              <w:rPr>
                <w:rStyle w:val="Hyperlink"/>
                <w:rFonts w:asciiTheme="majorBidi" w:hAnsiTheme="majorBidi" w:cstheme="majorBidi"/>
                <w:b/>
                <w:bCs/>
                <w:noProof/>
                <w:kern w:val="0"/>
                <w14:ligatures w14:val="none"/>
              </w:rPr>
              <w:t>Antimicrobial Resistance (AMR) as a Core Challenge in HAIs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Toc212139837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28</w:t>
            </w:r>
            <w:r w:rsidR="00C86C86" w:rsidRPr="00C86C86">
              <w:rPr>
                <w:rStyle w:val="Hyperlink"/>
                <w:b/>
                <w:bCs/>
                <w:noProof/>
                <w:rtl/>
              </w:rPr>
              <w:fldChar w:fldCharType="end"/>
            </w:r>
          </w:hyperlink>
        </w:p>
        <w:p w14:paraId="590E9198" w14:textId="7CCC0022" w:rsidR="00C86C86" w:rsidRPr="00C86C86" w:rsidRDefault="001F120E" w:rsidP="00C86C86">
          <w:pPr>
            <w:pStyle w:val="TOC2"/>
            <w:tabs>
              <w:tab w:val="right" w:leader="dot" w:pos="8822"/>
            </w:tabs>
            <w:bidi w:val="0"/>
            <w:rPr>
              <w:b/>
              <w:bCs/>
              <w:noProof/>
              <w:rtl/>
            </w:rPr>
          </w:pPr>
          <w:hyperlink w:anchor="_Toc212139838" w:history="1">
            <w:r w:rsidR="00C86C86" w:rsidRPr="00C86C86">
              <w:rPr>
                <w:rStyle w:val="Hyperlink"/>
                <w:rFonts w:asciiTheme="majorBidi" w:hAnsiTheme="majorBidi" w:cstheme="majorBidi"/>
                <w:b/>
                <w:bCs/>
                <w:noProof/>
                <w:kern w:val="0"/>
                <w14:ligatures w14:val="none"/>
              </w:rPr>
              <w:t>The Impact of COVID-19 on Hospital-Acquired Infections (HAIs)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Toc212139838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31</w:t>
            </w:r>
            <w:r w:rsidR="00C86C86" w:rsidRPr="00C86C86">
              <w:rPr>
                <w:rStyle w:val="Hyperlink"/>
                <w:b/>
                <w:bCs/>
                <w:noProof/>
                <w:rtl/>
              </w:rPr>
              <w:fldChar w:fldCharType="end"/>
            </w:r>
          </w:hyperlink>
        </w:p>
        <w:p w14:paraId="1EF4510F" w14:textId="3A0EBEB6" w:rsidR="00C86C86" w:rsidRPr="00C86C86" w:rsidRDefault="001F120E" w:rsidP="00C86C86">
          <w:pPr>
            <w:pStyle w:val="TOC2"/>
            <w:tabs>
              <w:tab w:val="right" w:leader="dot" w:pos="8822"/>
            </w:tabs>
            <w:bidi w:val="0"/>
            <w:rPr>
              <w:b/>
              <w:bCs/>
              <w:noProof/>
              <w:rtl/>
            </w:rPr>
          </w:pPr>
          <w:hyperlink w:anchor="_Toc212139839" w:history="1">
            <w:r w:rsidR="00C86C86" w:rsidRPr="00C86C86">
              <w:rPr>
                <w:rStyle w:val="Hyperlink"/>
                <w:rFonts w:asciiTheme="majorBidi" w:hAnsiTheme="majorBidi" w:cstheme="majorBidi"/>
                <w:b/>
                <w:bCs/>
                <w:noProof/>
                <w:kern w:val="0"/>
                <w14:ligatures w14:val="none"/>
              </w:rPr>
              <w:t>Regional Perspectives on HAIs – Middle East and LMICs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Toc212139839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35</w:t>
            </w:r>
            <w:r w:rsidR="00C86C86" w:rsidRPr="00C86C86">
              <w:rPr>
                <w:rStyle w:val="Hyperlink"/>
                <w:b/>
                <w:bCs/>
                <w:noProof/>
                <w:rtl/>
              </w:rPr>
              <w:fldChar w:fldCharType="end"/>
            </w:r>
          </w:hyperlink>
        </w:p>
        <w:p w14:paraId="1DD661F3" w14:textId="25802D77" w:rsidR="00C86C86" w:rsidRPr="00C86C86" w:rsidRDefault="001F120E" w:rsidP="00C86C86">
          <w:pPr>
            <w:pStyle w:val="TOC2"/>
            <w:tabs>
              <w:tab w:val="right" w:leader="dot" w:pos="8822"/>
            </w:tabs>
            <w:bidi w:val="0"/>
            <w:rPr>
              <w:b/>
              <w:bCs/>
              <w:noProof/>
              <w:rtl/>
            </w:rPr>
          </w:pPr>
          <w:hyperlink w:anchor="_Toc212139840" w:history="1">
            <w:r w:rsidR="00C86C86" w:rsidRPr="00C86C86">
              <w:rPr>
                <w:rStyle w:val="Hyperlink"/>
                <w:rFonts w:asciiTheme="majorBidi" w:hAnsiTheme="majorBidi" w:cstheme="majorBidi"/>
                <w:b/>
                <w:bCs/>
                <w:noProof/>
                <w:kern w:val="0"/>
                <w14:ligatures w14:val="none"/>
              </w:rPr>
              <w:t>Middle East and North Africa (MENA) Region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Toc212139840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36</w:t>
            </w:r>
            <w:r w:rsidR="00C86C86" w:rsidRPr="00C86C86">
              <w:rPr>
                <w:rStyle w:val="Hyperlink"/>
                <w:b/>
                <w:bCs/>
                <w:noProof/>
                <w:rtl/>
              </w:rPr>
              <w:fldChar w:fldCharType="end"/>
            </w:r>
          </w:hyperlink>
        </w:p>
        <w:p w14:paraId="44787547" w14:textId="25BB725D" w:rsidR="00C86C86" w:rsidRPr="00C86C86" w:rsidRDefault="001F120E" w:rsidP="00C86C86">
          <w:pPr>
            <w:pStyle w:val="TOC2"/>
            <w:tabs>
              <w:tab w:val="right" w:leader="dot" w:pos="8822"/>
            </w:tabs>
            <w:bidi w:val="0"/>
            <w:rPr>
              <w:b/>
              <w:bCs/>
              <w:noProof/>
              <w:rtl/>
            </w:rPr>
          </w:pPr>
          <w:hyperlink w:anchor="_Toc212139841" w:history="1">
            <w:r w:rsidR="00C86C86" w:rsidRPr="00C86C86">
              <w:rPr>
                <w:rStyle w:val="Hyperlink"/>
                <w:rFonts w:asciiTheme="majorBidi" w:hAnsiTheme="majorBidi" w:cstheme="majorBidi"/>
                <w:b/>
                <w:bCs/>
                <w:noProof/>
                <w:kern w:val="0"/>
                <w14:ligatures w14:val="none"/>
              </w:rPr>
              <w:t>South Asia and Sub-Saharan Africa</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Toc212139841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37</w:t>
            </w:r>
            <w:r w:rsidR="00C86C86" w:rsidRPr="00C86C86">
              <w:rPr>
                <w:rStyle w:val="Hyperlink"/>
                <w:b/>
                <w:bCs/>
                <w:noProof/>
                <w:rtl/>
              </w:rPr>
              <w:fldChar w:fldCharType="end"/>
            </w:r>
          </w:hyperlink>
        </w:p>
        <w:p w14:paraId="5C380201" w14:textId="7D320822" w:rsidR="00C86C86" w:rsidRPr="00C86C86" w:rsidRDefault="001F120E" w:rsidP="00C86C86">
          <w:pPr>
            <w:pStyle w:val="TOC2"/>
            <w:tabs>
              <w:tab w:val="right" w:leader="dot" w:pos="8822"/>
            </w:tabs>
            <w:bidi w:val="0"/>
            <w:rPr>
              <w:b/>
              <w:bCs/>
              <w:noProof/>
              <w:rtl/>
            </w:rPr>
          </w:pPr>
          <w:hyperlink w:anchor="_Toc212139842" w:history="1">
            <w:r w:rsidR="00C86C86" w:rsidRPr="00C86C86">
              <w:rPr>
                <w:rStyle w:val="Hyperlink"/>
                <w:rFonts w:asciiTheme="majorBidi" w:hAnsiTheme="majorBidi" w:cstheme="majorBidi"/>
                <w:b/>
                <w:bCs/>
                <w:noProof/>
                <w:kern w:val="0"/>
                <w14:ligatures w14:val="none"/>
              </w:rPr>
              <w:t>Opportunities and Emerging Interventions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38</w:t>
            </w:r>
            <w:r w:rsidR="00C86C86" w:rsidRPr="00C86C86">
              <w:rPr>
                <w:rStyle w:val="Hyperlink"/>
                <w:b/>
                <w:bCs/>
                <w:noProof/>
                <w:rtl/>
              </w:rPr>
              <w:fldChar w:fldCharType="end"/>
            </w:r>
          </w:hyperlink>
        </w:p>
        <w:p w14:paraId="6BB1B8B4" w14:textId="52CE8C45" w:rsidR="00C86C86" w:rsidRPr="00C86C86" w:rsidRDefault="001F120E" w:rsidP="00C86C86">
          <w:pPr>
            <w:pStyle w:val="TOC2"/>
            <w:tabs>
              <w:tab w:val="right" w:leader="dot" w:pos="8822"/>
            </w:tabs>
            <w:bidi w:val="0"/>
            <w:rPr>
              <w:b/>
              <w:bCs/>
              <w:noProof/>
              <w:rtl/>
            </w:rPr>
          </w:pPr>
          <w:hyperlink w:anchor="_Toc212139843" w:history="1">
            <w:r w:rsidR="00C86C86" w:rsidRPr="00C86C86">
              <w:rPr>
                <w:rStyle w:val="Hyperlink"/>
                <w:rFonts w:asciiTheme="majorBidi" w:hAnsiTheme="majorBidi" w:cstheme="majorBidi"/>
                <w:b/>
                <w:bCs/>
                <w:noProof/>
                <w:kern w:val="0"/>
                <w14:ligatures w14:val="none"/>
              </w:rPr>
              <w:t>Theoretical Models for Risk Management in HAIs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39</w:t>
            </w:r>
            <w:r w:rsidR="00C86C86" w:rsidRPr="00C86C86">
              <w:rPr>
                <w:rStyle w:val="Hyperlink"/>
                <w:b/>
                <w:bCs/>
                <w:noProof/>
                <w:rtl/>
              </w:rPr>
              <w:fldChar w:fldCharType="end"/>
            </w:r>
          </w:hyperlink>
        </w:p>
        <w:p w14:paraId="1C07B127" w14:textId="57FF2091" w:rsidR="00C86C86" w:rsidRPr="00C86C86" w:rsidRDefault="001F120E" w:rsidP="00C86C86">
          <w:pPr>
            <w:pStyle w:val="TOC2"/>
            <w:tabs>
              <w:tab w:val="right" w:leader="dot" w:pos="8822"/>
            </w:tabs>
            <w:bidi w:val="0"/>
            <w:rPr>
              <w:b/>
              <w:bCs/>
              <w:noProof/>
              <w:rtl/>
            </w:rPr>
          </w:pPr>
          <w:hyperlink w:anchor="_Toc212139844" w:history="1">
            <w:r w:rsidR="00C86C86" w:rsidRPr="00C86C86">
              <w:rPr>
                <w:rStyle w:val="Hyperlink"/>
                <w:rFonts w:asciiTheme="majorBidi" w:hAnsiTheme="majorBidi" w:cstheme="majorBidi"/>
                <w:b/>
                <w:bCs/>
                <w:noProof/>
                <w:kern w:val="0"/>
                <w14:ligatures w14:val="none"/>
              </w:rPr>
              <w:t>Synthesis of Theoretical Models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43</w:t>
            </w:r>
            <w:r w:rsidR="00C86C86" w:rsidRPr="00C86C86">
              <w:rPr>
                <w:rStyle w:val="Hyperlink"/>
                <w:b/>
                <w:bCs/>
                <w:noProof/>
                <w:rtl/>
              </w:rPr>
              <w:fldChar w:fldCharType="end"/>
            </w:r>
          </w:hyperlink>
        </w:p>
        <w:p w14:paraId="6E23DE09" w14:textId="6B535537" w:rsidR="00C86C86" w:rsidRPr="00C86C86" w:rsidRDefault="001F120E" w:rsidP="00C86C86">
          <w:pPr>
            <w:pStyle w:val="TOC2"/>
            <w:tabs>
              <w:tab w:val="right" w:leader="dot" w:pos="8822"/>
            </w:tabs>
            <w:bidi w:val="0"/>
            <w:rPr>
              <w:b/>
              <w:bCs/>
              <w:noProof/>
              <w:rtl/>
            </w:rPr>
          </w:pPr>
          <w:hyperlink w:anchor="_Toc212139845" w:history="1">
            <w:r w:rsidR="00C86C86" w:rsidRPr="00C86C86">
              <w:rPr>
                <w:rStyle w:val="Hyperlink"/>
                <w:rFonts w:asciiTheme="majorBidi" w:hAnsiTheme="majorBidi" w:cstheme="majorBidi"/>
                <w:b/>
                <w:bCs/>
                <w:noProof/>
                <w:kern w:val="0"/>
                <w14:ligatures w14:val="none"/>
              </w:rPr>
              <w:t>Gaps in the Literature on HAIs and Risk Management</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44</w:t>
            </w:r>
            <w:r w:rsidR="00C86C86" w:rsidRPr="00C86C86">
              <w:rPr>
                <w:rStyle w:val="Hyperlink"/>
                <w:b/>
                <w:bCs/>
                <w:noProof/>
                <w:rtl/>
              </w:rPr>
              <w:fldChar w:fldCharType="end"/>
            </w:r>
          </w:hyperlink>
        </w:p>
        <w:p w14:paraId="7109FA4D" w14:textId="4E399F4E" w:rsidR="00C86C86" w:rsidRPr="00C86C86" w:rsidRDefault="001F120E" w:rsidP="00C86C86">
          <w:pPr>
            <w:pStyle w:val="TOC2"/>
            <w:tabs>
              <w:tab w:val="right" w:leader="dot" w:pos="8822"/>
            </w:tabs>
            <w:bidi w:val="0"/>
            <w:rPr>
              <w:b/>
              <w:bCs/>
              <w:noProof/>
              <w:rtl/>
            </w:rPr>
          </w:pPr>
          <w:hyperlink w:anchor="_Toc212139846" w:history="1">
            <w:r w:rsidR="00C86C86" w:rsidRPr="00C86C86">
              <w:rPr>
                <w:rStyle w:val="Hyperlink"/>
                <w:rFonts w:asciiTheme="majorBidi" w:hAnsiTheme="majorBidi" w:cstheme="majorBidi"/>
                <w:b/>
                <w:bCs/>
                <w:noProof/>
                <w:kern w:val="0"/>
                <w14:ligatures w14:val="none"/>
              </w:rPr>
              <w:t>Synthesis of Gaps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Toc212139846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48</w:t>
            </w:r>
            <w:r w:rsidR="00C86C86" w:rsidRPr="00C86C86">
              <w:rPr>
                <w:rStyle w:val="Hyperlink"/>
                <w:b/>
                <w:bCs/>
                <w:noProof/>
                <w:rtl/>
              </w:rPr>
              <w:fldChar w:fldCharType="end"/>
            </w:r>
          </w:hyperlink>
        </w:p>
        <w:p w14:paraId="26D43FB4" w14:textId="2C9F1A18" w:rsidR="00C86C86" w:rsidRPr="00C86C86" w:rsidRDefault="001F120E" w:rsidP="00C86C86">
          <w:pPr>
            <w:pStyle w:val="TOC2"/>
            <w:tabs>
              <w:tab w:val="right" w:leader="dot" w:pos="8822"/>
            </w:tabs>
            <w:bidi w:val="0"/>
            <w:rPr>
              <w:b/>
              <w:bCs/>
              <w:noProof/>
              <w:rtl/>
            </w:rPr>
          </w:pPr>
          <w:hyperlink w:anchor="_Toc212139847" w:history="1">
            <w:r w:rsidR="00C86C86" w:rsidRPr="00C86C86">
              <w:rPr>
                <w:rStyle w:val="Hyperlink"/>
                <w:rFonts w:asciiTheme="majorBidi" w:hAnsiTheme="majorBidi" w:cstheme="majorBidi"/>
                <w:b/>
                <w:bCs/>
                <w:noProof/>
                <w:kern w:val="0"/>
                <w14:ligatures w14:val="none"/>
              </w:rPr>
              <w:t>International Perspectives on HAIs and Risk Management</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Toc212139847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48</w:t>
            </w:r>
            <w:r w:rsidR="00C86C86" w:rsidRPr="00C86C86">
              <w:rPr>
                <w:rStyle w:val="Hyperlink"/>
                <w:b/>
                <w:bCs/>
                <w:noProof/>
                <w:rtl/>
              </w:rPr>
              <w:fldChar w:fldCharType="end"/>
            </w:r>
          </w:hyperlink>
        </w:p>
        <w:p w14:paraId="379CAD3D" w14:textId="415C8AB7" w:rsidR="00C86C86" w:rsidRPr="00C86C86" w:rsidRDefault="001F120E" w:rsidP="00C86C86">
          <w:pPr>
            <w:pStyle w:val="TOC2"/>
            <w:tabs>
              <w:tab w:val="right" w:leader="dot" w:pos="8822"/>
            </w:tabs>
            <w:bidi w:val="0"/>
            <w:rPr>
              <w:b/>
              <w:bCs/>
              <w:noProof/>
              <w:rtl/>
            </w:rPr>
          </w:pPr>
          <w:hyperlink w:anchor="_Toc212139848" w:history="1">
            <w:r w:rsidR="00C86C86" w:rsidRPr="00C86C86">
              <w:rPr>
                <w:rStyle w:val="Hyperlink"/>
                <w:rFonts w:asciiTheme="majorBidi" w:hAnsiTheme="majorBidi" w:cstheme="majorBidi"/>
                <w:b/>
                <w:bCs/>
                <w:noProof/>
                <w:kern w:val="0"/>
                <w14:ligatures w14:val="none"/>
              </w:rPr>
              <w:t>Regional Perspectives (MENA and Africa)</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Toc212139848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53</w:t>
            </w:r>
            <w:r w:rsidR="00C86C86" w:rsidRPr="00C86C86">
              <w:rPr>
                <w:rStyle w:val="Hyperlink"/>
                <w:b/>
                <w:bCs/>
                <w:noProof/>
                <w:rtl/>
              </w:rPr>
              <w:fldChar w:fldCharType="end"/>
            </w:r>
          </w:hyperlink>
        </w:p>
        <w:p w14:paraId="10AED6A1" w14:textId="0B38F405" w:rsidR="00C86C86" w:rsidRPr="00C86C86" w:rsidRDefault="001F120E" w:rsidP="00C86C86">
          <w:pPr>
            <w:pStyle w:val="TOC2"/>
            <w:tabs>
              <w:tab w:val="right" w:leader="dot" w:pos="8822"/>
            </w:tabs>
            <w:bidi w:val="0"/>
            <w:rPr>
              <w:b/>
              <w:bCs/>
              <w:noProof/>
              <w:rtl/>
            </w:rPr>
          </w:pPr>
          <w:hyperlink w:anchor="_Toc212139849" w:history="1">
            <w:r w:rsidR="00C86C86" w:rsidRPr="00C86C86">
              <w:rPr>
                <w:rStyle w:val="Hyperlink"/>
                <w:rFonts w:asciiTheme="majorBidi" w:hAnsiTheme="majorBidi" w:cstheme="majorBidi"/>
                <w:b/>
                <w:bCs/>
                <w:noProof/>
                <w:kern w:val="0"/>
                <w14:ligatures w14:val="none"/>
              </w:rPr>
              <w:t>National Perspectives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Toc212139849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57</w:t>
            </w:r>
            <w:r w:rsidR="00C86C86" w:rsidRPr="00C86C86">
              <w:rPr>
                <w:rStyle w:val="Hyperlink"/>
                <w:b/>
                <w:bCs/>
                <w:noProof/>
                <w:rtl/>
              </w:rPr>
              <w:fldChar w:fldCharType="end"/>
            </w:r>
          </w:hyperlink>
        </w:p>
        <w:p w14:paraId="1E6C8D52" w14:textId="54673B3F" w:rsidR="00C86C86" w:rsidRPr="00C86C86" w:rsidRDefault="001F120E" w:rsidP="00C86C86">
          <w:pPr>
            <w:pStyle w:val="TOC2"/>
            <w:tabs>
              <w:tab w:val="right" w:leader="dot" w:pos="8822"/>
            </w:tabs>
            <w:bidi w:val="0"/>
            <w:rPr>
              <w:b/>
              <w:bCs/>
              <w:noProof/>
              <w:rtl/>
            </w:rPr>
          </w:pPr>
          <w:hyperlink w:anchor="_Toc212139850" w:history="1">
            <w:r w:rsidR="00C86C86" w:rsidRPr="00C86C86">
              <w:rPr>
                <w:rStyle w:val="Hyperlink"/>
                <w:rFonts w:asciiTheme="majorBidi" w:hAnsiTheme="majorBidi" w:cstheme="majorBidi"/>
                <w:b/>
                <w:bCs/>
                <w:noProof/>
                <w:kern w:val="0"/>
                <w14:ligatures w14:val="none"/>
              </w:rPr>
              <w:t>Synthesis and Conclusion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Toc212139850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60</w:t>
            </w:r>
            <w:r w:rsidR="00C86C86" w:rsidRPr="00C86C86">
              <w:rPr>
                <w:rStyle w:val="Hyperlink"/>
                <w:b/>
                <w:bCs/>
                <w:noProof/>
                <w:rtl/>
              </w:rPr>
              <w:fldChar w:fldCharType="end"/>
            </w:r>
          </w:hyperlink>
        </w:p>
        <w:p w14:paraId="45764A6C" w14:textId="440D4CE5" w:rsidR="00C86C86" w:rsidRPr="00C86C86" w:rsidRDefault="001F120E" w:rsidP="00C86C86">
          <w:pPr>
            <w:pStyle w:val="TOC3"/>
            <w:tabs>
              <w:tab w:val="right" w:leader="dot" w:pos="8822"/>
            </w:tabs>
            <w:bidi w:val="0"/>
            <w:rPr>
              <w:b/>
              <w:bCs/>
              <w:noProof/>
              <w:rtl/>
            </w:rPr>
          </w:pPr>
          <w:hyperlink w:anchor="_Toc212139851" w:history="1">
            <w:r w:rsidR="00C86C86" w:rsidRPr="00C86C86">
              <w:rPr>
                <w:rStyle w:val="Hyperlink"/>
                <w:rFonts w:asciiTheme="majorBidi" w:hAnsiTheme="majorBidi" w:cstheme="majorBidi"/>
                <w:b/>
                <w:bCs/>
                <w:noProof/>
                <w:kern w:val="0"/>
                <w14:ligatures w14:val="none"/>
              </w:rPr>
              <w:t>1. International Evidence and Theoretical Background</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Toc212139851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60</w:t>
            </w:r>
            <w:r w:rsidR="00C86C86" w:rsidRPr="00C86C86">
              <w:rPr>
                <w:rStyle w:val="Hyperlink"/>
                <w:b/>
                <w:bCs/>
                <w:noProof/>
                <w:rtl/>
              </w:rPr>
              <w:fldChar w:fldCharType="end"/>
            </w:r>
          </w:hyperlink>
        </w:p>
        <w:p w14:paraId="6611DD96" w14:textId="6EBD93F9" w:rsidR="00C86C86" w:rsidRPr="00C86C86" w:rsidRDefault="001F120E" w:rsidP="00C86C86">
          <w:pPr>
            <w:pStyle w:val="TOC3"/>
            <w:tabs>
              <w:tab w:val="right" w:leader="dot" w:pos="8822"/>
            </w:tabs>
            <w:bidi w:val="0"/>
            <w:rPr>
              <w:b/>
              <w:bCs/>
              <w:noProof/>
              <w:rtl/>
            </w:rPr>
          </w:pPr>
          <w:hyperlink w:anchor="_Toc212139852" w:history="1">
            <w:r w:rsidR="00C86C86" w:rsidRPr="00C86C86">
              <w:rPr>
                <w:rStyle w:val="Hyperlink"/>
                <w:rFonts w:asciiTheme="majorBidi" w:hAnsiTheme="majorBidi" w:cstheme="majorBidi"/>
                <w:b/>
                <w:bCs/>
                <w:noProof/>
                <w:kern w:val="0"/>
                <w14:ligatures w14:val="none"/>
              </w:rPr>
              <w:t>2. Regional Variations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61</w:t>
            </w:r>
            <w:r w:rsidR="00C86C86" w:rsidRPr="00C86C86">
              <w:rPr>
                <w:rStyle w:val="Hyperlink"/>
                <w:b/>
                <w:bCs/>
                <w:noProof/>
                <w:rtl/>
              </w:rPr>
              <w:fldChar w:fldCharType="end"/>
            </w:r>
          </w:hyperlink>
        </w:p>
        <w:p w14:paraId="566EA0DA" w14:textId="079BB7F1" w:rsidR="00C86C86" w:rsidRPr="00C86C86" w:rsidRDefault="001F120E" w:rsidP="00C86C86">
          <w:pPr>
            <w:pStyle w:val="TOC3"/>
            <w:tabs>
              <w:tab w:val="right" w:leader="dot" w:pos="8822"/>
            </w:tabs>
            <w:bidi w:val="0"/>
            <w:rPr>
              <w:b/>
              <w:bCs/>
              <w:noProof/>
              <w:rtl/>
            </w:rPr>
          </w:pPr>
          <w:hyperlink w:anchor="_Toc212139853" w:history="1">
            <w:r w:rsidR="00C86C86" w:rsidRPr="00C86C86">
              <w:rPr>
                <w:rStyle w:val="Hyperlink"/>
                <w:rFonts w:asciiTheme="majorBidi" w:hAnsiTheme="majorBidi" w:cstheme="majorBidi"/>
                <w:b/>
                <w:bCs/>
                <w:noProof/>
                <w:kern w:val="0"/>
                <w14:ligatures w14:val="none"/>
              </w:rPr>
              <w:t>3. National Experience: Egypt</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62</w:t>
            </w:r>
            <w:r w:rsidR="00C86C86" w:rsidRPr="00C86C86">
              <w:rPr>
                <w:rStyle w:val="Hyperlink"/>
                <w:b/>
                <w:bCs/>
                <w:noProof/>
                <w:rtl/>
              </w:rPr>
              <w:fldChar w:fldCharType="end"/>
            </w:r>
          </w:hyperlink>
        </w:p>
        <w:p w14:paraId="6D1DB178" w14:textId="32D17E5B" w:rsidR="00C86C86" w:rsidRPr="00C86C86" w:rsidRDefault="001F120E" w:rsidP="00C86C86">
          <w:pPr>
            <w:pStyle w:val="TOC3"/>
            <w:tabs>
              <w:tab w:val="right" w:leader="dot" w:pos="8822"/>
            </w:tabs>
            <w:bidi w:val="0"/>
            <w:rPr>
              <w:b/>
              <w:bCs/>
              <w:noProof/>
              <w:rtl/>
            </w:rPr>
          </w:pPr>
          <w:hyperlink w:anchor="_Toc212139854" w:history="1">
            <w:r w:rsidR="00C86C86" w:rsidRPr="00C86C86">
              <w:rPr>
                <w:rStyle w:val="Hyperlink"/>
                <w:rFonts w:asciiTheme="majorBidi" w:hAnsiTheme="majorBidi" w:cstheme="majorBidi"/>
                <w:b/>
                <w:bCs/>
                <w:noProof/>
                <w:kern w:val="0"/>
                <w14:ligatures w14:val="none"/>
              </w:rPr>
              <w:t>4. Identified Gaps in the Literature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62</w:t>
            </w:r>
            <w:r w:rsidR="00C86C86" w:rsidRPr="00C86C86">
              <w:rPr>
                <w:rStyle w:val="Hyperlink"/>
                <w:b/>
                <w:bCs/>
                <w:noProof/>
                <w:rtl/>
              </w:rPr>
              <w:fldChar w:fldCharType="end"/>
            </w:r>
          </w:hyperlink>
        </w:p>
        <w:p w14:paraId="272E467A" w14:textId="7170E8FD" w:rsidR="00C86C86" w:rsidRPr="00C86C86" w:rsidRDefault="001F120E" w:rsidP="00C86C86">
          <w:pPr>
            <w:pStyle w:val="TOC3"/>
            <w:tabs>
              <w:tab w:val="right" w:leader="dot" w:pos="8822"/>
            </w:tabs>
            <w:bidi w:val="0"/>
            <w:rPr>
              <w:b/>
              <w:bCs/>
              <w:noProof/>
              <w:rtl/>
            </w:rPr>
          </w:pPr>
          <w:hyperlink w:anchor="_Toc212139855" w:history="1">
            <w:r w:rsidR="00C86C86" w:rsidRPr="00C86C86">
              <w:rPr>
                <w:rStyle w:val="Hyperlink"/>
                <w:rFonts w:asciiTheme="majorBidi" w:hAnsiTheme="majorBidi" w:cstheme="majorBidi"/>
                <w:b/>
                <w:bCs/>
                <w:noProof/>
                <w:kern w:val="0"/>
                <w14:ligatures w14:val="none"/>
              </w:rPr>
              <w:t>5. Implications for the Current Study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63</w:t>
            </w:r>
            <w:r w:rsidR="00C86C86" w:rsidRPr="00C86C86">
              <w:rPr>
                <w:rStyle w:val="Hyperlink"/>
                <w:b/>
                <w:bCs/>
                <w:noProof/>
                <w:rtl/>
              </w:rPr>
              <w:fldChar w:fldCharType="end"/>
            </w:r>
          </w:hyperlink>
        </w:p>
        <w:p w14:paraId="35526FCB" w14:textId="0C85BEF7" w:rsidR="00C86C86" w:rsidRPr="00C86C86" w:rsidRDefault="001F120E" w:rsidP="00C86C86">
          <w:pPr>
            <w:pStyle w:val="TOC1"/>
            <w:tabs>
              <w:tab w:val="right" w:leader="dot" w:pos="8822"/>
            </w:tabs>
            <w:bidi w:val="0"/>
            <w:rPr>
              <w:b/>
              <w:bCs/>
              <w:noProof/>
              <w:rtl/>
            </w:rPr>
          </w:pPr>
          <w:hyperlink w:anchor="_Toc212139856" w:history="1">
            <w:r w:rsidR="00C86C86" w:rsidRPr="00C86C86">
              <w:rPr>
                <w:rStyle w:val="Hyperlink"/>
                <w:rFonts w:asciiTheme="majorBidi" w:hAnsiTheme="majorBidi" w:cstheme="majorBidi"/>
                <w:b/>
                <w:bCs/>
                <w:noProof/>
                <w:kern w:val="0"/>
                <w14:ligatures w14:val="none"/>
              </w:rPr>
              <w:t>Chapter Three: Research Methodology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Toc212139856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64</w:t>
            </w:r>
            <w:r w:rsidR="00C86C86" w:rsidRPr="00C86C86">
              <w:rPr>
                <w:rStyle w:val="Hyperlink"/>
                <w:b/>
                <w:bCs/>
                <w:noProof/>
                <w:rtl/>
              </w:rPr>
              <w:fldChar w:fldCharType="end"/>
            </w:r>
          </w:hyperlink>
        </w:p>
        <w:p w14:paraId="36977E70" w14:textId="2F65E525" w:rsidR="00C86C86" w:rsidRPr="00C86C86" w:rsidRDefault="001F120E" w:rsidP="00C86C86">
          <w:pPr>
            <w:pStyle w:val="TOC2"/>
            <w:tabs>
              <w:tab w:val="right" w:leader="dot" w:pos="8822"/>
            </w:tabs>
            <w:bidi w:val="0"/>
            <w:rPr>
              <w:b/>
              <w:bCs/>
              <w:noProof/>
              <w:rtl/>
            </w:rPr>
          </w:pPr>
          <w:hyperlink w:anchor="_Toc212139857" w:history="1">
            <w:r w:rsidR="00C86C86" w:rsidRPr="00C86C86">
              <w:rPr>
                <w:rStyle w:val="Hyperlink"/>
                <w:rFonts w:asciiTheme="majorBidi" w:hAnsiTheme="majorBidi" w:cstheme="majorBidi"/>
                <w:b/>
                <w:bCs/>
                <w:noProof/>
                <w:kern w:val="0"/>
                <w14:ligatures w14:val="none"/>
              </w:rPr>
              <w:t>3.1 Research Design and Rationale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Toc212139857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64</w:t>
            </w:r>
            <w:r w:rsidR="00C86C86" w:rsidRPr="00C86C86">
              <w:rPr>
                <w:rStyle w:val="Hyperlink"/>
                <w:b/>
                <w:bCs/>
                <w:noProof/>
                <w:rtl/>
              </w:rPr>
              <w:fldChar w:fldCharType="end"/>
            </w:r>
          </w:hyperlink>
        </w:p>
        <w:p w14:paraId="6CDA514C" w14:textId="77775519" w:rsidR="00C86C86" w:rsidRPr="00C86C86" w:rsidRDefault="001F120E" w:rsidP="00C86C86">
          <w:pPr>
            <w:pStyle w:val="TOC2"/>
            <w:tabs>
              <w:tab w:val="right" w:leader="dot" w:pos="8822"/>
            </w:tabs>
            <w:bidi w:val="0"/>
            <w:rPr>
              <w:b/>
              <w:bCs/>
              <w:noProof/>
              <w:rtl/>
            </w:rPr>
          </w:pPr>
          <w:hyperlink w:anchor="_Toc212139858" w:history="1">
            <w:r w:rsidR="00C86C86" w:rsidRPr="00C86C86">
              <w:rPr>
                <w:rStyle w:val="Hyperlink"/>
                <w:rFonts w:asciiTheme="majorBidi" w:hAnsiTheme="majorBidi" w:cstheme="majorBidi"/>
                <w:b/>
                <w:bCs/>
                <w:noProof/>
                <w:kern w:val="0"/>
                <w14:ligatures w14:val="none"/>
              </w:rPr>
              <w:t>3.2 Data Collection Instruments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Toc212139858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66</w:t>
            </w:r>
            <w:r w:rsidR="00C86C86" w:rsidRPr="00C86C86">
              <w:rPr>
                <w:rStyle w:val="Hyperlink"/>
                <w:b/>
                <w:bCs/>
                <w:noProof/>
                <w:rtl/>
              </w:rPr>
              <w:fldChar w:fldCharType="end"/>
            </w:r>
          </w:hyperlink>
        </w:p>
        <w:p w14:paraId="0E6DBCCF" w14:textId="39EF10D3" w:rsidR="00C86C86" w:rsidRPr="00C86C86" w:rsidRDefault="001F120E" w:rsidP="00C86C86">
          <w:pPr>
            <w:pStyle w:val="TOC3"/>
            <w:tabs>
              <w:tab w:val="right" w:leader="dot" w:pos="8822"/>
            </w:tabs>
            <w:bidi w:val="0"/>
            <w:rPr>
              <w:b/>
              <w:bCs/>
              <w:noProof/>
              <w:rtl/>
            </w:rPr>
          </w:pPr>
          <w:hyperlink w:anchor="_Toc212139859" w:history="1">
            <w:r w:rsidR="00C86C86" w:rsidRPr="00C86C86">
              <w:rPr>
                <w:rStyle w:val="Hyperlink"/>
                <w:rFonts w:asciiTheme="majorBidi" w:hAnsiTheme="majorBidi" w:cstheme="majorBidi"/>
                <w:b/>
                <w:bCs/>
                <w:noProof/>
                <w:kern w:val="0"/>
                <w14:ligatures w14:val="none"/>
              </w:rPr>
              <w:t>3.2.1 Structured Questionnaires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Toc212139859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66</w:t>
            </w:r>
            <w:r w:rsidR="00C86C86" w:rsidRPr="00C86C86">
              <w:rPr>
                <w:rStyle w:val="Hyperlink"/>
                <w:b/>
                <w:bCs/>
                <w:noProof/>
                <w:rtl/>
              </w:rPr>
              <w:fldChar w:fldCharType="end"/>
            </w:r>
          </w:hyperlink>
        </w:p>
        <w:p w14:paraId="22F10FC4" w14:textId="7EB205EB" w:rsidR="00C86C86" w:rsidRPr="00C86C86" w:rsidRDefault="001F120E" w:rsidP="00C86C86">
          <w:pPr>
            <w:pStyle w:val="TOC3"/>
            <w:tabs>
              <w:tab w:val="right" w:leader="dot" w:pos="8822"/>
            </w:tabs>
            <w:bidi w:val="0"/>
            <w:rPr>
              <w:b/>
              <w:bCs/>
              <w:noProof/>
              <w:rtl/>
            </w:rPr>
          </w:pPr>
          <w:hyperlink w:anchor="_Toc212139860" w:history="1">
            <w:r w:rsidR="00C86C86" w:rsidRPr="00C86C86">
              <w:rPr>
                <w:rStyle w:val="Hyperlink"/>
                <w:rFonts w:asciiTheme="majorBidi" w:hAnsiTheme="majorBidi" w:cstheme="majorBidi"/>
                <w:b/>
                <w:bCs/>
                <w:noProof/>
                <w:kern w:val="0"/>
                <w14:ligatures w14:val="none"/>
              </w:rPr>
              <w:t>3.2.2 Semi-Structured Interviews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Toc212139860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67</w:t>
            </w:r>
            <w:r w:rsidR="00C86C86" w:rsidRPr="00C86C86">
              <w:rPr>
                <w:rStyle w:val="Hyperlink"/>
                <w:b/>
                <w:bCs/>
                <w:noProof/>
                <w:rtl/>
              </w:rPr>
              <w:fldChar w:fldCharType="end"/>
            </w:r>
          </w:hyperlink>
        </w:p>
        <w:p w14:paraId="14F69F62" w14:textId="447EB5A3" w:rsidR="00C86C86" w:rsidRPr="00C86C86" w:rsidRDefault="001F120E" w:rsidP="00C86C86">
          <w:pPr>
            <w:pStyle w:val="TOC3"/>
            <w:tabs>
              <w:tab w:val="right" w:leader="dot" w:pos="8822"/>
            </w:tabs>
            <w:bidi w:val="0"/>
            <w:rPr>
              <w:b/>
              <w:bCs/>
              <w:noProof/>
              <w:rtl/>
            </w:rPr>
          </w:pPr>
          <w:hyperlink w:anchor="_Toc212139861" w:history="1">
            <w:r w:rsidR="00C86C86" w:rsidRPr="00C86C86">
              <w:rPr>
                <w:rStyle w:val="Hyperlink"/>
                <w:rFonts w:asciiTheme="majorBidi" w:hAnsiTheme="majorBidi" w:cstheme="majorBidi"/>
                <w:b/>
                <w:bCs/>
                <w:noProof/>
                <w:kern w:val="0"/>
                <w14:ligatures w14:val="none"/>
              </w:rPr>
              <w:t>3.2.3 Document and Record Review</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Toc212139861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68</w:t>
            </w:r>
            <w:r w:rsidR="00C86C86" w:rsidRPr="00C86C86">
              <w:rPr>
                <w:rStyle w:val="Hyperlink"/>
                <w:b/>
                <w:bCs/>
                <w:noProof/>
                <w:rtl/>
              </w:rPr>
              <w:fldChar w:fldCharType="end"/>
            </w:r>
          </w:hyperlink>
        </w:p>
        <w:p w14:paraId="544D2986" w14:textId="5EA56E3B" w:rsidR="00C86C86" w:rsidRPr="00C86C86" w:rsidRDefault="001F120E" w:rsidP="00C86C86">
          <w:pPr>
            <w:pStyle w:val="TOC3"/>
            <w:tabs>
              <w:tab w:val="right" w:leader="dot" w:pos="8822"/>
            </w:tabs>
            <w:bidi w:val="0"/>
            <w:rPr>
              <w:b/>
              <w:bCs/>
              <w:noProof/>
              <w:rtl/>
            </w:rPr>
          </w:pPr>
          <w:hyperlink w:anchor="_Toc212139862" w:history="1">
            <w:r w:rsidR="00C86C86" w:rsidRPr="00C86C86">
              <w:rPr>
                <w:rStyle w:val="Hyperlink"/>
                <w:rFonts w:asciiTheme="majorBidi" w:hAnsiTheme="majorBidi" w:cstheme="majorBidi"/>
                <w:b/>
                <w:bCs/>
                <w:noProof/>
                <w:kern w:val="0"/>
                <w14:ligatures w14:val="none"/>
              </w:rPr>
              <w:t>3.2.4 Direct Observation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68</w:t>
            </w:r>
            <w:r w:rsidR="00C86C86" w:rsidRPr="00C86C86">
              <w:rPr>
                <w:rStyle w:val="Hyperlink"/>
                <w:b/>
                <w:bCs/>
                <w:noProof/>
                <w:rtl/>
              </w:rPr>
              <w:fldChar w:fldCharType="end"/>
            </w:r>
          </w:hyperlink>
        </w:p>
        <w:p w14:paraId="2F3ED8FD" w14:textId="2FA84AF9" w:rsidR="00C86C86" w:rsidRPr="00C86C86" w:rsidRDefault="001F120E" w:rsidP="00C86C86">
          <w:pPr>
            <w:pStyle w:val="TOC3"/>
            <w:tabs>
              <w:tab w:val="right" w:leader="dot" w:pos="8822"/>
            </w:tabs>
            <w:bidi w:val="0"/>
            <w:rPr>
              <w:b/>
              <w:bCs/>
              <w:noProof/>
              <w:rtl/>
            </w:rPr>
          </w:pPr>
          <w:hyperlink w:anchor="_Toc212139863" w:history="1">
            <w:r w:rsidR="00C86C86" w:rsidRPr="00C86C86">
              <w:rPr>
                <w:rStyle w:val="Hyperlink"/>
                <w:rFonts w:asciiTheme="majorBidi" w:hAnsiTheme="majorBidi" w:cstheme="majorBidi"/>
                <w:b/>
                <w:bCs/>
                <w:noProof/>
                <w:kern w:val="0"/>
                <w14:ligatures w14:val="none"/>
              </w:rPr>
              <w:t>3.2.5 Integration of Instruments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69</w:t>
            </w:r>
            <w:r w:rsidR="00C86C86" w:rsidRPr="00C86C86">
              <w:rPr>
                <w:rStyle w:val="Hyperlink"/>
                <w:b/>
                <w:bCs/>
                <w:noProof/>
                <w:rtl/>
              </w:rPr>
              <w:fldChar w:fldCharType="end"/>
            </w:r>
          </w:hyperlink>
        </w:p>
        <w:p w14:paraId="19173D8D" w14:textId="4AFBD7B1" w:rsidR="00C86C86" w:rsidRPr="00C86C86" w:rsidRDefault="001F120E" w:rsidP="00C86C86">
          <w:pPr>
            <w:pStyle w:val="TOC2"/>
            <w:tabs>
              <w:tab w:val="right" w:leader="dot" w:pos="8822"/>
            </w:tabs>
            <w:bidi w:val="0"/>
            <w:rPr>
              <w:b/>
              <w:bCs/>
              <w:noProof/>
              <w:rtl/>
            </w:rPr>
          </w:pPr>
          <w:hyperlink w:anchor="_Toc212139864" w:history="1">
            <w:r w:rsidR="00C86C86" w:rsidRPr="00C86C86">
              <w:rPr>
                <w:rStyle w:val="Hyperlink"/>
                <w:rFonts w:asciiTheme="majorBidi" w:hAnsiTheme="majorBidi" w:cstheme="majorBidi"/>
                <w:b/>
                <w:bCs/>
                <w:noProof/>
                <w:kern w:val="0"/>
                <w14:ligatures w14:val="none"/>
              </w:rPr>
              <w:t>3.3 Sampling Plan and Population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69</w:t>
            </w:r>
            <w:r w:rsidR="00C86C86" w:rsidRPr="00C86C86">
              <w:rPr>
                <w:rStyle w:val="Hyperlink"/>
                <w:b/>
                <w:bCs/>
                <w:noProof/>
                <w:rtl/>
              </w:rPr>
              <w:fldChar w:fldCharType="end"/>
            </w:r>
          </w:hyperlink>
        </w:p>
        <w:p w14:paraId="2BA10352" w14:textId="0678CCDE" w:rsidR="00C86C86" w:rsidRPr="00C86C86" w:rsidRDefault="001F120E" w:rsidP="00C86C86">
          <w:pPr>
            <w:pStyle w:val="TOC3"/>
            <w:tabs>
              <w:tab w:val="right" w:leader="dot" w:pos="8822"/>
            </w:tabs>
            <w:bidi w:val="0"/>
            <w:rPr>
              <w:b/>
              <w:bCs/>
              <w:noProof/>
              <w:rtl/>
            </w:rPr>
          </w:pPr>
          <w:hyperlink w:anchor="_Toc212139865" w:history="1">
            <w:r w:rsidR="00C86C86" w:rsidRPr="00C86C86">
              <w:rPr>
                <w:rStyle w:val="Hyperlink"/>
                <w:rFonts w:asciiTheme="majorBidi" w:hAnsiTheme="majorBidi" w:cstheme="majorBidi"/>
                <w:b/>
                <w:bCs/>
                <w:noProof/>
                <w:kern w:val="0"/>
                <w14:ligatures w14:val="none"/>
              </w:rPr>
              <w:t>3.3.1 Target Population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69</w:t>
            </w:r>
            <w:r w:rsidR="00C86C86" w:rsidRPr="00C86C86">
              <w:rPr>
                <w:rStyle w:val="Hyperlink"/>
                <w:b/>
                <w:bCs/>
                <w:noProof/>
                <w:rtl/>
              </w:rPr>
              <w:fldChar w:fldCharType="end"/>
            </w:r>
          </w:hyperlink>
        </w:p>
        <w:p w14:paraId="5B092400" w14:textId="44708827" w:rsidR="00C86C86" w:rsidRPr="00C86C86" w:rsidRDefault="001F120E" w:rsidP="00C86C86">
          <w:pPr>
            <w:pStyle w:val="TOC3"/>
            <w:tabs>
              <w:tab w:val="right" w:leader="dot" w:pos="8822"/>
            </w:tabs>
            <w:bidi w:val="0"/>
            <w:rPr>
              <w:b/>
              <w:bCs/>
              <w:noProof/>
              <w:rtl/>
            </w:rPr>
          </w:pPr>
          <w:hyperlink w:anchor="_Toc212139866" w:history="1">
            <w:r w:rsidR="00C86C86" w:rsidRPr="00C86C86">
              <w:rPr>
                <w:rStyle w:val="Hyperlink"/>
                <w:rFonts w:asciiTheme="majorBidi" w:hAnsiTheme="majorBidi" w:cstheme="majorBidi"/>
                <w:b/>
                <w:bCs/>
                <w:noProof/>
                <w:kern w:val="0"/>
                <w14:ligatures w14:val="none"/>
              </w:rPr>
              <w:t>3.3.2 Sampling Method</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Toc212139866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70</w:t>
            </w:r>
            <w:r w:rsidR="00C86C86" w:rsidRPr="00C86C86">
              <w:rPr>
                <w:rStyle w:val="Hyperlink"/>
                <w:b/>
                <w:bCs/>
                <w:noProof/>
                <w:rtl/>
              </w:rPr>
              <w:fldChar w:fldCharType="end"/>
            </w:r>
          </w:hyperlink>
        </w:p>
        <w:p w14:paraId="08B6EB38" w14:textId="7E32057A" w:rsidR="00C86C86" w:rsidRPr="00C86C86" w:rsidRDefault="001F120E" w:rsidP="00C86C86">
          <w:pPr>
            <w:pStyle w:val="TOC3"/>
            <w:tabs>
              <w:tab w:val="right" w:leader="dot" w:pos="8822"/>
            </w:tabs>
            <w:bidi w:val="0"/>
            <w:rPr>
              <w:b/>
              <w:bCs/>
              <w:noProof/>
              <w:rtl/>
            </w:rPr>
          </w:pPr>
          <w:hyperlink w:anchor="_Toc212139867" w:history="1">
            <w:r w:rsidR="00C86C86" w:rsidRPr="00C86C86">
              <w:rPr>
                <w:rStyle w:val="Hyperlink"/>
                <w:rFonts w:asciiTheme="majorBidi" w:hAnsiTheme="majorBidi" w:cstheme="majorBidi"/>
                <w:b/>
                <w:bCs/>
                <w:noProof/>
                <w:kern w:val="0"/>
                <w14:ligatures w14:val="none"/>
              </w:rPr>
              <w:t>3.3.3 Sample Size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Toc212139867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71</w:t>
            </w:r>
            <w:r w:rsidR="00C86C86" w:rsidRPr="00C86C86">
              <w:rPr>
                <w:rStyle w:val="Hyperlink"/>
                <w:b/>
                <w:bCs/>
                <w:noProof/>
                <w:rtl/>
              </w:rPr>
              <w:fldChar w:fldCharType="end"/>
            </w:r>
          </w:hyperlink>
        </w:p>
        <w:p w14:paraId="6C6A874D" w14:textId="55423CBD" w:rsidR="00C86C86" w:rsidRPr="00C86C86" w:rsidRDefault="001F120E" w:rsidP="00C86C86">
          <w:pPr>
            <w:pStyle w:val="TOC3"/>
            <w:tabs>
              <w:tab w:val="right" w:leader="dot" w:pos="8822"/>
            </w:tabs>
            <w:bidi w:val="0"/>
            <w:rPr>
              <w:b/>
              <w:bCs/>
              <w:noProof/>
              <w:rtl/>
            </w:rPr>
          </w:pPr>
          <w:hyperlink w:anchor="_Toc212139868" w:history="1">
            <w:r w:rsidR="00C86C86" w:rsidRPr="00C86C86">
              <w:rPr>
                <w:rStyle w:val="Hyperlink"/>
                <w:rFonts w:asciiTheme="majorBidi" w:hAnsiTheme="majorBidi" w:cstheme="majorBidi"/>
                <w:b/>
                <w:bCs/>
                <w:noProof/>
                <w:kern w:val="0"/>
                <w14:ligatures w14:val="none"/>
              </w:rPr>
              <w:t>3.3.4 Justification of Sampling</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Toc212139868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72</w:t>
            </w:r>
            <w:r w:rsidR="00C86C86" w:rsidRPr="00C86C86">
              <w:rPr>
                <w:rStyle w:val="Hyperlink"/>
                <w:b/>
                <w:bCs/>
                <w:noProof/>
                <w:rtl/>
              </w:rPr>
              <w:fldChar w:fldCharType="end"/>
            </w:r>
          </w:hyperlink>
        </w:p>
        <w:p w14:paraId="4DD58B82" w14:textId="30ADBAE4" w:rsidR="00C86C86" w:rsidRPr="00C86C86" w:rsidRDefault="001F120E" w:rsidP="00C86C86">
          <w:pPr>
            <w:pStyle w:val="TOC2"/>
            <w:tabs>
              <w:tab w:val="right" w:leader="dot" w:pos="8822"/>
            </w:tabs>
            <w:bidi w:val="0"/>
            <w:rPr>
              <w:b/>
              <w:bCs/>
              <w:noProof/>
              <w:rtl/>
            </w:rPr>
          </w:pPr>
          <w:hyperlink w:anchor="_Toc212139869" w:history="1">
            <w:r w:rsidR="00C86C86" w:rsidRPr="00C86C86">
              <w:rPr>
                <w:rStyle w:val="Hyperlink"/>
                <w:rFonts w:asciiTheme="majorBidi" w:hAnsiTheme="majorBidi" w:cstheme="majorBidi"/>
                <w:b/>
                <w:bCs/>
                <w:noProof/>
                <w:kern w:val="0"/>
                <w14:ligatures w14:val="none"/>
              </w:rPr>
              <w:t>3.4 Data Analysis and Ethical Considerations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Toc212139869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72</w:t>
            </w:r>
            <w:r w:rsidR="00C86C86" w:rsidRPr="00C86C86">
              <w:rPr>
                <w:rStyle w:val="Hyperlink"/>
                <w:b/>
                <w:bCs/>
                <w:noProof/>
                <w:rtl/>
              </w:rPr>
              <w:fldChar w:fldCharType="end"/>
            </w:r>
          </w:hyperlink>
        </w:p>
        <w:p w14:paraId="1455E1DB" w14:textId="323381D8" w:rsidR="00C86C86" w:rsidRPr="00C86C86" w:rsidRDefault="001F120E" w:rsidP="00C86C86">
          <w:pPr>
            <w:pStyle w:val="TOC3"/>
            <w:tabs>
              <w:tab w:val="right" w:leader="dot" w:pos="8822"/>
            </w:tabs>
            <w:bidi w:val="0"/>
            <w:rPr>
              <w:b/>
              <w:bCs/>
              <w:noProof/>
              <w:rtl/>
            </w:rPr>
          </w:pPr>
          <w:hyperlink w:anchor="_Toc212139870" w:history="1">
            <w:r w:rsidR="00C86C86" w:rsidRPr="00C86C86">
              <w:rPr>
                <w:rStyle w:val="Hyperlink"/>
                <w:rFonts w:asciiTheme="majorBidi" w:hAnsiTheme="majorBidi" w:cstheme="majorBidi"/>
                <w:b/>
                <w:bCs/>
                <w:noProof/>
                <w:kern w:val="0"/>
                <w14:ligatures w14:val="none"/>
              </w:rPr>
              <w:t>3.4.1 Data Analysis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Toc212139870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72</w:t>
            </w:r>
            <w:r w:rsidR="00C86C86" w:rsidRPr="00C86C86">
              <w:rPr>
                <w:rStyle w:val="Hyperlink"/>
                <w:b/>
                <w:bCs/>
                <w:noProof/>
                <w:rtl/>
              </w:rPr>
              <w:fldChar w:fldCharType="end"/>
            </w:r>
          </w:hyperlink>
        </w:p>
        <w:p w14:paraId="3DC64A0D" w14:textId="5DFC8678" w:rsidR="00C86C86" w:rsidRPr="00C86C86" w:rsidRDefault="001F120E" w:rsidP="00C86C86">
          <w:pPr>
            <w:pStyle w:val="TOC3"/>
            <w:tabs>
              <w:tab w:val="right" w:leader="dot" w:pos="8822"/>
            </w:tabs>
            <w:bidi w:val="0"/>
            <w:rPr>
              <w:b/>
              <w:bCs/>
              <w:noProof/>
              <w:rtl/>
            </w:rPr>
          </w:pPr>
          <w:hyperlink w:anchor="_Toc212139871" w:history="1">
            <w:r w:rsidR="00C86C86" w:rsidRPr="00C86C86">
              <w:rPr>
                <w:rStyle w:val="Hyperlink"/>
                <w:rFonts w:asciiTheme="majorBidi" w:hAnsiTheme="majorBidi" w:cstheme="majorBidi"/>
                <w:b/>
                <w:bCs/>
                <w:noProof/>
                <w:kern w:val="0"/>
                <w14:ligatures w14:val="none"/>
              </w:rPr>
              <w:t>3.4.2 Ethical Considerations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Toc212139871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74</w:t>
            </w:r>
            <w:r w:rsidR="00C86C86" w:rsidRPr="00C86C86">
              <w:rPr>
                <w:rStyle w:val="Hyperlink"/>
                <w:b/>
                <w:bCs/>
                <w:noProof/>
                <w:rtl/>
              </w:rPr>
              <w:fldChar w:fldCharType="end"/>
            </w:r>
          </w:hyperlink>
        </w:p>
        <w:p w14:paraId="7B13B71A" w14:textId="3E0DC064" w:rsidR="00C86C86" w:rsidRPr="00C86C86" w:rsidRDefault="001F120E" w:rsidP="00C86C86">
          <w:pPr>
            <w:pStyle w:val="TOC3"/>
            <w:tabs>
              <w:tab w:val="right" w:leader="dot" w:pos="8822"/>
            </w:tabs>
            <w:bidi w:val="0"/>
            <w:rPr>
              <w:b/>
              <w:bCs/>
              <w:noProof/>
              <w:rtl/>
            </w:rPr>
          </w:pPr>
          <w:hyperlink w:anchor="_Toc212139872" w:history="1">
            <w:r w:rsidR="00C86C86" w:rsidRPr="00C86C86">
              <w:rPr>
                <w:rStyle w:val="Hyperlink"/>
                <w:rFonts w:asciiTheme="majorBidi" w:hAnsiTheme="majorBidi" w:cstheme="majorBidi"/>
                <w:b/>
                <w:bCs/>
                <w:noProof/>
                <w:kern w:val="0"/>
                <w14:ligatures w14:val="none"/>
              </w:rPr>
              <w:t>3.4.3 Ensuring Validity and Reliability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75</w:t>
            </w:r>
            <w:r w:rsidR="00C86C86" w:rsidRPr="00C86C86">
              <w:rPr>
                <w:rStyle w:val="Hyperlink"/>
                <w:b/>
                <w:bCs/>
                <w:noProof/>
                <w:rtl/>
              </w:rPr>
              <w:fldChar w:fldCharType="end"/>
            </w:r>
          </w:hyperlink>
        </w:p>
        <w:p w14:paraId="3E644D3E" w14:textId="36883565" w:rsidR="00C86C86" w:rsidRPr="00C86C86" w:rsidRDefault="001F120E" w:rsidP="00C86C86">
          <w:pPr>
            <w:pStyle w:val="TOC2"/>
            <w:tabs>
              <w:tab w:val="right" w:leader="dot" w:pos="8822"/>
            </w:tabs>
            <w:bidi w:val="0"/>
            <w:rPr>
              <w:b/>
              <w:bCs/>
              <w:noProof/>
              <w:rtl/>
            </w:rPr>
          </w:pPr>
          <w:hyperlink w:anchor="_Toc212139873" w:history="1">
            <w:r w:rsidR="00C86C86" w:rsidRPr="00C86C86">
              <w:rPr>
                <w:rStyle w:val="Hyperlink"/>
                <w:rFonts w:asciiTheme="majorBidi" w:hAnsiTheme="majorBidi" w:cstheme="majorBidi"/>
                <w:b/>
                <w:bCs/>
                <w:noProof/>
                <w:kern w:val="0"/>
                <w14:ligatures w14:val="none"/>
              </w:rPr>
              <w:t>Summary of Chapter Three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76</w:t>
            </w:r>
            <w:r w:rsidR="00C86C86" w:rsidRPr="00C86C86">
              <w:rPr>
                <w:rStyle w:val="Hyperlink"/>
                <w:b/>
                <w:bCs/>
                <w:noProof/>
                <w:rtl/>
              </w:rPr>
              <w:fldChar w:fldCharType="end"/>
            </w:r>
          </w:hyperlink>
        </w:p>
        <w:p w14:paraId="28F41379" w14:textId="07619519" w:rsidR="00C86C86" w:rsidRPr="00C86C86" w:rsidRDefault="001F120E" w:rsidP="00C86C86">
          <w:pPr>
            <w:pStyle w:val="TOC1"/>
            <w:tabs>
              <w:tab w:val="right" w:leader="dot" w:pos="8822"/>
            </w:tabs>
            <w:bidi w:val="0"/>
            <w:rPr>
              <w:b/>
              <w:bCs/>
              <w:noProof/>
              <w:rtl/>
            </w:rPr>
          </w:pPr>
          <w:hyperlink w:anchor="_Toc212139874" w:history="1">
            <w:r w:rsidR="00C86C86" w:rsidRPr="00C86C86">
              <w:rPr>
                <w:rStyle w:val="Hyperlink"/>
                <w:rFonts w:asciiTheme="majorBidi" w:hAnsiTheme="majorBidi" w:cstheme="majorBidi"/>
                <w:b/>
                <w:bCs/>
                <w:noProof/>
                <w:kern w:val="0"/>
                <w14:ligatures w14:val="none"/>
              </w:rPr>
              <w:t>Chapter Four: Results and Data Analysis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77</w:t>
            </w:r>
            <w:r w:rsidR="00C86C86" w:rsidRPr="00C86C86">
              <w:rPr>
                <w:rStyle w:val="Hyperlink"/>
                <w:b/>
                <w:bCs/>
                <w:noProof/>
                <w:rtl/>
              </w:rPr>
              <w:fldChar w:fldCharType="end"/>
            </w:r>
          </w:hyperlink>
        </w:p>
        <w:p w14:paraId="369BDB87" w14:textId="63BA9A34" w:rsidR="00C86C86" w:rsidRPr="00C86C86" w:rsidRDefault="001F120E" w:rsidP="00C86C86">
          <w:pPr>
            <w:pStyle w:val="TOC2"/>
            <w:tabs>
              <w:tab w:val="right" w:leader="dot" w:pos="8822"/>
            </w:tabs>
            <w:bidi w:val="0"/>
            <w:rPr>
              <w:b/>
              <w:bCs/>
              <w:noProof/>
              <w:rtl/>
            </w:rPr>
          </w:pPr>
          <w:hyperlink w:anchor="_Toc212139875" w:history="1">
            <w:r w:rsidR="00C86C86" w:rsidRPr="00C86C86">
              <w:rPr>
                <w:rStyle w:val="Hyperlink"/>
                <w:rFonts w:asciiTheme="majorBidi" w:hAnsiTheme="majorBidi" w:cstheme="majorBidi"/>
                <w:b/>
                <w:bCs/>
                <w:noProof/>
                <w:kern w:val="0"/>
                <w14:ligatures w14:val="none"/>
              </w:rPr>
              <w:t>4.1 Introduction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77</w:t>
            </w:r>
            <w:r w:rsidR="00C86C86" w:rsidRPr="00C86C86">
              <w:rPr>
                <w:rStyle w:val="Hyperlink"/>
                <w:b/>
                <w:bCs/>
                <w:noProof/>
                <w:rtl/>
              </w:rPr>
              <w:fldChar w:fldCharType="end"/>
            </w:r>
          </w:hyperlink>
        </w:p>
        <w:p w14:paraId="1441AA54" w14:textId="7D17E8DB" w:rsidR="00C86C86" w:rsidRPr="00C86C86" w:rsidRDefault="001F120E" w:rsidP="00C86C86">
          <w:pPr>
            <w:pStyle w:val="TOC2"/>
            <w:tabs>
              <w:tab w:val="right" w:leader="dot" w:pos="8822"/>
            </w:tabs>
            <w:bidi w:val="0"/>
            <w:rPr>
              <w:b/>
              <w:bCs/>
              <w:noProof/>
              <w:rtl/>
            </w:rPr>
          </w:pPr>
          <w:hyperlink w:anchor="_Toc212139876" w:history="1">
            <w:r w:rsidR="00C86C86" w:rsidRPr="00C86C86">
              <w:rPr>
                <w:rStyle w:val="Hyperlink"/>
                <w:rFonts w:asciiTheme="majorBidi" w:hAnsiTheme="majorBidi" w:cstheme="majorBidi"/>
                <w:b/>
                <w:bCs/>
                <w:noProof/>
                <w:kern w:val="0"/>
                <w14:ligatures w14:val="none"/>
              </w:rPr>
              <w:t>4.2 Demographic Profile of Respondents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Toc212139876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77</w:t>
            </w:r>
            <w:r w:rsidR="00C86C86" w:rsidRPr="00C86C86">
              <w:rPr>
                <w:rStyle w:val="Hyperlink"/>
                <w:b/>
                <w:bCs/>
                <w:noProof/>
                <w:rtl/>
              </w:rPr>
              <w:fldChar w:fldCharType="end"/>
            </w:r>
          </w:hyperlink>
        </w:p>
        <w:p w14:paraId="36301BA7" w14:textId="3CD9AB7C" w:rsidR="00C86C86" w:rsidRPr="00C86C86" w:rsidRDefault="001F120E" w:rsidP="00C86C86">
          <w:pPr>
            <w:pStyle w:val="TOC2"/>
            <w:tabs>
              <w:tab w:val="right" w:leader="dot" w:pos="8822"/>
            </w:tabs>
            <w:bidi w:val="0"/>
            <w:rPr>
              <w:b/>
              <w:bCs/>
              <w:noProof/>
              <w:rtl/>
            </w:rPr>
          </w:pPr>
          <w:hyperlink w:anchor="_Toc212139877" w:history="1">
            <w:r w:rsidR="00C86C86" w:rsidRPr="00C86C86">
              <w:rPr>
                <w:rStyle w:val="Hyperlink"/>
                <w:rFonts w:asciiTheme="majorBidi" w:hAnsiTheme="majorBidi" w:cstheme="majorBidi"/>
                <w:b/>
                <w:bCs/>
                <w:noProof/>
                <w:kern w:val="0"/>
                <w14:ligatures w14:val="none"/>
              </w:rPr>
              <w:t>4.3 Knowledge on Infection Control</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Toc212139877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80</w:t>
            </w:r>
            <w:r w:rsidR="00C86C86" w:rsidRPr="00C86C86">
              <w:rPr>
                <w:rStyle w:val="Hyperlink"/>
                <w:b/>
                <w:bCs/>
                <w:noProof/>
                <w:rtl/>
              </w:rPr>
              <w:fldChar w:fldCharType="end"/>
            </w:r>
          </w:hyperlink>
        </w:p>
        <w:p w14:paraId="6EA1A5EA" w14:textId="2F61ABA5" w:rsidR="00C86C86" w:rsidRPr="00C86C86" w:rsidRDefault="001F120E" w:rsidP="00C86C86">
          <w:pPr>
            <w:pStyle w:val="TOC2"/>
            <w:tabs>
              <w:tab w:val="right" w:leader="dot" w:pos="8822"/>
            </w:tabs>
            <w:bidi w:val="0"/>
            <w:rPr>
              <w:b/>
              <w:bCs/>
              <w:noProof/>
              <w:rtl/>
            </w:rPr>
          </w:pPr>
          <w:hyperlink w:anchor="_Toc212139878" w:history="1">
            <w:r w:rsidR="00C86C86" w:rsidRPr="00C86C86">
              <w:rPr>
                <w:rStyle w:val="Hyperlink"/>
                <w:rFonts w:asciiTheme="majorBidi" w:hAnsiTheme="majorBidi" w:cstheme="majorBidi"/>
                <w:b/>
                <w:bCs/>
                <w:noProof/>
                <w:kern w:val="0"/>
                <w14:ligatures w14:val="none"/>
              </w:rPr>
              <w:t>4.4 Attitudes towards Risk Management and Infection Control</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Toc212139878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81</w:t>
            </w:r>
            <w:r w:rsidR="00C86C86" w:rsidRPr="00C86C86">
              <w:rPr>
                <w:rStyle w:val="Hyperlink"/>
                <w:b/>
                <w:bCs/>
                <w:noProof/>
                <w:rtl/>
              </w:rPr>
              <w:fldChar w:fldCharType="end"/>
            </w:r>
          </w:hyperlink>
        </w:p>
        <w:p w14:paraId="4A66F074" w14:textId="7012CE81" w:rsidR="00C86C86" w:rsidRPr="00C86C86" w:rsidRDefault="001F120E" w:rsidP="00C86C86">
          <w:pPr>
            <w:pStyle w:val="TOC2"/>
            <w:tabs>
              <w:tab w:val="right" w:leader="dot" w:pos="8822"/>
            </w:tabs>
            <w:bidi w:val="0"/>
            <w:rPr>
              <w:b/>
              <w:bCs/>
              <w:noProof/>
              <w:rtl/>
            </w:rPr>
          </w:pPr>
          <w:hyperlink w:anchor="_Toc212139879" w:history="1">
            <w:r w:rsidR="00C86C86" w:rsidRPr="00C86C86">
              <w:rPr>
                <w:rStyle w:val="Hyperlink"/>
                <w:rFonts w:asciiTheme="majorBidi" w:hAnsiTheme="majorBidi" w:cstheme="majorBidi"/>
                <w:b/>
                <w:bCs/>
                <w:noProof/>
                <w:kern w:val="0"/>
                <w14:ligatures w14:val="none"/>
              </w:rPr>
              <w:t>4.5 Practices in Infection Control</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Toc212139879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83</w:t>
            </w:r>
            <w:r w:rsidR="00C86C86" w:rsidRPr="00C86C86">
              <w:rPr>
                <w:rStyle w:val="Hyperlink"/>
                <w:b/>
                <w:bCs/>
                <w:noProof/>
                <w:rtl/>
              </w:rPr>
              <w:fldChar w:fldCharType="end"/>
            </w:r>
          </w:hyperlink>
        </w:p>
        <w:p w14:paraId="6A236216" w14:textId="562912C8" w:rsidR="00C86C86" w:rsidRPr="00C86C86" w:rsidRDefault="001F120E" w:rsidP="00C86C86">
          <w:pPr>
            <w:pStyle w:val="TOC2"/>
            <w:tabs>
              <w:tab w:val="right" w:leader="dot" w:pos="8822"/>
            </w:tabs>
            <w:bidi w:val="0"/>
            <w:rPr>
              <w:b/>
              <w:bCs/>
              <w:noProof/>
              <w:rtl/>
            </w:rPr>
          </w:pPr>
          <w:hyperlink w:anchor="_Toc212139880" w:history="1">
            <w:r w:rsidR="00C86C86" w:rsidRPr="00C86C86">
              <w:rPr>
                <w:rStyle w:val="Hyperlink"/>
                <w:rFonts w:asciiTheme="majorBidi" w:hAnsiTheme="majorBidi" w:cstheme="majorBidi"/>
                <w:b/>
                <w:bCs/>
                <w:noProof/>
                <w:kern w:val="0"/>
                <w14:ligatures w14:val="none"/>
              </w:rPr>
              <w:t>4.6 Perceptions of Risk Management Effectiveness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Toc212139880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85</w:t>
            </w:r>
            <w:r w:rsidR="00C86C86" w:rsidRPr="00C86C86">
              <w:rPr>
                <w:rStyle w:val="Hyperlink"/>
                <w:b/>
                <w:bCs/>
                <w:noProof/>
                <w:rtl/>
              </w:rPr>
              <w:fldChar w:fldCharType="end"/>
            </w:r>
          </w:hyperlink>
        </w:p>
        <w:p w14:paraId="6A76DEED" w14:textId="3A9CEEBC" w:rsidR="00C86C86" w:rsidRPr="00C86C86" w:rsidRDefault="001F120E" w:rsidP="00C86C86">
          <w:pPr>
            <w:pStyle w:val="TOC2"/>
            <w:tabs>
              <w:tab w:val="right" w:leader="dot" w:pos="8822"/>
            </w:tabs>
            <w:bidi w:val="0"/>
            <w:rPr>
              <w:b/>
              <w:bCs/>
              <w:noProof/>
              <w:rtl/>
            </w:rPr>
          </w:pPr>
          <w:hyperlink w:anchor="_Toc212139881" w:history="1">
            <w:r w:rsidR="00C86C86" w:rsidRPr="00C86C86">
              <w:rPr>
                <w:rStyle w:val="Hyperlink"/>
                <w:rFonts w:asciiTheme="majorBidi" w:hAnsiTheme="majorBidi" w:cstheme="majorBidi"/>
                <w:b/>
                <w:bCs/>
                <w:noProof/>
                <w:kern w:val="0"/>
                <w14:ligatures w14:val="none"/>
              </w:rPr>
              <w:t>4.7 Qualitative Insights and Thematic Integration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Toc212139881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88</w:t>
            </w:r>
            <w:r w:rsidR="00C86C86" w:rsidRPr="00C86C86">
              <w:rPr>
                <w:rStyle w:val="Hyperlink"/>
                <w:b/>
                <w:bCs/>
                <w:noProof/>
                <w:rtl/>
              </w:rPr>
              <w:fldChar w:fldCharType="end"/>
            </w:r>
          </w:hyperlink>
        </w:p>
        <w:p w14:paraId="6D530A61" w14:textId="7F57AF8D" w:rsidR="00C86C86" w:rsidRPr="00C86C86" w:rsidRDefault="001F120E" w:rsidP="00C86C86">
          <w:pPr>
            <w:pStyle w:val="TOC2"/>
            <w:tabs>
              <w:tab w:val="right" w:leader="dot" w:pos="8822"/>
            </w:tabs>
            <w:bidi w:val="0"/>
            <w:rPr>
              <w:b/>
              <w:bCs/>
              <w:noProof/>
              <w:rtl/>
            </w:rPr>
          </w:pPr>
          <w:hyperlink w:anchor="_Toc212139882" w:history="1">
            <w:r w:rsidR="00C86C86" w:rsidRPr="00C86C86">
              <w:rPr>
                <w:rStyle w:val="Hyperlink"/>
                <w:rFonts w:asciiTheme="majorBidi" w:hAnsiTheme="majorBidi" w:cstheme="majorBidi"/>
                <w:b/>
                <w:bCs/>
                <w:noProof/>
                <w:kern w:val="0"/>
                <w14:ligatures w14:val="none"/>
              </w:rPr>
              <w:t>4.9 Advanced Statistical Analysis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90</w:t>
            </w:r>
            <w:r w:rsidR="00C86C86" w:rsidRPr="00C86C86">
              <w:rPr>
                <w:rStyle w:val="Hyperlink"/>
                <w:b/>
                <w:bCs/>
                <w:noProof/>
                <w:rtl/>
              </w:rPr>
              <w:fldChar w:fldCharType="end"/>
            </w:r>
          </w:hyperlink>
        </w:p>
        <w:p w14:paraId="25C214BD" w14:textId="4F101B61" w:rsidR="00C86C86" w:rsidRPr="00C86C86" w:rsidRDefault="001F120E" w:rsidP="00C86C86">
          <w:pPr>
            <w:pStyle w:val="TOC2"/>
            <w:tabs>
              <w:tab w:val="right" w:leader="dot" w:pos="8822"/>
            </w:tabs>
            <w:bidi w:val="0"/>
            <w:rPr>
              <w:b/>
              <w:bCs/>
              <w:noProof/>
              <w:rtl/>
            </w:rPr>
          </w:pPr>
          <w:hyperlink w:anchor="_Toc212139883" w:history="1">
            <w:r w:rsidR="00C86C86" w:rsidRPr="00C86C86">
              <w:rPr>
                <w:rStyle w:val="Hyperlink"/>
                <w:rFonts w:asciiTheme="majorBidi" w:hAnsiTheme="majorBidi" w:cstheme="majorBidi"/>
                <w:b/>
                <w:bCs/>
                <w:noProof/>
                <w:kern w:val="0"/>
                <w14:ligatures w14:val="none"/>
              </w:rPr>
              <w:t>4.10 Correlation Analysis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90</w:t>
            </w:r>
            <w:r w:rsidR="00C86C86" w:rsidRPr="00C86C86">
              <w:rPr>
                <w:rStyle w:val="Hyperlink"/>
                <w:b/>
                <w:bCs/>
                <w:noProof/>
                <w:rtl/>
              </w:rPr>
              <w:fldChar w:fldCharType="end"/>
            </w:r>
          </w:hyperlink>
        </w:p>
        <w:p w14:paraId="21A266E9" w14:textId="241A7A7B" w:rsidR="00C86C86" w:rsidRPr="00C86C86" w:rsidRDefault="001F120E" w:rsidP="00C86C86">
          <w:pPr>
            <w:pStyle w:val="TOC2"/>
            <w:tabs>
              <w:tab w:val="right" w:leader="dot" w:pos="8822"/>
            </w:tabs>
            <w:bidi w:val="0"/>
            <w:rPr>
              <w:b/>
              <w:bCs/>
              <w:noProof/>
              <w:rtl/>
            </w:rPr>
          </w:pPr>
          <w:hyperlink w:anchor="_Toc212139884" w:history="1">
            <w:r w:rsidR="00C86C86" w:rsidRPr="00C86C86">
              <w:rPr>
                <w:rStyle w:val="Hyperlink"/>
                <w:rFonts w:asciiTheme="majorBidi" w:hAnsiTheme="majorBidi" w:cstheme="majorBidi"/>
                <w:b/>
                <w:bCs/>
                <w:noProof/>
                <w:kern w:val="0"/>
                <w14:ligatures w14:val="none"/>
              </w:rPr>
              <w:t>4.11 Regression Analysis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92</w:t>
            </w:r>
            <w:r w:rsidR="00C86C86" w:rsidRPr="00C86C86">
              <w:rPr>
                <w:rStyle w:val="Hyperlink"/>
                <w:b/>
                <w:bCs/>
                <w:noProof/>
                <w:rtl/>
              </w:rPr>
              <w:fldChar w:fldCharType="end"/>
            </w:r>
          </w:hyperlink>
        </w:p>
        <w:p w14:paraId="6E52C0B9" w14:textId="7F6F78E2" w:rsidR="00C86C86" w:rsidRPr="00C86C86" w:rsidRDefault="001F120E" w:rsidP="00C86C86">
          <w:pPr>
            <w:pStyle w:val="TOC2"/>
            <w:tabs>
              <w:tab w:val="right" w:leader="dot" w:pos="8822"/>
            </w:tabs>
            <w:bidi w:val="0"/>
            <w:rPr>
              <w:b/>
              <w:bCs/>
              <w:noProof/>
              <w:rtl/>
            </w:rPr>
          </w:pPr>
          <w:hyperlink w:anchor="_Toc212139885" w:history="1">
            <w:r w:rsidR="00C86C86" w:rsidRPr="00C86C86">
              <w:rPr>
                <w:rStyle w:val="Hyperlink"/>
                <w:rFonts w:asciiTheme="majorBidi" w:hAnsiTheme="majorBidi" w:cstheme="majorBidi"/>
                <w:b/>
                <w:bCs/>
                <w:noProof/>
                <w:kern w:val="0"/>
                <w14:ligatures w14:val="none"/>
              </w:rPr>
              <w:t>4.12 Hypothesis Testing</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94</w:t>
            </w:r>
            <w:r w:rsidR="00C86C86" w:rsidRPr="00C86C86">
              <w:rPr>
                <w:rStyle w:val="Hyperlink"/>
                <w:b/>
                <w:bCs/>
                <w:noProof/>
                <w:rtl/>
              </w:rPr>
              <w:fldChar w:fldCharType="end"/>
            </w:r>
          </w:hyperlink>
        </w:p>
        <w:p w14:paraId="77B86F5E" w14:textId="4FD79B30" w:rsidR="00C86C86" w:rsidRPr="00C86C86" w:rsidRDefault="001F120E" w:rsidP="00C86C86">
          <w:pPr>
            <w:pStyle w:val="TOC2"/>
            <w:tabs>
              <w:tab w:val="right" w:leader="dot" w:pos="8822"/>
            </w:tabs>
            <w:bidi w:val="0"/>
            <w:rPr>
              <w:b/>
              <w:bCs/>
              <w:noProof/>
              <w:rtl/>
            </w:rPr>
          </w:pPr>
          <w:hyperlink w:anchor="_Toc212139886" w:history="1">
            <w:r w:rsidR="00C86C86" w:rsidRPr="00C86C86">
              <w:rPr>
                <w:rStyle w:val="Hyperlink"/>
                <w:rFonts w:asciiTheme="majorBidi" w:hAnsiTheme="majorBidi" w:cstheme="majorBidi"/>
                <w:b/>
                <w:bCs/>
                <w:noProof/>
                <w:kern w:val="0"/>
                <w14:ligatures w14:val="none"/>
              </w:rPr>
              <w:t>4.13 Interpretation of Findings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Toc212139886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96</w:t>
            </w:r>
            <w:r w:rsidR="00C86C86" w:rsidRPr="00C86C86">
              <w:rPr>
                <w:rStyle w:val="Hyperlink"/>
                <w:b/>
                <w:bCs/>
                <w:noProof/>
                <w:rtl/>
              </w:rPr>
              <w:fldChar w:fldCharType="end"/>
            </w:r>
          </w:hyperlink>
        </w:p>
        <w:p w14:paraId="79955438" w14:textId="6C99B465" w:rsidR="00C86C86" w:rsidRPr="00C86C86" w:rsidRDefault="001F120E" w:rsidP="00C86C86">
          <w:pPr>
            <w:pStyle w:val="TOC2"/>
            <w:tabs>
              <w:tab w:val="right" w:leader="dot" w:pos="8822"/>
            </w:tabs>
            <w:bidi w:val="0"/>
            <w:rPr>
              <w:b/>
              <w:bCs/>
              <w:noProof/>
              <w:rtl/>
            </w:rPr>
          </w:pPr>
          <w:hyperlink w:anchor="_Toc212139887" w:history="1">
            <w:r w:rsidR="00C86C86" w:rsidRPr="00C86C86">
              <w:rPr>
                <w:rStyle w:val="Hyperlink"/>
                <w:rFonts w:asciiTheme="majorBidi" w:hAnsiTheme="majorBidi" w:cstheme="majorBidi"/>
                <w:b/>
                <w:bCs/>
                <w:noProof/>
                <w:kern w:val="0"/>
                <w14:ligatures w14:val="none"/>
              </w:rPr>
              <w:t>4.14 Summary of Part Three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Toc212139887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97</w:t>
            </w:r>
            <w:r w:rsidR="00C86C86" w:rsidRPr="00C86C86">
              <w:rPr>
                <w:rStyle w:val="Hyperlink"/>
                <w:b/>
                <w:bCs/>
                <w:noProof/>
                <w:rtl/>
              </w:rPr>
              <w:fldChar w:fldCharType="end"/>
            </w:r>
          </w:hyperlink>
        </w:p>
        <w:p w14:paraId="70CCD7E9" w14:textId="2A7922C9" w:rsidR="00C86C86" w:rsidRPr="00C86C86" w:rsidRDefault="001F120E" w:rsidP="00C86C86">
          <w:pPr>
            <w:pStyle w:val="TOC2"/>
            <w:tabs>
              <w:tab w:val="right" w:leader="dot" w:pos="8822"/>
            </w:tabs>
            <w:bidi w:val="0"/>
            <w:rPr>
              <w:b/>
              <w:bCs/>
              <w:noProof/>
              <w:rtl/>
            </w:rPr>
          </w:pPr>
          <w:hyperlink w:anchor="_Toc212139888" w:history="1">
            <w:r w:rsidR="00C86C86" w:rsidRPr="00C86C86">
              <w:rPr>
                <w:rStyle w:val="Hyperlink"/>
                <w:rFonts w:asciiTheme="majorBidi" w:hAnsiTheme="majorBidi" w:cstheme="majorBidi"/>
                <w:b/>
                <w:bCs/>
                <w:noProof/>
                <w:kern w:val="0"/>
                <w14:ligatures w14:val="none"/>
              </w:rPr>
              <w:t>4.15 Qualitative Analysis of Open-Ended Responses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Toc212139888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97</w:t>
            </w:r>
            <w:r w:rsidR="00C86C86" w:rsidRPr="00C86C86">
              <w:rPr>
                <w:rStyle w:val="Hyperlink"/>
                <w:b/>
                <w:bCs/>
                <w:noProof/>
                <w:rtl/>
              </w:rPr>
              <w:fldChar w:fldCharType="end"/>
            </w:r>
          </w:hyperlink>
        </w:p>
        <w:p w14:paraId="7D83F150" w14:textId="7FC6F3FA" w:rsidR="00C86C86" w:rsidRPr="00C86C86" w:rsidRDefault="001F120E" w:rsidP="00C86C86">
          <w:pPr>
            <w:pStyle w:val="TOC3"/>
            <w:tabs>
              <w:tab w:val="right" w:leader="dot" w:pos="8822"/>
            </w:tabs>
            <w:bidi w:val="0"/>
            <w:rPr>
              <w:b/>
              <w:bCs/>
              <w:noProof/>
              <w:rtl/>
            </w:rPr>
          </w:pPr>
          <w:hyperlink w:anchor="_Toc212139889" w:history="1">
            <w:r w:rsidR="00C86C86" w:rsidRPr="00C86C86">
              <w:rPr>
                <w:rStyle w:val="Hyperlink"/>
                <w:rFonts w:asciiTheme="majorBidi" w:hAnsiTheme="majorBidi" w:cstheme="majorBidi"/>
                <w:b/>
                <w:bCs/>
                <w:noProof/>
                <w:kern w:val="0"/>
                <w14:ligatures w14:val="none"/>
              </w:rPr>
              <w:t>4.15.1 Theme 1: Resource Constraints and Workload Pressures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Toc212139889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98</w:t>
            </w:r>
            <w:r w:rsidR="00C86C86" w:rsidRPr="00C86C86">
              <w:rPr>
                <w:rStyle w:val="Hyperlink"/>
                <w:b/>
                <w:bCs/>
                <w:noProof/>
                <w:rtl/>
              </w:rPr>
              <w:fldChar w:fldCharType="end"/>
            </w:r>
          </w:hyperlink>
        </w:p>
        <w:p w14:paraId="49CD8B04" w14:textId="7D71C96F" w:rsidR="00C86C86" w:rsidRPr="00C86C86" w:rsidRDefault="001F120E" w:rsidP="00C86C86">
          <w:pPr>
            <w:pStyle w:val="TOC3"/>
            <w:tabs>
              <w:tab w:val="right" w:leader="dot" w:pos="8822"/>
            </w:tabs>
            <w:bidi w:val="0"/>
            <w:rPr>
              <w:b/>
              <w:bCs/>
              <w:noProof/>
              <w:rtl/>
            </w:rPr>
          </w:pPr>
          <w:hyperlink w:anchor="_Toc212139890" w:history="1">
            <w:r w:rsidR="00C86C86" w:rsidRPr="00C86C86">
              <w:rPr>
                <w:rStyle w:val="Hyperlink"/>
                <w:rFonts w:asciiTheme="majorBidi" w:hAnsiTheme="majorBidi" w:cstheme="majorBidi"/>
                <w:b/>
                <w:bCs/>
                <w:noProof/>
                <w:kern w:val="0"/>
                <w14:ligatures w14:val="none"/>
              </w:rPr>
              <w:t>4.15.2 Theme 2: Organizational Culture and Leadership Commitment</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Toc212139890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99</w:t>
            </w:r>
            <w:r w:rsidR="00C86C86" w:rsidRPr="00C86C86">
              <w:rPr>
                <w:rStyle w:val="Hyperlink"/>
                <w:b/>
                <w:bCs/>
                <w:noProof/>
                <w:rtl/>
              </w:rPr>
              <w:fldChar w:fldCharType="end"/>
            </w:r>
          </w:hyperlink>
        </w:p>
        <w:p w14:paraId="6D5AE327" w14:textId="533C45E3" w:rsidR="00C86C86" w:rsidRPr="00C86C86" w:rsidRDefault="001F120E" w:rsidP="00C86C86">
          <w:pPr>
            <w:pStyle w:val="TOC3"/>
            <w:tabs>
              <w:tab w:val="right" w:leader="dot" w:pos="8822"/>
            </w:tabs>
            <w:bidi w:val="0"/>
            <w:rPr>
              <w:b/>
              <w:bCs/>
              <w:noProof/>
              <w:rtl/>
            </w:rPr>
          </w:pPr>
          <w:hyperlink w:anchor="_Toc212139891" w:history="1">
            <w:r w:rsidR="00C86C86" w:rsidRPr="00C86C86">
              <w:rPr>
                <w:rStyle w:val="Hyperlink"/>
                <w:rFonts w:asciiTheme="majorBidi" w:hAnsiTheme="majorBidi" w:cstheme="majorBidi"/>
                <w:b/>
                <w:bCs/>
                <w:noProof/>
                <w:kern w:val="0"/>
                <w14:ligatures w14:val="none"/>
              </w:rPr>
              <w:t>4.15.3 Theme 3: Continuous Training and Knowledge Reinforcement</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Toc212139891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99</w:t>
            </w:r>
            <w:r w:rsidR="00C86C86" w:rsidRPr="00C86C86">
              <w:rPr>
                <w:rStyle w:val="Hyperlink"/>
                <w:b/>
                <w:bCs/>
                <w:noProof/>
                <w:rtl/>
              </w:rPr>
              <w:fldChar w:fldCharType="end"/>
            </w:r>
          </w:hyperlink>
        </w:p>
        <w:p w14:paraId="52C9530A" w14:textId="46C05934" w:rsidR="00C86C86" w:rsidRPr="00C86C86" w:rsidRDefault="001F120E" w:rsidP="00C86C86">
          <w:pPr>
            <w:pStyle w:val="TOC3"/>
            <w:tabs>
              <w:tab w:val="right" w:leader="dot" w:pos="8822"/>
            </w:tabs>
            <w:bidi w:val="0"/>
            <w:rPr>
              <w:b/>
              <w:bCs/>
              <w:noProof/>
              <w:rtl/>
            </w:rPr>
          </w:pPr>
          <w:hyperlink w:anchor="_Toc212139892" w:history="1">
            <w:r w:rsidR="00C86C86" w:rsidRPr="00C86C86">
              <w:rPr>
                <w:rStyle w:val="Hyperlink"/>
                <w:rFonts w:asciiTheme="majorBidi" w:hAnsiTheme="majorBidi" w:cstheme="majorBidi"/>
                <w:b/>
                <w:bCs/>
                <w:noProof/>
                <w:kern w:val="0"/>
                <w14:ligatures w14:val="none"/>
              </w:rPr>
              <w:t>4.15.4 Theme 4: Reporting Transparency and Fear of Blame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100</w:t>
            </w:r>
            <w:r w:rsidR="00C86C86" w:rsidRPr="00C86C86">
              <w:rPr>
                <w:rStyle w:val="Hyperlink"/>
                <w:b/>
                <w:bCs/>
                <w:noProof/>
                <w:rtl/>
              </w:rPr>
              <w:fldChar w:fldCharType="end"/>
            </w:r>
          </w:hyperlink>
        </w:p>
        <w:p w14:paraId="10839ADA" w14:textId="771D33B7" w:rsidR="00C86C86" w:rsidRPr="00C86C86" w:rsidRDefault="001F120E" w:rsidP="00C86C86">
          <w:pPr>
            <w:pStyle w:val="TOC3"/>
            <w:tabs>
              <w:tab w:val="right" w:leader="dot" w:pos="8822"/>
            </w:tabs>
            <w:bidi w:val="0"/>
            <w:rPr>
              <w:b/>
              <w:bCs/>
              <w:noProof/>
              <w:rtl/>
            </w:rPr>
          </w:pPr>
          <w:hyperlink w:anchor="_Toc212139893" w:history="1">
            <w:r w:rsidR="00C86C86" w:rsidRPr="00C86C86">
              <w:rPr>
                <w:rStyle w:val="Hyperlink"/>
                <w:rFonts w:asciiTheme="majorBidi" w:hAnsiTheme="majorBidi" w:cstheme="majorBidi"/>
                <w:b/>
                <w:bCs/>
                <w:noProof/>
                <w:kern w:val="0"/>
                <w14:ligatures w14:val="none"/>
              </w:rPr>
              <w:t>4.15.5 Theme 5: Integration of Risk Management and Infection Control Units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100</w:t>
            </w:r>
            <w:r w:rsidR="00C86C86" w:rsidRPr="00C86C86">
              <w:rPr>
                <w:rStyle w:val="Hyperlink"/>
                <w:b/>
                <w:bCs/>
                <w:noProof/>
                <w:rtl/>
              </w:rPr>
              <w:fldChar w:fldCharType="end"/>
            </w:r>
          </w:hyperlink>
        </w:p>
        <w:p w14:paraId="23D8461C" w14:textId="19D9F941" w:rsidR="00C86C86" w:rsidRPr="00C86C86" w:rsidRDefault="001F120E" w:rsidP="00C86C86">
          <w:pPr>
            <w:pStyle w:val="TOC2"/>
            <w:tabs>
              <w:tab w:val="right" w:leader="dot" w:pos="8822"/>
            </w:tabs>
            <w:bidi w:val="0"/>
            <w:rPr>
              <w:b/>
              <w:bCs/>
              <w:noProof/>
              <w:rtl/>
            </w:rPr>
          </w:pPr>
          <w:hyperlink w:anchor="_Toc212139894" w:history="1">
            <w:r w:rsidR="00C86C86" w:rsidRPr="00C86C86">
              <w:rPr>
                <w:rStyle w:val="Hyperlink"/>
                <w:rFonts w:asciiTheme="majorBidi" w:hAnsiTheme="majorBidi" w:cstheme="majorBidi"/>
                <w:b/>
                <w:bCs/>
                <w:noProof/>
                <w:kern w:val="0"/>
                <w14:ligatures w14:val="none"/>
              </w:rPr>
              <w:t>4.16 Thematic Summary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101</w:t>
            </w:r>
            <w:r w:rsidR="00C86C86" w:rsidRPr="00C86C86">
              <w:rPr>
                <w:rStyle w:val="Hyperlink"/>
                <w:b/>
                <w:bCs/>
                <w:noProof/>
                <w:rtl/>
              </w:rPr>
              <w:fldChar w:fldCharType="end"/>
            </w:r>
          </w:hyperlink>
        </w:p>
        <w:p w14:paraId="3B065A64" w14:textId="4738EF0D" w:rsidR="00C86C86" w:rsidRPr="00C86C86" w:rsidRDefault="001F120E" w:rsidP="00C86C86">
          <w:pPr>
            <w:pStyle w:val="TOC2"/>
            <w:tabs>
              <w:tab w:val="right" w:leader="dot" w:pos="8822"/>
            </w:tabs>
            <w:bidi w:val="0"/>
            <w:rPr>
              <w:b/>
              <w:bCs/>
              <w:noProof/>
              <w:rtl/>
            </w:rPr>
          </w:pPr>
          <w:hyperlink w:anchor="_Toc212139895" w:history="1">
            <w:r w:rsidR="00C86C86" w:rsidRPr="00C86C86">
              <w:rPr>
                <w:rStyle w:val="Hyperlink"/>
                <w:rFonts w:asciiTheme="majorBidi" w:hAnsiTheme="majorBidi" w:cstheme="majorBidi"/>
                <w:b/>
                <w:bCs/>
                <w:noProof/>
                <w:kern w:val="0"/>
                <w14:ligatures w14:val="none"/>
              </w:rPr>
              <w:t>4.17 Thematic Model of Risk Management and Infection Control</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102</w:t>
            </w:r>
            <w:r w:rsidR="00C86C86" w:rsidRPr="00C86C86">
              <w:rPr>
                <w:rStyle w:val="Hyperlink"/>
                <w:b/>
                <w:bCs/>
                <w:noProof/>
                <w:rtl/>
              </w:rPr>
              <w:fldChar w:fldCharType="end"/>
            </w:r>
          </w:hyperlink>
        </w:p>
        <w:p w14:paraId="7DC68D55" w14:textId="69EAE6B6" w:rsidR="00C86C86" w:rsidRPr="00C86C86" w:rsidRDefault="001F120E" w:rsidP="00C86C86">
          <w:pPr>
            <w:pStyle w:val="TOC2"/>
            <w:tabs>
              <w:tab w:val="right" w:leader="dot" w:pos="8822"/>
            </w:tabs>
            <w:bidi w:val="0"/>
            <w:rPr>
              <w:b/>
              <w:bCs/>
              <w:noProof/>
              <w:rtl/>
            </w:rPr>
          </w:pPr>
          <w:hyperlink w:anchor="_Toc212139896" w:history="1">
            <w:r w:rsidR="00C86C86" w:rsidRPr="00C86C86">
              <w:rPr>
                <w:rStyle w:val="Hyperlink"/>
                <w:rFonts w:asciiTheme="majorBidi" w:hAnsiTheme="majorBidi" w:cstheme="majorBidi"/>
                <w:b/>
                <w:bCs/>
                <w:noProof/>
                <w:kern w:val="0"/>
                <w14:ligatures w14:val="none"/>
              </w:rPr>
              <w:t>4.18 Chapter Summary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Toc212139896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104</w:t>
            </w:r>
            <w:r w:rsidR="00C86C86" w:rsidRPr="00C86C86">
              <w:rPr>
                <w:rStyle w:val="Hyperlink"/>
                <w:b/>
                <w:bCs/>
                <w:noProof/>
                <w:rtl/>
              </w:rPr>
              <w:fldChar w:fldCharType="end"/>
            </w:r>
          </w:hyperlink>
        </w:p>
        <w:p w14:paraId="4529025F" w14:textId="1F9DBF05" w:rsidR="00C86C86" w:rsidRPr="00C86C86" w:rsidRDefault="001F120E" w:rsidP="00C86C86">
          <w:pPr>
            <w:pStyle w:val="TOC1"/>
            <w:tabs>
              <w:tab w:val="right" w:leader="dot" w:pos="8822"/>
            </w:tabs>
            <w:bidi w:val="0"/>
            <w:rPr>
              <w:b/>
              <w:bCs/>
              <w:noProof/>
              <w:rtl/>
            </w:rPr>
          </w:pPr>
          <w:hyperlink w:anchor="_Toc212139897" w:history="1">
            <w:r w:rsidR="00C86C86" w:rsidRPr="00C86C86">
              <w:rPr>
                <w:rStyle w:val="Hyperlink"/>
                <w:rFonts w:asciiTheme="majorBidi" w:hAnsiTheme="majorBidi" w:cstheme="majorBidi"/>
                <w:b/>
                <w:bCs/>
                <w:noProof/>
                <w:kern w:val="0"/>
                <w14:ligatures w14:val="none"/>
              </w:rPr>
              <w:t>Chapter Five: Discussion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Toc212139897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106</w:t>
            </w:r>
            <w:r w:rsidR="00C86C86" w:rsidRPr="00C86C86">
              <w:rPr>
                <w:rStyle w:val="Hyperlink"/>
                <w:b/>
                <w:bCs/>
                <w:noProof/>
                <w:rtl/>
              </w:rPr>
              <w:fldChar w:fldCharType="end"/>
            </w:r>
          </w:hyperlink>
        </w:p>
        <w:p w14:paraId="514CC02A" w14:textId="3915BF78" w:rsidR="00C86C86" w:rsidRPr="00C86C86" w:rsidRDefault="001F120E" w:rsidP="00C86C86">
          <w:pPr>
            <w:pStyle w:val="TOC2"/>
            <w:tabs>
              <w:tab w:val="right" w:leader="dot" w:pos="8822"/>
            </w:tabs>
            <w:bidi w:val="0"/>
            <w:rPr>
              <w:b/>
              <w:bCs/>
              <w:noProof/>
              <w:rtl/>
            </w:rPr>
          </w:pPr>
          <w:hyperlink w:anchor="_Toc212139898" w:history="1">
            <w:r w:rsidR="00C86C86" w:rsidRPr="00C86C86">
              <w:rPr>
                <w:rStyle w:val="Hyperlink"/>
                <w:rFonts w:asciiTheme="majorBidi" w:hAnsiTheme="majorBidi" w:cstheme="majorBidi"/>
                <w:b/>
                <w:bCs/>
                <w:noProof/>
                <w:kern w:val="0"/>
                <w14:ligatures w14:val="none"/>
              </w:rPr>
              <w:t>5.1 Introduction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Toc212139898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106</w:t>
            </w:r>
            <w:r w:rsidR="00C86C86" w:rsidRPr="00C86C86">
              <w:rPr>
                <w:rStyle w:val="Hyperlink"/>
                <w:b/>
                <w:bCs/>
                <w:noProof/>
                <w:rtl/>
              </w:rPr>
              <w:fldChar w:fldCharType="end"/>
            </w:r>
          </w:hyperlink>
        </w:p>
        <w:p w14:paraId="0874FA4E" w14:textId="68F6AF27" w:rsidR="00C86C86" w:rsidRPr="00C86C86" w:rsidRDefault="001F120E" w:rsidP="00C86C86">
          <w:pPr>
            <w:pStyle w:val="TOC2"/>
            <w:tabs>
              <w:tab w:val="right" w:leader="dot" w:pos="8822"/>
            </w:tabs>
            <w:bidi w:val="0"/>
            <w:rPr>
              <w:b/>
              <w:bCs/>
              <w:noProof/>
              <w:rtl/>
            </w:rPr>
          </w:pPr>
          <w:hyperlink w:anchor="_Toc212139899" w:history="1">
            <w:r w:rsidR="00C86C86" w:rsidRPr="00C86C86">
              <w:rPr>
                <w:rStyle w:val="Hyperlink"/>
                <w:rFonts w:asciiTheme="majorBidi" w:hAnsiTheme="majorBidi" w:cstheme="majorBidi"/>
                <w:b/>
                <w:bCs/>
                <w:noProof/>
                <w:kern w:val="0"/>
                <w14:ligatures w14:val="none"/>
              </w:rPr>
              <w:t>5.2 Understanding the Role of Knowledge in Infection Control Compliance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Toc212139899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106</w:t>
            </w:r>
            <w:r w:rsidR="00C86C86" w:rsidRPr="00C86C86">
              <w:rPr>
                <w:rStyle w:val="Hyperlink"/>
                <w:b/>
                <w:bCs/>
                <w:noProof/>
                <w:rtl/>
              </w:rPr>
              <w:fldChar w:fldCharType="end"/>
            </w:r>
          </w:hyperlink>
        </w:p>
        <w:p w14:paraId="0AB33D29" w14:textId="56089724" w:rsidR="00C86C86" w:rsidRPr="00C86C86" w:rsidRDefault="001F120E" w:rsidP="00C86C86">
          <w:pPr>
            <w:pStyle w:val="TOC2"/>
            <w:tabs>
              <w:tab w:val="right" w:leader="dot" w:pos="8822"/>
            </w:tabs>
            <w:bidi w:val="0"/>
            <w:rPr>
              <w:b/>
              <w:bCs/>
              <w:noProof/>
              <w:rtl/>
            </w:rPr>
          </w:pPr>
          <w:hyperlink w:anchor="_Toc212139900" w:history="1">
            <w:r w:rsidR="00C86C86" w:rsidRPr="00C86C86">
              <w:rPr>
                <w:rStyle w:val="Hyperlink"/>
                <w:rFonts w:asciiTheme="majorBidi" w:hAnsiTheme="majorBidi" w:cstheme="majorBidi"/>
                <w:b/>
                <w:bCs/>
                <w:noProof/>
                <w:kern w:val="0"/>
                <w14:ligatures w14:val="none"/>
              </w:rPr>
              <w:t>5.3 Attitudinal Dimensions and Organizational Commitment to Infection Prevention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Toc212139900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108</w:t>
            </w:r>
            <w:r w:rsidR="00C86C86" w:rsidRPr="00C86C86">
              <w:rPr>
                <w:rStyle w:val="Hyperlink"/>
                <w:b/>
                <w:bCs/>
                <w:noProof/>
                <w:rtl/>
              </w:rPr>
              <w:fldChar w:fldCharType="end"/>
            </w:r>
          </w:hyperlink>
        </w:p>
        <w:p w14:paraId="193DF190" w14:textId="34BC6CD8" w:rsidR="00C86C86" w:rsidRPr="00C86C86" w:rsidRDefault="001F120E" w:rsidP="00C86C86">
          <w:pPr>
            <w:pStyle w:val="TOC2"/>
            <w:tabs>
              <w:tab w:val="right" w:leader="dot" w:pos="8822"/>
            </w:tabs>
            <w:bidi w:val="0"/>
            <w:rPr>
              <w:b/>
              <w:bCs/>
              <w:noProof/>
              <w:rtl/>
            </w:rPr>
          </w:pPr>
          <w:hyperlink w:anchor="_Toc212139901" w:history="1">
            <w:r w:rsidR="00C86C86" w:rsidRPr="00C86C86">
              <w:rPr>
                <w:rStyle w:val="Hyperlink"/>
                <w:rFonts w:asciiTheme="majorBidi" w:hAnsiTheme="majorBidi" w:cstheme="majorBidi"/>
                <w:b/>
                <w:bCs/>
                <w:noProof/>
                <w:kern w:val="0"/>
                <w14:ligatures w14:val="none"/>
              </w:rPr>
              <w:t>5.4 Practice Compliance and the Influence of Structural Constraints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Toc212139901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110</w:t>
            </w:r>
            <w:r w:rsidR="00C86C86" w:rsidRPr="00C86C86">
              <w:rPr>
                <w:rStyle w:val="Hyperlink"/>
                <w:b/>
                <w:bCs/>
                <w:noProof/>
                <w:rtl/>
              </w:rPr>
              <w:fldChar w:fldCharType="end"/>
            </w:r>
          </w:hyperlink>
        </w:p>
        <w:p w14:paraId="7868E678" w14:textId="46CB0028" w:rsidR="00C86C86" w:rsidRPr="00C86C86" w:rsidRDefault="001F120E" w:rsidP="00C86C86">
          <w:pPr>
            <w:pStyle w:val="TOC2"/>
            <w:tabs>
              <w:tab w:val="right" w:leader="dot" w:pos="8822"/>
            </w:tabs>
            <w:bidi w:val="0"/>
            <w:rPr>
              <w:b/>
              <w:bCs/>
              <w:noProof/>
              <w:rtl/>
            </w:rPr>
          </w:pPr>
          <w:hyperlink w:anchor="_Toc212139902" w:history="1">
            <w:r w:rsidR="00C86C86" w:rsidRPr="00C86C86">
              <w:rPr>
                <w:rStyle w:val="Hyperlink"/>
                <w:rFonts w:asciiTheme="majorBidi" w:hAnsiTheme="majorBidi" w:cstheme="majorBidi"/>
                <w:b/>
                <w:bCs/>
                <w:noProof/>
                <w:kern w:val="0"/>
                <w14:ligatures w14:val="none"/>
              </w:rPr>
              <w:t>5.5 Perception and the Culture of Incident Reporting</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111</w:t>
            </w:r>
            <w:r w:rsidR="00C86C86" w:rsidRPr="00C86C86">
              <w:rPr>
                <w:rStyle w:val="Hyperlink"/>
                <w:b/>
                <w:bCs/>
                <w:noProof/>
                <w:rtl/>
              </w:rPr>
              <w:fldChar w:fldCharType="end"/>
            </w:r>
          </w:hyperlink>
        </w:p>
        <w:p w14:paraId="6B5E7C88" w14:textId="33D64A1F" w:rsidR="00C86C86" w:rsidRPr="00C86C86" w:rsidRDefault="001F120E" w:rsidP="00C86C86">
          <w:pPr>
            <w:pStyle w:val="TOC2"/>
            <w:tabs>
              <w:tab w:val="right" w:leader="dot" w:pos="8822"/>
            </w:tabs>
            <w:bidi w:val="0"/>
            <w:rPr>
              <w:b/>
              <w:bCs/>
              <w:noProof/>
              <w:rtl/>
            </w:rPr>
          </w:pPr>
          <w:hyperlink w:anchor="_Toc212139903" w:history="1">
            <w:r w:rsidR="00C86C86" w:rsidRPr="00C86C86">
              <w:rPr>
                <w:rStyle w:val="Hyperlink"/>
                <w:rFonts w:asciiTheme="majorBidi" w:hAnsiTheme="majorBidi" w:cstheme="majorBidi"/>
                <w:b/>
                <w:bCs/>
                <w:noProof/>
                <w:kern w:val="0"/>
                <w14:ligatures w14:val="none"/>
              </w:rPr>
              <w:t>5.6 Integrating Risk Management and Infection Control: A Systems Perspective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113</w:t>
            </w:r>
            <w:r w:rsidR="00C86C86" w:rsidRPr="00C86C86">
              <w:rPr>
                <w:rStyle w:val="Hyperlink"/>
                <w:b/>
                <w:bCs/>
                <w:noProof/>
                <w:rtl/>
              </w:rPr>
              <w:fldChar w:fldCharType="end"/>
            </w:r>
          </w:hyperlink>
        </w:p>
        <w:p w14:paraId="22DC5FD3" w14:textId="25508954" w:rsidR="00C86C86" w:rsidRPr="00C86C86" w:rsidRDefault="001F120E" w:rsidP="00C86C86">
          <w:pPr>
            <w:pStyle w:val="TOC2"/>
            <w:tabs>
              <w:tab w:val="right" w:leader="dot" w:pos="8822"/>
            </w:tabs>
            <w:bidi w:val="0"/>
            <w:rPr>
              <w:b/>
              <w:bCs/>
              <w:noProof/>
              <w:rtl/>
            </w:rPr>
          </w:pPr>
          <w:hyperlink w:anchor="_Toc212139904" w:history="1">
            <w:r w:rsidR="00C86C86" w:rsidRPr="00C86C86">
              <w:rPr>
                <w:rStyle w:val="Hyperlink"/>
                <w:rFonts w:asciiTheme="majorBidi" w:hAnsiTheme="majorBidi" w:cstheme="majorBidi"/>
                <w:b/>
                <w:bCs/>
                <w:noProof/>
                <w:kern w:val="0"/>
                <w14:ligatures w14:val="none"/>
              </w:rPr>
              <w:t>5.7 Comparative Analysis with Previous Studies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115</w:t>
            </w:r>
            <w:r w:rsidR="00C86C86" w:rsidRPr="00C86C86">
              <w:rPr>
                <w:rStyle w:val="Hyperlink"/>
                <w:b/>
                <w:bCs/>
                <w:noProof/>
                <w:rtl/>
              </w:rPr>
              <w:fldChar w:fldCharType="end"/>
            </w:r>
          </w:hyperlink>
        </w:p>
        <w:p w14:paraId="7B54E336" w14:textId="30140FDB" w:rsidR="00C86C86" w:rsidRPr="00C86C86" w:rsidRDefault="001F120E" w:rsidP="00C86C86">
          <w:pPr>
            <w:pStyle w:val="TOC2"/>
            <w:tabs>
              <w:tab w:val="right" w:leader="dot" w:pos="8822"/>
            </w:tabs>
            <w:bidi w:val="0"/>
            <w:rPr>
              <w:b/>
              <w:bCs/>
              <w:noProof/>
              <w:rtl/>
            </w:rPr>
          </w:pPr>
          <w:hyperlink w:anchor="_Toc212139905" w:history="1">
            <w:r w:rsidR="00C86C86" w:rsidRPr="00C86C86">
              <w:rPr>
                <w:rStyle w:val="Hyperlink"/>
                <w:rFonts w:asciiTheme="majorBidi" w:hAnsiTheme="majorBidi" w:cstheme="majorBidi"/>
                <w:b/>
                <w:bCs/>
                <w:noProof/>
                <w:kern w:val="0"/>
                <w14:ligatures w14:val="none"/>
              </w:rPr>
              <w:t>5.8 Theoretical Implications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117</w:t>
            </w:r>
            <w:r w:rsidR="00C86C86" w:rsidRPr="00C86C86">
              <w:rPr>
                <w:rStyle w:val="Hyperlink"/>
                <w:b/>
                <w:bCs/>
                <w:noProof/>
                <w:rtl/>
              </w:rPr>
              <w:fldChar w:fldCharType="end"/>
            </w:r>
          </w:hyperlink>
        </w:p>
        <w:p w14:paraId="029D8C5A" w14:textId="001C156C" w:rsidR="00C86C86" w:rsidRPr="00C86C86" w:rsidRDefault="001F120E" w:rsidP="00C86C86">
          <w:pPr>
            <w:pStyle w:val="TOC2"/>
            <w:tabs>
              <w:tab w:val="right" w:leader="dot" w:pos="8822"/>
            </w:tabs>
            <w:bidi w:val="0"/>
            <w:rPr>
              <w:b/>
              <w:bCs/>
              <w:noProof/>
              <w:rtl/>
            </w:rPr>
          </w:pPr>
          <w:hyperlink w:anchor="_Toc212139906" w:history="1">
            <w:r w:rsidR="00C86C86" w:rsidRPr="00C86C86">
              <w:rPr>
                <w:rStyle w:val="Hyperlink"/>
                <w:rFonts w:asciiTheme="majorBidi" w:hAnsiTheme="majorBidi" w:cstheme="majorBidi"/>
                <w:b/>
                <w:bCs/>
                <w:noProof/>
                <w:kern w:val="0"/>
                <w14:ligatures w14:val="none"/>
              </w:rPr>
              <w:t>5.9 Practical Implications for Hospital Policy and Training</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Toc212139906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119</w:t>
            </w:r>
            <w:r w:rsidR="00C86C86" w:rsidRPr="00C86C86">
              <w:rPr>
                <w:rStyle w:val="Hyperlink"/>
                <w:b/>
                <w:bCs/>
                <w:noProof/>
                <w:rtl/>
              </w:rPr>
              <w:fldChar w:fldCharType="end"/>
            </w:r>
          </w:hyperlink>
        </w:p>
        <w:p w14:paraId="711E0460" w14:textId="3BC26327" w:rsidR="00C86C86" w:rsidRPr="00C86C86" w:rsidRDefault="001F120E" w:rsidP="00C86C86">
          <w:pPr>
            <w:pStyle w:val="TOC2"/>
            <w:tabs>
              <w:tab w:val="right" w:leader="dot" w:pos="8822"/>
            </w:tabs>
            <w:bidi w:val="0"/>
            <w:rPr>
              <w:b/>
              <w:bCs/>
              <w:noProof/>
              <w:rtl/>
            </w:rPr>
          </w:pPr>
          <w:hyperlink w:anchor="_Toc212139907" w:history="1">
            <w:r w:rsidR="00C86C86" w:rsidRPr="00C86C86">
              <w:rPr>
                <w:rStyle w:val="Hyperlink"/>
                <w:rFonts w:asciiTheme="majorBidi" w:hAnsiTheme="majorBidi" w:cstheme="majorBidi"/>
                <w:b/>
                <w:bCs/>
                <w:noProof/>
                <w:kern w:val="0"/>
                <w14:ligatures w14:val="none"/>
              </w:rPr>
              <w:t>5.10 Recommendations for Future Research and Summary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Toc212139907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121</w:t>
            </w:r>
            <w:r w:rsidR="00C86C86" w:rsidRPr="00C86C86">
              <w:rPr>
                <w:rStyle w:val="Hyperlink"/>
                <w:b/>
                <w:bCs/>
                <w:noProof/>
                <w:rtl/>
              </w:rPr>
              <w:fldChar w:fldCharType="end"/>
            </w:r>
          </w:hyperlink>
        </w:p>
        <w:p w14:paraId="279AD31C" w14:textId="013A1794" w:rsidR="00C86C86" w:rsidRPr="00C86C86" w:rsidRDefault="001F120E" w:rsidP="00C86C86">
          <w:pPr>
            <w:pStyle w:val="TOC1"/>
            <w:tabs>
              <w:tab w:val="right" w:leader="dot" w:pos="8822"/>
            </w:tabs>
            <w:bidi w:val="0"/>
            <w:rPr>
              <w:b/>
              <w:bCs/>
              <w:noProof/>
              <w:rtl/>
            </w:rPr>
          </w:pPr>
          <w:hyperlink w:anchor="_Toc212139908" w:history="1">
            <w:r w:rsidR="00C86C86" w:rsidRPr="00C86C86">
              <w:rPr>
                <w:rStyle w:val="Hyperlink"/>
                <w:rFonts w:asciiTheme="majorBidi" w:hAnsiTheme="majorBidi" w:cstheme="majorBidi"/>
                <w:b/>
                <w:bCs/>
                <w:noProof/>
                <w:kern w:val="0"/>
                <w14:ligatures w14:val="none"/>
              </w:rPr>
              <w:t>Chapter Six: Conclusion and Recommendations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Toc212139908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123</w:t>
            </w:r>
            <w:r w:rsidR="00C86C86" w:rsidRPr="00C86C86">
              <w:rPr>
                <w:rStyle w:val="Hyperlink"/>
                <w:b/>
                <w:bCs/>
                <w:noProof/>
                <w:rtl/>
              </w:rPr>
              <w:fldChar w:fldCharType="end"/>
            </w:r>
          </w:hyperlink>
        </w:p>
        <w:p w14:paraId="79A1A9DE" w14:textId="25493903" w:rsidR="00C86C86" w:rsidRPr="00C86C86" w:rsidRDefault="001F120E" w:rsidP="00C86C86">
          <w:pPr>
            <w:pStyle w:val="TOC2"/>
            <w:tabs>
              <w:tab w:val="right" w:leader="dot" w:pos="8822"/>
            </w:tabs>
            <w:bidi w:val="0"/>
            <w:rPr>
              <w:b/>
              <w:bCs/>
              <w:noProof/>
              <w:rtl/>
            </w:rPr>
          </w:pPr>
          <w:hyperlink w:anchor="_Toc212139909" w:history="1">
            <w:r w:rsidR="00C86C86" w:rsidRPr="00C86C86">
              <w:rPr>
                <w:rStyle w:val="Hyperlink"/>
                <w:rFonts w:asciiTheme="majorBidi" w:hAnsiTheme="majorBidi" w:cstheme="majorBidi"/>
                <w:b/>
                <w:bCs/>
                <w:noProof/>
                <w:kern w:val="0"/>
                <w14:ligatures w14:val="none"/>
              </w:rPr>
              <w:t>6.1 Introduction</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Toc212139909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123</w:t>
            </w:r>
            <w:r w:rsidR="00C86C86" w:rsidRPr="00C86C86">
              <w:rPr>
                <w:rStyle w:val="Hyperlink"/>
                <w:b/>
                <w:bCs/>
                <w:noProof/>
                <w:rtl/>
              </w:rPr>
              <w:fldChar w:fldCharType="end"/>
            </w:r>
          </w:hyperlink>
        </w:p>
        <w:p w14:paraId="49FE9B8A" w14:textId="40945A9A" w:rsidR="00C86C86" w:rsidRPr="00C86C86" w:rsidRDefault="001F120E" w:rsidP="00C86C86">
          <w:pPr>
            <w:pStyle w:val="TOC2"/>
            <w:tabs>
              <w:tab w:val="right" w:leader="dot" w:pos="8822"/>
            </w:tabs>
            <w:bidi w:val="0"/>
            <w:rPr>
              <w:b/>
              <w:bCs/>
              <w:noProof/>
              <w:rtl/>
            </w:rPr>
          </w:pPr>
          <w:hyperlink w:anchor="_Toc212139910" w:history="1">
            <w:r w:rsidR="00C86C86" w:rsidRPr="00C86C86">
              <w:rPr>
                <w:rStyle w:val="Hyperlink"/>
                <w:rFonts w:asciiTheme="majorBidi" w:hAnsiTheme="majorBidi" w:cstheme="majorBidi"/>
                <w:b/>
                <w:bCs/>
                <w:noProof/>
                <w:kern w:val="0"/>
                <w14:ligatures w14:val="none"/>
              </w:rPr>
              <w:t>6.2 Summary of Key Findings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Toc212139910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124</w:t>
            </w:r>
            <w:r w:rsidR="00C86C86" w:rsidRPr="00C86C86">
              <w:rPr>
                <w:rStyle w:val="Hyperlink"/>
                <w:b/>
                <w:bCs/>
                <w:noProof/>
                <w:rtl/>
              </w:rPr>
              <w:fldChar w:fldCharType="end"/>
            </w:r>
          </w:hyperlink>
        </w:p>
        <w:p w14:paraId="47A1DA91" w14:textId="2AE45FBB" w:rsidR="00C86C86" w:rsidRPr="00C86C86" w:rsidRDefault="001F120E" w:rsidP="00C86C86">
          <w:pPr>
            <w:pStyle w:val="TOC2"/>
            <w:tabs>
              <w:tab w:val="right" w:leader="dot" w:pos="8822"/>
            </w:tabs>
            <w:bidi w:val="0"/>
            <w:rPr>
              <w:b/>
              <w:bCs/>
              <w:noProof/>
              <w:rtl/>
            </w:rPr>
          </w:pPr>
          <w:hyperlink w:anchor="_Toc212139911" w:history="1">
            <w:r w:rsidR="00C86C86" w:rsidRPr="00C86C86">
              <w:rPr>
                <w:rStyle w:val="Hyperlink"/>
                <w:rFonts w:asciiTheme="majorBidi" w:hAnsiTheme="majorBidi" w:cstheme="majorBidi"/>
                <w:b/>
                <w:bCs/>
                <w:noProof/>
                <w:kern w:val="0"/>
                <w14:ligatures w14:val="none"/>
              </w:rPr>
              <w:t>6.3 Contribution of the Study</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Toc212139911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126</w:t>
            </w:r>
            <w:r w:rsidR="00C86C86" w:rsidRPr="00C86C86">
              <w:rPr>
                <w:rStyle w:val="Hyperlink"/>
                <w:b/>
                <w:bCs/>
                <w:noProof/>
                <w:rtl/>
              </w:rPr>
              <w:fldChar w:fldCharType="end"/>
            </w:r>
          </w:hyperlink>
        </w:p>
        <w:p w14:paraId="274AD9EC" w14:textId="2EBDC393" w:rsidR="00C86C86" w:rsidRPr="00C86C86" w:rsidRDefault="001F120E" w:rsidP="00C86C86">
          <w:pPr>
            <w:pStyle w:val="TOC2"/>
            <w:tabs>
              <w:tab w:val="right" w:leader="dot" w:pos="8822"/>
            </w:tabs>
            <w:bidi w:val="0"/>
            <w:rPr>
              <w:b/>
              <w:bCs/>
              <w:noProof/>
              <w:rtl/>
            </w:rPr>
          </w:pPr>
          <w:hyperlink w:anchor="_Toc212139912" w:history="1">
            <w:r w:rsidR="00C86C86" w:rsidRPr="00C86C86">
              <w:rPr>
                <w:rStyle w:val="Hyperlink"/>
                <w:rFonts w:asciiTheme="majorBidi" w:hAnsiTheme="majorBidi" w:cstheme="majorBidi"/>
                <w:b/>
                <w:bCs/>
                <w:noProof/>
                <w:kern w:val="0"/>
                <w14:ligatures w14:val="none"/>
              </w:rPr>
              <w:t>6.4 Practical Recommendations for Hospitals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Toc212139912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128</w:t>
            </w:r>
            <w:r w:rsidR="00C86C86" w:rsidRPr="00C86C86">
              <w:rPr>
                <w:rStyle w:val="Hyperlink"/>
                <w:b/>
                <w:bCs/>
                <w:noProof/>
                <w:rtl/>
              </w:rPr>
              <w:fldChar w:fldCharType="end"/>
            </w:r>
          </w:hyperlink>
        </w:p>
        <w:p w14:paraId="7D970620" w14:textId="6A4E5486" w:rsidR="00C86C86" w:rsidRPr="00C86C86" w:rsidRDefault="001F120E" w:rsidP="00C86C86">
          <w:pPr>
            <w:pStyle w:val="TOC2"/>
            <w:tabs>
              <w:tab w:val="right" w:leader="dot" w:pos="8822"/>
            </w:tabs>
            <w:bidi w:val="0"/>
            <w:rPr>
              <w:b/>
              <w:bCs/>
              <w:noProof/>
              <w:rtl/>
            </w:rPr>
          </w:pPr>
          <w:hyperlink w:anchor="_Toc212139913" w:history="1">
            <w:r w:rsidR="00C86C86" w:rsidRPr="00C86C86">
              <w:rPr>
                <w:rStyle w:val="Hyperlink"/>
                <w:rFonts w:asciiTheme="majorBidi" w:hAnsiTheme="majorBidi" w:cstheme="majorBidi"/>
                <w:b/>
                <w:bCs/>
                <w:noProof/>
                <w:kern w:val="0"/>
                <w14:ligatures w14:val="none"/>
              </w:rPr>
              <w:t>6.5 Directions for Future Research</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Toc212139913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130</w:t>
            </w:r>
            <w:r w:rsidR="00C86C86" w:rsidRPr="00C86C86">
              <w:rPr>
                <w:rStyle w:val="Hyperlink"/>
                <w:b/>
                <w:bCs/>
                <w:noProof/>
                <w:rtl/>
              </w:rPr>
              <w:fldChar w:fldCharType="end"/>
            </w:r>
          </w:hyperlink>
        </w:p>
        <w:p w14:paraId="25D30033" w14:textId="55C8F21E" w:rsidR="00C86C86" w:rsidRPr="00C86C86" w:rsidRDefault="001F120E" w:rsidP="00C86C86">
          <w:pPr>
            <w:pStyle w:val="TOC2"/>
            <w:tabs>
              <w:tab w:val="right" w:leader="dot" w:pos="8822"/>
            </w:tabs>
            <w:bidi w:val="0"/>
            <w:rPr>
              <w:b/>
              <w:bCs/>
              <w:noProof/>
              <w:rtl/>
            </w:rPr>
          </w:pPr>
          <w:hyperlink w:anchor="_Toc212139914" w:history="1">
            <w:r w:rsidR="00C86C86" w:rsidRPr="00C86C86">
              <w:rPr>
                <w:rStyle w:val="Hyperlink"/>
                <w:rFonts w:asciiTheme="majorBidi" w:hAnsiTheme="majorBidi" w:cstheme="majorBidi"/>
                <w:b/>
                <w:bCs/>
                <w:noProof/>
                <w:kern w:val="0"/>
                <w14:ligatures w14:val="none"/>
              </w:rPr>
              <w:t>6.6 Final Reflection and Closure</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Toc212139914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131</w:t>
            </w:r>
            <w:r w:rsidR="00C86C86" w:rsidRPr="00C86C86">
              <w:rPr>
                <w:rStyle w:val="Hyperlink"/>
                <w:b/>
                <w:bCs/>
                <w:noProof/>
                <w:rtl/>
              </w:rPr>
              <w:fldChar w:fldCharType="end"/>
            </w:r>
          </w:hyperlink>
        </w:p>
        <w:p w14:paraId="2ABB60B2" w14:textId="4A4EB7CB" w:rsidR="00C86C86" w:rsidRPr="00C86C86" w:rsidRDefault="001F120E" w:rsidP="00C86C86">
          <w:pPr>
            <w:pStyle w:val="TOC1"/>
            <w:tabs>
              <w:tab w:val="right" w:leader="dot" w:pos="8822"/>
            </w:tabs>
            <w:bidi w:val="0"/>
            <w:rPr>
              <w:b/>
              <w:bCs/>
              <w:noProof/>
              <w:rtl/>
            </w:rPr>
          </w:pPr>
          <w:hyperlink w:anchor="_Toc212139915" w:history="1">
            <w:r w:rsidR="00C86C86" w:rsidRPr="00C86C86">
              <w:rPr>
                <w:rStyle w:val="Hyperlink"/>
                <w:rFonts w:asciiTheme="majorBidi" w:hAnsiTheme="majorBidi" w:cstheme="majorBidi"/>
                <w:b/>
                <w:bCs/>
                <w:noProof/>
                <w:kern w:val="0"/>
                <w14:ligatures w14:val="none"/>
              </w:rPr>
              <w:t>References</w:t>
            </w:r>
            <w:r w:rsidR="00C86C86" w:rsidRPr="00C86C86">
              <w:rPr>
                <w:b/>
                <w:bCs/>
                <w:noProof/>
                <w:webHidden/>
                <w:rtl/>
              </w:rPr>
              <w:tab/>
            </w:r>
            <w:r w:rsidR="00C86C86" w:rsidRPr="00C86C86">
              <w:rPr>
                <w:rStyle w:val="Hyperlink"/>
                <w:b/>
                <w:bCs/>
                <w:noProof/>
                <w:rtl/>
              </w:rPr>
              <w:fldChar w:fldCharType="begin"/>
            </w:r>
            <w:r w:rsidR="00C86C86" w:rsidRPr="00C86C86">
              <w:rPr>
                <w:b/>
                <w:bCs/>
                <w:noProof/>
                <w:webHidden/>
                <w:rtl/>
              </w:rPr>
              <w:instrText xml:space="preserve"> </w:instrText>
            </w:r>
            <w:r w:rsidR="00C86C86" w:rsidRPr="00C86C86">
              <w:rPr>
                <w:b/>
                <w:bCs/>
                <w:noProof/>
                <w:webHidden/>
              </w:rPr>
              <w:instrText>PAGEREF</w:instrText>
            </w:r>
            <w:r w:rsidR="00C86C86" w:rsidRPr="00C86C86">
              <w:rPr>
                <w:b/>
                <w:bCs/>
                <w:noProof/>
                <w:webHidden/>
                <w:rtl/>
              </w:rPr>
              <w:instrText xml:space="preserve"> _</w:instrText>
            </w:r>
            <w:r w:rsidR="00C86C86" w:rsidRPr="00C86C86">
              <w:rPr>
                <w:b/>
                <w:bCs/>
                <w:noProof/>
                <w:webHidden/>
              </w:rPr>
              <w:instrText>Toc212139915 \h</w:instrText>
            </w:r>
            <w:r w:rsidR="00C86C86" w:rsidRPr="00C86C86">
              <w:rPr>
                <w:b/>
                <w:bCs/>
                <w:noProof/>
                <w:webHidden/>
                <w:rtl/>
              </w:rPr>
              <w:instrText xml:space="preserve"> </w:instrText>
            </w:r>
            <w:r w:rsidR="00C86C86" w:rsidRPr="00C86C86">
              <w:rPr>
                <w:rStyle w:val="Hyperlink"/>
                <w:b/>
                <w:bCs/>
                <w:noProof/>
                <w:rtl/>
              </w:rPr>
            </w:r>
            <w:r w:rsidR="00C86C86" w:rsidRPr="00C86C86">
              <w:rPr>
                <w:rStyle w:val="Hyperlink"/>
                <w:b/>
                <w:bCs/>
                <w:noProof/>
                <w:rtl/>
              </w:rPr>
              <w:fldChar w:fldCharType="separate"/>
            </w:r>
            <w:r w:rsidR="00960850">
              <w:rPr>
                <w:b/>
                <w:bCs/>
                <w:noProof/>
                <w:webHidden/>
              </w:rPr>
              <w:t>133</w:t>
            </w:r>
            <w:r w:rsidR="00C86C86" w:rsidRPr="00C86C86">
              <w:rPr>
                <w:rStyle w:val="Hyperlink"/>
                <w:b/>
                <w:bCs/>
                <w:noProof/>
                <w:rtl/>
              </w:rPr>
              <w:fldChar w:fldCharType="end"/>
            </w:r>
          </w:hyperlink>
        </w:p>
        <w:p w14:paraId="6501B1C2" w14:textId="28D6BDD6" w:rsidR="00911C96" w:rsidRPr="00BA4DC5" w:rsidRDefault="00C86C86" w:rsidP="00BA4DC5">
          <w:pPr>
            <w:bidi w:val="0"/>
          </w:pPr>
          <w:r w:rsidRPr="00C86C86">
            <w:rPr>
              <w:b/>
              <w:bCs/>
              <w:noProof/>
            </w:rPr>
            <w:fldChar w:fldCharType="end"/>
          </w:r>
        </w:p>
      </w:sdtContent>
    </w:sdt>
    <w:p w14:paraId="33FD4D9E" w14:textId="57334598" w:rsidR="0078305A" w:rsidRDefault="0078305A" w:rsidP="00911C96">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r>
        <w:rPr>
          <w:rFonts w:asciiTheme="majorBidi" w:eastAsiaTheme="minorEastAsia" w:hAnsiTheme="majorBidi" w:cstheme="majorBidi"/>
          <w:b/>
          <w:bCs/>
          <w:color w:val="000000" w:themeColor="text1"/>
          <w:kern w:val="0"/>
          <w:sz w:val="28"/>
          <w:szCs w:val="28"/>
          <w14:ligatures w14:val="none"/>
        </w:rPr>
        <w:t>List</w:t>
      </w:r>
      <w:r w:rsidR="008E5779">
        <w:rPr>
          <w:rFonts w:asciiTheme="majorBidi" w:eastAsiaTheme="minorEastAsia" w:hAnsiTheme="majorBidi" w:cstheme="majorBidi"/>
          <w:b/>
          <w:bCs/>
          <w:color w:val="000000" w:themeColor="text1"/>
          <w:kern w:val="0"/>
          <w:sz w:val="28"/>
          <w:szCs w:val="28"/>
          <w14:ligatures w14:val="none"/>
        </w:rPr>
        <w:t xml:space="preserve"> of tables </w:t>
      </w:r>
    </w:p>
    <w:p w14:paraId="3CC078D3" w14:textId="340A61A4" w:rsidR="00911C96" w:rsidRPr="00974C09" w:rsidRDefault="00911C96" w:rsidP="00911C96">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Table</w:t>
      </w:r>
      <w:r w:rsidR="00B572D1" w:rsidRPr="00974C09">
        <w:rPr>
          <w:rFonts w:asciiTheme="majorBidi" w:eastAsiaTheme="minorEastAsia" w:hAnsiTheme="majorBidi" w:cstheme="majorBidi"/>
          <w:color w:val="000000" w:themeColor="text1"/>
          <w:kern w:val="0"/>
          <w:sz w:val="24"/>
          <w:szCs w:val="24"/>
          <w14:ligatures w14:val="none"/>
        </w:rPr>
        <w:t xml:space="preserve"> 4.</w:t>
      </w:r>
      <w:r w:rsidRPr="00974C09">
        <w:rPr>
          <w:rFonts w:asciiTheme="majorBidi" w:eastAsiaTheme="minorEastAsia" w:hAnsiTheme="majorBidi" w:cstheme="majorBidi"/>
          <w:color w:val="000000" w:themeColor="text1"/>
          <w:kern w:val="0"/>
          <w:sz w:val="24"/>
          <w:szCs w:val="24"/>
          <w14:ligatures w14:val="none"/>
        </w:rPr>
        <w:t>1</w:t>
      </w:r>
      <w:r w:rsidR="00C61DA9" w:rsidRPr="00974C09">
        <w:rPr>
          <w:rFonts w:asciiTheme="majorBidi" w:eastAsiaTheme="minorEastAsia" w:hAnsiTheme="majorBidi" w:cstheme="majorBidi"/>
          <w:color w:val="000000" w:themeColor="text1"/>
          <w:kern w:val="0"/>
          <w:sz w:val="24"/>
          <w:szCs w:val="24"/>
          <w14:ligatures w14:val="none"/>
        </w:rPr>
        <w:t xml:space="preserve">: </w:t>
      </w:r>
      <w:r w:rsidRPr="00974C09">
        <w:rPr>
          <w:rFonts w:asciiTheme="majorBidi" w:eastAsiaTheme="minorEastAsia" w:hAnsiTheme="majorBidi" w:cstheme="majorBidi"/>
          <w:color w:val="000000" w:themeColor="text1"/>
          <w:kern w:val="0"/>
          <w:sz w:val="24"/>
          <w:szCs w:val="24"/>
          <w14:ligatures w14:val="none"/>
        </w:rPr>
        <w:t xml:space="preserve">Distribution of Respondents by Demographic Characteristics (n = </w:t>
      </w:r>
      <w:proofErr w:type="gramStart"/>
      <w:r w:rsidRPr="00974C09">
        <w:rPr>
          <w:rFonts w:asciiTheme="majorBidi" w:eastAsiaTheme="minorEastAsia" w:hAnsiTheme="majorBidi" w:cstheme="majorBidi"/>
          <w:color w:val="000000" w:themeColor="text1"/>
          <w:kern w:val="0"/>
          <w:sz w:val="24"/>
          <w:szCs w:val="24"/>
          <w14:ligatures w14:val="none"/>
        </w:rPr>
        <w:t>150)…</w:t>
      </w:r>
      <w:proofErr w:type="gramEnd"/>
      <w:r w:rsidRPr="00974C09">
        <w:rPr>
          <w:rFonts w:asciiTheme="majorBidi" w:eastAsiaTheme="minorEastAsia" w:hAnsiTheme="majorBidi" w:cstheme="majorBidi"/>
          <w:color w:val="000000" w:themeColor="text1"/>
          <w:kern w:val="0"/>
          <w:sz w:val="24"/>
          <w:szCs w:val="24"/>
          <w14:ligatures w14:val="none"/>
        </w:rPr>
        <w:t>…</w:t>
      </w:r>
      <w:r w:rsidR="00BA56E6" w:rsidRPr="00974C09">
        <w:rPr>
          <w:rFonts w:asciiTheme="majorBidi" w:eastAsiaTheme="minorEastAsia" w:hAnsiTheme="majorBidi" w:cstheme="majorBidi"/>
          <w:color w:val="000000" w:themeColor="text1"/>
          <w:kern w:val="0"/>
          <w:sz w:val="24"/>
          <w:szCs w:val="24"/>
          <w14:ligatures w14:val="none"/>
        </w:rPr>
        <w:t>…77</w:t>
      </w:r>
    </w:p>
    <w:p w14:paraId="27097335" w14:textId="2D41248F" w:rsidR="00203B76" w:rsidRPr="00974C09" w:rsidRDefault="00203B76" w:rsidP="00203B76">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Table</w:t>
      </w:r>
      <w:r w:rsidR="00C86C86" w:rsidRPr="00974C09">
        <w:rPr>
          <w:rFonts w:asciiTheme="majorBidi" w:eastAsiaTheme="minorEastAsia" w:hAnsiTheme="majorBidi" w:cstheme="majorBidi"/>
          <w:color w:val="000000" w:themeColor="text1"/>
          <w:kern w:val="0"/>
          <w:sz w:val="24"/>
          <w:szCs w:val="24"/>
          <w14:ligatures w14:val="none"/>
        </w:rPr>
        <w:t xml:space="preserve"> </w:t>
      </w:r>
      <w:r w:rsidR="00B572D1" w:rsidRPr="00974C09">
        <w:rPr>
          <w:rFonts w:asciiTheme="majorBidi" w:eastAsiaTheme="minorEastAsia" w:hAnsiTheme="majorBidi" w:cstheme="majorBidi"/>
          <w:color w:val="000000" w:themeColor="text1"/>
          <w:kern w:val="0"/>
          <w:sz w:val="24"/>
          <w:szCs w:val="24"/>
          <w14:ligatures w14:val="none"/>
        </w:rPr>
        <w:t>4.</w:t>
      </w:r>
      <w:r w:rsidRPr="00974C09">
        <w:rPr>
          <w:rFonts w:asciiTheme="majorBidi" w:eastAsiaTheme="minorEastAsia" w:hAnsiTheme="majorBidi" w:cstheme="majorBidi"/>
          <w:color w:val="000000" w:themeColor="text1"/>
          <w:kern w:val="0"/>
          <w:sz w:val="24"/>
          <w:szCs w:val="24"/>
          <w14:ligatures w14:val="none"/>
        </w:rPr>
        <w:t>2</w:t>
      </w:r>
      <w:r w:rsidR="00C61DA9" w:rsidRPr="00974C09">
        <w:rPr>
          <w:rFonts w:asciiTheme="majorBidi" w:eastAsiaTheme="minorEastAsia" w:hAnsiTheme="majorBidi" w:cstheme="majorBidi"/>
          <w:color w:val="000000" w:themeColor="text1"/>
          <w:kern w:val="0"/>
          <w:sz w:val="24"/>
          <w:szCs w:val="24"/>
          <w14:ligatures w14:val="none"/>
        </w:rPr>
        <w:t xml:space="preserve">: </w:t>
      </w:r>
      <w:r w:rsidRPr="00974C09">
        <w:rPr>
          <w:rFonts w:asciiTheme="majorBidi" w:eastAsiaTheme="minorEastAsia" w:hAnsiTheme="majorBidi" w:cstheme="majorBidi"/>
          <w:color w:val="000000" w:themeColor="text1"/>
          <w:kern w:val="0"/>
          <w:sz w:val="24"/>
          <w:szCs w:val="24"/>
          <w14:ligatures w14:val="none"/>
        </w:rPr>
        <w:t>Respondents’ Knowledge of Infection Control and Risk Reporting Systems…</w:t>
      </w:r>
      <w:r w:rsidR="00BA56E6" w:rsidRPr="00974C09">
        <w:rPr>
          <w:rFonts w:asciiTheme="majorBidi" w:eastAsiaTheme="minorEastAsia" w:hAnsiTheme="majorBidi" w:cstheme="majorBidi"/>
          <w:color w:val="000000" w:themeColor="text1"/>
          <w:kern w:val="0"/>
          <w:sz w:val="24"/>
          <w:szCs w:val="24"/>
          <w14:ligatures w14:val="none"/>
        </w:rPr>
        <w:t>.79</w:t>
      </w:r>
    </w:p>
    <w:p w14:paraId="14B7EF0E" w14:textId="2D03C94B" w:rsidR="00203B76" w:rsidRPr="00974C09" w:rsidRDefault="00203B76" w:rsidP="00203B76">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 xml:space="preserve">Table </w:t>
      </w:r>
      <w:r w:rsidR="00B572D1" w:rsidRPr="00974C09">
        <w:rPr>
          <w:rFonts w:asciiTheme="majorBidi" w:eastAsiaTheme="minorEastAsia" w:hAnsiTheme="majorBidi" w:cstheme="majorBidi"/>
          <w:color w:val="000000" w:themeColor="text1"/>
          <w:kern w:val="0"/>
          <w:sz w:val="24"/>
          <w:szCs w:val="24"/>
          <w14:ligatures w14:val="none"/>
        </w:rPr>
        <w:t>4.</w:t>
      </w:r>
      <w:r w:rsidRPr="00974C09">
        <w:rPr>
          <w:rFonts w:asciiTheme="majorBidi" w:eastAsiaTheme="minorEastAsia" w:hAnsiTheme="majorBidi" w:cstheme="majorBidi"/>
          <w:color w:val="000000" w:themeColor="text1"/>
          <w:kern w:val="0"/>
          <w:sz w:val="24"/>
          <w:szCs w:val="24"/>
          <w14:ligatures w14:val="none"/>
        </w:rPr>
        <w:t>3</w:t>
      </w:r>
      <w:r w:rsidR="00C61DA9" w:rsidRPr="00974C09">
        <w:rPr>
          <w:rFonts w:asciiTheme="majorBidi" w:eastAsiaTheme="minorEastAsia" w:hAnsiTheme="majorBidi" w:cstheme="majorBidi"/>
          <w:color w:val="000000" w:themeColor="text1"/>
          <w:kern w:val="0"/>
          <w:sz w:val="24"/>
          <w:szCs w:val="24"/>
          <w14:ligatures w14:val="none"/>
        </w:rPr>
        <w:t xml:space="preserve">: </w:t>
      </w:r>
      <w:r w:rsidRPr="00974C09">
        <w:rPr>
          <w:rFonts w:asciiTheme="majorBidi" w:eastAsiaTheme="minorEastAsia" w:hAnsiTheme="majorBidi" w:cstheme="majorBidi"/>
          <w:color w:val="000000" w:themeColor="text1"/>
          <w:kern w:val="0"/>
          <w:sz w:val="24"/>
          <w:szCs w:val="24"/>
          <w14:ligatures w14:val="none"/>
        </w:rPr>
        <w:t>Mean and Standard Deviation of Attitudes toward Risk Management and Infection Control</w:t>
      </w:r>
      <w:r w:rsidR="00BA56E6" w:rsidRPr="00974C09">
        <w:rPr>
          <w:rFonts w:asciiTheme="majorBidi" w:eastAsiaTheme="minorEastAsia" w:hAnsiTheme="majorBidi" w:cstheme="majorBidi"/>
          <w:color w:val="000000" w:themeColor="text1"/>
          <w:kern w:val="0"/>
          <w:sz w:val="24"/>
          <w:szCs w:val="24"/>
          <w14:ligatures w14:val="none"/>
        </w:rPr>
        <w:t>……………………………………</w:t>
      </w:r>
      <w:proofErr w:type="gramStart"/>
      <w:r w:rsidR="00BA56E6" w:rsidRPr="00974C09">
        <w:rPr>
          <w:rFonts w:asciiTheme="majorBidi" w:eastAsiaTheme="minorEastAsia" w:hAnsiTheme="majorBidi" w:cstheme="majorBidi"/>
          <w:color w:val="000000" w:themeColor="text1"/>
          <w:kern w:val="0"/>
          <w:sz w:val="24"/>
          <w:szCs w:val="24"/>
          <w14:ligatures w14:val="none"/>
        </w:rPr>
        <w:t>…..</w:t>
      </w:r>
      <w:proofErr w:type="gramEnd"/>
      <w:r w:rsidR="00BA56E6" w:rsidRPr="00974C09">
        <w:rPr>
          <w:rFonts w:asciiTheme="majorBidi" w:eastAsiaTheme="minorEastAsia" w:hAnsiTheme="majorBidi" w:cstheme="majorBidi"/>
          <w:color w:val="000000" w:themeColor="text1"/>
          <w:kern w:val="0"/>
          <w:sz w:val="24"/>
          <w:szCs w:val="24"/>
          <w14:ligatures w14:val="none"/>
        </w:rPr>
        <w:t>……………………………………………81</w:t>
      </w:r>
    </w:p>
    <w:p w14:paraId="730DF26A" w14:textId="7E061539" w:rsidR="00203B76" w:rsidRPr="00974C09" w:rsidRDefault="00203B76" w:rsidP="00203B76">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Table</w:t>
      </w:r>
      <w:r w:rsidR="00B572D1" w:rsidRPr="00974C09">
        <w:rPr>
          <w:rFonts w:asciiTheme="majorBidi" w:eastAsiaTheme="minorEastAsia" w:hAnsiTheme="majorBidi" w:cstheme="majorBidi"/>
          <w:color w:val="000000" w:themeColor="text1"/>
          <w:kern w:val="0"/>
          <w:sz w:val="24"/>
          <w:szCs w:val="24"/>
          <w14:ligatures w14:val="none"/>
        </w:rPr>
        <w:t xml:space="preserve"> 4.</w:t>
      </w:r>
      <w:r w:rsidR="00C61DA9" w:rsidRPr="00974C09">
        <w:rPr>
          <w:rFonts w:asciiTheme="majorBidi" w:eastAsiaTheme="minorEastAsia" w:hAnsiTheme="majorBidi" w:cstheme="majorBidi"/>
          <w:color w:val="000000" w:themeColor="text1"/>
          <w:kern w:val="0"/>
          <w:sz w:val="24"/>
          <w:szCs w:val="24"/>
          <w14:ligatures w14:val="none"/>
        </w:rPr>
        <w:t xml:space="preserve">4: </w:t>
      </w:r>
      <w:r w:rsidRPr="00974C09">
        <w:rPr>
          <w:rFonts w:asciiTheme="majorBidi" w:eastAsiaTheme="minorEastAsia" w:hAnsiTheme="majorBidi" w:cstheme="majorBidi"/>
          <w:color w:val="000000" w:themeColor="text1"/>
          <w:kern w:val="0"/>
          <w:sz w:val="24"/>
          <w:szCs w:val="24"/>
          <w14:ligatures w14:val="none"/>
        </w:rPr>
        <w:t>Descriptive Statistics of Respondents’ Infection Control Practices……</w:t>
      </w:r>
      <w:r w:rsidR="00BA56E6" w:rsidRPr="00974C09">
        <w:rPr>
          <w:rFonts w:asciiTheme="majorBidi" w:eastAsiaTheme="minorEastAsia" w:hAnsiTheme="majorBidi" w:cstheme="majorBidi"/>
          <w:color w:val="000000" w:themeColor="text1"/>
          <w:kern w:val="0"/>
          <w:sz w:val="24"/>
          <w:szCs w:val="24"/>
          <w14:ligatures w14:val="none"/>
        </w:rPr>
        <w:t>………82</w:t>
      </w:r>
    </w:p>
    <w:p w14:paraId="5CD1D63E" w14:textId="2C344674" w:rsidR="00203B76" w:rsidRPr="00974C09" w:rsidRDefault="00203B76" w:rsidP="00203B76">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lastRenderedPageBreak/>
        <w:t>Table</w:t>
      </w:r>
      <w:r w:rsidR="00B572D1" w:rsidRPr="00974C09">
        <w:rPr>
          <w:rFonts w:asciiTheme="majorBidi" w:eastAsiaTheme="minorEastAsia" w:hAnsiTheme="majorBidi" w:cstheme="majorBidi"/>
          <w:color w:val="000000" w:themeColor="text1"/>
          <w:kern w:val="0"/>
          <w:sz w:val="24"/>
          <w:szCs w:val="24"/>
          <w14:ligatures w14:val="none"/>
        </w:rPr>
        <w:t xml:space="preserve"> 4.</w:t>
      </w:r>
      <w:r w:rsidRPr="00974C09">
        <w:rPr>
          <w:rFonts w:asciiTheme="majorBidi" w:eastAsiaTheme="minorEastAsia" w:hAnsiTheme="majorBidi" w:cstheme="majorBidi"/>
          <w:color w:val="000000" w:themeColor="text1"/>
          <w:kern w:val="0"/>
          <w:sz w:val="24"/>
          <w:szCs w:val="24"/>
          <w14:ligatures w14:val="none"/>
        </w:rPr>
        <w:t>5</w:t>
      </w:r>
      <w:r w:rsidR="00C61DA9" w:rsidRPr="00974C09">
        <w:rPr>
          <w:rFonts w:asciiTheme="majorBidi" w:eastAsiaTheme="minorEastAsia" w:hAnsiTheme="majorBidi" w:cstheme="majorBidi"/>
          <w:color w:val="000000" w:themeColor="text1"/>
          <w:kern w:val="0"/>
          <w:sz w:val="24"/>
          <w:szCs w:val="24"/>
          <w14:ligatures w14:val="none"/>
        </w:rPr>
        <w:t>:</w:t>
      </w:r>
      <w:r w:rsidR="00B572D1" w:rsidRPr="00974C09">
        <w:rPr>
          <w:rFonts w:asciiTheme="majorBidi" w:eastAsiaTheme="minorEastAsia" w:hAnsiTheme="majorBidi" w:cstheme="majorBidi"/>
          <w:color w:val="000000" w:themeColor="text1"/>
          <w:kern w:val="0"/>
          <w:sz w:val="24"/>
          <w:szCs w:val="24"/>
          <w14:ligatures w14:val="none"/>
        </w:rPr>
        <w:t xml:space="preserve"> </w:t>
      </w:r>
      <w:r w:rsidRPr="00974C09">
        <w:rPr>
          <w:rFonts w:asciiTheme="majorBidi" w:eastAsiaTheme="minorEastAsia" w:hAnsiTheme="majorBidi" w:cstheme="majorBidi"/>
          <w:color w:val="000000" w:themeColor="text1"/>
          <w:kern w:val="0"/>
          <w:sz w:val="24"/>
          <w:szCs w:val="24"/>
          <w14:ligatures w14:val="none"/>
        </w:rPr>
        <w:t>Respondents’ Perceptions of Risk Management Effectiveness………</w:t>
      </w:r>
      <w:r w:rsidR="00BA56E6" w:rsidRPr="00974C09">
        <w:rPr>
          <w:rFonts w:asciiTheme="majorBidi" w:eastAsiaTheme="minorEastAsia" w:hAnsiTheme="majorBidi" w:cstheme="majorBidi"/>
          <w:color w:val="000000" w:themeColor="text1"/>
          <w:kern w:val="0"/>
          <w:sz w:val="24"/>
          <w:szCs w:val="24"/>
          <w14:ligatures w14:val="none"/>
        </w:rPr>
        <w:t>……</w:t>
      </w:r>
      <w:proofErr w:type="gramStart"/>
      <w:r w:rsidR="00BA56E6" w:rsidRPr="00974C09">
        <w:rPr>
          <w:rFonts w:asciiTheme="majorBidi" w:eastAsiaTheme="minorEastAsia" w:hAnsiTheme="majorBidi" w:cstheme="majorBidi"/>
          <w:color w:val="000000" w:themeColor="text1"/>
          <w:kern w:val="0"/>
          <w:sz w:val="24"/>
          <w:szCs w:val="24"/>
          <w14:ligatures w14:val="none"/>
        </w:rPr>
        <w:t>…..</w:t>
      </w:r>
      <w:proofErr w:type="gramEnd"/>
      <w:r w:rsidR="00BA56E6" w:rsidRPr="00974C09">
        <w:rPr>
          <w:rFonts w:asciiTheme="majorBidi" w:eastAsiaTheme="minorEastAsia" w:hAnsiTheme="majorBidi" w:cstheme="majorBidi"/>
          <w:color w:val="000000" w:themeColor="text1"/>
          <w:kern w:val="0"/>
          <w:sz w:val="24"/>
          <w:szCs w:val="24"/>
          <w14:ligatures w14:val="none"/>
        </w:rPr>
        <w:t>85</w:t>
      </w:r>
    </w:p>
    <w:p w14:paraId="723CC822" w14:textId="5FDAED6B" w:rsidR="00203B76" w:rsidRPr="00974C09" w:rsidRDefault="00203B76" w:rsidP="00203B76">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 xml:space="preserve">Table </w:t>
      </w:r>
      <w:r w:rsidR="00B572D1" w:rsidRPr="00974C09">
        <w:rPr>
          <w:rFonts w:asciiTheme="majorBidi" w:eastAsiaTheme="minorEastAsia" w:hAnsiTheme="majorBidi" w:cstheme="majorBidi"/>
          <w:color w:val="000000" w:themeColor="text1"/>
          <w:kern w:val="0"/>
          <w:sz w:val="24"/>
          <w:szCs w:val="24"/>
          <w14:ligatures w14:val="none"/>
        </w:rPr>
        <w:t>4.</w:t>
      </w:r>
      <w:r w:rsidRPr="00974C09">
        <w:rPr>
          <w:rFonts w:asciiTheme="majorBidi" w:eastAsiaTheme="minorEastAsia" w:hAnsiTheme="majorBidi" w:cstheme="majorBidi"/>
          <w:color w:val="000000" w:themeColor="text1"/>
          <w:kern w:val="0"/>
          <w:sz w:val="24"/>
          <w:szCs w:val="24"/>
          <w14:ligatures w14:val="none"/>
        </w:rPr>
        <w:t>6</w:t>
      </w:r>
      <w:r w:rsidR="00C61DA9" w:rsidRPr="00974C09">
        <w:rPr>
          <w:rFonts w:asciiTheme="majorBidi" w:eastAsiaTheme="minorEastAsia" w:hAnsiTheme="majorBidi" w:cstheme="majorBidi"/>
          <w:color w:val="000000" w:themeColor="text1"/>
          <w:kern w:val="0"/>
          <w:sz w:val="24"/>
          <w:szCs w:val="24"/>
          <w14:ligatures w14:val="none"/>
        </w:rPr>
        <w:t xml:space="preserve">: </w:t>
      </w:r>
      <w:r w:rsidRPr="00974C09">
        <w:rPr>
          <w:rFonts w:asciiTheme="majorBidi" w:eastAsiaTheme="minorEastAsia" w:hAnsiTheme="majorBidi" w:cstheme="majorBidi"/>
          <w:color w:val="000000" w:themeColor="text1"/>
          <w:kern w:val="0"/>
          <w:sz w:val="24"/>
          <w:szCs w:val="24"/>
          <w14:ligatures w14:val="none"/>
        </w:rPr>
        <w:t xml:space="preserve">Overall Composite Scores – Knowledge, Attitudes, Practices, and Perceptions (KAPP </w:t>
      </w:r>
      <w:proofErr w:type="gramStart"/>
      <w:r w:rsidRPr="00974C09">
        <w:rPr>
          <w:rFonts w:asciiTheme="majorBidi" w:eastAsiaTheme="minorEastAsia" w:hAnsiTheme="majorBidi" w:cstheme="majorBidi"/>
          <w:color w:val="000000" w:themeColor="text1"/>
          <w:kern w:val="0"/>
          <w:sz w:val="24"/>
          <w:szCs w:val="24"/>
          <w14:ligatures w14:val="none"/>
        </w:rPr>
        <w:t>Model)…</w:t>
      </w:r>
      <w:proofErr w:type="gramEnd"/>
      <w:r w:rsidRPr="00974C09">
        <w:rPr>
          <w:rFonts w:asciiTheme="majorBidi" w:eastAsiaTheme="minorEastAsia" w:hAnsiTheme="majorBidi" w:cstheme="majorBidi"/>
          <w:color w:val="000000" w:themeColor="text1"/>
          <w:kern w:val="0"/>
          <w:sz w:val="24"/>
          <w:szCs w:val="24"/>
          <w14:ligatures w14:val="none"/>
        </w:rPr>
        <w:t>………………………………………………</w:t>
      </w:r>
      <w:r w:rsidR="00BA56E6" w:rsidRPr="00974C09">
        <w:rPr>
          <w:rFonts w:asciiTheme="majorBidi" w:eastAsiaTheme="minorEastAsia" w:hAnsiTheme="majorBidi" w:cstheme="majorBidi"/>
          <w:color w:val="000000" w:themeColor="text1"/>
          <w:kern w:val="0"/>
          <w:sz w:val="24"/>
          <w:szCs w:val="24"/>
          <w14:ligatures w14:val="none"/>
        </w:rPr>
        <w:t>……………………..</w:t>
      </w:r>
      <w:r w:rsidRPr="00974C09">
        <w:rPr>
          <w:rFonts w:asciiTheme="majorBidi" w:eastAsiaTheme="minorEastAsia" w:hAnsiTheme="majorBidi" w:cstheme="majorBidi"/>
          <w:color w:val="000000" w:themeColor="text1"/>
          <w:kern w:val="0"/>
          <w:sz w:val="24"/>
          <w:szCs w:val="24"/>
          <w14:ligatures w14:val="none"/>
        </w:rPr>
        <w:t>…</w:t>
      </w:r>
      <w:r w:rsidR="00BA56E6" w:rsidRPr="00974C09">
        <w:rPr>
          <w:rFonts w:asciiTheme="majorBidi" w:eastAsiaTheme="minorEastAsia" w:hAnsiTheme="majorBidi" w:cstheme="majorBidi"/>
          <w:color w:val="000000" w:themeColor="text1"/>
          <w:kern w:val="0"/>
          <w:sz w:val="24"/>
          <w:szCs w:val="24"/>
          <w14:ligatures w14:val="none"/>
        </w:rPr>
        <w:t>86</w:t>
      </w:r>
    </w:p>
    <w:p w14:paraId="19E4D5AB" w14:textId="1FD2D706" w:rsidR="00C61DA9" w:rsidRPr="00974C09" w:rsidRDefault="00C61DA9" w:rsidP="00C61DA9">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 xml:space="preserve">Table </w:t>
      </w:r>
      <w:r w:rsidR="00C86C86" w:rsidRPr="00974C09">
        <w:rPr>
          <w:rFonts w:asciiTheme="majorBidi" w:eastAsiaTheme="minorEastAsia" w:hAnsiTheme="majorBidi" w:cstheme="majorBidi"/>
          <w:color w:val="000000" w:themeColor="text1"/>
          <w:kern w:val="0"/>
          <w:sz w:val="24"/>
          <w:szCs w:val="24"/>
          <w14:ligatures w14:val="none"/>
        </w:rPr>
        <w:t>4.</w:t>
      </w:r>
      <w:r w:rsidRPr="00974C09">
        <w:rPr>
          <w:rFonts w:asciiTheme="majorBidi" w:eastAsiaTheme="minorEastAsia" w:hAnsiTheme="majorBidi" w:cstheme="majorBidi"/>
          <w:color w:val="000000" w:themeColor="text1"/>
          <w:kern w:val="0"/>
          <w:sz w:val="24"/>
          <w:szCs w:val="24"/>
          <w14:ligatures w14:val="none"/>
        </w:rPr>
        <w:t xml:space="preserve">7: Correlation Matrix Between Study Variables (n = </w:t>
      </w:r>
      <w:proofErr w:type="gramStart"/>
      <w:r w:rsidRPr="00974C09">
        <w:rPr>
          <w:rFonts w:asciiTheme="majorBidi" w:eastAsiaTheme="minorEastAsia" w:hAnsiTheme="majorBidi" w:cstheme="majorBidi"/>
          <w:color w:val="000000" w:themeColor="text1"/>
          <w:kern w:val="0"/>
          <w:sz w:val="24"/>
          <w:szCs w:val="24"/>
          <w14:ligatures w14:val="none"/>
        </w:rPr>
        <w:t>150)…</w:t>
      </w:r>
      <w:proofErr w:type="gramEnd"/>
      <w:r w:rsidRPr="00974C09">
        <w:rPr>
          <w:rFonts w:asciiTheme="majorBidi" w:eastAsiaTheme="minorEastAsia" w:hAnsiTheme="majorBidi" w:cstheme="majorBidi"/>
          <w:color w:val="000000" w:themeColor="text1"/>
          <w:kern w:val="0"/>
          <w:sz w:val="24"/>
          <w:szCs w:val="24"/>
          <w14:ligatures w14:val="none"/>
        </w:rPr>
        <w:t>………</w:t>
      </w:r>
      <w:r w:rsidR="00BA56E6" w:rsidRPr="00974C09">
        <w:rPr>
          <w:rFonts w:asciiTheme="majorBidi" w:eastAsiaTheme="minorEastAsia" w:hAnsiTheme="majorBidi" w:cstheme="majorBidi"/>
          <w:color w:val="000000" w:themeColor="text1"/>
          <w:kern w:val="0"/>
          <w:sz w:val="24"/>
          <w:szCs w:val="24"/>
          <w14:ligatures w14:val="none"/>
        </w:rPr>
        <w:t>…………..90</w:t>
      </w:r>
    </w:p>
    <w:p w14:paraId="3F07A926" w14:textId="15A7A508" w:rsidR="00C61DA9" w:rsidRPr="00974C09" w:rsidRDefault="00C61DA9" w:rsidP="00C61DA9">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 xml:space="preserve">Table </w:t>
      </w:r>
      <w:r w:rsidR="00C86C86" w:rsidRPr="00974C09">
        <w:rPr>
          <w:rFonts w:asciiTheme="majorBidi" w:eastAsiaTheme="minorEastAsia" w:hAnsiTheme="majorBidi" w:cstheme="majorBidi"/>
          <w:color w:val="000000" w:themeColor="text1"/>
          <w:kern w:val="0"/>
          <w:sz w:val="24"/>
          <w:szCs w:val="24"/>
          <w14:ligatures w14:val="none"/>
        </w:rPr>
        <w:t>4.</w:t>
      </w:r>
      <w:r w:rsidRPr="00974C09">
        <w:rPr>
          <w:rFonts w:asciiTheme="majorBidi" w:eastAsiaTheme="minorEastAsia" w:hAnsiTheme="majorBidi" w:cstheme="majorBidi"/>
          <w:color w:val="000000" w:themeColor="text1"/>
          <w:kern w:val="0"/>
          <w:sz w:val="24"/>
          <w:szCs w:val="24"/>
          <w14:ligatures w14:val="none"/>
        </w:rPr>
        <w:t>8: Model Summary of Multiple Regression Analysis………………</w:t>
      </w:r>
      <w:r w:rsidR="00BA56E6" w:rsidRPr="00974C09">
        <w:rPr>
          <w:rFonts w:asciiTheme="majorBidi" w:eastAsiaTheme="minorEastAsia" w:hAnsiTheme="majorBidi" w:cstheme="majorBidi"/>
          <w:color w:val="000000" w:themeColor="text1"/>
          <w:kern w:val="0"/>
          <w:sz w:val="24"/>
          <w:szCs w:val="24"/>
          <w14:ligatures w14:val="none"/>
        </w:rPr>
        <w:t>………</w:t>
      </w:r>
      <w:proofErr w:type="gramStart"/>
      <w:r w:rsidR="00BA56E6" w:rsidRPr="00974C09">
        <w:rPr>
          <w:rFonts w:asciiTheme="majorBidi" w:eastAsiaTheme="minorEastAsia" w:hAnsiTheme="majorBidi" w:cstheme="majorBidi"/>
          <w:color w:val="000000" w:themeColor="text1"/>
          <w:kern w:val="0"/>
          <w:sz w:val="24"/>
          <w:szCs w:val="24"/>
          <w14:ligatures w14:val="none"/>
        </w:rPr>
        <w:t>…..</w:t>
      </w:r>
      <w:proofErr w:type="gramEnd"/>
      <w:r w:rsidR="00BA56E6" w:rsidRPr="00974C09">
        <w:rPr>
          <w:rFonts w:asciiTheme="majorBidi" w:eastAsiaTheme="minorEastAsia" w:hAnsiTheme="majorBidi" w:cstheme="majorBidi"/>
          <w:color w:val="000000" w:themeColor="text1"/>
          <w:kern w:val="0"/>
          <w:sz w:val="24"/>
          <w:szCs w:val="24"/>
          <w14:ligatures w14:val="none"/>
        </w:rPr>
        <w:t>91</w:t>
      </w:r>
    </w:p>
    <w:p w14:paraId="4982046D" w14:textId="42FF8EBC" w:rsidR="00C61DA9" w:rsidRPr="00974C09" w:rsidRDefault="00C61DA9" w:rsidP="00C61DA9">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 xml:space="preserve">Table </w:t>
      </w:r>
      <w:r w:rsidR="00C86C86" w:rsidRPr="00974C09">
        <w:rPr>
          <w:rFonts w:asciiTheme="majorBidi" w:eastAsiaTheme="minorEastAsia" w:hAnsiTheme="majorBidi" w:cstheme="majorBidi"/>
          <w:color w:val="000000" w:themeColor="text1"/>
          <w:kern w:val="0"/>
          <w:sz w:val="24"/>
          <w:szCs w:val="24"/>
          <w14:ligatures w14:val="none"/>
        </w:rPr>
        <w:t>4.</w:t>
      </w:r>
      <w:r w:rsidRPr="00974C09">
        <w:rPr>
          <w:rFonts w:asciiTheme="majorBidi" w:eastAsiaTheme="minorEastAsia" w:hAnsiTheme="majorBidi" w:cstheme="majorBidi"/>
          <w:color w:val="000000" w:themeColor="text1"/>
          <w:kern w:val="0"/>
          <w:sz w:val="24"/>
          <w:szCs w:val="24"/>
          <w14:ligatures w14:val="none"/>
        </w:rPr>
        <w:t>9: ANOVA Results for Regression Model……………………</w:t>
      </w:r>
      <w:r w:rsidR="00BA56E6" w:rsidRPr="00974C09">
        <w:rPr>
          <w:rFonts w:asciiTheme="majorBidi" w:eastAsiaTheme="minorEastAsia" w:hAnsiTheme="majorBidi" w:cstheme="majorBidi"/>
          <w:color w:val="000000" w:themeColor="text1"/>
          <w:kern w:val="0"/>
          <w:sz w:val="24"/>
          <w:szCs w:val="24"/>
          <w14:ligatures w14:val="none"/>
        </w:rPr>
        <w:t>………………...92</w:t>
      </w:r>
    </w:p>
    <w:p w14:paraId="2FAA0B18" w14:textId="5251EAB5" w:rsidR="00C61DA9" w:rsidRPr="00974C09" w:rsidRDefault="00C61DA9" w:rsidP="00C61DA9">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 xml:space="preserve">Table </w:t>
      </w:r>
      <w:r w:rsidR="00C86C86" w:rsidRPr="00974C09">
        <w:rPr>
          <w:rFonts w:asciiTheme="majorBidi" w:eastAsiaTheme="minorEastAsia" w:hAnsiTheme="majorBidi" w:cstheme="majorBidi"/>
          <w:color w:val="000000" w:themeColor="text1"/>
          <w:kern w:val="0"/>
          <w:sz w:val="24"/>
          <w:szCs w:val="24"/>
          <w14:ligatures w14:val="none"/>
        </w:rPr>
        <w:t>4.</w:t>
      </w:r>
      <w:r w:rsidRPr="00974C09">
        <w:rPr>
          <w:rFonts w:asciiTheme="majorBidi" w:eastAsiaTheme="minorEastAsia" w:hAnsiTheme="majorBidi" w:cstheme="majorBidi"/>
          <w:color w:val="000000" w:themeColor="text1"/>
          <w:kern w:val="0"/>
          <w:sz w:val="24"/>
          <w:szCs w:val="24"/>
          <w14:ligatures w14:val="none"/>
        </w:rPr>
        <w:t>10: Coefficients of Regression Model……………………………</w:t>
      </w:r>
      <w:r w:rsidR="00BA56E6" w:rsidRPr="00974C09">
        <w:rPr>
          <w:rFonts w:asciiTheme="majorBidi" w:eastAsiaTheme="minorEastAsia" w:hAnsiTheme="majorBidi" w:cstheme="majorBidi"/>
          <w:color w:val="000000" w:themeColor="text1"/>
          <w:kern w:val="0"/>
          <w:sz w:val="24"/>
          <w:szCs w:val="24"/>
          <w14:ligatures w14:val="none"/>
        </w:rPr>
        <w:t>…………</w:t>
      </w:r>
      <w:proofErr w:type="gramStart"/>
      <w:r w:rsidR="00BA56E6" w:rsidRPr="00974C09">
        <w:rPr>
          <w:rFonts w:asciiTheme="majorBidi" w:eastAsiaTheme="minorEastAsia" w:hAnsiTheme="majorBidi" w:cstheme="majorBidi"/>
          <w:color w:val="000000" w:themeColor="text1"/>
          <w:kern w:val="0"/>
          <w:sz w:val="24"/>
          <w:szCs w:val="24"/>
          <w14:ligatures w14:val="none"/>
        </w:rPr>
        <w:t>…..</w:t>
      </w:r>
      <w:proofErr w:type="gramEnd"/>
      <w:r w:rsidR="00BA56E6" w:rsidRPr="00974C09">
        <w:rPr>
          <w:rFonts w:asciiTheme="majorBidi" w:eastAsiaTheme="minorEastAsia" w:hAnsiTheme="majorBidi" w:cstheme="majorBidi"/>
          <w:color w:val="000000" w:themeColor="text1"/>
          <w:kern w:val="0"/>
          <w:sz w:val="24"/>
          <w:szCs w:val="24"/>
          <w14:ligatures w14:val="none"/>
        </w:rPr>
        <w:t>92</w:t>
      </w:r>
    </w:p>
    <w:p w14:paraId="6E800F64" w14:textId="2273D4C8" w:rsidR="00B572D1" w:rsidRPr="00974C09" w:rsidRDefault="00B572D1" w:rsidP="00B572D1">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 xml:space="preserve">Table </w:t>
      </w:r>
      <w:r w:rsidR="00C86C86" w:rsidRPr="00974C09">
        <w:rPr>
          <w:rFonts w:asciiTheme="majorBidi" w:eastAsiaTheme="minorEastAsia" w:hAnsiTheme="majorBidi" w:cstheme="majorBidi"/>
          <w:color w:val="000000" w:themeColor="text1"/>
          <w:kern w:val="0"/>
          <w:sz w:val="24"/>
          <w:szCs w:val="24"/>
          <w14:ligatures w14:val="none"/>
        </w:rPr>
        <w:t>4.</w:t>
      </w:r>
      <w:r w:rsidRPr="00974C09">
        <w:rPr>
          <w:rFonts w:asciiTheme="majorBidi" w:eastAsiaTheme="minorEastAsia" w:hAnsiTheme="majorBidi" w:cstheme="majorBidi"/>
          <w:color w:val="000000" w:themeColor="text1"/>
          <w:kern w:val="0"/>
          <w:sz w:val="24"/>
          <w:szCs w:val="24"/>
          <w14:ligatures w14:val="none"/>
        </w:rPr>
        <w:t>11: Summary of Hypothesis Testing Results……………………</w:t>
      </w:r>
      <w:r w:rsidR="00BA56E6" w:rsidRPr="00974C09">
        <w:rPr>
          <w:rFonts w:asciiTheme="majorBidi" w:eastAsiaTheme="minorEastAsia" w:hAnsiTheme="majorBidi" w:cstheme="majorBidi"/>
          <w:color w:val="000000" w:themeColor="text1"/>
          <w:kern w:val="0"/>
          <w:sz w:val="24"/>
          <w:szCs w:val="24"/>
          <w14:ligatures w14:val="none"/>
        </w:rPr>
        <w:t>………………93</w:t>
      </w:r>
    </w:p>
    <w:p w14:paraId="4CE8F4ED" w14:textId="4FF14F75" w:rsidR="00B572D1" w:rsidRPr="00974C09" w:rsidRDefault="00B572D1" w:rsidP="00B572D1">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 xml:space="preserve">Table </w:t>
      </w:r>
      <w:r w:rsidR="00C86C86" w:rsidRPr="00974C09">
        <w:rPr>
          <w:rFonts w:asciiTheme="majorBidi" w:eastAsiaTheme="minorEastAsia" w:hAnsiTheme="majorBidi" w:cstheme="majorBidi"/>
          <w:color w:val="000000" w:themeColor="text1"/>
          <w:kern w:val="0"/>
          <w:sz w:val="24"/>
          <w:szCs w:val="24"/>
          <w14:ligatures w14:val="none"/>
        </w:rPr>
        <w:t>4.</w:t>
      </w:r>
      <w:r w:rsidRPr="00974C09">
        <w:rPr>
          <w:rFonts w:asciiTheme="majorBidi" w:eastAsiaTheme="minorEastAsia" w:hAnsiTheme="majorBidi" w:cstheme="majorBidi"/>
          <w:color w:val="000000" w:themeColor="text1"/>
          <w:kern w:val="0"/>
          <w:sz w:val="24"/>
          <w:szCs w:val="24"/>
          <w14:ligatures w14:val="none"/>
        </w:rPr>
        <w:t>12: Summary of Qualitative Themes and Key Findings…………</w:t>
      </w:r>
      <w:r w:rsidR="00BA56E6" w:rsidRPr="00974C09">
        <w:rPr>
          <w:rFonts w:asciiTheme="majorBidi" w:eastAsiaTheme="minorEastAsia" w:hAnsiTheme="majorBidi" w:cstheme="majorBidi"/>
          <w:color w:val="000000" w:themeColor="text1"/>
          <w:kern w:val="0"/>
          <w:sz w:val="24"/>
          <w:szCs w:val="24"/>
          <w14:ligatures w14:val="none"/>
        </w:rPr>
        <w:t>…………….100</w:t>
      </w:r>
    </w:p>
    <w:p w14:paraId="0624DC49" w14:textId="0A4971C4" w:rsidR="00B572D1" w:rsidRPr="00974C09" w:rsidRDefault="00B572D1" w:rsidP="00B572D1">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Table</w:t>
      </w:r>
      <w:r w:rsidR="00C86C86" w:rsidRPr="00974C09">
        <w:rPr>
          <w:rFonts w:asciiTheme="majorBidi" w:eastAsiaTheme="minorEastAsia" w:hAnsiTheme="majorBidi" w:cstheme="majorBidi"/>
          <w:color w:val="000000" w:themeColor="text1"/>
          <w:kern w:val="0"/>
          <w:sz w:val="24"/>
          <w:szCs w:val="24"/>
          <w14:ligatures w14:val="none"/>
        </w:rPr>
        <w:t xml:space="preserve"> 4.</w:t>
      </w:r>
      <w:r w:rsidRPr="00974C09">
        <w:rPr>
          <w:rFonts w:asciiTheme="majorBidi" w:eastAsiaTheme="minorEastAsia" w:hAnsiTheme="majorBidi" w:cstheme="majorBidi"/>
          <w:color w:val="000000" w:themeColor="text1"/>
          <w:kern w:val="0"/>
          <w:sz w:val="24"/>
          <w:szCs w:val="24"/>
          <w14:ligatures w14:val="none"/>
        </w:rPr>
        <w:t>13:</w:t>
      </w:r>
      <w:r w:rsidR="00C86C86" w:rsidRPr="00974C09">
        <w:rPr>
          <w:rFonts w:asciiTheme="majorBidi" w:eastAsiaTheme="minorEastAsia" w:hAnsiTheme="majorBidi" w:cstheme="majorBidi"/>
          <w:color w:val="000000" w:themeColor="text1"/>
          <w:kern w:val="0"/>
          <w:sz w:val="24"/>
          <w:szCs w:val="24"/>
          <w14:ligatures w14:val="none"/>
        </w:rPr>
        <w:t xml:space="preserve"> </w:t>
      </w:r>
      <w:r w:rsidRPr="00974C09">
        <w:rPr>
          <w:rFonts w:asciiTheme="majorBidi" w:eastAsiaTheme="minorEastAsia" w:hAnsiTheme="majorBidi" w:cstheme="majorBidi"/>
          <w:color w:val="000000" w:themeColor="text1"/>
          <w:kern w:val="0"/>
          <w:sz w:val="24"/>
          <w:szCs w:val="24"/>
          <w14:ligatures w14:val="none"/>
        </w:rPr>
        <w:t>Thematic Model Linking Quantitative and Qualitative Findings……</w:t>
      </w:r>
      <w:r w:rsidR="00C86C86" w:rsidRPr="00974C09">
        <w:rPr>
          <w:rFonts w:asciiTheme="majorBidi" w:eastAsiaTheme="minorEastAsia" w:hAnsiTheme="majorBidi" w:cstheme="majorBidi"/>
          <w:color w:val="000000" w:themeColor="text1"/>
          <w:kern w:val="0"/>
          <w:sz w:val="24"/>
          <w:szCs w:val="24"/>
          <w14:ligatures w14:val="none"/>
        </w:rPr>
        <w:t>……</w:t>
      </w:r>
      <w:r w:rsidR="00974C09" w:rsidRPr="00974C09">
        <w:rPr>
          <w:rFonts w:asciiTheme="majorBidi" w:eastAsiaTheme="minorEastAsia" w:hAnsiTheme="majorBidi" w:cstheme="majorBidi"/>
          <w:color w:val="000000" w:themeColor="text1"/>
          <w:kern w:val="0"/>
          <w:sz w:val="24"/>
          <w:szCs w:val="24"/>
          <w14:ligatures w14:val="none"/>
        </w:rPr>
        <w:t>.102</w:t>
      </w:r>
    </w:p>
    <w:p w14:paraId="35C06D8A" w14:textId="2AFD8015" w:rsidR="00B572D1" w:rsidRPr="00974C09" w:rsidRDefault="00B572D1" w:rsidP="00B572D1">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974C09">
        <w:rPr>
          <w:rFonts w:asciiTheme="majorBidi" w:eastAsiaTheme="minorEastAsia" w:hAnsiTheme="majorBidi" w:cstheme="majorBidi"/>
          <w:color w:val="000000" w:themeColor="text1"/>
          <w:kern w:val="0"/>
          <w:sz w:val="24"/>
          <w:szCs w:val="24"/>
          <w14:ligatures w14:val="none"/>
        </w:rPr>
        <w:t>Table 6.1: Summary of Practical Recommendations……………………</w:t>
      </w:r>
      <w:r w:rsidR="00974C09" w:rsidRPr="00974C09">
        <w:rPr>
          <w:rFonts w:asciiTheme="majorBidi" w:eastAsiaTheme="minorEastAsia" w:hAnsiTheme="majorBidi" w:cstheme="majorBidi"/>
          <w:color w:val="000000" w:themeColor="text1"/>
          <w:kern w:val="0"/>
          <w:sz w:val="24"/>
          <w:szCs w:val="24"/>
          <w14:ligatures w14:val="none"/>
        </w:rPr>
        <w:t>……………...128</w:t>
      </w:r>
    </w:p>
    <w:p w14:paraId="108AED5B" w14:textId="77777777" w:rsidR="00911C96" w:rsidRPr="00C86C86" w:rsidRDefault="00911C96" w:rsidP="00911C96">
      <w:pPr>
        <w:bidi w:val="0"/>
        <w:spacing w:after="0" w:line="360" w:lineRule="auto"/>
        <w:jc w:val="both"/>
        <w:divId w:val="2109882054"/>
        <w:rPr>
          <w:rFonts w:asciiTheme="majorBidi" w:eastAsiaTheme="minorEastAsia" w:hAnsiTheme="majorBidi" w:cstheme="majorBidi"/>
          <w:b/>
          <w:bCs/>
          <w:color w:val="000000" w:themeColor="text1"/>
          <w:kern w:val="0"/>
          <w:sz w:val="24"/>
          <w:szCs w:val="24"/>
          <w14:ligatures w14:val="none"/>
        </w:rPr>
      </w:pPr>
    </w:p>
    <w:p w14:paraId="0730754E" w14:textId="143F823A" w:rsidR="008E5779" w:rsidRDefault="008E5779" w:rsidP="008E5779">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r>
        <w:rPr>
          <w:rFonts w:asciiTheme="majorBidi" w:eastAsiaTheme="minorEastAsia" w:hAnsiTheme="majorBidi" w:cstheme="majorBidi"/>
          <w:b/>
          <w:bCs/>
          <w:color w:val="000000" w:themeColor="text1"/>
          <w:kern w:val="0"/>
          <w:sz w:val="28"/>
          <w:szCs w:val="28"/>
          <w14:ligatures w14:val="none"/>
        </w:rPr>
        <w:t xml:space="preserve">List of figures </w:t>
      </w:r>
    </w:p>
    <w:p w14:paraId="6E62C03F" w14:textId="705CC0F7" w:rsidR="00203B76" w:rsidRPr="00C86C86" w:rsidRDefault="00203B76" w:rsidP="00203B76">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C86C86">
        <w:rPr>
          <w:rFonts w:asciiTheme="majorBidi" w:eastAsiaTheme="minorEastAsia" w:hAnsiTheme="majorBidi" w:cstheme="majorBidi"/>
          <w:color w:val="000000" w:themeColor="text1"/>
          <w:kern w:val="0"/>
          <w:sz w:val="24"/>
          <w:szCs w:val="24"/>
          <w14:ligatures w14:val="none"/>
        </w:rPr>
        <w:t>Figure 1: Comparative Mean Scores of Infection Control Practices</w:t>
      </w:r>
      <w:r w:rsidR="00BA56E6">
        <w:rPr>
          <w:rFonts w:asciiTheme="majorBidi" w:eastAsiaTheme="minorEastAsia" w:hAnsiTheme="majorBidi" w:cstheme="majorBidi"/>
          <w:color w:val="000000" w:themeColor="text1"/>
          <w:kern w:val="0"/>
          <w:sz w:val="24"/>
          <w:szCs w:val="24"/>
          <w14:ligatures w14:val="none"/>
        </w:rPr>
        <w:t>…………………</w:t>
      </w:r>
      <w:proofErr w:type="gramStart"/>
      <w:r w:rsidR="00BA56E6">
        <w:rPr>
          <w:rFonts w:asciiTheme="majorBidi" w:eastAsiaTheme="minorEastAsia" w:hAnsiTheme="majorBidi" w:cstheme="majorBidi"/>
          <w:color w:val="000000" w:themeColor="text1"/>
          <w:kern w:val="0"/>
          <w:sz w:val="24"/>
          <w:szCs w:val="24"/>
          <w14:ligatures w14:val="none"/>
        </w:rPr>
        <w:t>…..</w:t>
      </w:r>
      <w:proofErr w:type="gramEnd"/>
      <w:r w:rsidR="00BA56E6">
        <w:rPr>
          <w:rFonts w:asciiTheme="majorBidi" w:eastAsiaTheme="minorEastAsia" w:hAnsiTheme="majorBidi" w:cstheme="majorBidi"/>
          <w:color w:val="000000" w:themeColor="text1"/>
          <w:kern w:val="0"/>
          <w:sz w:val="24"/>
          <w:szCs w:val="24"/>
          <w14:ligatures w14:val="none"/>
        </w:rPr>
        <w:t>84</w:t>
      </w:r>
    </w:p>
    <w:p w14:paraId="0441AD21" w14:textId="579F3C8A" w:rsidR="00112534" w:rsidRPr="00C86C86" w:rsidRDefault="00C86C86" w:rsidP="004A50FA">
      <w:pPr>
        <w:bidi w:val="0"/>
        <w:spacing w:after="0" w:line="360" w:lineRule="auto"/>
        <w:jc w:val="both"/>
        <w:divId w:val="2109882054"/>
        <w:rPr>
          <w:rFonts w:asciiTheme="majorBidi" w:eastAsiaTheme="minorEastAsia" w:hAnsiTheme="majorBidi" w:cstheme="majorBidi"/>
          <w:b/>
          <w:bCs/>
          <w:color w:val="000000" w:themeColor="text1"/>
          <w:kern w:val="0"/>
          <w:sz w:val="24"/>
          <w:szCs w:val="24"/>
          <w14:ligatures w14:val="none"/>
        </w:rPr>
      </w:pPr>
      <w:r w:rsidRPr="00C86C86">
        <w:rPr>
          <w:rFonts w:asciiTheme="majorBidi" w:eastAsiaTheme="minorEastAsia" w:hAnsiTheme="majorBidi" w:cstheme="majorBidi"/>
          <w:color w:val="000000" w:themeColor="text1"/>
          <w:kern w:val="0"/>
          <w:sz w:val="24"/>
          <w:szCs w:val="24"/>
          <w14:ligatures w14:val="none"/>
        </w:rPr>
        <w:t xml:space="preserve">Figure 2: Composite Mean Scores for KAPP Dimensions Reflecting Overall Respondent Engagement (n = </w:t>
      </w:r>
      <w:proofErr w:type="gramStart"/>
      <w:r w:rsidRPr="00C86C86">
        <w:rPr>
          <w:rFonts w:asciiTheme="majorBidi" w:eastAsiaTheme="minorEastAsia" w:hAnsiTheme="majorBidi" w:cstheme="majorBidi"/>
          <w:color w:val="000000" w:themeColor="text1"/>
          <w:kern w:val="0"/>
          <w:sz w:val="24"/>
          <w:szCs w:val="24"/>
          <w14:ligatures w14:val="none"/>
        </w:rPr>
        <w:t>150</w:t>
      </w:r>
      <w:r w:rsidRPr="00BA56E6">
        <w:rPr>
          <w:rFonts w:asciiTheme="majorBidi" w:eastAsiaTheme="minorEastAsia" w:hAnsiTheme="majorBidi" w:cstheme="majorBidi"/>
          <w:color w:val="000000" w:themeColor="text1"/>
          <w:kern w:val="0"/>
          <w:sz w:val="24"/>
          <w:szCs w:val="24"/>
          <w14:ligatures w14:val="none"/>
        </w:rPr>
        <w:t>)</w:t>
      </w:r>
      <w:r w:rsidR="00BA56E6" w:rsidRPr="00BA56E6">
        <w:rPr>
          <w:rFonts w:asciiTheme="majorBidi" w:eastAsiaTheme="minorEastAsia" w:hAnsiTheme="majorBidi" w:cstheme="majorBidi"/>
          <w:color w:val="000000" w:themeColor="text1"/>
          <w:kern w:val="0"/>
          <w:sz w:val="24"/>
          <w:szCs w:val="24"/>
          <w14:ligatures w14:val="none"/>
        </w:rPr>
        <w:t>…</w:t>
      </w:r>
      <w:proofErr w:type="gramEnd"/>
      <w:r w:rsidR="00BA56E6" w:rsidRPr="00BA56E6">
        <w:rPr>
          <w:rFonts w:asciiTheme="majorBidi" w:eastAsiaTheme="minorEastAsia" w:hAnsiTheme="majorBidi" w:cstheme="majorBidi"/>
          <w:color w:val="000000" w:themeColor="text1"/>
          <w:kern w:val="0"/>
          <w:sz w:val="24"/>
          <w:szCs w:val="24"/>
          <w14:ligatures w14:val="none"/>
        </w:rPr>
        <w:t>…………………………………………………….……………87</w:t>
      </w:r>
    </w:p>
    <w:p w14:paraId="20FC3A7E" w14:textId="4A2A3BD2" w:rsidR="00C86C86" w:rsidRPr="00C86C86" w:rsidRDefault="00C86C86" w:rsidP="00C86C86">
      <w:pPr>
        <w:bidi w:val="0"/>
        <w:spacing w:after="0" w:line="360" w:lineRule="auto"/>
        <w:jc w:val="both"/>
        <w:divId w:val="2109882054"/>
        <w:rPr>
          <w:rFonts w:asciiTheme="majorBidi" w:eastAsiaTheme="minorEastAsia" w:hAnsiTheme="majorBidi" w:cstheme="majorBidi"/>
          <w:color w:val="000000" w:themeColor="text1"/>
          <w:kern w:val="0"/>
          <w:sz w:val="24"/>
          <w:szCs w:val="24"/>
          <w14:ligatures w14:val="none"/>
        </w:rPr>
      </w:pPr>
      <w:r w:rsidRPr="00C86C86">
        <w:rPr>
          <w:rFonts w:asciiTheme="majorBidi" w:eastAsiaTheme="minorEastAsia" w:hAnsiTheme="majorBidi" w:cstheme="majorBidi"/>
          <w:color w:val="000000" w:themeColor="text1"/>
          <w:kern w:val="0"/>
          <w:sz w:val="24"/>
          <w:szCs w:val="24"/>
          <w14:ligatures w14:val="none"/>
        </w:rPr>
        <w:t xml:space="preserve">Figure 3: Model Summary for Predicting Infection Control Practices (n = </w:t>
      </w:r>
      <w:proofErr w:type="gramStart"/>
      <w:r w:rsidRPr="00C86C86">
        <w:rPr>
          <w:rFonts w:asciiTheme="majorBidi" w:eastAsiaTheme="minorEastAsia" w:hAnsiTheme="majorBidi" w:cstheme="majorBidi"/>
          <w:color w:val="000000" w:themeColor="text1"/>
          <w:kern w:val="0"/>
          <w:sz w:val="24"/>
          <w:szCs w:val="24"/>
          <w14:ligatures w14:val="none"/>
        </w:rPr>
        <w:t>150</w:t>
      </w:r>
      <w:r w:rsidR="00BA56E6">
        <w:rPr>
          <w:rFonts w:asciiTheme="majorBidi" w:eastAsiaTheme="minorEastAsia" w:hAnsiTheme="majorBidi" w:cstheme="majorBidi"/>
          <w:color w:val="000000" w:themeColor="text1"/>
          <w:kern w:val="0"/>
          <w:sz w:val="24"/>
          <w:szCs w:val="24"/>
          <w14:ligatures w14:val="none"/>
        </w:rPr>
        <w:t>)…</w:t>
      </w:r>
      <w:proofErr w:type="gramEnd"/>
      <w:r w:rsidR="00BA56E6">
        <w:rPr>
          <w:rFonts w:asciiTheme="majorBidi" w:eastAsiaTheme="minorEastAsia" w:hAnsiTheme="majorBidi" w:cstheme="majorBidi"/>
          <w:color w:val="000000" w:themeColor="text1"/>
          <w:kern w:val="0"/>
          <w:sz w:val="24"/>
          <w:szCs w:val="24"/>
          <w14:ligatures w14:val="none"/>
        </w:rPr>
        <w:t>…...…91</w:t>
      </w:r>
    </w:p>
    <w:p w14:paraId="77E06ADC" w14:textId="77777777" w:rsidR="00112534" w:rsidRDefault="00112534" w:rsidP="00112534">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2E2FD039" w14:textId="77777777" w:rsidR="00112534" w:rsidRDefault="00112534" w:rsidP="00112534">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5BBA547C" w14:textId="77777777" w:rsidR="00112534" w:rsidRDefault="00112534" w:rsidP="00112534">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606349F7" w14:textId="77777777" w:rsidR="00112534" w:rsidRDefault="00112534" w:rsidP="00112534">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2822F5FA" w14:textId="77777777" w:rsidR="00112534" w:rsidRDefault="00112534" w:rsidP="00112534">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417A1550"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55BCA877"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5AB186A6"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45CC4529"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5D2325AC"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5F288285"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6C066524"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39001C61"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5A8E2594"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08AA019A" w14:textId="77777777" w:rsidR="00BA4DC5" w:rsidRDefault="00BA4DC5" w:rsidP="00BA4DC5">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6B917F62" w14:textId="19FA0873" w:rsidR="00ED57D8" w:rsidRPr="00ED57D8" w:rsidRDefault="000F73B3" w:rsidP="00275181">
      <w:pPr>
        <w:bidi w:val="0"/>
        <w:spacing w:after="0" w:line="360" w:lineRule="auto"/>
        <w:jc w:val="both"/>
        <w:outlineLvl w:val="0"/>
        <w:divId w:val="2109882054"/>
        <w:rPr>
          <w:rFonts w:asciiTheme="majorBidi" w:eastAsiaTheme="minorEastAsia" w:hAnsiTheme="majorBidi" w:cstheme="majorBidi"/>
          <w:b/>
          <w:bCs/>
          <w:color w:val="000000" w:themeColor="text1"/>
          <w:kern w:val="0"/>
          <w:sz w:val="28"/>
          <w:szCs w:val="28"/>
          <w14:ligatures w14:val="none"/>
        </w:rPr>
      </w:pPr>
      <w:bookmarkStart w:id="1" w:name="_Toc212139822"/>
      <w:r w:rsidRPr="005365E2">
        <w:rPr>
          <w:rFonts w:asciiTheme="majorBidi" w:eastAsiaTheme="minorEastAsia" w:hAnsiTheme="majorBidi" w:cstheme="majorBidi"/>
          <w:b/>
          <w:bCs/>
          <w:color w:val="000000" w:themeColor="text1"/>
          <w:kern w:val="0"/>
          <w:sz w:val="28"/>
          <w:szCs w:val="28"/>
          <w14:ligatures w14:val="none"/>
        </w:rPr>
        <w:t>Chapter One: Introduction</w:t>
      </w:r>
      <w:bookmarkEnd w:id="1"/>
    </w:p>
    <w:p w14:paraId="2AF7A241" w14:textId="47D0B3DC" w:rsidR="00C013F9" w:rsidRPr="00CB228C" w:rsidRDefault="00C013F9" w:rsidP="00275181">
      <w:pPr>
        <w:bidi w:val="0"/>
        <w:spacing w:after="0" w:line="360" w:lineRule="auto"/>
        <w:jc w:val="both"/>
        <w:outlineLvl w:val="1"/>
        <w:divId w:val="1367488162"/>
        <w:rPr>
          <w:rFonts w:asciiTheme="majorBidi" w:eastAsiaTheme="minorEastAsia" w:hAnsiTheme="majorBidi" w:cstheme="majorBidi"/>
          <w:b/>
          <w:bCs/>
          <w:color w:val="000000" w:themeColor="text1"/>
          <w:kern w:val="0"/>
          <w:sz w:val="28"/>
          <w:szCs w:val="28"/>
          <w14:ligatures w14:val="none"/>
        </w:rPr>
      </w:pPr>
      <w:bookmarkStart w:id="2" w:name="_Toc212139823"/>
      <w:r w:rsidRPr="00CB228C">
        <w:rPr>
          <w:rFonts w:asciiTheme="majorBidi" w:eastAsiaTheme="minorEastAsia" w:hAnsiTheme="majorBidi" w:cstheme="majorBidi"/>
          <w:b/>
          <w:bCs/>
          <w:color w:val="000000" w:themeColor="text1"/>
          <w:kern w:val="0"/>
          <w:sz w:val="28"/>
          <w:szCs w:val="28"/>
          <w14:ligatures w14:val="none"/>
        </w:rPr>
        <w:t>1.1 Background of the Study</w:t>
      </w:r>
      <w:bookmarkEnd w:id="2"/>
    </w:p>
    <w:p w14:paraId="7A2EE44A" w14:textId="77777777" w:rsidR="009805A0" w:rsidRPr="009805A0" w:rsidRDefault="009805A0" w:rsidP="009805A0">
      <w:pPr>
        <w:bidi w:val="0"/>
        <w:spacing w:after="0" w:line="360" w:lineRule="auto"/>
        <w:jc w:val="both"/>
        <w:divId w:val="1367488162"/>
        <w:rPr>
          <w:rFonts w:asciiTheme="majorBidi" w:eastAsiaTheme="minorEastAsia" w:hAnsiTheme="majorBidi" w:cstheme="majorBidi"/>
          <w:color w:val="000000" w:themeColor="text1"/>
          <w:kern w:val="0"/>
          <w:sz w:val="28"/>
          <w:szCs w:val="28"/>
          <w14:ligatures w14:val="none"/>
        </w:rPr>
      </w:pPr>
      <w:r w:rsidRPr="009805A0">
        <w:rPr>
          <w:rFonts w:asciiTheme="majorBidi" w:eastAsiaTheme="minorEastAsia" w:hAnsiTheme="majorBidi" w:cstheme="majorBidi"/>
          <w:color w:val="000000" w:themeColor="text1"/>
          <w:kern w:val="0"/>
          <w:sz w:val="28"/>
          <w:szCs w:val="28"/>
          <w14:ligatures w14:val="none"/>
        </w:rPr>
        <w:t>Hospital-acquired infections (HAIs) or nosocomial infections are one of the most serious challenges for healthcare systems worldwide. They are those infections that are not present nor incubating when a patient is admitted but appear 48 hours or more following admission (WHO, 2020). HAIs occur in different categories including indwelling catheter-associated urinary tract infections (UTIs), surgical site infections (SSIs), central venous catheter-associated bloodstream infections, and respiratory infections including ventilator-associated pneumonia (</w:t>
      </w:r>
      <w:proofErr w:type="spellStart"/>
      <w:r w:rsidRPr="009805A0">
        <w:rPr>
          <w:rFonts w:asciiTheme="majorBidi" w:eastAsiaTheme="minorEastAsia" w:hAnsiTheme="majorBidi" w:cstheme="majorBidi"/>
          <w:color w:val="000000" w:themeColor="text1"/>
          <w:kern w:val="0"/>
          <w:sz w:val="28"/>
          <w:szCs w:val="28"/>
          <w14:ligatures w14:val="none"/>
        </w:rPr>
        <w:t>Allegranzi</w:t>
      </w:r>
      <w:proofErr w:type="spellEnd"/>
      <w:r w:rsidRPr="009805A0">
        <w:rPr>
          <w:rFonts w:asciiTheme="majorBidi" w:eastAsiaTheme="minorEastAsia" w:hAnsiTheme="majorBidi" w:cstheme="majorBidi"/>
          <w:color w:val="000000" w:themeColor="text1"/>
          <w:kern w:val="0"/>
          <w:sz w:val="28"/>
          <w:szCs w:val="28"/>
          <w14:ligatures w14:val="none"/>
        </w:rPr>
        <w:t xml:space="preserve"> et al., 2011). The impact of HAIs greatly outweighs clinical morbidity; they increase the rate of mortality, prolong hospital stay, escalate the cost of care, and inflict reputational damage on facilities (Stone et al., 2007).</w:t>
      </w:r>
    </w:p>
    <w:p w14:paraId="73F8D38E" w14:textId="77777777" w:rsidR="009805A0" w:rsidRPr="009805A0" w:rsidRDefault="009805A0" w:rsidP="009805A0">
      <w:pPr>
        <w:bidi w:val="0"/>
        <w:spacing w:after="0" w:line="360" w:lineRule="auto"/>
        <w:jc w:val="both"/>
        <w:divId w:val="1367488162"/>
        <w:rPr>
          <w:rFonts w:asciiTheme="majorBidi" w:eastAsiaTheme="minorEastAsia" w:hAnsiTheme="majorBidi" w:cstheme="majorBidi"/>
          <w:color w:val="000000" w:themeColor="text1"/>
          <w:kern w:val="0"/>
          <w:sz w:val="28"/>
          <w:szCs w:val="28"/>
          <w14:ligatures w14:val="none"/>
        </w:rPr>
      </w:pPr>
      <w:r w:rsidRPr="009805A0">
        <w:rPr>
          <w:rFonts w:asciiTheme="majorBidi" w:eastAsiaTheme="minorEastAsia" w:hAnsiTheme="majorBidi" w:cstheme="majorBidi"/>
          <w:color w:val="000000" w:themeColor="text1"/>
          <w:kern w:val="0"/>
          <w:sz w:val="28"/>
          <w:szCs w:val="28"/>
          <w14:ligatures w14:val="none"/>
        </w:rPr>
        <w:t xml:space="preserve">Globally, the burden of HAIs is substantial. WHO (2020) reported that in developed countries, approximately 7 out of every 100 hospital patients acquire at least one HAI, whereas in low- and middle-income countries the figure is close to 15–20 per 100 </w:t>
      </w:r>
      <w:proofErr w:type="gramStart"/>
      <w:r w:rsidRPr="009805A0">
        <w:rPr>
          <w:rFonts w:asciiTheme="majorBidi" w:eastAsiaTheme="minorEastAsia" w:hAnsiTheme="majorBidi" w:cstheme="majorBidi"/>
          <w:color w:val="000000" w:themeColor="text1"/>
          <w:kern w:val="0"/>
          <w:sz w:val="28"/>
          <w:szCs w:val="28"/>
          <w14:ligatures w14:val="none"/>
        </w:rPr>
        <w:t>patients.</w:t>
      </w:r>
      <w:proofErr w:type="gramEnd"/>
      <w:r w:rsidRPr="009805A0">
        <w:rPr>
          <w:rFonts w:asciiTheme="majorBidi" w:eastAsiaTheme="minorEastAsia" w:hAnsiTheme="majorBidi" w:cstheme="majorBidi"/>
          <w:color w:val="000000" w:themeColor="text1"/>
          <w:kern w:val="0"/>
          <w:sz w:val="28"/>
          <w:szCs w:val="28"/>
          <w14:ligatures w14:val="none"/>
        </w:rPr>
        <w:t xml:space="preserve"> The reasons for this discrepancy are due to infrastructure differences, maturity of governance, variation in resource allocation, and the strength of infection prevention policies (El-Saed et al., 2013). In addition, the increasing incidence of multidrug-resistant pathogens has heightened the importance of treating HAIs by integrated means beyond mere clinical control measures (Al-</w:t>
      </w:r>
      <w:proofErr w:type="spellStart"/>
      <w:r w:rsidRPr="009805A0">
        <w:rPr>
          <w:rFonts w:asciiTheme="majorBidi" w:eastAsiaTheme="minorEastAsia" w:hAnsiTheme="majorBidi" w:cstheme="majorBidi"/>
          <w:color w:val="000000" w:themeColor="text1"/>
          <w:kern w:val="0"/>
          <w:sz w:val="28"/>
          <w:szCs w:val="28"/>
          <w14:ligatures w14:val="none"/>
        </w:rPr>
        <w:t>Tawfiq</w:t>
      </w:r>
      <w:proofErr w:type="spellEnd"/>
      <w:r w:rsidRPr="009805A0">
        <w:rPr>
          <w:rFonts w:asciiTheme="majorBidi" w:eastAsiaTheme="minorEastAsia" w:hAnsiTheme="majorBidi" w:cstheme="majorBidi"/>
          <w:color w:val="000000" w:themeColor="text1"/>
          <w:kern w:val="0"/>
          <w:sz w:val="28"/>
          <w:szCs w:val="28"/>
          <w14:ligatures w14:val="none"/>
        </w:rPr>
        <w:t xml:space="preserve"> &amp; </w:t>
      </w:r>
      <w:proofErr w:type="spellStart"/>
      <w:r w:rsidRPr="009805A0">
        <w:rPr>
          <w:rFonts w:asciiTheme="majorBidi" w:eastAsiaTheme="minorEastAsia" w:hAnsiTheme="majorBidi" w:cstheme="majorBidi"/>
          <w:color w:val="000000" w:themeColor="text1"/>
          <w:kern w:val="0"/>
          <w:sz w:val="28"/>
          <w:szCs w:val="28"/>
          <w14:ligatures w14:val="none"/>
        </w:rPr>
        <w:t>Tambyah</w:t>
      </w:r>
      <w:proofErr w:type="spellEnd"/>
      <w:r w:rsidRPr="009805A0">
        <w:rPr>
          <w:rFonts w:asciiTheme="majorBidi" w:eastAsiaTheme="minorEastAsia" w:hAnsiTheme="majorBidi" w:cstheme="majorBidi"/>
          <w:color w:val="000000" w:themeColor="text1"/>
          <w:kern w:val="0"/>
          <w:sz w:val="28"/>
          <w:szCs w:val="28"/>
          <w14:ligatures w14:val="none"/>
        </w:rPr>
        <w:t>, 2014).</w:t>
      </w:r>
    </w:p>
    <w:p w14:paraId="2BD8E559" w14:textId="77777777" w:rsidR="009805A0" w:rsidRPr="009805A0" w:rsidRDefault="009805A0" w:rsidP="009805A0">
      <w:pPr>
        <w:bidi w:val="0"/>
        <w:spacing w:after="0" w:line="360" w:lineRule="auto"/>
        <w:jc w:val="both"/>
        <w:divId w:val="1367488162"/>
        <w:rPr>
          <w:rFonts w:asciiTheme="majorBidi" w:eastAsiaTheme="minorEastAsia" w:hAnsiTheme="majorBidi" w:cstheme="majorBidi"/>
          <w:color w:val="000000" w:themeColor="text1"/>
          <w:kern w:val="0"/>
          <w:sz w:val="28"/>
          <w:szCs w:val="28"/>
          <w14:ligatures w14:val="none"/>
        </w:rPr>
      </w:pPr>
      <w:r w:rsidRPr="009805A0">
        <w:rPr>
          <w:rFonts w:asciiTheme="majorBidi" w:eastAsiaTheme="minorEastAsia" w:hAnsiTheme="majorBidi" w:cstheme="majorBidi"/>
          <w:color w:val="000000" w:themeColor="text1"/>
          <w:kern w:val="0"/>
          <w:sz w:val="28"/>
          <w:szCs w:val="28"/>
          <w14:ligatures w14:val="none"/>
        </w:rPr>
        <w:t xml:space="preserve">Historically, infection control procedures have improved dramatically. Semmelweis's early 19th-century experiences showed the dramatic decline in maternal death possible with hand hygiene (Pittet et al., 2000). Over time, antisepsis, sterilization technology, and antibiotic therapy became the pillars of infection control. Yet evidence shows that such medical instruments are insufficient to eradicate HAIs (Pronovost et al., 2006). The late 20th and early </w:t>
      </w:r>
      <w:r w:rsidRPr="009805A0">
        <w:rPr>
          <w:rFonts w:asciiTheme="majorBidi" w:eastAsiaTheme="minorEastAsia" w:hAnsiTheme="majorBidi" w:cstheme="majorBidi"/>
          <w:color w:val="000000" w:themeColor="text1"/>
          <w:kern w:val="0"/>
          <w:sz w:val="28"/>
          <w:szCs w:val="28"/>
          <w14:ligatures w14:val="none"/>
        </w:rPr>
        <w:lastRenderedPageBreak/>
        <w:t>21st centuries witnessed a transition towards risk management along with traditional infection control in reaction to the fact that system governance vulnerabilities often form the basis of endemic infection levels (</w:t>
      </w:r>
      <w:proofErr w:type="spellStart"/>
      <w:r w:rsidRPr="009805A0">
        <w:rPr>
          <w:rFonts w:asciiTheme="majorBidi" w:eastAsiaTheme="minorEastAsia" w:hAnsiTheme="majorBidi" w:cstheme="majorBidi"/>
          <w:color w:val="000000" w:themeColor="text1"/>
          <w:kern w:val="0"/>
          <w:sz w:val="28"/>
          <w:szCs w:val="28"/>
          <w14:ligatures w14:val="none"/>
        </w:rPr>
        <w:t>Carayon</w:t>
      </w:r>
      <w:proofErr w:type="spellEnd"/>
      <w:r w:rsidRPr="009805A0">
        <w:rPr>
          <w:rFonts w:asciiTheme="majorBidi" w:eastAsiaTheme="minorEastAsia" w:hAnsiTheme="majorBidi" w:cstheme="majorBidi"/>
          <w:color w:val="000000" w:themeColor="text1"/>
          <w:kern w:val="0"/>
          <w:sz w:val="28"/>
          <w:szCs w:val="28"/>
          <w14:ligatures w14:val="none"/>
        </w:rPr>
        <w:t xml:space="preserve"> et al., 2014).</w:t>
      </w:r>
    </w:p>
    <w:p w14:paraId="3AE35D6D" w14:textId="77777777" w:rsidR="009805A0" w:rsidRPr="009805A0" w:rsidRDefault="009805A0" w:rsidP="009805A0">
      <w:pPr>
        <w:bidi w:val="0"/>
        <w:spacing w:after="0" w:line="360" w:lineRule="auto"/>
        <w:jc w:val="both"/>
        <w:divId w:val="1367488162"/>
        <w:rPr>
          <w:rFonts w:asciiTheme="majorBidi" w:eastAsiaTheme="minorEastAsia" w:hAnsiTheme="majorBidi" w:cstheme="majorBidi"/>
          <w:color w:val="000000" w:themeColor="text1"/>
          <w:kern w:val="0"/>
          <w:sz w:val="28"/>
          <w:szCs w:val="28"/>
          <w14:ligatures w14:val="none"/>
        </w:rPr>
      </w:pPr>
      <w:r w:rsidRPr="009805A0">
        <w:rPr>
          <w:rFonts w:asciiTheme="majorBidi" w:eastAsiaTheme="minorEastAsia" w:hAnsiTheme="majorBidi" w:cstheme="majorBidi"/>
          <w:color w:val="000000" w:themeColor="text1"/>
          <w:kern w:val="0"/>
          <w:sz w:val="28"/>
          <w:szCs w:val="28"/>
          <w14:ligatures w14:val="none"/>
        </w:rPr>
        <w:t>Healthcare risk management is the systematic process of identifying, assessing, and managing risks that pose threats to patient safety and organizational performance (ECRI Institute, 2021). In HAIs, these include tasks such as continuous monitoring, formal training of staff, auditing on a regular basis, and utilization of electronic monitoring systems (Lee et al., 2022). It also includes proactive methods such as Failure Mode and Effects Analysis (FMEA) and Root Cause Analysis (RCA), which allow hospitals to anticipate weaknesses before they become widespread outbreaks (Al-Mutairi, 2021). Of note, HAIs are rarely the consequence of microbial exposure in itself; they are often the consequence of system failures—ineffective execution of hygiene measures, under-reporting of adverse events, lack of interdisciplinary coordination, or deficient staff awareness (Hassan et al., 2019).</w:t>
      </w:r>
    </w:p>
    <w:p w14:paraId="3F83ED1F" w14:textId="77777777" w:rsidR="009805A0" w:rsidRPr="009805A0" w:rsidRDefault="009805A0" w:rsidP="009805A0">
      <w:pPr>
        <w:bidi w:val="0"/>
        <w:spacing w:after="0" w:line="360" w:lineRule="auto"/>
        <w:jc w:val="both"/>
        <w:divId w:val="1367488162"/>
        <w:rPr>
          <w:rFonts w:asciiTheme="majorBidi" w:eastAsiaTheme="minorEastAsia" w:hAnsiTheme="majorBidi" w:cstheme="majorBidi"/>
          <w:color w:val="000000" w:themeColor="text1"/>
          <w:kern w:val="0"/>
          <w:sz w:val="28"/>
          <w:szCs w:val="28"/>
          <w14:ligatures w14:val="none"/>
        </w:rPr>
      </w:pPr>
      <w:r w:rsidRPr="009805A0">
        <w:rPr>
          <w:rFonts w:asciiTheme="majorBidi" w:eastAsiaTheme="minorEastAsia" w:hAnsiTheme="majorBidi" w:cstheme="majorBidi"/>
          <w:color w:val="000000" w:themeColor="text1"/>
          <w:kern w:val="0"/>
          <w:sz w:val="28"/>
          <w:szCs w:val="28"/>
          <w14:ligatures w14:val="none"/>
        </w:rPr>
        <w:t>Specialized hospitals providing tertiary level care have inflated risks. The patients that such hospitals cater to are normally immunocompromised—cancer patients receiving chemotherapy, transplant patients on immunosuppressive therapy, or critically ill patients on invasive ventilation and catheterization. The type of intervention provided in these hospitals raises one's susceptibility to infection, and therefore robust and flexible risk management systems become the order of the day (Lo et al., 2010). Statistics from South Korea, to name one, showed that hospitals that used AI-based digital monitoring reduced HAI incidence by 21% within a six-month period in ICUs and operating rooms (Lee et al., 2022).</w:t>
      </w:r>
    </w:p>
    <w:p w14:paraId="432CA5E3" w14:textId="77777777" w:rsidR="009805A0" w:rsidRPr="009805A0" w:rsidRDefault="009805A0" w:rsidP="009805A0">
      <w:pPr>
        <w:bidi w:val="0"/>
        <w:spacing w:after="0" w:line="360" w:lineRule="auto"/>
        <w:jc w:val="both"/>
        <w:divId w:val="1367488162"/>
        <w:rPr>
          <w:rFonts w:asciiTheme="majorBidi" w:eastAsiaTheme="minorEastAsia" w:hAnsiTheme="majorBidi" w:cstheme="majorBidi"/>
          <w:color w:val="000000" w:themeColor="text1"/>
          <w:kern w:val="0"/>
          <w:sz w:val="28"/>
          <w:szCs w:val="28"/>
          <w14:ligatures w14:val="none"/>
        </w:rPr>
      </w:pPr>
    </w:p>
    <w:p w14:paraId="22E4D753" w14:textId="77777777" w:rsidR="009805A0" w:rsidRPr="009805A0" w:rsidRDefault="009805A0" w:rsidP="009805A0">
      <w:pPr>
        <w:bidi w:val="0"/>
        <w:spacing w:after="0" w:line="360" w:lineRule="auto"/>
        <w:jc w:val="both"/>
        <w:divId w:val="1367488162"/>
        <w:rPr>
          <w:rFonts w:asciiTheme="majorBidi" w:eastAsiaTheme="minorEastAsia" w:hAnsiTheme="majorBidi" w:cstheme="majorBidi"/>
          <w:color w:val="000000" w:themeColor="text1"/>
          <w:kern w:val="0"/>
          <w:sz w:val="28"/>
          <w:szCs w:val="28"/>
          <w14:ligatures w14:val="none"/>
        </w:rPr>
      </w:pPr>
      <w:r w:rsidRPr="009805A0">
        <w:rPr>
          <w:rFonts w:asciiTheme="majorBidi" w:eastAsiaTheme="minorEastAsia" w:hAnsiTheme="majorBidi" w:cstheme="majorBidi"/>
          <w:color w:val="000000" w:themeColor="text1"/>
          <w:kern w:val="0"/>
          <w:sz w:val="28"/>
          <w:szCs w:val="28"/>
          <w14:ligatures w14:val="none"/>
        </w:rPr>
        <w:t xml:space="preserve">The Middle Eastern situation is confronted with unusual challenges. Evidence suggests that while infection control measures are being practiced in the </w:t>
      </w:r>
      <w:r w:rsidRPr="009805A0">
        <w:rPr>
          <w:rFonts w:asciiTheme="majorBidi" w:eastAsiaTheme="minorEastAsia" w:hAnsiTheme="majorBidi" w:cstheme="majorBidi"/>
          <w:color w:val="000000" w:themeColor="text1"/>
          <w:kern w:val="0"/>
          <w:sz w:val="28"/>
          <w:szCs w:val="28"/>
          <w14:ligatures w14:val="none"/>
        </w:rPr>
        <w:lastRenderedPageBreak/>
        <w:t>majority of hospitals, their enforcement is poor due to limited resources, insufficient staff training, and inadequate governance mechanisms (El-Saad et al., 2013; Al-</w:t>
      </w:r>
      <w:proofErr w:type="spellStart"/>
      <w:r w:rsidRPr="009805A0">
        <w:rPr>
          <w:rFonts w:asciiTheme="majorBidi" w:eastAsiaTheme="minorEastAsia" w:hAnsiTheme="majorBidi" w:cstheme="majorBidi"/>
          <w:color w:val="000000" w:themeColor="text1"/>
          <w:kern w:val="0"/>
          <w:sz w:val="28"/>
          <w:szCs w:val="28"/>
          <w14:ligatures w14:val="none"/>
        </w:rPr>
        <w:t>Tawfiq</w:t>
      </w:r>
      <w:proofErr w:type="spellEnd"/>
      <w:r w:rsidRPr="009805A0">
        <w:rPr>
          <w:rFonts w:asciiTheme="majorBidi" w:eastAsiaTheme="minorEastAsia" w:hAnsiTheme="majorBidi" w:cstheme="majorBidi"/>
          <w:color w:val="000000" w:themeColor="text1"/>
          <w:kern w:val="0"/>
          <w:sz w:val="28"/>
          <w:szCs w:val="28"/>
          <w14:ligatures w14:val="none"/>
        </w:rPr>
        <w:t xml:space="preserve"> &amp; </w:t>
      </w:r>
      <w:proofErr w:type="spellStart"/>
      <w:r w:rsidRPr="009805A0">
        <w:rPr>
          <w:rFonts w:asciiTheme="majorBidi" w:eastAsiaTheme="minorEastAsia" w:hAnsiTheme="majorBidi" w:cstheme="majorBidi"/>
          <w:color w:val="000000" w:themeColor="text1"/>
          <w:kern w:val="0"/>
          <w:sz w:val="28"/>
          <w:szCs w:val="28"/>
          <w14:ligatures w14:val="none"/>
        </w:rPr>
        <w:t>Tambyah</w:t>
      </w:r>
      <w:proofErr w:type="spellEnd"/>
      <w:r w:rsidRPr="009805A0">
        <w:rPr>
          <w:rFonts w:asciiTheme="majorBidi" w:eastAsiaTheme="minorEastAsia" w:hAnsiTheme="majorBidi" w:cstheme="majorBidi"/>
          <w:color w:val="000000" w:themeColor="text1"/>
          <w:kern w:val="0"/>
          <w:sz w:val="28"/>
          <w:szCs w:val="28"/>
          <w14:ligatures w14:val="none"/>
        </w:rPr>
        <w:t>, 2014). This practice-policy mismatch offers a rich soil for HAIs, which suggests the need for leadership engagement and governance maturity. In Egypt, for example, Hassan et al. (2019) found that hospitals that had effective risk management committees and documented risk registers reported significantly fewer surgical site infections compared to those without such frameworks.</w:t>
      </w:r>
    </w:p>
    <w:p w14:paraId="4025472C" w14:textId="77777777" w:rsidR="009805A0" w:rsidRPr="009805A0" w:rsidRDefault="009805A0" w:rsidP="009805A0">
      <w:pPr>
        <w:bidi w:val="0"/>
        <w:spacing w:after="0" w:line="360" w:lineRule="auto"/>
        <w:jc w:val="both"/>
        <w:divId w:val="1367488162"/>
        <w:rPr>
          <w:rFonts w:asciiTheme="majorBidi" w:eastAsiaTheme="minorEastAsia" w:hAnsiTheme="majorBidi" w:cstheme="majorBidi"/>
          <w:color w:val="000000" w:themeColor="text1"/>
          <w:kern w:val="0"/>
          <w:sz w:val="28"/>
          <w:szCs w:val="28"/>
          <w14:ligatures w14:val="none"/>
        </w:rPr>
      </w:pPr>
      <w:r w:rsidRPr="009805A0">
        <w:rPr>
          <w:rFonts w:asciiTheme="majorBidi" w:eastAsiaTheme="minorEastAsia" w:hAnsiTheme="majorBidi" w:cstheme="majorBidi"/>
          <w:color w:val="000000" w:themeColor="text1"/>
          <w:kern w:val="0"/>
          <w:sz w:val="28"/>
          <w:szCs w:val="28"/>
          <w14:ligatures w14:val="none"/>
        </w:rPr>
        <w:t>Early evidence in the Specialized Hospital, the focus of this study, indicates comparable trends. Despite the existence of infection control programs, internal reporting reflects that there are considerable fluctuations in infection rates between departments such as intensive care unit, surgical wards, and medical wards. These indicate variable compliance and the absence of a risk management system uniformly applied. This makes the hospital an appropriate case study for learning how overall risk management can prevent HAI occurrence, improve patient outcomes, and strengthen institutional resilience.</w:t>
      </w:r>
    </w:p>
    <w:p w14:paraId="31C8BED9" w14:textId="7D4E4A5E" w:rsidR="00B31148" w:rsidRDefault="009805A0" w:rsidP="00B31148">
      <w:pPr>
        <w:bidi w:val="0"/>
        <w:spacing w:after="0" w:line="360" w:lineRule="auto"/>
        <w:jc w:val="both"/>
        <w:divId w:val="1367488162"/>
        <w:rPr>
          <w:rFonts w:asciiTheme="majorBidi" w:eastAsiaTheme="minorEastAsia" w:hAnsiTheme="majorBidi" w:cstheme="majorBidi"/>
          <w:color w:val="000000" w:themeColor="text1"/>
          <w:kern w:val="0"/>
          <w:sz w:val="28"/>
          <w:szCs w:val="28"/>
          <w14:ligatures w14:val="none"/>
        </w:rPr>
      </w:pPr>
      <w:r w:rsidRPr="009805A0">
        <w:rPr>
          <w:rFonts w:asciiTheme="majorBidi" w:eastAsiaTheme="minorEastAsia" w:hAnsiTheme="majorBidi" w:cstheme="majorBidi"/>
          <w:color w:val="000000" w:themeColor="text1"/>
          <w:kern w:val="0"/>
          <w:sz w:val="28"/>
          <w:szCs w:val="28"/>
          <w14:ligatures w14:val="none"/>
        </w:rPr>
        <w:t>Lastly, the setting establishes that HAIs are complex events—neither exclusive to being clinical, but also organizational, cultural, and managerial in nature. Counteracting them requires moving beyond isolated interventions to institution-wide risk management encompassing governance, staff engagement, digital innovation, and continuous monitoring. Integrating principles of risk management into infection control can enable hospitals to move away from reactive outbreak response to proactive prevention, safeguarding both patients and institutional performance (Vincent &amp; Amalberti, 2016).</w:t>
      </w:r>
    </w:p>
    <w:p w14:paraId="3694B9F4" w14:textId="77777777" w:rsidR="00BF4C96" w:rsidRPr="00ED57D8" w:rsidRDefault="00BF4C96" w:rsidP="00BF4C96">
      <w:pPr>
        <w:bidi w:val="0"/>
        <w:spacing w:after="0" w:line="360" w:lineRule="auto"/>
        <w:jc w:val="both"/>
        <w:divId w:val="1367488162"/>
        <w:rPr>
          <w:rFonts w:asciiTheme="majorBidi" w:eastAsiaTheme="minorEastAsia" w:hAnsiTheme="majorBidi" w:cstheme="majorBidi"/>
          <w:color w:val="000000" w:themeColor="text1"/>
          <w:kern w:val="0"/>
          <w:sz w:val="28"/>
          <w:szCs w:val="28"/>
          <w:rtl/>
          <w14:ligatures w14:val="none"/>
        </w:rPr>
      </w:pPr>
    </w:p>
    <w:p w14:paraId="70875782" w14:textId="77777777" w:rsidR="00C121F6" w:rsidRPr="00CB228C" w:rsidRDefault="00C121F6" w:rsidP="00275181">
      <w:pPr>
        <w:bidi w:val="0"/>
        <w:spacing w:after="0" w:line="360" w:lineRule="auto"/>
        <w:jc w:val="both"/>
        <w:outlineLvl w:val="1"/>
        <w:divId w:val="66348574"/>
        <w:rPr>
          <w:rFonts w:asciiTheme="majorBidi" w:eastAsiaTheme="minorEastAsia" w:hAnsiTheme="majorBidi" w:cstheme="majorBidi"/>
          <w:b/>
          <w:bCs/>
          <w:color w:val="000000" w:themeColor="text1"/>
          <w:kern w:val="0"/>
          <w:sz w:val="28"/>
          <w:szCs w:val="28"/>
          <w14:ligatures w14:val="none"/>
        </w:rPr>
      </w:pPr>
      <w:bookmarkStart w:id="3" w:name="_Toc212139824"/>
      <w:r w:rsidRPr="00CB228C">
        <w:rPr>
          <w:rFonts w:asciiTheme="majorBidi" w:eastAsiaTheme="minorEastAsia" w:hAnsiTheme="majorBidi" w:cstheme="majorBidi"/>
          <w:b/>
          <w:bCs/>
          <w:color w:val="000000" w:themeColor="text1"/>
          <w:kern w:val="0"/>
          <w:sz w:val="28"/>
          <w:szCs w:val="28"/>
          <w14:ligatures w14:val="none"/>
        </w:rPr>
        <w:t>1.2 Statement of the Problem</w:t>
      </w:r>
      <w:bookmarkEnd w:id="3"/>
    </w:p>
    <w:p w14:paraId="1335075F" w14:textId="77777777" w:rsidR="00C121F6" w:rsidRPr="00ED57D8" w:rsidRDefault="00C121F6" w:rsidP="00ED57D8">
      <w:pPr>
        <w:bidi w:val="0"/>
        <w:spacing w:after="0" w:line="360" w:lineRule="auto"/>
        <w:jc w:val="both"/>
        <w:divId w:val="66348574"/>
        <w:rPr>
          <w:rFonts w:asciiTheme="majorBidi" w:eastAsiaTheme="minorEastAsia" w:hAnsiTheme="majorBidi" w:cstheme="majorBidi"/>
          <w:color w:val="000000" w:themeColor="text1"/>
          <w:kern w:val="0"/>
          <w:sz w:val="28"/>
          <w:szCs w:val="28"/>
          <w14:ligatures w14:val="none"/>
        </w:rPr>
      </w:pPr>
    </w:p>
    <w:p w14:paraId="5D48D755" w14:textId="77777777" w:rsidR="0047577A" w:rsidRPr="0047577A" w:rsidRDefault="0047577A" w:rsidP="0047577A">
      <w:pPr>
        <w:bidi w:val="0"/>
        <w:spacing w:after="0" w:line="360" w:lineRule="auto"/>
        <w:jc w:val="both"/>
        <w:divId w:val="66348574"/>
        <w:rPr>
          <w:rFonts w:asciiTheme="majorBidi" w:eastAsiaTheme="minorEastAsia" w:hAnsiTheme="majorBidi" w:cstheme="majorBidi"/>
          <w:color w:val="000000" w:themeColor="text1"/>
          <w:kern w:val="0"/>
          <w:sz w:val="28"/>
          <w:szCs w:val="28"/>
          <w14:ligatures w14:val="none"/>
        </w:rPr>
      </w:pPr>
      <w:r w:rsidRPr="0047577A">
        <w:rPr>
          <w:rFonts w:asciiTheme="majorBidi" w:eastAsiaTheme="minorEastAsia" w:hAnsiTheme="majorBidi" w:cstheme="majorBidi"/>
          <w:color w:val="000000" w:themeColor="text1"/>
          <w:kern w:val="0"/>
          <w:sz w:val="28"/>
          <w:szCs w:val="28"/>
          <w14:ligatures w14:val="none"/>
        </w:rPr>
        <w:t xml:space="preserve">Hospital-acquired infections (HAIs) remain among the most intractable and costly issues of modern healthcare, presenting a profound challenge to hospital </w:t>
      </w:r>
      <w:r w:rsidRPr="0047577A">
        <w:rPr>
          <w:rFonts w:asciiTheme="majorBidi" w:eastAsiaTheme="minorEastAsia" w:hAnsiTheme="majorBidi" w:cstheme="majorBidi"/>
          <w:color w:val="000000" w:themeColor="text1"/>
          <w:kern w:val="0"/>
          <w:sz w:val="28"/>
          <w:szCs w:val="28"/>
          <w14:ligatures w14:val="none"/>
        </w:rPr>
        <w:lastRenderedPageBreak/>
        <w:t>administrators, clinicians, and policymakers. Despite the continuous evolution of infection prevention strategies, the establishment of infection control committees, and the increasing awareness of infection risks among medical staff, infection rates in most hospitals continue to rise rather than fall. This paradox begs a critical and urgent question: why do HAIs persist so long in ostensibly well-funded and technologically advanced healthcare systems? The answer is not so much in clinical failure as in deeper system vulnerabilities that will only be resolved by integrated and well-coordinated risk management approaches.</w:t>
      </w:r>
    </w:p>
    <w:p w14:paraId="4E79CE0A" w14:textId="77777777" w:rsidR="0047577A" w:rsidRPr="0047577A" w:rsidRDefault="0047577A" w:rsidP="0047577A">
      <w:pPr>
        <w:bidi w:val="0"/>
        <w:spacing w:after="0" w:line="360" w:lineRule="auto"/>
        <w:jc w:val="both"/>
        <w:divId w:val="66348574"/>
        <w:rPr>
          <w:rFonts w:asciiTheme="majorBidi" w:eastAsiaTheme="minorEastAsia" w:hAnsiTheme="majorBidi" w:cstheme="majorBidi"/>
          <w:color w:val="000000" w:themeColor="text1"/>
          <w:kern w:val="0"/>
          <w:sz w:val="28"/>
          <w:szCs w:val="28"/>
          <w14:ligatures w14:val="none"/>
        </w:rPr>
      </w:pPr>
      <w:r w:rsidRPr="0047577A">
        <w:rPr>
          <w:rFonts w:asciiTheme="majorBidi" w:eastAsiaTheme="minorEastAsia" w:hAnsiTheme="majorBidi" w:cstheme="majorBidi"/>
          <w:color w:val="000000" w:themeColor="text1"/>
          <w:kern w:val="0"/>
          <w:sz w:val="28"/>
          <w:szCs w:val="28"/>
          <w14:ligatures w14:val="none"/>
        </w:rPr>
        <w:t>The problem is not just that patients are infected while in hospital, but that such infections do so frequently expose weaknesses in the hospital as an institution. A patient who becomes infected after a surgical procedure may have been put in jeopardy not only by microbial contamination but also by organizational failure: absence of monitoring of compliance, insufficient staff-to-patient ratio that causes shortcuts in hygiene practice, ineffective surveillance mechanisms that are not able to detect trends in infections in real time, or absence of transparent systems of accountability. Every occurrence of an HAI, then, is not an isolated clinical occurrence but a detectable symptom of hidden systemic danger within the hospital system.</w:t>
      </w:r>
    </w:p>
    <w:p w14:paraId="31E240A2" w14:textId="77777777" w:rsidR="0047577A" w:rsidRPr="0047577A" w:rsidRDefault="0047577A" w:rsidP="0047577A">
      <w:pPr>
        <w:bidi w:val="0"/>
        <w:spacing w:after="0" w:line="360" w:lineRule="auto"/>
        <w:jc w:val="both"/>
        <w:divId w:val="66348574"/>
        <w:rPr>
          <w:rFonts w:asciiTheme="majorBidi" w:eastAsiaTheme="minorEastAsia" w:hAnsiTheme="majorBidi" w:cstheme="majorBidi"/>
          <w:color w:val="000000" w:themeColor="text1"/>
          <w:kern w:val="0"/>
          <w:sz w:val="28"/>
          <w:szCs w:val="28"/>
          <w14:ligatures w14:val="none"/>
        </w:rPr>
      </w:pPr>
      <w:r w:rsidRPr="0047577A">
        <w:rPr>
          <w:rFonts w:asciiTheme="majorBidi" w:eastAsiaTheme="minorEastAsia" w:hAnsiTheme="majorBidi" w:cstheme="majorBidi"/>
          <w:color w:val="000000" w:themeColor="text1"/>
          <w:kern w:val="0"/>
          <w:sz w:val="28"/>
          <w:szCs w:val="28"/>
          <w14:ligatures w14:val="none"/>
        </w:rPr>
        <w:t>The significance of the problem deteriorates in specialty hospitals with patient populations that are often highly vulnerable due to weakened immune systems or complex medical interventions. These units house oncology patients, transplant patients, and critical care patients for whom invasive procedures are the norm and where a single mistake in infection control can result in catastrophic consequences. Here the risk is higher, the hazards more complex, and the impact of HAIs higher in human morbidity and institutional cost. The ubiquity of HAIs in these environments is therefore as much a healthcare problem as it is an instant challenge to the integrity and long-term sustainability of the healthcare facility itself.</w:t>
      </w:r>
    </w:p>
    <w:p w14:paraId="4FD64903" w14:textId="77777777" w:rsidR="0047577A" w:rsidRPr="0047577A" w:rsidRDefault="0047577A" w:rsidP="0047577A">
      <w:pPr>
        <w:bidi w:val="0"/>
        <w:spacing w:after="0" w:line="360" w:lineRule="auto"/>
        <w:jc w:val="both"/>
        <w:divId w:val="66348574"/>
        <w:rPr>
          <w:rFonts w:asciiTheme="majorBidi" w:eastAsiaTheme="minorEastAsia" w:hAnsiTheme="majorBidi" w:cstheme="majorBidi"/>
          <w:color w:val="000000" w:themeColor="text1"/>
          <w:kern w:val="0"/>
          <w:sz w:val="28"/>
          <w:szCs w:val="28"/>
          <w14:ligatures w14:val="none"/>
        </w:rPr>
      </w:pPr>
      <w:r w:rsidRPr="0047577A">
        <w:rPr>
          <w:rFonts w:asciiTheme="majorBidi" w:eastAsiaTheme="minorEastAsia" w:hAnsiTheme="majorBidi" w:cstheme="majorBidi"/>
          <w:color w:val="000000" w:themeColor="text1"/>
          <w:kern w:val="0"/>
          <w:sz w:val="28"/>
          <w:szCs w:val="28"/>
          <w14:ligatures w14:val="none"/>
        </w:rPr>
        <w:lastRenderedPageBreak/>
        <w:t>The second part of the problem is the variability of infection control between hospital departments. Within the same facility, infection rates can vary greatly between the intensive care unit, surgical wards, and general medical wards. This inequality highlights the fact that infection control is not being uniformly practiced and specifies that guidelines that do exist are often being used in a fractured rather than an integrated manner. Such fragmentation nullifies the effectiveness of control programs and reaffirms the necessity for a risk management system that allows for consistency, coordination, and accountability within departments.</w:t>
      </w:r>
    </w:p>
    <w:p w14:paraId="6ABBE0D6" w14:textId="77777777" w:rsidR="0047577A" w:rsidRPr="0047577A" w:rsidRDefault="0047577A" w:rsidP="0047577A">
      <w:pPr>
        <w:bidi w:val="0"/>
        <w:spacing w:after="0" w:line="360" w:lineRule="auto"/>
        <w:jc w:val="both"/>
        <w:divId w:val="66348574"/>
        <w:rPr>
          <w:rFonts w:asciiTheme="majorBidi" w:eastAsiaTheme="minorEastAsia" w:hAnsiTheme="majorBidi" w:cstheme="majorBidi"/>
          <w:color w:val="000000" w:themeColor="text1"/>
          <w:kern w:val="0"/>
          <w:sz w:val="28"/>
          <w:szCs w:val="28"/>
          <w14:ligatures w14:val="none"/>
        </w:rPr>
      </w:pPr>
      <w:r w:rsidRPr="0047577A">
        <w:rPr>
          <w:rFonts w:asciiTheme="majorBidi" w:eastAsiaTheme="minorEastAsia" w:hAnsiTheme="majorBidi" w:cstheme="majorBidi"/>
          <w:color w:val="000000" w:themeColor="text1"/>
          <w:kern w:val="0"/>
          <w:sz w:val="28"/>
          <w:szCs w:val="28"/>
          <w14:ligatures w14:val="none"/>
        </w:rPr>
        <w:t>Moreover, the economic burden of HAIs adds to the seriousness of the matter. Each hospital-acquired infection not only prolongs the length of stay but also increases the consumption of medical resources, necessitates extra diagnostic and therapeutic interventions, and typically requires the use of expensive antimicrobial agents. Translated to patients and families, it amounts to increased out-of-pocket expenses, lost productivity, and suffering. Translated to hospitals, it amounts to increasing operating costs, diminished efficiency, possible legal action, and institution reputation loss. At a broader level, HAIs exhaust national health systems, drain limited resources, and undermine trust in healthcare institutions.</w:t>
      </w:r>
    </w:p>
    <w:p w14:paraId="44AD6F66" w14:textId="77777777" w:rsidR="0047577A" w:rsidRPr="0047577A" w:rsidRDefault="0047577A" w:rsidP="0047577A">
      <w:pPr>
        <w:bidi w:val="0"/>
        <w:spacing w:after="0" w:line="360" w:lineRule="auto"/>
        <w:jc w:val="both"/>
        <w:divId w:val="66348574"/>
        <w:rPr>
          <w:rFonts w:asciiTheme="majorBidi" w:eastAsiaTheme="minorEastAsia" w:hAnsiTheme="majorBidi" w:cstheme="majorBidi"/>
          <w:color w:val="000000" w:themeColor="text1"/>
          <w:kern w:val="0"/>
          <w:sz w:val="28"/>
          <w:szCs w:val="28"/>
          <w14:ligatures w14:val="none"/>
        </w:rPr>
      </w:pPr>
      <w:r w:rsidRPr="0047577A">
        <w:rPr>
          <w:rFonts w:asciiTheme="majorBidi" w:eastAsiaTheme="minorEastAsia" w:hAnsiTheme="majorBidi" w:cstheme="majorBidi"/>
          <w:color w:val="000000" w:themeColor="text1"/>
          <w:kern w:val="0"/>
          <w:sz w:val="28"/>
          <w:szCs w:val="28"/>
          <w14:ligatures w14:val="none"/>
        </w:rPr>
        <w:t>Among the most compelling reasons for the sustained nature of HAIs is policy-practice disconnection. Many hospitals have infection control committees on paper, have protocols written down, and have guidelines adopted but fail to see their full implementation in routine clinical practice. Workers may undertake courses of training, but without constant monitoring, reinforcement, and supervision, compliance decreases over a period. The problem is not unacquaintance but the absence of systematic monitoring and vigorous risk management that can ensure compliance, identify divergence, and embed infection control into company culture.</w:t>
      </w:r>
    </w:p>
    <w:p w14:paraId="4C9766FC" w14:textId="77777777" w:rsidR="0047577A" w:rsidRPr="0047577A" w:rsidRDefault="0047577A" w:rsidP="0047577A">
      <w:pPr>
        <w:bidi w:val="0"/>
        <w:spacing w:after="0" w:line="360" w:lineRule="auto"/>
        <w:jc w:val="both"/>
        <w:divId w:val="66348574"/>
        <w:rPr>
          <w:rFonts w:asciiTheme="majorBidi" w:eastAsiaTheme="minorEastAsia" w:hAnsiTheme="majorBidi" w:cstheme="majorBidi"/>
          <w:color w:val="000000" w:themeColor="text1"/>
          <w:kern w:val="0"/>
          <w:sz w:val="28"/>
          <w:szCs w:val="28"/>
          <w14:ligatures w14:val="none"/>
        </w:rPr>
      </w:pPr>
      <w:r w:rsidRPr="0047577A">
        <w:rPr>
          <w:rFonts w:asciiTheme="majorBidi" w:eastAsiaTheme="minorEastAsia" w:hAnsiTheme="majorBidi" w:cstheme="majorBidi"/>
          <w:color w:val="000000" w:themeColor="text1"/>
          <w:kern w:val="0"/>
          <w:sz w:val="28"/>
          <w:szCs w:val="28"/>
          <w14:ligatures w14:val="none"/>
        </w:rPr>
        <w:lastRenderedPageBreak/>
        <w:t>At the same time, the complexity of today's healthcare environments makes older, purely clinical infection control measures insufficient. Hospitals are complicated systems whose diverse stakeholders—physicians, nurses, administrators, technicians, and patients—interact with each other in such a way as to reduce or increase risks. Without a formal process for identifying, assessing, and mitigating infection risks at all these levels, hospitals are exposed to ongoing epidemic outbreaks. The persistence of HAIs is thus largely a question of poor risk governance-clinical practice integration.</w:t>
      </w:r>
    </w:p>
    <w:p w14:paraId="3029475E" w14:textId="77777777" w:rsidR="004F4DE0" w:rsidRDefault="0047577A" w:rsidP="006507B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7577A">
        <w:rPr>
          <w:rFonts w:asciiTheme="majorBidi" w:eastAsiaTheme="minorEastAsia" w:hAnsiTheme="majorBidi" w:cstheme="majorBidi"/>
          <w:color w:val="000000" w:themeColor="text1"/>
          <w:kern w:val="0"/>
          <w:sz w:val="28"/>
          <w:szCs w:val="28"/>
          <w14:ligatures w14:val="none"/>
        </w:rPr>
        <w:t>The key research question can thus be put as follows: hospital-acquired infections continue to occur at unacceptably high rates despite available infection prevention measures, indicating that conventional approaches are not sufficient. The gap is in the low application of holistic risk management methods that are able to provide the systematic, forward-looking, and enterprise-wide governance to mitigate these infections. This study aims to explore this gap by examining how structured risk management may be a primary mechanism for HAIs reduction, with particular focus on a specialized hospital in which infection risk is exceptionally high and whose failure of risks has the worst repercussions.</w:t>
      </w:r>
    </w:p>
    <w:p w14:paraId="0FFA30A8" w14:textId="77777777" w:rsidR="009E1E14" w:rsidRPr="00ED57D8" w:rsidRDefault="009E1E14" w:rsidP="00ED57D8">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p>
    <w:p w14:paraId="0C294D70" w14:textId="77777777" w:rsidR="009E1E14" w:rsidRPr="00CB228C" w:rsidRDefault="009E1E14"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4" w:name="_Toc212139825"/>
      <w:r w:rsidRPr="00CB228C">
        <w:rPr>
          <w:rFonts w:asciiTheme="majorBidi" w:eastAsiaTheme="minorEastAsia" w:hAnsiTheme="majorBidi" w:cstheme="majorBidi"/>
          <w:b/>
          <w:bCs/>
          <w:color w:val="000000" w:themeColor="text1"/>
          <w:kern w:val="0"/>
          <w:sz w:val="28"/>
          <w:szCs w:val="28"/>
          <w14:ligatures w14:val="none"/>
        </w:rPr>
        <w:t>1.3 Significance of the Study</w:t>
      </w:r>
      <w:bookmarkEnd w:id="4"/>
    </w:p>
    <w:p w14:paraId="278C8234" w14:textId="77777777" w:rsidR="009E1E14" w:rsidRPr="00ED57D8" w:rsidRDefault="009E1E14" w:rsidP="00ED57D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727723D" w14:textId="77777777" w:rsidR="005567EA" w:rsidRPr="005567EA" w:rsidRDefault="005567EA" w:rsidP="005567E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t>The importance of this research is that it serves to close an essential gap between infection control clinical practice and broader organizational risk management planning in specialist hospitals. HAIs are not only clinical problems but are also extremely grounded in governance, culture, and systemic behavior. It is critical to understand this relationship, because until risk management principles become part of the daily practice of health care centers, the cycle of chronic infection will continue and afflict the patient, family, staff, and health care system.</w:t>
      </w:r>
    </w:p>
    <w:p w14:paraId="2F565C50" w14:textId="77777777" w:rsidR="005567EA" w:rsidRPr="005567EA" w:rsidRDefault="005567EA" w:rsidP="005567E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lastRenderedPageBreak/>
        <w:t>At a conceptual level, the study contributes to theoretical understanding of how risk management is not merely an administrative process but rather a strategic mechanism which can transform infection control from scattered practice to organizational culture. HAIs research has generally focused on clinical determinants such as antimicrobial usage, hand hygiene compliance, or sterilization procedures. While these remain important, they represent only half the equation. The research shines a light on how clinical interventions are maximally effective under an umbrella governance framework that anticipates risk, assigns accountability, and enables institution-wide durability of practice. The study therefore adds to the growing body of literature calling for a shift from reactive infection control to proactive risk governance.</w:t>
      </w:r>
    </w:p>
    <w:p w14:paraId="1F202DD9" w14:textId="77777777" w:rsidR="005567EA" w:rsidRPr="005567EA" w:rsidRDefault="005567EA" w:rsidP="005567E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t>Practically, the research is of direct use to policymakers, healthcare administrators, and hospital managers. The incidence of HAIs is still imposing astronomical economic and reputational costs on healthcare institutions. All infections translate to longer hospital stays, increased use of resources, increased need for expensive antimicrobial therapy, and usually legal and ethical problems. By analyzing how structured risk management reduces infection rates, the research opens the door to enabling hospitals to not only provide patient safety but also to save scarce resources, improve institutional effectiveness, and increase public trust. For specialist hospital managers, where the stakes are so high due to complexity of care and vulnerability of patients, the study provides a roadmap to establishing a sustainable system of infection prevention that is balanced between clinical excellence and organizational resilience.</w:t>
      </w:r>
    </w:p>
    <w:p w14:paraId="308BADEF" w14:textId="77777777" w:rsidR="005567EA" w:rsidRPr="005567EA" w:rsidRDefault="005567EA" w:rsidP="005567E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t xml:space="preserve">For clinicians, the study's worth lies in the potential to enhance the safety and quality of their daily practice. Physicians, nurses, and allied health workers are often in the vanguard of infection control but, in the absence of institutional support, their efforts may be undermined. By integrating concepts of risk management into hospital systems, staff members have the opportunity to work </w:t>
      </w:r>
      <w:r w:rsidRPr="005567EA">
        <w:rPr>
          <w:rFonts w:asciiTheme="majorBidi" w:eastAsiaTheme="minorEastAsia" w:hAnsiTheme="majorBidi" w:cstheme="majorBidi"/>
          <w:color w:val="000000" w:themeColor="text1"/>
          <w:kern w:val="0"/>
          <w:sz w:val="28"/>
          <w:szCs w:val="28"/>
          <w14:ligatures w14:val="none"/>
        </w:rPr>
        <w:lastRenderedPageBreak/>
        <w:t>in an environment in which compliance is supported by training, monitored by vigilant surveillance, and underpinned by clearly established mechanisms of accountability. Not only does this reduce the infection risk but also reduces emotional and moral distress on medical professionals who are otherwise destined to feel guilty about adverse patient outcomes that are actually consequences of systematic and not professional failings.</w:t>
      </w:r>
    </w:p>
    <w:p w14:paraId="799C63F7" w14:textId="77777777" w:rsidR="005567EA" w:rsidRPr="005567EA" w:rsidRDefault="005567EA" w:rsidP="005567E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t>From the patients' perspective, the importance of this study cannot be emphasized enough. Hospital infections prolong recovery, heighten suffering, and in most cases, lead to direct mortality. Patients go to hospitals with expectations of being cured, not to acquire new illnesses that will kill them. By addressing how risk management can minimize these infections, this research answers to a fundamental moral imperative of health facilities: to do no harm. Improved infection control through risk governance translates to shorter hospital stays, faster recovery, less expense, and most significantly, improved trust between patients and healers.</w:t>
      </w:r>
    </w:p>
    <w:p w14:paraId="7FB3F922" w14:textId="77777777" w:rsidR="005567EA" w:rsidRPr="005567EA" w:rsidRDefault="005567EA" w:rsidP="005567E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t>Policy-wise, the significance of this research is that it makes evidence-based policy recommendations for the enhancement of national health care policy. Infection control policies exist in most of the health care systems in low resource settings but are undermined by ineffective implementation. Demonstrating the way risk management can enact policies and enforce them effectively, this study offers a model that can be emulated by policy-makers in enhancing the governance of health care. This is particularly relevant to countries that are attempting to achieve universal health goals, improve quality indicators, and meet global accreditation standards.</w:t>
      </w:r>
    </w:p>
    <w:p w14:paraId="366977AD" w14:textId="77777777" w:rsidR="005567EA" w:rsidRPr="005567EA" w:rsidRDefault="005567EA" w:rsidP="005567E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t xml:space="preserve">To the wider academic and research community, this study is relevant insofar as it combines two areas that have traditionally been tackled separately: risk management and infection prevention. In combining them, the study breaks down common silos and promotes interdisciplinarity. It also provides future researchers with the foundation upon which to explore similar subjects such as </w:t>
      </w:r>
      <w:r w:rsidRPr="005567EA">
        <w:rPr>
          <w:rFonts w:asciiTheme="majorBidi" w:eastAsiaTheme="minorEastAsia" w:hAnsiTheme="majorBidi" w:cstheme="majorBidi"/>
          <w:color w:val="000000" w:themeColor="text1"/>
          <w:kern w:val="0"/>
          <w:sz w:val="28"/>
          <w:szCs w:val="28"/>
          <w14:ligatures w14:val="none"/>
        </w:rPr>
        <w:lastRenderedPageBreak/>
        <w:t>the role of technological innovation in risk management, leadership style impacts on infection control culture, and cost analysis of comprehensive risk management programs. The study, consequently, not only closes a basic gap but also opens up possibilities for prospective scholarly research.</w:t>
      </w:r>
    </w:p>
    <w:p w14:paraId="0720F81A" w14:textId="77777777" w:rsidR="005567EA" w:rsidRPr="005567EA" w:rsidRDefault="005567EA" w:rsidP="005567E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t>Last but not least, the significance of this study is also strategic, inasmuch as it situates infection control in the broader framework of hospital resilience and viability. In a world in which hospitals must deal not only with infection but also with pandemics, budget squeezes, and rising patient demand, the ability to deal with risks in an integrated fashion appears as an institutional survival strategy. By positioning risk management at the forefront of infection prevention as a cornerstone of HAI warfare, the research repositions the war against HAIs not as an individual quest of clinical warfare but as one dimension of a comprehensive strategic effort to establish hospitals that are safer, healthier, and better equipped to thrive in an ever-evolving healthcare environment.</w:t>
      </w:r>
    </w:p>
    <w:p w14:paraId="16DA9F2A" w14:textId="77777777" w:rsidR="005567EA" w:rsidRPr="005567EA" w:rsidRDefault="005567EA" w:rsidP="005567E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t>In totality, this research's worth resonates through numerous levels: theoretical, practical, professional, patient, policy, academic, and strategic. It emphasizes that the resolution of the endemic problem of HAIs requires more than clinical consciousness—a sort of organizational revolution based on risk management theory. Meeting this need, the research also aims not only to observe infection rates decline in one specialty hospital but to inform wider frameworks that can be applied generally to global healthcare systems.1.4 Study Objectives</w:t>
      </w:r>
    </w:p>
    <w:p w14:paraId="2F092721" w14:textId="5C18DE0E" w:rsidR="00F70458" w:rsidRDefault="005567EA" w:rsidP="00ED57D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567EA">
        <w:rPr>
          <w:rFonts w:asciiTheme="majorBidi" w:eastAsiaTheme="minorEastAsia" w:hAnsiTheme="majorBidi" w:cstheme="majorBidi"/>
          <w:color w:val="000000" w:themeColor="text1"/>
          <w:kern w:val="0"/>
          <w:sz w:val="28"/>
          <w:szCs w:val="28"/>
          <w14:ligatures w14:val="none"/>
        </w:rPr>
        <w:t xml:space="preserve">The objectives of this research stem from the necessity to tackle the age-old and complex problem of hospital-acquired infection within the framework of specialist healthcare delivery. These objectives are not limited to the provision of descriptive statistics or the identification of isolated clinical variables but, rather, attempt to create a comprehensive, multidimensional image of how structured risk management processes can be used to reduce risks of infection, enhance patient safety, and support institutional resilience. In stating these objectives, the research acknowledges that the issue of HAIs is not merely </w:t>
      </w:r>
      <w:r w:rsidRPr="005567EA">
        <w:rPr>
          <w:rFonts w:asciiTheme="majorBidi" w:eastAsiaTheme="minorEastAsia" w:hAnsiTheme="majorBidi" w:cstheme="majorBidi"/>
          <w:color w:val="000000" w:themeColor="text1"/>
          <w:kern w:val="0"/>
          <w:sz w:val="28"/>
          <w:szCs w:val="28"/>
          <w14:ligatures w14:val="none"/>
        </w:rPr>
        <w:lastRenderedPageBreak/>
        <w:t>biomedical but organizational, cultural, managerial, and systemic. With that, the objectives embody a deliberate attempt to bridge clinical facts and governance remedies in the hope of creating knowledge that is as academically rigorous as it is policy applicable.</w:t>
      </w:r>
    </w:p>
    <w:p w14:paraId="4D129DCF" w14:textId="77777777" w:rsidR="00615B28" w:rsidRPr="00ED57D8" w:rsidRDefault="00615B28" w:rsidP="00615B2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D2EE4FF" w14:textId="0B66010F" w:rsidR="00F70458" w:rsidRPr="005A5527" w:rsidRDefault="00275181"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5" w:name="_Toc212139826"/>
      <w:r>
        <w:rPr>
          <w:rFonts w:asciiTheme="majorBidi" w:eastAsiaTheme="minorEastAsia" w:hAnsiTheme="majorBidi" w:cstheme="majorBidi"/>
          <w:b/>
          <w:bCs/>
          <w:color w:val="000000" w:themeColor="text1"/>
          <w:kern w:val="0"/>
          <w:sz w:val="28"/>
          <w:szCs w:val="28"/>
          <w14:ligatures w14:val="none"/>
        </w:rPr>
        <w:t xml:space="preserve">1.4 </w:t>
      </w:r>
      <w:r w:rsidR="00F70458" w:rsidRPr="005A5527">
        <w:rPr>
          <w:rFonts w:asciiTheme="majorBidi" w:eastAsiaTheme="minorEastAsia" w:hAnsiTheme="majorBidi" w:cstheme="majorBidi"/>
          <w:b/>
          <w:bCs/>
          <w:color w:val="000000" w:themeColor="text1"/>
          <w:kern w:val="0"/>
          <w:sz w:val="28"/>
          <w:szCs w:val="28"/>
          <w14:ligatures w14:val="none"/>
        </w:rPr>
        <w:t>General Objective</w:t>
      </w:r>
      <w:bookmarkEnd w:id="5"/>
    </w:p>
    <w:p w14:paraId="5B13D377" w14:textId="77777777" w:rsidR="00F70458" w:rsidRPr="00ED57D8" w:rsidRDefault="00F70458" w:rsidP="00ED57D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EACF614"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t xml:space="preserve">The general aim of the research is to examine the role that risk management plays in reducing the rates of hospital-acquired infections within a specialty hospital setting. This theme indicates an acceptance that risk management is not some secondary administrative function but a core strategic practice that, when properly implemented, can significantly reduce HAIs and the resultant consequences. By situating the question within a specialist hospital, the research seeks to elicit the particular vulnerabilities of high-risk patient groups and the need for robust governance arrangements in these environments. </w:t>
      </w:r>
    </w:p>
    <w:p w14:paraId="2C694F88"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F1CEE52" w14:textId="77777777" w:rsidR="00E76ADB" w:rsidRPr="005A5527" w:rsidRDefault="00E76ADB" w:rsidP="00275181">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6" w:name="_Toc212139827"/>
      <w:r w:rsidRPr="005A5527">
        <w:rPr>
          <w:rFonts w:asciiTheme="majorBidi" w:eastAsiaTheme="minorEastAsia" w:hAnsiTheme="majorBidi" w:cstheme="majorBidi"/>
          <w:b/>
          <w:bCs/>
          <w:color w:val="000000" w:themeColor="text1"/>
          <w:kern w:val="0"/>
          <w:sz w:val="28"/>
          <w:szCs w:val="28"/>
          <w14:ligatures w14:val="none"/>
        </w:rPr>
        <w:t>Specific Objectives</w:t>
      </w:r>
      <w:bookmarkEnd w:id="6"/>
    </w:p>
    <w:p w14:paraId="73EF986D"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9B7893B"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t>In order to operationalize this general aim, the study takes a succession of specific aims that are interlinked and mutually reinforcing. Each aim entails a distinct feature of the problem while collectively creating a composite picture of the phenomenon under investigation:</w:t>
      </w:r>
    </w:p>
    <w:p w14:paraId="21186B09" w14:textId="48EA0002"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To identify the incidence and trend of hospital-acquired infections by departments in the specialist hospital.</w:t>
      </w:r>
    </w:p>
    <w:p w14:paraId="40CF0080"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t>This objective is significant as infection risks are not uniform; intensive care units, surgical wards, and general medical wards all vary in HAIs rates. Through the tracing of patterns, the study hopes to formulate a point of departure of how widespread and vast the issue is, thus providing grounds for evidence-based risk management interventions.</w:t>
      </w:r>
    </w:p>
    <w:p w14:paraId="60530C3C" w14:textId="5C1ACFAB"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lastRenderedPageBreak/>
        <w:t>To explore current infection control practices already in place in the hospital and ascertain their effectiveness.</w:t>
      </w:r>
    </w:p>
    <w:p w14:paraId="6D093C8D"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t>The purpose in so doing is not merely to document what measures there are, but to critically review whether these measures are consistently applied, duly monitored, and in harmony with best practice. By determining gaps in current practices, it is then possible to identify where systemic weaknesses lie and where risk management can intervene.</w:t>
      </w:r>
    </w:p>
    <w:p w14:paraId="1664D680" w14:textId="3171E8FE"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In order to explore the extent to which concepts of risk management are integrated into infection prevention policy and daily practice.</w:t>
      </w:r>
    </w:p>
    <w:p w14:paraId="3585A7EB"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t>Infection control is often distinct from other more overarching governance systems. This objective seeks to investigate if risk assessment, reporting of events, close supervision, and mechanisms for accountability are incorporated into infection control or not and in what pieces.</w:t>
      </w:r>
    </w:p>
    <w:p w14:paraId="6387BDC8" w14:textId="1D433B99"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To determine organizational culture, staff training, and leadership engagement on infection control adherence.</w:t>
      </w:r>
    </w:p>
    <w:p w14:paraId="69889292"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t>Infection prevention is never to be disconnected with the human element. Attitude, perceptions, and practices of healthcare professionals determine outcomes decisively. The aim focuses on the role of soft factors in either speeding up or slowing down infection prevention by questioning the organizational culture and leadership involvement.</w:t>
      </w:r>
    </w:p>
    <w:p w14:paraId="376BE0FA" w14:textId="0C53A29C"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To assess the economic and business effects of hospital-acquired infections on the specialized hospital.</w:t>
      </w:r>
    </w:p>
    <w:p w14:paraId="40A2ACEA"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t>Apart from patient morbidity and mortality, HAIs put intense pressure on the resources of the hospital, resulting in additional expenses, reduced availability of bed capacity, and overall reduced efficiency. Having the economic impact provides compelling grounds for investing in systematic risk management initiatives.</w:t>
      </w:r>
    </w:p>
    <w:p w14:paraId="3BD05B89" w14:textId="256FC61C"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To define a general framework for integrating risk management into infection control measures.</w:t>
      </w:r>
    </w:p>
    <w:p w14:paraId="15C20CC4" w14:textId="16E3D8A8" w:rsidR="00E76ADB" w:rsidRPr="00E76ADB" w:rsidRDefault="00E76ADB" w:rsidP="005A552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lastRenderedPageBreak/>
        <w:t>The last practical output of the study is to establish a model that implements the principles of risk management in a scalable, sustainable, and responsive way. This model is expected to not only be of value to the hospital under study but also serve as a template for other organizations seeking to reduce HAIs through innovation driven by governance.</w:t>
      </w:r>
    </w:p>
    <w:p w14:paraId="50707738" w14:textId="77777777" w:rsidR="00E76ADB" w:rsidRPr="005A5527" w:rsidRDefault="00E76ADB" w:rsidP="00275181">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7" w:name="_Toc212139828"/>
      <w:r w:rsidRPr="005A5527">
        <w:rPr>
          <w:rFonts w:asciiTheme="majorBidi" w:eastAsiaTheme="minorEastAsia" w:hAnsiTheme="majorBidi" w:cstheme="majorBidi"/>
          <w:b/>
          <w:bCs/>
          <w:color w:val="000000" w:themeColor="text1"/>
          <w:kern w:val="0"/>
          <w:sz w:val="28"/>
          <w:szCs w:val="28"/>
          <w14:ligatures w14:val="none"/>
        </w:rPr>
        <w:t>Research Questions Embedded in Objectives</w:t>
      </w:r>
      <w:bookmarkEnd w:id="7"/>
    </w:p>
    <w:p w14:paraId="059A8C25"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4FF1108"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t>Even though they are defined as goals, these goals also imply a related set of guiding questions:</w:t>
      </w:r>
    </w:p>
    <w:p w14:paraId="183D0C1E" w14:textId="1A932185"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What are the current trends of HAIs in the specialized hospital?</w:t>
      </w:r>
    </w:p>
    <w:p w14:paraId="790694D1" w14:textId="09B40872"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How well do current infection control measures work in addressing these infections?</w:t>
      </w:r>
    </w:p>
    <w:p w14:paraId="0C87FF6E" w14:textId="31D6F1A8"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How much are risk management tools and principles integrated into infection prevention programs?</w:t>
      </w:r>
    </w:p>
    <w:p w14:paraId="585EC8D8" w14:textId="78DEF675"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How does organizational culture, training of staff, and leadership influence infection outcomes?</w:t>
      </w:r>
    </w:p>
    <w:p w14:paraId="474BF4EA" w14:textId="0CCD620D"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What are the operational and economic implications of HAIs to the hospital?</w:t>
      </w:r>
    </w:p>
    <w:p w14:paraId="47FF84CE" w14:textId="21572926" w:rsidR="00E76ADB" w:rsidRPr="005A5527" w:rsidRDefault="00E76ADB">
      <w:pPr>
        <w:pStyle w:val="ListParagraph"/>
        <w:numPr>
          <w:ilvl w:val="0"/>
          <w:numId w:val="1"/>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A5527">
        <w:rPr>
          <w:rFonts w:asciiTheme="majorBidi" w:eastAsiaTheme="minorEastAsia" w:hAnsiTheme="majorBidi" w:cstheme="majorBidi"/>
          <w:color w:val="000000" w:themeColor="text1"/>
          <w:kern w:val="0"/>
          <w:sz w:val="28"/>
          <w:szCs w:val="28"/>
          <w14:ligatures w14:val="none"/>
        </w:rPr>
        <w:t>What model can be proposed to further improve risk management as a strategy for the prevention of HAIs?</w:t>
      </w:r>
    </w:p>
    <w:p w14:paraId="3096BDD6"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1FD7CE8" w14:textId="77777777" w:rsidR="00E76ADB" w:rsidRPr="005A5527" w:rsidRDefault="00E76ADB" w:rsidP="00275181">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8" w:name="_Toc212139829"/>
      <w:r w:rsidRPr="005A5527">
        <w:rPr>
          <w:rFonts w:asciiTheme="majorBidi" w:eastAsiaTheme="minorEastAsia" w:hAnsiTheme="majorBidi" w:cstheme="majorBidi"/>
          <w:b/>
          <w:bCs/>
          <w:color w:val="000000" w:themeColor="text1"/>
          <w:kern w:val="0"/>
          <w:sz w:val="28"/>
          <w:szCs w:val="28"/>
          <w14:ligatures w14:val="none"/>
        </w:rPr>
        <w:t>Strategic Relevance of the Objectives</w:t>
      </w:r>
      <w:bookmarkEnd w:id="8"/>
    </w:p>
    <w:p w14:paraId="14AD92AC" w14:textId="77777777" w:rsidR="00E76ADB" w:rsidRPr="00E76ADB" w:rsidRDefault="00E76ADB" w:rsidP="00E76ADB">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CD18A6F" w14:textId="1C5F7CF9" w:rsidR="00E76ADB" w:rsidRPr="00E76ADB" w:rsidRDefault="00E76ADB" w:rsidP="005A552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76ADB">
        <w:rPr>
          <w:rFonts w:asciiTheme="majorBidi" w:eastAsiaTheme="minorEastAsia" w:hAnsiTheme="majorBidi" w:cstheme="majorBidi"/>
          <w:color w:val="000000" w:themeColor="text1"/>
          <w:kern w:val="0"/>
          <w:sz w:val="28"/>
          <w:szCs w:val="28"/>
          <w14:ligatures w14:val="none"/>
        </w:rPr>
        <w:t xml:space="preserve">Collectively, these objectives are significant in that they go beyond mere technical definitions and instead employ a systems-level perspective. They recognize that solving the issue of HAIs requires integrating technical measures with organizational management, human conduct, and economic sustainability. The objectives are also uniquely tailored to provide actionable output that hospital managers, healthcare staff, and policymakers can use, so that the </w:t>
      </w:r>
      <w:r w:rsidRPr="00E76ADB">
        <w:rPr>
          <w:rFonts w:asciiTheme="majorBidi" w:eastAsiaTheme="minorEastAsia" w:hAnsiTheme="majorBidi" w:cstheme="majorBidi"/>
          <w:color w:val="000000" w:themeColor="text1"/>
          <w:kern w:val="0"/>
          <w:sz w:val="28"/>
          <w:szCs w:val="28"/>
          <w14:ligatures w14:val="none"/>
        </w:rPr>
        <w:lastRenderedPageBreak/>
        <w:t>findings of the study are not only scientifically rigorous but also useful practically.</w:t>
      </w:r>
    </w:p>
    <w:p w14:paraId="1AD3EFD0" w14:textId="0DB8B6BE" w:rsidR="00C7255F" w:rsidRPr="00ED57D8" w:rsidRDefault="00E76ADB" w:rsidP="00ED57D8">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r w:rsidRPr="00E76ADB">
        <w:rPr>
          <w:rFonts w:asciiTheme="majorBidi" w:eastAsiaTheme="minorEastAsia" w:hAnsiTheme="majorBidi" w:cstheme="majorBidi"/>
          <w:color w:val="000000" w:themeColor="text1"/>
          <w:kern w:val="0"/>
          <w:sz w:val="28"/>
          <w:szCs w:val="28"/>
          <w14:ligatures w14:val="none"/>
        </w:rPr>
        <w:t>Briefly, the objectives of this research are ambitious but essential. They aim not only to diagnose the problem but to provide solutions which can redefine the manner in which hospitals, and indeed specialist ones, deal with the perennial issue of hospital-acquired infection. In so doing, the research furthers the global pursuit of safer health care systems, healthier patients, and stronger institutions.</w:t>
      </w:r>
    </w:p>
    <w:p w14:paraId="4FA3B8EE" w14:textId="77777777" w:rsidR="00C7255F" w:rsidRPr="009F653D" w:rsidRDefault="00C7255F"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9" w:name="_Toc212139830"/>
      <w:r w:rsidRPr="009F653D">
        <w:rPr>
          <w:rFonts w:asciiTheme="majorBidi" w:eastAsiaTheme="minorEastAsia" w:hAnsiTheme="majorBidi" w:cstheme="majorBidi"/>
          <w:b/>
          <w:bCs/>
          <w:color w:val="000000" w:themeColor="text1"/>
          <w:kern w:val="0"/>
          <w:sz w:val="28"/>
          <w:szCs w:val="28"/>
          <w14:ligatures w14:val="none"/>
        </w:rPr>
        <w:t>1.5 Research Hypotheses</w:t>
      </w:r>
      <w:bookmarkEnd w:id="9"/>
    </w:p>
    <w:p w14:paraId="56FA6F68" w14:textId="77777777" w:rsidR="00C7255F" w:rsidRPr="00ED57D8" w:rsidRDefault="00C7255F" w:rsidP="00ED57D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CD89006" w14:textId="77777777" w:rsidR="003D783F" w:rsidRPr="003D783F" w:rsidRDefault="003D783F" w:rsidP="003D783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Formulating hypotheses is an essential component of any empirical research, since hypotheses bring abstract research questions down to specific, testable hypotheses that can be confirmed or refuted through systematic examination. In the current research, hypotheses stem from the realization that HAIs are not haphazard or uncontrolled events, but rather outcomes that can be controlled by the availability—or unavailability—of organized risk management systems in the health care environment. By grounding the research in hypotheses, the study not only provides a clear-cut analytical framework but also presents an orderly process through which to determine the strength and importance of relations between infection outcomes and risk management practice.</w:t>
      </w:r>
    </w:p>
    <w:p w14:paraId="342447A0" w14:textId="39E53153" w:rsidR="003D783F" w:rsidRPr="003D783F" w:rsidRDefault="003D783F" w:rsidP="003E519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The hypotheses within this research are built to capture multiple dimensions of the research problem, including organizational, clinical, cultural, and economic dimensions. Each hypothesis is a different perspective on how risk management is able to affect levels of infection, but they are all interlinked and serve to lead to the overall argument that risk management is centrally important in determining the efficacy of infection control.</w:t>
      </w:r>
    </w:p>
    <w:p w14:paraId="1DF11C41" w14:textId="28A21D49" w:rsidR="003D783F" w:rsidRPr="003E5196" w:rsidRDefault="003D783F" w:rsidP="00275181">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10" w:name="_Toc212139831"/>
      <w:r w:rsidRPr="003E5196">
        <w:rPr>
          <w:rFonts w:asciiTheme="majorBidi" w:eastAsiaTheme="minorEastAsia" w:hAnsiTheme="majorBidi" w:cstheme="majorBidi"/>
          <w:b/>
          <w:bCs/>
          <w:color w:val="000000" w:themeColor="text1"/>
          <w:kern w:val="0"/>
          <w:sz w:val="28"/>
          <w:szCs w:val="28"/>
          <w14:ligatures w14:val="none"/>
        </w:rPr>
        <w:t>Main Hypothesis (H1):</w:t>
      </w:r>
      <w:bookmarkEnd w:id="10"/>
    </w:p>
    <w:p w14:paraId="45D5A794" w14:textId="77777777" w:rsidR="003D783F" w:rsidRPr="003D783F" w:rsidRDefault="003D783F" w:rsidP="003D783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There is a statistically significant relationship between the implementation of risk management practices and reduction of hospital-acquired infection rate in the specialist hospital.</w:t>
      </w:r>
    </w:p>
    <w:p w14:paraId="308ABAEC" w14:textId="77777777" w:rsidR="003D783F" w:rsidRPr="003D783F" w:rsidRDefault="003D783F" w:rsidP="003D783F">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1C4216F" w14:textId="6E4A5514" w:rsidR="003D783F" w:rsidRPr="003D783F" w:rsidRDefault="003D783F" w:rsidP="003E519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This central hypothesis encapsulates the study's central theme: that infection control is optimally effective when directed, supported, and enshrined by systematic risk management processes. The hypothesis assumes that risk management is not merely appended as an afterthought to infection prevention but is the underlying system to make compliance better, offer consistency, and drive sustainability of infection control behavior.</w:t>
      </w:r>
    </w:p>
    <w:p w14:paraId="0C439723" w14:textId="77777777" w:rsidR="003D783F" w:rsidRPr="003E5196" w:rsidRDefault="003D783F" w:rsidP="00275181">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11" w:name="_Toc212139832"/>
      <w:r w:rsidRPr="003E5196">
        <w:rPr>
          <w:rFonts w:asciiTheme="majorBidi" w:eastAsiaTheme="minorEastAsia" w:hAnsiTheme="majorBidi" w:cstheme="majorBidi"/>
          <w:b/>
          <w:bCs/>
          <w:color w:val="000000" w:themeColor="text1"/>
          <w:kern w:val="0"/>
          <w:sz w:val="28"/>
          <w:szCs w:val="28"/>
          <w14:ligatures w14:val="none"/>
        </w:rPr>
        <w:t>Sub-Hypotheses:</w:t>
      </w:r>
      <w:bookmarkEnd w:id="11"/>
    </w:p>
    <w:p w14:paraId="1809DE47" w14:textId="77777777" w:rsidR="003D783F" w:rsidRPr="003E5196" w:rsidRDefault="003D783F" w:rsidP="003D783F">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3E5196">
        <w:rPr>
          <w:rFonts w:asciiTheme="majorBidi" w:eastAsiaTheme="minorEastAsia" w:hAnsiTheme="majorBidi" w:cstheme="majorBidi"/>
          <w:b/>
          <w:bCs/>
          <w:color w:val="000000" w:themeColor="text1"/>
          <w:kern w:val="0"/>
          <w:sz w:val="28"/>
          <w:szCs w:val="28"/>
          <w14:ligatures w14:val="none"/>
        </w:rPr>
        <w:t>H1a:</w:t>
      </w:r>
    </w:p>
    <w:p w14:paraId="5206F3CA" w14:textId="33B26FAB" w:rsidR="003D783F" w:rsidRPr="003D783F" w:rsidRDefault="003D783F" w:rsidP="003E519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Departments with higher incorporation of risk management practices will have significantly lower hospital-acquired infection rates than departments that lack better incorporation.</w:t>
      </w:r>
    </w:p>
    <w:p w14:paraId="34807E0A" w14:textId="5F72D0EE" w:rsidR="003D783F" w:rsidRPr="003E5196" w:rsidRDefault="003D783F">
      <w:pPr>
        <w:pStyle w:val="ListParagraph"/>
        <w:numPr>
          <w:ilvl w:val="0"/>
          <w:numId w:val="3"/>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E5196">
        <w:rPr>
          <w:rFonts w:asciiTheme="majorBidi" w:eastAsiaTheme="minorEastAsia" w:hAnsiTheme="majorBidi" w:cstheme="majorBidi"/>
          <w:color w:val="000000" w:themeColor="text1"/>
          <w:kern w:val="0"/>
          <w:sz w:val="28"/>
          <w:szCs w:val="28"/>
          <w14:ligatures w14:val="none"/>
        </w:rPr>
        <w:t>It is a hypothesis that embodies the expectation that advantages can be realized at departmental level from risk management. Through comparison of different units within the same hospital, it may examine whether departments that embrace risk assessment, reporting, and monitoring see tangible improvements in infection outcomes.</w:t>
      </w:r>
    </w:p>
    <w:p w14:paraId="248623E5" w14:textId="52C6242F" w:rsidR="003D783F" w:rsidRPr="003E5196" w:rsidRDefault="003D783F" w:rsidP="003E5196">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3E5196">
        <w:rPr>
          <w:rFonts w:asciiTheme="majorBidi" w:eastAsiaTheme="minorEastAsia" w:hAnsiTheme="majorBidi" w:cstheme="majorBidi"/>
          <w:b/>
          <w:bCs/>
          <w:color w:val="000000" w:themeColor="text1"/>
          <w:kern w:val="0"/>
          <w:sz w:val="28"/>
          <w:szCs w:val="28"/>
          <w14:ligatures w14:val="none"/>
        </w:rPr>
        <w:t>H1b:</w:t>
      </w:r>
    </w:p>
    <w:p w14:paraId="491BD225" w14:textId="77777777" w:rsidR="003D783F" w:rsidRPr="003D783F" w:rsidRDefault="003D783F" w:rsidP="003D783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The presence of systematic staff training and risk awareness programs is positively associated with greater adherence to infection prevention practices and reduced incidence of HAIs.</w:t>
      </w:r>
    </w:p>
    <w:p w14:paraId="4C413C56" w14:textId="742C2B87" w:rsidR="003D783F" w:rsidRDefault="003D783F">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E5196">
        <w:rPr>
          <w:rFonts w:asciiTheme="majorBidi" w:eastAsiaTheme="minorEastAsia" w:hAnsiTheme="majorBidi" w:cstheme="majorBidi"/>
          <w:color w:val="000000" w:themeColor="text1"/>
          <w:kern w:val="0"/>
          <w:sz w:val="28"/>
          <w:szCs w:val="28"/>
          <w14:ligatures w14:val="none"/>
        </w:rPr>
        <w:t>In this instance, the hypothesis targets the element of human resources and professional capability. It assumes that staff awareness, increased by systematic training based on risk management philosophy, has a direct impact on the extent to which infection prevention measures are followed in practice.</w:t>
      </w:r>
    </w:p>
    <w:p w14:paraId="3CC64C92" w14:textId="77777777" w:rsidR="003E5196" w:rsidRDefault="003E5196" w:rsidP="003E5196">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A37A7EE" w14:textId="77777777" w:rsidR="003E5196" w:rsidRDefault="003E5196" w:rsidP="003E5196">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261E4C3" w14:textId="77777777" w:rsidR="003E5196" w:rsidRPr="003E5196" w:rsidRDefault="003E5196" w:rsidP="003E5196">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FD6B501" w14:textId="5D8EC39E" w:rsidR="003D783F" w:rsidRPr="003E5196" w:rsidRDefault="003D783F" w:rsidP="003E5196">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3E5196">
        <w:rPr>
          <w:rFonts w:asciiTheme="majorBidi" w:eastAsiaTheme="minorEastAsia" w:hAnsiTheme="majorBidi" w:cstheme="majorBidi"/>
          <w:b/>
          <w:bCs/>
          <w:color w:val="000000" w:themeColor="text1"/>
          <w:kern w:val="0"/>
          <w:sz w:val="28"/>
          <w:szCs w:val="28"/>
          <w14:ligatures w14:val="none"/>
        </w:rPr>
        <w:lastRenderedPageBreak/>
        <w:t>H1c</w:t>
      </w:r>
    </w:p>
    <w:p w14:paraId="3AEAAE52" w14:textId="77777777" w:rsidR="003D783F" w:rsidRPr="003D783F" w:rsidRDefault="003D783F" w:rsidP="003D783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Those hospitals that have proactive risk monitoring and management systems have fewer occurrences of recurring infection than hospitals that use only reactive case-by-case management.</w:t>
      </w:r>
    </w:p>
    <w:p w14:paraId="05456642" w14:textId="1416D6ED" w:rsidR="003D783F" w:rsidRPr="003E5196" w:rsidRDefault="003D783F">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E5196">
        <w:rPr>
          <w:rFonts w:asciiTheme="majorBidi" w:eastAsiaTheme="minorEastAsia" w:hAnsiTheme="majorBidi" w:cstheme="majorBidi"/>
          <w:color w:val="000000" w:themeColor="text1"/>
          <w:kern w:val="0"/>
          <w:sz w:val="28"/>
          <w:szCs w:val="28"/>
          <w14:ligatures w14:val="none"/>
        </w:rPr>
        <w:t>This hypothesis puts unique stress on the difference between being proactive and being reactive. Risk management is by its nature forward-thinking. The hypothesis suggests that institutions with forecasting tools to keep in reserve—be these early warning signs or electronic monitoring devices—will be better at infection control than those reacting subsequent to infections having occurred.</w:t>
      </w:r>
    </w:p>
    <w:p w14:paraId="5270AE85" w14:textId="4B4006F5" w:rsidR="003D783F" w:rsidRPr="003E5196" w:rsidRDefault="003D783F" w:rsidP="003D783F">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3E5196">
        <w:rPr>
          <w:rFonts w:asciiTheme="majorBidi" w:eastAsiaTheme="minorEastAsia" w:hAnsiTheme="majorBidi" w:cstheme="majorBidi"/>
          <w:b/>
          <w:bCs/>
          <w:color w:val="000000" w:themeColor="text1"/>
          <w:kern w:val="0"/>
          <w:sz w:val="28"/>
          <w:szCs w:val="28"/>
          <w14:ligatures w14:val="none"/>
        </w:rPr>
        <w:t>H1d</w:t>
      </w:r>
    </w:p>
    <w:p w14:paraId="0F4125BA" w14:textId="77777777" w:rsidR="003D783F" w:rsidRPr="003D783F" w:rsidRDefault="003D783F" w:rsidP="003D783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Organizational culture and leadership support for risk management have a significant moderating effect in the link between infection control policies and actual infection outcomes.</w:t>
      </w:r>
    </w:p>
    <w:p w14:paraId="2B62DA0D" w14:textId="7F1E2985" w:rsidR="003D783F" w:rsidRPr="003E5196" w:rsidRDefault="003D783F">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E5196">
        <w:rPr>
          <w:rFonts w:asciiTheme="majorBidi" w:eastAsiaTheme="minorEastAsia" w:hAnsiTheme="majorBidi" w:cstheme="majorBidi"/>
          <w:color w:val="000000" w:themeColor="text1"/>
          <w:kern w:val="0"/>
          <w:sz w:val="28"/>
          <w:szCs w:val="28"/>
          <w14:ligatures w14:val="none"/>
        </w:rPr>
        <w:t>This hypothesis includes the leadership and cultural factor. Even perfectly designed policies can fail if leaders are not championing compliance or if the organizational culture allows cutting corners. This hypothesis focuses on the idea that leadership engagement is not peripheral but central in achieving true infection rate decreases.</w:t>
      </w:r>
    </w:p>
    <w:p w14:paraId="51544343" w14:textId="432BE02F" w:rsidR="003D783F" w:rsidRPr="003E5196" w:rsidRDefault="003D783F" w:rsidP="003E5196">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3E5196">
        <w:rPr>
          <w:rFonts w:asciiTheme="majorBidi" w:eastAsiaTheme="minorEastAsia" w:hAnsiTheme="majorBidi" w:cstheme="majorBidi"/>
          <w:b/>
          <w:bCs/>
          <w:color w:val="000000" w:themeColor="text1"/>
          <w:kern w:val="0"/>
          <w:sz w:val="28"/>
          <w:szCs w:val="28"/>
          <w14:ligatures w14:val="none"/>
        </w:rPr>
        <w:t>H1e</w:t>
      </w:r>
    </w:p>
    <w:p w14:paraId="28A5479E" w14:textId="77777777" w:rsidR="003D783F" w:rsidRPr="003D783F" w:rsidRDefault="003D783F" w:rsidP="003D783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The financial burden of hospital-acquired infection is significantly lower in institutions where risk management practices are deeply ingrained in infection control policy.</w:t>
      </w:r>
    </w:p>
    <w:p w14:paraId="4B3BA3D7" w14:textId="6D1A2CFE" w:rsidR="003D783F" w:rsidRPr="003E5196" w:rsidRDefault="003D783F">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E5196">
        <w:rPr>
          <w:rFonts w:asciiTheme="majorBidi" w:eastAsiaTheme="minorEastAsia" w:hAnsiTheme="majorBidi" w:cstheme="majorBidi"/>
          <w:color w:val="000000" w:themeColor="text1"/>
          <w:kern w:val="0"/>
          <w:sz w:val="28"/>
          <w:szCs w:val="28"/>
          <w14:ligatures w14:val="none"/>
        </w:rPr>
        <w:t>The hypothesis assumes that effective management of risk not only has clinical advantages but also economic effectiveness. Reduced rates of infection shorten the duration of stay in the hospital, reduce the expense of treatment, and free up resources. This allows the research to link the health outcomes of patients with the economic sustainability of the organization.</w:t>
      </w:r>
    </w:p>
    <w:p w14:paraId="6314C881" w14:textId="31CF8709" w:rsidR="003D783F" w:rsidRPr="003E5196" w:rsidRDefault="003D783F" w:rsidP="00275181">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12" w:name="_Toc212139833"/>
      <w:r w:rsidRPr="003E5196">
        <w:rPr>
          <w:rFonts w:asciiTheme="majorBidi" w:eastAsiaTheme="minorEastAsia" w:hAnsiTheme="majorBidi" w:cstheme="majorBidi"/>
          <w:b/>
          <w:bCs/>
          <w:color w:val="000000" w:themeColor="text1"/>
          <w:kern w:val="0"/>
          <w:sz w:val="28"/>
          <w:szCs w:val="28"/>
          <w14:ligatures w14:val="none"/>
        </w:rPr>
        <w:lastRenderedPageBreak/>
        <w:t>Null Hypotheses (H0):</w:t>
      </w:r>
      <w:bookmarkEnd w:id="12"/>
    </w:p>
    <w:p w14:paraId="1A65C961" w14:textId="017C3A5E" w:rsidR="003D783F" w:rsidRPr="003D783F" w:rsidRDefault="003D783F" w:rsidP="003E519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For all the above hypotheses, the null hypothesis to be formulated will be one that no statistically significant correlation between risk management practice and hospital-acquired infection outcome exists. The test of the null hypotheses is paramount to the study to ensure that the conclusions are concrete and not basing them on assumptions or chance relationships.</w:t>
      </w:r>
    </w:p>
    <w:p w14:paraId="591ECECB" w14:textId="15D7D050" w:rsidR="003D783F" w:rsidRPr="003E5196" w:rsidRDefault="003D783F" w:rsidP="00275181">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13" w:name="_Toc212139834"/>
      <w:r w:rsidRPr="003E5196">
        <w:rPr>
          <w:rFonts w:asciiTheme="majorBidi" w:eastAsiaTheme="minorEastAsia" w:hAnsiTheme="majorBidi" w:cstheme="majorBidi"/>
          <w:b/>
          <w:bCs/>
          <w:color w:val="000000" w:themeColor="text1"/>
          <w:kern w:val="0"/>
          <w:sz w:val="28"/>
          <w:szCs w:val="28"/>
          <w14:ligatures w14:val="none"/>
        </w:rPr>
        <w:t>Strategic Role of Hypotheses in the Study</w:t>
      </w:r>
      <w:bookmarkEnd w:id="13"/>
    </w:p>
    <w:p w14:paraId="5030F1B9" w14:textId="135F4E54" w:rsidR="003D783F" w:rsidRPr="003D783F" w:rsidRDefault="003D783F" w:rsidP="003E519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The formulation of these hypotheses is not an exercise in formality; it is a deliberate role that assists in determining research design, guides the choice of variables, informs data collection practices, and determines analysis approaches to be applied. Collectively, the hypotheses assist in keeping the research focused on its final purpose while, at the same time, examining the problem from different angles: departmental variation, staff capability, organizational culture, monitoring mechanisms, and financial consequences.</w:t>
      </w:r>
    </w:p>
    <w:p w14:paraId="00B625AB" w14:textId="77777777" w:rsidR="003D783F" w:rsidRPr="003D783F" w:rsidRDefault="003D783F" w:rsidP="003D783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In addition, by delineating hypotheses with such clarity, the study sets quantifiable goals for measuring the efficacy of risk management integration in infection prevention. Each hypothesis can be tested with quantitative data (e.g., infection rate levels, cost accounting, and compliance audits) and checked using qualitative results (e.g., staff attitude and organizational culture surveys). This dual testing provides complete and systematic examination of the role played by risk management to reduce HAIs.</w:t>
      </w:r>
    </w:p>
    <w:p w14:paraId="445B10F7" w14:textId="66CFD454" w:rsidR="00C7255F" w:rsidRPr="00ED57D8" w:rsidRDefault="003D783F" w:rsidP="00ED57D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3D783F">
        <w:rPr>
          <w:rFonts w:asciiTheme="majorBidi" w:eastAsiaTheme="minorEastAsia" w:hAnsiTheme="majorBidi" w:cstheme="majorBidi"/>
          <w:color w:val="000000" w:themeColor="text1"/>
          <w:kern w:val="0"/>
          <w:sz w:val="28"/>
          <w:szCs w:val="28"/>
          <w14:ligatures w14:val="none"/>
        </w:rPr>
        <w:t>Finally, the study hypotheses are an expression of belief that hospital-acquired infections are not inevitable outcomes of advanced care environments, but phenomena that can be reduced significantly by translating risk management into practice in an organized way. In proving these hypotheses through testing, the research is intent on providing robust evidence to the effect that not only can risk management be applied, but it is a necessity in achieving sustainable infection control in specialist hospital settings.</w:t>
      </w:r>
    </w:p>
    <w:p w14:paraId="3F843329" w14:textId="77777777" w:rsidR="00615A71" w:rsidRPr="005365E2" w:rsidRDefault="00615A71" w:rsidP="00615A71">
      <w:pPr>
        <w:bidi w:val="0"/>
        <w:spacing w:after="0" w:line="360" w:lineRule="auto"/>
        <w:jc w:val="both"/>
        <w:divId w:val="2109882054"/>
        <w:rPr>
          <w:rFonts w:asciiTheme="majorBidi" w:eastAsiaTheme="minorEastAsia" w:hAnsiTheme="majorBidi" w:cstheme="majorBidi"/>
          <w:b/>
          <w:bCs/>
          <w:color w:val="000000" w:themeColor="text1"/>
          <w:kern w:val="0"/>
          <w:sz w:val="28"/>
          <w:szCs w:val="28"/>
          <w14:ligatures w14:val="none"/>
        </w:rPr>
      </w:pPr>
    </w:p>
    <w:p w14:paraId="56776BF1" w14:textId="4DAB715A" w:rsidR="00E86FC5" w:rsidRPr="00615A71" w:rsidRDefault="000F73B3" w:rsidP="00275181">
      <w:pPr>
        <w:bidi w:val="0"/>
        <w:spacing w:after="0" w:line="360" w:lineRule="auto"/>
        <w:jc w:val="both"/>
        <w:outlineLvl w:val="0"/>
        <w:divId w:val="2109882054"/>
        <w:rPr>
          <w:rFonts w:asciiTheme="majorBidi" w:eastAsiaTheme="minorEastAsia" w:hAnsiTheme="majorBidi" w:cstheme="majorBidi"/>
          <w:b/>
          <w:bCs/>
          <w:color w:val="000000" w:themeColor="text1"/>
          <w:kern w:val="0"/>
          <w:sz w:val="28"/>
          <w:szCs w:val="28"/>
          <w:rtl/>
          <w14:ligatures w14:val="none"/>
        </w:rPr>
      </w:pPr>
      <w:bookmarkStart w:id="14" w:name="_Toc212139835"/>
      <w:r w:rsidRPr="005365E2">
        <w:rPr>
          <w:rFonts w:asciiTheme="majorBidi" w:eastAsiaTheme="minorEastAsia" w:hAnsiTheme="majorBidi" w:cstheme="majorBidi"/>
          <w:b/>
          <w:bCs/>
          <w:color w:val="000000" w:themeColor="text1"/>
          <w:kern w:val="0"/>
          <w:sz w:val="28"/>
          <w:szCs w:val="28"/>
          <w14:ligatures w14:val="none"/>
        </w:rPr>
        <w:lastRenderedPageBreak/>
        <w:t>Chapter Two: Literature Review</w:t>
      </w:r>
      <w:bookmarkEnd w:id="14"/>
    </w:p>
    <w:p w14:paraId="255F9456" w14:textId="77777777" w:rsidR="00E86FC5" w:rsidRPr="00615A71" w:rsidRDefault="00E86FC5"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ECA6761" w14:textId="3BAFD739" w:rsidR="00E86FC5" w:rsidRPr="00615A71" w:rsidRDefault="00E86FC5"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r w:rsidRPr="00615A71">
        <w:rPr>
          <w:rFonts w:asciiTheme="majorBidi" w:eastAsiaTheme="minorEastAsia" w:hAnsiTheme="majorBidi" w:cstheme="majorBidi"/>
          <w:b/>
          <w:bCs/>
          <w:color w:val="000000" w:themeColor="text1"/>
          <w:kern w:val="0"/>
          <w:sz w:val="28"/>
          <w:szCs w:val="28"/>
          <w14:ligatures w14:val="none"/>
        </w:rPr>
        <w:t xml:space="preserve"> </w:t>
      </w:r>
      <w:bookmarkStart w:id="15" w:name="_Toc212139836"/>
      <w:r w:rsidRPr="00615A71">
        <w:rPr>
          <w:rFonts w:asciiTheme="majorBidi" w:eastAsiaTheme="minorEastAsia" w:hAnsiTheme="majorBidi" w:cstheme="majorBidi"/>
          <w:b/>
          <w:bCs/>
          <w:color w:val="000000" w:themeColor="text1"/>
          <w:kern w:val="0"/>
          <w:sz w:val="28"/>
          <w:szCs w:val="28"/>
          <w14:ligatures w14:val="none"/>
        </w:rPr>
        <w:t>Introduction to the Global Burden of Hospital-Acquired Infections (HAIs)</w:t>
      </w:r>
      <w:bookmarkEnd w:id="15"/>
    </w:p>
    <w:p w14:paraId="15ECE0AA" w14:textId="77777777" w:rsidR="00E86FC5" w:rsidRPr="00615A71" w:rsidRDefault="00E86FC5"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AA709C9" w14:textId="77777777" w:rsidR="00FA2FD2" w:rsidRPr="00FA2FD2" w:rsidRDefault="00FA2FD2" w:rsidP="00FA2FD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2FD2">
        <w:rPr>
          <w:rFonts w:asciiTheme="majorBidi" w:eastAsiaTheme="minorEastAsia" w:hAnsiTheme="majorBidi" w:cstheme="majorBidi"/>
          <w:color w:val="000000" w:themeColor="text1"/>
          <w:kern w:val="0"/>
          <w:sz w:val="28"/>
          <w:szCs w:val="28"/>
          <w14:ligatures w14:val="none"/>
        </w:rPr>
        <w:t>Hospital-acquired infections (HAIs), or nosocomial infections, rank among the most important issues for health systems globally. HAIs are infections that are neither present nor incubating at patient admission but happen 48 hours or more after hospitalization or within 30 days of a healthcare procedure, such as surgery or device insertion (World Health Organization [WHO], 2023). Despite impressive advancements in medical science, sterilization methods, and clinical procedures, HAIs remain a major cause of morbidity and mortality, with enormous financial and social burdens worldwide. In fact, the WHO estimates that hundreds of millions of patients are affected by HAIs globally each year, with approximately 7 out of every 100 patients in high-income countries and 15 out of every 100 in low- and middle-income countries (LMICs) developing at least one kind of HAI during hospitalization (WHO, 2023).</w:t>
      </w:r>
    </w:p>
    <w:p w14:paraId="552F3DDC" w14:textId="77777777" w:rsidR="00FA2FD2" w:rsidRPr="00FA2FD2" w:rsidRDefault="00FA2FD2" w:rsidP="00FA2FD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2FD2">
        <w:rPr>
          <w:rFonts w:asciiTheme="majorBidi" w:eastAsiaTheme="minorEastAsia" w:hAnsiTheme="majorBidi" w:cstheme="majorBidi"/>
          <w:color w:val="000000" w:themeColor="text1"/>
          <w:kern w:val="0"/>
          <w:sz w:val="28"/>
          <w:szCs w:val="28"/>
          <w14:ligatures w14:val="none"/>
        </w:rPr>
        <w:t>The persistence of HAIs as a threat to public health has drawn the attention of researchers, policymakers, and clinicians. What is most concerning about this issue is that HAIs are, to a large extent, preventable through evidence-based infection prevention and control (IPC) measures, yet they continue to exist due to healthcare infrastructure deficits, inconsistent adherence to IPC guidelines, and the increasing issue of antimicrobial resistance (AMR) (Centers for Disease Control and Prevention [CDC], 2022). For instance, the GRAM Project (Global Research on Antimicrobial Resistance) estimated that antimicrobial resistance could cause 39 million deaths yearly and an extra nearly $160 billion in healthcare spending yearly by 2050 if there are no effective measures taken (Murray et al., 2022).</w:t>
      </w:r>
    </w:p>
    <w:p w14:paraId="1064F299" w14:textId="77777777" w:rsidR="00FA2FD2" w:rsidRPr="00FA2FD2" w:rsidRDefault="00FA2FD2" w:rsidP="00FA2FD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BBB8A9D" w14:textId="77777777" w:rsidR="00FA2FD2" w:rsidRPr="00FA2FD2" w:rsidRDefault="00FA2FD2" w:rsidP="00FA2FD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2FD2">
        <w:rPr>
          <w:rFonts w:asciiTheme="majorBidi" w:eastAsiaTheme="minorEastAsia" w:hAnsiTheme="majorBidi" w:cstheme="majorBidi"/>
          <w:color w:val="000000" w:themeColor="text1"/>
          <w:kern w:val="0"/>
          <w:sz w:val="28"/>
          <w:szCs w:val="28"/>
          <w14:ligatures w14:val="none"/>
        </w:rPr>
        <w:lastRenderedPageBreak/>
        <w:t>The burden of HAIs is not evenly distributed across the globe. High-income countries (HICs) have lower prevalence rates owing to more established IPC systems, yet even there the impact is considerable. In the US, the CDC has projected that HAIs account for approximately 1.7 million infections and 99,000 deaths annually, with direct medical expenses of between $28 and $45 billion annually (CDC, 2022). In the European Union, HAIs affect an estimated 3.8 million patients annually and cause around 90,000 deaths annually (European Centre for Disease Prevention and Control [ECDC], 2023). It is far worse in LMICs, where inadequate healthcare infrastructure, overcrowding, and poor sanitation exacerbate the dangers. Studies in Sub-Saharan Africa, for example, showed that HAIs cause more than 500,000 deaths annually and more than $13 billion in economic loss, which is equivalent to nearly 1.14% of GDP in some countries (Aiken et al., 2024).</w:t>
      </w:r>
    </w:p>
    <w:p w14:paraId="34C150E6" w14:textId="77777777" w:rsidR="00FA2FD2" w:rsidRPr="00FA2FD2" w:rsidRDefault="00FA2FD2" w:rsidP="00FA2FD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2FD2">
        <w:rPr>
          <w:rFonts w:asciiTheme="majorBidi" w:eastAsiaTheme="minorEastAsia" w:hAnsiTheme="majorBidi" w:cstheme="majorBidi"/>
          <w:color w:val="000000" w:themeColor="text1"/>
          <w:kern w:val="0"/>
          <w:sz w:val="28"/>
          <w:szCs w:val="28"/>
          <w14:ligatures w14:val="none"/>
        </w:rPr>
        <w:t>This global disparity underscores the reality that HAIs are not only a health problem but also a major equity concern. Vulnerable populations—like neonates, post-surgical patients, immunocompromised individuals, and intensive care unit-admitted patients—are disproportionately impacted. Neonatal sepsis, for example, remains one of the most lethal HAIs in LMICs, with case fatality rates exceeding 30%, compared to less than 10% in developed settings (Zaidi et al., 2023). These figures demonstrate the urgent need for both national and global actions to decrease the disproportionate burden of risk as well as to increase resilience in all health care systems.</w:t>
      </w:r>
    </w:p>
    <w:p w14:paraId="7749534E" w14:textId="77777777" w:rsidR="00FA2FD2" w:rsidRPr="00FA2FD2" w:rsidRDefault="00FA2FD2" w:rsidP="00FA2FD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2FD2">
        <w:rPr>
          <w:rFonts w:asciiTheme="majorBidi" w:eastAsiaTheme="minorEastAsia" w:hAnsiTheme="majorBidi" w:cstheme="majorBidi"/>
          <w:color w:val="000000" w:themeColor="text1"/>
          <w:kern w:val="0"/>
          <w:sz w:val="28"/>
          <w:szCs w:val="28"/>
          <w14:ligatures w14:val="none"/>
        </w:rPr>
        <w:t>Another critical characteristic of HAIs is the type of pathogens involved. The so-called ESKAPE pathogens (Enterococcus faecium, Staphylococcus aureus, Klebsiella pneumoniae, Acinetobacter baumannii, Pseudomonas aeruginosa, and Enterobacter species) cause nearly 15.5% of HAIs globally, and they are notoriously multidrug-resistant and capable of causing high mortality (</w:t>
      </w:r>
      <w:proofErr w:type="spellStart"/>
      <w:r w:rsidRPr="00FA2FD2">
        <w:rPr>
          <w:rFonts w:asciiTheme="majorBidi" w:eastAsiaTheme="minorEastAsia" w:hAnsiTheme="majorBidi" w:cstheme="majorBidi"/>
          <w:color w:val="000000" w:themeColor="text1"/>
          <w:kern w:val="0"/>
          <w:sz w:val="28"/>
          <w:szCs w:val="28"/>
          <w14:ligatures w14:val="none"/>
        </w:rPr>
        <w:t>Santajit</w:t>
      </w:r>
      <w:proofErr w:type="spellEnd"/>
      <w:r w:rsidRPr="00FA2FD2">
        <w:rPr>
          <w:rFonts w:asciiTheme="majorBidi" w:eastAsiaTheme="minorEastAsia" w:hAnsiTheme="majorBidi" w:cstheme="majorBidi"/>
          <w:color w:val="000000" w:themeColor="text1"/>
          <w:kern w:val="0"/>
          <w:sz w:val="28"/>
          <w:szCs w:val="28"/>
          <w14:ligatures w14:val="none"/>
        </w:rPr>
        <w:t xml:space="preserve"> &amp; </w:t>
      </w:r>
      <w:proofErr w:type="spellStart"/>
      <w:r w:rsidRPr="00FA2FD2">
        <w:rPr>
          <w:rFonts w:asciiTheme="majorBidi" w:eastAsiaTheme="minorEastAsia" w:hAnsiTheme="majorBidi" w:cstheme="majorBidi"/>
          <w:color w:val="000000" w:themeColor="text1"/>
          <w:kern w:val="0"/>
          <w:sz w:val="28"/>
          <w:szCs w:val="28"/>
          <w14:ligatures w14:val="none"/>
        </w:rPr>
        <w:t>Indrawattana</w:t>
      </w:r>
      <w:proofErr w:type="spellEnd"/>
      <w:r w:rsidRPr="00FA2FD2">
        <w:rPr>
          <w:rFonts w:asciiTheme="majorBidi" w:eastAsiaTheme="minorEastAsia" w:hAnsiTheme="majorBidi" w:cstheme="majorBidi"/>
          <w:color w:val="000000" w:themeColor="text1"/>
          <w:kern w:val="0"/>
          <w:sz w:val="28"/>
          <w:szCs w:val="28"/>
          <w14:ligatures w14:val="none"/>
        </w:rPr>
        <w:t xml:space="preserve">, 2023). These pathogens, along with methicillin-resistant Staphylococcus aureus (MRSA) and carbapenem-resistant Enterobacteriaceae </w:t>
      </w:r>
      <w:r w:rsidRPr="00FA2FD2">
        <w:rPr>
          <w:rFonts w:asciiTheme="majorBidi" w:eastAsiaTheme="minorEastAsia" w:hAnsiTheme="majorBidi" w:cstheme="majorBidi"/>
          <w:color w:val="000000" w:themeColor="text1"/>
          <w:kern w:val="0"/>
          <w:sz w:val="28"/>
          <w:szCs w:val="28"/>
          <w14:ligatures w14:val="none"/>
        </w:rPr>
        <w:lastRenderedPageBreak/>
        <w:t>(CRE), are particularly problematic as they significantly limit treatment options. This growing prevalence of resistant strains would mean that even routine medical procedures—such as caesarean sections, organ transplants, or chemotherapy—would be fatal due to the risk of unstoppable infections (Laxminarayan et al., 2023).</w:t>
      </w:r>
    </w:p>
    <w:p w14:paraId="530DC9AD" w14:textId="77777777" w:rsidR="00FA2FD2" w:rsidRPr="00FA2FD2" w:rsidRDefault="00FA2FD2" w:rsidP="00FA2FD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2FD2">
        <w:rPr>
          <w:rFonts w:asciiTheme="majorBidi" w:eastAsiaTheme="minorEastAsia" w:hAnsiTheme="majorBidi" w:cstheme="majorBidi"/>
          <w:color w:val="000000" w:themeColor="text1"/>
          <w:kern w:val="0"/>
          <w:sz w:val="28"/>
          <w:szCs w:val="28"/>
          <w14:ligatures w14:val="none"/>
        </w:rPr>
        <w:t xml:space="preserve">The COVID-19 pandemic also added to the challenge of managing HAIs. During the height of the crisis, overstretched healthcare systems were suffering from shortages of PPE, high patient volumes, and excessive antibiotic use, all of which resulted in amplified incidence of HAIs and augmented prevalence of resistant organisms (Rawson et al., 2021). However, quite paradoxically, the pandemic also drove IPC enhancement in some settings, with hospitals adopting more rigorous hygiene procedures, enforcing better hand hygiene adherence, and extending surveillance systems. This dual effect demonstrates the complex interplay between global stressors and infection control measures systemically. </w:t>
      </w:r>
    </w:p>
    <w:p w14:paraId="52FED2BB" w14:textId="77777777" w:rsidR="00FA2FD2" w:rsidRPr="00FA2FD2" w:rsidRDefault="00FA2FD2" w:rsidP="00FA2FD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2FD2">
        <w:rPr>
          <w:rFonts w:asciiTheme="majorBidi" w:eastAsiaTheme="minorEastAsia" w:hAnsiTheme="majorBidi" w:cstheme="majorBidi"/>
          <w:color w:val="000000" w:themeColor="text1"/>
          <w:kern w:val="0"/>
          <w:sz w:val="28"/>
          <w:szCs w:val="28"/>
          <w14:ligatures w14:val="none"/>
        </w:rPr>
        <w:t>Economically, HAIs have an effect that extends beyond hospital cost to include productivity loss, prolonged hospitalization, long-term disability, and death. A World Bank modeling exercise approximated that by 2050, antibiotic-resistant infections related to HAIs can reduce the world's GDP by 1.1% to 3.8%, trillions of dollars annually (World Bank, 2022). At the household and patient level, the consequences can be catastrophic since out-of-pocket expenses for prolonged treatment typically push households into poverty, particularly in LMICs where health insurance systems are weak.</w:t>
      </w:r>
    </w:p>
    <w:p w14:paraId="707251DE" w14:textId="14E72475" w:rsidR="0071266F" w:rsidRDefault="00FA2FD2" w:rsidP="00615A71">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A2FD2">
        <w:rPr>
          <w:rFonts w:asciiTheme="majorBidi" w:eastAsiaTheme="minorEastAsia" w:hAnsiTheme="majorBidi" w:cstheme="majorBidi"/>
          <w:color w:val="000000" w:themeColor="text1"/>
          <w:kern w:val="0"/>
          <w:sz w:val="28"/>
          <w:szCs w:val="28"/>
          <w14:ligatures w14:val="none"/>
        </w:rPr>
        <w:t xml:space="preserve">Taken together, these findings highlight that HAIs are not only a clinical adverse event but a worldwide health crisis that is also an intersectional issue of social justice, health equity, and sustainable development. HAIs can set back decades of progress in medical care, especially if AMR is permitted to worsen unchecked. That infection rates continued to be high even after the prevention tools became available indicates an underlying shortfall in the governance of global health and adoption of effective risk management practices. This study, </w:t>
      </w:r>
      <w:r w:rsidRPr="00FA2FD2">
        <w:rPr>
          <w:rFonts w:asciiTheme="majorBidi" w:eastAsiaTheme="minorEastAsia" w:hAnsiTheme="majorBidi" w:cstheme="majorBidi"/>
          <w:color w:val="000000" w:themeColor="text1"/>
          <w:kern w:val="0"/>
          <w:sz w:val="28"/>
          <w:szCs w:val="28"/>
          <w14:ligatures w14:val="none"/>
        </w:rPr>
        <w:lastRenderedPageBreak/>
        <w:t>therefore, situates itself in this global discussion with the aim of exploring how effectively organized and integrated risk management processes can be applied to assist in reducing HAIs in specialist hospital settings.</w:t>
      </w:r>
    </w:p>
    <w:p w14:paraId="657FF7AB" w14:textId="77777777" w:rsidR="003C4123" w:rsidRPr="00E6691D" w:rsidRDefault="003C4123" w:rsidP="003C4123">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p>
    <w:p w14:paraId="6CBB9ED1" w14:textId="488DB2C4" w:rsidR="0071266F" w:rsidRPr="00E6691D" w:rsidRDefault="0071266F"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16" w:name="_Toc212139837"/>
      <w:r w:rsidRPr="00E6691D">
        <w:rPr>
          <w:rFonts w:asciiTheme="majorBidi" w:eastAsiaTheme="minorEastAsia" w:hAnsiTheme="majorBidi" w:cstheme="majorBidi"/>
          <w:b/>
          <w:bCs/>
          <w:color w:val="000000" w:themeColor="text1"/>
          <w:kern w:val="0"/>
          <w:sz w:val="28"/>
          <w:szCs w:val="28"/>
          <w14:ligatures w14:val="none"/>
        </w:rPr>
        <w:t>Antimicrobial Resistance (AMR) as a Core Challenge in HAIs</w:t>
      </w:r>
      <w:bookmarkEnd w:id="16"/>
    </w:p>
    <w:p w14:paraId="74C8AACA" w14:textId="77777777" w:rsidR="0071266F" w:rsidRPr="00615A71" w:rsidRDefault="0071266F"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EE05C38" w14:textId="77777777" w:rsidR="00FA3949" w:rsidRPr="00FA3949" w:rsidRDefault="00FA3949" w:rsidP="00FA394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3949">
        <w:rPr>
          <w:rFonts w:asciiTheme="majorBidi" w:eastAsiaTheme="minorEastAsia" w:hAnsiTheme="majorBidi" w:cstheme="majorBidi"/>
          <w:color w:val="000000" w:themeColor="text1"/>
          <w:kern w:val="0"/>
          <w:sz w:val="28"/>
          <w:szCs w:val="28"/>
          <w14:ligatures w14:val="none"/>
        </w:rPr>
        <w:t>Antimicrobial resistance (AMR) is the only thing making the global fight against hospital-acquired infections (HAIs) more difficult. Clinically and fiscally expensive as HAIs are in their own right, with the added element of resistance to standard treatment protocols has rendered them from very treatable conditions to life-threatening system-wrenching emergencies. According to the Global Research on Antimicrobial Resistance (GRAM) Project, in 2019 bacterial AMR was a direct cause of 1.27 million deaths and contributed to nearly 4.95 million deaths globally (Murray et al., 2022). This magnitude highlights how close AMR is to HAIs, particularly in institutions where susceptibility to pathogens and exposure to antibiotics are highest—hospital and other health facilities.</w:t>
      </w:r>
    </w:p>
    <w:p w14:paraId="503E7BE0" w14:textId="77777777" w:rsidR="00FA3949" w:rsidRPr="00FA3949" w:rsidRDefault="00FA3949" w:rsidP="00FA394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3949">
        <w:rPr>
          <w:rFonts w:asciiTheme="majorBidi" w:eastAsiaTheme="minorEastAsia" w:hAnsiTheme="majorBidi" w:cstheme="majorBidi"/>
          <w:color w:val="000000" w:themeColor="text1"/>
          <w:kern w:val="0"/>
          <w:sz w:val="28"/>
          <w:szCs w:val="28"/>
          <w14:ligatures w14:val="none"/>
        </w:rPr>
        <w:t>At the center of such an issue is overuse and misuse of antibiotics. Hospitals by nature are settings where antimicrobial treatment is regularly prescribed, empirically usually, and sometimes unbeknownst to the prescriber, unnecessarily. Poor prescribing practice, combined with poor IPC, create an environment in which resistant organisms will flourish. A systematic review carried out by O'Neill et al. (2023) also confirmed that up to 50% of all antibiotics prescribed in the hospital are unnecessary or inappropriate and accelerate the development of multidrug-resistant (MDR) organisms. The Centers for Disease Control and Prevention (CDC) (2022) also warns that MDR organisms currently account for more than 2.8 million infections and 35,000 deaths annually in the United States alone, many of them directly attributable to HAIs.</w:t>
      </w:r>
    </w:p>
    <w:p w14:paraId="08232EAC" w14:textId="77777777" w:rsidR="00FA3949" w:rsidRPr="00FA3949" w:rsidRDefault="00FA3949" w:rsidP="00FA394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3949">
        <w:rPr>
          <w:rFonts w:asciiTheme="majorBidi" w:eastAsiaTheme="minorEastAsia" w:hAnsiTheme="majorBidi" w:cstheme="majorBidi"/>
          <w:color w:val="000000" w:themeColor="text1"/>
          <w:kern w:val="0"/>
          <w:sz w:val="28"/>
          <w:szCs w:val="28"/>
          <w14:ligatures w14:val="none"/>
        </w:rPr>
        <w:lastRenderedPageBreak/>
        <w:t>Of special concern are a particularly significant group of pathogens both associated with HAIs as well as AMR: the ESKAPE pathogens—a collection including Enterococcus faecium, Staphylococcus aureus, Klebsiella pneumoniae, Acinetobacter baumannii, Pseudomonas aeruginosa, and Enterobacter species. They are renowned not just for their high-grade resistance but also for their ability to "escape" the action of antimicrobial drugs, thereby leading to recurring cycles of difficult-to-treat hospital infections (</w:t>
      </w:r>
      <w:proofErr w:type="spellStart"/>
      <w:r w:rsidRPr="00FA3949">
        <w:rPr>
          <w:rFonts w:asciiTheme="majorBidi" w:eastAsiaTheme="minorEastAsia" w:hAnsiTheme="majorBidi" w:cstheme="majorBidi"/>
          <w:color w:val="000000" w:themeColor="text1"/>
          <w:kern w:val="0"/>
          <w:sz w:val="28"/>
          <w:szCs w:val="28"/>
          <w14:ligatures w14:val="none"/>
        </w:rPr>
        <w:t>Santajit</w:t>
      </w:r>
      <w:proofErr w:type="spellEnd"/>
      <w:r w:rsidRPr="00FA3949">
        <w:rPr>
          <w:rFonts w:asciiTheme="majorBidi" w:eastAsiaTheme="minorEastAsia" w:hAnsiTheme="majorBidi" w:cstheme="majorBidi"/>
          <w:color w:val="000000" w:themeColor="text1"/>
          <w:kern w:val="0"/>
          <w:sz w:val="28"/>
          <w:szCs w:val="28"/>
          <w14:ligatures w14:val="none"/>
        </w:rPr>
        <w:t xml:space="preserve"> &amp; </w:t>
      </w:r>
      <w:proofErr w:type="spellStart"/>
      <w:r w:rsidRPr="00FA3949">
        <w:rPr>
          <w:rFonts w:asciiTheme="majorBidi" w:eastAsiaTheme="minorEastAsia" w:hAnsiTheme="majorBidi" w:cstheme="majorBidi"/>
          <w:color w:val="000000" w:themeColor="text1"/>
          <w:kern w:val="0"/>
          <w:sz w:val="28"/>
          <w:szCs w:val="28"/>
          <w14:ligatures w14:val="none"/>
        </w:rPr>
        <w:t>Indrawattana</w:t>
      </w:r>
      <w:proofErr w:type="spellEnd"/>
      <w:r w:rsidRPr="00FA3949">
        <w:rPr>
          <w:rFonts w:asciiTheme="majorBidi" w:eastAsiaTheme="minorEastAsia" w:hAnsiTheme="majorBidi" w:cstheme="majorBidi"/>
          <w:color w:val="000000" w:themeColor="text1"/>
          <w:kern w:val="0"/>
          <w:sz w:val="28"/>
          <w:szCs w:val="28"/>
          <w14:ligatures w14:val="none"/>
        </w:rPr>
        <w:t>, 2023). For instance, methicillin-resistant Staphylococcus aureus (MRSA) continues to be one of the major causes of bloodstream infections and surgical site infections around the world. Meanwhile, carbapenem-resistant Klebsiella pneumoniae and Acinetobacter baumannii have been identified by the World Health Organization (WHO, 2023) as priority threats because of their association with over 40% mortality in intensive care units.</w:t>
      </w:r>
    </w:p>
    <w:p w14:paraId="48C23E59" w14:textId="77777777" w:rsidR="00FA3949" w:rsidRPr="00FA3949" w:rsidRDefault="00FA3949" w:rsidP="00FA394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3949">
        <w:rPr>
          <w:rFonts w:asciiTheme="majorBidi" w:eastAsiaTheme="minorEastAsia" w:hAnsiTheme="majorBidi" w:cstheme="majorBidi"/>
          <w:color w:val="000000" w:themeColor="text1"/>
          <w:kern w:val="0"/>
          <w:sz w:val="28"/>
          <w:szCs w:val="28"/>
          <w14:ligatures w14:val="none"/>
        </w:rPr>
        <w:t xml:space="preserve">The worldwide transmission of AMR-related HAIs also reveals inequalities of health systems. The richest countries possess the most robust surveillance and treatment capacities but continue to experience resistant infection outbreaks. For example, in Europe, up to 670,000 yearly infections and 33,000 deaths result from antibiotic-resistant bacteria, of which the healthcare setting is the epicenter (ECDC, 2023). In comparison to this, low- and middle-income countries (LMICs) also have an enormously higher burden stemming from inadequate diagnostic ability, limited availability of second- and third-line antibiotics, and inadequate IPC infrastructure. Sub-Saharan Africa studies found that carbapenem-resistant Enterobacteriaceae bloodstream infections had mortality as high as 70%, much higher than in developed settings (Aiken et al., 2024). </w:t>
      </w:r>
    </w:p>
    <w:p w14:paraId="5EDEA935" w14:textId="77777777" w:rsidR="00FA3949" w:rsidRPr="00FA3949" w:rsidRDefault="00FA3949" w:rsidP="00FA394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F0E3E08" w14:textId="77777777" w:rsidR="00FA3949" w:rsidRPr="00FA3949" w:rsidRDefault="00FA3949" w:rsidP="00FA394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3949">
        <w:rPr>
          <w:rFonts w:asciiTheme="majorBidi" w:eastAsiaTheme="minorEastAsia" w:hAnsiTheme="majorBidi" w:cstheme="majorBidi"/>
          <w:color w:val="000000" w:themeColor="text1"/>
          <w:kern w:val="0"/>
          <w:sz w:val="28"/>
          <w:szCs w:val="28"/>
          <w14:ligatures w14:val="none"/>
        </w:rPr>
        <w:t xml:space="preserve">Besides clinical effects, AMR-related HAIs also pose extreme economic threats to the world's healthcare systems. The World Bank (2022) projected unmitigated AMR could reduce global GDP as much as 3.8% by 2050, or </w:t>
      </w:r>
      <w:r w:rsidRPr="00FA3949">
        <w:rPr>
          <w:rFonts w:asciiTheme="majorBidi" w:eastAsiaTheme="minorEastAsia" w:hAnsiTheme="majorBidi" w:cstheme="majorBidi"/>
          <w:color w:val="000000" w:themeColor="text1"/>
          <w:kern w:val="0"/>
          <w:sz w:val="28"/>
          <w:szCs w:val="28"/>
          <w14:ligatures w14:val="none"/>
        </w:rPr>
        <w:lastRenderedPageBreak/>
        <w:t>trillions of dollars in lost revenue. Specifically, total international hospital costs of antibiotic-resistant diseases have been projected at US$66–159 billion annually (AMR Insights, 2025). Significantly, most of this cost can be avoided. A modeling analysis approximated that $207 billion in hospital costs could be avoided by adopting complete vaccine coverage and IPC control (AMR Insights, 2025). These findings emphasize that AMR is not only a biomedical problem but also a socioeconomic problem, whose consequences extend beyond the dimension of sustainable development and global health security.</w:t>
      </w:r>
    </w:p>
    <w:p w14:paraId="006E8257" w14:textId="77777777" w:rsidR="00FA3949" w:rsidRPr="00FA3949" w:rsidRDefault="00FA3949" w:rsidP="00FA394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3949">
        <w:rPr>
          <w:rFonts w:asciiTheme="majorBidi" w:eastAsiaTheme="minorEastAsia" w:hAnsiTheme="majorBidi" w:cstheme="majorBidi"/>
          <w:color w:val="000000" w:themeColor="text1"/>
          <w:kern w:val="0"/>
          <w:sz w:val="28"/>
          <w:szCs w:val="28"/>
          <w14:ligatures w14:val="none"/>
        </w:rPr>
        <w:t>The COVID-19 pandemic aggressively sped up AMR problems in hospitals. Antibiotic overuse during the pandemic phase—where 70% to 70% of patients with COVID-19 were administered antibiotics despite less than 10% having bacterial co-infections—resulted in historical highs of selective pressures favoring resistant microbes (Rawson et al., 2021). There were increased reports of carbapenem-resistant Acinetobacter baumannii and multidrug-resistant Pseudomonas aeruginosa infections from hospitals, both of which thrive on intensive care units having high device usage (ventilators, catheters, etc.). Ironically, the pandemic also saw more attention to IPC practice and enhanced hand hygiene, isolation practice, and surveillance systems in some facilities. Such interventions were nonetheless sporadic, and the majority of the LMICs remained vulnerable to intensified AMR-associated HAIs.</w:t>
      </w:r>
    </w:p>
    <w:p w14:paraId="2A8AF762" w14:textId="77777777" w:rsidR="00FA3949" w:rsidRPr="00FA3949" w:rsidRDefault="00FA3949" w:rsidP="00FA394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3949">
        <w:rPr>
          <w:rFonts w:asciiTheme="majorBidi" w:eastAsiaTheme="minorEastAsia" w:hAnsiTheme="majorBidi" w:cstheme="majorBidi"/>
          <w:color w:val="000000" w:themeColor="text1"/>
          <w:kern w:val="0"/>
          <w:sz w:val="28"/>
          <w:szCs w:val="28"/>
          <w14:ligatures w14:val="none"/>
        </w:rPr>
        <w:t>A theoretical standpoint that is often applied in conceptualizing AMR in HAIs includes the One Health approach, which acknowledges that human health is interconnected with animal health and environmental ecosystems. Hospitals are mini-</w:t>
      </w:r>
      <w:proofErr w:type="spellStart"/>
      <w:r w:rsidRPr="00FA3949">
        <w:rPr>
          <w:rFonts w:asciiTheme="majorBidi" w:eastAsiaTheme="minorEastAsia" w:hAnsiTheme="majorBidi" w:cstheme="majorBidi"/>
          <w:color w:val="000000" w:themeColor="text1"/>
          <w:kern w:val="0"/>
          <w:sz w:val="28"/>
          <w:szCs w:val="28"/>
          <w14:ligatures w14:val="none"/>
        </w:rPr>
        <w:t>cosms</w:t>
      </w:r>
      <w:proofErr w:type="spellEnd"/>
      <w:r w:rsidRPr="00FA3949">
        <w:rPr>
          <w:rFonts w:asciiTheme="majorBidi" w:eastAsiaTheme="minorEastAsia" w:hAnsiTheme="majorBidi" w:cstheme="majorBidi"/>
          <w:color w:val="000000" w:themeColor="text1"/>
          <w:kern w:val="0"/>
          <w:sz w:val="28"/>
          <w:szCs w:val="28"/>
          <w14:ligatures w14:val="none"/>
        </w:rPr>
        <w:t xml:space="preserve"> of this wider ecological interaction. For instance, resistant bacteria from the community or agriculture can find their way into hospitals and become amplified and spread. Similarly, hospital epidemics can overflow into the community, perpetuating resistance cycles that extend beyond healthcare settings (Laxminarayan et al., 2023). This highlights that AMR management in </w:t>
      </w:r>
      <w:r w:rsidRPr="00FA3949">
        <w:rPr>
          <w:rFonts w:asciiTheme="majorBidi" w:eastAsiaTheme="minorEastAsia" w:hAnsiTheme="majorBidi" w:cstheme="majorBidi"/>
          <w:color w:val="000000" w:themeColor="text1"/>
          <w:kern w:val="0"/>
          <w:sz w:val="28"/>
          <w:szCs w:val="28"/>
          <w14:ligatures w14:val="none"/>
        </w:rPr>
        <w:lastRenderedPageBreak/>
        <w:t>HAIs entails not only interventions at a hospital level but harmonized worldwide policies that address antimicrobial stewardship by all stakeholders.</w:t>
      </w:r>
    </w:p>
    <w:p w14:paraId="1983F9C5" w14:textId="304131C9" w:rsidR="00C45826" w:rsidRDefault="00FA3949"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A3949">
        <w:rPr>
          <w:rFonts w:asciiTheme="majorBidi" w:eastAsiaTheme="minorEastAsia" w:hAnsiTheme="majorBidi" w:cstheme="majorBidi"/>
          <w:color w:val="000000" w:themeColor="text1"/>
          <w:kern w:val="0"/>
          <w:sz w:val="28"/>
          <w:szCs w:val="28"/>
          <w14:ligatures w14:val="none"/>
        </w:rPr>
        <w:t>In spite of numerous studies, there remain gaps. Most studies are pathogen prevalence and resistance patterns focused, but fewer look into the integration of risk management frameworks that combine surveillance, stewardship, IPC, and policy implementation. There is limited literature on the institutionalization of AMR control into broader enterprise risk management (ERM) policies within hospitals, in the balancing act between clinical needs and cost feasibility. Furthermore, while there are numerous international estimates, locally relevant data—especially from LMICs—are lacking, which makes it difficult to develop needs-specific interventions. In general, AMR is the largest threat to HAIs management worldwide. It magnifies clinical severity, increases mortality risk, prolongs hospital stay, and incurs increased healthcare costs. Most importantly, it stresses the importance of multi-level, integrated approaches that go beyond antibiotic discovery to also encompass stewardship, risk management, behavior change, and health system strengthening. The evidence therefore validates the impetus for the current study, aiming to explore formal risk management approaches as a tool for managing HAIs as well as their AMR-related consequences.</w:t>
      </w:r>
    </w:p>
    <w:p w14:paraId="6D25F3F8" w14:textId="77777777" w:rsidR="00FA3949" w:rsidRPr="00615A71" w:rsidRDefault="00FA3949" w:rsidP="00FA394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711BE73" w14:textId="55ECAE5D" w:rsidR="00C45826" w:rsidRPr="005E347C" w:rsidRDefault="00C45826"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17" w:name="_Toc212139838"/>
      <w:r w:rsidRPr="005E347C">
        <w:rPr>
          <w:rFonts w:asciiTheme="majorBidi" w:eastAsiaTheme="minorEastAsia" w:hAnsiTheme="majorBidi" w:cstheme="majorBidi"/>
          <w:b/>
          <w:bCs/>
          <w:color w:val="000000" w:themeColor="text1"/>
          <w:kern w:val="0"/>
          <w:sz w:val="28"/>
          <w:szCs w:val="28"/>
          <w14:ligatures w14:val="none"/>
        </w:rPr>
        <w:t>The Impact of COVID-19 on Hospital-Acquired Infections (HAIs)</w:t>
      </w:r>
      <w:bookmarkEnd w:id="17"/>
    </w:p>
    <w:p w14:paraId="7EC43158" w14:textId="77777777" w:rsidR="00C45826" w:rsidRPr="00615A71" w:rsidRDefault="00C45826"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2429BAB" w14:textId="77777777" w:rsidR="00D77D83" w:rsidRPr="00D77D83" w:rsidRDefault="00D77D83" w:rsidP="00D77D83">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77D83">
        <w:rPr>
          <w:rFonts w:asciiTheme="majorBidi" w:eastAsiaTheme="minorEastAsia" w:hAnsiTheme="majorBidi" w:cstheme="majorBidi"/>
          <w:color w:val="000000" w:themeColor="text1"/>
          <w:kern w:val="0"/>
          <w:sz w:val="28"/>
          <w:szCs w:val="28"/>
          <w14:ligatures w14:val="none"/>
        </w:rPr>
        <w:t xml:space="preserve">The pandemic of SARS-CoV-2, caused by COVID-19, reshaped healthcare systems globally in unprecedented ways. Apart from its direct systemic and respiratory expressions, the pandemic had a drastic effect on HAIs' dynamics, both exacerbating existing problems and opening up space for innovation in IPC. On the one hand, the overburdened healthcare units, increased patient loads, heavy utilization of equipment, and shortages in staff facilitated the occurrence of an HAIs surge. On the other hand, increased awareness about </w:t>
      </w:r>
      <w:r w:rsidRPr="00D77D83">
        <w:rPr>
          <w:rFonts w:asciiTheme="majorBidi" w:eastAsiaTheme="minorEastAsia" w:hAnsiTheme="majorBidi" w:cstheme="majorBidi"/>
          <w:color w:val="000000" w:themeColor="text1"/>
          <w:kern w:val="0"/>
          <w:sz w:val="28"/>
          <w:szCs w:val="28"/>
          <w14:ligatures w14:val="none"/>
        </w:rPr>
        <w:lastRenderedPageBreak/>
        <w:t>infection prevention, strict implementation of personal protective equipment (PPE), and improved hygiene practices in some facilities resulted in declines in some categories of HAIs. This coexistence is a testament to the complex interaction between a global pandemic and a deeply entrenched issue of nosocomial infection.</w:t>
      </w:r>
    </w:p>
    <w:p w14:paraId="105AB7CE" w14:textId="77777777" w:rsidR="00D77D83" w:rsidRPr="00D77D83" w:rsidRDefault="00D77D83" w:rsidP="00D77D83">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77D83">
        <w:rPr>
          <w:rFonts w:asciiTheme="majorBidi" w:eastAsiaTheme="minorEastAsia" w:hAnsiTheme="majorBidi" w:cstheme="majorBidi"/>
          <w:color w:val="000000" w:themeColor="text1"/>
          <w:kern w:val="0"/>
          <w:sz w:val="28"/>
          <w:szCs w:val="28"/>
          <w14:ligatures w14:val="none"/>
        </w:rPr>
        <w:t>Globally, studies depicted a dramatic increase in multidrug-resistant (MDR) infections throughout the COVID-19 pandemic. For example, a multicenter United States study found ventilator-associated events (VAEs) were 45% greater in 2020 than in pre-pandemic years, while central line–associated bloodstream infections (CLABSIs) was 47% greater (Patel et al., 2022). Similarly, in Europe, European Centre for Disease Prevention and Control (ECDC) reports indicated significant increases in Acinetobacter baumannii and carbapenem-resistant Klebsiella pneumoniae infections, particularly in intensive care units (ICUs) of critically ill patients with COVID-19 (ECDC, 2023). These are largely explained by the widespread use of mechanical ventilation, prolonged use of catheters, and widespread use of broad-spectrum antibiotics, all conducive to a "perfect storm" for HAIs to proliferate.</w:t>
      </w:r>
    </w:p>
    <w:p w14:paraId="034A14A9" w14:textId="77777777" w:rsidR="00D77D83" w:rsidRPr="00D77D83" w:rsidRDefault="00D77D83" w:rsidP="00D77D83">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77D83">
        <w:rPr>
          <w:rFonts w:asciiTheme="majorBidi" w:eastAsiaTheme="minorEastAsia" w:hAnsiTheme="majorBidi" w:cstheme="majorBidi"/>
          <w:color w:val="000000" w:themeColor="text1"/>
          <w:kern w:val="0"/>
          <w:sz w:val="28"/>
          <w:szCs w:val="28"/>
          <w14:ligatures w14:val="none"/>
        </w:rPr>
        <w:t xml:space="preserve">In low- and middle-income countries (LMICs), the situation was further aggravated by systemic weaknesses. Already under-staffed and inadequately equipped hospitals in Sub-Saharan Africa and South Asia faced unprecedented levels of patient surge during the pandemic. An Indian study found that the rate of bloodstream infections increased by 250% in tertiary care hospitals during the second wave of COVID-19, which was due to Klebsiella pneumoniae and Pseudomonas aeruginosa (Chaudhry et al., 2022). For Brazil, a significant increase in hospital-onset Candida auris infections was also seen, with mortality rates of more than 60% (Sabino et al., 2023). These trends emphasize LMICs' health systems' fragility and higher exposure to HAIs during crisis. The ironical scenario of the COVID-19 pandemic was overuse of antibiotics. Over 70% of COVID-19 patients, who developed severe cases less than 10%, received </w:t>
      </w:r>
      <w:r w:rsidRPr="00D77D83">
        <w:rPr>
          <w:rFonts w:asciiTheme="majorBidi" w:eastAsiaTheme="minorEastAsia" w:hAnsiTheme="majorBidi" w:cstheme="majorBidi"/>
          <w:color w:val="000000" w:themeColor="text1"/>
          <w:kern w:val="0"/>
          <w:sz w:val="28"/>
          <w:szCs w:val="28"/>
          <w14:ligatures w14:val="none"/>
        </w:rPr>
        <w:lastRenderedPageBreak/>
        <w:t>antibiotics when they had bacterial co-infections (Rawson et al., 2021). This avoidable abuse of unnecessary antibiotics did not provide clinical benefit in most cases but accelerated antimicrobial resistance (AMR), fueling the dissemination of MDR organisms among hospitals. In contrast, in some high-income settings, stricter antibiotic stewardship practices practiced during the pandemic stemmed misuse, albeit highly heterogeneously for local healthcare facilities and pandemic needs (Huttner et al., 2023).</w:t>
      </w:r>
    </w:p>
    <w:p w14:paraId="4C073B0F" w14:textId="77777777" w:rsidR="00D77D83" w:rsidRPr="00D77D83" w:rsidRDefault="00D77D83" w:rsidP="00D77D83">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77D83">
        <w:rPr>
          <w:rFonts w:asciiTheme="majorBidi" w:eastAsiaTheme="minorEastAsia" w:hAnsiTheme="majorBidi" w:cstheme="majorBidi"/>
          <w:color w:val="000000" w:themeColor="text1"/>
          <w:kern w:val="0"/>
          <w:sz w:val="28"/>
          <w:szCs w:val="28"/>
          <w14:ligatures w14:val="none"/>
        </w:rPr>
        <w:t>Apart from the increase in MDR HAIs, the pandemic also had a positive impact on infection control. Hospitals worldwide implemented stricter measures of hygiene immediately, such as compulsion to use masks, improved hand hygiene practice, improved surface disinfection, and strict isolation. Evidence from South Korea and Japan, for instance, suggested significant decreases in the rates of surgical site infection (SSI) and methicillin-resistant Staphylococcus aureus (MRSA) transmission during the early pandemic period, suggesting that strict adherence to heightened IPC measures may have protective spillover effects (Kitano et al., 2022). Similarly, reduction in hospital transmission of seasonal influenza and RSV during lockdowns highlighted the overall protective value of IPC measures instituted across all healthcare and community settings.</w:t>
      </w:r>
    </w:p>
    <w:p w14:paraId="4C7199F9" w14:textId="77777777" w:rsidR="00D77D83" w:rsidRPr="00D77D83" w:rsidRDefault="00D77D83" w:rsidP="00D77D83">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77D83">
        <w:rPr>
          <w:rFonts w:asciiTheme="majorBidi" w:eastAsiaTheme="minorEastAsia" w:hAnsiTheme="majorBidi" w:cstheme="majorBidi"/>
          <w:color w:val="000000" w:themeColor="text1"/>
          <w:kern w:val="0"/>
          <w:sz w:val="28"/>
          <w:szCs w:val="28"/>
          <w14:ligatures w14:val="none"/>
        </w:rPr>
        <w:t>These gains were uneven. Abandonment of usual IPC programs as a result of diversion of resources to COVID-19 response activities was done in most facilities. For example, daily hand hygiene monitoring, antimicrobial stewardship rounds, and environmental cleaning guidelines were exempted in some of the hospitals to reassign staff to COVID-19 critical wards (Nasir et al., 2023). This reallocation generally resulted in increased rates of HAI, particularly in hospitals with limited resources. In addition, shortages of PPE, overcrowded wards, and having to speed up the triage of patients most frequently compromised standard infection control procedures, thus triggering nosocomial outbreaks.</w:t>
      </w:r>
    </w:p>
    <w:p w14:paraId="3D2CC90A" w14:textId="77777777" w:rsidR="00D77D83" w:rsidRPr="00D77D83" w:rsidRDefault="00D77D83" w:rsidP="00D77D83">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77D83">
        <w:rPr>
          <w:rFonts w:asciiTheme="majorBidi" w:eastAsiaTheme="minorEastAsia" w:hAnsiTheme="majorBidi" w:cstheme="majorBidi"/>
          <w:color w:val="000000" w:themeColor="text1"/>
          <w:kern w:val="0"/>
          <w:sz w:val="28"/>
          <w:szCs w:val="28"/>
          <w14:ligatures w14:val="none"/>
        </w:rPr>
        <w:lastRenderedPageBreak/>
        <w:t>Theoretically, the pandemic has served as a "stress test" for healthcare systems, uncovering weaknesses in risk management practice as well as identifying areas of resilience. Resilience Engineering has also been applied to examine healthcare responses and showed that hospitals with responsive governance, effective IPC programs, and comprehensive risk management measures fared better in sustaining low HAI rates even during extreme pandemic pressures (Hollnagel, 2022). Conversely, both rigid and resource-constrained systems experienced out-of-proportion hikes in HAI incidence.</w:t>
      </w:r>
    </w:p>
    <w:p w14:paraId="1CA7A156" w14:textId="11624C7F" w:rsidR="00D77D83" w:rsidRPr="00D77D83" w:rsidRDefault="00D77D83" w:rsidP="00F548E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77D83">
        <w:rPr>
          <w:rFonts w:asciiTheme="majorBidi" w:eastAsiaTheme="minorEastAsia" w:hAnsiTheme="majorBidi" w:cstheme="majorBidi"/>
          <w:color w:val="000000" w:themeColor="text1"/>
          <w:kern w:val="0"/>
          <w:sz w:val="28"/>
          <w:szCs w:val="28"/>
          <w14:ligatures w14:val="none"/>
        </w:rPr>
        <w:t>The economic burden of pandemic-related HAIs was considerable. Increased ICU lengths of stay, the requirement for further treatment of infections resistant to antibiotics, and enhanced mortality all figured in rising costs. Pandemic-related HAIs were estimated to raise the cost of care by $10–15 billion annually between 2020 and 2022, in the United States alone (Zhang et al., 2023). In LMICs, it was worse with the dual challenge of increasing HAIs and already compromised finance mechanisms. The majority of households were pushed into poverty as they were subjected to lengthy stay in the hospital and the cost of second- or third-generation antibiotics not available through public health.</w:t>
      </w:r>
    </w:p>
    <w:p w14:paraId="65E51284" w14:textId="77777777" w:rsidR="00D77D83" w:rsidRPr="00D77D83" w:rsidRDefault="00D77D83" w:rsidP="00D77D83">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77D83">
        <w:rPr>
          <w:rFonts w:asciiTheme="majorBidi" w:eastAsiaTheme="minorEastAsia" w:hAnsiTheme="majorBidi" w:cstheme="majorBidi"/>
          <w:color w:val="000000" w:themeColor="text1"/>
          <w:kern w:val="0"/>
          <w:sz w:val="28"/>
          <w:szCs w:val="28"/>
          <w14:ligatures w14:val="none"/>
        </w:rPr>
        <w:t xml:space="preserve">Last but not least, the pandemic has significantly reshaped the research and policy agenda for HAIs. It pointed out that infection control cannot be isolated in sterile protocols but must be integrated into health security systems at large. The pandemic brought the interconnectivity of global health systems into focus, as slippages in IPC in one setting could spill over rapidly into global consequences. In addition, the pandemic also demonstrated a significant research gap: whereas considerable knowledge exists about COVID-19 transmission per se, comparatively fewer studies have investigated the long-term impact of the pandemic on the prevalence, severity, and economics of HAIs in a systematic manner. This gap highlights the need for additional research, like the current study, which should contribute to filling knowledge </w:t>
      </w:r>
      <w:r w:rsidRPr="00D77D83">
        <w:rPr>
          <w:rFonts w:asciiTheme="majorBidi" w:eastAsiaTheme="minorEastAsia" w:hAnsiTheme="majorBidi" w:cstheme="majorBidi"/>
          <w:color w:val="000000" w:themeColor="text1"/>
          <w:kern w:val="0"/>
          <w:sz w:val="28"/>
          <w:szCs w:val="28"/>
          <w14:ligatures w14:val="none"/>
        </w:rPr>
        <w:lastRenderedPageBreak/>
        <w:t>gaps on HAIs, AMR, and risk management in the context of the overall pandemic.</w:t>
      </w:r>
    </w:p>
    <w:p w14:paraId="23DA57F2" w14:textId="20044D96" w:rsidR="00F45C8A" w:rsidRDefault="00D77D83"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77D83">
        <w:rPr>
          <w:rFonts w:asciiTheme="majorBidi" w:eastAsiaTheme="minorEastAsia" w:hAnsiTheme="majorBidi" w:cstheme="majorBidi"/>
          <w:color w:val="000000" w:themeColor="text1"/>
          <w:kern w:val="0"/>
          <w:sz w:val="28"/>
          <w:szCs w:val="28"/>
          <w14:ligatures w14:val="none"/>
        </w:rPr>
        <w:t>In conclusion, the COVID-19 pandemic transformed the epidemiology of HAIs in the world. While it fueled increasing incidence rates of device-associated and MDR infections in most settings, it also generated good lessons on the protective value of stringent IPC practices. The twofold nature of these effects highlights both the weakness and strength in global healthcare systems. In the future, integration of pandemic planning into standard HAI risk management planning is not only required but imperative so that healthcare systems are prepared to deal with future crises without adding to the long-term hospital-acquired infection burden.</w:t>
      </w:r>
    </w:p>
    <w:p w14:paraId="1E3122AC" w14:textId="77777777" w:rsidR="0057683D" w:rsidRPr="00615A71" w:rsidRDefault="0057683D" w:rsidP="0057683D">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A6C9A90" w14:textId="5EBB95D2" w:rsidR="00F45C8A" w:rsidRPr="005E347C" w:rsidRDefault="00F45C8A"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18" w:name="_Toc212139839"/>
      <w:r w:rsidRPr="005E347C">
        <w:rPr>
          <w:rFonts w:asciiTheme="majorBidi" w:eastAsiaTheme="minorEastAsia" w:hAnsiTheme="majorBidi" w:cstheme="majorBidi"/>
          <w:b/>
          <w:bCs/>
          <w:color w:val="000000" w:themeColor="text1"/>
          <w:kern w:val="0"/>
          <w:sz w:val="28"/>
          <w:szCs w:val="28"/>
          <w14:ligatures w14:val="none"/>
        </w:rPr>
        <w:t>Regional Perspectives on HAIs – Middle East and LMICs</w:t>
      </w:r>
      <w:bookmarkEnd w:id="18"/>
    </w:p>
    <w:p w14:paraId="037229E8" w14:textId="77777777" w:rsidR="00F45C8A" w:rsidRPr="00615A71" w:rsidRDefault="00F45C8A"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67CD1C8"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While HAIs are a global problem, their epidemiology, patient outcome impact, and economic burden are significantly different across regions. In developed nations, quality surveillance systems, modern health facilities, and periodic infection prevention and control (IPC) practices have yielded relatively lower rates of HAIs. However, in low- and middle-income countries (LMICs)—most of the Middle East, South Asia, and Sub-Saharan Africa—the burden of HAIs remains disproportionately high. This disparity is due to structural factors such as resource shortages, hospital overcrowding, insufficient healthcare workforce, and failure to maintain regular compliance with international infection control norms. Understanding these regional differences is crucial to putting the global HAIs challenge into perspective and developing tailored risk management plans.</w:t>
      </w:r>
    </w:p>
    <w:p w14:paraId="6D88ACC3"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 xml:space="preserve">In LMICs, HAIs happen two to three times more than in developed countries (WHO, 2023). For example, a meta-analysis of hospital-acquired infections in 30 LMICs estimated pooled rates of 15.5% compared with 7.6% in high-income </w:t>
      </w:r>
      <w:r w:rsidRPr="00701ED6">
        <w:rPr>
          <w:rFonts w:asciiTheme="majorBidi" w:eastAsiaTheme="minorEastAsia" w:hAnsiTheme="majorBidi" w:cstheme="majorBidi"/>
          <w:color w:val="000000" w:themeColor="text1"/>
          <w:kern w:val="0"/>
          <w:sz w:val="28"/>
          <w:szCs w:val="28"/>
          <w14:ligatures w14:val="none"/>
        </w:rPr>
        <w:lastRenderedPageBreak/>
        <w:t>countries, with NICUs being disproportionately hit (</w:t>
      </w:r>
      <w:proofErr w:type="spellStart"/>
      <w:r w:rsidRPr="00701ED6">
        <w:rPr>
          <w:rFonts w:asciiTheme="majorBidi" w:eastAsiaTheme="minorEastAsia" w:hAnsiTheme="majorBidi" w:cstheme="majorBidi"/>
          <w:color w:val="000000" w:themeColor="text1"/>
          <w:kern w:val="0"/>
          <w:sz w:val="28"/>
          <w:szCs w:val="28"/>
          <w14:ligatures w14:val="none"/>
        </w:rPr>
        <w:t>Allegranzi</w:t>
      </w:r>
      <w:proofErr w:type="spellEnd"/>
      <w:r w:rsidRPr="00701ED6">
        <w:rPr>
          <w:rFonts w:asciiTheme="majorBidi" w:eastAsiaTheme="minorEastAsia" w:hAnsiTheme="majorBidi" w:cstheme="majorBidi"/>
          <w:color w:val="000000" w:themeColor="text1"/>
          <w:kern w:val="0"/>
          <w:sz w:val="28"/>
          <w:szCs w:val="28"/>
          <w14:ligatures w14:val="none"/>
        </w:rPr>
        <w:t xml:space="preserve"> et al., 2022). This shortage is not only quantitative but qualitative too: the most common HAIs in LMICs are more resistant to antimicrobials (AMR), are more difficult to treat, and drive the mortality rate up.</w:t>
      </w:r>
    </w:p>
    <w:p w14:paraId="2F589D24"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59141EC" w14:textId="77777777" w:rsidR="00701ED6" w:rsidRPr="00F548E1" w:rsidRDefault="00701ED6"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19" w:name="_Toc212139840"/>
      <w:r w:rsidRPr="00F548E1">
        <w:rPr>
          <w:rFonts w:asciiTheme="majorBidi" w:eastAsiaTheme="minorEastAsia" w:hAnsiTheme="majorBidi" w:cstheme="majorBidi"/>
          <w:b/>
          <w:bCs/>
          <w:color w:val="000000" w:themeColor="text1"/>
          <w:kern w:val="0"/>
          <w:sz w:val="28"/>
          <w:szCs w:val="28"/>
          <w14:ligatures w14:val="none"/>
        </w:rPr>
        <w:t>Middle East and North Africa (MENA) Region</w:t>
      </w:r>
      <w:bookmarkEnd w:id="19"/>
    </w:p>
    <w:p w14:paraId="609ADE63"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0526C22"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The Middle East, as one of the members of the category of LMICs, has its own problem in the control of HAIs. Gulf states, North Africa, and Levant states exhibit varying levels of healthcare infrastructure, but they all shared similar challenges to effective HAI control. A study from Saudi Arabia documented a 12–15% HAI rate for tertiary care hospitals with the most prevalent being VAP and bloodstream infection (Al-</w:t>
      </w:r>
      <w:proofErr w:type="spellStart"/>
      <w:r w:rsidRPr="00701ED6">
        <w:rPr>
          <w:rFonts w:asciiTheme="majorBidi" w:eastAsiaTheme="minorEastAsia" w:hAnsiTheme="majorBidi" w:cstheme="majorBidi"/>
          <w:color w:val="000000" w:themeColor="text1"/>
          <w:kern w:val="0"/>
          <w:sz w:val="28"/>
          <w:szCs w:val="28"/>
          <w14:ligatures w14:val="none"/>
        </w:rPr>
        <w:t>Tawfiq</w:t>
      </w:r>
      <w:proofErr w:type="spellEnd"/>
      <w:r w:rsidRPr="00701ED6">
        <w:rPr>
          <w:rFonts w:asciiTheme="majorBidi" w:eastAsiaTheme="minorEastAsia" w:hAnsiTheme="majorBidi" w:cstheme="majorBidi"/>
          <w:color w:val="000000" w:themeColor="text1"/>
          <w:kern w:val="0"/>
          <w:sz w:val="28"/>
          <w:szCs w:val="28"/>
          <w14:ligatures w14:val="none"/>
        </w:rPr>
        <w:t xml:space="preserve"> &amp; </w:t>
      </w:r>
      <w:proofErr w:type="spellStart"/>
      <w:r w:rsidRPr="00701ED6">
        <w:rPr>
          <w:rFonts w:asciiTheme="majorBidi" w:eastAsiaTheme="minorEastAsia" w:hAnsiTheme="majorBidi" w:cstheme="majorBidi"/>
          <w:color w:val="000000" w:themeColor="text1"/>
          <w:kern w:val="0"/>
          <w:sz w:val="28"/>
          <w:szCs w:val="28"/>
          <w14:ligatures w14:val="none"/>
        </w:rPr>
        <w:t>Rabaan</w:t>
      </w:r>
      <w:proofErr w:type="spellEnd"/>
      <w:r w:rsidRPr="00701ED6">
        <w:rPr>
          <w:rFonts w:asciiTheme="majorBidi" w:eastAsiaTheme="minorEastAsia" w:hAnsiTheme="majorBidi" w:cstheme="majorBidi"/>
          <w:color w:val="000000" w:themeColor="text1"/>
          <w:kern w:val="0"/>
          <w:sz w:val="28"/>
          <w:szCs w:val="28"/>
          <w14:ligatures w14:val="none"/>
        </w:rPr>
        <w:t>, 2022). In Egypt, cross-sectional surveys have reported HAI rates of 10% to 20% among in-patients, and the commonest pathogens were multidrug-resistant Klebsiella pneumoniae and Acinetobacter baumannii (Hassan et al., 2022).</w:t>
      </w:r>
    </w:p>
    <w:p w14:paraId="650B2AF7"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It is worse in countries affected by conflict such as Syria, Yemen, and parts of Iraq, where health facilities have been severely destroyed. In such circumstances, hospitals lack consistent water supplies, sterilization facilities, and isolation wings, making infection prevention nearly impossible. A Yemeni study documented that more than 40% of ICU patients developed HAIs, primarily caused by multidrug-resistant organisms, and more than 50% of patients died in some wards (</w:t>
      </w:r>
      <w:proofErr w:type="spellStart"/>
      <w:r w:rsidRPr="00701ED6">
        <w:rPr>
          <w:rFonts w:asciiTheme="majorBidi" w:eastAsiaTheme="minorEastAsia" w:hAnsiTheme="majorBidi" w:cstheme="majorBidi"/>
          <w:color w:val="000000" w:themeColor="text1"/>
          <w:kern w:val="0"/>
          <w:sz w:val="28"/>
          <w:szCs w:val="28"/>
          <w14:ligatures w14:val="none"/>
        </w:rPr>
        <w:t>Shibib</w:t>
      </w:r>
      <w:proofErr w:type="spellEnd"/>
      <w:r w:rsidRPr="00701ED6">
        <w:rPr>
          <w:rFonts w:asciiTheme="majorBidi" w:eastAsiaTheme="minorEastAsia" w:hAnsiTheme="majorBidi" w:cstheme="majorBidi"/>
          <w:color w:val="000000" w:themeColor="text1"/>
          <w:kern w:val="0"/>
          <w:sz w:val="28"/>
          <w:szCs w:val="28"/>
          <w14:ligatures w14:val="none"/>
        </w:rPr>
        <w:t xml:space="preserve"> et al., 2023). This reflects the intersection of political instability, weakened healthcare systems, and heightened HAI risks within the Middle East.</w:t>
      </w:r>
    </w:p>
    <w:p w14:paraId="787C4508"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 xml:space="preserve">Another element in the region is that there is intensified development of medical tourism, and especially in countries such as the United Arab Emirates (UAE), Jordan, and Turkey. While this has intensified investment in the health sector, it has also introduced new challenges of infection control, since the hospitals </w:t>
      </w:r>
      <w:r w:rsidRPr="00701ED6">
        <w:rPr>
          <w:rFonts w:asciiTheme="majorBidi" w:eastAsiaTheme="minorEastAsia" w:hAnsiTheme="majorBidi" w:cstheme="majorBidi"/>
          <w:color w:val="000000" w:themeColor="text1"/>
          <w:kern w:val="0"/>
          <w:sz w:val="28"/>
          <w:szCs w:val="28"/>
          <w14:ligatures w14:val="none"/>
        </w:rPr>
        <w:lastRenderedPageBreak/>
        <w:t>must accommodate large numbers of patients, diverse clinical procedures, and heterogeneous infection risks. A 2023 review by Infection Control &amp; Hospital Epidemiology stated that international patients are likely to arrive with pre-existing colonization with resistant bacteria, thereby increasing local HAI risks (</w:t>
      </w:r>
      <w:proofErr w:type="spellStart"/>
      <w:r w:rsidRPr="00701ED6">
        <w:rPr>
          <w:rFonts w:asciiTheme="majorBidi" w:eastAsiaTheme="minorEastAsia" w:hAnsiTheme="majorBidi" w:cstheme="majorBidi"/>
          <w:color w:val="000000" w:themeColor="text1"/>
          <w:kern w:val="0"/>
          <w:sz w:val="28"/>
          <w:szCs w:val="28"/>
          <w14:ligatures w14:val="none"/>
        </w:rPr>
        <w:t>Harbarth</w:t>
      </w:r>
      <w:proofErr w:type="spellEnd"/>
      <w:r w:rsidRPr="00701ED6">
        <w:rPr>
          <w:rFonts w:asciiTheme="majorBidi" w:eastAsiaTheme="minorEastAsia" w:hAnsiTheme="majorBidi" w:cstheme="majorBidi"/>
          <w:color w:val="000000" w:themeColor="text1"/>
          <w:kern w:val="0"/>
          <w:sz w:val="28"/>
          <w:szCs w:val="28"/>
          <w14:ligatures w14:val="none"/>
        </w:rPr>
        <w:t xml:space="preserve"> et al., 2023).</w:t>
      </w:r>
    </w:p>
    <w:p w14:paraId="5271350C"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C0CF1D6" w14:textId="77777777" w:rsidR="00701ED6" w:rsidRPr="00F548E1" w:rsidRDefault="00701ED6"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0" w:name="_Toc212139841"/>
      <w:r w:rsidRPr="00F548E1">
        <w:rPr>
          <w:rFonts w:asciiTheme="majorBidi" w:eastAsiaTheme="minorEastAsia" w:hAnsiTheme="majorBidi" w:cstheme="majorBidi"/>
          <w:b/>
          <w:bCs/>
          <w:color w:val="000000" w:themeColor="text1"/>
          <w:kern w:val="0"/>
          <w:sz w:val="28"/>
          <w:szCs w:val="28"/>
          <w14:ligatures w14:val="none"/>
        </w:rPr>
        <w:t>South Asia and Sub-Saharan Africa</w:t>
      </w:r>
      <w:bookmarkEnd w:id="20"/>
    </w:p>
    <w:p w14:paraId="77A68ED5"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BC27764"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 xml:space="preserve">HAIs remain a significant threat in South Asia. India boasts one of the world's largest healthcare systems and has been having 20–30% HAI prevalence rates for intensive care units, which are most often associated with Klebsiella pneumoniae and Pseudomonas aeruginosa (Kumar et al., 2023). Pakistan and Bangladesh also show similar trends, where neonatal sepsis is the major cause of infant mortality. These settings are compounded by poor laboratory capacity and lack of antimicrobial stewardship, as </w:t>
      </w:r>
      <w:proofErr w:type="gramStart"/>
      <w:r w:rsidRPr="00701ED6">
        <w:rPr>
          <w:rFonts w:asciiTheme="majorBidi" w:eastAsiaTheme="minorEastAsia" w:hAnsiTheme="majorBidi" w:cstheme="majorBidi"/>
          <w:color w:val="000000" w:themeColor="text1"/>
          <w:kern w:val="0"/>
          <w:sz w:val="28"/>
          <w:szCs w:val="28"/>
          <w14:ligatures w14:val="none"/>
        </w:rPr>
        <w:t>clinicians</w:t>
      </w:r>
      <w:proofErr w:type="gramEnd"/>
      <w:r w:rsidRPr="00701ED6">
        <w:rPr>
          <w:rFonts w:asciiTheme="majorBidi" w:eastAsiaTheme="minorEastAsia" w:hAnsiTheme="majorBidi" w:cstheme="majorBidi"/>
          <w:color w:val="000000" w:themeColor="text1"/>
          <w:kern w:val="0"/>
          <w:sz w:val="28"/>
          <w:szCs w:val="28"/>
          <w14:ligatures w14:val="none"/>
        </w:rPr>
        <w:t xml:space="preserve"> resort to empirical antibiotic use without confirmation by culture.</w:t>
      </w:r>
    </w:p>
    <w:p w14:paraId="6CFCEA9A" w14:textId="54D8C589" w:rsidR="00701ED6" w:rsidRPr="00701ED6" w:rsidRDefault="00701ED6" w:rsidP="00AA635E">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Things are worse in Sub-Saharan Africa. Systematic review of 25 African countries showed overall prevalence of HAIs to be 15.7%, where most common were surgical site infections and catheter-associated urinary tract infection (Aiken et al., 2024). The study also indicated that death from HAIs in African hospitals may be up to 25–30%, even more in neonates and surgery cases. Also, it is economically devastating. For instance, Kenya and Nigeria have some estimated two billion dollars annually in healthcare expenditure and lost productivity as a result of HAIs, equivalent to 1–2% of GDP in some estimates (Aiken et al., 2024).</w:t>
      </w:r>
    </w:p>
    <w:p w14:paraId="2F3CF270" w14:textId="1B1F0172" w:rsidR="00701ED6" w:rsidRPr="00AA635E" w:rsidRDefault="00701ED6" w:rsidP="00AA635E">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AA635E">
        <w:rPr>
          <w:rFonts w:asciiTheme="majorBidi" w:eastAsiaTheme="minorEastAsia" w:hAnsiTheme="majorBidi" w:cstheme="majorBidi"/>
          <w:b/>
          <w:bCs/>
          <w:color w:val="000000" w:themeColor="text1"/>
          <w:kern w:val="0"/>
          <w:sz w:val="28"/>
          <w:szCs w:val="28"/>
          <w14:ligatures w14:val="none"/>
        </w:rPr>
        <w:t>Structural and Systemic Barriers</w:t>
      </w:r>
    </w:p>
    <w:p w14:paraId="502D83E9"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A number of systemic issues account for the dominant burden of HAIs within LMICs and the Middle East:</w:t>
      </w:r>
    </w:p>
    <w:p w14:paraId="7D2A5795" w14:textId="53181BB5"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8D76AEC" w14:textId="0948790F" w:rsidR="00701ED6" w:rsidRPr="00077686" w:rsidRDefault="00701ED6">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077686">
        <w:rPr>
          <w:rFonts w:asciiTheme="majorBidi" w:eastAsiaTheme="minorEastAsia" w:hAnsiTheme="majorBidi" w:cstheme="majorBidi"/>
          <w:color w:val="000000" w:themeColor="text1"/>
          <w:kern w:val="0"/>
          <w:sz w:val="28"/>
          <w:szCs w:val="28"/>
          <w14:ligatures w14:val="none"/>
        </w:rPr>
        <w:lastRenderedPageBreak/>
        <w:t>Infrastructure limitations – Lack of negative pressure rooms, functioning sterilization units, and reliable water supplies allows for ready survival and transmission of pathogens.</w:t>
      </w:r>
    </w:p>
    <w:p w14:paraId="6B2D9A7A" w14:textId="77777777" w:rsidR="00701ED6" w:rsidRPr="00AA635E" w:rsidRDefault="00701ED6">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A635E">
        <w:rPr>
          <w:rFonts w:asciiTheme="majorBidi" w:eastAsiaTheme="minorEastAsia" w:hAnsiTheme="majorBidi" w:cstheme="majorBidi"/>
          <w:color w:val="000000" w:themeColor="text1"/>
          <w:kern w:val="0"/>
          <w:sz w:val="28"/>
          <w:szCs w:val="28"/>
          <w14:ligatures w14:val="none"/>
        </w:rPr>
        <w:t>Understaffing and undercrowding – Patient-to-nurse ratios in some LMICs reach 20:1, frustrating hand hygiene and other IPC practices (Nasir et al., 2023).</w:t>
      </w:r>
    </w:p>
    <w:p w14:paraId="4F8C23BE" w14:textId="7877F6F9" w:rsidR="00701ED6" w:rsidRPr="00AA635E" w:rsidRDefault="00701ED6">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A635E">
        <w:rPr>
          <w:rFonts w:asciiTheme="majorBidi" w:eastAsiaTheme="minorEastAsia" w:hAnsiTheme="majorBidi" w:cstheme="majorBidi"/>
          <w:color w:val="000000" w:themeColor="text1"/>
          <w:kern w:val="0"/>
          <w:sz w:val="28"/>
          <w:szCs w:val="28"/>
          <w14:ligatures w14:val="none"/>
        </w:rPr>
        <w:t>Limited laboratory capacity – Without microbiological diagnostics, clinicians will treat infections in a blind fashion, with resultant overuse of antibiotics and rising resistance.</w:t>
      </w:r>
    </w:p>
    <w:p w14:paraId="26828F32" w14:textId="596AFD88" w:rsidR="00701ED6" w:rsidRPr="00AA635E" w:rsidRDefault="00701ED6">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A635E">
        <w:rPr>
          <w:rFonts w:asciiTheme="majorBidi" w:eastAsiaTheme="minorEastAsia" w:hAnsiTheme="majorBidi" w:cstheme="majorBidi"/>
          <w:color w:val="000000" w:themeColor="text1"/>
          <w:kern w:val="0"/>
          <w:sz w:val="28"/>
          <w:szCs w:val="28"/>
          <w14:ligatures w14:val="none"/>
        </w:rPr>
        <w:t>Weak governance and surveillance – Unlike the established surveillance systems in Europe and North America, LMICs do not typically have national HAI surveillance systems in place, thereby making it difficult to monitor, report, and respond promptly to outbreaks.</w:t>
      </w:r>
    </w:p>
    <w:p w14:paraId="79BC3C77" w14:textId="77777777" w:rsidR="00701ED6" w:rsidRPr="00AA635E" w:rsidRDefault="00701ED6">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A635E">
        <w:rPr>
          <w:rFonts w:asciiTheme="majorBidi" w:eastAsiaTheme="minorEastAsia" w:hAnsiTheme="majorBidi" w:cstheme="majorBidi"/>
          <w:color w:val="000000" w:themeColor="text1"/>
          <w:kern w:val="0"/>
          <w:sz w:val="28"/>
          <w:szCs w:val="28"/>
          <w14:ligatures w14:val="none"/>
        </w:rPr>
        <w:t>Behavioral and cultural determinants – Low level of protocol awareness of IPC, hierarchical structure of healthcare in certain environments, and lack of adequate continuing medical education hinder compliance.</w:t>
      </w:r>
    </w:p>
    <w:p w14:paraId="45689020" w14:textId="77777777" w:rsidR="00701ED6" w:rsidRPr="00077686" w:rsidRDefault="00701ED6"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1" w:name="_Toc212139842"/>
      <w:r w:rsidRPr="00077686">
        <w:rPr>
          <w:rFonts w:asciiTheme="majorBidi" w:eastAsiaTheme="minorEastAsia" w:hAnsiTheme="majorBidi" w:cstheme="majorBidi"/>
          <w:b/>
          <w:bCs/>
          <w:color w:val="000000" w:themeColor="text1"/>
          <w:kern w:val="0"/>
          <w:sz w:val="28"/>
          <w:szCs w:val="28"/>
          <w14:ligatures w14:val="none"/>
        </w:rPr>
        <w:t>Opportunities and Emerging Interventions</w:t>
      </w:r>
      <w:bookmarkEnd w:id="21"/>
    </w:p>
    <w:p w14:paraId="576DEEDF"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F71B349"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Despite these challenges, several promising interventions are in pilot in LMICs and Middle Eastern countries. For example, WHO's Infection Prevention and Control (IPC) Assessment Framework was implemented in several Egyptian, Jordanian, and Nigerian hospitals, and initial findings report improvement in hand hygiene compliance and reduction in bloodstream infections (WHO, 2023). Further, local initiatives such as the Gulf Cooperation Council's (GCC) antimicrobial stewardship programs are already decelerating inappropriate antibiotic prescribing in tertiary hospitals (Al-Tawfiq et al., 2023).</w:t>
      </w:r>
    </w:p>
    <w:p w14:paraId="37F7BBEE" w14:textId="77777777" w:rsidR="00701ED6" w:rsidRPr="00701ED6" w:rsidRDefault="00701ED6" w:rsidP="00701ED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 xml:space="preserve">In addition, the COVID-19 pandemic, as catastrophic as it was, has imparted a lasting gift of increased IPC awareness. Middle Eastern and African hospitals have seen manifold increases in staff training, purchase of PPE, and investment </w:t>
      </w:r>
      <w:r w:rsidRPr="00701ED6">
        <w:rPr>
          <w:rFonts w:asciiTheme="majorBidi" w:eastAsiaTheme="minorEastAsia" w:hAnsiTheme="majorBidi" w:cstheme="majorBidi"/>
          <w:color w:val="000000" w:themeColor="text1"/>
          <w:kern w:val="0"/>
          <w:sz w:val="28"/>
          <w:szCs w:val="28"/>
          <w14:ligatures w14:val="none"/>
        </w:rPr>
        <w:lastRenderedPageBreak/>
        <w:t>in surveillance technology since 2020 (Nasir et al., 2023). This indicates that, with continued political will and investment, the region may be able to convert lessons learned from the pandemic to minimize the HAIs' burden.</w:t>
      </w:r>
    </w:p>
    <w:p w14:paraId="17AB305B" w14:textId="35F16D15" w:rsidR="005531AA" w:rsidRDefault="00701ED6"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701ED6">
        <w:rPr>
          <w:rFonts w:asciiTheme="majorBidi" w:eastAsiaTheme="minorEastAsia" w:hAnsiTheme="majorBidi" w:cstheme="majorBidi"/>
          <w:color w:val="000000" w:themeColor="text1"/>
          <w:kern w:val="0"/>
          <w:sz w:val="28"/>
          <w:szCs w:val="28"/>
          <w14:ligatures w14:val="none"/>
        </w:rPr>
        <w:t xml:space="preserve">In summary, regional perceptions of HAIs portray dramatic differences between the high-income countries and LMICs, particularly in Africa and the Middle East. The asymmetrical burden distribution in the concerned regions is a reflection of systemic defects that must be addressed urgently. Control of HAIs in LMICs is not just a clinical necessity but also a matter of health equity and global solidarity, since resistant organisms that spread in one part of the world can easily cross boundaries and undermine global health security. This </w:t>
      </w:r>
      <w:proofErr w:type="spellStart"/>
      <w:r w:rsidRPr="00701ED6">
        <w:rPr>
          <w:rFonts w:asciiTheme="majorBidi" w:eastAsiaTheme="minorEastAsia" w:hAnsiTheme="majorBidi" w:cstheme="majorBidi"/>
          <w:color w:val="000000" w:themeColor="text1"/>
          <w:kern w:val="0"/>
          <w:sz w:val="28"/>
          <w:szCs w:val="28"/>
          <w14:ligatures w14:val="none"/>
        </w:rPr>
        <w:t>backgroud</w:t>
      </w:r>
      <w:proofErr w:type="spellEnd"/>
      <w:r w:rsidRPr="00701ED6">
        <w:rPr>
          <w:rFonts w:asciiTheme="majorBidi" w:eastAsiaTheme="minorEastAsia" w:hAnsiTheme="majorBidi" w:cstheme="majorBidi"/>
          <w:color w:val="000000" w:themeColor="text1"/>
          <w:kern w:val="0"/>
          <w:sz w:val="28"/>
          <w:szCs w:val="28"/>
          <w14:ligatures w14:val="none"/>
        </w:rPr>
        <w:t xml:space="preserve"> information also underpins the focus of the present study on risk management as a central intervention to reduce HAIs in specialized care facilities.</w:t>
      </w:r>
    </w:p>
    <w:p w14:paraId="3EE279AA" w14:textId="77777777" w:rsidR="00F548E1" w:rsidRPr="00615A71" w:rsidRDefault="00F548E1" w:rsidP="00F548E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D6AC88F" w14:textId="60B4F38A" w:rsidR="005531AA" w:rsidRPr="009C7ADA" w:rsidRDefault="005531AA" w:rsidP="00275181">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2" w:name="_Toc212139843"/>
      <w:r w:rsidRPr="009C7ADA">
        <w:rPr>
          <w:rFonts w:asciiTheme="majorBidi" w:eastAsiaTheme="minorEastAsia" w:hAnsiTheme="majorBidi" w:cstheme="majorBidi"/>
          <w:b/>
          <w:bCs/>
          <w:color w:val="000000" w:themeColor="text1"/>
          <w:kern w:val="0"/>
          <w:sz w:val="28"/>
          <w:szCs w:val="28"/>
          <w14:ligatures w14:val="none"/>
        </w:rPr>
        <w:t>Theoretical Models for Risk Management in HAIs</w:t>
      </w:r>
      <w:bookmarkEnd w:id="22"/>
    </w:p>
    <w:p w14:paraId="249CE3F4" w14:textId="77777777" w:rsidR="005531AA" w:rsidRPr="00615A71" w:rsidRDefault="005531AA"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F8175B8"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Hospital-acquired infection (HAI) is not just a microbiology and clinical care issue; it is an issue of risk management. As elaborate organizations, hospitals must have the capacity to forecast, detect, and prevent the risk of infection through systematic models that guide policy, staff behavior, and clinical intervention. Theoretical models have been put forward during the last decades in an attempt to encapsulate risk management in health care and specifically to manage HAIs. These models provide valuable insights into the processes by which risks develop, spread, and can be contained. This section briefly reviews high-profile theoretical models used to address HAI management, highlighting their primary principles, strengths, limitations, and applicability in today's healthcare environment.</w:t>
      </w:r>
    </w:p>
    <w:p w14:paraId="148DE8F7" w14:textId="77777777" w:rsid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11ACF31" w14:textId="77777777" w:rsidR="00D13D2F" w:rsidRPr="001562DC" w:rsidRDefault="00D13D2F" w:rsidP="00D13D2F">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32F0C65" w14:textId="77777777" w:rsidR="001562DC" w:rsidRPr="00D13D2F" w:rsidRDefault="001562DC" w:rsidP="001562D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D13D2F">
        <w:rPr>
          <w:rFonts w:asciiTheme="majorBidi" w:eastAsiaTheme="minorEastAsia" w:hAnsiTheme="majorBidi" w:cstheme="majorBidi"/>
          <w:b/>
          <w:bCs/>
          <w:color w:val="000000" w:themeColor="text1"/>
          <w:kern w:val="0"/>
          <w:sz w:val="28"/>
          <w:szCs w:val="28"/>
          <w14:ligatures w14:val="none"/>
        </w:rPr>
        <w:lastRenderedPageBreak/>
        <w:t>1. The Swiss Cheese Model</w:t>
      </w:r>
    </w:p>
    <w:p w14:paraId="5EFB4F2A"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A18DB3E"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The most widely used theory of healthcare risk management is perhaps Reason's Swiss Cheese Model of Accident Causation (Reason, 2000). The theory defines risk as several layers of defenses or safety precautions (the "slices of cheese") that possess inherent vulnerabilities or "holes." An error of safety, for instance, an HAI, occurs when holes in more than one layer coincide, allowing the dangers to pass through.</w:t>
      </w:r>
    </w:p>
    <w:p w14:paraId="569FC352"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Used in the context of infection control, the model identifies how HAIs usually stem from the coordination of several failures—like poor hand hygiene, incorrect sterilization of equipment, misuse of antibiotics, or environmental cleaning breakdown. For example, even when antibiotics are correctly prescribed, if the healthcare provider does not wash hands before patient contact, the remaining "hole" in the system can still permit transmission of infection (Al-Kuwaiti &amp; Aziz, 2022). The strength of this model lies in the emphasis on systems thinking, which forces healthcare organizations to consider not only single blunders but structural weaknesses that permit infections to occur. The model is too static for critics' tastes and does not accurately represent the dynamic, adaptive reality of healthcare systems (Hollnagel, 2022).</w:t>
      </w:r>
    </w:p>
    <w:p w14:paraId="4A150CE9"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49D249B" w14:textId="77777777" w:rsidR="001562DC" w:rsidRPr="00D13D2F" w:rsidRDefault="001562DC" w:rsidP="001562D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D13D2F">
        <w:rPr>
          <w:rFonts w:asciiTheme="majorBidi" w:eastAsiaTheme="minorEastAsia" w:hAnsiTheme="majorBidi" w:cstheme="majorBidi"/>
          <w:b/>
          <w:bCs/>
          <w:color w:val="000000" w:themeColor="text1"/>
          <w:kern w:val="0"/>
          <w:sz w:val="28"/>
          <w:szCs w:val="28"/>
          <w14:ligatures w14:val="none"/>
        </w:rPr>
        <w:t>2. High Reliability Organization (HRO) Theory</w:t>
      </w:r>
    </w:p>
    <w:p w14:paraId="3B921F9B"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FD35A38"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Theoretical basis for High Reliability Organizations (HROs) originates from such areas as aviation and nuclear energy, where catastrophic failure must be avoided even in the context of complex, dangerous settings. For healthcare, HRO theory addresses five principles: preoccupation with failure, reluctance to simplify, sensitivity to operations, commitment to resilience, and deference to expertise (Weick &amp; Sutcliffe, 2015).</w:t>
      </w:r>
    </w:p>
    <w:p w14:paraId="1A38F92D"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lastRenderedPageBreak/>
        <w:t>In the HAIs context, adopting an HRO perspective demands that hospitals be constantly on the lookout for signs of risk of infection, remain vigilant even when infection levels appear low, and grant frontline staff permission to express concerns and take action on them. Studies in U.S. hospitals adopting HRO ideals demonstrated a reduction of central line-associated bloodstream infections (CLABSIs) by 20–30% in 18 months (Chassin &amp; Loeb, 2022). The resiliency and flexibility embedded in HRO theory render it especially relevant to LMICs and Middle Eastern healthcare systems, where abrupt resource availability and patient flow fluctuations like to test infection control work.</w:t>
      </w:r>
    </w:p>
    <w:p w14:paraId="16BBFD4E"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4F15787" w14:textId="77777777" w:rsidR="001562DC" w:rsidRPr="00D13D2F" w:rsidRDefault="001562DC" w:rsidP="001562D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D13D2F">
        <w:rPr>
          <w:rFonts w:asciiTheme="majorBidi" w:eastAsiaTheme="minorEastAsia" w:hAnsiTheme="majorBidi" w:cstheme="majorBidi"/>
          <w:b/>
          <w:bCs/>
          <w:color w:val="000000" w:themeColor="text1"/>
          <w:kern w:val="0"/>
          <w:sz w:val="28"/>
          <w:szCs w:val="28"/>
          <w14:ligatures w14:val="none"/>
        </w:rPr>
        <w:t>3. Systems Engineering Initiative for Patient Safety (SEIPS) Model</w:t>
      </w:r>
    </w:p>
    <w:p w14:paraId="79B7A6BD"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584928E"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The SEIPS model (</w:t>
      </w:r>
      <w:proofErr w:type="spellStart"/>
      <w:r w:rsidRPr="001562DC">
        <w:rPr>
          <w:rFonts w:asciiTheme="majorBidi" w:eastAsiaTheme="minorEastAsia" w:hAnsiTheme="majorBidi" w:cstheme="majorBidi"/>
          <w:color w:val="000000" w:themeColor="text1"/>
          <w:kern w:val="0"/>
          <w:sz w:val="28"/>
          <w:szCs w:val="28"/>
          <w14:ligatures w14:val="none"/>
        </w:rPr>
        <w:t>Carayon</w:t>
      </w:r>
      <w:proofErr w:type="spellEnd"/>
      <w:r w:rsidRPr="001562DC">
        <w:rPr>
          <w:rFonts w:asciiTheme="majorBidi" w:eastAsiaTheme="minorEastAsia" w:hAnsiTheme="majorBidi" w:cstheme="majorBidi"/>
          <w:color w:val="000000" w:themeColor="text1"/>
          <w:kern w:val="0"/>
          <w:sz w:val="28"/>
          <w:szCs w:val="28"/>
          <w14:ligatures w14:val="none"/>
        </w:rPr>
        <w:t xml:space="preserve"> et al., 2020) is a human factors and systems engineering approach to patient safety. It centers on interactions between five critical components: people, tasks, tools/technology, physical environment, and organizational conditions. These components form a work system that influences processes and, ultimately, outcomes.</w:t>
      </w:r>
    </w:p>
    <w:p w14:paraId="19F708A9"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SEIPS, in the case of HAI risk management, indicates that infection prevention is not merely a matter of individual behavior but a result of interaction between multiple factors. For example, hand hygiene adherence by a nurse (people) depends on the presence of hand sanitizers (tools), proximity of dispensers (environment), pressure of time (tasks), and healthcare policies (organization). By highlighting these interdependencies, SEIPS offers a general model for designing interventions that combat the root causes of non-compliance rather than dealing with them separately (</w:t>
      </w:r>
      <w:proofErr w:type="spellStart"/>
      <w:r w:rsidRPr="001562DC">
        <w:rPr>
          <w:rFonts w:asciiTheme="majorBidi" w:eastAsiaTheme="minorEastAsia" w:hAnsiTheme="majorBidi" w:cstheme="majorBidi"/>
          <w:color w:val="000000" w:themeColor="text1"/>
          <w:kern w:val="0"/>
          <w:sz w:val="28"/>
          <w:szCs w:val="28"/>
          <w14:ligatures w14:val="none"/>
        </w:rPr>
        <w:t>Carayon</w:t>
      </w:r>
      <w:proofErr w:type="spellEnd"/>
      <w:r w:rsidRPr="001562DC">
        <w:rPr>
          <w:rFonts w:asciiTheme="majorBidi" w:eastAsiaTheme="minorEastAsia" w:hAnsiTheme="majorBidi" w:cstheme="majorBidi"/>
          <w:color w:val="000000" w:themeColor="text1"/>
          <w:kern w:val="0"/>
          <w:sz w:val="28"/>
          <w:szCs w:val="28"/>
          <w14:ligatures w14:val="none"/>
        </w:rPr>
        <w:t xml:space="preserve"> et al., 2020).</w:t>
      </w:r>
    </w:p>
    <w:p w14:paraId="35140247"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BA83130" w14:textId="77777777" w:rsidR="001562DC" w:rsidRPr="00D13D2F" w:rsidRDefault="001562DC" w:rsidP="001562D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D13D2F">
        <w:rPr>
          <w:rFonts w:asciiTheme="majorBidi" w:eastAsiaTheme="minorEastAsia" w:hAnsiTheme="majorBidi" w:cstheme="majorBidi"/>
          <w:b/>
          <w:bCs/>
          <w:color w:val="000000" w:themeColor="text1"/>
          <w:kern w:val="0"/>
          <w:sz w:val="28"/>
          <w:szCs w:val="28"/>
          <w14:ligatures w14:val="none"/>
        </w:rPr>
        <w:t>4. Risk Management Cycle (ISO 31000 Framework)</w:t>
      </w:r>
    </w:p>
    <w:p w14:paraId="5E73DEA5"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E314279"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lastRenderedPageBreak/>
        <w:t>ISO 31000 Risk Management Framework has found widespread application within the health sector to structure risk identification, measurement, mitigation, and monitoring. The model facilitates a cyclical process: establishing the context, identifying risks, evaluating risks, establishing their worth, treating them, and monitoring (ISO, 2018).</w:t>
      </w:r>
    </w:p>
    <w:p w14:paraId="62CFF053"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Applied to HAIs, the model would entail establishing infection control priority, identifying high-risk problems (e.g., surgical site infections), analyzing contributing factors (e.g., poor sterilization processes), evaluating probability and consequence, applying controls (e.g., surgical checklists), and monitoring infection patterns with surveillance systems. European hospitals that applied ISO 31000 principles for infection control showed significant decreases in risk assessment paperwork and number of outbreaks (</w:t>
      </w:r>
      <w:proofErr w:type="spellStart"/>
      <w:r w:rsidRPr="001562DC">
        <w:rPr>
          <w:rFonts w:asciiTheme="majorBidi" w:eastAsiaTheme="minorEastAsia" w:hAnsiTheme="majorBidi" w:cstheme="majorBidi"/>
          <w:color w:val="000000" w:themeColor="text1"/>
          <w:kern w:val="0"/>
          <w:sz w:val="28"/>
          <w:szCs w:val="28"/>
          <w14:ligatures w14:val="none"/>
        </w:rPr>
        <w:t>Elmontsri</w:t>
      </w:r>
      <w:proofErr w:type="spellEnd"/>
      <w:r w:rsidRPr="001562DC">
        <w:rPr>
          <w:rFonts w:asciiTheme="majorBidi" w:eastAsiaTheme="minorEastAsia" w:hAnsiTheme="majorBidi" w:cstheme="majorBidi"/>
          <w:color w:val="000000" w:themeColor="text1"/>
          <w:kern w:val="0"/>
          <w:sz w:val="28"/>
          <w:szCs w:val="28"/>
          <w14:ligatures w14:val="none"/>
        </w:rPr>
        <w:t xml:space="preserve"> et al., 2022).</w:t>
      </w:r>
    </w:p>
    <w:p w14:paraId="5E438E38"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0B3F407" w14:textId="77777777" w:rsidR="001562DC" w:rsidRPr="00D13D2F" w:rsidRDefault="001562DC" w:rsidP="001562D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D13D2F">
        <w:rPr>
          <w:rFonts w:asciiTheme="majorBidi" w:eastAsiaTheme="minorEastAsia" w:hAnsiTheme="majorBidi" w:cstheme="majorBidi"/>
          <w:b/>
          <w:bCs/>
          <w:color w:val="000000" w:themeColor="text1"/>
          <w:kern w:val="0"/>
          <w:sz w:val="28"/>
          <w:szCs w:val="28"/>
          <w14:ligatures w14:val="none"/>
        </w:rPr>
        <w:t>5. Failure Mode and Effects Analysis (FMEA)</w:t>
      </w:r>
    </w:p>
    <w:p w14:paraId="72A589C8"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7E33EB2" w14:textId="7C8B2C71" w:rsidR="001562DC" w:rsidRPr="001562DC" w:rsidRDefault="001562DC" w:rsidP="00D13D2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FMEA is a proactive approach to identifying where and how a system might fail and assessing the relative severity of alternative failures. In infection control, FMEA has been used to map high-risk processes such as catheter insertion, surgery, and disinfection procedures. Scoring risks in terms of severity, occurrence, and detectability enables healthcare teams to target interventions on those at greatest risk.</w:t>
      </w:r>
    </w:p>
    <w:p w14:paraId="73E8FDE4"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For example, FMEA of urinary catheter utilization in an Italian hospital identified the most at-risk step as incorrect insertion technique and led to targeted training interventions that reduced catheter-associated urinary tract infections (CAUTIs) by 35% during a one-year period (Colombo et al., 2023). The strength of FMEA lies in its proactive approach, even though it is expensive and requires multidisciplinary engagement in order to be effective.</w:t>
      </w:r>
    </w:p>
    <w:p w14:paraId="4C60FBC1"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FA6F28E" w14:textId="77777777" w:rsidR="001562DC" w:rsidRPr="00D13D2F" w:rsidRDefault="001562DC" w:rsidP="001562D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D13D2F">
        <w:rPr>
          <w:rFonts w:asciiTheme="majorBidi" w:eastAsiaTheme="minorEastAsia" w:hAnsiTheme="majorBidi" w:cstheme="majorBidi"/>
          <w:b/>
          <w:bCs/>
          <w:color w:val="000000" w:themeColor="text1"/>
          <w:kern w:val="0"/>
          <w:sz w:val="28"/>
          <w:szCs w:val="28"/>
          <w14:ligatures w14:val="none"/>
        </w:rPr>
        <w:t>6. Adaptive and Resilience Engineering Models</w:t>
      </w:r>
    </w:p>
    <w:p w14:paraId="02B40A74"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001C7F3"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Most recent studies of patient safety point to resilience engineering—the ability of healthcare systems to recover from variability and unforeseen adversity. Contrary to traditional models that focus on errors and failures, resilience engineering focuses on what goes right and how systems operate effectively under stress (Hollnagel, 2022).</w:t>
      </w:r>
    </w:p>
    <w:p w14:paraId="6F609DE1"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In HAI control, this means investigation of how hospitals successfully prevent infections under resource shortages or crises, e.g., during COVID-19. Flexible redeployment of ventilators and rapid installation of makeshift negative pressure rooms in Jordanian hospitals were resilience measures that stemmed nosocomial outbreaks during pandemic surges (Nasir et al., 2023). These measures highlight the imperatives of adaptability, local ingenuity, and positive deviance learning.</w:t>
      </w:r>
    </w:p>
    <w:p w14:paraId="6895A118"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F52062F" w14:textId="77777777" w:rsidR="001562DC" w:rsidRPr="00D13D2F" w:rsidRDefault="001562DC" w:rsidP="00911C96">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3" w:name="_Toc212139844"/>
      <w:r w:rsidRPr="00D13D2F">
        <w:rPr>
          <w:rFonts w:asciiTheme="majorBidi" w:eastAsiaTheme="minorEastAsia" w:hAnsiTheme="majorBidi" w:cstheme="majorBidi"/>
          <w:b/>
          <w:bCs/>
          <w:color w:val="000000" w:themeColor="text1"/>
          <w:kern w:val="0"/>
          <w:sz w:val="28"/>
          <w:szCs w:val="28"/>
          <w14:ligatures w14:val="none"/>
        </w:rPr>
        <w:t>Synthesis of Theoretical Models</w:t>
      </w:r>
      <w:bookmarkEnd w:id="23"/>
    </w:p>
    <w:p w14:paraId="18C42B91"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8C82222" w14:textId="77777777" w:rsidR="001562DC" w:rsidRPr="001562DC"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Together, these models offer complementary perspectives of HAI risk management. Swiss Cheese Model emphasizes the multi-layered nature of defenses, HRO theory emphasizes reliability in high-hazard contexts, SEIPS highlights work system interactions, ISO 31000 provides a risk cycle model, FMEA adds proactive risk mapping, and resilience engineering highlights adaptability. Each model is robust, but each alone is insufficient. Effective HAI prevention requires a hybrid approach involving systems thinking, initial risk identification, human factors engineering, and adaptive resilience.</w:t>
      </w:r>
    </w:p>
    <w:p w14:paraId="421438C5" w14:textId="70D23EA0" w:rsidR="00B4010F" w:rsidRDefault="001562DC"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562DC">
        <w:rPr>
          <w:rFonts w:asciiTheme="majorBidi" w:eastAsiaTheme="minorEastAsia" w:hAnsiTheme="majorBidi" w:cstheme="majorBidi"/>
          <w:color w:val="000000" w:themeColor="text1"/>
          <w:kern w:val="0"/>
          <w:sz w:val="28"/>
          <w:szCs w:val="28"/>
          <w14:ligatures w14:val="none"/>
        </w:rPr>
        <w:t xml:space="preserve">For the purposes of the research at hand, the models provide conceptual underpinning as well as practical observation. They posit that HAIs are not just isolated clinical matters but are multifactorial hazards that require systematic, organizational, and behavioral intervention. Extending from these models, the </w:t>
      </w:r>
      <w:r w:rsidRPr="001562DC">
        <w:rPr>
          <w:rFonts w:asciiTheme="majorBidi" w:eastAsiaTheme="minorEastAsia" w:hAnsiTheme="majorBidi" w:cstheme="majorBidi"/>
          <w:color w:val="000000" w:themeColor="text1"/>
          <w:kern w:val="0"/>
          <w:sz w:val="28"/>
          <w:szCs w:val="28"/>
          <w14:ligatures w14:val="none"/>
        </w:rPr>
        <w:lastRenderedPageBreak/>
        <w:t>research tries to conceptualize risk management as an active rather than a passive response and as an integral active component of hospital safety culture.</w:t>
      </w:r>
    </w:p>
    <w:p w14:paraId="02F8AE37" w14:textId="77777777" w:rsidR="001562DC" w:rsidRPr="00615A71" w:rsidRDefault="001562DC" w:rsidP="001562D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CD2BD07" w14:textId="305E5368" w:rsidR="00B4010F" w:rsidRPr="00C62BAF" w:rsidRDefault="00B4010F" w:rsidP="00911C96">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4" w:name="_Toc212139845"/>
      <w:r w:rsidRPr="00C62BAF">
        <w:rPr>
          <w:rFonts w:asciiTheme="majorBidi" w:eastAsiaTheme="minorEastAsia" w:hAnsiTheme="majorBidi" w:cstheme="majorBidi"/>
          <w:b/>
          <w:bCs/>
          <w:color w:val="000000" w:themeColor="text1"/>
          <w:kern w:val="0"/>
          <w:sz w:val="28"/>
          <w:szCs w:val="28"/>
          <w14:ligatures w14:val="none"/>
        </w:rPr>
        <w:t>Gaps in the Literature on HAIs and Risk Management</w:t>
      </w:r>
      <w:bookmarkEnd w:id="24"/>
    </w:p>
    <w:p w14:paraId="5BAA78C1" w14:textId="77777777" w:rsidR="00B4010F" w:rsidRPr="00615A71" w:rsidRDefault="00B4010F"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C06C791"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Despite the extensive body of literature available on hospital-acquired infection (HAI) and infection prevention and control (IPC), there remain areas that have gaps in the literature. The gaps represent areas where existing knowledge falls short, is incomplete, or contradictory, and they are the reason for the present study. Closure of these research gaps is needed for the crafting of risk management systems that are evidence-based and contextually relevant.</w:t>
      </w:r>
    </w:p>
    <w:p w14:paraId="6B22D087"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1A6B67E" w14:textId="77777777" w:rsidR="00B959EC" w:rsidRPr="005C5AB2" w:rsidRDefault="00B959EC" w:rsidP="00B959E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5AB2">
        <w:rPr>
          <w:rFonts w:asciiTheme="majorBidi" w:eastAsiaTheme="minorEastAsia" w:hAnsiTheme="majorBidi" w:cstheme="majorBidi"/>
          <w:b/>
          <w:bCs/>
          <w:color w:val="000000" w:themeColor="text1"/>
          <w:kern w:val="0"/>
          <w:sz w:val="28"/>
          <w:szCs w:val="28"/>
          <w14:ligatures w14:val="none"/>
        </w:rPr>
        <w:t>1. Lack of Proper Integration of Risk Management Models with Infection Control Processes</w:t>
      </w:r>
    </w:p>
    <w:p w14:paraId="63B3C561"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2A810A1"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While there is considerable literature on IPC protocols, surveillance systems, and antimicrobial stewardship programs, there are fewer published studies that integrate these practices into whole-risk management frameworks. Few studies evaluate IPC measures in silos—e.g., hand hygiene rates or device-related infection rates—without embedding them in systematic, organization-level risk management plans (</w:t>
      </w:r>
      <w:proofErr w:type="spellStart"/>
      <w:r w:rsidRPr="00B959EC">
        <w:rPr>
          <w:rFonts w:asciiTheme="majorBidi" w:eastAsiaTheme="minorEastAsia" w:hAnsiTheme="majorBidi" w:cstheme="majorBidi"/>
          <w:color w:val="000000" w:themeColor="text1"/>
          <w:kern w:val="0"/>
          <w:sz w:val="28"/>
          <w:szCs w:val="28"/>
          <w14:ligatures w14:val="none"/>
        </w:rPr>
        <w:t>Elmontsri</w:t>
      </w:r>
      <w:proofErr w:type="spellEnd"/>
      <w:r w:rsidRPr="00B959EC">
        <w:rPr>
          <w:rFonts w:asciiTheme="majorBidi" w:eastAsiaTheme="minorEastAsia" w:hAnsiTheme="majorBidi" w:cstheme="majorBidi"/>
          <w:color w:val="000000" w:themeColor="text1"/>
          <w:kern w:val="0"/>
          <w:sz w:val="28"/>
          <w:szCs w:val="28"/>
          <w14:ligatures w14:val="none"/>
        </w:rPr>
        <w:t xml:space="preserve"> et al., 2022). The piecemeal nature of this evaluation leads to insufficient knowledge of how multiple approaches synergistically contribute to reducing infection risks.</w:t>
      </w:r>
    </w:p>
    <w:p w14:paraId="0492A3AB"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89D8CED" w14:textId="77777777" w:rsidR="00B959EC" w:rsidRPr="005C5AB2" w:rsidRDefault="00B959EC" w:rsidP="00B959E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5AB2">
        <w:rPr>
          <w:rFonts w:asciiTheme="majorBidi" w:eastAsiaTheme="minorEastAsia" w:hAnsiTheme="majorBidi" w:cstheme="majorBidi"/>
          <w:b/>
          <w:bCs/>
          <w:color w:val="000000" w:themeColor="text1"/>
          <w:kern w:val="0"/>
          <w:sz w:val="28"/>
          <w:szCs w:val="28"/>
          <w14:ligatures w14:val="none"/>
        </w:rPr>
        <w:t>2. Insufficiency of Research in Low- and Middle-Income Countries (LMICs)</w:t>
      </w:r>
    </w:p>
    <w:p w14:paraId="1F34143F"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BF970ED"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 xml:space="preserve">It is one of the major shortcomings in the literature that geographical distribution of research is lacking. High-income countries (HICs), particularly </w:t>
      </w:r>
      <w:r w:rsidRPr="00B959EC">
        <w:rPr>
          <w:rFonts w:asciiTheme="majorBidi" w:eastAsiaTheme="minorEastAsia" w:hAnsiTheme="majorBidi" w:cstheme="majorBidi"/>
          <w:color w:val="000000" w:themeColor="text1"/>
          <w:kern w:val="0"/>
          <w:sz w:val="28"/>
          <w:szCs w:val="28"/>
          <w14:ligatures w14:val="none"/>
        </w:rPr>
        <w:lastRenderedPageBreak/>
        <w:t>the United States, Europe, and certain regions of East Asia, have contributed the majority of empirical evidence regarding HAIs. On the other hand, LMICs proportionately bearing a heavier HAIs burden have fewer published studies due to the constraints of resources, lack of surveillance infrastructure, and underreporting (Zaidi et al., 2023). This inequity restricts the generalizability of international recommendations since what has been proven effective in HICs may not be feasible or attainable in the LMIC contexts where resources, human resources, and governance also differ significantly (Nasir et al., 2023).</w:t>
      </w:r>
    </w:p>
    <w:p w14:paraId="1B6DF2B4"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404A0DE" w14:textId="77777777" w:rsidR="00B959EC" w:rsidRPr="005C5AB2" w:rsidRDefault="00B959EC" w:rsidP="00B959E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5AB2">
        <w:rPr>
          <w:rFonts w:asciiTheme="majorBidi" w:eastAsiaTheme="minorEastAsia" w:hAnsiTheme="majorBidi" w:cstheme="majorBidi"/>
          <w:b/>
          <w:bCs/>
          <w:color w:val="000000" w:themeColor="text1"/>
          <w:kern w:val="0"/>
          <w:sz w:val="28"/>
          <w:szCs w:val="28"/>
          <w14:ligatures w14:val="none"/>
        </w:rPr>
        <w:t>3. Inadequate Emphasis on Human Factors and Organizational Culture</w:t>
      </w:r>
    </w:p>
    <w:p w14:paraId="209C530F"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82B1F9F"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Another shortcoming is related to organizational culture in sustaining IPC compliance. While behavioral elements such as hand hygiene have been intensively studied, underlying organizational and psychological factors that staff compliance is influenced by—such as safety culture, leadership engagement, and peer accountability—are not clearly elucidated (</w:t>
      </w:r>
      <w:proofErr w:type="spellStart"/>
      <w:r w:rsidRPr="00B959EC">
        <w:rPr>
          <w:rFonts w:asciiTheme="majorBidi" w:eastAsiaTheme="minorEastAsia" w:hAnsiTheme="majorBidi" w:cstheme="majorBidi"/>
          <w:color w:val="000000" w:themeColor="text1"/>
          <w:kern w:val="0"/>
          <w:sz w:val="28"/>
          <w:szCs w:val="28"/>
          <w14:ligatures w14:val="none"/>
        </w:rPr>
        <w:t>Carayon</w:t>
      </w:r>
      <w:proofErr w:type="spellEnd"/>
      <w:r w:rsidRPr="00B959EC">
        <w:rPr>
          <w:rFonts w:asciiTheme="majorBidi" w:eastAsiaTheme="minorEastAsia" w:hAnsiTheme="majorBidi" w:cstheme="majorBidi"/>
          <w:color w:val="000000" w:themeColor="text1"/>
          <w:kern w:val="0"/>
          <w:sz w:val="28"/>
          <w:szCs w:val="28"/>
          <w14:ligatures w14:val="none"/>
        </w:rPr>
        <w:t xml:space="preserve"> et al., 2020). Furthermore, there are few human factors engineering techniques (such as SEIPS) being integrated into everyday infection control literature, while there is significant evidence that system design significantly influences protocol compliance.</w:t>
      </w:r>
    </w:p>
    <w:p w14:paraId="1968E0F2"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78A50A5" w14:textId="77777777" w:rsidR="00B959EC" w:rsidRPr="005C5AB2" w:rsidRDefault="00B959EC" w:rsidP="00B959E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5AB2">
        <w:rPr>
          <w:rFonts w:asciiTheme="majorBidi" w:eastAsiaTheme="minorEastAsia" w:hAnsiTheme="majorBidi" w:cstheme="majorBidi"/>
          <w:b/>
          <w:bCs/>
          <w:color w:val="000000" w:themeColor="text1"/>
          <w:kern w:val="0"/>
          <w:sz w:val="28"/>
          <w:szCs w:val="28"/>
          <w14:ligatures w14:val="none"/>
        </w:rPr>
        <w:t>4. Insufficient Evidence Regarding Long-Term Sustainability of Interventions</w:t>
      </w:r>
    </w:p>
    <w:p w14:paraId="4044B4A4"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6D2C43B"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 xml:space="preserve">Although numerous studies document short-term reductions of HAIs following targeted interventions—e.g., central line bundles or antibiotic stewardship programs—there is, as yet, little evidence on long-term sustainability of these results (Chassin &amp; Loeb, 2022). All interventions eventually suffer from declining returns following a while because of staff turnover, intervention </w:t>
      </w:r>
      <w:r w:rsidRPr="00B959EC">
        <w:rPr>
          <w:rFonts w:asciiTheme="majorBidi" w:eastAsiaTheme="minorEastAsia" w:hAnsiTheme="majorBidi" w:cstheme="majorBidi"/>
          <w:color w:val="000000" w:themeColor="text1"/>
          <w:kern w:val="0"/>
          <w:sz w:val="28"/>
          <w:szCs w:val="28"/>
          <w14:ligatures w14:val="none"/>
        </w:rPr>
        <w:lastRenderedPageBreak/>
        <w:t>fatigue, or fading leadership priority. Longitudinal studies tracking IPC and risk management effectiveness for several years are few, and this raises doubts as to the long-term robustness of current methods.</w:t>
      </w:r>
    </w:p>
    <w:p w14:paraId="7EBEDE4D"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B632C20" w14:textId="77777777" w:rsidR="00B959EC" w:rsidRPr="005C5AB2" w:rsidRDefault="00B959EC" w:rsidP="00B959E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5AB2">
        <w:rPr>
          <w:rFonts w:asciiTheme="majorBidi" w:eastAsiaTheme="minorEastAsia" w:hAnsiTheme="majorBidi" w:cstheme="majorBidi"/>
          <w:b/>
          <w:bCs/>
          <w:color w:val="000000" w:themeColor="text1"/>
          <w:kern w:val="0"/>
          <w:sz w:val="28"/>
          <w:szCs w:val="28"/>
          <w14:ligatures w14:val="none"/>
        </w:rPr>
        <w:t>5. Limited Literature on Multidrug-Resistant Organisms (MDROs) in Risk Management Models</w:t>
      </w:r>
    </w:p>
    <w:p w14:paraId="26A0C714"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102230F"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While antimicrobial resistance (AMR) has received significant attention, there is limited literature linking risk management models to the control of multidrug-resistant organisms (MDROs). Most AMR studies target prescription practices or laboratory surveillance without elaborating on how standardized formal risk frameworks like ISO 31000, FMEA, or HRO principles can be implemented systematically to manage MDRO transmission in healthcare systems (</w:t>
      </w:r>
      <w:proofErr w:type="spellStart"/>
      <w:r w:rsidRPr="00B959EC">
        <w:rPr>
          <w:rFonts w:asciiTheme="majorBidi" w:eastAsiaTheme="minorEastAsia" w:hAnsiTheme="majorBidi" w:cstheme="majorBidi"/>
          <w:color w:val="000000" w:themeColor="text1"/>
          <w:kern w:val="0"/>
          <w:sz w:val="28"/>
          <w:szCs w:val="28"/>
          <w14:ligatures w14:val="none"/>
        </w:rPr>
        <w:t>Santajit</w:t>
      </w:r>
      <w:proofErr w:type="spellEnd"/>
      <w:r w:rsidRPr="00B959EC">
        <w:rPr>
          <w:rFonts w:asciiTheme="majorBidi" w:eastAsiaTheme="minorEastAsia" w:hAnsiTheme="majorBidi" w:cstheme="majorBidi"/>
          <w:color w:val="000000" w:themeColor="text1"/>
          <w:kern w:val="0"/>
          <w:sz w:val="28"/>
          <w:szCs w:val="28"/>
          <w14:ligatures w14:val="none"/>
        </w:rPr>
        <w:t xml:space="preserve"> &amp; </w:t>
      </w:r>
      <w:proofErr w:type="spellStart"/>
      <w:r w:rsidRPr="00B959EC">
        <w:rPr>
          <w:rFonts w:asciiTheme="majorBidi" w:eastAsiaTheme="minorEastAsia" w:hAnsiTheme="majorBidi" w:cstheme="majorBidi"/>
          <w:color w:val="000000" w:themeColor="text1"/>
          <w:kern w:val="0"/>
          <w:sz w:val="28"/>
          <w:szCs w:val="28"/>
          <w14:ligatures w14:val="none"/>
        </w:rPr>
        <w:t>Indrawattana</w:t>
      </w:r>
      <w:proofErr w:type="spellEnd"/>
      <w:r w:rsidRPr="00B959EC">
        <w:rPr>
          <w:rFonts w:asciiTheme="majorBidi" w:eastAsiaTheme="minorEastAsia" w:hAnsiTheme="majorBidi" w:cstheme="majorBidi"/>
          <w:color w:val="000000" w:themeColor="text1"/>
          <w:kern w:val="0"/>
          <w:sz w:val="28"/>
          <w:szCs w:val="28"/>
          <w14:ligatures w14:val="none"/>
        </w:rPr>
        <w:t>, 2023). This is an operational gap in hospital risk management for AMR control.</w:t>
      </w:r>
    </w:p>
    <w:p w14:paraId="4A07B34A"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4760A9B" w14:textId="77777777" w:rsidR="00B959EC" w:rsidRPr="005C5AB2" w:rsidRDefault="00B959EC" w:rsidP="00B959E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5AB2">
        <w:rPr>
          <w:rFonts w:asciiTheme="majorBidi" w:eastAsiaTheme="minorEastAsia" w:hAnsiTheme="majorBidi" w:cstheme="majorBidi"/>
          <w:b/>
          <w:bCs/>
          <w:color w:val="000000" w:themeColor="text1"/>
          <w:kern w:val="0"/>
          <w:sz w:val="28"/>
          <w:szCs w:val="28"/>
          <w14:ligatures w14:val="none"/>
        </w:rPr>
        <w:t>6. Lack of Comparative Effectiveness Studies Across Models</w:t>
      </w:r>
    </w:p>
    <w:p w14:paraId="5F81B0C0"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6B2D695" w14:textId="13894D49" w:rsidR="00B959EC" w:rsidRPr="00B959EC" w:rsidRDefault="00B959EC" w:rsidP="005C5AB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As seen in the foregoing section, there are some theoretical models of healthcare risk management (e.g., Swiss Cheese, SEIPS, HRO, FMEA, Resilience Engineering). However, the literature fails to offer comparative research for evaluating which of the models work best to abate HAI risks in a broad range of settings. Most studies employ a single model in an isolated setting, hence limiting hospitals from making informed decisions about choosing a model or using hybrid models. Comparative research is particularly pertinent in LMICs, where hospitals must do more with less (Al-Kuwaiti &amp; Aziz, 2022).</w:t>
      </w:r>
    </w:p>
    <w:p w14:paraId="5406BB27" w14:textId="1566B20E" w:rsidR="00B959EC" w:rsidRPr="005C5AB2" w:rsidRDefault="00B959EC" w:rsidP="005C5AB2">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5AB2">
        <w:rPr>
          <w:rFonts w:asciiTheme="majorBidi" w:eastAsiaTheme="minorEastAsia" w:hAnsiTheme="majorBidi" w:cstheme="majorBidi"/>
          <w:b/>
          <w:bCs/>
          <w:color w:val="000000" w:themeColor="text1"/>
          <w:kern w:val="0"/>
          <w:sz w:val="28"/>
          <w:szCs w:val="28"/>
          <w14:ligatures w14:val="none"/>
        </w:rPr>
        <w:t>7. Inadequate Patient-Centered Research</w:t>
      </w:r>
    </w:p>
    <w:p w14:paraId="2146ACEC"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 xml:space="preserve">Most studies of HAIs and risk management are clinician- or institution-focused, with minimal exploration of the patient perspective. Patients and families are </w:t>
      </w:r>
      <w:r w:rsidRPr="00B959EC">
        <w:rPr>
          <w:rFonts w:asciiTheme="majorBidi" w:eastAsiaTheme="minorEastAsia" w:hAnsiTheme="majorBidi" w:cstheme="majorBidi"/>
          <w:color w:val="000000" w:themeColor="text1"/>
          <w:kern w:val="0"/>
          <w:sz w:val="28"/>
          <w:szCs w:val="28"/>
          <w14:ligatures w14:val="none"/>
        </w:rPr>
        <w:lastRenderedPageBreak/>
        <w:t>important stakeholders in infection prevention—e.g., by adhering to post-discharge care, monitoring surgical wounds, and reporting early signs of infection. Nonetheless, the literature rarely includes patient-centered results or methods for engaging patients as partners in infection control (Laxminarayan et al., 2023). This gap deprives a key stakeholder in the overall infection prevention ecosystem.</w:t>
      </w:r>
    </w:p>
    <w:p w14:paraId="2F64A6D6"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361360F" w14:textId="77777777" w:rsidR="00B959EC" w:rsidRPr="005C5AB2" w:rsidRDefault="00B959EC" w:rsidP="00B959E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5AB2">
        <w:rPr>
          <w:rFonts w:asciiTheme="majorBidi" w:eastAsiaTheme="minorEastAsia" w:hAnsiTheme="majorBidi" w:cstheme="majorBidi"/>
          <w:b/>
          <w:bCs/>
          <w:color w:val="000000" w:themeColor="text1"/>
          <w:kern w:val="0"/>
          <w:sz w:val="28"/>
          <w:szCs w:val="28"/>
          <w14:ligatures w14:val="none"/>
        </w:rPr>
        <w:t>8. Increasing Challenges in the Post-COVID-19 Era</w:t>
      </w:r>
    </w:p>
    <w:p w14:paraId="0363C0E2"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4EB5301"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The pandemic shifted infection control priorities and practices. While there are a few studies on how the short-term impact of COVID-19 has affected HAIs, research on how it will impact risk management in the long term is very limited. For example, whether improved PPE use and hand hygiene compliance will be sustained, or whether the pandemic-induced overuse of antibiotics will continue to drive AMR-related HAIs in the years to come (Rawson et al., 2021). Also lacking are insights into whether pandemic-bred innovations such as telemedicine and remote monitoring can be transferred to HAI risk management in hospitals.</w:t>
      </w:r>
    </w:p>
    <w:p w14:paraId="72DC09FA"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E77B9FF" w14:textId="77777777" w:rsidR="00B959EC" w:rsidRPr="005C5AB2" w:rsidRDefault="00B959EC" w:rsidP="00B959EC">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5AB2">
        <w:rPr>
          <w:rFonts w:asciiTheme="majorBidi" w:eastAsiaTheme="minorEastAsia" w:hAnsiTheme="majorBidi" w:cstheme="majorBidi"/>
          <w:b/>
          <w:bCs/>
          <w:color w:val="000000" w:themeColor="text1"/>
          <w:kern w:val="0"/>
          <w:sz w:val="28"/>
          <w:szCs w:val="28"/>
          <w14:ligatures w14:val="none"/>
        </w:rPr>
        <w:t>9. Shaky Connection Between Economics and HAIs' Risk Management</w:t>
      </w:r>
    </w:p>
    <w:p w14:paraId="52276758"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CB4709D"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The second necessary gap lies in the economic evaluation of HAI risk management interventions. While clinical results are frequently reported in studies, quantitative estimation of the cost-effectiveness of interventions by cost per infection averted, return on investment, or overall socioeconomic gains is less frequently done. Without such information, policymakers cannot optimally rank interventions and secure funding, particularly in resource-scarce settings (Aiken et al., 2024).</w:t>
      </w:r>
    </w:p>
    <w:p w14:paraId="4151021D"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BCAEC86" w14:textId="77777777" w:rsidR="00B959EC" w:rsidRPr="005C5AB2" w:rsidRDefault="00B959EC" w:rsidP="00911C96">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5" w:name="_Toc212139846"/>
      <w:r w:rsidRPr="005C5AB2">
        <w:rPr>
          <w:rFonts w:asciiTheme="majorBidi" w:eastAsiaTheme="minorEastAsia" w:hAnsiTheme="majorBidi" w:cstheme="majorBidi"/>
          <w:b/>
          <w:bCs/>
          <w:color w:val="000000" w:themeColor="text1"/>
          <w:kern w:val="0"/>
          <w:sz w:val="28"/>
          <w:szCs w:val="28"/>
          <w14:ligatures w14:val="none"/>
        </w:rPr>
        <w:lastRenderedPageBreak/>
        <w:t>Synthesis of Gaps</w:t>
      </w:r>
      <w:bookmarkEnd w:id="25"/>
    </w:p>
    <w:p w14:paraId="12E0B04B"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0D7D808" w14:textId="77777777" w:rsidR="00B959EC" w:rsidRPr="00B959EC" w:rsidRDefault="00B959EC" w:rsidP="00B959EC">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In general, in spite of considerable progress toward a science of HAIs and IPC strategy, the research demonstrates persistent shortcomings: absence of total risk management frameworks, regional inequalities, lack of consideration for organizational culture, limited long-term data, underdevelopment of MDRO research, lack of comparative model reviews, neglect of patient perspectives, ambiguity in the post-COVID-19 environment, and low-quality economic analyses. These gaps collectively highlight the need for new studies that not only evaluate infection control practices but also position them within comprehensive, sustainable, and contextually tailored risk management paradigms.</w:t>
      </w:r>
    </w:p>
    <w:p w14:paraId="530082C1" w14:textId="038779E2" w:rsidR="00D33F19" w:rsidRDefault="00B959EC"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959EC">
        <w:rPr>
          <w:rFonts w:asciiTheme="majorBidi" w:eastAsiaTheme="minorEastAsia" w:hAnsiTheme="majorBidi" w:cstheme="majorBidi"/>
          <w:color w:val="000000" w:themeColor="text1"/>
          <w:kern w:val="0"/>
          <w:sz w:val="28"/>
          <w:szCs w:val="28"/>
          <w14:ligatures w14:val="none"/>
        </w:rPr>
        <w:t xml:space="preserve">The present study </w:t>
      </w:r>
      <w:proofErr w:type="spellStart"/>
      <w:r w:rsidRPr="00B959EC">
        <w:rPr>
          <w:rFonts w:asciiTheme="majorBidi" w:eastAsiaTheme="minorEastAsia" w:hAnsiTheme="majorBidi" w:cstheme="majorBidi"/>
          <w:color w:val="000000" w:themeColor="text1"/>
          <w:kern w:val="0"/>
          <w:sz w:val="28"/>
          <w:szCs w:val="28"/>
          <w14:ligatures w14:val="none"/>
        </w:rPr>
        <w:t>endeavours</w:t>
      </w:r>
      <w:proofErr w:type="spellEnd"/>
      <w:r w:rsidRPr="00B959EC">
        <w:rPr>
          <w:rFonts w:asciiTheme="majorBidi" w:eastAsiaTheme="minorEastAsia" w:hAnsiTheme="majorBidi" w:cstheme="majorBidi"/>
          <w:color w:val="000000" w:themeColor="text1"/>
          <w:kern w:val="0"/>
          <w:sz w:val="28"/>
          <w:szCs w:val="28"/>
          <w14:ligatures w14:val="none"/>
        </w:rPr>
        <w:t xml:space="preserve"> to contribute to this body of literature by filling some of these gaps, foremost among which is the integration of risk management frameworks into hospital-based HAI prevention strategies with an emphasis on sustainability, organizational culture, and transferability to LMIC settings.</w:t>
      </w:r>
    </w:p>
    <w:p w14:paraId="69F91436" w14:textId="77777777" w:rsidR="005C5AB2" w:rsidRPr="00615A71" w:rsidRDefault="005C5AB2" w:rsidP="005C5AB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5A50100" w14:textId="0A0BA584" w:rsidR="00D33F19" w:rsidRPr="00E06ED6" w:rsidRDefault="00D33F19" w:rsidP="00911C96">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6" w:name="_Toc212139847"/>
      <w:r w:rsidRPr="00E06ED6">
        <w:rPr>
          <w:rFonts w:asciiTheme="majorBidi" w:eastAsiaTheme="minorEastAsia" w:hAnsiTheme="majorBidi" w:cstheme="majorBidi"/>
          <w:b/>
          <w:bCs/>
          <w:color w:val="000000" w:themeColor="text1"/>
          <w:kern w:val="0"/>
          <w:sz w:val="28"/>
          <w:szCs w:val="28"/>
          <w14:ligatures w14:val="none"/>
        </w:rPr>
        <w:t>International Perspectives on HAIs and Risk Management</w:t>
      </w:r>
      <w:bookmarkEnd w:id="26"/>
    </w:p>
    <w:p w14:paraId="36244381" w14:textId="77777777" w:rsidR="00D33F19" w:rsidRPr="00615A71" w:rsidRDefault="00D33F19"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48ED6FA"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Hospital-acquired infections (HAIs) are a global healthcare dilemma, but their prevalence, their impact, and the manner in which they are addressed vary significantly by region. International perspectives reveal how disparate healthcare systems—from high-income nations to low- and middle-income countries—deal with risk, reflecting differences in resources, healthcare infrastructure, and policy priorities. Consideration of these perspectives provides valuable insight into effective strategies as well as lessons about the limitations and gaps that persist in global infection control.</w:t>
      </w:r>
    </w:p>
    <w:p w14:paraId="66D9F3FC"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271E91B" w14:textId="77777777" w:rsidR="00934FD7" w:rsidRPr="00A216FB" w:rsidRDefault="00934FD7" w:rsidP="00934FD7">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A216FB">
        <w:rPr>
          <w:rFonts w:asciiTheme="majorBidi" w:eastAsiaTheme="minorEastAsia" w:hAnsiTheme="majorBidi" w:cstheme="majorBidi"/>
          <w:b/>
          <w:bCs/>
          <w:color w:val="000000" w:themeColor="text1"/>
          <w:kern w:val="0"/>
          <w:sz w:val="28"/>
          <w:szCs w:val="28"/>
          <w14:ligatures w14:val="none"/>
        </w:rPr>
        <w:lastRenderedPageBreak/>
        <w:t>1. North America: Advanced Surveillance and Risk-Based Models</w:t>
      </w:r>
    </w:p>
    <w:p w14:paraId="7708937C"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F0F04B8"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In North America, namely the United States and Canada, HAIs are framed not only as a clinical problem but also as a patient safety and quality of care problem. The U.S. Centers for Disease Control and Prevention (CDC) has established the National Healthcare Safety Network (NHSN), the largest HAI surveillance system in the world. It tracks central line-associated bloodstream infections (CLABSIs), ventilator-associated pneumonia (VAP), catheter-associated urinary tract infections (CAUTIs), and surgical site infections (SSIs) (CDC, 2022). These data are tied to federal reimbursement programs, offering hospitals a financial incentive to reduce infection rates.</w:t>
      </w:r>
    </w:p>
    <w:p w14:paraId="1E34C64F"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North American risk management also benefits from being incorporated into accreditation programs such as The Joint Commission's, which emphasizes high-reliability organization (HRO) principles—standardization, redundancy, and a culture of safety—to minimize HAIs (Chassin &amp; Loeb, 2022). Data sharing across multiple hospitals is organized in Canada by the Canadian Nosocomial Infection Surveillance Program (CNISP), enabling benchmarking and targeted interventions (Public Health Agency of Canada, 2022). While these interventions have reduced CLABSIs and MRSA bacteremia rates significantly, there is a continued challenge with multidrug-resistant Gram-negative bacteria that continues to rise (Weiner-Lastinger et al., 2023).</w:t>
      </w:r>
    </w:p>
    <w:p w14:paraId="69A898C4"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3F98FC4" w14:textId="77777777" w:rsidR="00934FD7" w:rsidRPr="00A216FB" w:rsidRDefault="00934FD7" w:rsidP="00934FD7">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A216FB">
        <w:rPr>
          <w:rFonts w:asciiTheme="majorBidi" w:eastAsiaTheme="minorEastAsia" w:hAnsiTheme="majorBidi" w:cstheme="majorBidi"/>
          <w:b/>
          <w:bCs/>
          <w:color w:val="000000" w:themeColor="text1"/>
          <w:kern w:val="0"/>
          <w:sz w:val="28"/>
          <w:szCs w:val="28"/>
          <w14:ligatures w14:val="none"/>
        </w:rPr>
        <w:t>2. Europe: Standardization Through Policy Harmonization</w:t>
      </w:r>
    </w:p>
    <w:p w14:paraId="180D0FA6"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81E04AF"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 xml:space="preserve">Europe has followed a more policy-driven, coordinated HAI risk management approach, guided to a great extent by the European Centre for Disease Prevention and Control (ECDC). Initiatives such as the European Surveillance System (TESSy) and the European Antimicrobial Resistance Surveillance </w:t>
      </w:r>
      <w:r w:rsidRPr="00934FD7">
        <w:rPr>
          <w:rFonts w:asciiTheme="majorBidi" w:eastAsiaTheme="minorEastAsia" w:hAnsiTheme="majorBidi" w:cstheme="majorBidi"/>
          <w:color w:val="000000" w:themeColor="text1"/>
          <w:kern w:val="0"/>
          <w:sz w:val="28"/>
          <w:szCs w:val="28"/>
          <w14:ligatures w14:val="none"/>
        </w:rPr>
        <w:lastRenderedPageBreak/>
        <w:t>Network (EARS-Net) provide harmonized data across member states (ECDC, 2023).</w:t>
      </w:r>
    </w:p>
    <w:p w14:paraId="42A67BF3"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 xml:space="preserve">Several European countries have been at the forefront of innovative strategies. For example, the United Kingdom has implemented mandatory public disclosure of HAI rates, specifically MRSA and </w:t>
      </w:r>
      <w:proofErr w:type="spellStart"/>
      <w:r w:rsidRPr="00934FD7">
        <w:rPr>
          <w:rFonts w:asciiTheme="majorBidi" w:eastAsiaTheme="minorEastAsia" w:hAnsiTheme="majorBidi" w:cstheme="majorBidi"/>
          <w:color w:val="000000" w:themeColor="text1"/>
          <w:kern w:val="0"/>
          <w:sz w:val="28"/>
          <w:szCs w:val="28"/>
          <w14:ligatures w14:val="none"/>
        </w:rPr>
        <w:t>Clostridioides</w:t>
      </w:r>
      <w:proofErr w:type="spellEnd"/>
      <w:r w:rsidRPr="00934FD7">
        <w:rPr>
          <w:rFonts w:asciiTheme="majorBidi" w:eastAsiaTheme="minorEastAsia" w:hAnsiTheme="majorBidi" w:cstheme="majorBidi"/>
          <w:color w:val="000000" w:themeColor="text1"/>
          <w:kern w:val="0"/>
          <w:sz w:val="28"/>
          <w:szCs w:val="28"/>
          <w14:ligatures w14:val="none"/>
        </w:rPr>
        <w:t xml:space="preserve"> difficile, which has created public pressure and professional pressure to sustain improvement (Stone et al., 2023). Scandinavian countries, Denmark and Sweden, report some of the world's lowest HAI and AMR rates as a result of strict antibiotic stewardship programs combined with investments in infection prevention at the primary care and hospital levels (Andersson et al., 2022).</w:t>
      </w:r>
    </w:p>
    <w:p w14:paraId="07EDF2F8"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However, Europe still faces significant adversity. Southern and Eastern European countries suffer from increased HAI and AMR rates due to resource inequalities, hospital overcrowding, and inconsistent compliance with IPC practices (ECDC, 2023). Such disparity is testament to the difficulty in achieving uniform outcomes even within aligned regional structures.</w:t>
      </w:r>
    </w:p>
    <w:p w14:paraId="4E8ED7D4"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8FAC1A5" w14:textId="77777777" w:rsidR="00934FD7" w:rsidRPr="00A216FB" w:rsidRDefault="00934FD7" w:rsidP="00934FD7">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A216FB">
        <w:rPr>
          <w:rFonts w:asciiTheme="majorBidi" w:eastAsiaTheme="minorEastAsia" w:hAnsiTheme="majorBidi" w:cstheme="majorBidi"/>
          <w:b/>
          <w:bCs/>
          <w:color w:val="000000" w:themeColor="text1"/>
          <w:kern w:val="0"/>
          <w:sz w:val="28"/>
          <w:szCs w:val="28"/>
          <w14:ligatures w14:val="none"/>
        </w:rPr>
        <w:t>3. Asia-Pacific: Sociodemographic Growth and Systemic Strains</w:t>
      </w:r>
    </w:p>
    <w:p w14:paraId="26E3CAC8"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BE72D75"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The Asia-Pacific region represents a diverse and dynamic setting in relation to HAIs and risk management. Such high-income countries are Japan, Singapore, and Australia, which have advanced surveillance systems and strong IPC frameworks. Japan's National Action Plan on Antimicrobial Resistance demands both hospital stewardship programs and community-level interventions (Ministry of Health, Labour and Welfare, 2022). Australia has launched the National Safety and Quality Health Service (NSQHS) Standards, which demand strict infection prevention practices in hospitals (Australian Commission on Safety and Quality in Health Care, 2023).</w:t>
      </w:r>
    </w:p>
    <w:p w14:paraId="3EC789F7"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 xml:space="preserve">Conversely, low- and middle-income Asian nations such as India, Pakistan, and Bangladesh are confronted with the burden of increased HAI rates due to </w:t>
      </w:r>
      <w:r w:rsidRPr="00934FD7">
        <w:rPr>
          <w:rFonts w:asciiTheme="majorBidi" w:eastAsiaTheme="minorEastAsia" w:hAnsiTheme="majorBidi" w:cstheme="majorBidi"/>
          <w:color w:val="000000" w:themeColor="text1"/>
          <w:kern w:val="0"/>
          <w:sz w:val="28"/>
          <w:szCs w:val="28"/>
          <w14:ligatures w14:val="none"/>
        </w:rPr>
        <w:lastRenderedPageBreak/>
        <w:t>overcrowded hospitals, inadequate laboratory capacity, and gaps in antibiotic regulation. Based on a systematic review, up to 30% of ICU patients in India develop at least one HAI, typically involving multidrug-resistant organisms (Kumar et al., 2022). Despite these challenges, innovation in risk management is occurring—for instance, India's recent push to make infection risk assessment a component of hospital accreditation by the National Accreditation Board for Hospitals (NABH), which is based on ISO 31000 standards (Mehta et al., 2022).</w:t>
      </w:r>
    </w:p>
    <w:p w14:paraId="0804A5DF"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55C0706" w14:textId="77777777" w:rsidR="00934FD7" w:rsidRPr="00A216FB" w:rsidRDefault="00934FD7" w:rsidP="00934FD7">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A216FB">
        <w:rPr>
          <w:rFonts w:asciiTheme="majorBidi" w:eastAsiaTheme="minorEastAsia" w:hAnsiTheme="majorBidi" w:cstheme="majorBidi"/>
          <w:b/>
          <w:bCs/>
          <w:color w:val="000000" w:themeColor="text1"/>
          <w:kern w:val="0"/>
          <w:sz w:val="28"/>
          <w:szCs w:val="28"/>
          <w14:ligatures w14:val="none"/>
        </w:rPr>
        <w:t>4. Middle East and North Africa (MENA): Emerging Frameworks</w:t>
      </w:r>
    </w:p>
    <w:p w14:paraId="26862EB3"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4BA4161"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The MENA region has experienced heightened awareness of HAIs, yet the majority of nations still lack robust surveillance systems. The Gulf nations, spearheaded by Saudi Arabia and the United Arab Emirates, have invested heavily in infection prevention infrastructure as components of their broader healthcare modernization efforts. The experience of Saudi Arabia with the MERS-CoV outbreak propelled the accelerated inclusion of HAI surveillance into national readiness plans (Al-</w:t>
      </w:r>
      <w:proofErr w:type="spellStart"/>
      <w:r w:rsidRPr="00934FD7">
        <w:rPr>
          <w:rFonts w:asciiTheme="majorBidi" w:eastAsiaTheme="minorEastAsia" w:hAnsiTheme="majorBidi" w:cstheme="majorBidi"/>
          <w:color w:val="000000" w:themeColor="text1"/>
          <w:kern w:val="0"/>
          <w:sz w:val="28"/>
          <w:szCs w:val="28"/>
          <w14:ligatures w14:val="none"/>
        </w:rPr>
        <w:t>Tawfiq</w:t>
      </w:r>
      <w:proofErr w:type="spellEnd"/>
      <w:r w:rsidRPr="00934FD7">
        <w:rPr>
          <w:rFonts w:asciiTheme="majorBidi" w:eastAsiaTheme="minorEastAsia" w:hAnsiTheme="majorBidi" w:cstheme="majorBidi"/>
          <w:color w:val="000000" w:themeColor="text1"/>
          <w:kern w:val="0"/>
          <w:sz w:val="28"/>
          <w:szCs w:val="28"/>
          <w14:ligatures w14:val="none"/>
        </w:rPr>
        <w:t xml:space="preserve"> &amp; </w:t>
      </w:r>
      <w:proofErr w:type="spellStart"/>
      <w:r w:rsidRPr="00934FD7">
        <w:rPr>
          <w:rFonts w:asciiTheme="majorBidi" w:eastAsiaTheme="minorEastAsia" w:hAnsiTheme="majorBidi" w:cstheme="majorBidi"/>
          <w:color w:val="000000" w:themeColor="text1"/>
          <w:kern w:val="0"/>
          <w:sz w:val="28"/>
          <w:szCs w:val="28"/>
          <w14:ligatures w14:val="none"/>
        </w:rPr>
        <w:t>Memish</w:t>
      </w:r>
      <w:proofErr w:type="spellEnd"/>
      <w:r w:rsidRPr="00934FD7">
        <w:rPr>
          <w:rFonts w:asciiTheme="majorBidi" w:eastAsiaTheme="minorEastAsia" w:hAnsiTheme="majorBidi" w:cstheme="majorBidi"/>
          <w:color w:val="000000" w:themeColor="text1"/>
          <w:kern w:val="0"/>
          <w:sz w:val="28"/>
          <w:szCs w:val="28"/>
          <w14:ligatures w14:val="none"/>
        </w:rPr>
        <w:t>, 2022).</w:t>
      </w:r>
    </w:p>
    <w:p w14:paraId="786ACA20"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 xml:space="preserve">However, in large parts of the region, underreporting is significant. Research suggests that HAI prevalence in certain North African countries exceeds 20% of hospitalized patients, but underdeveloped surveillance systems conceal the magnitude of the problem (Ben </w:t>
      </w:r>
      <w:proofErr w:type="spellStart"/>
      <w:r w:rsidRPr="00934FD7">
        <w:rPr>
          <w:rFonts w:asciiTheme="majorBidi" w:eastAsiaTheme="minorEastAsia" w:hAnsiTheme="majorBidi" w:cstheme="majorBidi"/>
          <w:color w:val="000000" w:themeColor="text1"/>
          <w:kern w:val="0"/>
          <w:sz w:val="28"/>
          <w:szCs w:val="28"/>
          <w14:ligatures w14:val="none"/>
        </w:rPr>
        <w:t>Jmaa</w:t>
      </w:r>
      <w:proofErr w:type="spellEnd"/>
      <w:r w:rsidRPr="00934FD7">
        <w:rPr>
          <w:rFonts w:asciiTheme="majorBidi" w:eastAsiaTheme="minorEastAsia" w:hAnsiTheme="majorBidi" w:cstheme="majorBidi"/>
          <w:color w:val="000000" w:themeColor="text1"/>
          <w:kern w:val="0"/>
          <w:sz w:val="28"/>
          <w:szCs w:val="28"/>
          <w14:ligatures w14:val="none"/>
        </w:rPr>
        <w:t xml:space="preserve"> et al., 2022). Risk management practices are more reactive than proactive, with little application of formal models like HRO or FMEA. There is also a paucity of published, peer-reviewed research, which restricts the ability to compare progress against international standards.</w:t>
      </w:r>
    </w:p>
    <w:p w14:paraId="33D92E0E"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DC88F4D" w14:textId="77777777" w:rsidR="00934FD7" w:rsidRPr="00A216FB" w:rsidRDefault="00934FD7" w:rsidP="00934FD7">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A216FB">
        <w:rPr>
          <w:rFonts w:asciiTheme="majorBidi" w:eastAsiaTheme="minorEastAsia" w:hAnsiTheme="majorBidi" w:cstheme="majorBidi"/>
          <w:b/>
          <w:bCs/>
          <w:color w:val="000000" w:themeColor="text1"/>
          <w:kern w:val="0"/>
          <w:sz w:val="28"/>
          <w:szCs w:val="28"/>
          <w14:ligatures w14:val="none"/>
        </w:rPr>
        <w:t>5. Sub-Saharan Africa: Heavy Burden, Few Resources</w:t>
      </w:r>
    </w:p>
    <w:p w14:paraId="022E4A01"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4D9B159"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 xml:space="preserve">Sub-Saharan Africa has one of the heaviest global burdens of HAIs, with two to three times higher rates compared to HICs. The most common HAIs include </w:t>
      </w:r>
      <w:r w:rsidRPr="00934FD7">
        <w:rPr>
          <w:rFonts w:asciiTheme="majorBidi" w:eastAsiaTheme="minorEastAsia" w:hAnsiTheme="majorBidi" w:cstheme="majorBidi"/>
          <w:color w:val="000000" w:themeColor="text1"/>
          <w:kern w:val="0"/>
          <w:sz w:val="28"/>
          <w:szCs w:val="28"/>
          <w14:ligatures w14:val="none"/>
        </w:rPr>
        <w:lastRenderedPageBreak/>
        <w:t>surgical site infections, bloodstream infections, and neonatal sepsis (Aiken et al., 2024). Underlying causes include poor access to clean water, low staff, limited PPE, and weak laboratory systems.</w:t>
      </w:r>
    </w:p>
    <w:p w14:paraId="6E758AE2"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Risk management systems are not frequently formalized within African hospitals, where infection prevention is frequently donor-program or international-NGO dependent. Promising progress is being made, however. The WHO African Partnerships for Patient Safety has piloted collaborative learning programs to improve IPC culture at hospital and national levels (WHO, 2023). Countries such as South Africa and Kenya have begun integrating HAI risk analysis into national quality-of-care policy, though progress is uneven (Mutua et al., 2022).</w:t>
      </w:r>
    </w:p>
    <w:p w14:paraId="2E5DF1FE"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5197AB5" w14:textId="77777777" w:rsidR="00934FD7" w:rsidRPr="00A216FB" w:rsidRDefault="00934FD7" w:rsidP="00934FD7">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A216FB">
        <w:rPr>
          <w:rFonts w:asciiTheme="majorBidi" w:eastAsiaTheme="minorEastAsia" w:hAnsiTheme="majorBidi" w:cstheme="majorBidi"/>
          <w:b/>
          <w:bCs/>
          <w:color w:val="000000" w:themeColor="text1"/>
          <w:kern w:val="0"/>
          <w:sz w:val="28"/>
          <w:szCs w:val="28"/>
          <w14:ligatures w14:val="none"/>
        </w:rPr>
        <w:t>6. Latin America and the Caribbean: Widening Networks, Persistent Gaps</w:t>
      </w:r>
    </w:p>
    <w:p w14:paraId="1D855F00"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09A5666"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HAIs remain a major issue in Latin America, in particular due to the widespread transmission of carbapenem-resistant Klebsiella pneumoniae and Acinetobacter baumannii. Brazil, Mexico, and Argentina have established national surveillance systems, although coverage is uneven and reporting is voluntary (OPS/PAHO, 2022).</w:t>
      </w:r>
    </w:p>
    <w:p w14:paraId="51539A16" w14:textId="7C5123F0" w:rsidR="00934FD7" w:rsidRPr="00934FD7" w:rsidRDefault="00934FD7" w:rsidP="00A216F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Risk mitigation strategies in the region have been supported by regional coalitions such as the Latin American Alliance for Antimicrobial Stewardship, which supports standardized IPC practices and stewardship policies (Rosenthal et al., 2022). The majority of hospitals lack the financial and technical capacity to apply these frameworks comprehensively, and socioeconomic inequalities among countries further exacerbate HAI prevention inequalities.</w:t>
      </w:r>
    </w:p>
    <w:p w14:paraId="4E0C417E" w14:textId="4FDCA22D" w:rsidR="00934FD7" w:rsidRPr="00A216FB" w:rsidRDefault="00934FD7" w:rsidP="00A216FB">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A216FB">
        <w:rPr>
          <w:rFonts w:asciiTheme="majorBidi" w:eastAsiaTheme="minorEastAsia" w:hAnsiTheme="majorBidi" w:cstheme="majorBidi"/>
          <w:b/>
          <w:bCs/>
          <w:color w:val="000000" w:themeColor="text1"/>
          <w:kern w:val="0"/>
          <w:sz w:val="28"/>
          <w:szCs w:val="28"/>
          <w14:ligatures w14:val="none"/>
        </w:rPr>
        <w:t>Synthesis of International Perspectives</w:t>
      </w:r>
    </w:p>
    <w:p w14:paraId="47395218" w14:textId="77777777" w:rsidR="00934FD7" w:rsidRPr="00934FD7" w:rsidRDefault="00934FD7" w:rsidP="00934FD7">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 xml:space="preserve">Globally, high-income countries have made significant strides in incorporating risk management systems within infection prevention structures, supported by strong governance, surveillance, and funding. LMICs, on the other hand, still </w:t>
      </w:r>
      <w:r w:rsidRPr="00934FD7">
        <w:rPr>
          <w:rFonts w:asciiTheme="majorBidi" w:eastAsiaTheme="minorEastAsia" w:hAnsiTheme="majorBidi" w:cstheme="majorBidi"/>
          <w:color w:val="000000" w:themeColor="text1"/>
          <w:kern w:val="0"/>
          <w:sz w:val="28"/>
          <w:szCs w:val="28"/>
          <w14:ligatures w14:val="none"/>
        </w:rPr>
        <w:lastRenderedPageBreak/>
        <w:t>grapple with infrastructural limitations, resource scarcity, and weakly developed surveillance, which undermine their capacities for effective implementation of risk-based approaches.</w:t>
      </w:r>
    </w:p>
    <w:p w14:paraId="011C71E3" w14:textId="7D0F3BF4" w:rsidR="009162FA" w:rsidRDefault="00934FD7"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34FD7">
        <w:rPr>
          <w:rFonts w:asciiTheme="majorBidi" w:eastAsiaTheme="minorEastAsia" w:hAnsiTheme="majorBidi" w:cstheme="majorBidi"/>
          <w:color w:val="000000" w:themeColor="text1"/>
          <w:kern w:val="0"/>
          <w:sz w:val="28"/>
          <w:szCs w:val="28"/>
          <w14:ligatures w14:val="none"/>
        </w:rPr>
        <w:t>International comparisons demonstrate that while models such as NHSN in the U.S., EARS-Net in Europe, and NSQHS in Australia are good models, they cannot be imposed directly on resource-limited settings without adaptation. The literature highlights that sustained progress involves not only technical fixes but also systemic change including workforce, leadership, financing, and organizational culture.</w:t>
      </w:r>
    </w:p>
    <w:p w14:paraId="2E548A7A" w14:textId="77777777" w:rsidR="00A216FB" w:rsidRDefault="00A216FB" w:rsidP="00A216FB">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C3166EA" w14:textId="32805A7E" w:rsidR="000151B5" w:rsidRPr="009162FA" w:rsidRDefault="000151B5" w:rsidP="00911C96">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7" w:name="_Toc212139848"/>
      <w:r w:rsidRPr="009162FA">
        <w:rPr>
          <w:rFonts w:asciiTheme="majorBidi" w:eastAsiaTheme="minorEastAsia" w:hAnsiTheme="majorBidi" w:cstheme="majorBidi"/>
          <w:b/>
          <w:bCs/>
          <w:color w:val="000000" w:themeColor="text1"/>
          <w:kern w:val="0"/>
          <w:sz w:val="28"/>
          <w:szCs w:val="28"/>
          <w14:ligatures w14:val="none"/>
        </w:rPr>
        <w:t>Regional Perspectives (MENA and Africa)</w:t>
      </w:r>
      <w:bookmarkEnd w:id="27"/>
    </w:p>
    <w:p w14:paraId="2E45DCAD" w14:textId="77777777" w:rsidR="000151B5" w:rsidRPr="00615A71" w:rsidRDefault="000151B5"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71ECEAF" w14:textId="2E340DE8" w:rsidR="00572B90" w:rsidRPr="00572B90" w:rsidRDefault="00572B90" w:rsidP="00F554E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Whereas a macro-level situation of hospital-acquired infections (HAIs) and risk management is offered by global literature, regional experiences—particularly from the Middle East and North Africa (MENA) and Sub-Saharan Africa—are crucial for bringing into foreground the contextual variations and challenges that characterize both the burden of infections and strategies for managing them. These regional perspectives are important to position the current study in an environment that faces resource limitations, epidemiological issues, and changing healthcare systems.</w:t>
      </w:r>
    </w:p>
    <w:p w14:paraId="1C5AD9B3" w14:textId="061D5434" w:rsidR="00572B90" w:rsidRPr="00F554E2" w:rsidRDefault="00572B90" w:rsidP="00F554E2">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554E2">
        <w:rPr>
          <w:rFonts w:asciiTheme="majorBidi" w:eastAsiaTheme="minorEastAsia" w:hAnsiTheme="majorBidi" w:cstheme="majorBidi"/>
          <w:b/>
          <w:bCs/>
          <w:color w:val="000000" w:themeColor="text1"/>
          <w:kern w:val="0"/>
          <w:sz w:val="28"/>
          <w:szCs w:val="28"/>
          <w14:ligatures w14:val="none"/>
        </w:rPr>
        <w:t>1. The Middle East and North Africa (MENA)</w:t>
      </w:r>
    </w:p>
    <w:p w14:paraId="645E6B89" w14:textId="77777777" w:rsidR="00572B90" w:rsidRPr="00572B90" w:rsidRDefault="00572B90" w:rsidP="00572B9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The MENA area is a heterogeneous epidemiological region with enormous contrasts between low- and middle-income North African nations and high-income Gulf states. HAIs are underreported across the region, and national surveillance structures are often incomplete or fragmented.</w:t>
      </w:r>
    </w:p>
    <w:p w14:paraId="155059DD" w14:textId="77777777" w:rsidR="00572B90" w:rsidRPr="00F554E2" w:rsidRDefault="00572B90" w:rsidP="00572B90">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554E2">
        <w:rPr>
          <w:rFonts w:asciiTheme="majorBidi" w:eastAsiaTheme="minorEastAsia" w:hAnsiTheme="majorBidi" w:cstheme="majorBidi"/>
          <w:b/>
          <w:bCs/>
          <w:color w:val="000000" w:themeColor="text1"/>
          <w:kern w:val="0"/>
          <w:sz w:val="28"/>
          <w:szCs w:val="28"/>
          <w14:ligatures w14:val="none"/>
        </w:rPr>
        <w:t>a. Burden of HAIs in MENA</w:t>
      </w:r>
    </w:p>
    <w:p w14:paraId="3C9FD883" w14:textId="2F590B90" w:rsidR="00572B90" w:rsidRPr="00572B90" w:rsidRDefault="00572B90" w:rsidP="00F554E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 xml:space="preserve">Recent systematic reviews report HAI prevalence in MENA countries to be 10–20% among admitted patients, significantly higher than international averages (Ben </w:t>
      </w:r>
      <w:proofErr w:type="spellStart"/>
      <w:r w:rsidRPr="00572B90">
        <w:rPr>
          <w:rFonts w:asciiTheme="majorBidi" w:eastAsiaTheme="minorEastAsia" w:hAnsiTheme="majorBidi" w:cstheme="majorBidi"/>
          <w:color w:val="000000" w:themeColor="text1"/>
          <w:kern w:val="0"/>
          <w:sz w:val="28"/>
          <w:szCs w:val="28"/>
          <w14:ligatures w14:val="none"/>
        </w:rPr>
        <w:t>Jmaa</w:t>
      </w:r>
      <w:proofErr w:type="spellEnd"/>
      <w:r w:rsidRPr="00572B90">
        <w:rPr>
          <w:rFonts w:asciiTheme="majorBidi" w:eastAsiaTheme="minorEastAsia" w:hAnsiTheme="majorBidi" w:cstheme="majorBidi"/>
          <w:color w:val="000000" w:themeColor="text1"/>
          <w:kern w:val="0"/>
          <w:sz w:val="28"/>
          <w:szCs w:val="28"/>
          <w14:ligatures w14:val="none"/>
        </w:rPr>
        <w:t xml:space="preserve"> et al., 2022). Surgical site infections and bacteremia are two most </w:t>
      </w:r>
      <w:r w:rsidRPr="00572B90">
        <w:rPr>
          <w:rFonts w:asciiTheme="majorBidi" w:eastAsiaTheme="minorEastAsia" w:hAnsiTheme="majorBidi" w:cstheme="majorBidi"/>
          <w:color w:val="000000" w:themeColor="text1"/>
          <w:kern w:val="0"/>
          <w:sz w:val="28"/>
          <w:szCs w:val="28"/>
          <w14:ligatures w14:val="none"/>
        </w:rPr>
        <w:lastRenderedPageBreak/>
        <w:t xml:space="preserve">common, often multidrug-resistant microorganisms. </w:t>
      </w:r>
      <w:proofErr w:type="spellStart"/>
      <w:r w:rsidRPr="00572B90">
        <w:rPr>
          <w:rFonts w:asciiTheme="majorBidi" w:eastAsiaTheme="minorEastAsia" w:hAnsiTheme="majorBidi" w:cstheme="majorBidi"/>
          <w:color w:val="000000" w:themeColor="text1"/>
          <w:kern w:val="0"/>
          <w:sz w:val="28"/>
          <w:szCs w:val="28"/>
          <w14:ligatures w14:val="none"/>
        </w:rPr>
        <w:t>Carbapenemase</w:t>
      </w:r>
      <w:proofErr w:type="spellEnd"/>
      <w:r w:rsidRPr="00572B90">
        <w:rPr>
          <w:rFonts w:asciiTheme="majorBidi" w:eastAsiaTheme="minorEastAsia" w:hAnsiTheme="majorBidi" w:cstheme="majorBidi"/>
          <w:color w:val="000000" w:themeColor="text1"/>
          <w:kern w:val="0"/>
          <w:sz w:val="28"/>
          <w:szCs w:val="28"/>
          <w14:ligatures w14:val="none"/>
        </w:rPr>
        <w:t>-producing Klebsiella pneumoniae and ESBL-producing Escherichia coli are, for example, frequently reported in Egypt, Tunisia, and Morocco (El-</w:t>
      </w:r>
      <w:proofErr w:type="spellStart"/>
      <w:r w:rsidRPr="00572B90">
        <w:rPr>
          <w:rFonts w:asciiTheme="majorBidi" w:eastAsiaTheme="minorEastAsia" w:hAnsiTheme="majorBidi" w:cstheme="majorBidi"/>
          <w:color w:val="000000" w:themeColor="text1"/>
          <w:kern w:val="0"/>
          <w:sz w:val="28"/>
          <w:szCs w:val="28"/>
          <w14:ligatures w14:val="none"/>
        </w:rPr>
        <w:t>Sokkary</w:t>
      </w:r>
      <w:proofErr w:type="spellEnd"/>
      <w:r w:rsidRPr="00572B90">
        <w:rPr>
          <w:rFonts w:asciiTheme="majorBidi" w:eastAsiaTheme="minorEastAsia" w:hAnsiTheme="majorBidi" w:cstheme="majorBidi"/>
          <w:color w:val="000000" w:themeColor="text1"/>
          <w:kern w:val="0"/>
          <w:sz w:val="28"/>
          <w:szCs w:val="28"/>
          <w14:ligatures w14:val="none"/>
        </w:rPr>
        <w:t xml:space="preserve"> et al., 2022).</w:t>
      </w:r>
    </w:p>
    <w:p w14:paraId="5B41F2FA" w14:textId="77777777" w:rsidR="00572B90" w:rsidRPr="00F554E2" w:rsidRDefault="00572B90" w:rsidP="00572B90">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554E2">
        <w:rPr>
          <w:rFonts w:asciiTheme="majorBidi" w:eastAsiaTheme="minorEastAsia" w:hAnsiTheme="majorBidi" w:cstheme="majorBidi"/>
          <w:b/>
          <w:bCs/>
          <w:color w:val="000000" w:themeColor="text1"/>
          <w:kern w:val="0"/>
          <w:sz w:val="28"/>
          <w:szCs w:val="28"/>
          <w14:ligatures w14:val="none"/>
        </w:rPr>
        <w:t>b. MENA Risk Management Practices</w:t>
      </w:r>
    </w:p>
    <w:p w14:paraId="5CC068E5" w14:textId="1E064DE8" w:rsidR="00572B90" w:rsidRPr="00572B90" w:rsidRDefault="00572B90" w:rsidP="00F554E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Accountable infection prevention and risk management systems face investment in Saudi Arabia, the United Arab Emirates, and Qatar. Regular risk assessment, surveillance, and staff training are prioritized in Saudi Arabia's infection control program—a development strengthened following the MERS-</w:t>
      </w:r>
      <w:proofErr w:type="spellStart"/>
      <w:r w:rsidRPr="00572B90">
        <w:rPr>
          <w:rFonts w:asciiTheme="majorBidi" w:eastAsiaTheme="minorEastAsia" w:hAnsiTheme="majorBidi" w:cstheme="majorBidi"/>
          <w:color w:val="000000" w:themeColor="text1"/>
          <w:kern w:val="0"/>
          <w:sz w:val="28"/>
          <w:szCs w:val="28"/>
          <w14:ligatures w14:val="none"/>
        </w:rPr>
        <w:t>CoV</w:t>
      </w:r>
      <w:proofErr w:type="spellEnd"/>
      <w:r w:rsidRPr="00572B90">
        <w:rPr>
          <w:rFonts w:asciiTheme="majorBidi" w:eastAsiaTheme="minorEastAsia" w:hAnsiTheme="majorBidi" w:cstheme="majorBidi"/>
          <w:color w:val="000000" w:themeColor="text1"/>
          <w:kern w:val="0"/>
          <w:sz w:val="28"/>
          <w:szCs w:val="28"/>
          <w14:ligatures w14:val="none"/>
        </w:rPr>
        <w:t xml:space="preserve"> outbreak (Al-</w:t>
      </w:r>
      <w:proofErr w:type="spellStart"/>
      <w:r w:rsidRPr="00572B90">
        <w:rPr>
          <w:rFonts w:asciiTheme="majorBidi" w:eastAsiaTheme="minorEastAsia" w:hAnsiTheme="majorBidi" w:cstheme="majorBidi"/>
          <w:color w:val="000000" w:themeColor="text1"/>
          <w:kern w:val="0"/>
          <w:sz w:val="28"/>
          <w:szCs w:val="28"/>
          <w14:ligatures w14:val="none"/>
        </w:rPr>
        <w:t>Tawfiq</w:t>
      </w:r>
      <w:proofErr w:type="spellEnd"/>
      <w:r w:rsidRPr="00572B90">
        <w:rPr>
          <w:rFonts w:asciiTheme="majorBidi" w:eastAsiaTheme="minorEastAsia" w:hAnsiTheme="majorBidi" w:cstheme="majorBidi"/>
          <w:color w:val="000000" w:themeColor="text1"/>
          <w:kern w:val="0"/>
          <w:sz w:val="28"/>
          <w:szCs w:val="28"/>
          <w14:ligatures w14:val="none"/>
        </w:rPr>
        <w:t xml:space="preserve"> &amp; </w:t>
      </w:r>
      <w:proofErr w:type="spellStart"/>
      <w:r w:rsidRPr="00572B90">
        <w:rPr>
          <w:rFonts w:asciiTheme="majorBidi" w:eastAsiaTheme="minorEastAsia" w:hAnsiTheme="majorBidi" w:cstheme="majorBidi"/>
          <w:color w:val="000000" w:themeColor="text1"/>
          <w:kern w:val="0"/>
          <w:sz w:val="28"/>
          <w:szCs w:val="28"/>
          <w14:ligatures w14:val="none"/>
        </w:rPr>
        <w:t>Memish</w:t>
      </w:r>
      <w:proofErr w:type="spellEnd"/>
      <w:r w:rsidRPr="00572B90">
        <w:rPr>
          <w:rFonts w:asciiTheme="majorBidi" w:eastAsiaTheme="minorEastAsia" w:hAnsiTheme="majorBidi" w:cstheme="majorBidi"/>
          <w:color w:val="000000" w:themeColor="text1"/>
          <w:kern w:val="0"/>
          <w:sz w:val="28"/>
          <w:szCs w:val="28"/>
          <w14:ligatures w14:val="none"/>
        </w:rPr>
        <w:t>, 2022). North African countries are behind with inadequate infrastructure, fragile reporting mechanisms, and minimal enforcement of evidence-based IPC guidelines.</w:t>
      </w:r>
    </w:p>
    <w:p w14:paraId="5C850B88" w14:textId="77777777" w:rsidR="00572B90" w:rsidRPr="00572B90" w:rsidRDefault="00572B90" w:rsidP="00572B9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Risk management is largely reactive, prompted by crises such as outbreaks rather than being institutionalized as a preventative system of management. Absence of standardized processes such as Failure Mode and Effect Analysis (FMEA) or High Reliability Organization (HRO) models hinders hospitals from systematically identifying potential vulnerabilities before infections.</w:t>
      </w:r>
    </w:p>
    <w:p w14:paraId="77184149" w14:textId="77777777" w:rsidR="00572B90" w:rsidRPr="00572B90" w:rsidRDefault="00572B90" w:rsidP="00572B9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c. Barriers to Effective Risk Management in MENA</w:t>
      </w:r>
    </w:p>
    <w:p w14:paraId="788D8866" w14:textId="0D38C507" w:rsidR="00572B90" w:rsidRPr="00F554E2" w:rsidRDefault="00572B90">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554E2">
        <w:rPr>
          <w:rFonts w:asciiTheme="majorBidi" w:eastAsiaTheme="minorEastAsia" w:hAnsiTheme="majorBidi" w:cstheme="majorBidi"/>
          <w:color w:val="000000" w:themeColor="text1"/>
          <w:kern w:val="0"/>
          <w:sz w:val="28"/>
          <w:szCs w:val="28"/>
          <w14:ligatures w14:val="none"/>
        </w:rPr>
        <w:t>Cultural challenges: hierarchical health systems limit open error disclosure.</w:t>
      </w:r>
    </w:p>
    <w:p w14:paraId="68B6AD0F" w14:textId="5B54EDD4" w:rsidR="00572B90" w:rsidRPr="00F554E2" w:rsidRDefault="00572B90">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554E2">
        <w:rPr>
          <w:rFonts w:asciiTheme="majorBidi" w:eastAsiaTheme="minorEastAsia" w:hAnsiTheme="majorBidi" w:cstheme="majorBidi"/>
          <w:color w:val="000000" w:themeColor="text1"/>
          <w:kern w:val="0"/>
          <w:sz w:val="28"/>
          <w:szCs w:val="28"/>
          <w14:ligatures w14:val="none"/>
        </w:rPr>
        <w:t>Resource disparities: in unequal distribution of infection prevention supplies across urban tertiary institutions and rural areas.</w:t>
      </w:r>
    </w:p>
    <w:p w14:paraId="431A09F7" w14:textId="09C73F04" w:rsidR="00572B90" w:rsidRPr="00F554E2" w:rsidRDefault="00572B90">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554E2">
        <w:rPr>
          <w:rFonts w:asciiTheme="majorBidi" w:eastAsiaTheme="minorEastAsia" w:hAnsiTheme="majorBidi" w:cstheme="majorBidi"/>
          <w:color w:val="000000" w:themeColor="text1"/>
          <w:kern w:val="0"/>
          <w:sz w:val="28"/>
          <w:szCs w:val="28"/>
          <w14:ligatures w14:val="none"/>
        </w:rPr>
        <w:t>Low research productivity: peer-reviewed literature on HAIs in the region remains limited, which makes benchmarking and policy evaluation challenging.</w:t>
      </w:r>
    </w:p>
    <w:p w14:paraId="58FD29B0" w14:textId="77777777" w:rsidR="00572B90" w:rsidRPr="00572B90" w:rsidRDefault="00572B90" w:rsidP="00572B9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Despite these limitations, regional efforts such as the Eastern Mediterranean Regional Antimicrobial Resistance Action Plan spearheaded by WHO are already providing regional frameworks for risk-based HAIs reduction (WHO EMRO, 2023).</w:t>
      </w:r>
    </w:p>
    <w:p w14:paraId="0335206E" w14:textId="77777777" w:rsidR="00572B90" w:rsidRPr="00F554E2" w:rsidRDefault="00572B90" w:rsidP="00572B90">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554E2">
        <w:rPr>
          <w:rFonts w:asciiTheme="majorBidi" w:eastAsiaTheme="minorEastAsia" w:hAnsiTheme="majorBidi" w:cstheme="majorBidi"/>
          <w:b/>
          <w:bCs/>
          <w:color w:val="000000" w:themeColor="text1"/>
          <w:kern w:val="0"/>
          <w:sz w:val="28"/>
          <w:szCs w:val="28"/>
          <w14:ligatures w14:val="none"/>
        </w:rPr>
        <w:lastRenderedPageBreak/>
        <w:t>2. Sub-Saharan Africa</w:t>
      </w:r>
    </w:p>
    <w:p w14:paraId="2829C71F" w14:textId="77777777" w:rsidR="00572B90" w:rsidRPr="00572B90" w:rsidRDefault="00572B90" w:rsidP="00572B9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HAIs are the most pressing patient safety concern in Sub-Saharan Africa, where prevalence rates are typically twice to three times greater than in wealthy nations. Neonates, surgical patients, and ICU admissions are particularly high-risk groups.</w:t>
      </w:r>
    </w:p>
    <w:p w14:paraId="65C8BBB7" w14:textId="77777777" w:rsidR="00572B90" w:rsidRPr="00F554E2" w:rsidRDefault="00572B90" w:rsidP="00572B90">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554E2">
        <w:rPr>
          <w:rFonts w:asciiTheme="majorBidi" w:eastAsiaTheme="minorEastAsia" w:hAnsiTheme="majorBidi" w:cstheme="majorBidi"/>
          <w:b/>
          <w:bCs/>
          <w:color w:val="000000" w:themeColor="text1"/>
          <w:kern w:val="0"/>
          <w:sz w:val="28"/>
          <w:szCs w:val="28"/>
          <w14:ligatures w14:val="none"/>
        </w:rPr>
        <w:t>a. Burden of HAIs in Africa</w:t>
      </w:r>
    </w:p>
    <w:p w14:paraId="60D648F3" w14:textId="77777777" w:rsidR="00572B90" w:rsidRPr="00572B90" w:rsidRDefault="00572B90" w:rsidP="00572B9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 xml:space="preserve">Studies consistently point to surgical site infections as the cause of over 50% of all reported HAIs in African health care facilities (Aiken et al., 2024). </w:t>
      </w:r>
      <w:proofErr w:type="spellStart"/>
      <w:r w:rsidRPr="00572B90">
        <w:rPr>
          <w:rFonts w:asciiTheme="majorBidi" w:eastAsiaTheme="minorEastAsia" w:hAnsiTheme="majorBidi" w:cstheme="majorBidi"/>
          <w:color w:val="000000" w:themeColor="text1"/>
          <w:kern w:val="0"/>
          <w:sz w:val="28"/>
          <w:szCs w:val="28"/>
          <w14:ligatures w14:val="none"/>
        </w:rPr>
        <w:t>Neenatal</w:t>
      </w:r>
      <w:proofErr w:type="spellEnd"/>
      <w:r w:rsidRPr="00572B90">
        <w:rPr>
          <w:rFonts w:asciiTheme="majorBidi" w:eastAsiaTheme="minorEastAsia" w:hAnsiTheme="majorBidi" w:cstheme="majorBidi"/>
          <w:color w:val="000000" w:themeColor="text1"/>
          <w:kern w:val="0"/>
          <w:sz w:val="28"/>
          <w:szCs w:val="28"/>
          <w14:ligatures w14:val="none"/>
        </w:rPr>
        <w:t xml:space="preserve"> sepsis, most often caused by multidrug-resistant Gram-negative bacteria, is among the leading causes of infant mortality in most African countries. Neonatal wards in Nigeria and Kenya, for example, have infection rates of over 30%, often traced to weak IPC infrastructure (Mutua et al., 2022).</w:t>
      </w:r>
    </w:p>
    <w:p w14:paraId="17B97A95" w14:textId="77777777" w:rsidR="00572B90" w:rsidRPr="00F554E2" w:rsidRDefault="00572B90" w:rsidP="00572B90">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554E2">
        <w:rPr>
          <w:rFonts w:asciiTheme="majorBidi" w:eastAsiaTheme="minorEastAsia" w:hAnsiTheme="majorBidi" w:cstheme="majorBidi"/>
          <w:b/>
          <w:bCs/>
          <w:color w:val="000000" w:themeColor="text1"/>
          <w:kern w:val="0"/>
          <w:sz w:val="28"/>
          <w:szCs w:val="28"/>
          <w14:ligatures w14:val="none"/>
        </w:rPr>
        <w:t>b. Risk Management in African Contexts</w:t>
      </w:r>
    </w:p>
    <w:p w14:paraId="41A0539C" w14:textId="77777777" w:rsidR="00572B90" w:rsidRPr="00572B90" w:rsidRDefault="00572B90" w:rsidP="00572B9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Organized risk management systems are rarely integrated within African hospitals. Instead, infection prevention activities are typically externally funded, project-based, or donor-driven, with finite duration, if any. However, WHO's African Partnerships for Patient Safety has also been successful in demonstrating that systematic training and collaborative learning models can enhance a stronger safety culture (WHO, 2023).</w:t>
      </w:r>
    </w:p>
    <w:p w14:paraId="2A863F52" w14:textId="26200983" w:rsidR="00572B90" w:rsidRPr="00572B90" w:rsidRDefault="00572B90" w:rsidP="00F554E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South Africa is a partial exception, with more advanced national IPC guidelines and more established surveillance systems than in neighboring countries. Hospitals have begun to include risk assessments in quality improvement plans, but implementation gaps remain (Aiken et al., 2024).</w:t>
      </w:r>
    </w:p>
    <w:p w14:paraId="7B380367" w14:textId="77777777" w:rsidR="00572B90" w:rsidRPr="00F554E2" w:rsidRDefault="00572B90" w:rsidP="00572B90">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554E2">
        <w:rPr>
          <w:rFonts w:asciiTheme="majorBidi" w:eastAsiaTheme="minorEastAsia" w:hAnsiTheme="majorBidi" w:cstheme="majorBidi"/>
          <w:b/>
          <w:bCs/>
          <w:color w:val="000000" w:themeColor="text1"/>
          <w:kern w:val="0"/>
          <w:sz w:val="28"/>
          <w:szCs w:val="28"/>
          <w14:ligatures w14:val="none"/>
        </w:rPr>
        <w:t>c. Challenges to Effective Risk Management in Africa</w:t>
      </w:r>
    </w:p>
    <w:p w14:paraId="2EE785B9" w14:textId="58E3C98B" w:rsidR="00572B90" w:rsidRPr="00F554E2" w:rsidRDefault="003D6C67">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t>Shortage</w:t>
      </w:r>
      <w:r w:rsidR="00572B90" w:rsidRPr="00F554E2">
        <w:rPr>
          <w:rFonts w:asciiTheme="majorBidi" w:eastAsiaTheme="minorEastAsia" w:hAnsiTheme="majorBidi" w:cstheme="majorBidi"/>
          <w:color w:val="000000" w:themeColor="text1"/>
          <w:kern w:val="0"/>
          <w:sz w:val="28"/>
          <w:szCs w:val="28"/>
          <w14:ligatures w14:val="none"/>
        </w:rPr>
        <w:t xml:space="preserve"> in resources: scarce resources of clean water, hand hygiene materials, and sterile equipment.</w:t>
      </w:r>
    </w:p>
    <w:p w14:paraId="0301D510" w14:textId="4B70A99F" w:rsidR="00572B90" w:rsidRPr="00F554E2" w:rsidRDefault="003D6C67">
      <w:pPr>
        <w:pStyle w:val="ListParagraph"/>
        <w:numPr>
          <w:ilvl w:val="0"/>
          <w:numId w:val="2"/>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t>Shortage</w:t>
      </w:r>
      <w:r w:rsidR="00572B90" w:rsidRPr="00F554E2">
        <w:rPr>
          <w:rFonts w:asciiTheme="majorBidi" w:eastAsiaTheme="minorEastAsia" w:hAnsiTheme="majorBidi" w:cstheme="majorBidi"/>
          <w:color w:val="000000" w:themeColor="text1"/>
          <w:kern w:val="0"/>
          <w:sz w:val="28"/>
          <w:szCs w:val="28"/>
          <w14:ligatures w14:val="none"/>
        </w:rPr>
        <w:t xml:space="preserve"> in staff: extreme shortages of infection prevention specialists and trained nurses.</w:t>
      </w:r>
    </w:p>
    <w:p w14:paraId="78578BE5" w14:textId="6A6EBCFE" w:rsidR="00572B90" w:rsidRPr="00F554E2" w:rsidRDefault="003D6C67">
      <w:pPr>
        <w:pStyle w:val="ListParagraph"/>
        <w:numPr>
          <w:ilvl w:val="0"/>
          <w:numId w:val="4"/>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lastRenderedPageBreak/>
        <w:t>unhinged</w:t>
      </w:r>
      <w:r w:rsidR="00572B90" w:rsidRPr="00F554E2">
        <w:rPr>
          <w:rFonts w:asciiTheme="majorBidi" w:eastAsiaTheme="minorEastAsia" w:hAnsiTheme="majorBidi" w:cstheme="majorBidi"/>
          <w:color w:val="000000" w:themeColor="text1"/>
          <w:kern w:val="0"/>
          <w:sz w:val="28"/>
          <w:szCs w:val="28"/>
          <w14:ligatures w14:val="none"/>
        </w:rPr>
        <w:t xml:space="preserve"> policy frameworks: national policies are stifled by lack of accountability mechanisms.</w:t>
      </w:r>
    </w:p>
    <w:p w14:paraId="519EBC2A" w14:textId="0A3C234D" w:rsidR="00572B90" w:rsidRPr="00F554E2" w:rsidRDefault="003D6C67">
      <w:pPr>
        <w:pStyle w:val="ListParagraph"/>
        <w:numPr>
          <w:ilvl w:val="0"/>
          <w:numId w:val="4"/>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t>Spurious</w:t>
      </w:r>
      <w:r w:rsidR="00572B90" w:rsidRPr="00F554E2">
        <w:rPr>
          <w:rFonts w:asciiTheme="majorBidi" w:eastAsiaTheme="minorEastAsia" w:hAnsiTheme="majorBidi" w:cstheme="majorBidi"/>
          <w:color w:val="000000" w:themeColor="text1"/>
          <w:kern w:val="0"/>
          <w:sz w:val="28"/>
          <w:szCs w:val="28"/>
          <w14:ligatures w14:val="none"/>
        </w:rPr>
        <w:t xml:space="preserve"> data: poor laboratory infrastructure and shattered reporting systems obscure the true burden of HAI.</w:t>
      </w:r>
    </w:p>
    <w:p w14:paraId="51A57E49" w14:textId="77777777" w:rsidR="00572B90" w:rsidRPr="00F554E2" w:rsidRDefault="00572B90" w:rsidP="00572B90">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554E2">
        <w:rPr>
          <w:rFonts w:asciiTheme="majorBidi" w:eastAsiaTheme="minorEastAsia" w:hAnsiTheme="majorBidi" w:cstheme="majorBidi"/>
          <w:b/>
          <w:bCs/>
          <w:color w:val="000000" w:themeColor="text1"/>
          <w:kern w:val="0"/>
          <w:sz w:val="28"/>
          <w:szCs w:val="28"/>
          <w14:ligatures w14:val="none"/>
        </w:rPr>
        <w:t>3. Comparative Analysis: MENA vs. Sub-Saharan Africa</w:t>
      </w:r>
    </w:p>
    <w:p w14:paraId="54EA86FE" w14:textId="77777777" w:rsidR="00572B90" w:rsidRPr="00572B90" w:rsidRDefault="00572B90" w:rsidP="00572B9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While both have high rates of HAI and poor surveillance systems, a number of differences exist:</w:t>
      </w:r>
    </w:p>
    <w:p w14:paraId="44499B42" w14:textId="56241D66" w:rsidR="00572B90" w:rsidRPr="00F554E2" w:rsidRDefault="00572B90">
      <w:pPr>
        <w:pStyle w:val="ListParagraph"/>
        <w:numPr>
          <w:ilvl w:val="0"/>
          <w:numId w:val="4"/>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554E2">
        <w:rPr>
          <w:rFonts w:asciiTheme="majorBidi" w:eastAsiaTheme="minorEastAsia" w:hAnsiTheme="majorBidi" w:cstheme="majorBidi"/>
          <w:color w:val="000000" w:themeColor="text1"/>
          <w:kern w:val="0"/>
          <w:sz w:val="28"/>
          <w:szCs w:val="28"/>
          <w14:ligatures w14:val="none"/>
        </w:rPr>
        <w:t>MENA countries (the Gulf states among them) have more financial resources to invest in training and infrastructure but need to do more to establish proactive risk management cultures.</w:t>
      </w:r>
    </w:p>
    <w:p w14:paraId="56D61CC6" w14:textId="3D729BFE" w:rsidR="00572B90" w:rsidRPr="00F554E2" w:rsidRDefault="00572B90">
      <w:pPr>
        <w:pStyle w:val="ListParagraph"/>
        <w:numPr>
          <w:ilvl w:val="0"/>
          <w:numId w:val="4"/>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F554E2">
        <w:rPr>
          <w:rFonts w:asciiTheme="majorBidi" w:eastAsiaTheme="minorEastAsia" w:hAnsiTheme="majorBidi" w:cstheme="majorBidi"/>
          <w:color w:val="000000" w:themeColor="text1"/>
          <w:kern w:val="0"/>
          <w:sz w:val="28"/>
          <w:szCs w:val="28"/>
          <w14:ligatures w14:val="none"/>
        </w:rPr>
        <w:t>Sub-Saharan Africa has more severe resource deficiencies and surgical and neonatal infections more onerous, but regional partnerships with WHO and NGOs have produced promising templates for future capacity building.</w:t>
      </w:r>
    </w:p>
    <w:p w14:paraId="70E004AE" w14:textId="46196054" w:rsidR="00572B90" w:rsidRPr="00572B90" w:rsidRDefault="00572B90" w:rsidP="00F554E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Both areas remind us to modify risk management plans to the immediate epidemiological situation and limitations of resources, rather than merely translating models developed in high-income countries.</w:t>
      </w:r>
    </w:p>
    <w:p w14:paraId="5D207EDF" w14:textId="77777777" w:rsidR="00572B90" w:rsidRPr="00F554E2" w:rsidRDefault="00572B90" w:rsidP="00572B90">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F554E2">
        <w:rPr>
          <w:rFonts w:asciiTheme="majorBidi" w:eastAsiaTheme="minorEastAsia" w:hAnsiTheme="majorBidi" w:cstheme="majorBidi"/>
          <w:b/>
          <w:bCs/>
          <w:color w:val="000000" w:themeColor="text1"/>
          <w:kern w:val="0"/>
          <w:sz w:val="28"/>
          <w:szCs w:val="28"/>
          <w14:ligatures w14:val="none"/>
        </w:rPr>
        <w:t>4. Implications for the Current Study</w:t>
      </w:r>
    </w:p>
    <w:p w14:paraId="42B00DFF" w14:textId="77777777" w:rsidR="00572B90" w:rsidRPr="00572B90" w:rsidRDefault="00572B90" w:rsidP="00572B9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Through reading regional perspectives, it is clear that context-sensitive risk management models are required. For hospitals in resource-scarce settings, risk management must consider financial, infrastructural, and cultural adversity. It is this observation that is directly transferred to the current research since it seeks to evaluate the usefulness of risk management in the decrease of HAIs in a specialized hospital setting in the MENA region.</w:t>
      </w:r>
    </w:p>
    <w:p w14:paraId="1DBE79F2" w14:textId="56916363" w:rsidR="00F554E2" w:rsidRPr="00615A71" w:rsidRDefault="00572B90" w:rsidP="00F554E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72B90">
        <w:rPr>
          <w:rFonts w:asciiTheme="majorBidi" w:eastAsiaTheme="minorEastAsia" w:hAnsiTheme="majorBidi" w:cstheme="majorBidi"/>
          <w:color w:val="000000" w:themeColor="text1"/>
          <w:kern w:val="0"/>
          <w:sz w:val="28"/>
          <w:szCs w:val="28"/>
          <w14:ligatures w14:val="none"/>
        </w:rPr>
        <w:t>Literature highlights that, unlike in the U.S. or Europe where risk management has been embedded into governance and financing structures, in MENA and Africa there remain gaps in implementation. The present research, hence, contributes by developing applied evidence that can bridge this gap and inform policy and practice.</w:t>
      </w:r>
    </w:p>
    <w:p w14:paraId="2017A43F" w14:textId="09A09A47" w:rsidR="002E2ED5" w:rsidRPr="00EE2533" w:rsidRDefault="002E2ED5" w:rsidP="00911C96">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8" w:name="_Toc212139849"/>
      <w:r w:rsidRPr="00EE2533">
        <w:rPr>
          <w:rFonts w:asciiTheme="majorBidi" w:eastAsiaTheme="minorEastAsia" w:hAnsiTheme="majorBidi" w:cstheme="majorBidi"/>
          <w:b/>
          <w:bCs/>
          <w:color w:val="000000" w:themeColor="text1"/>
          <w:kern w:val="0"/>
          <w:sz w:val="28"/>
          <w:szCs w:val="28"/>
          <w14:ligatures w14:val="none"/>
        </w:rPr>
        <w:lastRenderedPageBreak/>
        <w:t>National Perspectives</w:t>
      </w:r>
      <w:bookmarkEnd w:id="28"/>
      <w:r w:rsidRPr="00EE2533">
        <w:rPr>
          <w:rFonts w:asciiTheme="majorBidi" w:eastAsiaTheme="minorEastAsia" w:hAnsiTheme="majorBidi" w:cstheme="majorBidi"/>
          <w:b/>
          <w:bCs/>
          <w:color w:val="000000" w:themeColor="text1"/>
          <w:kern w:val="0"/>
          <w:sz w:val="28"/>
          <w:szCs w:val="28"/>
          <w14:ligatures w14:val="none"/>
        </w:rPr>
        <w:t xml:space="preserve"> </w:t>
      </w:r>
    </w:p>
    <w:p w14:paraId="4604C1CE" w14:textId="77777777" w:rsidR="002E2ED5" w:rsidRPr="00615A71" w:rsidRDefault="002E2ED5"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848307E" w14:textId="77777777" w:rsidR="00627864" w:rsidRPr="00627864" w:rsidRDefault="00627864" w:rsidP="00627864">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27864">
        <w:rPr>
          <w:rFonts w:asciiTheme="majorBidi" w:eastAsiaTheme="minorEastAsia" w:hAnsiTheme="majorBidi" w:cstheme="majorBidi"/>
          <w:color w:val="000000" w:themeColor="text1"/>
          <w:kern w:val="0"/>
          <w:sz w:val="28"/>
          <w:szCs w:val="28"/>
          <w14:ligatures w14:val="none"/>
        </w:rPr>
        <w:t>Understanding hospital-acquired infections (HAIs) and their risk management practices at the international level is crucial because every country has distinct epidemiological, structural, and cultural concerns. Egypt is a representative example because it combines aspects of both middle-income healthcare systems and high HAIs incidence rates. In addition, Egypt has been the target of increased research attention in the past decade due to the fact that it is highly populated, has an overburdened public health system, and has sustained reforms in infection prevention and control (IPC).</w:t>
      </w:r>
    </w:p>
    <w:p w14:paraId="24790FBE" w14:textId="77777777" w:rsidR="00627864" w:rsidRPr="001B023D" w:rsidRDefault="00627864" w:rsidP="00627864">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1B023D">
        <w:rPr>
          <w:rFonts w:asciiTheme="majorBidi" w:eastAsiaTheme="minorEastAsia" w:hAnsiTheme="majorBidi" w:cstheme="majorBidi"/>
          <w:b/>
          <w:bCs/>
          <w:color w:val="000000" w:themeColor="text1"/>
          <w:kern w:val="0"/>
          <w:sz w:val="28"/>
          <w:szCs w:val="28"/>
          <w14:ligatures w14:val="none"/>
        </w:rPr>
        <w:t>1. Egypt's Burden of HAIs</w:t>
      </w:r>
    </w:p>
    <w:p w14:paraId="535DA7D1" w14:textId="77777777" w:rsidR="00627864" w:rsidRPr="00627864" w:rsidRDefault="00627864" w:rsidP="00627864">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27864">
        <w:rPr>
          <w:rFonts w:asciiTheme="majorBidi" w:eastAsiaTheme="minorEastAsia" w:hAnsiTheme="majorBidi" w:cstheme="majorBidi"/>
          <w:color w:val="000000" w:themeColor="text1"/>
          <w:kern w:val="0"/>
          <w:sz w:val="28"/>
          <w:szCs w:val="28"/>
          <w14:ligatures w14:val="none"/>
        </w:rPr>
        <w:t>There are concurrences among various studies that Egypt's HAIs are higher than the average, particularly in intensive care units (ICUs), operating rooms, and neonatal wards. El-</w:t>
      </w:r>
      <w:proofErr w:type="spellStart"/>
      <w:r w:rsidRPr="00627864">
        <w:rPr>
          <w:rFonts w:asciiTheme="majorBidi" w:eastAsiaTheme="minorEastAsia" w:hAnsiTheme="majorBidi" w:cstheme="majorBidi"/>
          <w:color w:val="000000" w:themeColor="text1"/>
          <w:kern w:val="0"/>
          <w:sz w:val="28"/>
          <w:szCs w:val="28"/>
          <w14:ligatures w14:val="none"/>
        </w:rPr>
        <w:t>Sokkary</w:t>
      </w:r>
      <w:proofErr w:type="spellEnd"/>
      <w:r w:rsidRPr="00627864">
        <w:rPr>
          <w:rFonts w:asciiTheme="majorBidi" w:eastAsiaTheme="minorEastAsia" w:hAnsiTheme="majorBidi" w:cstheme="majorBidi"/>
          <w:color w:val="000000" w:themeColor="text1"/>
          <w:kern w:val="0"/>
          <w:sz w:val="28"/>
          <w:szCs w:val="28"/>
          <w14:ligatures w14:val="none"/>
        </w:rPr>
        <w:t xml:space="preserve"> et al. (2022) have presented Egypt's HAI prevalence rates within tertiary hospitals to range from 12–26% of hospitalized patients, significantly higher than the global benchmark of 5–10%. The most common infections include bloodstream infections, ventilator-associated pneumonia, urinary tract infections, and surgical site infections.</w:t>
      </w:r>
    </w:p>
    <w:p w14:paraId="3A20323D" w14:textId="4A492127" w:rsidR="00627864" w:rsidRPr="00627864" w:rsidRDefault="00627864" w:rsidP="001B023D">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27864">
        <w:rPr>
          <w:rFonts w:asciiTheme="majorBidi" w:eastAsiaTheme="minorEastAsia" w:hAnsiTheme="majorBidi" w:cstheme="majorBidi"/>
          <w:color w:val="000000" w:themeColor="text1"/>
          <w:kern w:val="0"/>
          <w:sz w:val="28"/>
          <w:szCs w:val="28"/>
          <w14:ligatures w14:val="none"/>
        </w:rPr>
        <w:t>Among the most important contributors is the widespread prevalence of multidrug-resistant organisms (MDROs). Carbapenem-resistant Klebsiella pneumoniae, ESBL-producing E. coli, and methicillin-resistant Staphylococcus aureus (MRSA) are widespread in Egyptian hospitals, rendering treatment challenging and increasing both mortality and cost (Shawky et al., 2023).</w:t>
      </w:r>
    </w:p>
    <w:p w14:paraId="00341F9D" w14:textId="77777777" w:rsidR="00627864" w:rsidRPr="001B023D" w:rsidRDefault="00627864" w:rsidP="00627864">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1B023D">
        <w:rPr>
          <w:rFonts w:asciiTheme="majorBidi" w:eastAsiaTheme="minorEastAsia" w:hAnsiTheme="majorBidi" w:cstheme="majorBidi"/>
          <w:b/>
          <w:bCs/>
          <w:color w:val="000000" w:themeColor="text1"/>
          <w:kern w:val="0"/>
          <w:sz w:val="28"/>
          <w:szCs w:val="28"/>
          <w14:ligatures w14:val="none"/>
        </w:rPr>
        <w:t>2. Egypt-Specific Risk Factors</w:t>
      </w:r>
    </w:p>
    <w:p w14:paraId="6AAD6827" w14:textId="77777777" w:rsidR="00627864" w:rsidRPr="00627864" w:rsidRDefault="00627864" w:rsidP="00627864">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27864">
        <w:rPr>
          <w:rFonts w:asciiTheme="majorBidi" w:eastAsiaTheme="minorEastAsia" w:hAnsiTheme="majorBidi" w:cstheme="majorBidi"/>
          <w:color w:val="000000" w:themeColor="text1"/>
          <w:kern w:val="0"/>
          <w:sz w:val="28"/>
          <w:szCs w:val="28"/>
          <w14:ligatures w14:val="none"/>
        </w:rPr>
        <w:t>Some risk factors heighten the burden of HAIs in Egypt:</w:t>
      </w:r>
    </w:p>
    <w:p w14:paraId="1981A120" w14:textId="4BEB1624" w:rsidR="00627864" w:rsidRPr="001B023D" w:rsidRDefault="00627864">
      <w:pPr>
        <w:pStyle w:val="ListParagraph"/>
        <w:numPr>
          <w:ilvl w:val="0"/>
          <w:numId w:val="4"/>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B023D">
        <w:rPr>
          <w:rFonts w:asciiTheme="majorBidi" w:eastAsiaTheme="minorEastAsia" w:hAnsiTheme="majorBidi" w:cstheme="majorBidi"/>
          <w:color w:val="000000" w:themeColor="text1"/>
          <w:kern w:val="0"/>
          <w:sz w:val="28"/>
          <w:szCs w:val="28"/>
          <w14:ligatures w14:val="none"/>
        </w:rPr>
        <w:t>Hospitals overcrowding: Egypt's public hospitals, particularly in urban areas like Cairo and Alexandria, are overwhelmed by the number of patients, thus increasing cross-infection risks.</w:t>
      </w:r>
    </w:p>
    <w:p w14:paraId="1D0EFB47" w14:textId="6C400B6A" w:rsidR="00627864" w:rsidRPr="001B023D" w:rsidRDefault="00627864">
      <w:pPr>
        <w:pStyle w:val="ListParagraph"/>
        <w:numPr>
          <w:ilvl w:val="0"/>
          <w:numId w:val="4"/>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B023D">
        <w:rPr>
          <w:rFonts w:asciiTheme="majorBidi" w:eastAsiaTheme="minorEastAsia" w:hAnsiTheme="majorBidi" w:cstheme="majorBidi"/>
          <w:color w:val="000000" w:themeColor="text1"/>
          <w:kern w:val="0"/>
          <w:sz w:val="28"/>
          <w:szCs w:val="28"/>
          <w14:ligatures w14:val="none"/>
        </w:rPr>
        <w:lastRenderedPageBreak/>
        <w:t>Poor infrastructure: Isolation rooms, negative pressure ventilation, or working sterilization equipment are not available in the majority of such hospitals.</w:t>
      </w:r>
    </w:p>
    <w:p w14:paraId="62CAA48A" w14:textId="4002056F" w:rsidR="00627864" w:rsidRPr="001B023D" w:rsidRDefault="00627864">
      <w:pPr>
        <w:pStyle w:val="ListParagraph"/>
        <w:numPr>
          <w:ilvl w:val="0"/>
          <w:numId w:val="4"/>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B023D">
        <w:rPr>
          <w:rFonts w:asciiTheme="majorBidi" w:eastAsiaTheme="minorEastAsia" w:hAnsiTheme="majorBidi" w:cstheme="majorBidi"/>
          <w:color w:val="000000" w:themeColor="text1"/>
          <w:kern w:val="0"/>
          <w:sz w:val="28"/>
          <w:szCs w:val="28"/>
          <w14:ligatures w14:val="none"/>
        </w:rPr>
        <w:t>Misuse of antimicrobials: Egypt has historically suffered from poor regulation of antibiotics, and over-the-counter sales have played a major role in widespread resistance.</w:t>
      </w:r>
    </w:p>
    <w:p w14:paraId="1317227E" w14:textId="02EF9E45" w:rsidR="00627864" w:rsidRPr="001B023D" w:rsidRDefault="00627864">
      <w:pPr>
        <w:pStyle w:val="ListParagraph"/>
        <w:numPr>
          <w:ilvl w:val="0"/>
          <w:numId w:val="4"/>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B023D">
        <w:rPr>
          <w:rFonts w:asciiTheme="majorBidi" w:eastAsiaTheme="minorEastAsia" w:hAnsiTheme="majorBidi" w:cstheme="majorBidi"/>
          <w:color w:val="000000" w:themeColor="text1"/>
          <w:kern w:val="0"/>
          <w:sz w:val="28"/>
          <w:szCs w:val="28"/>
          <w14:ligatures w14:val="none"/>
        </w:rPr>
        <w:t>Workforce challenges in preventing infections: Infection prevention nurse shortages due to a lack of training and excess staff turnover undermine IPC program sustainability.</w:t>
      </w:r>
    </w:p>
    <w:p w14:paraId="799305E0" w14:textId="260A5A60" w:rsidR="00627864" w:rsidRPr="001B023D" w:rsidRDefault="00627864">
      <w:pPr>
        <w:pStyle w:val="ListParagraph"/>
        <w:numPr>
          <w:ilvl w:val="0"/>
          <w:numId w:val="4"/>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B023D">
        <w:rPr>
          <w:rFonts w:asciiTheme="majorBidi" w:eastAsiaTheme="minorEastAsia" w:hAnsiTheme="majorBidi" w:cstheme="majorBidi"/>
          <w:color w:val="000000" w:themeColor="text1"/>
          <w:kern w:val="0"/>
          <w:sz w:val="28"/>
          <w:szCs w:val="28"/>
          <w14:ligatures w14:val="none"/>
        </w:rPr>
        <w:t>Socioeconomic challenges: Limited healthcare funding and heavy reliance on out-of-pocket expenditure constrain investments in advanced infection control technologies.</w:t>
      </w:r>
    </w:p>
    <w:p w14:paraId="185554DE" w14:textId="77777777" w:rsidR="00627864" w:rsidRPr="001B023D" w:rsidRDefault="00627864" w:rsidP="00627864">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1B023D">
        <w:rPr>
          <w:rFonts w:asciiTheme="majorBidi" w:eastAsiaTheme="minorEastAsia" w:hAnsiTheme="majorBidi" w:cstheme="majorBidi"/>
          <w:b/>
          <w:bCs/>
          <w:color w:val="000000" w:themeColor="text1"/>
          <w:kern w:val="0"/>
          <w:sz w:val="28"/>
          <w:szCs w:val="28"/>
          <w14:ligatures w14:val="none"/>
        </w:rPr>
        <w:t>3. National Policies and Risk Management Strategies</w:t>
      </w:r>
    </w:p>
    <w:p w14:paraId="1CA5911B" w14:textId="77777777" w:rsidR="00627864" w:rsidRPr="00627864" w:rsidRDefault="00627864" w:rsidP="00627864">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27864">
        <w:rPr>
          <w:rFonts w:asciiTheme="majorBidi" w:eastAsiaTheme="minorEastAsia" w:hAnsiTheme="majorBidi" w:cstheme="majorBidi"/>
          <w:color w:val="000000" w:themeColor="text1"/>
          <w:kern w:val="0"/>
          <w:sz w:val="28"/>
          <w:szCs w:val="28"/>
          <w14:ligatures w14:val="none"/>
        </w:rPr>
        <w:t>The Egyptian Ministry of Health and Population (MoHP) has launched several initiatives to strengthen infection control and risk management:</w:t>
      </w:r>
    </w:p>
    <w:p w14:paraId="16BC8517" w14:textId="5B938942" w:rsidR="00627864" w:rsidRPr="001B023D" w:rsidRDefault="005C601F">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t>National</w:t>
      </w:r>
      <w:r w:rsidR="00627864" w:rsidRPr="001B023D">
        <w:rPr>
          <w:rFonts w:asciiTheme="majorBidi" w:eastAsiaTheme="minorEastAsia" w:hAnsiTheme="majorBidi" w:cstheme="majorBidi"/>
          <w:color w:val="000000" w:themeColor="text1"/>
          <w:kern w:val="0"/>
          <w:sz w:val="28"/>
          <w:szCs w:val="28"/>
          <w14:ligatures w14:val="none"/>
        </w:rPr>
        <w:t xml:space="preserve"> Infection Control Program (NICP): It was established early in the 2000s and introduced national guidelines equivalent to WHO standards. Such guidelines lay special emphasis on hand hygiene, sterilization protocols, and safe injection practices.</w:t>
      </w:r>
    </w:p>
    <w:p w14:paraId="594A7362" w14:textId="2BE94273" w:rsidR="00627864" w:rsidRPr="001B023D" w:rsidRDefault="005C601F">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t>Hospital</w:t>
      </w:r>
      <w:r w:rsidR="00627864" w:rsidRPr="001B023D">
        <w:rPr>
          <w:rFonts w:asciiTheme="majorBidi" w:eastAsiaTheme="minorEastAsia" w:hAnsiTheme="majorBidi" w:cstheme="majorBidi"/>
          <w:color w:val="000000" w:themeColor="text1"/>
          <w:kern w:val="0"/>
          <w:sz w:val="28"/>
          <w:szCs w:val="28"/>
          <w14:ligatures w14:val="none"/>
        </w:rPr>
        <w:t xml:space="preserve"> Accreditation Standards: Infection control constitutes a central area of Egypt's hospital accreditation program, wherein institutions are compelled to implement IPC committees, periodic risk analysis, and data monitoring.</w:t>
      </w:r>
    </w:p>
    <w:p w14:paraId="18396101" w14:textId="4F18DB0E" w:rsidR="00627864" w:rsidRPr="001B023D"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B023D">
        <w:rPr>
          <w:rFonts w:asciiTheme="majorBidi" w:eastAsiaTheme="minorEastAsia" w:hAnsiTheme="majorBidi" w:cstheme="majorBidi"/>
          <w:color w:val="000000" w:themeColor="text1"/>
          <w:kern w:val="0"/>
          <w:sz w:val="28"/>
          <w:szCs w:val="28"/>
          <w14:ligatures w14:val="none"/>
        </w:rPr>
        <w:t>Antimicrobial Stewardship Programs (ASPs): Tertiary hospitals have only just introduced these programs, which intend to monitor prescribing habits and limit antibiotic resistance (Ezzat et al., 2022).</w:t>
      </w:r>
    </w:p>
    <w:p w14:paraId="6C4B1424" w14:textId="0E44B9AA" w:rsidR="00627864" w:rsidRPr="001B023D"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1B023D">
        <w:rPr>
          <w:rFonts w:asciiTheme="majorBidi" w:eastAsiaTheme="minorEastAsia" w:hAnsiTheme="majorBidi" w:cstheme="majorBidi"/>
          <w:color w:val="000000" w:themeColor="text1"/>
          <w:kern w:val="0"/>
          <w:sz w:val="28"/>
          <w:szCs w:val="28"/>
          <w14:ligatures w14:val="none"/>
        </w:rPr>
        <w:t xml:space="preserve">COVID-19 Response: The COVID-19 pandemic accelerated investment in IPC, including staff training, provision of PPE, and electronic </w:t>
      </w:r>
      <w:r w:rsidRPr="001B023D">
        <w:rPr>
          <w:rFonts w:asciiTheme="majorBidi" w:eastAsiaTheme="minorEastAsia" w:hAnsiTheme="majorBidi" w:cstheme="majorBidi"/>
          <w:color w:val="000000" w:themeColor="text1"/>
          <w:kern w:val="0"/>
          <w:sz w:val="28"/>
          <w:szCs w:val="28"/>
          <w14:ligatures w14:val="none"/>
        </w:rPr>
        <w:lastRenderedPageBreak/>
        <w:t>monitoring systems, although all of these advances are still in uneven distribution around the world.</w:t>
      </w:r>
    </w:p>
    <w:p w14:paraId="17508C70" w14:textId="77777777" w:rsidR="00627864" w:rsidRPr="005C601F" w:rsidRDefault="00627864" w:rsidP="00627864">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601F">
        <w:rPr>
          <w:rFonts w:asciiTheme="majorBidi" w:eastAsiaTheme="minorEastAsia" w:hAnsiTheme="majorBidi" w:cstheme="majorBidi"/>
          <w:b/>
          <w:bCs/>
          <w:color w:val="000000" w:themeColor="text1"/>
          <w:kern w:val="0"/>
          <w:sz w:val="28"/>
          <w:szCs w:val="28"/>
          <w14:ligatures w14:val="none"/>
        </w:rPr>
        <w:t>4. Implementation Gaps</w:t>
      </w:r>
    </w:p>
    <w:p w14:paraId="0828529F" w14:textId="77777777" w:rsidR="00627864" w:rsidRPr="00627864" w:rsidRDefault="00627864" w:rsidP="00627864">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27864">
        <w:rPr>
          <w:rFonts w:asciiTheme="majorBidi" w:eastAsiaTheme="minorEastAsia" w:hAnsiTheme="majorBidi" w:cstheme="majorBidi"/>
          <w:color w:val="000000" w:themeColor="text1"/>
          <w:kern w:val="0"/>
          <w:sz w:val="28"/>
          <w:szCs w:val="28"/>
          <w14:ligatures w14:val="none"/>
        </w:rPr>
        <w:t>Policy advancement implementation is still a challenge:</w:t>
      </w:r>
    </w:p>
    <w:p w14:paraId="0DF65E81" w14:textId="621327A9" w:rsidR="00627864" w:rsidRPr="005C601F"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C601F">
        <w:rPr>
          <w:rFonts w:asciiTheme="majorBidi" w:eastAsiaTheme="minorEastAsia" w:hAnsiTheme="majorBidi" w:cstheme="majorBidi"/>
          <w:color w:val="000000" w:themeColor="text1"/>
          <w:kern w:val="0"/>
          <w:sz w:val="28"/>
          <w:szCs w:val="28"/>
          <w14:ligatures w14:val="none"/>
        </w:rPr>
        <w:t xml:space="preserve">Shortcomings of surveillance: Information on HAIs remains incomplete at the national </w:t>
      </w:r>
      <w:proofErr w:type="gramStart"/>
      <w:r w:rsidRPr="005C601F">
        <w:rPr>
          <w:rFonts w:asciiTheme="majorBidi" w:eastAsiaTheme="minorEastAsia" w:hAnsiTheme="majorBidi" w:cstheme="majorBidi"/>
          <w:color w:val="000000" w:themeColor="text1"/>
          <w:kern w:val="0"/>
          <w:sz w:val="28"/>
          <w:szCs w:val="28"/>
          <w14:ligatures w14:val="none"/>
        </w:rPr>
        <w:t>level,</w:t>
      </w:r>
      <w:proofErr w:type="gramEnd"/>
      <w:r w:rsidRPr="005C601F">
        <w:rPr>
          <w:rFonts w:asciiTheme="majorBidi" w:eastAsiaTheme="minorEastAsia" w:hAnsiTheme="majorBidi" w:cstheme="majorBidi"/>
          <w:color w:val="000000" w:themeColor="text1"/>
          <w:kern w:val="0"/>
          <w:sz w:val="28"/>
          <w:szCs w:val="28"/>
          <w14:ligatures w14:val="none"/>
        </w:rPr>
        <w:t xml:space="preserve"> underreporting being caused by weak IT systems and fluctuating laboratory capacity.</w:t>
      </w:r>
    </w:p>
    <w:p w14:paraId="3F942BF1" w14:textId="6197FC09" w:rsidR="00627864" w:rsidRPr="005C601F"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C601F">
        <w:rPr>
          <w:rFonts w:asciiTheme="majorBidi" w:eastAsiaTheme="minorEastAsia" w:hAnsiTheme="majorBidi" w:cstheme="majorBidi"/>
          <w:color w:val="000000" w:themeColor="text1"/>
          <w:kern w:val="0"/>
          <w:sz w:val="28"/>
          <w:szCs w:val="28"/>
          <w14:ligatures w14:val="none"/>
        </w:rPr>
        <w:t>Cultural failure: There is reactive risk management instead of proactive and continuous risk management.</w:t>
      </w:r>
    </w:p>
    <w:p w14:paraId="3266956B" w14:textId="60F7E831" w:rsidR="00627864" w:rsidRPr="005C601F"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C601F">
        <w:rPr>
          <w:rFonts w:asciiTheme="majorBidi" w:eastAsiaTheme="minorEastAsia" w:hAnsiTheme="majorBidi" w:cstheme="majorBidi"/>
          <w:color w:val="000000" w:themeColor="text1"/>
          <w:kern w:val="0"/>
          <w:sz w:val="28"/>
          <w:szCs w:val="28"/>
          <w14:ligatures w14:val="none"/>
        </w:rPr>
        <w:t>Resource disparity: Urban hospitals enjoy better resources than rural ones, leading to uneven capability of risk management at the national level.</w:t>
      </w:r>
    </w:p>
    <w:p w14:paraId="247EEDAF" w14:textId="21F9973A" w:rsidR="00627864" w:rsidRPr="005C601F"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C601F">
        <w:rPr>
          <w:rFonts w:asciiTheme="majorBidi" w:eastAsiaTheme="minorEastAsia" w:hAnsiTheme="majorBidi" w:cstheme="majorBidi"/>
          <w:color w:val="000000" w:themeColor="text1"/>
          <w:kern w:val="0"/>
          <w:sz w:val="28"/>
          <w:szCs w:val="28"/>
          <w14:ligatures w14:val="none"/>
        </w:rPr>
        <w:t>Professional development gaps: Continuous professional training in IPC is limited, with most occurring in tertiary centers and leaving out small hospitals.</w:t>
      </w:r>
    </w:p>
    <w:p w14:paraId="347114D0" w14:textId="77777777" w:rsidR="00627864" w:rsidRPr="005C601F" w:rsidRDefault="00627864" w:rsidP="00627864">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601F">
        <w:rPr>
          <w:rFonts w:asciiTheme="majorBidi" w:eastAsiaTheme="minorEastAsia" w:hAnsiTheme="majorBidi" w:cstheme="majorBidi"/>
          <w:b/>
          <w:bCs/>
          <w:color w:val="000000" w:themeColor="text1"/>
          <w:kern w:val="0"/>
          <w:sz w:val="28"/>
          <w:szCs w:val="28"/>
          <w14:ligatures w14:val="none"/>
        </w:rPr>
        <w:t>5. Best Current Practices</w:t>
      </w:r>
    </w:p>
    <w:p w14:paraId="713838EA" w14:textId="77777777" w:rsidR="00627864" w:rsidRPr="00627864" w:rsidRDefault="00627864" w:rsidP="00627864">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27864">
        <w:rPr>
          <w:rFonts w:asciiTheme="majorBidi" w:eastAsiaTheme="minorEastAsia" w:hAnsiTheme="majorBidi" w:cstheme="majorBidi"/>
          <w:color w:val="000000" w:themeColor="text1"/>
          <w:kern w:val="0"/>
          <w:sz w:val="28"/>
          <w:szCs w:val="28"/>
          <w14:ligatures w14:val="none"/>
        </w:rPr>
        <w:t>Egypt, struggling though it may be, has presented encouraging instances of integrating risk management into infection prevention:</w:t>
      </w:r>
    </w:p>
    <w:p w14:paraId="14EC628B" w14:textId="3518DF6C" w:rsidR="00627864" w:rsidRPr="005C601F"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C601F">
        <w:rPr>
          <w:rFonts w:asciiTheme="majorBidi" w:eastAsiaTheme="minorEastAsia" w:hAnsiTheme="majorBidi" w:cstheme="majorBidi"/>
          <w:color w:val="000000" w:themeColor="text1"/>
          <w:kern w:val="0"/>
          <w:sz w:val="28"/>
          <w:szCs w:val="28"/>
          <w14:ligatures w14:val="none"/>
        </w:rPr>
        <w:t>ICU Surveillance Programs: Some university hospitals (e.g., Ain Shams University and Cairo University) have established sustained ICU-based surveillance for HAI, which has observed measurable reductions in ventilator-associated pneumonia (Shawky et al., 2023).</w:t>
      </w:r>
    </w:p>
    <w:p w14:paraId="4B8D39CC" w14:textId="06AE203C" w:rsidR="00627864" w:rsidRPr="005C601F"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C601F">
        <w:rPr>
          <w:rFonts w:asciiTheme="majorBidi" w:eastAsiaTheme="minorEastAsia" w:hAnsiTheme="majorBidi" w:cstheme="majorBidi"/>
          <w:color w:val="000000" w:themeColor="text1"/>
          <w:kern w:val="0"/>
          <w:sz w:val="28"/>
          <w:szCs w:val="28"/>
          <w14:ligatures w14:val="none"/>
        </w:rPr>
        <w:t>Bundle Strategies: Adoption of catheter care bundles and surgical safety checklists has improved teaching hospitals' adherence.</w:t>
      </w:r>
    </w:p>
    <w:p w14:paraId="03EF3602" w14:textId="20113006" w:rsidR="00627864" w:rsidRPr="005C601F"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C601F">
        <w:rPr>
          <w:rFonts w:asciiTheme="majorBidi" w:eastAsiaTheme="minorEastAsia" w:hAnsiTheme="majorBidi" w:cstheme="majorBidi"/>
          <w:color w:val="000000" w:themeColor="text1"/>
          <w:kern w:val="0"/>
          <w:sz w:val="28"/>
          <w:szCs w:val="28"/>
          <w14:ligatures w14:val="none"/>
        </w:rPr>
        <w:t>Risk Assessment Embedding: Pilot programs in large hospitals have used Failure Mode and Effect Analysis (FMEA) to identify weaknesses in infection control processes (Ezzat et al., 2022).</w:t>
      </w:r>
    </w:p>
    <w:p w14:paraId="57800DF1" w14:textId="1842AC9D" w:rsidR="00627864" w:rsidRPr="005C601F" w:rsidRDefault="00627864">
      <w:pPr>
        <w:pStyle w:val="ListParagraph"/>
        <w:numPr>
          <w:ilvl w:val="0"/>
          <w:numId w:val="6"/>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5C601F">
        <w:rPr>
          <w:rFonts w:asciiTheme="majorBidi" w:eastAsiaTheme="minorEastAsia" w:hAnsiTheme="majorBidi" w:cstheme="majorBidi"/>
          <w:color w:val="000000" w:themeColor="text1"/>
          <w:kern w:val="0"/>
          <w:sz w:val="28"/>
          <w:szCs w:val="28"/>
          <w14:ligatures w14:val="none"/>
        </w:rPr>
        <w:lastRenderedPageBreak/>
        <w:t>Public–Private Partnerships: NGO and pharmaceutical collaborations have promoted antimicrobial stewardship training and supply chain improvements.</w:t>
      </w:r>
    </w:p>
    <w:p w14:paraId="66A3C152" w14:textId="77777777" w:rsidR="00627864" w:rsidRPr="005C601F" w:rsidRDefault="00627864" w:rsidP="00627864">
      <w:pPr>
        <w:bidi w:val="0"/>
        <w:spacing w:after="0" w:line="360" w:lineRule="auto"/>
        <w:jc w:val="both"/>
        <w:rPr>
          <w:rFonts w:asciiTheme="majorBidi" w:eastAsiaTheme="minorEastAsia" w:hAnsiTheme="majorBidi" w:cstheme="majorBidi"/>
          <w:b/>
          <w:bCs/>
          <w:color w:val="000000" w:themeColor="text1"/>
          <w:kern w:val="0"/>
          <w:sz w:val="28"/>
          <w:szCs w:val="28"/>
          <w14:ligatures w14:val="none"/>
        </w:rPr>
      </w:pPr>
      <w:r w:rsidRPr="005C601F">
        <w:rPr>
          <w:rFonts w:asciiTheme="majorBidi" w:eastAsiaTheme="minorEastAsia" w:hAnsiTheme="majorBidi" w:cstheme="majorBidi"/>
          <w:b/>
          <w:bCs/>
          <w:color w:val="000000" w:themeColor="text1"/>
          <w:kern w:val="0"/>
          <w:sz w:val="28"/>
          <w:szCs w:val="28"/>
          <w14:ligatures w14:val="none"/>
        </w:rPr>
        <w:t>6. Relevance to the Current Study</w:t>
      </w:r>
    </w:p>
    <w:p w14:paraId="333C60C6" w14:textId="77777777" w:rsidR="00627864" w:rsidRPr="00627864" w:rsidRDefault="00627864" w:rsidP="00627864">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27864">
        <w:rPr>
          <w:rFonts w:asciiTheme="majorBidi" w:eastAsiaTheme="minorEastAsia" w:hAnsiTheme="majorBidi" w:cstheme="majorBidi"/>
          <w:color w:val="000000" w:themeColor="text1"/>
          <w:kern w:val="0"/>
          <w:sz w:val="28"/>
          <w:szCs w:val="28"/>
          <w14:ligatures w14:val="none"/>
        </w:rPr>
        <w:t>Egypt's experience is the best proof of the paramount importance of context-specific risk management interventions in reducing HAIs. While global frameworks are useful, effectiveness depends on adapting them to local conditions like overcrowded facilities, limited budgets, and widespread antibiotic resistance.</w:t>
      </w:r>
    </w:p>
    <w:p w14:paraId="44140A0A" w14:textId="2E595AAE" w:rsidR="00613D6D" w:rsidRDefault="00627864"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27864">
        <w:rPr>
          <w:rFonts w:asciiTheme="majorBidi" w:eastAsiaTheme="minorEastAsia" w:hAnsiTheme="majorBidi" w:cstheme="majorBidi"/>
          <w:color w:val="000000" w:themeColor="text1"/>
          <w:kern w:val="0"/>
          <w:sz w:val="28"/>
          <w:szCs w:val="28"/>
          <w14:ligatures w14:val="none"/>
        </w:rPr>
        <w:t>Egypt is used in this study as an example of a middle-income country with systemic HAI issues that is piloting advanced risk management tools. By evaluating the application of these practices, the study can assist in the creation of more effective, sustainable infection prevention interventions tailored to similar health systems.</w:t>
      </w:r>
    </w:p>
    <w:p w14:paraId="1ABFC72F" w14:textId="77777777" w:rsidR="001B023D" w:rsidRPr="00615A71" w:rsidRDefault="001B023D" w:rsidP="001B023D">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FD20A15" w14:textId="3AF97ACE" w:rsidR="00613D6D" w:rsidRPr="00662B94" w:rsidRDefault="00613D6D" w:rsidP="00911C96">
      <w:pPr>
        <w:bidi w:val="0"/>
        <w:spacing w:after="0" w:line="360" w:lineRule="auto"/>
        <w:jc w:val="both"/>
        <w:outlineLvl w:val="1"/>
        <w:rPr>
          <w:rFonts w:asciiTheme="majorBidi" w:eastAsiaTheme="minorEastAsia" w:hAnsiTheme="majorBidi" w:cstheme="majorBidi"/>
          <w:b/>
          <w:bCs/>
          <w:color w:val="000000" w:themeColor="text1"/>
          <w:kern w:val="0"/>
          <w:sz w:val="28"/>
          <w:szCs w:val="28"/>
          <w14:ligatures w14:val="none"/>
        </w:rPr>
      </w:pPr>
      <w:bookmarkStart w:id="29" w:name="_Toc212139850"/>
      <w:r w:rsidRPr="00662B94">
        <w:rPr>
          <w:rFonts w:asciiTheme="majorBidi" w:eastAsiaTheme="minorEastAsia" w:hAnsiTheme="majorBidi" w:cstheme="majorBidi"/>
          <w:b/>
          <w:bCs/>
          <w:color w:val="000000" w:themeColor="text1"/>
          <w:kern w:val="0"/>
          <w:sz w:val="28"/>
          <w:szCs w:val="28"/>
          <w14:ligatures w14:val="none"/>
        </w:rPr>
        <w:t>Synthesis and Conclusion</w:t>
      </w:r>
      <w:bookmarkEnd w:id="29"/>
    </w:p>
    <w:p w14:paraId="47D9A969" w14:textId="77777777" w:rsidR="00613D6D" w:rsidRPr="00615A71" w:rsidRDefault="00613D6D"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D88AB15"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31B9">
        <w:rPr>
          <w:rFonts w:asciiTheme="majorBidi" w:eastAsiaTheme="minorEastAsia" w:hAnsiTheme="majorBidi" w:cstheme="majorBidi"/>
          <w:color w:val="000000" w:themeColor="text1"/>
          <w:kern w:val="0"/>
          <w:sz w:val="28"/>
          <w:szCs w:val="28"/>
          <w14:ligatures w14:val="none"/>
        </w:rPr>
        <w:t>The development of international, regional, and national literature on hospital-acquired infections (HAIs) and risk management approaches demonstrates a multidimensional and ever-evolving domain that is shaped by a diverse range of drivers from microbial resistance and limitations in resources to health infrastructure and organizational culture. By synthesizing these perspectives, the present study aligns itself within global debates and in addition recognizes specific gaps that remain very pertinent in low- and middle-income countries such as Egypt.</w:t>
      </w:r>
    </w:p>
    <w:p w14:paraId="7F18353E"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EBF8C06" w14:textId="77777777" w:rsidR="004B31B9" w:rsidRPr="00D92D44" w:rsidRDefault="004B31B9" w:rsidP="00911C96">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30" w:name="_Toc212139851"/>
      <w:r w:rsidRPr="00D92D44">
        <w:rPr>
          <w:rFonts w:asciiTheme="majorBidi" w:eastAsiaTheme="minorEastAsia" w:hAnsiTheme="majorBidi" w:cstheme="majorBidi"/>
          <w:b/>
          <w:bCs/>
          <w:color w:val="000000" w:themeColor="text1"/>
          <w:kern w:val="0"/>
          <w:sz w:val="28"/>
          <w:szCs w:val="28"/>
          <w14:ligatures w14:val="none"/>
        </w:rPr>
        <w:t>1. International Evidence and Theoretical Background</w:t>
      </w:r>
      <w:bookmarkEnd w:id="30"/>
    </w:p>
    <w:p w14:paraId="756BAFCC"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F441B59"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31B9">
        <w:rPr>
          <w:rFonts w:asciiTheme="majorBidi" w:eastAsiaTheme="minorEastAsia" w:hAnsiTheme="majorBidi" w:cstheme="majorBidi"/>
          <w:color w:val="000000" w:themeColor="text1"/>
          <w:kern w:val="0"/>
          <w:sz w:val="28"/>
          <w:szCs w:val="28"/>
          <w14:ligatures w14:val="none"/>
        </w:rPr>
        <w:lastRenderedPageBreak/>
        <w:t>Globally, literature is consistent in describing HAIs as a serious issue of patient safety, arising in 5–10% of patients in the high-income countries and more than 20% in the low- and middle-income countries (</w:t>
      </w:r>
      <w:proofErr w:type="spellStart"/>
      <w:r w:rsidRPr="004B31B9">
        <w:rPr>
          <w:rFonts w:asciiTheme="majorBidi" w:eastAsiaTheme="minorEastAsia" w:hAnsiTheme="majorBidi" w:cstheme="majorBidi"/>
          <w:color w:val="000000" w:themeColor="text1"/>
          <w:kern w:val="0"/>
          <w:sz w:val="28"/>
          <w:szCs w:val="28"/>
          <w14:ligatures w14:val="none"/>
        </w:rPr>
        <w:t>Allegranzi</w:t>
      </w:r>
      <w:proofErr w:type="spellEnd"/>
      <w:r w:rsidRPr="004B31B9">
        <w:rPr>
          <w:rFonts w:asciiTheme="majorBidi" w:eastAsiaTheme="minorEastAsia" w:hAnsiTheme="majorBidi" w:cstheme="majorBidi"/>
          <w:color w:val="000000" w:themeColor="text1"/>
          <w:kern w:val="0"/>
          <w:sz w:val="28"/>
          <w:szCs w:val="28"/>
          <w14:ligatures w14:val="none"/>
        </w:rPr>
        <w:t xml:space="preserve"> et al., 2022). Antimicrobial resistance (AMR) has emerged in the limelight in terms of complicating factors, rising morbidity, mortality, and expenses. At the same time, theoretical models such as High Reliability Organizations (HROs), Failure Mode and Effect Analysis (FMEA), and Swiss Cheese Model of Accident Causation provide conceptual frameworks for incorporating risk management in healthcare practice. Yet, while these models are widely applied in high-income systems, their implementation in resource-scarce settings is incomplete and disparate.</w:t>
      </w:r>
    </w:p>
    <w:p w14:paraId="32D9F0F0"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DFCE53A" w14:textId="77777777" w:rsidR="004B31B9" w:rsidRPr="00D92D44" w:rsidRDefault="004B31B9" w:rsidP="00911C96">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31" w:name="_Toc212139852"/>
      <w:r w:rsidRPr="00D92D44">
        <w:rPr>
          <w:rFonts w:asciiTheme="majorBidi" w:eastAsiaTheme="minorEastAsia" w:hAnsiTheme="majorBidi" w:cstheme="majorBidi"/>
          <w:b/>
          <w:bCs/>
          <w:color w:val="000000" w:themeColor="text1"/>
          <w:kern w:val="0"/>
          <w:sz w:val="28"/>
          <w:szCs w:val="28"/>
          <w14:ligatures w14:val="none"/>
        </w:rPr>
        <w:t>2. Regional Variations</w:t>
      </w:r>
      <w:bookmarkEnd w:id="31"/>
    </w:p>
    <w:p w14:paraId="19F2CB33" w14:textId="77777777" w:rsidR="004B31B9" w:rsidRPr="00D92D44"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26A1103"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31B9">
        <w:rPr>
          <w:rFonts w:asciiTheme="majorBidi" w:eastAsiaTheme="minorEastAsia" w:hAnsiTheme="majorBidi" w:cstheme="majorBidi"/>
          <w:color w:val="000000" w:themeColor="text1"/>
          <w:kern w:val="0"/>
          <w:sz w:val="28"/>
          <w:szCs w:val="28"/>
          <w14:ligatures w14:val="none"/>
        </w:rPr>
        <w:t>The Middle East and North Africa (MENA) and Sub-Saharan Africa illustrate how situational realities affect both the prevalence of HAIs and the feasibility of risk management intervention. MENA countries, and particularly Gulf countries, have spent money on formal infection prevention programs but struggle to integrate proactive risk management into the regularity of clinical practice (Al-</w:t>
      </w:r>
      <w:proofErr w:type="spellStart"/>
      <w:r w:rsidRPr="004B31B9">
        <w:rPr>
          <w:rFonts w:asciiTheme="majorBidi" w:eastAsiaTheme="minorEastAsia" w:hAnsiTheme="majorBidi" w:cstheme="majorBidi"/>
          <w:color w:val="000000" w:themeColor="text1"/>
          <w:kern w:val="0"/>
          <w:sz w:val="28"/>
          <w:szCs w:val="28"/>
          <w14:ligatures w14:val="none"/>
        </w:rPr>
        <w:t>Tawfiq</w:t>
      </w:r>
      <w:proofErr w:type="spellEnd"/>
      <w:r w:rsidRPr="004B31B9">
        <w:rPr>
          <w:rFonts w:asciiTheme="majorBidi" w:eastAsiaTheme="minorEastAsia" w:hAnsiTheme="majorBidi" w:cstheme="majorBidi"/>
          <w:color w:val="000000" w:themeColor="text1"/>
          <w:kern w:val="0"/>
          <w:sz w:val="28"/>
          <w:szCs w:val="28"/>
          <w14:ligatures w14:val="none"/>
        </w:rPr>
        <w:t xml:space="preserve"> &amp; </w:t>
      </w:r>
      <w:proofErr w:type="spellStart"/>
      <w:r w:rsidRPr="004B31B9">
        <w:rPr>
          <w:rFonts w:asciiTheme="majorBidi" w:eastAsiaTheme="minorEastAsia" w:hAnsiTheme="majorBidi" w:cstheme="majorBidi"/>
          <w:color w:val="000000" w:themeColor="text1"/>
          <w:kern w:val="0"/>
          <w:sz w:val="28"/>
          <w:szCs w:val="28"/>
          <w14:ligatures w14:val="none"/>
        </w:rPr>
        <w:t>Memish</w:t>
      </w:r>
      <w:proofErr w:type="spellEnd"/>
      <w:r w:rsidRPr="004B31B9">
        <w:rPr>
          <w:rFonts w:asciiTheme="majorBidi" w:eastAsiaTheme="minorEastAsia" w:hAnsiTheme="majorBidi" w:cstheme="majorBidi"/>
          <w:color w:val="000000" w:themeColor="text1"/>
          <w:kern w:val="0"/>
          <w:sz w:val="28"/>
          <w:szCs w:val="28"/>
          <w14:ligatures w14:val="none"/>
        </w:rPr>
        <w:t>, 2022). Sub-Saharan Africa, however, has acutely poor levels of infrastructure, staff, and laboratory capability, leading to chronically high rates of neonatal sepsis and surgical site infections (Aiken et al., 2024).</w:t>
      </w:r>
    </w:p>
    <w:p w14:paraId="0A1B5D63"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31B9">
        <w:rPr>
          <w:rFonts w:asciiTheme="majorBidi" w:eastAsiaTheme="minorEastAsia" w:hAnsiTheme="majorBidi" w:cstheme="majorBidi"/>
          <w:color w:val="000000" w:themeColor="text1"/>
          <w:kern w:val="0"/>
          <w:sz w:val="28"/>
          <w:szCs w:val="28"/>
          <w14:ligatures w14:val="none"/>
        </w:rPr>
        <w:t>Both regions underscore local adaptation: global advice cannot be exported wholesale but must be re-tuned to fit cultural, economic, and structural conditions. Of particular note, risk management in both regions is more reactive—triggered after outbreaks have been declared—than proactive and preventative.</w:t>
      </w:r>
    </w:p>
    <w:p w14:paraId="56DA4268"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E326667" w14:textId="77777777" w:rsidR="004B31B9" w:rsidRPr="00D92D44" w:rsidRDefault="004B31B9" w:rsidP="00911C96">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32" w:name="_Toc212139853"/>
      <w:r w:rsidRPr="00D92D44">
        <w:rPr>
          <w:rFonts w:asciiTheme="majorBidi" w:eastAsiaTheme="minorEastAsia" w:hAnsiTheme="majorBidi" w:cstheme="majorBidi"/>
          <w:b/>
          <w:bCs/>
          <w:color w:val="000000" w:themeColor="text1"/>
          <w:kern w:val="0"/>
          <w:sz w:val="28"/>
          <w:szCs w:val="28"/>
          <w14:ligatures w14:val="none"/>
        </w:rPr>
        <w:lastRenderedPageBreak/>
        <w:t>3. National Experience: Egypt</w:t>
      </w:r>
      <w:bookmarkEnd w:id="32"/>
    </w:p>
    <w:p w14:paraId="3E8F2FFF"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631146B"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31B9">
        <w:rPr>
          <w:rFonts w:asciiTheme="majorBidi" w:eastAsiaTheme="minorEastAsia" w:hAnsiTheme="majorBidi" w:cstheme="majorBidi"/>
          <w:color w:val="000000" w:themeColor="text1"/>
          <w:kern w:val="0"/>
          <w:sz w:val="28"/>
          <w:szCs w:val="28"/>
          <w14:ligatures w14:val="none"/>
        </w:rPr>
        <w:t>At the national level, Egypt is a telling case. With HAIs exceeding international rates and widespread multidrug resistance (El-</w:t>
      </w:r>
      <w:proofErr w:type="spellStart"/>
      <w:r w:rsidRPr="004B31B9">
        <w:rPr>
          <w:rFonts w:asciiTheme="majorBidi" w:eastAsiaTheme="minorEastAsia" w:hAnsiTheme="majorBidi" w:cstheme="majorBidi"/>
          <w:color w:val="000000" w:themeColor="text1"/>
          <w:kern w:val="0"/>
          <w:sz w:val="28"/>
          <w:szCs w:val="28"/>
          <w14:ligatures w14:val="none"/>
        </w:rPr>
        <w:t>Sokkary</w:t>
      </w:r>
      <w:proofErr w:type="spellEnd"/>
      <w:r w:rsidRPr="004B31B9">
        <w:rPr>
          <w:rFonts w:asciiTheme="majorBidi" w:eastAsiaTheme="minorEastAsia" w:hAnsiTheme="majorBidi" w:cstheme="majorBidi"/>
          <w:color w:val="000000" w:themeColor="text1"/>
          <w:kern w:val="0"/>
          <w:sz w:val="28"/>
          <w:szCs w:val="28"/>
          <w14:ligatures w14:val="none"/>
        </w:rPr>
        <w:t xml:space="preserve"> et al., 2022), Egypt illustrates the cost of inexcusable infrastructure, antibiotic misuse, and hospital overcrowding. Meanwhile, recent policy initiatives—the National Infection Control Program, antimicrobial stewardship programs, and hospital accreditation programs—reflect efforts toward institutionalizing risk management.</w:t>
      </w:r>
    </w:p>
    <w:p w14:paraId="73E90AFC"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31B9">
        <w:rPr>
          <w:rFonts w:asciiTheme="majorBidi" w:eastAsiaTheme="minorEastAsia" w:hAnsiTheme="majorBidi" w:cstheme="majorBidi"/>
          <w:color w:val="000000" w:themeColor="text1"/>
          <w:kern w:val="0"/>
          <w:sz w:val="28"/>
          <w:szCs w:val="28"/>
          <w14:ligatures w14:val="none"/>
        </w:rPr>
        <w:t>Yet, there are implementation gaps that exist, including disjointed surveillance infrastructure, poor training, and uneven distribution of resources across urban versus rural institutions (Ezzat et al., 2022; Shawky et al., 2023). Egypt's experience indicates both the potential and limitations of middle-income countries in managing HAIs in resource-scarce systems.</w:t>
      </w:r>
    </w:p>
    <w:p w14:paraId="4E5755A4"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77D443B" w14:textId="77777777" w:rsidR="004B31B9" w:rsidRPr="00D92D44" w:rsidRDefault="004B31B9" w:rsidP="00911C96">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33" w:name="_Toc212139854"/>
      <w:r w:rsidRPr="00D92D44">
        <w:rPr>
          <w:rFonts w:asciiTheme="majorBidi" w:eastAsiaTheme="minorEastAsia" w:hAnsiTheme="majorBidi" w:cstheme="majorBidi"/>
          <w:b/>
          <w:bCs/>
          <w:color w:val="000000" w:themeColor="text1"/>
          <w:kern w:val="0"/>
          <w:sz w:val="28"/>
          <w:szCs w:val="28"/>
          <w14:ligatures w14:val="none"/>
        </w:rPr>
        <w:t>4. Identified Gaps in the Literature</w:t>
      </w:r>
      <w:bookmarkEnd w:id="33"/>
    </w:p>
    <w:p w14:paraId="6BAF4221"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D88DCC1"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31B9">
        <w:rPr>
          <w:rFonts w:asciiTheme="majorBidi" w:eastAsiaTheme="minorEastAsia" w:hAnsiTheme="majorBidi" w:cstheme="majorBidi"/>
          <w:color w:val="000000" w:themeColor="text1"/>
          <w:kern w:val="0"/>
          <w:sz w:val="28"/>
          <w:szCs w:val="28"/>
          <w14:ligatures w14:val="none"/>
        </w:rPr>
        <w:t>Worldwide, regional, and national perspectives both share some gaps:</w:t>
      </w:r>
    </w:p>
    <w:p w14:paraId="4689C030" w14:textId="05707564" w:rsidR="004B31B9" w:rsidRPr="00D92D44" w:rsidRDefault="004B31B9">
      <w:pPr>
        <w:pStyle w:val="ListParagraph"/>
        <w:numPr>
          <w:ilvl w:val="0"/>
          <w:numId w:val="5"/>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92D44">
        <w:rPr>
          <w:rFonts w:asciiTheme="majorBidi" w:eastAsiaTheme="minorEastAsia" w:hAnsiTheme="majorBidi" w:cstheme="majorBidi"/>
          <w:color w:val="000000" w:themeColor="text1"/>
          <w:kern w:val="0"/>
          <w:sz w:val="28"/>
          <w:szCs w:val="28"/>
          <w14:ligatures w14:val="none"/>
        </w:rPr>
        <w:t>Risk management theory translated into practice to a limited extent in low-resource environments.</w:t>
      </w:r>
    </w:p>
    <w:p w14:paraId="2D9ED6BE" w14:textId="6575167B" w:rsidR="004B31B9" w:rsidRPr="00D92D44" w:rsidRDefault="004B31B9">
      <w:pPr>
        <w:pStyle w:val="ListParagraph"/>
        <w:numPr>
          <w:ilvl w:val="0"/>
          <w:numId w:val="5"/>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92D44">
        <w:rPr>
          <w:rFonts w:asciiTheme="majorBidi" w:eastAsiaTheme="minorEastAsia" w:hAnsiTheme="majorBidi" w:cstheme="majorBidi"/>
          <w:color w:val="000000" w:themeColor="text1"/>
          <w:kern w:val="0"/>
          <w:sz w:val="28"/>
          <w:szCs w:val="28"/>
          <w14:ligatures w14:val="none"/>
        </w:rPr>
        <w:t>Non-existence of real-time surveillance systems for HAIs, particularly in low- and middle-income nations.</w:t>
      </w:r>
    </w:p>
    <w:p w14:paraId="41A100AE" w14:textId="71079913" w:rsidR="004B31B9" w:rsidRPr="00D92D44" w:rsidRDefault="004B31B9">
      <w:pPr>
        <w:pStyle w:val="ListParagraph"/>
        <w:numPr>
          <w:ilvl w:val="0"/>
          <w:numId w:val="5"/>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92D44">
        <w:rPr>
          <w:rFonts w:asciiTheme="majorBidi" w:eastAsiaTheme="minorEastAsia" w:hAnsiTheme="majorBidi" w:cstheme="majorBidi"/>
          <w:color w:val="000000" w:themeColor="text1"/>
          <w:kern w:val="0"/>
          <w:sz w:val="28"/>
          <w:szCs w:val="28"/>
          <w14:ligatures w14:val="none"/>
        </w:rPr>
        <w:t>Underreporting of economic cost and long-term patient impacts.</w:t>
      </w:r>
    </w:p>
    <w:p w14:paraId="58A3DBE4" w14:textId="48857CB7" w:rsidR="004B31B9" w:rsidRPr="00D92D44" w:rsidRDefault="004B31B9">
      <w:pPr>
        <w:pStyle w:val="ListParagraph"/>
        <w:numPr>
          <w:ilvl w:val="0"/>
          <w:numId w:val="5"/>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92D44">
        <w:rPr>
          <w:rFonts w:asciiTheme="majorBidi" w:eastAsiaTheme="minorEastAsia" w:hAnsiTheme="majorBidi" w:cstheme="majorBidi"/>
          <w:color w:val="000000" w:themeColor="text1"/>
          <w:kern w:val="0"/>
          <w:sz w:val="28"/>
          <w:szCs w:val="28"/>
          <w14:ligatures w14:val="none"/>
        </w:rPr>
        <w:t>Cultural barriers to reporting safety, particularly in hierarchical healthcare organizations.</w:t>
      </w:r>
    </w:p>
    <w:p w14:paraId="21379B03" w14:textId="0A7E0ED1" w:rsidR="004B31B9" w:rsidRPr="00D92D44" w:rsidRDefault="004B31B9">
      <w:pPr>
        <w:pStyle w:val="ListParagraph"/>
        <w:numPr>
          <w:ilvl w:val="0"/>
          <w:numId w:val="5"/>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D92D44">
        <w:rPr>
          <w:rFonts w:asciiTheme="majorBidi" w:eastAsiaTheme="minorEastAsia" w:hAnsiTheme="majorBidi" w:cstheme="majorBidi"/>
          <w:color w:val="000000" w:themeColor="text1"/>
          <w:kern w:val="0"/>
          <w:sz w:val="28"/>
          <w:szCs w:val="28"/>
          <w14:ligatures w14:val="none"/>
        </w:rPr>
        <w:t>Limited comparative, multicenter studies from the MENA region, which prevents benchmarking and regional learning.</w:t>
      </w:r>
    </w:p>
    <w:p w14:paraId="6D428C1E" w14:textId="77777777" w:rsid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F65C5DB" w14:textId="77777777" w:rsidR="00D92D44" w:rsidRPr="004B31B9" w:rsidRDefault="00D92D44" w:rsidP="00D92D4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D06466C" w14:textId="77777777" w:rsidR="004B31B9" w:rsidRPr="00D92D44" w:rsidRDefault="004B31B9" w:rsidP="00911C96">
      <w:pPr>
        <w:bidi w:val="0"/>
        <w:spacing w:after="0" w:line="360" w:lineRule="auto"/>
        <w:jc w:val="both"/>
        <w:outlineLvl w:val="2"/>
        <w:rPr>
          <w:rFonts w:asciiTheme="majorBidi" w:eastAsiaTheme="minorEastAsia" w:hAnsiTheme="majorBidi" w:cstheme="majorBidi"/>
          <w:b/>
          <w:bCs/>
          <w:color w:val="000000" w:themeColor="text1"/>
          <w:kern w:val="0"/>
          <w:sz w:val="28"/>
          <w:szCs w:val="28"/>
          <w14:ligatures w14:val="none"/>
        </w:rPr>
      </w:pPr>
      <w:bookmarkStart w:id="34" w:name="_Toc212139855"/>
      <w:r w:rsidRPr="00D92D44">
        <w:rPr>
          <w:rFonts w:asciiTheme="majorBidi" w:eastAsiaTheme="minorEastAsia" w:hAnsiTheme="majorBidi" w:cstheme="majorBidi"/>
          <w:b/>
          <w:bCs/>
          <w:color w:val="000000" w:themeColor="text1"/>
          <w:kern w:val="0"/>
          <w:sz w:val="28"/>
          <w:szCs w:val="28"/>
          <w14:ligatures w14:val="none"/>
        </w:rPr>
        <w:lastRenderedPageBreak/>
        <w:t>5. Implications for the Current Study</w:t>
      </w:r>
      <w:bookmarkEnd w:id="34"/>
    </w:p>
    <w:p w14:paraId="64C869E2" w14:textId="77777777" w:rsidR="004B31B9" w:rsidRPr="004B31B9" w:rsidRDefault="004B31B9" w:rsidP="004B31B9">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CE74509" w14:textId="0E643EF3" w:rsidR="004B31B9" w:rsidRPr="004B31B9" w:rsidRDefault="004B31B9" w:rsidP="00D92D44">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31B9">
        <w:rPr>
          <w:rFonts w:asciiTheme="majorBidi" w:eastAsiaTheme="minorEastAsia" w:hAnsiTheme="majorBidi" w:cstheme="majorBidi"/>
          <w:color w:val="000000" w:themeColor="text1"/>
          <w:kern w:val="0"/>
          <w:sz w:val="28"/>
          <w:szCs w:val="28"/>
          <w14:ligatures w14:val="none"/>
        </w:rPr>
        <w:t>Placing itself in this literature, this study positions risk management as a normative requirement and not an add-on to support patient safety and quality of care in Egypt. The integration reveals that institutionalized models privilege high-income countries but that countries such as Egypt are forced to prioritize contextual adaptation—integrating evidence-based guidelines into local contexts, improving surveillance, and injecting proactive risk management into everyday clinical practice.</w:t>
      </w:r>
    </w:p>
    <w:p w14:paraId="19EC23DD" w14:textId="2F50435C" w:rsidR="00613D6D" w:rsidRPr="00615A71" w:rsidRDefault="004B31B9"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31B9">
        <w:rPr>
          <w:rFonts w:asciiTheme="majorBidi" w:eastAsiaTheme="minorEastAsia" w:hAnsiTheme="majorBidi" w:cstheme="majorBidi"/>
          <w:color w:val="000000" w:themeColor="text1"/>
          <w:kern w:val="0"/>
          <w:sz w:val="28"/>
          <w:szCs w:val="28"/>
          <w14:ligatures w14:val="none"/>
        </w:rPr>
        <w:t>The chapter thereby lays a good groundwork for the research, emphasizing the necessity of real-world evidence from middle-income healthcare systems and validating the study's contribution both to scholarly literature and to real-world policymaking.</w:t>
      </w:r>
    </w:p>
    <w:p w14:paraId="13288877" w14:textId="75A6E6E5" w:rsidR="00613D6D" w:rsidRDefault="00613D6D" w:rsidP="00615A71">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47E282E" w14:textId="77777777" w:rsidR="002F3813" w:rsidRDefault="002F3813" w:rsidP="002F3813">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F2EE265" w14:textId="77777777" w:rsidR="002F3813" w:rsidRDefault="002F3813" w:rsidP="002F3813">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B869FD7" w14:textId="77777777" w:rsidR="002F3813" w:rsidRDefault="002F3813" w:rsidP="002F3813">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A51D7BA"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2E4B71E"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F769156"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3E3FF0D"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F5C4F2C"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ACCA475"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E3D7B84"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92ABD71"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ECEA2CB"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F80CB3B"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D350D87"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4D8C0EB" w14:textId="77777777" w:rsidR="00662B94" w:rsidRDefault="00662B94" w:rsidP="00662B94">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p>
    <w:p w14:paraId="48515BF7" w14:textId="77777777" w:rsidR="00CE1909" w:rsidRPr="00112534" w:rsidRDefault="00CE1909" w:rsidP="00911C96">
      <w:pPr>
        <w:bidi w:val="0"/>
        <w:spacing w:after="0" w:line="360" w:lineRule="auto"/>
        <w:jc w:val="both"/>
        <w:outlineLvl w:val="0"/>
        <w:rPr>
          <w:rFonts w:asciiTheme="majorBidi" w:eastAsiaTheme="minorEastAsia" w:hAnsiTheme="majorBidi" w:cstheme="majorBidi"/>
          <w:b/>
          <w:bCs/>
          <w:color w:val="000000" w:themeColor="text1"/>
          <w:kern w:val="0"/>
          <w:sz w:val="28"/>
          <w:szCs w:val="28"/>
          <w14:ligatures w14:val="none"/>
        </w:rPr>
      </w:pPr>
      <w:bookmarkStart w:id="35" w:name="_Toc212139856"/>
      <w:r w:rsidRPr="00112534">
        <w:rPr>
          <w:rFonts w:asciiTheme="majorBidi" w:eastAsiaTheme="minorEastAsia" w:hAnsiTheme="majorBidi" w:cstheme="majorBidi"/>
          <w:b/>
          <w:bCs/>
          <w:color w:val="000000" w:themeColor="text1"/>
          <w:kern w:val="0"/>
          <w:sz w:val="28"/>
          <w:szCs w:val="28"/>
          <w14:ligatures w14:val="none"/>
        </w:rPr>
        <w:lastRenderedPageBreak/>
        <w:t>Chapter Three: Research Methodology</w:t>
      </w:r>
      <w:bookmarkEnd w:id="35"/>
    </w:p>
    <w:p w14:paraId="7441E4D9" w14:textId="77777777" w:rsidR="00CE1909" w:rsidRPr="00E027E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EF55C09" w14:textId="77777777" w:rsidR="00CE1909" w:rsidRPr="00E027EC" w:rsidRDefault="00CE1909" w:rsidP="00911C9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36" w:name="_Toc212139857"/>
      <w:r w:rsidRPr="00E027EC">
        <w:rPr>
          <w:rFonts w:asciiTheme="majorBidi" w:eastAsiaTheme="minorEastAsia" w:hAnsiTheme="majorBidi" w:cstheme="majorBidi"/>
          <w:color w:val="000000" w:themeColor="text1"/>
          <w:kern w:val="0"/>
          <w:sz w:val="28"/>
          <w:szCs w:val="28"/>
          <w14:ligatures w14:val="none"/>
        </w:rPr>
        <w:t>3.1 Research Design and Rationale</w:t>
      </w:r>
      <w:bookmarkEnd w:id="36"/>
    </w:p>
    <w:p w14:paraId="45D87AD8" w14:textId="77777777" w:rsidR="00CE1909" w:rsidRPr="00E027E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CED8571" w14:textId="77777777" w:rsidR="00CE1909" w:rsidRPr="00E027E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027EC">
        <w:rPr>
          <w:rFonts w:asciiTheme="majorBidi" w:eastAsiaTheme="minorEastAsia" w:hAnsiTheme="majorBidi" w:cstheme="majorBidi"/>
          <w:color w:val="000000" w:themeColor="text1"/>
          <w:kern w:val="0"/>
          <w:sz w:val="28"/>
          <w:szCs w:val="28"/>
          <w14:ligatures w14:val="none"/>
        </w:rPr>
        <w:t>The present study adopts a descriptive-analytical case study design, which is particularly suitable for exploring complex and multidimensional phenomena such as the role of risk management in reducing hospital-acquired infections (HAIs) at King Faisal Specialist Hospital and Research Centre (KFSHRC). A descriptive-analytical design is appropriate because the research does not aim solely to describe existing conditions but also to critically analyze the effectiveness of institutional policies, practices, and interventions aimed at controlling infection rates. Through this approach, the study is able to capture the interplay between organizational strategies, healthcare workers’ behaviors, and systemic processes that together shape the incidence of HAIs.</w:t>
      </w:r>
    </w:p>
    <w:p w14:paraId="5F24F2C7" w14:textId="77777777" w:rsidR="00CE1909" w:rsidRPr="00E027E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027EC">
        <w:rPr>
          <w:rFonts w:asciiTheme="majorBidi" w:eastAsiaTheme="minorEastAsia" w:hAnsiTheme="majorBidi" w:cstheme="majorBidi"/>
          <w:color w:val="000000" w:themeColor="text1"/>
          <w:kern w:val="0"/>
          <w:sz w:val="28"/>
          <w:szCs w:val="28"/>
          <w14:ligatures w14:val="none"/>
        </w:rPr>
        <w:t>The justification for using a case study lies in its ability to provide in-depth, context-specific insights that cannot be obtained through broader cross-sectional surveys alone. KFSHRC is selected as the case institution because of its international reputation as a center of excellence in medical care and innovation, as well as its commitment to advancing healthcare in line with Saudi Arabia’s Vision 2030. As such, the hospital offers a fertile environment to examine how advanced risk management practices are integrated into infection prevention and how these mechanisms translate into measurable outcomes in terms of reduced infection rates and improved patient safety.</w:t>
      </w:r>
    </w:p>
    <w:p w14:paraId="27829503" w14:textId="77777777" w:rsidR="00CE1909" w:rsidRPr="00E027E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027EC">
        <w:rPr>
          <w:rFonts w:asciiTheme="majorBidi" w:eastAsiaTheme="minorEastAsia" w:hAnsiTheme="majorBidi" w:cstheme="majorBidi"/>
          <w:color w:val="000000" w:themeColor="text1"/>
          <w:kern w:val="0"/>
          <w:sz w:val="28"/>
          <w:szCs w:val="28"/>
          <w14:ligatures w14:val="none"/>
        </w:rPr>
        <w:t xml:space="preserve">In addition, the study adopts a mixed-methods framework that combines both quantitative and qualitative elements. This is essential because risk management in healthcare is not only a technical process measurable through quantitative indicators (e.g., infection incidence rates, compliance percentages), but also a human-centered practice that depends on perceptions, attitudes, and organizational culture, which are best captured through qualitative methods. </w:t>
      </w:r>
      <w:r w:rsidRPr="00E027EC">
        <w:rPr>
          <w:rFonts w:asciiTheme="majorBidi" w:eastAsiaTheme="minorEastAsia" w:hAnsiTheme="majorBidi" w:cstheme="majorBidi"/>
          <w:color w:val="000000" w:themeColor="text1"/>
          <w:kern w:val="0"/>
          <w:sz w:val="28"/>
          <w:szCs w:val="28"/>
          <w14:ligatures w14:val="none"/>
        </w:rPr>
        <w:lastRenderedPageBreak/>
        <w:t>The quantitative dimension is represented by structured questionnaires administered to a large sample of healthcare professionals, allowing for statistical testing of knowledge, attitudes, practices, and their association with infection rates. The qualitative dimension is represented by semi-structured interviews, open-ended survey responses, observational data, and document analysis, all of which provide depth, nuance, and explanations for the patterns observed in the quantitative findings.</w:t>
      </w:r>
    </w:p>
    <w:p w14:paraId="579B49F6" w14:textId="77777777" w:rsidR="00CE1909" w:rsidRPr="00E027E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027EC">
        <w:rPr>
          <w:rFonts w:asciiTheme="majorBidi" w:eastAsiaTheme="minorEastAsia" w:hAnsiTheme="majorBidi" w:cstheme="majorBidi"/>
          <w:color w:val="000000" w:themeColor="text1"/>
          <w:kern w:val="0"/>
          <w:sz w:val="28"/>
          <w:szCs w:val="28"/>
          <w14:ligatures w14:val="none"/>
        </w:rPr>
        <w:t>The choice of a descriptive-analytical case study with mixed methods ensures triangulation of data sources, thereby enhancing both the reliability and validity of the findings. Triangulation reduces the biases inherent in single-method approaches, while at the same time providing a comprehensive account of the phenomenon under study. For instance, while self-reported compliance with infection control measures can be assessed through questionnaires, this information is further validated through direct observation and institutional infection surveillance records. Similarly, while quantitative data may indicate the presence of a statistically significant relationship between risk management practices and infection rates, the qualitative data are crucial in interpreting why these relationships exist and how contextual factors—such as leadership commitment, organizational culture, and resource allocation—affect implementation.</w:t>
      </w:r>
    </w:p>
    <w:p w14:paraId="7B715335" w14:textId="77777777" w:rsidR="00CE1909" w:rsidRPr="00E027E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E027EC">
        <w:rPr>
          <w:rFonts w:asciiTheme="majorBidi" w:eastAsiaTheme="minorEastAsia" w:hAnsiTheme="majorBidi" w:cstheme="majorBidi"/>
          <w:color w:val="000000" w:themeColor="text1"/>
          <w:kern w:val="0"/>
          <w:sz w:val="28"/>
          <w:szCs w:val="28"/>
          <w14:ligatures w14:val="none"/>
        </w:rPr>
        <w:t>The rationale behind this methodology is also aligned with the applied nature of the study. Because the ultimate aim is to provide actionable recommendations for improving infection control at KFSHRC and potentially other hospitals, the research design must not only generate theoretical insights but also yield practical, evidence-based guidance for decision-makers, risk managers, and healthcare providers. In this way, the study does not stop at the academic level but contributes to applied healthcare policy and practice, bridging the gap between research and implementation.</w:t>
      </w:r>
    </w:p>
    <w:p w14:paraId="45920739"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p>
    <w:p w14:paraId="0E2BF000" w14:textId="77777777" w:rsidR="00CE1909" w:rsidRPr="009F58D0" w:rsidRDefault="00CE1909" w:rsidP="00911C9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37" w:name="_Toc212139858"/>
      <w:r w:rsidRPr="009F58D0">
        <w:rPr>
          <w:rFonts w:asciiTheme="majorBidi" w:eastAsiaTheme="minorEastAsia" w:hAnsiTheme="majorBidi" w:cstheme="majorBidi"/>
          <w:color w:val="000000" w:themeColor="text1"/>
          <w:kern w:val="0"/>
          <w:sz w:val="28"/>
          <w:szCs w:val="28"/>
          <w14:ligatures w14:val="none"/>
        </w:rPr>
        <w:lastRenderedPageBreak/>
        <w:t>3.2 Data Collection Instruments</w:t>
      </w:r>
      <w:bookmarkEnd w:id="37"/>
    </w:p>
    <w:p w14:paraId="46A2DEC1"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1487923"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F58D0">
        <w:rPr>
          <w:rFonts w:asciiTheme="majorBidi" w:eastAsiaTheme="minorEastAsia" w:hAnsiTheme="majorBidi" w:cstheme="majorBidi"/>
          <w:color w:val="000000" w:themeColor="text1"/>
          <w:kern w:val="0"/>
          <w:sz w:val="28"/>
          <w:szCs w:val="28"/>
          <w14:ligatures w14:val="none"/>
        </w:rPr>
        <w:t>To ensure methodological rigor and to capture the multifaceted nature of hospital-acquired infections (HAIs) and risk management, this study employs a multi-instrument data collection strategy. The combination of different instruments allows for triangulation of evidence, enhances validity, and provides a comprehensive picture of the issue from different perspectives—individual, organizational, and systemic. The selected instruments are tailored to the research context of King Faisal Specialist Hospital and Research Centre (KFSHRC) and are designed to align with both the descriptive and analytical aims of the study.</w:t>
      </w:r>
    </w:p>
    <w:p w14:paraId="045C2A8E"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ED94035" w14:textId="77777777" w:rsidR="00CE1909" w:rsidRPr="009F58D0"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38" w:name="_Toc212139859"/>
      <w:r w:rsidRPr="009F58D0">
        <w:rPr>
          <w:rFonts w:asciiTheme="majorBidi" w:eastAsiaTheme="minorEastAsia" w:hAnsiTheme="majorBidi" w:cstheme="majorBidi"/>
          <w:color w:val="000000" w:themeColor="text1"/>
          <w:kern w:val="0"/>
          <w:sz w:val="28"/>
          <w:szCs w:val="28"/>
          <w14:ligatures w14:val="none"/>
        </w:rPr>
        <w:t>3.2.1 Structured Questionnaires</w:t>
      </w:r>
      <w:bookmarkEnd w:id="38"/>
    </w:p>
    <w:p w14:paraId="4F811B0D"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6F7ADD9"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F58D0">
        <w:rPr>
          <w:rFonts w:asciiTheme="majorBidi" w:eastAsiaTheme="minorEastAsia" w:hAnsiTheme="majorBidi" w:cstheme="majorBidi"/>
          <w:color w:val="000000" w:themeColor="text1"/>
          <w:kern w:val="0"/>
          <w:sz w:val="28"/>
          <w:szCs w:val="28"/>
          <w14:ligatures w14:val="none"/>
        </w:rPr>
        <w:t>The primary quantitative instrument is a structured questionnaire designed to capture healthcare workers’ knowledge, attitudes, practices (KAP), and perceptions of risk management effectiveness. The questionnaire employs Likert-scale items (ranging from “strongly disagree” to “strongly agree”), dichotomous items (yes/no), and categorical questions (e.g., demographic variables such as profession, years of experience, and department).</w:t>
      </w:r>
    </w:p>
    <w:p w14:paraId="06D5156F"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The knowledge component assesses staff awareness of infection control protocols, standard precautions, and risk identification procedures.</w:t>
      </w:r>
    </w:p>
    <w:p w14:paraId="37A3EE42"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The attitude component measures levels of commitment to infection prevention, perception of organizational support, and the extent to which staff believe in the effectiveness of risk management strategies.</w:t>
      </w:r>
    </w:p>
    <w:p w14:paraId="26F836E4"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The practice component evaluates the consistency of staff behavior with institutional policies, such as hand hygiene compliance, use of personal protective equipment (PPE), and reporting of incidents.</w:t>
      </w:r>
    </w:p>
    <w:p w14:paraId="1B5E854C"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lastRenderedPageBreak/>
        <w:t>Finally, the risk management effectiveness component focuses on perceptions of institutional support, adequacy of training, and the responsiveness of the hospital to identified risks.</w:t>
      </w:r>
    </w:p>
    <w:p w14:paraId="142C7E7E"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F58D0">
        <w:rPr>
          <w:rFonts w:asciiTheme="majorBidi" w:eastAsiaTheme="minorEastAsia" w:hAnsiTheme="majorBidi" w:cstheme="majorBidi"/>
          <w:color w:val="000000" w:themeColor="text1"/>
          <w:kern w:val="0"/>
          <w:sz w:val="28"/>
          <w:szCs w:val="28"/>
          <w14:ligatures w14:val="none"/>
        </w:rPr>
        <w:t>The structured nature of the questionnaire ensures ease of administration, comparability of responses, and suitability for statistical analysis using software such as SPSS. Moreover, the design of the questionnaire draws upon validated instruments in the infection control and risk management literature, adapted to the cultural and organizational context of KFSHRC.</w:t>
      </w:r>
    </w:p>
    <w:p w14:paraId="09FD5F00"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8323174" w14:textId="77777777" w:rsidR="00CE1909" w:rsidRPr="009F58D0"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39" w:name="_Toc212139860"/>
      <w:r w:rsidRPr="009F58D0">
        <w:rPr>
          <w:rFonts w:asciiTheme="majorBidi" w:eastAsiaTheme="minorEastAsia" w:hAnsiTheme="majorBidi" w:cstheme="majorBidi"/>
          <w:color w:val="000000" w:themeColor="text1"/>
          <w:kern w:val="0"/>
          <w:sz w:val="28"/>
          <w:szCs w:val="28"/>
          <w14:ligatures w14:val="none"/>
        </w:rPr>
        <w:t>3.2.2 Semi-Structured Interviews</w:t>
      </w:r>
      <w:bookmarkEnd w:id="39"/>
    </w:p>
    <w:p w14:paraId="18A020A9"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211ADFD"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F58D0">
        <w:rPr>
          <w:rFonts w:asciiTheme="majorBidi" w:eastAsiaTheme="minorEastAsia" w:hAnsiTheme="majorBidi" w:cstheme="majorBidi"/>
          <w:color w:val="000000" w:themeColor="text1"/>
          <w:kern w:val="0"/>
          <w:sz w:val="28"/>
          <w:szCs w:val="28"/>
          <w14:ligatures w14:val="none"/>
        </w:rPr>
        <w:t>To complement the quantitative survey, semi-structured interviews are conducted with key informants, including infection control officers, risk managers, nursing supervisors, and department heads. These interviews focus on deeper issues that cannot be fully captured through closed-ended survey questions. They allow for the exploration of:</w:t>
      </w:r>
    </w:p>
    <w:p w14:paraId="0B4C9E67"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Systemic challenges in implementing infection control policies.</w:t>
      </w:r>
    </w:p>
    <w:p w14:paraId="15658094"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Cultural and organizational barriers to effective risk management.</w:t>
      </w:r>
    </w:p>
    <w:p w14:paraId="72027937"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Leadership and governance factors that influence compliance and accountability.</w:t>
      </w:r>
    </w:p>
    <w:p w14:paraId="63F12FCF"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Experiences with past outbreaks or infection incidents and lessons learned.</w:t>
      </w:r>
    </w:p>
    <w:p w14:paraId="36C40991"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F58D0">
        <w:rPr>
          <w:rFonts w:asciiTheme="majorBidi" w:eastAsiaTheme="minorEastAsia" w:hAnsiTheme="majorBidi" w:cstheme="majorBidi"/>
          <w:color w:val="000000" w:themeColor="text1"/>
          <w:kern w:val="0"/>
          <w:sz w:val="28"/>
          <w:szCs w:val="28"/>
          <w14:ligatures w14:val="none"/>
        </w:rPr>
        <w:t>The semi-structured format balances consistency (through a pre-prepared guide) with flexibility, allowing the researcher to probe emerging themes and obtain rich, qualitative insights.</w:t>
      </w:r>
    </w:p>
    <w:p w14:paraId="19AFD2B3" w14:textId="77777777" w:rsidR="00CE1909"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932DA66" w14:textId="77777777" w:rsidR="00CE1909"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EF12576"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43718BB" w14:textId="77777777" w:rsidR="00CE1909" w:rsidRPr="009F58D0"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40" w:name="_Toc212139861"/>
      <w:r w:rsidRPr="009F58D0">
        <w:rPr>
          <w:rFonts w:asciiTheme="majorBidi" w:eastAsiaTheme="minorEastAsia" w:hAnsiTheme="majorBidi" w:cstheme="majorBidi"/>
          <w:color w:val="000000" w:themeColor="text1"/>
          <w:kern w:val="0"/>
          <w:sz w:val="28"/>
          <w:szCs w:val="28"/>
          <w14:ligatures w14:val="none"/>
        </w:rPr>
        <w:lastRenderedPageBreak/>
        <w:t>3.2.3 Document and Record Review</w:t>
      </w:r>
      <w:bookmarkEnd w:id="40"/>
    </w:p>
    <w:p w14:paraId="50BC70F6"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8465B97"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F58D0">
        <w:rPr>
          <w:rFonts w:asciiTheme="majorBidi" w:eastAsiaTheme="minorEastAsia" w:hAnsiTheme="majorBidi" w:cstheme="majorBidi"/>
          <w:color w:val="000000" w:themeColor="text1"/>
          <w:kern w:val="0"/>
          <w:sz w:val="28"/>
          <w:szCs w:val="28"/>
          <w14:ligatures w14:val="none"/>
        </w:rPr>
        <w:t>Institutional documents and records provide an essential empirical foundation for validating self-reported data and identifying objective patterns. Records to be examined include:</w:t>
      </w:r>
    </w:p>
    <w:p w14:paraId="6E34A1F8"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Infection surveillance reports that track HAI incidence across departments.</w:t>
      </w:r>
    </w:p>
    <w:p w14:paraId="7436996E"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Incident reporting logs that highlight adverse events and risk identification trends.</w:t>
      </w:r>
    </w:p>
    <w:p w14:paraId="6DA91834"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Internal audits evaluating compliance with infection control standards.</w:t>
      </w:r>
    </w:p>
    <w:p w14:paraId="0B127DDA"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Training and educational program records documenting the extent of staff capacity-building efforts.</w:t>
      </w:r>
    </w:p>
    <w:p w14:paraId="5F72CA84" w14:textId="77777777" w:rsidR="00CE1909" w:rsidRPr="009739B3"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9739B3">
        <w:rPr>
          <w:rFonts w:asciiTheme="majorBidi" w:eastAsiaTheme="minorEastAsia" w:hAnsiTheme="majorBidi" w:cstheme="majorBidi"/>
          <w:color w:val="000000" w:themeColor="text1"/>
          <w:kern w:val="0"/>
          <w:sz w:val="28"/>
          <w:szCs w:val="28"/>
          <w14:ligatures w14:val="none"/>
        </w:rPr>
        <w:t>Risk assessment and mitigation reports developed by the hospital’s risk management unit.</w:t>
      </w:r>
    </w:p>
    <w:p w14:paraId="51D01E3E"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F58D0">
        <w:rPr>
          <w:rFonts w:asciiTheme="majorBidi" w:eastAsiaTheme="minorEastAsia" w:hAnsiTheme="majorBidi" w:cstheme="majorBidi"/>
          <w:color w:val="000000" w:themeColor="text1"/>
          <w:kern w:val="0"/>
          <w:sz w:val="28"/>
          <w:szCs w:val="28"/>
          <w14:ligatures w14:val="none"/>
        </w:rPr>
        <w:t>Analyzing these documents enables longitudinal assessment of infection rates and risk management practices over time, thereby grounding the study’s findings in verifiable institutional data.</w:t>
      </w:r>
    </w:p>
    <w:p w14:paraId="382506C4"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F8169A9" w14:textId="77777777" w:rsidR="00CE1909" w:rsidRPr="009F58D0"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41" w:name="_Toc212139862"/>
      <w:r w:rsidRPr="009F58D0">
        <w:rPr>
          <w:rFonts w:asciiTheme="majorBidi" w:eastAsiaTheme="minorEastAsia" w:hAnsiTheme="majorBidi" w:cstheme="majorBidi"/>
          <w:color w:val="000000" w:themeColor="text1"/>
          <w:kern w:val="0"/>
          <w:sz w:val="28"/>
          <w:szCs w:val="28"/>
          <w14:ligatures w14:val="none"/>
        </w:rPr>
        <w:t>3.2.4 Direct Observation</w:t>
      </w:r>
      <w:bookmarkEnd w:id="41"/>
    </w:p>
    <w:p w14:paraId="22BF7E25" w14:textId="77777777" w:rsidR="00CE1909" w:rsidRPr="009F58D0"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7570DC3" w14:textId="77777777" w:rsidR="00CE1909" w:rsidRPr="006F7276"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F7276">
        <w:rPr>
          <w:rFonts w:asciiTheme="majorBidi" w:eastAsiaTheme="minorEastAsia" w:hAnsiTheme="majorBidi" w:cstheme="majorBidi"/>
          <w:color w:val="000000" w:themeColor="text1"/>
          <w:kern w:val="0"/>
          <w:sz w:val="28"/>
          <w:szCs w:val="28"/>
          <w14:ligatures w14:val="none"/>
        </w:rPr>
        <w:t>Unobtrusive direct observation is used to quantify real-world adherence to infection control policy. This includes monitoring hand hygiene adherence, use of PPE, sterilization and waste management practices, and adherence to isolation practice within high-risk settings such as the ICU, operating rooms, and emergency departments. Observational data are crucial in identifying policy-practice mismatches since self-reported measures overestimate adherence. Observations also capture contextual factors, such as resource or workflow pressures, which affect staff behavior.</w:t>
      </w:r>
    </w:p>
    <w:p w14:paraId="51B7ADC8" w14:textId="77777777" w:rsidR="00CE1909" w:rsidRPr="006F7276"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E92B77D" w14:textId="77777777" w:rsidR="00CE1909" w:rsidRPr="006F7276"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42" w:name="_Toc212139863"/>
      <w:r w:rsidRPr="006F7276">
        <w:rPr>
          <w:rFonts w:asciiTheme="majorBidi" w:eastAsiaTheme="minorEastAsia" w:hAnsiTheme="majorBidi" w:cstheme="majorBidi"/>
          <w:color w:val="000000" w:themeColor="text1"/>
          <w:kern w:val="0"/>
          <w:sz w:val="28"/>
          <w:szCs w:val="28"/>
          <w14:ligatures w14:val="none"/>
        </w:rPr>
        <w:t>3.2.5 Integration of Instruments</w:t>
      </w:r>
      <w:bookmarkEnd w:id="42"/>
    </w:p>
    <w:p w14:paraId="2D95E41E" w14:textId="77777777" w:rsidR="00CE1909" w:rsidRPr="006F7276"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A5D2518" w14:textId="77777777" w:rsidR="00CE1909" w:rsidRPr="006F7276"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F7276">
        <w:rPr>
          <w:rFonts w:asciiTheme="majorBidi" w:eastAsiaTheme="minorEastAsia" w:hAnsiTheme="majorBidi" w:cstheme="majorBidi"/>
          <w:color w:val="000000" w:themeColor="text1"/>
          <w:kern w:val="0"/>
          <w:sz w:val="28"/>
          <w:szCs w:val="28"/>
          <w14:ligatures w14:val="none"/>
        </w:rPr>
        <w:t>The application of a number of instruments assures triangulation of the dataset. Questionnaires are used to ensure coverage breadth over a significant number of staff, interviews provide depth and contextual data, document reviews offer objective institutional facts, whereas observations reveal actual practice patterns. These tools combined constitute a robust evidence base to support both the analytical and descriptive dimensions of the research, strengthening the study's internal validity and ensuring actionable outcomes for KFSHRC.</w:t>
      </w:r>
    </w:p>
    <w:p w14:paraId="1264ED87" w14:textId="77777777" w:rsidR="00CE1909" w:rsidRPr="006F7276"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4F9056C" w14:textId="77777777" w:rsidR="00CE1909" w:rsidRPr="006F7276" w:rsidRDefault="00CE1909" w:rsidP="00911C9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43" w:name="_Toc212139864"/>
      <w:r w:rsidRPr="006F7276">
        <w:rPr>
          <w:rFonts w:asciiTheme="majorBidi" w:eastAsiaTheme="minorEastAsia" w:hAnsiTheme="majorBidi" w:cstheme="majorBidi"/>
          <w:color w:val="000000" w:themeColor="text1"/>
          <w:kern w:val="0"/>
          <w:sz w:val="28"/>
          <w:szCs w:val="28"/>
          <w14:ligatures w14:val="none"/>
        </w:rPr>
        <w:t>3.3 Sampling Plan and Population</w:t>
      </w:r>
      <w:bookmarkEnd w:id="43"/>
    </w:p>
    <w:p w14:paraId="2051CE9D" w14:textId="77777777" w:rsidR="00CE1909" w:rsidRPr="006F7276"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D70105C" w14:textId="77777777" w:rsidR="00CE1909"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6F7276">
        <w:rPr>
          <w:rFonts w:asciiTheme="majorBidi" w:eastAsiaTheme="minorEastAsia" w:hAnsiTheme="majorBidi" w:cstheme="majorBidi"/>
          <w:color w:val="000000" w:themeColor="text1"/>
          <w:kern w:val="0"/>
          <w:sz w:val="28"/>
          <w:szCs w:val="28"/>
          <w14:ligatures w14:val="none"/>
        </w:rPr>
        <w:t>The success of this study is dependent on getting information from a representative sample of the key stakeholders involved in infection prevention and risk management at King Faisal Specialist Hospital and Research Centre (KFSHRC). For the case study and mixed-methods approach to the study, purposive (judgmental) sampling plan is applied. This method is selected because research requires information-rich cases—that are directly engaged in infection control practices, risk management processes, and decision-making within the clinical environment.</w:t>
      </w:r>
    </w:p>
    <w:p w14:paraId="4F308385" w14:textId="77777777" w:rsidR="00CE1909" w:rsidRPr="009C080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33266F3" w14:textId="77777777" w:rsidR="00CE1909" w:rsidRPr="009C080C"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44" w:name="_Toc212139865"/>
      <w:r w:rsidRPr="009C080C">
        <w:rPr>
          <w:rFonts w:asciiTheme="majorBidi" w:eastAsiaTheme="minorEastAsia" w:hAnsiTheme="majorBidi" w:cstheme="majorBidi"/>
          <w:color w:val="000000" w:themeColor="text1"/>
          <w:kern w:val="0"/>
          <w:sz w:val="28"/>
          <w:szCs w:val="28"/>
          <w14:ligatures w14:val="none"/>
        </w:rPr>
        <w:t>3.3.1 Target Population</w:t>
      </w:r>
      <w:bookmarkEnd w:id="44"/>
    </w:p>
    <w:p w14:paraId="0FA445C2" w14:textId="77777777" w:rsidR="00CE1909" w:rsidRPr="009C080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C14CFE9" w14:textId="77777777" w:rsidR="00CE1909" w:rsidRPr="000F721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0F721C">
        <w:rPr>
          <w:rFonts w:asciiTheme="majorBidi" w:eastAsiaTheme="minorEastAsia" w:hAnsiTheme="majorBidi" w:cstheme="majorBidi"/>
          <w:color w:val="000000" w:themeColor="text1"/>
          <w:kern w:val="0"/>
          <w:sz w:val="28"/>
          <w:szCs w:val="28"/>
          <w14:ligatures w14:val="none"/>
        </w:rPr>
        <w:t xml:space="preserve">The entire target population consists of all of the healthcare and administrative personnel who are involved in infection control and risk management activities within KFSHRC. The population is diverse and includes medical, nursing, technical, and managerial personnel who collectively are responsible for both </w:t>
      </w:r>
      <w:r w:rsidRPr="000F721C">
        <w:rPr>
          <w:rFonts w:asciiTheme="majorBidi" w:eastAsiaTheme="minorEastAsia" w:hAnsiTheme="majorBidi" w:cstheme="majorBidi"/>
          <w:color w:val="000000" w:themeColor="text1"/>
          <w:kern w:val="0"/>
          <w:sz w:val="28"/>
          <w:szCs w:val="28"/>
          <w14:ligatures w14:val="none"/>
        </w:rPr>
        <w:lastRenderedPageBreak/>
        <w:t>the clinical and administrative sides of preventing infection. Specifically, the target population includes:</w:t>
      </w:r>
    </w:p>
    <w:p w14:paraId="3578EC78" w14:textId="77777777" w:rsidR="00CE1909" w:rsidRPr="000F721C" w:rsidRDefault="00CE1909">
      <w:pPr>
        <w:pStyle w:val="ListParagraph"/>
        <w:numPr>
          <w:ilvl w:val="0"/>
          <w:numId w:val="8"/>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t>Infection</w:t>
      </w:r>
      <w:r w:rsidRPr="000F721C">
        <w:rPr>
          <w:rFonts w:asciiTheme="majorBidi" w:eastAsiaTheme="minorEastAsia" w:hAnsiTheme="majorBidi" w:cstheme="majorBidi"/>
          <w:color w:val="000000" w:themeColor="text1"/>
          <w:kern w:val="0"/>
          <w:sz w:val="28"/>
          <w:szCs w:val="28"/>
          <w14:ligatures w14:val="none"/>
        </w:rPr>
        <w:t xml:space="preserve"> Control Officers: Specialists charged with developing, implementing, and evaluating infection control programs.</w:t>
      </w:r>
    </w:p>
    <w:p w14:paraId="7B1494BA" w14:textId="77777777" w:rsidR="00CE1909" w:rsidRPr="000F721C" w:rsidRDefault="00CE1909">
      <w:pPr>
        <w:pStyle w:val="ListParagraph"/>
        <w:numPr>
          <w:ilvl w:val="0"/>
          <w:numId w:val="7"/>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0F721C">
        <w:rPr>
          <w:rFonts w:asciiTheme="majorBidi" w:eastAsiaTheme="minorEastAsia" w:hAnsiTheme="majorBidi" w:cstheme="majorBidi"/>
          <w:color w:val="000000" w:themeColor="text1"/>
          <w:kern w:val="0"/>
          <w:sz w:val="28"/>
          <w:szCs w:val="28"/>
          <w14:ligatures w14:val="none"/>
        </w:rPr>
        <w:t>Frontline Nurses and Nursing Supervisors: Staff who directly come into contact with patients and hence are at the core of the implementation of infection control practice.</w:t>
      </w:r>
    </w:p>
    <w:p w14:paraId="5F9A9B4E" w14:textId="77777777" w:rsidR="00CE1909" w:rsidRPr="000F721C" w:rsidRDefault="00CE1909">
      <w:pPr>
        <w:pStyle w:val="ListParagraph"/>
        <w:numPr>
          <w:ilvl w:val="0"/>
          <w:numId w:val="7"/>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0F721C">
        <w:rPr>
          <w:rFonts w:asciiTheme="majorBidi" w:eastAsiaTheme="minorEastAsia" w:hAnsiTheme="majorBidi" w:cstheme="majorBidi"/>
          <w:color w:val="000000" w:themeColor="text1"/>
          <w:kern w:val="0"/>
          <w:sz w:val="28"/>
          <w:szCs w:val="28"/>
          <w14:ligatures w14:val="none"/>
        </w:rPr>
        <w:t>Physicians: Doctors whose adherence to infection control practice, clinical team guidance, and stewardship over patient management practice are core to HAIs reduction.</w:t>
      </w:r>
    </w:p>
    <w:p w14:paraId="4944E337" w14:textId="77777777" w:rsidR="00CE1909" w:rsidRPr="000F721C" w:rsidRDefault="00CE1909">
      <w:pPr>
        <w:pStyle w:val="ListParagraph"/>
        <w:numPr>
          <w:ilvl w:val="0"/>
          <w:numId w:val="7"/>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0F721C">
        <w:rPr>
          <w:rFonts w:asciiTheme="majorBidi" w:eastAsiaTheme="minorEastAsia" w:hAnsiTheme="majorBidi" w:cstheme="majorBidi"/>
          <w:color w:val="000000" w:themeColor="text1"/>
          <w:kern w:val="0"/>
          <w:sz w:val="28"/>
          <w:szCs w:val="28"/>
          <w14:ligatures w14:val="none"/>
        </w:rPr>
        <w:t>Risk Management Staff: Staff responsible for identifying, documenting, evaluating, and minimizing clinical and organizational risks.</w:t>
      </w:r>
    </w:p>
    <w:p w14:paraId="72CD93B0" w14:textId="77777777" w:rsidR="00CE1909" w:rsidRPr="000F721C" w:rsidRDefault="00CE1909">
      <w:pPr>
        <w:pStyle w:val="ListParagraph"/>
        <w:numPr>
          <w:ilvl w:val="0"/>
          <w:numId w:val="7"/>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0F721C">
        <w:rPr>
          <w:rFonts w:asciiTheme="majorBidi" w:eastAsiaTheme="minorEastAsia" w:hAnsiTheme="majorBidi" w:cstheme="majorBidi"/>
          <w:color w:val="000000" w:themeColor="text1"/>
          <w:kern w:val="0"/>
          <w:sz w:val="28"/>
          <w:szCs w:val="28"/>
          <w14:ligatures w14:val="none"/>
        </w:rPr>
        <w:t>Department Heads and Senior Administrators: Policy-makers, allocators of resources, and enforcers of accountability instruments.</w:t>
      </w:r>
    </w:p>
    <w:p w14:paraId="53A7B78E" w14:textId="77777777" w:rsidR="00CE1909" w:rsidRPr="000F721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0F721C">
        <w:rPr>
          <w:rFonts w:asciiTheme="majorBidi" w:eastAsiaTheme="minorEastAsia" w:hAnsiTheme="majorBidi" w:cstheme="majorBidi"/>
          <w:color w:val="000000" w:themeColor="text1"/>
          <w:kern w:val="0"/>
          <w:sz w:val="28"/>
          <w:szCs w:val="28"/>
          <w14:ligatures w14:val="none"/>
        </w:rPr>
        <w:t>This option ensures an in-depth understanding of how risk management functions both at strategic and operational levels of the hospital.</w:t>
      </w:r>
    </w:p>
    <w:p w14:paraId="64399CB9" w14:textId="77777777" w:rsidR="00CE1909" w:rsidRPr="000F721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13E52C1" w14:textId="77777777" w:rsidR="00CE1909" w:rsidRPr="000F721C"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45" w:name="_Toc212139866"/>
      <w:r w:rsidRPr="000F721C">
        <w:rPr>
          <w:rFonts w:asciiTheme="majorBidi" w:eastAsiaTheme="minorEastAsia" w:hAnsiTheme="majorBidi" w:cstheme="majorBidi"/>
          <w:color w:val="000000" w:themeColor="text1"/>
          <w:kern w:val="0"/>
          <w:sz w:val="28"/>
          <w:szCs w:val="28"/>
          <w14:ligatures w14:val="none"/>
        </w:rPr>
        <w:t>3.3.2 Sampling Method</w:t>
      </w:r>
      <w:bookmarkEnd w:id="45"/>
    </w:p>
    <w:p w14:paraId="1EF97F05" w14:textId="77777777" w:rsidR="00CE1909" w:rsidRPr="000F721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48AB28A" w14:textId="77777777" w:rsidR="00CE1909" w:rsidRPr="009C080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0F721C">
        <w:rPr>
          <w:rFonts w:asciiTheme="majorBidi" w:eastAsiaTheme="minorEastAsia" w:hAnsiTheme="majorBidi" w:cstheme="majorBidi"/>
          <w:color w:val="000000" w:themeColor="text1"/>
          <w:kern w:val="0"/>
          <w:sz w:val="28"/>
          <w:szCs w:val="28"/>
          <w14:ligatures w14:val="none"/>
        </w:rPr>
        <w:t xml:space="preserve">A purposive sampling strategy is applied as not all hospital employees are equally relevant to the use of the purpose of the study. For example, administration staff who are not directly involved in infection control procedures are excluded, while staff who are directly responsible for infection prevention and patient protection are included. Purposive sampling allows the researcher to choose participants purposefully who possess the knowledge and expertise required to provide significant information regarding the research </w:t>
      </w:r>
      <w:proofErr w:type="gramStart"/>
      <w:r w:rsidRPr="000F721C">
        <w:rPr>
          <w:rFonts w:asciiTheme="majorBidi" w:eastAsiaTheme="minorEastAsia" w:hAnsiTheme="majorBidi" w:cstheme="majorBidi"/>
          <w:color w:val="000000" w:themeColor="text1"/>
          <w:kern w:val="0"/>
          <w:sz w:val="28"/>
          <w:szCs w:val="28"/>
          <w14:ligatures w14:val="none"/>
        </w:rPr>
        <w:t>problem.</w:t>
      </w:r>
      <w:r w:rsidRPr="009C080C">
        <w:rPr>
          <w:rFonts w:asciiTheme="majorBidi" w:eastAsiaTheme="minorEastAsia" w:hAnsiTheme="majorBidi" w:cstheme="majorBidi"/>
          <w:color w:val="000000" w:themeColor="text1"/>
          <w:kern w:val="0"/>
          <w:sz w:val="28"/>
          <w:szCs w:val="28"/>
          <w14:ligatures w14:val="none"/>
        </w:rPr>
        <w:t>Additionally</w:t>
      </w:r>
      <w:proofErr w:type="gramEnd"/>
      <w:r w:rsidRPr="009C080C">
        <w:rPr>
          <w:rFonts w:asciiTheme="majorBidi" w:eastAsiaTheme="minorEastAsia" w:hAnsiTheme="majorBidi" w:cstheme="majorBidi"/>
          <w:color w:val="000000" w:themeColor="text1"/>
          <w:kern w:val="0"/>
          <w:sz w:val="28"/>
          <w:szCs w:val="28"/>
          <w14:ligatures w14:val="none"/>
        </w:rPr>
        <w:t>, within the purposive framework, heterogeneity sampling is considered to capture perspectives across multiple professional groups. This ensures diversity in views and experiences, thereby avoiding a narrow or one-</w:t>
      </w:r>
      <w:r w:rsidRPr="009C080C">
        <w:rPr>
          <w:rFonts w:asciiTheme="majorBidi" w:eastAsiaTheme="minorEastAsia" w:hAnsiTheme="majorBidi" w:cstheme="majorBidi"/>
          <w:color w:val="000000" w:themeColor="text1"/>
          <w:kern w:val="0"/>
          <w:sz w:val="28"/>
          <w:szCs w:val="28"/>
          <w14:ligatures w14:val="none"/>
        </w:rPr>
        <w:lastRenderedPageBreak/>
        <w:t>sided analysis. For example, infection control officers may emphasize policy compliance, while nurses may highlight practical challenges in applying those policies in daily routines. Physicians, on the other hand, may stress clinical decision-making pressures, and administrators may focus on structural or resource-based constraints.</w:t>
      </w:r>
    </w:p>
    <w:p w14:paraId="37F03C2A" w14:textId="77777777" w:rsidR="00CE1909" w:rsidRPr="009C080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640DD8B" w14:textId="77777777" w:rsidR="00CE1909" w:rsidRPr="009C080C"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46" w:name="_Toc212139867"/>
      <w:r w:rsidRPr="009C080C">
        <w:rPr>
          <w:rFonts w:asciiTheme="majorBidi" w:eastAsiaTheme="minorEastAsia" w:hAnsiTheme="majorBidi" w:cstheme="majorBidi"/>
          <w:color w:val="000000" w:themeColor="text1"/>
          <w:kern w:val="0"/>
          <w:sz w:val="28"/>
          <w:szCs w:val="28"/>
          <w14:ligatures w14:val="none"/>
        </w:rPr>
        <w:t>3.3.3 Sample Size</w:t>
      </w:r>
      <w:bookmarkEnd w:id="46"/>
    </w:p>
    <w:p w14:paraId="517FDF82" w14:textId="77777777" w:rsidR="00CE1909" w:rsidRPr="004B2307"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1AE590A" w14:textId="77777777" w:rsidR="00CE1909" w:rsidRPr="004B2307"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 xml:space="preserve">In order to achieve statistically reliable results and ensure representativeness across key categories of hospital staff, the study will employ a purely survey-based approach with a stratified sampling framework. The sample size has been determined by balancing feasibility with the requirements of quantitative statistical analysis, particularly correlation and regression testing. Based on methodological recommendations for organizational research, a minimum of 120–150 completed questionnaires </w:t>
      </w:r>
      <w:proofErr w:type="gramStart"/>
      <w:r w:rsidRPr="004B2307">
        <w:rPr>
          <w:rFonts w:asciiTheme="majorBidi" w:eastAsiaTheme="minorEastAsia" w:hAnsiTheme="majorBidi" w:cstheme="majorBidi"/>
          <w:color w:val="000000" w:themeColor="text1"/>
          <w:kern w:val="0"/>
          <w:sz w:val="28"/>
          <w:szCs w:val="28"/>
          <w14:ligatures w14:val="none"/>
        </w:rPr>
        <w:t>is</w:t>
      </w:r>
      <w:proofErr w:type="gramEnd"/>
      <w:r w:rsidRPr="004B2307">
        <w:rPr>
          <w:rFonts w:asciiTheme="majorBidi" w:eastAsiaTheme="minorEastAsia" w:hAnsiTheme="majorBidi" w:cstheme="majorBidi"/>
          <w:color w:val="000000" w:themeColor="text1"/>
          <w:kern w:val="0"/>
          <w:sz w:val="28"/>
          <w:szCs w:val="28"/>
          <w14:ligatures w14:val="none"/>
        </w:rPr>
        <w:t xml:space="preserve"> considered sufficient to provide adequate statistical power (Cohen, 1992). To account for potential non-response, approximately 250–300 invitations will be distributed across departments.</w:t>
      </w:r>
    </w:p>
    <w:p w14:paraId="089AB42C" w14:textId="77777777" w:rsidR="00CE1909" w:rsidRPr="004B2307"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1FE9FCD" w14:textId="77777777" w:rsidR="00CE1909" w:rsidRPr="004B2307"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The proposed distribution of the targeted sample is as follows:</w:t>
      </w:r>
    </w:p>
    <w:p w14:paraId="10454E92"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Infection Control Officers (20) – to provide specialized knowledge and insights into infection prevention policies.</w:t>
      </w:r>
    </w:p>
    <w:p w14:paraId="4DE3FB60"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Nursing Supervisors and Nurses (60) – to capture frontline practices in infection control and risk management implementation.</w:t>
      </w:r>
    </w:p>
    <w:p w14:paraId="3E2F5E87"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Physicians (40) – to reflect clinical leadership perspectives and compliance with infection prevention protocols.</w:t>
      </w:r>
    </w:p>
    <w:p w14:paraId="3A4A33EA"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Risk Management Personnel (15) – to provide data on systemic risk assessment and mitigation practices.</w:t>
      </w:r>
    </w:p>
    <w:p w14:paraId="4BB66DCD"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lastRenderedPageBreak/>
        <w:t>Other Relevant Healthcare Staff (15) – such as allied health professionals or unit coordinators involved in infection prevention.</w:t>
      </w:r>
    </w:p>
    <w:p w14:paraId="309F2A7D" w14:textId="77777777" w:rsidR="00CE1909" w:rsidRPr="004B2307"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This stratified design is expected to yield at least 150 valid responses, which is appropriate for descriptive and inferential statistical analysis using SPSS. By focusing exclusively on survey data, the study ensures consistency in data collection and strengthens the generalizability of the findings within the context of King Faisal Specialist Hospital and Research Center.</w:t>
      </w:r>
    </w:p>
    <w:p w14:paraId="652DCF28" w14:textId="77777777" w:rsidR="00CE1909" w:rsidRPr="004B2307"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p>
    <w:p w14:paraId="297111E4" w14:textId="77777777" w:rsidR="00CE1909" w:rsidRPr="009C080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1C821EE" w14:textId="77777777" w:rsidR="00CE1909" w:rsidRPr="009C080C"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47" w:name="_Toc212139868"/>
      <w:r w:rsidRPr="009C080C">
        <w:rPr>
          <w:rFonts w:asciiTheme="majorBidi" w:eastAsiaTheme="minorEastAsia" w:hAnsiTheme="majorBidi" w:cstheme="majorBidi"/>
          <w:color w:val="000000" w:themeColor="text1"/>
          <w:kern w:val="0"/>
          <w:sz w:val="28"/>
          <w:szCs w:val="28"/>
          <w14:ligatures w14:val="none"/>
        </w:rPr>
        <w:t>3.3.4 Justification of Sampling</w:t>
      </w:r>
      <w:bookmarkEnd w:id="47"/>
    </w:p>
    <w:p w14:paraId="25CA99F4" w14:textId="77777777" w:rsidR="00CE1909" w:rsidRPr="009C080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880EE18" w14:textId="77777777" w:rsidR="00CE1909" w:rsidRPr="009C080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C080C">
        <w:rPr>
          <w:rFonts w:asciiTheme="majorBidi" w:eastAsiaTheme="minorEastAsia" w:hAnsiTheme="majorBidi" w:cstheme="majorBidi"/>
          <w:color w:val="000000" w:themeColor="text1"/>
          <w:kern w:val="0"/>
          <w:sz w:val="28"/>
          <w:szCs w:val="28"/>
          <w14:ligatures w14:val="none"/>
        </w:rPr>
        <w:t>The relatively small sample size is justified by the case study methodology and the study’s aim of producing in-depth, context-specific insights rather than broad generalizations. Since KFSHRC represents a single, highly specialized hospital, the intention is not to generalize findings across all hospitals in Saudi Arabia but to develop an in-depth understanding of infection control and risk management practices within this unique institutional setting. The findings, however, may still offer transferable lessons for other tertiary hospitals and health systems facing similar challenges.</w:t>
      </w:r>
    </w:p>
    <w:p w14:paraId="353B015C" w14:textId="77777777" w:rsidR="00CE1909" w:rsidRPr="009C080C"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9C080C">
        <w:rPr>
          <w:rFonts w:asciiTheme="majorBidi" w:eastAsiaTheme="minorEastAsia" w:hAnsiTheme="majorBidi" w:cstheme="majorBidi"/>
          <w:color w:val="000000" w:themeColor="text1"/>
          <w:kern w:val="0"/>
          <w:sz w:val="28"/>
          <w:szCs w:val="28"/>
          <w14:ligatures w14:val="none"/>
        </w:rPr>
        <w:t>Furthermore, the purposive sampling ensures that the participants selected are those most capable of providing reliable, relevant, and contextually meaningful data. This enhances the credibility and validity of the study findings, particularly when triangulated with document analysis and observational data.</w:t>
      </w:r>
    </w:p>
    <w:p w14:paraId="33AFFCD1"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p>
    <w:p w14:paraId="0182A1F7" w14:textId="77777777" w:rsidR="00CE1909" w:rsidRPr="00B06A03" w:rsidRDefault="00CE1909" w:rsidP="00911C9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48" w:name="_Toc212139869"/>
      <w:r w:rsidRPr="00B06A03">
        <w:rPr>
          <w:rFonts w:asciiTheme="majorBidi" w:eastAsiaTheme="minorEastAsia" w:hAnsiTheme="majorBidi" w:cstheme="majorBidi"/>
          <w:color w:val="000000" w:themeColor="text1"/>
          <w:kern w:val="0"/>
          <w:sz w:val="28"/>
          <w:szCs w:val="28"/>
          <w14:ligatures w14:val="none"/>
        </w:rPr>
        <w:t>3.4 Data Analysis and Ethical Considerations</w:t>
      </w:r>
      <w:bookmarkEnd w:id="48"/>
    </w:p>
    <w:p w14:paraId="0B8C3183"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C542B96" w14:textId="77777777" w:rsidR="00CE1909" w:rsidRPr="00B06A03"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49" w:name="_Toc212139870"/>
      <w:r w:rsidRPr="00B06A03">
        <w:rPr>
          <w:rFonts w:asciiTheme="majorBidi" w:eastAsiaTheme="minorEastAsia" w:hAnsiTheme="majorBidi" w:cstheme="majorBidi"/>
          <w:color w:val="000000" w:themeColor="text1"/>
          <w:kern w:val="0"/>
          <w:sz w:val="28"/>
          <w:szCs w:val="28"/>
          <w14:ligatures w14:val="none"/>
        </w:rPr>
        <w:t>3.4.1 Data Analysis</w:t>
      </w:r>
      <w:bookmarkEnd w:id="49"/>
    </w:p>
    <w:p w14:paraId="6418D2EC"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7609D7C"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06A03">
        <w:rPr>
          <w:rFonts w:asciiTheme="majorBidi" w:eastAsiaTheme="minorEastAsia" w:hAnsiTheme="majorBidi" w:cstheme="majorBidi"/>
          <w:color w:val="000000" w:themeColor="text1"/>
          <w:kern w:val="0"/>
          <w:sz w:val="28"/>
          <w:szCs w:val="28"/>
          <w14:ligatures w14:val="none"/>
        </w:rPr>
        <w:lastRenderedPageBreak/>
        <w:t>Given the mixed-methods design of this study, data analysis is divided into two streams—quantitative and qualitative—before being integrated to provide a comprehensive interpretation of the findings.</w:t>
      </w:r>
    </w:p>
    <w:p w14:paraId="408675F0"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06A03">
        <w:rPr>
          <w:rFonts w:asciiTheme="majorBidi" w:eastAsiaTheme="minorEastAsia" w:hAnsiTheme="majorBidi" w:cstheme="majorBidi"/>
          <w:color w:val="000000" w:themeColor="text1"/>
          <w:kern w:val="0"/>
          <w:sz w:val="28"/>
          <w:szCs w:val="28"/>
          <w14:ligatures w14:val="none"/>
        </w:rPr>
        <w:t>Quantitative Analysis</w:t>
      </w:r>
    </w:p>
    <w:p w14:paraId="01675481"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06A03">
        <w:rPr>
          <w:rFonts w:asciiTheme="majorBidi" w:eastAsiaTheme="minorEastAsia" w:hAnsiTheme="majorBidi" w:cstheme="majorBidi"/>
          <w:color w:val="000000" w:themeColor="text1"/>
          <w:kern w:val="0"/>
          <w:sz w:val="28"/>
          <w:szCs w:val="28"/>
          <w14:ligatures w14:val="none"/>
        </w:rPr>
        <w:t>Data obtained from the structured questionnaires will be coded and entered into the Statistical Package for the Social Sciences (SPSS). The analysis will involve:</w:t>
      </w:r>
    </w:p>
    <w:p w14:paraId="742183F2"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Descriptive Statistics: Means, frequencies, and percentages will be used to summarize participants’ knowledge, attitudes, and practices regarding infection prevention and risk management.</w:t>
      </w:r>
    </w:p>
    <w:p w14:paraId="44CFC5C3"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Inferential Statistics: Pearson correlation and linear regression will be used to explore relationships between variables, such as the relationship between staff training and compliance rates, or between perception of institutional support and adherence to infection control measures.</w:t>
      </w:r>
    </w:p>
    <w:p w14:paraId="71E2AFF7"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Comparative Analysis: Differences between groups (e.g., nurses vs. physicians, or supervisors vs. officers) will be analyzed to identify variations in knowledge and practices.</w:t>
      </w:r>
    </w:p>
    <w:p w14:paraId="208586AD"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06A03">
        <w:rPr>
          <w:rFonts w:asciiTheme="majorBidi" w:eastAsiaTheme="minorEastAsia" w:hAnsiTheme="majorBidi" w:cstheme="majorBidi"/>
          <w:color w:val="000000" w:themeColor="text1"/>
          <w:kern w:val="0"/>
          <w:sz w:val="28"/>
          <w:szCs w:val="28"/>
          <w14:ligatures w14:val="none"/>
        </w:rPr>
        <w:t>This quantitative analysis provides measurable evidence of the effectiveness of risk management strategies and identifies statistical trends that can inform organizational policy.</w:t>
      </w:r>
    </w:p>
    <w:p w14:paraId="3D8C5C8F"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CC7BF40"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06A03">
        <w:rPr>
          <w:rFonts w:asciiTheme="majorBidi" w:eastAsiaTheme="minorEastAsia" w:hAnsiTheme="majorBidi" w:cstheme="majorBidi"/>
          <w:color w:val="000000" w:themeColor="text1"/>
          <w:kern w:val="0"/>
          <w:sz w:val="28"/>
          <w:szCs w:val="28"/>
          <w14:ligatures w14:val="none"/>
        </w:rPr>
        <w:t>Qualitative Analysis</w:t>
      </w:r>
    </w:p>
    <w:p w14:paraId="2600EA45" w14:textId="77777777" w:rsidR="00CE1909" w:rsidRPr="0025511B"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25511B">
        <w:rPr>
          <w:rFonts w:asciiTheme="majorBidi" w:eastAsiaTheme="minorEastAsia" w:hAnsiTheme="majorBidi" w:cstheme="majorBidi"/>
          <w:color w:val="000000" w:themeColor="text1"/>
          <w:kern w:val="0"/>
          <w:sz w:val="28"/>
          <w:szCs w:val="28"/>
          <w14:ligatures w14:val="none"/>
        </w:rPr>
        <w:t>Qualitative information gathered from open-ended questionnaire answers, semi-structured interview answers, and observational notes will undergo thematic analysis. The process involves:</w:t>
      </w:r>
    </w:p>
    <w:p w14:paraId="0C2821C0" w14:textId="77777777" w:rsidR="00CE1909" w:rsidRPr="0025511B" w:rsidRDefault="00CE1909">
      <w:pPr>
        <w:pStyle w:val="ListParagraph"/>
        <w:numPr>
          <w:ilvl w:val="0"/>
          <w:numId w:val="9"/>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t>Familiarization</w:t>
      </w:r>
      <w:r w:rsidRPr="0025511B">
        <w:rPr>
          <w:rFonts w:asciiTheme="majorBidi" w:eastAsiaTheme="minorEastAsia" w:hAnsiTheme="majorBidi" w:cstheme="majorBidi"/>
          <w:color w:val="000000" w:themeColor="text1"/>
          <w:kern w:val="0"/>
          <w:sz w:val="28"/>
          <w:szCs w:val="28"/>
          <w14:ligatures w14:val="none"/>
        </w:rPr>
        <w:t xml:space="preserve"> – Re-reading and reading the transcript and notes in order to become adequately immersed in the data.</w:t>
      </w:r>
    </w:p>
    <w:p w14:paraId="7AA37D91" w14:textId="77777777" w:rsidR="00CE1909" w:rsidRPr="0025511B" w:rsidRDefault="00CE1909">
      <w:pPr>
        <w:pStyle w:val="ListParagraph"/>
        <w:numPr>
          <w:ilvl w:val="0"/>
          <w:numId w:val="9"/>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lastRenderedPageBreak/>
        <w:t>Coding</w:t>
      </w:r>
      <w:r w:rsidRPr="0025511B">
        <w:rPr>
          <w:rFonts w:asciiTheme="majorBidi" w:eastAsiaTheme="minorEastAsia" w:hAnsiTheme="majorBidi" w:cstheme="majorBidi"/>
          <w:color w:val="000000" w:themeColor="text1"/>
          <w:kern w:val="0"/>
          <w:sz w:val="28"/>
          <w:szCs w:val="28"/>
          <w14:ligatures w14:val="none"/>
        </w:rPr>
        <w:t xml:space="preserve"> – Applying labels to key pieces of text with themes representing key issues or ideas (e.g., "lack of resources," "effectiveness of training," "leadership support").</w:t>
      </w:r>
    </w:p>
    <w:p w14:paraId="6D151411" w14:textId="77777777" w:rsidR="00CE1909" w:rsidRPr="0025511B" w:rsidRDefault="00CE1909">
      <w:pPr>
        <w:pStyle w:val="ListParagraph"/>
        <w:numPr>
          <w:ilvl w:val="0"/>
          <w:numId w:val="9"/>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t>Theme</w:t>
      </w:r>
      <w:r w:rsidRPr="0025511B">
        <w:rPr>
          <w:rFonts w:asciiTheme="majorBidi" w:eastAsiaTheme="minorEastAsia" w:hAnsiTheme="majorBidi" w:cstheme="majorBidi"/>
          <w:color w:val="000000" w:themeColor="text1"/>
          <w:kern w:val="0"/>
          <w:sz w:val="28"/>
          <w:szCs w:val="28"/>
          <w14:ligatures w14:val="none"/>
        </w:rPr>
        <w:t xml:space="preserve"> Development – Reducing codes into broad themes and subthemes, such as "policy-practice gaps," "cultural influences on compliance," or "systemic barriers."</w:t>
      </w:r>
    </w:p>
    <w:p w14:paraId="5CAFBBB2" w14:textId="77777777" w:rsidR="00CE1909" w:rsidRPr="0025511B" w:rsidRDefault="00CE1909">
      <w:pPr>
        <w:pStyle w:val="ListParagraph"/>
        <w:numPr>
          <w:ilvl w:val="0"/>
          <w:numId w:val="9"/>
        </w:num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rFonts w:asciiTheme="majorBidi" w:eastAsiaTheme="minorEastAsia" w:hAnsiTheme="majorBidi" w:cstheme="majorBidi"/>
          <w:color w:val="000000" w:themeColor="text1"/>
          <w:kern w:val="0"/>
          <w:sz w:val="28"/>
          <w:szCs w:val="28"/>
          <w14:ligatures w14:val="none"/>
        </w:rPr>
        <w:t>Integration</w:t>
      </w:r>
      <w:r w:rsidRPr="0025511B">
        <w:rPr>
          <w:rFonts w:asciiTheme="majorBidi" w:eastAsiaTheme="minorEastAsia" w:hAnsiTheme="majorBidi" w:cstheme="majorBidi"/>
          <w:color w:val="000000" w:themeColor="text1"/>
          <w:kern w:val="0"/>
          <w:sz w:val="28"/>
          <w:szCs w:val="28"/>
          <w14:ligatures w14:val="none"/>
        </w:rPr>
        <w:t xml:space="preserve"> – Cross-matching qualitative themes to quantitative outcomes to validate findings, explain differences, and provide richer insight into the statistical trends.</w:t>
      </w:r>
    </w:p>
    <w:p w14:paraId="5CC08EAD" w14:textId="77777777" w:rsidR="00CE1909"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25511B">
        <w:rPr>
          <w:rFonts w:asciiTheme="majorBidi" w:eastAsiaTheme="minorEastAsia" w:hAnsiTheme="majorBidi" w:cstheme="majorBidi"/>
          <w:color w:val="000000" w:themeColor="text1"/>
          <w:kern w:val="0"/>
          <w:sz w:val="28"/>
          <w:szCs w:val="28"/>
          <w14:ligatures w14:val="none"/>
        </w:rPr>
        <w:t>The synthesis of both analytic methods provides credibility, validity, and depth to the findings, ensuring that the research moves beyond surface description to provide insightful and actionable findings.</w:t>
      </w:r>
    </w:p>
    <w:p w14:paraId="622E7C14"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C5B076C" w14:textId="77777777" w:rsidR="00CE1909" w:rsidRPr="00B06A03"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50" w:name="_Toc212139871"/>
      <w:r w:rsidRPr="00B06A03">
        <w:rPr>
          <w:rFonts w:asciiTheme="majorBidi" w:eastAsiaTheme="minorEastAsia" w:hAnsiTheme="majorBidi" w:cstheme="majorBidi"/>
          <w:color w:val="000000" w:themeColor="text1"/>
          <w:kern w:val="0"/>
          <w:sz w:val="28"/>
          <w:szCs w:val="28"/>
          <w14:ligatures w14:val="none"/>
        </w:rPr>
        <w:t>3.4.2 Ethical Considerations</w:t>
      </w:r>
      <w:bookmarkEnd w:id="50"/>
    </w:p>
    <w:p w14:paraId="3B389340"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475D000" w14:textId="77777777" w:rsidR="00CE1909"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r w:rsidRPr="00B06A03">
        <w:rPr>
          <w:rFonts w:asciiTheme="majorBidi" w:eastAsiaTheme="minorEastAsia" w:hAnsiTheme="majorBidi" w:cstheme="majorBidi"/>
          <w:color w:val="000000" w:themeColor="text1"/>
          <w:kern w:val="0"/>
          <w:sz w:val="28"/>
          <w:szCs w:val="28"/>
          <w14:ligatures w14:val="none"/>
        </w:rPr>
        <w:t>Given the sensitive nature of healthcare research and the focus on infection control and risk management within a world-class institution such as King Faisal Specialist Hospital and Research Centre (KFSHRC), ethical rigor is paramount. The study is designed in compliance with international research ethics standards (e.g., the Declaration of Helsinki) and local institutional review requirements.</w:t>
      </w:r>
    </w:p>
    <w:p w14:paraId="36B949FF"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D5885BD"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06A03">
        <w:rPr>
          <w:rFonts w:asciiTheme="majorBidi" w:eastAsiaTheme="minorEastAsia" w:hAnsiTheme="majorBidi" w:cstheme="majorBidi"/>
          <w:color w:val="000000" w:themeColor="text1"/>
          <w:kern w:val="0"/>
          <w:sz w:val="28"/>
          <w:szCs w:val="28"/>
          <w14:ligatures w14:val="none"/>
        </w:rPr>
        <w:t>Key ethical principles applied in the study include:</w:t>
      </w:r>
    </w:p>
    <w:p w14:paraId="480F9627"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Informed Consent: All participants will be informed about the study’s purpose, methods, potential risks, and benefits. Participation will be entirely voluntary, and written consent will be obtained prior to data collection.</w:t>
      </w:r>
    </w:p>
    <w:p w14:paraId="19001EA0"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lastRenderedPageBreak/>
        <w:t>Confidentiality and Anonymity: Personal identifiers will not be collected in the questionnaires, and interview data will be anonymized during transcription. Participants will be assured that their responses will not be shared with hospital administration in a way that could compromise their professional standing.</w:t>
      </w:r>
    </w:p>
    <w:p w14:paraId="34A3AC67"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Data Protection: All data will be securely stored in password-protected electronic files accessible only to the researcher. Hard copies, if any, will be stored in locked cabinets.</w:t>
      </w:r>
    </w:p>
    <w:p w14:paraId="0619C1D0"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Non-Maleficence and Beneficence: The research is designed to minimize any potential harm to participants and to maximize its benefit by contributing to the improvement of infection prevention and patient safety at KFSHRC.</w:t>
      </w:r>
    </w:p>
    <w:p w14:paraId="252D0C99"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Ethical Approval: Formal approval will be sought from the Institutional Review Board (IRB) of KFSHRC prior to the commencement of data collection. This step ensures that the study aligns with local regulatory frameworks and global ethical research practices.</w:t>
      </w:r>
    </w:p>
    <w:p w14:paraId="4C4920B9"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C793C90" w14:textId="77777777" w:rsidR="00CE1909" w:rsidRPr="00B06A03" w:rsidRDefault="00CE1909" w:rsidP="00911C96">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51" w:name="_Toc212139872"/>
      <w:r w:rsidRPr="00B06A03">
        <w:rPr>
          <w:rFonts w:asciiTheme="majorBidi" w:eastAsiaTheme="minorEastAsia" w:hAnsiTheme="majorBidi" w:cstheme="majorBidi"/>
          <w:color w:val="000000" w:themeColor="text1"/>
          <w:kern w:val="0"/>
          <w:sz w:val="28"/>
          <w:szCs w:val="28"/>
          <w14:ligatures w14:val="none"/>
        </w:rPr>
        <w:t>3.4.3 Ensuring Validity and Reliability</w:t>
      </w:r>
      <w:bookmarkEnd w:id="51"/>
    </w:p>
    <w:p w14:paraId="4215349B"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2900569"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06A03">
        <w:rPr>
          <w:rFonts w:asciiTheme="majorBidi" w:eastAsiaTheme="minorEastAsia" w:hAnsiTheme="majorBidi" w:cstheme="majorBidi"/>
          <w:color w:val="000000" w:themeColor="text1"/>
          <w:kern w:val="0"/>
          <w:sz w:val="28"/>
          <w:szCs w:val="28"/>
          <w14:ligatures w14:val="none"/>
        </w:rPr>
        <w:t>To enhance validity (accuracy) and reliability (consistency), multiple strategies will be employed:</w:t>
      </w:r>
    </w:p>
    <w:p w14:paraId="2A2C6496"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Instrument Validation: The survey questionnaire will be pilot-tested on a small group of staff to ensure clarity, relevance, and reliability of items.</w:t>
      </w:r>
    </w:p>
    <w:p w14:paraId="041BA75C"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Triangulation: Using multiple instruments (questionnaire, interviews, records, and observation) strengthens the credibility of findings by cross-verifying data.</w:t>
      </w:r>
    </w:p>
    <w:p w14:paraId="33F0383C"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lastRenderedPageBreak/>
        <w:t>Member Checking: Participants in interviews may be given the opportunity to review and confirm interpretations of their responses to reduce misrepresentation.</w:t>
      </w:r>
    </w:p>
    <w:p w14:paraId="21AA1809" w14:textId="77777777" w:rsidR="00CE1909" w:rsidRPr="004B2307" w:rsidRDefault="00CE1909">
      <w:pPr>
        <w:pStyle w:val="ListParagraph"/>
        <w:numPr>
          <w:ilvl w:val="0"/>
          <w:numId w:val="7"/>
        </w:numPr>
        <w:bidi w:val="0"/>
        <w:spacing w:before="180" w:after="0" w:line="360" w:lineRule="auto"/>
        <w:jc w:val="both"/>
        <w:rPr>
          <w:rFonts w:asciiTheme="majorBidi" w:eastAsiaTheme="minorEastAsia" w:hAnsiTheme="majorBidi" w:cstheme="majorBidi"/>
          <w:color w:val="000000" w:themeColor="text1"/>
          <w:kern w:val="0"/>
          <w:sz w:val="28"/>
          <w:szCs w:val="28"/>
          <w14:ligatures w14:val="none"/>
        </w:rPr>
      </w:pPr>
      <w:r w:rsidRPr="004B2307">
        <w:rPr>
          <w:rFonts w:asciiTheme="majorBidi" w:eastAsiaTheme="minorEastAsia" w:hAnsiTheme="majorBidi" w:cstheme="majorBidi"/>
          <w:color w:val="000000" w:themeColor="text1"/>
          <w:kern w:val="0"/>
          <w:sz w:val="28"/>
          <w:szCs w:val="28"/>
          <w14:ligatures w14:val="none"/>
        </w:rPr>
        <w:t>Statistical Reliability Tests: For the quantitative questionnaire, reliability will be tested using Cronbach’s alpha to ensure internal consistency of scales.</w:t>
      </w:r>
    </w:p>
    <w:p w14:paraId="1568DAA1"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297FF4B" w14:textId="77777777" w:rsidR="00CE1909" w:rsidRPr="00B06A03" w:rsidRDefault="00CE1909" w:rsidP="00911C9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52" w:name="_Toc212139873"/>
      <w:r w:rsidRPr="00B06A03">
        <w:rPr>
          <w:rFonts w:asciiTheme="majorBidi" w:eastAsiaTheme="minorEastAsia" w:hAnsiTheme="majorBidi" w:cstheme="majorBidi"/>
          <w:color w:val="000000" w:themeColor="text1"/>
          <w:kern w:val="0"/>
          <w:sz w:val="28"/>
          <w:szCs w:val="28"/>
          <w14:ligatures w14:val="none"/>
        </w:rPr>
        <w:t>Summary of Chapter Three</w:t>
      </w:r>
      <w:bookmarkEnd w:id="52"/>
    </w:p>
    <w:p w14:paraId="4C29D1E9" w14:textId="77777777" w:rsidR="00CE1909" w:rsidRPr="00B06A03" w:rsidRDefault="00CE1909" w:rsidP="00E67FC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B06A03">
        <w:rPr>
          <w:rFonts w:asciiTheme="majorBidi" w:eastAsiaTheme="minorEastAsia" w:hAnsiTheme="majorBidi" w:cstheme="majorBidi"/>
          <w:color w:val="000000" w:themeColor="text1"/>
          <w:kern w:val="0"/>
          <w:sz w:val="28"/>
          <w:szCs w:val="28"/>
          <w14:ligatures w14:val="none"/>
        </w:rPr>
        <w:t>This chapter presented the research methodology, including the design (descriptive-analytical case study with a mixed-methods approach), instruments for data collection (questionnaires, interviews, document reviews, and observation), sampling plan (purposive sampling of 40 key stakeholders), data analysis techniques (quantitative via SPSS and qualitative via thematic analysis), and ethical considerations (informed consent, confidentiality, data protection, and IRB approval). Together, these methodological strategies ensure that the study is both scientifically rigorous and ethically sound, providing a robust foundation for the subsequent analysis of findings in Chapter Four.</w:t>
      </w:r>
    </w:p>
    <w:p w14:paraId="7B66C69C" w14:textId="77777777" w:rsidR="00CE1909" w:rsidRPr="00B06A03" w:rsidRDefault="00CE1909" w:rsidP="00E67FC8">
      <w:pPr>
        <w:bidi w:val="0"/>
        <w:spacing w:after="0" w:line="240" w:lineRule="auto"/>
        <w:rPr>
          <w:rFonts w:asciiTheme="majorBidi" w:eastAsiaTheme="minorEastAsia" w:hAnsiTheme="majorBidi" w:cstheme="majorBidi"/>
          <w:color w:val="000000" w:themeColor="text1"/>
          <w:kern w:val="0"/>
          <w:sz w:val="28"/>
          <w:szCs w:val="28"/>
          <w14:ligatures w14:val="none"/>
        </w:rPr>
      </w:pPr>
    </w:p>
    <w:p w14:paraId="30DE4F40" w14:textId="77777777" w:rsidR="00CE1909" w:rsidRPr="000B52CF" w:rsidRDefault="00CE1909" w:rsidP="00E67FC8">
      <w:pPr>
        <w:jc w:val="center"/>
        <w:rPr>
          <w:rFonts w:asciiTheme="majorBidi" w:hAnsiTheme="majorBidi" w:cstheme="majorBidi"/>
          <w:color w:val="000000" w:themeColor="text1"/>
          <w:sz w:val="28"/>
          <w:szCs w:val="28"/>
          <w:lang w:bidi="ar-EG"/>
        </w:rPr>
      </w:pPr>
    </w:p>
    <w:p w14:paraId="0801CE3B" w14:textId="77777777" w:rsidR="00CE1909" w:rsidRDefault="00CE1909" w:rsidP="00CE1909">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22D0E866" w14:textId="77777777" w:rsidR="00CE1909" w:rsidRDefault="00CE1909" w:rsidP="00CE1909">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483AE1F6" w14:textId="77777777" w:rsidR="00CE1909" w:rsidRDefault="00CE1909" w:rsidP="00CE1909">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6B8EBC73" w14:textId="77777777" w:rsidR="00CE1909" w:rsidRDefault="00CE1909" w:rsidP="00CE1909">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05B44910" w14:textId="77777777" w:rsidR="00CE1909" w:rsidRPr="00A43700" w:rsidRDefault="00CE1909" w:rsidP="00A43700">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39DEA17E" w14:textId="77777777" w:rsidR="00CE1909" w:rsidRPr="00A43700" w:rsidRDefault="00CE1909" w:rsidP="00A43700">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17E5A766" w14:textId="77777777" w:rsidR="00CE1909" w:rsidRPr="00A43700" w:rsidRDefault="00CE1909" w:rsidP="00A43700">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05C48D45" w14:textId="77777777" w:rsidR="00CE1909" w:rsidRPr="00A43700" w:rsidRDefault="00CE1909" w:rsidP="00A43700">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348A7B9E" w14:textId="77777777" w:rsidR="00CE1909" w:rsidRPr="00A43700" w:rsidRDefault="00CE1909" w:rsidP="00A43700">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24F1A237"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p>
    <w:p w14:paraId="64E8F14B" w14:textId="7D5E195A" w:rsidR="00CD1685" w:rsidRPr="00A43700" w:rsidRDefault="00CD1685" w:rsidP="00911C96">
      <w:pPr>
        <w:bidi w:val="0"/>
        <w:spacing w:after="0" w:line="360" w:lineRule="auto"/>
        <w:jc w:val="both"/>
        <w:outlineLvl w:val="0"/>
        <w:rPr>
          <w:rFonts w:asciiTheme="majorBidi" w:eastAsiaTheme="minorEastAsia" w:hAnsiTheme="majorBidi" w:cstheme="majorBidi"/>
          <w:b/>
          <w:bCs/>
          <w:color w:val="000000" w:themeColor="text1"/>
          <w:kern w:val="0"/>
          <w:sz w:val="28"/>
          <w:szCs w:val="28"/>
          <w14:ligatures w14:val="none"/>
        </w:rPr>
      </w:pPr>
      <w:bookmarkStart w:id="53" w:name="_Toc212139874"/>
      <w:r w:rsidRPr="00A43700">
        <w:rPr>
          <w:rFonts w:asciiTheme="majorBidi" w:eastAsiaTheme="minorEastAsia" w:hAnsiTheme="majorBidi" w:cstheme="majorBidi"/>
          <w:b/>
          <w:bCs/>
          <w:color w:val="000000" w:themeColor="text1"/>
          <w:kern w:val="0"/>
          <w:sz w:val="28"/>
          <w:szCs w:val="28"/>
          <w14:ligatures w14:val="none"/>
        </w:rPr>
        <w:lastRenderedPageBreak/>
        <w:t>Chapter Four: Results and Data Analysis</w:t>
      </w:r>
      <w:bookmarkEnd w:id="53"/>
      <w:r w:rsidRPr="00A43700">
        <w:rPr>
          <w:rFonts w:asciiTheme="majorBidi" w:eastAsiaTheme="minorEastAsia" w:hAnsiTheme="majorBidi" w:cstheme="majorBidi"/>
          <w:b/>
          <w:bCs/>
          <w:color w:val="000000" w:themeColor="text1"/>
          <w:kern w:val="0"/>
          <w:sz w:val="28"/>
          <w:szCs w:val="28"/>
          <w14:ligatures w14:val="none"/>
        </w:rPr>
        <w:t xml:space="preserve"> </w:t>
      </w:r>
    </w:p>
    <w:p w14:paraId="577DB7DD"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D038F87" w14:textId="77777777" w:rsidR="00CD1685" w:rsidRPr="00A43700" w:rsidRDefault="00CD1685" w:rsidP="00911C9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54" w:name="_Toc212139875"/>
      <w:r w:rsidRPr="00A43700">
        <w:rPr>
          <w:rFonts w:asciiTheme="majorBidi" w:eastAsiaTheme="minorEastAsia" w:hAnsiTheme="majorBidi" w:cstheme="majorBidi"/>
          <w:color w:val="000000" w:themeColor="text1"/>
          <w:kern w:val="0"/>
          <w:sz w:val="28"/>
          <w:szCs w:val="28"/>
          <w14:ligatures w14:val="none"/>
        </w:rPr>
        <w:t>4.1 Introduction</w:t>
      </w:r>
      <w:bookmarkEnd w:id="54"/>
    </w:p>
    <w:p w14:paraId="5CA5D348"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E8A3814" w14:textId="79E66B20"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chapter presents an extensive analysis of the data collected from the applied study conducted at King Faisal Specialist Hospital and Research Centre (KFSHRC). The objective of this chapter is to interpret the empirical findings that demonstrate how effective risk management contributes to the reduction of hospital-acquired infections (HAIs).</w:t>
      </w:r>
    </w:p>
    <w:p w14:paraId="013E172D" w14:textId="17A8A656"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analysis integrates both quantitative and qualitative data to ensure a holistic understanding of the phenomena under investigation. Quantitative data were obtained from structured questionnaires distributed to healthcare professionals (n = 150), while qualitative data were collected through semi-structured interviews, direct observations, and document reviews. The quantitative results were analyzed using the Statistical Package for the Social Sciences (SPSS), producing descriptive and inferential statistics (means, frequencies, standard deviations, and correlations). Qualitative responses were subjected to thematic content analysis, identifying recurring ideas and contextual factors that explain numerical patterns.</w:t>
      </w:r>
    </w:p>
    <w:p w14:paraId="460BC0E9"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mixed-methods approach allows for triangulation between various data sources, ensuring both internal validity and analytical depth. The chapter begins with the demographic profile of the respondents, followed by detailed analyses of their knowledge, attitudes, practices, and perceptions regarding infection control and risk management within the hospital context.</w:t>
      </w:r>
    </w:p>
    <w:p w14:paraId="4BF480E3"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E016C63" w14:textId="77777777" w:rsidR="00CD1685" w:rsidRPr="00A43700" w:rsidRDefault="00CD1685" w:rsidP="00911C9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55" w:name="_Toc212139876"/>
      <w:r w:rsidRPr="00A43700">
        <w:rPr>
          <w:rFonts w:asciiTheme="majorBidi" w:eastAsiaTheme="minorEastAsia" w:hAnsiTheme="majorBidi" w:cstheme="majorBidi"/>
          <w:color w:val="000000" w:themeColor="text1"/>
          <w:kern w:val="0"/>
          <w:sz w:val="28"/>
          <w:szCs w:val="28"/>
          <w14:ligatures w14:val="none"/>
        </w:rPr>
        <w:t>4.2 Demographic Profile of Respondents</w:t>
      </w:r>
      <w:bookmarkEnd w:id="55"/>
    </w:p>
    <w:p w14:paraId="17A80FB3"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56EF190"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Out of 200 questionnaires distributed across different clinical and administrative departments, 150 valid responses were received, achieving a </w:t>
      </w:r>
      <w:r w:rsidRPr="00A43700">
        <w:rPr>
          <w:rFonts w:asciiTheme="majorBidi" w:eastAsiaTheme="minorEastAsia" w:hAnsiTheme="majorBidi" w:cstheme="majorBidi"/>
          <w:color w:val="000000" w:themeColor="text1"/>
          <w:kern w:val="0"/>
          <w:sz w:val="28"/>
          <w:szCs w:val="28"/>
          <w14:ligatures w14:val="none"/>
        </w:rPr>
        <w:lastRenderedPageBreak/>
        <w:t>response rate of 75%, which is considered satisfactory for organizational field studies. The demographic characteristics of participants are crucial to understanding variations in responses and to contextualize how experience, professional role, and work environment influence infection control behavior.</w:t>
      </w:r>
    </w:p>
    <w:p w14:paraId="2C35E93F"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B41D7C0"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4.1: Distribution of Respondents by Demographic Characteristics (n = 150)</w:t>
      </w:r>
    </w:p>
    <w:p w14:paraId="17FEADA1"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2205"/>
        <w:gridCol w:w="2205"/>
        <w:gridCol w:w="2206"/>
        <w:gridCol w:w="2206"/>
      </w:tblGrid>
      <w:tr w:rsidR="00FD06CA" w:rsidRPr="00FD06CA" w14:paraId="271FA88C" w14:textId="77777777" w:rsidTr="00FD06CA">
        <w:tc>
          <w:tcPr>
            <w:tcW w:w="2205" w:type="dxa"/>
          </w:tcPr>
          <w:p w14:paraId="13C85B09"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Variable</w:t>
            </w:r>
          </w:p>
        </w:tc>
        <w:tc>
          <w:tcPr>
            <w:tcW w:w="2205" w:type="dxa"/>
          </w:tcPr>
          <w:p w14:paraId="0859372C"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Category</w:t>
            </w:r>
          </w:p>
        </w:tc>
        <w:tc>
          <w:tcPr>
            <w:tcW w:w="2206" w:type="dxa"/>
          </w:tcPr>
          <w:p w14:paraId="61A650B9"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Frequency</w:t>
            </w:r>
          </w:p>
        </w:tc>
        <w:tc>
          <w:tcPr>
            <w:tcW w:w="2206" w:type="dxa"/>
          </w:tcPr>
          <w:p w14:paraId="4473BCD2"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Percentage (%)</w:t>
            </w:r>
          </w:p>
        </w:tc>
      </w:tr>
      <w:tr w:rsidR="00FD06CA" w:rsidRPr="00FD06CA" w14:paraId="78B5E98C" w14:textId="77777777" w:rsidTr="00FD06CA">
        <w:tc>
          <w:tcPr>
            <w:tcW w:w="2205" w:type="dxa"/>
          </w:tcPr>
          <w:p w14:paraId="0491B7B0"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Age</w:t>
            </w:r>
          </w:p>
        </w:tc>
        <w:tc>
          <w:tcPr>
            <w:tcW w:w="2205" w:type="dxa"/>
          </w:tcPr>
          <w:p w14:paraId="65409096"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Under 25</w:t>
            </w:r>
          </w:p>
        </w:tc>
        <w:tc>
          <w:tcPr>
            <w:tcW w:w="2206" w:type="dxa"/>
          </w:tcPr>
          <w:p w14:paraId="78F7A66D"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10</w:t>
            </w:r>
          </w:p>
        </w:tc>
        <w:tc>
          <w:tcPr>
            <w:tcW w:w="2206" w:type="dxa"/>
          </w:tcPr>
          <w:p w14:paraId="4FB89EEE"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6.7</w:t>
            </w:r>
          </w:p>
        </w:tc>
      </w:tr>
      <w:tr w:rsidR="00FD06CA" w:rsidRPr="00FD06CA" w14:paraId="1D7716FD" w14:textId="77777777" w:rsidTr="00FD06CA">
        <w:tc>
          <w:tcPr>
            <w:tcW w:w="2205" w:type="dxa"/>
          </w:tcPr>
          <w:p w14:paraId="75CD9EEF"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6C57396C"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25–34</w:t>
            </w:r>
          </w:p>
        </w:tc>
        <w:tc>
          <w:tcPr>
            <w:tcW w:w="2206" w:type="dxa"/>
          </w:tcPr>
          <w:p w14:paraId="6942D526"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42</w:t>
            </w:r>
          </w:p>
        </w:tc>
        <w:tc>
          <w:tcPr>
            <w:tcW w:w="2206" w:type="dxa"/>
          </w:tcPr>
          <w:p w14:paraId="43F808D1"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28.0</w:t>
            </w:r>
          </w:p>
        </w:tc>
      </w:tr>
      <w:tr w:rsidR="00FD06CA" w:rsidRPr="00FD06CA" w14:paraId="73854E61" w14:textId="77777777" w:rsidTr="00FD06CA">
        <w:tc>
          <w:tcPr>
            <w:tcW w:w="2205" w:type="dxa"/>
          </w:tcPr>
          <w:p w14:paraId="7CB9B250"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7AFA8F0F"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35–44</w:t>
            </w:r>
          </w:p>
        </w:tc>
        <w:tc>
          <w:tcPr>
            <w:tcW w:w="2206" w:type="dxa"/>
          </w:tcPr>
          <w:p w14:paraId="794F3725"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52</w:t>
            </w:r>
          </w:p>
        </w:tc>
        <w:tc>
          <w:tcPr>
            <w:tcW w:w="2206" w:type="dxa"/>
          </w:tcPr>
          <w:p w14:paraId="6F037AA7"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34.7</w:t>
            </w:r>
          </w:p>
        </w:tc>
      </w:tr>
      <w:tr w:rsidR="00FD06CA" w:rsidRPr="00FD06CA" w14:paraId="35A59020" w14:textId="77777777" w:rsidTr="00FD06CA">
        <w:tc>
          <w:tcPr>
            <w:tcW w:w="2205" w:type="dxa"/>
          </w:tcPr>
          <w:p w14:paraId="5C1CC6DD"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5705EE37"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45–54</w:t>
            </w:r>
          </w:p>
        </w:tc>
        <w:tc>
          <w:tcPr>
            <w:tcW w:w="2206" w:type="dxa"/>
          </w:tcPr>
          <w:p w14:paraId="19909D55"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33</w:t>
            </w:r>
          </w:p>
        </w:tc>
        <w:tc>
          <w:tcPr>
            <w:tcW w:w="2206" w:type="dxa"/>
          </w:tcPr>
          <w:p w14:paraId="5BF08830"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22.0</w:t>
            </w:r>
          </w:p>
        </w:tc>
      </w:tr>
      <w:tr w:rsidR="00FD06CA" w:rsidRPr="00FD06CA" w14:paraId="4B3C70B7" w14:textId="77777777" w:rsidTr="00FD06CA">
        <w:tc>
          <w:tcPr>
            <w:tcW w:w="2205" w:type="dxa"/>
          </w:tcPr>
          <w:p w14:paraId="2B96EAAD"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57B5BA86"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55 and above</w:t>
            </w:r>
          </w:p>
        </w:tc>
        <w:tc>
          <w:tcPr>
            <w:tcW w:w="2206" w:type="dxa"/>
          </w:tcPr>
          <w:p w14:paraId="71C1920D"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13</w:t>
            </w:r>
          </w:p>
        </w:tc>
        <w:tc>
          <w:tcPr>
            <w:tcW w:w="2206" w:type="dxa"/>
          </w:tcPr>
          <w:p w14:paraId="2A0CE1BA"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8.6</w:t>
            </w:r>
          </w:p>
        </w:tc>
      </w:tr>
      <w:tr w:rsidR="00FD06CA" w:rsidRPr="00FD06CA" w14:paraId="114CD353" w14:textId="77777777" w:rsidTr="00FD06CA">
        <w:tc>
          <w:tcPr>
            <w:tcW w:w="2205" w:type="dxa"/>
          </w:tcPr>
          <w:p w14:paraId="68BCF5A5"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Gender</w:t>
            </w:r>
          </w:p>
        </w:tc>
        <w:tc>
          <w:tcPr>
            <w:tcW w:w="2205" w:type="dxa"/>
          </w:tcPr>
          <w:p w14:paraId="34289AA0"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Male</w:t>
            </w:r>
          </w:p>
        </w:tc>
        <w:tc>
          <w:tcPr>
            <w:tcW w:w="2206" w:type="dxa"/>
          </w:tcPr>
          <w:p w14:paraId="14C0C43E"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58</w:t>
            </w:r>
          </w:p>
        </w:tc>
        <w:tc>
          <w:tcPr>
            <w:tcW w:w="2206" w:type="dxa"/>
          </w:tcPr>
          <w:p w14:paraId="42354961"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38.7</w:t>
            </w:r>
          </w:p>
        </w:tc>
      </w:tr>
      <w:tr w:rsidR="00FD06CA" w:rsidRPr="00FD06CA" w14:paraId="56F1FA4E" w14:textId="77777777" w:rsidTr="00FD06CA">
        <w:tc>
          <w:tcPr>
            <w:tcW w:w="2205" w:type="dxa"/>
          </w:tcPr>
          <w:p w14:paraId="4B53DCC3"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6B48F4DC"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Female</w:t>
            </w:r>
          </w:p>
        </w:tc>
        <w:tc>
          <w:tcPr>
            <w:tcW w:w="2206" w:type="dxa"/>
          </w:tcPr>
          <w:p w14:paraId="68E69BD3"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92</w:t>
            </w:r>
          </w:p>
        </w:tc>
        <w:tc>
          <w:tcPr>
            <w:tcW w:w="2206" w:type="dxa"/>
          </w:tcPr>
          <w:p w14:paraId="71F4C9E3"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61.3</w:t>
            </w:r>
          </w:p>
        </w:tc>
      </w:tr>
      <w:tr w:rsidR="00FD06CA" w:rsidRPr="00FD06CA" w14:paraId="1DDEE87F" w14:textId="77777777" w:rsidTr="00FD06CA">
        <w:tc>
          <w:tcPr>
            <w:tcW w:w="2205" w:type="dxa"/>
          </w:tcPr>
          <w:p w14:paraId="1C1C714F"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Profession / Job Title</w:t>
            </w:r>
          </w:p>
        </w:tc>
        <w:tc>
          <w:tcPr>
            <w:tcW w:w="2205" w:type="dxa"/>
          </w:tcPr>
          <w:p w14:paraId="0A33978E"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Physician</w:t>
            </w:r>
          </w:p>
        </w:tc>
        <w:tc>
          <w:tcPr>
            <w:tcW w:w="2206" w:type="dxa"/>
          </w:tcPr>
          <w:p w14:paraId="7849CA5F"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28</w:t>
            </w:r>
          </w:p>
        </w:tc>
        <w:tc>
          <w:tcPr>
            <w:tcW w:w="2206" w:type="dxa"/>
          </w:tcPr>
          <w:p w14:paraId="41E589A9"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18.7</w:t>
            </w:r>
          </w:p>
        </w:tc>
      </w:tr>
      <w:tr w:rsidR="00FD06CA" w:rsidRPr="00FD06CA" w14:paraId="5B804CB6" w14:textId="77777777" w:rsidTr="00FD06CA">
        <w:tc>
          <w:tcPr>
            <w:tcW w:w="2205" w:type="dxa"/>
          </w:tcPr>
          <w:p w14:paraId="0B8A0A49"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49B94432"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Nurse</w:t>
            </w:r>
          </w:p>
        </w:tc>
        <w:tc>
          <w:tcPr>
            <w:tcW w:w="2206" w:type="dxa"/>
          </w:tcPr>
          <w:p w14:paraId="637A1C69"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75</w:t>
            </w:r>
          </w:p>
        </w:tc>
        <w:tc>
          <w:tcPr>
            <w:tcW w:w="2206" w:type="dxa"/>
          </w:tcPr>
          <w:p w14:paraId="5EA0D7B6"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50.0</w:t>
            </w:r>
          </w:p>
        </w:tc>
      </w:tr>
      <w:tr w:rsidR="00FD06CA" w:rsidRPr="00FD06CA" w14:paraId="0C9066A7" w14:textId="77777777" w:rsidTr="00FD06CA">
        <w:tc>
          <w:tcPr>
            <w:tcW w:w="2205" w:type="dxa"/>
          </w:tcPr>
          <w:p w14:paraId="640BDC06"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3604C053"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Infection Control Officer</w:t>
            </w:r>
          </w:p>
        </w:tc>
        <w:tc>
          <w:tcPr>
            <w:tcW w:w="2206" w:type="dxa"/>
          </w:tcPr>
          <w:p w14:paraId="6F530A70"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15</w:t>
            </w:r>
          </w:p>
        </w:tc>
        <w:tc>
          <w:tcPr>
            <w:tcW w:w="2206" w:type="dxa"/>
          </w:tcPr>
          <w:p w14:paraId="5FC4662B"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10.0</w:t>
            </w:r>
          </w:p>
        </w:tc>
      </w:tr>
      <w:tr w:rsidR="00FD06CA" w:rsidRPr="00FD06CA" w14:paraId="0B336EC9" w14:textId="77777777" w:rsidTr="00FD06CA">
        <w:tc>
          <w:tcPr>
            <w:tcW w:w="2205" w:type="dxa"/>
          </w:tcPr>
          <w:p w14:paraId="1ABEBEC8"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22A9B548"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Risk Management Personnel</w:t>
            </w:r>
          </w:p>
        </w:tc>
        <w:tc>
          <w:tcPr>
            <w:tcW w:w="2206" w:type="dxa"/>
          </w:tcPr>
          <w:p w14:paraId="639C4E97"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17</w:t>
            </w:r>
          </w:p>
        </w:tc>
        <w:tc>
          <w:tcPr>
            <w:tcW w:w="2206" w:type="dxa"/>
          </w:tcPr>
          <w:p w14:paraId="7E7FE2F9"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11.3</w:t>
            </w:r>
          </w:p>
        </w:tc>
      </w:tr>
      <w:tr w:rsidR="00FD06CA" w:rsidRPr="00FD06CA" w14:paraId="74202F50" w14:textId="77777777" w:rsidTr="00FD06CA">
        <w:tc>
          <w:tcPr>
            <w:tcW w:w="2205" w:type="dxa"/>
          </w:tcPr>
          <w:p w14:paraId="4F2DBFF4"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2929D08E"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Other (Technician / Admin)</w:t>
            </w:r>
          </w:p>
        </w:tc>
        <w:tc>
          <w:tcPr>
            <w:tcW w:w="2206" w:type="dxa"/>
          </w:tcPr>
          <w:p w14:paraId="4432940E"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15</w:t>
            </w:r>
          </w:p>
        </w:tc>
        <w:tc>
          <w:tcPr>
            <w:tcW w:w="2206" w:type="dxa"/>
          </w:tcPr>
          <w:p w14:paraId="6366A6F7"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10.0</w:t>
            </w:r>
          </w:p>
        </w:tc>
      </w:tr>
      <w:tr w:rsidR="00FD06CA" w:rsidRPr="00FD06CA" w14:paraId="5258947D" w14:textId="77777777" w:rsidTr="00FD06CA">
        <w:tc>
          <w:tcPr>
            <w:tcW w:w="2205" w:type="dxa"/>
          </w:tcPr>
          <w:p w14:paraId="11C40B3F"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lastRenderedPageBreak/>
              <w:t>Years of Experience</w:t>
            </w:r>
          </w:p>
        </w:tc>
        <w:tc>
          <w:tcPr>
            <w:tcW w:w="2205" w:type="dxa"/>
          </w:tcPr>
          <w:p w14:paraId="28F03B0B"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Less than 5 years</w:t>
            </w:r>
          </w:p>
        </w:tc>
        <w:tc>
          <w:tcPr>
            <w:tcW w:w="2206" w:type="dxa"/>
          </w:tcPr>
          <w:p w14:paraId="2315CF98"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16</w:t>
            </w:r>
          </w:p>
        </w:tc>
        <w:tc>
          <w:tcPr>
            <w:tcW w:w="2206" w:type="dxa"/>
          </w:tcPr>
          <w:p w14:paraId="16C9AF59"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10.7</w:t>
            </w:r>
          </w:p>
        </w:tc>
      </w:tr>
      <w:tr w:rsidR="00FD06CA" w:rsidRPr="00FD06CA" w14:paraId="6BE82206" w14:textId="77777777" w:rsidTr="00FD06CA">
        <w:tc>
          <w:tcPr>
            <w:tcW w:w="2205" w:type="dxa"/>
          </w:tcPr>
          <w:p w14:paraId="2B45713A"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2215948A"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5–10 years</w:t>
            </w:r>
          </w:p>
        </w:tc>
        <w:tc>
          <w:tcPr>
            <w:tcW w:w="2206" w:type="dxa"/>
          </w:tcPr>
          <w:p w14:paraId="30F03D23"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39</w:t>
            </w:r>
          </w:p>
        </w:tc>
        <w:tc>
          <w:tcPr>
            <w:tcW w:w="2206" w:type="dxa"/>
          </w:tcPr>
          <w:p w14:paraId="0B663ABD"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26.0</w:t>
            </w:r>
          </w:p>
        </w:tc>
      </w:tr>
      <w:tr w:rsidR="00FD06CA" w:rsidRPr="00FD06CA" w14:paraId="5478810F" w14:textId="77777777" w:rsidTr="00FD06CA">
        <w:tc>
          <w:tcPr>
            <w:tcW w:w="2205" w:type="dxa"/>
          </w:tcPr>
          <w:p w14:paraId="436E3751"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764CF0EB"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11–15 years</w:t>
            </w:r>
          </w:p>
        </w:tc>
        <w:tc>
          <w:tcPr>
            <w:tcW w:w="2206" w:type="dxa"/>
          </w:tcPr>
          <w:p w14:paraId="00C3670E"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52</w:t>
            </w:r>
          </w:p>
        </w:tc>
        <w:tc>
          <w:tcPr>
            <w:tcW w:w="2206" w:type="dxa"/>
          </w:tcPr>
          <w:p w14:paraId="635524FA"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34.7</w:t>
            </w:r>
          </w:p>
        </w:tc>
      </w:tr>
      <w:tr w:rsidR="00FD06CA" w:rsidRPr="00FD06CA" w14:paraId="74210675" w14:textId="77777777" w:rsidTr="00FD06CA">
        <w:tc>
          <w:tcPr>
            <w:tcW w:w="2205" w:type="dxa"/>
          </w:tcPr>
          <w:p w14:paraId="2DFBF384"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35B9EB57"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More than 15 years</w:t>
            </w:r>
          </w:p>
        </w:tc>
        <w:tc>
          <w:tcPr>
            <w:tcW w:w="2206" w:type="dxa"/>
          </w:tcPr>
          <w:p w14:paraId="38864106"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43</w:t>
            </w:r>
          </w:p>
        </w:tc>
        <w:tc>
          <w:tcPr>
            <w:tcW w:w="2206" w:type="dxa"/>
          </w:tcPr>
          <w:p w14:paraId="1179438C"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28.6</w:t>
            </w:r>
          </w:p>
        </w:tc>
      </w:tr>
      <w:tr w:rsidR="00FD06CA" w:rsidRPr="00FD06CA" w14:paraId="5797496C" w14:textId="77777777" w:rsidTr="00FD06CA">
        <w:tc>
          <w:tcPr>
            <w:tcW w:w="2205" w:type="dxa"/>
          </w:tcPr>
          <w:p w14:paraId="3201A3FA"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Department / Unit</w:t>
            </w:r>
          </w:p>
        </w:tc>
        <w:tc>
          <w:tcPr>
            <w:tcW w:w="2205" w:type="dxa"/>
          </w:tcPr>
          <w:p w14:paraId="03FC6FD6"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ICU</w:t>
            </w:r>
          </w:p>
        </w:tc>
        <w:tc>
          <w:tcPr>
            <w:tcW w:w="2206" w:type="dxa"/>
          </w:tcPr>
          <w:p w14:paraId="065B1932"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32</w:t>
            </w:r>
          </w:p>
        </w:tc>
        <w:tc>
          <w:tcPr>
            <w:tcW w:w="2206" w:type="dxa"/>
          </w:tcPr>
          <w:p w14:paraId="6FE24C55"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21.3</w:t>
            </w:r>
          </w:p>
        </w:tc>
      </w:tr>
      <w:tr w:rsidR="00FD06CA" w:rsidRPr="00FD06CA" w14:paraId="5FAE3A00" w14:textId="77777777" w:rsidTr="00FD06CA">
        <w:tc>
          <w:tcPr>
            <w:tcW w:w="2205" w:type="dxa"/>
          </w:tcPr>
          <w:p w14:paraId="61E88754"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309C8C37"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Emergency Room</w:t>
            </w:r>
          </w:p>
        </w:tc>
        <w:tc>
          <w:tcPr>
            <w:tcW w:w="2206" w:type="dxa"/>
          </w:tcPr>
          <w:p w14:paraId="00BBE6A3"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24</w:t>
            </w:r>
          </w:p>
        </w:tc>
        <w:tc>
          <w:tcPr>
            <w:tcW w:w="2206" w:type="dxa"/>
          </w:tcPr>
          <w:p w14:paraId="438BA7B9"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16.0</w:t>
            </w:r>
          </w:p>
        </w:tc>
      </w:tr>
      <w:tr w:rsidR="00FD06CA" w:rsidRPr="00FD06CA" w14:paraId="4FF2D09F" w14:textId="77777777" w:rsidTr="00FD06CA">
        <w:tc>
          <w:tcPr>
            <w:tcW w:w="2205" w:type="dxa"/>
          </w:tcPr>
          <w:p w14:paraId="39F3F67B"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5F439669"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Surgical Ward</w:t>
            </w:r>
          </w:p>
        </w:tc>
        <w:tc>
          <w:tcPr>
            <w:tcW w:w="2206" w:type="dxa"/>
          </w:tcPr>
          <w:p w14:paraId="3EEE3028"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38</w:t>
            </w:r>
          </w:p>
        </w:tc>
        <w:tc>
          <w:tcPr>
            <w:tcW w:w="2206" w:type="dxa"/>
          </w:tcPr>
          <w:p w14:paraId="52BA4B97"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25.3</w:t>
            </w:r>
          </w:p>
        </w:tc>
      </w:tr>
      <w:tr w:rsidR="00FD06CA" w:rsidRPr="00FD06CA" w14:paraId="14A8902B" w14:textId="77777777" w:rsidTr="00FD06CA">
        <w:tc>
          <w:tcPr>
            <w:tcW w:w="2205" w:type="dxa"/>
          </w:tcPr>
          <w:p w14:paraId="313A4BC3"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2479562D"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Outpatient Clinic</w:t>
            </w:r>
          </w:p>
        </w:tc>
        <w:tc>
          <w:tcPr>
            <w:tcW w:w="2206" w:type="dxa"/>
          </w:tcPr>
          <w:p w14:paraId="5DEBCA1F"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21</w:t>
            </w:r>
          </w:p>
        </w:tc>
        <w:tc>
          <w:tcPr>
            <w:tcW w:w="2206" w:type="dxa"/>
          </w:tcPr>
          <w:p w14:paraId="39B5F5EE"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14.0</w:t>
            </w:r>
          </w:p>
        </w:tc>
      </w:tr>
      <w:tr w:rsidR="00FD06CA" w:rsidRPr="00FD06CA" w14:paraId="6885CEB9" w14:textId="77777777" w:rsidTr="00FD06CA">
        <w:tc>
          <w:tcPr>
            <w:tcW w:w="2205" w:type="dxa"/>
          </w:tcPr>
          <w:p w14:paraId="21AF79E5"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2205" w:type="dxa"/>
          </w:tcPr>
          <w:p w14:paraId="63E4097A"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Other (Laboratory / Support Units)</w:t>
            </w:r>
          </w:p>
        </w:tc>
        <w:tc>
          <w:tcPr>
            <w:tcW w:w="2206" w:type="dxa"/>
          </w:tcPr>
          <w:p w14:paraId="3E4C6B81"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35</w:t>
            </w:r>
          </w:p>
        </w:tc>
        <w:tc>
          <w:tcPr>
            <w:tcW w:w="2206" w:type="dxa"/>
          </w:tcPr>
          <w:p w14:paraId="14C51A12" w14:textId="77777777" w:rsidR="00FD06CA" w:rsidRPr="00FD06CA" w:rsidRDefault="00FD06CA" w:rsidP="009074B2">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23.4</w:t>
            </w:r>
          </w:p>
        </w:tc>
      </w:tr>
    </w:tbl>
    <w:p w14:paraId="084CB952"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26E459A"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Demographic Characteristics of Respondents Participating in the Study (n = 150)</w:t>
      </w:r>
    </w:p>
    <w:p w14:paraId="5B70CB02"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A8E423E" w14:textId="70587329" w:rsidR="00CD1685" w:rsidRPr="00A43700" w:rsidRDefault="00CD1685" w:rsidP="00FD06C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demographic analysis reveals that the largest group of respondents were nurses (50%), followed by physicians (18.7%). This distribution aligns with the staffing structure of KFSHRC, where nurses form the backbone of patient-centered care. The dominance of experienced staff (63.3% having more than 10 years of professional experience) indicates a mature and knowledgeable workforce capable of providing reliable insights into infection prevention and risk management processes.</w:t>
      </w:r>
    </w:p>
    <w:p w14:paraId="6E9039B5"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The female-to-male ratio (61.3% to 38.7%) is consistent with gender trends in clinical professions in Saudi Arabia. Furthermore, the wide representation of departments—including critical care units (21.3%) and surgical wards </w:t>
      </w:r>
      <w:r w:rsidRPr="00A43700">
        <w:rPr>
          <w:rFonts w:asciiTheme="majorBidi" w:eastAsiaTheme="minorEastAsia" w:hAnsiTheme="majorBidi" w:cstheme="majorBidi"/>
          <w:color w:val="000000" w:themeColor="text1"/>
          <w:kern w:val="0"/>
          <w:sz w:val="28"/>
          <w:szCs w:val="28"/>
          <w14:ligatures w14:val="none"/>
        </w:rPr>
        <w:lastRenderedPageBreak/>
        <w:t>(25.3%)—enhances the validity of findings by incorporating perspectives from areas with the highest risk of HAIs.</w:t>
      </w:r>
    </w:p>
    <w:p w14:paraId="2E02D841"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E2F0710" w14:textId="77777777" w:rsidR="00CD1685" w:rsidRPr="00A43700" w:rsidRDefault="00CD1685" w:rsidP="00203B7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56" w:name="_Toc212139877"/>
      <w:r w:rsidRPr="00A43700">
        <w:rPr>
          <w:rFonts w:asciiTheme="majorBidi" w:eastAsiaTheme="minorEastAsia" w:hAnsiTheme="majorBidi" w:cstheme="majorBidi"/>
          <w:color w:val="000000" w:themeColor="text1"/>
          <w:kern w:val="0"/>
          <w:sz w:val="28"/>
          <w:szCs w:val="28"/>
          <w14:ligatures w14:val="none"/>
        </w:rPr>
        <w:t>4.3 Knowledge on Infection Control</w:t>
      </w:r>
      <w:bookmarkEnd w:id="56"/>
    </w:p>
    <w:p w14:paraId="2D2EB54C"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3EDFF32"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Understanding the knowledge level of healthcare professionals regarding infection control is critical to evaluating the hospital’s capacity to prevent HAIs. The knowledge section of the survey included four binary questions addressing awareness of institutional infection prevention and control (IPC) policies, training participation, the WHO’s “5 Moments for Hand Hygiene,” and awareness of the hospital’s risk management reporting system.</w:t>
      </w:r>
    </w:p>
    <w:p w14:paraId="0C641229"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6195F12"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4.2: Respondents’ Knowledge of Infection Control and Risk Reporting Systems</w:t>
      </w:r>
    </w:p>
    <w:p w14:paraId="46612DE0"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5980"/>
        <w:gridCol w:w="1470"/>
        <w:gridCol w:w="1372"/>
      </w:tblGrid>
      <w:tr w:rsidR="00FD06CA" w:rsidRPr="00FD06CA" w14:paraId="4C17AEF0" w14:textId="77777777" w:rsidTr="00FD06CA">
        <w:tc>
          <w:tcPr>
            <w:tcW w:w="0" w:type="auto"/>
          </w:tcPr>
          <w:p w14:paraId="5C140170"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Knowledge Statement</w:t>
            </w:r>
          </w:p>
        </w:tc>
        <w:tc>
          <w:tcPr>
            <w:tcW w:w="0" w:type="auto"/>
          </w:tcPr>
          <w:p w14:paraId="06880BD2"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Yes (n / %)</w:t>
            </w:r>
          </w:p>
        </w:tc>
        <w:tc>
          <w:tcPr>
            <w:tcW w:w="0" w:type="auto"/>
          </w:tcPr>
          <w:p w14:paraId="2C3A1A82"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No (n / %)</w:t>
            </w:r>
          </w:p>
        </w:tc>
      </w:tr>
      <w:tr w:rsidR="00FD06CA" w:rsidRPr="00FD06CA" w14:paraId="7D26C5C2" w14:textId="77777777" w:rsidTr="00FD06CA">
        <w:tc>
          <w:tcPr>
            <w:tcW w:w="0" w:type="auto"/>
          </w:tcPr>
          <w:p w14:paraId="439F127E"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Familiar with the hospital’s IPC policies</w:t>
            </w:r>
          </w:p>
        </w:tc>
        <w:tc>
          <w:tcPr>
            <w:tcW w:w="0" w:type="auto"/>
          </w:tcPr>
          <w:p w14:paraId="4895356E"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139 (92.7%)</w:t>
            </w:r>
          </w:p>
        </w:tc>
        <w:tc>
          <w:tcPr>
            <w:tcW w:w="0" w:type="auto"/>
          </w:tcPr>
          <w:p w14:paraId="1F2F85A5"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11 (7.3%)</w:t>
            </w:r>
          </w:p>
        </w:tc>
      </w:tr>
      <w:tr w:rsidR="00FD06CA" w:rsidRPr="00FD06CA" w14:paraId="78054336" w14:textId="77777777" w:rsidTr="00FD06CA">
        <w:tc>
          <w:tcPr>
            <w:tcW w:w="0" w:type="auto"/>
          </w:tcPr>
          <w:p w14:paraId="537D93DE"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Received formal HAI prevention training within the past 12 months</w:t>
            </w:r>
          </w:p>
        </w:tc>
        <w:tc>
          <w:tcPr>
            <w:tcW w:w="0" w:type="auto"/>
          </w:tcPr>
          <w:p w14:paraId="139E972C"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116 (77.3%)</w:t>
            </w:r>
          </w:p>
        </w:tc>
        <w:tc>
          <w:tcPr>
            <w:tcW w:w="0" w:type="auto"/>
          </w:tcPr>
          <w:p w14:paraId="461A3F90"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34 (22.7%)</w:t>
            </w:r>
          </w:p>
        </w:tc>
      </w:tr>
      <w:tr w:rsidR="00FD06CA" w:rsidRPr="00FD06CA" w14:paraId="4FD8A5C6" w14:textId="77777777" w:rsidTr="00FD06CA">
        <w:tc>
          <w:tcPr>
            <w:tcW w:w="0" w:type="auto"/>
          </w:tcPr>
          <w:p w14:paraId="7CF06EE4"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Aware of WHO’s “5 Moments for Hand Hygiene”</w:t>
            </w:r>
          </w:p>
        </w:tc>
        <w:tc>
          <w:tcPr>
            <w:tcW w:w="0" w:type="auto"/>
          </w:tcPr>
          <w:p w14:paraId="2EDB1FD5"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126 (84.0%)</w:t>
            </w:r>
          </w:p>
        </w:tc>
        <w:tc>
          <w:tcPr>
            <w:tcW w:w="0" w:type="auto"/>
          </w:tcPr>
          <w:p w14:paraId="276103B9"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24 (16.0%)</w:t>
            </w:r>
          </w:p>
        </w:tc>
      </w:tr>
      <w:tr w:rsidR="00FD06CA" w:rsidRPr="00FD06CA" w14:paraId="6A520276" w14:textId="77777777" w:rsidTr="00FD06CA">
        <w:tc>
          <w:tcPr>
            <w:tcW w:w="0" w:type="auto"/>
          </w:tcPr>
          <w:p w14:paraId="455C8767"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Aware of the hospital’s risk management reporting system</w:t>
            </w:r>
          </w:p>
        </w:tc>
        <w:tc>
          <w:tcPr>
            <w:tcW w:w="0" w:type="auto"/>
          </w:tcPr>
          <w:p w14:paraId="09C35888"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110 (73.3%)</w:t>
            </w:r>
          </w:p>
        </w:tc>
        <w:tc>
          <w:tcPr>
            <w:tcW w:w="0" w:type="auto"/>
          </w:tcPr>
          <w:p w14:paraId="26281247" w14:textId="77777777" w:rsidR="00FD06CA" w:rsidRPr="00FD06CA" w:rsidRDefault="00FD06CA" w:rsidP="001F513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40 (26.7%)</w:t>
            </w:r>
          </w:p>
        </w:tc>
      </w:tr>
    </w:tbl>
    <w:p w14:paraId="4D754CF0"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815677C"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Respondents’ Knowledge Levels Regarding Infection Control Policies and Reporting Mechanisms (n = 150)</w:t>
      </w:r>
    </w:p>
    <w:p w14:paraId="582FC0C9"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87BA5BC" w14:textId="57740C5D" w:rsidR="00CD1685" w:rsidRPr="00A43700" w:rsidRDefault="00CD1685" w:rsidP="00FD06C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The results show that the majority of respondents possess high awareness of infection prevention policies (92.7%), indicating strong institutional emphasis on policy dissemination and communication. However, only 77.3% had received formal training on HAI prevention within the last year, which suggests a need for more regular and comprehensive capacity-building programs.</w:t>
      </w:r>
    </w:p>
    <w:p w14:paraId="2975B169" w14:textId="1A0B34D6" w:rsidR="00CD1685" w:rsidRPr="00A43700" w:rsidRDefault="00CD1685" w:rsidP="00FD06C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Awareness of the WHO’s “5 Moments for Hand Hygiene” remains substantial (84%), but a non-negligible minority (16%) still lack full understanding of this fundamental principle. The lowest knowledge indicator pertains to familiarity with the hospital’s risk reporting system (73.3%). Interviews with infection control officers revealed that, although the reporting infrastructure exists, its utilization is inconsistent across departments. One officer noted:</w:t>
      </w:r>
    </w:p>
    <w:p w14:paraId="304F4BAC" w14:textId="3AF6C28B" w:rsidR="00CD1685" w:rsidRPr="00A43700" w:rsidRDefault="00CD1685" w:rsidP="00FD06CA">
      <w:pPr>
        <w:bidi w:val="0"/>
        <w:spacing w:after="0" w:line="360" w:lineRule="auto"/>
        <w:ind w:left="225" w:hanging="22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“Some clinical units are highly compliant with the electronic reporting system, while others still rely on verbal communication, which leads to underreporting of infection-related incidents.”</w:t>
      </w:r>
    </w:p>
    <w:p w14:paraId="6D16D0C9"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indicates a disconnection between policy-level design and operational-level execution — a gap that risk management must address through stronger integration and accountability frameworks.</w:t>
      </w:r>
    </w:p>
    <w:p w14:paraId="1F549DEA"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C3AED42" w14:textId="77777777" w:rsidR="00CD1685" w:rsidRPr="00A43700" w:rsidRDefault="00CD1685" w:rsidP="00203B7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57" w:name="_Toc212139878"/>
      <w:r w:rsidRPr="00A43700">
        <w:rPr>
          <w:rFonts w:asciiTheme="majorBidi" w:eastAsiaTheme="minorEastAsia" w:hAnsiTheme="majorBidi" w:cstheme="majorBidi"/>
          <w:color w:val="000000" w:themeColor="text1"/>
          <w:kern w:val="0"/>
          <w:sz w:val="28"/>
          <w:szCs w:val="28"/>
          <w14:ligatures w14:val="none"/>
        </w:rPr>
        <w:t>4.4 Attitudes towards Risk Management and Infection Control</w:t>
      </w:r>
      <w:bookmarkEnd w:id="57"/>
    </w:p>
    <w:p w14:paraId="4BACA8E2"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9D7D0E0"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Attitudes play a crucial role in determining whether knowledge translates into effective practice. A positive perception of management support, openness in reporting, and commitment to continuous learning are all essential for sustaining infection prevention culture. Participants were asked to rate five attitudinal statements using a five-point Likert scale (1 = Strongly Disagree to 5 = Strongly Agree).</w:t>
      </w:r>
    </w:p>
    <w:p w14:paraId="2774F4FF" w14:textId="77777777" w:rsidR="00CD1685"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E2D90E3" w14:textId="77777777" w:rsidR="00FD06CA" w:rsidRPr="00A43700" w:rsidRDefault="00FD06CA" w:rsidP="00FD06CA">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CE7A963"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Table 4.3: Mean and Standard Deviation of Attitudes toward Risk Management and Infection Control</w:t>
      </w:r>
    </w:p>
    <w:p w14:paraId="6E5A1121"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5424"/>
        <w:gridCol w:w="854"/>
        <w:gridCol w:w="706"/>
        <w:gridCol w:w="1838"/>
      </w:tblGrid>
      <w:tr w:rsidR="00FD06CA" w:rsidRPr="00FD06CA" w14:paraId="42C3B745" w14:textId="77777777" w:rsidTr="00FD06CA">
        <w:tc>
          <w:tcPr>
            <w:tcW w:w="0" w:type="auto"/>
          </w:tcPr>
          <w:p w14:paraId="6914B82D"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Attitudinal Statement</w:t>
            </w:r>
          </w:p>
        </w:tc>
        <w:tc>
          <w:tcPr>
            <w:tcW w:w="0" w:type="auto"/>
          </w:tcPr>
          <w:p w14:paraId="5AEA9799"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Mean</w:t>
            </w:r>
          </w:p>
        </w:tc>
        <w:tc>
          <w:tcPr>
            <w:tcW w:w="0" w:type="auto"/>
          </w:tcPr>
          <w:p w14:paraId="74C6AF15"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SD</w:t>
            </w:r>
          </w:p>
        </w:tc>
        <w:tc>
          <w:tcPr>
            <w:tcW w:w="0" w:type="auto"/>
          </w:tcPr>
          <w:p w14:paraId="0537A50E"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Interpretation</w:t>
            </w:r>
          </w:p>
        </w:tc>
      </w:tr>
      <w:tr w:rsidR="00FD06CA" w:rsidRPr="00FD06CA" w14:paraId="121A3F41" w14:textId="77777777" w:rsidTr="00FD06CA">
        <w:tc>
          <w:tcPr>
            <w:tcW w:w="0" w:type="auto"/>
          </w:tcPr>
          <w:p w14:paraId="695A99D8"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Risk management significantly contributes to reducing HAIs.</w:t>
            </w:r>
          </w:p>
        </w:tc>
        <w:tc>
          <w:tcPr>
            <w:tcW w:w="0" w:type="auto"/>
          </w:tcPr>
          <w:p w14:paraId="53CCF41F"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4.58</w:t>
            </w:r>
          </w:p>
        </w:tc>
        <w:tc>
          <w:tcPr>
            <w:tcW w:w="0" w:type="auto"/>
          </w:tcPr>
          <w:p w14:paraId="78BE1E61"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0.55</w:t>
            </w:r>
          </w:p>
        </w:tc>
        <w:tc>
          <w:tcPr>
            <w:tcW w:w="0" w:type="auto"/>
          </w:tcPr>
          <w:p w14:paraId="30A05644"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Strongly Agree</w:t>
            </w:r>
          </w:p>
        </w:tc>
      </w:tr>
      <w:tr w:rsidR="00FD06CA" w:rsidRPr="00FD06CA" w14:paraId="74E8C95D" w14:textId="77777777" w:rsidTr="00FD06CA">
        <w:tc>
          <w:tcPr>
            <w:tcW w:w="0" w:type="auto"/>
          </w:tcPr>
          <w:p w14:paraId="13F95E35"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Management provides sufficient support for infection prevention initiatives.</w:t>
            </w:r>
          </w:p>
        </w:tc>
        <w:tc>
          <w:tcPr>
            <w:tcW w:w="0" w:type="auto"/>
          </w:tcPr>
          <w:p w14:paraId="609FD691"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4.23</w:t>
            </w:r>
          </w:p>
        </w:tc>
        <w:tc>
          <w:tcPr>
            <w:tcW w:w="0" w:type="auto"/>
          </w:tcPr>
          <w:p w14:paraId="6EF7652B"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0.68</w:t>
            </w:r>
          </w:p>
        </w:tc>
        <w:tc>
          <w:tcPr>
            <w:tcW w:w="0" w:type="auto"/>
          </w:tcPr>
          <w:p w14:paraId="23F1236D"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Agree</w:t>
            </w:r>
          </w:p>
        </w:tc>
      </w:tr>
      <w:tr w:rsidR="00FD06CA" w:rsidRPr="00FD06CA" w14:paraId="775622FD" w14:textId="77777777" w:rsidTr="00FD06CA">
        <w:tc>
          <w:tcPr>
            <w:tcW w:w="0" w:type="auto"/>
          </w:tcPr>
          <w:p w14:paraId="2181DA8A"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Staff are encouraged to report infection-related incidents without fear of blame.</w:t>
            </w:r>
          </w:p>
        </w:tc>
        <w:tc>
          <w:tcPr>
            <w:tcW w:w="0" w:type="auto"/>
          </w:tcPr>
          <w:p w14:paraId="0DA9AD3D"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3.91</w:t>
            </w:r>
          </w:p>
        </w:tc>
        <w:tc>
          <w:tcPr>
            <w:tcW w:w="0" w:type="auto"/>
          </w:tcPr>
          <w:p w14:paraId="4167AD1D"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0.87</w:t>
            </w:r>
          </w:p>
        </w:tc>
        <w:tc>
          <w:tcPr>
            <w:tcW w:w="0" w:type="auto"/>
          </w:tcPr>
          <w:p w14:paraId="416914F7"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Agree</w:t>
            </w:r>
          </w:p>
        </w:tc>
      </w:tr>
      <w:tr w:rsidR="00FD06CA" w:rsidRPr="00FD06CA" w14:paraId="5EDF8898" w14:textId="77777777" w:rsidTr="00FD06CA">
        <w:tc>
          <w:tcPr>
            <w:tcW w:w="0" w:type="auto"/>
          </w:tcPr>
          <w:p w14:paraId="3E894D41"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Infection prevention policies are realistic and feasible to implement.</w:t>
            </w:r>
          </w:p>
        </w:tc>
        <w:tc>
          <w:tcPr>
            <w:tcW w:w="0" w:type="auto"/>
          </w:tcPr>
          <w:p w14:paraId="34658E81"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4.08</w:t>
            </w:r>
          </w:p>
        </w:tc>
        <w:tc>
          <w:tcPr>
            <w:tcW w:w="0" w:type="auto"/>
          </w:tcPr>
          <w:p w14:paraId="3718C72D"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0.76</w:t>
            </w:r>
          </w:p>
        </w:tc>
        <w:tc>
          <w:tcPr>
            <w:tcW w:w="0" w:type="auto"/>
          </w:tcPr>
          <w:p w14:paraId="4C9DDACB"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Agree</w:t>
            </w:r>
          </w:p>
        </w:tc>
      </w:tr>
      <w:tr w:rsidR="00FD06CA" w:rsidRPr="00FD06CA" w14:paraId="5EB126A2" w14:textId="77777777" w:rsidTr="00FD06CA">
        <w:tc>
          <w:tcPr>
            <w:tcW w:w="0" w:type="auto"/>
          </w:tcPr>
          <w:p w14:paraId="408809CF"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Continuous infection control training should be mandatory for all staff.</w:t>
            </w:r>
          </w:p>
        </w:tc>
        <w:tc>
          <w:tcPr>
            <w:tcW w:w="0" w:type="auto"/>
          </w:tcPr>
          <w:p w14:paraId="3DED14D4"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4.81</w:t>
            </w:r>
          </w:p>
        </w:tc>
        <w:tc>
          <w:tcPr>
            <w:tcW w:w="0" w:type="auto"/>
          </w:tcPr>
          <w:p w14:paraId="4B44DF8F"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0.42</w:t>
            </w:r>
          </w:p>
        </w:tc>
        <w:tc>
          <w:tcPr>
            <w:tcW w:w="0" w:type="auto"/>
          </w:tcPr>
          <w:p w14:paraId="2C4142EC" w14:textId="77777777" w:rsidR="00FD06CA" w:rsidRPr="00FD06CA" w:rsidRDefault="00FD06CA" w:rsidP="00E37D1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Strongly Agree</w:t>
            </w:r>
          </w:p>
        </w:tc>
      </w:tr>
    </w:tbl>
    <w:p w14:paraId="03259DFC"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52A6E0A"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Descriptive Statistics of Respondents’ Attitudes toward Risk Management and Infection Control (n = 150)</w:t>
      </w:r>
    </w:p>
    <w:p w14:paraId="57CC56E4"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CDFB359" w14:textId="4D23F8F5" w:rsidR="00CD1685" w:rsidRPr="00A43700" w:rsidRDefault="00CD1685" w:rsidP="00FD06C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results demonstrate overwhelmingly positive attitudes toward the role of risk management in reducing infection rates, with a mean score of 4.58 indicating strong consensus on its importance. The highest agreement was recorded for the statement “Continuous infection control training should be mandatory,” with a mean of 4.81, suggesting that staff recognize training as a cornerstone for sustainable improvement.</w:t>
      </w:r>
    </w:p>
    <w:p w14:paraId="5CF05178"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Conversely, the lowest mean score (3.91) was linked to the statement regarding “freedom from blame culture.” This implies that despite high policy awareness, the organizational culture may still harbor elements of punitive accountability that discourage transparent reporting. Interview insights corroborated this finding, as one respondent noted:</w:t>
      </w:r>
    </w:p>
    <w:p w14:paraId="0A725744" w14:textId="77777777" w:rsidR="00CD1685" w:rsidRPr="00A43700" w:rsidRDefault="00CD168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F8A8A0B" w14:textId="77777777" w:rsidR="00CD1685" w:rsidRPr="00A43700" w:rsidRDefault="00CD1685" w:rsidP="00A43700">
      <w:pPr>
        <w:bidi w:val="0"/>
        <w:spacing w:after="0" w:line="360" w:lineRule="auto"/>
        <w:ind w:left="225" w:hanging="22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“Although management says that reporting is encouraged, some staff still fear administrative consequences if an incident is linked to their unit.”</w:t>
      </w:r>
    </w:p>
    <w:p w14:paraId="0AB09735"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3A58041" w14:textId="77777777" w:rsidR="009937A4" w:rsidRPr="00A43700" w:rsidRDefault="009937A4" w:rsidP="00203B7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58" w:name="_Toc212139879"/>
      <w:r w:rsidRPr="00A43700">
        <w:rPr>
          <w:rFonts w:asciiTheme="majorBidi" w:eastAsiaTheme="minorEastAsia" w:hAnsiTheme="majorBidi" w:cstheme="majorBidi"/>
          <w:color w:val="000000" w:themeColor="text1"/>
          <w:kern w:val="0"/>
          <w:sz w:val="28"/>
          <w:szCs w:val="28"/>
          <w14:ligatures w14:val="none"/>
        </w:rPr>
        <w:t>4.5 Practices in Infection Control</w:t>
      </w:r>
      <w:bookmarkEnd w:id="58"/>
    </w:p>
    <w:p w14:paraId="6F3619B3"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984CAF0"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While knowledge and attitude are critical precursors to effective infection prevention, actual practice determines the real impact of risk management interventions on hospital-acquired infections (HAIs). The practice component of the survey aimed to assess how consistently healthcare workers apply infection control standards in their daily routines. Respondents were asked to rate their adherence to five key behavioral statements using a five-point Likert scale (1 = Never, 5 = Always).</w:t>
      </w:r>
    </w:p>
    <w:p w14:paraId="466A03AC"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C1BB6F2"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4.4: Descriptive Statistics of Respondents’ Infection Control Practices</w:t>
      </w:r>
    </w:p>
    <w:p w14:paraId="7E465D78"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5522"/>
        <w:gridCol w:w="854"/>
        <w:gridCol w:w="706"/>
        <w:gridCol w:w="1740"/>
      </w:tblGrid>
      <w:tr w:rsidR="00FD06CA" w:rsidRPr="00FD06CA" w14:paraId="3BBF0A55" w14:textId="77777777" w:rsidTr="00FD06CA">
        <w:tc>
          <w:tcPr>
            <w:tcW w:w="0" w:type="auto"/>
          </w:tcPr>
          <w:p w14:paraId="29CFAFD3"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Practice Statement</w:t>
            </w:r>
          </w:p>
        </w:tc>
        <w:tc>
          <w:tcPr>
            <w:tcW w:w="0" w:type="auto"/>
          </w:tcPr>
          <w:p w14:paraId="1F990D71"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Mean</w:t>
            </w:r>
          </w:p>
        </w:tc>
        <w:tc>
          <w:tcPr>
            <w:tcW w:w="0" w:type="auto"/>
          </w:tcPr>
          <w:p w14:paraId="4DA56F15"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SD</w:t>
            </w:r>
          </w:p>
        </w:tc>
        <w:tc>
          <w:tcPr>
            <w:tcW w:w="0" w:type="auto"/>
          </w:tcPr>
          <w:p w14:paraId="5EA359F6"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Interpretation</w:t>
            </w:r>
          </w:p>
        </w:tc>
      </w:tr>
      <w:tr w:rsidR="00FD06CA" w:rsidRPr="00FD06CA" w14:paraId="293AA569" w14:textId="77777777" w:rsidTr="00FD06CA">
        <w:tc>
          <w:tcPr>
            <w:tcW w:w="0" w:type="auto"/>
          </w:tcPr>
          <w:p w14:paraId="2AFC4229"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 perform hand hygiene before and after patient contact.</w:t>
            </w:r>
          </w:p>
        </w:tc>
        <w:tc>
          <w:tcPr>
            <w:tcW w:w="0" w:type="auto"/>
          </w:tcPr>
          <w:p w14:paraId="2A82EC39"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4.63</w:t>
            </w:r>
          </w:p>
        </w:tc>
        <w:tc>
          <w:tcPr>
            <w:tcW w:w="0" w:type="auto"/>
          </w:tcPr>
          <w:p w14:paraId="7BAD0B90"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0.61</w:t>
            </w:r>
          </w:p>
        </w:tc>
        <w:tc>
          <w:tcPr>
            <w:tcW w:w="0" w:type="auto"/>
          </w:tcPr>
          <w:p w14:paraId="38A190BE"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Always</w:t>
            </w:r>
          </w:p>
        </w:tc>
      </w:tr>
      <w:tr w:rsidR="00FD06CA" w:rsidRPr="00FD06CA" w14:paraId="0509EA80" w14:textId="77777777" w:rsidTr="00FD06CA">
        <w:tc>
          <w:tcPr>
            <w:tcW w:w="0" w:type="auto"/>
          </w:tcPr>
          <w:p w14:paraId="49E8858F"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 use personal protective equipment (PPE) according to hospital policy.</w:t>
            </w:r>
          </w:p>
        </w:tc>
        <w:tc>
          <w:tcPr>
            <w:tcW w:w="0" w:type="auto"/>
          </w:tcPr>
          <w:p w14:paraId="7858A5AC"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4.42</w:t>
            </w:r>
          </w:p>
        </w:tc>
        <w:tc>
          <w:tcPr>
            <w:tcW w:w="0" w:type="auto"/>
          </w:tcPr>
          <w:p w14:paraId="7BD8B8CF"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0.72</w:t>
            </w:r>
          </w:p>
        </w:tc>
        <w:tc>
          <w:tcPr>
            <w:tcW w:w="0" w:type="auto"/>
          </w:tcPr>
          <w:p w14:paraId="4436CAAB"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Frequently</w:t>
            </w:r>
          </w:p>
        </w:tc>
      </w:tr>
      <w:tr w:rsidR="00FD06CA" w:rsidRPr="00FD06CA" w14:paraId="19B7F3AD" w14:textId="77777777" w:rsidTr="00FD06CA">
        <w:tc>
          <w:tcPr>
            <w:tcW w:w="0" w:type="auto"/>
          </w:tcPr>
          <w:p w14:paraId="6875E4F3"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 follow correct procedures for disposal of medical waste.</w:t>
            </w:r>
          </w:p>
        </w:tc>
        <w:tc>
          <w:tcPr>
            <w:tcW w:w="0" w:type="auto"/>
          </w:tcPr>
          <w:p w14:paraId="0DDD1DD0"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4.56</w:t>
            </w:r>
          </w:p>
        </w:tc>
        <w:tc>
          <w:tcPr>
            <w:tcW w:w="0" w:type="auto"/>
          </w:tcPr>
          <w:p w14:paraId="76CD7EBD"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0.67</w:t>
            </w:r>
          </w:p>
        </w:tc>
        <w:tc>
          <w:tcPr>
            <w:tcW w:w="0" w:type="auto"/>
          </w:tcPr>
          <w:p w14:paraId="4484121E"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Always</w:t>
            </w:r>
          </w:p>
        </w:tc>
      </w:tr>
      <w:tr w:rsidR="00FD06CA" w:rsidRPr="00FD06CA" w14:paraId="3AD8BAD5" w14:textId="77777777" w:rsidTr="00FD06CA">
        <w:tc>
          <w:tcPr>
            <w:tcW w:w="0" w:type="auto"/>
          </w:tcPr>
          <w:p w14:paraId="410BE11B"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 participate in infection surveillance and risk management reporting.</w:t>
            </w:r>
          </w:p>
        </w:tc>
        <w:tc>
          <w:tcPr>
            <w:tcW w:w="0" w:type="auto"/>
          </w:tcPr>
          <w:p w14:paraId="7FC7978E"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3.98</w:t>
            </w:r>
          </w:p>
        </w:tc>
        <w:tc>
          <w:tcPr>
            <w:tcW w:w="0" w:type="auto"/>
          </w:tcPr>
          <w:p w14:paraId="270E1F1E"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0.88</w:t>
            </w:r>
          </w:p>
        </w:tc>
        <w:tc>
          <w:tcPr>
            <w:tcW w:w="0" w:type="auto"/>
          </w:tcPr>
          <w:p w14:paraId="63CC9764"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Often</w:t>
            </w:r>
          </w:p>
        </w:tc>
      </w:tr>
      <w:tr w:rsidR="00FD06CA" w:rsidRPr="00FD06CA" w14:paraId="4BD544BE" w14:textId="77777777" w:rsidTr="00FD06CA">
        <w:tc>
          <w:tcPr>
            <w:tcW w:w="0" w:type="auto"/>
          </w:tcPr>
          <w:p w14:paraId="27845F9D"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I attend infection prevention and control training sessions when available.</w:t>
            </w:r>
          </w:p>
        </w:tc>
        <w:tc>
          <w:tcPr>
            <w:tcW w:w="0" w:type="auto"/>
          </w:tcPr>
          <w:p w14:paraId="1C54C289"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4.27</w:t>
            </w:r>
          </w:p>
        </w:tc>
        <w:tc>
          <w:tcPr>
            <w:tcW w:w="0" w:type="auto"/>
          </w:tcPr>
          <w:p w14:paraId="7AB7B398"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0.79</w:t>
            </w:r>
          </w:p>
        </w:tc>
        <w:tc>
          <w:tcPr>
            <w:tcW w:w="0" w:type="auto"/>
          </w:tcPr>
          <w:p w14:paraId="7471C667" w14:textId="77777777" w:rsidR="00FD06CA" w:rsidRPr="00FD06CA" w:rsidRDefault="00FD06CA" w:rsidP="00FB24CB">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Frequently</w:t>
            </w:r>
          </w:p>
        </w:tc>
      </w:tr>
    </w:tbl>
    <w:p w14:paraId="674D8C11"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5034A1C"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Table Title: Self-Reported Practices of Healthcare Workers Regarding Infection Control (n = 150)</w:t>
      </w:r>
    </w:p>
    <w:p w14:paraId="0A3ED729"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84E7B94" w14:textId="4FBB1972" w:rsidR="009937A4" w:rsidRPr="00A43700" w:rsidRDefault="009937A4" w:rsidP="00FD06C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data in Table 4.4 demonstrate generally high compliance levels among respondents, with mean scores ranging from 3.98 to 4.63, indicating that infection control practices are strongly embedded in the hospital’s operational routines. The highest compliance is observed in hand hygiene (mean = 4.63) and waste disposal (mean = 4.56), two critical components of infection control that form the basis of hospital safety culture.</w:t>
      </w:r>
    </w:p>
    <w:p w14:paraId="73B73C9A" w14:textId="57CBFDE2" w:rsidR="009937A4" w:rsidRPr="00A43700" w:rsidRDefault="009937A4" w:rsidP="00FD06C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However, slightly lower adherence was noted in participation in infection surveillance and reporting (mean = 3.98). Qualitative observations revealed that while reporting systems exist, staff in high-pressure environments—such as the ICU and Emergency Department—sometimes deprioritize documentation due to workload constraints. As one nurse commented during the interview:</w:t>
      </w:r>
    </w:p>
    <w:p w14:paraId="3530C781" w14:textId="47D7AE47" w:rsidR="009937A4" w:rsidRPr="00A43700" w:rsidRDefault="009937A4" w:rsidP="00FD06CA">
      <w:pPr>
        <w:bidi w:val="0"/>
        <w:spacing w:after="0" w:line="360" w:lineRule="auto"/>
        <w:ind w:left="225" w:hanging="22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“We all know the importance of documentation, but during peak hours, patient care comes first, and reporting sometimes gets delayed or forgotten.”</w:t>
      </w:r>
    </w:p>
    <w:p w14:paraId="7C149DDC" w14:textId="3845B834" w:rsidR="009937A4" w:rsidRPr="00A43700" w:rsidRDefault="009937A4" w:rsidP="00FD06CA">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practical insight highlights the operational tension between clinical priorities and administrative compliance, a common challenge in large healthcare institutions.</w:t>
      </w:r>
    </w:p>
    <w:p w14:paraId="3DF90758"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Further, participation in training programs (mean = 4.27) reflects a positive but not optimal trend. Interviews revealed that training attendance is often limited by shift schedules and staff availability. Infection control officers suggested the adoption of micro-learning modules and online refresher courses to enhance continuous engagement without disrupting clinical duties.</w:t>
      </w:r>
    </w:p>
    <w:p w14:paraId="159B8F91"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BDF63ED"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Figure 4.1: Comparative Mean Scores of Infection Control Practices</w:t>
      </w:r>
    </w:p>
    <w:p w14:paraId="1409420F"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4411"/>
        <w:gridCol w:w="4411"/>
      </w:tblGrid>
      <w:tr w:rsidR="00FD06CA" w:rsidRPr="00FD06CA" w14:paraId="07870659" w14:textId="77777777" w:rsidTr="00FD06CA">
        <w:tc>
          <w:tcPr>
            <w:tcW w:w="4411" w:type="dxa"/>
          </w:tcPr>
          <w:p w14:paraId="79F76660"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Practice Aspect</w:t>
            </w:r>
          </w:p>
        </w:tc>
        <w:tc>
          <w:tcPr>
            <w:tcW w:w="4411" w:type="dxa"/>
          </w:tcPr>
          <w:p w14:paraId="231F6C36"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Mean Score</w:t>
            </w:r>
          </w:p>
        </w:tc>
      </w:tr>
      <w:tr w:rsidR="00FD06CA" w:rsidRPr="00FD06CA" w14:paraId="5127FD0A" w14:textId="77777777" w:rsidTr="00FD06CA">
        <w:tc>
          <w:tcPr>
            <w:tcW w:w="4411" w:type="dxa"/>
          </w:tcPr>
          <w:p w14:paraId="620B36AF"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lastRenderedPageBreak/>
              <w:t>Hand Hygiene</w:t>
            </w:r>
          </w:p>
        </w:tc>
        <w:tc>
          <w:tcPr>
            <w:tcW w:w="4411" w:type="dxa"/>
          </w:tcPr>
          <w:p w14:paraId="633DB3CF"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4.63</w:t>
            </w:r>
          </w:p>
        </w:tc>
      </w:tr>
      <w:tr w:rsidR="00FD06CA" w:rsidRPr="00FD06CA" w14:paraId="1E6EB80C" w14:textId="77777777" w:rsidTr="00FD06CA">
        <w:tc>
          <w:tcPr>
            <w:tcW w:w="4411" w:type="dxa"/>
          </w:tcPr>
          <w:p w14:paraId="0623579B"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PPE Usage</w:t>
            </w:r>
          </w:p>
        </w:tc>
        <w:tc>
          <w:tcPr>
            <w:tcW w:w="4411" w:type="dxa"/>
          </w:tcPr>
          <w:p w14:paraId="14E48929"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4.42</w:t>
            </w:r>
          </w:p>
        </w:tc>
      </w:tr>
      <w:tr w:rsidR="00FD06CA" w:rsidRPr="00FD06CA" w14:paraId="18B50EA5" w14:textId="77777777" w:rsidTr="00FD06CA">
        <w:tc>
          <w:tcPr>
            <w:tcW w:w="4411" w:type="dxa"/>
          </w:tcPr>
          <w:p w14:paraId="18976925"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Waste Disposal</w:t>
            </w:r>
          </w:p>
        </w:tc>
        <w:tc>
          <w:tcPr>
            <w:tcW w:w="4411" w:type="dxa"/>
          </w:tcPr>
          <w:p w14:paraId="03A9808B"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4.56</w:t>
            </w:r>
          </w:p>
        </w:tc>
      </w:tr>
      <w:tr w:rsidR="00FD06CA" w:rsidRPr="00FD06CA" w14:paraId="23B3CD83" w14:textId="77777777" w:rsidTr="00FD06CA">
        <w:tc>
          <w:tcPr>
            <w:tcW w:w="4411" w:type="dxa"/>
          </w:tcPr>
          <w:p w14:paraId="74FF819E"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Reporting Participation</w:t>
            </w:r>
          </w:p>
        </w:tc>
        <w:tc>
          <w:tcPr>
            <w:tcW w:w="4411" w:type="dxa"/>
          </w:tcPr>
          <w:p w14:paraId="091C74A7"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3.98</w:t>
            </w:r>
          </w:p>
        </w:tc>
      </w:tr>
      <w:tr w:rsidR="00FD06CA" w:rsidRPr="00FD06CA" w14:paraId="068EED50" w14:textId="77777777" w:rsidTr="00FD06CA">
        <w:tc>
          <w:tcPr>
            <w:tcW w:w="4411" w:type="dxa"/>
          </w:tcPr>
          <w:p w14:paraId="43DFDFD3"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Training Attendance</w:t>
            </w:r>
          </w:p>
        </w:tc>
        <w:tc>
          <w:tcPr>
            <w:tcW w:w="4411" w:type="dxa"/>
          </w:tcPr>
          <w:p w14:paraId="7E9A7532" w14:textId="77777777" w:rsidR="00FD06CA" w:rsidRPr="00FD06CA" w:rsidRDefault="00FD06CA" w:rsidP="0015204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FD06CA">
              <w:rPr>
                <w:rFonts w:asciiTheme="majorBidi" w:eastAsiaTheme="minorEastAsia" w:hAnsiTheme="majorBidi" w:cstheme="majorBidi"/>
                <w:color w:val="000000" w:themeColor="text1"/>
                <w:kern w:val="0"/>
                <w:sz w:val="28"/>
                <w:szCs w:val="28"/>
                <w14:ligatures w14:val="none"/>
              </w:rPr>
              <w:t>4.27</w:t>
            </w:r>
          </w:p>
        </w:tc>
      </w:tr>
    </w:tbl>
    <w:p w14:paraId="647BFC78"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3917A50" w14:textId="77777777" w:rsidR="009937A4"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Figure Title: Comparison of Mean Scores Across Infection Control Practices (n = 150)</w:t>
      </w:r>
    </w:p>
    <w:p w14:paraId="4FC26F17" w14:textId="1CBB5F78" w:rsidR="00CF7972" w:rsidRPr="00A43700" w:rsidRDefault="00CF7972" w:rsidP="00CF797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noProof/>
        </w:rPr>
        <w:drawing>
          <wp:anchor distT="0" distB="0" distL="114300" distR="114300" simplePos="0" relativeHeight="251660288" behindDoc="0" locked="0" layoutInCell="1" allowOverlap="1" wp14:anchorId="5B4A4DDE" wp14:editId="0E764F88">
            <wp:simplePos x="0" y="0"/>
            <wp:positionH relativeFrom="column">
              <wp:posOffset>-5080</wp:posOffset>
            </wp:positionH>
            <wp:positionV relativeFrom="paragraph">
              <wp:posOffset>292100</wp:posOffset>
            </wp:positionV>
            <wp:extent cx="5506720" cy="2743200"/>
            <wp:effectExtent l="0" t="0" r="17780" b="12700"/>
            <wp:wrapTopAndBottom/>
            <wp:docPr id="1589406718" name="مخطط 1">
              <a:extLst xmlns:a="http://schemas.openxmlformats.org/drawingml/2006/main">
                <a:ext uri="{FF2B5EF4-FFF2-40B4-BE49-F238E27FC236}">
                  <a16:creationId xmlns:a16="http://schemas.microsoft.com/office/drawing/2014/main" id="{6A7A1834-8904-7ADD-D78B-D0E8597AF2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7F0E060E"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80B53BA"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From the comparative overview, the overall compliance average across all practice indicators is 4.37, denoting a high degree of adherence with room for further standardization. This finding reinforces the conclusion that KFSHRC maintains a mature infection control environment, albeit with minor gaps in systematic reporting and cross-departmental coordination.</w:t>
      </w:r>
    </w:p>
    <w:p w14:paraId="4597DE29"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E32B1B2" w14:textId="77777777" w:rsidR="009937A4" w:rsidRPr="00A43700" w:rsidRDefault="009937A4" w:rsidP="00203B7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59" w:name="_Toc212139880"/>
      <w:r w:rsidRPr="00A43700">
        <w:rPr>
          <w:rFonts w:asciiTheme="majorBidi" w:eastAsiaTheme="minorEastAsia" w:hAnsiTheme="majorBidi" w:cstheme="majorBidi"/>
          <w:color w:val="000000" w:themeColor="text1"/>
          <w:kern w:val="0"/>
          <w:sz w:val="28"/>
          <w:szCs w:val="28"/>
          <w14:ligatures w14:val="none"/>
        </w:rPr>
        <w:t>4.6 Perceptions of Risk Management Effectiveness</w:t>
      </w:r>
      <w:bookmarkEnd w:id="59"/>
    </w:p>
    <w:p w14:paraId="29D7DB99"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9103FA4"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Perceptions of how effectively risk management functions influence infection prevention provide an essential link between organizational systems and </w:t>
      </w:r>
      <w:r w:rsidRPr="00A43700">
        <w:rPr>
          <w:rFonts w:asciiTheme="majorBidi" w:eastAsiaTheme="minorEastAsia" w:hAnsiTheme="majorBidi" w:cstheme="majorBidi"/>
          <w:color w:val="000000" w:themeColor="text1"/>
          <w:kern w:val="0"/>
          <w:sz w:val="28"/>
          <w:szCs w:val="28"/>
          <w14:ligatures w14:val="none"/>
        </w:rPr>
        <w:lastRenderedPageBreak/>
        <w:t>clinical outcomes. Respondents rated five perception-related statements on a five-point Likert scale (1 = Strongly Disagree to 5 = Strongly Agree).</w:t>
      </w:r>
    </w:p>
    <w:p w14:paraId="5F666638"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66C64E8"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4.5: Respondents’ Perceptions of Risk Management Effectiveness</w:t>
      </w:r>
    </w:p>
    <w:p w14:paraId="37680E12"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5064"/>
        <w:gridCol w:w="854"/>
        <w:gridCol w:w="706"/>
        <w:gridCol w:w="2198"/>
      </w:tblGrid>
      <w:tr w:rsidR="005539A6" w:rsidRPr="005539A6" w14:paraId="744DB5E7" w14:textId="77777777" w:rsidTr="005539A6">
        <w:tc>
          <w:tcPr>
            <w:tcW w:w="0" w:type="auto"/>
          </w:tcPr>
          <w:p w14:paraId="503DDA8A"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Perception Statement</w:t>
            </w:r>
          </w:p>
        </w:tc>
        <w:tc>
          <w:tcPr>
            <w:tcW w:w="0" w:type="auto"/>
          </w:tcPr>
          <w:p w14:paraId="6FF5AE5B"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Mean</w:t>
            </w:r>
          </w:p>
        </w:tc>
        <w:tc>
          <w:tcPr>
            <w:tcW w:w="0" w:type="auto"/>
          </w:tcPr>
          <w:p w14:paraId="3F2ECB2D"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SD</w:t>
            </w:r>
          </w:p>
        </w:tc>
        <w:tc>
          <w:tcPr>
            <w:tcW w:w="0" w:type="auto"/>
          </w:tcPr>
          <w:p w14:paraId="01354967"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Interpretation</w:t>
            </w:r>
          </w:p>
        </w:tc>
      </w:tr>
      <w:tr w:rsidR="005539A6" w:rsidRPr="005539A6" w14:paraId="2E815E8A" w14:textId="77777777" w:rsidTr="005539A6">
        <w:tc>
          <w:tcPr>
            <w:tcW w:w="0" w:type="auto"/>
          </w:tcPr>
          <w:p w14:paraId="644855AE"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The hospital’s risk management system effectively identifies and mitigates infection risks.</w:t>
            </w:r>
          </w:p>
        </w:tc>
        <w:tc>
          <w:tcPr>
            <w:tcW w:w="0" w:type="auto"/>
          </w:tcPr>
          <w:p w14:paraId="460BD5B1"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4.26</w:t>
            </w:r>
          </w:p>
        </w:tc>
        <w:tc>
          <w:tcPr>
            <w:tcW w:w="0" w:type="auto"/>
          </w:tcPr>
          <w:p w14:paraId="4F11CD34"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0.69</w:t>
            </w:r>
          </w:p>
        </w:tc>
        <w:tc>
          <w:tcPr>
            <w:tcW w:w="0" w:type="auto"/>
          </w:tcPr>
          <w:p w14:paraId="78FA1EED"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Agree</w:t>
            </w:r>
          </w:p>
        </w:tc>
      </w:tr>
      <w:tr w:rsidR="005539A6" w:rsidRPr="005539A6" w14:paraId="5BDAE1FA" w14:textId="77777777" w:rsidTr="005539A6">
        <w:tc>
          <w:tcPr>
            <w:tcW w:w="0" w:type="auto"/>
          </w:tcPr>
          <w:p w14:paraId="341491F3"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Data on hospital-acquired infections are regularly shared with staff.</w:t>
            </w:r>
          </w:p>
        </w:tc>
        <w:tc>
          <w:tcPr>
            <w:tcW w:w="0" w:type="auto"/>
          </w:tcPr>
          <w:p w14:paraId="142FEB80"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4.02</w:t>
            </w:r>
          </w:p>
        </w:tc>
        <w:tc>
          <w:tcPr>
            <w:tcW w:w="0" w:type="auto"/>
          </w:tcPr>
          <w:p w14:paraId="0D6A4746"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0.85</w:t>
            </w:r>
          </w:p>
        </w:tc>
        <w:tc>
          <w:tcPr>
            <w:tcW w:w="0" w:type="auto"/>
          </w:tcPr>
          <w:p w14:paraId="413CFDA1"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Agree</w:t>
            </w:r>
          </w:p>
        </w:tc>
      </w:tr>
      <w:tr w:rsidR="005539A6" w:rsidRPr="005539A6" w14:paraId="541FCF58" w14:textId="77777777" w:rsidTr="005539A6">
        <w:tc>
          <w:tcPr>
            <w:tcW w:w="0" w:type="auto"/>
          </w:tcPr>
          <w:p w14:paraId="771C2183"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Risk management and infection control departments work collaboratively.</w:t>
            </w:r>
          </w:p>
        </w:tc>
        <w:tc>
          <w:tcPr>
            <w:tcW w:w="0" w:type="auto"/>
          </w:tcPr>
          <w:p w14:paraId="0D3E9BCC"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4.33</w:t>
            </w:r>
          </w:p>
        </w:tc>
        <w:tc>
          <w:tcPr>
            <w:tcW w:w="0" w:type="auto"/>
          </w:tcPr>
          <w:p w14:paraId="35EBA8AB"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0.62</w:t>
            </w:r>
          </w:p>
        </w:tc>
        <w:tc>
          <w:tcPr>
            <w:tcW w:w="0" w:type="auto"/>
          </w:tcPr>
          <w:p w14:paraId="2CB26D82"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Agree</w:t>
            </w:r>
          </w:p>
        </w:tc>
      </w:tr>
      <w:tr w:rsidR="005539A6" w:rsidRPr="005539A6" w14:paraId="5E86AF1A" w14:textId="77777777" w:rsidTr="005539A6">
        <w:tc>
          <w:tcPr>
            <w:tcW w:w="0" w:type="auto"/>
          </w:tcPr>
          <w:p w14:paraId="636248DF"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Hospital leadership is committed to reducing hospital-acquired infections.</w:t>
            </w:r>
          </w:p>
        </w:tc>
        <w:tc>
          <w:tcPr>
            <w:tcW w:w="0" w:type="auto"/>
          </w:tcPr>
          <w:p w14:paraId="4C926E0D"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4.57</w:t>
            </w:r>
          </w:p>
        </w:tc>
        <w:tc>
          <w:tcPr>
            <w:tcW w:w="0" w:type="auto"/>
          </w:tcPr>
          <w:p w14:paraId="2894B6CD"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0.54</w:t>
            </w:r>
          </w:p>
        </w:tc>
        <w:tc>
          <w:tcPr>
            <w:tcW w:w="0" w:type="auto"/>
          </w:tcPr>
          <w:p w14:paraId="6C359449"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Strongly Agree</w:t>
            </w:r>
          </w:p>
        </w:tc>
      </w:tr>
      <w:tr w:rsidR="005539A6" w:rsidRPr="005539A6" w14:paraId="6591864A" w14:textId="77777777" w:rsidTr="005539A6">
        <w:tc>
          <w:tcPr>
            <w:tcW w:w="0" w:type="auto"/>
          </w:tcPr>
          <w:p w14:paraId="6FF85893"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Overall, the hospital is successful in reducing hospital-acquired infections.</w:t>
            </w:r>
          </w:p>
        </w:tc>
        <w:tc>
          <w:tcPr>
            <w:tcW w:w="0" w:type="auto"/>
          </w:tcPr>
          <w:p w14:paraId="256B0154"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4.41</w:t>
            </w:r>
          </w:p>
        </w:tc>
        <w:tc>
          <w:tcPr>
            <w:tcW w:w="0" w:type="auto"/>
          </w:tcPr>
          <w:p w14:paraId="151ECC02"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0.66</w:t>
            </w:r>
          </w:p>
        </w:tc>
        <w:tc>
          <w:tcPr>
            <w:tcW w:w="0" w:type="auto"/>
          </w:tcPr>
          <w:p w14:paraId="5985300F" w14:textId="77777777" w:rsidR="005539A6" w:rsidRPr="005539A6" w:rsidRDefault="005539A6" w:rsidP="00A10A49">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Agree to Strongly Agree</w:t>
            </w:r>
          </w:p>
        </w:tc>
      </w:tr>
    </w:tbl>
    <w:p w14:paraId="33E1426E"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3BE43BC"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Descriptive Statistics of Perceptions Regarding the Effectiveness of Risk Management Systems (n = 150)</w:t>
      </w:r>
    </w:p>
    <w:p w14:paraId="153971F8"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7D5F56F"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results indicate an overall positive perception of the hospital’s risk management framework. The highest mean score (4.57) corresponds to the statement concerning leadership commitment, highlighting the pivotal role of senior management in shaping organizational priorities and accountability structures. Respondents acknowledged that leadership engagement—especially through visible rounds, feedback sessions, and policy reinforcement—was a key driver in promoting infection prevention culture.</w:t>
      </w:r>
    </w:p>
    <w:p w14:paraId="463581F5"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92C4DDB" w14:textId="1AD9B2BB" w:rsidR="009937A4" w:rsidRPr="00A43700" w:rsidRDefault="009937A4" w:rsidP="005539A6">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The collaboration between the risk management and infection control departments also received high agreement (mean = 4.33), suggesting strong cross-functional coordination. This cooperation reportedly improved post-outbreak response times and enhanced the integration of infection surveillance data into risk assessments. One infection control officer remarked:</w:t>
      </w:r>
    </w:p>
    <w:p w14:paraId="49D13B9A" w14:textId="2CAA6E5A" w:rsidR="009937A4" w:rsidRPr="00A43700" w:rsidRDefault="009937A4" w:rsidP="005539A6">
      <w:pPr>
        <w:bidi w:val="0"/>
        <w:spacing w:after="0" w:line="360" w:lineRule="auto"/>
        <w:ind w:left="225" w:hanging="22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“Before the risk management unit was restructured, infection data were kept within the infection control team. Now, risk officers help analyze trends and prepare mitigation reports, which made our system more proactive than reactive.”</w:t>
      </w:r>
    </w:p>
    <w:p w14:paraId="7AE866F9"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Nevertheless, the statement on sharing infection data with staff (mean = 4.02) scored slightly lower, indicating that while data exist, communication may not always reach the frontline level. Several nurses and physicians expressed a desire for “transparent departmental dashboards” that display infection rates and compliance metrics in real time. This could enhance ownership and motivation among staff.</w:t>
      </w:r>
    </w:p>
    <w:p w14:paraId="40C34B1A"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F250CD3"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4.6: Overall Composite Scores – Knowledge, Attitudes, Practices, and Perceptions (KAPP Model)</w:t>
      </w:r>
    </w:p>
    <w:p w14:paraId="6B69AF1A"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2205"/>
        <w:gridCol w:w="2205"/>
        <w:gridCol w:w="2206"/>
        <w:gridCol w:w="2206"/>
      </w:tblGrid>
      <w:tr w:rsidR="005539A6" w:rsidRPr="005539A6" w14:paraId="5B865EBE" w14:textId="77777777" w:rsidTr="005539A6">
        <w:tc>
          <w:tcPr>
            <w:tcW w:w="2205" w:type="dxa"/>
          </w:tcPr>
          <w:p w14:paraId="7C9EA40C"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Dimension</w:t>
            </w:r>
          </w:p>
        </w:tc>
        <w:tc>
          <w:tcPr>
            <w:tcW w:w="2205" w:type="dxa"/>
          </w:tcPr>
          <w:p w14:paraId="6D085ACA"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Mean Score</w:t>
            </w:r>
          </w:p>
        </w:tc>
        <w:tc>
          <w:tcPr>
            <w:tcW w:w="2206" w:type="dxa"/>
          </w:tcPr>
          <w:p w14:paraId="748FEFF1"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Interpretation</w:t>
            </w:r>
          </w:p>
        </w:tc>
        <w:tc>
          <w:tcPr>
            <w:tcW w:w="2206" w:type="dxa"/>
          </w:tcPr>
          <w:p w14:paraId="50F4D46E"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Relative Rank</w:t>
            </w:r>
          </w:p>
        </w:tc>
      </w:tr>
      <w:tr w:rsidR="005539A6" w:rsidRPr="005539A6" w14:paraId="0362E39E" w14:textId="77777777" w:rsidTr="005539A6">
        <w:tc>
          <w:tcPr>
            <w:tcW w:w="2205" w:type="dxa"/>
          </w:tcPr>
          <w:p w14:paraId="4CED969C"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Knowledge</w:t>
            </w:r>
          </w:p>
        </w:tc>
        <w:tc>
          <w:tcPr>
            <w:tcW w:w="2205" w:type="dxa"/>
          </w:tcPr>
          <w:p w14:paraId="51B7B49D"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4.07</w:t>
            </w:r>
          </w:p>
        </w:tc>
        <w:tc>
          <w:tcPr>
            <w:tcW w:w="2206" w:type="dxa"/>
          </w:tcPr>
          <w:p w14:paraId="0F98D1FD"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High</w:t>
            </w:r>
          </w:p>
        </w:tc>
        <w:tc>
          <w:tcPr>
            <w:tcW w:w="2206" w:type="dxa"/>
          </w:tcPr>
          <w:p w14:paraId="74BCA069"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3rd</w:t>
            </w:r>
          </w:p>
        </w:tc>
      </w:tr>
      <w:tr w:rsidR="005539A6" w:rsidRPr="005539A6" w14:paraId="65F0A952" w14:textId="77777777" w:rsidTr="005539A6">
        <w:tc>
          <w:tcPr>
            <w:tcW w:w="2205" w:type="dxa"/>
          </w:tcPr>
          <w:p w14:paraId="03C2E777"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Attitude</w:t>
            </w:r>
          </w:p>
        </w:tc>
        <w:tc>
          <w:tcPr>
            <w:tcW w:w="2205" w:type="dxa"/>
          </w:tcPr>
          <w:p w14:paraId="67366325"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4.33</w:t>
            </w:r>
          </w:p>
        </w:tc>
        <w:tc>
          <w:tcPr>
            <w:tcW w:w="2206" w:type="dxa"/>
          </w:tcPr>
          <w:p w14:paraId="2C867502"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Very Positive</w:t>
            </w:r>
          </w:p>
        </w:tc>
        <w:tc>
          <w:tcPr>
            <w:tcW w:w="2206" w:type="dxa"/>
          </w:tcPr>
          <w:p w14:paraId="3D439D27"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2nd</w:t>
            </w:r>
          </w:p>
        </w:tc>
      </w:tr>
      <w:tr w:rsidR="005539A6" w:rsidRPr="005539A6" w14:paraId="65A4EB70" w14:textId="77777777" w:rsidTr="005539A6">
        <w:tc>
          <w:tcPr>
            <w:tcW w:w="2205" w:type="dxa"/>
          </w:tcPr>
          <w:p w14:paraId="5C9CABEB"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Practice</w:t>
            </w:r>
          </w:p>
        </w:tc>
        <w:tc>
          <w:tcPr>
            <w:tcW w:w="2205" w:type="dxa"/>
          </w:tcPr>
          <w:p w14:paraId="017C3D40"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4.37</w:t>
            </w:r>
          </w:p>
        </w:tc>
        <w:tc>
          <w:tcPr>
            <w:tcW w:w="2206" w:type="dxa"/>
          </w:tcPr>
          <w:p w14:paraId="164682CA"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Strongly Compliant</w:t>
            </w:r>
          </w:p>
        </w:tc>
        <w:tc>
          <w:tcPr>
            <w:tcW w:w="2206" w:type="dxa"/>
          </w:tcPr>
          <w:p w14:paraId="2A143E40"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1st</w:t>
            </w:r>
          </w:p>
        </w:tc>
      </w:tr>
      <w:tr w:rsidR="005539A6" w:rsidRPr="005539A6" w14:paraId="302695BF" w14:textId="77777777" w:rsidTr="005539A6">
        <w:tc>
          <w:tcPr>
            <w:tcW w:w="2205" w:type="dxa"/>
          </w:tcPr>
          <w:p w14:paraId="02E90324"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Perception</w:t>
            </w:r>
          </w:p>
        </w:tc>
        <w:tc>
          <w:tcPr>
            <w:tcW w:w="2205" w:type="dxa"/>
          </w:tcPr>
          <w:p w14:paraId="402A36F9"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4.32</w:t>
            </w:r>
          </w:p>
        </w:tc>
        <w:tc>
          <w:tcPr>
            <w:tcW w:w="2206" w:type="dxa"/>
          </w:tcPr>
          <w:p w14:paraId="2E8BBF75"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Positive</w:t>
            </w:r>
          </w:p>
        </w:tc>
        <w:tc>
          <w:tcPr>
            <w:tcW w:w="2206" w:type="dxa"/>
          </w:tcPr>
          <w:p w14:paraId="423CC38B" w14:textId="77777777" w:rsidR="005539A6" w:rsidRPr="005539A6" w:rsidRDefault="005539A6" w:rsidP="00C85CCA">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539A6">
              <w:rPr>
                <w:rFonts w:asciiTheme="majorBidi" w:eastAsiaTheme="minorEastAsia" w:hAnsiTheme="majorBidi" w:cstheme="majorBidi"/>
                <w:color w:val="000000" w:themeColor="text1"/>
                <w:kern w:val="0"/>
                <w:sz w:val="28"/>
                <w:szCs w:val="28"/>
                <w14:ligatures w14:val="none"/>
              </w:rPr>
              <w:t>4th</w:t>
            </w:r>
          </w:p>
        </w:tc>
      </w:tr>
    </w:tbl>
    <w:p w14:paraId="107372D9"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809B005"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Composite Mean Scores for KAPP Dimensions Reflecting Overall Respondent Engagement (n = 150)</w:t>
      </w:r>
    </w:p>
    <w:p w14:paraId="66B28AB4"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2CC5289" w14:textId="6E4E7B56" w:rsidR="00023D54" w:rsidRDefault="00023D5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noProof/>
        </w:rPr>
        <w:lastRenderedPageBreak/>
        <w:drawing>
          <wp:anchor distT="0" distB="0" distL="114300" distR="114300" simplePos="0" relativeHeight="251662336" behindDoc="0" locked="0" layoutInCell="1" allowOverlap="1" wp14:anchorId="53DE7FC9" wp14:editId="51F598FF">
            <wp:simplePos x="0" y="0"/>
            <wp:positionH relativeFrom="margin">
              <wp:align>center</wp:align>
            </wp:positionH>
            <wp:positionV relativeFrom="paragraph">
              <wp:posOffset>123825</wp:posOffset>
            </wp:positionV>
            <wp:extent cx="5648960" cy="2743200"/>
            <wp:effectExtent l="0" t="0" r="8890" b="0"/>
            <wp:wrapTopAndBottom/>
            <wp:docPr id="984315899" name="مخطط 1">
              <a:extLst xmlns:a="http://schemas.openxmlformats.org/drawingml/2006/main">
                <a:ext uri="{FF2B5EF4-FFF2-40B4-BE49-F238E27FC236}">
                  <a16:creationId xmlns:a16="http://schemas.microsoft.com/office/drawing/2014/main" id="{343370EC-4A88-0D55-C8F3-2B8BE16ABA27}"/>
                </a:ext>
                <a:ext uri="{147F2762-F138-4A5C-976F-8EAC2B608ADB}">
                  <a16:predDERef xmlns:a16="http://schemas.microsoft.com/office/drawing/2014/main" pred="{6A7A1834-8904-7ADD-D78B-D0E8597AF2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4BD57440" w14:textId="22F77ED3" w:rsidR="009937A4" w:rsidRPr="00A43700" w:rsidRDefault="009937A4" w:rsidP="0000745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composite analysis reveals that practice scores (mean = 4.37) slightly exceed other dimensions, implying that behavioral compliance is robust, possibly due to rigorous monitoring and departmental oversight. Attitudes and perceptions also scored positively, confirming the success of risk management integration within hospital safety culture.</w:t>
      </w:r>
    </w:p>
    <w:p w14:paraId="56D98EB8"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However, the slightly lower knowledge dimension (mean = 4.07) points to the need for continuous educational reinforcement. As policies and risk systems evolve, regular updates and targeted workshops can ensure all staff maintain a consistent understanding of protocols and reporting procedures.</w:t>
      </w:r>
    </w:p>
    <w:p w14:paraId="73451004"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B846E3A" w14:textId="77777777" w:rsidR="009937A4" w:rsidRPr="00A43700" w:rsidRDefault="009937A4" w:rsidP="00203B7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60" w:name="_Toc212139881"/>
      <w:r w:rsidRPr="00A43700">
        <w:rPr>
          <w:rFonts w:asciiTheme="majorBidi" w:eastAsiaTheme="minorEastAsia" w:hAnsiTheme="majorBidi" w:cstheme="majorBidi"/>
          <w:color w:val="000000" w:themeColor="text1"/>
          <w:kern w:val="0"/>
          <w:sz w:val="28"/>
          <w:szCs w:val="28"/>
          <w14:ligatures w14:val="none"/>
        </w:rPr>
        <w:t>4.7 Qualitative Insights and Thematic Integration</w:t>
      </w:r>
      <w:bookmarkEnd w:id="60"/>
    </w:p>
    <w:p w14:paraId="62857BD0"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5EBC51D"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qualitative findings complement the quantitative outcomes by providing deeper insight into contextual realities and institutional dynamics. Through thematic analysis of interview transcripts and observational data, four dominant themes emerged:</w:t>
      </w:r>
    </w:p>
    <w:p w14:paraId="30F5A840"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B447A5D"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Theme 1: Leadership Commitment and Cultural Transformation</w:t>
      </w:r>
    </w:p>
    <w:p w14:paraId="6D1716D4"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9D3A313"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Respondents emphasized that visible leadership support was instrumental in driving compliance. Department heads who modeled proper infection control behaviors inspired their teams to follow suit. Leadership </w:t>
      </w:r>
      <w:proofErr w:type="spellStart"/>
      <w:r w:rsidRPr="00A43700">
        <w:rPr>
          <w:rFonts w:asciiTheme="majorBidi" w:eastAsiaTheme="minorEastAsia" w:hAnsiTheme="majorBidi" w:cstheme="majorBidi"/>
          <w:color w:val="000000" w:themeColor="text1"/>
          <w:kern w:val="0"/>
          <w:sz w:val="28"/>
          <w:szCs w:val="28"/>
          <w14:ligatures w14:val="none"/>
        </w:rPr>
        <w:t>walkrounds</w:t>
      </w:r>
      <w:proofErr w:type="spellEnd"/>
      <w:r w:rsidRPr="00A43700">
        <w:rPr>
          <w:rFonts w:asciiTheme="majorBidi" w:eastAsiaTheme="minorEastAsia" w:hAnsiTheme="majorBidi" w:cstheme="majorBidi"/>
          <w:color w:val="000000" w:themeColor="text1"/>
          <w:kern w:val="0"/>
          <w:sz w:val="28"/>
          <w:szCs w:val="28"/>
          <w14:ligatures w14:val="none"/>
        </w:rPr>
        <w:t xml:space="preserve"> were repeatedly cited as “motivational and reassuring.”</w:t>
      </w:r>
    </w:p>
    <w:p w14:paraId="3723E47F"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701B8BF"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Theme 2: System Integration and Data Transparency</w:t>
      </w:r>
    </w:p>
    <w:p w14:paraId="181964B6"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1394E32"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Although both risk management and infection control units function effectively, some staff reported limited access to real-time infection data. Participants advocated for integrated dashboards, monthly feedback sessions, and continuous performance benchmarking.</w:t>
      </w:r>
    </w:p>
    <w:p w14:paraId="2E7990DB"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8B70059"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Theme 3: Training and Competency Development</w:t>
      </w:r>
    </w:p>
    <w:p w14:paraId="6F950130"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25B8ABE"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Training programs were praised but criticized for irregular scheduling. Respondents suggested more interactive, case-based learning rather than passive lectures. Senior staff highlighted that the most effective sessions were those that linked infection control incidents to real hospital cases.</w:t>
      </w:r>
    </w:p>
    <w:p w14:paraId="4CE6820D"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217FD32"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Theme 4: Reporting Culture and Psychological Safety</w:t>
      </w:r>
    </w:p>
    <w:p w14:paraId="2D594427"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232B310" w14:textId="0BC92D1D" w:rsidR="009937A4" w:rsidRPr="00A43700" w:rsidRDefault="009937A4" w:rsidP="0000745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fear of blame emerged as a recurring barrier. Staff felt that despite official policies promoting non-punitive reporting, some supervisors still used incident reports as disciplinary tools. The study thus recommends strengthening “just culture” frameworks to ensure open, blame-free communication.</w:t>
      </w:r>
    </w:p>
    <w:p w14:paraId="6147B7D4" w14:textId="29E85EB8" w:rsidR="009937A4" w:rsidRPr="00A43700" w:rsidRDefault="009937A4" w:rsidP="0000745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These themes reinforce quantitative findings and demonstrate that infection control success is not solely dependent on individual compliance but also on systemic alignment, leadership vision, and psychological safety.</w:t>
      </w:r>
    </w:p>
    <w:p w14:paraId="799C318F" w14:textId="6B86B55B" w:rsidR="009937A4" w:rsidRPr="00A43700" w:rsidRDefault="009937A4" w:rsidP="0000745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The second part of this chapter provides strong evidence that risk management plays a decisive role in minimizing hospital-acquired infections at KFSHRC. Quantitative data confirmed high levels of compliance and positive perceptions, while qualitative insights revealed underlying organizational and behavioral factors influencing implementation.</w:t>
      </w:r>
    </w:p>
    <w:p w14:paraId="78263621" w14:textId="77777777" w:rsidR="009937A4" w:rsidRPr="00A43700" w:rsidRDefault="009937A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convergence of both datasets suggests that when leadership commitment, system integration, and staff empowerment align, infection prevention outcomes improve significantly. Nevertheless, sustaining these gains requires ongoing training, transparent data sharing, and a supportive, non-punitive reporting culture.</w:t>
      </w:r>
    </w:p>
    <w:p w14:paraId="53ACCDAB"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75AEC5E" w14:textId="77777777" w:rsidR="00FE01BA" w:rsidRPr="00A43700" w:rsidRDefault="00FE01BA" w:rsidP="00C61DA9">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61" w:name="_Toc212139882"/>
      <w:r w:rsidRPr="00A43700">
        <w:rPr>
          <w:rFonts w:asciiTheme="majorBidi" w:eastAsiaTheme="minorEastAsia" w:hAnsiTheme="majorBidi" w:cstheme="majorBidi"/>
          <w:color w:val="000000" w:themeColor="text1"/>
          <w:kern w:val="0"/>
          <w:sz w:val="28"/>
          <w:szCs w:val="28"/>
          <w14:ligatures w14:val="none"/>
        </w:rPr>
        <w:t>4.9 Advanced Statistical Analysis</w:t>
      </w:r>
      <w:bookmarkEnd w:id="61"/>
    </w:p>
    <w:p w14:paraId="662AA46B"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CF287A6"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To validate the relationships among key study variables — namely knowledge, attitudes, practices, and perceptions — several inferential statistical tests were conducted. The purpose was to examine whether risk management practices have a statistically significant impact on the reduction of hospital-acquired infections (HAIs), and to identify which dimensions exert the strongest influence on infection control outcomes.</w:t>
      </w:r>
    </w:p>
    <w:p w14:paraId="4F4A9890"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BCB9B0F"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All analyses were conducted using SPSS version 28, employing Pearson correlation, multiple regression, and hypothesis testing with a 95% confidence level (α = 0.05).</w:t>
      </w:r>
    </w:p>
    <w:p w14:paraId="4D088AFB"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BC894AD" w14:textId="77777777" w:rsidR="00FE01BA" w:rsidRPr="00A43700" w:rsidRDefault="00FE01BA" w:rsidP="00C61DA9">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62" w:name="_Toc212139883"/>
      <w:r w:rsidRPr="00A43700">
        <w:rPr>
          <w:rFonts w:asciiTheme="majorBidi" w:eastAsiaTheme="minorEastAsia" w:hAnsiTheme="majorBidi" w:cstheme="majorBidi"/>
          <w:color w:val="000000" w:themeColor="text1"/>
          <w:kern w:val="0"/>
          <w:sz w:val="28"/>
          <w:szCs w:val="28"/>
          <w14:ligatures w14:val="none"/>
        </w:rPr>
        <w:t>4.10 Correlation Analysis</w:t>
      </w:r>
      <w:bookmarkEnd w:id="62"/>
    </w:p>
    <w:p w14:paraId="38FC945A"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CD422ED"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Pearson correlation test was used to explore the relationships between the four dimensions (Knowledge, Attitude, Practice, and Perception).</w:t>
      </w:r>
    </w:p>
    <w:p w14:paraId="014CBCF6"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7F9DB31"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Table 4.7: Correlation Matrix Between Study Variables (n = 150)</w:t>
      </w:r>
    </w:p>
    <w:p w14:paraId="475ADEFD"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1764"/>
        <w:gridCol w:w="1764"/>
        <w:gridCol w:w="1764"/>
        <w:gridCol w:w="1765"/>
        <w:gridCol w:w="1765"/>
      </w:tblGrid>
      <w:tr w:rsidR="00007451" w:rsidRPr="00007451" w14:paraId="479A710F" w14:textId="77777777" w:rsidTr="00007451">
        <w:tc>
          <w:tcPr>
            <w:tcW w:w="1764" w:type="dxa"/>
          </w:tcPr>
          <w:p w14:paraId="59CFD2F8"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Variables</w:t>
            </w:r>
          </w:p>
        </w:tc>
        <w:tc>
          <w:tcPr>
            <w:tcW w:w="1764" w:type="dxa"/>
          </w:tcPr>
          <w:p w14:paraId="14DD4AF0"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Knowledge</w:t>
            </w:r>
          </w:p>
        </w:tc>
        <w:tc>
          <w:tcPr>
            <w:tcW w:w="1764" w:type="dxa"/>
          </w:tcPr>
          <w:p w14:paraId="0890A0AC"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Attitude</w:t>
            </w:r>
          </w:p>
        </w:tc>
        <w:tc>
          <w:tcPr>
            <w:tcW w:w="1765" w:type="dxa"/>
          </w:tcPr>
          <w:p w14:paraId="2F70A4E7"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Practice</w:t>
            </w:r>
          </w:p>
        </w:tc>
        <w:tc>
          <w:tcPr>
            <w:tcW w:w="1765" w:type="dxa"/>
          </w:tcPr>
          <w:p w14:paraId="0F72F129"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Perception</w:t>
            </w:r>
          </w:p>
        </w:tc>
      </w:tr>
      <w:tr w:rsidR="00007451" w:rsidRPr="00007451" w14:paraId="7B44369E" w14:textId="77777777" w:rsidTr="00007451">
        <w:tc>
          <w:tcPr>
            <w:tcW w:w="1764" w:type="dxa"/>
          </w:tcPr>
          <w:p w14:paraId="0AF02B03"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Knowledge</w:t>
            </w:r>
          </w:p>
        </w:tc>
        <w:tc>
          <w:tcPr>
            <w:tcW w:w="1764" w:type="dxa"/>
          </w:tcPr>
          <w:p w14:paraId="3AAECE68"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1</w:t>
            </w:r>
          </w:p>
        </w:tc>
        <w:tc>
          <w:tcPr>
            <w:tcW w:w="1764" w:type="dxa"/>
          </w:tcPr>
          <w:p w14:paraId="5F314E16"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.612**</w:t>
            </w:r>
          </w:p>
        </w:tc>
        <w:tc>
          <w:tcPr>
            <w:tcW w:w="1765" w:type="dxa"/>
          </w:tcPr>
          <w:p w14:paraId="018D87D3"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.587**</w:t>
            </w:r>
          </w:p>
        </w:tc>
        <w:tc>
          <w:tcPr>
            <w:tcW w:w="1765" w:type="dxa"/>
          </w:tcPr>
          <w:p w14:paraId="2DA0575C"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.541**</w:t>
            </w:r>
          </w:p>
        </w:tc>
      </w:tr>
      <w:tr w:rsidR="00007451" w:rsidRPr="00007451" w14:paraId="05B0834B" w14:textId="77777777" w:rsidTr="00007451">
        <w:tc>
          <w:tcPr>
            <w:tcW w:w="1764" w:type="dxa"/>
          </w:tcPr>
          <w:p w14:paraId="02F03AB5"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Attitude</w:t>
            </w:r>
          </w:p>
        </w:tc>
        <w:tc>
          <w:tcPr>
            <w:tcW w:w="1764" w:type="dxa"/>
          </w:tcPr>
          <w:p w14:paraId="5508F1D1"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.612**</w:t>
            </w:r>
          </w:p>
        </w:tc>
        <w:tc>
          <w:tcPr>
            <w:tcW w:w="1764" w:type="dxa"/>
          </w:tcPr>
          <w:p w14:paraId="5331C461"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1</w:t>
            </w:r>
          </w:p>
        </w:tc>
        <w:tc>
          <w:tcPr>
            <w:tcW w:w="1765" w:type="dxa"/>
          </w:tcPr>
          <w:p w14:paraId="3747ABD5"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.655**</w:t>
            </w:r>
          </w:p>
        </w:tc>
        <w:tc>
          <w:tcPr>
            <w:tcW w:w="1765" w:type="dxa"/>
          </w:tcPr>
          <w:p w14:paraId="5397E81D"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.668**</w:t>
            </w:r>
          </w:p>
        </w:tc>
      </w:tr>
      <w:tr w:rsidR="00007451" w:rsidRPr="00007451" w14:paraId="68024E00" w14:textId="77777777" w:rsidTr="00007451">
        <w:tc>
          <w:tcPr>
            <w:tcW w:w="1764" w:type="dxa"/>
          </w:tcPr>
          <w:p w14:paraId="5FA99728"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Practice</w:t>
            </w:r>
          </w:p>
        </w:tc>
        <w:tc>
          <w:tcPr>
            <w:tcW w:w="1764" w:type="dxa"/>
          </w:tcPr>
          <w:p w14:paraId="0818BB3E"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.587**</w:t>
            </w:r>
          </w:p>
        </w:tc>
        <w:tc>
          <w:tcPr>
            <w:tcW w:w="1764" w:type="dxa"/>
          </w:tcPr>
          <w:p w14:paraId="37D3E79B"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.655**</w:t>
            </w:r>
          </w:p>
        </w:tc>
        <w:tc>
          <w:tcPr>
            <w:tcW w:w="1765" w:type="dxa"/>
          </w:tcPr>
          <w:p w14:paraId="5768F3FB"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1</w:t>
            </w:r>
          </w:p>
        </w:tc>
        <w:tc>
          <w:tcPr>
            <w:tcW w:w="1765" w:type="dxa"/>
          </w:tcPr>
          <w:p w14:paraId="7064D9BE"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.701**</w:t>
            </w:r>
          </w:p>
        </w:tc>
      </w:tr>
      <w:tr w:rsidR="00007451" w:rsidRPr="00007451" w14:paraId="1E7F8B73" w14:textId="77777777" w:rsidTr="00007451">
        <w:tc>
          <w:tcPr>
            <w:tcW w:w="1764" w:type="dxa"/>
          </w:tcPr>
          <w:p w14:paraId="3B773921"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Perception</w:t>
            </w:r>
          </w:p>
        </w:tc>
        <w:tc>
          <w:tcPr>
            <w:tcW w:w="1764" w:type="dxa"/>
          </w:tcPr>
          <w:p w14:paraId="67D78CBD"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.541**</w:t>
            </w:r>
          </w:p>
        </w:tc>
        <w:tc>
          <w:tcPr>
            <w:tcW w:w="1764" w:type="dxa"/>
          </w:tcPr>
          <w:p w14:paraId="533F2220"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.668**</w:t>
            </w:r>
          </w:p>
        </w:tc>
        <w:tc>
          <w:tcPr>
            <w:tcW w:w="1765" w:type="dxa"/>
          </w:tcPr>
          <w:p w14:paraId="380CFBF1"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.701**</w:t>
            </w:r>
          </w:p>
        </w:tc>
        <w:tc>
          <w:tcPr>
            <w:tcW w:w="1765" w:type="dxa"/>
          </w:tcPr>
          <w:p w14:paraId="652A2FFB" w14:textId="77777777" w:rsidR="00007451" w:rsidRPr="00007451" w:rsidRDefault="00007451" w:rsidP="002859AC">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007451">
              <w:rPr>
                <w:rFonts w:asciiTheme="majorBidi" w:eastAsiaTheme="minorEastAsia" w:hAnsiTheme="majorBidi" w:cstheme="majorBidi"/>
                <w:color w:val="000000" w:themeColor="text1"/>
                <w:kern w:val="0"/>
                <w:sz w:val="28"/>
                <w:szCs w:val="28"/>
                <w14:ligatures w14:val="none"/>
              </w:rPr>
              <w:t>1</w:t>
            </w:r>
          </w:p>
        </w:tc>
      </w:tr>
    </w:tbl>
    <w:p w14:paraId="6AC15668"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61CC081"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Pearson Correlation Coefficients Among Knowledge, Attitudes, Practices, and Perceptions Variables</w:t>
      </w:r>
    </w:p>
    <w:p w14:paraId="6811DDD7"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(Note: p &lt; 0.01 for all correlations)</w:t>
      </w:r>
    </w:p>
    <w:p w14:paraId="10787E2A"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94D077F" w14:textId="1E157766" w:rsidR="00FE01BA" w:rsidRPr="00A43700" w:rsidRDefault="00FE01BA" w:rsidP="0000745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results in Table 4.7 reveal strong positive correlations among all four dimensions, suggesting a high level of internal consistency across respondents’ perspectives. The strongest correlation emerged between Practice and Perception (r = .701, p &lt; 0.01), indicating that staff who demonstrate stronger infection control practices tend to perceive risk management systems as more effective.</w:t>
      </w:r>
    </w:p>
    <w:p w14:paraId="31BC3391" w14:textId="38923582" w:rsidR="00FE01BA" w:rsidRPr="00A43700" w:rsidRDefault="00FE01BA" w:rsidP="00007451">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Similarly, a significant correlation between Attitude and Practice (r = .655) shows that positive attitudes toward infection control predict greater behavioral compliance. These findings reinforce the theoretical model that attitudinal and perceptual alignment enhances the implementation of infection control measures.</w:t>
      </w:r>
    </w:p>
    <w:p w14:paraId="1C131EF7"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correlation between Knowledge and Practice (r = .587), though slightly lower, still suggests that familiarity with infection control principles contributes to effective behavioral performance, yet knowledge alone may not guarantee compliance without supportive attitudes and systemic motivation.</w:t>
      </w:r>
    </w:p>
    <w:p w14:paraId="2497A2AE" w14:textId="77777777" w:rsidR="00FE01BA"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7749023" w14:textId="77777777" w:rsidR="00D735F0" w:rsidRPr="00A43700" w:rsidRDefault="00D735F0" w:rsidP="00D735F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848A27C" w14:textId="77777777" w:rsidR="00FE01BA" w:rsidRPr="00A43700" w:rsidRDefault="00FE01BA" w:rsidP="00C61DA9">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63" w:name="_Toc212139884"/>
      <w:r w:rsidRPr="00A43700">
        <w:rPr>
          <w:rFonts w:asciiTheme="majorBidi" w:eastAsiaTheme="minorEastAsia" w:hAnsiTheme="majorBidi" w:cstheme="majorBidi"/>
          <w:color w:val="000000" w:themeColor="text1"/>
          <w:kern w:val="0"/>
          <w:sz w:val="28"/>
          <w:szCs w:val="28"/>
          <w14:ligatures w14:val="none"/>
        </w:rPr>
        <w:lastRenderedPageBreak/>
        <w:t>4.11 Regression Analysis</w:t>
      </w:r>
      <w:bookmarkEnd w:id="63"/>
    </w:p>
    <w:p w14:paraId="458E4E81"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F66946F"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To determine the predictive impact of Knowledge, Attitude, and Perception on Infection Control Practices, a multiple linear regression analysis was conducted. The model aimed to identify which variables significantly explain variations in infection control behaviors among healthcare workers.</w:t>
      </w:r>
    </w:p>
    <w:p w14:paraId="1D5963E8"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95A7F3F"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4.8: Model Summary of Multiple Regression Analysis</w:t>
      </w:r>
    </w:p>
    <w:p w14:paraId="6FD03DB2"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1764"/>
        <w:gridCol w:w="1764"/>
        <w:gridCol w:w="1764"/>
        <w:gridCol w:w="1765"/>
        <w:gridCol w:w="1765"/>
      </w:tblGrid>
      <w:tr w:rsidR="00D735F0" w:rsidRPr="00D735F0" w14:paraId="7A7B5FE8" w14:textId="77777777" w:rsidTr="00D735F0">
        <w:tc>
          <w:tcPr>
            <w:tcW w:w="1764" w:type="dxa"/>
          </w:tcPr>
          <w:p w14:paraId="069370DE"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Model</w:t>
            </w:r>
          </w:p>
        </w:tc>
        <w:tc>
          <w:tcPr>
            <w:tcW w:w="1764" w:type="dxa"/>
          </w:tcPr>
          <w:p w14:paraId="615DB144"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R</w:t>
            </w:r>
          </w:p>
        </w:tc>
        <w:tc>
          <w:tcPr>
            <w:tcW w:w="1764" w:type="dxa"/>
          </w:tcPr>
          <w:p w14:paraId="62666105"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R²</w:t>
            </w:r>
          </w:p>
        </w:tc>
        <w:tc>
          <w:tcPr>
            <w:tcW w:w="1765" w:type="dxa"/>
          </w:tcPr>
          <w:p w14:paraId="0CA4E0D9"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Adjusted R²</w:t>
            </w:r>
          </w:p>
        </w:tc>
        <w:tc>
          <w:tcPr>
            <w:tcW w:w="1765" w:type="dxa"/>
          </w:tcPr>
          <w:p w14:paraId="2C52AB1E"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Std. Error of Estimate</w:t>
            </w:r>
          </w:p>
        </w:tc>
      </w:tr>
      <w:tr w:rsidR="00D735F0" w:rsidRPr="00D735F0" w14:paraId="60959895" w14:textId="77777777" w:rsidTr="00D735F0">
        <w:tc>
          <w:tcPr>
            <w:tcW w:w="1764" w:type="dxa"/>
          </w:tcPr>
          <w:p w14:paraId="6A1B4875"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1</w:t>
            </w:r>
          </w:p>
        </w:tc>
        <w:tc>
          <w:tcPr>
            <w:tcW w:w="1764" w:type="dxa"/>
          </w:tcPr>
          <w:p w14:paraId="33B7900A"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.812</w:t>
            </w:r>
          </w:p>
        </w:tc>
        <w:tc>
          <w:tcPr>
            <w:tcW w:w="1764" w:type="dxa"/>
          </w:tcPr>
          <w:p w14:paraId="241D99D0"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.659</w:t>
            </w:r>
          </w:p>
        </w:tc>
        <w:tc>
          <w:tcPr>
            <w:tcW w:w="1765" w:type="dxa"/>
          </w:tcPr>
          <w:p w14:paraId="1EA293A9"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.648</w:t>
            </w:r>
          </w:p>
        </w:tc>
        <w:tc>
          <w:tcPr>
            <w:tcW w:w="1765" w:type="dxa"/>
          </w:tcPr>
          <w:p w14:paraId="5E077EBA" w14:textId="77777777" w:rsidR="00D735F0" w:rsidRPr="00D735F0" w:rsidRDefault="00D735F0" w:rsidP="00D0014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D735F0">
              <w:rPr>
                <w:rFonts w:asciiTheme="majorBidi" w:eastAsiaTheme="minorEastAsia" w:hAnsiTheme="majorBidi" w:cstheme="majorBidi"/>
                <w:color w:val="000000" w:themeColor="text1"/>
                <w:kern w:val="0"/>
                <w:sz w:val="28"/>
                <w:szCs w:val="28"/>
                <w14:ligatures w14:val="none"/>
              </w:rPr>
              <w:t>0.384</w:t>
            </w:r>
          </w:p>
        </w:tc>
      </w:tr>
    </w:tbl>
    <w:p w14:paraId="4134BE21"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F6EDFEB" w14:textId="77777777" w:rsidR="00FE01BA"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Model Summary for Predicting Infection Control Practices (n = 150)</w:t>
      </w:r>
    </w:p>
    <w:p w14:paraId="4985EE20" w14:textId="3184FF6D" w:rsidR="00F8077D" w:rsidRPr="00A43700" w:rsidRDefault="00F8077D" w:rsidP="00F8077D">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Pr>
          <w:noProof/>
        </w:rPr>
        <w:drawing>
          <wp:anchor distT="0" distB="0" distL="114300" distR="114300" simplePos="0" relativeHeight="251664384" behindDoc="0" locked="0" layoutInCell="1" allowOverlap="1" wp14:anchorId="5647C121" wp14:editId="73D0787B">
            <wp:simplePos x="0" y="0"/>
            <wp:positionH relativeFrom="column">
              <wp:posOffset>-5080</wp:posOffset>
            </wp:positionH>
            <wp:positionV relativeFrom="paragraph">
              <wp:posOffset>298450</wp:posOffset>
            </wp:positionV>
            <wp:extent cx="5506720" cy="2743200"/>
            <wp:effectExtent l="0" t="0" r="17780" b="12700"/>
            <wp:wrapTopAndBottom/>
            <wp:docPr id="1260098435" name="مخطط 1">
              <a:extLst xmlns:a="http://schemas.openxmlformats.org/drawingml/2006/main">
                <a:ext uri="{FF2B5EF4-FFF2-40B4-BE49-F238E27FC236}">
                  <a16:creationId xmlns:a16="http://schemas.microsoft.com/office/drawing/2014/main" id="{7F1E7D5E-DD90-DB9C-CD1B-361964D50F86}"/>
                </a:ext>
                <a:ext uri="{147F2762-F138-4A5C-976F-8EAC2B608ADB}">
                  <a16:predDERef xmlns:a16="http://schemas.microsoft.com/office/drawing/2014/main" pred="{343370EC-4A88-0D55-C8F3-2B8BE16ABA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7B90EB5F"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1A293C7"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The regression model produced an R² = .659, which indicates that approximately 65.9% of the variance in infection control practices can be explained by the independent variables (Knowledge, Attitude, and Perception). </w:t>
      </w:r>
      <w:r w:rsidRPr="00A43700">
        <w:rPr>
          <w:rFonts w:asciiTheme="majorBidi" w:eastAsiaTheme="minorEastAsia" w:hAnsiTheme="majorBidi" w:cstheme="majorBidi"/>
          <w:color w:val="000000" w:themeColor="text1"/>
          <w:kern w:val="0"/>
          <w:sz w:val="28"/>
          <w:szCs w:val="28"/>
          <w14:ligatures w14:val="none"/>
        </w:rPr>
        <w:lastRenderedPageBreak/>
        <w:t>This high value reflects the robustness of the model and the interdependence of cognitive, behavioral, and perceptual factors in determining infection control outcomes.</w:t>
      </w:r>
    </w:p>
    <w:p w14:paraId="550BDAEF"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2DAF205"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4.9: ANOVA Results for Regression Model</w:t>
      </w:r>
    </w:p>
    <w:p w14:paraId="64837E09"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1470"/>
        <w:gridCol w:w="1470"/>
        <w:gridCol w:w="1470"/>
        <w:gridCol w:w="1470"/>
        <w:gridCol w:w="1471"/>
        <w:gridCol w:w="1471"/>
      </w:tblGrid>
      <w:tr w:rsidR="00801BFB" w:rsidRPr="00801BFB" w14:paraId="0D6FDC6C" w14:textId="77777777" w:rsidTr="00801BFB">
        <w:tc>
          <w:tcPr>
            <w:tcW w:w="1470" w:type="dxa"/>
          </w:tcPr>
          <w:p w14:paraId="2A14D3E8"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Source</w:t>
            </w:r>
          </w:p>
        </w:tc>
        <w:tc>
          <w:tcPr>
            <w:tcW w:w="1470" w:type="dxa"/>
          </w:tcPr>
          <w:p w14:paraId="7C1224AC"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Sum of Squares</w:t>
            </w:r>
          </w:p>
        </w:tc>
        <w:tc>
          <w:tcPr>
            <w:tcW w:w="1470" w:type="dxa"/>
          </w:tcPr>
          <w:p w14:paraId="5F15DFEE"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df</w:t>
            </w:r>
          </w:p>
        </w:tc>
        <w:tc>
          <w:tcPr>
            <w:tcW w:w="1470" w:type="dxa"/>
          </w:tcPr>
          <w:p w14:paraId="653C9AA1"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Mean Square</w:t>
            </w:r>
          </w:p>
        </w:tc>
        <w:tc>
          <w:tcPr>
            <w:tcW w:w="1471" w:type="dxa"/>
          </w:tcPr>
          <w:p w14:paraId="61050547"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F</w:t>
            </w:r>
          </w:p>
        </w:tc>
        <w:tc>
          <w:tcPr>
            <w:tcW w:w="1471" w:type="dxa"/>
          </w:tcPr>
          <w:p w14:paraId="18A85920"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Sig.</w:t>
            </w:r>
          </w:p>
        </w:tc>
      </w:tr>
      <w:tr w:rsidR="00801BFB" w:rsidRPr="00801BFB" w14:paraId="395F73E0" w14:textId="77777777" w:rsidTr="00801BFB">
        <w:tc>
          <w:tcPr>
            <w:tcW w:w="1470" w:type="dxa"/>
          </w:tcPr>
          <w:p w14:paraId="1767CCC4"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Regression</w:t>
            </w:r>
          </w:p>
        </w:tc>
        <w:tc>
          <w:tcPr>
            <w:tcW w:w="1470" w:type="dxa"/>
          </w:tcPr>
          <w:p w14:paraId="04273128"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28.562</w:t>
            </w:r>
          </w:p>
        </w:tc>
        <w:tc>
          <w:tcPr>
            <w:tcW w:w="1470" w:type="dxa"/>
          </w:tcPr>
          <w:p w14:paraId="6E95769D"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3</w:t>
            </w:r>
          </w:p>
        </w:tc>
        <w:tc>
          <w:tcPr>
            <w:tcW w:w="1470" w:type="dxa"/>
          </w:tcPr>
          <w:p w14:paraId="76F44FE1"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9.521</w:t>
            </w:r>
          </w:p>
        </w:tc>
        <w:tc>
          <w:tcPr>
            <w:tcW w:w="1471" w:type="dxa"/>
          </w:tcPr>
          <w:p w14:paraId="15A96BB1"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64.574</w:t>
            </w:r>
          </w:p>
        </w:tc>
        <w:tc>
          <w:tcPr>
            <w:tcW w:w="1471" w:type="dxa"/>
          </w:tcPr>
          <w:p w14:paraId="1F953002"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.000**</w:t>
            </w:r>
          </w:p>
        </w:tc>
      </w:tr>
      <w:tr w:rsidR="00801BFB" w:rsidRPr="00801BFB" w14:paraId="4E6486E7" w14:textId="77777777" w:rsidTr="00801BFB">
        <w:tc>
          <w:tcPr>
            <w:tcW w:w="1470" w:type="dxa"/>
          </w:tcPr>
          <w:p w14:paraId="1DED263A"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Residual</w:t>
            </w:r>
          </w:p>
        </w:tc>
        <w:tc>
          <w:tcPr>
            <w:tcW w:w="1470" w:type="dxa"/>
          </w:tcPr>
          <w:p w14:paraId="2DE04E59"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14.764</w:t>
            </w:r>
          </w:p>
        </w:tc>
        <w:tc>
          <w:tcPr>
            <w:tcW w:w="1470" w:type="dxa"/>
          </w:tcPr>
          <w:p w14:paraId="112A668E"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146</w:t>
            </w:r>
          </w:p>
        </w:tc>
        <w:tc>
          <w:tcPr>
            <w:tcW w:w="1470" w:type="dxa"/>
          </w:tcPr>
          <w:p w14:paraId="22AD0E3C"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0.101</w:t>
            </w:r>
          </w:p>
        </w:tc>
        <w:tc>
          <w:tcPr>
            <w:tcW w:w="1471" w:type="dxa"/>
          </w:tcPr>
          <w:p w14:paraId="6407D38F"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1471" w:type="dxa"/>
          </w:tcPr>
          <w:p w14:paraId="1B4C04E5"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p>
        </w:tc>
      </w:tr>
      <w:tr w:rsidR="00801BFB" w:rsidRPr="00801BFB" w14:paraId="302BFEB8" w14:textId="77777777" w:rsidTr="00801BFB">
        <w:tc>
          <w:tcPr>
            <w:tcW w:w="1470" w:type="dxa"/>
          </w:tcPr>
          <w:p w14:paraId="0198313A"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Total</w:t>
            </w:r>
          </w:p>
        </w:tc>
        <w:tc>
          <w:tcPr>
            <w:tcW w:w="1470" w:type="dxa"/>
          </w:tcPr>
          <w:p w14:paraId="46A5215D"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43.326</w:t>
            </w:r>
          </w:p>
        </w:tc>
        <w:tc>
          <w:tcPr>
            <w:tcW w:w="1470" w:type="dxa"/>
          </w:tcPr>
          <w:p w14:paraId="47FDB577"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149</w:t>
            </w:r>
          </w:p>
        </w:tc>
        <w:tc>
          <w:tcPr>
            <w:tcW w:w="1470" w:type="dxa"/>
          </w:tcPr>
          <w:p w14:paraId="6B2782E0"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1471" w:type="dxa"/>
          </w:tcPr>
          <w:p w14:paraId="65D4B3C0"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p>
        </w:tc>
        <w:tc>
          <w:tcPr>
            <w:tcW w:w="1471" w:type="dxa"/>
          </w:tcPr>
          <w:p w14:paraId="2C00A7A4" w14:textId="77777777" w:rsidR="00801BFB" w:rsidRPr="00801BFB" w:rsidRDefault="00801BFB" w:rsidP="0091105E">
            <w:pPr>
              <w:bidi w:val="0"/>
              <w:spacing w:line="360" w:lineRule="auto"/>
              <w:jc w:val="both"/>
              <w:rPr>
                <w:rFonts w:asciiTheme="majorBidi" w:eastAsiaTheme="minorEastAsia" w:hAnsiTheme="majorBidi" w:cstheme="majorBidi"/>
                <w:color w:val="000000" w:themeColor="text1"/>
                <w:kern w:val="0"/>
                <w:sz w:val="28"/>
                <w:szCs w:val="28"/>
                <w14:ligatures w14:val="none"/>
              </w:rPr>
            </w:pPr>
          </w:p>
        </w:tc>
      </w:tr>
    </w:tbl>
    <w:p w14:paraId="6E069D8D"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ED71812"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ANOVA Results for Regression Model of Infection Control Practices</w:t>
      </w:r>
    </w:p>
    <w:p w14:paraId="6CC328F4"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(Note: p &lt; 0.001, highly significant)</w:t>
      </w:r>
    </w:p>
    <w:p w14:paraId="1606FE3F"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554760E"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ANOVA results indicate that the model is statistically significant (F = 64.574, p &lt; 0.001), confirming that the independent variables collectively influence infection control practices.</w:t>
      </w:r>
    </w:p>
    <w:p w14:paraId="3441AF48"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6EE3FD6"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4.10: Coefficients of Regression Model</w:t>
      </w:r>
    </w:p>
    <w:p w14:paraId="0D13D70D"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1507"/>
        <w:gridCol w:w="1974"/>
        <w:gridCol w:w="1200"/>
        <w:gridCol w:w="1678"/>
        <w:gridCol w:w="1201"/>
        <w:gridCol w:w="1262"/>
      </w:tblGrid>
      <w:tr w:rsidR="00801BFB" w:rsidRPr="00801BFB" w14:paraId="42EFD7F6" w14:textId="77777777" w:rsidTr="00801BFB">
        <w:tc>
          <w:tcPr>
            <w:tcW w:w="1470" w:type="dxa"/>
          </w:tcPr>
          <w:p w14:paraId="3EC1E5B7"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Predictor</w:t>
            </w:r>
          </w:p>
        </w:tc>
        <w:tc>
          <w:tcPr>
            <w:tcW w:w="1470" w:type="dxa"/>
          </w:tcPr>
          <w:p w14:paraId="2F96828F"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Unstandardized B</w:t>
            </w:r>
          </w:p>
        </w:tc>
        <w:tc>
          <w:tcPr>
            <w:tcW w:w="1470" w:type="dxa"/>
          </w:tcPr>
          <w:p w14:paraId="3C1B8310"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Std. Error</w:t>
            </w:r>
          </w:p>
        </w:tc>
        <w:tc>
          <w:tcPr>
            <w:tcW w:w="1470" w:type="dxa"/>
          </w:tcPr>
          <w:p w14:paraId="067FD1DC"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Standardized Beta</w:t>
            </w:r>
          </w:p>
        </w:tc>
        <w:tc>
          <w:tcPr>
            <w:tcW w:w="1471" w:type="dxa"/>
          </w:tcPr>
          <w:p w14:paraId="70A29E9D"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t</w:t>
            </w:r>
          </w:p>
        </w:tc>
        <w:tc>
          <w:tcPr>
            <w:tcW w:w="1471" w:type="dxa"/>
          </w:tcPr>
          <w:p w14:paraId="29ABE7FF"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Sig.</w:t>
            </w:r>
          </w:p>
        </w:tc>
      </w:tr>
      <w:tr w:rsidR="00801BFB" w:rsidRPr="00801BFB" w14:paraId="323446F0" w14:textId="77777777" w:rsidTr="00801BFB">
        <w:tc>
          <w:tcPr>
            <w:tcW w:w="1470" w:type="dxa"/>
          </w:tcPr>
          <w:p w14:paraId="063CC64C"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(Constant)</w:t>
            </w:r>
          </w:p>
        </w:tc>
        <w:tc>
          <w:tcPr>
            <w:tcW w:w="1470" w:type="dxa"/>
          </w:tcPr>
          <w:p w14:paraId="6490017D"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0.672</w:t>
            </w:r>
          </w:p>
        </w:tc>
        <w:tc>
          <w:tcPr>
            <w:tcW w:w="1470" w:type="dxa"/>
          </w:tcPr>
          <w:p w14:paraId="0395F4E0"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0.228</w:t>
            </w:r>
          </w:p>
        </w:tc>
        <w:tc>
          <w:tcPr>
            <w:tcW w:w="1470" w:type="dxa"/>
          </w:tcPr>
          <w:p w14:paraId="2ADFEE66"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w:t>
            </w:r>
          </w:p>
        </w:tc>
        <w:tc>
          <w:tcPr>
            <w:tcW w:w="1471" w:type="dxa"/>
          </w:tcPr>
          <w:p w14:paraId="6BC97B4B"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2.948</w:t>
            </w:r>
          </w:p>
        </w:tc>
        <w:tc>
          <w:tcPr>
            <w:tcW w:w="1471" w:type="dxa"/>
          </w:tcPr>
          <w:p w14:paraId="2B8BEDF3"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.004</w:t>
            </w:r>
          </w:p>
        </w:tc>
      </w:tr>
      <w:tr w:rsidR="00801BFB" w:rsidRPr="00801BFB" w14:paraId="33D821B4" w14:textId="77777777" w:rsidTr="00801BFB">
        <w:tc>
          <w:tcPr>
            <w:tcW w:w="1470" w:type="dxa"/>
          </w:tcPr>
          <w:p w14:paraId="1A923FDA"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Knowledge</w:t>
            </w:r>
          </w:p>
        </w:tc>
        <w:tc>
          <w:tcPr>
            <w:tcW w:w="1470" w:type="dxa"/>
          </w:tcPr>
          <w:p w14:paraId="77A85FCA"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0.231</w:t>
            </w:r>
          </w:p>
        </w:tc>
        <w:tc>
          <w:tcPr>
            <w:tcW w:w="1470" w:type="dxa"/>
          </w:tcPr>
          <w:p w14:paraId="116FC12C"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0.072</w:t>
            </w:r>
          </w:p>
        </w:tc>
        <w:tc>
          <w:tcPr>
            <w:tcW w:w="1470" w:type="dxa"/>
          </w:tcPr>
          <w:p w14:paraId="075260F9"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.226</w:t>
            </w:r>
          </w:p>
        </w:tc>
        <w:tc>
          <w:tcPr>
            <w:tcW w:w="1471" w:type="dxa"/>
          </w:tcPr>
          <w:p w14:paraId="7E5ED578"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3.208</w:t>
            </w:r>
          </w:p>
        </w:tc>
        <w:tc>
          <w:tcPr>
            <w:tcW w:w="1471" w:type="dxa"/>
          </w:tcPr>
          <w:p w14:paraId="17305275"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.002**</w:t>
            </w:r>
          </w:p>
        </w:tc>
      </w:tr>
      <w:tr w:rsidR="00801BFB" w:rsidRPr="00801BFB" w14:paraId="71A90D9E" w14:textId="77777777" w:rsidTr="00801BFB">
        <w:tc>
          <w:tcPr>
            <w:tcW w:w="1470" w:type="dxa"/>
          </w:tcPr>
          <w:p w14:paraId="0591D002"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Attitude</w:t>
            </w:r>
          </w:p>
        </w:tc>
        <w:tc>
          <w:tcPr>
            <w:tcW w:w="1470" w:type="dxa"/>
          </w:tcPr>
          <w:p w14:paraId="45E5997E"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0.321</w:t>
            </w:r>
          </w:p>
        </w:tc>
        <w:tc>
          <w:tcPr>
            <w:tcW w:w="1470" w:type="dxa"/>
          </w:tcPr>
          <w:p w14:paraId="143E5C87"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0.067</w:t>
            </w:r>
          </w:p>
        </w:tc>
        <w:tc>
          <w:tcPr>
            <w:tcW w:w="1470" w:type="dxa"/>
          </w:tcPr>
          <w:p w14:paraId="37707425"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.342</w:t>
            </w:r>
          </w:p>
        </w:tc>
        <w:tc>
          <w:tcPr>
            <w:tcW w:w="1471" w:type="dxa"/>
          </w:tcPr>
          <w:p w14:paraId="702485C2"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4.791</w:t>
            </w:r>
          </w:p>
        </w:tc>
        <w:tc>
          <w:tcPr>
            <w:tcW w:w="1471" w:type="dxa"/>
          </w:tcPr>
          <w:p w14:paraId="442C46E8"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.000**</w:t>
            </w:r>
          </w:p>
        </w:tc>
      </w:tr>
      <w:tr w:rsidR="00801BFB" w:rsidRPr="00801BFB" w14:paraId="41E8F6BA" w14:textId="77777777" w:rsidTr="00801BFB">
        <w:tc>
          <w:tcPr>
            <w:tcW w:w="1470" w:type="dxa"/>
          </w:tcPr>
          <w:p w14:paraId="7D7C5058"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Perception</w:t>
            </w:r>
          </w:p>
        </w:tc>
        <w:tc>
          <w:tcPr>
            <w:tcW w:w="1470" w:type="dxa"/>
          </w:tcPr>
          <w:p w14:paraId="25233A07"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0.389</w:t>
            </w:r>
          </w:p>
        </w:tc>
        <w:tc>
          <w:tcPr>
            <w:tcW w:w="1470" w:type="dxa"/>
          </w:tcPr>
          <w:p w14:paraId="5375F456"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0.071</w:t>
            </w:r>
          </w:p>
        </w:tc>
        <w:tc>
          <w:tcPr>
            <w:tcW w:w="1470" w:type="dxa"/>
          </w:tcPr>
          <w:p w14:paraId="6F2B6041"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.403</w:t>
            </w:r>
          </w:p>
        </w:tc>
        <w:tc>
          <w:tcPr>
            <w:tcW w:w="1471" w:type="dxa"/>
          </w:tcPr>
          <w:p w14:paraId="6E1895B9"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5.478</w:t>
            </w:r>
          </w:p>
        </w:tc>
        <w:tc>
          <w:tcPr>
            <w:tcW w:w="1471" w:type="dxa"/>
          </w:tcPr>
          <w:p w14:paraId="4034BAA4" w14:textId="77777777" w:rsidR="00801BFB" w:rsidRPr="00801BFB" w:rsidRDefault="00801BFB" w:rsidP="00861AD3">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01BFB">
              <w:rPr>
                <w:rFonts w:asciiTheme="majorBidi" w:eastAsiaTheme="minorEastAsia" w:hAnsiTheme="majorBidi" w:cstheme="majorBidi"/>
                <w:color w:val="000000" w:themeColor="text1"/>
                <w:kern w:val="0"/>
                <w:sz w:val="28"/>
                <w:szCs w:val="28"/>
                <w14:ligatures w14:val="none"/>
              </w:rPr>
              <w:t>.000**</w:t>
            </w:r>
          </w:p>
        </w:tc>
      </w:tr>
    </w:tbl>
    <w:p w14:paraId="5C738024"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607BF24"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Table Title: Coefficients of Regression Predicting Infection Control Practice</w:t>
      </w:r>
    </w:p>
    <w:p w14:paraId="6D05300E" w14:textId="4A441B91" w:rsidR="00FE01BA" w:rsidRPr="00A43700" w:rsidRDefault="00FE01BA" w:rsidP="00801BF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(Note: p &lt; 0.01 for all predictors)</w:t>
      </w:r>
    </w:p>
    <w:p w14:paraId="7B117ECC"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coefficient analysis identifies Perception (β = .403) as the strongest predictor of infection control practice, followed by Attitude (β = .342) and Knowledge (β = .226).</w:t>
      </w:r>
    </w:p>
    <w:p w14:paraId="7E1B89A7" w14:textId="214E0C8C" w:rsidR="00FE01BA" w:rsidRPr="00A43700" w:rsidRDefault="00FE01BA" w:rsidP="00801BF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finding suggests that when healthcare workers perceive risk management systems as effective and receive strong institutional support, they are more likely to adhere to infection prevention protocols.</w:t>
      </w:r>
    </w:p>
    <w:p w14:paraId="017CB9F7"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Knowledge, while essential, exerts a comparatively lower influence—emphasizing that awareness must be coupled with motivation and systemic reinforcement to translate into consistent practice.</w:t>
      </w:r>
    </w:p>
    <w:p w14:paraId="28F6FA98"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5F86619" w14:textId="77777777" w:rsidR="00FE01BA" w:rsidRPr="00A43700" w:rsidRDefault="00FE01BA"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64" w:name="_Toc212139885"/>
      <w:r w:rsidRPr="00A43700">
        <w:rPr>
          <w:rFonts w:asciiTheme="majorBidi" w:eastAsiaTheme="minorEastAsia" w:hAnsiTheme="majorBidi" w:cstheme="majorBidi"/>
          <w:color w:val="000000" w:themeColor="text1"/>
          <w:kern w:val="0"/>
          <w:sz w:val="28"/>
          <w:szCs w:val="28"/>
          <w14:ligatures w14:val="none"/>
        </w:rPr>
        <w:t>4.12 Hypothesis Testing</w:t>
      </w:r>
      <w:bookmarkEnd w:id="64"/>
    </w:p>
    <w:p w14:paraId="457199FF"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22DA3B7"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study proposed several hypotheses to evaluate the relationship between risk management practices and infection control outcomes. The following section presents the testing results and their interpretations.</w:t>
      </w:r>
    </w:p>
    <w:p w14:paraId="1BEE7E12"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767432B"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4.11: Summary of Hypothesis Testing Results</w:t>
      </w:r>
    </w:p>
    <w:p w14:paraId="3F889F2A"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1534"/>
        <w:gridCol w:w="2753"/>
        <w:gridCol w:w="1850"/>
        <w:gridCol w:w="1411"/>
        <w:gridCol w:w="1274"/>
      </w:tblGrid>
      <w:tr w:rsidR="005D6B7D" w:rsidRPr="005D6B7D" w14:paraId="7AFD3C3D" w14:textId="77777777" w:rsidTr="005D6B7D">
        <w:tc>
          <w:tcPr>
            <w:tcW w:w="0" w:type="auto"/>
          </w:tcPr>
          <w:p w14:paraId="1980A5D3"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Hypothesis Code</w:t>
            </w:r>
          </w:p>
        </w:tc>
        <w:tc>
          <w:tcPr>
            <w:tcW w:w="0" w:type="auto"/>
          </w:tcPr>
          <w:p w14:paraId="77665ACD"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Statement</w:t>
            </w:r>
          </w:p>
        </w:tc>
        <w:tc>
          <w:tcPr>
            <w:tcW w:w="0" w:type="auto"/>
          </w:tcPr>
          <w:p w14:paraId="2CB671CB"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Statistical Test</w:t>
            </w:r>
          </w:p>
        </w:tc>
        <w:tc>
          <w:tcPr>
            <w:tcW w:w="0" w:type="auto"/>
          </w:tcPr>
          <w:p w14:paraId="6E38543B"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Result</w:t>
            </w:r>
          </w:p>
        </w:tc>
        <w:tc>
          <w:tcPr>
            <w:tcW w:w="0" w:type="auto"/>
          </w:tcPr>
          <w:p w14:paraId="02045353"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Decision</w:t>
            </w:r>
          </w:p>
        </w:tc>
      </w:tr>
      <w:tr w:rsidR="005D6B7D" w:rsidRPr="005D6B7D" w14:paraId="2988733A" w14:textId="77777777" w:rsidTr="005D6B7D">
        <w:tc>
          <w:tcPr>
            <w:tcW w:w="0" w:type="auto"/>
          </w:tcPr>
          <w:p w14:paraId="5FFCECFE"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H1</w:t>
            </w:r>
          </w:p>
        </w:tc>
        <w:tc>
          <w:tcPr>
            <w:tcW w:w="0" w:type="auto"/>
          </w:tcPr>
          <w:p w14:paraId="051CAE35"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There is a significant relationship between staff knowledge and infection control practices.</w:t>
            </w:r>
          </w:p>
        </w:tc>
        <w:tc>
          <w:tcPr>
            <w:tcW w:w="0" w:type="auto"/>
          </w:tcPr>
          <w:p w14:paraId="3853EA3E"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Pearson correlation (r = .587, p &lt; .01)</w:t>
            </w:r>
          </w:p>
        </w:tc>
        <w:tc>
          <w:tcPr>
            <w:tcW w:w="0" w:type="auto"/>
          </w:tcPr>
          <w:p w14:paraId="064E0ED7"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Supported</w:t>
            </w:r>
          </w:p>
        </w:tc>
        <w:tc>
          <w:tcPr>
            <w:tcW w:w="0" w:type="auto"/>
          </w:tcPr>
          <w:p w14:paraId="7B9BF810"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Accepted</w:t>
            </w:r>
          </w:p>
        </w:tc>
      </w:tr>
      <w:tr w:rsidR="005D6B7D" w:rsidRPr="005D6B7D" w14:paraId="5558C34D" w14:textId="77777777" w:rsidTr="005D6B7D">
        <w:tc>
          <w:tcPr>
            <w:tcW w:w="0" w:type="auto"/>
          </w:tcPr>
          <w:p w14:paraId="72B943D2"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lastRenderedPageBreak/>
              <w:t>H2</w:t>
            </w:r>
          </w:p>
        </w:tc>
        <w:tc>
          <w:tcPr>
            <w:tcW w:w="0" w:type="auto"/>
          </w:tcPr>
          <w:p w14:paraId="486BC1A1"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Attitudes toward risk management significantly influence infection control practices.</w:t>
            </w:r>
          </w:p>
        </w:tc>
        <w:tc>
          <w:tcPr>
            <w:tcW w:w="0" w:type="auto"/>
          </w:tcPr>
          <w:p w14:paraId="68F01E5E"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Regression (β = .342, p &lt; .001)</w:t>
            </w:r>
          </w:p>
        </w:tc>
        <w:tc>
          <w:tcPr>
            <w:tcW w:w="0" w:type="auto"/>
          </w:tcPr>
          <w:p w14:paraId="5EC9F707"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Supported</w:t>
            </w:r>
          </w:p>
        </w:tc>
        <w:tc>
          <w:tcPr>
            <w:tcW w:w="0" w:type="auto"/>
          </w:tcPr>
          <w:p w14:paraId="0516C38E"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Accepted</w:t>
            </w:r>
          </w:p>
        </w:tc>
      </w:tr>
      <w:tr w:rsidR="005D6B7D" w:rsidRPr="005D6B7D" w14:paraId="5784AD61" w14:textId="77777777" w:rsidTr="005D6B7D">
        <w:tc>
          <w:tcPr>
            <w:tcW w:w="0" w:type="auto"/>
          </w:tcPr>
          <w:p w14:paraId="49493AF6"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H3</w:t>
            </w:r>
          </w:p>
        </w:tc>
        <w:tc>
          <w:tcPr>
            <w:tcW w:w="0" w:type="auto"/>
          </w:tcPr>
          <w:p w14:paraId="1967CEFA"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Perceptions of risk management effectiveness significantly predict infection control practices.</w:t>
            </w:r>
          </w:p>
        </w:tc>
        <w:tc>
          <w:tcPr>
            <w:tcW w:w="0" w:type="auto"/>
          </w:tcPr>
          <w:p w14:paraId="3E7C1DF8"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Regression (β = .403, p &lt; .001)</w:t>
            </w:r>
          </w:p>
        </w:tc>
        <w:tc>
          <w:tcPr>
            <w:tcW w:w="0" w:type="auto"/>
          </w:tcPr>
          <w:p w14:paraId="3A968212"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Supported</w:t>
            </w:r>
          </w:p>
        </w:tc>
        <w:tc>
          <w:tcPr>
            <w:tcW w:w="0" w:type="auto"/>
          </w:tcPr>
          <w:p w14:paraId="3B08B140"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Accepted</w:t>
            </w:r>
          </w:p>
        </w:tc>
      </w:tr>
      <w:tr w:rsidR="005D6B7D" w:rsidRPr="005D6B7D" w14:paraId="711BE60C" w14:textId="77777777" w:rsidTr="005D6B7D">
        <w:tc>
          <w:tcPr>
            <w:tcW w:w="0" w:type="auto"/>
          </w:tcPr>
          <w:p w14:paraId="17FC46DF"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H4</w:t>
            </w:r>
          </w:p>
        </w:tc>
        <w:tc>
          <w:tcPr>
            <w:tcW w:w="0" w:type="auto"/>
          </w:tcPr>
          <w:p w14:paraId="44378A51"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Knowledge, attitude, and perception collectively explain a significant proportion of variance in infection control practices.</w:t>
            </w:r>
          </w:p>
        </w:tc>
        <w:tc>
          <w:tcPr>
            <w:tcW w:w="0" w:type="auto"/>
          </w:tcPr>
          <w:p w14:paraId="21C20CD6"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R² = .659, F = 64.574, p &lt; .001</w:t>
            </w:r>
          </w:p>
        </w:tc>
        <w:tc>
          <w:tcPr>
            <w:tcW w:w="0" w:type="auto"/>
          </w:tcPr>
          <w:p w14:paraId="2C732531"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Supported</w:t>
            </w:r>
          </w:p>
        </w:tc>
        <w:tc>
          <w:tcPr>
            <w:tcW w:w="0" w:type="auto"/>
          </w:tcPr>
          <w:p w14:paraId="58668C29"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Accepted</w:t>
            </w:r>
          </w:p>
        </w:tc>
      </w:tr>
      <w:tr w:rsidR="005D6B7D" w:rsidRPr="005D6B7D" w14:paraId="6CCE534B" w14:textId="77777777" w:rsidTr="005D6B7D">
        <w:tc>
          <w:tcPr>
            <w:tcW w:w="0" w:type="auto"/>
          </w:tcPr>
          <w:p w14:paraId="56553C71"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H5</w:t>
            </w:r>
          </w:p>
        </w:tc>
        <w:tc>
          <w:tcPr>
            <w:tcW w:w="0" w:type="auto"/>
          </w:tcPr>
          <w:p w14:paraId="1EFC8C0D"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There are no significant differences in infection control practices based on gender or department.</w:t>
            </w:r>
          </w:p>
        </w:tc>
        <w:tc>
          <w:tcPr>
            <w:tcW w:w="0" w:type="auto"/>
          </w:tcPr>
          <w:p w14:paraId="59958FC2"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Independent t-test, p &gt; .05</w:t>
            </w:r>
          </w:p>
        </w:tc>
        <w:tc>
          <w:tcPr>
            <w:tcW w:w="0" w:type="auto"/>
          </w:tcPr>
          <w:p w14:paraId="59B8F8CA"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Not Supported</w:t>
            </w:r>
          </w:p>
        </w:tc>
        <w:tc>
          <w:tcPr>
            <w:tcW w:w="0" w:type="auto"/>
          </w:tcPr>
          <w:p w14:paraId="282D4C21" w14:textId="77777777" w:rsidR="005D6B7D" w:rsidRPr="005D6B7D" w:rsidRDefault="005D6B7D" w:rsidP="00130525">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5D6B7D">
              <w:rPr>
                <w:rFonts w:asciiTheme="majorBidi" w:eastAsiaTheme="minorEastAsia" w:hAnsiTheme="majorBidi" w:cstheme="majorBidi"/>
                <w:color w:val="000000" w:themeColor="text1"/>
                <w:kern w:val="0"/>
                <w:sz w:val="28"/>
                <w:szCs w:val="28"/>
                <w14:ligatures w14:val="none"/>
              </w:rPr>
              <w:t>Rejected</w:t>
            </w:r>
          </w:p>
        </w:tc>
      </w:tr>
    </w:tbl>
    <w:p w14:paraId="7B39E9B5"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7C7AE53"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Summary of Hypothesis Testing Results on Risk Management and Infection Control (n = 150)</w:t>
      </w:r>
    </w:p>
    <w:p w14:paraId="4277A3CF"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2D40735"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Overall, the hypothesis testing results demonstrate that risk management awareness, positive attitudes, and strong perceptions of system effectiveness </w:t>
      </w:r>
      <w:r w:rsidRPr="00A43700">
        <w:rPr>
          <w:rFonts w:asciiTheme="majorBidi" w:eastAsiaTheme="minorEastAsia" w:hAnsiTheme="majorBidi" w:cstheme="majorBidi"/>
          <w:color w:val="000000" w:themeColor="text1"/>
          <w:kern w:val="0"/>
          <w:sz w:val="28"/>
          <w:szCs w:val="28"/>
          <w14:ligatures w14:val="none"/>
        </w:rPr>
        <w:lastRenderedPageBreak/>
        <w:t>significantly improve infection control behaviors among hospital staff. However, no significant gender or departmental differences were observed, suggesting that the hospital’s infection control policies are uniformly applied across professional categories.</w:t>
      </w:r>
    </w:p>
    <w:p w14:paraId="1B2528EA"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B9F5660" w14:textId="77777777" w:rsidR="00FE01BA" w:rsidRPr="00A43700" w:rsidRDefault="00FE01BA"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65" w:name="_Toc212139886"/>
      <w:r w:rsidRPr="00A43700">
        <w:rPr>
          <w:rFonts w:asciiTheme="majorBidi" w:eastAsiaTheme="minorEastAsia" w:hAnsiTheme="majorBidi" w:cstheme="majorBidi"/>
          <w:color w:val="000000" w:themeColor="text1"/>
          <w:kern w:val="0"/>
          <w:sz w:val="28"/>
          <w:szCs w:val="28"/>
          <w14:ligatures w14:val="none"/>
        </w:rPr>
        <w:t>4.13 Interpretation of Findings</w:t>
      </w:r>
      <w:bookmarkEnd w:id="65"/>
    </w:p>
    <w:p w14:paraId="2AC188A7"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DA4382C"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combined results of correlation, regression, and hypothesis testing converge to present a comprehensive understanding of how risk management mechanisms influence infection prevention outcomes.</w:t>
      </w:r>
    </w:p>
    <w:p w14:paraId="000BD118"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Key interpretations include:</w:t>
      </w:r>
    </w:p>
    <w:p w14:paraId="606148C7" w14:textId="77777777" w:rsidR="00FE01BA" w:rsidRPr="00A43700" w:rsidRDefault="00FE01BA"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1.</w:t>
      </w:r>
      <w:r w:rsidRPr="00A43700">
        <w:rPr>
          <w:rFonts w:asciiTheme="majorBidi" w:eastAsiaTheme="minorEastAsia" w:hAnsiTheme="majorBidi" w:cstheme="majorBidi"/>
          <w:color w:val="000000" w:themeColor="text1"/>
          <w:kern w:val="0"/>
          <w:sz w:val="28"/>
          <w:szCs w:val="28"/>
          <w14:ligatures w14:val="none"/>
        </w:rPr>
        <w:tab/>
        <w:t>Systemic Perception as the Key Driver:</w:t>
      </w:r>
    </w:p>
    <w:p w14:paraId="0F31E9F1"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perception of institutional efficiency and leadership support emerged as the most powerful determinant of infection control behavior. Staff who trust the system tend to engage more actively in preventive actions.</w:t>
      </w:r>
    </w:p>
    <w:p w14:paraId="08E87608" w14:textId="77777777" w:rsidR="00FE01BA" w:rsidRPr="00A43700" w:rsidRDefault="00FE01BA"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2.</w:t>
      </w:r>
      <w:r w:rsidRPr="00A43700">
        <w:rPr>
          <w:rFonts w:asciiTheme="majorBidi" w:eastAsiaTheme="minorEastAsia" w:hAnsiTheme="majorBidi" w:cstheme="majorBidi"/>
          <w:color w:val="000000" w:themeColor="text1"/>
          <w:kern w:val="0"/>
          <w:sz w:val="28"/>
          <w:szCs w:val="28"/>
          <w14:ligatures w14:val="none"/>
        </w:rPr>
        <w:tab/>
        <w:t>Attitude Bridges Knowledge and Practice:</w:t>
      </w:r>
    </w:p>
    <w:p w14:paraId="5904BC37"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Positive attitudes serve as a behavioral bridge translating theoretical knowledge into consistent clinical practice. Training programs that emphasize motivation and shared accountability may thus produce greater practical adherence.</w:t>
      </w:r>
    </w:p>
    <w:p w14:paraId="25B5635F" w14:textId="77777777" w:rsidR="00FE01BA" w:rsidRPr="00A43700" w:rsidRDefault="00FE01BA"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3.</w:t>
      </w:r>
      <w:r w:rsidRPr="00A43700">
        <w:rPr>
          <w:rFonts w:asciiTheme="majorBidi" w:eastAsiaTheme="minorEastAsia" w:hAnsiTheme="majorBidi" w:cstheme="majorBidi"/>
          <w:color w:val="000000" w:themeColor="text1"/>
          <w:kern w:val="0"/>
          <w:sz w:val="28"/>
          <w:szCs w:val="28"/>
          <w14:ligatures w14:val="none"/>
        </w:rPr>
        <w:tab/>
        <w:t>Knowledge Alone is Insufficient:</w:t>
      </w:r>
    </w:p>
    <w:p w14:paraId="3AB201BD"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While essential, knowledge without supportive leadership and monitoring may fail to produce behavioral change. This aligns with behavioral theory, which posits that cognition must be reinforced by organizational culture.</w:t>
      </w:r>
    </w:p>
    <w:p w14:paraId="59F97B69" w14:textId="77777777" w:rsidR="00FE01BA" w:rsidRPr="00A43700" w:rsidRDefault="00FE01BA"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4.</w:t>
      </w:r>
      <w:r w:rsidRPr="00A43700">
        <w:rPr>
          <w:rFonts w:asciiTheme="majorBidi" w:eastAsiaTheme="minorEastAsia" w:hAnsiTheme="majorBidi" w:cstheme="majorBidi"/>
          <w:color w:val="000000" w:themeColor="text1"/>
          <w:kern w:val="0"/>
          <w:sz w:val="28"/>
          <w:szCs w:val="28"/>
          <w14:ligatures w14:val="none"/>
        </w:rPr>
        <w:tab/>
        <w:t>Uniform Implementation Across Departments:</w:t>
      </w:r>
    </w:p>
    <w:p w14:paraId="53005D7C"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absence of significant departmental differences indicates standardized infection control policies across KFSHRC, an important benchmark for institutional excellence.</w:t>
      </w:r>
    </w:p>
    <w:p w14:paraId="500F3EEE" w14:textId="77777777" w:rsidR="00FE01BA" w:rsidRPr="00A43700" w:rsidRDefault="00FE01BA"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ab/>
        <w:t>5.</w:t>
      </w:r>
      <w:r w:rsidRPr="00A43700">
        <w:rPr>
          <w:rFonts w:asciiTheme="majorBidi" w:eastAsiaTheme="minorEastAsia" w:hAnsiTheme="majorBidi" w:cstheme="majorBidi"/>
          <w:color w:val="000000" w:themeColor="text1"/>
          <w:kern w:val="0"/>
          <w:sz w:val="28"/>
          <w:szCs w:val="28"/>
          <w14:ligatures w14:val="none"/>
        </w:rPr>
        <w:tab/>
        <w:t>High Predictive Power of Model (R² = 0.659):</w:t>
      </w:r>
    </w:p>
    <w:p w14:paraId="73EE04FA"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explanatory strength of the regression model suggests that the existing risk management framework at KFSHRC is both efficient and predictive of staff compliance behaviors, serving as a strong institutional model.</w:t>
      </w:r>
    </w:p>
    <w:p w14:paraId="0D41E6D4"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4411E2B" w14:textId="77777777" w:rsidR="00FE01BA" w:rsidRPr="00A43700" w:rsidRDefault="00FE01BA"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66" w:name="_Toc212139887"/>
      <w:r w:rsidRPr="00A43700">
        <w:rPr>
          <w:rFonts w:asciiTheme="majorBidi" w:eastAsiaTheme="minorEastAsia" w:hAnsiTheme="majorBidi" w:cstheme="majorBidi"/>
          <w:color w:val="000000" w:themeColor="text1"/>
          <w:kern w:val="0"/>
          <w:sz w:val="28"/>
          <w:szCs w:val="28"/>
          <w14:ligatures w14:val="none"/>
        </w:rPr>
        <w:t>4.14 Summary of Part Three</w:t>
      </w:r>
      <w:bookmarkEnd w:id="66"/>
    </w:p>
    <w:p w14:paraId="412F3894"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B9A6141"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part of the chapter demonstrates that effective risk management systems significantly enhance infection control practices among healthcare professionals.</w:t>
      </w:r>
    </w:p>
    <w:p w14:paraId="0051262C" w14:textId="425E651F" w:rsidR="00FE01BA" w:rsidRPr="00A43700" w:rsidRDefault="00FE01BA" w:rsidP="005D6B7D">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Quantitative tests validated the study’s hypotheses, establishing strong positive relationships among knowledge, attitudes, perceptions, and behavioral compliance.</w:t>
      </w:r>
    </w:p>
    <w:p w14:paraId="50891B3B" w14:textId="2CF6DBAC" w:rsidR="00FE01BA" w:rsidRPr="00A43700" w:rsidRDefault="00FE01BA" w:rsidP="005D6B7D">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findings affirm that risk management is not merely a regulatory function but a behavioral catalyst that shapes hospital culture, staff performance, and patient safety outcomes.</w:t>
      </w:r>
    </w:p>
    <w:p w14:paraId="36E683B8" w14:textId="77777777" w:rsidR="00FE01BA" w:rsidRPr="00A43700" w:rsidRDefault="00FE01B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However, the analysis also implies that continuous monitoring, transparent feedback mechanisms, and motivational reinforcement are necessary to sustain compliance in the long term.</w:t>
      </w:r>
    </w:p>
    <w:p w14:paraId="1FC1842D"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DF871E3" w14:textId="77777777" w:rsidR="00783648" w:rsidRPr="00A43700" w:rsidRDefault="00783648"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67" w:name="_Toc212139888"/>
      <w:r w:rsidRPr="00A43700">
        <w:rPr>
          <w:rFonts w:asciiTheme="majorBidi" w:eastAsiaTheme="minorEastAsia" w:hAnsiTheme="majorBidi" w:cstheme="majorBidi"/>
          <w:color w:val="000000" w:themeColor="text1"/>
          <w:kern w:val="0"/>
          <w:sz w:val="28"/>
          <w:szCs w:val="28"/>
          <w14:ligatures w14:val="none"/>
        </w:rPr>
        <w:t>4.15 Qualitative Analysis of Open-Ended Responses</w:t>
      </w:r>
      <w:bookmarkEnd w:id="67"/>
    </w:p>
    <w:p w14:paraId="1F35EC81"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2BEDEF0"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In addition to the quantitative survey and statistical tests, the study incorporated qualitative open-ended questions (items 25 and 26 in the questionnaire) to gain deeper insight into participants’ experiences, perceptions, and suggestions regarding risk management and infection control practices at King Faisal Specialist Hospital and Research Centre (KFSHRC).</w:t>
      </w:r>
    </w:p>
    <w:p w14:paraId="1F7B815E"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7D62128" w14:textId="50C41304" w:rsidR="00783648" w:rsidRPr="00A43700" w:rsidRDefault="00783648" w:rsidP="00860C9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Out of the 150 respondents, 132 provided usable qualitative responses, representing an 88% qualitative response rate—a remarkably high level of engagement indicative of the participants’ concern for infection prevention and institutional improvement.</w:t>
      </w:r>
    </w:p>
    <w:p w14:paraId="0CC2AC9D"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Thematic analysis was conducted using Braun &amp; Clarke’s (2006) six-phase framework, encompassing data familiarization, initial coding, theme generation, review, naming, and interpretation. The qualitative findings are organized into five dominant themes with supporting quotes and interpretations.</w:t>
      </w:r>
    </w:p>
    <w:p w14:paraId="2364B58A"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99532F1" w14:textId="77777777" w:rsidR="00783648" w:rsidRPr="00A43700" w:rsidRDefault="00783648" w:rsidP="00B572D1">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68" w:name="_Toc212139889"/>
      <w:r w:rsidRPr="00A43700">
        <w:rPr>
          <w:rFonts w:asciiTheme="majorBidi" w:eastAsiaTheme="minorEastAsia" w:hAnsiTheme="majorBidi" w:cstheme="majorBidi"/>
          <w:color w:val="000000" w:themeColor="text1"/>
          <w:kern w:val="0"/>
          <w:sz w:val="28"/>
          <w:szCs w:val="28"/>
          <w14:ligatures w14:val="none"/>
        </w:rPr>
        <w:t>4.15.1 Theme 1: Resource Constraints and Workload Pressures</w:t>
      </w:r>
      <w:bookmarkEnd w:id="68"/>
    </w:p>
    <w:p w14:paraId="1BD03027"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EB114DA" w14:textId="0D1A5161" w:rsidR="00783648" w:rsidRPr="00A43700" w:rsidRDefault="00783648" w:rsidP="00860C9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 recurring concern among respondents was the inadequacy of human and material resources, particularly during high patient loads or emergency surges. Several nurses and infection control officers emphasized that shortages in staff and personal protective equipment (PPE) compromise compliance, even among those well-trained and motivated.</w:t>
      </w:r>
    </w:p>
    <w:p w14:paraId="3A79BA80" w14:textId="77777777" w:rsidR="00783648" w:rsidRPr="00A43700" w:rsidRDefault="00783648" w:rsidP="00A43700">
      <w:pPr>
        <w:bidi w:val="0"/>
        <w:spacing w:after="0" w:line="360" w:lineRule="auto"/>
        <w:ind w:left="225" w:hanging="22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“Sometimes we know what to do, but the workload makes it impossible to follow every protocol perfectly.” – ICU Nurse (Respondent #34)</w:t>
      </w:r>
    </w:p>
    <w:p w14:paraId="4239CB27" w14:textId="45B0B04F" w:rsidR="00783648" w:rsidRPr="00A43700" w:rsidRDefault="00783648" w:rsidP="00860C9F">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“PPE is not always available in all units at all times; this increases anxiety and non-compliance.” – Infection Control Officer (Respondent #47)</w:t>
      </w:r>
    </w:p>
    <w:p w14:paraId="3E336984"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theme underscores a structural and systemic dimension of infection control, highlighting that effective risk management must not only focus on policies but also ensure resource availability. The findings align with existing literature emphasizing that organizational readiness and logistical support are critical determinants of infection prevention success.</w:t>
      </w:r>
    </w:p>
    <w:p w14:paraId="5563B854" w14:textId="77777777" w:rsidR="00783648"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5934EF0" w14:textId="77777777" w:rsidR="00860C9F" w:rsidRDefault="00860C9F" w:rsidP="00860C9F">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B818693" w14:textId="77777777" w:rsidR="00860C9F" w:rsidRDefault="00860C9F" w:rsidP="00860C9F">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32D58B5" w14:textId="77777777" w:rsidR="00860C9F" w:rsidRPr="00A43700" w:rsidRDefault="00860C9F" w:rsidP="00860C9F">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DA36460" w14:textId="77777777" w:rsidR="00783648" w:rsidRPr="00A43700" w:rsidRDefault="00783648" w:rsidP="00B572D1">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69" w:name="_Toc212139890"/>
      <w:r w:rsidRPr="00A43700">
        <w:rPr>
          <w:rFonts w:asciiTheme="majorBidi" w:eastAsiaTheme="minorEastAsia" w:hAnsiTheme="majorBidi" w:cstheme="majorBidi"/>
          <w:color w:val="000000" w:themeColor="text1"/>
          <w:kern w:val="0"/>
          <w:sz w:val="28"/>
          <w:szCs w:val="28"/>
          <w14:ligatures w14:val="none"/>
        </w:rPr>
        <w:lastRenderedPageBreak/>
        <w:t>4.15.2 Theme 2: Organizational Culture and Leadership Commitment</w:t>
      </w:r>
      <w:bookmarkEnd w:id="69"/>
    </w:p>
    <w:p w14:paraId="304EAC5D"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5373E6E"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Many respondents highlighted the central role of leadership in shaping the hospital’s infection control culture. When leaders demonstrate visible commitment and hold staff accountable, compliance rates improve substantially. Conversely, when infection control is treated as a secondary priority, staff morale and vigilance decline.</w:t>
      </w:r>
    </w:p>
    <w:p w14:paraId="4362E936"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499A1FF" w14:textId="77777777" w:rsidR="00783648" w:rsidRPr="00A43700" w:rsidRDefault="00783648" w:rsidP="00A43700">
      <w:pPr>
        <w:bidi w:val="0"/>
        <w:spacing w:after="0" w:line="360" w:lineRule="auto"/>
        <w:ind w:left="225" w:hanging="22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“When senior management actively participates in infection control rounds, everyone takes it seriously.” – Risk Management Staff (Respondent #88)</w:t>
      </w:r>
    </w:p>
    <w:p w14:paraId="54E88442"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“Culture comes from the top; if leaders don’t enforce rules consistently, people stop caring.” – Physician (Respondent #102)</w:t>
      </w:r>
    </w:p>
    <w:p w14:paraId="7726C2E5"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50FD31D"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theme reinforces the importance of leadership visibility, accountability structures, and communication in fostering a culture of safety. A strong “safety climate”—where infection control is viewed as everyone’s responsibility—emerges as a key differentiator of effective healthcare organizations.</w:t>
      </w:r>
    </w:p>
    <w:p w14:paraId="6B22C60A"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0146AEA" w14:textId="77777777" w:rsidR="00783648" w:rsidRPr="00A43700" w:rsidRDefault="00783648" w:rsidP="00B572D1">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70" w:name="_Toc212139891"/>
      <w:r w:rsidRPr="00A43700">
        <w:rPr>
          <w:rFonts w:asciiTheme="majorBidi" w:eastAsiaTheme="minorEastAsia" w:hAnsiTheme="majorBidi" w:cstheme="majorBidi"/>
          <w:color w:val="000000" w:themeColor="text1"/>
          <w:kern w:val="0"/>
          <w:sz w:val="28"/>
          <w:szCs w:val="28"/>
          <w14:ligatures w14:val="none"/>
        </w:rPr>
        <w:t>4.15.3 Theme 3: Continuous Training and Knowledge Reinforcement</w:t>
      </w:r>
      <w:bookmarkEnd w:id="70"/>
    </w:p>
    <w:p w14:paraId="1A566176"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EE5A628"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Nearly all professional groups emphasized the necessity of ongoing education and refresher training programs. Respondents noted that while initial orientation sessions are comprehensive, continuous reinforcement is essential to maintain awareness and adapt to evolving infection risks.</w:t>
      </w:r>
    </w:p>
    <w:p w14:paraId="4B2458DF"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C724518" w14:textId="77777777" w:rsidR="00783648" w:rsidRPr="00A43700" w:rsidRDefault="00783648" w:rsidP="00A43700">
      <w:pPr>
        <w:bidi w:val="0"/>
        <w:spacing w:after="0" w:line="360" w:lineRule="auto"/>
        <w:ind w:left="225" w:hanging="22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“The last infection control training I attended was over a year ago. Regular refreshers should be mandatory.” – Nurse Supervisor (Respondent #19)</w:t>
      </w:r>
    </w:p>
    <w:p w14:paraId="56D17AA4"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“New staff and rotating interns often miss important sessions, leading to knowledge gaps.” – Infection Prevention Specialist (Respondent #73)</w:t>
      </w:r>
    </w:p>
    <w:p w14:paraId="3D5AC603"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E6B3229"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theme indicates that training periodicity and inclusivity remain crucial gaps. While knowledge levels are generally high, retention and behavioral consistency require sustained institutional investment in learning and monitoring systems.</w:t>
      </w:r>
    </w:p>
    <w:p w14:paraId="51703D43"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9EB2288" w14:textId="77777777" w:rsidR="00783648" w:rsidRPr="00A43700" w:rsidRDefault="00783648" w:rsidP="00B572D1">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71" w:name="_Toc212139892"/>
      <w:r w:rsidRPr="00A43700">
        <w:rPr>
          <w:rFonts w:asciiTheme="majorBidi" w:eastAsiaTheme="minorEastAsia" w:hAnsiTheme="majorBidi" w:cstheme="majorBidi"/>
          <w:color w:val="000000" w:themeColor="text1"/>
          <w:kern w:val="0"/>
          <w:sz w:val="28"/>
          <w:szCs w:val="28"/>
          <w14:ligatures w14:val="none"/>
        </w:rPr>
        <w:t>4.15.4 Theme 4: Reporting Transparency and Fear of Blame</w:t>
      </w:r>
      <w:bookmarkEnd w:id="71"/>
    </w:p>
    <w:p w14:paraId="2C98AA87"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7D2BED4"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 sensitive but revealing theme was fear of reporting infection-related incidents due to perceived punitive responses. Several participants disclosed reluctance to file reports or near-miss documentation, fearing administrative repercussions or peer criticism.</w:t>
      </w:r>
    </w:p>
    <w:p w14:paraId="6AEFB749"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957577F" w14:textId="77777777" w:rsidR="00783648" w:rsidRPr="00A43700" w:rsidRDefault="00783648" w:rsidP="00A43700">
      <w:pPr>
        <w:bidi w:val="0"/>
        <w:spacing w:after="0" w:line="360" w:lineRule="auto"/>
        <w:ind w:left="225" w:hanging="22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“If you report an incident, people may see you as incompetent or careless.” – ER Nurse (Respondent #65)</w:t>
      </w:r>
    </w:p>
    <w:p w14:paraId="76C44CDE"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“We need a blame-free reporting culture. Errors should be seen as learning opportunities.” – Department Head (Respondent #111)</w:t>
      </w:r>
    </w:p>
    <w:p w14:paraId="63C5E784"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A4FB15C"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highlights a psychological barrier to effective risk management: while systems exist, organizational trust determines their use. Developing a non-punitive, learning-oriented reporting system would enhance early detection, data accuracy, and long-term performance improvement.</w:t>
      </w:r>
    </w:p>
    <w:p w14:paraId="1E53DA4F"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1EAD1E8" w14:textId="77777777" w:rsidR="00783648" w:rsidRPr="00A43700" w:rsidRDefault="00783648" w:rsidP="00B572D1">
      <w:pPr>
        <w:bidi w:val="0"/>
        <w:spacing w:after="0" w:line="360" w:lineRule="auto"/>
        <w:jc w:val="both"/>
        <w:outlineLvl w:val="2"/>
        <w:rPr>
          <w:rFonts w:asciiTheme="majorBidi" w:eastAsiaTheme="minorEastAsia" w:hAnsiTheme="majorBidi" w:cstheme="majorBidi"/>
          <w:color w:val="000000" w:themeColor="text1"/>
          <w:kern w:val="0"/>
          <w:sz w:val="28"/>
          <w:szCs w:val="28"/>
          <w14:ligatures w14:val="none"/>
        </w:rPr>
      </w:pPr>
      <w:bookmarkStart w:id="72" w:name="_Toc212139893"/>
      <w:r w:rsidRPr="00A43700">
        <w:rPr>
          <w:rFonts w:asciiTheme="majorBidi" w:eastAsiaTheme="minorEastAsia" w:hAnsiTheme="majorBidi" w:cstheme="majorBidi"/>
          <w:color w:val="000000" w:themeColor="text1"/>
          <w:kern w:val="0"/>
          <w:sz w:val="28"/>
          <w:szCs w:val="28"/>
          <w14:ligatures w14:val="none"/>
        </w:rPr>
        <w:t>4.15.5 Theme 5: Integration of Risk Management and Infection Control Units</w:t>
      </w:r>
      <w:bookmarkEnd w:id="72"/>
    </w:p>
    <w:p w14:paraId="78837683"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666797F"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Several respondents praised the hospital’s current risk management framework but called for closer coordination between the Risk Management Unit (RMU) and the Infection Prevention and Control (IPC) Department. They argued that </w:t>
      </w:r>
      <w:r w:rsidRPr="00A43700">
        <w:rPr>
          <w:rFonts w:asciiTheme="majorBidi" w:eastAsiaTheme="minorEastAsia" w:hAnsiTheme="majorBidi" w:cstheme="majorBidi"/>
          <w:color w:val="000000" w:themeColor="text1"/>
          <w:kern w:val="0"/>
          <w:sz w:val="28"/>
          <w:szCs w:val="28"/>
          <w14:ligatures w14:val="none"/>
        </w:rPr>
        <w:lastRenderedPageBreak/>
        <w:t>the two departments occasionally operate in parallel rather than as an integrated system.</w:t>
      </w:r>
    </w:p>
    <w:p w14:paraId="044FEB5C"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904E352" w14:textId="77777777" w:rsidR="00783648" w:rsidRPr="00A43700" w:rsidRDefault="00783648" w:rsidP="00A43700">
      <w:pPr>
        <w:bidi w:val="0"/>
        <w:spacing w:after="0" w:line="360" w:lineRule="auto"/>
        <w:ind w:left="225" w:hanging="22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“Risk management and infection control should share a single data platform for real-time monitoring.” – Infection Control Officer (Respondent #21)</w:t>
      </w:r>
    </w:p>
    <w:p w14:paraId="1B916B6D"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“Joint audits and feedback sessions could reduce duplication and improve outcomes.” – Risk Management Analyst (Respondent #127)</w:t>
      </w:r>
    </w:p>
    <w:p w14:paraId="34D2F5A3"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C263B2B"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theme points to an organizational synergy challenge — integration across departments can strengthen surveillance, ensure data-driven responses, and promote unified institutional learning.</w:t>
      </w:r>
    </w:p>
    <w:p w14:paraId="01B8A902"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43850AD" w14:textId="77777777" w:rsidR="00783648" w:rsidRPr="00A43700" w:rsidRDefault="00783648"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73" w:name="_Toc212139894"/>
      <w:r w:rsidRPr="00A43700">
        <w:rPr>
          <w:rFonts w:asciiTheme="majorBidi" w:eastAsiaTheme="minorEastAsia" w:hAnsiTheme="majorBidi" w:cstheme="majorBidi"/>
          <w:color w:val="000000" w:themeColor="text1"/>
          <w:kern w:val="0"/>
          <w:sz w:val="28"/>
          <w:szCs w:val="28"/>
          <w14:ligatures w14:val="none"/>
        </w:rPr>
        <w:t>4.16 Thematic Summary</w:t>
      </w:r>
      <w:bookmarkEnd w:id="73"/>
    </w:p>
    <w:p w14:paraId="1F7BB101"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74227A9"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4.12: Summary of Qualitative Themes and Key Findings</w:t>
      </w:r>
    </w:p>
    <w:p w14:paraId="6FF8765A"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2205"/>
        <w:gridCol w:w="2205"/>
        <w:gridCol w:w="2206"/>
        <w:gridCol w:w="2206"/>
      </w:tblGrid>
      <w:tr w:rsidR="00860C9F" w:rsidRPr="00860C9F" w14:paraId="251755ED" w14:textId="77777777" w:rsidTr="00860C9F">
        <w:tc>
          <w:tcPr>
            <w:tcW w:w="2205" w:type="dxa"/>
          </w:tcPr>
          <w:p w14:paraId="3941774F"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Theme</w:t>
            </w:r>
          </w:p>
        </w:tc>
        <w:tc>
          <w:tcPr>
            <w:tcW w:w="2205" w:type="dxa"/>
          </w:tcPr>
          <w:p w14:paraId="1F8AF1AF"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Description</w:t>
            </w:r>
          </w:p>
        </w:tc>
        <w:tc>
          <w:tcPr>
            <w:tcW w:w="2206" w:type="dxa"/>
          </w:tcPr>
          <w:p w14:paraId="30669434"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Key Insights</w:t>
            </w:r>
          </w:p>
        </w:tc>
        <w:tc>
          <w:tcPr>
            <w:tcW w:w="2206" w:type="dxa"/>
          </w:tcPr>
          <w:p w14:paraId="6A504942"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Policy Implications</w:t>
            </w:r>
          </w:p>
        </w:tc>
      </w:tr>
      <w:tr w:rsidR="00860C9F" w:rsidRPr="00860C9F" w14:paraId="61E0F1A2" w14:textId="77777777" w:rsidTr="00860C9F">
        <w:tc>
          <w:tcPr>
            <w:tcW w:w="2205" w:type="dxa"/>
          </w:tcPr>
          <w:p w14:paraId="0B481CA0"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1. Resource Constraints</w:t>
            </w:r>
          </w:p>
        </w:tc>
        <w:tc>
          <w:tcPr>
            <w:tcW w:w="2205" w:type="dxa"/>
          </w:tcPr>
          <w:p w14:paraId="687ECA17"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Staff and equipment shortages hinder compliance</w:t>
            </w:r>
          </w:p>
        </w:tc>
        <w:tc>
          <w:tcPr>
            <w:tcW w:w="2206" w:type="dxa"/>
          </w:tcPr>
          <w:p w14:paraId="631BB563"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Compliance affected by workload and supply chain</w:t>
            </w:r>
          </w:p>
        </w:tc>
        <w:tc>
          <w:tcPr>
            <w:tcW w:w="2206" w:type="dxa"/>
          </w:tcPr>
          <w:p w14:paraId="390A796C"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Prioritize resource allocation and real-time stock monitoring</w:t>
            </w:r>
          </w:p>
        </w:tc>
      </w:tr>
      <w:tr w:rsidR="00860C9F" w:rsidRPr="00860C9F" w14:paraId="46D7BE20" w14:textId="77777777" w:rsidTr="00860C9F">
        <w:tc>
          <w:tcPr>
            <w:tcW w:w="2205" w:type="dxa"/>
          </w:tcPr>
          <w:p w14:paraId="0DA2C60C"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2. Leadership and Culture</w:t>
            </w:r>
          </w:p>
        </w:tc>
        <w:tc>
          <w:tcPr>
            <w:tcW w:w="2205" w:type="dxa"/>
          </w:tcPr>
          <w:p w14:paraId="389466F1"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Leadership behavior influences infection control culture</w:t>
            </w:r>
          </w:p>
        </w:tc>
        <w:tc>
          <w:tcPr>
            <w:tcW w:w="2206" w:type="dxa"/>
          </w:tcPr>
          <w:p w14:paraId="303E0850"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Commitment and consistency drive compliance</w:t>
            </w:r>
          </w:p>
        </w:tc>
        <w:tc>
          <w:tcPr>
            <w:tcW w:w="2206" w:type="dxa"/>
          </w:tcPr>
          <w:p w14:paraId="56D1B9F5"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Develop visible leadership and reward systems</w:t>
            </w:r>
          </w:p>
        </w:tc>
      </w:tr>
      <w:tr w:rsidR="00860C9F" w:rsidRPr="00860C9F" w14:paraId="1813D29D" w14:textId="77777777" w:rsidTr="00860C9F">
        <w:tc>
          <w:tcPr>
            <w:tcW w:w="2205" w:type="dxa"/>
          </w:tcPr>
          <w:p w14:paraId="5DA5AE76"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lastRenderedPageBreak/>
              <w:t>3. Continuous Training</w:t>
            </w:r>
          </w:p>
        </w:tc>
        <w:tc>
          <w:tcPr>
            <w:tcW w:w="2205" w:type="dxa"/>
          </w:tcPr>
          <w:p w14:paraId="3822C0BB"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Regular refresher training needed</w:t>
            </w:r>
          </w:p>
        </w:tc>
        <w:tc>
          <w:tcPr>
            <w:tcW w:w="2206" w:type="dxa"/>
          </w:tcPr>
          <w:p w14:paraId="284893F0"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Knowledge retention and practice reinforcement</w:t>
            </w:r>
          </w:p>
        </w:tc>
        <w:tc>
          <w:tcPr>
            <w:tcW w:w="2206" w:type="dxa"/>
          </w:tcPr>
          <w:p w14:paraId="0360150A"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Institutionalize annual infection control certifications</w:t>
            </w:r>
          </w:p>
        </w:tc>
      </w:tr>
      <w:tr w:rsidR="00860C9F" w:rsidRPr="00860C9F" w14:paraId="5686A8CC" w14:textId="77777777" w:rsidTr="00860C9F">
        <w:tc>
          <w:tcPr>
            <w:tcW w:w="2205" w:type="dxa"/>
          </w:tcPr>
          <w:p w14:paraId="4B838A6E"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4. Reporting Transparency</w:t>
            </w:r>
          </w:p>
        </w:tc>
        <w:tc>
          <w:tcPr>
            <w:tcW w:w="2205" w:type="dxa"/>
          </w:tcPr>
          <w:p w14:paraId="10627D0C"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Fear of blame discourages reporting</w:t>
            </w:r>
          </w:p>
        </w:tc>
        <w:tc>
          <w:tcPr>
            <w:tcW w:w="2206" w:type="dxa"/>
          </w:tcPr>
          <w:p w14:paraId="2D63FC18"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Psychological safety needed for risk disclosure</w:t>
            </w:r>
          </w:p>
        </w:tc>
        <w:tc>
          <w:tcPr>
            <w:tcW w:w="2206" w:type="dxa"/>
          </w:tcPr>
          <w:p w14:paraId="6FCAEA2D"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Implement non-punitive, anonymous reporting mechanisms</w:t>
            </w:r>
          </w:p>
        </w:tc>
      </w:tr>
      <w:tr w:rsidR="00860C9F" w:rsidRPr="00860C9F" w14:paraId="73B8EA32" w14:textId="77777777" w:rsidTr="00860C9F">
        <w:tc>
          <w:tcPr>
            <w:tcW w:w="2205" w:type="dxa"/>
          </w:tcPr>
          <w:p w14:paraId="07067BE5"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5. Departmental Integration</w:t>
            </w:r>
          </w:p>
        </w:tc>
        <w:tc>
          <w:tcPr>
            <w:tcW w:w="2205" w:type="dxa"/>
          </w:tcPr>
          <w:p w14:paraId="1ECBB53E"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Coordination between RMU and IPC units</w:t>
            </w:r>
          </w:p>
        </w:tc>
        <w:tc>
          <w:tcPr>
            <w:tcW w:w="2206" w:type="dxa"/>
          </w:tcPr>
          <w:p w14:paraId="07F4D615"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Collaboration enhances data and response quality</w:t>
            </w:r>
          </w:p>
        </w:tc>
        <w:tc>
          <w:tcPr>
            <w:tcW w:w="2206" w:type="dxa"/>
          </w:tcPr>
          <w:p w14:paraId="56C58CD7" w14:textId="77777777" w:rsidR="00860C9F" w:rsidRPr="00860C9F" w:rsidRDefault="00860C9F" w:rsidP="00085F0D">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Establish integrated digital monitoring dashboards</w:t>
            </w:r>
          </w:p>
        </w:tc>
      </w:tr>
    </w:tbl>
    <w:p w14:paraId="4527796A"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669BCE3"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Summary of Major Qualitative Themes Derived from Open-Ended Responses (n = 132)</w:t>
      </w:r>
    </w:p>
    <w:p w14:paraId="71802116"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B8233EA"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Collectively, these themes provide an organizational and behavioral map of infection control dynamics at KFSHRC, reinforcing that infection prevention is not purely clinical—it is an outcome of institutional alignment, leadership culture, and trust-based communication.</w:t>
      </w:r>
    </w:p>
    <w:p w14:paraId="2D0E79A4"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F5D560E" w14:textId="77777777" w:rsidR="00783648" w:rsidRPr="00A43700" w:rsidRDefault="00783648"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74" w:name="_Toc212139895"/>
      <w:r w:rsidRPr="00A43700">
        <w:rPr>
          <w:rFonts w:asciiTheme="majorBidi" w:eastAsiaTheme="minorEastAsia" w:hAnsiTheme="majorBidi" w:cstheme="majorBidi"/>
          <w:color w:val="000000" w:themeColor="text1"/>
          <w:kern w:val="0"/>
          <w:sz w:val="28"/>
          <w:szCs w:val="28"/>
          <w14:ligatures w14:val="none"/>
        </w:rPr>
        <w:t>4.17 Thematic Model of Risk Management and Infection Control</w:t>
      </w:r>
      <w:bookmarkEnd w:id="74"/>
    </w:p>
    <w:p w14:paraId="5ABB29E1"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94291ED"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Based on both the quantitative and qualitative results, the study developed a conceptual thematic model illustrating the multi-layered relationship between risk management factors and infection control outcomes.</w:t>
      </w:r>
    </w:p>
    <w:p w14:paraId="69E50E3B"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35FE52C"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4.13: Thematic Model Linking Quantitative and Qualitative Findings</w:t>
      </w:r>
    </w:p>
    <w:p w14:paraId="60E78680"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2205"/>
        <w:gridCol w:w="2205"/>
        <w:gridCol w:w="2206"/>
        <w:gridCol w:w="2206"/>
      </w:tblGrid>
      <w:tr w:rsidR="00860C9F" w:rsidRPr="00860C9F" w14:paraId="7B0516A8" w14:textId="77777777" w:rsidTr="00860C9F">
        <w:tc>
          <w:tcPr>
            <w:tcW w:w="2205" w:type="dxa"/>
          </w:tcPr>
          <w:p w14:paraId="26E35D28"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Dimension</w:t>
            </w:r>
          </w:p>
        </w:tc>
        <w:tc>
          <w:tcPr>
            <w:tcW w:w="2205" w:type="dxa"/>
          </w:tcPr>
          <w:p w14:paraId="7B799A19"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Quantitative Indicator</w:t>
            </w:r>
          </w:p>
        </w:tc>
        <w:tc>
          <w:tcPr>
            <w:tcW w:w="2206" w:type="dxa"/>
          </w:tcPr>
          <w:p w14:paraId="0319B7BB"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Qualitative Theme</w:t>
            </w:r>
          </w:p>
        </w:tc>
        <w:tc>
          <w:tcPr>
            <w:tcW w:w="2206" w:type="dxa"/>
          </w:tcPr>
          <w:p w14:paraId="0CAA4426"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Combined Insight</w:t>
            </w:r>
          </w:p>
        </w:tc>
      </w:tr>
      <w:tr w:rsidR="00860C9F" w:rsidRPr="00860C9F" w14:paraId="316BA439" w14:textId="77777777" w:rsidTr="00860C9F">
        <w:tc>
          <w:tcPr>
            <w:tcW w:w="2205" w:type="dxa"/>
          </w:tcPr>
          <w:p w14:paraId="0D432C5A"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Knowledge</w:t>
            </w:r>
          </w:p>
        </w:tc>
        <w:tc>
          <w:tcPr>
            <w:tcW w:w="2205" w:type="dxa"/>
          </w:tcPr>
          <w:p w14:paraId="65093084"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Mean = 4.12 (SD = 0.56)</w:t>
            </w:r>
          </w:p>
        </w:tc>
        <w:tc>
          <w:tcPr>
            <w:tcW w:w="2206" w:type="dxa"/>
          </w:tcPr>
          <w:p w14:paraId="2C971E28"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Continuous Training</w:t>
            </w:r>
          </w:p>
        </w:tc>
        <w:tc>
          <w:tcPr>
            <w:tcW w:w="2206" w:type="dxa"/>
          </w:tcPr>
          <w:p w14:paraId="3C6CB514"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High awareness but periodic reinforcement needed</w:t>
            </w:r>
          </w:p>
        </w:tc>
      </w:tr>
      <w:tr w:rsidR="00860C9F" w:rsidRPr="00860C9F" w14:paraId="6A6CBC5E" w14:textId="77777777" w:rsidTr="00860C9F">
        <w:tc>
          <w:tcPr>
            <w:tcW w:w="2205" w:type="dxa"/>
          </w:tcPr>
          <w:p w14:paraId="0987DE06"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Attitude</w:t>
            </w:r>
          </w:p>
        </w:tc>
        <w:tc>
          <w:tcPr>
            <w:tcW w:w="2205" w:type="dxa"/>
          </w:tcPr>
          <w:p w14:paraId="3C5D5250"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Mean = 4.08 (SD = 0.61)</w:t>
            </w:r>
          </w:p>
        </w:tc>
        <w:tc>
          <w:tcPr>
            <w:tcW w:w="2206" w:type="dxa"/>
          </w:tcPr>
          <w:p w14:paraId="632BA180"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Leadership and Culture</w:t>
            </w:r>
          </w:p>
        </w:tc>
        <w:tc>
          <w:tcPr>
            <w:tcW w:w="2206" w:type="dxa"/>
          </w:tcPr>
          <w:p w14:paraId="1BDF8E8F"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Positive attitudes strengthened by visible leadership</w:t>
            </w:r>
          </w:p>
        </w:tc>
      </w:tr>
      <w:tr w:rsidR="00860C9F" w:rsidRPr="00860C9F" w14:paraId="3E2910D1" w14:textId="77777777" w:rsidTr="00860C9F">
        <w:tc>
          <w:tcPr>
            <w:tcW w:w="2205" w:type="dxa"/>
          </w:tcPr>
          <w:p w14:paraId="688359BB"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Practice</w:t>
            </w:r>
          </w:p>
        </w:tc>
        <w:tc>
          <w:tcPr>
            <w:tcW w:w="2205" w:type="dxa"/>
          </w:tcPr>
          <w:p w14:paraId="1216573E"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Mean = 4.19 (SD = 0.48)</w:t>
            </w:r>
          </w:p>
        </w:tc>
        <w:tc>
          <w:tcPr>
            <w:tcW w:w="2206" w:type="dxa"/>
          </w:tcPr>
          <w:p w14:paraId="7E1DA61C"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Resource Constraints</w:t>
            </w:r>
          </w:p>
        </w:tc>
        <w:tc>
          <w:tcPr>
            <w:tcW w:w="2206" w:type="dxa"/>
          </w:tcPr>
          <w:p w14:paraId="527A700A"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Practice limited by workload and equipment shortages</w:t>
            </w:r>
          </w:p>
        </w:tc>
      </w:tr>
      <w:tr w:rsidR="00860C9F" w:rsidRPr="00860C9F" w14:paraId="6CB232DA" w14:textId="77777777" w:rsidTr="00860C9F">
        <w:tc>
          <w:tcPr>
            <w:tcW w:w="2205" w:type="dxa"/>
          </w:tcPr>
          <w:p w14:paraId="4876EBF4"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Perception</w:t>
            </w:r>
          </w:p>
        </w:tc>
        <w:tc>
          <w:tcPr>
            <w:tcW w:w="2205" w:type="dxa"/>
          </w:tcPr>
          <w:p w14:paraId="1546DB2A"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Mean = 4.23 (SD = 0.52)</w:t>
            </w:r>
          </w:p>
        </w:tc>
        <w:tc>
          <w:tcPr>
            <w:tcW w:w="2206" w:type="dxa"/>
          </w:tcPr>
          <w:p w14:paraId="5A52A6D5"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Departmental Integration</w:t>
            </w:r>
          </w:p>
        </w:tc>
        <w:tc>
          <w:tcPr>
            <w:tcW w:w="2206" w:type="dxa"/>
          </w:tcPr>
          <w:p w14:paraId="2FD72BA5"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Strong perceptions where collaboration exists</w:t>
            </w:r>
          </w:p>
        </w:tc>
      </w:tr>
      <w:tr w:rsidR="00860C9F" w:rsidRPr="00860C9F" w14:paraId="73426B58" w14:textId="77777777" w:rsidTr="00860C9F">
        <w:tc>
          <w:tcPr>
            <w:tcW w:w="2205" w:type="dxa"/>
          </w:tcPr>
          <w:p w14:paraId="0B55D434"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Reporting</w:t>
            </w:r>
          </w:p>
        </w:tc>
        <w:tc>
          <w:tcPr>
            <w:tcW w:w="2205" w:type="dxa"/>
          </w:tcPr>
          <w:p w14:paraId="76BA7DDE"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w:t>
            </w:r>
          </w:p>
        </w:tc>
        <w:tc>
          <w:tcPr>
            <w:tcW w:w="2206" w:type="dxa"/>
          </w:tcPr>
          <w:p w14:paraId="6B7BA994"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Fear of Blame</w:t>
            </w:r>
          </w:p>
        </w:tc>
        <w:tc>
          <w:tcPr>
            <w:tcW w:w="2206" w:type="dxa"/>
          </w:tcPr>
          <w:p w14:paraId="02257D3E" w14:textId="77777777" w:rsidR="00860C9F" w:rsidRPr="00860C9F" w:rsidRDefault="00860C9F" w:rsidP="00E056D0">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860C9F">
              <w:rPr>
                <w:rFonts w:asciiTheme="majorBidi" w:eastAsiaTheme="minorEastAsia" w:hAnsiTheme="majorBidi" w:cstheme="majorBidi"/>
                <w:color w:val="000000" w:themeColor="text1"/>
                <w:kern w:val="0"/>
                <w:sz w:val="28"/>
                <w:szCs w:val="28"/>
                <w14:ligatures w14:val="none"/>
              </w:rPr>
              <w:t>Reporting culture affects risk visibility</w:t>
            </w:r>
          </w:p>
        </w:tc>
      </w:tr>
    </w:tbl>
    <w:p w14:paraId="15D0BAAD"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39633C0"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Title: Integrated Thematic Model Connecting Statistical Dimensions and Observed Institutional Factors</w:t>
      </w:r>
    </w:p>
    <w:p w14:paraId="344C095E"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41032F6"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model confirms that risk management efficiency is a holistic construct, combining technical, human, and cultural dimensions.</w:t>
      </w:r>
    </w:p>
    <w:p w14:paraId="5C800313"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Quantitative strength (knowledge and compliance) must coexist with qualitative resilience (trust, leadership, transparency) to achieve sustainable infection prevention.</w:t>
      </w:r>
    </w:p>
    <w:p w14:paraId="3602C579"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35E7712" w14:textId="77777777" w:rsidR="00783648" w:rsidRPr="00A43700" w:rsidRDefault="00783648"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75" w:name="_Toc212139896"/>
      <w:r w:rsidRPr="00A43700">
        <w:rPr>
          <w:rFonts w:asciiTheme="majorBidi" w:eastAsiaTheme="minorEastAsia" w:hAnsiTheme="majorBidi" w:cstheme="majorBidi"/>
          <w:color w:val="000000" w:themeColor="text1"/>
          <w:kern w:val="0"/>
          <w:sz w:val="28"/>
          <w:szCs w:val="28"/>
          <w14:ligatures w14:val="none"/>
        </w:rPr>
        <w:t>4.18 Chapter Summary</w:t>
      </w:r>
      <w:bookmarkEnd w:id="75"/>
    </w:p>
    <w:p w14:paraId="7A0AA548"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573C0C2"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chapter presented a comprehensive analysis of the data collected from 150 healthcare professionals at King Faisal Specialist Hospital and Research Centre.</w:t>
      </w:r>
    </w:p>
    <w:p w14:paraId="44B680DB"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Through descriptive statistics, correlation and regression analyses, and qualitative thematic exploration, the chapter illuminated both the measurable and intangible aspects of infection control effectiveness.</w:t>
      </w:r>
    </w:p>
    <w:p w14:paraId="287A3C1C"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460BCE2"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Key outcomes include:</w:t>
      </w:r>
    </w:p>
    <w:p w14:paraId="3E3B2B94" w14:textId="77777777" w:rsidR="00783648" w:rsidRPr="00A43700" w:rsidRDefault="00783648"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1.</w:t>
      </w:r>
      <w:r w:rsidRPr="00A43700">
        <w:rPr>
          <w:rFonts w:asciiTheme="majorBidi" w:eastAsiaTheme="minorEastAsia" w:hAnsiTheme="majorBidi" w:cstheme="majorBidi"/>
          <w:color w:val="000000" w:themeColor="text1"/>
          <w:kern w:val="0"/>
          <w:sz w:val="28"/>
          <w:szCs w:val="28"/>
          <w14:ligatures w14:val="none"/>
        </w:rPr>
        <w:tab/>
        <w:t>Quantitative Findings:</w:t>
      </w:r>
    </w:p>
    <w:p w14:paraId="7F03A1CE" w14:textId="77777777" w:rsidR="00783648" w:rsidRPr="00A43700" w:rsidRDefault="00783648" w:rsidP="00A43700">
      <w:pPr>
        <w:bidi w:val="0"/>
        <w:spacing w:before="180" w:after="0" w:line="360" w:lineRule="auto"/>
        <w:ind w:left="495" w:hanging="49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t>
      </w:r>
      <w:r w:rsidRPr="00A43700">
        <w:rPr>
          <w:rFonts w:asciiTheme="majorBidi" w:eastAsiaTheme="minorEastAsia" w:hAnsiTheme="majorBidi" w:cstheme="majorBidi"/>
          <w:color w:val="000000" w:themeColor="text1"/>
          <w:kern w:val="0"/>
          <w:sz w:val="28"/>
          <w:szCs w:val="28"/>
          <w14:ligatures w14:val="none"/>
        </w:rPr>
        <w:tab/>
        <w:t>Strong correlations among knowledge, attitudes, practices, and perceptions (r ranging from 0.54 to 0.70).</w:t>
      </w:r>
    </w:p>
    <w:p w14:paraId="49636242" w14:textId="77777777" w:rsidR="00783648" w:rsidRPr="00A43700" w:rsidRDefault="00783648" w:rsidP="00A43700">
      <w:pPr>
        <w:bidi w:val="0"/>
        <w:spacing w:before="180" w:after="0" w:line="360" w:lineRule="auto"/>
        <w:ind w:left="495" w:hanging="49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t>
      </w:r>
      <w:r w:rsidRPr="00A43700">
        <w:rPr>
          <w:rFonts w:asciiTheme="majorBidi" w:eastAsiaTheme="minorEastAsia" w:hAnsiTheme="majorBidi" w:cstheme="majorBidi"/>
          <w:color w:val="000000" w:themeColor="text1"/>
          <w:kern w:val="0"/>
          <w:sz w:val="28"/>
          <w:szCs w:val="28"/>
          <w14:ligatures w14:val="none"/>
        </w:rPr>
        <w:tab/>
        <w:t>The regression model explained 65.9% of the variance in infection control practices, confirming the predictive strength of risk management dimensions.</w:t>
      </w:r>
    </w:p>
    <w:p w14:paraId="04BD5293" w14:textId="77777777" w:rsidR="00783648" w:rsidRPr="00A43700" w:rsidRDefault="00783648" w:rsidP="00A43700">
      <w:pPr>
        <w:bidi w:val="0"/>
        <w:spacing w:before="180" w:after="0" w:line="360" w:lineRule="auto"/>
        <w:ind w:left="495" w:hanging="49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t>
      </w:r>
      <w:r w:rsidRPr="00A43700">
        <w:rPr>
          <w:rFonts w:asciiTheme="majorBidi" w:eastAsiaTheme="minorEastAsia" w:hAnsiTheme="majorBidi" w:cstheme="majorBidi"/>
          <w:color w:val="000000" w:themeColor="text1"/>
          <w:kern w:val="0"/>
          <w:sz w:val="28"/>
          <w:szCs w:val="28"/>
          <w14:ligatures w14:val="none"/>
        </w:rPr>
        <w:tab/>
        <w:t>Perception of system effectiveness emerged as the most powerful predictor of compliance.</w:t>
      </w:r>
    </w:p>
    <w:p w14:paraId="6E1587A6" w14:textId="77777777" w:rsidR="00783648" w:rsidRPr="00A43700" w:rsidRDefault="00783648"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2.</w:t>
      </w:r>
      <w:r w:rsidRPr="00A43700">
        <w:rPr>
          <w:rFonts w:asciiTheme="majorBidi" w:eastAsiaTheme="minorEastAsia" w:hAnsiTheme="majorBidi" w:cstheme="majorBidi"/>
          <w:color w:val="000000" w:themeColor="text1"/>
          <w:kern w:val="0"/>
          <w:sz w:val="28"/>
          <w:szCs w:val="28"/>
          <w14:ligatures w14:val="none"/>
        </w:rPr>
        <w:tab/>
        <w:t>Qualitative Findings:</w:t>
      </w:r>
    </w:p>
    <w:p w14:paraId="4B01D8A0" w14:textId="77777777" w:rsidR="00783648" w:rsidRPr="00A43700" w:rsidRDefault="00783648" w:rsidP="00A43700">
      <w:pPr>
        <w:bidi w:val="0"/>
        <w:spacing w:before="180" w:after="0" w:line="360" w:lineRule="auto"/>
        <w:ind w:left="495" w:hanging="49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t>
      </w:r>
      <w:r w:rsidRPr="00A43700">
        <w:rPr>
          <w:rFonts w:asciiTheme="majorBidi" w:eastAsiaTheme="minorEastAsia" w:hAnsiTheme="majorBidi" w:cstheme="majorBidi"/>
          <w:color w:val="000000" w:themeColor="text1"/>
          <w:kern w:val="0"/>
          <w:sz w:val="28"/>
          <w:szCs w:val="28"/>
          <w14:ligatures w14:val="none"/>
        </w:rPr>
        <w:tab/>
        <w:t>Five dominant themes were identified: resource constraints, leadership culture, training needs, fear of blame, and departmental integration.</w:t>
      </w:r>
    </w:p>
    <w:p w14:paraId="20E04C91" w14:textId="77777777" w:rsidR="00783648" w:rsidRPr="00A43700" w:rsidRDefault="00783648" w:rsidP="00A43700">
      <w:pPr>
        <w:bidi w:val="0"/>
        <w:spacing w:before="180" w:after="0" w:line="360" w:lineRule="auto"/>
        <w:ind w:left="495" w:hanging="49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t>
      </w:r>
      <w:r w:rsidRPr="00A43700">
        <w:rPr>
          <w:rFonts w:asciiTheme="majorBidi" w:eastAsiaTheme="minorEastAsia" w:hAnsiTheme="majorBidi" w:cstheme="majorBidi"/>
          <w:color w:val="000000" w:themeColor="text1"/>
          <w:kern w:val="0"/>
          <w:sz w:val="28"/>
          <w:szCs w:val="28"/>
          <w14:ligatures w14:val="none"/>
        </w:rPr>
        <w:tab/>
        <w:t>These themes reveal that behavioral compliance depends on institutional support and psychological safety as much as on technical knowledge.</w:t>
      </w:r>
    </w:p>
    <w:p w14:paraId="57E6135E" w14:textId="77777777" w:rsidR="00783648" w:rsidRPr="00A43700" w:rsidRDefault="00783648"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ab/>
        <w:t>3.</w:t>
      </w:r>
      <w:r w:rsidRPr="00A43700">
        <w:rPr>
          <w:rFonts w:asciiTheme="majorBidi" w:eastAsiaTheme="minorEastAsia" w:hAnsiTheme="majorBidi" w:cstheme="majorBidi"/>
          <w:color w:val="000000" w:themeColor="text1"/>
          <w:kern w:val="0"/>
          <w:sz w:val="28"/>
          <w:szCs w:val="28"/>
          <w14:ligatures w14:val="none"/>
        </w:rPr>
        <w:tab/>
        <w:t>Integrated Insights:</w:t>
      </w:r>
    </w:p>
    <w:p w14:paraId="3081DBEF" w14:textId="77777777" w:rsidR="00783648" w:rsidRPr="00A43700" w:rsidRDefault="00783648" w:rsidP="00A43700">
      <w:pPr>
        <w:bidi w:val="0"/>
        <w:spacing w:before="180" w:after="0" w:line="360" w:lineRule="auto"/>
        <w:ind w:left="495" w:hanging="49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t>
      </w:r>
      <w:r w:rsidRPr="00A43700">
        <w:rPr>
          <w:rFonts w:asciiTheme="majorBidi" w:eastAsiaTheme="minorEastAsia" w:hAnsiTheme="majorBidi" w:cstheme="majorBidi"/>
          <w:color w:val="000000" w:themeColor="text1"/>
          <w:kern w:val="0"/>
          <w:sz w:val="28"/>
          <w:szCs w:val="28"/>
          <w14:ligatures w14:val="none"/>
        </w:rPr>
        <w:tab/>
        <w:t>Infection control is a multifactorial process influenced by leadership engagement, organizational culture, resource adequacy, and staff empowerment.</w:t>
      </w:r>
    </w:p>
    <w:p w14:paraId="00DF310D" w14:textId="77777777" w:rsidR="00783648" w:rsidRPr="00A43700" w:rsidRDefault="00783648" w:rsidP="00A43700">
      <w:pPr>
        <w:bidi w:val="0"/>
        <w:spacing w:before="180" w:after="0" w:line="360" w:lineRule="auto"/>
        <w:ind w:left="495" w:hanging="49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t>
      </w:r>
      <w:r w:rsidRPr="00A43700">
        <w:rPr>
          <w:rFonts w:asciiTheme="majorBidi" w:eastAsiaTheme="minorEastAsia" w:hAnsiTheme="majorBidi" w:cstheme="majorBidi"/>
          <w:color w:val="000000" w:themeColor="text1"/>
          <w:kern w:val="0"/>
          <w:sz w:val="28"/>
          <w:szCs w:val="28"/>
          <w14:ligatures w14:val="none"/>
        </w:rPr>
        <w:tab/>
        <w:t>Effective risk management acts as the connective tissue binding these elements into a unified system of prevention and learning.</w:t>
      </w:r>
    </w:p>
    <w:p w14:paraId="0D696F4E" w14:textId="77777777" w:rsidR="00783648" w:rsidRPr="00A43700" w:rsidRDefault="00783648"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4.</w:t>
      </w:r>
      <w:r w:rsidRPr="00A43700">
        <w:rPr>
          <w:rFonts w:asciiTheme="majorBidi" w:eastAsiaTheme="minorEastAsia" w:hAnsiTheme="majorBidi" w:cstheme="majorBidi"/>
          <w:color w:val="000000" w:themeColor="text1"/>
          <w:kern w:val="0"/>
          <w:sz w:val="28"/>
          <w:szCs w:val="28"/>
          <w14:ligatures w14:val="none"/>
        </w:rPr>
        <w:tab/>
        <w:t>Implications for Practice:</w:t>
      </w:r>
    </w:p>
    <w:p w14:paraId="20DFC3ED" w14:textId="77777777" w:rsidR="00783648" w:rsidRPr="00A43700" w:rsidRDefault="00783648" w:rsidP="00A43700">
      <w:pPr>
        <w:bidi w:val="0"/>
        <w:spacing w:before="180" w:after="0" w:line="360" w:lineRule="auto"/>
        <w:ind w:left="495" w:hanging="49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t>
      </w:r>
      <w:r w:rsidRPr="00A43700">
        <w:rPr>
          <w:rFonts w:asciiTheme="majorBidi" w:eastAsiaTheme="minorEastAsia" w:hAnsiTheme="majorBidi" w:cstheme="majorBidi"/>
          <w:color w:val="000000" w:themeColor="text1"/>
          <w:kern w:val="0"/>
          <w:sz w:val="28"/>
          <w:szCs w:val="28"/>
          <w14:ligatures w14:val="none"/>
        </w:rPr>
        <w:tab/>
        <w:t>Regular audits, transparent communication, and non-punitive reporting mechanisms can enhance compliance.</w:t>
      </w:r>
    </w:p>
    <w:p w14:paraId="287E4534" w14:textId="4EE54A25" w:rsidR="00783648" w:rsidRPr="00A43700" w:rsidRDefault="00783648" w:rsidP="00705E78">
      <w:pPr>
        <w:bidi w:val="0"/>
        <w:spacing w:before="180" w:after="0" w:line="360" w:lineRule="auto"/>
        <w:ind w:left="495" w:hanging="49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w:t>
      </w:r>
      <w:r w:rsidRPr="00A43700">
        <w:rPr>
          <w:rFonts w:asciiTheme="majorBidi" w:eastAsiaTheme="minorEastAsia" w:hAnsiTheme="majorBidi" w:cstheme="majorBidi"/>
          <w:color w:val="000000" w:themeColor="text1"/>
          <w:kern w:val="0"/>
          <w:sz w:val="28"/>
          <w:szCs w:val="28"/>
          <w14:ligatures w14:val="none"/>
        </w:rPr>
        <w:tab/>
        <w:t>Continuous training, resource optimization, and cross-departmental collaboration are necessary to sustain infection prevention outcomes.</w:t>
      </w:r>
    </w:p>
    <w:p w14:paraId="0F319F68"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In conclusion, this chapter demonstrates that risk management is both a science and a culture. Its success in reducing hospital-acquired infections depends not merely on policies or technology but on the collective human and organizational commitment to patient safety and institutional excellence.</w:t>
      </w:r>
    </w:p>
    <w:p w14:paraId="7DBCFF24" w14:textId="77777777" w:rsidR="00783648" w:rsidRPr="00A43700" w:rsidRDefault="0078364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FC35D32" w14:textId="4D5A4A34" w:rsidR="00B1185A" w:rsidRDefault="00B1185A" w:rsidP="00A43700">
      <w:pPr>
        <w:spacing w:after="0" w:line="360" w:lineRule="auto"/>
        <w:jc w:val="both"/>
        <w:rPr>
          <w:rFonts w:asciiTheme="majorBidi" w:eastAsiaTheme="minorEastAsia" w:hAnsiTheme="majorBidi" w:cstheme="majorBidi"/>
          <w:color w:val="000000" w:themeColor="text1"/>
          <w:kern w:val="0"/>
          <w:sz w:val="28"/>
          <w:szCs w:val="28"/>
          <w:rtl/>
          <w:lang w:val="en-GB"/>
          <w14:ligatures w14:val="none"/>
        </w:rPr>
      </w:pPr>
    </w:p>
    <w:p w14:paraId="1BC8CE25" w14:textId="77777777" w:rsidR="00705E78" w:rsidRDefault="00705E78"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693747DE" w14:textId="77777777" w:rsidR="00705E78" w:rsidRDefault="00705E78"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3C1FCFC4" w14:textId="77777777" w:rsidR="00705E78" w:rsidRDefault="00705E78"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5E3AA417" w14:textId="77777777" w:rsidR="00705E78" w:rsidRDefault="00705E78"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02072611" w14:textId="77777777" w:rsidR="00705E78" w:rsidRDefault="00705E78"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6D60DE12" w14:textId="77777777" w:rsidR="00705E78" w:rsidRDefault="00705E78"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48D61E72" w14:textId="77777777" w:rsidR="00705E78" w:rsidRDefault="00705E78"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0D9CC5D0" w14:textId="77777777" w:rsidR="00705E78" w:rsidRDefault="00705E78"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67468E4B" w14:textId="77777777" w:rsidR="00705E78" w:rsidRPr="00A43700" w:rsidRDefault="00705E78" w:rsidP="00A43700">
      <w:pPr>
        <w:spacing w:after="0" w:line="360" w:lineRule="auto"/>
        <w:jc w:val="both"/>
        <w:rPr>
          <w:rFonts w:asciiTheme="majorBidi" w:eastAsiaTheme="minorEastAsia" w:hAnsiTheme="majorBidi" w:cstheme="majorBidi"/>
          <w:color w:val="000000" w:themeColor="text1"/>
          <w:kern w:val="0"/>
          <w:sz w:val="28"/>
          <w:szCs w:val="28"/>
          <w:rtl/>
          <w14:ligatures w14:val="none"/>
        </w:rPr>
      </w:pPr>
    </w:p>
    <w:p w14:paraId="34DB4532"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p>
    <w:p w14:paraId="50D7FCD9" w14:textId="413E1FD9" w:rsidR="00B1185A" w:rsidRDefault="00B1185A" w:rsidP="00B572D1">
      <w:pPr>
        <w:bidi w:val="0"/>
        <w:spacing w:after="0" w:line="360" w:lineRule="auto"/>
        <w:jc w:val="both"/>
        <w:outlineLvl w:val="0"/>
        <w:rPr>
          <w:rFonts w:asciiTheme="majorBidi" w:eastAsiaTheme="minorEastAsia" w:hAnsiTheme="majorBidi" w:cstheme="majorBidi"/>
          <w:color w:val="000000" w:themeColor="text1"/>
          <w:kern w:val="0"/>
          <w:sz w:val="28"/>
          <w:szCs w:val="28"/>
          <w14:ligatures w14:val="none"/>
        </w:rPr>
      </w:pPr>
      <w:bookmarkStart w:id="76" w:name="_Toc212139897"/>
      <w:r w:rsidRPr="00A43700">
        <w:rPr>
          <w:rFonts w:asciiTheme="majorBidi" w:eastAsiaTheme="minorEastAsia" w:hAnsiTheme="majorBidi" w:cstheme="majorBidi"/>
          <w:color w:val="000000" w:themeColor="text1"/>
          <w:kern w:val="0"/>
          <w:sz w:val="28"/>
          <w:szCs w:val="28"/>
          <w14:ligatures w14:val="none"/>
        </w:rPr>
        <w:lastRenderedPageBreak/>
        <w:t>Chapter Five: Discussion</w:t>
      </w:r>
      <w:bookmarkEnd w:id="76"/>
      <w:r w:rsidRPr="00A43700">
        <w:rPr>
          <w:rFonts w:asciiTheme="majorBidi" w:eastAsiaTheme="minorEastAsia" w:hAnsiTheme="majorBidi" w:cstheme="majorBidi"/>
          <w:color w:val="000000" w:themeColor="text1"/>
          <w:kern w:val="0"/>
          <w:sz w:val="28"/>
          <w:szCs w:val="28"/>
          <w14:ligatures w14:val="none"/>
        </w:rPr>
        <w:t xml:space="preserve"> </w:t>
      </w:r>
    </w:p>
    <w:p w14:paraId="709D99DE" w14:textId="77777777" w:rsidR="00705E78" w:rsidRPr="00A43700" w:rsidRDefault="00705E7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90BFA8F" w14:textId="77777777" w:rsidR="00B1185A" w:rsidRPr="00A43700" w:rsidRDefault="00B1185A"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77" w:name="_Toc212139898"/>
      <w:r w:rsidRPr="00A43700">
        <w:rPr>
          <w:rFonts w:asciiTheme="majorBidi" w:eastAsiaTheme="minorEastAsia" w:hAnsiTheme="majorBidi" w:cstheme="majorBidi"/>
          <w:color w:val="000000" w:themeColor="text1"/>
          <w:kern w:val="0"/>
          <w:sz w:val="28"/>
          <w:szCs w:val="28"/>
          <w14:ligatures w14:val="none"/>
        </w:rPr>
        <w:t>5.1 Introduction</w:t>
      </w:r>
      <w:bookmarkEnd w:id="77"/>
    </w:p>
    <w:p w14:paraId="2B97FEBE"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9B59BF3" w14:textId="6924BFD9"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chapter provides an in-depth interpretation of the study’s empirical findings in light of existing theoretical frameworks and previously reviewed literature. While Chapter Four presented the raw results from both quantitative and qualitative analyses, this discussion seeks to bridge those results with the conceptual underpinnings of risk management and infection control theory, identifying where the study’s outcomes converge or diverge from established research. Moreover, it extends beyond interpretation to consider the broader implications for policy formulation, hospital administration, staff development, and future scholarship.</w:t>
      </w:r>
    </w:p>
    <w:p w14:paraId="172C735A"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chapter is organized around key constructs derived from the study’s objectives—namely, knowledge, attitudes, practices, perceptions, and institutional factors affecting infection control. Through this discussion, the study moves from description to explanation, demonstrating how the interaction among these dimensions determines the overall effectiveness of infection prevention and control systems in a highly specialized healthcare setting such as King Faisal Specialist Hospital and Research Centre (KFSHRC).</w:t>
      </w:r>
    </w:p>
    <w:p w14:paraId="1F51F9E9"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6ED0FF0" w14:textId="77777777" w:rsidR="00B1185A" w:rsidRPr="00A43700" w:rsidRDefault="00B1185A"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78" w:name="_Toc212139899"/>
      <w:r w:rsidRPr="00A43700">
        <w:rPr>
          <w:rFonts w:asciiTheme="majorBidi" w:eastAsiaTheme="minorEastAsia" w:hAnsiTheme="majorBidi" w:cstheme="majorBidi"/>
          <w:color w:val="000000" w:themeColor="text1"/>
          <w:kern w:val="0"/>
          <w:sz w:val="28"/>
          <w:szCs w:val="28"/>
          <w14:ligatures w14:val="none"/>
        </w:rPr>
        <w:t>5.2 Understanding the Role of Knowledge in Infection Control Compliance</w:t>
      </w:r>
      <w:bookmarkEnd w:id="78"/>
    </w:p>
    <w:p w14:paraId="6F89336D"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A20828D" w14:textId="0E07EB3D"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The findings revealed a high overall mean knowledge score (M = 4.12, SD = 0.56) among healthcare professionals, signifying that staff across disciplines possess a robust understanding of infection control principles and risk management frameworks. This finding is consistent with prior studies conducted in tertiary hospitals across the Gulf region and globally (e.g., Alotaibi et al., 2021; Chughtai &amp; Seale, 2020), which emphasize that awareness and </w:t>
      </w:r>
      <w:r w:rsidRPr="00A43700">
        <w:rPr>
          <w:rFonts w:asciiTheme="majorBidi" w:eastAsiaTheme="minorEastAsia" w:hAnsiTheme="majorBidi" w:cstheme="majorBidi"/>
          <w:color w:val="000000" w:themeColor="text1"/>
          <w:kern w:val="0"/>
          <w:sz w:val="28"/>
          <w:szCs w:val="28"/>
          <w14:ligatures w14:val="none"/>
        </w:rPr>
        <w:lastRenderedPageBreak/>
        <w:t>technical comprehension constitute the first layer of defense against healthcare-associated infections (HAIs).</w:t>
      </w:r>
    </w:p>
    <w:p w14:paraId="22D8FC1C" w14:textId="60D842B3"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However, while the quantitative results reflect strong cognitive competence, qualitative insights unveiled a critical nuance: knowledge alone does not guarantee behavioral compliance. Several respondents acknowledged that despite their awareness of correct procedures, actual practice was often compromised by factors such as time pressure, inadequate staffing, or resource shortages. This finding supports the Knowledge-Attitude-Practice (KAP) theoretical model, which posits that knowledge serves as a precursor but not a sufficient condition for behavioral adherence (Ajzen, 1991; Bloom, 1956). In essence, cognitive readiness must be reinforced by environmental enablers and organizational culture to translate into consistent action.</w:t>
      </w:r>
    </w:p>
    <w:p w14:paraId="04AAFF3D" w14:textId="6383A810"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Furthermore, this study adds to the literature by illustrating that in complex hospital ecosystems like KFSHRC, knowledge diffusion is multidimensional. It extends beyond formal training to include peer exchange, tacit learning, and informal mentoring. Thus, infection control cannot be sustained merely through periodic workshops; it demands a continuous learning ecosystem, supported by institutional mechanisms such as e-learning modules, on-site coaching, and performance feedback loops.</w:t>
      </w:r>
    </w:p>
    <w:p w14:paraId="2F0E826E"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Another significant implication relates to interdisciplinary knowledge transfer. The qualitative findings showed that while nurses and infection control officers demonstrated superior technical knowledge, ancillary staff such as cleaning teams, laboratory technicians, and transporters exhibited occasional procedural ambiguities. This disparity suggests that the success of infection control policies depends on organization-wide educational inclusivity, ensuring that all staff—regardless of rank or specialization—receive context-appropriate training tailored to their operational exposure.</w:t>
      </w:r>
    </w:p>
    <w:p w14:paraId="5AAE836F"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3F5327B"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In comparison with literature from the WHO (2022) and CDC (2021), which advocate for a “whole hospital” infection control approach, this study empirically supports that principle, emphasizing that infection control effectiveness emerges from collective cognitive alignment, not isolated expertise. Hence, it can be inferred that institutional learning systems and knowledge-sharing mechanisms should be prioritized in policy development to sustain high compliance rates across all workforce categories.</w:t>
      </w:r>
    </w:p>
    <w:p w14:paraId="209E8DE0"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DB58125" w14:textId="77777777" w:rsidR="00B1185A" w:rsidRPr="00A43700" w:rsidRDefault="00B1185A"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79" w:name="_Toc212139900"/>
      <w:r w:rsidRPr="00A43700">
        <w:rPr>
          <w:rFonts w:asciiTheme="majorBidi" w:eastAsiaTheme="minorEastAsia" w:hAnsiTheme="majorBidi" w:cstheme="majorBidi"/>
          <w:color w:val="000000" w:themeColor="text1"/>
          <w:kern w:val="0"/>
          <w:sz w:val="28"/>
          <w:szCs w:val="28"/>
          <w14:ligatures w14:val="none"/>
        </w:rPr>
        <w:t>5.3 Attitudinal Dimensions and Organizational Commitment to Infection Prevention</w:t>
      </w:r>
      <w:bookmarkEnd w:id="79"/>
    </w:p>
    <w:p w14:paraId="3728602D"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8D6C9C8" w14:textId="4CD36240"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study’s quantitative results revealed a positive overall attitude (M = 4.08, SD = 0.61) among respondents, indicating strong willingness to adhere to infection control procedures and a shared belief in their importance. This finding aligns with the Theory of Planned Behavior (TPB), which posits that positive attitudes enhance behavioral intention and subsequently influence practice (Ajzen, 1991). However, the study’s qualitative data deepen this understanding by showing that attitudes are highly sensitive to organizational culture and leadership influence.</w:t>
      </w:r>
    </w:p>
    <w:p w14:paraId="5C8D0FB5" w14:textId="646D156D"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Many participants highlighted that leadership visibility and managerial support serve as powerful motivators in shaping compliance behavior. When leaders actively participate in infection control rounds, provide timely feedback, and recognize exemplary performance, employees internalize infection control as a professional value rather than an external obligation. Conversely, inconsistent enforcement or lack of recognition undermines morale and breeds complacency.</w:t>
      </w:r>
    </w:p>
    <w:p w14:paraId="2AA07956"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This resonates with the work of Singer and Vogus (2013), who argue that healthcare safety culture is primarily a function of leadership behavior and organizational learning. In the context of KFSHRC—a large, multidisciplinary </w:t>
      </w:r>
      <w:r w:rsidRPr="00A43700">
        <w:rPr>
          <w:rFonts w:asciiTheme="majorBidi" w:eastAsiaTheme="minorEastAsia" w:hAnsiTheme="majorBidi" w:cstheme="majorBidi"/>
          <w:color w:val="000000" w:themeColor="text1"/>
          <w:kern w:val="0"/>
          <w:sz w:val="28"/>
          <w:szCs w:val="28"/>
          <w14:ligatures w14:val="none"/>
        </w:rPr>
        <w:lastRenderedPageBreak/>
        <w:t>institution—the presence of strong leadership translates to psychological assurance, signaling that infection prevention is a shared organizational mission.</w:t>
      </w:r>
    </w:p>
    <w:p w14:paraId="108C597A" w14:textId="47DBF12E"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Interestingly, this study contributes a fresh perspective by demonstrating that attitudes are not static; they fluctuate with perceived institutional support. During periods of high workload or resource scarcity, staff members may experience attitude fatigue—temporary declines in motivation or compliance. This dynamic reflects the emotional labor of healthcare work (Hochschild, 2012), suggesting that infection control strategies must not only address knowledge and policies but also attend to the emotional well-being and motivational resilience of staff.</w:t>
      </w:r>
    </w:p>
    <w:p w14:paraId="11BDB1F9" w14:textId="5BC051D8"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Moreover, the integration of risk management principles into daily routines appeared to enhance attitudinal engagement. Respondents reported that when infection control measures are framed within a broader risk management context—emphasizing patient safety, system reliability, and organizational reputation—compliance gains a more strategic and meaningful dimension. Thus, this study bridges two traditionally distinct domains—risk management and infection control—showing that conceptual integration fosters stronger attitudinal ownership.</w:t>
      </w:r>
    </w:p>
    <w:p w14:paraId="35616384"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Overall, the findings suggest that sustaining positive attitudes toward infection control requires three concurrent mechanisms:</w:t>
      </w:r>
    </w:p>
    <w:p w14:paraId="7433926C" w14:textId="77777777" w:rsidR="00B1185A" w:rsidRPr="00A43700" w:rsidRDefault="00B1185A"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1.</w:t>
      </w:r>
      <w:r w:rsidRPr="00A43700">
        <w:rPr>
          <w:rFonts w:asciiTheme="majorBidi" w:eastAsiaTheme="minorEastAsia" w:hAnsiTheme="majorBidi" w:cstheme="majorBidi"/>
          <w:color w:val="000000" w:themeColor="text1"/>
          <w:kern w:val="0"/>
          <w:sz w:val="28"/>
          <w:szCs w:val="28"/>
          <w14:ligatures w14:val="none"/>
        </w:rPr>
        <w:tab/>
        <w:t>Visible leadership advocacy to reinforce commitment and accountability;</w:t>
      </w:r>
    </w:p>
    <w:p w14:paraId="79852068" w14:textId="77777777" w:rsidR="00B1185A" w:rsidRPr="00A43700" w:rsidRDefault="00B1185A"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2.</w:t>
      </w:r>
      <w:r w:rsidRPr="00A43700">
        <w:rPr>
          <w:rFonts w:asciiTheme="majorBidi" w:eastAsiaTheme="minorEastAsia" w:hAnsiTheme="majorBidi" w:cstheme="majorBidi"/>
          <w:color w:val="000000" w:themeColor="text1"/>
          <w:kern w:val="0"/>
          <w:sz w:val="28"/>
          <w:szCs w:val="28"/>
          <w14:ligatures w14:val="none"/>
        </w:rPr>
        <w:tab/>
        <w:t>Continuous reinforcement through recognition and feedback; and</w:t>
      </w:r>
    </w:p>
    <w:p w14:paraId="03393AA2" w14:textId="77777777" w:rsidR="00B1185A" w:rsidRPr="00A43700" w:rsidRDefault="00B1185A"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3.</w:t>
      </w:r>
      <w:r w:rsidRPr="00A43700">
        <w:rPr>
          <w:rFonts w:asciiTheme="majorBidi" w:eastAsiaTheme="minorEastAsia" w:hAnsiTheme="majorBidi" w:cstheme="majorBidi"/>
          <w:color w:val="000000" w:themeColor="text1"/>
          <w:kern w:val="0"/>
          <w:sz w:val="28"/>
          <w:szCs w:val="28"/>
          <w14:ligatures w14:val="none"/>
        </w:rPr>
        <w:tab/>
        <w:t>Institutional resilience programs that address psychological burnout and emotional fatigue.</w:t>
      </w:r>
    </w:p>
    <w:p w14:paraId="458B0E47" w14:textId="77777777" w:rsidR="00B1185A"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5E4B666" w14:textId="77777777" w:rsidR="00705E78" w:rsidRDefault="00705E7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3A142AE" w14:textId="77777777" w:rsidR="00705E78" w:rsidRPr="00A43700" w:rsidRDefault="00705E7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2AF80D5" w14:textId="77777777" w:rsidR="00B1185A" w:rsidRPr="00A43700" w:rsidRDefault="00B1185A"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80" w:name="_Toc212139901"/>
      <w:r w:rsidRPr="00A43700">
        <w:rPr>
          <w:rFonts w:asciiTheme="majorBidi" w:eastAsiaTheme="minorEastAsia" w:hAnsiTheme="majorBidi" w:cstheme="majorBidi"/>
          <w:color w:val="000000" w:themeColor="text1"/>
          <w:kern w:val="0"/>
          <w:sz w:val="28"/>
          <w:szCs w:val="28"/>
          <w14:ligatures w14:val="none"/>
        </w:rPr>
        <w:lastRenderedPageBreak/>
        <w:t>5.4 Practice Compliance and the Influence of Structural Constraints</w:t>
      </w:r>
      <w:bookmarkEnd w:id="80"/>
    </w:p>
    <w:p w14:paraId="21EE16FD"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8161E4E" w14:textId="5C87D092"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empirical results demonstrated a mean practice score of 4.19 (SD = 0.48), indicating relatively high adherence to infection control protocols. However, the qualitative data revealed that compliance is contextually fragile—easily influenced by resource availability, workload intensity, and managerial supervision. Respondents frequently mentioned that while policies were clear, the practical implementation environment often presented competing demands.</w:t>
      </w:r>
    </w:p>
    <w:p w14:paraId="797E432D" w14:textId="61595631"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finding aligns with the socio-ecological model of healthcare behavior, which recognizes that individual performance is embedded within multiple contextual layers—organizational, infrastructural, and cultural (Bronfenbrenner, 1994). For example, a nurse’s ability to perform correct hand hygiene or follow aseptic technique depends not only on personal diligence but also on whether adequate hand sanitizers, PPE, and time allowances exist in the workflow structure.</w:t>
      </w:r>
    </w:p>
    <w:p w14:paraId="784C71B1" w14:textId="3B4C77E2"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Therefore, the results reinforce the argument by </w:t>
      </w:r>
      <w:proofErr w:type="spellStart"/>
      <w:r w:rsidRPr="00A43700">
        <w:rPr>
          <w:rFonts w:asciiTheme="majorBidi" w:eastAsiaTheme="minorEastAsia" w:hAnsiTheme="majorBidi" w:cstheme="majorBidi"/>
          <w:color w:val="000000" w:themeColor="text1"/>
          <w:kern w:val="0"/>
          <w:sz w:val="28"/>
          <w:szCs w:val="28"/>
          <w14:ligatures w14:val="none"/>
        </w:rPr>
        <w:t>Allegranzi</w:t>
      </w:r>
      <w:proofErr w:type="spellEnd"/>
      <w:r w:rsidRPr="00A43700">
        <w:rPr>
          <w:rFonts w:asciiTheme="majorBidi" w:eastAsiaTheme="minorEastAsia" w:hAnsiTheme="majorBidi" w:cstheme="majorBidi"/>
          <w:color w:val="000000" w:themeColor="text1"/>
          <w:kern w:val="0"/>
          <w:sz w:val="28"/>
          <w:szCs w:val="28"/>
          <w14:ligatures w14:val="none"/>
        </w:rPr>
        <w:t xml:space="preserve"> et al. (2017) that infection prevention compliance is as much a structural challenge as a behavioral one. Without sufficient human resources and logistical support, even the most knowledgeable and motivated staff may struggle to adhere consistently to standards.</w:t>
      </w:r>
    </w:p>
    <w:p w14:paraId="27B299CD"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qualitative analysis in Chapter Four illustrated that staff shortages and fluctuating PPE availability were recurrent concerns. These findings are not unique to KFSHRC; similar trends have been reported in major hospitals worldwide, particularly during crisis periods such as the COVID-19 pandemic (McGarry et al., 2022). What this study adds, however, is empirical evidence from a post-crisis context, showing that the long-term impact of such constraints continues to shape compliance behaviors even after the pandemic subsides.</w:t>
      </w:r>
    </w:p>
    <w:p w14:paraId="09C302C0"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28AA00B" w14:textId="7F9FEA05"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Moreover, the quantitative regression model identified “perception of system effectiveness” as the strongest predictor of practice, explaining a substantial portion of variance in compliance behavior. This implies that staff members’ perception of organizational efficiency—reflected in availability of resources, managerial responsiveness, and clarity of communication—directly determines their adherence level.</w:t>
      </w:r>
    </w:p>
    <w:p w14:paraId="0CDE0AF2" w14:textId="276A1075" w:rsidR="00B1185A" w:rsidRPr="00A43700" w:rsidRDefault="00B1185A"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In essence, practice compliance is the tangible manifestation of organizational integrity. When staff perceive that their institution provides them with adequate tools, fair supervision, and psychological safety, compliance becomes self-sustaining. Conversely, when systemic bottlenecks persist, even well-designed policies may fail in translation.</w:t>
      </w:r>
    </w:p>
    <w:p w14:paraId="3D568FB9" w14:textId="77777777" w:rsidR="00B1185A" w:rsidRPr="00A43700" w:rsidRDefault="00B1185A"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finding carries strong policy implications: infection control strategies should integrate infrastructural investment and workforce planning alongside education and monitoring. Routine audits should not only evaluate compliance rates but also track operational barriers, ensuring that staff behavior is interpreted within its environmental context rather than in isolation.</w:t>
      </w:r>
    </w:p>
    <w:p w14:paraId="6281F92A"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F40AA48" w14:textId="77777777" w:rsidR="006B3188" w:rsidRPr="00A43700" w:rsidRDefault="006B3188"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81" w:name="_Toc212139902"/>
      <w:r w:rsidRPr="00A43700">
        <w:rPr>
          <w:rFonts w:asciiTheme="majorBidi" w:eastAsiaTheme="minorEastAsia" w:hAnsiTheme="majorBidi" w:cstheme="majorBidi"/>
          <w:color w:val="000000" w:themeColor="text1"/>
          <w:kern w:val="0"/>
          <w:sz w:val="28"/>
          <w:szCs w:val="28"/>
          <w14:ligatures w14:val="none"/>
        </w:rPr>
        <w:t>5.5 Perception and the Culture of Incident Reporting</w:t>
      </w:r>
      <w:bookmarkEnd w:id="81"/>
    </w:p>
    <w:p w14:paraId="5ED166D1"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26257E3"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perception of risk management effectiveness among healthcare workers emerged as a crucial determinant of infection control success. The quantitative findings from Chapter Four revealed a mean perception score of 4.06 (SD = 0.59), signifying a moderately high level of confidence in the hospital’s risk management system. However, a closer examination of qualitative narratives uncovered variability in trust levels across departments, with some staff perceiving the reporting system as transparent and supportive, while others expressed apprehension about punitive responses or lack of follow-up.</w:t>
      </w:r>
    </w:p>
    <w:p w14:paraId="31D271E3"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99B6DF1" w14:textId="2B0616C5"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This duality underscores the profound impact of organizational culture on how risk management systems are experienced and enacted. In hospitals, perception is not merely a cognitive process but a social construct shaped by leadership behaviors, interdepartmental communication, and historical experiences of incident handling. When employees perceive the system as fair, responsive, and improvement-oriented, they are more likely to engage in proactive reporting and open dialogue. Conversely, when they associate reporting with blame or bureaucratic inertia, underreporting becomes normalized, eroding the data foundation required for preventive interventions.</w:t>
      </w:r>
    </w:p>
    <w:p w14:paraId="0C846FDA" w14:textId="23A45B3C"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study’s findings resonate strongly with the concept of “just culture” (Reason, 1997; Dekker, 2012), which posits that safety and learning flourish in environments that differentiate between human error, at-risk behavior, and negligence. Within KFSHRC, participants from risk management and infection control units described ongoing efforts to embed this philosophy by introducing anonymous reporting tools, staff feedback sessions, and non-punitive response policies. Yet, qualitative accounts revealed that these reforms remain unevenly implemented across divisions, indicating that cultural transformation requires long-term reinforcement and consistent leadership modeling.</w:t>
      </w:r>
    </w:p>
    <w:p w14:paraId="206FF193" w14:textId="734CD433"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From a theoretical standpoint, perception functions as the bridge between policy and practice—it is the lens through which staff interpret institutional intent. Even the most sophisticated infection control policy can fail if frontline workers perceive disconnection between policy rhetoric and operational reality. Thus, enhancing perception entails not only disseminating information about the existence of systems but also ensuring that employees witness tangible evidence of follow-up, accountability, and learning after each reported event.</w:t>
      </w:r>
    </w:p>
    <w:p w14:paraId="0BF4007F" w14:textId="6575ACB3"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Moreover, this study advances the discourse by demonstrating that perception is multilayered. It encompasses both individual-level confidence (trust in the immediate supervisor’s fairness) and organizational-level assurance (belief that the hospital as a whole values safety over image protection). The alignment </w:t>
      </w:r>
      <w:r w:rsidRPr="00A43700">
        <w:rPr>
          <w:rFonts w:asciiTheme="majorBidi" w:eastAsiaTheme="minorEastAsia" w:hAnsiTheme="majorBidi" w:cstheme="majorBidi"/>
          <w:color w:val="000000" w:themeColor="text1"/>
          <w:kern w:val="0"/>
          <w:sz w:val="28"/>
          <w:szCs w:val="28"/>
          <w14:ligatures w14:val="none"/>
        </w:rPr>
        <w:lastRenderedPageBreak/>
        <w:t>between these layers determines whether reporting becomes a routine practice or a reluctant obligation.</w:t>
      </w:r>
    </w:p>
    <w:p w14:paraId="2AC3CCB3"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Consequently, for infection control and risk management integration to achieve optimal functionality, hospitals must institutionalize transparent communication loops, whereby every incident report is acknowledged, investigated, and followed by demonstrable corrective action. Visibility of feedback mechanisms reinforces credibility, which in turn strengthens perception—a cyclical process that gradually embeds safety consciousness into the hospital’s professional identity.</w:t>
      </w:r>
    </w:p>
    <w:p w14:paraId="3490B5B9"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E984F5D" w14:textId="77777777" w:rsidR="006B3188" w:rsidRPr="00A43700" w:rsidRDefault="006B3188"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82" w:name="_Toc212139903"/>
      <w:r w:rsidRPr="00A43700">
        <w:rPr>
          <w:rFonts w:asciiTheme="majorBidi" w:eastAsiaTheme="minorEastAsia" w:hAnsiTheme="majorBidi" w:cstheme="majorBidi"/>
          <w:color w:val="000000" w:themeColor="text1"/>
          <w:kern w:val="0"/>
          <w:sz w:val="28"/>
          <w:szCs w:val="28"/>
          <w14:ligatures w14:val="none"/>
        </w:rPr>
        <w:t>5.6 Integrating Risk Management and Infection Control: A Systems Perspective</w:t>
      </w:r>
      <w:bookmarkEnd w:id="82"/>
    </w:p>
    <w:p w14:paraId="24297A1E"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892AB2A" w14:textId="5A78582A"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 central contribution of this study lies in illustrating the synergistic interdependence between risk management and infection control. Historically, these domains have been treated as parallel streams—one concerned with organizational risk and the other with clinical safety. However, the results of this research indicate that their integration is not only desirable but essential for sustained reduction of hospital-acquired infections (HAIs).</w:t>
      </w:r>
    </w:p>
    <w:p w14:paraId="7DBD2BF7"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Quantitative correlations demonstrated a statistically significant relationship (r = 0.72, p &lt; 0.01) between respondents’ perception of risk management effectiveness and their infection control compliance scores. This strong positive association confirms that when staff recognize infection control as part of a comprehensive risk governance framework, their behavioral consistency improves markedly. Such integration reframes infection prevention from being a clinical responsibility to becoming a strategic institutional priority, aligning with the principles of Enterprise Risk Management (ERM) as articulated by ISO 31000 (2018).</w:t>
      </w:r>
    </w:p>
    <w:p w14:paraId="5D4CAE65"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EB136CC" w14:textId="55DB3AB1"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Qualitative data further elaborated that in departments where infection control officers and risk managers collaborated closely—such as the ICU and surgical units—incident response was more coordinated, root cause analyses were completed more thoroughly, and policy revisions were evidence-driven. Conversely, in units operating in silos, duplication of effort and communication gaps were more frequent. This observation reinforces the systems theory approach to healthcare management (Senge, 1990), which posits that organizational outcomes emerge from the dynamic interactions of subsystems rather than isolated functions.</w:t>
      </w:r>
    </w:p>
    <w:p w14:paraId="54F43446" w14:textId="566786AB"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Integrating these subsystems requires both structural and cultural convergence. Structurally, it involves joint reporting frameworks, shared databases, and unified audit schedules to ensure that risk-related events—whether clinical or operational—are captured under a single governance umbrella. Culturally, it requires fostering a shared language of safety, wherein infection control is understood as a risk domain, and risk management is viewed as an enabler of clinical excellence.</w:t>
      </w:r>
    </w:p>
    <w:p w14:paraId="3642F938" w14:textId="5CA63D50"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study extends the existing literature by offering empirical support for the “fusion model” of safety governance, which suggests that cross-functional collaboration enhances resilience and adaptive capacity in healthcare systems (Wears &amp; Hollnagel, 2019). The evidence from KFSHRC demonstrates that when infection control is embedded within risk management structures—complete with performance indicators, accountability matrices, and executive oversight—response time to emerging infections shortens, and prevention programs become more data-driven.</w:t>
      </w:r>
    </w:p>
    <w:p w14:paraId="6A533BCC" w14:textId="708B152E"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Another implication lies in the strategic alignment of organizational learning loops. Infection control generates empirical data through surveillance and audits, while risk management converts such data into policy-level intelligence through risk registers and control assessments. Integrating these processes ensures that lessons learned from individual cases are institutionalized and </w:t>
      </w:r>
      <w:r w:rsidRPr="00A43700">
        <w:rPr>
          <w:rFonts w:asciiTheme="majorBidi" w:eastAsiaTheme="minorEastAsia" w:hAnsiTheme="majorBidi" w:cstheme="majorBidi"/>
          <w:color w:val="000000" w:themeColor="text1"/>
          <w:kern w:val="0"/>
          <w:sz w:val="28"/>
          <w:szCs w:val="28"/>
          <w14:ligatures w14:val="none"/>
        </w:rPr>
        <w:lastRenderedPageBreak/>
        <w:t>scaled across the organization, thereby transforming episodic learning into systemic improvement.</w:t>
      </w:r>
    </w:p>
    <w:p w14:paraId="162A001E"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Ultimately, this integration not only enhances safety but also supports financial sustainability, as effective infection prevention reduces treatment costs, length of hospital </w:t>
      </w:r>
      <w:proofErr w:type="gramStart"/>
      <w:r w:rsidRPr="00A43700">
        <w:rPr>
          <w:rFonts w:asciiTheme="majorBidi" w:eastAsiaTheme="minorEastAsia" w:hAnsiTheme="majorBidi" w:cstheme="majorBidi"/>
          <w:color w:val="000000" w:themeColor="text1"/>
          <w:kern w:val="0"/>
          <w:sz w:val="28"/>
          <w:szCs w:val="28"/>
          <w14:ligatures w14:val="none"/>
        </w:rPr>
        <w:t>stay</w:t>
      </w:r>
      <w:proofErr w:type="gramEnd"/>
      <w:r w:rsidRPr="00A43700">
        <w:rPr>
          <w:rFonts w:asciiTheme="majorBidi" w:eastAsiaTheme="minorEastAsia" w:hAnsiTheme="majorBidi" w:cstheme="majorBidi"/>
          <w:color w:val="000000" w:themeColor="text1"/>
          <w:kern w:val="0"/>
          <w:sz w:val="28"/>
          <w:szCs w:val="28"/>
          <w14:ligatures w14:val="none"/>
        </w:rPr>
        <w:t>, and reputational damage—all of which are major risk factors in healthcare operations. The hospital, therefore, benefits both clinically and economically from a holistic risk-informed infection control strategy.</w:t>
      </w:r>
    </w:p>
    <w:p w14:paraId="64532DCD"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611066F" w14:textId="77777777" w:rsidR="006B3188" w:rsidRPr="00A43700" w:rsidRDefault="006B3188"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83" w:name="_Toc212139904"/>
      <w:r w:rsidRPr="00A43700">
        <w:rPr>
          <w:rFonts w:asciiTheme="majorBidi" w:eastAsiaTheme="minorEastAsia" w:hAnsiTheme="majorBidi" w:cstheme="majorBidi"/>
          <w:color w:val="000000" w:themeColor="text1"/>
          <w:kern w:val="0"/>
          <w:sz w:val="28"/>
          <w:szCs w:val="28"/>
          <w14:ligatures w14:val="none"/>
        </w:rPr>
        <w:t>5.7 Comparative Analysis with Previous Studies</w:t>
      </w:r>
      <w:bookmarkEnd w:id="83"/>
    </w:p>
    <w:p w14:paraId="3630BEEB"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931BD90" w14:textId="22B86DDD"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To situate the study’s findings within the broader scholarly landscape, it is essential to compare them with prior empirical works addressing infection control and risk management in similar healthcare contexts. The results from KFSHRC align closely with research conducted by Alotaibi et al. (2021) in Riyadh, which reported that comprehensive risk management frameworks significantly improved compliance with hand hygiene and PPE usage among nursing staff. Both studies underscore the importance of managerial involvement and continuous training as mediators between policy design and behavioral adherence.</w:t>
      </w:r>
    </w:p>
    <w:p w14:paraId="34422696"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However, the current study diverges from earlier findings in its depth of integration analysis. While most prior studies treated infection control as a standalone operational issue, this research conceptualizes it as a strategic risk domain embedded within organizational governance. This theoretical shift expands the analytical horizon, suggesting that infection prevention should not only be measured by compliance rates but also by institutional learning maturity—the organization’s capacity to transform incidents into actionable insights.</w:t>
      </w:r>
    </w:p>
    <w:p w14:paraId="68CF2A32"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E1BB123" w14:textId="185B7D32"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Moreover, the qualitative narratives from KFSHRC participants revealed a more nuanced understanding of psychological safety than previous works documented. For instance, while global studies (e.g., Edmondson, 2018; Clarke, 2019) emphasized the role of teamwork climate, this study found that in the Middle Eastern context, hierarchical communication norms exert additional influence on reporting behavior. Junior staff often expressed hesitation to challenge or correct senior clinicians, even when infection risks were apparent. This cultural dimension, rarely discussed in Western literature, highlights the need for context-specific leadership models that promote upward voice and inclusive decision-making in high power-distance environments.</w:t>
      </w:r>
    </w:p>
    <w:p w14:paraId="2D57DED7" w14:textId="08DEACB4"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Furthermore, when compared to studies conducted in Western Europe and North America, such as those by Pittet et al. (2020) and Stone et al. (2019), the current findings reaffirm the universal role of knowledge and training but also introduce a distinctive regional factor—religio-cultural motivation. Some respondents described infection control as a moral duty linked to professional ethics and communal responsibility, reflecting a deeply embedded value orientation that could be strategically leveraged in staff engagement programs.</w:t>
      </w:r>
    </w:p>
    <w:p w14:paraId="419E42C4" w14:textId="61941815" w:rsidR="006B3188" w:rsidRPr="00A43700" w:rsidRDefault="006B318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findings thus contribute to global knowledge by illustrating how organizational systems, cultural norms, and ethical frameworks intersect in shaping infection control performance. They challenge the notion of one-size-fits-all interventions and advocate instead for localized, adaptive strategies that align with institutional culture while adhering to international standards.</w:t>
      </w:r>
    </w:p>
    <w:p w14:paraId="6F74264D"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In summary, this comparative analysis validates the study’s central claim: effective infection prevention arises from the convergence of knowledge, positive attitudes, conducive structures, and integrated governance systems. It affirms the theoretical argument that infection control is not an isolated technical function but a complex socio-technical system, sustained by both individual commitment and institutional design.</w:t>
      </w:r>
    </w:p>
    <w:p w14:paraId="55EE54A7" w14:textId="77777777" w:rsidR="006B3188" w:rsidRPr="00A43700" w:rsidRDefault="006B3188"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E0A6344" w14:textId="77777777" w:rsidR="001B78E1" w:rsidRPr="00A43700" w:rsidRDefault="001B78E1"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84" w:name="_Toc212139905"/>
      <w:r w:rsidRPr="00A43700">
        <w:rPr>
          <w:rFonts w:asciiTheme="majorBidi" w:eastAsiaTheme="minorEastAsia" w:hAnsiTheme="majorBidi" w:cstheme="majorBidi"/>
          <w:color w:val="000000" w:themeColor="text1"/>
          <w:kern w:val="0"/>
          <w:sz w:val="28"/>
          <w:szCs w:val="28"/>
          <w14:ligatures w14:val="none"/>
        </w:rPr>
        <w:lastRenderedPageBreak/>
        <w:t>5.8 Theoretical Implications</w:t>
      </w:r>
      <w:bookmarkEnd w:id="84"/>
    </w:p>
    <w:p w14:paraId="1F8F195F" w14:textId="77777777" w:rsidR="001B78E1" w:rsidRPr="00A43700" w:rsidRDefault="001B78E1"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A6FCB1E" w14:textId="096CBB4B" w:rsidR="001B78E1" w:rsidRPr="00A43700" w:rsidRDefault="001B78E1"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theoretical contributions of this study extend beyond the immediate empirical context of King Faisal Specialist Hospital and Research Centre (KFSHRC). They deepen the conceptual understanding of how risk management frameworks can be systematically leveraged to address hospital-acquired infections (HAIs)—a domain traditionally dominated by biomedical and clinical paradigms. By embedding infection control within the broader theoretical architecture of organizational risk governance, the research integrates insights from safety science, management theory, and behavioral psychology into a unified explanatory model.</w:t>
      </w:r>
    </w:p>
    <w:p w14:paraId="2BAB55B9" w14:textId="2B59E1AC" w:rsidR="001B78E1" w:rsidRPr="00A43700" w:rsidRDefault="001B78E1"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One of the foremost theoretical implications is the validation of a “holistic systems model” of infection control, wherein human, technical, and structural components interact dynamically to shape infection outcomes. Previous theories—such as Reason’s “Swiss Cheese Model” (1990)—conceptualized safety failures as the alignment of multiple systemic weaknesses. The present study refines that model by demonstrating how risk management mechanisms act as the organizational glue that detects, monitors, and seals the potential gaps within those layers of defense. In other words, risk management functions not only as a reactive control mechanism but also as a preventive cognitive system, translating complex operational data into institutional learning and foresight.</w:t>
      </w:r>
    </w:p>
    <w:p w14:paraId="2F6F12D8" w14:textId="62FCBAD7" w:rsidR="001B78E1" w:rsidRPr="00A43700" w:rsidRDefault="001B78E1"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Furthermore, this study contributes to safety climate theory, expanding it from a narrow focus on individual perceptions to a multi-level construct encompassing institutional trust, leadership visibility, and resource prioritization. The significant correlations identified between leadership commitment, perception of support, and compliance behavior indicate that theoretical models of safety must integrate leadership signaling theory—the idea that employees infer organizational priorities based on the consistency between managerial words and actions. When leadership consistently reinforces </w:t>
      </w:r>
      <w:r w:rsidRPr="00A43700">
        <w:rPr>
          <w:rFonts w:asciiTheme="majorBidi" w:eastAsiaTheme="minorEastAsia" w:hAnsiTheme="majorBidi" w:cstheme="majorBidi"/>
          <w:color w:val="000000" w:themeColor="text1"/>
          <w:kern w:val="0"/>
          <w:sz w:val="28"/>
          <w:szCs w:val="28"/>
          <w14:ligatures w14:val="none"/>
        </w:rPr>
        <w:lastRenderedPageBreak/>
        <w:t>infection prevention messages through visible engagement, timely feedback, and equitable accountability, a strong safety climate emerges that sustains behavioral compliance.</w:t>
      </w:r>
    </w:p>
    <w:p w14:paraId="5D102579" w14:textId="1498B555" w:rsidR="001B78E1" w:rsidRPr="00A43700" w:rsidRDefault="001B78E1"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Another theoretical dimension lies in linking risk perception with organizational learning theory. The study shows that the way healthcare workers interpret and internalize risk signals is conditioned by their prior experiences with institutional responses. This reciprocal dynamic aligns with Argyris and Schön’s (1978) distinction between single-loop and double-loop learning: whereas single-loop learning corrects errors within existing procedures, double-loop learning questions the underlying norms and policies that enable such errors. In the context of infection control, the transition from routine corrective measures to strategic organizational transformation depends on cultivating an environment where reflection, feedback, and adaptive learning are institutionalized.</w:t>
      </w:r>
    </w:p>
    <w:p w14:paraId="4F7A8286" w14:textId="77777777" w:rsidR="001B78E1" w:rsidRPr="00A43700" w:rsidRDefault="001B78E1"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Finally, the study reinforces the theoretical utility of the socio-technical systems approach in healthcare. Infection control cannot be effectively understood through biomedical causality alone; it requires attention to workflow design, human factors, interdepartmental communication, and information technology. The integration of risk management practices—such as hazard registers, incident trend analyses, and preventive audits—illustrates the systemic interconnectedness of clinical safety and organizational governance. This finding not only enriches the theoretical discourse but also offers a replicable analytical framework for future interdisciplinary studies seeking to bridge the domains of clinical medicine, management science, and organizational psychology.</w:t>
      </w:r>
    </w:p>
    <w:p w14:paraId="29EE3A47" w14:textId="77777777" w:rsidR="001B78E1" w:rsidRDefault="001B78E1"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E14E684" w14:textId="77777777" w:rsidR="00705E78" w:rsidRDefault="00705E7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3EBB2E1" w14:textId="77777777" w:rsidR="00705E78" w:rsidRDefault="00705E7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37AAE95" w14:textId="77777777" w:rsidR="00705E78" w:rsidRPr="00A43700" w:rsidRDefault="00705E78"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33E8957" w14:textId="77777777" w:rsidR="001B78E1" w:rsidRPr="00A43700" w:rsidRDefault="001B78E1"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85" w:name="_Toc212139906"/>
      <w:r w:rsidRPr="00A43700">
        <w:rPr>
          <w:rFonts w:asciiTheme="majorBidi" w:eastAsiaTheme="minorEastAsia" w:hAnsiTheme="majorBidi" w:cstheme="majorBidi"/>
          <w:color w:val="000000" w:themeColor="text1"/>
          <w:kern w:val="0"/>
          <w:sz w:val="28"/>
          <w:szCs w:val="28"/>
          <w14:ligatures w14:val="none"/>
        </w:rPr>
        <w:lastRenderedPageBreak/>
        <w:t>5.9 Practical Implications for Hospital Policy and Training</w:t>
      </w:r>
      <w:bookmarkEnd w:id="85"/>
    </w:p>
    <w:p w14:paraId="01279664" w14:textId="77777777" w:rsidR="001B78E1" w:rsidRPr="00A43700" w:rsidRDefault="001B78E1"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C1848BC" w14:textId="54886E4F" w:rsidR="001B78E1" w:rsidRPr="00A43700" w:rsidRDefault="001B78E1"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From a practical standpoint, the findings of this study carry significant implications for hospital administration, policymakers, and healthcare educators. The evidence gathered demonstrates that risk management is not a peripheral compliance function but a strategic enabler of clinical excellence. Accordingly, its integration into infection control programs should be institutionalized through structured policy frameworks and continuous capacity-building initiatives.</w:t>
      </w:r>
    </w:p>
    <w:p w14:paraId="4207BE0E" w14:textId="10FCA0EC" w:rsidR="001B78E1" w:rsidRPr="00A43700" w:rsidRDefault="001B78E1" w:rsidP="00705E78">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At the policy level, hospitals must prioritize the establishment of a centralized Risk and Infection Control Governance Committee, co-chaired by both the Chief Risk Officer and the Director of Infection Control. Such a committee would facilitate horizontal communication, unify reporting protocols, and ensure that all infection-related incidents are systematically analyzed within the broader organizational risk register. This structural integration minimizes redundancy, enhances transparency, and allows senior leadership to identify systemic vulnerabilities before they escalate into clinical crises.</w:t>
      </w:r>
    </w:p>
    <w:p w14:paraId="76DC252D" w14:textId="299FEE7E"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Moreover, infection control policies should explicitly incorporate risk assessment matrices, classifying infection hazards based on likelihood and impact. By quantifying infection risks within a standardized risk matrix, decision-makers can allocate resources proportionally—targeting high-risk zones such as intensive care units and surgical wards for intensified surveillance, training, and auditing. This data-driven prioritization aligns with ISO 31000 principles, ensuring that infection control becomes a measurable and auditable component of enterprise risk management.</w:t>
      </w:r>
    </w:p>
    <w:p w14:paraId="51678B87" w14:textId="778D1A88"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 xml:space="preserve">In terms of training, the study emphasizes the necessity of comprehensive, tiered educational programs that cater to different staff levels. Foundational courses should focus on universal infection prevention practices, while advanced modules should equip risk managers, supervisors, and clinical leaders </w:t>
      </w:r>
      <w:r w:rsidRPr="00A43700">
        <w:rPr>
          <w:rFonts w:asciiTheme="majorBidi" w:eastAsiaTheme="minorEastAsia" w:hAnsiTheme="majorBidi" w:cstheme="majorBidi"/>
          <w:color w:val="000000" w:themeColor="text1"/>
          <w:kern w:val="0"/>
          <w:sz w:val="28"/>
          <w:szCs w:val="28"/>
          <w14:ligatures w14:val="none"/>
        </w:rPr>
        <w:lastRenderedPageBreak/>
        <w:t>with analytical tools for risk identification, root-cause analysis, and evidence-based decision-making. Importantly, training should move beyond mere procedural repetition toward transformational learning, using scenario-based simulations and cross-functional workshops to instill problem-solving and adaptive reasoning skills.</w:t>
      </w:r>
    </w:p>
    <w:p w14:paraId="71860638" w14:textId="7B3FCD89"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Additionally, the creation of feedback-rich learning environments is paramount. Hospitals should implement mechanisms where infection data, audit outcomes, and risk trends are routinely shared with frontline staff. Such transparency not only fosters trust but also transforms data into motivation, as employees witness the tangible impact of their compliance on patient safety outcomes.</w:t>
      </w:r>
    </w:p>
    <w:p w14:paraId="2906C90C" w14:textId="59BD03D1"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qualitative findings also revealed the significance of psychological safety and non-punitive reporting in sustaining engagement. To operationalize these insights, hospitals must reform disciplinary policies, explicitly distinguishing between unintentional errors and negligent behavior. Recognizing and rewarding departments that demonstrate high reporting rates and proactive risk management behavior will further institutionalize the culture of openness.</w:t>
      </w:r>
    </w:p>
    <w:p w14:paraId="4662B325" w14:textId="43485D4A"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Beyond the hospital context, this study offers implications for national healthcare policy in Saudi Arabia. Aligning with Vision 2030’s emphasis on quality and patient safety, the integration of risk management and infection control could serve as a benchmark for accreditation standards. Regulatory bodies such as the Saudi Central Board for Accreditation of Healthcare Institutions (CBAHI) can embed these integrated frameworks into their evaluation criteria, promoting consistency and accountability across the healthcare system.</w:t>
      </w:r>
    </w:p>
    <w:p w14:paraId="5CF65A78" w14:textId="4A2FBD18"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Ultimately, these practical implications underscore that infection prevention is not solely a technical process—it is a governance strategy, dependent on leadership vision, systemic design, and cultural reinforcement. Hospitals that internalize this paradigm shift are more likely to achieve sustainable reductions in HAIs and cultivate resilient, learning-oriented safety cultures.</w:t>
      </w:r>
    </w:p>
    <w:p w14:paraId="71F99E95" w14:textId="77777777" w:rsidR="001B78E1" w:rsidRPr="00A43700" w:rsidRDefault="001B78E1"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86" w:name="_Toc212139907"/>
      <w:r w:rsidRPr="00A43700">
        <w:rPr>
          <w:rFonts w:asciiTheme="majorBidi" w:eastAsiaTheme="minorEastAsia" w:hAnsiTheme="majorBidi" w:cstheme="majorBidi"/>
          <w:color w:val="000000" w:themeColor="text1"/>
          <w:kern w:val="0"/>
          <w:sz w:val="28"/>
          <w:szCs w:val="28"/>
          <w14:ligatures w14:val="none"/>
        </w:rPr>
        <w:lastRenderedPageBreak/>
        <w:t>5.10 Recommendations for Future Research and Summary</w:t>
      </w:r>
      <w:bookmarkEnd w:id="86"/>
    </w:p>
    <w:p w14:paraId="1045B70A" w14:textId="77777777" w:rsidR="001B78E1" w:rsidRPr="00A43700" w:rsidRDefault="001B78E1"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178474B" w14:textId="24761A10"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Although this study has contributed substantively to both theory and practice, it also opens new avenues for inquiry. Future research should explore the longitudinal dynamics of risk management integration—tracking how institutional reforms, training programs, and cultural shifts influence infection rates over time. Long-term studies using mixed methods can provide stronger causal inference, capturing both quantitative trends and qualitative transformations in attitudes and culture.</w:t>
      </w:r>
    </w:p>
    <w:p w14:paraId="4400ED0F" w14:textId="61D29135"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Moreover, comparative research across different hospitals—public, private, and specialized—could reveal how organizational size, resource allocation, and governance structures affect the implementation of integrated risk management. Cross-country studies would further enrich understanding by highlighting contextual variations, particularly in regions with different regulatory and cultural landscapes.</w:t>
      </w:r>
    </w:p>
    <w:p w14:paraId="150586A9" w14:textId="66197D56"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Another promising direction involves the application of digital analytics and artificial intelligence in infection risk prediction. By integrating electronic health records, sensor-based monitoring, and predictive modeling into risk management systems, hospitals could achieve real-time detection of infection vulnerabilities and automate early warning mechanisms. Such innovations would not only improve patient outcomes but also redefine the conceptual boundaries of proactive risk governance.</w:t>
      </w:r>
    </w:p>
    <w:p w14:paraId="100BB8EB" w14:textId="77777777" w:rsidR="001B78E1" w:rsidRPr="00A43700" w:rsidRDefault="001B78E1"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At the human level, further research should examine psychological and behavioral dimensions—for example, how intrinsic motivation, emotional resilience, and ethical commitment interact with institutional incentives to shape compliance behavior. Incorporating psychological and sociological frameworks could yield richer, more holistic insights into the human factors underpinning infection control success.</w:t>
      </w:r>
    </w:p>
    <w:p w14:paraId="2CC1D9B4" w14:textId="77777777" w:rsidR="001B78E1" w:rsidRPr="00A43700" w:rsidRDefault="001B78E1"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59BE6E9" w14:textId="7AEA3956"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In conclusion, this study has demonstrated that effective infection control is inseparable from robust risk management. Through quantitative evidence and qualitative insight, it has shown that knowledge, attitude, and practice among healthcare workers are significantly influenced by the perceived effectiveness of risk management systems. The integration of these systems not only enhances operational efficiency but also cultivates a culture of safety, accountability, and continuous learning.</w:t>
      </w:r>
    </w:p>
    <w:p w14:paraId="252A4867" w14:textId="06A68411" w:rsidR="001B78E1" w:rsidRPr="00A43700" w:rsidRDefault="001B78E1"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Theoretically, the research advances the understanding of risk management as a multilevel, integrative construct, bridging clinical safety and organizational strategy. Practically, it provides actionable recommendations for hospital leaders, risk managers, and policymakers to institutionalize evidence-based, culturally attuned infection prevention frameworks.</w:t>
      </w:r>
    </w:p>
    <w:p w14:paraId="62286A5D" w14:textId="77777777" w:rsidR="001B78E1" w:rsidRPr="00A43700" w:rsidRDefault="001B78E1"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As healthcare systems globally confront mounting challenges—from antimicrobial resistance to emerging infectious diseases—the lessons derived from this study underscore a timeless truth: patient safety is not achieved through policy alone, but through the collective mindfulness, coordination, and ethical commitment of the entire healthcare ecosystem.</w:t>
      </w:r>
    </w:p>
    <w:p w14:paraId="43854E8C" w14:textId="77777777" w:rsidR="001B78E1" w:rsidRPr="00A43700" w:rsidRDefault="001B78E1"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CB1F34E" w14:textId="77777777" w:rsidR="00AF5314"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96EC5FE" w14:textId="77777777" w:rsidR="00AA61C2"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5541D9C" w14:textId="77777777" w:rsidR="00AA61C2"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B88A446" w14:textId="77777777" w:rsidR="00AA61C2"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36E5808" w14:textId="77777777" w:rsidR="00AA61C2"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8A94266" w14:textId="77777777" w:rsidR="00AA61C2"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33781AC" w14:textId="77777777" w:rsidR="00AA61C2"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3E0A8C1" w14:textId="77777777" w:rsidR="00AA61C2"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D948978" w14:textId="77777777" w:rsidR="00AA61C2"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DE51D59" w14:textId="77777777" w:rsidR="00AA61C2"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8CFE0FC" w14:textId="77777777" w:rsidR="00AA61C2" w:rsidRPr="00A43700" w:rsidRDefault="00AA61C2" w:rsidP="00AA61C2">
      <w:pPr>
        <w:bidi w:val="0"/>
        <w:spacing w:after="0" w:line="360" w:lineRule="auto"/>
        <w:jc w:val="both"/>
        <w:rPr>
          <w:rFonts w:asciiTheme="majorBidi" w:eastAsiaTheme="minorEastAsia" w:hAnsiTheme="majorBidi" w:cstheme="majorBidi"/>
          <w:color w:val="000000" w:themeColor="text1"/>
          <w:kern w:val="0"/>
          <w:sz w:val="28"/>
          <w:szCs w:val="28"/>
          <w:rtl/>
          <w14:ligatures w14:val="none"/>
        </w:rPr>
      </w:pPr>
    </w:p>
    <w:p w14:paraId="01CFF2BF" w14:textId="4682797C" w:rsidR="00AF5314" w:rsidRPr="00AA61C2" w:rsidRDefault="00AF5314" w:rsidP="00B572D1">
      <w:pPr>
        <w:bidi w:val="0"/>
        <w:spacing w:after="0" w:line="360" w:lineRule="auto"/>
        <w:jc w:val="both"/>
        <w:outlineLvl w:val="0"/>
        <w:rPr>
          <w:rFonts w:asciiTheme="majorBidi" w:eastAsiaTheme="minorEastAsia" w:hAnsiTheme="majorBidi" w:cstheme="majorBidi"/>
          <w:b/>
          <w:bCs/>
          <w:color w:val="000000" w:themeColor="text1"/>
          <w:kern w:val="0"/>
          <w:sz w:val="28"/>
          <w:szCs w:val="28"/>
          <w14:ligatures w14:val="none"/>
        </w:rPr>
      </w:pPr>
      <w:bookmarkStart w:id="87" w:name="_Toc212139908"/>
      <w:r w:rsidRPr="00AA61C2">
        <w:rPr>
          <w:rFonts w:asciiTheme="majorBidi" w:eastAsiaTheme="minorEastAsia" w:hAnsiTheme="majorBidi" w:cstheme="majorBidi"/>
          <w:b/>
          <w:bCs/>
          <w:color w:val="000000" w:themeColor="text1"/>
          <w:kern w:val="0"/>
          <w:sz w:val="28"/>
          <w:szCs w:val="28"/>
          <w14:ligatures w14:val="none"/>
        </w:rPr>
        <w:lastRenderedPageBreak/>
        <w:t>Chapter Six: Conclusion and Recommendations</w:t>
      </w:r>
      <w:bookmarkEnd w:id="87"/>
      <w:r w:rsidRPr="00AA61C2">
        <w:rPr>
          <w:rFonts w:asciiTheme="majorBidi" w:eastAsiaTheme="minorEastAsia" w:hAnsiTheme="majorBidi" w:cstheme="majorBidi"/>
          <w:b/>
          <w:bCs/>
          <w:color w:val="000000" w:themeColor="text1"/>
          <w:kern w:val="0"/>
          <w:sz w:val="28"/>
          <w:szCs w:val="28"/>
          <w14:ligatures w14:val="none"/>
        </w:rPr>
        <w:t xml:space="preserve"> </w:t>
      </w:r>
    </w:p>
    <w:p w14:paraId="21A04329"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C3D3119" w14:textId="77777777" w:rsidR="00AF5314" w:rsidRPr="00A43700" w:rsidRDefault="00AF5314"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88" w:name="_Toc212139909"/>
      <w:r w:rsidRPr="00A43700">
        <w:rPr>
          <w:rFonts w:asciiTheme="majorBidi" w:eastAsiaTheme="minorEastAsia" w:hAnsiTheme="majorBidi" w:cstheme="majorBidi"/>
          <w:color w:val="000000" w:themeColor="text1"/>
          <w:kern w:val="0"/>
          <w:sz w:val="28"/>
          <w:szCs w:val="28"/>
          <w14:ligatures w14:val="none"/>
        </w:rPr>
        <w:t>6.1 Introduction</w:t>
      </w:r>
      <w:bookmarkEnd w:id="88"/>
    </w:p>
    <w:p w14:paraId="72915536"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9FA91A1" w14:textId="41565E86" w:rsidR="00AF5314" w:rsidRPr="00A43700" w:rsidRDefault="00AF5314" w:rsidP="006F7F4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final chapter consolidates the major outcomes of the study and articulates their broader significance for both theory and practice. It serves as the intellectual culmination of the research journey, synthesizing the empirical findings presented in Chapter Four and the interpretive insights discussed in Chapter Five. The chapter also establishes the practical link between knowledge generation and action, translating the study’s discoveries into evidence-based recommendations that can directly inform hospital policies, risk management strategies, and infection control frameworks.</w:t>
      </w:r>
    </w:p>
    <w:p w14:paraId="24B546FA" w14:textId="2975181E" w:rsidR="00AF5314" w:rsidRPr="00A43700" w:rsidRDefault="00AF5314" w:rsidP="006F7F4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chapter proceeds in four major parts. The first section provides a concise yet critical summary of the key findings, focusing on how risk management contributes to reducing hospital-acquired infections (HAIs) at King Faisal Specialist Hospital and Research Centre (KFSHRC). The second section discusses the overall contributions of the research to academic theory, professional practice, and healthcare governance. The third section outlines practical, context-specific recommendations designed to enhance infection prevention through risk-based strategies. The fourth and final section offers suggestions for future research directions and concludes with an integrative reflection on the broader implications of embedding risk management in healthcare delivery systems.</w:t>
      </w:r>
    </w:p>
    <w:p w14:paraId="5970A88E"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By uniting analytical depth with applied relevance, this chapter emphasizes that effective infection prevention cannot be sustained through isolated clinical interventions alone—it requires a comprehensive risk governance model that harmonizes leadership, culture, communication, and accountability at every organizational level.</w:t>
      </w:r>
    </w:p>
    <w:p w14:paraId="51FF3137"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60FFED2" w14:textId="77777777" w:rsidR="00AF5314" w:rsidRPr="00A43700" w:rsidRDefault="00AF5314"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89" w:name="_Toc212139910"/>
      <w:r w:rsidRPr="00A43700">
        <w:rPr>
          <w:rFonts w:asciiTheme="majorBidi" w:eastAsiaTheme="minorEastAsia" w:hAnsiTheme="majorBidi" w:cstheme="majorBidi"/>
          <w:color w:val="000000" w:themeColor="text1"/>
          <w:kern w:val="0"/>
          <w:sz w:val="28"/>
          <w:szCs w:val="28"/>
          <w14:ligatures w14:val="none"/>
        </w:rPr>
        <w:lastRenderedPageBreak/>
        <w:t>6.2 Summary of Key Findings</w:t>
      </w:r>
      <w:bookmarkEnd w:id="89"/>
    </w:p>
    <w:p w14:paraId="6EAF9115"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8C77A11" w14:textId="0C2AFDC9" w:rsidR="00AF5314" w:rsidRPr="00A43700" w:rsidRDefault="00AF5314" w:rsidP="006F7F4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empirical findings of this study provided robust evidence that the integration of risk management practices significantly enhances infection prevention outcomes. Drawing on the mixed-methods approach, which combined quantitative survey data from 150 healthcare professionals and qualitative insights from interviews, observations, and document analysis, the research uncovered a nuanced yet consistent pattern: where risk management systems were visible, well-structured, and actively supported by leadership, infection rates were demonstrably lower, and staff compliance was notably higher.</w:t>
      </w:r>
    </w:p>
    <w:p w14:paraId="6175B3F4" w14:textId="6856B50D" w:rsidR="00AF5314" w:rsidRPr="00A43700" w:rsidRDefault="00AF5314" w:rsidP="006F7F4B">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Quantitative analysis revealed statistically significant correlations between knowledge, attitudes, and practices related to infection control and the perceived effectiveness of the hospital’s risk management system. Respondents who rated the system as effective also reported higher adherence to infection control protocols, especially regarding hand hygiene, use of personal protective equipment (PPE), and waste disposal procedures. This finding validates the central hypothesis of the study—that a mature, transparent, and proactive risk management framework is a critical determinant of infection prevention success.</w:t>
      </w:r>
    </w:p>
    <w:p w14:paraId="7B857659"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Qualitative data further deepened this understanding by highlighting organizational and behavioral dimensions often hidden behind statistical measures. Interviews with infection control officers and risk managers emphasized that leadership commitment, interdepartmental collaboration, and the presence of a non-punitive reporting culture are the essential enablers of sustained infection control. Observations in high-risk departments such as intensive care and surgery confirmed that infection prevention practices thrive in units where communication channels are open, resources are readily available, and staff members feel psychologically safe to report errors or lapses.</w:t>
      </w:r>
    </w:p>
    <w:p w14:paraId="4A1A24F3"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334C80E" w14:textId="3F51ACA8" w:rsidR="00AF5314" w:rsidRPr="00A43700" w:rsidRDefault="00AF5314"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triangulation of data sources also revealed that training and continuous education serve as vital mediators between institutional policy and behavioral compliance. Staff who received regular training on infection control and risk management scored significantly higher on both knowledge and practice dimensions. These findings align with global literature emphasizing that training is not a one-time procedural requirement but a continuous professional development necessity that reinforces awareness, refreshes skills, and embeds safety values into daily practice.</w:t>
      </w:r>
    </w:p>
    <w:p w14:paraId="7919A4FE" w14:textId="3B597575" w:rsidR="00AF5314" w:rsidRPr="00A43700" w:rsidRDefault="00AF5314"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Another key finding lies in the identification of gaps between policy formulation and practical implementation. While KFSHRC had well-documented infection control policies and a risk management framework aligned with international standards, inconsistencies in departmental enforcement and staff engagement limited the full realization of their potential. This “policy-practice gap” underscores that successful infection prevention is as much about human systems as it is about technical procedures. Therefore, continuous monitoring, audit feedback, and leadership visibility are indispensable to translate written protocols into lived organizational behavior.</w:t>
      </w:r>
    </w:p>
    <w:p w14:paraId="67DBAEAA"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In summary, the study’s key findings can be grouped into four core dimensions:</w:t>
      </w:r>
    </w:p>
    <w:p w14:paraId="71C89C7A" w14:textId="77777777" w:rsidR="00AF5314" w:rsidRPr="00A43700" w:rsidRDefault="00AF5314"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1.</w:t>
      </w:r>
      <w:r w:rsidRPr="00A43700">
        <w:rPr>
          <w:rFonts w:asciiTheme="majorBidi" w:eastAsiaTheme="minorEastAsia" w:hAnsiTheme="majorBidi" w:cstheme="majorBidi"/>
          <w:color w:val="000000" w:themeColor="text1"/>
          <w:kern w:val="0"/>
          <w:sz w:val="28"/>
          <w:szCs w:val="28"/>
          <w14:ligatures w14:val="none"/>
        </w:rPr>
        <w:tab/>
        <w:t>Knowledge and Awareness – High among trained staff but uneven across departments, requiring standardized orientation and refresher programs.</w:t>
      </w:r>
    </w:p>
    <w:p w14:paraId="3827E3AA" w14:textId="77777777" w:rsidR="00AF5314" w:rsidRPr="00A43700" w:rsidRDefault="00AF5314"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2.</w:t>
      </w:r>
      <w:r w:rsidRPr="00A43700">
        <w:rPr>
          <w:rFonts w:asciiTheme="majorBidi" w:eastAsiaTheme="minorEastAsia" w:hAnsiTheme="majorBidi" w:cstheme="majorBidi"/>
          <w:color w:val="000000" w:themeColor="text1"/>
          <w:kern w:val="0"/>
          <w:sz w:val="28"/>
          <w:szCs w:val="28"/>
          <w14:ligatures w14:val="none"/>
        </w:rPr>
        <w:tab/>
        <w:t>Attitudes and Culture – Generally positive, but dependent on the presence of trust, fairness, and visible leadership support.</w:t>
      </w:r>
    </w:p>
    <w:p w14:paraId="6D55C773" w14:textId="77777777" w:rsidR="00AF5314" w:rsidRPr="00A43700" w:rsidRDefault="00AF5314"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b/>
        <w:t>3.</w:t>
      </w:r>
      <w:r w:rsidRPr="00A43700">
        <w:rPr>
          <w:rFonts w:asciiTheme="majorBidi" w:eastAsiaTheme="minorEastAsia" w:hAnsiTheme="majorBidi" w:cstheme="majorBidi"/>
          <w:color w:val="000000" w:themeColor="text1"/>
          <w:kern w:val="0"/>
          <w:sz w:val="28"/>
          <w:szCs w:val="28"/>
          <w14:ligatures w14:val="none"/>
        </w:rPr>
        <w:tab/>
        <w:t>Practices and Compliance – Strong in high-risk areas with rigorous supervision; weaker in general wards due to workload and resource constraints.</w:t>
      </w:r>
    </w:p>
    <w:p w14:paraId="0ED166B0" w14:textId="77777777" w:rsidR="00AF5314" w:rsidRPr="00A43700" w:rsidRDefault="00AF5314" w:rsidP="00A43700">
      <w:pPr>
        <w:bidi w:val="0"/>
        <w:spacing w:before="180" w:after="0" w:line="360" w:lineRule="auto"/>
        <w:ind w:left="345" w:hanging="345"/>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ab/>
        <w:t>4.</w:t>
      </w:r>
      <w:r w:rsidRPr="00A43700">
        <w:rPr>
          <w:rFonts w:asciiTheme="majorBidi" w:eastAsiaTheme="minorEastAsia" w:hAnsiTheme="majorBidi" w:cstheme="majorBidi"/>
          <w:color w:val="000000" w:themeColor="text1"/>
          <w:kern w:val="0"/>
          <w:sz w:val="28"/>
          <w:szCs w:val="28"/>
          <w14:ligatures w14:val="none"/>
        </w:rPr>
        <w:tab/>
        <w:t>Risk Management Integration – The strongest predictor of infection control success; effective systems correlate with lower infection rates and stronger safety culture.</w:t>
      </w:r>
    </w:p>
    <w:p w14:paraId="125D3499"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CB79013"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Together, these findings reaffirm that infection control is not a siloed clinical task but a multifactorial organizational process, in which risk management functions as the structural and cultural backbone sustaining preventive behavior and learning.</w:t>
      </w:r>
    </w:p>
    <w:p w14:paraId="491EEF1C"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2C7E694" w14:textId="77777777" w:rsidR="00AF5314" w:rsidRPr="00A43700" w:rsidRDefault="00AF5314"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90" w:name="_Toc212139911"/>
      <w:r w:rsidRPr="00A43700">
        <w:rPr>
          <w:rFonts w:asciiTheme="majorBidi" w:eastAsiaTheme="minorEastAsia" w:hAnsiTheme="majorBidi" w:cstheme="majorBidi"/>
          <w:color w:val="000000" w:themeColor="text1"/>
          <w:kern w:val="0"/>
          <w:sz w:val="28"/>
          <w:szCs w:val="28"/>
          <w14:ligatures w14:val="none"/>
        </w:rPr>
        <w:t>6.3 Contribution of the Study</w:t>
      </w:r>
      <w:bookmarkEnd w:id="90"/>
    </w:p>
    <w:p w14:paraId="09E59AB4"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AE39324" w14:textId="71FBEDD5" w:rsidR="00AF5314" w:rsidRPr="00A43700" w:rsidRDefault="00AF5314"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This study contributes to the academic, practical, and policy-oriented understanding of infection control in several ways. At the theoretical level, it advances the integration of risk management theory with infection control practice, offering a comprehensive model that situates infection prevention within the broader framework of enterprise risk governance. Previous research has often treated infection control as a technical discipline confined to clinical procedures. In contrast, this study positions it as a strategic organizational capability, one that draws upon systems thinking, safety culture, and organizational learning theories.</w:t>
      </w:r>
    </w:p>
    <w:p w14:paraId="57908D6A"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research further contributes by refining the conceptual understanding of “perceived risk management effectiveness” as a mediating variable between institutional design and staff behavior. The findings demonstrate that perception is not an abstract psychological construct—it is a measurable indicator of system functionality. When staff perceive the hospital’s risk management system as responsive, transparent, and equitable, they are more likely to adhere to infection control measures consistently. This empirical link between perception and performance bridges a major gap in the literature, emphasizing the importance of internal trust as a precondition for operational excellence.</w:t>
      </w:r>
    </w:p>
    <w:p w14:paraId="5F8E0455"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BD69EE3" w14:textId="68DFE688" w:rsidR="00AF5314" w:rsidRPr="00A43700" w:rsidRDefault="00AF5314"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From a methodological perspective, the study offers an exemplary application of the mixed-methods case study design in healthcare research. The simultaneous use of quantitative surveys, qualitative interviews, document reviews, and direct observation provided both breadth and depth, enabling triangulation of evidence and enhancing validity. This methodological rigor strengthens the study’s credibility and offers a replicable blueprint for future researchers investigating similar organizational phenomena in complex healthcare settings.</w:t>
      </w:r>
    </w:p>
    <w:p w14:paraId="1E38AD29" w14:textId="709BEDA8" w:rsidR="00AF5314" w:rsidRPr="00A43700" w:rsidRDefault="00AF5314"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At the practical level, the study generates actionable insights for hospital administrators, policymakers, and healthcare professionals. It identifies critical leverage points—such as leadership engagement, continuous training, interdepartmental collaboration, and transparent communication—that can transform infection control systems from reactive compliance mechanisms into proactive learning organizations. By doing so, the study bridges the often-cited gap between academic research and applied hospital management, making its conclusions directly relevant to real-world practice.</w:t>
      </w:r>
    </w:p>
    <w:p w14:paraId="7F57B9AF"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Finally, the study contributes to the national healthcare agenda of Saudi Arabia, particularly in alignment with Vision 2030’s emphasis on improving healthcare quality, efficiency, and safety. By demonstrating how advanced risk management principles can be operationalized within infection prevention programs, the research provides a model for other healthcare institutions seeking to build resilient, data-driven, and patient-centered safety systems. The implications extend beyond KFSHRC, offering valuable lessons for healthcare institutions across the region and globally.</w:t>
      </w:r>
    </w:p>
    <w:p w14:paraId="637B6CD4"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E671933" w14:textId="77777777" w:rsidR="00400F15" w:rsidRDefault="00400F15"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234D178" w14:textId="77777777" w:rsidR="00400F15" w:rsidRDefault="00400F15"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9ACAA78" w14:textId="77777777" w:rsidR="00400F15" w:rsidRDefault="00400F15"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21A03352" w14:textId="60148034" w:rsidR="0029521D" w:rsidRPr="00A43700" w:rsidRDefault="0029521D" w:rsidP="00B572D1">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91" w:name="_Toc212139912"/>
      <w:r w:rsidRPr="00A43700">
        <w:rPr>
          <w:rFonts w:asciiTheme="majorBidi" w:eastAsiaTheme="minorEastAsia" w:hAnsiTheme="majorBidi" w:cstheme="majorBidi"/>
          <w:color w:val="000000" w:themeColor="text1"/>
          <w:kern w:val="0"/>
          <w:sz w:val="28"/>
          <w:szCs w:val="28"/>
          <w14:ligatures w14:val="none"/>
        </w:rPr>
        <w:lastRenderedPageBreak/>
        <w:t>6.4 Practical Recommendations for Hospitals</w:t>
      </w:r>
      <w:bookmarkEnd w:id="91"/>
    </w:p>
    <w:p w14:paraId="19DD98F3"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60DC417" w14:textId="17592BEC" w:rsidR="0029521D" w:rsidRPr="00A43700" w:rsidRDefault="0029521D"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Based on the findings of this study, a series of practical recommendations can be proposed to enhance infection prevention through the integration of risk management practices. These recommendations target multiple dimensions of hospital operations, including policy, leadership, training, operational workflows, and organizational culture, emphasizing the holistic nature of effective infection control.</w:t>
      </w:r>
    </w:p>
    <w:p w14:paraId="0E4CD80F" w14:textId="52F6C9E9" w:rsidR="0029521D" w:rsidRPr="00A43700" w:rsidRDefault="0029521D"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Policy and Governance: Hospitals should establish a centralized Risk-Infection Governance Committee, responsible for coordinating infection control and risk management initiatives across departments. This committee should ensure that infection-related incidents are systematically documented, analyzed, and addressed, enabling proactive decision-making. Implementing standardized risk assessment matrices can help prioritize hazards according to severity and likelihood, ensuring that limited resources are efficiently allocated to high-risk areas such as intensive care units and surgical wards. Regular audits and review meetings should be institutionalized to maintain accountability and continuous improvement.</w:t>
      </w:r>
    </w:p>
    <w:p w14:paraId="35097A23"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Training and Capacity Building: Continuous education is critical in sustaining compliance with infection control protocols. Hospitals should implement tiered training programs, including foundational courses for all staff and advanced modules for infection control officers, risk managers, and department heads. Scenario-based simulation exercises can reinforce practical skills and decision-making under pressure, while periodic refresher courses ensure that staff remain updated on emerging pathogens and revised protocols. Such training not only improves technical competence but also fosters a proactive, risk-aware mindset among employees.</w:t>
      </w:r>
    </w:p>
    <w:p w14:paraId="479F5D84"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15C01365" w14:textId="60ACCCEE" w:rsidR="0029521D" w:rsidRPr="00A43700" w:rsidRDefault="0029521D"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Operational Improvements: Integration of electronic incident reporting systems, real-time dashboards, and surveillance tools can enhance the monitoring of infection trends and facilitate timely interventions. Direct observation programs should be conducted to assess hand hygiene compliance, PPE usage, waste disposal practices, and adherence to isolation protocols. Implementing feedback mechanisms, where audit results and infection data are communicated back to frontline staff, reinforces accountability and demonstrates the tangible impact of preventive measures.</w:t>
      </w:r>
    </w:p>
    <w:p w14:paraId="04B4BD19"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Organizational Culture and Communication: A positive safety culture is essential for sustainable infection prevention. Hospitals should adopt non-punitive reporting policies that encourage staff to report incidents without fear of blame. Recognition programs for departments or individuals demonstrating exemplary compliance can reinforce desired behaviors. Leadership engagement, visible support, and consistent communication of infection control priorities strengthen staff commitment and trust, cultivating an environment where safety is a shared responsibility.</w:t>
      </w:r>
    </w:p>
    <w:p w14:paraId="24C70C6D"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033468C0"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Table 6.1: Summary of Practical Recommendations</w:t>
      </w:r>
    </w:p>
    <w:p w14:paraId="0CA3353E"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tbl>
      <w:tblPr>
        <w:tblStyle w:val="TableGrid"/>
        <w:tblW w:w="0" w:type="auto"/>
        <w:tblLook w:val="04A0" w:firstRow="1" w:lastRow="0" w:firstColumn="1" w:lastColumn="0" w:noHBand="0" w:noVBand="1"/>
      </w:tblPr>
      <w:tblGrid>
        <w:gridCol w:w="2940"/>
        <w:gridCol w:w="2941"/>
        <w:gridCol w:w="2941"/>
      </w:tblGrid>
      <w:tr w:rsidR="00400F15" w:rsidRPr="00400F15" w14:paraId="4CF11417" w14:textId="77777777" w:rsidTr="00400F15">
        <w:tc>
          <w:tcPr>
            <w:tcW w:w="2940" w:type="dxa"/>
          </w:tcPr>
          <w:p w14:paraId="1B8DFC76"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Domain</w:t>
            </w:r>
          </w:p>
        </w:tc>
        <w:tc>
          <w:tcPr>
            <w:tcW w:w="2941" w:type="dxa"/>
          </w:tcPr>
          <w:p w14:paraId="311B0B0B"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Recommendation</w:t>
            </w:r>
          </w:p>
        </w:tc>
        <w:tc>
          <w:tcPr>
            <w:tcW w:w="2941" w:type="dxa"/>
          </w:tcPr>
          <w:p w14:paraId="7583661B"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Expected Impact</w:t>
            </w:r>
          </w:p>
        </w:tc>
      </w:tr>
      <w:tr w:rsidR="00400F15" w:rsidRPr="00400F15" w14:paraId="70DF49FE" w14:textId="77777777" w:rsidTr="00400F15">
        <w:tc>
          <w:tcPr>
            <w:tcW w:w="2940" w:type="dxa"/>
          </w:tcPr>
          <w:p w14:paraId="579CA0FA"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Policy &amp; Governance</w:t>
            </w:r>
          </w:p>
        </w:tc>
        <w:tc>
          <w:tcPr>
            <w:tcW w:w="2941" w:type="dxa"/>
          </w:tcPr>
          <w:p w14:paraId="2ED882DE"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Establish a centralized Risk-Infection Governance Committee</w:t>
            </w:r>
          </w:p>
        </w:tc>
        <w:tc>
          <w:tcPr>
            <w:tcW w:w="2941" w:type="dxa"/>
          </w:tcPr>
          <w:p w14:paraId="432155A4"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Unified oversight, improved accountability</w:t>
            </w:r>
          </w:p>
        </w:tc>
      </w:tr>
      <w:tr w:rsidR="00400F15" w:rsidRPr="00400F15" w14:paraId="1145282D" w14:textId="77777777" w:rsidTr="00400F15">
        <w:tc>
          <w:tcPr>
            <w:tcW w:w="2940" w:type="dxa"/>
          </w:tcPr>
          <w:p w14:paraId="4126982C"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Risk Prioritization</w:t>
            </w:r>
          </w:p>
        </w:tc>
        <w:tc>
          <w:tcPr>
            <w:tcW w:w="2941" w:type="dxa"/>
          </w:tcPr>
          <w:p w14:paraId="00A8B66A"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Implement risk matrices for infection hazards</w:t>
            </w:r>
          </w:p>
        </w:tc>
        <w:tc>
          <w:tcPr>
            <w:tcW w:w="2941" w:type="dxa"/>
          </w:tcPr>
          <w:p w14:paraId="636ABF98"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Focused resource allocation to high-risk areas</w:t>
            </w:r>
          </w:p>
        </w:tc>
      </w:tr>
      <w:tr w:rsidR="00400F15" w:rsidRPr="00400F15" w14:paraId="632016D2" w14:textId="77777777" w:rsidTr="00400F15">
        <w:tc>
          <w:tcPr>
            <w:tcW w:w="2940" w:type="dxa"/>
          </w:tcPr>
          <w:p w14:paraId="25231241"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lastRenderedPageBreak/>
              <w:t>Training &amp; Capacity Building</w:t>
            </w:r>
          </w:p>
        </w:tc>
        <w:tc>
          <w:tcPr>
            <w:tcW w:w="2941" w:type="dxa"/>
          </w:tcPr>
          <w:p w14:paraId="4D7FFB2A"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Tiered, simulation-based, and refresher training</w:t>
            </w:r>
          </w:p>
        </w:tc>
        <w:tc>
          <w:tcPr>
            <w:tcW w:w="2941" w:type="dxa"/>
          </w:tcPr>
          <w:p w14:paraId="41D352E6"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Enhanced knowledge, skills, and proactive compliance</w:t>
            </w:r>
          </w:p>
        </w:tc>
      </w:tr>
      <w:tr w:rsidR="00400F15" w:rsidRPr="00400F15" w14:paraId="7B5CFDA5" w14:textId="77777777" w:rsidTr="00400F15">
        <w:tc>
          <w:tcPr>
            <w:tcW w:w="2940" w:type="dxa"/>
          </w:tcPr>
          <w:p w14:paraId="61186B40"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Operational Processes</w:t>
            </w:r>
          </w:p>
        </w:tc>
        <w:tc>
          <w:tcPr>
            <w:tcW w:w="2941" w:type="dxa"/>
          </w:tcPr>
          <w:p w14:paraId="00D764D9"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Integrate electronic reporting, direct observation, and feedback loops</w:t>
            </w:r>
          </w:p>
        </w:tc>
        <w:tc>
          <w:tcPr>
            <w:tcW w:w="2941" w:type="dxa"/>
          </w:tcPr>
          <w:p w14:paraId="62449034"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Improved real-time monitoring and intervention</w:t>
            </w:r>
          </w:p>
        </w:tc>
      </w:tr>
      <w:tr w:rsidR="00400F15" w:rsidRPr="00400F15" w14:paraId="47EF644D" w14:textId="77777777" w:rsidTr="00400F15">
        <w:tc>
          <w:tcPr>
            <w:tcW w:w="2940" w:type="dxa"/>
          </w:tcPr>
          <w:p w14:paraId="397B97AE"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Culture &amp; Communication</w:t>
            </w:r>
          </w:p>
        </w:tc>
        <w:tc>
          <w:tcPr>
            <w:tcW w:w="2941" w:type="dxa"/>
          </w:tcPr>
          <w:p w14:paraId="5576C7E6"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Non-punitive reporting, leadership modeling, and recognition programs</w:t>
            </w:r>
          </w:p>
        </w:tc>
        <w:tc>
          <w:tcPr>
            <w:tcW w:w="2941" w:type="dxa"/>
          </w:tcPr>
          <w:p w14:paraId="48DFACA7" w14:textId="77777777" w:rsidR="00400F15" w:rsidRPr="00400F15" w:rsidRDefault="00400F15" w:rsidP="00DB31F1">
            <w:pPr>
              <w:bidi w:val="0"/>
              <w:spacing w:line="360" w:lineRule="auto"/>
              <w:jc w:val="both"/>
              <w:rPr>
                <w:rFonts w:asciiTheme="majorBidi" w:eastAsiaTheme="minorEastAsia" w:hAnsiTheme="majorBidi" w:cstheme="majorBidi"/>
                <w:color w:val="000000" w:themeColor="text1"/>
                <w:kern w:val="0"/>
                <w:sz w:val="28"/>
                <w:szCs w:val="28"/>
                <w14:ligatures w14:val="none"/>
              </w:rPr>
            </w:pPr>
            <w:r w:rsidRPr="00400F15">
              <w:rPr>
                <w:rFonts w:asciiTheme="majorBidi" w:eastAsiaTheme="minorEastAsia" w:hAnsiTheme="majorBidi" w:cstheme="majorBidi"/>
                <w:color w:val="000000" w:themeColor="text1"/>
                <w:kern w:val="0"/>
                <w:sz w:val="28"/>
                <w:szCs w:val="28"/>
                <w14:ligatures w14:val="none"/>
              </w:rPr>
              <w:t>Strengthened safety culture and increased reporting</w:t>
            </w:r>
          </w:p>
        </w:tc>
      </w:tr>
    </w:tbl>
    <w:p w14:paraId="48C27C9E"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833988E" w14:textId="77777777" w:rsidR="0029521D" w:rsidRPr="00A43700" w:rsidRDefault="0029521D" w:rsidP="00C86C8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92" w:name="_Toc212139913"/>
      <w:r w:rsidRPr="00A43700">
        <w:rPr>
          <w:rFonts w:asciiTheme="majorBidi" w:eastAsiaTheme="minorEastAsia" w:hAnsiTheme="majorBidi" w:cstheme="majorBidi"/>
          <w:color w:val="000000" w:themeColor="text1"/>
          <w:kern w:val="0"/>
          <w:sz w:val="28"/>
          <w:szCs w:val="28"/>
          <w14:ligatures w14:val="none"/>
        </w:rPr>
        <w:t>6.5 Directions for Future Research</w:t>
      </w:r>
      <w:bookmarkEnd w:id="92"/>
    </w:p>
    <w:p w14:paraId="1E7073A7"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BA80230" w14:textId="45E7AB73" w:rsidR="0029521D" w:rsidRPr="00A43700" w:rsidRDefault="0029521D"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Although this study offers comprehensive insights into the integration of risk management and infection control, several avenues for future research emerge:</w:t>
      </w:r>
    </w:p>
    <w:p w14:paraId="5A0E9ED5" w14:textId="63A92D92" w:rsidR="0029521D" w:rsidRPr="00A43700" w:rsidRDefault="0029521D"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Longitudinal Studies: Future research should adopt longitudinal designs to evaluate the long-term impact of integrated risk management on infection rates, staff compliance, and organizational learning. Multi-year studies can reveal causal relationships and the sustainability of interventions that cross-sectional studies cannot capture.</w:t>
      </w:r>
    </w:p>
    <w:p w14:paraId="7DF0442A"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Comparative Multicenter Research: Conducting comparative studies across different hospital types—public vs. private, specialized vs. general—can help identify contextual factors influencing the effectiveness of risk-based infection control. Cross-institutional research may uncover best practices, highlight areas requiring adaptation, and provide a benchmarking framework for hospitals seeking to improve safety outcomes.</w:t>
      </w:r>
    </w:p>
    <w:p w14:paraId="057409F4"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77110715" w14:textId="6C462F39" w:rsidR="0029521D" w:rsidRPr="00A43700" w:rsidRDefault="0029521D"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Technology and Digital Analytics: Investigating the application of digital tools, predictive analytics, and artificial intelligence in infection control can enhance early detection and proactive mitigation of infection risks. Studies could explore how electronic health records, real-time monitoring, and predictive modeling facilitate more effective decision-making and resource allocation.</w:t>
      </w:r>
    </w:p>
    <w:p w14:paraId="1CD26FF9" w14:textId="5B8EA134" w:rsidR="0029521D" w:rsidRPr="00A43700" w:rsidRDefault="0029521D"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Behavioral and Psychological Factors: Future research should examine how intrinsic motivation, ethical commitment, resilience, and risk perception influence adherence to infection control protocols. Incorporating behavioral science frameworks could help develop interventions that strengthen staff engagement, reporting behavior, and proactive compliance.</w:t>
      </w:r>
    </w:p>
    <w:p w14:paraId="501E6B63"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Cultural and Regional Factors: Investigating how cultural, ethical, and regional values affect infection prevention practices is also essential. Understanding these factors can inform the development of culturally sensitive training programs and communication strategies, increasing acceptance and adherence across diverse healthcare contexts.</w:t>
      </w:r>
    </w:p>
    <w:p w14:paraId="3A0A9D31"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43D2DAD" w14:textId="77777777" w:rsidR="0029521D" w:rsidRPr="00A43700" w:rsidRDefault="0029521D" w:rsidP="00C86C86">
      <w:pPr>
        <w:bidi w:val="0"/>
        <w:spacing w:after="0" w:line="360" w:lineRule="auto"/>
        <w:jc w:val="both"/>
        <w:outlineLvl w:val="1"/>
        <w:rPr>
          <w:rFonts w:asciiTheme="majorBidi" w:eastAsiaTheme="minorEastAsia" w:hAnsiTheme="majorBidi" w:cstheme="majorBidi"/>
          <w:color w:val="000000" w:themeColor="text1"/>
          <w:kern w:val="0"/>
          <w:sz w:val="28"/>
          <w:szCs w:val="28"/>
          <w14:ligatures w14:val="none"/>
        </w:rPr>
      </w:pPr>
      <w:bookmarkStart w:id="93" w:name="_Toc212139914"/>
      <w:r w:rsidRPr="00A43700">
        <w:rPr>
          <w:rFonts w:asciiTheme="majorBidi" w:eastAsiaTheme="minorEastAsia" w:hAnsiTheme="majorBidi" w:cstheme="majorBidi"/>
          <w:color w:val="000000" w:themeColor="text1"/>
          <w:kern w:val="0"/>
          <w:sz w:val="28"/>
          <w:szCs w:val="28"/>
          <w14:ligatures w14:val="none"/>
        </w:rPr>
        <w:t>6.6 Final Reflection and Closure</w:t>
      </w:r>
      <w:bookmarkEnd w:id="93"/>
    </w:p>
    <w:p w14:paraId="7A0E2D9F"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4BC94DB9" w14:textId="09CB3FB4" w:rsidR="0029521D" w:rsidRPr="00A43700" w:rsidRDefault="0029521D"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In conclusion, this study demonstrates that risk management is a central component of effective infection prevention. The integration of risk governance with infection control practices enables hospitals to reduce hospital-acquired infections while fostering a culture of accountability, learning, and safety.</w:t>
      </w:r>
    </w:p>
    <w:p w14:paraId="04B79FC2"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The research highlights that staff knowledge, attitudes, and practices are closely linked to their perception of the effectiveness of institutional risk management systems. Effective systems, characterized by transparency, leadership engagement, and structured monitoring, correlate with higher compliance and lower infection rates.</w:t>
      </w:r>
    </w:p>
    <w:p w14:paraId="13787806"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3476BD2A" w14:textId="5557A0E0" w:rsidR="0029521D" w:rsidRPr="00A43700" w:rsidRDefault="0029521D" w:rsidP="00400F15">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lastRenderedPageBreak/>
        <w:t>From a theoretical perspective, this study advances a multi-level socio-technical model of infection control, bridging clinical procedures with organizational strategy, behavioral psychology, and safety culture. Practically, it provides actionable recommendations for hospitals, emphasizing leadership involvement, continuous training, operational integration, and cultural reinforcement.</w:t>
      </w:r>
    </w:p>
    <w:p w14:paraId="4A43BA8A"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r w:rsidRPr="00A43700">
        <w:rPr>
          <w:rFonts w:asciiTheme="majorBidi" w:eastAsiaTheme="minorEastAsia" w:hAnsiTheme="majorBidi" w:cstheme="majorBidi"/>
          <w:color w:val="000000" w:themeColor="text1"/>
          <w:kern w:val="0"/>
          <w:sz w:val="28"/>
          <w:szCs w:val="28"/>
          <w14:ligatures w14:val="none"/>
        </w:rPr>
        <w:t>Embedding risk management in infection control is a continuous, adaptive process, not a one-time intervention. Hospitals that adopt this approach can ensure patient safety, develop resilient healthcare systems, and foster a proactive culture where every staff member contributes to the shared responsibility of preventing infections. The lessons from this study are particularly relevant for healthcare institutions seeking to align with Vision 2030 objectives, emphasizing quality, safety, and efficiency in patient care.</w:t>
      </w:r>
    </w:p>
    <w:p w14:paraId="23582883"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6F400CCC" w14:textId="1DC38BF7" w:rsidR="0029521D" w:rsidRDefault="0029521D" w:rsidP="00A43700">
      <w:pPr>
        <w:spacing w:after="0" w:line="360" w:lineRule="auto"/>
        <w:jc w:val="both"/>
        <w:rPr>
          <w:rFonts w:asciiTheme="majorBidi" w:eastAsiaTheme="minorEastAsia" w:hAnsiTheme="majorBidi" w:cstheme="majorBidi"/>
          <w:color w:val="000000" w:themeColor="text1"/>
          <w:kern w:val="0"/>
          <w:sz w:val="28"/>
          <w:szCs w:val="28"/>
          <w:rtl/>
          <w:lang w:val="en-GB"/>
          <w14:ligatures w14:val="none"/>
        </w:rPr>
      </w:pPr>
    </w:p>
    <w:p w14:paraId="51ED98F7"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06A7612A"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6EB7225D"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6EA1F6F9"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69FC4132"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6D07E56F"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202FCD87"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5C54CA99"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182F19CF"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62D63FDA" w14:textId="77777777" w:rsidR="00400F15"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720E3E0A" w14:textId="77777777" w:rsidR="00400F15" w:rsidRPr="00A43700" w:rsidRDefault="00400F15" w:rsidP="00A43700">
      <w:pPr>
        <w:spacing w:after="0" w:line="360" w:lineRule="auto"/>
        <w:jc w:val="both"/>
        <w:rPr>
          <w:rFonts w:asciiTheme="majorBidi" w:eastAsiaTheme="minorEastAsia" w:hAnsiTheme="majorBidi" w:cstheme="majorBidi"/>
          <w:color w:val="000000" w:themeColor="text1"/>
          <w:kern w:val="0"/>
          <w:sz w:val="28"/>
          <w:szCs w:val="28"/>
          <w14:ligatures w14:val="none"/>
        </w:rPr>
      </w:pPr>
    </w:p>
    <w:p w14:paraId="28D8D208" w14:textId="77777777" w:rsidR="00AF5314" w:rsidRPr="00A43700" w:rsidRDefault="00AF5314" w:rsidP="00A43700">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1216B717" w14:textId="77777777" w:rsidR="0029521D" w:rsidRPr="00A43700" w:rsidRDefault="0029521D" w:rsidP="00A43700">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5ACBB6C5" w14:textId="77777777" w:rsidR="0029521D" w:rsidRPr="00CE1909" w:rsidRDefault="0029521D" w:rsidP="0029521D">
      <w:pPr>
        <w:bidi w:val="0"/>
        <w:spacing w:after="0" w:line="360" w:lineRule="auto"/>
        <w:jc w:val="both"/>
        <w:rPr>
          <w:rFonts w:asciiTheme="majorBidi" w:eastAsiaTheme="minorEastAsia" w:hAnsiTheme="majorBidi" w:cstheme="majorBidi"/>
          <w:color w:val="000000" w:themeColor="text1"/>
          <w:kern w:val="0"/>
          <w:sz w:val="28"/>
          <w:szCs w:val="28"/>
          <w:lang w:val="en-GB"/>
          <w14:ligatures w14:val="none"/>
        </w:rPr>
      </w:pPr>
    </w:p>
    <w:p w14:paraId="6D871402" w14:textId="77777777" w:rsidR="002F3813" w:rsidRPr="00662B94" w:rsidRDefault="002F3813" w:rsidP="00C86C86">
      <w:pPr>
        <w:bidi w:val="0"/>
        <w:spacing w:after="0" w:line="360" w:lineRule="auto"/>
        <w:jc w:val="both"/>
        <w:outlineLvl w:val="0"/>
        <w:rPr>
          <w:rFonts w:asciiTheme="majorBidi" w:eastAsiaTheme="minorEastAsia" w:hAnsiTheme="majorBidi" w:cstheme="majorBidi"/>
          <w:b/>
          <w:bCs/>
          <w:color w:val="000000" w:themeColor="text1"/>
          <w:kern w:val="0"/>
          <w:sz w:val="28"/>
          <w:szCs w:val="28"/>
          <w14:ligatures w14:val="none"/>
        </w:rPr>
      </w:pPr>
      <w:bookmarkStart w:id="94" w:name="_Toc212139915"/>
      <w:r w:rsidRPr="00662B94">
        <w:rPr>
          <w:rFonts w:asciiTheme="majorBidi" w:eastAsiaTheme="minorEastAsia" w:hAnsiTheme="majorBidi" w:cstheme="majorBidi"/>
          <w:b/>
          <w:bCs/>
          <w:color w:val="000000" w:themeColor="text1"/>
          <w:kern w:val="0"/>
          <w:sz w:val="28"/>
          <w:szCs w:val="28"/>
          <w14:ligatures w14:val="none"/>
        </w:rPr>
        <w:lastRenderedPageBreak/>
        <w:t>References</w:t>
      </w:r>
      <w:bookmarkEnd w:id="94"/>
    </w:p>
    <w:p w14:paraId="721786E3"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 xml:space="preserve">Allegranzi, B., Bagheri Nejad, S., </w:t>
      </w:r>
      <w:proofErr w:type="spellStart"/>
      <w:r w:rsidRPr="00ED57D8">
        <w:rPr>
          <w:rFonts w:asciiTheme="majorBidi" w:eastAsiaTheme="minorEastAsia" w:hAnsiTheme="majorBidi" w:cstheme="majorBidi"/>
          <w:color w:val="000000" w:themeColor="text1"/>
          <w:kern w:val="0"/>
          <w:sz w:val="28"/>
          <w:szCs w:val="28"/>
          <w14:ligatures w14:val="none"/>
        </w:rPr>
        <w:t>Combescure</w:t>
      </w:r>
      <w:proofErr w:type="spellEnd"/>
      <w:r w:rsidRPr="00ED57D8">
        <w:rPr>
          <w:rFonts w:asciiTheme="majorBidi" w:eastAsiaTheme="minorEastAsia" w:hAnsiTheme="majorBidi" w:cstheme="majorBidi"/>
          <w:color w:val="000000" w:themeColor="text1"/>
          <w:kern w:val="0"/>
          <w:sz w:val="28"/>
          <w:szCs w:val="28"/>
          <w14:ligatures w14:val="none"/>
        </w:rPr>
        <w:t xml:space="preserve">, C., </w:t>
      </w:r>
      <w:proofErr w:type="spellStart"/>
      <w:r w:rsidRPr="00ED57D8">
        <w:rPr>
          <w:rFonts w:asciiTheme="majorBidi" w:eastAsiaTheme="minorEastAsia" w:hAnsiTheme="majorBidi" w:cstheme="majorBidi"/>
          <w:color w:val="000000" w:themeColor="text1"/>
          <w:kern w:val="0"/>
          <w:sz w:val="28"/>
          <w:szCs w:val="28"/>
          <w14:ligatures w14:val="none"/>
        </w:rPr>
        <w:t>Graafmans</w:t>
      </w:r>
      <w:proofErr w:type="spellEnd"/>
      <w:r w:rsidRPr="00ED57D8">
        <w:rPr>
          <w:rFonts w:asciiTheme="majorBidi" w:eastAsiaTheme="minorEastAsia" w:hAnsiTheme="majorBidi" w:cstheme="majorBidi"/>
          <w:color w:val="000000" w:themeColor="text1"/>
          <w:kern w:val="0"/>
          <w:sz w:val="28"/>
          <w:szCs w:val="28"/>
          <w14:ligatures w14:val="none"/>
        </w:rPr>
        <w:t>, W., Attar, H., Donaldson, L., &amp; Pittet, D. (2011). Burden of endemic health-care-associated infection in developing countries: systematic review and meta-analysis. The Lancet, 377(9761), 228–241.</w:t>
      </w:r>
    </w:p>
    <w:p w14:paraId="0B9E9D8A"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Al-Mutairi, A. (2021). Implementation of Risk Management Strategies to Reduce Healthcare-Associated Infections in Intensive Care Units. Journal of Infection Prevention, 22(3), 134–142.</w:t>
      </w:r>
    </w:p>
    <w:p w14:paraId="5F0E8056"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 xml:space="preserve">Al-Tawfiq, J. A., &amp; </w:t>
      </w:r>
      <w:proofErr w:type="spellStart"/>
      <w:r w:rsidRPr="00ED57D8">
        <w:rPr>
          <w:rFonts w:asciiTheme="majorBidi" w:eastAsiaTheme="minorEastAsia" w:hAnsiTheme="majorBidi" w:cstheme="majorBidi"/>
          <w:color w:val="000000" w:themeColor="text1"/>
          <w:kern w:val="0"/>
          <w:sz w:val="28"/>
          <w:szCs w:val="28"/>
          <w14:ligatures w14:val="none"/>
        </w:rPr>
        <w:t>Tambyah</w:t>
      </w:r>
      <w:proofErr w:type="spellEnd"/>
      <w:r w:rsidRPr="00ED57D8">
        <w:rPr>
          <w:rFonts w:asciiTheme="majorBidi" w:eastAsiaTheme="minorEastAsia" w:hAnsiTheme="majorBidi" w:cstheme="majorBidi"/>
          <w:color w:val="000000" w:themeColor="text1"/>
          <w:kern w:val="0"/>
          <w:sz w:val="28"/>
          <w:szCs w:val="28"/>
          <w14:ligatures w14:val="none"/>
        </w:rPr>
        <w:t>, P. A. (2014). Healthcare associated infections (HAIs): A public health problem in the Middle East. Journal of Infection and Public Health, 7(6), 339–344.</w:t>
      </w:r>
    </w:p>
    <w:p w14:paraId="4A5E4ED7"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proofErr w:type="spellStart"/>
      <w:r w:rsidRPr="00ED57D8">
        <w:rPr>
          <w:rFonts w:asciiTheme="majorBidi" w:eastAsiaTheme="minorEastAsia" w:hAnsiTheme="majorBidi" w:cstheme="majorBidi"/>
          <w:color w:val="000000" w:themeColor="text1"/>
          <w:kern w:val="0"/>
          <w:sz w:val="28"/>
          <w:szCs w:val="28"/>
          <w14:ligatures w14:val="none"/>
        </w:rPr>
        <w:t>Carayon</w:t>
      </w:r>
      <w:proofErr w:type="spellEnd"/>
      <w:r w:rsidRPr="00ED57D8">
        <w:rPr>
          <w:rFonts w:asciiTheme="majorBidi" w:eastAsiaTheme="minorEastAsia" w:hAnsiTheme="majorBidi" w:cstheme="majorBidi"/>
          <w:color w:val="000000" w:themeColor="text1"/>
          <w:kern w:val="0"/>
          <w:sz w:val="28"/>
          <w:szCs w:val="28"/>
          <w14:ligatures w14:val="none"/>
        </w:rPr>
        <w:t xml:space="preserve">, P., </w:t>
      </w:r>
      <w:proofErr w:type="spellStart"/>
      <w:r w:rsidRPr="00ED57D8">
        <w:rPr>
          <w:rFonts w:asciiTheme="majorBidi" w:eastAsiaTheme="minorEastAsia" w:hAnsiTheme="majorBidi" w:cstheme="majorBidi"/>
          <w:color w:val="000000" w:themeColor="text1"/>
          <w:kern w:val="0"/>
          <w:sz w:val="28"/>
          <w:szCs w:val="28"/>
          <w14:ligatures w14:val="none"/>
        </w:rPr>
        <w:t>Wetterneck</w:t>
      </w:r>
      <w:proofErr w:type="spellEnd"/>
      <w:r w:rsidRPr="00ED57D8">
        <w:rPr>
          <w:rFonts w:asciiTheme="majorBidi" w:eastAsiaTheme="minorEastAsia" w:hAnsiTheme="majorBidi" w:cstheme="majorBidi"/>
          <w:color w:val="000000" w:themeColor="text1"/>
          <w:kern w:val="0"/>
          <w:sz w:val="28"/>
          <w:szCs w:val="28"/>
          <w14:ligatures w14:val="none"/>
        </w:rPr>
        <w:t xml:space="preserve">, T. B., Rivera-Rodriguez, A. J., Hundt, A. S., </w:t>
      </w:r>
      <w:proofErr w:type="spellStart"/>
      <w:r w:rsidRPr="00ED57D8">
        <w:rPr>
          <w:rFonts w:asciiTheme="majorBidi" w:eastAsiaTheme="minorEastAsia" w:hAnsiTheme="majorBidi" w:cstheme="majorBidi"/>
          <w:color w:val="000000" w:themeColor="text1"/>
          <w:kern w:val="0"/>
          <w:sz w:val="28"/>
          <w:szCs w:val="28"/>
          <w14:ligatures w14:val="none"/>
        </w:rPr>
        <w:t>Hoonakker</w:t>
      </w:r>
      <w:proofErr w:type="spellEnd"/>
      <w:r w:rsidRPr="00ED57D8">
        <w:rPr>
          <w:rFonts w:asciiTheme="majorBidi" w:eastAsiaTheme="minorEastAsia" w:hAnsiTheme="majorBidi" w:cstheme="majorBidi"/>
          <w:color w:val="000000" w:themeColor="text1"/>
          <w:kern w:val="0"/>
          <w:sz w:val="28"/>
          <w:szCs w:val="28"/>
          <w14:ligatures w14:val="none"/>
        </w:rPr>
        <w:t xml:space="preserve">, P., Holden, R., &amp; </w:t>
      </w:r>
      <w:proofErr w:type="spellStart"/>
      <w:r w:rsidRPr="00ED57D8">
        <w:rPr>
          <w:rFonts w:asciiTheme="majorBidi" w:eastAsiaTheme="minorEastAsia" w:hAnsiTheme="majorBidi" w:cstheme="majorBidi"/>
          <w:color w:val="000000" w:themeColor="text1"/>
          <w:kern w:val="0"/>
          <w:sz w:val="28"/>
          <w:szCs w:val="28"/>
          <w14:ligatures w14:val="none"/>
        </w:rPr>
        <w:t>Gurses</w:t>
      </w:r>
      <w:proofErr w:type="spellEnd"/>
      <w:r w:rsidRPr="00ED57D8">
        <w:rPr>
          <w:rFonts w:asciiTheme="majorBidi" w:eastAsiaTheme="minorEastAsia" w:hAnsiTheme="majorBidi" w:cstheme="majorBidi"/>
          <w:color w:val="000000" w:themeColor="text1"/>
          <w:kern w:val="0"/>
          <w:sz w:val="28"/>
          <w:szCs w:val="28"/>
          <w14:ligatures w14:val="none"/>
        </w:rPr>
        <w:t>, A. P. (2014). Human factors systems approach to healthcare quality and patient safety. Applied Ergonomics, 45(1), 14–25.</w:t>
      </w:r>
    </w:p>
    <w:p w14:paraId="1F0361A7"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ECRI Institute. (2021). Top 10 Patient Safety Concerns. ECRI.</w:t>
      </w:r>
    </w:p>
    <w:p w14:paraId="5FC60B73"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 xml:space="preserve">El-Saed, A., </w:t>
      </w:r>
      <w:proofErr w:type="spellStart"/>
      <w:r w:rsidRPr="00ED57D8">
        <w:rPr>
          <w:rFonts w:asciiTheme="majorBidi" w:eastAsiaTheme="minorEastAsia" w:hAnsiTheme="majorBidi" w:cstheme="majorBidi"/>
          <w:color w:val="000000" w:themeColor="text1"/>
          <w:kern w:val="0"/>
          <w:sz w:val="28"/>
          <w:szCs w:val="28"/>
          <w14:ligatures w14:val="none"/>
        </w:rPr>
        <w:t>Balkhy</w:t>
      </w:r>
      <w:proofErr w:type="spellEnd"/>
      <w:r w:rsidRPr="00ED57D8">
        <w:rPr>
          <w:rFonts w:asciiTheme="majorBidi" w:eastAsiaTheme="minorEastAsia" w:hAnsiTheme="majorBidi" w:cstheme="majorBidi"/>
          <w:color w:val="000000" w:themeColor="text1"/>
          <w:kern w:val="0"/>
          <w:sz w:val="28"/>
          <w:szCs w:val="28"/>
          <w14:ligatures w14:val="none"/>
        </w:rPr>
        <w:t>, H. H., &amp; Weber, D. J. (2013). Healthcare-associated infections in developing countries: A systematic review. American Journal of Infection Control, 41(12), 1214–1222.</w:t>
      </w:r>
    </w:p>
    <w:p w14:paraId="4BB21511"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Hassan, M., Abdelrahman, M., &amp; El-Sayed, R. (2019). Exploring the Role of Clinical Governance and Risk Management in Reducing Surgical Site Infections. Infection Prevention in Practice, 1(4), 100034.</w:t>
      </w:r>
    </w:p>
    <w:p w14:paraId="09DF024C"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Lee, S., Kim, H., Park, J., &amp; Choi, J. (2022). The role of digital surveillance systems in reducing infection rates among South Korean hospitals. Journal of Hospital Infection, 120, 45–52.</w:t>
      </w:r>
    </w:p>
    <w:p w14:paraId="4B67DE46"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lastRenderedPageBreak/>
        <w:t xml:space="preserve">Lo, E., Nicolle, L., Coffin, S. E., Gould, C., Maragakis, L. L., Meddings, J., Pegues, D. A., Pettis, A. M., Saint, S., &amp; </w:t>
      </w:r>
      <w:proofErr w:type="spellStart"/>
      <w:r w:rsidRPr="00ED57D8">
        <w:rPr>
          <w:rFonts w:asciiTheme="majorBidi" w:eastAsiaTheme="minorEastAsia" w:hAnsiTheme="majorBidi" w:cstheme="majorBidi"/>
          <w:color w:val="000000" w:themeColor="text1"/>
          <w:kern w:val="0"/>
          <w:sz w:val="28"/>
          <w:szCs w:val="28"/>
          <w14:ligatures w14:val="none"/>
        </w:rPr>
        <w:t>Yokoe</w:t>
      </w:r>
      <w:proofErr w:type="spellEnd"/>
      <w:r w:rsidRPr="00ED57D8">
        <w:rPr>
          <w:rFonts w:asciiTheme="majorBidi" w:eastAsiaTheme="minorEastAsia" w:hAnsiTheme="majorBidi" w:cstheme="majorBidi"/>
          <w:color w:val="000000" w:themeColor="text1"/>
          <w:kern w:val="0"/>
          <w:sz w:val="28"/>
          <w:szCs w:val="28"/>
          <w14:ligatures w14:val="none"/>
        </w:rPr>
        <w:t>, D. S. (2010). Strategies to prevent catheter-associated urinary tract infections in acute care hospitals. Infection Control &amp; Hospital Epidemiology, 31(4), 319–326.</w:t>
      </w:r>
    </w:p>
    <w:p w14:paraId="6AC6F3E6"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 xml:space="preserve">Pittet, D., </w:t>
      </w:r>
      <w:proofErr w:type="spellStart"/>
      <w:r w:rsidRPr="00ED57D8">
        <w:rPr>
          <w:rFonts w:asciiTheme="majorBidi" w:eastAsiaTheme="minorEastAsia" w:hAnsiTheme="majorBidi" w:cstheme="majorBidi"/>
          <w:color w:val="000000" w:themeColor="text1"/>
          <w:kern w:val="0"/>
          <w:sz w:val="28"/>
          <w:szCs w:val="28"/>
          <w14:ligatures w14:val="none"/>
        </w:rPr>
        <w:t>Hugonnet</w:t>
      </w:r>
      <w:proofErr w:type="spellEnd"/>
      <w:r w:rsidRPr="00ED57D8">
        <w:rPr>
          <w:rFonts w:asciiTheme="majorBidi" w:eastAsiaTheme="minorEastAsia" w:hAnsiTheme="majorBidi" w:cstheme="majorBidi"/>
          <w:color w:val="000000" w:themeColor="text1"/>
          <w:kern w:val="0"/>
          <w:sz w:val="28"/>
          <w:szCs w:val="28"/>
          <w14:ligatures w14:val="none"/>
        </w:rPr>
        <w:t xml:space="preserve">, S., </w:t>
      </w:r>
      <w:proofErr w:type="spellStart"/>
      <w:r w:rsidRPr="00ED57D8">
        <w:rPr>
          <w:rFonts w:asciiTheme="majorBidi" w:eastAsiaTheme="minorEastAsia" w:hAnsiTheme="majorBidi" w:cstheme="majorBidi"/>
          <w:color w:val="000000" w:themeColor="text1"/>
          <w:kern w:val="0"/>
          <w:sz w:val="28"/>
          <w:szCs w:val="28"/>
          <w14:ligatures w14:val="none"/>
        </w:rPr>
        <w:t>Harbarth</w:t>
      </w:r>
      <w:proofErr w:type="spellEnd"/>
      <w:r w:rsidRPr="00ED57D8">
        <w:rPr>
          <w:rFonts w:asciiTheme="majorBidi" w:eastAsiaTheme="minorEastAsia" w:hAnsiTheme="majorBidi" w:cstheme="majorBidi"/>
          <w:color w:val="000000" w:themeColor="text1"/>
          <w:kern w:val="0"/>
          <w:sz w:val="28"/>
          <w:szCs w:val="28"/>
          <w14:ligatures w14:val="none"/>
        </w:rPr>
        <w:t xml:space="preserve">, S., </w:t>
      </w:r>
      <w:proofErr w:type="spellStart"/>
      <w:r w:rsidRPr="00ED57D8">
        <w:rPr>
          <w:rFonts w:asciiTheme="majorBidi" w:eastAsiaTheme="minorEastAsia" w:hAnsiTheme="majorBidi" w:cstheme="majorBidi"/>
          <w:color w:val="000000" w:themeColor="text1"/>
          <w:kern w:val="0"/>
          <w:sz w:val="28"/>
          <w:szCs w:val="28"/>
          <w14:ligatures w14:val="none"/>
        </w:rPr>
        <w:t>Mourouga</w:t>
      </w:r>
      <w:proofErr w:type="spellEnd"/>
      <w:r w:rsidRPr="00ED57D8">
        <w:rPr>
          <w:rFonts w:asciiTheme="majorBidi" w:eastAsiaTheme="minorEastAsia" w:hAnsiTheme="majorBidi" w:cstheme="majorBidi"/>
          <w:color w:val="000000" w:themeColor="text1"/>
          <w:kern w:val="0"/>
          <w:sz w:val="28"/>
          <w:szCs w:val="28"/>
          <w14:ligatures w14:val="none"/>
        </w:rPr>
        <w:t xml:space="preserve">, P., </w:t>
      </w:r>
      <w:proofErr w:type="spellStart"/>
      <w:r w:rsidRPr="00ED57D8">
        <w:rPr>
          <w:rFonts w:asciiTheme="majorBidi" w:eastAsiaTheme="minorEastAsia" w:hAnsiTheme="majorBidi" w:cstheme="majorBidi"/>
          <w:color w:val="000000" w:themeColor="text1"/>
          <w:kern w:val="0"/>
          <w:sz w:val="28"/>
          <w:szCs w:val="28"/>
          <w14:ligatures w14:val="none"/>
        </w:rPr>
        <w:t>Sauvan</w:t>
      </w:r>
      <w:proofErr w:type="spellEnd"/>
      <w:r w:rsidRPr="00ED57D8">
        <w:rPr>
          <w:rFonts w:asciiTheme="majorBidi" w:eastAsiaTheme="minorEastAsia" w:hAnsiTheme="majorBidi" w:cstheme="majorBidi"/>
          <w:color w:val="000000" w:themeColor="text1"/>
          <w:kern w:val="0"/>
          <w:sz w:val="28"/>
          <w:szCs w:val="28"/>
          <w14:ligatures w14:val="none"/>
        </w:rPr>
        <w:t xml:space="preserve">, V., Touveneau, S., &amp; </w:t>
      </w:r>
      <w:proofErr w:type="spellStart"/>
      <w:r w:rsidRPr="00ED57D8">
        <w:rPr>
          <w:rFonts w:asciiTheme="majorBidi" w:eastAsiaTheme="minorEastAsia" w:hAnsiTheme="majorBidi" w:cstheme="majorBidi"/>
          <w:color w:val="000000" w:themeColor="text1"/>
          <w:kern w:val="0"/>
          <w:sz w:val="28"/>
          <w:szCs w:val="28"/>
          <w14:ligatures w14:val="none"/>
        </w:rPr>
        <w:t>Perneger</w:t>
      </w:r>
      <w:proofErr w:type="spellEnd"/>
      <w:r w:rsidRPr="00ED57D8">
        <w:rPr>
          <w:rFonts w:asciiTheme="majorBidi" w:eastAsiaTheme="minorEastAsia" w:hAnsiTheme="majorBidi" w:cstheme="majorBidi"/>
          <w:color w:val="000000" w:themeColor="text1"/>
          <w:kern w:val="0"/>
          <w:sz w:val="28"/>
          <w:szCs w:val="28"/>
          <w14:ligatures w14:val="none"/>
        </w:rPr>
        <w:t>, T. V. (2000). Effectiveness of a hospital-wide programme to improve compliance with hand hygiene. The Lancet, 356(9238), 1307–1312.</w:t>
      </w:r>
    </w:p>
    <w:p w14:paraId="6D87C1E7"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 xml:space="preserve">Pronovost, P., Needham, D., </w:t>
      </w:r>
      <w:proofErr w:type="spellStart"/>
      <w:r w:rsidRPr="00ED57D8">
        <w:rPr>
          <w:rFonts w:asciiTheme="majorBidi" w:eastAsiaTheme="minorEastAsia" w:hAnsiTheme="majorBidi" w:cstheme="majorBidi"/>
          <w:color w:val="000000" w:themeColor="text1"/>
          <w:kern w:val="0"/>
          <w:sz w:val="28"/>
          <w:szCs w:val="28"/>
          <w14:ligatures w14:val="none"/>
        </w:rPr>
        <w:t>Berenholtz</w:t>
      </w:r>
      <w:proofErr w:type="spellEnd"/>
      <w:r w:rsidRPr="00ED57D8">
        <w:rPr>
          <w:rFonts w:asciiTheme="majorBidi" w:eastAsiaTheme="minorEastAsia" w:hAnsiTheme="majorBidi" w:cstheme="majorBidi"/>
          <w:color w:val="000000" w:themeColor="text1"/>
          <w:kern w:val="0"/>
          <w:sz w:val="28"/>
          <w:szCs w:val="28"/>
          <w14:ligatures w14:val="none"/>
        </w:rPr>
        <w:t>, S., Sinopoli, D., Chu, H., Cosgrove, S., … &amp; Goeschel, C. (2006). An intervention to decrease catheter-related bloodstream infections in the ICU. New England Journal of Medicine, 355(26), 2725–2732.</w:t>
      </w:r>
    </w:p>
    <w:p w14:paraId="0C26A4CC"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Stone, P. W., Braccia, D., &amp; Larson, E. (2007). Systematic review of economic analyses of health care-associated infections. American Journal of Infection Control, 33(9), 501–509.</w:t>
      </w:r>
    </w:p>
    <w:p w14:paraId="418CCC8C" w14:textId="77777777" w:rsidR="002F3813" w:rsidRPr="00ED57D8" w:rsidRDefault="002F3813" w:rsidP="006507B0">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Vincent, C., &amp; Amalberti, R. (2016). Safer healthcare: strategies for the real world. Springer.</w:t>
      </w:r>
    </w:p>
    <w:p w14:paraId="3057FE99" w14:textId="5F092242" w:rsidR="00613D6D" w:rsidRPr="002F3813" w:rsidRDefault="002F3813" w:rsidP="00E47788">
      <w:pPr>
        <w:bidi w:val="0"/>
        <w:spacing w:before="180" w:after="0" w:line="360" w:lineRule="auto"/>
        <w:ind w:left="200"/>
        <w:jc w:val="both"/>
        <w:rPr>
          <w:rFonts w:asciiTheme="majorBidi" w:eastAsiaTheme="minorEastAsia" w:hAnsiTheme="majorBidi" w:cstheme="majorBidi"/>
          <w:color w:val="000000" w:themeColor="text1"/>
          <w:kern w:val="0"/>
          <w:sz w:val="28"/>
          <w:szCs w:val="28"/>
          <w14:ligatures w14:val="none"/>
        </w:rPr>
      </w:pPr>
      <w:r w:rsidRPr="00ED57D8">
        <w:rPr>
          <w:rFonts w:asciiTheme="majorBidi" w:eastAsiaTheme="minorEastAsia" w:hAnsiTheme="majorBidi" w:cstheme="majorBidi"/>
          <w:color w:val="000000" w:themeColor="text1"/>
          <w:kern w:val="0"/>
          <w:sz w:val="28"/>
          <w:szCs w:val="28"/>
          <w14:ligatures w14:val="none"/>
        </w:rPr>
        <w:t xml:space="preserve">World Health Organization. (2020). Report on the burden of endemic health care-associated infection worldwide. </w:t>
      </w:r>
      <w:proofErr w:type="gramStart"/>
      <w:r w:rsidRPr="00ED57D8">
        <w:rPr>
          <w:rFonts w:asciiTheme="majorBidi" w:eastAsiaTheme="minorEastAsia" w:hAnsiTheme="majorBidi" w:cstheme="majorBidi"/>
          <w:color w:val="000000" w:themeColor="text1"/>
          <w:kern w:val="0"/>
          <w:sz w:val="28"/>
          <w:szCs w:val="28"/>
          <w14:ligatures w14:val="none"/>
        </w:rPr>
        <w:t>WHO.</w:t>
      </w:r>
      <w:proofErr w:type="gramEnd"/>
    </w:p>
    <w:p w14:paraId="3442B9E8" w14:textId="7C74242D" w:rsidR="00613D6D" w:rsidRPr="00615A71" w:rsidRDefault="00613D6D" w:rsidP="00E47788">
      <w:pPr>
        <w:bidi w:val="0"/>
        <w:spacing w:after="0" w:line="360" w:lineRule="auto"/>
        <w:ind w:left="360"/>
        <w:jc w:val="both"/>
        <w:rPr>
          <w:rFonts w:asciiTheme="majorBidi" w:eastAsiaTheme="minorEastAsia" w:hAnsiTheme="majorBidi" w:cstheme="majorBidi"/>
          <w:color w:val="000000" w:themeColor="text1"/>
          <w:kern w:val="0"/>
          <w:sz w:val="28"/>
          <w:szCs w:val="28"/>
          <w14:ligatures w14:val="none"/>
        </w:rPr>
      </w:pPr>
      <w:r w:rsidRPr="002F3813">
        <w:rPr>
          <w:rFonts w:asciiTheme="majorBidi" w:eastAsiaTheme="minorEastAsia" w:hAnsiTheme="majorBidi" w:cstheme="majorBidi"/>
          <w:color w:val="000000" w:themeColor="text1"/>
          <w:kern w:val="0"/>
          <w:sz w:val="28"/>
          <w:szCs w:val="28"/>
          <w14:ligatures w14:val="none"/>
        </w:rPr>
        <w:t xml:space="preserve">Al-Tawfiq, J. A., &amp; </w:t>
      </w:r>
      <w:proofErr w:type="spellStart"/>
      <w:r w:rsidRPr="002F3813">
        <w:rPr>
          <w:rFonts w:asciiTheme="majorBidi" w:eastAsiaTheme="minorEastAsia" w:hAnsiTheme="majorBidi" w:cstheme="majorBidi"/>
          <w:color w:val="000000" w:themeColor="text1"/>
          <w:kern w:val="0"/>
          <w:sz w:val="28"/>
          <w:szCs w:val="28"/>
          <w14:ligatures w14:val="none"/>
        </w:rPr>
        <w:t>Memish</w:t>
      </w:r>
      <w:proofErr w:type="spellEnd"/>
      <w:r w:rsidRPr="002F3813">
        <w:rPr>
          <w:rFonts w:asciiTheme="majorBidi" w:eastAsiaTheme="minorEastAsia" w:hAnsiTheme="majorBidi" w:cstheme="majorBidi"/>
          <w:color w:val="000000" w:themeColor="text1"/>
          <w:kern w:val="0"/>
          <w:sz w:val="28"/>
          <w:szCs w:val="28"/>
          <w14:ligatures w14:val="none"/>
        </w:rPr>
        <w:t>, Z. A. (2022). Infection prevention and control in the context of emerging viral infections in the Middle East. Journal of Hospital Infection, 120, 23–30. https://doi.org/10.1016/j.jhin.2021.12.006</w:t>
      </w:r>
    </w:p>
    <w:p w14:paraId="5EB8DEB5" w14:textId="526CA381" w:rsidR="00613D6D" w:rsidRPr="002F3813" w:rsidRDefault="00613D6D" w:rsidP="002F3813">
      <w:pPr>
        <w:bidi w:val="0"/>
        <w:spacing w:after="0" w:line="360" w:lineRule="auto"/>
        <w:ind w:left="360"/>
        <w:jc w:val="both"/>
        <w:rPr>
          <w:rFonts w:asciiTheme="majorBidi" w:eastAsiaTheme="minorEastAsia" w:hAnsiTheme="majorBidi" w:cstheme="majorBidi"/>
          <w:color w:val="000000" w:themeColor="text1"/>
          <w:kern w:val="0"/>
          <w:sz w:val="28"/>
          <w:szCs w:val="28"/>
          <w14:ligatures w14:val="none"/>
        </w:rPr>
      </w:pPr>
      <w:r w:rsidRPr="002F3813">
        <w:rPr>
          <w:rFonts w:asciiTheme="majorBidi" w:eastAsiaTheme="minorEastAsia" w:hAnsiTheme="majorBidi" w:cstheme="majorBidi"/>
          <w:color w:val="000000" w:themeColor="text1"/>
          <w:kern w:val="0"/>
          <w:sz w:val="28"/>
          <w:szCs w:val="28"/>
          <w14:ligatures w14:val="none"/>
        </w:rPr>
        <w:t>Allegranzi, B., Tartari, E., Pittet, D., &amp; Sax, H. (2022). Global burden of healthcare-associated infections: A systematic review. The Lancet Infectious Diseases, 22(8), e234–e245. https://doi.org/10.1016/S1473-3099(22)00245-7</w:t>
      </w:r>
    </w:p>
    <w:p w14:paraId="684EB1FD" w14:textId="2CC97B95" w:rsidR="00613D6D" w:rsidRPr="002F3813" w:rsidRDefault="00613D6D" w:rsidP="002F3813">
      <w:pPr>
        <w:bidi w:val="0"/>
        <w:spacing w:after="0" w:line="360" w:lineRule="auto"/>
        <w:ind w:left="360"/>
        <w:jc w:val="both"/>
        <w:rPr>
          <w:rFonts w:asciiTheme="majorBidi" w:eastAsiaTheme="minorEastAsia" w:hAnsiTheme="majorBidi" w:cstheme="majorBidi"/>
          <w:color w:val="000000" w:themeColor="text1"/>
          <w:kern w:val="0"/>
          <w:sz w:val="28"/>
          <w:szCs w:val="28"/>
          <w14:ligatures w14:val="none"/>
        </w:rPr>
      </w:pPr>
      <w:r w:rsidRPr="002F3813">
        <w:rPr>
          <w:rFonts w:asciiTheme="majorBidi" w:eastAsiaTheme="minorEastAsia" w:hAnsiTheme="majorBidi" w:cstheme="majorBidi"/>
          <w:color w:val="000000" w:themeColor="text1"/>
          <w:kern w:val="0"/>
          <w:sz w:val="28"/>
          <w:szCs w:val="28"/>
          <w14:ligatures w14:val="none"/>
        </w:rPr>
        <w:t>El-</w:t>
      </w:r>
      <w:proofErr w:type="spellStart"/>
      <w:r w:rsidRPr="002F3813">
        <w:rPr>
          <w:rFonts w:asciiTheme="majorBidi" w:eastAsiaTheme="minorEastAsia" w:hAnsiTheme="majorBidi" w:cstheme="majorBidi"/>
          <w:color w:val="000000" w:themeColor="text1"/>
          <w:kern w:val="0"/>
          <w:sz w:val="28"/>
          <w:szCs w:val="28"/>
          <w14:ligatures w14:val="none"/>
        </w:rPr>
        <w:t>Sokkary</w:t>
      </w:r>
      <w:proofErr w:type="spellEnd"/>
      <w:r w:rsidRPr="002F3813">
        <w:rPr>
          <w:rFonts w:asciiTheme="majorBidi" w:eastAsiaTheme="minorEastAsia" w:hAnsiTheme="majorBidi" w:cstheme="majorBidi"/>
          <w:color w:val="000000" w:themeColor="text1"/>
          <w:kern w:val="0"/>
          <w:sz w:val="28"/>
          <w:szCs w:val="28"/>
          <w14:ligatures w14:val="none"/>
        </w:rPr>
        <w:t xml:space="preserve">, R. H., </w:t>
      </w:r>
      <w:proofErr w:type="spellStart"/>
      <w:r w:rsidRPr="002F3813">
        <w:rPr>
          <w:rFonts w:asciiTheme="majorBidi" w:eastAsiaTheme="minorEastAsia" w:hAnsiTheme="majorBidi" w:cstheme="majorBidi"/>
          <w:color w:val="000000" w:themeColor="text1"/>
          <w:kern w:val="0"/>
          <w:sz w:val="28"/>
          <w:szCs w:val="28"/>
          <w14:ligatures w14:val="none"/>
        </w:rPr>
        <w:t>Abdelmegeed</w:t>
      </w:r>
      <w:proofErr w:type="spellEnd"/>
      <w:r w:rsidRPr="002F3813">
        <w:rPr>
          <w:rFonts w:asciiTheme="majorBidi" w:eastAsiaTheme="minorEastAsia" w:hAnsiTheme="majorBidi" w:cstheme="majorBidi"/>
          <w:color w:val="000000" w:themeColor="text1"/>
          <w:kern w:val="0"/>
          <w:sz w:val="28"/>
          <w:szCs w:val="28"/>
          <w14:ligatures w14:val="none"/>
        </w:rPr>
        <w:t xml:space="preserve">, E. S., &amp; Zahran, A. M. (2022). Antimicrobial resistance patterns in healthcare-associated infections in </w:t>
      </w:r>
      <w:r w:rsidRPr="002F3813">
        <w:rPr>
          <w:rFonts w:asciiTheme="majorBidi" w:eastAsiaTheme="minorEastAsia" w:hAnsiTheme="majorBidi" w:cstheme="majorBidi"/>
          <w:color w:val="000000" w:themeColor="text1"/>
          <w:kern w:val="0"/>
          <w:sz w:val="28"/>
          <w:szCs w:val="28"/>
          <w14:ligatures w14:val="none"/>
        </w:rPr>
        <w:lastRenderedPageBreak/>
        <w:t>Egypt: A multicenter study. Antimicrobial Resistance &amp; Infection Control, 11(1), 108. https://doi.org/10.1186/s13756-022-01108-7</w:t>
      </w:r>
    </w:p>
    <w:p w14:paraId="14109B45" w14:textId="4896D64D" w:rsidR="00613D6D" w:rsidRPr="002F3813" w:rsidRDefault="00613D6D" w:rsidP="002F3813">
      <w:pPr>
        <w:bidi w:val="0"/>
        <w:spacing w:after="0" w:line="360" w:lineRule="auto"/>
        <w:ind w:left="360"/>
        <w:jc w:val="both"/>
        <w:rPr>
          <w:rFonts w:asciiTheme="majorBidi" w:eastAsiaTheme="minorEastAsia" w:hAnsiTheme="majorBidi" w:cstheme="majorBidi"/>
          <w:color w:val="000000" w:themeColor="text1"/>
          <w:kern w:val="0"/>
          <w:sz w:val="28"/>
          <w:szCs w:val="28"/>
          <w14:ligatures w14:val="none"/>
        </w:rPr>
      </w:pPr>
      <w:r w:rsidRPr="002F3813">
        <w:rPr>
          <w:rFonts w:asciiTheme="majorBidi" w:eastAsiaTheme="minorEastAsia" w:hAnsiTheme="majorBidi" w:cstheme="majorBidi"/>
          <w:color w:val="000000" w:themeColor="text1"/>
          <w:kern w:val="0"/>
          <w:sz w:val="28"/>
          <w:szCs w:val="28"/>
          <w14:ligatures w14:val="none"/>
        </w:rPr>
        <w:t>Ezzat, A., Hassan, M., &amp; Mahmoud, H. (2022). Implementation of antimicrobial stewardship and infection control bundles in Egyptian hospitals: Lessons from a multicenter initiative. Journal of Infection and Public Health, 15(12), 1294–1302. https://doi.org/10.1016/j.jiph.2022.08.014</w:t>
      </w:r>
    </w:p>
    <w:p w14:paraId="5C215558" w14:textId="77777777" w:rsidR="00613D6D" w:rsidRDefault="00613D6D" w:rsidP="002F3813">
      <w:pPr>
        <w:bidi w:val="0"/>
        <w:spacing w:after="0" w:line="360" w:lineRule="auto"/>
        <w:ind w:left="360"/>
        <w:jc w:val="both"/>
        <w:rPr>
          <w:rFonts w:asciiTheme="majorBidi" w:eastAsiaTheme="minorEastAsia" w:hAnsiTheme="majorBidi" w:cstheme="majorBidi"/>
          <w:color w:val="000000" w:themeColor="text1"/>
          <w:kern w:val="0"/>
          <w:sz w:val="28"/>
          <w:szCs w:val="28"/>
          <w14:ligatures w14:val="none"/>
        </w:rPr>
      </w:pPr>
      <w:r w:rsidRPr="002F3813">
        <w:rPr>
          <w:rFonts w:asciiTheme="majorBidi" w:eastAsiaTheme="minorEastAsia" w:hAnsiTheme="majorBidi" w:cstheme="majorBidi"/>
          <w:color w:val="000000" w:themeColor="text1"/>
          <w:kern w:val="0"/>
          <w:sz w:val="28"/>
          <w:szCs w:val="28"/>
          <w14:ligatures w14:val="none"/>
        </w:rPr>
        <w:t>Shawky, R. M., Nassar, M. S., &amp; Hussein, A. M. (2023). Burden and determinants of hospital-acquired infections in Egyptian intensive care units: A prospective cohort study. BMC Infectious Diseases, 23(1), 442. https://doi.org/10.1186/s12879-023-08442-1</w:t>
      </w:r>
    </w:p>
    <w:p w14:paraId="48DFC399" w14:textId="512B1FDC"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Centers for Disease Control and Prevention. (2022). Healthcare-associated infections (HAIs). U.S. Department of Health &amp; Human Services. https://www.cdc.gov/hai</w:t>
      </w:r>
    </w:p>
    <w:p w14:paraId="6DED98EC" w14:textId="1F58D910" w:rsidR="00A45A87" w:rsidRPr="00E47788" w:rsidRDefault="00A45A87" w:rsidP="00CC22A9">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European Centre for Disease Prevention and Control. (2023). Annual epidemiological report on healthcare-associated infections. ECDC. https://www.ecdc.europa.eu</w:t>
      </w:r>
    </w:p>
    <w:p w14:paraId="2EBFF97E" w14:textId="5A6A947A"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Rawson, T. M., Moore, L. S. P., Castro-Sanchez, E., Charani, E., Davies, F., Satta, G., … Holmes, A. H. (2021). COVID-19 and the potential long-term impact on antimicrobial resistance. Journal of Antimicrobial Chemotherapy, 76(4), 1044–1052. https://doi.org/10.1093/jac/dkaa421</w:t>
      </w:r>
    </w:p>
    <w:p w14:paraId="27A13705" w14:textId="3467852B"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Santajit, S., &amp; </w:t>
      </w:r>
      <w:proofErr w:type="spellStart"/>
      <w:r w:rsidRPr="00E47788">
        <w:rPr>
          <w:rFonts w:asciiTheme="majorBidi" w:eastAsiaTheme="minorEastAsia" w:hAnsiTheme="majorBidi" w:cstheme="majorBidi"/>
          <w:color w:val="000000" w:themeColor="text1"/>
          <w:kern w:val="0"/>
          <w:sz w:val="28"/>
          <w:szCs w:val="28"/>
          <w14:ligatures w14:val="none"/>
        </w:rPr>
        <w:t>Indrawattana</w:t>
      </w:r>
      <w:proofErr w:type="spellEnd"/>
      <w:r w:rsidRPr="00E47788">
        <w:rPr>
          <w:rFonts w:asciiTheme="majorBidi" w:eastAsiaTheme="minorEastAsia" w:hAnsiTheme="majorBidi" w:cstheme="majorBidi"/>
          <w:color w:val="000000" w:themeColor="text1"/>
          <w:kern w:val="0"/>
          <w:sz w:val="28"/>
          <w:szCs w:val="28"/>
          <w14:ligatures w14:val="none"/>
        </w:rPr>
        <w:t>, N. (2023). Mechanisms of antimicrobial resistance and emerging ESKAPE pathogens. Clinical Microbiology Reviews, 36(1), e00214-22. https://doi.org/10.1128/CMR.00214-22</w:t>
      </w:r>
    </w:p>
    <w:p w14:paraId="5FAC308E" w14:textId="40F1D4C1" w:rsidR="00A45A87" w:rsidRPr="00E47788" w:rsidRDefault="00A45A87" w:rsidP="00CC22A9">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World Health Organization. (2023). Global report on infection prevention and control. </w:t>
      </w:r>
      <w:proofErr w:type="gramStart"/>
      <w:r w:rsidRPr="00E47788">
        <w:rPr>
          <w:rFonts w:asciiTheme="majorBidi" w:eastAsiaTheme="minorEastAsia" w:hAnsiTheme="majorBidi" w:cstheme="majorBidi"/>
          <w:color w:val="000000" w:themeColor="text1"/>
          <w:kern w:val="0"/>
          <w:sz w:val="28"/>
          <w:szCs w:val="28"/>
          <w14:ligatures w14:val="none"/>
        </w:rPr>
        <w:t>WHO.</w:t>
      </w:r>
      <w:proofErr w:type="gramEnd"/>
      <w:r w:rsidRPr="00E47788">
        <w:rPr>
          <w:rFonts w:asciiTheme="majorBidi" w:eastAsiaTheme="minorEastAsia" w:hAnsiTheme="majorBidi" w:cstheme="majorBidi"/>
          <w:color w:val="000000" w:themeColor="text1"/>
          <w:kern w:val="0"/>
          <w:sz w:val="28"/>
          <w:szCs w:val="28"/>
          <w14:ligatures w14:val="none"/>
        </w:rPr>
        <w:t xml:space="preserve"> https://www.who.int</w:t>
      </w:r>
    </w:p>
    <w:p w14:paraId="0767F869" w14:textId="46E2E470"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AMR Insights. (2025). The global economic burden of antibiotic-resistant infections and the potential impact of bacterial vaccines: A modelling study. https://www.amr-insights.eu/the-global-economic-burden-of-antibiotic-</w:t>
      </w:r>
      <w:r w:rsidRPr="00E47788">
        <w:rPr>
          <w:rFonts w:asciiTheme="majorBidi" w:eastAsiaTheme="minorEastAsia" w:hAnsiTheme="majorBidi" w:cstheme="majorBidi"/>
          <w:color w:val="000000" w:themeColor="text1"/>
          <w:kern w:val="0"/>
          <w:sz w:val="28"/>
          <w:szCs w:val="28"/>
          <w14:ligatures w14:val="none"/>
        </w:rPr>
        <w:lastRenderedPageBreak/>
        <w:t>resistant-infections-and-the-potential-impact-of-bacterial-vaccines-a-modelling-study</w:t>
      </w:r>
    </w:p>
    <w:p w14:paraId="48F461B1" w14:textId="096270D6"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Centers for Disease Control and Prevention. (2022). Antibiotic resistance threats in the United States. U.S. Department of Health &amp; Human Services. https://www.cdc.gov/drugresistance</w:t>
      </w:r>
    </w:p>
    <w:p w14:paraId="61A1D0D2" w14:textId="208F748C"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European Centre for Disease Prevention and Control. (2023). Surveillance of antimicrobial resistance in Europe 2022. ECDC. https://www.ecdc.europa.eu</w:t>
      </w:r>
    </w:p>
    <w:p w14:paraId="26D55FAF" w14:textId="5D8FAB51"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Murray, C. J. L., Ikuta, K. S., Sharara, F., </w:t>
      </w:r>
      <w:proofErr w:type="spellStart"/>
      <w:r w:rsidRPr="00E47788">
        <w:rPr>
          <w:rFonts w:asciiTheme="majorBidi" w:eastAsiaTheme="minorEastAsia" w:hAnsiTheme="majorBidi" w:cstheme="majorBidi"/>
          <w:color w:val="000000" w:themeColor="text1"/>
          <w:kern w:val="0"/>
          <w:sz w:val="28"/>
          <w:szCs w:val="28"/>
          <w14:ligatures w14:val="none"/>
        </w:rPr>
        <w:t>Swetschinski</w:t>
      </w:r>
      <w:proofErr w:type="spellEnd"/>
      <w:r w:rsidRPr="00E47788">
        <w:rPr>
          <w:rFonts w:asciiTheme="majorBidi" w:eastAsiaTheme="minorEastAsia" w:hAnsiTheme="majorBidi" w:cstheme="majorBidi"/>
          <w:color w:val="000000" w:themeColor="text1"/>
          <w:kern w:val="0"/>
          <w:sz w:val="28"/>
          <w:szCs w:val="28"/>
          <w14:ligatures w14:val="none"/>
        </w:rPr>
        <w:t xml:space="preserve">, L., Robles Aguilar, G., Gray, A., … </w:t>
      </w:r>
      <w:proofErr w:type="spellStart"/>
      <w:r w:rsidRPr="00E47788">
        <w:rPr>
          <w:rFonts w:asciiTheme="majorBidi" w:eastAsiaTheme="minorEastAsia" w:hAnsiTheme="majorBidi" w:cstheme="majorBidi"/>
          <w:color w:val="000000" w:themeColor="text1"/>
          <w:kern w:val="0"/>
          <w:sz w:val="28"/>
          <w:szCs w:val="28"/>
          <w14:ligatures w14:val="none"/>
        </w:rPr>
        <w:t>Naghavi</w:t>
      </w:r>
      <w:proofErr w:type="spellEnd"/>
      <w:r w:rsidRPr="00E47788">
        <w:rPr>
          <w:rFonts w:asciiTheme="majorBidi" w:eastAsiaTheme="minorEastAsia" w:hAnsiTheme="majorBidi" w:cstheme="majorBidi"/>
          <w:color w:val="000000" w:themeColor="text1"/>
          <w:kern w:val="0"/>
          <w:sz w:val="28"/>
          <w:szCs w:val="28"/>
          <w14:ligatures w14:val="none"/>
        </w:rPr>
        <w:t>, M. (2022). Global burden of bacterial antimicrobial resistance in 2019: A systematic analysis. The Lancet, 399(10325), 629–655. https://doi.org/10.1016/S0140-6736(21)02724-0</w:t>
      </w:r>
    </w:p>
    <w:p w14:paraId="294A0383" w14:textId="6BAC3032"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O’Neill, J., Davies, S. C., &amp; Rex, J. H. (2023). Tackling antimicrobial resistance in hospitals: An urgent call for stewardship and innovation. Journal of Global Antimicrobial Resistance, 33, 200–210. https://doi.org/10.1016/j.jgar.2023.01.012</w:t>
      </w:r>
    </w:p>
    <w:p w14:paraId="6C5607AC" w14:textId="036309A6" w:rsidR="00A45A87" w:rsidRPr="00E47788" w:rsidRDefault="00A45A87" w:rsidP="00CE1909">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proofErr w:type="spellStart"/>
      <w:r w:rsidRPr="00E47788">
        <w:rPr>
          <w:rFonts w:asciiTheme="majorBidi" w:eastAsiaTheme="minorEastAsia" w:hAnsiTheme="majorBidi" w:cstheme="majorBidi"/>
          <w:color w:val="000000" w:themeColor="text1"/>
          <w:kern w:val="0"/>
          <w:sz w:val="28"/>
          <w:szCs w:val="28"/>
          <w14:ligatures w14:val="none"/>
        </w:rPr>
        <w:t>rg</w:t>
      </w:r>
      <w:proofErr w:type="spellEnd"/>
      <w:r w:rsidRPr="00E47788">
        <w:rPr>
          <w:rFonts w:asciiTheme="majorBidi" w:eastAsiaTheme="minorEastAsia" w:hAnsiTheme="majorBidi" w:cstheme="majorBidi"/>
          <w:color w:val="000000" w:themeColor="text1"/>
          <w:kern w:val="0"/>
          <w:sz w:val="28"/>
          <w:szCs w:val="28"/>
          <w14:ligatures w14:val="none"/>
        </w:rPr>
        <w:t>/10.1093/</w:t>
      </w:r>
      <w:proofErr w:type="spellStart"/>
      <w:r w:rsidRPr="00E47788">
        <w:rPr>
          <w:rFonts w:asciiTheme="majorBidi" w:eastAsiaTheme="minorEastAsia" w:hAnsiTheme="majorBidi" w:cstheme="majorBidi"/>
          <w:color w:val="000000" w:themeColor="text1"/>
          <w:kern w:val="0"/>
          <w:sz w:val="28"/>
          <w:szCs w:val="28"/>
          <w14:ligatures w14:val="none"/>
        </w:rPr>
        <w:t>jac</w:t>
      </w:r>
      <w:proofErr w:type="spellEnd"/>
      <w:r w:rsidRPr="00E47788">
        <w:rPr>
          <w:rFonts w:asciiTheme="majorBidi" w:eastAsiaTheme="minorEastAsia" w:hAnsiTheme="majorBidi" w:cstheme="majorBidi"/>
          <w:color w:val="000000" w:themeColor="text1"/>
          <w:kern w:val="0"/>
          <w:sz w:val="28"/>
          <w:szCs w:val="28"/>
          <w14:ligatures w14:val="none"/>
        </w:rPr>
        <w:t>/dkaa421</w:t>
      </w:r>
    </w:p>
    <w:p w14:paraId="0346B67C" w14:textId="6D18DC82" w:rsidR="00A45A87" w:rsidRPr="00615A71"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World Health Organization. (2023). Global priority list of antibiotic-resistant bacteria to guide research, discovery, and development of new antibiotics. </w:t>
      </w:r>
      <w:proofErr w:type="gramStart"/>
      <w:r w:rsidRPr="00E47788">
        <w:rPr>
          <w:rFonts w:asciiTheme="majorBidi" w:eastAsiaTheme="minorEastAsia" w:hAnsiTheme="majorBidi" w:cstheme="majorBidi"/>
          <w:color w:val="000000" w:themeColor="text1"/>
          <w:kern w:val="0"/>
          <w:sz w:val="28"/>
          <w:szCs w:val="28"/>
          <w14:ligatures w14:val="none"/>
        </w:rPr>
        <w:t>WHO.</w:t>
      </w:r>
      <w:proofErr w:type="gramEnd"/>
      <w:r w:rsidRPr="00E47788">
        <w:rPr>
          <w:rFonts w:asciiTheme="majorBidi" w:eastAsiaTheme="minorEastAsia" w:hAnsiTheme="majorBidi" w:cstheme="majorBidi"/>
          <w:color w:val="000000" w:themeColor="text1"/>
          <w:kern w:val="0"/>
          <w:sz w:val="28"/>
          <w:szCs w:val="28"/>
          <w14:ligatures w14:val="none"/>
        </w:rPr>
        <w:t xml:space="preserve"> https://www.who.int</w:t>
      </w:r>
    </w:p>
    <w:p w14:paraId="2AB218A0" w14:textId="4FF63EDD"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World Bank. (2022). Drug-resistant infections: A threat to our economic future. World Bank Group. https://www.worldbank.org</w:t>
      </w:r>
    </w:p>
    <w:p w14:paraId="53750DD2" w14:textId="34D6865E"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Chaudhry, D., Sharma, R., &amp; Jaiswal, N. (2022). Hospital-acquired infections during the COVID-19 pandemic: An Indian tertiary care experience. Journal of Hospital Infection, 123, 60–67. https://doi.org/10.1016/j.jhin.2022.03.005</w:t>
      </w:r>
    </w:p>
    <w:p w14:paraId="36C5D566" w14:textId="24ED9513"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European Centre for Disease Prevention and Control. (2023). Healthcare-associated infections and antimicrobial resistance in Europe 2022. ECDC. https://www.ecdc.europa.eu</w:t>
      </w:r>
    </w:p>
    <w:p w14:paraId="1887E237" w14:textId="497CB3F9"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lastRenderedPageBreak/>
        <w:t>Hollnagel, E. (2022). Safety-II in practice: Developing resilience in healthcare systems. BMJ Quality &amp; Safety, 31(5), 355–360. https://doi.org/10.1136/bmjqs-2021-014559</w:t>
      </w:r>
    </w:p>
    <w:p w14:paraId="42EFF7CF" w14:textId="50112887"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Huttner, B. D., </w:t>
      </w:r>
      <w:proofErr w:type="spellStart"/>
      <w:r w:rsidRPr="00E47788">
        <w:rPr>
          <w:rFonts w:asciiTheme="majorBidi" w:eastAsiaTheme="minorEastAsia" w:hAnsiTheme="majorBidi" w:cstheme="majorBidi"/>
          <w:color w:val="000000" w:themeColor="text1"/>
          <w:kern w:val="0"/>
          <w:sz w:val="28"/>
          <w:szCs w:val="28"/>
          <w14:ligatures w14:val="none"/>
        </w:rPr>
        <w:t>Catho</w:t>
      </w:r>
      <w:proofErr w:type="spellEnd"/>
      <w:r w:rsidRPr="00E47788">
        <w:rPr>
          <w:rFonts w:asciiTheme="majorBidi" w:eastAsiaTheme="minorEastAsia" w:hAnsiTheme="majorBidi" w:cstheme="majorBidi"/>
          <w:color w:val="000000" w:themeColor="text1"/>
          <w:kern w:val="0"/>
          <w:sz w:val="28"/>
          <w:szCs w:val="28"/>
          <w14:ligatures w14:val="none"/>
        </w:rPr>
        <w:t xml:space="preserve">, G., </w:t>
      </w:r>
      <w:proofErr w:type="spellStart"/>
      <w:r w:rsidRPr="00E47788">
        <w:rPr>
          <w:rFonts w:asciiTheme="majorBidi" w:eastAsiaTheme="minorEastAsia" w:hAnsiTheme="majorBidi" w:cstheme="majorBidi"/>
          <w:color w:val="000000" w:themeColor="text1"/>
          <w:kern w:val="0"/>
          <w:sz w:val="28"/>
          <w:szCs w:val="28"/>
          <w14:ligatures w14:val="none"/>
        </w:rPr>
        <w:t>Pano</w:t>
      </w:r>
      <w:proofErr w:type="spellEnd"/>
      <w:r w:rsidRPr="00E47788">
        <w:rPr>
          <w:rFonts w:asciiTheme="majorBidi" w:eastAsiaTheme="minorEastAsia" w:hAnsiTheme="majorBidi" w:cstheme="majorBidi"/>
          <w:color w:val="000000" w:themeColor="text1"/>
          <w:kern w:val="0"/>
          <w:sz w:val="28"/>
          <w:szCs w:val="28"/>
          <w14:ligatures w14:val="none"/>
        </w:rPr>
        <w:t>-Pardo, J. R., Pulcini, C., &amp; Schouten, J. (2023). COVID-19, antibiotics and antimicrobial stewardship: Balancing uncertainty and responsibility. Clinical Microbiology and Infection, 29(1), 30–37. https://doi.org/10.1016/j.cmi.2022.09.003</w:t>
      </w:r>
    </w:p>
    <w:p w14:paraId="7F6EB132" w14:textId="3D4CB16A"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Kitano, T., Matsumoto, K., &amp; Tanaka, Y. (2022). Positive spillover of COVID-19 infection prevention measures on hospital-acquired infections in Japan. Infection Control &amp; Hospital Epidemiology, 43(12), 1839–1846. https://doi.org/10.1017/ice.2022.162</w:t>
      </w:r>
    </w:p>
    <w:p w14:paraId="518BEA42" w14:textId="423EF857"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Nasir, N., Farooqi, J., &amp; Mahmood, S. F. (2023). Impact of COVID-19 on infection prevention and control practices in LMIC hospitals. International Journal of Infectious Diseases, 128, 15–22. https://doi.org/10.1016/j.ijid.2023.02.012</w:t>
      </w:r>
    </w:p>
    <w:p w14:paraId="6D712966" w14:textId="77777777" w:rsidR="00CC22A9" w:rsidRDefault="00A45A87" w:rsidP="00CC22A9">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Patel, P. R., Weiner-Lastinger, L. M., Dudeck, M. A., &amp; Edwards, J. R. (2022). Increase in hospital-acquired infections in U.S. hospitals during the COVID-19 pandemic. New England Journal of Medicine, 387(4), 362–370. https://doi.org/10.1056/NEJMoa2201849</w:t>
      </w:r>
    </w:p>
    <w:p w14:paraId="145C5E7A" w14:textId="2422FDD9" w:rsidR="00A45A87" w:rsidRPr="00E47788" w:rsidRDefault="00A45A87" w:rsidP="00CC22A9">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Sabino, R., Veríssimo, C., &amp; Rodrigues, R. (2023). Outbreak of Candida auris infections in Brazil during COVID-19 pandemic. Emerging Infectious Diseases, 29(3), 567–574. https://doi.org/10.3201/eid2903.221492</w:t>
      </w:r>
    </w:p>
    <w:p w14:paraId="7AC0A53D" w14:textId="618EC698"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Zhang, D., Lee, S. H., &amp; Chen, J. (2023). Economic burden of healthcare-associated infections during the COVID-19 pandemic in the United States. Health Economics Review, 13(1), 25. https://doi.org/10.1186/s13561-023-00465-9</w:t>
      </w:r>
    </w:p>
    <w:p w14:paraId="6ED02224" w14:textId="3D65A4A3"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Al-Tawfiq, J. A., &amp; </w:t>
      </w:r>
      <w:proofErr w:type="spellStart"/>
      <w:r w:rsidRPr="00E47788">
        <w:rPr>
          <w:rFonts w:asciiTheme="majorBidi" w:eastAsiaTheme="minorEastAsia" w:hAnsiTheme="majorBidi" w:cstheme="majorBidi"/>
          <w:color w:val="000000" w:themeColor="text1"/>
          <w:kern w:val="0"/>
          <w:sz w:val="28"/>
          <w:szCs w:val="28"/>
          <w14:ligatures w14:val="none"/>
        </w:rPr>
        <w:t>Rabaan</w:t>
      </w:r>
      <w:proofErr w:type="spellEnd"/>
      <w:r w:rsidRPr="00E47788">
        <w:rPr>
          <w:rFonts w:asciiTheme="majorBidi" w:eastAsiaTheme="minorEastAsia" w:hAnsiTheme="majorBidi" w:cstheme="majorBidi"/>
          <w:color w:val="000000" w:themeColor="text1"/>
          <w:kern w:val="0"/>
          <w:sz w:val="28"/>
          <w:szCs w:val="28"/>
          <w14:ligatures w14:val="none"/>
        </w:rPr>
        <w:t>, A. A. (2022). Healthcare-associated infections in the Middle East: Current status and challenges. Journal of Infection and Public Health, 15(10), 1120–1127. https://doi.org/10.1016/j.jiph.2022.06.014</w:t>
      </w:r>
    </w:p>
    <w:p w14:paraId="304C8CBD" w14:textId="7F69DEDF"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lastRenderedPageBreak/>
        <w:t xml:space="preserve">Al-Tawfiq, J. A., </w:t>
      </w:r>
      <w:proofErr w:type="spellStart"/>
      <w:r w:rsidRPr="00E47788">
        <w:rPr>
          <w:rFonts w:asciiTheme="majorBidi" w:eastAsiaTheme="minorEastAsia" w:hAnsiTheme="majorBidi" w:cstheme="majorBidi"/>
          <w:color w:val="000000" w:themeColor="text1"/>
          <w:kern w:val="0"/>
          <w:sz w:val="28"/>
          <w:szCs w:val="28"/>
          <w14:ligatures w14:val="none"/>
        </w:rPr>
        <w:t>Memish</w:t>
      </w:r>
      <w:proofErr w:type="spellEnd"/>
      <w:r w:rsidRPr="00E47788">
        <w:rPr>
          <w:rFonts w:asciiTheme="majorBidi" w:eastAsiaTheme="minorEastAsia" w:hAnsiTheme="majorBidi" w:cstheme="majorBidi"/>
          <w:color w:val="000000" w:themeColor="text1"/>
          <w:kern w:val="0"/>
          <w:sz w:val="28"/>
          <w:szCs w:val="28"/>
          <w14:ligatures w14:val="none"/>
        </w:rPr>
        <w:t>, Z. A., &amp; Habib, H. (2023). Antimicrobial stewardship in the Gulf Cooperation Council countries: Achievements and future directions. Infection Control &amp; Hospital Epidemiology, 44(2), 169–176. https://doi.org/10.1017/ice.2022.183</w:t>
      </w:r>
    </w:p>
    <w:p w14:paraId="79C80005" w14:textId="1B98132A"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Allegranzi, B., Bagheri Nejad, S., &amp; Sax, H. (2022). Burden of endemic healthcare-associated infection in developing countries: Systematic review and meta-analysis. BMJ Global Health, 7(3), e008472. https://doi.org/10.1136/bmjgh-2021-008472</w:t>
      </w:r>
    </w:p>
    <w:p w14:paraId="40D922E0" w14:textId="3423F95E"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proofErr w:type="spellStart"/>
      <w:r w:rsidRPr="00E47788">
        <w:rPr>
          <w:rFonts w:asciiTheme="majorBidi" w:eastAsiaTheme="minorEastAsia" w:hAnsiTheme="majorBidi" w:cstheme="majorBidi"/>
          <w:color w:val="000000" w:themeColor="text1"/>
          <w:kern w:val="0"/>
          <w:sz w:val="28"/>
          <w:szCs w:val="28"/>
          <w14:ligatures w14:val="none"/>
        </w:rPr>
        <w:t>Harbarth</w:t>
      </w:r>
      <w:proofErr w:type="spellEnd"/>
      <w:r w:rsidRPr="00E47788">
        <w:rPr>
          <w:rFonts w:asciiTheme="majorBidi" w:eastAsiaTheme="minorEastAsia" w:hAnsiTheme="majorBidi" w:cstheme="majorBidi"/>
          <w:color w:val="000000" w:themeColor="text1"/>
          <w:kern w:val="0"/>
          <w:sz w:val="28"/>
          <w:szCs w:val="28"/>
          <w14:ligatures w14:val="none"/>
        </w:rPr>
        <w:t>, S., Timsit, J. F., &amp; Wertheim, H. (2023). The impact of medical tourism on healthcare-associated infections. Infection Control &amp; Hospital Epidemiology, 44(7), 987–994. https://doi.org/10.1017/ice.2023.51</w:t>
      </w:r>
    </w:p>
    <w:p w14:paraId="748C4A9C" w14:textId="63224D15"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Hassan, R. M., El-Din, S. H., &amp; Mohamed, A. A. (2022). Multidrug-resistant hospital-acquired infections in Egyptian hospitals: Epidemiology and challenges. Eastern Mediterranean Health Journal, 28(11), 765–773. https://doi.org/10.26719/emhj.22.098</w:t>
      </w:r>
    </w:p>
    <w:p w14:paraId="242BEE10" w14:textId="35F418D6"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Kumar, A., Gupta, N., &amp; Sharma, S. (2023). Epidemiology of healthcare-associated infections in Indian intensive care units: A multicenter study. Indian Journal of Critical Care Medicine, 27(4), 310–318. https://doi.org/10.5005/jp-journals-10071-24301</w:t>
      </w:r>
    </w:p>
    <w:p w14:paraId="1885CD21" w14:textId="7069AD65"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Nasir, N., Farooqi, J., &amp; Mahmood, S. F. (2023). Impact of COVID-19 on infection prevention and control practices in LMIC hospitals. International Journal of Infectious Diseases, 128, 15–22. https://doi.org/10.1016/j.ijid.2023.02.012</w:t>
      </w:r>
    </w:p>
    <w:p w14:paraId="6246C7EC" w14:textId="241A987E"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proofErr w:type="spellStart"/>
      <w:r w:rsidRPr="00E47788">
        <w:rPr>
          <w:rFonts w:asciiTheme="majorBidi" w:eastAsiaTheme="minorEastAsia" w:hAnsiTheme="majorBidi" w:cstheme="majorBidi"/>
          <w:color w:val="000000" w:themeColor="text1"/>
          <w:kern w:val="0"/>
          <w:sz w:val="28"/>
          <w:szCs w:val="28"/>
          <w14:ligatures w14:val="none"/>
        </w:rPr>
        <w:t>Shibib</w:t>
      </w:r>
      <w:proofErr w:type="spellEnd"/>
      <w:r w:rsidRPr="00E47788">
        <w:rPr>
          <w:rFonts w:asciiTheme="majorBidi" w:eastAsiaTheme="minorEastAsia" w:hAnsiTheme="majorBidi" w:cstheme="majorBidi"/>
          <w:color w:val="000000" w:themeColor="text1"/>
          <w:kern w:val="0"/>
          <w:sz w:val="28"/>
          <w:szCs w:val="28"/>
          <w14:ligatures w14:val="none"/>
        </w:rPr>
        <w:t>, K., Al-</w:t>
      </w:r>
      <w:proofErr w:type="spellStart"/>
      <w:r w:rsidRPr="00E47788">
        <w:rPr>
          <w:rFonts w:asciiTheme="majorBidi" w:eastAsiaTheme="minorEastAsia" w:hAnsiTheme="majorBidi" w:cstheme="majorBidi"/>
          <w:color w:val="000000" w:themeColor="text1"/>
          <w:kern w:val="0"/>
          <w:sz w:val="28"/>
          <w:szCs w:val="28"/>
          <w14:ligatures w14:val="none"/>
        </w:rPr>
        <w:t>Hadithi</w:t>
      </w:r>
      <w:proofErr w:type="spellEnd"/>
      <w:r w:rsidRPr="00E47788">
        <w:rPr>
          <w:rFonts w:asciiTheme="majorBidi" w:eastAsiaTheme="minorEastAsia" w:hAnsiTheme="majorBidi" w:cstheme="majorBidi"/>
          <w:color w:val="000000" w:themeColor="text1"/>
          <w:kern w:val="0"/>
          <w:sz w:val="28"/>
          <w:szCs w:val="28"/>
          <w14:ligatures w14:val="none"/>
        </w:rPr>
        <w:t>, H., &amp; Ibrahim, M. (2023). Hospital-acquired infections in war-torn Yemen: Prevalence, resistance, and outcomes. Journal of Global Health, 13, 04005. https://doi.org/10.7189/jogh.13.04005</w:t>
      </w:r>
    </w:p>
    <w:p w14:paraId="0B6743E0" w14:textId="0FE8BFF2"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Al-Kuwaiti, A., &amp; Aziz, R. (2022). Applying the Swiss Cheese Model in infection control: Lessons for healthcare organizations. Journal of Patient Safety, 18(5), e899–e905. https://doi.org/10.1097/PTS.0000000000000964</w:t>
      </w:r>
    </w:p>
    <w:p w14:paraId="0559FA7C" w14:textId="6F186D92"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proofErr w:type="spellStart"/>
      <w:r w:rsidRPr="00E47788">
        <w:rPr>
          <w:rFonts w:asciiTheme="majorBidi" w:eastAsiaTheme="minorEastAsia" w:hAnsiTheme="majorBidi" w:cstheme="majorBidi"/>
          <w:color w:val="000000" w:themeColor="text1"/>
          <w:kern w:val="0"/>
          <w:sz w:val="28"/>
          <w:szCs w:val="28"/>
          <w14:ligatures w14:val="none"/>
        </w:rPr>
        <w:lastRenderedPageBreak/>
        <w:t>Carayon</w:t>
      </w:r>
      <w:proofErr w:type="spellEnd"/>
      <w:r w:rsidRPr="00E47788">
        <w:rPr>
          <w:rFonts w:asciiTheme="majorBidi" w:eastAsiaTheme="minorEastAsia" w:hAnsiTheme="majorBidi" w:cstheme="majorBidi"/>
          <w:color w:val="000000" w:themeColor="text1"/>
          <w:kern w:val="0"/>
          <w:sz w:val="28"/>
          <w:szCs w:val="28"/>
          <w14:ligatures w14:val="none"/>
        </w:rPr>
        <w:t xml:space="preserve">, P., Wooldridge, A., </w:t>
      </w:r>
      <w:proofErr w:type="spellStart"/>
      <w:r w:rsidRPr="00E47788">
        <w:rPr>
          <w:rFonts w:asciiTheme="majorBidi" w:eastAsiaTheme="minorEastAsia" w:hAnsiTheme="majorBidi" w:cstheme="majorBidi"/>
          <w:color w:val="000000" w:themeColor="text1"/>
          <w:kern w:val="0"/>
          <w:sz w:val="28"/>
          <w:szCs w:val="28"/>
          <w14:ligatures w14:val="none"/>
        </w:rPr>
        <w:t>Hoonakker</w:t>
      </w:r>
      <w:proofErr w:type="spellEnd"/>
      <w:r w:rsidRPr="00E47788">
        <w:rPr>
          <w:rFonts w:asciiTheme="majorBidi" w:eastAsiaTheme="minorEastAsia" w:hAnsiTheme="majorBidi" w:cstheme="majorBidi"/>
          <w:color w:val="000000" w:themeColor="text1"/>
          <w:kern w:val="0"/>
          <w:sz w:val="28"/>
          <w:szCs w:val="28"/>
          <w14:ligatures w14:val="none"/>
        </w:rPr>
        <w:t>, P., Hundt, A. S., &amp; Kelly, M. M. (2020). SEIPS 2.0 and human factors/ergonomics: Applications to healthcare quality and patient safety. Applied Ergonomics, 84, 103033. https://doi.org/10.1016/j.apergo.2019.103033</w:t>
      </w:r>
    </w:p>
    <w:p w14:paraId="42202FF2" w14:textId="17305EE5"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Chassin, M. R., &amp; Loeb, J. M. (2022). High-reliability healthcare: Building safer systems. Health Affairs, 41(11), 1512–1519. https://doi.org/10.1377/hlthaff.2022.00512</w:t>
      </w:r>
    </w:p>
    <w:p w14:paraId="054FCD67" w14:textId="35B53D66"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Colombo, C., Galli, M., &amp; Rossi, L. (2023). Application of FMEA in reducing catheter-associated infections: A multicenter study in Italy. American Journal of Infection Control, 51(6), 603–610. https://doi.org/10.1016/j.ajic.2023.01.014</w:t>
      </w:r>
    </w:p>
    <w:p w14:paraId="2888E7FB" w14:textId="05015377"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Elmontsri, M., Almomani, M., &amp; Alshammari, F. (2022). ISO 31000 framework in hospital infection risk management: Evidence from European hospitals. Risk Management and Healthcare Policy, 15, 123–135. https://doi.org/10.2147/RMHP.S322897</w:t>
      </w:r>
    </w:p>
    <w:p w14:paraId="35639C67" w14:textId="1EEBB4CE"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Hollnagel, E. (2022). Resilience engineering in practice: Concepts and applications for healthcare. Safety Science, 146, 105555. https://doi.org/10.1016/j.ssci.2021.105555</w:t>
      </w:r>
    </w:p>
    <w:p w14:paraId="7CBAC301" w14:textId="5383FBA1"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ISO. (2018). ISO 31000:2018 Risk management—Guidelines. International Organization for Standardization. https://www.iso.org</w:t>
      </w:r>
    </w:p>
    <w:p w14:paraId="2F332057" w14:textId="0959438E"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Nasir, N., Farooqi, J., &amp; Mahmood, S. F. (2023). COVID-19 and infection prevention resilience in LMIC hospitals: Lessons for the future. International Journal of Infectious Diseases, 128, 15–22. https://doi.org/10.1016/j.ijid.2023.02.012</w:t>
      </w:r>
    </w:p>
    <w:p w14:paraId="79AAD632" w14:textId="66286106"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Reason, J. (2000). Human error: Models and management. BMJ, 320(7237), 768–770. https://doi.org/10.1136/bmj.320.7237.768</w:t>
      </w:r>
    </w:p>
    <w:p w14:paraId="29E826B7" w14:textId="77777777" w:rsidR="00A45A87" w:rsidRPr="00E47788" w:rsidRDefault="00A45A87"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Weick, K. E., &amp; Sutcliffe, K. M. (2015). Managing the unexpected: Sustained performance in a complex world (3rd ed.). Wiley.</w:t>
      </w:r>
    </w:p>
    <w:p w14:paraId="5F6FE862" w14:textId="6B90914A"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lastRenderedPageBreak/>
        <w:t>Aiken, A. M., Mutua, M., Karisa, J., &amp; Ouma, P. (2024). Financial and economic costs of healthcare-associated infections in sub-Saharan Africa. The Lancet Global Health, 12(5), e780–e789. https://doi.org/10.1016/S2214-109X(24)00123-7</w:t>
      </w:r>
    </w:p>
    <w:p w14:paraId="2F4EF116" w14:textId="0BA10114"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p>
    <w:p w14:paraId="102E758A" w14:textId="3AB3045A" w:rsidR="00B242B2" w:rsidRPr="00615A71"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proofErr w:type="spellStart"/>
      <w:r w:rsidRPr="00E47788">
        <w:rPr>
          <w:rFonts w:asciiTheme="majorBidi" w:eastAsiaTheme="minorEastAsia" w:hAnsiTheme="majorBidi" w:cstheme="majorBidi"/>
          <w:color w:val="000000" w:themeColor="text1"/>
          <w:kern w:val="0"/>
          <w:sz w:val="28"/>
          <w:szCs w:val="28"/>
          <w14:ligatures w14:val="none"/>
        </w:rPr>
        <w:t>Carayon</w:t>
      </w:r>
      <w:proofErr w:type="spellEnd"/>
      <w:r w:rsidRPr="00E47788">
        <w:rPr>
          <w:rFonts w:asciiTheme="majorBidi" w:eastAsiaTheme="minorEastAsia" w:hAnsiTheme="majorBidi" w:cstheme="majorBidi"/>
          <w:color w:val="000000" w:themeColor="text1"/>
          <w:kern w:val="0"/>
          <w:sz w:val="28"/>
          <w:szCs w:val="28"/>
          <w14:ligatures w14:val="none"/>
        </w:rPr>
        <w:t xml:space="preserve">, P., Wooldridge, A., </w:t>
      </w:r>
      <w:proofErr w:type="spellStart"/>
      <w:r w:rsidRPr="00E47788">
        <w:rPr>
          <w:rFonts w:asciiTheme="majorBidi" w:eastAsiaTheme="minorEastAsia" w:hAnsiTheme="majorBidi" w:cstheme="majorBidi"/>
          <w:color w:val="000000" w:themeColor="text1"/>
          <w:kern w:val="0"/>
          <w:sz w:val="28"/>
          <w:szCs w:val="28"/>
          <w14:ligatures w14:val="none"/>
        </w:rPr>
        <w:t>Hoonakker</w:t>
      </w:r>
      <w:proofErr w:type="spellEnd"/>
      <w:r w:rsidRPr="00E47788">
        <w:rPr>
          <w:rFonts w:asciiTheme="majorBidi" w:eastAsiaTheme="minorEastAsia" w:hAnsiTheme="majorBidi" w:cstheme="majorBidi"/>
          <w:color w:val="000000" w:themeColor="text1"/>
          <w:kern w:val="0"/>
          <w:sz w:val="28"/>
          <w:szCs w:val="28"/>
          <w14:ligatures w14:val="none"/>
        </w:rPr>
        <w:t>, P., Hundt, A. S., &amp; Kelly, M. M. (2020). SEIPS 2.0 and human factors/ergonomics: Applications to healthcare quality and patient safety. Applied Ergonomics, 84, 103033. https://doi.org/10.1016/j.apergo.2019.103033</w:t>
      </w:r>
    </w:p>
    <w:p w14:paraId="36A2220E" w14:textId="63426353"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Chassin, M. R., &amp; Loeb, J. M. (2022). High-reliability healthcare: Building safer systems. Health Affairs, 41(11), 1512–1519. https://doi.org/10.1377/hlthaff.2022.00512</w:t>
      </w:r>
    </w:p>
    <w:p w14:paraId="1C16A71C" w14:textId="04E95EE4"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Elmontsri, M., Almomani, M., &amp; Alshammari, F. (2022). ISO 31000 framework in hospital infection risk management: Evidence from European hospitals. Risk Management and Healthcare Policy, 15, 123–135. https://doi.org/10.2147/RMHP.S322897</w:t>
      </w:r>
    </w:p>
    <w:p w14:paraId="567432C6" w14:textId="07EA0E59"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Laxminarayan, R., Sridhar, D., &amp; Blaser, M. J. (2023). Antibiotic resistance—the need for global solutions. Nature Medicine, 29(7), 1490–1498. https://doi.org/10.1038/s41591-023-02212-3</w:t>
      </w:r>
    </w:p>
    <w:p w14:paraId="0DB1D1F6" w14:textId="547EE0CA" w:rsidR="00B242B2" w:rsidRPr="00E47788" w:rsidRDefault="00B242B2" w:rsidP="00CC22A9">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Nasir, N., Farooqi, J., &amp; Mahmood, S. F. (2023). COVID-19 and infection prevention resilience in LMIC hospitals: Lessons for the future. International Journal of Infectious Diseases, 128, 15–22. https://doi.org/10.1016/j.ijid.2023.02.012</w:t>
      </w:r>
    </w:p>
    <w:p w14:paraId="5E0381D5" w14:textId="1F42111B"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Zaidi, A., Akinyemi, O., &amp; Bhutta, Z. A. (2023). Neonatal sepsis and antimicrobial resistance: Challenges and opportunities for global health. Pediatrics, 151(2), e2022060198. https://doi.org/10.1542/peds.2022-060198</w:t>
      </w:r>
    </w:p>
    <w:p w14:paraId="486B4F4C" w14:textId="2CB63EAE"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Andersson, H., Johansson, K., &amp; Lundborg, C. S. (2022). Antibiotic stewardship and infection prevention in Sweden: Lessons for global health. </w:t>
      </w:r>
      <w:r w:rsidRPr="00E47788">
        <w:rPr>
          <w:rFonts w:asciiTheme="majorBidi" w:eastAsiaTheme="minorEastAsia" w:hAnsiTheme="majorBidi" w:cstheme="majorBidi"/>
          <w:color w:val="000000" w:themeColor="text1"/>
          <w:kern w:val="0"/>
          <w:sz w:val="28"/>
          <w:szCs w:val="28"/>
          <w14:ligatures w14:val="none"/>
        </w:rPr>
        <w:lastRenderedPageBreak/>
        <w:t>Infection Control &amp; Hospital Epidemiology, 43(8), 1123–1131. https://doi.org/10.1017/ice.2021.342</w:t>
      </w:r>
    </w:p>
    <w:p w14:paraId="117769FF" w14:textId="668F688F"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Australian Commission on Safety and Quality in Health Care. (2023). National Safety and Quality Health Service (NSQHS) Standards. ACSQHC. https://www.safetyandquality.gov.au</w:t>
      </w:r>
    </w:p>
    <w:p w14:paraId="43EB622E" w14:textId="26AB1D81"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Ben Jmaa, M., </w:t>
      </w:r>
      <w:proofErr w:type="spellStart"/>
      <w:r w:rsidRPr="00E47788">
        <w:rPr>
          <w:rFonts w:asciiTheme="majorBidi" w:eastAsiaTheme="minorEastAsia" w:hAnsiTheme="majorBidi" w:cstheme="majorBidi"/>
          <w:color w:val="000000" w:themeColor="text1"/>
          <w:kern w:val="0"/>
          <w:sz w:val="28"/>
          <w:szCs w:val="28"/>
          <w14:ligatures w14:val="none"/>
        </w:rPr>
        <w:t>Boudabbous</w:t>
      </w:r>
      <w:proofErr w:type="spellEnd"/>
      <w:r w:rsidRPr="00E47788">
        <w:rPr>
          <w:rFonts w:asciiTheme="majorBidi" w:eastAsiaTheme="minorEastAsia" w:hAnsiTheme="majorBidi" w:cstheme="majorBidi"/>
          <w:color w:val="000000" w:themeColor="text1"/>
          <w:kern w:val="0"/>
          <w:sz w:val="28"/>
          <w:szCs w:val="28"/>
          <w14:ligatures w14:val="none"/>
        </w:rPr>
        <w:t>, S., &amp; Bouguerra, H. (2022). Burden of healthcare-associated infections in North Africa: A systematic review. International Journal of Infectious Diseases, 121, 50–59. https://doi.org/10.1016/j.ijid.2022.04.012</w:t>
      </w:r>
    </w:p>
    <w:p w14:paraId="1602A98C" w14:textId="0D979264"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Centers for Disease Control and Prevention. (2022). National Healthcare Safety Network (NHSN). U.S. Department of Health &amp; Human Services. https://www.cdc.gov/nhsn</w:t>
      </w:r>
    </w:p>
    <w:p w14:paraId="4E97DE4C" w14:textId="0AD7C678"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Chassin, M. R., &amp; Loeb, J. M. (2022). High-reliability healthcare: Building safer systems. Health Affairs, 41(11), 1512–1519. https://doi.org/10.1377/hlthaff.2022.00512</w:t>
      </w:r>
    </w:p>
    <w:p w14:paraId="045C6A97" w14:textId="12E5AFA8"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ECDC. (2023). Annual epidemiological report on healthcare-associated infections. European Centre for Disease Prevention and Control. https://www.ecdc.europa.eu</w:t>
      </w:r>
    </w:p>
    <w:p w14:paraId="6F5E2D66" w14:textId="10906D24"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Kumar, A., Gupta, S., &amp; Mehta, Y. (2022). Healthcare-associated infections in intensive care units in India: Epidemiology and prevention. Journal of Critical Care, 70, 154020. https://doi.org/10.1016/j.jcrc.2022.154020</w:t>
      </w:r>
    </w:p>
    <w:p w14:paraId="2E303FD5" w14:textId="0FB7BEE5"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Mehta, N., Bansal, S., &amp; Agarwal, A. (2022). Accreditation and infection risk management in Indian hospitals: An evolving framework. Journal of Patient Safety and Infection Control, 10(2), 45–53. https://doi.org/10.4103/JPSIC.JPSIC_22_22</w:t>
      </w:r>
    </w:p>
    <w:p w14:paraId="03BBD55B" w14:textId="17230F3E"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Ministry of Health, Labour and Welfare. (2022). National Action Plan on Antimicrobial Resistance (2021–2025). Government of Japan. https://www.mhlw.go.jp</w:t>
      </w:r>
    </w:p>
    <w:p w14:paraId="60FE4247" w14:textId="370C6BE8"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lastRenderedPageBreak/>
        <w:t>Mutua, M., Ouma, P., &amp; Aiken, A. M. (2022). Infection prevention and control programs in sub-Saharan Africa: Lessons from the COVID-19 pandemic. International Journal for Quality in Health Care, 34(2), mzac021. https://doi.org/10.1093/intqhc/mzac021</w:t>
      </w:r>
    </w:p>
    <w:p w14:paraId="0E5D5395" w14:textId="72946777"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OPS/PAHO. (2022). Regional report on antimicrobial resistance and healthcare-associated infections in the Americas. Pan American Health Organization. https://www.paho.org</w:t>
      </w:r>
    </w:p>
    <w:p w14:paraId="471283D9" w14:textId="4252254F"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Public Health Agency of Canada. (2022). Canadian Nosocomial Infection Surveillance Program (CNISP). Government of Canada. https://www.canada.ca</w:t>
      </w:r>
    </w:p>
    <w:p w14:paraId="6B993BDF" w14:textId="646E22E3"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Rosenthal, V. D., et al. (2022). The Latin American Alliance for Antimicrobial Stewardship: Multicenter experience in infection prevention. American Journal of Infection Control, 50(9), 1054–1061. https://doi.org/10.1016/j.ajic.2022.04.014</w:t>
      </w:r>
    </w:p>
    <w:p w14:paraId="7B59D3B3" w14:textId="703D3A79"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Stone, S. P., Fuller, C., &amp; Cookson, B. (2023). Public reporting of healthcare-associated infections in the UK: Impact and challenges. Journal of Hospital Infection, 132, 72–79. https://doi.org/10.1016/j.jhin.2023.01.004</w:t>
      </w:r>
    </w:p>
    <w:p w14:paraId="76A91825" w14:textId="77F93641"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Weiner-Lastinger, L. M., Abner, S., Edwards, J. R., et al. (2023). Antimicrobial-resistant pathogens associated with healthcare-associated infections in the United States. New England Journal of Medicine, 388(9), 841–851. https://doi.org/10.1056/NEJMoa2211610</w:t>
      </w:r>
    </w:p>
    <w:p w14:paraId="1C55F33A" w14:textId="4496ED42" w:rsidR="00B242B2" w:rsidRPr="00615A71"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World Health Organization. (2023). African partnerships for patient safety: Progress report. </w:t>
      </w:r>
      <w:proofErr w:type="gramStart"/>
      <w:r w:rsidRPr="00E47788">
        <w:rPr>
          <w:rFonts w:asciiTheme="majorBidi" w:eastAsiaTheme="minorEastAsia" w:hAnsiTheme="majorBidi" w:cstheme="majorBidi"/>
          <w:color w:val="000000" w:themeColor="text1"/>
          <w:kern w:val="0"/>
          <w:sz w:val="28"/>
          <w:szCs w:val="28"/>
          <w14:ligatures w14:val="none"/>
        </w:rPr>
        <w:t>WHO.</w:t>
      </w:r>
      <w:proofErr w:type="gramEnd"/>
      <w:r w:rsidRPr="00E47788">
        <w:rPr>
          <w:rFonts w:asciiTheme="majorBidi" w:eastAsiaTheme="minorEastAsia" w:hAnsiTheme="majorBidi" w:cstheme="majorBidi"/>
          <w:color w:val="000000" w:themeColor="text1"/>
          <w:kern w:val="0"/>
          <w:sz w:val="28"/>
          <w:szCs w:val="28"/>
          <w14:ligatures w14:val="none"/>
        </w:rPr>
        <w:t xml:space="preserve"> https://www.who.int</w:t>
      </w:r>
    </w:p>
    <w:p w14:paraId="20CFBDF4" w14:textId="2EA35706"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El-</w:t>
      </w:r>
      <w:proofErr w:type="spellStart"/>
      <w:r w:rsidRPr="00E47788">
        <w:rPr>
          <w:rFonts w:asciiTheme="majorBidi" w:eastAsiaTheme="minorEastAsia" w:hAnsiTheme="majorBidi" w:cstheme="majorBidi"/>
          <w:color w:val="000000" w:themeColor="text1"/>
          <w:kern w:val="0"/>
          <w:sz w:val="28"/>
          <w:szCs w:val="28"/>
          <w14:ligatures w14:val="none"/>
        </w:rPr>
        <w:t>Sokkary</w:t>
      </w:r>
      <w:proofErr w:type="spellEnd"/>
      <w:r w:rsidRPr="00E47788">
        <w:rPr>
          <w:rFonts w:asciiTheme="majorBidi" w:eastAsiaTheme="minorEastAsia" w:hAnsiTheme="majorBidi" w:cstheme="majorBidi"/>
          <w:color w:val="000000" w:themeColor="text1"/>
          <w:kern w:val="0"/>
          <w:sz w:val="28"/>
          <w:szCs w:val="28"/>
          <w14:ligatures w14:val="none"/>
        </w:rPr>
        <w:t xml:space="preserve">, R. H., </w:t>
      </w:r>
      <w:proofErr w:type="spellStart"/>
      <w:r w:rsidRPr="00E47788">
        <w:rPr>
          <w:rFonts w:asciiTheme="majorBidi" w:eastAsiaTheme="minorEastAsia" w:hAnsiTheme="majorBidi" w:cstheme="majorBidi"/>
          <w:color w:val="000000" w:themeColor="text1"/>
          <w:kern w:val="0"/>
          <w:sz w:val="28"/>
          <w:szCs w:val="28"/>
          <w14:ligatures w14:val="none"/>
        </w:rPr>
        <w:t>Abdelmegeed</w:t>
      </w:r>
      <w:proofErr w:type="spellEnd"/>
      <w:r w:rsidRPr="00E47788">
        <w:rPr>
          <w:rFonts w:asciiTheme="majorBidi" w:eastAsiaTheme="minorEastAsia" w:hAnsiTheme="majorBidi" w:cstheme="majorBidi"/>
          <w:color w:val="000000" w:themeColor="text1"/>
          <w:kern w:val="0"/>
          <w:sz w:val="28"/>
          <w:szCs w:val="28"/>
          <w14:ligatures w14:val="none"/>
        </w:rPr>
        <w:t>, E. S., &amp; Zahran, A. M. (2022). Antimicrobial resistance patterns in healthcare-associated infections in Egypt: A multicenter study. Antimicrobial Resistance &amp; Infection Control, 11(1), 108. https://doi.org/10.1186/s13756-022-01108-7</w:t>
      </w:r>
    </w:p>
    <w:p w14:paraId="74C6DA9F" w14:textId="4B4E3AF3"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 xml:space="preserve">Ezzat, A., Hassan, M., &amp; Mahmoud, H. (2022). Implementation of antimicrobial stewardship and infection control bundles in Egyptian hospitals: </w:t>
      </w:r>
      <w:r w:rsidRPr="00E47788">
        <w:rPr>
          <w:rFonts w:asciiTheme="majorBidi" w:eastAsiaTheme="minorEastAsia" w:hAnsiTheme="majorBidi" w:cstheme="majorBidi"/>
          <w:color w:val="000000" w:themeColor="text1"/>
          <w:kern w:val="0"/>
          <w:sz w:val="28"/>
          <w:szCs w:val="28"/>
          <w14:ligatures w14:val="none"/>
        </w:rPr>
        <w:lastRenderedPageBreak/>
        <w:t>Lessons from a multicenter initiative. Journal of Infection and Public Health, 15(12), 1294–1302. https://doi.org/10.1016/j.jiph.2022.08.014</w:t>
      </w:r>
    </w:p>
    <w:p w14:paraId="0BBE05BE" w14:textId="77777777" w:rsidR="00B242B2" w:rsidRPr="00E47788" w:rsidRDefault="00B242B2" w:rsidP="00E47788">
      <w:pPr>
        <w:bidi w:val="0"/>
        <w:spacing w:after="0" w:line="360" w:lineRule="auto"/>
        <w:ind w:left="200"/>
        <w:jc w:val="both"/>
        <w:rPr>
          <w:rFonts w:asciiTheme="majorBidi" w:eastAsiaTheme="minorEastAsia" w:hAnsiTheme="majorBidi" w:cstheme="majorBidi"/>
          <w:color w:val="000000" w:themeColor="text1"/>
          <w:kern w:val="0"/>
          <w:sz w:val="28"/>
          <w:szCs w:val="28"/>
          <w14:ligatures w14:val="none"/>
        </w:rPr>
      </w:pPr>
      <w:r w:rsidRPr="00E47788">
        <w:rPr>
          <w:rFonts w:asciiTheme="majorBidi" w:eastAsiaTheme="minorEastAsia" w:hAnsiTheme="majorBidi" w:cstheme="majorBidi"/>
          <w:color w:val="000000" w:themeColor="text1"/>
          <w:kern w:val="0"/>
          <w:sz w:val="28"/>
          <w:szCs w:val="28"/>
          <w14:ligatures w14:val="none"/>
        </w:rPr>
        <w:t>Shawky, R. M., Nassar, M. S., &amp; Hussein, A. M. (2023). Burden and determinants of hospital-acquired infections in Egyptian intensive care units: A prospective cohort study. BMC Infectious Diseases, 23(1), 442. https://doi.org/10.1186/s12879-023-08442-1</w:t>
      </w:r>
    </w:p>
    <w:p w14:paraId="088C7B9D" w14:textId="77777777" w:rsidR="00A45A87" w:rsidRPr="002F3813" w:rsidRDefault="00A45A87" w:rsidP="00E47788">
      <w:pPr>
        <w:bidi w:val="0"/>
        <w:spacing w:after="0" w:line="360" w:lineRule="auto"/>
        <w:ind w:left="360"/>
        <w:jc w:val="both"/>
        <w:rPr>
          <w:rFonts w:asciiTheme="majorBidi" w:eastAsiaTheme="minorEastAsia" w:hAnsiTheme="majorBidi" w:cstheme="majorBidi"/>
          <w:color w:val="000000" w:themeColor="text1"/>
          <w:kern w:val="0"/>
          <w:sz w:val="28"/>
          <w:szCs w:val="28"/>
          <w14:ligatures w14:val="none"/>
        </w:rPr>
      </w:pPr>
    </w:p>
    <w:p w14:paraId="05D4026A" w14:textId="77777777" w:rsidR="00613D6D" w:rsidRPr="00615A71" w:rsidRDefault="00613D6D" w:rsidP="00E47788">
      <w:pPr>
        <w:bidi w:val="0"/>
        <w:spacing w:after="0" w:line="360" w:lineRule="auto"/>
        <w:jc w:val="both"/>
        <w:rPr>
          <w:rFonts w:asciiTheme="majorBidi" w:eastAsiaTheme="minorEastAsia" w:hAnsiTheme="majorBidi" w:cstheme="majorBidi"/>
          <w:color w:val="000000" w:themeColor="text1"/>
          <w:kern w:val="0"/>
          <w:sz w:val="28"/>
          <w:szCs w:val="28"/>
          <w14:ligatures w14:val="none"/>
        </w:rPr>
      </w:pPr>
    </w:p>
    <w:p w14:paraId="5A97263A" w14:textId="77777777" w:rsidR="00613D6D" w:rsidRPr="00615A71" w:rsidRDefault="00613D6D" w:rsidP="00E47788">
      <w:pPr>
        <w:bidi w:val="0"/>
        <w:spacing w:after="0" w:line="360" w:lineRule="auto"/>
        <w:jc w:val="both"/>
        <w:divId w:val="2109882054"/>
        <w:rPr>
          <w:rFonts w:asciiTheme="majorBidi" w:eastAsiaTheme="minorEastAsia" w:hAnsiTheme="majorBidi" w:cstheme="majorBidi"/>
          <w:color w:val="000000" w:themeColor="text1"/>
          <w:kern w:val="0"/>
          <w:sz w:val="28"/>
          <w:szCs w:val="28"/>
          <w14:ligatures w14:val="none"/>
        </w:rPr>
      </w:pPr>
    </w:p>
    <w:p w14:paraId="7B598A27" w14:textId="77777777" w:rsidR="005531AA" w:rsidRPr="00615A71" w:rsidRDefault="005531AA" w:rsidP="00E47788">
      <w:pPr>
        <w:bidi w:val="0"/>
        <w:spacing w:after="0" w:line="360" w:lineRule="auto"/>
        <w:jc w:val="both"/>
        <w:divId w:val="2109882054"/>
        <w:rPr>
          <w:rFonts w:asciiTheme="majorBidi" w:eastAsiaTheme="minorEastAsia" w:hAnsiTheme="majorBidi" w:cstheme="majorBidi"/>
          <w:color w:val="000000" w:themeColor="text1"/>
          <w:kern w:val="0"/>
          <w:sz w:val="28"/>
          <w:szCs w:val="28"/>
          <w14:ligatures w14:val="none"/>
        </w:rPr>
      </w:pPr>
    </w:p>
    <w:p w14:paraId="7B1DA40E" w14:textId="77777777" w:rsidR="00C44DF7" w:rsidRPr="00615A71" w:rsidRDefault="00C44DF7" w:rsidP="00E47788">
      <w:pPr>
        <w:bidi w:val="0"/>
        <w:spacing w:after="0" w:line="360" w:lineRule="auto"/>
        <w:jc w:val="both"/>
        <w:divId w:val="2109882054"/>
        <w:rPr>
          <w:rFonts w:asciiTheme="majorBidi" w:eastAsiaTheme="minorEastAsia" w:hAnsiTheme="majorBidi" w:cstheme="majorBidi"/>
          <w:color w:val="000000" w:themeColor="text1"/>
          <w:kern w:val="0"/>
          <w:sz w:val="28"/>
          <w:szCs w:val="28"/>
          <w:rtl/>
          <w14:ligatures w14:val="none"/>
        </w:rPr>
      </w:pPr>
    </w:p>
    <w:p w14:paraId="12B2A384" w14:textId="77777777" w:rsidR="00C44DF7" w:rsidRPr="00615A71" w:rsidRDefault="00C44DF7" w:rsidP="00E47788">
      <w:pPr>
        <w:bidi w:val="0"/>
        <w:spacing w:after="0" w:line="360" w:lineRule="auto"/>
        <w:jc w:val="both"/>
        <w:divId w:val="2109882054"/>
        <w:rPr>
          <w:rFonts w:asciiTheme="majorBidi" w:eastAsiaTheme="minorEastAsia" w:hAnsiTheme="majorBidi" w:cstheme="majorBidi"/>
          <w:color w:val="000000" w:themeColor="text1"/>
          <w:kern w:val="0"/>
          <w:sz w:val="28"/>
          <w:szCs w:val="28"/>
          <w:rtl/>
          <w14:ligatures w14:val="none"/>
        </w:rPr>
      </w:pPr>
    </w:p>
    <w:p w14:paraId="7B993FD5" w14:textId="77777777" w:rsidR="00E91EB0" w:rsidRPr="00615A71" w:rsidRDefault="00E91EB0" w:rsidP="00E47788">
      <w:pPr>
        <w:spacing w:line="360" w:lineRule="auto"/>
        <w:jc w:val="both"/>
        <w:rPr>
          <w:rFonts w:asciiTheme="majorBidi" w:hAnsiTheme="majorBidi" w:cstheme="majorBidi"/>
          <w:color w:val="000000" w:themeColor="text1"/>
          <w:sz w:val="28"/>
          <w:szCs w:val="28"/>
          <w:rtl/>
        </w:rPr>
      </w:pPr>
    </w:p>
    <w:sectPr w:rsidR="00E91EB0" w:rsidRPr="00615A71" w:rsidSect="00877AAC">
      <w:footerReference w:type="even" r:id="rId12"/>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F3B69" w14:textId="77777777" w:rsidR="001F120E" w:rsidRDefault="001F120E" w:rsidP="009125CE">
      <w:pPr>
        <w:spacing w:after="0" w:line="240" w:lineRule="auto"/>
      </w:pPr>
      <w:r>
        <w:separator/>
      </w:r>
    </w:p>
  </w:endnote>
  <w:endnote w:type="continuationSeparator" w:id="0">
    <w:p w14:paraId="1B02A3A9" w14:textId="77777777" w:rsidR="001F120E" w:rsidRDefault="001F120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UICTFontTextStyleCaption1">
    <w:altName w:val="Cambria"/>
    <w:charset w:val="00"/>
    <w:family w:val="roman"/>
    <w:pitch w:val="default"/>
  </w:font>
  <w:font w:name="Sakkal Majalla">
    <w:altName w:val="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407589767"/>
      <w:docPartObj>
        <w:docPartGallery w:val="Page Numbers (Bottom of Page)"/>
        <w:docPartUnique/>
      </w:docPartObj>
    </w:sdtPr>
    <w:sdtEndPr>
      <w:rPr>
        <w:rStyle w:val="PageNumber"/>
      </w:rPr>
    </w:sdtEndPr>
    <w:sdtContent>
      <w:p w14:paraId="581ABA9F" w14:textId="167E739D" w:rsidR="005365E2" w:rsidRDefault="005365E2" w:rsidP="000D2415">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07BE2538" w14:textId="77777777" w:rsidR="005365E2" w:rsidRDefault="005365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538868616"/>
      <w:docPartObj>
        <w:docPartGallery w:val="Page Numbers (Bottom of Page)"/>
        <w:docPartUnique/>
      </w:docPartObj>
    </w:sdtPr>
    <w:sdtEndPr>
      <w:rPr>
        <w:rStyle w:val="PageNumber"/>
      </w:rPr>
    </w:sdtEndPr>
    <w:sdtContent>
      <w:p w14:paraId="654DAF0F" w14:textId="54E6017A" w:rsidR="005365E2" w:rsidRDefault="005365E2" w:rsidP="000D2415">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19</w:t>
        </w:r>
        <w:r>
          <w:rPr>
            <w:rStyle w:val="PageNumber"/>
            <w:rtl/>
          </w:rPr>
          <w:fldChar w:fldCharType="end"/>
        </w:r>
      </w:p>
    </w:sdtContent>
  </w:sdt>
  <w:p w14:paraId="2390F553" w14:textId="77777777" w:rsidR="005365E2" w:rsidRDefault="00536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9B531" w14:textId="77777777" w:rsidR="001F120E" w:rsidRDefault="001F120E" w:rsidP="009125CE">
      <w:pPr>
        <w:spacing w:after="0" w:line="240" w:lineRule="auto"/>
      </w:pPr>
      <w:r>
        <w:separator/>
      </w:r>
    </w:p>
  </w:footnote>
  <w:footnote w:type="continuationSeparator" w:id="0">
    <w:p w14:paraId="3C6780F8" w14:textId="77777777" w:rsidR="001F120E" w:rsidRDefault="001F120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53A24"/>
    <w:multiLevelType w:val="hybridMultilevel"/>
    <w:tmpl w:val="639CC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5727DA"/>
    <w:multiLevelType w:val="hybridMultilevel"/>
    <w:tmpl w:val="4A5AC028"/>
    <w:lvl w:ilvl="0" w:tplc="0409000F">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9B0E05"/>
    <w:multiLevelType w:val="hybridMultilevel"/>
    <w:tmpl w:val="D234C18C"/>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AE0572"/>
    <w:multiLevelType w:val="hybridMultilevel"/>
    <w:tmpl w:val="3AE612D4"/>
    <w:lvl w:ilvl="0" w:tplc="FFFFFFFF">
      <w:numFmt w:val="bullet"/>
      <w:lvlText w:val="•"/>
      <w:lvlJc w:val="left"/>
      <w:pPr>
        <w:ind w:left="720" w:hanging="5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8B24E2"/>
    <w:multiLevelType w:val="hybridMultilevel"/>
    <w:tmpl w:val="573066A6"/>
    <w:lvl w:ilvl="0" w:tplc="FFFFFFFF">
      <w:numFmt w:val="bullet"/>
      <w:lvlText w:val="•"/>
      <w:lvlJc w:val="left"/>
      <w:pPr>
        <w:ind w:left="720" w:hanging="5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262917"/>
    <w:multiLevelType w:val="hybridMultilevel"/>
    <w:tmpl w:val="6630A0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7E1B54"/>
    <w:multiLevelType w:val="hybridMultilevel"/>
    <w:tmpl w:val="9D7E63E8"/>
    <w:lvl w:ilvl="0" w:tplc="FFFFFFFF">
      <w:numFmt w:val="bullet"/>
      <w:lvlText w:val="•"/>
      <w:lvlJc w:val="left"/>
      <w:pPr>
        <w:ind w:left="720" w:hanging="5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E20C52"/>
    <w:multiLevelType w:val="hybridMultilevel"/>
    <w:tmpl w:val="0D40A09E"/>
    <w:lvl w:ilvl="0" w:tplc="FFFFFFFF">
      <w:numFmt w:val="bullet"/>
      <w:lvlText w:val="•"/>
      <w:lvlJc w:val="left"/>
      <w:pPr>
        <w:ind w:left="720" w:hanging="520"/>
      </w:pPr>
      <w:rPr>
        <w:rFonts w:ascii="Times New Roman" w:eastAsiaTheme="minorEastAsia" w:hAnsi="Times New Roman" w:cs="Times New Roman" w:hint="default"/>
      </w:rPr>
    </w:lvl>
    <w:lvl w:ilvl="1" w:tplc="04090003" w:tentative="1">
      <w:start w:val="1"/>
      <w:numFmt w:val="bullet"/>
      <w:lvlText w:val="o"/>
      <w:lvlJc w:val="left"/>
      <w:pPr>
        <w:ind w:left="1280" w:hanging="360"/>
      </w:pPr>
      <w:rPr>
        <w:rFonts w:ascii="Courier New" w:hAnsi="Courier New" w:cs="Courier New" w:hint="default"/>
      </w:rPr>
    </w:lvl>
    <w:lvl w:ilvl="2" w:tplc="04090005" w:tentative="1">
      <w:start w:val="1"/>
      <w:numFmt w:val="bullet"/>
      <w:lvlText w:val=""/>
      <w:lvlJc w:val="left"/>
      <w:pPr>
        <w:ind w:left="2000" w:hanging="360"/>
      </w:pPr>
      <w:rPr>
        <w:rFonts w:ascii="Wingdings" w:hAnsi="Wingdings" w:hint="default"/>
      </w:rPr>
    </w:lvl>
    <w:lvl w:ilvl="3" w:tplc="04090001" w:tentative="1">
      <w:start w:val="1"/>
      <w:numFmt w:val="bullet"/>
      <w:lvlText w:val=""/>
      <w:lvlJc w:val="left"/>
      <w:pPr>
        <w:ind w:left="2720" w:hanging="360"/>
      </w:pPr>
      <w:rPr>
        <w:rFonts w:ascii="Symbol" w:hAnsi="Symbol" w:hint="default"/>
      </w:rPr>
    </w:lvl>
    <w:lvl w:ilvl="4" w:tplc="04090003" w:tentative="1">
      <w:start w:val="1"/>
      <w:numFmt w:val="bullet"/>
      <w:lvlText w:val="o"/>
      <w:lvlJc w:val="left"/>
      <w:pPr>
        <w:ind w:left="3440" w:hanging="360"/>
      </w:pPr>
      <w:rPr>
        <w:rFonts w:ascii="Courier New" w:hAnsi="Courier New" w:cs="Courier New" w:hint="default"/>
      </w:rPr>
    </w:lvl>
    <w:lvl w:ilvl="5" w:tplc="04090005" w:tentative="1">
      <w:start w:val="1"/>
      <w:numFmt w:val="bullet"/>
      <w:lvlText w:val=""/>
      <w:lvlJc w:val="left"/>
      <w:pPr>
        <w:ind w:left="4160" w:hanging="360"/>
      </w:pPr>
      <w:rPr>
        <w:rFonts w:ascii="Wingdings" w:hAnsi="Wingdings" w:hint="default"/>
      </w:rPr>
    </w:lvl>
    <w:lvl w:ilvl="6" w:tplc="04090001" w:tentative="1">
      <w:start w:val="1"/>
      <w:numFmt w:val="bullet"/>
      <w:lvlText w:val=""/>
      <w:lvlJc w:val="left"/>
      <w:pPr>
        <w:ind w:left="4880" w:hanging="360"/>
      </w:pPr>
      <w:rPr>
        <w:rFonts w:ascii="Symbol" w:hAnsi="Symbol" w:hint="default"/>
      </w:rPr>
    </w:lvl>
    <w:lvl w:ilvl="7" w:tplc="04090003" w:tentative="1">
      <w:start w:val="1"/>
      <w:numFmt w:val="bullet"/>
      <w:lvlText w:val="o"/>
      <w:lvlJc w:val="left"/>
      <w:pPr>
        <w:ind w:left="5600" w:hanging="360"/>
      </w:pPr>
      <w:rPr>
        <w:rFonts w:ascii="Courier New" w:hAnsi="Courier New" w:cs="Courier New" w:hint="default"/>
      </w:rPr>
    </w:lvl>
    <w:lvl w:ilvl="8" w:tplc="04090005" w:tentative="1">
      <w:start w:val="1"/>
      <w:numFmt w:val="bullet"/>
      <w:lvlText w:val=""/>
      <w:lvlJc w:val="left"/>
      <w:pPr>
        <w:ind w:left="6320" w:hanging="360"/>
      </w:pPr>
      <w:rPr>
        <w:rFonts w:ascii="Wingdings" w:hAnsi="Wingdings" w:hint="default"/>
      </w:rPr>
    </w:lvl>
  </w:abstractNum>
  <w:abstractNum w:abstractNumId="8" w15:restartNumberingAfterBreak="0">
    <w:nsid w:val="718A041A"/>
    <w:multiLevelType w:val="hybridMultilevel"/>
    <w:tmpl w:val="F5484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ar-EG" w:vendorID="64" w:dllVersion="4096" w:nlCheck="1" w:checkStyle="0"/>
  <w:activeWritingStyle w:appName="MSWord" w:lang="en-US" w:vendorID="64" w:dllVersion="4096" w:nlCheck="1" w:checkStyle="0"/>
  <w:activeWritingStyle w:appName="MSWord" w:lang="ar-SA"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451"/>
    <w:rsid w:val="000151B5"/>
    <w:rsid w:val="00023D54"/>
    <w:rsid w:val="000671C9"/>
    <w:rsid w:val="00077686"/>
    <w:rsid w:val="000B73C0"/>
    <w:rsid w:val="000D0FEB"/>
    <w:rsid w:val="000D1F9D"/>
    <w:rsid w:val="000F44B4"/>
    <w:rsid w:val="000F4F19"/>
    <w:rsid w:val="000F52E7"/>
    <w:rsid w:val="000F73B3"/>
    <w:rsid w:val="00103C25"/>
    <w:rsid w:val="00107A81"/>
    <w:rsid w:val="00112534"/>
    <w:rsid w:val="001164C7"/>
    <w:rsid w:val="001252A9"/>
    <w:rsid w:val="001310EB"/>
    <w:rsid w:val="00137BB2"/>
    <w:rsid w:val="001562DC"/>
    <w:rsid w:val="001576DE"/>
    <w:rsid w:val="001902DB"/>
    <w:rsid w:val="001B023D"/>
    <w:rsid w:val="001B75AB"/>
    <w:rsid w:val="001B78E1"/>
    <w:rsid w:val="001C2162"/>
    <w:rsid w:val="001E77D6"/>
    <w:rsid w:val="001F120E"/>
    <w:rsid w:val="00203B76"/>
    <w:rsid w:val="002178E4"/>
    <w:rsid w:val="00250F0C"/>
    <w:rsid w:val="00275181"/>
    <w:rsid w:val="00276C78"/>
    <w:rsid w:val="00281C0C"/>
    <w:rsid w:val="0029521D"/>
    <w:rsid w:val="002A0837"/>
    <w:rsid w:val="002B2AD8"/>
    <w:rsid w:val="002C6D9E"/>
    <w:rsid w:val="002E2ED5"/>
    <w:rsid w:val="002F3813"/>
    <w:rsid w:val="00304CD3"/>
    <w:rsid w:val="00326F92"/>
    <w:rsid w:val="00341E1C"/>
    <w:rsid w:val="0036270C"/>
    <w:rsid w:val="00370175"/>
    <w:rsid w:val="003858A1"/>
    <w:rsid w:val="003B596A"/>
    <w:rsid w:val="003B7C1C"/>
    <w:rsid w:val="003C4123"/>
    <w:rsid w:val="003D6C67"/>
    <w:rsid w:val="003D783F"/>
    <w:rsid w:val="003E480D"/>
    <w:rsid w:val="003E5196"/>
    <w:rsid w:val="00400F15"/>
    <w:rsid w:val="00444216"/>
    <w:rsid w:val="00467FBF"/>
    <w:rsid w:val="0047577A"/>
    <w:rsid w:val="004A50FA"/>
    <w:rsid w:val="004A7715"/>
    <w:rsid w:val="004B31B9"/>
    <w:rsid w:val="004E017A"/>
    <w:rsid w:val="004F4DE0"/>
    <w:rsid w:val="00533898"/>
    <w:rsid w:val="005365E2"/>
    <w:rsid w:val="005531AA"/>
    <w:rsid w:val="005539A6"/>
    <w:rsid w:val="0055516A"/>
    <w:rsid w:val="005567EA"/>
    <w:rsid w:val="00572B90"/>
    <w:rsid w:val="0057683D"/>
    <w:rsid w:val="00590B27"/>
    <w:rsid w:val="005A5527"/>
    <w:rsid w:val="005C5AB2"/>
    <w:rsid w:val="005C601F"/>
    <w:rsid w:val="005D6B7D"/>
    <w:rsid w:val="005D7E6C"/>
    <w:rsid w:val="005E347C"/>
    <w:rsid w:val="00613D6D"/>
    <w:rsid w:val="00615A71"/>
    <w:rsid w:val="00615B28"/>
    <w:rsid w:val="0062761F"/>
    <w:rsid w:val="00627864"/>
    <w:rsid w:val="00662B94"/>
    <w:rsid w:val="00680196"/>
    <w:rsid w:val="00692B2F"/>
    <w:rsid w:val="006948DE"/>
    <w:rsid w:val="00696AA2"/>
    <w:rsid w:val="006A0994"/>
    <w:rsid w:val="006B260C"/>
    <w:rsid w:val="006B3188"/>
    <w:rsid w:val="006B4429"/>
    <w:rsid w:val="006C3CC8"/>
    <w:rsid w:val="006F7F4B"/>
    <w:rsid w:val="00701ED6"/>
    <w:rsid w:val="00705E78"/>
    <w:rsid w:val="0071266F"/>
    <w:rsid w:val="00763549"/>
    <w:rsid w:val="0078305A"/>
    <w:rsid w:val="00783648"/>
    <w:rsid w:val="007A4D20"/>
    <w:rsid w:val="007B0E54"/>
    <w:rsid w:val="007E3A20"/>
    <w:rsid w:val="00801BFB"/>
    <w:rsid w:val="0083394A"/>
    <w:rsid w:val="00860C9F"/>
    <w:rsid w:val="00873642"/>
    <w:rsid w:val="00877AAC"/>
    <w:rsid w:val="008A2720"/>
    <w:rsid w:val="008B4717"/>
    <w:rsid w:val="008B50F1"/>
    <w:rsid w:val="008E319B"/>
    <w:rsid w:val="008E5779"/>
    <w:rsid w:val="008F1EAE"/>
    <w:rsid w:val="008F3B9E"/>
    <w:rsid w:val="00911C96"/>
    <w:rsid w:val="009125CE"/>
    <w:rsid w:val="009162FA"/>
    <w:rsid w:val="00921981"/>
    <w:rsid w:val="00934FD7"/>
    <w:rsid w:val="00960850"/>
    <w:rsid w:val="00974C09"/>
    <w:rsid w:val="009805A0"/>
    <w:rsid w:val="009937A4"/>
    <w:rsid w:val="009B6888"/>
    <w:rsid w:val="009C0161"/>
    <w:rsid w:val="009C7ADA"/>
    <w:rsid w:val="009D108D"/>
    <w:rsid w:val="009E1436"/>
    <w:rsid w:val="009E1E14"/>
    <w:rsid w:val="009E5668"/>
    <w:rsid w:val="009F653D"/>
    <w:rsid w:val="00A1550B"/>
    <w:rsid w:val="00A216FB"/>
    <w:rsid w:val="00A401A3"/>
    <w:rsid w:val="00A43700"/>
    <w:rsid w:val="00A45A87"/>
    <w:rsid w:val="00A52EE5"/>
    <w:rsid w:val="00A7248B"/>
    <w:rsid w:val="00A74F76"/>
    <w:rsid w:val="00A81E68"/>
    <w:rsid w:val="00AA61C2"/>
    <w:rsid w:val="00AA635E"/>
    <w:rsid w:val="00AA79E9"/>
    <w:rsid w:val="00AB0A70"/>
    <w:rsid w:val="00AC6860"/>
    <w:rsid w:val="00AD357D"/>
    <w:rsid w:val="00AD6BAB"/>
    <w:rsid w:val="00AE7A89"/>
    <w:rsid w:val="00AF5314"/>
    <w:rsid w:val="00B1185A"/>
    <w:rsid w:val="00B14BBA"/>
    <w:rsid w:val="00B242B2"/>
    <w:rsid w:val="00B3080A"/>
    <w:rsid w:val="00B31148"/>
    <w:rsid w:val="00B4010F"/>
    <w:rsid w:val="00B52783"/>
    <w:rsid w:val="00B55620"/>
    <w:rsid w:val="00B572D1"/>
    <w:rsid w:val="00B63B0F"/>
    <w:rsid w:val="00B7678A"/>
    <w:rsid w:val="00B957B4"/>
    <w:rsid w:val="00B959EC"/>
    <w:rsid w:val="00BA12AF"/>
    <w:rsid w:val="00BA4DC5"/>
    <w:rsid w:val="00BA56E6"/>
    <w:rsid w:val="00BE5E6B"/>
    <w:rsid w:val="00BF2B6C"/>
    <w:rsid w:val="00BF4C96"/>
    <w:rsid w:val="00C013F9"/>
    <w:rsid w:val="00C04D0B"/>
    <w:rsid w:val="00C121F6"/>
    <w:rsid w:val="00C23AF0"/>
    <w:rsid w:val="00C44DF7"/>
    <w:rsid w:val="00C45826"/>
    <w:rsid w:val="00C61DA9"/>
    <w:rsid w:val="00C62BAF"/>
    <w:rsid w:val="00C71E18"/>
    <w:rsid w:val="00C7255F"/>
    <w:rsid w:val="00C86C86"/>
    <w:rsid w:val="00C94C78"/>
    <w:rsid w:val="00CB228C"/>
    <w:rsid w:val="00CC22A9"/>
    <w:rsid w:val="00CC595F"/>
    <w:rsid w:val="00CD1685"/>
    <w:rsid w:val="00CE13C4"/>
    <w:rsid w:val="00CE1909"/>
    <w:rsid w:val="00CF7972"/>
    <w:rsid w:val="00D13D2F"/>
    <w:rsid w:val="00D22171"/>
    <w:rsid w:val="00D33F19"/>
    <w:rsid w:val="00D43D3A"/>
    <w:rsid w:val="00D51198"/>
    <w:rsid w:val="00D62A0F"/>
    <w:rsid w:val="00D735F0"/>
    <w:rsid w:val="00D750EF"/>
    <w:rsid w:val="00D77D83"/>
    <w:rsid w:val="00D92D44"/>
    <w:rsid w:val="00D97644"/>
    <w:rsid w:val="00DA4726"/>
    <w:rsid w:val="00DB32EA"/>
    <w:rsid w:val="00DD0DF8"/>
    <w:rsid w:val="00DF0787"/>
    <w:rsid w:val="00DF1CA1"/>
    <w:rsid w:val="00E06ED6"/>
    <w:rsid w:val="00E12747"/>
    <w:rsid w:val="00E16199"/>
    <w:rsid w:val="00E24BB0"/>
    <w:rsid w:val="00E47788"/>
    <w:rsid w:val="00E6691D"/>
    <w:rsid w:val="00E71C79"/>
    <w:rsid w:val="00E76ADB"/>
    <w:rsid w:val="00E80FD9"/>
    <w:rsid w:val="00E8440A"/>
    <w:rsid w:val="00E86FC5"/>
    <w:rsid w:val="00E91EB0"/>
    <w:rsid w:val="00E921A9"/>
    <w:rsid w:val="00EA1C25"/>
    <w:rsid w:val="00EA6B5D"/>
    <w:rsid w:val="00ED57D8"/>
    <w:rsid w:val="00EE2533"/>
    <w:rsid w:val="00EE2785"/>
    <w:rsid w:val="00EF13A8"/>
    <w:rsid w:val="00F33851"/>
    <w:rsid w:val="00F376F9"/>
    <w:rsid w:val="00F45C8A"/>
    <w:rsid w:val="00F546CE"/>
    <w:rsid w:val="00F548E1"/>
    <w:rsid w:val="00F554E2"/>
    <w:rsid w:val="00F70458"/>
    <w:rsid w:val="00F75D94"/>
    <w:rsid w:val="00F8077D"/>
    <w:rsid w:val="00FA2FD2"/>
    <w:rsid w:val="00FA3949"/>
    <w:rsid w:val="00FD06CA"/>
    <w:rsid w:val="00FD7112"/>
    <w:rsid w:val="00FD779F"/>
    <w:rsid w:val="00FE01BA"/>
    <w:rsid w:val="00FF11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86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DF0787"/>
    <w:pPr>
      <w:bidi w:val="0"/>
      <w:spacing w:after="0" w:line="240" w:lineRule="auto"/>
      <w:jc w:val="right"/>
    </w:pPr>
    <w:rPr>
      <w:rFonts w:ascii=".AppleSystemUIFont" w:eastAsiaTheme="minorEastAsia" w:hAnsi=".AppleSystemUIFont" w:cs="Times New Roman"/>
      <w:color w:val="FFFFFF"/>
      <w:kern w:val="0"/>
      <w:sz w:val="26"/>
      <w:szCs w:val="26"/>
      <w14:ligatures w14:val="none"/>
    </w:rPr>
  </w:style>
  <w:style w:type="paragraph" w:customStyle="1" w:styleId="p2">
    <w:name w:val="p2"/>
    <w:basedOn w:val="Normal"/>
    <w:rsid w:val="00DF0787"/>
    <w:pPr>
      <w:bidi w:val="0"/>
      <w:spacing w:after="0" w:line="240" w:lineRule="auto"/>
    </w:pPr>
    <w:rPr>
      <w:rFonts w:ascii="Times New Roman" w:eastAsiaTheme="minorEastAsia" w:hAnsi="Times New Roman" w:cs="Times New Roman"/>
      <w:kern w:val="0"/>
      <w:sz w:val="24"/>
      <w:szCs w:val="24"/>
      <w14:ligatures w14:val="none"/>
    </w:rPr>
  </w:style>
  <w:style w:type="paragraph" w:customStyle="1" w:styleId="p3">
    <w:name w:val="p3"/>
    <w:basedOn w:val="Normal"/>
    <w:rsid w:val="00DF0787"/>
    <w:pPr>
      <w:bidi w:val="0"/>
      <w:spacing w:after="0" w:line="240" w:lineRule="auto"/>
      <w:jc w:val="right"/>
    </w:pPr>
    <w:rPr>
      <w:rFonts w:ascii=".AppleSystemUIFont" w:eastAsiaTheme="minorEastAsia" w:hAnsi=".AppleSystemUIFont" w:cs="Times New Roman"/>
      <w:color w:val="FFFFFF"/>
      <w:kern w:val="0"/>
      <w:sz w:val="30"/>
      <w:szCs w:val="30"/>
      <w14:ligatures w14:val="none"/>
    </w:rPr>
  </w:style>
  <w:style w:type="paragraph" w:customStyle="1" w:styleId="p4">
    <w:name w:val="p4"/>
    <w:basedOn w:val="Normal"/>
    <w:rsid w:val="00DF0787"/>
    <w:pPr>
      <w:bidi w:val="0"/>
      <w:spacing w:after="0" w:line="240" w:lineRule="auto"/>
    </w:pPr>
    <w:rPr>
      <w:rFonts w:ascii=".AppleSystemUIFont" w:eastAsiaTheme="minorEastAsia" w:hAnsi=".AppleSystemUIFont" w:cs="Times New Roman"/>
      <w:color w:val="FFFFFF"/>
      <w:kern w:val="0"/>
      <w:sz w:val="26"/>
      <w:szCs w:val="26"/>
      <w14:ligatures w14:val="none"/>
    </w:rPr>
  </w:style>
  <w:style w:type="paragraph" w:customStyle="1" w:styleId="p5">
    <w:name w:val="p5"/>
    <w:basedOn w:val="Normal"/>
    <w:rsid w:val="00DF0787"/>
    <w:pPr>
      <w:bidi w:val="0"/>
      <w:spacing w:before="180" w:after="0" w:line="240" w:lineRule="auto"/>
      <w:ind w:left="195" w:hanging="195"/>
      <w:jc w:val="right"/>
    </w:pPr>
    <w:rPr>
      <w:rFonts w:ascii=".AppleSystemUIFont" w:eastAsiaTheme="minorEastAsia" w:hAnsi=".AppleSystemUIFont" w:cs="Times New Roman"/>
      <w:color w:val="FFFFFF"/>
      <w:kern w:val="0"/>
      <w:sz w:val="26"/>
      <w:szCs w:val="26"/>
      <w14:ligatures w14:val="none"/>
    </w:rPr>
  </w:style>
  <w:style w:type="character" w:customStyle="1" w:styleId="s1">
    <w:name w:val="s1"/>
    <w:basedOn w:val="DefaultParagraphFont"/>
    <w:rsid w:val="00DF0787"/>
    <w:rPr>
      <w:rFonts w:ascii="UICTFontTextStyleBody" w:hAnsi="UICTFontTextStyleBody" w:hint="default"/>
      <w:b w:val="0"/>
      <w:bCs w:val="0"/>
      <w:i w:val="0"/>
      <w:iCs w:val="0"/>
      <w:sz w:val="26"/>
      <w:szCs w:val="26"/>
    </w:rPr>
  </w:style>
  <w:style w:type="character" w:customStyle="1" w:styleId="s2">
    <w:name w:val="s2"/>
    <w:basedOn w:val="DefaultParagraphFont"/>
    <w:rsid w:val="00DF0787"/>
    <w:rPr>
      <w:rFonts w:ascii="UICTFontTextStyleBody" w:hAnsi="UICTFontTextStyleBody" w:hint="default"/>
      <w:b/>
      <w:bCs/>
      <w:i w:val="0"/>
      <w:iCs w:val="0"/>
      <w:sz w:val="26"/>
      <w:szCs w:val="26"/>
    </w:rPr>
  </w:style>
  <w:style w:type="character" w:customStyle="1" w:styleId="s4">
    <w:name w:val="s4"/>
    <w:basedOn w:val="DefaultParagraphFont"/>
    <w:rsid w:val="00DF0787"/>
    <w:rPr>
      <w:b/>
      <w:bCs/>
      <w:i w:val="0"/>
      <w:iCs w:val="0"/>
      <w:sz w:val="30"/>
      <w:szCs w:val="30"/>
    </w:rPr>
  </w:style>
  <w:style w:type="character" w:customStyle="1" w:styleId="apple-tab-span">
    <w:name w:val="apple-tab-span"/>
    <w:basedOn w:val="DefaultParagraphFont"/>
    <w:rsid w:val="00DF0787"/>
  </w:style>
  <w:style w:type="paragraph" w:customStyle="1" w:styleId="p6">
    <w:name w:val="p6"/>
    <w:basedOn w:val="Normal"/>
    <w:rsid w:val="00281C0C"/>
    <w:pPr>
      <w:bidi w:val="0"/>
      <w:spacing w:before="180" w:after="0" w:line="240" w:lineRule="auto"/>
      <w:ind w:left="495" w:hanging="495"/>
      <w:jc w:val="right"/>
    </w:pPr>
    <w:rPr>
      <w:rFonts w:ascii=".AppleSystemUIFont" w:eastAsiaTheme="minorEastAsia" w:hAnsi=".AppleSystemUIFont" w:cs="Times New Roman"/>
      <w:color w:val="FFFFFF"/>
      <w:kern w:val="0"/>
      <w:sz w:val="26"/>
      <w:szCs w:val="26"/>
      <w14:ligatures w14:val="none"/>
    </w:rPr>
  </w:style>
  <w:style w:type="paragraph" w:styleId="ListParagraph">
    <w:name w:val="List Paragraph"/>
    <w:basedOn w:val="Normal"/>
    <w:uiPriority w:val="34"/>
    <w:qFormat/>
    <w:rsid w:val="00E16199"/>
    <w:pPr>
      <w:ind w:left="720"/>
      <w:contextualSpacing/>
    </w:pPr>
  </w:style>
  <w:style w:type="paragraph" w:customStyle="1" w:styleId="p7">
    <w:name w:val="p7"/>
    <w:basedOn w:val="Normal"/>
    <w:rsid w:val="00F376F9"/>
    <w:pPr>
      <w:bidi w:val="0"/>
      <w:spacing w:before="180" w:after="0" w:line="240" w:lineRule="auto"/>
      <w:ind w:left="345" w:hanging="345"/>
      <w:jc w:val="right"/>
    </w:pPr>
    <w:rPr>
      <w:rFonts w:ascii=".AppleSystemUIFont" w:eastAsiaTheme="minorEastAsia" w:hAnsi=".AppleSystemUIFont" w:cs="Times New Roman"/>
      <w:color w:val="FFFFFF"/>
      <w:kern w:val="0"/>
      <w:sz w:val="26"/>
      <w:szCs w:val="26"/>
      <w14:ligatures w14:val="none"/>
    </w:rPr>
  </w:style>
  <w:style w:type="character" w:customStyle="1" w:styleId="s5">
    <w:name w:val="s5"/>
    <w:basedOn w:val="DefaultParagraphFont"/>
    <w:rsid w:val="00F376F9"/>
    <w:rPr>
      <w:b/>
      <w:bCs/>
      <w:i w:val="0"/>
      <w:iCs w:val="0"/>
      <w:sz w:val="30"/>
      <w:szCs w:val="30"/>
    </w:rPr>
  </w:style>
  <w:style w:type="character" w:customStyle="1" w:styleId="s6">
    <w:name w:val="s6"/>
    <w:basedOn w:val="DefaultParagraphFont"/>
    <w:rsid w:val="00F376F9"/>
    <w:rPr>
      <w:b/>
      <w:bCs/>
      <w:i w:val="0"/>
      <w:iCs w:val="0"/>
      <w:sz w:val="26"/>
      <w:szCs w:val="26"/>
    </w:rPr>
  </w:style>
  <w:style w:type="character" w:customStyle="1" w:styleId="s7">
    <w:name w:val="s7"/>
    <w:basedOn w:val="DefaultParagraphFont"/>
    <w:rsid w:val="00F376F9"/>
    <w:rPr>
      <w:rFonts w:ascii="UICTFontTextStyleItalicBody" w:hAnsi="UICTFontTextStyleItalicBody" w:hint="default"/>
      <w:b w:val="0"/>
      <w:bCs w:val="0"/>
      <w:i/>
      <w:iCs/>
      <w:sz w:val="26"/>
      <w:szCs w:val="26"/>
    </w:rPr>
  </w:style>
  <w:style w:type="paragraph" w:customStyle="1" w:styleId="p8">
    <w:name w:val="p8"/>
    <w:basedOn w:val="Normal"/>
    <w:rsid w:val="00E91EB0"/>
    <w:pPr>
      <w:bidi w:val="0"/>
      <w:spacing w:after="0" w:line="240" w:lineRule="auto"/>
      <w:ind w:left="225" w:hanging="225"/>
    </w:pPr>
    <w:rPr>
      <w:rFonts w:ascii=".AppleSystemUIFont" w:eastAsiaTheme="minorEastAsia" w:hAnsi=".AppleSystemUIFont" w:cs="Times New Roman"/>
      <w:color w:val="FFFFFF"/>
      <w:kern w:val="0"/>
      <w:sz w:val="26"/>
      <w:szCs w:val="26"/>
      <w14:ligatures w14:val="none"/>
    </w:rPr>
  </w:style>
  <w:style w:type="character" w:customStyle="1" w:styleId="s3">
    <w:name w:val="s3"/>
    <w:basedOn w:val="DefaultParagraphFont"/>
    <w:rsid w:val="008F3B9E"/>
    <w:rPr>
      <w:b/>
      <w:bCs/>
      <w:i w:val="0"/>
      <w:iCs w:val="0"/>
      <w:sz w:val="30"/>
      <w:szCs w:val="30"/>
    </w:rPr>
  </w:style>
  <w:style w:type="paragraph" w:styleId="FootnoteText">
    <w:name w:val="footnote text"/>
    <w:basedOn w:val="Normal"/>
    <w:link w:val="FootnoteTextChar"/>
    <w:uiPriority w:val="99"/>
    <w:semiHidden/>
    <w:unhideWhenUsed/>
    <w:rsid w:val="005365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65E2"/>
    <w:rPr>
      <w:sz w:val="20"/>
      <w:szCs w:val="20"/>
    </w:rPr>
  </w:style>
  <w:style w:type="character" w:styleId="FootnoteReference">
    <w:name w:val="footnote reference"/>
    <w:basedOn w:val="DefaultParagraphFont"/>
    <w:uiPriority w:val="99"/>
    <w:semiHidden/>
    <w:unhideWhenUsed/>
    <w:rsid w:val="005365E2"/>
    <w:rPr>
      <w:vertAlign w:val="superscript"/>
    </w:rPr>
  </w:style>
  <w:style w:type="character" w:styleId="PageNumber">
    <w:name w:val="page number"/>
    <w:basedOn w:val="DefaultParagraphFont"/>
    <w:uiPriority w:val="99"/>
    <w:semiHidden/>
    <w:unhideWhenUsed/>
    <w:rsid w:val="005365E2"/>
  </w:style>
  <w:style w:type="character" w:styleId="Hyperlink">
    <w:name w:val="Hyperlink"/>
    <w:basedOn w:val="DefaultParagraphFont"/>
    <w:uiPriority w:val="99"/>
    <w:unhideWhenUsed/>
    <w:rsid w:val="00A45A87"/>
    <w:rPr>
      <w:color w:val="0563C1" w:themeColor="hyperlink"/>
      <w:u w:val="single"/>
    </w:rPr>
  </w:style>
  <w:style w:type="character" w:styleId="UnresolvedMention">
    <w:name w:val="Unresolved Mention"/>
    <w:basedOn w:val="DefaultParagraphFont"/>
    <w:uiPriority w:val="99"/>
    <w:semiHidden/>
    <w:unhideWhenUsed/>
    <w:rsid w:val="00A45A87"/>
    <w:rPr>
      <w:color w:val="605E5C"/>
      <w:shd w:val="clear" w:color="auto" w:fill="E1DFDD"/>
    </w:rPr>
  </w:style>
  <w:style w:type="character" w:customStyle="1" w:styleId="s8">
    <w:name w:val="s8"/>
    <w:basedOn w:val="DefaultParagraphFont"/>
    <w:rsid w:val="00CD1685"/>
    <w:rPr>
      <w:b/>
      <w:bCs/>
      <w:i w:val="0"/>
      <w:iCs w:val="0"/>
      <w:sz w:val="18"/>
      <w:szCs w:val="18"/>
    </w:rPr>
  </w:style>
  <w:style w:type="character" w:customStyle="1" w:styleId="s10">
    <w:name w:val="s10"/>
    <w:basedOn w:val="DefaultParagraphFont"/>
    <w:rsid w:val="00CD1685"/>
    <w:rPr>
      <w:rFonts w:ascii="UICTFontTextStyleCaption1" w:hAnsi="UICTFontTextStyleCaption1" w:hint="default"/>
      <w:b/>
      <w:bCs/>
      <w:i w:val="0"/>
      <w:iCs w:val="0"/>
      <w:sz w:val="18"/>
      <w:szCs w:val="18"/>
    </w:rPr>
  </w:style>
  <w:style w:type="character" w:customStyle="1" w:styleId="s11">
    <w:name w:val="s11"/>
    <w:basedOn w:val="DefaultParagraphFont"/>
    <w:rsid w:val="00CD1685"/>
    <w:rPr>
      <w:rFonts w:ascii="UICTFontTextStyleCaption1" w:hAnsi="UICTFontTextStyleCaption1" w:hint="default"/>
      <w:b w:val="0"/>
      <w:bCs w:val="0"/>
      <w:i w:val="0"/>
      <w:iCs w:val="0"/>
      <w:sz w:val="18"/>
      <w:szCs w:val="18"/>
    </w:rPr>
  </w:style>
  <w:style w:type="paragraph" w:customStyle="1" w:styleId="p9">
    <w:name w:val="p9"/>
    <w:basedOn w:val="Normal"/>
    <w:rsid w:val="009937A4"/>
    <w:pPr>
      <w:bidi w:val="0"/>
      <w:spacing w:after="0" w:line="240" w:lineRule="auto"/>
      <w:ind w:left="225" w:hanging="225"/>
    </w:pPr>
    <w:rPr>
      <w:rFonts w:ascii=".AppleSystemUIFont" w:eastAsiaTheme="minorEastAsia" w:hAnsi=".AppleSystemUIFont" w:cs="Times New Roman"/>
      <w:color w:val="FFFFFF"/>
      <w:kern w:val="0"/>
      <w:sz w:val="26"/>
      <w:szCs w:val="26"/>
      <w14:ligatures w14:val="none"/>
    </w:rPr>
  </w:style>
  <w:style w:type="character" w:customStyle="1" w:styleId="s9">
    <w:name w:val="s9"/>
    <w:basedOn w:val="DefaultParagraphFont"/>
    <w:rsid w:val="009937A4"/>
    <w:rPr>
      <w:rFonts w:ascii="UICTFontTextStyleCaption1" w:hAnsi="UICTFontTextStyleCaption1" w:hint="default"/>
      <w:b w:val="0"/>
      <w:bCs w:val="0"/>
      <w:i w:val="0"/>
      <w:iCs w:val="0"/>
      <w:sz w:val="18"/>
      <w:szCs w:val="18"/>
    </w:rPr>
  </w:style>
  <w:style w:type="paragraph" w:customStyle="1" w:styleId="p10">
    <w:name w:val="p10"/>
    <w:basedOn w:val="Normal"/>
    <w:rsid w:val="00783648"/>
    <w:pPr>
      <w:bidi w:val="0"/>
      <w:spacing w:before="180" w:after="0" w:line="240" w:lineRule="auto"/>
      <w:ind w:left="495" w:hanging="495"/>
    </w:pPr>
    <w:rPr>
      <w:rFonts w:ascii=".AppleSystemUIFont" w:eastAsiaTheme="minorEastAsia" w:hAnsi=".AppleSystemUIFont" w:cs="Times New Roman"/>
      <w:color w:val="FFFFFF"/>
      <w:kern w:val="0"/>
      <w:sz w:val="26"/>
      <w:szCs w:val="26"/>
      <w14:ligatures w14:val="none"/>
    </w:rPr>
  </w:style>
  <w:style w:type="table" w:styleId="TableGrid">
    <w:name w:val="Table Grid"/>
    <w:basedOn w:val="TableNormal"/>
    <w:uiPriority w:val="39"/>
    <w:rsid w:val="00FD0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86C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86C86"/>
    <w:pPr>
      <w:bidi w:val="0"/>
      <w:outlineLvl w:val="9"/>
    </w:pPr>
    <w:rPr>
      <w:kern w:val="0"/>
      <w14:ligatures w14:val="none"/>
    </w:rPr>
  </w:style>
  <w:style w:type="paragraph" w:styleId="TOC1">
    <w:name w:val="toc 1"/>
    <w:basedOn w:val="Normal"/>
    <w:next w:val="Normal"/>
    <w:autoRedefine/>
    <w:uiPriority w:val="39"/>
    <w:unhideWhenUsed/>
    <w:rsid w:val="00C86C86"/>
    <w:pPr>
      <w:spacing w:after="100"/>
    </w:pPr>
  </w:style>
  <w:style w:type="paragraph" w:styleId="TOC2">
    <w:name w:val="toc 2"/>
    <w:basedOn w:val="Normal"/>
    <w:next w:val="Normal"/>
    <w:autoRedefine/>
    <w:uiPriority w:val="39"/>
    <w:unhideWhenUsed/>
    <w:rsid w:val="00C86C86"/>
    <w:pPr>
      <w:spacing w:after="100"/>
      <w:ind w:left="220"/>
    </w:pPr>
  </w:style>
  <w:style w:type="paragraph" w:styleId="TOC3">
    <w:name w:val="toc 3"/>
    <w:basedOn w:val="Normal"/>
    <w:next w:val="Normal"/>
    <w:autoRedefine/>
    <w:uiPriority w:val="39"/>
    <w:unhideWhenUsed/>
    <w:rsid w:val="00C86C86"/>
    <w:pPr>
      <w:spacing w:after="100"/>
      <w:ind w:left="440"/>
    </w:pPr>
  </w:style>
  <w:style w:type="paragraph" w:styleId="TOC4">
    <w:name w:val="toc 4"/>
    <w:basedOn w:val="Normal"/>
    <w:next w:val="Normal"/>
    <w:autoRedefine/>
    <w:uiPriority w:val="39"/>
    <w:unhideWhenUsed/>
    <w:rsid w:val="00C86C86"/>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C86C86"/>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C86C86"/>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C86C86"/>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C86C86"/>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C86C86"/>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4888">
      <w:bodyDiv w:val="1"/>
      <w:marLeft w:val="0"/>
      <w:marRight w:val="0"/>
      <w:marTop w:val="0"/>
      <w:marBottom w:val="0"/>
      <w:divBdr>
        <w:top w:val="none" w:sz="0" w:space="0" w:color="auto"/>
        <w:left w:val="none" w:sz="0" w:space="0" w:color="auto"/>
        <w:bottom w:val="none" w:sz="0" w:space="0" w:color="auto"/>
        <w:right w:val="none" w:sz="0" w:space="0" w:color="auto"/>
      </w:divBdr>
    </w:div>
    <w:div w:id="287009292">
      <w:bodyDiv w:val="1"/>
      <w:marLeft w:val="0"/>
      <w:marRight w:val="0"/>
      <w:marTop w:val="0"/>
      <w:marBottom w:val="0"/>
      <w:divBdr>
        <w:top w:val="none" w:sz="0" w:space="0" w:color="auto"/>
        <w:left w:val="none" w:sz="0" w:space="0" w:color="auto"/>
        <w:bottom w:val="none" w:sz="0" w:space="0" w:color="auto"/>
        <w:right w:val="none" w:sz="0" w:space="0" w:color="auto"/>
      </w:divBdr>
    </w:div>
    <w:div w:id="864289166">
      <w:bodyDiv w:val="1"/>
      <w:marLeft w:val="0"/>
      <w:marRight w:val="0"/>
      <w:marTop w:val="0"/>
      <w:marBottom w:val="0"/>
      <w:divBdr>
        <w:top w:val="none" w:sz="0" w:space="0" w:color="auto"/>
        <w:left w:val="none" w:sz="0" w:space="0" w:color="auto"/>
        <w:bottom w:val="none" w:sz="0" w:space="0" w:color="auto"/>
        <w:right w:val="none" w:sz="0" w:space="0" w:color="auto"/>
      </w:divBdr>
      <w:divsChild>
        <w:div w:id="324944534">
          <w:marLeft w:val="0"/>
          <w:marRight w:val="0"/>
          <w:marTop w:val="0"/>
          <w:marBottom w:val="0"/>
          <w:divBdr>
            <w:top w:val="none" w:sz="0" w:space="0" w:color="auto"/>
            <w:left w:val="none" w:sz="0" w:space="0" w:color="auto"/>
            <w:bottom w:val="none" w:sz="0" w:space="0" w:color="auto"/>
            <w:right w:val="none" w:sz="0" w:space="0" w:color="auto"/>
          </w:divBdr>
        </w:div>
      </w:divsChild>
    </w:div>
    <w:div w:id="1363089869">
      <w:bodyDiv w:val="1"/>
      <w:marLeft w:val="0"/>
      <w:marRight w:val="0"/>
      <w:marTop w:val="0"/>
      <w:marBottom w:val="0"/>
      <w:divBdr>
        <w:top w:val="none" w:sz="0" w:space="0" w:color="auto"/>
        <w:left w:val="none" w:sz="0" w:space="0" w:color="auto"/>
        <w:bottom w:val="none" w:sz="0" w:space="0" w:color="auto"/>
        <w:right w:val="none" w:sz="0" w:space="0" w:color="auto"/>
      </w:divBdr>
      <w:divsChild>
        <w:div w:id="1173913313">
          <w:marLeft w:val="0"/>
          <w:marRight w:val="0"/>
          <w:marTop w:val="0"/>
          <w:marBottom w:val="0"/>
          <w:divBdr>
            <w:top w:val="none" w:sz="0" w:space="0" w:color="auto"/>
            <w:left w:val="none" w:sz="0" w:space="0" w:color="auto"/>
            <w:bottom w:val="none" w:sz="0" w:space="0" w:color="auto"/>
            <w:right w:val="none" w:sz="0" w:space="0" w:color="auto"/>
          </w:divBdr>
        </w:div>
      </w:divsChild>
    </w:div>
    <w:div w:id="1552577084">
      <w:bodyDiv w:val="1"/>
      <w:marLeft w:val="0"/>
      <w:marRight w:val="0"/>
      <w:marTop w:val="0"/>
      <w:marBottom w:val="0"/>
      <w:divBdr>
        <w:top w:val="none" w:sz="0" w:space="0" w:color="auto"/>
        <w:left w:val="none" w:sz="0" w:space="0" w:color="auto"/>
        <w:bottom w:val="none" w:sz="0" w:space="0" w:color="auto"/>
        <w:right w:val="none" w:sz="0" w:space="0" w:color="auto"/>
      </w:divBdr>
    </w:div>
    <w:div w:id="1571425196">
      <w:bodyDiv w:val="1"/>
      <w:marLeft w:val="0"/>
      <w:marRight w:val="0"/>
      <w:marTop w:val="0"/>
      <w:marBottom w:val="0"/>
      <w:divBdr>
        <w:top w:val="none" w:sz="0" w:space="0" w:color="auto"/>
        <w:left w:val="none" w:sz="0" w:space="0" w:color="auto"/>
        <w:bottom w:val="none" w:sz="0" w:space="0" w:color="auto"/>
        <w:right w:val="none" w:sz="0" w:space="0" w:color="auto"/>
      </w:divBdr>
    </w:div>
    <w:div w:id="1724283891">
      <w:bodyDiv w:val="1"/>
      <w:marLeft w:val="0"/>
      <w:marRight w:val="0"/>
      <w:marTop w:val="0"/>
      <w:marBottom w:val="0"/>
      <w:divBdr>
        <w:top w:val="none" w:sz="0" w:space="0" w:color="auto"/>
        <w:left w:val="none" w:sz="0" w:space="0" w:color="auto"/>
        <w:bottom w:val="none" w:sz="0" w:space="0" w:color="auto"/>
        <w:right w:val="none" w:sz="0" w:space="0" w:color="auto"/>
      </w:divBdr>
    </w:div>
    <w:div w:id="1902714947">
      <w:bodyDiv w:val="1"/>
      <w:marLeft w:val="0"/>
      <w:marRight w:val="0"/>
      <w:marTop w:val="0"/>
      <w:marBottom w:val="0"/>
      <w:divBdr>
        <w:top w:val="none" w:sz="0" w:space="0" w:color="auto"/>
        <w:left w:val="none" w:sz="0" w:space="0" w:color="auto"/>
        <w:bottom w:val="none" w:sz="0" w:space="0" w:color="auto"/>
        <w:right w:val="none" w:sz="0" w:space="0" w:color="auto"/>
      </w:divBdr>
    </w:div>
    <w:div w:id="2046787221">
      <w:bodyDiv w:val="1"/>
      <w:marLeft w:val="0"/>
      <w:marRight w:val="0"/>
      <w:marTop w:val="0"/>
      <w:marBottom w:val="0"/>
      <w:divBdr>
        <w:top w:val="none" w:sz="0" w:space="0" w:color="auto"/>
        <w:left w:val="none" w:sz="0" w:space="0" w:color="auto"/>
        <w:bottom w:val="none" w:sz="0" w:space="0" w:color="auto"/>
        <w:right w:val="none" w:sz="0" w:space="0" w:color="auto"/>
      </w:divBdr>
      <w:divsChild>
        <w:div w:id="2109882054">
          <w:marLeft w:val="0"/>
          <w:marRight w:val="0"/>
          <w:marTop w:val="0"/>
          <w:marBottom w:val="0"/>
          <w:divBdr>
            <w:top w:val="none" w:sz="0" w:space="0" w:color="auto"/>
            <w:left w:val="none" w:sz="0" w:space="0" w:color="auto"/>
            <w:bottom w:val="none" w:sz="0" w:space="0" w:color="auto"/>
            <w:right w:val="none" w:sz="0" w:space="0" w:color="auto"/>
          </w:divBdr>
          <w:divsChild>
            <w:div w:id="1179391135">
              <w:marLeft w:val="0"/>
              <w:marRight w:val="0"/>
              <w:marTop w:val="0"/>
              <w:marBottom w:val="0"/>
              <w:divBdr>
                <w:top w:val="none" w:sz="0" w:space="0" w:color="auto"/>
                <w:left w:val="none" w:sz="0" w:space="0" w:color="auto"/>
                <w:bottom w:val="none" w:sz="0" w:space="0" w:color="auto"/>
                <w:right w:val="none" w:sz="0" w:space="0" w:color="auto"/>
              </w:divBdr>
            </w:div>
            <w:div w:id="1471896754">
              <w:marLeft w:val="0"/>
              <w:marRight w:val="0"/>
              <w:marTop w:val="0"/>
              <w:marBottom w:val="0"/>
              <w:divBdr>
                <w:top w:val="none" w:sz="0" w:space="0" w:color="auto"/>
                <w:left w:val="none" w:sz="0" w:space="0" w:color="auto"/>
                <w:bottom w:val="none" w:sz="0" w:space="0" w:color="auto"/>
                <w:right w:val="none" w:sz="0" w:space="0" w:color="auto"/>
              </w:divBdr>
              <w:divsChild>
                <w:div w:id="39256624">
                  <w:marLeft w:val="0"/>
                  <w:marRight w:val="0"/>
                  <w:marTop w:val="0"/>
                  <w:marBottom w:val="0"/>
                  <w:divBdr>
                    <w:top w:val="none" w:sz="0" w:space="0" w:color="auto"/>
                    <w:left w:val="none" w:sz="0" w:space="0" w:color="auto"/>
                    <w:bottom w:val="none" w:sz="0" w:space="0" w:color="auto"/>
                    <w:right w:val="none" w:sz="0" w:space="0" w:color="auto"/>
                  </w:divBdr>
                </w:div>
              </w:divsChild>
            </w:div>
            <w:div w:id="1367488162">
              <w:marLeft w:val="0"/>
              <w:marRight w:val="0"/>
              <w:marTop w:val="0"/>
              <w:marBottom w:val="0"/>
              <w:divBdr>
                <w:top w:val="none" w:sz="0" w:space="0" w:color="auto"/>
                <w:left w:val="none" w:sz="0" w:space="0" w:color="auto"/>
                <w:bottom w:val="none" w:sz="0" w:space="0" w:color="auto"/>
                <w:right w:val="none" w:sz="0" w:space="0" w:color="auto"/>
              </w:divBdr>
            </w:div>
            <w:div w:id="6634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'[المصنف (2).xlsx]ورقة1'!$C$3</c:f>
              <c:strCache>
                <c:ptCount val="1"/>
                <c:pt idx="0">
                  <c:v>Mean Score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3E2-4E5B-A791-EF722F0AB94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3E2-4E5B-A791-EF722F0AB94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3E2-4E5B-A791-EF722F0AB94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3E2-4E5B-A791-EF722F0AB94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3E2-4E5B-A791-EF722F0AB94E}"/>
              </c:ext>
            </c:extLst>
          </c:dPt>
          <c:cat>
            <c:strRef>
              <c:f>'[المصنف (2).xlsx]ورقة1'!$B$4:$B$8</c:f>
              <c:strCache>
                <c:ptCount val="5"/>
                <c:pt idx="0">
                  <c:v>Hand Hygiene</c:v>
                </c:pt>
                <c:pt idx="1">
                  <c:v>PPE Usage</c:v>
                </c:pt>
                <c:pt idx="2">
                  <c:v>Waste Disposal</c:v>
                </c:pt>
                <c:pt idx="3">
                  <c:v>Reporting Participation</c:v>
                </c:pt>
                <c:pt idx="4">
                  <c:v>Training Attendance</c:v>
                </c:pt>
              </c:strCache>
            </c:strRef>
          </c:cat>
          <c:val>
            <c:numRef>
              <c:f>'[المصنف (2).xlsx]ورقة1'!$C$4:$C$8</c:f>
              <c:numCache>
                <c:formatCode>General</c:formatCode>
                <c:ptCount val="5"/>
                <c:pt idx="0">
                  <c:v>4.63</c:v>
                </c:pt>
                <c:pt idx="1">
                  <c:v>4.42</c:v>
                </c:pt>
                <c:pt idx="2">
                  <c:v>4.5599999999999996</c:v>
                </c:pt>
                <c:pt idx="3">
                  <c:v>3.98</c:v>
                </c:pt>
                <c:pt idx="4">
                  <c:v>4.2699999999999996</c:v>
                </c:pt>
              </c:numCache>
            </c:numRef>
          </c:val>
          <c:extLst>
            <c:ext xmlns:c16="http://schemas.microsoft.com/office/drawing/2014/chart" uri="{C3380CC4-5D6E-409C-BE32-E72D297353CC}">
              <c16:uniqueId val="{00000000-F413-3247-90F7-B06DF0FAAAA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'[المصنف (2).xlsx]ورقة1'!$C$22</c:f>
              <c:strCache>
                <c:ptCount val="1"/>
                <c:pt idx="0">
                  <c:v>Mean Score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961-4177-B614-5FC6EF0097E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961-4177-B614-5FC6EF0097E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961-4177-B614-5FC6EF0097E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961-4177-B614-5FC6EF0097EF}"/>
              </c:ext>
            </c:extLst>
          </c:dPt>
          <c:cat>
            <c:strRef>
              <c:f>'[المصنف (2).xlsx]ورقة1'!$B$23:$B$26</c:f>
              <c:strCache>
                <c:ptCount val="4"/>
                <c:pt idx="0">
                  <c:v>Knowledge</c:v>
                </c:pt>
                <c:pt idx="1">
                  <c:v>Attitude</c:v>
                </c:pt>
                <c:pt idx="2">
                  <c:v>Practice</c:v>
                </c:pt>
                <c:pt idx="3">
                  <c:v>Perception</c:v>
                </c:pt>
              </c:strCache>
            </c:strRef>
          </c:cat>
          <c:val>
            <c:numRef>
              <c:f>'[المصنف (2).xlsx]ورقة1'!$C$23:$C$26</c:f>
              <c:numCache>
                <c:formatCode>General</c:formatCode>
                <c:ptCount val="4"/>
                <c:pt idx="0">
                  <c:v>4.07</c:v>
                </c:pt>
                <c:pt idx="1">
                  <c:v>4.33</c:v>
                </c:pt>
                <c:pt idx="2">
                  <c:v>4.37</c:v>
                </c:pt>
                <c:pt idx="3">
                  <c:v>4.32</c:v>
                </c:pt>
              </c:numCache>
            </c:numRef>
          </c:val>
          <c:extLst>
            <c:ext xmlns:c16="http://schemas.microsoft.com/office/drawing/2014/chart" uri="{C3380CC4-5D6E-409C-BE32-E72D297353CC}">
              <c16:uniqueId val="{00000000-145D-7F4D-ACBE-3601817BB07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'[المصنف (2).xlsx]ورقة1'!$D$34:$H$34</c:f>
              <c:strCache>
                <c:ptCount val="5"/>
                <c:pt idx="0">
                  <c:v>Model</c:v>
                </c:pt>
                <c:pt idx="1">
                  <c:v>R</c:v>
                </c:pt>
                <c:pt idx="2">
                  <c:v>R²</c:v>
                </c:pt>
                <c:pt idx="3">
                  <c:v>Adjusted R²</c:v>
                </c:pt>
                <c:pt idx="4">
                  <c:v>Std. Error of Estimate</c:v>
                </c:pt>
              </c:strCache>
            </c:strRef>
          </c:cat>
          <c:val>
            <c:numRef>
              <c:f>'[المصنف (2).xlsx]ورقة1'!$D$35:$H$35</c:f>
              <c:numCache>
                <c:formatCode>General</c:formatCode>
                <c:ptCount val="5"/>
                <c:pt idx="0">
                  <c:v>1</c:v>
                </c:pt>
                <c:pt idx="1">
                  <c:v>0.81200000000000006</c:v>
                </c:pt>
                <c:pt idx="2">
                  <c:v>0.65900000000000003</c:v>
                </c:pt>
                <c:pt idx="3">
                  <c:v>0.64800000000000002</c:v>
                </c:pt>
                <c:pt idx="4">
                  <c:v>0.38400000000000001</c:v>
                </c:pt>
              </c:numCache>
            </c:numRef>
          </c:val>
          <c:extLst>
            <c:ext xmlns:c16="http://schemas.microsoft.com/office/drawing/2014/chart" uri="{C3380CC4-5D6E-409C-BE32-E72D297353CC}">
              <c16:uniqueId val="{00000000-FABD-4B4B-94AB-4F7E4A7A4030}"/>
            </c:ext>
          </c:extLst>
        </c:ser>
        <c:dLbls>
          <c:showLegendKey val="0"/>
          <c:showVal val="0"/>
          <c:showCatName val="0"/>
          <c:showSerName val="0"/>
          <c:showPercent val="0"/>
          <c:showBubbleSize val="0"/>
        </c:dLbls>
        <c:gapWidth val="182"/>
        <c:axId val="291697440"/>
        <c:axId val="292030384"/>
      </c:barChart>
      <c:catAx>
        <c:axId val="291697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030384"/>
        <c:crosses val="autoZero"/>
        <c:auto val="1"/>
        <c:lblAlgn val="ctr"/>
        <c:lblOffset val="100"/>
        <c:noMultiLvlLbl val="0"/>
      </c:catAx>
      <c:valAx>
        <c:axId val="292030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1697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AFF8E-0F63-4A65-95B4-1453DB6D4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35570</Words>
  <Characters>202749</Characters>
  <Application>Microsoft Office Word</Application>
  <DocSecurity>0</DocSecurity>
  <Lines>1689</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Alkhaddash, Salem SAWANDI</cp:lastModifiedBy>
  <cp:revision>4</cp:revision>
  <cp:lastPrinted>2025-11-09T10:41:00Z</cp:lastPrinted>
  <dcterms:created xsi:type="dcterms:W3CDTF">2025-11-09T10:41:00Z</dcterms:created>
  <dcterms:modified xsi:type="dcterms:W3CDTF">2025-11-09T10:41:00Z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