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0E1D8"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01750FB0"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02E77BED"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0589F44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186D7AE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3B10F470"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147E4B7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4C22322E"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56EBE4A7"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32AFC19F" w14:textId="77777777" w:rsidR="00CD0F1F" w:rsidRPr="006E13D4" w:rsidRDefault="00CD0F1F" w:rsidP="00CD0F1F">
      <w:pPr>
        <w:spacing w:line="360" w:lineRule="auto"/>
        <w:jc w:val="center"/>
        <w:outlineLvl w:val="0"/>
        <w:rPr>
          <w:rFonts w:ascii="Traditional Arabic" w:eastAsia="Sakkal Majalla" w:hAnsi="Traditional Arabic" w:cs="Traditional Arabic" w:hint="cs"/>
          <w:bCs/>
          <w:sz w:val="80"/>
          <w:szCs w:val="80"/>
        </w:rPr>
      </w:pPr>
      <w:bookmarkStart w:id="0" w:name="_Toc203357709"/>
      <w:r w:rsidRPr="006E13D4">
        <w:rPr>
          <w:rFonts w:ascii="Traditional Arabic" w:eastAsia="Sakkal Majalla" w:hAnsi="Traditional Arabic" w:cs="Traditional Arabic" w:hint="cs"/>
          <w:bCs/>
          <w:sz w:val="80"/>
          <w:szCs w:val="80"/>
          <w:rtl/>
        </w:rPr>
        <w:t>الفصل الأول</w:t>
      </w:r>
      <w:bookmarkEnd w:id="0"/>
    </w:p>
    <w:p w14:paraId="1BA3BA4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732DA3CF"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38F225A0"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3C9A347B"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2DC25DC"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52A50DDC"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21119FD2"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1" w:name="_Toc203357710"/>
      <w:r w:rsidRPr="006E13D4">
        <w:rPr>
          <w:rFonts w:ascii="Traditional Arabic" w:eastAsia="Sakkal Majalla" w:hAnsi="Traditional Arabic" w:cs="Traditional Arabic" w:hint="cs"/>
          <w:b/>
          <w:bCs/>
          <w:sz w:val="32"/>
          <w:szCs w:val="32"/>
          <w:u w:val="single"/>
          <w:rtl/>
        </w:rPr>
        <w:t>المقدمة</w:t>
      </w:r>
      <w:bookmarkEnd w:id="1"/>
    </w:p>
    <w:p w14:paraId="3C2CFF2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تواجه المجتمعات المعاصرة تحديات بيئية واقتصادية واجتماعية غير مسبوقة، فرضت نفسها بقوة على مختلف مجالات الحياة، ودفعت باتجاه تبني مفاهيم وممارسات جديدة تُعزز من قدرة الأنظمة على التكيف والاستمرار. ومن بين هذه المفاهيم، برز مفهوم "الاستدامة" باعتباره أحد أكثر المفاهيم تداولًا في العقود الأخيرة، حيث تجاوزت تطبيقاته الجوانب البيئية لتشمل الاقتصاد والإدارة والهندسة والتنمية البشرية، وذلك انطلاقًا من الحاجة إلى ضمان استمرارية الموارد وتحقيق العدالة بين الأجيال في استخدامها</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وفي هذا السياق، بات من الضروري دمج مبادئ الاستدامة في مختلف القطاعات، لا سيما تلك التي تعتمد على استهلاك مكثف للموارد الطبيعية، مثل قطاع الإنشاءات</w:t>
      </w:r>
      <w:r w:rsidRPr="006E13D4">
        <w:rPr>
          <w:rFonts w:ascii="Traditional Arabic" w:eastAsia="Sakkal Majalla" w:hAnsi="Traditional Arabic" w:cs="Traditional Arabic" w:hint="cs"/>
          <w:sz w:val="28"/>
          <w:szCs w:val="28"/>
        </w:rPr>
        <w:t>.</w:t>
      </w:r>
    </w:p>
    <w:p w14:paraId="25462A8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يُعد قطاع المشاريع الإنشائية من بين أكثر القطاعات تأثيرًا في البيئة والمجتمع والاقتصاد، نظرًا لما يتضمنه من عمليات واسعة النطاق تستهلك كميات كبيرة من الموارد الطبيعية والطاقة، وتُحدث آثارًا بيئية تمتد لفترات طويلة. وعلى الرغم من مساهمته في التنمية العمرانية والبنية التحتية، فإن هذا القطاع يواجه ضغوطًا متزايدة لتبني ممارسات أكثر استدامة، تضمن التوازن بين النمو والتأثير البيئي والاجتماعي. ومن هنا تبرز أهمية دمج ممارسات الاستدامة في إدارة المشاريع الإنشائية، باعتبارها خطوة أساسية نحو تقليل البصمة البيئية، وتعزيز الكفاءة، وتحقيق المسؤولية الاجتماعية في العمليات الإنشائية</w:t>
      </w:r>
      <w:r w:rsidRPr="006E13D4">
        <w:rPr>
          <w:rFonts w:ascii="Traditional Arabic" w:eastAsia="Sakkal Majalla" w:hAnsi="Traditional Arabic" w:cs="Traditional Arabic" w:hint="cs"/>
          <w:sz w:val="28"/>
          <w:szCs w:val="28"/>
        </w:rPr>
        <w:t>.</w:t>
      </w:r>
    </w:p>
    <w:p w14:paraId="0FDB4ED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لقد شهدت العقود الماضية تطورًا كبيرًا في منهجيات إدارة المشاريع، حيث تحولت من مجرد أدوات لتنظيم الوقت والموارد إلى أدوات استراتيجية تُسهم في تحقيق أهداف التنمية المستدامة. ويُشير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إلى أن الإدارة المستدامة للمشاريع لم تعد خيارًا بل ضرورة حتمية، تفرضها المتغيرات البيئية والاقتصادية، والضغوط التنظيمية والأخلاقية التي تواجه المنظمات الحديثة. ويُضاف إلى ذلك تطور القوانين والتشريعات الدولية والوطنية التي تُشجع على دمج مبادئ الاستدامة في العمليات الإدارية، خاصة في المجالات ذات الأثر البيئي الكبير مثل البناء والتشييد</w:t>
      </w:r>
      <w:r w:rsidRPr="006E13D4">
        <w:rPr>
          <w:rFonts w:ascii="Traditional Arabic" w:eastAsia="Sakkal Majalla" w:hAnsi="Traditional Arabic" w:cs="Traditional Arabic" w:hint="cs"/>
          <w:sz w:val="28"/>
          <w:szCs w:val="28"/>
        </w:rPr>
        <w:t>.</w:t>
      </w:r>
    </w:p>
    <w:p w14:paraId="6B6BA1D5"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في السياق السعودي، شهدت المملكة تحولًا استراتيجيًا ملحوظًا مع إطلاق "رؤية السعودية 2030"، والتي جعلت من الاستدامة أحد المحاور الرئيسية لتحقيق التنمية الشاملة. وانعكس هذا التوجه في مختلف السياسات والمبادرات الوطنية، ومن بينها السياسات المتعلقة بإدارة المشاريع الإنشائية، حيث أصبح من المتوقع أن تتبنى هذه المشاريع معايير الاستدامة كجزء من مسؤوليتها تجاه المجتمع والبيئة. إلا أن تطبيق هذه المعايير يواجه العديد من التحديات المرتبطة بالبنية المؤسسية، والكوادر البشرية، والثقافة التنظيمية، ونظم الحوكمة. وقد أظهرت دراسة حديثة للباحث</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 </w:t>
      </w:r>
      <w:r w:rsidRPr="006E13D4">
        <w:rPr>
          <w:rFonts w:ascii="Traditional Arabic" w:eastAsia="Sakkal Majalla" w:hAnsi="Traditional Arabic" w:cs="Traditional Arabic" w:hint="cs"/>
          <w:sz w:val="28"/>
          <w:szCs w:val="28"/>
          <w:rtl/>
        </w:rPr>
        <w:t>أن المؤسسات السعودية، وخاصة غير الربحية، لا تزال في مرحلة مبكرة من دمج ممارسات الاستدامة في إدارة مشاريعها، وأن هناك حاجة ماسة لتطوير الأطر المؤسسية والتشريعية الداعمة لذلك</w:t>
      </w:r>
      <w:r w:rsidRPr="006E13D4">
        <w:rPr>
          <w:rFonts w:ascii="Traditional Arabic" w:eastAsia="Sakkal Majalla" w:hAnsi="Traditional Arabic" w:cs="Traditional Arabic" w:hint="cs"/>
          <w:sz w:val="28"/>
          <w:szCs w:val="28"/>
        </w:rPr>
        <w:t>.</w:t>
      </w:r>
    </w:p>
    <w:p w14:paraId="1B2C568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فإن أحد أبرز المعوقات التي تواجه دمج الاستدامة في المشاريع يتمثل في غياب الحوكمة الرشيدة، وعدم وضوح الأدوار والمسؤوليات بين مختلف الأطراف المعنية. وتؤكد دراسة المطيري (2022) على أن تعزيز ممارسات الحوكمة داخل المؤسسات يُعد شرطًا أساسيًا لتحقيق تقارير استدامة شفافة ومتكاملة، بما يُسهم في رفع مستوى الالتزام بالممارسات البيئية والاجتماعية والاقتصادية. وهذا ما ينطبق بدرجة كبيرة على قطاع المشاريع الإنشائية، الذي يتطلب التنسيق بين عدة أطراف تشمل المقاولين، والاستشاريين، والجهات الحكومية، والمجتمع المحلي</w:t>
      </w:r>
      <w:r w:rsidRPr="006E13D4">
        <w:rPr>
          <w:rFonts w:ascii="Traditional Arabic" w:eastAsia="Sakkal Majalla" w:hAnsi="Traditional Arabic" w:cs="Traditional Arabic" w:hint="cs"/>
          <w:sz w:val="28"/>
          <w:szCs w:val="28"/>
        </w:rPr>
        <w:t>.</w:t>
      </w:r>
    </w:p>
    <w:p w14:paraId="0F002D1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إن دمج ممارسات الاستدامة في إدارة المشاريع الإنشائية لا يُمثل فقط استجابة للتحديات البيئية، بل يُعد فرصة استراتيجية لتحسين الأداء المؤسسي، وزيادة الكفاءة التشغيلية، وتقليل التكاليف على المدى الطويل. كما أن اعتماد هذه الممارسات يُعزز من سمعة المؤسسة وثقة أصحاب المصلحة بها، ويُسهم في بناء مجتمعات عمرانية أكثر مرونة واستدامة. ومن هنا تنبع أهمية هذا البحث، الذي يسعى إلى استكشاف واقع دمج ممارسات الاستدامة في المشاريع الإنشائية في المملكة العربية السعودية، وتحليل أبرز التحديات التي تعيق ذلك، والفرص المتاحة لتسريع هذا الاندماج في ضوء الرؤية الوطنية الطموحة</w:t>
      </w:r>
      <w:r w:rsidRPr="006E13D4">
        <w:rPr>
          <w:rFonts w:ascii="Traditional Arabic" w:eastAsia="Sakkal Majalla" w:hAnsi="Traditional Arabic" w:cs="Traditional Arabic" w:hint="cs"/>
          <w:sz w:val="28"/>
          <w:szCs w:val="28"/>
        </w:rPr>
        <w:t>.</w:t>
      </w:r>
    </w:p>
    <w:p w14:paraId="14CFBAF5"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0044016E" w14:textId="77777777" w:rsidR="00CD0F1F" w:rsidRPr="006E13D4" w:rsidRDefault="00CD0F1F" w:rsidP="00CD0F1F">
      <w:pPr>
        <w:spacing w:line="360" w:lineRule="auto"/>
        <w:jc w:val="right"/>
        <w:rPr>
          <w:rFonts w:ascii="Traditional Arabic" w:eastAsia="Sakkal Majalla" w:hAnsi="Traditional Arabic" w:cs="Traditional Arabic" w:hint="cs"/>
          <w:b/>
          <w:bCs/>
          <w:sz w:val="28"/>
          <w:szCs w:val="28"/>
          <w:rtl/>
        </w:rPr>
      </w:pPr>
    </w:p>
    <w:p w14:paraId="3F837173"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30A4252A"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2" w:name="_Toc203357711"/>
      <w:r w:rsidRPr="006E13D4">
        <w:rPr>
          <w:rFonts w:ascii="Traditional Arabic" w:eastAsia="Sakkal Majalla" w:hAnsi="Traditional Arabic" w:cs="Traditional Arabic" w:hint="cs"/>
          <w:b/>
          <w:bCs/>
          <w:sz w:val="32"/>
          <w:szCs w:val="32"/>
          <w:u w:val="single"/>
          <w:rtl/>
        </w:rPr>
        <w:lastRenderedPageBreak/>
        <w:t>مشكلة الدراسة</w:t>
      </w:r>
      <w:bookmarkEnd w:id="2"/>
    </w:p>
    <w:p w14:paraId="243294A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على الرغم من التقدم الملحوظ الذي شهدته مفاهيم الاستدامة عالميًا، وارتفاع الوعي بأهميتها في مختلف القطاعات، لا يزال دمج ممارسات الاستدامة في إدارة المشاريع، وخاصة المشاريع الإنشائية، يواجه تحديات معقدة تتعلق بالجوانب التنظيمية والتقنية والثقافية. وفي المملكة العربية السعودية، ورغم الجهود المبذولة في إطار "رؤية 2030" لتعزيز الاستدامة في مختلف المجالات، إلا أن التطبيق العملي لهذه المبادئ داخل قطاع المشاريع الإنشائية لا يزال محدودًا، وتكتنفه العديد من الصعوبات التي تعيق تحقيق الاستفادة الكاملة من ممارسات الإدارة المستدامة</w:t>
      </w:r>
      <w:r w:rsidRPr="006E13D4">
        <w:rPr>
          <w:rFonts w:ascii="Traditional Arabic" w:eastAsia="Sakkal Majalla" w:hAnsi="Traditional Arabic" w:cs="Traditional Arabic" w:hint="cs"/>
          <w:sz w:val="28"/>
          <w:szCs w:val="28"/>
        </w:rPr>
        <w:t>.</w:t>
      </w:r>
    </w:p>
    <w:p w14:paraId="437E713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تشير الأدبيات إلى أن واحدة من أبرز مشكلات دمج الاستدامة في المشاريع تكمن في غياب فهم موحد وشامل لمفهوم "الاستدامة" ضمن بيئات العمل المختلفة، وافتقار بعض المؤسسات إلى استراتيجيات واضحة تترجم هذا المفهوم إلى خطوات عملية ضمن دورات حياة المشاريع</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كما أن كثيرًا من المشاريع لا تزال تُدار وفق نماذج تقليدية تركز على الإنجاز الزمني والمالي فقط، دون مراعاة كافية للأثر البيئي والاجتماعي طويل المدى، وهو ما يتنافى مع التوجهات الحديثة للإدارة المستدامة</w:t>
      </w:r>
      <w:r w:rsidRPr="006E13D4">
        <w:rPr>
          <w:rFonts w:ascii="Traditional Arabic" w:eastAsia="Sakkal Majalla" w:hAnsi="Traditional Arabic" w:cs="Traditional Arabic" w:hint="cs"/>
          <w:sz w:val="28"/>
          <w:szCs w:val="28"/>
        </w:rPr>
        <w:t>.</w:t>
      </w:r>
    </w:p>
    <w:p w14:paraId="64C9FF94"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السياق المحلي، أظهرت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 </w:t>
      </w:r>
      <w:r w:rsidRPr="006E13D4">
        <w:rPr>
          <w:rFonts w:ascii="Traditional Arabic" w:eastAsia="Sakkal Majalla" w:hAnsi="Traditional Arabic" w:cs="Traditional Arabic" w:hint="cs"/>
          <w:sz w:val="28"/>
          <w:szCs w:val="28"/>
          <w:rtl/>
        </w:rPr>
        <w:t>أن مؤسسات عديدة داخل المملكة، وخاصة في القطاعات غير الربحية، لم تتمكن بعد من دمج ممارسات الاستدامة بشكل فعّال داخل هياكلها الإدارية والتنفيذية، بسبب غياب التوعية الكافية، ونقص الخبرات المتخصصة، وعدم توفر الدعم المؤسسي أو التشريعي اللازم. وقد انعكس هذا القصور على جودة تنفيذ المشاريع وفاعلية مخرجاتها في تحقيق الأبعاد الثلاثة للاستدامة: البيئية، والاقتصادية، والاجتماعية</w:t>
      </w:r>
      <w:r w:rsidRPr="006E13D4">
        <w:rPr>
          <w:rFonts w:ascii="Traditional Arabic" w:eastAsia="Sakkal Majalla" w:hAnsi="Traditional Arabic" w:cs="Traditional Arabic" w:hint="cs"/>
          <w:sz w:val="28"/>
          <w:szCs w:val="28"/>
        </w:rPr>
        <w:t>.</w:t>
      </w:r>
    </w:p>
    <w:p w14:paraId="345EBE3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من ناحية أخرى، تلعب الحوكمة المؤسسية دورًا حاسمًا في دعم جهود الاستدامة، إلا أن الواقع العملي يشير إلى أن الكثير من الشركات، سواء في السعودية أو في المنطقة العربية عمومًا، لا تزال تُعاني من ضعف أنظمة الحوكمة، وغياب الشفافية والمساءلة، وهو ما يُعد أحد الأسباب الجوهرية لعدم فعالية تقارير الاستدامة، أو لتوظيفها بشكل صوري فقط دون تأثير حقيقي في الأداء المؤسسي. وتدعم دراسة المطيري (2022) هذا الطرح، حيث تؤكد أن وجود أنظمة حوكمة قوية ومنظمة ينعكس بشكل مباشر على جودة الإفصاح عن ممارسات الاستدامة ويُحسن من التزام المؤسسات بها</w:t>
      </w:r>
      <w:r w:rsidRPr="006E13D4">
        <w:rPr>
          <w:rFonts w:ascii="Traditional Arabic" w:eastAsia="Sakkal Majalla" w:hAnsi="Traditional Arabic" w:cs="Traditional Arabic" w:hint="cs"/>
          <w:sz w:val="28"/>
          <w:szCs w:val="28"/>
        </w:rPr>
        <w:t>.</w:t>
      </w:r>
    </w:p>
    <w:p w14:paraId="31B4EC1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وبناءً على ما سبق، يمكن القول إن هناك فجوة واضحة بين التوجهات الاستراتيجية التي تدعو إلى دمج الاستدامة في إدارة المشاريع، وبين التطبيق الفعلي لهذه المبادئ في قطاع المشاريع الإنشائية في المملكة. وهذه الفجوة تطرح عددًا من التساؤلات المهمة حول الأسباب الكامنة وراء ضعف هذا الاندماج، والعوامل التي تعيق تحقيقه، والفرص المتاحة لتعزيزه في ضوء السياسات الوطنية الراهنة</w:t>
      </w:r>
      <w:r w:rsidRPr="006E13D4">
        <w:rPr>
          <w:rFonts w:ascii="Traditional Arabic" w:eastAsia="Sakkal Majalla" w:hAnsi="Traditional Arabic" w:cs="Traditional Arabic" w:hint="cs"/>
          <w:sz w:val="28"/>
          <w:szCs w:val="28"/>
        </w:rPr>
        <w:t>.</w:t>
      </w:r>
    </w:p>
    <w:p w14:paraId="04D24EE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ومن هنا تتمثل مشكلة البحث في</w:t>
      </w:r>
      <w:r w:rsidRPr="006E13D4">
        <w:rPr>
          <w:rFonts w:ascii="Traditional Arabic" w:eastAsia="Sakkal Majalla" w:hAnsi="Traditional Arabic" w:cs="Traditional Arabic" w:hint="cs"/>
          <w:b/>
          <w:bCs/>
          <w:sz w:val="28"/>
          <w:szCs w:val="28"/>
        </w:rPr>
        <w:t>:</w:t>
      </w:r>
      <w:r w:rsidRPr="006E13D4">
        <w:rPr>
          <w:rFonts w:ascii="Traditional Arabic" w:eastAsia="Sakkal Majalla" w:hAnsi="Traditional Arabic" w:cs="Traditional Arabic" w:hint="cs"/>
          <w:sz w:val="28"/>
          <w:szCs w:val="28"/>
        </w:rPr>
        <w:br/>
      </w:r>
      <w:r w:rsidRPr="006E13D4">
        <w:rPr>
          <w:rFonts w:ascii="Traditional Arabic" w:eastAsia="Sakkal Majalla" w:hAnsi="Traditional Arabic" w:cs="Traditional Arabic" w:hint="cs"/>
          <w:sz w:val="28"/>
          <w:szCs w:val="28"/>
          <w:rtl/>
        </w:rPr>
        <w:t>قصور دمج ممارسات الاستدامة في إدارة المشاريع الإنشائية في المملكة العربية السعودية، بالرغم من وجود توجه وطني نحو تحقيق التنمية المستدامة، مما يستدعي استكشاف التحديات التي تعيق هذا الاندماج، والفرص التي يمكن استثمارها لتعزيز الاستدامة في هذا القطاع الحيوي</w:t>
      </w:r>
      <w:r w:rsidRPr="006E13D4">
        <w:rPr>
          <w:rFonts w:ascii="Traditional Arabic" w:eastAsia="Sakkal Majalla" w:hAnsi="Traditional Arabic" w:cs="Traditional Arabic" w:hint="cs"/>
          <w:sz w:val="28"/>
          <w:szCs w:val="28"/>
        </w:rPr>
        <w:t>.</w:t>
      </w:r>
    </w:p>
    <w:p w14:paraId="132ABDC1"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ويتبلور سؤال البحث الرئيس في الآتي</w:t>
      </w:r>
      <w:r w:rsidRPr="006E13D4">
        <w:rPr>
          <w:rFonts w:ascii="Traditional Arabic" w:eastAsia="Sakkal Majalla" w:hAnsi="Traditional Arabic" w:cs="Traditional Arabic" w:hint="cs"/>
          <w:b/>
          <w:bCs/>
          <w:sz w:val="28"/>
          <w:szCs w:val="28"/>
        </w:rPr>
        <w:t>:</w:t>
      </w:r>
      <w:r w:rsidRPr="006E13D4">
        <w:rPr>
          <w:rFonts w:ascii="Traditional Arabic" w:eastAsia="Sakkal Majalla" w:hAnsi="Traditional Arabic" w:cs="Traditional Arabic" w:hint="cs"/>
          <w:sz w:val="28"/>
          <w:szCs w:val="28"/>
        </w:rPr>
        <w:br/>
      </w:r>
      <w:r w:rsidRPr="006E13D4">
        <w:rPr>
          <w:rFonts w:ascii="Traditional Arabic" w:eastAsia="Sakkal Majalla" w:hAnsi="Traditional Arabic" w:cs="Traditional Arabic" w:hint="cs"/>
          <w:i/>
          <w:iCs/>
          <w:sz w:val="28"/>
          <w:szCs w:val="28"/>
          <w:rtl/>
        </w:rPr>
        <w:t>ما هي التحديات والفرص المرتبطة بدمج ممارسات الاستدامة في إدارة المشاريع الإنشائية في المملكة العربية السعودية؟</w:t>
      </w:r>
    </w:p>
    <w:p w14:paraId="69BE5EE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474C33FD"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517349D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4EE4FAF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417D06F0"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747FEEE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6AFD7D0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19B205F4"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5D9B3316"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2603BDD8"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3" w:name="_Toc203357712"/>
      <w:r w:rsidRPr="006E13D4">
        <w:rPr>
          <w:rFonts w:ascii="Traditional Arabic" w:eastAsia="Sakkal Majalla" w:hAnsi="Traditional Arabic" w:cs="Traditional Arabic" w:hint="cs"/>
          <w:b/>
          <w:bCs/>
          <w:sz w:val="32"/>
          <w:szCs w:val="32"/>
          <w:u w:val="single"/>
          <w:rtl/>
        </w:rPr>
        <w:lastRenderedPageBreak/>
        <w:t>أهمية الدراسة</w:t>
      </w:r>
      <w:bookmarkEnd w:id="3"/>
      <w:r w:rsidRPr="006E13D4">
        <w:rPr>
          <w:rFonts w:ascii="Traditional Arabic" w:eastAsia="Sakkal Majalla" w:hAnsi="Traditional Arabic" w:cs="Traditional Arabic" w:hint="cs"/>
          <w:b/>
          <w:bCs/>
          <w:sz w:val="32"/>
          <w:szCs w:val="32"/>
          <w:u w:val="single"/>
          <w:rtl/>
        </w:rPr>
        <w:t xml:space="preserve"> </w:t>
      </w:r>
    </w:p>
    <w:p w14:paraId="7896BBB1"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الأهمية العلمية</w:t>
      </w:r>
      <w:r w:rsidRPr="006E13D4">
        <w:rPr>
          <w:rFonts w:ascii="Traditional Arabic" w:eastAsia="Sakkal Majalla" w:hAnsi="Traditional Arabic" w:cs="Traditional Arabic" w:hint="cs"/>
          <w:b/>
          <w:bCs/>
          <w:sz w:val="28"/>
          <w:szCs w:val="28"/>
        </w:rPr>
        <w:t>:</w:t>
      </w:r>
    </w:p>
    <w:p w14:paraId="49AB664B" w14:textId="77777777" w:rsidR="00CD0F1F" w:rsidRPr="006E13D4" w:rsidRDefault="00CD0F1F" w:rsidP="00CD0F1F">
      <w:pPr>
        <w:numPr>
          <w:ilvl w:val="0"/>
          <w:numId w:val="128"/>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يُسهم البحث في إثراء الأدبيات المتعلقة بإدارة المشاريع من خلال تسليط الضوء على البُعد المستدام في إدارة المشاريع الإنشائية، وهو جانب لم يحظَ بما يكفي من الدراسة في السياق المحلي</w:t>
      </w:r>
      <w:r w:rsidRPr="006E13D4">
        <w:rPr>
          <w:rFonts w:ascii="Traditional Arabic" w:eastAsia="Sakkal Majalla" w:hAnsi="Traditional Arabic" w:cs="Traditional Arabic" w:hint="cs"/>
          <w:sz w:val="28"/>
          <w:szCs w:val="28"/>
        </w:rPr>
        <w:t>.</w:t>
      </w:r>
    </w:p>
    <w:p w14:paraId="4F8021CA" w14:textId="77777777" w:rsidR="00CD0F1F" w:rsidRPr="006E13D4" w:rsidRDefault="00CD0F1F" w:rsidP="00CD0F1F">
      <w:pPr>
        <w:numPr>
          <w:ilvl w:val="0"/>
          <w:numId w:val="128"/>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يُوفر إطارًا نظريًا يمكن البناء عليه في دراسات مستقبلية تتناول العلاقة بين ممارسات الاستدامة وأداء المشاريع</w:t>
      </w:r>
      <w:r w:rsidRPr="006E13D4">
        <w:rPr>
          <w:rFonts w:ascii="Traditional Arabic" w:eastAsia="Sakkal Majalla" w:hAnsi="Traditional Arabic" w:cs="Traditional Arabic" w:hint="cs"/>
          <w:sz w:val="28"/>
          <w:szCs w:val="28"/>
        </w:rPr>
        <w:t>.</w:t>
      </w:r>
    </w:p>
    <w:p w14:paraId="019D145C" w14:textId="77777777" w:rsidR="00CD0F1F" w:rsidRPr="006E13D4" w:rsidRDefault="00CD0F1F" w:rsidP="00CD0F1F">
      <w:pPr>
        <w:numPr>
          <w:ilvl w:val="0"/>
          <w:numId w:val="128"/>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يساعد في توضيح مفاهيم الاستدامة التطبيقية داخل إدارة المشاريع، ويُساهم في تطوير المعرفة العلمية المرتبطة بتكامل البُعدين البيئي والإداري في قطاع الإنشاءات</w:t>
      </w:r>
      <w:r w:rsidRPr="006E13D4">
        <w:rPr>
          <w:rFonts w:ascii="Traditional Arabic" w:eastAsia="Sakkal Majalla" w:hAnsi="Traditional Arabic" w:cs="Traditional Arabic" w:hint="cs"/>
          <w:sz w:val="28"/>
          <w:szCs w:val="28"/>
        </w:rPr>
        <w:t>.</w:t>
      </w:r>
    </w:p>
    <w:p w14:paraId="0222B5F6" w14:textId="77777777" w:rsidR="00CD0F1F" w:rsidRPr="006E13D4" w:rsidRDefault="00CD0F1F" w:rsidP="00CD0F1F">
      <w:pPr>
        <w:numPr>
          <w:ilvl w:val="0"/>
          <w:numId w:val="128"/>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يعزز من فهم الباحثين لمستوى جاهزية بيئة المشاريع الإنشائية في المملكة لتبنّي استراتيجيات الاستدامة</w:t>
      </w:r>
      <w:r w:rsidRPr="006E13D4">
        <w:rPr>
          <w:rFonts w:ascii="Traditional Arabic" w:eastAsia="Sakkal Majalla" w:hAnsi="Traditional Arabic" w:cs="Traditional Arabic" w:hint="cs"/>
          <w:sz w:val="28"/>
          <w:szCs w:val="28"/>
        </w:rPr>
        <w:t>.</w:t>
      </w:r>
    </w:p>
    <w:p w14:paraId="08AB5C1D"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الأهمية العملية</w:t>
      </w:r>
      <w:r w:rsidRPr="006E13D4">
        <w:rPr>
          <w:rFonts w:ascii="Traditional Arabic" w:eastAsia="Sakkal Majalla" w:hAnsi="Traditional Arabic" w:cs="Traditional Arabic" w:hint="cs"/>
          <w:b/>
          <w:bCs/>
          <w:sz w:val="28"/>
          <w:szCs w:val="28"/>
        </w:rPr>
        <w:t>:</w:t>
      </w:r>
    </w:p>
    <w:p w14:paraId="30F976EC" w14:textId="77777777" w:rsidR="00CD0F1F" w:rsidRPr="006E13D4" w:rsidRDefault="00CD0F1F" w:rsidP="00CD0F1F">
      <w:pPr>
        <w:numPr>
          <w:ilvl w:val="0"/>
          <w:numId w:val="129"/>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يُساهم في كشف التحديات الفعلية التي تواجه العاملين في قطاع المشاريع الإنشائية عند محاولة دمج ممارسات الاستدامة ضمن عمليات الإدارة</w:t>
      </w:r>
      <w:r w:rsidRPr="006E13D4">
        <w:rPr>
          <w:rFonts w:ascii="Traditional Arabic" w:eastAsia="Sakkal Majalla" w:hAnsi="Traditional Arabic" w:cs="Traditional Arabic" w:hint="cs"/>
          <w:sz w:val="28"/>
          <w:szCs w:val="28"/>
        </w:rPr>
        <w:t>.</w:t>
      </w:r>
    </w:p>
    <w:p w14:paraId="6D5417A4" w14:textId="77777777" w:rsidR="00CD0F1F" w:rsidRPr="006E13D4" w:rsidRDefault="00CD0F1F" w:rsidP="00CD0F1F">
      <w:pPr>
        <w:numPr>
          <w:ilvl w:val="0"/>
          <w:numId w:val="129"/>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يقدم توصيات عملية قابلة للتنفيذ من قِبل المؤسسات المعنية لتحسين مستوى دمج الاستدامة في المشاريع المستقبلية</w:t>
      </w:r>
      <w:r w:rsidRPr="006E13D4">
        <w:rPr>
          <w:rFonts w:ascii="Traditional Arabic" w:eastAsia="Sakkal Majalla" w:hAnsi="Traditional Arabic" w:cs="Traditional Arabic" w:hint="cs"/>
          <w:sz w:val="28"/>
          <w:szCs w:val="28"/>
        </w:rPr>
        <w:t>.</w:t>
      </w:r>
    </w:p>
    <w:p w14:paraId="4E1BE27E" w14:textId="77777777" w:rsidR="00CD0F1F" w:rsidRPr="006E13D4" w:rsidRDefault="00CD0F1F" w:rsidP="00CD0F1F">
      <w:pPr>
        <w:numPr>
          <w:ilvl w:val="0"/>
          <w:numId w:val="129"/>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يُساعد صُنّاع القرار والجهات التنفيذية على تطوير سياسات وتشريعات داعمة لتحقيق الاستدامة في قطاع البناء والتشييد</w:t>
      </w:r>
      <w:r w:rsidRPr="006E13D4">
        <w:rPr>
          <w:rFonts w:ascii="Traditional Arabic" w:eastAsia="Sakkal Majalla" w:hAnsi="Traditional Arabic" w:cs="Traditional Arabic" w:hint="cs"/>
          <w:sz w:val="28"/>
          <w:szCs w:val="28"/>
        </w:rPr>
        <w:t>.</w:t>
      </w:r>
    </w:p>
    <w:p w14:paraId="1ECCD59D" w14:textId="77777777" w:rsidR="00CD0F1F" w:rsidRPr="006E13D4" w:rsidRDefault="00CD0F1F" w:rsidP="00CD0F1F">
      <w:pPr>
        <w:numPr>
          <w:ilvl w:val="0"/>
          <w:numId w:val="129"/>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يُمكن استخدام نتائج البحث كمرجع إرشادي لمهندسي المشاريع ومديريها في تصميم وتنفيذ مشاريع تراعي الأبعاد البيئية والاجتماعية والاقتصادية بكفاءة أكبر</w:t>
      </w:r>
      <w:r w:rsidRPr="006E13D4">
        <w:rPr>
          <w:rFonts w:ascii="Traditional Arabic" w:eastAsia="Sakkal Majalla" w:hAnsi="Traditional Arabic" w:cs="Traditional Arabic" w:hint="cs"/>
          <w:sz w:val="28"/>
          <w:szCs w:val="28"/>
        </w:rPr>
        <w:t>.</w:t>
      </w:r>
    </w:p>
    <w:p w14:paraId="332BB9B5"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63770FA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69A0DEDF"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4" w:name="_Toc203357713"/>
      <w:r w:rsidRPr="006E13D4">
        <w:rPr>
          <w:rFonts w:ascii="Traditional Arabic" w:eastAsia="Sakkal Majalla" w:hAnsi="Traditional Arabic" w:cs="Traditional Arabic" w:hint="cs"/>
          <w:b/>
          <w:bCs/>
          <w:sz w:val="32"/>
          <w:szCs w:val="32"/>
          <w:u w:val="single"/>
          <w:rtl/>
        </w:rPr>
        <w:lastRenderedPageBreak/>
        <w:t>أهداف الدراسة</w:t>
      </w:r>
      <w:bookmarkEnd w:id="4"/>
      <w:r w:rsidRPr="006E13D4">
        <w:rPr>
          <w:rFonts w:ascii="Traditional Arabic" w:eastAsia="Sakkal Majalla" w:hAnsi="Traditional Arabic" w:cs="Traditional Arabic" w:hint="cs"/>
          <w:b/>
          <w:bCs/>
          <w:sz w:val="32"/>
          <w:szCs w:val="32"/>
          <w:u w:val="single"/>
          <w:rtl/>
        </w:rPr>
        <w:t xml:space="preserve"> </w:t>
      </w:r>
    </w:p>
    <w:p w14:paraId="5B93035A"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يهدف هذا البحث إلى تحقيق ما يلي</w:t>
      </w:r>
      <w:r w:rsidRPr="006E13D4">
        <w:rPr>
          <w:rFonts w:ascii="Traditional Arabic" w:eastAsia="Sakkal Majalla" w:hAnsi="Traditional Arabic" w:cs="Traditional Arabic" w:hint="cs"/>
          <w:sz w:val="28"/>
          <w:szCs w:val="28"/>
        </w:rPr>
        <w:t>:</w:t>
      </w:r>
    </w:p>
    <w:p w14:paraId="31F47494" w14:textId="77777777" w:rsidR="00CD0F1F" w:rsidRPr="006E13D4" w:rsidRDefault="00CD0F1F" w:rsidP="00CD0F1F">
      <w:pPr>
        <w:numPr>
          <w:ilvl w:val="0"/>
          <w:numId w:val="126"/>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تحليل مفهوم دمج ممارسات الاستدامة في إدارة المشاريع الإنشائية ضمن السياق السعودي</w:t>
      </w:r>
      <w:r w:rsidRPr="006E13D4">
        <w:rPr>
          <w:rFonts w:ascii="Traditional Arabic" w:eastAsia="Sakkal Majalla" w:hAnsi="Traditional Arabic" w:cs="Traditional Arabic" w:hint="cs"/>
          <w:sz w:val="28"/>
          <w:szCs w:val="28"/>
        </w:rPr>
        <w:t>.</w:t>
      </w:r>
    </w:p>
    <w:p w14:paraId="0A29264A" w14:textId="77777777" w:rsidR="00CD0F1F" w:rsidRPr="006E13D4" w:rsidRDefault="00CD0F1F" w:rsidP="00CD0F1F">
      <w:pPr>
        <w:numPr>
          <w:ilvl w:val="0"/>
          <w:numId w:val="126"/>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تحديد أبرز التحديات التي تواجه عمليات دمج الاستدامة في مشاريع البناء والتشييد في المملكة</w:t>
      </w:r>
      <w:r w:rsidRPr="006E13D4">
        <w:rPr>
          <w:rFonts w:ascii="Traditional Arabic" w:eastAsia="Sakkal Majalla" w:hAnsi="Traditional Arabic" w:cs="Traditional Arabic" w:hint="cs"/>
          <w:sz w:val="28"/>
          <w:szCs w:val="28"/>
        </w:rPr>
        <w:t>.</w:t>
      </w:r>
    </w:p>
    <w:p w14:paraId="67AE9429" w14:textId="77777777" w:rsidR="00CD0F1F" w:rsidRPr="006E13D4" w:rsidRDefault="00CD0F1F" w:rsidP="00CD0F1F">
      <w:pPr>
        <w:numPr>
          <w:ilvl w:val="0"/>
          <w:numId w:val="126"/>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استكشاف الفرص المتاحة لتعزيز دمج ممارسات الاستدامة في إدارة المشاريع</w:t>
      </w:r>
      <w:r w:rsidRPr="006E13D4">
        <w:rPr>
          <w:rFonts w:ascii="Traditional Arabic" w:eastAsia="Sakkal Majalla" w:hAnsi="Traditional Arabic" w:cs="Traditional Arabic" w:hint="cs"/>
          <w:sz w:val="28"/>
          <w:szCs w:val="28"/>
        </w:rPr>
        <w:t>.</w:t>
      </w:r>
    </w:p>
    <w:p w14:paraId="2F76DA56" w14:textId="77777777" w:rsidR="00CD0F1F" w:rsidRPr="006E13D4" w:rsidRDefault="00CD0F1F" w:rsidP="00CD0F1F">
      <w:pPr>
        <w:numPr>
          <w:ilvl w:val="0"/>
          <w:numId w:val="126"/>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تقديم توصيات عملية لمواجهة التحديات وتحقيق التكامل بين مفاهيم الاستدامة والإدارة الفعالة للمشاريع الإنشائية</w:t>
      </w:r>
      <w:r w:rsidRPr="006E13D4">
        <w:rPr>
          <w:rFonts w:ascii="Traditional Arabic" w:eastAsia="Sakkal Majalla" w:hAnsi="Traditional Arabic" w:cs="Traditional Arabic" w:hint="cs"/>
          <w:sz w:val="28"/>
          <w:szCs w:val="28"/>
        </w:rPr>
        <w:t>.</w:t>
      </w:r>
    </w:p>
    <w:p w14:paraId="7DA2EF3A" w14:textId="77777777" w:rsidR="00CD0F1F" w:rsidRPr="006E13D4" w:rsidRDefault="00CD0F1F" w:rsidP="00CD0F1F">
      <w:pPr>
        <w:spacing w:line="360" w:lineRule="auto"/>
        <w:rPr>
          <w:rFonts w:ascii="Traditional Arabic" w:eastAsia="Sakkal Majalla" w:hAnsi="Traditional Arabic" w:cs="Traditional Arabic" w:hint="cs"/>
          <w:sz w:val="24"/>
          <w:szCs w:val="24"/>
          <w:rtl/>
        </w:rPr>
      </w:pPr>
    </w:p>
    <w:p w14:paraId="6EC08A0A" w14:textId="77777777" w:rsidR="00CD0F1F" w:rsidRPr="006E13D4" w:rsidRDefault="00CD0F1F" w:rsidP="00CD0F1F">
      <w:pPr>
        <w:spacing w:line="360" w:lineRule="auto"/>
        <w:rPr>
          <w:rFonts w:ascii="Traditional Arabic" w:eastAsia="Sakkal Majalla" w:hAnsi="Traditional Arabic" w:cs="Traditional Arabic" w:hint="cs"/>
          <w:sz w:val="24"/>
          <w:szCs w:val="24"/>
          <w:rtl/>
        </w:rPr>
      </w:pPr>
    </w:p>
    <w:p w14:paraId="6B7C9924" w14:textId="77777777" w:rsidR="00CD0F1F" w:rsidRPr="006E13D4" w:rsidRDefault="00CD0F1F" w:rsidP="00CD0F1F">
      <w:pPr>
        <w:spacing w:line="360" w:lineRule="auto"/>
        <w:rPr>
          <w:rFonts w:ascii="Traditional Arabic" w:eastAsia="Sakkal Majalla" w:hAnsi="Traditional Arabic" w:cs="Traditional Arabic" w:hint="cs"/>
          <w:sz w:val="24"/>
          <w:szCs w:val="24"/>
        </w:rPr>
      </w:pPr>
    </w:p>
    <w:p w14:paraId="260BEF7E" w14:textId="77777777" w:rsidR="00CD0F1F" w:rsidRPr="006E13D4" w:rsidRDefault="00CD0F1F" w:rsidP="00CD0F1F">
      <w:pPr>
        <w:spacing w:line="360" w:lineRule="auto"/>
        <w:rPr>
          <w:rFonts w:ascii="Traditional Arabic" w:eastAsia="Sakkal Majalla" w:hAnsi="Traditional Arabic" w:cs="Traditional Arabic" w:hint="cs"/>
          <w:sz w:val="24"/>
          <w:szCs w:val="24"/>
        </w:rPr>
      </w:pPr>
    </w:p>
    <w:p w14:paraId="32EF8087" w14:textId="77777777" w:rsidR="00CD0F1F" w:rsidRPr="006E13D4" w:rsidRDefault="00CD0F1F" w:rsidP="00CD0F1F">
      <w:pPr>
        <w:rPr>
          <w:rFonts w:ascii="Traditional Arabic" w:hAnsi="Traditional Arabic" w:cs="Traditional Arabic" w:hint="cs"/>
          <w:sz w:val="28"/>
          <w:szCs w:val="28"/>
          <w:rtl/>
        </w:rPr>
      </w:pPr>
    </w:p>
    <w:p w14:paraId="29228706"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2CA2ABB3"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77A1C68B"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144ABE81"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127B2605" w14:textId="77777777" w:rsidR="00CD0F1F" w:rsidRDefault="00CD0F1F" w:rsidP="00CD0F1F">
      <w:pPr>
        <w:spacing w:line="360" w:lineRule="auto"/>
        <w:rPr>
          <w:rFonts w:ascii="Traditional Arabic" w:eastAsia="Sakkal Majalla" w:hAnsi="Traditional Arabic" w:cs="Traditional Arabic"/>
          <w:sz w:val="28"/>
          <w:szCs w:val="28"/>
          <w:u w:val="single"/>
          <w:rtl/>
        </w:rPr>
      </w:pPr>
    </w:p>
    <w:p w14:paraId="36DCBFA2"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4DB07B5F"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5" w:name="_Toc203357714"/>
      <w:r w:rsidRPr="006E13D4">
        <w:rPr>
          <w:rFonts w:ascii="Traditional Arabic" w:eastAsia="Sakkal Majalla" w:hAnsi="Traditional Arabic" w:cs="Traditional Arabic" w:hint="cs"/>
          <w:b/>
          <w:bCs/>
          <w:sz w:val="32"/>
          <w:szCs w:val="32"/>
          <w:u w:val="single"/>
          <w:rtl/>
        </w:rPr>
        <w:lastRenderedPageBreak/>
        <w:t>تساؤلات الدراسة</w:t>
      </w:r>
      <w:bookmarkEnd w:id="5"/>
      <w:r w:rsidRPr="006E13D4">
        <w:rPr>
          <w:rFonts w:ascii="Traditional Arabic" w:eastAsia="Sakkal Majalla" w:hAnsi="Traditional Arabic" w:cs="Traditional Arabic" w:hint="cs"/>
          <w:b/>
          <w:bCs/>
          <w:sz w:val="32"/>
          <w:szCs w:val="32"/>
          <w:u w:val="single"/>
          <w:rtl/>
        </w:rPr>
        <w:t xml:space="preserve"> </w:t>
      </w:r>
    </w:p>
    <w:p w14:paraId="0679DD55"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ينطلق هذا البحث من سؤال رئيسي يتفرع منه عدد من الأسئلة الفرعية، وذلك بهدف الإحاطة الشاملة بموضوع الدراسة. ويتمثل السؤال الرئيسي في</w:t>
      </w:r>
      <w:r w:rsidRPr="006E13D4">
        <w:rPr>
          <w:rFonts w:ascii="Traditional Arabic" w:eastAsia="Sakkal Majalla" w:hAnsi="Traditional Arabic" w:cs="Traditional Arabic" w:hint="cs"/>
          <w:sz w:val="28"/>
          <w:szCs w:val="28"/>
        </w:rPr>
        <w:t>:</w:t>
      </w:r>
    </w:p>
    <w:p w14:paraId="0C2CB5F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ما هي التحديات والفرص المرتبطة بدمج ممارسات الاستدامة مع إدارة المشاريع الإنشائية في المملكة العربية السعودية؟</w:t>
      </w:r>
    </w:p>
    <w:p w14:paraId="2A4E4F8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ويتفرع من هذا السؤال الرئيس الأسئلة الفرعية التالية</w:t>
      </w:r>
      <w:r w:rsidRPr="006E13D4">
        <w:rPr>
          <w:rFonts w:ascii="Traditional Arabic" w:eastAsia="Sakkal Majalla" w:hAnsi="Traditional Arabic" w:cs="Traditional Arabic" w:hint="cs"/>
          <w:sz w:val="28"/>
          <w:szCs w:val="28"/>
        </w:rPr>
        <w:t>:</w:t>
      </w:r>
    </w:p>
    <w:p w14:paraId="194EA73F" w14:textId="77777777" w:rsidR="00CD0F1F" w:rsidRPr="006E13D4" w:rsidRDefault="00CD0F1F" w:rsidP="00CD0F1F">
      <w:pPr>
        <w:numPr>
          <w:ilvl w:val="0"/>
          <w:numId w:val="127"/>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ما مدى وعي القائمين على المشاريع الإنشائية في المملكة بمفاهيم الاستدامة وتطبيقاتها؟</w:t>
      </w:r>
    </w:p>
    <w:p w14:paraId="7972D940" w14:textId="77777777" w:rsidR="00CD0F1F" w:rsidRPr="006E13D4" w:rsidRDefault="00CD0F1F" w:rsidP="00CD0F1F">
      <w:pPr>
        <w:numPr>
          <w:ilvl w:val="0"/>
          <w:numId w:val="127"/>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ما هي المعوقات المؤسسية والتنفيذية التي تحد من دمج الاستدامة في إدارة المشاريع الإنشائية؟</w:t>
      </w:r>
    </w:p>
    <w:p w14:paraId="46056363" w14:textId="77777777" w:rsidR="00CD0F1F" w:rsidRPr="006E13D4" w:rsidRDefault="00CD0F1F" w:rsidP="00CD0F1F">
      <w:pPr>
        <w:numPr>
          <w:ilvl w:val="0"/>
          <w:numId w:val="127"/>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ما الدور الذي يمكن أن تلعبه السياسات الحكومية والحوكمة في تسهيل دمج ممارسات الاستدامة؟</w:t>
      </w:r>
    </w:p>
    <w:p w14:paraId="57C29F9C" w14:textId="77777777" w:rsidR="00CD0F1F" w:rsidRPr="006E13D4" w:rsidRDefault="00CD0F1F" w:rsidP="00CD0F1F">
      <w:pPr>
        <w:numPr>
          <w:ilvl w:val="0"/>
          <w:numId w:val="127"/>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ما هي الاستراتيجيات والفرص التي يُمكن استثمارها لتعزيز هذا الدمج في القطاع الإنشائي؟</w:t>
      </w:r>
    </w:p>
    <w:p w14:paraId="60720AEC"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1219E51E"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6775A2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2BCA9B7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16BA92B3"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E9AA38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1082C12" w14:textId="77777777" w:rsidR="00CD0F1F" w:rsidRDefault="00CD0F1F" w:rsidP="00CD0F1F">
      <w:pPr>
        <w:spacing w:line="360" w:lineRule="auto"/>
        <w:outlineLvl w:val="0"/>
        <w:rPr>
          <w:rFonts w:ascii="Traditional Arabic" w:eastAsia="Sakkal Majalla" w:hAnsi="Traditional Arabic" w:cs="Traditional Arabic"/>
          <w:sz w:val="28"/>
          <w:szCs w:val="28"/>
          <w:u w:val="single"/>
          <w:rtl/>
        </w:rPr>
      </w:pPr>
      <w:bookmarkStart w:id="6" w:name="_Toc203357715"/>
    </w:p>
    <w:p w14:paraId="38DDDEBD" w14:textId="6E81B4F6"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r w:rsidRPr="006E13D4">
        <w:rPr>
          <w:rFonts w:ascii="Traditional Arabic" w:eastAsia="Sakkal Majalla" w:hAnsi="Traditional Arabic" w:cs="Traditional Arabic" w:hint="cs"/>
          <w:b/>
          <w:bCs/>
          <w:sz w:val="32"/>
          <w:szCs w:val="32"/>
          <w:u w:val="single"/>
          <w:rtl/>
        </w:rPr>
        <w:lastRenderedPageBreak/>
        <w:t>فروض الدراسة</w:t>
      </w:r>
      <w:bookmarkEnd w:id="6"/>
    </w:p>
    <w:p w14:paraId="32B6DAA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استنادًا إلى مشكلة الدراسة وأهدافها، يتم وضع مجموعة من الفروض التي سيتم اختبارها من خلال التحليل والدراسة الميدانية، وتشمل</w:t>
      </w:r>
      <w:r w:rsidRPr="006E13D4">
        <w:rPr>
          <w:rFonts w:ascii="Traditional Arabic" w:eastAsia="Sakkal Majalla" w:hAnsi="Traditional Arabic" w:cs="Traditional Arabic" w:hint="cs"/>
          <w:sz w:val="28"/>
          <w:szCs w:val="28"/>
        </w:rPr>
        <w:t>:</w:t>
      </w:r>
    </w:p>
    <w:p w14:paraId="2BEF9C14"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الأول</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هناك علاقة إيجابية ذات دلالة إحصائية بين تنظيم المشاريع وتحسين الأداء المؤسسي في قطاع الأعمال السعودي</w:t>
      </w:r>
      <w:r w:rsidRPr="006E13D4">
        <w:rPr>
          <w:rFonts w:ascii="Traditional Arabic" w:eastAsia="Sakkal Majalla" w:hAnsi="Traditional Arabic" w:cs="Traditional Arabic" w:hint="cs"/>
          <w:sz w:val="28"/>
          <w:szCs w:val="28"/>
        </w:rPr>
        <w:t>.</w:t>
      </w:r>
    </w:p>
    <w:p w14:paraId="22436975"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الثاني</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التنظيم الجيد للمشاريع يسهم في رفع جودة المنتجات والخدمات المقدمة من قبل المؤسسات</w:t>
      </w:r>
      <w:r w:rsidRPr="006E13D4">
        <w:rPr>
          <w:rFonts w:ascii="Traditional Arabic" w:eastAsia="Sakkal Majalla" w:hAnsi="Traditional Arabic" w:cs="Traditional Arabic" w:hint="cs"/>
          <w:sz w:val="28"/>
          <w:szCs w:val="28"/>
        </w:rPr>
        <w:t>.</w:t>
      </w:r>
    </w:p>
    <w:p w14:paraId="0F317E34"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الثالث</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ضعف التخطيط المسبق وسوء توزيع الموارد يؤثران سلبًا على الأداء والجودة في المؤسسات</w:t>
      </w:r>
      <w:r w:rsidRPr="006E13D4">
        <w:rPr>
          <w:rFonts w:ascii="Traditional Arabic" w:eastAsia="Sakkal Majalla" w:hAnsi="Traditional Arabic" w:cs="Traditional Arabic" w:hint="cs"/>
          <w:sz w:val="28"/>
          <w:szCs w:val="28"/>
        </w:rPr>
        <w:t>.</w:t>
      </w:r>
    </w:p>
    <w:p w14:paraId="78C35C6A"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الرابع</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تبني استراتيجيات تنظيم فعالة يساعد في تقليل المخاطر التشغيلية وزيادة كفاءة تنفيذ المشاريع</w:t>
      </w:r>
      <w:r w:rsidRPr="006E13D4">
        <w:rPr>
          <w:rFonts w:ascii="Traditional Arabic" w:eastAsia="Sakkal Majalla" w:hAnsi="Traditional Arabic" w:cs="Traditional Arabic" w:hint="cs"/>
          <w:sz w:val="28"/>
          <w:szCs w:val="28"/>
        </w:rPr>
        <w:t>.</w:t>
      </w:r>
    </w:p>
    <w:p w14:paraId="79BD524E"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الخامس</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استخدام التكنولوجيا الحديثة في إدارة المشاريع يعزز من تنظيمها ويحسن من جودتها بشكل ملحوظ</w:t>
      </w:r>
      <w:r w:rsidRPr="006E13D4">
        <w:rPr>
          <w:rFonts w:ascii="Traditional Arabic" w:eastAsia="Sakkal Majalla" w:hAnsi="Traditional Arabic" w:cs="Traditional Arabic" w:hint="cs"/>
          <w:sz w:val="28"/>
          <w:szCs w:val="28"/>
        </w:rPr>
        <w:t>.</w:t>
      </w:r>
    </w:p>
    <w:p w14:paraId="6F0B67A7" w14:textId="77777777" w:rsidR="00CD0F1F" w:rsidRPr="006E13D4" w:rsidRDefault="00CD0F1F" w:rsidP="00CD0F1F">
      <w:pPr>
        <w:numPr>
          <w:ilvl w:val="0"/>
          <w:numId w:val="73"/>
        </w:num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b/>
          <w:bCs/>
          <w:sz w:val="28"/>
          <w:szCs w:val="28"/>
          <w:rtl/>
        </w:rPr>
        <w:t>الفرض السادس</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sz w:val="28"/>
          <w:szCs w:val="28"/>
          <w:rtl/>
        </w:rPr>
        <w:t>نقص الكفاءات الإدارية يعد من أبرز التحديات التي تواجه تنظيم المشاريع في المملكة العربية السعودية</w:t>
      </w:r>
      <w:r w:rsidRPr="006E13D4">
        <w:rPr>
          <w:rFonts w:ascii="Traditional Arabic" w:eastAsia="Sakkal Majalla" w:hAnsi="Traditional Arabic" w:cs="Traditional Arabic" w:hint="cs"/>
          <w:sz w:val="28"/>
          <w:szCs w:val="28"/>
        </w:rPr>
        <w:t>.</w:t>
      </w:r>
    </w:p>
    <w:p w14:paraId="23947279"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10F848BA"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200AC6F6"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587F9878"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320909EA" w14:textId="77777777" w:rsidR="00CD0F1F" w:rsidRDefault="00CD0F1F" w:rsidP="00CD0F1F">
      <w:pPr>
        <w:spacing w:line="360" w:lineRule="auto"/>
        <w:rPr>
          <w:rFonts w:ascii="Traditional Arabic" w:eastAsia="Sakkal Majalla" w:hAnsi="Traditional Arabic" w:cs="Traditional Arabic"/>
          <w:sz w:val="28"/>
          <w:szCs w:val="28"/>
          <w:rtl/>
        </w:rPr>
      </w:pPr>
    </w:p>
    <w:p w14:paraId="62B61BE3"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1FCE1314"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3FBE9B2A"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r w:rsidRPr="006E13D4">
        <w:rPr>
          <w:rFonts w:ascii="Traditional Arabic" w:hAnsi="Traditional Arabic" w:cs="Traditional Arabic" w:hint="cs"/>
          <w:rtl/>
        </w:rPr>
        <w:lastRenderedPageBreak/>
        <w:t xml:space="preserve"> </w:t>
      </w:r>
      <w:bookmarkStart w:id="7" w:name="_Toc203357716"/>
      <w:r w:rsidRPr="006E13D4">
        <w:rPr>
          <w:rFonts w:ascii="Traditional Arabic" w:eastAsia="Sakkal Majalla" w:hAnsi="Traditional Arabic" w:cs="Traditional Arabic" w:hint="cs"/>
          <w:b/>
          <w:bCs/>
          <w:sz w:val="32"/>
          <w:szCs w:val="32"/>
          <w:u w:val="single"/>
          <w:rtl/>
        </w:rPr>
        <w:t xml:space="preserve">النظريات العلمية </w:t>
      </w:r>
      <w:proofErr w:type="gramStart"/>
      <w:r w:rsidRPr="006E13D4">
        <w:rPr>
          <w:rFonts w:ascii="Traditional Arabic" w:eastAsia="Sakkal Majalla" w:hAnsi="Traditional Arabic" w:cs="Traditional Arabic" w:hint="cs"/>
          <w:b/>
          <w:bCs/>
          <w:sz w:val="32"/>
          <w:szCs w:val="32"/>
          <w:u w:val="single"/>
          <w:rtl/>
        </w:rPr>
        <w:t>المتبعة  لإعداد</w:t>
      </w:r>
      <w:proofErr w:type="gramEnd"/>
      <w:r w:rsidRPr="006E13D4">
        <w:rPr>
          <w:rFonts w:ascii="Traditional Arabic" w:eastAsia="Sakkal Majalla" w:hAnsi="Traditional Arabic" w:cs="Traditional Arabic" w:hint="cs"/>
          <w:b/>
          <w:bCs/>
          <w:sz w:val="32"/>
          <w:szCs w:val="32"/>
          <w:u w:val="single"/>
          <w:rtl/>
        </w:rPr>
        <w:t xml:space="preserve"> البحث</w:t>
      </w:r>
      <w:bookmarkEnd w:id="7"/>
    </w:p>
    <w:p w14:paraId="0E537D3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يعتمد هذا البحث على مجموعة من الأطر النظرية والنماذج الفكرية التي تتقاطع في جوهرها مع مفاهيم الاستدامة وإدارة المشاريع والحوكمة المؤسسية والإفصاح، بما يُعزز من </w:t>
      </w:r>
      <w:proofErr w:type="gramStart"/>
      <w:r w:rsidRPr="006E13D4">
        <w:rPr>
          <w:rFonts w:ascii="Traditional Arabic" w:eastAsia="Sakkal Majalla" w:hAnsi="Traditional Arabic" w:cs="Traditional Arabic" w:hint="cs"/>
          <w:sz w:val="28"/>
          <w:szCs w:val="28"/>
          <w:rtl/>
        </w:rPr>
        <w:t>القدرة  على</w:t>
      </w:r>
      <w:proofErr w:type="gramEnd"/>
      <w:r w:rsidRPr="006E13D4">
        <w:rPr>
          <w:rFonts w:ascii="Traditional Arabic" w:eastAsia="Sakkal Majalla" w:hAnsi="Traditional Arabic" w:cs="Traditional Arabic" w:hint="cs"/>
          <w:sz w:val="28"/>
          <w:szCs w:val="28"/>
          <w:rtl/>
        </w:rPr>
        <w:t xml:space="preserve"> فهم التحديات والفرص المتعلقة بدمج ممارسات الاستدامة في إدارة المشاريع الإنشائية في المملكة العربية السعودية. وقد تم اختيار هذه النظريات بناءً على مدى ارتباطها بطبيعة المشكلة البحثية وأهدافها، وعلى قدرتها التفسيرية العالية في تحليل الظواهر المعقدة التي تجمع بين الإدارة والتنمية المستدامة والمساءلة المؤسسية</w:t>
      </w:r>
      <w:r w:rsidRPr="006E13D4">
        <w:rPr>
          <w:rFonts w:ascii="Traditional Arabic" w:eastAsia="Sakkal Majalla" w:hAnsi="Traditional Arabic" w:cs="Traditional Arabic" w:hint="cs"/>
          <w:sz w:val="28"/>
          <w:szCs w:val="28"/>
        </w:rPr>
        <w:t>.</w:t>
      </w:r>
    </w:p>
    <w:p w14:paraId="33F864FA"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أولاً: النظرية المؤسسية</w:t>
      </w:r>
      <w:r w:rsidRPr="006E13D4">
        <w:rPr>
          <w:rFonts w:ascii="Traditional Arabic" w:eastAsia="Sakkal Majalla" w:hAnsi="Traditional Arabic" w:cs="Traditional Arabic" w:hint="cs"/>
          <w:b/>
          <w:bCs/>
          <w:sz w:val="28"/>
          <w:szCs w:val="28"/>
        </w:rPr>
        <w:t xml:space="preserve"> (Institutional Theory)</w:t>
      </w:r>
    </w:p>
    <w:p w14:paraId="5B46A02A"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تُعد النظرية المؤسسية من أبرز الأطر النظرية التي استخدمها الباحثون في تفسير سلوك المنظمات عند تبني ممارسات الاستدامة. وتشير هذه النظرية إلى أن القرارات التنظيمية لا تستند فقط إلى اعتبارات الكفاءة أو المنفعة الاقتصادية، بل تتأثر أيضًا بالضغوط المؤسسية الخارجية مثل المتطلبات الحكومية، وتوقعات المجتمع، وضغوط أصحاب المصلحة، والسعي نحو الشرعية (العلم، 2018). وفي سياق المشاريع الإنشائية، يمكن فهم تبني الاستدامة كاستجابة لضغوط مؤسسية تفرضها البيئة التنظيمية، خاصة في ظل السياسات الوطنية التي تشجع على التنمية المستدامة</w:t>
      </w:r>
      <w:r w:rsidRPr="006E13D4">
        <w:rPr>
          <w:rFonts w:ascii="Traditional Arabic" w:eastAsia="Sakkal Majalla" w:hAnsi="Traditional Arabic" w:cs="Traditional Arabic" w:hint="cs"/>
          <w:sz w:val="28"/>
          <w:szCs w:val="28"/>
        </w:rPr>
        <w:t>.</w:t>
      </w:r>
    </w:p>
    <w:p w14:paraId="3F7B40D4"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إن النظرية المؤسسية تساعد على فهم لماذا تتبنى بعض المؤسسات ممارسات الاستدامة بصورة شكلية، دون التزام فعلي أو تأثير ملموس على العمليات، وهي ما يُعرف </w:t>
      </w:r>
      <w:proofErr w:type="gramStart"/>
      <w:r w:rsidRPr="006E13D4">
        <w:rPr>
          <w:rFonts w:ascii="Traditional Arabic" w:eastAsia="Sakkal Majalla" w:hAnsi="Traditional Arabic" w:cs="Traditional Arabic" w:hint="cs"/>
          <w:sz w:val="28"/>
          <w:szCs w:val="28"/>
          <w:rtl/>
        </w:rPr>
        <w:t>بـ"</w:t>
      </w:r>
      <w:proofErr w:type="gramEnd"/>
      <w:r w:rsidRPr="006E13D4">
        <w:rPr>
          <w:rFonts w:ascii="Traditional Arabic" w:eastAsia="Sakkal Majalla" w:hAnsi="Traditional Arabic" w:cs="Traditional Arabic" w:hint="cs"/>
          <w:sz w:val="28"/>
          <w:szCs w:val="28"/>
          <w:rtl/>
        </w:rPr>
        <w:t>الامتثال الرمزي"، حيث تسعى الشركات إلى إظهار التوافق مع المعايير المتوقعة دون تغيير جوهري في أنظمتها الداخلية (المطيري، 2022). وبالتالي، توفر هذه النظرية إطارًا مناسبًا لتحليل أسباب ضعف دمج الاستدامة في المشاريع الإنشائية، رغم الخطاب الرسمي الداعم لها</w:t>
      </w:r>
      <w:r w:rsidRPr="006E13D4">
        <w:rPr>
          <w:rFonts w:ascii="Traditional Arabic" w:eastAsia="Sakkal Majalla" w:hAnsi="Traditional Arabic" w:cs="Traditional Arabic" w:hint="cs"/>
          <w:sz w:val="28"/>
          <w:szCs w:val="28"/>
        </w:rPr>
        <w:t>.</w:t>
      </w:r>
    </w:p>
    <w:p w14:paraId="7672C91F"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ثانيًا: نظرية أصحاب المصلحة</w:t>
      </w:r>
      <w:r w:rsidRPr="006E13D4">
        <w:rPr>
          <w:rFonts w:ascii="Traditional Arabic" w:eastAsia="Sakkal Majalla" w:hAnsi="Traditional Arabic" w:cs="Traditional Arabic" w:hint="cs"/>
          <w:b/>
          <w:bCs/>
          <w:sz w:val="28"/>
          <w:szCs w:val="28"/>
        </w:rPr>
        <w:t xml:space="preserve"> (Stakeholder Theory)</w:t>
      </w:r>
    </w:p>
    <w:p w14:paraId="2C9AAEB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تُعتبر نظرية أصحاب المصلحة من النظريات المركزية في فهم العلاقة بين المنظمات والبيئة المحيطة بها، خاصة في ظل تعاظم دور المسؤولية الاجتماعية ومفاهيم الاستدامة في العمل المؤسسي. وتفترض هذه النظرية أن المؤسسة لا توجد بمعزل عن المجتمع، وأن نجاحها يعتمد </w:t>
      </w:r>
      <w:r w:rsidRPr="006E13D4">
        <w:rPr>
          <w:rFonts w:ascii="Traditional Arabic" w:eastAsia="Sakkal Majalla" w:hAnsi="Traditional Arabic" w:cs="Traditional Arabic" w:hint="cs"/>
          <w:sz w:val="28"/>
          <w:szCs w:val="28"/>
          <w:rtl/>
        </w:rPr>
        <w:lastRenderedPageBreak/>
        <w:t>على قدرتها في تلبية توقعات واحتياجات مجموعة متنوعة من الأطراف المعنية مثل العملاء، الموظفين، المستثمرين، المجتمع المحلي، والجهات التنظيمية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tl/>
        </w:rPr>
        <w:t>، 2014)</w:t>
      </w:r>
      <w:r w:rsidRPr="006E13D4">
        <w:rPr>
          <w:rFonts w:ascii="Traditional Arabic" w:eastAsia="Sakkal Majalla" w:hAnsi="Traditional Arabic" w:cs="Traditional Arabic" w:hint="cs"/>
          <w:sz w:val="28"/>
          <w:szCs w:val="28"/>
        </w:rPr>
        <w:t>.</w:t>
      </w:r>
    </w:p>
    <w:p w14:paraId="452E4188"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وتبرز أهمية هذه النظرية في سياق البحث الحالي في كونها تقدم تفسيرًا للتحديات التي تواجه المؤسسات عند محاولتها إرضاء عدد كبير من أصحاب المصلحة، والوفاء بمتطلبات متعارضة أحيانًا، لا سيما في قطاع البناء الذي يتسم بتعدد الأطراف وتداخل الأدوار. ومن هنا، فإن نظرية أصحاب المصلحة تُمكّنني من تحليل مدى قدرة المشاريع الإنشائية على تحقيق التوازن بين متطلبات الكفاءة الاقتصادية والعدالة الاجتماعية والحفاظ على البيئة</w:t>
      </w:r>
      <w:r w:rsidRPr="006E13D4">
        <w:rPr>
          <w:rFonts w:ascii="Traditional Arabic" w:eastAsia="Sakkal Majalla" w:hAnsi="Traditional Arabic" w:cs="Traditional Arabic" w:hint="cs"/>
          <w:sz w:val="28"/>
          <w:szCs w:val="28"/>
        </w:rPr>
        <w:t>.</w:t>
      </w:r>
    </w:p>
    <w:p w14:paraId="1A94D314"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ثالثًا: نظرية الحوكمة المؤسسية</w:t>
      </w:r>
      <w:r w:rsidRPr="006E13D4">
        <w:rPr>
          <w:rFonts w:ascii="Traditional Arabic" w:eastAsia="Sakkal Majalla" w:hAnsi="Traditional Arabic" w:cs="Traditional Arabic" w:hint="cs"/>
          <w:b/>
          <w:bCs/>
          <w:sz w:val="28"/>
          <w:szCs w:val="28"/>
        </w:rPr>
        <w:t xml:space="preserve"> (Corporate Governance Theory)</w:t>
      </w:r>
    </w:p>
    <w:p w14:paraId="5A72637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تُعد الحوكمة المؤسسية من المكونات الأساسية التي تؤثر على قدرة المؤسسات في تطبيق ممارسات الاستدامة بشكل فعال. وتركز هذه النظرية على العلاقة بين الإدارة والمساهمين وأصحاب المصلحة، وعلى الآليات التي تضمن الشفافية والمساءلة واتخاذ قرارات رشيدة. وتشير الدراسات إلى أن وجود نظام حوكمة قوي يُسهم في تحسين جودة التقارير المالية وغير المالية، ويُعزز من التزام المؤسسات بالإفصاح عن ممارساتها البيئية والاجتماعية (المطيري، 2022)</w:t>
      </w:r>
      <w:r w:rsidRPr="006E13D4">
        <w:rPr>
          <w:rFonts w:ascii="Traditional Arabic" w:eastAsia="Sakkal Majalla" w:hAnsi="Traditional Arabic" w:cs="Traditional Arabic" w:hint="cs"/>
          <w:sz w:val="28"/>
          <w:szCs w:val="28"/>
        </w:rPr>
        <w:t>.</w:t>
      </w:r>
    </w:p>
    <w:p w14:paraId="715F4EE1"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المشاريع الإنشائية، تتجلى أهمية الحوكمة في قدرتها على توجيه عمليات اتخاذ القرار، وتنظيم العلاقات بين الجهات المنفذة والممولة والرقابية، بما يُسهم في الحد من الفساد وسوء الإدارة. وقد أشار عبد العال وخليل ومحمود (2023) إلى أن الإفصاح عن تقارير الاستدامة يتأثر بشكل مباشر بمستوى الحوكمة المؤسسية، مما يجعل من هذه النظرية إطارًا مناسبًا لفهم ضعف التقارير أو التزامها الجزئي في كثير من المشاريع ذات الطابع التقليدي</w:t>
      </w:r>
      <w:r w:rsidRPr="006E13D4">
        <w:rPr>
          <w:rFonts w:ascii="Traditional Arabic" w:eastAsia="Sakkal Majalla" w:hAnsi="Traditional Arabic" w:cs="Traditional Arabic" w:hint="cs"/>
          <w:sz w:val="28"/>
          <w:szCs w:val="28"/>
        </w:rPr>
        <w:t>.</w:t>
      </w:r>
    </w:p>
    <w:p w14:paraId="70620ED6"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رابعًا: نظرية الإفصاح الطوعي</w:t>
      </w:r>
      <w:r w:rsidRPr="006E13D4">
        <w:rPr>
          <w:rFonts w:ascii="Traditional Arabic" w:eastAsia="Sakkal Majalla" w:hAnsi="Traditional Arabic" w:cs="Traditional Arabic" w:hint="cs"/>
          <w:b/>
          <w:bCs/>
          <w:sz w:val="28"/>
          <w:szCs w:val="28"/>
        </w:rPr>
        <w:t xml:space="preserve"> (Voluntary Disclosure Theory)</w:t>
      </w:r>
    </w:p>
    <w:p w14:paraId="7CE026B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تُركز هذه النظرية على تحليل العوامل التي تدفع المؤسسات إلى تقديم معلومات إضافية تفوق المتطلبات التنظيمية، خاصة في مجالات مثل تقارير الاستدامة والمساءلة الاجتماعية. وتفترض النظرية أن المؤسسات التي تسعى إلى تعزيز صورتها الذهنية وتقوية ثقة المستثمرين تميل إلى الإفصاح الطوعي عن أنشطتها البيئية والاجتماعية، حتى وإن لم تكن ملزمة بذلك قانونيًا (فرج، 2017)</w:t>
      </w:r>
      <w:r w:rsidRPr="006E13D4">
        <w:rPr>
          <w:rFonts w:ascii="Traditional Arabic" w:eastAsia="Sakkal Majalla" w:hAnsi="Traditional Arabic" w:cs="Traditional Arabic" w:hint="cs"/>
          <w:sz w:val="28"/>
          <w:szCs w:val="28"/>
        </w:rPr>
        <w:t>.</w:t>
      </w:r>
    </w:p>
    <w:p w14:paraId="3E3B42B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ويُفيد استخدام هذه النظرية في البحث الحالي في تحليل أسباب تباين مستوى الإفصاح بين مشروع وآخر، حتى داخل السياق المحلي الواحد، إذ إن بعض الشركات قد تتبنى ممارسات استدامة حقيقية ولكن لا تفصح عنها، بينما تقوم شركات أخرى بالإفصاح دون تنفيذ فعلي. كما تساعد النظرية على فهم العلاقة بين الإفصاح وثقة أصحاب المصلحة في المشروع، خاصة عند طلب التمويل أو منح التراخيص</w:t>
      </w:r>
      <w:r w:rsidRPr="006E13D4">
        <w:rPr>
          <w:rFonts w:ascii="Traditional Arabic" w:eastAsia="Sakkal Majalla" w:hAnsi="Traditional Arabic" w:cs="Traditional Arabic" w:hint="cs"/>
          <w:sz w:val="28"/>
          <w:szCs w:val="28"/>
        </w:rPr>
        <w:t>.</w:t>
      </w:r>
    </w:p>
    <w:p w14:paraId="027BD595"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خامسًا: إطار المبادرة العالمية لإعداد التقارير</w:t>
      </w:r>
      <w:r w:rsidRPr="006E13D4">
        <w:rPr>
          <w:rFonts w:ascii="Traditional Arabic" w:eastAsia="Sakkal Majalla" w:hAnsi="Traditional Arabic" w:cs="Traditional Arabic" w:hint="cs"/>
          <w:b/>
          <w:bCs/>
          <w:sz w:val="28"/>
          <w:szCs w:val="28"/>
        </w:rPr>
        <w:t xml:space="preserve"> (GRI Framework)</w:t>
      </w:r>
    </w:p>
    <w:p w14:paraId="63BD59D8"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رغم أن المبادرة العالمية لإعداد التقارير</w:t>
      </w:r>
      <w:r w:rsidRPr="006E13D4">
        <w:rPr>
          <w:rFonts w:ascii="Traditional Arabic" w:eastAsia="Sakkal Majalla" w:hAnsi="Traditional Arabic" w:cs="Traditional Arabic" w:hint="cs"/>
          <w:sz w:val="28"/>
          <w:szCs w:val="28"/>
        </w:rPr>
        <w:t xml:space="preserve"> (GRI) </w:t>
      </w:r>
      <w:r w:rsidRPr="006E13D4">
        <w:rPr>
          <w:rFonts w:ascii="Traditional Arabic" w:eastAsia="Sakkal Majalla" w:hAnsi="Traditional Arabic" w:cs="Traditional Arabic" w:hint="cs"/>
          <w:sz w:val="28"/>
          <w:szCs w:val="28"/>
          <w:rtl/>
        </w:rPr>
        <w:t>ليست نظرية بالمعنى التقليدي، إلا أنها تُعد إطارًا مرجعيًا مهمًا لتطبيق مفاهيم الاستدامة في المؤسسات. ويُعد هذا الإطار من أكثر المعايير استخدامًا في إعداد تقارير الاستدامة عالميًا، حيث يُحدد مجموعة من المؤشرات القابلة للقياس لتقييم الأداء البيئي والاجتماعي والاقتصادي للمؤسسة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tl/>
        </w:rPr>
        <w:t>، 2014). ويساعد هذا الإطار في إضفاء الطابع المنهجي على عمليات الإفصاح، ويُوفر قاعدة مقارنة معيارية بين المشاريع المختلفة</w:t>
      </w:r>
      <w:r w:rsidRPr="006E13D4">
        <w:rPr>
          <w:rFonts w:ascii="Traditional Arabic" w:eastAsia="Sakkal Majalla" w:hAnsi="Traditional Arabic" w:cs="Traditional Arabic" w:hint="cs"/>
          <w:sz w:val="28"/>
          <w:szCs w:val="28"/>
        </w:rPr>
        <w:t>.</w:t>
      </w:r>
    </w:p>
    <w:p w14:paraId="722C8D75"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سياق البحث، يُستخدم إطار</w:t>
      </w:r>
      <w:r w:rsidRPr="006E13D4">
        <w:rPr>
          <w:rFonts w:ascii="Traditional Arabic" w:eastAsia="Sakkal Majalla" w:hAnsi="Traditional Arabic" w:cs="Traditional Arabic" w:hint="cs"/>
          <w:sz w:val="28"/>
          <w:szCs w:val="28"/>
        </w:rPr>
        <w:t xml:space="preserve"> GRI </w:t>
      </w:r>
      <w:r w:rsidRPr="006E13D4">
        <w:rPr>
          <w:rFonts w:ascii="Traditional Arabic" w:eastAsia="Sakkal Majalla" w:hAnsi="Traditional Arabic" w:cs="Traditional Arabic" w:hint="cs"/>
          <w:sz w:val="28"/>
          <w:szCs w:val="28"/>
          <w:rtl/>
        </w:rPr>
        <w:t>كمصدر للمقارنة في تحليل مدى التزام المشاريع الإنشائية في المملكة بمعايير الاستدامة الدولية، كما يُعد أداة لتقييم كفاءة تقارير الاستدامة وجودتها عند توفرها. ويمكن استخدام هذا الإطار لتحليل التحديات التي تمنع المشاريع من الالتزام الكامل به، مثل نقص البيانات أو ضعف آليات التتبع والتقييم</w:t>
      </w:r>
      <w:r w:rsidRPr="006E13D4">
        <w:rPr>
          <w:rFonts w:ascii="Traditional Arabic" w:eastAsia="Sakkal Majalla" w:hAnsi="Traditional Arabic" w:cs="Traditional Arabic" w:hint="cs"/>
          <w:sz w:val="28"/>
          <w:szCs w:val="28"/>
        </w:rPr>
        <w:t>.</w:t>
      </w:r>
    </w:p>
    <w:p w14:paraId="323BB81E" w14:textId="77777777" w:rsidR="00CD0F1F" w:rsidRPr="006E13D4" w:rsidRDefault="00CD0F1F" w:rsidP="00CD0F1F">
      <w:pPr>
        <w:spacing w:line="360" w:lineRule="auto"/>
        <w:rPr>
          <w:rFonts w:ascii="Traditional Arabic" w:eastAsia="Sakkal Majalla" w:hAnsi="Traditional Arabic" w:cs="Traditional Arabic" w:hint="cs"/>
          <w:b/>
          <w:bCs/>
          <w:sz w:val="28"/>
          <w:szCs w:val="28"/>
          <w:rtl/>
        </w:rPr>
      </w:pPr>
    </w:p>
    <w:p w14:paraId="38131F0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يمكن القول إن النظريات التي يعتمد عليها هذا البحث تُشكل منظومة تحليلية متكاملة تسمح بفهم عميق وشامل لموضوع الدراسة. فالنظرية المؤسسية تفسر تأثير البيئة الخارجية على سلوك المؤسسة، بينما تُبرز نظرية أصحاب المصلحة أهمية تعدد المطالب، وتوضح نظرية الحوكمة أبعاد الشفافية والمساءلة، وتفسر نظرية الإفصاح الطوعي دوافع الإعلان عن ممارسات الاستدامة، ويُقدم إطار</w:t>
      </w:r>
      <w:r w:rsidRPr="006E13D4">
        <w:rPr>
          <w:rFonts w:ascii="Traditional Arabic" w:eastAsia="Sakkal Majalla" w:hAnsi="Traditional Arabic" w:cs="Traditional Arabic" w:hint="cs"/>
          <w:sz w:val="28"/>
          <w:szCs w:val="28"/>
        </w:rPr>
        <w:t xml:space="preserve"> GRI </w:t>
      </w:r>
      <w:r w:rsidRPr="006E13D4">
        <w:rPr>
          <w:rFonts w:ascii="Traditional Arabic" w:eastAsia="Sakkal Majalla" w:hAnsi="Traditional Arabic" w:cs="Traditional Arabic" w:hint="cs"/>
          <w:sz w:val="28"/>
          <w:szCs w:val="28"/>
          <w:rtl/>
        </w:rPr>
        <w:t xml:space="preserve">مرجعية عملية لتقييم الأداء. إن دمج هذه الأطر النظرية </w:t>
      </w:r>
      <w:proofErr w:type="spellStart"/>
      <w:r w:rsidRPr="006E13D4">
        <w:rPr>
          <w:rFonts w:ascii="Traditional Arabic" w:eastAsia="Sakkal Majalla" w:hAnsi="Traditional Arabic" w:cs="Traditional Arabic" w:hint="cs"/>
          <w:sz w:val="28"/>
          <w:szCs w:val="28"/>
          <w:rtl/>
        </w:rPr>
        <w:t>ييساعدني</w:t>
      </w:r>
      <w:proofErr w:type="spellEnd"/>
      <w:r w:rsidRPr="006E13D4">
        <w:rPr>
          <w:rFonts w:ascii="Traditional Arabic" w:eastAsia="Sakkal Majalla" w:hAnsi="Traditional Arabic" w:cs="Traditional Arabic" w:hint="cs"/>
          <w:sz w:val="28"/>
          <w:szCs w:val="28"/>
          <w:rtl/>
        </w:rPr>
        <w:t xml:space="preserve"> من تناول موضوع دمج ممارسات الاستدامة في المشاريع الإنشائية من زوايا متعددة، ويُعزز من مصداقية النتائج والتوصيات التي سيتوصل إليها</w:t>
      </w:r>
      <w:r w:rsidRPr="006E13D4">
        <w:rPr>
          <w:rFonts w:ascii="Traditional Arabic" w:eastAsia="Sakkal Majalla" w:hAnsi="Traditional Arabic" w:cs="Traditional Arabic" w:hint="cs"/>
          <w:sz w:val="28"/>
          <w:szCs w:val="28"/>
        </w:rPr>
        <w:t>.</w:t>
      </w:r>
    </w:p>
    <w:p w14:paraId="509B32D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6CFABC12"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6A0DE770"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Pr>
      </w:pPr>
    </w:p>
    <w:p w14:paraId="327498EB"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Pr>
      </w:pPr>
    </w:p>
    <w:p w14:paraId="3E1B320F"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Pr>
      </w:pPr>
    </w:p>
    <w:p w14:paraId="345C3640"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tl/>
        </w:rPr>
      </w:pPr>
    </w:p>
    <w:p w14:paraId="509A160F"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tl/>
        </w:rPr>
      </w:pPr>
    </w:p>
    <w:p w14:paraId="424D0B00"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tl/>
        </w:rPr>
      </w:pPr>
    </w:p>
    <w:p w14:paraId="20ABD8C4" w14:textId="77777777" w:rsidR="00CD0F1F" w:rsidRPr="006E13D4" w:rsidRDefault="00CD0F1F" w:rsidP="00CD0F1F">
      <w:pPr>
        <w:spacing w:line="360" w:lineRule="auto"/>
        <w:rPr>
          <w:rFonts w:ascii="Traditional Arabic" w:eastAsia="Sakkal Majalla" w:hAnsi="Traditional Arabic" w:cs="Traditional Arabic" w:hint="cs"/>
          <w:b/>
          <w:sz w:val="28"/>
          <w:szCs w:val="28"/>
          <w:u w:val="single"/>
        </w:rPr>
      </w:pPr>
    </w:p>
    <w:p w14:paraId="7BA7A1E7" w14:textId="77777777" w:rsidR="00CD0F1F" w:rsidRPr="006E13D4" w:rsidRDefault="00CD0F1F" w:rsidP="00CD0F1F">
      <w:pPr>
        <w:spacing w:line="360" w:lineRule="auto"/>
        <w:jc w:val="center"/>
        <w:rPr>
          <w:rFonts w:ascii="Traditional Arabic" w:eastAsia="Sakkal Majalla" w:hAnsi="Traditional Arabic" w:cs="Traditional Arabic" w:hint="cs"/>
          <w:b/>
          <w:sz w:val="28"/>
          <w:szCs w:val="28"/>
          <w:u w:val="single"/>
        </w:rPr>
      </w:pPr>
    </w:p>
    <w:p w14:paraId="68FB1ECA" w14:textId="77777777" w:rsidR="00CD0F1F" w:rsidRPr="006E13D4" w:rsidRDefault="00CD0F1F" w:rsidP="00CD0F1F">
      <w:pPr>
        <w:spacing w:line="360" w:lineRule="auto"/>
        <w:jc w:val="center"/>
        <w:outlineLvl w:val="0"/>
        <w:rPr>
          <w:rFonts w:ascii="Traditional Arabic" w:eastAsia="Sakkal Majalla" w:hAnsi="Traditional Arabic" w:cs="Traditional Arabic" w:hint="cs"/>
          <w:bCs/>
          <w:sz w:val="80"/>
          <w:szCs w:val="80"/>
        </w:rPr>
      </w:pPr>
      <w:bookmarkStart w:id="8" w:name="_Toc203357717"/>
      <w:r w:rsidRPr="006E13D4">
        <w:rPr>
          <w:rFonts w:ascii="Traditional Arabic" w:eastAsia="Sakkal Majalla" w:hAnsi="Traditional Arabic" w:cs="Traditional Arabic" w:hint="cs"/>
          <w:bCs/>
          <w:sz w:val="80"/>
          <w:szCs w:val="80"/>
          <w:rtl/>
        </w:rPr>
        <w:t>الفصل الثاني</w:t>
      </w:r>
      <w:bookmarkEnd w:id="8"/>
    </w:p>
    <w:p w14:paraId="04D91F9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189DFFDC"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06D552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7D68251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5A259D22"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700A1410"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9" w:name="_Toc203357718"/>
      <w:r w:rsidRPr="006E13D4">
        <w:rPr>
          <w:rFonts w:ascii="Traditional Arabic" w:eastAsia="Sakkal Majalla" w:hAnsi="Traditional Arabic" w:cs="Traditional Arabic" w:hint="cs"/>
          <w:b/>
          <w:bCs/>
          <w:sz w:val="32"/>
          <w:szCs w:val="32"/>
          <w:u w:val="single"/>
          <w:rtl/>
        </w:rPr>
        <w:lastRenderedPageBreak/>
        <w:t>مقدمة</w:t>
      </w:r>
      <w:bookmarkEnd w:id="9"/>
    </w:p>
    <w:p w14:paraId="4DB0AD8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لقد شهدت العقود الأخيرة تناميًا كبيرًا في الاهتمام بمفاهيم الاستدامة على المستويين الدولي والإقليمي، حيث أصبحت التنمية المستدامة إحدى الركائز الأساسية في إدارة المشاريع الحديثة، لا سيما في القطاعات الحيوية مثل قطاع التشييد والبناء. ونظرًا لما يمثله هذا القطاع من تأثير بيئي واقتصادي واجتماعي مباشر، فقد اتجهت العديد من الدراسات نحو بحث كيفية دمج ممارسات الاستدامة ضمن منظومة إدارة المشاريع، سواء من خلال وضع الأطر النظرية أو رصد واقع التطبيق، أو تحديد التحديات التي تعيق هذا الدمج. وقد تباينت هذه الدراسات في توجهاتها بين التركيز على المفهوم العام للاستدامة، وبين تحليل ممارسات الإدارة المستدامة، أو دراسة تجارب قطاعات ومناطق جغرافية بعينها، مما يوفّر ثراءً معرفيًا يمكن البناء عليه</w:t>
      </w:r>
      <w:r w:rsidRPr="006E13D4">
        <w:rPr>
          <w:rFonts w:ascii="Traditional Arabic" w:eastAsia="Sakkal Majalla" w:hAnsi="Traditional Arabic" w:cs="Traditional Arabic" w:hint="cs"/>
          <w:sz w:val="28"/>
          <w:szCs w:val="28"/>
        </w:rPr>
        <w:t>.</w:t>
      </w:r>
    </w:p>
    <w:p w14:paraId="0DFE473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هذا السياق، اعتمدت هذه الدراسة على مراجعة مجموعة من البحوث والدراسات العلمية التي تناولت كلًّا من المتغير المستقل (ممارسات الاستدامة) والمتغير التابع (إدارة المشاريع الإنشائية)، بالإضافة إلى تلك التي درست العلاقة بين المتغيرين في سياقات محلية ودولية مختلفة. وقد سعت هذه المراجعة إلى فهم الاتجاهات البحثية السابقة، واستنباط الدروس والتحديات والنتائج التي يمكن توظيفها في معالجة مشكلة الدراسة الحالية، مع مراعاة الخصوصية المؤسسية والتنموية للمملكة العربية السعودية</w:t>
      </w:r>
      <w:r w:rsidRPr="006E13D4">
        <w:rPr>
          <w:rFonts w:ascii="Traditional Arabic" w:eastAsia="Sakkal Majalla" w:hAnsi="Traditional Arabic" w:cs="Traditional Arabic" w:hint="cs"/>
          <w:sz w:val="28"/>
          <w:szCs w:val="28"/>
        </w:rPr>
        <w:t>.</w:t>
      </w:r>
    </w:p>
    <w:p w14:paraId="6EFE2E9D"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284F3AF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Pr>
        <w:t>.</w:t>
      </w:r>
    </w:p>
    <w:p w14:paraId="0296E2C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718721EB"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682D199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253C02A3"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0A3DEAF4"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046B4DEA"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10" w:name="_Toc203357719"/>
      <w:r w:rsidRPr="006E13D4">
        <w:rPr>
          <w:rFonts w:ascii="Traditional Arabic" w:eastAsia="Sakkal Majalla" w:hAnsi="Traditional Arabic" w:cs="Traditional Arabic" w:hint="cs"/>
          <w:b/>
          <w:bCs/>
          <w:sz w:val="32"/>
          <w:szCs w:val="32"/>
          <w:u w:val="single"/>
          <w:rtl/>
        </w:rPr>
        <w:lastRenderedPageBreak/>
        <w:t>الدراسات السابقة</w:t>
      </w:r>
      <w:bookmarkEnd w:id="10"/>
    </w:p>
    <w:p w14:paraId="2398B11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شكلت ممارسات الاستدامة محورًا رئيسيًا في العديد من الدراسات الحديثة، خصوصًا في ظل تزايد الوعي البيئي والاجتماعي على المستوى العالمي، وما صاحبه من تحولات في توجهات الإدارة العامة والخاصة نحو تبني استراتيجيات تضمن الاستخدام الرشيد للموارد وتحقيق التوازن بين الأبعاد الثلاثة للتنمية المستدامة. وقد تناولت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هذه الممارسات باعتبارها جزءًا من عملية إدارة المشروع ذاته، موضحة أن الاستدامة لا يجب أن تُفصل عن مراحل المشروع التقليدية، بل ينبغي أن تكون مدمجة فيها من حيث التصميم والتنفيذ والتقييم. وقد أكد الباحث على أهمية ربط ممارسات الاستدامة بأهداف المشروع منذ البداية لضمان توجيه القرارات نحو تعظيم المنافع البيئية والاجتماعية والاقتصادية. في السياق نفسه، ركزت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 </w:t>
      </w:r>
      <w:r w:rsidRPr="006E13D4">
        <w:rPr>
          <w:rFonts w:ascii="Traditional Arabic" w:eastAsia="Sakkal Majalla" w:hAnsi="Traditional Arabic" w:cs="Traditional Arabic" w:hint="cs"/>
          <w:sz w:val="28"/>
          <w:szCs w:val="28"/>
          <w:rtl/>
        </w:rPr>
        <w:t>على تجربة المؤسسات غير الربحية في المملكة العربية السعودية، وكشفت عن ضعف نسبي في تطبيق مبادئ الاستدامة نتيجة لغياب الإطار المؤسسي الداعم، وقصور في إدماج المفاهيم البيئية والاجتماعية في دورة حياة المشروع. ويظهر من نتائج الدراسة أن تطبيق ممارسات الاستدامة لا يزال يواجه تحديات متعلقة بالثقافة المؤسسية، ونقص الكفاءات المتخصصة، وضعف آليات التقييم</w:t>
      </w:r>
      <w:r w:rsidRPr="006E13D4">
        <w:rPr>
          <w:rFonts w:ascii="Traditional Arabic" w:eastAsia="Sakkal Majalla" w:hAnsi="Traditional Arabic" w:cs="Traditional Arabic" w:hint="cs"/>
          <w:sz w:val="28"/>
          <w:szCs w:val="28"/>
        </w:rPr>
        <w:t>.</w:t>
      </w:r>
    </w:p>
    <w:p w14:paraId="33CFC50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ومن جهة أخرى، تطرقت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Alghuried</w:t>
      </w:r>
      <w:proofErr w:type="spellEnd"/>
      <w:r w:rsidRPr="006E13D4">
        <w:rPr>
          <w:rFonts w:ascii="Traditional Arabic" w:eastAsia="Sakkal Majalla" w:hAnsi="Traditional Arabic" w:cs="Traditional Arabic" w:hint="cs"/>
          <w:sz w:val="28"/>
          <w:szCs w:val="28"/>
        </w:rPr>
        <w:t xml:space="preserve"> (2025) </w:t>
      </w:r>
      <w:r w:rsidRPr="006E13D4">
        <w:rPr>
          <w:rFonts w:ascii="Traditional Arabic" w:eastAsia="Sakkal Majalla" w:hAnsi="Traditional Arabic" w:cs="Traditional Arabic" w:hint="cs"/>
          <w:sz w:val="28"/>
          <w:szCs w:val="28"/>
          <w:rtl/>
        </w:rPr>
        <w:t>إلى العوامل الحرجة لنجاح إدارة المشاريع المستدامة في قطاع البناء السعودي، حيث بينت أن من أهم هذه العوامل وجود التزام إداري عليا بدعم المبادرات البيئية، وتوفير أنظمة متابعة دقيقة، وتدريب العاملين على مبادئ الاستدامة. كما ربطت الدراسة بين تبني أدوات تقييم الأثر البيئي، وتطبيق ممارسات الاقتصاد الدائري، وتقدم المشاريع نحو تحقيق أهداف الاستدامة. وأكدت دراسة</w:t>
      </w:r>
      <w:r w:rsidRPr="006E13D4">
        <w:rPr>
          <w:rFonts w:ascii="Traditional Arabic" w:eastAsia="Sakkal Majalla" w:hAnsi="Traditional Arabic" w:cs="Traditional Arabic" w:hint="cs"/>
          <w:sz w:val="28"/>
          <w:szCs w:val="28"/>
        </w:rPr>
        <w:t xml:space="preserve"> Alotaibi et al. (2024) </w:t>
      </w:r>
      <w:r w:rsidRPr="006E13D4">
        <w:rPr>
          <w:rFonts w:ascii="Traditional Arabic" w:eastAsia="Sakkal Majalla" w:hAnsi="Traditional Arabic" w:cs="Traditional Arabic" w:hint="cs"/>
          <w:sz w:val="28"/>
          <w:szCs w:val="28"/>
          <w:rtl/>
        </w:rPr>
        <w:t>على أن التحول نحو الاقتصاد الدائري في مشاريع البناء الكبرى يتطلب رفع الوعي العام بمبادئ الاستدامة، إلى جانب تفعيل القوانين والسياسات التي تحفز إعادة التدوير وتقليل الهدر. في حين أظهرت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Aloshan</w:t>
      </w:r>
      <w:proofErr w:type="spellEnd"/>
      <w:r w:rsidRPr="006E13D4">
        <w:rPr>
          <w:rFonts w:ascii="Traditional Arabic" w:eastAsia="Sakkal Majalla" w:hAnsi="Traditional Arabic" w:cs="Traditional Arabic" w:hint="cs"/>
          <w:sz w:val="28"/>
          <w:szCs w:val="28"/>
        </w:rPr>
        <w:t xml:space="preserve"> (2024) </w:t>
      </w:r>
      <w:r w:rsidRPr="006E13D4">
        <w:rPr>
          <w:rFonts w:ascii="Traditional Arabic" w:eastAsia="Sakkal Majalla" w:hAnsi="Traditional Arabic" w:cs="Traditional Arabic" w:hint="cs"/>
          <w:sz w:val="28"/>
          <w:szCs w:val="28"/>
          <w:rtl/>
        </w:rPr>
        <w:t>ضعفًا واضحًا في دمج معارف التصميم البيئي المستدام ضمن البرامج الأكاديمية للهندسة المعمارية في السعودية، ما ينعكس سلبًا على وعي المهندسين الجدد عند تنفيذ المشاريع، وبالتالي على مستوى الالتزام بممارسات الاستدامة في مراحل التصميم والتنفيذ. وهو ما يتقاطع مع نتائج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AbuShal</w:t>
      </w:r>
      <w:proofErr w:type="spellEnd"/>
      <w:r w:rsidRPr="006E13D4">
        <w:rPr>
          <w:rFonts w:ascii="Traditional Arabic" w:eastAsia="Sakkal Majalla" w:hAnsi="Traditional Arabic" w:cs="Traditional Arabic" w:hint="cs"/>
          <w:sz w:val="28"/>
          <w:szCs w:val="28"/>
        </w:rPr>
        <w:t xml:space="preserve"> (2024) </w:t>
      </w:r>
      <w:r w:rsidRPr="006E13D4">
        <w:rPr>
          <w:rFonts w:ascii="Traditional Arabic" w:eastAsia="Sakkal Majalla" w:hAnsi="Traditional Arabic" w:cs="Traditional Arabic" w:hint="cs"/>
          <w:sz w:val="28"/>
          <w:szCs w:val="28"/>
          <w:rtl/>
        </w:rPr>
        <w:t>التي شددت على أهمية إشراك العاملين في برامج الاستدامة باستخدام أدوات إدارة المشاريع كوسيلة للتغيير التنظيمي الفعّال، مؤكدة أن مشاركة الموظفين في وضع وتنفيذ أهداف الاستدامة يرفع من فعالية التطبيق ويُقلل من المقاومة المؤسسية</w:t>
      </w:r>
      <w:r w:rsidRPr="006E13D4">
        <w:rPr>
          <w:rFonts w:ascii="Traditional Arabic" w:eastAsia="Sakkal Majalla" w:hAnsi="Traditional Arabic" w:cs="Traditional Arabic" w:hint="cs"/>
          <w:sz w:val="28"/>
          <w:szCs w:val="28"/>
        </w:rPr>
        <w:t>.</w:t>
      </w:r>
    </w:p>
    <w:p w14:paraId="44C79F4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 xml:space="preserve">أما في السياق العربي، فقد عرض العلم (2018) رؤية شاملة لدمج مفهوم الاستدامة في إدارة المشاريع بالوطن العربي، داعيًا إلى إعادة هيكلة عمليات التخطيط والتنفيذ للمشاريع على أسس مستدامة تأخذ في الاعتبار التكامل بين الجدوى الاقتصادية والكفاءة البيئية والمسؤولية الاجتماعية. كما أشار إلى أن تطبيق هذا المنهج المستدام يتطلب تطوير السياسات والأنظمة وتبني مؤشرات أداء غير تقليدية. من جانبها، تناولت دراسة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tl/>
        </w:rPr>
        <w:t xml:space="preserve"> (2014) مدى التزام الشركات المساهمة الأردنية بإعداد تقارير الاستدامة وفق معايير المبادرة العالمية</w:t>
      </w:r>
      <w:r w:rsidRPr="006E13D4">
        <w:rPr>
          <w:rFonts w:ascii="Traditional Arabic" w:eastAsia="Sakkal Majalla" w:hAnsi="Traditional Arabic" w:cs="Traditional Arabic" w:hint="cs"/>
          <w:sz w:val="28"/>
          <w:szCs w:val="28"/>
        </w:rPr>
        <w:t xml:space="preserve"> GRI</w:t>
      </w:r>
      <w:r w:rsidRPr="006E13D4">
        <w:rPr>
          <w:rFonts w:ascii="Traditional Arabic" w:eastAsia="Sakkal Majalla" w:hAnsi="Traditional Arabic" w:cs="Traditional Arabic" w:hint="cs"/>
          <w:sz w:val="28"/>
          <w:szCs w:val="28"/>
          <w:rtl/>
        </w:rPr>
        <w:t>، وكشفت الدراسة عن تفاوت كبير في مستوى الإفصاح، خاصة في المجالات البيئية، مع وجود ضعف في استخدام البيانات الكمية وقلة الربط بين أداء الشركة والاستدامة في التقارير، وهو ما يسلط الضوء على تحديات المصداقية والشفافية في الإفصاح عن ممارسات الاستدامة</w:t>
      </w:r>
      <w:r w:rsidRPr="006E13D4">
        <w:rPr>
          <w:rFonts w:ascii="Traditional Arabic" w:eastAsia="Sakkal Majalla" w:hAnsi="Traditional Arabic" w:cs="Traditional Arabic" w:hint="cs"/>
          <w:sz w:val="28"/>
          <w:szCs w:val="28"/>
        </w:rPr>
        <w:t>.</w:t>
      </w:r>
    </w:p>
    <w:p w14:paraId="39361D91"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بالانتقال إلى المتغير التابع في هذا البحث، وهو إدارة المشاريع الإنشائية، فإن العديد من الدراسات تناولت واقع إدارة المشاريع في المملكة العربية السعودية، خاصة في ضوء التحديات التي تواجه مشاريع البناء والتشييد، مثل ارتفاع التكاليف، وضعف التنسيق، والتأخير في الإنجاز. وقد بينت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Almahmoud</w:t>
      </w:r>
      <w:proofErr w:type="spellEnd"/>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Doloi</w:t>
      </w:r>
      <w:proofErr w:type="spellEnd"/>
      <w:r w:rsidRPr="006E13D4">
        <w:rPr>
          <w:rFonts w:ascii="Traditional Arabic" w:eastAsia="Sakkal Majalla" w:hAnsi="Traditional Arabic" w:cs="Traditional Arabic" w:hint="cs"/>
          <w:sz w:val="28"/>
          <w:szCs w:val="28"/>
        </w:rPr>
        <w:t xml:space="preserve"> &amp; </w:t>
      </w:r>
      <w:proofErr w:type="spellStart"/>
      <w:r w:rsidRPr="006E13D4">
        <w:rPr>
          <w:rFonts w:ascii="Traditional Arabic" w:eastAsia="Sakkal Majalla" w:hAnsi="Traditional Arabic" w:cs="Traditional Arabic" w:hint="cs"/>
          <w:sz w:val="28"/>
          <w:szCs w:val="28"/>
        </w:rPr>
        <w:t>Panuwatwanich</w:t>
      </w:r>
      <w:proofErr w:type="spellEnd"/>
      <w:r w:rsidRPr="006E13D4">
        <w:rPr>
          <w:rFonts w:ascii="Traditional Arabic" w:eastAsia="Sakkal Majalla" w:hAnsi="Traditional Arabic" w:cs="Traditional Arabic" w:hint="cs"/>
          <w:sz w:val="28"/>
          <w:szCs w:val="28"/>
        </w:rPr>
        <w:t xml:space="preserve"> (2012) </w:t>
      </w:r>
      <w:r w:rsidRPr="006E13D4">
        <w:rPr>
          <w:rFonts w:ascii="Traditional Arabic" w:eastAsia="Sakkal Majalla" w:hAnsi="Traditional Arabic" w:cs="Traditional Arabic" w:hint="cs"/>
          <w:sz w:val="28"/>
          <w:szCs w:val="28"/>
          <w:rtl/>
        </w:rPr>
        <w:t>أن الأداء العام للمشاريع الإنشائية في السعودية يتأثر بعدة عوامل، من بينها طريقة التخطيط، ومدى وضوح الأهداف، ومدى استخدام أدوات التقييم المستمرة أثناء التنفيذ. كما أظهرت الدراسة أن المشاريع التي تتبنى أساليب إدارة احترافية تحقق نتائج أفضل على مستوى الوقت والتكلفة والجودة. وفي ذات السياق، تناولت دراسة</w:t>
      </w:r>
      <w:r w:rsidRPr="006E13D4">
        <w:rPr>
          <w:rFonts w:ascii="Traditional Arabic" w:eastAsia="Sakkal Majalla" w:hAnsi="Traditional Arabic" w:cs="Traditional Arabic" w:hint="cs"/>
          <w:sz w:val="28"/>
          <w:szCs w:val="28"/>
        </w:rPr>
        <w:t xml:space="preserve"> ALLOUZI &amp; AL JAAFREH (2023) </w:t>
      </w:r>
      <w:r w:rsidRPr="006E13D4">
        <w:rPr>
          <w:rFonts w:ascii="Traditional Arabic" w:eastAsia="Sakkal Majalla" w:hAnsi="Traditional Arabic" w:cs="Traditional Arabic" w:hint="cs"/>
          <w:sz w:val="28"/>
          <w:szCs w:val="28"/>
          <w:rtl/>
        </w:rPr>
        <w:t>تطبيقات الإدارة الرشيقة</w:t>
      </w:r>
      <w:r w:rsidRPr="006E13D4">
        <w:rPr>
          <w:rFonts w:ascii="Traditional Arabic" w:eastAsia="Sakkal Majalla" w:hAnsi="Traditional Arabic" w:cs="Traditional Arabic" w:hint="cs"/>
          <w:sz w:val="28"/>
          <w:szCs w:val="28"/>
        </w:rPr>
        <w:t xml:space="preserve"> (Lean Construction) </w:t>
      </w:r>
      <w:r w:rsidRPr="006E13D4">
        <w:rPr>
          <w:rFonts w:ascii="Traditional Arabic" w:eastAsia="Sakkal Majalla" w:hAnsi="Traditional Arabic" w:cs="Traditional Arabic" w:hint="cs"/>
          <w:sz w:val="28"/>
          <w:szCs w:val="28"/>
          <w:rtl/>
        </w:rPr>
        <w:t>في المشاريع الكبرى بالمملكة، وأكدت على أن استخدام هذه المقاربة يُحسن من كفاءة العمليات، ويُقلل الهدر، ويُعزز من القدرة على التحكم في المخاطر. أما دراسة</w:t>
      </w:r>
      <w:r w:rsidRPr="006E13D4">
        <w:rPr>
          <w:rFonts w:ascii="Traditional Arabic" w:eastAsia="Sakkal Majalla" w:hAnsi="Traditional Arabic" w:cs="Traditional Arabic" w:hint="cs"/>
          <w:sz w:val="28"/>
          <w:szCs w:val="28"/>
        </w:rPr>
        <w:t xml:space="preserve"> Alqahtani et al. (2022) </w:t>
      </w:r>
      <w:r w:rsidRPr="006E13D4">
        <w:rPr>
          <w:rFonts w:ascii="Traditional Arabic" w:eastAsia="Sakkal Majalla" w:hAnsi="Traditional Arabic" w:cs="Traditional Arabic" w:hint="cs"/>
          <w:sz w:val="28"/>
          <w:szCs w:val="28"/>
          <w:rtl/>
        </w:rPr>
        <w:t>فقد ركزت على نموذج "التسليم المتكامل للمشاريع</w:t>
      </w:r>
      <w:r w:rsidRPr="006E13D4">
        <w:rPr>
          <w:rFonts w:ascii="Traditional Arabic" w:eastAsia="Sakkal Majalla" w:hAnsi="Traditional Arabic" w:cs="Traditional Arabic" w:hint="cs"/>
          <w:sz w:val="28"/>
          <w:szCs w:val="28"/>
        </w:rPr>
        <w:t xml:space="preserve">" IPD </w:t>
      </w:r>
      <w:r w:rsidRPr="006E13D4">
        <w:rPr>
          <w:rFonts w:ascii="Traditional Arabic" w:eastAsia="Sakkal Majalla" w:hAnsi="Traditional Arabic" w:cs="Traditional Arabic" w:hint="cs"/>
          <w:sz w:val="28"/>
          <w:szCs w:val="28"/>
          <w:rtl/>
        </w:rPr>
        <w:t>في السعودية، والذي يعتمد على التعاون الوثيق بين جميع أطراف المشروع من البداية وحتى النهاية، وأشارت إلى أن هذا النموذج يُسهم في رفع مستوى التنسيق ويُحسن نتائج المشروع، لكنه يتطلب ثقافة تنظيمية جديدة تدعم الشفافية والمشاركة</w:t>
      </w:r>
      <w:r w:rsidRPr="006E13D4">
        <w:rPr>
          <w:rFonts w:ascii="Traditional Arabic" w:eastAsia="Sakkal Majalla" w:hAnsi="Traditional Arabic" w:cs="Traditional Arabic" w:hint="cs"/>
          <w:sz w:val="28"/>
          <w:szCs w:val="28"/>
        </w:rPr>
        <w:t>.</w:t>
      </w:r>
    </w:p>
    <w:p w14:paraId="6C19150C"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r w:rsidRPr="006E13D4">
        <w:rPr>
          <w:rFonts w:ascii="Traditional Arabic" w:eastAsia="Sakkal Majalla" w:hAnsi="Traditional Arabic" w:cs="Traditional Arabic" w:hint="cs"/>
          <w:sz w:val="28"/>
          <w:szCs w:val="28"/>
          <w:rtl/>
        </w:rPr>
        <w:t>وقد سلطت دراسة</w:t>
      </w:r>
      <w:r w:rsidRPr="006E13D4">
        <w:rPr>
          <w:rFonts w:ascii="Traditional Arabic" w:eastAsia="Sakkal Majalla" w:hAnsi="Traditional Arabic" w:cs="Traditional Arabic" w:hint="cs"/>
          <w:sz w:val="28"/>
          <w:szCs w:val="28"/>
        </w:rPr>
        <w:t xml:space="preserve"> Ali et al. (2024) </w:t>
      </w:r>
      <w:r w:rsidRPr="006E13D4">
        <w:rPr>
          <w:rFonts w:ascii="Traditional Arabic" w:eastAsia="Sakkal Majalla" w:hAnsi="Traditional Arabic" w:cs="Traditional Arabic" w:hint="cs"/>
          <w:sz w:val="28"/>
          <w:szCs w:val="28"/>
          <w:rtl/>
        </w:rPr>
        <w:t xml:space="preserve">الضوء على ضعف تأهيل الكوادر السعودية في مجال إدارة المشاريع، مؤكدة أن ضعف المقررات الجامعية، وقلة برامج التدريب العملي، يمثلان عائقًا أمام تطوير كفاءات قادرة على إدارة مشاريع إنشائية معقدة في بيئات </w:t>
      </w:r>
      <w:r w:rsidRPr="006E13D4">
        <w:rPr>
          <w:rFonts w:ascii="Traditional Arabic" w:eastAsia="Sakkal Majalla" w:hAnsi="Traditional Arabic" w:cs="Traditional Arabic" w:hint="cs"/>
          <w:sz w:val="28"/>
          <w:szCs w:val="28"/>
          <w:rtl/>
        </w:rPr>
        <w:lastRenderedPageBreak/>
        <w:t>متغيرة. وبيّنت دراسة</w:t>
      </w:r>
      <w:r w:rsidRPr="006E13D4">
        <w:rPr>
          <w:rFonts w:ascii="Traditional Arabic" w:eastAsia="Sakkal Majalla" w:hAnsi="Traditional Arabic" w:cs="Traditional Arabic" w:hint="cs"/>
          <w:sz w:val="28"/>
          <w:szCs w:val="28"/>
        </w:rPr>
        <w:t xml:space="preserve"> Alshahrani (2020) </w:t>
      </w:r>
      <w:r w:rsidRPr="006E13D4">
        <w:rPr>
          <w:rFonts w:ascii="Traditional Arabic" w:eastAsia="Sakkal Majalla" w:hAnsi="Traditional Arabic" w:cs="Traditional Arabic" w:hint="cs"/>
          <w:sz w:val="28"/>
          <w:szCs w:val="28"/>
          <w:rtl/>
        </w:rPr>
        <w:t>أن نموذج الأعمال المستدامة لا يزال غائبًا عن كثير من مشاريع الإسكان في السعودية، وهو ما يعكس فقرًا في الرؤية طويلة المدى من قِبل المطورين. كما أشار</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إلى أن التحديات الهيكلية، مثل ضعف التنسيق بين الهيئات الحكومية والمطورين، تؤدي إلى عرقلة الأداء وتباطؤ تنفيذ معايير الاستدامة في المشاريع الإنشائية. ولفتت دراسة</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النظر إلى التشابه في العوائق بين السعودية والدول النامية الأخرى، مؤكدين أن التحديات تتنوع بين نقص الوعي، وغياب آليات المتابعة، وصعوبة التمويل، ما يجعل من التكامل المؤسسي شرطًا أساسيًا لنجاح دمج الاستدامة</w:t>
      </w:r>
      <w:r w:rsidRPr="006E13D4">
        <w:rPr>
          <w:rFonts w:ascii="Traditional Arabic" w:eastAsia="Sakkal Majalla" w:hAnsi="Traditional Arabic" w:cs="Traditional Arabic" w:hint="cs"/>
          <w:sz w:val="28"/>
          <w:szCs w:val="28"/>
        </w:rPr>
        <w:t>.</w:t>
      </w:r>
    </w:p>
    <w:p w14:paraId="1949513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تُعد العلاقة بين ممارسات الاستدامة وإدارة المشاريع الإنشائية علاقة تكاملية، حيث يؤثر مستوى دمج مبادئ الاستدامة في مختلف مراحل المشروع على جودة وكفاءة التنفيذ، في حين تؤثر ممارسات الإدارة الاحترافية على مدى قدرة المشروع على تحقيق أهدافه البيئية والاجتماعية والاقتصادية. وفي هذا السياق، قدمت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 </w:t>
      </w:r>
      <w:r w:rsidRPr="006E13D4">
        <w:rPr>
          <w:rFonts w:ascii="Traditional Arabic" w:eastAsia="Sakkal Majalla" w:hAnsi="Traditional Arabic" w:cs="Traditional Arabic" w:hint="cs"/>
          <w:sz w:val="28"/>
          <w:szCs w:val="28"/>
          <w:rtl/>
        </w:rPr>
        <w:t>نموذجًا تفسيريًا يُظهر كيف يؤثر غياب إطار تنظيمي مستدام في إدارة المشاريع على فعالية المبادرات البيئية داخل المؤسسات غير الربحية. وأظهرت نتائج الدراسة أن المشروعات التي تفتقر إلى آليات إدارة تعتمد على مؤشرات استدامة واضحة تواجه صعوبات في تحقيق نتائج ملموسة في تقليل الأثر البيئي أو تعزيز الأثر الاجتماعي الإيجابي. كما أشارت الدراسة إلى أن عدم وجود وحدة تنظيمية مسؤولة عن دمج الاستدامة في دورة حياة المشروع يؤدي إلى قرارات تنفيذية غير متسقة، ويُضعف من القدرة على التقييم والمتابعة</w:t>
      </w:r>
      <w:r w:rsidRPr="006E13D4">
        <w:rPr>
          <w:rFonts w:ascii="Traditional Arabic" w:eastAsia="Sakkal Majalla" w:hAnsi="Traditional Arabic" w:cs="Traditional Arabic" w:hint="cs"/>
          <w:sz w:val="28"/>
          <w:szCs w:val="28"/>
        </w:rPr>
        <w:t>.</w:t>
      </w:r>
    </w:p>
    <w:p w14:paraId="2CBE6FF2"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إطار تحليل العلاقة بين الاستدامة والأداء المؤسسي في المشاريع، بينت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Almahmoud</w:t>
      </w:r>
      <w:proofErr w:type="spellEnd"/>
      <w:r w:rsidRPr="006E13D4">
        <w:rPr>
          <w:rFonts w:ascii="Traditional Arabic" w:eastAsia="Sakkal Majalla" w:hAnsi="Traditional Arabic" w:cs="Traditional Arabic" w:hint="cs"/>
          <w:sz w:val="28"/>
          <w:szCs w:val="28"/>
        </w:rPr>
        <w:t xml:space="preserve"> et al. (2012) </w:t>
      </w:r>
      <w:r w:rsidRPr="006E13D4">
        <w:rPr>
          <w:rFonts w:ascii="Traditional Arabic" w:eastAsia="Sakkal Majalla" w:hAnsi="Traditional Arabic" w:cs="Traditional Arabic" w:hint="cs"/>
          <w:sz w:val="28"/>
          <w:szCs w:val="28"/>
          <w:rtl/>
        </w:rPr>
        <w:t>أن المشاريع التي ترتبط فيها الاستدامة بالهيكل الإداري وتعتمد على أنظمة تقييم الأداء المستدام تحقق نتائج أفضل من تلك التي تعتمد فقط على الجوانب المالية والجدول الزمني كمؤشرات للنجاح. وقد أكدت نتائج الدراسة أن استخدام أدوات إدارة المشاريع المستندة إلى مؤشرات الاستدامة يؤدي إلى تقليل المخاطر المرتبطة بالبيئة والمجتمع، وزيادة رضا أصحاب المصلحة. ومن ناحية أخرى، أظهرت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AbuShal</w:t>
      </w:r>
      <w:proofErr w:type="spellEnd"/>
      <w:r w:rsidRPr="006E13D4">
        <w:rPr>
          <w:rFonts w:ascii="Traditional Arabic" w:eastAsia="Sakkal Majalla" w:hAnsi="Traditional Arabic" w:cs="Traditional Arabic" w:hint="cs"/>
          <w:sz w:val="28"/>
          <w:szCs w:val="28"/>
        </w:rPr>
        <w:t xml:space="preserve"> (2024) </w:t>
      </w:r>
      <w:r w:rsidRPr="006E13D4">
        <w:rPr>
          <w:rFonts w:ascii="Traditional Arabic" w:eastAsia="Sakkal Majalla" w:hAnsi="Traditional Arabic" w:cs="Traditional Arabic" w:hint="cs"/>
          <w:sz w:val="28"/>
          <w:szCs w:val="28"/>
          <w:rtl/>
        </w:rPr>
        <w:t>أن استخدام أدوات إدارة المشاريع كوسيلة لتعزيز برامج الاستدامة يسهم في إحداث تغيير تنظيمي فعال، خاصة عندما يُدمج الموظفون في عملية وضع الأهداف وتحديد أولويات العمل. وقد كشفت الدراسة عن وجود علاقة إيجابية بين انخراط العاملين في تنفيذ برامج الاستدامة، ونجاح المشروع في تحقيق أهدافه البيئية والاجتماعية</w:t>
      </w:r>
      <w:r w:rsidRPr="006E13D4">
        <w:rPr>
          <w:rFonts w:ascii="Traditional Arabic" w:eastAsia="Sakkal Majalla" w:hAnsi="Traditional Arabic" w:cs="Traditional Arabic" w:hint="cs"/>
          <w:sz w:val="28"/>
          <w:szCs w:val="28"/>
        </w:rPr>
        <w:t>.</w:t>
      </w:r>
    </w:p>
    <w:p w14:paraId="20D9682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أما دراسة</w:t>
      </w:r>
      <w:r w:rsidRPr="006E13D4">
        <w:rPr>
          <w:rFonts w:ascii="Traditional Arabic" w:eastAsia="Sakkal Majalla" w:hAnsi="Traditional Arabic" w:cs="Traditional Arabic" w:hint="cs"/>
          <w:sz w:val="28"/>
          <w:szCs w:val="28"/>
        </w:rPr>
        <w:t xml:space="preserve"> ALLOUZI &amp; AL JAAFREH (2023)</w:t>
      </w:r>
      <w:r w:rsidRPr="006E13D4">
        <w:rPr>
          <w:rFonts w:ascii="Traditional Arabic" w:eastAsia="Sakkal Majalla" w:hAnsi="Traditional Arabic" w:cs="Traditional Arabic" w:hint="cs"/>
          <w:sz w:val="28"/>
          <w:szCs w:val="28"/>
          <w:rtl/>
        </w:rPr>
        <w:t>، فقد قدمت دليلاً عمليًا على أن تطبيق منهجيات الإدارة الرشيقة</w:t>
      </w:r>
      <w:r w:rsidRPr="006E13D4">
        <w:rPr>
          <w:rFonts w:ascii="Traditional Arabic" w:eastAsia="Sakkal Majalla" w:hAnsi="Traditional Arabic" w:cs="Traditional Arabic" w:hint="cs"/>
          <w:sz w:val="28"/>
          <w:szCs w:val="28"/>
        </w:rPr>
        <w:t xml:space="preserve"> (Lean Management) </w:t>
      </w:r>
      <w:r w:rsidRPr="006E13D4">
        <w:rPr>
          <w:rFonts w:ascii="Traditional Arabic" w:eastAsia="Sakkal Majalla" w:hAnsi="Traditional Arabic" w:cs="Traditional Arabic" w:hint="cs"/>
          <w:sz w:val="28"/>
          <w:szCs w:val="28"/>
          <w:rtl/>
        </w:rPr>
        <w:t>في المشاريع الكبرى يعزز من فرص دمج الاستدامة، من خلال تقليل الهدر، وزيادة الكفاءة، وتعزيز المرونة في اتخاذ القرارات. وأشارت الدراسة إلى أن ممارسات الإدارة الرشيقة تسهم في تحسين التنسيق بين الأطراف المختلفة، وتقليل الآثار السلبية على البيئة من خلال تحسين تدفق العمل وتقليل الفاقد. كما أبرزت دراسة</w:t>
      </w:r>
      <w:r w:rsidRPr="006E13D4">
        <w:rPr>
          <w:rFonts w:ascii="Traditional Arabic" w:eastAsia="Sakkal Majalla" w:hAnsi="Traditional Arabic" w:cs="Traditional Arabic" w:hint="cs"/>
          <w:sz w:val="28"/>
          <w:szCs w:val="28"/>
        </w:rPr>
        <w:t xml:space="preserve"> Alqahtani et al. (2022) </w:t>
      </w:r>
      <w:r w:rsidRPr="006E13D4">
        <w:rPr>
          <w:rFonts w:ascii="Traditional Arabic" w:eastAsia="Sakkal Majalla" w:hAnsi="Traditional Arabic" w:cs="Traditional Arabic" w:hint="cs"/>
          <w:sz w:val="28"/>
          <w:szCs w:val="28"/>
          <w:rtl/>
        </w:rPr>
        <w:t>أن نموذج التسليم المتكامل للمشاريع</w:t>
      </w:r>
      <w:r w:rsidRPr="006E13D4">
        <w:rPr>
          <w:rFonts w:ascii="Traditional Arabic" w:eastAsia="Sakkal Majalla" w:hAnsi="Traditional Arabic" w:cs="Traditional Arabic" w:hint="cs"/>
          <w:sz w:val="28"/>
          <w:szCs w:val="28"/>
        </w:rPr>
        <w:t xml:space="preserve"> IPD </w:t>
      </w:r>
      <w:r w:rsidRPr="006E13D4">
        <w:rPr>
          <w:rFonts w:ascii="Traditional Arabic" w:eastAsia="Sakkal Majalla" w:hAnsi="Traditional Arabic" w:cs="Traditional Arabic" w:hint="cs"/>
          <w:sz w:val="28"/>
          <w:szCs w:val="28"/>
          <w:rtl/>
        </w:rPr>
        <w:t>يمثل آلية مناسبة لتحقيق التوازن بين الأهداف الاقتصادية ومتطلبات الاستدامة، حيث يعزز التعاون المبكر بين جميع الأطراف، ويُسهل تبادل البيانات البيئية والاجتماعية اللازمة لاتخاذ قرارات مستدامة</w:t>
      </w:r>
      <w:r w:rsidRPr="006E13D4">
        <w:rPr>
          <w:rFonts w:ascii="Traditional Arabic" w:eastAsia="Sakkal Majalla" w:hAnsi="Traditional Arabic" w:cs="Traditional Arabic" w:hint="cs"/>
          <w:sz w:val="28"/>
          <w:szCs w:val="28"/>
        </w:rPr>
        <w:t>.</w:t>
      </w:r>
    </w:p>
    <w:p w14:paraId="4F7CDCA8"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في السياق العربي، وضّحت دراسة العلم (2018) أن تبني منهج مستدام في إدارة المشاريع يتطلب بالضرورة وجود توافق بين الإدارة العليا، وتوجهات الدولة نحو التنمية المستدامة، وآليات تنفيذ المشاريع على أرض الواقع. وقد أشار إلى أن هناك علاقة ارتباطية بين التوجه نحو الاستدامة وقدرة المشروع على مواجهة المخاطر طويلة الأجل، لا سيما تلك المرتبطة بالبيئة والطاقة. وركّزت دراسة المطيري (2022) على أن الحوكمة تلعب دورًا جوهريًا في تعزيز العلاقة بين الإدارة والاستدامة، حيث تبين أن الشركات التي تمتلك هياكل حوكمة فعالة تكون أكثر قدرة على دمج تقارير الاستدامة في عمليات اتخاذ القرار، مما ينعكس بدوره على طريقة إدارة المشاريع وتنفيذها. وتوافقت هذه النتائج مع ما توصلت إليه دراسة عبد العال وخليل ومحمود (2023) التي أشارت إلى أن الإفصاح الجيد عن ممارسات الاستدامة لا يُعد فقط أداة إعلامية، بل يُعتبر جزءًا من منظومة الرقابة المؤسسية التي تحسن من كفاءة الأداء الإداري</w:t>
      </w:r>
      <w:r w:rsidRPr="006E13D4">
        <w:rPr>
          <w:rFonts w:ascii="Traditional Arabic" w:eastAsia="Sakkal Majalla" w:hAnsi="Traditional Arabic" w:cs="Traditional Arabic" w:hint="cs"/>
          <w:sz w:val="28"/>
          <w:szCs w:val="28"/>
        </w:rPr>
        <w:t>.</w:t>
      </w:r>
    </w:p>
    <w:p w14:paraId="0429FFF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إطار تحليل الآليات المالية والإدارية، أظهرت دراسة فرج (2017) أن توكيد مراقب الحسابات لتقارير الاستدامة يسهم في تحسين مصداقية هذه التقارير أمام الجهات الممولة، ما يُعزز من فرص حصول المشروع على التمويل اللازم، ويرفع من مستوى الثقة في قدرة المشروع على تحقيق أهدافه المستدامة. ومن ثم، فإن العلاقة بين الاستدامة وإدارة المشاريع ليست علاقة تنفيذ فقط، بل تشمل أيضًا أبعادًا مؤسسية تتعلق بالإفصاح، والثقة، والتمويل، وهو ما ينعكس بشكل مباشر على الأداء العام للمشروعات الإنشائية</w:t>
      </w:r>
      <w:r w:rsidRPr="006E13D4">
        <w:rPr>
          <w:rFonts w:ascii="Traditional Arabic" w:eastAsia="Sakkal Majalla" w:hAnsi="Traditional Arabic" w:cs="Traditional Arabic" w:hint="cs"/>
          <w:sz w:val="28"/>
          <w:szCs w:val="28"/>
        </w:rPr>
        <w:t>.</w:t>
      </w:r>
    </w:p>
    <w:p w14:paraId="5A4E300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سياق مشابه، بينت دراسة</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أن التحديات التي تواجه دمج ممارسات الاستدامة في المشاريع الإنشائية لا تكمن فقط في ضعف البنية التنظيمية أو غياب السياسات، بل تشمل أيضًا نقصًا في التنسيق بين الجهات الحكومية والمطورين، وغياب آليات التقييم البيئي المتكاملة. كما أشار</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 xml:space="preserve">إلى أن المشاريع التي لا تُبنى على </w:t>
      </w:r>
      <w:r w:rsidRPr="006E13D4">
        <w:rPr>
          <w:rFonts w:ascii="Traditional Arabic" w:eastAsia="Sakkal Majalla" w:hAnsi="Traditional Arabic" w:cs="Traditional Arabic" w:hint="cs"/>
          <w:sz w:val="28"/>
          <w:szCs w:val="28"/>
          <w:rtl/>
        </w:rPr>
        <w:lastRenderedPageBreak/>
        <w:t>مؤشرات أداء مستدامة تواجه صعوبات في متابعة التقدم نحو الأهداف البيئية والاجتماعية، ما يجعل من إدارة المشروع غير متوافقة مع توجهات التنمية المستدامة</w:t>
      </w:r>
      <w:r w:rsidRPr="006E13D4">
        <w:rPr>
          <w:rFonts w:ascii="Traditional Arabic" w:eastAsia="Sakkal Majalla" w:hAnsi="Traditional Arabic" w:cs="Traditional Arabic" w:hint="cs"/>
          <w:sz w:val="28"/>
          <w:szCs w:val="28"/>
        </w:rPr>
        <w:t>.</w:t>
      </w:r>
    </w:p>
    <w:p w14:paraId="049643D5"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ظل هذه المعطيات، يتضح أن العلاقة بين المتغيرين في هذا البحث علاقة طردية شرطية، أي أنه كلما زاد مستوى إدماج ممارسات الاستدامة، زادت كفاءة إدارة المشروع وتحسّن أداؤه في المدى المتوسط والبعيد، بشرط وجود بنية مؤسسية داعمة، وكفاءات بشرية مؤهلة، وأنظمة متابعة وتقييم فعالة. كما أن العلاقة بين المتغيرين تتأثر بعدة عوامل وسيطة، مثل الحوكمة، والتمويل، والإفصاح، ومشاركة أصحاب المصلحة، وكلها عناصر يجب أخذها بعين الاعتبار عند تحليل هذه العلاقة في السياق السعودي</w:t>
      </w:r>
      <w:r w:rsidRPr="006E13D4">
        <w:rPr>
          <w:rFonts w:ascii="Traditional Arabic" w:eastAsia="Sakkal Majalla" w:hAnsi="Traditional Arabic" w:cs="Traditional Arabic" w:hint="cs"/>
          <w:sz w:val="28"/>
          <w:szCs w:val="28"/>
        </w:rPr>
        <w:t>.</w:t>
      </w:r>
    </w:p>
    <w:p w14:paraId="13B50571"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يتبين من الدراسات السابقة أنها رغم تباينها في المنهجية والسياق، إلا أنها تتفق في التأكيد على أهمية الدمج المتكامل لمفاهيم الاستدامة في إدارة المشاريع، وليس التعامل معها كعناصر إضافية أو تجميلية. كما تبيّن أن النجاح في هذا الدمج يعتمد بدرجة كبيرة على توفر بيئة تنظيمية مشجعة، واستراتيجيات واضحة، وقادة ملتزمين، وهو ما يجعل من التحديات التي تواجه المشاريع الإنشائية السعودية ليست مجرد عقبات تنفيذية، بل إشكاليات مؤسسية تتطلب معالجة شاملة تشمل الأبعاد القانونية والإدارية والتقنية. ويُلاحظ أن معظم الدراسات ركزت على جزئيات محددة من العلاقة بين الاستدامة والإدارة، مثل الإفصاح، أو التمويل، أو التدريب، دون تقديم نماذج متكاملة للتطبيق، وهو ما يُشكل ثغرة معرفية يسعى هذا البحث إلى المساهمة في سدّها من خلال تقديم رؤية تحليلية شاملة لطبيعة التحديات والفرص في الواقع السعودي، مع التركيز على قطاع المشاريع الإنشائية بوصفه من أكثر القطاعات تأثيرًا في التنمية المستدامة</w:t>
      </w:r>
      <w:r w:rsidRPr="006E13D4">
        <w:rPr>
          <w:rFonts w:ascii="Traditional Arabic" w:eastAsia="Sakkal Majalla" w:hAnsi="Traditional Arabic" w:cs="Traditional Arabic" w:hint="cs"/>
          <w:sz w:val="28"/>
          <w:szCs w:val="28"/>
        </w:rPr>
        <w:t>.</w:t>
      </w:r>
    </w:p>
    <w:p w14:paraId="229E8955"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37074E15"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التعليق على الدراسات السابقة</w:t>
      </w:r>
    </w:p>
    <w:p w14:paraId="2E4B4B0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من خلال استعراض الدراسات السابقة، يُلاحظ أن هناك تركيزًا كبيرًا على الأبعاد النظرية لمفاهيم الاستدامة، وعلى أهمية دمجها في إدارة المشاريع، إلا أن أغلب هذه الدراسات اكتفت بوصف التوجهات العامة دون الغوص بعمق في السياق المؤسسي والتطبيقي الذي يحدد </w:t>
      </w:r>
      <w:r w:rsidRPr="006E13D4">
        <w:rPr>
          <w:rFonts w:ascii="Traditional Arabic" w:eastAsia="Sakkal Majalla" w:hAnsi="Traditional Arabic" w:cs="Traditional Arabic" w:hint="cs"/>
          <w:sz w:val="28"/>
          <w:szCs w:val="28"/>
          <w:rtl/>
        </w:rPr>
        <w:lastRenderedPageBreak/>
        <w:t>نجاح أو فشل هذه الممارسات. كما أن بعض الدراسات اعتمدت على منهجيات وصفية أو تحليلية تقليدية، ولم توظف أدوات كمية أو مؤشرات دقيقة لقياس مدى فعالية الدمج بين الاستدامة وإدارة المشاريع، مما يُقلل من إمكانية تعميم نتائجها على نطاق أوسع</w:t>
      </w:r>
      <w:r w:rsidRPr="006E13D4">
        <w:rPr>
          <w:rFonts w:ascii="Traditional Arabic" w:eastAsia="Sakkal Majalla" w:hAnsi="Traditional Arabic" w:cs="Traditional Arabic" w:hint="cs"/>
          <w:sz w:val="28"/>
          <w:szCs w:val="28"/>
        </w:rPr>
        <w:t>.</w:t>
      </w:r>
    </w:p>
    <w:p w14:paraId="198B203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وتُظهر العديد من الدراسات، خاصة الأجنبية منها، اهتمامًا متزايدًا بدور القيادة والإدارة العليا في إنجاح ممارسات الاستدامة، بالإضافة إلى أهمية وجود أطر تشريعية ومؤسسية داعمة، وهو ما يُعد مدخلًا مهمًا لكنه لم يحظَ بتحليل كافٍ في الدراسات العربية. كما أن بعض البحوث ركزت على قطاعات محددة مثل الصناعات أو المنظمات غير الربحية، مما يجعل نتائجها غير منطبقة بشكل مباشر على قطاع المشاريع الإنشائية الذي يتميز بتركيبة معقدة وكثرة الأطراف المعنية</w:t>
      </w:r>
      <w:r w:rsidRPr="006E13D4">
        <w:rPr>
          <w:rFonts w:ascii="Traditional Arabic" w:eastAsia="Sakkal Majalla" w:hAnsi="Traditional Arabic" w:cs="Traditional Arabic" w:hint="cs"/>
          <w:sz w:val="28"/>
          <w:szCs w:val="28"/>
        </w:rPr>
        <w:t>.</w:t>
      </w:r>
    </w:p>
    <w:p w14:paraId="0960C14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من جهة أخرى، تُعد بعض الدراسات التي تناولت السياق الخليجي أو السعودي تحديدًا ذات أهمية كبيرة، حيث كشفت عن جوانب ضعف مؤسسية، مثل ضعف الحوكمة، وعدم وضوح السياسات، ونقص الكفاءات المتخصصة، وغياب التكامل بين الجهات المعنية. ومع ذلك، فإن هذه الدراسات غالبًا ما تناولت هذه العوائق بشكل مجزأ دون تقديم تصور شامل يدمج بين التحديات والفرص، ويربط بينها وبين آليات إدارة المشاريع في مراحلها المختلفة</w:t>
      </w:r>
      <w:r w:rsidRPr="006E13D4">
        <w:rPr>
          <w:rFonts w:ascii="Traditional Arabic" w:eastAsia="Sakkal Majalla" w:hAnsi="Traditional Arabic" w:cs="Traditional Arabic" w:hint="cs"/>
          <w:sz w:val="28"/>
          <w:szCs w:val="28"/>
        </w:rPr>
        <w:t>.</w:t>
      </w:r>
    </w:p>
    <w:p w14:paraId="5FE41AC2"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الفجوة البحثية</w:t>
      </w:r>
    </w:p>
    <w:p w14:paraId="4CE36D60"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على الرغم من تعدد الدراسات التي تناولت موضوع الاستدامة وإدارة المشاريع، فإن هناك فجوة واضحة في الأدبيات العلمية تتعلق بفهم التحديات المؤسسية والتنفيذية التي تواجه عملية دمج ممارسات الاستدامة في المشاريع الإنشائية في المملكة العربية السعودية. فمعظم الدراسات العربية ركزت على تحليل مستويات الإفصاح أو مؤشرات الحوكمة دون أن تربطها بشكل دقيق بنموذج إدارة المشاريع، في حين ركزت بعض الدراسات الدولية على تجارب في بيئات تنظيمية متقدمة يصعب إسقاطها بالكامل على السياق المحلي</w:t>
      </w:r>
      <w:r w:rsidRPr="006E13D4">
        <w:rPr>
          <w:rFonts w:ascii="Traditional Arabic" w:eastAsia="Sakkal Majalla" w:hAnsi="Traditional Arabic" w:cs="Traditional Arabic" w:hint="cs"/>
          <w:sz w:val="28"/>
          <w:szCs w:val="28"/>
        </w:rPr>
        <w:t>.</w:t>
      </w:r>
    </w:p>
    <w:p w14:paraId="4BE7E11A"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كما يُلاحظ أن قلة من الدراسات قدمت تحليلًا متكاملًا يجمع بين الجوانب التنظيمية والفنية والإدارية لموضوع الدمج، أو تناولت العلاقة بين الثقافة المؤسسية ومدى تبني الممارسات المستدامة في قطاع البناء والتشييد. وتغيب كذلك النماذج التطبيقية أو الدراسات الميدانية الكمية التي تقيس فعليًا أثر دمج الاستدامة على أداء المشاريع الإنشائية في المملكة، سواء من حيث الكفاءة، أو تقليل المخاطر، أو تحسين رضا أصحاب المصلحة</w:t>
      </w:r>
      <w:r w:rsidRPr="006E13D4">
        <w:rPr>
          <w:rFonts w:ascii="Traditional Arabic" w:eastAsia="Sakkal Majalla" w:hAnsi="Traditional Arabic" w:cs="Traditional Arabic" w:hint="cs"/>
          <w:sz w:val="28"/>
          <w:szCs w:val="28"/>
        </w:rPr>
        <w:t>.</w:t>
      </w:r>
    </w:p>
    <w:p w14:paraId="19B38B7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وبالتالي، تسعى هذه الدراسة إلى سد هذه الفجوة من خلال تقديم تحليل شامل للتحديات والفرص المرتبطة بدمج ممارسات الاستدامة في إدارة المشاريع الإنشائية، ضمن السياق السعودي، مع الاعتماد على منهجية وصفية تحليلية وأداة ميدانية (الاستبيان) لاستقصاء آراء العاملين والمختصين، بما يُوفر بيانات تجريبية تُسهم في إثراء الأدبيات العلمية وتقديم توصيات قابلة للتطبيق</w:t>
      </w:r>
      <w:r w:rsidRPr="006E13D4">
        <w:rPr>
          <w:rFonts w:ascii="Traditional Arabic" w:eastAsia="Sakkal Majalla" w:hAnsi="Traditional Arabic" w:cs="Traditional Arabic" w:hint="cs"/>
          <w:sz w:val="28"/>
          <w:szCs w:val="28"/>
        </w:rPr>
        <w:t>.</w:t>
      </w:r>
    </w:p>
    <w:p w14:paraId="17FB53F1"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1FCFFEFF"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09764A31"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1A08ED34" w14:textId="77777777" w:rsidR="00CD0F1F" w:rsidRPr="006E13D4" w:rsidRDefault="00CD0F1F" w:rsidP="00CD0F1F">
      <w:pPr>
        <w:spacing w:line="360" w:lineRule="auto"/>
        <w:rPr>
          <w:rFonts w:ascii="Traditional Arabic" w:eastAsia="Sakkal Majalla" w:hAnsi="Traditional Arabic" w:cs="Traditional Arabic" w:hint="cs"/>
          <w:sz w:val="28"/>
          <w:szCs w:val="28"/>
          <w:rtl/>
        </w:rPr>
      </w:pPr>
    </w:p>
    <w:p w14:paraId="6380AE98"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5AB6DABA"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33F205C9"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66D4BF4B"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0ABB80D5"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564A2406"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tl/>
        </w:rPr>
      </w:pPr>
    </w:p>
    <w:p w14:paraId="7554E04E" w14:textId="77777777" w:rsidR="00CD0F1F" w:rsidRDefault="00CD0F1F" w:rsidP="00CD0F1F">
      <w:pPr>
        <w:spacing w:line="360" w:lineRule="auto"/>
        <w:rPr>
          <w:rFonts w:ascii="Traditional Arabic" w:eastAsia="Sakkal Majalla" w:hAnsi="Traditional Arabic" w:cs="Traditional Arabic"/>
          <w:sz w:val="28"/>
          <w:szCs w:val="28"/>
          <w:u w:val="single"/>
          <w:rtl/>
        </w:rPr>
      </w:pPr>
    </w:p>
    <w:p w14:paraId="7F6C2D22" w14:textId="77777777" w:rsidR="00CD0F1F" w:rsidRDefault="00CD0F1F" w:rsidP="00CD0F1F">
      <w:pPr>
        <w:spacing w:line="360" w:lineRule="auto"/>
        <w:rPr>
          <w:rFonts w:ascii="Traditional Arabic" w:eastAsia="Sakkal Majalla" w:hAnsi="Traditional Arabic" w:cs="Traditional Arabic"/>
          <w:sz w:val="28"/>
          <w:szCs w:val="28"/>
          <w:u w:val="single"/>
          <w:rtl/>
        </w:rPr>
      </w:pPr>
    </w:p>
    <w:p w14:paraId="1B1435DB" w14:textId="77777777" w:rsidR="00CD0F1F" w:rsidRDefault="00CD0F1F" w:rsidP="00CD0F1F">
      <w:pPr>
        <w:spacing w:line="360" w:lineRule="auto"/>
        <w:rPr>
          <w:rFonts w:ascii="Traditional Arabic" w:eastAsia="Sakkal Majalla" w:hAnsi="Traditional Arabic" w:cs="Traditional Arabic"/>
          <w:sz w:val="28"/>
          <w:szCs w:val="28"/>
          <w:u w:val="single"/>
          <w:rtl/>
        </w:rPr>
      </w:pPr>
    </w:p>
    <w:p w14:paraId="14567E12" w14:textId="77777777" w:rsidR="00CD0F1F" w:rsidRPr="006E13D4" w:rsidRDefault="00CD0F1F" w:rsidP="00CD0F1F">
      <w:pPr>
        <w:spacing w:line="360" w:lineRule="auto"/>
        <w:rPr>
          <w:rFonts w:ascii="Traditional Arabic" w:eastAsia="Sakkal Majalla" w:hAnsi="Traditional Arabic" w:cs="Traditional Arabic" w:hint="cs"/>
          <w:sz w:val="28"/>
          <w:szCs w:val="28"/>
          <w:u w:val="single"/>
        </w:rPr>
      </w:pPr>
    </w:p>
    <w:p w14:paraId="542E0047" w14:textId="77777777" w:rsidR="00CD0F1F" w:rsidRPr="006E13D4" w:rsidRDefault="00CD0F1F" w:rsidP="00CD0F1F">
      <w:pPr>
        <w:spacing w:line="360" w:lineRule="auto"/>
        <w:outlineLvl w:val="0"/>
        <w:rPr>
          <w:rFonts w:ascii="Traditional Arabic" w:eastAsia="Sakkal Majalla" w:hAnsi="Traditional Arabic" w:cs="Traditional Arabic" w:hint="cs"/>
          <w:b/>
          <w:bCs/>
          <w:sz w:val="32"/>
          <w:szCs w:val="32"/>
          <w:u w:val="single"/>
        </w:rPr>
      </w:pPr>
      <w:bookmarkStart w:id="11" w:name="_Toc203357720"/>
      <w:r w:rsidRPr="006E13D4">
        <w:rPr>
          <w:rFonts w:ascii="Traditional Arabic" w:eastAsia="Sakkal Majalla" w:hAnsi="Traditional Arabic" w:cs="Traditional Arabic" w:hint="cs"/>
          <w:b/>
          <w:bCs/>
          <w:sz w:val="32"/>
          <w:szCs w:val="32"/>
          <w:u w:val="single"/>
          <w:rtl/>
        </w:rPr>
        <w:lastRenderedPageBreak/>
        <w:t>الإطار النظري</w:t>
      </w:r>
      <w:bookmarkEnd w:id="11"/>
    </w:p>
    <w:p w14:paraId="03CD8C06" w14:textId="77777777" w:rsidR="00CD0F1F" w:rsidRPr="006E13D4" w:rsidRDefault="00CD0F1F" w:rsidP="00CD0F1F">
      <w:pPr>
        <w:spacing w:line="360" w:lineRule="auto"/>
        <w:jc w:val="center"/>
        <w:outlineLvl w:val="2"/>
        <w:rPr>
          <w:rFonts w:ascii="Traditional Arabic" w:eastAsia="Sakkal Majalla" w:hAnsi="Traditional Arabic" w:cs="Traditional Arabic" w:hint="cs"/>
          <w:b/>
          <w:bCs/>
          <w:sz w:val="28"/>
          <w:szCs w:val="28"/>
          <w:rtl/>
        </w:rPr>
      </w:pPr>
      <w:bookmarkStart w:id="12" w:name="_Toc203357721"/>
      <w:r w:rsidRPr="006E13D4">
        <w:rPr>
          <w:rFonts w:ascii="Traditional Arabic" w:eastAsia="Sakkal Majalla" w:hAnsi="Traditional Arabic" w:cs="Traditional Arabic" w:hint="cs"/>
          <w:b/>
          <w:bCs/>
          <w:sz w:val="28"/>
          <w:szCs w:val="28"/>
          <w:rtl/>
        </w:rPr>
        <w:t>مفهوم الاستدامة</w:t>
      </w:r>
      <w:bookmarkEnd w:id="12"/>
    </w:p>
    <w:p w14:paraId="7F8168B0"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النشأة والتطور التاريخي لمفهوم الاستدامة</w:t>
      </w:r>
    </w:p>
    <w:p w14:paraId="229A3614"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شهد مفهوم الاستدامة تطورًا تدريجيًا عبر العقود، حيث ارتبط في بداياته بمفاهيم الحفاظ على الموارد البيئية واستدامة النظم الإيكولوجية، ثم تطور ليشمل الأبعاد الاقتصادية والاجتماعية، إلى أن أصبح في الوقت الراهن مفهومًا شاملاً يُستخدم في مختلف المجالات التنموية والإدارية. ويمكن إرجاع الجذور الأولى لفكرة الاستدامة إلى ممارسات الشعوب القديمة في الزراعة والصيد التي كانت تعتمد على احترام التوازن البيئي وعدم الاستنزاف. إلا أن التناول العلمي المنظم لهذا المفهوم لم يظهر إلا في العقود الأخيرة، وبالتحديد مع صدور تقرير "حدود النمو" عام 1972 عن نادي روما، الذي دق ناقوس الخطر بشأن التدهور البيئي الناتج عن النشاط الاقتصادي المفرط، وطرح ضرورة إعادة النظر في أنماط الإنتاج والاستهلاك العالمية</w:t>
      </w:r>
      <w:r w:rsidRPr="006E13D4">
        <w:rPr>
          <w:rFonts w:ascii="Traditional Arabic" w:eastAsia="Sakkal Majalla" w:hAnsi="Traditional Arabic" w:cs="Traditional Arabic" w:hint="cs"/>
          <w:sz w:val="28"/>
          <w:szCs w:val="28"/>
        </w:rPr>
        <w:t>.</w:t>
      </w:r>
    </w:p>
    <w:p w14:paraId="111966C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وقد شهد مفهوم الاستدامة دفعة قوية بعد صدور تقرير "مستقبلنا المشترك" سنة 1987، الذي أعدته اللجنة العالمية للبيئة والتنمية التابعة للأمم المتحدة برئاسة غرو </w:t>
      </w:r>
      <w:proofErr w:type="spellStart"/>
      <w:r w:rsidRPr="006E13D4">
        <w:rPr>
          <w:rFonts w:ascii="Traditional Arabic" w:eastAsia="Sakkal Majalla" w:hAnsi="Traditional Arabic" w:cs="Traditional Arabic" w:hint="cs"/>
          <w:sz w:val="28"/>
          <w:szCs w:val="28"/>
          <w:rtl/>
        </w:rPr>
        <w:t>هارلم</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برونتلاند</w:t>
      </w:r>
      <w:proofErr w:type="spellEnd"/>
      <w:r w:rsidRPr="006E13D4">
        <w:rPr>
          <w:rFonts w:ascii="Traditional Arabic" w:eastAsia="Sakkal Majalla" w:hAnsi="Traditional Arabic" w:cs="Traditional Arabic" w:hint="cs"/>
          <w:sz w:val="28"/>
          <w:szCs w:val="28"/>
          <w:rtl/>
        </w:rPr>
        <w:t>، حيث تم تعريف التنمية المستدامة بأنها "التنمية التي تلبي احتياجات الحاضر دون المساس بقدرة الأجيال القادمة على تلبية احتياجاتها الخاصة". هذا التعريف كان نقطة تحول مركزية في النظر إلى الاستدامة كإطار شامل يتقاطع مع السياسات الاقتصادية والبيئية والاجتماعية للدول. تبع ذلك العديد من القمم العالمية، من أبرزها قمة الأرض في ريو دي جانيرو عام 1992، التي تم فيها اعتماد "أجندة 21" كخطة عمل للتنمية المستدامة على مستوى الدول والمؤسسات</w:t>
      </w:r>
      <w:r w:rsidRPr="006E13D4">
        <w:rPr>
          <w:rFonts w:ascii="Traditional Arabic" w:eastAsia="Sakkal Majalla" w:hAnsi="Traditional Arabic" w:cs="Traditional Arabic" w:hint="cs"/>
          <w:sz w:val="28"/>
          <w:szCs w:val="28"/>
        </w:rPr>
        <w:t>.</w:t>
      </w:r>
    </w:p>
    <w:p w14:paraId="168874A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في السياق العربي، بدأت المؤسسات الاقتصادية والحكومية في التفاعل مع هذا المفهوم في بدايات الألفية الجديدة، مع التركيز على قضايا البيئة والاستهلاك الرشيد للموارد. ومع إطلاق أهداف التنمية المستدامة للأمم المتحدة</w:t>
      </w:r>
      <w:r w:rsidRPr="006E13D4">
        <w:rPr>
          <w:rFonts w:ascii="Traditional Arabic" w:eastAsia="Sakkal Majalla" w:hAnsi="Traditional Arabic" w:cs="Traditional Arabic" w:hint="cs"/>
          <w:sz w:val="28"/>
          <w:szCs w:val="28"/>
        </w:rPr>
        <w:t xml:space="preserve"> (SDGs) </w:t>
      </w:r>
      <w:r w:rsidRPr="006E13D4">
        <w:rPr>
          <w:rFonts w:ascii="Traditional Arabic" w:eastAsia="Sakkal Majalla" w:hAnsi="Traditional Arabic" w:cs="Traditional Arabic" w:hint="cs"/>
          <w:sz w:val="28"/>
          <w:szCs w:val="28"/>
          <w:rtl/>
        </w:rPr>
        <w:t xml:space="preserve">في 2015، أصبح من الضروري دمج مفاهيم الاستدامة في الخطط التنموية الوطنية، مما حفز العديد من القطاعات، بما فيها قطاع المشاريع الإنشائية، إلى تطوير أدوات واستراتيجيات لضمان تحقيق هذه الأهداف. وقد أوضح العلم (2018) أن مفهوم الاستدامة في الوطن العربي لا يزال </w:t>
      </w:r>
      <w:r w:rsidRPr="006E13D4">
        <w:rPr>
          <w:rFonts w:ascii="Traditional Arabic" w:eastAsia="Sakkal Majalla" w:hAnsi="Traditional Arabic" w:cs="Traditional Arabic" w:hint="cs"/>
          <w:sz w:val="28"/>
          <w:szCs w:val="28"/>
          <w:rtl/>
        </w:rPr>
        <w:lastRenderedPageBreak/>
        <w:t>في طور النضج المؤسسي، وأن كثيرًا من المشروعات تتبنى شعارات الاستدامة دون تطبيق فعلي ملموس، مشيرًا إلى ضرورة التأسيس لنموذج إداري متكامل يربط بين مراحل المشروع وأهداف الاستدامة البيئية والاقتصادية والاجتماعية (العلم، 2018)</w:t>
      </w:r>
      <w:r w:rsidRPr="006E13D4">
        <w:rPr>
          <w:rFonts w:ascii="Traditional Arabic" w:eastAsia="Sakkal Majalla" w:hAnsi="Traditional Arabic" w:cs="Traditional Arabic" w:hint="cs"/>
          <w:sz w:val="28"/>
          <w:szCs w:val="28"/>
        </w:rPr>
        <w:t>.</w:t>
      </w:r>
    </w:p>
    <w:p w14:paraId="0BF0D3E9"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أبعاد الاستدامة الثلاثة: البيئية – الاقتصادية – الاجتماعية</w:t>
      </w:r>
    </w:p>
    <w:p w14:paraId="30FE5AE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يقوم مفهوم الاستدامة على ثلاث ركائز مترابطة تعرف عادة </w:t>
      </w:r>
      <w:proofErr w:type="gramStart"/>
      <w:r w:rsidRPr="006E13D4">
        <w:rPr>
          <w:rFonts w:ascii="Traditional Arabic" w:eastAsia="Sakkal Majalla" w:hAnsi="Traditional Arabic" w:cs="Traditional Arabic" w:hint="cs"/>
          <w:sz w:val="28"/>
          <w:szCs w:val="28"/>
          <w:rtl/>
        </w:rPr>
        <w:t>بـ"</w:t>
      </w:r>
      <w:proofErr w:type="gramEnd"/>
      <w:r w:rsidRPr="006E13D4">
        <w:rPr>
          <w:rFonts w:ascii="Traditional Arabic" w:eastAsia="Sakkal Majalla" w:hAnsi="Traditional Arabic" w:cs="Traditional Arabic" w:hint="cs"/>
          <w:sz w:val="28"/>
          <w:szCs w:val="28"/>
          <w:rtl/>
        </w:rPr>
        <w:t>مثلث الاستدامة"، وهي: البعد البيئي، والبعد الاقتصادي، والبعد الاجتماعي. ويُعد هذا التوازن بين الأبعاد الثلاثة جوهر فلسفة الاستدامة، حيث لا يمكن تحقيق تنمية حقيقية دون مراعاة التأثيرات المترتبة على البيئة والمجتمع والاقتصاد معًا</w:t>
      </w:r>
      <w:r w:rsidRPr="006E13D4">
        <w:rPr>
          <w:rFonts w:ascii="Traditional Arabic" w:eastAsia="Sakkal Majalla" w:hAnsi="Traditional Arabic" w:cs="Traditional Arabic" w:hint="cs"/>
          <w:sz w:val="28"/>
          <w:szCs w:val="28"/>
        </w:rPr>
        <w:t>.</w:t>
      </w:r>
    </w:p>
    <w:p w14:paraId="28F3024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أولًا، يُعد البعد البيئي حجر الزاوية في الاستدامة، ويرتبط بالحفاظ على النظم البيئية والتقليل من الأثر البيئي الناتج عن الأنشطة البشرية، مثل التلوث، وانبعاثات الكربون، والتدهور الحيوي. ويقتضي تبني سياسات للحد من استخدام الموارد غير المتجددة، وتشجيع استخدام الطاقة النظيفة، وتفعيل ممارسات إعادة التدوير، وإدارة النفايات بشكل فعال. في قطاع البناء، ينعكس هذا البعد في تطبيق معايير البناء الأخضر، واستخدام المواد المستدامة، وتقييم الأثر البيئي للمشروعات</w:t>
      </w:r>
      <w:r w:rsidRPr="006E13D4">
        <w:rPr>
          <w:rFonts w:ascii="Traditional Arabic" w:eastAsia="Sakkal Majalla" w:hAnsi="Traditional Arabic" w:cs="Traditional Arabic" w:hint="cs"/>
          <w:sz w:val="28"/>
          <w:szCs w:val="28"/>
        </w:rPr>
        <w:t>.</w:t>
      </w:r>
    </w:p>
    <w:p w14:paraId="0DAC136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ثانيًا، البعد الاقتصادي يُعنى بضمان الجدوى الاقتصادية للمشروعات وتحقيق الكفاءة في استخدام الموارد، بما يعزز من الربحية على المدى الطويل دون التضحية بالاستقرار البيئي أو الاجتماعي. ويشمل هذا البعد استخدام آليات إدارة المخاطر، وتقييم التكاليف الحقيقية للمشروعات بما في ذلك "التكاليف البيئية والاجتماعية الخفية"، مما يسهم في تحقيق الاستقرار الاقتصادي للمؤسسات. وأوضحت دراسة المطيري (2022) أن غياب التوازن بين البعد الاقتصادي وغيره من الأبعاد يؤدي إلى قرارات استثمارية قصيرة المدى قد تُضعف من قدرة المؤسسة على المنافسة المستدامة مستقبلاً (المطيري، 2022)</w:t>
      </w:r>
      <w:r w:rsidRPr="006E13D4">
        <w:rPr>
          <w:rFonts w:ascii="Traditional Arabic" w:eastAsia="Sakkal Majalla" w:hAnsi="Traditional Arabic" w:cs="Traditional Arabic" w:hint="cs"/>
          <w:sz w:val="28"/>
          <w:szCs w:val="28"/>
        </w:rPr>
        <w:t>.</w:t>
      </w:r>
    </w:p>
    <w:p w14:paraId="1D70F83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ثالثًا، البعد الاجتماعي يركز على تحقيق العدالة الاجتماعية وتحسين ظروف العمل والمعيشة للمجتمعات، بما في ذلك احترام حقوق الإنسان، وتكافؤ الفرص، والتنوع، والمساواة، والمشاركة المجتمعية. وفي قطاع المشاريع، يشمل هذا البعد حماية حقوق العمال، والسلامة المهنية، وخلق بيئات عمل عادلة، وضمان أن يكون للمشروع أثر إيجابي على المجتمعات المحلية. وتبيّن دراسة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tl/>
        </w:rPr>
        <w:t xml:space="preserve"> (2014) أن </w:t>
      </w:r>
      <w:r w:rsidRPr="006E13D4">
        <w:rPr>
          <w:rFonts w:ascii="Traditional Arabic" w:eastAsia="Sakkal Majalla" w:hAnsi="Traditional Arabic" w:cs="Traditional Arabic" w:hint="cs"/>
          <w:sz w:val="28"/>
          <w:szCs w:val="28"/>
          <w:rtl/>
        </w:rPr>
        <w:lastRenderedPageBreak/>
        <w:t>كثيرًا من المؤسسات تفتقر إلى إطار واضح لتضمين الاعتبارات الاجتماعية في تقارير الاستدامة، مما يجعل الإفصاح عن هذه الجوانب غير متوازن مقارنة بالإفصاح البيئي أو المالي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tl/>
        </w:rPr>
        <w:t>، 2014)</w:t>
      </w:r>
      <w:r w:rsidRPr="006E13D4">
        <w:rPr>
          <w:rFonts w:ascii="Traditional Arabic" w:eastAsia="Sakkal Majalla" w:hAnsi="Traditional Arabic" w:cs="Traditional Arabic" w:hint="cs"/>
          <w:sz w:val="28"/>
          <w:szCs w:val="28"/>
        </w:rPr>
        <w:t>.</w:t>
      </w:r>
    </w:p>
    <w:p w14:paraId="11EF0663" w14:textId="77777777" w:rsidR="00CD0F1F" w:rsidRPr="006E13D4" w:rsidRDefault="00CD0F1F" w:rsidP="00CD0F1F">
      <w:pPr>
        <w:spacing w:line="360" w:lineRule="auto"/>
        <w:rPr>
          <w:rFonts w:ascii="Traditional Arabic" w:eastAsia="Sakkal Majalla" w:hAnsi="Traditional Arabic" w:cs="Traditional Arabic" w:hint="cs"/>
          <w:sz w:val="28"/>
          <w:szCs w:val="28"/>
        </w:rPr>
      </w:pPr>
    </w:p>
    <w:p w14:paraId="19D4C47B"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المبادئ الأساسية للاستدامة</w:t>
      </w:r>
    </w:p>
    <w:p w14:paraId="1282653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تستند الاستدامة إلى عدد من المبادئ الأساسية التي توجه السياسات والممارسات في جميع القطاعات، والتي تمثل معايير أخلاقية وتنظيمية لضمان التطبيق الفعلي للمفهوم. ومن أبرز هذه المبادئ</w:t>
      </w:r>
      <w:r w:rsidRPr="006E13D4">
        <w:rPr>
          <w:rFonts w:ascii="Traditional Arabic" w:eastAsia="Sakkal Majalla" w:hAnsi="Traditional Arabic" w:cs="Traditional Arabic" w:hint="cs"/>
          <w:sz w:val="28"/>
          <w:szCs w:val="28"/>
        </w:rPr>
        <w:t xml:space="preserve">: </w:t>
      </w:r>
      <w:r w:rsidRPr="006E13D4">
        <w:rPr>
          <w:rFonts w:ascii="Traditional Arabic" w:eastAsia="Sakkal Majalla" w:hAnsi="Traditional Arabic" w:cs="Traditional Arabic" w:hint="cs"/>
          <w:b/>
          <w:bCs/>
          <w:sz w:val="28"/>
          <w:szCs w:val="28"/>
          <w:rtl/>
        </w:rPr>
        <w:t>مبدأ الشمول والتكامل</w:t>
      </w:r>
      <w:r w:rsidRPr="006E13D4">
        <w:rPr>
          <w:rFonts w:ascii="Traditional Arabic" w:eastAsia="Sakkal Majalla" w:hAnsi="Traditional Arabic" w:cs="Traditional Arabic" w:hint="cs"/>
          <w:sz w:val="28"/>
          <w:szCs w:val="28"/>
          <w:rtl/>
        </w:rPr>
        <w:t>، حيث يجب النظر إلى التنمية المستدامة بوصفها عملية شاملة تتضمن جميع عناصر النظام الاقتصادي والاجتماعي والبيئي، وليس مجرد تدخلات قطاعية متفرقة. ويتطلب هذا المبدأ أن تكون الاستدامة مدمجة في جميع مراحل المشروع، منذ التخطيط وحتى التنفيذ والتقييم</w:t>
      </w:r>
      <w:r w:rsidRPr="006E13D4">
        <w:rPr>
          <w:rFonts w:ascii="Traditional Arabic" w:eastAsia="Sakkal Majalla" w:hAnsi="Traditional Arabic" w:cs="Traditional Arabic" w:hint="cs"/>
          <w:sz w:val="28"/>
          <w:szCs w:val="28"/>
        </w:rPr>
        <w:t>.</w:t>
      </w:r>
    </w:p>
    <w:p w14:paraId="2F71FA9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هناك أيضًا </w:t>
      </w:r>
      <w:r w:rsidRPr="006E13D4">
        <w:rPr>
          <w:rFonts w:ascii="Traditional Arabic" w:eastAsia="Sakkal Majalla" w:hAnsi="Traditional Arabic" w:cs="Traditional Arabic" w:hint="cs"/>
          <w:b/>
          <w:bCs/>
          <w:sz w:val="28"/>
          <w:szCs w:val="28"/>
          <w:rtl/>
        </w:rPr>
        <w:t>مبدأ العدالة بين الأجيال</w:t>
      </w:r>
      <w:r w:rsidRPr="006E13D4">
        <w:rPr>
          <w:rFonts w:ascii="Traditional Arabic" w:eastAsia="Sakkal Majalla" w:hAnsi="Traditional Arabic" w:cs="Traditional Arabic" w:hint="cs"/>
          <w:sz w:val="28"/>
          <w:szCs w:val="28"/>
          <w:rtl/>
        </w:rPr>
        <w:t xml:space="preserve">، الذي يُعد أحد أقدم المبادئ في الفكر البيئي، وينص على مسؤولية الجيل الحاضر في الحفاظ على الموارد بما لا يضر بحقوق الأجيال القادمة. ويرتبط به </w:t>
      </w:r>
      <w:r w:rsidRPr="006E13D4">
        <w:rPr>
          <w:rFonts w:ascii="Traditional Arabic" w:eastAsia="Sakkal Majalla" w:hAnsi="Traditional Arabic" w:cs="Traditional Arabic" w:hint="cs"/>
          <w:b/>
          <w:bCs/>
          <w:sz w:val="28"/>
          <w:szCs w:val="28"/>
          <w:rtl/>
        </w:rPr>
        <w:t>مبدأ العدالة داخل الجيل</w:t>
      </w:r>
      <w:r w:rsidRPr="006E13D4">
        <w:rPr>
          <w:rFonts w:ascii="Traditional Arabic" w:eastAsia="Sakkal Majalla" w:hAnsi="Traditional Arabic" w:cs="Traditional Arabic" w:hint="cs"/>
          <w:sz w:val="28"/>
          <w:szCs w:val="28"/>
          <w:rtl/>
        </w:rPr>
        <w:t xml:space="preserve">، الذي يشير إلى أهمية تحقيق العدالة الاجتماعية بين فئات المجتمع المختلفة، من خلال التوزيع العادل للعوائد وتحقيق تكافؤ الفرص. كما أن </w:t>
      </w:r>
      <w:r w:rsidRPr="006E13D4">
        <w:rPr>
          <w:rFonts w:ascii="Traditional Arabic" w:eastAsia="Sakkal Majalla" w:hAnsi="Traditional Arabic" w:cs="Traditional Arabic" w:hint="cs"/>
          <w:b/>
          <w:bCs/>
          <w:sz w:val="28"/>
          <w:szCs w:val="28"/>
          <w:rtl/>
        </w:rPr>
        <w:t>مبدأ الحوكمة الرشيدة</w:t>
      </w:r>
      <w:r w:rsidRPr="006E13D4">
        <w:rPr>
          <w:rFonts w:ascii="Traditional Arabic" w:eastAsia="Sakkal Majalla" w:hAnsi="Traditional Arabic" w:cs="Traditional Arabic" w:hint="cs"/>
          <w:sz w:val="28"/>
          <w:szCs w:val="28"/>
          <w:rtl/>
        </w:rPr>
        <w:t xml:space="preserve"> يُعد من الركائز الأساسية لتحقيق الاستدامة، حيث يشترط وجود أنظمة إدارية شفافة، ومساءلة فعّالة، ومشاركة حقيقية لأصحاب المصلحة، لضمان اتخاذ قرارات عادلة ومتوازنة. وأشارت دراسة عبد العال وخليل ومحمود (2023) إلى أن جودة الإفصاح في تقارير الاستدامة تعكس مستوى الالتزام بهذه المبادئ، وتؤثر بدورها على ثقة المستثمرين وسلوكهم تجاه المؤسسات (عبد العال وآخرون، 2023)</w:t>
      </w:r>
      <w:r w:rsidRPr="006E13D4">
        <w:rPr>
          <w:rFonts w:ascii="Traditional Arabic" w:eastAsia="Sakkal Majalla" w:hAnsi="Traditional Arabic" w:cs="Traditional Arabic" w:hint="cs"/>
          <w:sz w:val="28"/>
          <w:szCs w:val="28"/>
        </w:rPr>
        <w:t>.</w:t>
      </w:r>
    </w:p>
    <w:p w14:paraId="42A69C1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كذلك، يُعد </w:t>
      </w:r>
      <w:r w:rsidRPr="006E13D4">
        <w:rPr>
          <w:rFonts w:ascii="Traditional Arabic" w:eastAsia="Sakkal Majalla" w:hAnsi="Traditional Arabic" w:cs="Traditional Arabic" w:hint="cs"/>
          <w:b/>
          <w:bCs/>
          <w:sz w:val="28"/>
          <w:szCs w:val="28"/>
          <w:rtl/>
        </w:rPr>
        <w:t>مبدأ الشفافية والإفصاح</w:t>
      </w:r>
      <w:r w:rsidRPr="006E13D4">
        <w:rPr>
          <w:rFonts w:ascii="Traditional Arabic" w:eastAsia="Sakkal Majalla" w:hAnsi="Traditional Arabic" w:cs="Traditional Arabic" w:hint="cs"/>
          <w:sz w:val="28"/>
          <w:szCs w:val="28"/>
          <w:rtl/>
        </w:rPr>
        <w:t xml:space="preserve"> من المبادئ المحورية في منظومة الاستدامة، حيث يتطلب من المؤسسات الإفصاح عن أدائها في الجوانب البيئية والاجتماعية وليس فقط المالية، وفقًا لمعايير معترف بها دوليًا مثل</w:t>
      </w:r>
      <w:r w:rsidRPr="006E13D4">
        <w:rPr>
          <w:rFonts w:ascii="Traditional Arabic" w:eastAsia="Sakkal Majalla" w:hAnsi="Traditional Arabic" w:cs="Traditional Arabic" w:hint="cs"/>
          <w:sz w:val="28"/>
          <w:szCs w:val="28"/>
        </w:rPr>
        <w:t xml:space="preserve"> GRI. </w:t>
      </w:r>
      <w:r w:rsidRPr="006E13D4">
        <w:rPr>
          <w:rFonts w:ascii="Traditional Arabic" w:eastAsia="Sakkal Majalla" w:hAnsi="Traditional Arabic" w:cs="Traditional Arabic" w:hint="cs"/>
          <w:sz w:val="28"/>
          <w:szCs w:val="28"/>
          <w:rtl/>
        </w:rPr>
        <w:t xml:space="preserve">ويُكمل ذلك </w:t>
      </w:r>
      <w:r w:rsidRPr="006E13D4">
        <w:rPr>
          <w:rFonts w:ascii="Traditional Arabic" w:eastAsia="Sakkal Majalla" w:hAnsi="Traditional Arabic" w:cs="Traditional Arabic" w:hint="cs"/>
          <w:b/>
          <w:bCs/>
          <w:sz w:val="28"/>
          <w:szCs w:val="28"/>
          <w:rtl/>
        </w:rPr>
        <w:t>مبدأ التقييم والمراجعة المستمرة</w:t>
      </w:r>
      <w:r w:rsidRPr="006E13D4">
        <w:rPr>
          <w:rFonts w:ascii="Traditional Arabic" w:eastAsia="Sakkal Majalla" w:hAnsi="Traditional Arabic" w:cs="Traditional Arabic" w:hint="cs"/>
          <w:sz w:val="28"/>
          <w:szCs w:val="28"/>
          <w:rtl/>
        </w:rPr>
        <w:t>، الذي يضمن عدم تحول الاستدامة إلى شعارات بل تُصبح جزءًا من دورة التحسين المستمر للمشاريع. وقد بيّن فرج (2017) أن تعزيز موثوقية تقارير الاستدامة من خلال توكيد الحسابات والمراجعة الخارجية يسهم في رفع مصداقية المؤسسة أمام الجهات الداعمة والتمويلية (فرج، 2017)</w:t>
      </w:r>
      <w:r w:rsidRPr="006E13D4">
        <w:rPr>
          <w:rFonts w:ascii="Traditional Arabic" w:eastAsia="Sakkal Majalla" w:hAnsi="Traditional Arabic" w:cs="Traditional Arabic" w:hint="cs"/>
          <w:sz w:val="28"/>
          <w:szCs w:val="28"/>
        </w:rPr>
        <w:t>.</w:t>
      </w:r>
    </w:p>
    <w:p w14:paraId="0CBEEB29"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lastRenderedPageBreak/>
        <w:t>أهداف التنمية المستدامة</w:t>
      </w:r>
      <w:r w:rsidRPr="006E13D4">
        <w:rPr>
          <w:rFonts w:ascii="Traditional Arabic" w:eastAsia="Sakkal Majalla" w:hAnsi="Traditional Arabic" w:cs="Traditional Arabic" w:hint="cs"/>
          <w:b/>
          <w:bCs/>
          <w:sz w:val="28"/>
          <w:szCs w:val="28"/>
        </w:rPr>
        <w:t xml:space="preserve"> (SDGs) </w:t>
      </w:r>
      <w:r w:rsidRPr="006E13D4">
        <w:rPr>
          <w:rFonts w:ascii="Traditional Arabic" w:eastAsia="Sakkal Majalla" w:hAnsi="Traditional Arabic" w:cs="Traditional Arabic" w:hint="cs"/>
          <w:b/>
          <w:bCs/>
          <w:sz w:val="28"/>
          <w:szCs w:val="28"/>
          <w:rtl/>
        </w:rPr>
        <w:t>وربطها بقطاع البناء</w:t>
      </w:r>
    </w:p>
    <w:p w14:paraId="13503E5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في عام 2015، اعتمدت الأمم المتحدة خطة التنمية المستدامة لعام 2030، التي تضمنت 17 هدفًا و169 غاية، تُعرف باسم </w:t>
      </w:r>
      <w:r w:rsidRPr="006E13D4">
        <w:rPr>
          <w:rFonts w:ascii="Traditional Arabic" w:eastAsia="Sakkal Majalla" w:hAnsi="Traditional Arabic" w:cs="Traditional Arabic" w:hint="cs"/>
          <w:b/>
          <w:bCs/>
          <w:sz w:val="28"/>
          <w:szCs w:val="28"/>
          <w:rtl/>
        </w:rPr>
        <w:t>أهداف التنمية المستدامة</w:t>
      </w:r>
      <w:r w:rsidRPr="006E13D4">
        <w:rPr>
          <w:rFonts w:ascii="Traditional Arabic" w:eastAsia="Sakkal Majalla" w:hAnsi="Traditional Arabic" w:cs="Traditional Arabic" w:hint="cs"/>
          <w:b/>
          <w:bCs/>
          <w:sz w:val="28"/>
          <w:szCs w:val="28"/>
        </w:rPr>
        <w:t xml:space="preserve"> (SDGs)</w:t>
      </w:r>
      <w:r w:rsidRPr="006E13D4">
        <w:rPr>
          <w:rFonts w:ascii="Traditional Arabic" w:eastAsia="Sakkal Majalla" w:hAnsi="Traditional Arabic" w:cs="Traditional Arabic" w:hint="cs"/>
          <w:sz w:val="28"/>
          <w:szCs w:val="28"/>
          <w:rtl/>
        </w:rPr>
        <w:t>، وتهدف إلى القضاء على الفقر، وحماية البيئة، وضمان الرفاهية للجميع. وتمثل هذه الأهداف إطارًا عالميًا تعمل من خلاله الدول والمؤسسات على توجيه سياساتها واستثماراتها نحو تنمية متكاملة وشاملة</w:t>
      </w:r>
      <w:r w:rsidRPr="006E13D4">
        <w:rPr>
          <w:rFonts w:ascii="Traditional Arabic" w:eastAsia="Sakkal Majalla" w:hAnsi="Traditional Arabic" w:cs="Traditional Arabic" w:hint="cs"/>
          <w:sz w:val="28"/>
          <w:szCs w:val="28"/>
        </w:rPr>
        <w:t>.</w:t>
      </w:r>
    </w:p>
    <w:p w14:paraId="08745D2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ويرتبط قطاع البناء مباشرة بعدد كبير من هذه الأهداف، خاصة تلك المتعلقة بالمدن المستدامة، والعمل المناخي، والطاقة النظيفة، والمياه، والابتكار، والبنية التحتية، والاستهلاك والإنتاج المسؤول، وهو ما يجعل من هذا القطاع عنصرًا محوريًا في تنفيذ أجندة 2030. فعلى سبيل المثال، يحقق الهدف التاسع (الصناعة والابتكار والبنية التحتية) أثرًا مباشرًا من خلال تحسين كفاءة استخدام الموارد في المشاريع. كما يساهم الهدف 11 (مدن ومجتمعات مستدامة) في توجيه المشاريع نحو التخطيط الحضري الذكي، واستخدام مواد بناء صديقة للبيئة. وقد أكد العلم (2018) أن ربط ممارسات المشاريع بالـ</w:t>
      </w:r>
      <w:r w:rsidRPr="006E13D4">
        <w:rPr>
          <w:rFonts w:ascii="Traditional Arabic" w:eastAsia="Sakkal Majalla" w:hAnsi="Traditional Arabic" w:cs="Traditional Arabic" w:hint="cs"/>
          <w:sz w:val="28"/>
          <w:szCs w:val="28"/>
        </w:rPr>
        <w:t xml:space="preserve"> SDGs </w:t>
      </w:r>
      <w:r w:rsidRPr="006E13D4">
        <w:rPr>
          <w:rFonts w:ascii="Traditional Arabic" w:eastAsia="Sakkal Majalla" w:hAnsi="Traditional Arabic" w:cs="Traditional Arabic" w:hint="cs"/>
          <w:sz w:val="28"/>
          <w:szCs w:val="28"/>
          <w:rtl/>
        </w:rPr>
        <w:t>يعزز من قدرة المؤسسات على المواءمة بين الأهداف الوطنية والعالمية، ويوفر لها مرجعية واضحة لتقييم أدائها (العلم، 2018)</w:t>
      </w:r>
      <w:r w:rsidRPr="006E13D4">
        <w:rPr>
          <w:rFonts w:ascii="Traditional Arabic" w:eastAsia="Sakkal Majalla" w:hAnsi="Traditional Arabic" w:cs="Traditional Arabic" w:hint="cs"/>
          <w:sz w:val="28"/>
          <w:szCs w:val="28"/>
        </w:rPr>
        <w:t>.</w:t>
      </w:r>
    </w:p>
    <w:p w14:paraId="7326A14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إن قطاع البناء في المملكة العربية السعودية، باعتباره من أكبر القطاعات المستفيدة من خطط رؤية 2030، أصبح مطالبًا بإعادة هندسة نماذجه التشغيلية لتتوافق مع أهداف الاستدامة، سواء من خلال تقليل استهلاك الطاقة، أو رفع كفاءة إدارة المياه، أو تحسين معايير السلامة المهنية، أو تعزيز دور المجتمع المحلي في مراحل تنفيذ المشاريع. وقد أظهرت دراسة المطيري (2022) أن المؤسسات السعودية بدأت تدريجيًا في تبني بعض مؤشرات الأداء المستدام، إلا أن التطبيق لا يزال يواجه تحديات تتعلق بالبنية التنظيمية، وضعف آليات المتابعة، ونقص الكفاءات المؤهلة (المطيري، 2022)</w:t>
      </w:r>
      <w:r w:rsidRPr="006E13D4">
        <w:rPr>
          <w:rFonts w:ascii="Traditional Arabic" w:eastAsia="Sakkal Majalla" w:hAnsi="Traditional Arabic" w:cs="Traditional Arabic" w:hint="cs"/>
          <w:sz w:val="28"/>
          <w:szCs w:val="28"/>
        </w:rPr>
        <w:t>.</w:t>
      </w:r>
    </w:p>
    <w:p w14:paraId="2C06AB50"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الاستدامة في القطاع المؤسسي</w:t>
      </w:r>
    </w:p>
    <w:p w14:paraId="16E6F9A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أصبحت الاستدامة في القطاع المؤسسي من أهم المحددات التي تؤثر على استمرارية المؤسسات وقدرتها على المنافسة في ظل التحولات الاقتصادية والبيئية المتسارعة. إذ لم تعد المؤسسات تُقاس فقط على أساس قدرتها على تحقيق الأرباح، بل أصبح من الضروري النظر إلى مدى التزامها بمسؤولياتها الاجتماعية والبيئية، ومساهمتها في التنمية المستدامة على المدى الطويل. ويُنظر إلى المؤسسات التي تتبنى </w:t>
      </w:r>
      <w:r w:rsidRPr="006E13D4">
        <w:rPr>
          <w:rFonts w:ascii="Traditional Arabic" w:eastAsia="Sakkal Majalla" w:hAnsi="Traditional Arabic" w:cs="Traditional Arabic" w:hint="cs"/>
          <w:sz w:val="28"/>
          <w:szCs w:val="28"/>
          <w:rtl/>
        </w:rPr>
        <w:lastRenderedPageBreak/>
        <w:t>مبادئ الاستدامة باعتبارها كيانات مسؤولة تمتلك رؤية متكاملة تتجاوز الأهداف قصيرة الأجل، وتعتمد نهجًا شموليًا يربط بين الأداء المالي والكفاءة البيئية والعدالة الاجتماعية</w:t>
      </w:r>
      <w:r w:rsidRPr="006E13D4">
        <w:rPr>
          <w:rFonts w:ascii="Traditional Arabic" w:eastAsia="Sakkal Majalla" w:hAnsi="Traditional Arabic" w:cs="Traditional Arabic" w:hint="cs"/>
          <w:sz w:val="28"/>
          <w:szCs w:val="28"/>
        </w:rPr>
        <w:t>.</w:t>
      </w:r>
    </w:p>
    <w:p w14:paraId="36042A20"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وقد تنوعت ممارسات الاستدامة في المؤسسات ما بين السياسات الداخلية المتعلقة بترشيد استخدام الموارد، واعتماد الطاقة النظيفة، وإدارة النفايات، وتبني معايير البناء الأخضر، إلى المبادرات الاجتماعية كدعم المجتمع المحلي، وتحسين ظروف العمل، وتوفير فرص التدريب. كما تلعب الشفافية المؤسسية دورًا محوريًا في هذه العملية، من خلال الإفصاح المنتظم عن مؤشرات الأداء في تقارير الاستدامة، مما يعزز من ثقة المستثمرين وأصحاب المصلحة</w:t>
      </w:r>
      <w:r w:rsidRPr="006E13D4">
        <w:rPr>
          <w:rFonts w:ascii="Traditional Arabic" w:eastAsia="Sakkal Majalla" w:hAnsi="Traditional Arabic" w:cs="Traditional Arabic" w:hint="cs"/>
          <w:sz w:val="28"/>
          <w:szCs w:val="28"/>
        </w:rPr>
        <w:t>.</w:t>
      </w:r>
    </w:p>
    <w:p w14:paraId="58D0D8C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إلى أن المؤسسات التي تنجح في دمج الاستدامة ضمن نموذج أعمالها تكون أكثر قدرة على التكيف مع التحديات العالمية مثل تغير المناخ، وتقلبات الأسواق، والتغيرات التشريعية، إذ تصبح مرنة وقادرة على تجديد عملياتها وفق متطلبات التنمية الشاملة. ويؤكد أن ربط الاستدامة بالإدارة المؤسسية يعزز من كفاءة اتخاذ القرار ويقلل من المخاطر التشغيلية طويلة الأمد</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2013).</w:t>
      </w:r>
    </w:p>
    <w:p w14:paraId="5F192B40"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تطبيقات الاستدامة في مشاريع التشييد</w:t>
      </w:r>
    </w:p>
    <w:p w14:paraId="639D11BC"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يُعد قطاع التشييد والبناء من أكثر القطاعات تأثيرًا على البيئة والموارد الطبيعية، ما يجعله من أهم المجالات التي تستدعي تطبيق مبادئ الاستدامة. وتتنوع تطبيقات الاستدامة في هذا القطاع بحسب مراحل المشروع، إذ تبدأ من مرحلة التصميم باعتماد نماذج البناء البيئي، واستخدام مواد صديقة للبيئة، وصولًا إلى مرحلة التنفيذ التي تتطلب إدارة فعالة للنفايات والحد من الانبعاثات، ثم مرحلة التشغيل التي تركز على تقليل استهلاك الطاقة والمياه</w:t>
      </w:r>
      <w:r w:rsidRPr="006E13D4">
        <w:rPr>
          <w:rFonts w:ascii="Traditional Arabic" w:eastAsia="Sakkal Majalla" w:hAnsi="Traditional Arabic" w:cs="Traditional Arabic" w:hint="cs"/>
          <w:sz w:val="28"/>
          <w:szCs w:val="28"/>
        </w:rPr>
        <w:t>.</w:t>
      </w:r>
    </w:p>
    <w:p w14:paraId="1BBE512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وتشمل هذه التطبيقات أيضًا استخدام أدوات رقمية ذكية مثل نمذجة معلومات البناء</w:t>
      </w:r>
      <w:r w:rsidRPr="006E13D4">
        <w:rPr>
          <w:rFonts w:ascii="Traditional Arabic" w:eastAsia="Sakkal Majalla" w:hAnsi="Traditional Arabic" w:cs="Traditional Arabic" w:hint="cs"/>
          <w:sz w:val="28"/>
          <w:szCs w:val="28"/>
        </w:rPr>
        <w:t xml:space="preserve"> (BIM) </w:t>
      </w:r>
      <w:r w:rsidRPr="006E13D4">
        <w:rPr>
          <w:rFonts w:ascii="Traditional Arabic" w:eastAsia="Sakkal Majalla" w:hAnsi="Traditional Arabic" w:cs="Traditional Arabic" w:hint="cs"/>
          <w:sz w:val="28"/>
          <w:szCs w:val="28"/>
          <w:rtl/>
        </w:rPr>
        <w:t>لتقليل الهدر، واعتماد تقييم دورة الحياة</w:t>
      </w:r>
      <w:r w:rsidRPr="006E13D4">
        <w:rPr>
          <w:rFonts w:ascii="Traditional Arabic" w:eastAsia="Sakkal Majalla" w:hAnsi="Traditional Arabic" w:cs="Traditional Arabic" w:hint="cs"/>
          <w:sz w:val="28"/>
          <w:szCs w:val="28"/>
        </w:rPr>
        <w:t xml:space="preserve"> (LCA) </w:t>
      </w:r>
      <w:r w:rsidRPr="006E13D4">
        <w:rPr>
          <w:rFonts w:ascii="Traditional Arabic" w:eastAsia="Sakkal Majalla" w:hAnsi="Traditional Arabic" w:cs="Traditional Arabic" w:hint="cs"/>
          <w:sz w:val="28"/>
          <w:szCs w:val="28"/>
          <w:rtl/>
        </w:rPr>
        <w:t>للمواد والأنظمة المستخدمة، وتطبيق أنظمة التصنيف البيئي مثل</w:t>
      </w:r>
      <w:r w:rsidRPr="006E13D4">
        <w:rPr>
          <w:rFonts w:ascii="Traditional Arabic" w:eastAsia="Sakkal Majalla" w:hAnsi="Traditional Arabic" w:cs="Traditional Arabic" w:hint="cs"/>
          <w:sz w:val="28"/>
          <w:szCs w:val="28"/>
        </w:rPr>
        <w:t xml:space="preserve"> LEED </w:t>
      </w:r>
      <w:r w:rsidRPr="006E13D4">
        <w:rPr>
          <w:rFonts w:ascii="Traditional Arabic" w:eastAsia="Sakkal Majalla" w:hAnsi="Traditional Arabic" w:cs="Traditional Arabic" w:hint="cs"/>
          <w:sz w:val="28"/>
          <w:szCs w:val="28"/>
          <w:rtl/>
        </w:rPr>
        <w:t>و</w:t>
      </w:r>
      <w:r w:rsidRPr="006E13D4">
        <w:rPr>
          <w:rFonts w:ascii="Traditional Arabic" w:eastAsia="Sakkal Majalla" w:hAnsi="Traditional Arabic" w:cs="Traditional Arabic" w:hint="cs"/>
          <w:sz w:val="28"/>
          <w:szCs w:val="28"/>
        </w:rPr>
        <w:t xml:space="preserve">BREEAM </w:t>
      </w:r>
      <w:r w:rsidRPr="006E13D4">
        <w:rPr>
          <w:rFonts w:ascii="Traditional Arabic" w:eastAsia="Sakkal Majalla" w:hAnsi="Traditional Arabic" w:cs="Traditional Arabic" w:hint="cs"/>
          <w:sz w:val="28"/>
          <w:szCs w:val="28"/>
          <w:rtl/>
        </w:rPr>
        <w:t>التي توفر إطارًا مرجعيًا لتقييم مدى التزام المشاريع بمعايير الاستدامة. وأظهرت دراسة</w:t>
      </w:r>
      <w:r w:rsidRPr="006E13D4">
        <w:rPr>
          <w:rFonts w:ascii="Traditional Arabic" w:eastAsia="Sakkal Majalla" w:hAnsi="Traditional Arabic" w:cs="Traditional Arabic" w:hint="cs"/>
          <w:sz w:val="28"/>
          <w:szCs w:val="28"/>
        </w:rPr>
        <w:t xml:space="preserve"> Alqahtani et al. (2022) </w:t>
      </w:r>
      <w:r w:rsidRPr="006E13D4">
        <w:rPr>
          <w:rFonts w:ascii="Traditional Arabic" w:eastAsia="Sakkal Majalla" w:hAnsi="Traditional Arabic" w:cs="Traditional Arabic" w:hint="cs"/>
          <w:sz w:val="28"/>
          <w:szCs w:val="28"/>
          <w:rtl/>
        </w:rPr>
        <w:t xml:space="preserve">أن تطبيق منهجيات حديثة مثل </w:t>
      </w:r>
      <w:r w:rsidRPr="006E13D4">
        <w:rPr>
          <w:rFonts w:ascii="Traditional Arabic" w:eastAsia="Sakkal Majalla" w:hAnsi="Traditional Arabic" w:cs="Traditional Arabic" w:hint="cs"/>
          <w:sz w:val="28"/>
          <w:szCs w:val="28"/>
          <w:rtl/>
        </w:rPr>
        <w:lastRenderedPageBreak/>
        <w:t>"التسليم المتكامل للمشاريع</w:t>
      </w:r>
      <w:r w:rsidRPr="006E13D4">
        <w:rPr>
          <w:rFonts w:ascii="Traditional Arabic" w:eastAsia="Sakkal Majalla" w:hAnsi="Traditional Arabic" w:cs="Traditional Arabic" w:hint="cs"/>
          <w:sz w:val="28"/>
          <w:szCs w:val="28"/>
        </w:rPr>
        <w:t xml:space="preserve"> (IPD)" </w:t>
      </w:r>
      <w:r w:rsidRPr="006E13D4">
        <w:rPr>
          <w:rFonts w:ascii="Traditional Arabic" w:eastAsia="Sakkal Majalla" w:hAnsi="Traditional Arabic" w:cs="Traditional Arabic" w:hint="cs"/>
          <w:sz w:val="28"/>
          <w:szCs w:val="28"/>
          <w:rtl/>
        </w:rPr>
        <w:t>في السعودية أدى إلى تحسين كفاءة العمليات، وزيادة التعاون بين الأطراف المعنية، وتخفيف الأثر البيئي للمشروعات الإنشائية</w:t>
      </w:r>
      <w:r w:rsidRPr="006E13D4">
        <w:rPr>
          <w:rFonts w:ascii="Traditional Arabic" w:eastAsia="Sakkal Majalla" w:hAnsi="Traditional Arabic" w:cs="Traditional Arabic" w:hint="cs"/>
          <w:sz w:val="28"/>
          <w:szCs w:val="28"/>
        </w:rPr>
        <w:t xml:space="preserve"> (Alqahtani et al., 2022).</w:t>
      </w:r>
    </w:p>
    <w:p w14:paraId="6F3D438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وفي دراسة أخرى، 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 </w:t>
      </w:r>
      <w:r w:rsidRPr="006E13D4">
        <w:rPr>
          <w:rFonts w:ascii="Traditional Arabic" w:eastAsia="Sakkal Majalla" w:hAnsi="Traditional Arabic" w:cs="Traditional Arabic" w:hint="cs"/>
          <w:sz w:val="28"/>
          <w:szCs w:val="28"/>
          <w:rtl/>
        </w:rPr>
        <w:t>إلى أن المشاريع التي تتبنى مؤشرات الاستدامة منذ البداية تُظهر أداءً أفضل من حيث إدارة التكاليف، والمرونة التنظيمية، وتحقيق رضا العملاء. وأوصى بضرورة دمج ممارسات الاستدامة في استراتيجيات المشروع، وليس التعامل معها كعناصر منفصلة أو إضافية، لما لها من أثر كبير في تحسين جودة التنفيذ وتقليل المخاطر المستقبلية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2023).</w:t>
      </w:r>
    </w:p>
    <w:p w14:paraId="1C546883" w14:textId="77777777" w:rsidR="00CD0F1F" w:rsidRPr="006E13D4" w:rsidRDefault="00CD0F1F" w:rsidP="00CD0F1F">
      <w:pPr>
        <w:spacing w:line="360" w:lineRule="auto"/>
        <w:rPr>
          <w:rFonts w:ascii="Traditional Arabic" w:eastAsia="Sakkal Majalla" w:hAnsi="Traditional Arabic" w:cs="Traditional Arabic" w:hint="cs"/>
          <w:b/>
          <w:bCs/>
          <w:sz w:val="28"/>
          <w:szCs w:val="28"/>
          <w:rtl/>
        </w:rPr>
      </w:pPr>
    </w:p>
    <w:p w14:paraId="6D3A34BE" w14:textId="77777777" w:rsidR="00CD0F1F" w:rsidRPr="006E13D4" w:rsidRDefault="00CD0F1F" w:rsidP="00CD0F1F">
      <w:pPr>
        <w:spacing w:line="360" w:lineRule="auto"/>
        <w:rPr>
          <w:rFonts w:ascii="Traditional Arabic" w:eastAsia="Sakkal Majalla" w:hAnsi="Traditional Arabic" w:cs="Traditional Arabic" w:hint="cs"/>
          <w:b/>
          <w:bCs/>
          <w:sz w:val="28"/>
          <w:szCs w:val="28"/>
          <w:rtl/>
        </w:rPr>
      </w:pPr>
    </w:p>
    <w:p w14:paraId="6D063DFA"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معوقات تطبيق الاستدامة في المشاريع</w:t>
      </w:r>
    </w:p>
    <w:p w14:paraId="2384A1D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رغم الأهمية المتزايدة لمفهوم الاستدامة في قطاع المشاريع، إلا أن التطبيق الفعلي لهذا المفهوم يواجه العديد من التحديات والعقبات، سواء كانت تنظيمية، أو مالية، أو ثقافية. وتُعد قلة الوعي بمفهوم الاستدامة لدى أصحاب القرار والمخططين من أبرز المعوقات، حيث ما زالت بعض الجهات تنظر إلى تطبيق الاستدامة كعبء مالي إضافي وليس كاستثمار استراتيجي على المدى البعيد</w:t>
      </w:r>
      <w:r w:rsidRPr="006E13D4">
        <w:rPr>
          <w:rFonts w:ascii="Traditional Arabic" w:eastAsia="Sakkal Majalla" w:hAnsi="Traditional Arabic" w:cs="Traditional Arabic" w:hint="cs"/>
          <w:sz w:val="28"/>
          <w:szCs w:val="28"/>
        </w:rPr>
        <w:t>.</w:t>
      </w:r>
    </w:p>
    <w:p w14:paraId="3240D4D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كما أن نقص الكفاءات والخبرات المتخصصة في إدارة المشاريع المستدامة يُعد تحديًا كبيرًا، لا سيما في البيئات النامية مثل السعودية، حيث 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Alghuried</w:t>
      </w:r>
      <w:proofErr w:type="spellEnd"/>
      <w:r w:rsidRPr="006E13D4">
        <w:rPr>
          <w:rFonts w:ascii="Traditional Arabic" w:eastAsia="Sakkal Majalla" w:hAnsi="Traditional Arabic" w:cs="Traditional Arabic" w:hint="cs"/>
          <w:sz w:val="28"/>
          <w:szCs w:val="28"/>
        </w:rPr>
        <w:t xml:space="preserve"> (2025) </w:t>
      </w:r>
      <w:r w:rsidRPr="006E13D4">
        <w:rPr>
          <w:rFonts w:ascii="Traditional Arabic" w:eastAsia="Sakkal Majalla" w:hAnsi="Traditional Arabic" w:cs="Traditional Arabic" w:hint="cs"/>
          <w:sz w:val="28"/>
          <w:szCs w:val="28"/>
          <w:rtl/>
        </w:rPr>
        <w:t>إلى أن غياب التدريب المتخصص وندرة برامج التعليم في هذا المجال يمثلان عائقًا أمام التوسع في دمج ممارسات الاستدامة، مما يؤدي إلى ضعف في مستوى التبني المؤسسي والإداري</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Alghuried</w:t>
      </w:r>
      <w:proofErr w:type="spellEnd"/>
      <w:r w:rsidRPr="006E13D4">
        <w:rPr>
          <w:rFonts w:ascii="Traditional Arabic" w:eastAsia="Sakkal Majalla" w:hAnsi="Traditional Arabic" w:cs="Traditional Arabic" w:hint="cs"/>
          <w:sz w:val="28"/>
          <w:szCs w:val="28"/>
        </w:rPr>
        <w:t>, 2025).</w:t>
      </w:r>
    </w:p>
    <w:p w14:paraId="7C316CD4"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ومن أبرز المعوقات الأخرى، قصور التشريعات واللوائح التي تحفز على تبني الاستدامة، إذ غالبًا ما تفتقر السياسات الحكومية إلى الحوافز الكافية التي تشجع المؤسسات على تبني معايير البناء الأخضر أو استخدام الطاقة المتجددة. كما أن قلة التمويل وضعف الدعم المالي يمثلان تحديًا، خاصة في المشاريع الصغيرة أو المتوسطة التي قد ترى في معايير الاستدامة عبئًا إضافيًا</w:t>
      </w:r>
      <w:r w:rsidRPr="006E13D4">
        <w:rPr>
          <w:rFonts w:ascii="Traditional Arabic" w:eastAsia="Sakkal Majalla" w:hAnsi="Traditional Arabic" w:cs="Traditional Arabic" w:hint="cs"/>
          <w:sz w:val="28"/>
          <w:szCs w:val="28"/>
        </w:rPr>
        <w:t>.</w:t>
      </w:r>
    </w:p>
    <w:p w14:paraId="0F28FA7A"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وأوضحت دراسة</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أن المشاريع في الدول النامية ومنها السعودية تعاني من ضعف التنسيق بين الجهات المعنية، وتضارب الأولويات بين أصحاب المصلحة، وغياب أدوات قياس فعالة لتقييم الأداء المستدام، مما يؤدي إلى صعوبة دمج الاستدامة ضمن مراحل المشروع. كما أشار الباحثون إلى ضعف الثقافة المؤسسية الداعمة، وغياب الحوكمة البيئية، كأحد أبرز معوقات تطبيق مفاهيم الاستدامة في قطاع التشييد</w:t>
      </w:r>
      <w:r w:rsidRPr="006E13D4">
        <w:rPr>
          <w:rFonts w:ascii="Traditional Arabic" w:eastAsia="Sakkal Majalla" w:hAnsi="Traditional Arabic" w:cs="Traditional Arabic" w:hint="cs"/>
          <w:sz w:val="28"/>
          <w:szCs w:val="28"/>
        </w:rPr>
        <w:t xml:space="preserve"> (Al-Otaibi et al., 2025).</w:t>
      </w:r>
    </w:p>
    <w:p w14:paraId="321DDEB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وفي المملكة العربية السعودية، بدأت تظهر تجارب بارزة مثل مشروع "ذا لاين" في مدينة </w:t>
      </w:r>
      <w:proofErr w:type="spellStart"/>
      <w:r w:rsidRPr="006E13D4">
        <w:rPr>
          <w:rFonts w:ascii="Traditional Arabic" w:eastAsia="Sakkal Majalla" w:hAnsi="Traditional Arabic" w:cs="Traditional Arabic" w:hint="cs"/>
          <w:sz w:val="28"/>
          <w:szCs w:val="28"/>
          <w:rtl/>
        </w:rPr>
        <w:t>نيوم</w:t>
      </w:r>
      <w:proofErr w:type="spellEnd"/>
      <w:r w:rsidRPr="006E13D4">
        <w:rPr>
          <w:rFonts w:ascii="Traditional Arabic" w:eastAsia="Sakkal Majalla" w:hAnsi="Traditional Arabic" w:cs="Traditional Arabic" w:hint="cs"/>
          <w:sz w:val="28"/>
          <w:szCs w:val="28"/>
          <w:rtl/>
        </w:rPr>
        <w:t>، الذي يُعد نموذجًا مبتكرًا للتنمية الحضرية المستدامة، يعتمد على وسائل نقل خالية من الكربون، ومراعاة الكثافة السكانية الذكية، والتكامل بين التكنولوجيا والحفاظ على الطبيعة. كما يُمثل هذا المشروع نقلة نوعية في توجه المملكة نحو مستقبل أكثر استدامة يتماشى مع رؤية 2030</w:t>
      </w:r>
      <w:r w:rsidRPr="006E13D4">
        <w:rPr>
          <w:rFonts w:ascii="Traditional Arabic" w:eastAsia="Sakkal Majalla" w:hAnsi="Traditional Arabic" w:cs="Traditional Arabic" w:hint="cs"/>
          <w:sz w:val="28"/>
          <w:szCs w:val="28"/>
        </w:rPr>
        <w:t>.</w:t>
      </w:r>
    </w:p>
    <w:p w14:paraId="3EF67F8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وتُظهر هذه النماذج أهمية التخطيط المسبق، وتوافر القيادة الواعية، والتعاون بين الجهات المختلفة، والابتكار التقني، كعوامل رئيسية لنجاح أي مبادرة في مجال الاستدامة، مما يُبرز الحاجة إلى تكييف هذه الدروس بما يتناسب مع الخصوصية المحلية لكل مشروع</w:t>
      </w:r>
      <w:r w:rsidRPr="006E13D4">
        <w:rPr>
          <w:rFonts w:ascii="Traditional Arabic" w:eastAsia="Sakkal Majalla" w:hAnsi="Traditional Arabic" w:cs="Traditional Arabic" w:hint="cs"/>
          <w:sz w:val="28"/>
          <w:szCs w:val="28"/>
        </w:rPr>
        <w:t>.</w:t>
      </w:r>
    </w:p>
    <w:p w14:paraId="11883957" w14:textId="77777777" w:rsidR="00CD0F1F" w:rsidRPr="006E13D4" w:rsidRDefault="00CD0F1F" w:rsidP="00CD0F1F">
      <w:pPr>
        <w:spacing w:line="360" w:lineRule="auto"/>
        <w:jc w:val="center"/>
        <w:outlineLvl w:val="2"/>
        <w:rPr>
          <w:rFonts w:ascii="Traditional Arabic" w:eastAsia="Sakkal Majalla" w:hAnsi="Traditional Arabic" w:cs="Traditional Arabic" w:hint="cs"/>
          <w:b/>
          <w:bCs/>
          <w:sz w:val="28"/>
          <w:szCs w:val="28"/>
        </w:rPr>
      </w:pPr>
      <w:bookmarkStart w:id="13" w:name="_Toc203357722"/>
      <w:r w:rsidRPr="006E13D4">
        <w:rPr>
          <w:rFonts w:ascii="Traditional Arabic" w:eastAsia="Sakkal Majalla" w:hAnsi="Traditional Arabic" w:cs="Traditional Arabic" w:hint="cs"/>
          <w:b/>
          <w:bCs/>
          <w:sz w:val="28"/>
          <w:szCs w:val="28"/>
          <w:rtl/>
        </w:rPr>
        <w:t>إدارة المشاريع: المفهوم والمجالات</w:t>
      </w:r>
      <w:bookmarkEnd w:id="13"/>
    </w:p>
    <w:p w14:paraId="320C6E69" w14:textId="77777777" w:rsidR="00CD0F1F" w:rsidRPr="006E13D4" w:rsidRDefault="00CD0F1F" w:rsidP="00CD0F1F">
      <w:pPr>
        <w:spacing w:line="360" w:lineRule="auto"/>
        <w:rPr>
          <w:rFonts w:ascii="Traditional Arabic" w:eastAsia="MS Mincho" w:hAnsi="Traditional Arabic" w:cs="Traditional Arabic" w:hint="cs"/>
          <w:b/>
          <w:bCs/>
          <w:sz w:val="28"/>
          <w:szCs w:val="28"/>
        </w:rPr>
      </w:pPr>
      <w:r w:rsidRPr="006E13D4">
        <w:rPr>
          <w:rFonts w:ascii="Traditional Arabic" w:eastAsia="MS Mincho" w:hAnsi="Traditional Arabic" w:cs="Traditional Arabic" w:hint="cs"/>
          <w:b/>
          <w:bCs/>
          <w:sz w:val="28"/>
          <w:szCs w:val="28"/>
          <w:rtl/>
        </w:rPr>
        <w:t>تعريف إدارة المشاريع</w:t>
      </w:r>
    </w:p>
    <w:p w14:paraId="21F487A4"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تُعرف إدارة المشاريع بأنها تطبيق المعرفة والمهارات والأدوات والتقنيات على أنشطة المشروع لتلبية متطلباته وتحقيق أهدافه خلال فترة زمنية وميزانية محددتين. ويهدف هذا التخصص الإداري إلى ضمان أن يتم تنفيذ المشروع بكفاءة عالية، مع مراعاة نطاق العمل والجودة والموارد والمخاطر والعلاقات بين الأطراف المعنية. ويُعد هذا المفهوم جوهريًا في تنفيذ المشروعات الإنشائية، التي تتطلب تنسيقًا دقيقًا بين فرق العمل، وإدارة فعالة للموارد والوقت والتكلفة</w:t>
      </w:r>
      <w:r w:rsidRPr="006E13D4">
        <w:rPr>
          <w:rFonts w:ascii="Traditional Arabic" w:eastAsia="MS Mincho" w:hAnsi="Traditional Arabic" w:cs="Traditional Arabic" w:hint="cs"/>
          <w:sz w:val="28"/>
          <w:szCs w:val="28"/>
        </w:rPr>
        <w:t>.</w:t>
      </w:r>
    </w:p>
    <w:p w14:paraId="3D045BB8"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وقد تطور مفهوم إدارة المشاريع ليشمل الجوانب الإستراتيجية، بحيث لا يقتصر دور مدير المشروع على التنفيذ الفني، بل يمتد ليشمل القدرة على التفاوض، والتعامل مع التغيرات، وضمان رضا أصحاب المصلحة، وتحقيق الاستدامة. وأكد</w:t>
      </w:r>
      <w:r w:rsidRPr="006E13D4">
        <w:rPr>
          <w:rFonts w:ascii="Traditional Arabic" w:eastAsia="MS Mincho" w:hAnsi="Traditional Arabic" w:cs="Traditional Arabic" w:hint="cs"/>
          <w:sz w:val="28"/>
          <w:szCs w:val="28"/>
        </w:rPr>
        <w:t xml:space="preserve"> Ali et al. (2024) </w:t>
      </w:r>
      <w:r w:rsidRPr="006E13D4">
        <w:rPr>
          <w:rFonts w:ascii="Traditional Arabic" w:eastAsia="MS Mincho" w:hAnsi="Traditional Arabic" w:cs="Traditional Arabic" w:hint="cs"/>
          <w:sz w:val="28"/>
          <w:szCs w:val="28"/>
          <w:rtl/>
        </w:rPr>
        <w:t xml:space="preserve">على أن إدارة المشاريع باتت تُدرّس كمجال علمي متكامل في الجامعات السعودية، من خلال برامج متعددة المنهجيات، تُركز على دمج </w:t>
      </w:r>
      <w:r w:rsidRPr="006E13D4">
        <w:rPr>
          <w:rFonts w:ascii="Traditional Arabic" w:eastAsia="MS Mincho" w:hAnsi="Traditional Arabic" w:cs="Traditional Arabic" w:hint="cs"/>
          <w:sz w:val="28"/>
          <w:szCs w:val="28"/>
          <w:rtl/>
        </w:rPr>
        <w:lastRenderedPageBreak/>
        <w:t>المعرفة التقنية مع المهارات السلوكية والقيادية، مما يعكس أهمية هذا التخصص في السوق السعودي وتوجهاته التنموية</w:t>
      </w:r>
      <w:r w:rsidRPr="006E13D4">
        <w:rPr>
          <w:rFonts w:ascii="Traditional Arabic" w:eastAsia="MS Mincho" w:hAnsi="Traditional Arabic" w:cs="Traditional Arabic" w:hint="cs"/>
          <w:sz w:val="28"/>
          <w:szCs w:val="28"/>
        </w:rPr>
        <w:t xml:space="preserve"> (Ali et al., 2024).</w:t>
      </w:r>
    </w:p>
    <w:p w14:paraId="6B3F8413" w14:textId="77777777" w:rsidR="00CD0F1F" w:rsidRPr="006E13D4" w:rsidRDefault="00CD0F1F" w:rsidP="00CD0F1F">
      <w:pPr>
        <w:spacing w:line="360" w:lineRule="auto"/>
        <w:rPr>
          <w:rFonts w:ascii="Traditional Arabic" w:eastAsia="MS Mincho" w:hAnsi="Traditional Arabic" w:cs="Traditional Arabic" w:hint="cs"/>
          <w:b/>
          <w:bCs/>
          <w:sz w:val="28"/>
          <w:szCs w:val="28"/>
        </w:rPr>
      </w:pPr>
      <w:r w:rsidRPr="006E13D4">
        <w:rPr>
          <w:rFonts w:ascii="Traditional Arabic" w:eastAsia="MS Mincho" w:hAnsi="Traditional Arabic" w:cs="Traditional Arabic" w:hint="cs"/>
          <w:b/>
          <w:bCs/>
          <w:sz w:val="28"/>
          <w:szCs w:val="28"/>
          <w:rtl/>
        </w:rPr>
        <w:t>مراحل إدارة المشروع (البدء – التخطيط – التنفيذ – الرقابة – الإغلاق)</w:t>
      </w:r>
    </w:p>
    <w:p w14:paraId="7EBAABC2"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تمر إدارة المشروع بخمس مراحل رئيسية مترابطة، تُشكّل دورة حياة المشروع، وتُستخدم كإطار عمل لإدارة مختلف المهام والأنشطة</w:t>
      </w:r>
      <w:r w:rsidRPr="006E13D4">
        <w:rPr>
          <w:rFonts w:ascii="Traditional Arabic" w:eastAsia="MS Mincho" w:hAnsi="Traditional Arabic" w:cs="Traditional Arabic" w:hint="cs"/>
          <w:sz w:val="28"/>
          <w:szCs w:val="28"/>
        </w:rPr>
        <w:t>:</w:t>
      </w:r>
    </w:p>
    <w:p w14:paraId="5A5C302E"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b/>
          <w:bCs/>
          <w:sz w:val="28"/>
          <w:szCs w:val="28"/>
          <w:rtl/>
        </w:rPr>
        <w:t>المرحلة الأولى: البدء</w:t>
      </w:r>
      <w:r w:rsidRPr="006E13D4">
        <w:rPr>
          <w:rFonts w:ascii="Traditional Arabic" w:eastAsia="MS Mincho" w:hAnsi="Traditional Arabic" w:cs="Traditional Arabic" w:hint="cs"/>
          <w:b/>
          <w:bCs/>
          <w:sz w:val="28"/>
          <w:szCs w:val="28"/>
        </w:rPr>
        <w:t xml:space="preserve"> (Initiation)</w:t>
      </w:r>
      <w:r w:rsidRPr="006E13D4">
        <w:rPr>
          <w:rFonts w:ascii="Traditional Arabic" w:eastAsia="MS Mincho" w:hAnsi="Traditional Arabic" w:cs="Traditional Arabic" w:hint="cs"/>
          <w:sz w:val="28"/>
          <w:szCs w:val="28"/>
        </w:rPr>
        <w:br/>
      </w:r>
      <w:r w:rsidRPr="006E13D4">
        <w:rPr>
          <w:rFonts w:ascii="Traditional Arabic" w:eastAsia="MS Mincho" w:hAnsi="Traditional Arabic" w:cs="Traditional Arabic" w:hint="cs"/>
          <w:sz w:val="28"/>
          <w:szCs w:val="28"/>
          <w:rtl/>
        </w:rPr>
        <w:t>تُعد هذه المرحلة التأسيسية التي يتم فيها تحديد أهداف المشروع وجدواه، وتُعرّف نطاق العمل العام، وتُجرى فيها دراسات الجدوى وتحديد أصحاب المصلحة. في هذه المرحلة، يُتخذ القرار بشأن المضي قدمًا في المشروع من عدمه</w:t>
      </w:r>
      <w:r w:rsidRPr="006E13D4">
        <w:rPr>
          <w:rFonts w:ascii="Traditional Arabic" w:eastAsia="MS Mincho" w:hAnsi="Traditional Arabic" w:cs="Traditional Arabic" w:hint="cs"/>
          <w:sz w:val="28"/>
          <w:szCs w:val="28"/>
        </w:rPr>
        <w:t>.</w:t>
      </w:r>
    </w:p>
    <w:p w14:paraId="1DB1348C"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b/>
          <w:bCs/>
          <w:sz w:val="28"/>
          <w:szCs w:val="28"/>
          <w:rtl/>
        </w:rPr>
        <w:t>المرحلة الثانية: التخطيط</w:t>
      </w:r>
      <w:r w:rsidRPr="006E13D4">
        <w:rPr>
          <w:rFonts w:ascii="Traditional Arabic" w:eastAsia="MS Mincho" w:hAnsi="Traditional Arabic" w:cs="Traditional Arabic" w:hint="cs"/>
          <w:b/>
          <w:bCs/>
          <w:sz w:val="28"/>
          <w:szCs w:val="28"/>
        </w:rPr>
        <w:t xml:space="preserve"> (Planning)</w:t>
      </w:r>
      <w:r w:rsidRPr="006E13D4">
        <w:rPr>
          <w:rFonts w:ascii="Traditional Arabic" w:eastAsia="MS Mincho" w:hAnsi="Traditional Arabic" w:cs="Traditional Arabic" w:hint="cs"/>
          <w:sz w:val="28"/>
          <w:szCs w:val="28"/>
        </w:rPr>
        <w:br/>
      </w:r>
      <w:r w:rsidRPr="006E13D4">
        <w:rPr>
          <w:rFonts w:ascii="Traditional Arabic" w:eastAsia="MS Mincho" w:hAnsi="Traditional Arabic" w:cs="Traditional Arabic" w:hint="cs"/>
          <w:sz w:val="28"/>
          <w:szCs w:val="28"/>
          <w:rtl/>
        </w:rPr>
        <w:t>تُعد مرحلة حاسمة، يتم فيها وضع خطة تفصيلية لجميع جوانب المشروع، بما في ذلك تحديد الموارد، والميزانية، والجدول الزمني، وإدارة المخاطر، وآليات التواصل. يتطلب التخطيط مشاركة الأطراف كافة وتوقع التحديات المحتملة</w:t>
      </w:r>
      <w:r w:rsidRPr="006E13D4">
        <w:rPr>
          <w:rFonts w:ascii="Traditional Arabic" w:eastAsia="MS Mincho" w:hAnsi="Traditional Arabic" w:cs="Traditional Arabic" w:hint="cs"/>
          <w:sz w:val="28"/>
          <w:szCs w:val="28"/>
        </w:rPr>
        <w:t>.</w:t>
      </w:r>
    </w:p>
    <w:p w14:paraId="32399E8D"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b/>
          <w:bCs/>
          <w:sz w:val="28"/>
          <w:szCs w:val="28"/>
          <w:rtl/>
        </w:rPr>
        <w:t>المرحلة الثالثة: التنفيذ</w:t>
      </w:r>
      <w:r w:rsidRPr="006E13D4">
        <w:rPr>
          <w:rFonts w:ascii="Traditional Arabic" w:eastAsia="MS Mincho" w:hAnsi="Traditional Arabic" w:cs="Traditional Arabic" w:hint="cs"/>
          <w:b/>
          <w:bCs/>
          <w:sz w:val="28"/>
          <w:szCs w:val="28"/>
        </w:rPr>
        <w:t xml:space="preserve"> (Execution)</w:t>
      </w:r>
      <w:r w:rsidRPr="006E13D4">
        <w:rPr>
          <w:rFonts w:ascii="Traditional Arabic" w:eastAsia="MS Mincho" w:hAnsi="Traditional Arabic" w:cs="Traditional Arabic" w:hint="cs"/>
          <w:sz w:val="28"/>
          <w:szCs w:val="28"/>
        </w:rPr>
        <w:br/>
      </w:r>
      <w:r w:rsidRPr="006E13D4">
        <w:rPr>
          <w:rFonts w:ascii="Traditional Arabic" w:eastAsia="MS Mincho" w:hAnsi="Traditional Arabic" w:cs="Traditional Arabic" w:hint="cs"/>
          <w:sz w:val="28"/>
          <w:szCs w:val="28"/>
          <w:rtl/>
        </w:rPr>
        <w:t>تبدأ في هذه المرحلة أعمال المشروع الفعلية وفقًا للخطة المعتمدة، حيث يتم تخصيص الموارد، وتنسيق فرق العمل، ومتابعة الأداء. تعتمد هذه المرحلة على المهارات القيادية والتنظيمية لضمان سير المشروع كما هو مخطط له</w:t>
      </w:r>
      <w:r w:rsidRPr="006E13D4">
        <w:rPr>
          <w:rFonts w:ascii="Traditional Arabic" w:eastAsia="MS Mincho" w:hAnsi="Traditional Arabic" w:cs="Traditional Arabic" w:hint="cs"/>
          <w:sz w:val="28"/>
          <w:szCs w:val="28"/>
        </w:rPr>
        <w:t>.</w:t>
      </w:r>
    </w:p>
    <w:p w14:paraId="678449D5"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b/>
          <w:bCs/>
          <w:sz w:val="28"/>
          <w:szCs w:val="28"/>
          <w:rtl/>
        </w:rPr>
        <w:t>المرحلة الرابعة: الرقابة والتحكم</w:t>
      </w:r>
      <w:r w:rsidRPr="006E13D4">
        <w:rPr>
          <w:rFonts w:ascii="Traditional Arabic" w:eastAsia="MS Mincho" w:hAnsi="Traditional Arabic" w:cs="Traditional Arabic" w:hint="cs"/>
          <w:b/>
          <w:bCs/>
          <w:sz w:val="28"/>
          <w:szCs w:val="28"/>
        </w:rPr>
        <w:t xml:space="preserve"> (Monitoring and Controlling)</w:t>
      </w:r>
      <w:r w:rsidRPr="006E13D4">
        <w:rPr>
          <w:rFonts w:ascii="Traditional Arabic" w:eastAsia="MS Mincho" w:hAnsi="Traditional Arabic" w:cs="Traditional Arabic" w:hint="cs"/>
          <w:sz w:val="28"/>
          <w:szCs w:val="28"/>
        </w:rPr>
        <w:br/>
      </w:r>
      <w:r w:rsidRPr="006E13D4">
        <w:rPr>
          <w:rFonts w:ascii="Traditional Arabic" w:eastAsia="MS Mincho" w:hAnsi="Traditional Arabic" w:cs="Traditional Arabic" w:hint="cs"/>
          <w:sz w:val="28"/>
          <w:szCs w:val="28"/>
          <w:rtl/>
        </w:rPr>
        <w:t>تشمل مراقبة أداء المشروع وقياسه بمؤشرات الأداء الرئيسية</w:t>
      </w:r>
      <w:r w:rsidRPr="006E13D4">
        <w:rPr>
          <w:rFonts w:ascii="Traditional Arabic" w:eastAsia="MS Mincho" w:hAnsi="Traditional Arabic" w:cs="Traditional Arabic" w:hint="cs"/>
          <w:sz w:val="28"/>
          <w:szCs w:val="28"/>
        </w:rPr>
        <w:t xml:space="preserve"> (KPIs)</w:t>
      </w:r>
      <w:r w:rsidRPr="006E13D4">
        <w:rPr>
          <w:rFonts w:ascii="Traditional Arabic" w:eastAsia="MS Mincho" w:hAnsi="Traditional Arabic" w:cs="Traditional Arabic" w:hint="cs"/>
          <w:sz w:val="28"/>
          <w:szCs w:val="28"/>
          <w:rtl/>
        </w:rPr>
        <w:t>، وتحديد الانحرافات، واتخاذ الإجراءات التصحيحية عند الحاجة. الرقابة المستمرة تضمن بقاء المشروع ضمن النطاق المحدد من حيث الوقت والتكلفة والجودة</w:t>
      </w:r>
      <w:r w:rsidRPr="006E13D4">
        <w:rPr>
          <w:rFonts w:ascii="Traditional Arabic" w:eastAsia="MS Mincho" w:hAnsi="Traditional Arabic" w:cs="Traditional Arabic" w:hint="cs"/>
          <w:sz w:val="28"/>
          <w:szCs w:val="28"/>
        </w:rPr>
        <w:t>.</w:t>
      </w:r>
    </w:p>
    <w:p w14:paraId="59115C93"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b/>
          <w:bCs/>
          <w:sz w:val="28"/>
          <w:szCs w:val="28"/>
          <w:rtl/>
        </w:rPr>
        <w:t>المرحلة الخامسة: الإغلاق</w:t>
      </w:r>
      <w:r w:rsidRPr="006E13D4">
        <w:rPr>
          <w:rFonts w:ascii="Traditional Arabic" w:eastAsia="MS Mincho" w:hAnsi="Traditional Arabic" w:cs="Traditional Arabic" w:hint="cs"/>
          <w:b/>
          <w:bCs/>
          <w:sz w:val="28"/>
          <w:szCs w:val="28"/>
        </w:rPr>
        <w:t xml:space="preserve"> (Closure)</w:t>
      </w:r>
      <w:r w:rsidRPr="006E13D4">
        <w:rPr>
          <w:rFonts w:ascii="Traditional Arabic" w:eastAsia="MS Mincho" w:hAnsi="Traditional Arabic" w:cs="Traditional Arabic" w:hint="cs"/>
          <w:sz w:val="28"/>
          <w:szCs w:val="28"/>
        </w:rPr>
        <w:br/>
      </w:r>
      <w:r w:rsidRPr="006E13D4">
        <w:rPr>
          <w:rFonts w:ascii="Traditional Arabic" w:eastAsia="MS Mincho" w:hAnsi="Traditional Arabic" w:cs="Traditional Arabic" w:hint="cs"/>
          <w:sz w:val="28"/>
          <w:szCs w:val="28"/>
          <w:rtl/>
        </w:rPr>
        <w:t>هي المرحلة التي يُنهي فيها المشروع رسميًا، ويتم فيها تسليم النتائج لأصحاب المصلحة، وتوثيق الدروس المستفادة، وإجراء التقييم النهائي. تمثل هذه المرحلة نهاية دورة المشروع واستعداد المؤسسة للانطلاق في مشاريع جديدة</w:t>
      </w:r>
      <w:r w:rsidRPr="006E13D4">
        <w:rPr>
          <w:rFonts w:ascii="Traditional Arabic" w:eastAsia="MS Mincho" w:hAnsi="Traditional Arabic" w:cs="Traditional Arabic" w:hint="cs"/>
          <w:sz w:val="28"/>
          <w:szCs w:val="28"/>
        </w:rPr>
        <w:t>.</w:t>
      </w:r>
    </w:p>
    <w:p w14:paraId="0A195856"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lastRenderedPageBreak/>
        <w:t>وقد أكد</w:t>
      </w:r>
      <w:r w:rsidRPr="006E13D4">
        <w:rPr>
          <w:rFonts w:ascii="Traditional Arabic" w:eastAsia="MS Mincho" w:hAnsi="Traditional Arabic" w:cs="Traditional Arabic" w:hint="cs"/>
          <w:sz w:val="28"/>
          <w:szCs w:val="28"/>
        </w:rPr>
        <w:t xml:space="preserve"> ALLOUZI &amp; AL JAAFREH (2023) </w:t>
      </w:r>
      <w:r w:rsidRPr="006E13D4">
        <w:rPr>
          <w:rFonts w:ascii="Traditional Arabic" w:eastAsia="MS Mincho" w:hAnsi="Traditional Arabic" w:cs="Traditional Arabic" w:hint="cs"/>
          <w:sz w:val="28"/>
          <w:szCs w:val="28"/>
          <w:rtl/>
        </w:rPr>
        <w:t>أن الالتزام بمراحل إدارة المشروع وفق المنهجيات الحديثة، مثل</w:t>
      </w:r>
      <w:r w:rsidRPr="006E13D4">
        <w:rPr>
          <w:rFonts w:ascii="Traditional Arabic" w:eastAsia="MS Mincho" w:hAnsi="Traditional Arabic" w:cs="Traditional Arabic" w:hint="cs"/>
          <w:sz w:val="28"/>
          <w:szCs w:val="28"/>
        </w:rPr>
        <w:t xml:space="preserve"> Lean Management</w:t>
      </w:r>
      <w:r w:rsidRPr="006E13D4">
        <w:rPr>
          <w:rFonts w:ascii="Traditional Arabic" w:eastAsia="MS Mincho" w:hAnsi="Traditional Arabic" w:cs="Traditional Arabic" w:hint="cs"/>
          <w:sz w:val="28"/>
          <w:szCs w:val="28"/>
          <w:rtl/>
        </w:rPr>
        <w:t>، يُسهم في تحسين الكفاءة، وتقليل الهدر، وتحقيق القيمة المضافة في المشاريع العملاقة داخل المملكة، لا سيما في مشاريع البنية التحتية والمدن الذكية</w:t>
      </w:r>
      <w:r w:rsidRPr="006E13D4">
        <w:rPr>
          <w:rFonts w:ascii="Traditional Arabic" w:eastAsia="MS Mincho" w:hAnsi="Traditional Arabic" w:cs="Traditional Arabic" w:hint="cs"/>
          <w:sz w:val="28"/>
          <w:szCs w:val="28"/>
        </w:rPr>
        <w:t xml:space="preserve"> (ALLOUZI &amp; AL JAAFREH, 2023).</w:t>
      </w:r>
    </w:p>
    <w:p w14:paraId="095E820F" w14:textId="77777777" w:rsidR="00CD0F1F" w:rsidRPr="006E13D4" w:rsidRDefault="00CD0F1F" w:rsidP="00CD0F1F">
      <w:pPr>
        <w:spacing w:line="360" w:lineRule="auto"/>
        <w:rPr>
          <w:rFonts w:ascii="Traditional Arabic" w:eastAsia="MS Mincho" w:hAnsi="Traditional Arabic" w:cs="Traditional Arabic" w:hint="cs"/>
          <w:b/>
          <w:bCs/>
          <w:sz w:val="28"/>
          <w:szCs w:val="28"/>
        </w:rPr>
      </w:pPr>
      <w:r w:rsidRPr="006E13D4">
        <w:rPr>
          <w:rFonts w:ascii="Traditional Arabic" w:eastAsia="MS Mincho" w:hAnsi="Traditional Arabic" w:cs="Traditional Arabic" w:hint="cs"/>
          <w:b/>
          <w:bCs/>
          <w:sz w:val="28"/>
          <w:szCs w:val="28"/>
          <w:rtl/>
        </w:rPr>
        <w:t>خصائص المشاريع الإنشائية</w:t>
      </w:r>
    </w:p>
    <w:p w14:paraId="09B03060"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 xml:space="preserve">تتميز المشاريع الإنشائية بعدد من الخصائص التي تُميزها عن المشاريع في القطاعات الأخرى، وتجعل من إدارتها عملية معقدة تتطلب خبرات متعددة التخصصات. أولى هذه الخصائص أنها مشاريع </w:t>
      </w:r>
      <w:r w:rsidRPr="006E13D4">
        <w:rPr>
          <w:rFonts w:ascii="Traditional Arabic" w:eastAsia="MS Mincho" w:hAnsi="Traditional Arabic" w:cs="Traditional Arabic" w:hint="cs"/>
          <w:b/>
          <w:bCs/>
          <w:sz w:val="28"/>
          <w:szCs w:val="28"/>
          <w:rtl/>
        </w:rPr>
        <w:t>كبيرة الحجم ومكلفة</w:t>
      </w:r>
      <w:r w:rsidRPr="006E13D4">
        <w:rPr>
          <w:rFonts w:ascii="Traditional Arabic" w:eastAsia="MS Mincho" w:hAnsi="Traditional Arabic" w:cs="Traditional Arabic" w:hint="cs"/>
          <w:sz w:val="28"/>
          <w:szCs w:val="28"/>
          <w:rtl/>
        </w:rPr>
        <w:t xml:space="preserve"> بطبيعتها، وتشمل عدة أطراف كالمقاولين، والاستشاريين، والممولين، والجهات الحكومية، مما يجعل عملية التنسيق وإدارة التوقعات شديدة الأهمية</w:t>
      </w:r>
      <w:r w:rsidRPr="006E13D4">
        <w:rPr>
          <w:rFonts w:ascii="Traditional Arabic" w:eastAsia="MS Mincho" w:hAnsi="Traditional Arabic" w:cs="Traditional Arabic" w:hint="cs"/>
          <w:sz w:val="28"/>
          <w:szCs w:val="28"/>
        </w:rPr>
        <w:t>.</w:t>
      </w:r>
    </w:p>
    <w:p w14:paraId="473C8BD2"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 xml:space="preserve">ثانيًا، تُعد المشاريع الإنشائية </w:t>
      </w:r>
      <w:r w:rsidRPr="006E13D4">
        <w:rPr>
          <w:rFonts w:ascii="Traditional Arabic" w:eastAsia="MS Mincho" w:hAnsi="Traditional Arabic" w:cs="Traditional Arabic" w:hint="cs"/>
          <w:b/>
          <w:bCs/>
          <w:sz w:val="28"/>
          <w:szCs w:val="28"/>
          <w:rtl/>
        </w:rPr>
        <w:t>مرتبطة بالزمن</w:t>
      </w:r>
      <w:r w:rsidRPr="006E13D4">
        <w:rPr>
          <w:rFonts w:ascii="Traditional Arabic" w:eastAsia="MS Mincho" w:hAnsi="Traditional Arabic" w:cs="Traditional Arabic" w:hint="cs"/>
          <w:sz w:val="28"/>
          <w:szCs w:val="28"/>
          <w:rtl/>
        </w:rPr>
        <w:t xml:space="preserve"> بشكل صارم، حيث أن التأخير في التنفيذ قد يؤدي إلى خسائر مالية فادحة، إضافة إلى الإضرار بالسمعة. كما أنها تُنفذ غالبًا في </w:t>
      </w:r>
      <w:r w:rsidRPr="006E13D4">
        <w:rPr>
          <w:rFonts w:ascii="Traditional Arabic" w:eastAsia="MS Mincho" w:hAnsi="Traditional Arabic" w:cs="Traditional Arabic" w:hint="cs"/>
          <w:b/>
          <w:bCs/>
          <w:sz w:val="28"/>
          <w:szCs w:val="28"/>
          <w:rtl/>
        </w:rPr>
        <w:t>بيئات متغيرة</w:t>
      </w:r>
      <w:r w:rsidRPr="006E13D4">
        <w:rPr>
          <w:rFonts w:ascii="Traditional Arabic" w:eastAsia="MS Mincho" w:hAnsi="Traditional Arabic" w:cs="Traditional Arabic" w:hint="cs"/>
          <w:sz w:val="28"/>
          <w:szCs w:val="28"/>
          <w:rtl/>
        </w:rPr>
        <w:t>، سواء من حيث الطقس أو القوانين أو توفر الموارد</w:t>
      </w:r>
      <w:r w:rsidRPr="006E13D4">
        <w:rPr>
          <w:rFonts w:ascii="Traditional Arabic" w:eastAsia="MS Mincho" w:hAnsi="Traditional Arabic" w:cs="Traditional Arabic" w:hint="cs"/>
          <w:sz w:val="28"/>
          <w:szCs w:val="28"/>
        </w:rPr>
        <w:t>.</w:t>
      </w:r>
    </w:p>
    <w:p w14:paraId="78CCD2EC"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 xml:space="preserve">ومن خصائصها الأخرى أنها </w:t>
      </w:r>
      <w:r w:rsidRPr="006E13D4">
        <w:rPr>
          <w:rFonts w:ascii="Traditional Arabic" w:eastAsia="MS Mincho" w:hAnsi="Traditional Arabic" w:cs="Traditional Arabic" w:hint="cs"/>
          <w:b/>
          <w:bCs/>
          <w:sz w:val="28"/>
          <w:szCs w:val="28"/>
          <w:rtl/>
        </w:rPr>
        <w:t>محددة الأهداف ونطاق العمل</w:t>
      </w:r>
      <w:r w:rsidRPr="006E13D4">
        <w:rPr>
          <w:rFonts w:ascii="Traditional Arabic" w:eastAsia="MS Mincho" w:hAnsi="Traditional Arabic" w:cs="Traditional Arabic" w:hint="cs"/>
          <w:sz w:val="28"/>
          <w:szCs w:val="28"/>
          <w:rtl/>
        </w:rPr>
        <w:t xml:space="preserve">، وغالبًا ما تكون ذات طابع غير متكرر، مما يزيد من صعوبة التنبؤ بالمخاطر. كما أنها مشاريع </w:t>
      </w:r>
      <w:r w:rsidRPr="006E13D4">
        <w:rPr>
          <w:rFonts w:ascii="Traditional Arabic" w:eastAsia="MS Mincho" w:hAnsi="Traditional Arabic" w:cs="Traditional Arabic" w:hint="cs"/>
          <w:b/>
          <w:bCs/>
          <w:sz w:val="28"/>
          <w:szCs w:val="28"/>
          <w:rtl/>
        </w:rPr>
        <w:t>تعاقدية بطبيعتها</w:t>
      </w:r>
      <w:r w:rsidRPr="006E13D4">
        <w:rPr>
          <w:rFonts w:ascii="Traditional Arabic" w:eastAsia="MS Mincho" w:hAnsi="Traditional Arabic" w:cs="Traditional Arabic" w:hint="cs"/>
          <w:sz w:val="28"/>
          <w:szCs w:val="28"/>
          <w:rtl/>
        </w:rPr>
        <w:t>، ترتبط بتفاصيل دقيقة في الاتفاقيات والعقود، وتخضع لرقابة مالية وفنية دقيقة</w:t>
      </w:r>
      <w:r w:rsidRPr="006E13D4">
        <w:rPr>
          <w:rFonts w:ascii="Traditional Arabic" w:eastAsia="MS Mincho" w:hAnsi="Traditional Arabic" w:cs="Traditional Arabic" w:hint="cs"/>
          <w:sz w:val="28"/>
          <w:szCs w:val="28"/>
        </w:rPr>
        <w:t>.</w:t>
      </w:r>
    </w:p>
    <w:p w14:paraId="64C4AD8E"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وقد أشار</w:t>
      </w:r>
      <w:r w:rsidRPr="006E13D4">
        <w:rPr>
          <w:rFonts w:ascii="Traditional Arabic" w:eastAsia="MS Mincho" w:hAnsi="Traditional Arabic" w:cs="Traditional Arabic" w:hint="cs"/>
          <w:sz w:val="28"/>
          <w:szCs w:val="28"/>
        </w:rPr>
        <w:t xml:space="preserve"> Al-Otaibi et al. (2025) </w:t>
      </w:r>
      <w:r w:rsidRPr="006E13D4">
        <w:rPr>
          <w:rFonts w:ascii="Traditional Arabic" w:eastAsia="MS Mincho" w:hAnsi="Traditional Arabic" w:cs="Traditional Arabic" w:hint="cs"/>
          <w:sz w:val="28"/>
          <w:szCs w:val="28"/>
          <w:rtl/>
        </w:rPr>
        <w:t>إلى أن المشاريع الإنشائية في السعودية تُواجه تحديات خاصة تتعلق بالبنية المؤسسية، ونقص الكفاءات، والضغط الزمني، وهو ما يجعل من إدارة المشروع أداة حاسمة لضمان الإنجاز بجودة عالية وفي الوقت المحدد</w:t>
      </w:r>
      <w:r w:rsidRPr="006E13D4">
        <w:rPr>
          <w:rFonts w:ascii="Traditional Arabic" w:eastAsia="MS Mincho" w:hAnsi="Traditional Arabic" w:cs="Traditional Arabic" w:hint="cs"/>
          <w:sz w:val="28"/>
          <w:szCs w:val="28"/>
        </w:rPr>
        <w:t xml:space="preserve"> (Al-Otaibi et al., 2025).</w:t>
      </w:r>
    </w:p>
    <w:p w14:paraId="68430A4F" w14:textId="77777777" w:rsidR="00CD0F1F" w:rsidRPr="006E13D4" w:rsidRDefault="00CD0F1F" w:rsidP="00CD0F1F">
      <w:pPr>
        <w:spacing w:line="360" w:lineRule="auto"/>
        <w:rPr>
          <w:rFonts w:ascii="Traditional Arabic" w:eastAsia="MS Mincho" w:hAnsi="Traditional Arabic" w:cs="Traditional Arabic" w:hint="cs"/>
          <w:b/>
          <w:bCs/>
          <w:sz w:val="28"/>
          <w:szCs w:val="28"/>
        </w:rPr>
      </w:pPr>
      <w:r w:rsidRPr="006E13D4">
        <w:rPr>
          <w:rFonts w:ascii="Traditional Arabic" w:eastAsia="MS Mincho" w:hAnsi="Traditional Arabic" w:cs="Traditional Arabic" w:hint="cs"/>
          <w:b/>
          <w:bCs/>
          <w:sz w:val="28"/>
          <w:szCs w:val="28"/>
          <w:rtl/>
        </w:rPr>
        <w:t>التحديات الإدارية في المشاريع الإنشائية</w:t>
      </w:r>
    </w:p>
    <w:p w14:paraId="6EEF5DDA"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 xml:space="preserve">تُعد المشاريع الإنشائية من أكثر المشاريع تعرضًا للتحديات، سواء كانت داخلية أو خارجية. وتبدأ هذه التحديات من </w:t>
      </w:r>
      <w:r w:rsidRPr="006E13D4">
        <w:rPr>
          <w:rFonts w:ascii="Traditional Arabic" w:eastAsia="MS Mincho" w:hAnsi="Traditional Arabic" w:cs="Traditional Arabic" w:hint="cs"/>
          <w:b/>
          <w:bCs/>
          <w:sz w:val="28"/>
          <w:szCs w:val="28"/>
          <w:rtl/>
        </w:rPr>
        <w:t>ضعف التخطيط الأولي</w:t>
      </w:r>
      <w:r w:rsidRPr="006E13D4">
        <w:rPr>
          <w:rFonts w:ascii="Traditional Arabic" w:eastAsia="MS Mincho" w:hAnsi="Traditional Arabic" w:cs="Traditional Arabic" w:hint="cs"/>
          <w:sz w:val="28"/>
          <w:szCs w:val="28"/>
          <w:rtl/>
        </w:rPr>
        <w:t xml:space="preserve">، حيث يؤدي عدم وضوح الأهداف أو غياب الدراسات المسبقة إلى تعقيدات لاحقة أثناء التنفيذ. كما يُعد </w:t>
      </w:r>
      <w:r w:rsidRPr="006E13D4">
        <w:rPr>
          <w:rFonts w:ascii="Traditional Arabic" w:eastAsia="MS Mincho" w:hAnsi="Traditional Arabic" w:cs="Traditional Arabic" w:hint="cs"/>
          <w:b/>
          <w:bCs/>
          <w:sz w:val="28"/>
          <w:szCs w:val="28"/>
          <w:rtl/>
        </w:rPr>
        <w:t xml:space="preserve">سوء </w:t>
      </w:r>
      <w:r w:rsidRPr="006E13D4">
        <w:rPr>
          <w:rFonts w:ascii="Traditional Arabic" w:eastAsia="MS Mincho" w:hAnsi="Traditional Arabic" w:cs="Traditional Arabic" w:hint="cs"/>
          <w:b/>
          <w:bCs/>
          <w:sz w:val="28"/>
          <w:szCs w:val="28"/>
          <w:rtl/>
        </w:rPr>
        <w:lastRenderedPageBreak/>
        <w:t>إدارة الوقت والموارد</w:t>
      </w:r>
      <w:r w:rsidRPr="006E13D4">
        <w:rPr>
          <w:rFonts w:ascii="Traditional Arabic" w:eastAsia="MS Mincho" w:hAnsi="Traditional Arabic" w:cs="Traditional Arabic" w:hint="cs"/>
          <w:sz w:val="28"/>
          <w:szCs w:val="28"/>
          <w:rtl/>
        </w:rPr>
        <w:t xml:space="preserve"> من أبرز أسباب فشل العديد من المشاريع، خاصة عند وجود تغييرات متكررة في نطاق المشروع أو تأخيرات في التوريد</w:t>
      </w:r>
      <w:r w:rsidRPr="006E13D4">
        <w:rPr>
          <w:rFonts w:ascii="Traditional Arabic" w:eastAsia="MS Mincho" w:hAnsi="Traditional Arabic" w:cs="Traditional Arabic" w:hint="cs"/>
          <w:sz w:val="28"/>
          <w:szCs w:val="28"/>
        </w:rPr>
        <w:t>.</w:t>
      </w:r>
    </w:p>
    <w:p w14:paraId="6FF05646"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 xml:space="preserve">تُواجه هذه المشاريع أيضًا </w:t>
      </w:r>
      <w:r w:rsidRPr="006E13D4">
        <w:rPr>
          <w:rFonts w:ascii="Traditional Arabic" w:eastAsia="MS Mincho" w:hAnsi="Traditional Arabic" w:cs="Traditional Arabic" w:hint="cs"/>
          <w:b/>
          <w:bCs/>
          <w:sz w:val="28"/>
          <w:szCs w:val="28"/>
          <w:rtl/>
        </w:rPr>
        <w:t>تحديات بشرية وتنظيمية</w:t>
      </w:r>
      <w:r w:rsidRPr="006E13D4">
        <w:rPr>
          <w:rFonts w:ascii="Traditional Arabic" w:eastAsia="MS Mincho" w:hAnsi="Traditional Arabic" w:cs="Traditional Arabic" w:hint="cs"/>
          <w:sz w:val="28"/>
          <w:szCs w:val="28"/>
          <w:rtl/>
        </w:rPr>
        <w:t xml:space="preserve">، مثل نقص العمالة المدربة، أو صعوبات في التنسيق بين فرق متعددة الجنسيات، أو تضارب الأدوار والمسؤوليات. وتُضاف إلى ذلك </w:t>
      </w:r>
      <w:r w:rsidRPr="006E13D4">
        <w:rPr>
          <w:rFonts w:ascii="Traditional Arabic" w:eastAsia="MS Mincho" w:hAnsi="Traditional Arabic" w:cs="Traditional Arabic" w:hint="cs"/>
          <w:b/>
          <w:bCs/>
          <w:sz w:val="28"/>
          <w:szCs w:val="28"/>
          <w:rtl/>
        </w:rPr>
        <w:t>العوامل البيئية والتشريعية</w:t>
      </w:r>
      <w:r w:rsidRPr="006E13D4">
        <w:rPr>
          <w:rFonts w:ascii="Traditional Arabic" w:eastAsia="MS Mincho" w:hAnsi="Traditional Arabic" w:cs="Traditional Arabic" w:hint="cs"/>
          <w:sz w:val="28"/>
          <w:szCs w:val="28"/>
          <w:rtl/>
        </w:rPr>
        <w:t>، كالتغيرات في السياسات أو اشتراطات التراخيص أو تقلبات الأسعار</w:t>
      </w:r>
      <w:r w:rsidRPr="006E13D4">
        <w:rPr>
          <w:rFonts w:ascii="Traditional Arabic" w:eastAsia="MS Mincho" w:hAnsi="Traditional Arabic" w:cs="Traditional Arabic" w:hint="cs"/>
          <w:sz w:val="28"/>
          <w:szCs w:val="28"/>
        </w:rPr>
        <w:t>.</w:t>
      </w:r>
    </w:p>
    <w:p w14:paraId="722AB2CA"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ومن أبرز التحديات في السياق السعودي، بحسب ما ذكره</w:t>
      </w:r>
      <w:r w:rsidRPr="006E13D4">
        <w:rPr>
          <w:rFonts w:ascii="Traditional Arabic" w:eastAsia="MS Mincho" w:hAnsi="Traditional Arabic" w:cs="Traditional Arabic" w:hint="cs"/>
          <w:sz w:val="28"/>
          <w:szCs w:val="28"/>
        </w:rPr>
        <w:t xml:space="preserve"> </w:t>
      </w:r>
      <w:proofErr w:type="spellStart"/>
      <w:r w:rsidRPr="006E13D4">
        <w:rPr>
          <w:rFonts w:ascii="Traditional Arabic" w:eastAsia="MS Mincho" w:hAnsi="Traditional Arabic" w:cs="Traditional Arabic" w:hint="cs"/>
          <w:sz w:val="28"/>
          <w:szCs w:val="28"/>
        </w:rPr>
        <w:t>AbuShal</w:t>
      </w:r>
      <w:proofErr w:type="spellEnd"/>
      <w:r w:rsidRPr="006E13D4">
        <w:rPr>
          <w:rFonts w:ascii="Traditional Arabic" w:eastAsia="MS Mincho" w:hAnsi="Traditional Arabic" w:cs="Traditional Arabic" w:hint="cs"/>
          <w:sz w:val="28"/>
          <w:szCs w:val="28"/>
        </w:rPr>
        <w:t xml:space="preserve"> (2024)</w:t>
      </w:r>
      <w:r w:rsidRPr="006E13D4">
        <w:rPr>
          <w:rFonts w:ascii="Traditional Arabic" w:eastAsia="MS Mincho" w:hAnsi="Traditional Arabic" w:cs="Traditional Arabic" w:hint="cs"/>
          <w:sz w:val="28"/>
          <w:szCs w:val="28"/>
          <w:rtl/>
        </w:rPr>
        <w:t>، هو ضعف مشاركة العاملين في برامج الاستدامة أو في عمليات اتخاذ القرار، مما يقلل من التفاعل الإيجابي مع أهداف المشروع. كما أشار إلى أن غياب ثقافة العمل التعاوني، وضعف نظم التحفيز، تؤثر سلبًا على أداء فرق العمل في المشاريع الكبرى</w:t>
      </w:r>
      <w:r w:rsidRPr="006E13D4">
        <w:rPr>
          <w:rFonts w:ascii="Traditional Arabic" w:eastAsia="MS Mincho" w:hAnsi="Traditional Arabic" w:cs="Traditional Arabic" w:hint="cs"/>
          <w:sz w:val="28"/>
          <w:szCs w:val="28"/>
        </w:rPr>
        <w:t xml:space="preserve"> (</w:t>
      </w:r>
      <w:proofErr w:type="spellStart"/>
      <w:r w:rsidRPr="006E13D4">
        <w:rPr>
          <w:rFonts w:ascii="Traditional Arabic" w:eastAsia="MS Mincho" w:hAnsi="Traditional Arabic" w:cs="Traditional Arabic" w:hint="cs"/>
          <w:sz w:val="28"/>
          <w:szCs w:val="28"/>
        </w:rPr>
        <w:t>AbuShal</w:t>
      </w:r>
      <w:proofErr w:type="spellEnd"/>
      <w:r w:rsidRPr="006E13D4">
        <w:rPr>
          <w:rFonts w:ascii="Traditional Arabic" w:eastAsia="MS Mincho" w:hAnsi="Traditional Arabic" w:cs="Traditional Arabic" w:hint="cs"/>
          <w:sz w:val="28"/>
          <w:szCs w:val="28"/>
        </w:rPr>
        <w:t>, 2024).</w:t>
      </w:r>
    </w:p>
    <w:p w14:paraId="6B19D6DB"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وأكد</w:t>
      </w:r>
      <w:r w:rsidRPr="006E13D4">
        <w:rPr>
          <w:rFonts w:ascii="Traditional Arabic" w:eastAsia="MS Mincho" w:hAnsi="Traditional Arabic" w:cs="Traditional Arabic" w:hint="cs"/>
          <w:sz w:val="28"/>
          <w:szCs w:val="28"/>
        </w:rPr>
        <w:t xml:space="preserve"> Al-Otaibi et al. (2025) </w:t>
      </w:r>
      <w:r w:rsidRPr="006E13D4">
        <w:rPr>
          <w:rFonts w:ascii="Traditional Arabic" w:eastAsia="MS Mincho" w:hAnsi="Traditional Arabic" w:cs="Traditional Arabic" w:hint="cs"/>
          <w:sz w:val="28"/>
          <w:szCs w:val="28"/>
          <w:rtl/>
        </w:rPr>
        <w:t>أن المشاريع في السعودية، خاصة تلك الممولة حكوميًا، تعاني من بطء في الإجراءات الإدارية، وعدم اتساق القرارات، ونقص في المتابعة، وهو ما ينعكس على الكفاءة التشغيلية. وتوصي الدراسة بضرورة تطوير آليات الحوكمة، وتحسين مستوى التنسيق بين الجهات المعنية، وتبني أنظمة رقمية لإدارة العمليات</w:t>
      </w:r>
      <w:r w:rsidRPr="006E13D4">
        <w:rPr>
          <w:rFonts w:ascii="Traditional Arabic" w:eastAsia="MS Mincho" w:hAnsi="Traditional Arabic" w:cs="Traditional Arabic" w:hint="cs"/>
          <w:sz w:val="28"/>
          <w:szCs w:val="28"/>
        </w:rPr>
        <w:t xml:space="preserve"> (Al-Otaibi et al., 2025).</w:t>
      </w:r>
    </w:p>
    <w:p w14:paraId="595489EA" w14:textId="77777777" w:rsidR="00CD0F1F" w:rsidRPr="006E13D4" w:rsidRDefault="00CD0F1F" w:rsidP="00CD0F1F">
      <w:pPr>
        <w:spacing w:line="360" w:lineRule="auto"/>
        <w:rPr>
          <w:rFonts w:ascii="Traditional Arabic" w:eastAsia="MS Mincho" w:hAnsi="Traditional Arabic" w:cs="Traditional Arabic" w:hint="cs"/>
          <w:b/>
          <w:bCs/>
          <w:sz w:val="28"/>
          <w:szCs w:val="28"/>
        </w:rPr>
      </w:pPr>
      <w:r w:rsidRPr="006E13D4">
        <w:rPr>
          <w:rFonts w:ascii="Traditional Arabic" w:eastAsia="MS Mincho" w:hAnsi="Traditional Arabic" w:cs="Traditional Arabic" w:hint="cs"/>
          <w:b/>
          <w:bCs/>
          <w:sz w:val="28"/>
          <w:szCs w:val="28"/>
          <w:rtl/>
        </w:rPr>
        <w:t>الكفاءات المطلوبة لمديري المشاريع</w:t>
      </w:r>
    </w:p>
    <w:p w14:paraId="1B3BC7AD"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تلعب كفاءة مدير المشروع دورًا محوريًا في نجاح المشروع، إذ يقع على عاتقه التخطيط، والتنفيذ، والرقابة، وحل المشكلات، والتواصل مع جميع أصحاب المصلحة. وتتنوع المهارات المطلوبة بين مهارات فنية، وأخرى قيادية وسلوكية</w:t>
      </w:r>
      <w:r w:rsidRPr="006E13D4">
        <w:rPr>
          <w:rFonts w:ascii="Traditional Arabic" w:eastAsia="MS Mincho" w:hAnsi="Traditional Arabic" w:cs="Traditional Arabic" w:hint="cs"/>
          <w:sz w:val="28"/>
          <w:szCs w:val="28"/>
        </w:rPr>
        <w:t>.</w:t>
      </w:r>
    </w:p>
    <w:p w14:paraId="5F680060"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من الناحية الفنية، يجب أن يمتلك مدير المشروع معرفة دقيقة بمنهجيات إدارة المشاريع، والأدوات التكنولوجية، وإدارة الجودة، وتحليل المخاطر، وإعداد الجداول الزمنية والميزانيات. كما أن إلمامه بالتخصصات الهندسية المتعلقة بالمشروع يُعد ميزة مهمة تعزز من دقة اتخاذ القرار</w:t>
      </w:r>
      <w:r w:rsidRPr="006E13D4">
        <w:rPr>
          <w:rFonts w:ascii="Traditional Arabic" w:eastAsia="MS Mincho" w:hAnsi="Traditional Arabic" w:cs="Traditional Arabic" w:hint="cs"/>
          <w:sz w:val="28"/>
          <w:szCs w:val="28"/>
        </w:rPr>
        <w:t>.</w:t>
      </w:r>
    </w:p>
    <w:p w14:paraId="33E35C7C"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lastRenderedPageBreak/>
        <w:t xml:space="preserve">أما المهارات السلوكية، فتشمل </w:t>
      </w:r>
      <w:r w:rsidRPr="006E13D4">
        <w:rPr>
          <w:rFonts w:ascii="Traditional Arabic" w:eastAsia="MS Mincho" w:hAnsi="Traditional Arabic" w:cs="Traditional Arabic" w:hint="cs"/>
          <w:b/>
          <w:bCs/>
          <w:sz w:val="28"/>
          <w:szCs w:val="28"/>
          <w:rtl/>
        </w:rPr>
        <w:t>القدرة على القيادة وتحفيز الفريق</w:t>
      </w:r>
      <w:r w:rsidRPr="006E13D4">
        <w:rPr>
          <w:rFonts w:ascii="Traditional Arabic" w:eastAsia="MS Mincho" w:hAnsi="Traditional Arabic" w:cs="Traditional Arabic" w:hint="cs"/>
          <w:sz w:val="28"/>
          <w:szCs w:val="28"/>
          <w:rtl/>
        </w:rPr>
        <w:t>، والذكاء العاطفي، ومهارات التواصل الفعال، وإدارة النزاعات، والقدرة على التفاوض. وفي المشاريع المعقدة، يُتوقع من مدير المشروع أن يتصرف كوسيط بين أطراف متعددة ذات مصالح متباينة، بما يحقق التوازن ويضمن سير المشروع بكفاءة</w:t>
      </w:r>
      <w:r w:rsidRPr="006E13D4">
        <w:rPr>
          <w:rFonts w:ascii="Traditional Arabic" w:eastAsia="MS Mincho" w:hAnsi="Traditional Arabic" w:cs="Traditional Arabic" w:hint="cs"/>
          <w:sz w:val="28"/>
          <w:szCs w:val="28"/>
        </w:rPr>
        <w:t>.</w:t>
      </w:r>
    </w:p>
    <w:p w14:paraId="345FD352"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وقد أبرزت دراسة</w:t>
      </w:r>
      <w:r w:rsidRPr="006E13D4">
        <w:rPr>
          <w:rFonts w:ascii="Traditional Arabic" w:eastAsia="MS Mincho" w:hAnsi="Traditional Arabic" w:cs="Traditional Arabic" w:hint="cs"/>
          <w:sz w:val="28"/>
          <w:szCs w:val="28"/>
        </w:rPr>
        <w:t xml:space="preserve"> Ali et al. (2024) </w:t>
      </w:r>
      <w:r w:rsidRPr="006E13D4">
        <w:rPr>
          <w:rFonts w:ascii="Traditional Arabic" w:eastAsia="MS Mincho" w:hAnsi="Traditional Arabic" w:cs="Traditional Arabic" w:hint="cs"/>
          <w:sz w:val="28"/>
          <w:szCs w:val="28"/>
          <w:rtl/>
        </w:rPr>
        <w:t>الحاجة لتطوير برامج تعليمية مهنية تركز على المهارات القيادية والابتكارية لدى مديري المشاريع في السعودية، وأشارت إلى أن ضعف الكفاءات يُعد من أهم أسباب تعثر بعض المشاريع الحكومية أو تأخر إنجازها. ودعت إلى ضرورة اعتماد معايير دولية في تأهيل مديري المشاريع، مثل تلك التي تضعها منظمات</w:t>
      </w:r>
      <w:r w:rsidRPr="006E13D4">
        <w:rPr>
          <w:rFonts w:ascii="Traditional Arabic" w:eastAsia="MS Mincho" w:hAnsi="Traditional Arabic" w:cs="Traditional Arabic" w:hint="cs"/>
          <w:sz w:val="28"/>
          <w:szCs w:val="28"/>
        </w:rPr>
        <w:t xml:space="preserve"> PMI </w:t>
      </w:r>
      <w:r w:rsidRPr="006E13D4">
        <w:rPr>
          <w:rFonts w:ascii="Traditional Arabic" w:eastAsia="MS Mincho" w:hAnsi="Traditional Arabic" w:cs="Traditional Arabic" w:hint="cs"/>
          <w:sz w:val="28"/>
          <w:szCs w:val="28"/>
          <w:rtl/>
        </w:rPr>
        <w:t>و</w:t>
      </w:r>
      <w:r w:rsidRPr="006E13D4">
        <w:rPr>
          <w:rFonts w:ascii="Traditional Arabic" w:eastAsia="MS Mincho" w:hAnsi="Traditional Arabic" w:cs="Traditional Arabic" w:hint="cs"/>
          <w:sz w:val="28"/>
          <w:szCs w:val="28"/>
        </w:rPr>
        <w:t>IPMA (Ali et al., 2024).</w:t>
      </w:r>
    </w:p>
    <w:p w14:paraId="5B3AB532" w14:textId="77777777" w:rsidR="00CD0F1F" w:rsidRPr="006E13D4" w:rsidRDefault="00CD0F1F" w:rsidP="00CD0F1F">
      <w:pPr>
        <w:spacing w:line="360" w:lineRule="auto"/>
        <w:rPr>
          <w:rFonts w:ascii="Traditional Arabic" w:eastAsia="MS Mincho" w:hAnsi="Traditional Arabic" w:cs="Traditional Arabic" w:hint="cs"/>
          <w:sz w:val="28"/>
          <w:szCs w:val="28"/>
        </w:rPr>
      </w:pPr>
      <w:r w:rsidRPr="006E13D4">
        <w:rPr>
          <w:rFonts w:ascii="Traditional Arabic" w:eastAsia="MS Mincho" w:hAnsi="Traditional Arabic" w:cs="Traditional Arabic" w:hint="cs"/>
          <w:sz w:val="28"/>
          <w:szCs w:val="28"/>
          <w:rtl/>
        </w:rPr>
        <w:t>كذلك، أوضح</w:t>
      </w:r>
      <w:r w:rsidRPr="006E13D4">
        <w:rPr>
          <w:rFonts w:ascii="Traditional Arabic" w:eastAsia="MS Mincho" w:hAnsi="Traditional Arabic" w:cs="Traditional Arabic" w:hint="cs"/>
          <w:sz w:val="28"/>
          <w:szCs w:val="28"/>
        </w:rPr>
        <w:t xml:space="preserve"> ALLOUZI &amp; AL JAAFREH (2023) </w:t>
      </w:r>
      <w:r w:rsidRPr="006E13D4">
        <w:rPr>
          <w:rFonts w:ascii="Traditional Arabic" w:eastAsia="MS Mincho" w:hAnsi="Traditional Arabic" w:cs="Traditional Arabic" w:hint="cs"/>
          <w:sz w:val="28"/>
          <w:szCs w:val="28"/>
          <w:rtl/>
        </w:rPr>
        <w:t>أن مدير المشروع الفعال يجب أن يكون قادرًا على دمج مبادئ الاستدامة في قراراته، ومتابعة أثر المشروع على البيئة والمجتمع، بما يحقق الأهداف التنموية طويلة المدى، وليس فقط إنجاز المهمة في وقتها المحدد. وأكد الباحثان أن الكفاءة في هذا المجال لا ترتبط فقط بالمعرفة التقنية، بل بامتلاك رؤية استراتيجية، وقدرة على الابتكار</w:t>
      </w:r>
      <w:r w:rsidRPr="006E13D4">
        <w:rPr>
          <w:rFonts w:ascii="Traditional Arabic" w:eastAsia="MS Mincho" w:hAnsi="Traditional Arabic" w:cs="Traditional Arabic" w:hint="cs"/>
          <w:sz w:val="28"/>
          <w:szCs w:val="28"/>
        </w:rPr>
        <w:t xml:space="preserve"> (ALLOUZI &amp; AL JAAFREH, 2023).</w:t>
      </w:r>
    </w:p>
    <w:p w14:paraId="76463925" w14:textId="77777777" w:rsidR="00CD0F1F" w:rsidRPr="006E13D4" w:rsidRDefault="00CD0F1F" w:rsidP="00CD0F1F">
      <w:pPr>
        <w:spacing w:line="360" w:lineRule="auto"/>
        <w:rPr>
          <w:rFonts w:ascii="Traditional Arabic" w:eastAsia="MS Mincho" w:hAnsi="Traditional Arabic" w:cs="Traditional Arabic" w:hint="cs"/>
          <w:sz w:val="28"/>
          <w:szCs w:val="28"/>
          <w:rtl/>
        </w:rPr>
      </w:pPr>
    </w:p>
    <w:p w14:paraId="7F0B358D" w14:textId="77777777" w:rsidR="00CD0F1F" w:rsidRPr="006E13D4" w:rsidRDefault="00CD0F1F" w:rsidP="00CD0F1F">
      <w:pPr>
        <w:spacing w:line="360" w:lineRule="auto"/>
        <w:jc w:val="center"/>
        <w:outlineLvl w:val="2"/>
        <w:rPr>
          <w:rFonts w:ascii="Traditional Arabic" w:eastAsia="Sakkal Majalla" w:hAnsi="Traditional Arabic" w:cs="Traditional Arabic" w:hint="cs"/>
          <w:b/>
          <w:bCs/>
          <w:sz w:val="28"/>
          <w:szCs w:val="28"/>
          <w:rtl/>
        </w:rPr>
      </w:pPr>
      <w:bookmarkStart w:id="14" w:name="_Toc203357723"/>
      <w:r w:rsidRPr="006E13D4">
        <w:rPr>
          <w:rFonts w:ascii="Traditional Arabic" w:eastAsia="Sakkal Majalla" w:hAnsi="Traditional Arabic" w:cs="Traditional Arabic" w:hint="cs"/>
          <w:b/>
          <w:bCs/>
          <w:sz w:val="28"/>
          <w:szCs w:val="28"/>
          <w:rtl/>
        </w:rPr>
        <w:t xml:space="preserve">العلاقة بين ممارسات الاستدامة </w:t>
      </w:r>
      <w:proofErr w:type="gramStart"/>
      <w:r w:rsidRPr="006E13D4">
        <w:rPr>
          <w:rFonts w:ascii="Traditional Arabic" w:eastAsia="Sakkal Majalla" w:hAnsi="Traditional Arabic" w:cs="Traditional Arabic" w:hint="cs"/>
          <w:b/>
          <w:bCs/>
          <w:sz w:val="28"/>
          <w:szCs w:val="28"/>
          <w:rtl/>
        </w:rPr>
        <w:t>و إدارة</w:t>
      </w:r>
      <w:proofErr w:type="gramEnd"/>
      <w:r w:rsidRPr="006E13D4">
        <w:rPr>
          <w:rFonts w:ascii="Traditional Arabic" w:eastAsia="Sakkal Majalla" w:hAnsi="Traditional Arabic" w:cs="Traditional Arabic" w:hint="cs"/>
          <w:b/>
          <w:bCs/>
          <w:sz w:val="28"/>
          <w:szCs w:val="28"/>
          <w:rtl/>
        </w:rPr>
        <w:t xml:space="preserve"> المشاريع</w:t>
      </w:r>
      <w:bookmarkEnd w:id="14"/>
    </w:p>
    <w:p w14:paraId="6C125ED3"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يمثل دمج ممارسات الاستدامة في إدارة المشاريع أحد أبرز التحولات المفاهيمية التي شهدتها العقود الأخيرة، حيث لم يعد يُنظر إلى المشاريع بمعزل عن بيئتها أو أثرها على المجتمع والاقتصاد. بل أصبح يُنظر إلى كل مشروع كفرصة لتجسيد الاستدامة عمليًا من خلال ترشيد استخدام الموارد، وتقليل النفايات والانبعاثات، وتحقيق عوائد طويلة الأمد تتجاوز الجدوى المالية المباشرة. في هذا السياق، تبرز الإدارة المستدامة للمشروعات كمدخل متكامل يجمع بين تقنيات وأساليب إدارة المشاريع التقليدية وبين الالتزامات البيئية والاجتماعية، وهو ما يدفع المؤسسات نحو تبني منظور جديد للتخطيط والتنفيذ يراعي جودة الحياة والعدالة بين الأجيال. وتكمن أهمية هذا المفهوم في كونه لا يقتصر على تحقيق الأهداف المرحلية للمشاريع، بل يسعى لبناء بنية تحتية ذكية وقابلة للاستمرار في مواجهة </w:t>
      </w:r>
      <w:r w:rsidRPr="006E13D4">
        <w:rPr>
          <w:rFonts w:ascii="Traditional Arabic" w:eastAsia="Sakkal Majalla" w:hAnsi="Traditional Arabic" w:cs="Traditional Arabic" w:hint="cs"/>
          <w:sz w:val="28"/>
          <w:szCs w:val="28"/>
          <w:rtl/>
        </w:rPr>
        <w:lastRenderedPageBreak/>
        <w:t>تحديات الموارد والمناخ والتغيرات المجتمعية. وقد أكد</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Okeniyi</w:t>
      </w:r>
      <w:proofErr w:type="spellEnd"/>
      <w:r w:rsidRPr="006E13D4">
        <w:rPr>
          <w:rFonts w:ascii="Traditional Arabic" w:eastAsia="Sakkal Majalla" w:hAnsi="Traditional Arabic" w:cs="Traditional Arabic" w:hint="cs"/>
          <w:sz w:val="28"/>
          <w:szCs w:val="28"/>
        </w:rPr>
        <w:t xml:space="preserve"> (2013) </w:t>
      </w:r>
      <w:r w:rsidRPr="006E13D4">
        <w:rPr>
          <w:rFonts w:ascii="Traditional Arabic" w:eastAsia="Sakkal Majalla" w:hAnsi="Traditional Arabic" w:cs="Traditional Arabic" w:hint="cs"/>
          <w:sz w:val="28"/>
          <w:szCs w:val="28"/>
          <w:rtl/>
        </w:rPr>
        <w:t>أن الإدارة المستدامة تُعزز من فعالية المشروع عبر الاستخدام الرشيد للموارد، والقدرة على التكيف، وتعظيم القيمة المضافة</w:t>
      </w:r>
      <w:r w:rsidRPr="006E13D4">
        <w:rPr>
          <w:rFonts w:ascii="Traditional Arabic" w:eastAsia="Sakkal Majalla" w:hAnsi="Traditional Arabic" w:cs="Traditional Arabic" w:hint="cs"/>
          <w:sz w:val="28"/>
          <w:szCs w:val="28"/>
        </w:rPr>
        <w:t>.</w:t>
      </w:r>
    </w:p>
    <w:p w14:paraId="17CCC78E"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تتجلى الإدارة المستدامة للمشاريع بشكل بارز في القطاع الإنشائي، إذ أن مخرجات هذا القطاع تبقى لعقود طويلة، مما يفرض ضرورة إدماج مفاهيم الاستدامة منذ المراحل الأولى للتصميم والتخطيط. ومن هنا، بدأت العديد من المؤسسات غير الربحية في المملكة العربية السعودية، كما 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Alharithi</w:t>
      </w:r>
      <w:proofErr w:type="spellEnd"/>
      <w:r w:rsidRPr="006E13D4">
        <w:rPr>
          <w:rFonts w:ascii="Traditional Arabic" w:eastAsia="Sakkal Majalla" w:hAnsi="Traditional Arabic" w:cs="Traditional Arabic" w:hint="cs"/>
          <w:sz w:val="28"/>
          <w:szCs w:val="28"/>
        </w:rPr>
        <w:t xml:space="preserve"> (2023)</w:t>
      </w:r>
      <w:r w:rsidRPr="006E13D4">
        <w:rPr>
          <w:rFonts w:ascii="Traditional Arabic" w:eastAsia="Sakkal Majalla" w:hAnsi="Traditional Arabic" w:cs="Traditional Arabic" w:hint="cs"/>
          <w:sz w:val="28"/>
          <w:szCs w:val="28"/>
          <w:rtl/>
        </w:rPr>
        <w:t>، في تبني هذا التوجه عبر تطوير نماذج عمل تستند إلى التنمية الشاملة، بحيث لا تقتصر على الجانب الفني، بل تتعداه إلى تعزيز العدالة داخل فرق العمل وضمان الاستفادة المتوازنة من الموارد، وهو ما يعكس تطورًا ملحوظًا في الفكر الإداري المحلي</w:t>
      </w:r>
      <w:r w:rsidRPr="006E13D4">
        <w:rPr>
          <w:rFonts w:ascii="Traditional Arabic" w:eastAsia="Sakkal Majalla" w:hAnsi="Traditional Arabic" w:cs="Traditional Arabic" w:hint="cs"/>
          <w:sz w:val="28"/>
          <w:szCs w:val="28"/>
        </w:rPr>
        <w:t>.</w:t>
      </w:r>
    </w:p>
    <w:p w14:paraId="261052A7"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ولتحقيق هذا الدمج بفاعلية، ظهرت العديد من الأدوات والمنهجيات التي تساعد في تنفيذ المشاريع وفق أسس الاستدامة. من أبرز هذه الأدوات</w:t>
      </w:r>
      <w:r w:rsidRPr="006E13D4">
        <w:rPr>
          <w:rFonts w:ascii="Traditional Arabic" w:eastAsia="Sakkal Majalla" w:hAnsi="Traditional Arabic" w:cs="Traditional Arabic" w:hint="cs"/>
          <w:sz w:val="28"/>
          <w:szCs w:val="28"/>
        </w:rPr>
        <w:t xml:space="preserve"> IPD</w:t>
      </w:r>
      <w:r w:rsidRPr="006E13D4">
        <w:rPr>
          <w:rFonts w:ascii="Traditional Arabic" w:eastAsia="Sakkal Majalla" w:hAnsi="Traditional Arabic" w:cs="Traditional Arabic" w:hint="cs"/>
          <w:sz w:val="28"/>
          <w:szCs w:val="28"/>
          <w:rtl/>
        </w:rPr>
        <w:t>، أو التسليم المتكامل للمشاريع، والذي يُعد منهجًا تشاركيًا يجمع بين كافة الأطراف المعنية من مرحلة التخطيط المبكر، مما يسهم في تقليل الهدر وتحسين النتائج البيئية والاجتماعية. ويُستخدم هذا النموذج بشكل متزايد في المشاريع السعودية كأداة لزيادة التناغم بين الأطراف وتقليل المخاطر كما أوضح</w:t>
      </w:r>
      <w:r w:rsidRPr="006E13D4">
        <w:rPr>
          <w:rFonts w:ascii="Traditional Arabic" w:eastAsia="Sakkal Majalla" w:hAnsi="Traditional Arabic" w:cs="Traditional Arabic" w:hint="cs"/>
          <w:sz w:val="28"/>
          <w:szCs w:val="28"/>
        </w:rPr>
        <w:t xml:space="preserve"> Alqahtani et al. (2022). </w:t>
      </w:r>
      <w:r w:rsidRPr="006E13D4">
        <w:rPr>
          <w:rFonts w:ascii="Traditional Arabic" w:eastAsia="Sakkal Majalla" w:hAnsi="Traditional Arabic" w:cs="Traditional Arabic" w:hint="cs"/>
          <w:sz w:val="28"/>
          <w:szCs w:val="28"/>
          <w:rtl/>
        </w:rPr>
        <w:t>من جهة أخرى، يُعد نظام</w:t>
      </w:r>
      <w:r w:rsidRPr="006E13D4">
        <w:rPr>
          <w:rFonts w:ascii="Traditional Arabic" w:eastAsia="Sakkal Majalla" w:hAnsi="Traditional Arabic" w:cs="Traditional Arabic" w:hint="cs"/>
          <w:sz w:val="28"/>
          <w:szCs w:val="28"/>
        </w:rPr>
        <w:t xml:space="preserve"> LEED </w:t>
      </w:r>
      <w:r w:rsidRPr="006E13D4">
        <w:rPr>
          <w:rFonts w:ascii="Traditional Arabic" w:eastAsia="Sakkal Majalla" w:hAnsi="Traditional Arabic" w:cs="Traditional Arabic" w:hint="cs"/>
          <w:sz w:val="28"/>
          <w:szCs w:val="28"/>
          <w:rtl/>
        </w:rPr>
        <w:t>من أشهر أنظمة تصنيف المباني الخضراء، إذ يعتمد على معايير تتعلق باستخدام الطاقة والمياه والمواد، ويُكسب المشاريع شهادة معترف بها عالميًا تعكس مدى التزامها بالمعايير البيئية. أما</w:t>
      </w:r>
      <w:r w:rsidRPr="006E13D4">
        <w:rPr>
          <w:rFonts w:ascii="Traditional Arabic" w:eastAsia="Sakkal Majalla" w:hAnsi="Traditional Arabic" w:cs="Traditional Arabic" w:hint="cs"/>
          <w:sz w:val="28"/>
          <w:szCs w:val="28"/>
        </w:rPr>
        <w:t xml:space="preserve"> GRI</w:t>
      </w:r>
      <w:r w:rsidRPr="006E13D4">
        <w:rPr>
          <w:rFonts w:ascii="Traditional Arabic" w:eastAsia="Sakkal Majalla" w:hAnsi="Traditional Arabic" w:cs="Traditional Arabic" w:hint="cs"/>
          <w:sz w:val="28"/>
          <w:szCs w:val="28"/>
          <w:rtl/>
        </w:rPr>
        <w:t>، فهي توفر إرشادات لتقارير الاستدامة، بما يساعد المؤسسات في الإفصاح عن أدائها البيئي والاجتماعي بطريقة شفافة ومسؤولة، وهو ما أكدته دراسة عبد العال وآخرون (2023) التي أبرزت دور هذه التقارير في تعزيز الثقة العامة</w:t>
      </w:r>
      <w:r w:rsidRPr="006E13D4">
        <w:rPr>
          <w:rFonts w:ascii="Traditional Arabic" w:eastAsia="Sakkal Majalla" w:hAnsi="Traditional Arabic" w:cs="Traditional Arabic" w:hint="cs"/>
          <w:sz w:val="28"/>
          <w:szCs w:val="28"/>
        </w:rPr>
        <w:t>.</w:t>
      </w:r>
    </w:p>
    <w:p w14:paraId="5B3F8FC2"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وتلعب تقنيات مثل</w:t>
      </w:r>
      <w:r w:rsidRPr="006E13D4">
        <w:rPr>
          <w:rFonts w:ascii="Traditional Arabic" w:eastAsia="Sakkal Majalla" w:hAnsi="Traditional Arabic" w:cs="Traditional Arabic" w:hint="cs"/>
          <w:sz w:val="28"/>
          <w:szCs w:val="28"/>
        </w:rPr>
        <w:t xml:space="preserve"> BIM </w:t>
      </w:r>
      <w:r w:rsidRPr="006E13D4">
        <w:rPr>
          <w:rFonts w:ascii="Traditional Arabic" w:eastAsia="Sakkal Majalla" w:hAnsi="Traditional Arabic" w:cs="Traditional Arabic" w:hint="cs"/>
          <w:sz w:val="28"/>
          <w:szCs w:val="28"/>
          <w:rtl/>
        </w:rPr>
        <w:t>دورًا جوهريًا في إدارة البيانات المرتبطة بالمشاريع، حيث تُمكن من تصور دقيق لكافة مراحل المشروع وتحديد تأثير القرارات التصميمية على استهلاك الموارد. كما يُعد تحليل دورة الحياة</w:t>
      </w:r>
      <w:r w:rsidRPr="006E13D4">
        <w:rPr>
          <w:rFonts w:ascii="Traditional Arabic" w:eastAsia="Sakkal Majalla" w:hAnsi="Traditional Arabic" w:cs="Traditional Arabic" w:hint="cs"/>
          <w:sz w:val="28"/>
          <w:szCs w:val="28"/>
        </w:rPr>
        <w:t xml:space="preserve"> (LCA) </w:t>
      </w:r>
      <w:r w:rsidRPr="006E13D4">
        <w:rPr>
          <w:rFonts w:ascii="Traditional Arabic" w:eastAsia="Sakkal Majalla" w:hAnsi="Traditional Arabic" w:cs="Traditional Arabic" w:hint="cs"/>
          <w:sz w:val="28"/>
          <w:szCs w:val="28"/>
          <w:rtl/>
        </w:rPr>
        <w:t>من الأدوات الأساسية في هذا السياق، لأنه يتيح تقييم الأثر البيئي لكامل دورة حياة المنتج أو الخدمة داخل المشروع، مما يسهم في اتخاذ قرارات مبنية على حقائق رقمية مستندة إلى البيئة، كما أشار إلى ذلك العلم (2018) في تحليله لدور</w:t>
      </w:r>
      <w:r w:rsidRPr="006E13D4">
        <w:rPr>
          <w:rFonts w:ascii="Traditional Arabic" w:eastAsia="Sakkal Majalla" w:hAnsi="Traditional Arabic" w:cs="Traditional Arabic" w:hint="cs"/>
          <w:sz w:val="28"/>
          <w:szCs w:val="28"/>
        </w:rPr>
        <w:t xml:space="preserve"> LCA </w:t>
      </w:r>
      <w:r w:rsidRPr="006E13D4">
        <w:rPr>
          <w:rFonts w:ascii="Traditional Arabic" w:eastAsia="Sakkal Majalla" w:hAnsi="Traditional Arabic" w:cs="Traditional Arabic" w:hint="cs"/>
          <w:sz w:val="28"/>
          <w:szCs w:val="28"/>
          <w:rtl/>
        </w:rPr>
        <w:t>في مشاريع البناء</w:t>
      </w:r>
      <w:r w:rsidRPr="006E13D4">
        <w:rPr>
          <w:rFonts w:ascii="Traditional Arabic" w:eastAsia="Sakkal Majalla" w:hAnsi="Traditional Arabic" w:cs="Traditional Arabic" w:hint="cs"/>
          <w:sz w:val="28"/>
          <w:szCs w:val="28"/>
        </w:rPr>
        <w:t>.</w:t>
      </w:r>
    </w:p>
    <w:p w14:paraId="307ADD12"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lastRenderedPageBreak/>
        <w:t>وفي الإطار النظري، تُعتبر مجموعة من النماذج والنظريات الإدارية بمثابة الركيزة الفكرية التي تُمكن من فهم أعمق لكيفية دمج الاستدامة في المشاريع. من بين هذه النظريات، تبرز نظرية أصحاب المصلحة، التي تؤكد على أهمية التوازن بين مصالح مختلف الأطراف المرتبطة بالمشروع، سواء كانوا ممولين أو منفذين أو مجتمعات محلية، وهو ما يتطلب مراعاة الأبعاد الاجتماعية والبيئية والاقتصادية في قرارات المشروع، وقد 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AbuShal</w:t>
      </w:r>
      <w:proofErr w:type="spellEnd"/>
      <w:r w:rsidRPr="006E13D4">
        <w:rPr>
          <w:rFonts w:ascii="Traditional Arabic" w:eastAsia="Sakkal Majalla" w:hAnsi="Traditional Arabic" w:cs="Traditional Arabic" w:hint="cs"/>
          <w:sz w:val="28"/>
          <w:szCs w:val="28"/>
        </w:rPr>
        <w:t xml:space="preserve"> (2024) </w:t>
      </w:r>
      <w:r w:rsidRPr="006E13D4">
        <w:rPr>
          <w:rFonts w:ascii="Traditional Arabic" w:eastAsia="Sakkal Majalla" w:hAnsi="Traditional Arabic" w:cs="Traditional Arabic" w:hint="cs"/>
          <w:sz w:val="28"/>
          <w:szCs w:val="28"/>
          <w:rtl/>
        </w:rPr>
        <w:t xml:space="preserve">إلى أن هذه النظرية ساعدت في بناء استراتيجيات تعاونية أكثر عدالة في بيئة العمل. وتُعد نظرية الحوكمة إحدى النظريات الأساسية التي تركز على وجود هياكل رقابية واضحة، تضمن المساءلة والشفافية، وتُسهم في تطبيق الاستدامة على أرض الواقع من خلال سياسات مؤسسية واضحة. وفي السياق ذاته، تبرز أهمية الإفصاح الطوعي، الذي يعكس التزام المؤسسة بالإفصاح عن أدائها البيئي والاجتماعي حتى في غياب إلزام قانوني، ما يُعد مؤشرًا على نضج ثقافة الاستدامة داخل المؤسسة كما وصفه </w:t>
      </w:r>
      <w:proofErr w:type="spellStart"/>
      <w:r w:rsidRPr="006E13D4">
        <w:rPr>
          <w:rFonts w:ascii="Traditional Arabic" w:eastAsia="Sakkal Majalla" w:hAnsi="Traditional Arabic" w:cs="Traditional Arabic" w:hint="cs"/>
          <w:sz w:val="28"/>
          <w:szCs w:val="28"/>
          <w:rtl/>
        </w:rPr>
        <w:t>إيشو</w:t>
      </w:r>
      <w:proofErr w:type="spellEnd"/>
      <w:r w:rsidRPr="006E13D4">
        <w:rPr>
          <w:rFonts w:ascii="Traditional Arabic" w:eastAsia="Sakkal Majalla" w:hAnsi="Traditional Arabic" w:cs="Traditional Arabic" w:hint="cs"/>
          <w:sz w:val="28"/>
          <w:szCs w:val="28"/>
          <w:rtl/>
        </w:rPr>
        <w:t xml:space="preserve"> </w:t>
      </w:r>
      <w:proofErr w:type="spellStart"/>
      <w:r w:rsidRPr="006E13D4">
        <w:rPr>
          <w:rFonts w:ascii="Traditional Arabic" w:eastAsia="Sakkal Majalla" w:hAnsi="Traditional Arabic" w:cs="Traditional Arabic" w:hint="cs"/>
          <w:sz w:val="28"/>
          <w:szCs w:val="28"/>
          <w:rtl/>
        </w:rPr>
        <w:t>قايتا</w:t>
      </w:r>
      <w:proofErr w:type="spellEnd"/>
      <w:r w:rsidRPr="006E13D4">
        <w:rPr>
          <w:rFonts w:ascii="Traditional Arabic" w:eastAsia="Sakkal Majalla" w:hAnsi="Traditional Arabic" w:cs="Traditional Arabic" w:hint="cs"/>
          <w:sz w:val="28"/>
          <w:szCs w:val="28"/>
        </w:rPr>
        <w:t xml:space="preserve"> (2014).</w:t>
      </w:r>
    </w:p>
    <w:p w14:paraId="747FBBF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أما من حيث الأثر الفعلي لدمج ممارسات الاستدامة على المشاريع الإنشائية، فقد تبين أن لهذا الدمج فوائد متعددة أبرزها تحسين الكفاءة وتقليل التكاليف التشغيلية على المدى الطويل، خصوصًا </w:t>
      </w:r>
      <w:proofErr w:type="gramStart"/>
      <w:r w:rsidRPr="006E13D4">
        <w:rPr>
          <w:rFonts w:ascii="Traditional Arabic" w:eastAsia="Sakkal Majalla" w:hAnsi="Traditional Arabic" w:cs="Traditional Arabic" w:hint="cs"/>
          <w:sz w:val="28"/>
          <w:szCs w:val="28"/>
          <w:rtl/>
        </w:rPr>
        <w:t>في ما</w:t>
      </w:r>
      <w:proofErr w:type="gramEnd"/>
      <w:r w:rsidRPr="006E13D4">
        <w:rPr>
          <w:rFonts w:ascii="Traditional Arabic" w:eastAsia="Sakkal Majalla" w:hAnsi="Traditional Arabic" w:cs="Traditional Arabic" w:hint="cs"/>
          <w:sz w:val="28"/>
          <w:szCs w:val="28"/>
          <w:rtl/>
        </w:rPr>
        <w:t xml:space="preserve"> يتعلق باستهلاك الطاقة وإدارة الموارد. كما أن دمج الاستدامة يُسهم في تقليل المخاطر البيئية والتنظيمية التي قد تنشأ لاحقًا، عبر الالتزام بالمعايير منذ البداية. ويزيد كذلك من رضا أصحاب المصلحة ويُحسن من صورة المؤسسة. وقد أكدت دراسة</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Alghuried</w:t>
      </w:r>
      <w:proofErr w:type="spellEnd"/>
      <w:r w:rsidRPr="006E13D4">
        <w:rPr>
          <w:rFonts w:ascii="Traditional Arabic" w:eastAsia="Sakkal Majalla" w:hAnsi="Traditional Arabic" w:cs="Traditional Arabic" w:hint="cs"/>
          <w:sz w:val="28"/>
          <w:szCs w:val="28"/>
        </w:rPr>
        <w:t xml:space="preserve"> (2025) </w:t>
      </w:r>
      <w:r w:rsidRPr="006E13D4">
        <w:rPr>
          <w:rFonts w:ascii="Traditional Arabic" w:eastAsia="Sakkal Majalla" w:hAnsi="Traditional Arabic" w:cs="Traditional Arabic" w:hint="cs"/>
          <w:sz w:val="28"/>
          <w:szCs w:val="28"/>
          <w:rtl/>
        </w:rPr>
        <w:t>أن المشاريع التي تم تصميمها وتنفيذها وفقًا لمبادئ الاستدامة منذ البداية كانت أكثر نجاحًا في تحقيق أهدافها، وأقل تعرضًا للعقبات مثل التأخيرات أو النزاعات، كما أنها أظهرت فعالية أكبر في إدارة فرق العمل بفضل وضوح الأدوار والتكامل بين الجوانب البيئية والاقتصادية</w:t>
      </w:r>
      <w:r w:rsidRPr="006E13D4">
        <w:rPr>
          <w:rFonts w:ascii="Traditional Arabic" w:eastAsia="Sakkal Majalla" w:hAnsi="Traditional Arabic" w:cs="Traditional Arabic" w:hint="cs"/>
          <w:sz w:val="28"/>
          <w:szCs w:val="28"/>
        </w:rPr>
        <w:t>.</w:t>
      </w:r>
    </w:p>
    <w:p w14:paraId="635B47C0"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ولكي تنجح المؤسسات في دمج الاستدامة، فإن الأمر لا يتوقف فقط على تبني الأدوات أو النظريات، بل يحتاج إلى عدد من المتطلبات الجوهرية، تبدأ بوجود قيادة عليا مؤمنة بقيمة الاستدامة، وقادرة على تخصيص الموارد وتوجيه الاستراتيجيات نحو الأهداف البيئية والاجتماعية. كما تُعد البيئة التشريعية عاملاً داعمًا، حيث أن وجود قوانين واضحة ومحفزات مالية يمكن أن يشجع المؤسسات على تبني الممارسات الخضراء. ويمثل بناء القدرات أحد أهم المرتكزات في هذا المجال، فكلما زادت معرفة العاملين بمبادئ وأدوات الاستدامة، زادت قدرتهم على اتخاذ قرارات ذكية وفعالة. ولا يمكن إغفال دور التخطيط الشامل، الذي يُراعي كافة جوانب الأثر البيئي </w:t>
      </w:r>
      <w:r w:rsidRPr="006E13D4">
        <w:rPr>
          <w:rFonts w:ascii="Traditional Arabic" w:eastAsia="Sakkal Majalla" w:hAnsi="Traditional Arabic" w:cs="Traditional Arabic" w:hint="cs"/>
          <w:sz w:val="28"/>
          <w:szCs w:val="28"/>
          <w:rtl/>
        </w:rPr>
        <w:lastRenderedPageBreak/>
        <w:t>والاجتماعي منذ البداية، ويعتمد على أدوات رقمية مثل</w:t>
      </w:r>
      <w:r w:rsidRPr="006E13D4">
        <w:rPr>
          <w:rFonts w:ascii="Traditional Arabic" w:eastAsia="Sakkal Majalla" w:hAnsi="Traditional Arabic" w:cs="Traditional Arabic" w:hint="cs"/>
          <w:sz w:val="28"/>
          <w:szCs w:val="28"/>
        </w:rPr>
        <w:t xml:space="preserve"> BIM </w:t>
      </w:r>
      <w:r w:rsidRPr="006E13D4">
        <w:rPr>
          <w:rFonts w:ascii="Traditional Arabic" w:eastAsia="Sakkal Majalla" w:hAnsi="Traditional Arabic" w:cs="Traditional Arabic" w:hint="cs"/>
          <w:sz w:val="28"/>
          <w:szCs w:val="28"/>
          <w:rtl/>
        </w:rPr>
        <w:t>و</w:t>
      </w:r>
      <w:r w:rsidRPr="006E13D4">
        <w:rPr>
          <w:rFonts w:ascii="Traditional Arabic" w:eastAsia="Sakkal Majalla" w:hAnsi="Traditional Arabic" w:cs="Traditional Arabic" w:hint="cs"/>
          <w:sz w:val="28"/>
          <w:szCs w:val="28"/>
        </w:rPr>
        <w:t xml:space="preserve">LCA </w:t>
      </w:r>
      <w:r w:rsidRPr="006E13D4">
        <w:rPr>
          <w:rFonts w:ascii="Traditional Arabic" w:eastAsia="Sakkal Majalla" w:hAnsi="Traditional Arabic" w:cs="Traditional Arabic" w:hint="cs"/>
          <w:sz w:val="28"/>
          <w:szCs w:val="28"/>
          <w:rtl/>
        </w:rPr>
        <w:t>كما بين</w:t>
      </w:r>
      <w:r w:rsidRPr="006E13D4">
        <w:rPr>
          <w:rFonts w:ascii="Traditional Arabic" w:eastAsia="Sakkal Majalla" w:hAnsi="Traditional Arabic" w:cs="Traditional Arabic" w:hint="cs"/>
          <w:sz w:val="28"/>
          <w:szCs w:val="28"/>
        </w:rPr>
        <w:t xml:space="preserve"> ALLOUZI &amp; AL JAAFREH (2023).</w:t>
      </w:r>
    </w:p>
    <w:p w14:paraId="3FDC7A2D"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وعلى الرغم من هذا التوجه المتسارع، فإن دمج الاستدامة في المشاريع لا يزال يواجه عددًا من التحديات التنظيمية والتشغيلية، لعل أبرزها يتمثل في ضعف الوعي المؤسسي، حيث لا تزال بعض الإدارات تنظر إلى الاستدامة كتكلفة إضافية وليست كاستثمار استراتيجي. كما أن غياب التشريعات الإلزامية في بعض السياقات يجعل تطبيق المعايير اختياريًا، ما يحد من انتشار هذه الممارسات. إلى جانب ذلك، فإن نقص الكفاءات المؤهلة يشكل عقبة حقيقية أمام التنفيذ العملي، إذ يتطلب الدمج توافر متخصصين في التصميم البيئي، والتقييم، والمراقبة. وتُعد مقاومة التغيير أحد أبرز العوائق، خصوصًا في المؤسسات التي اعتادت على أنظمة تشغيل تقليدية تركز على الإنجاز السريع وتجاهل الأبعاد طويلة الأمد، وهو ما أشار إليه</w:t>
      </w:r>
      <w:r w:rsidRPr="006E13D4">
        <w:rPr>
          <w:rFonts w:ascii="Traditional Arabic" w:eastAsia="Sakkal Majalla" w:hAnsi="Traditional Arabic" w:cs="Traditional Arabic" w:hint="cs"/>
          <w:sz w:val="28"/>
          <w:szCs w:val="28"/>
        </w:rPr>
        <w:t xml:space="preserve"> Alotaibi et al. (2025) </w:t>
      </w:r>
      <w:r w:rsidRPr="006E13D4">
        <w:rPr>
          <w:rFonts w:ascii="Traditional Arabic" w:eastAsia="Sakkal Majalla" w:hAnsi="Traditional Arabic" w:cs="Traditional Arabic" w:hint="cs"/>
          <w:sz w:val="28"/>
          <w:szCs w:val="28"/>
          <w:rtl/>
        </w:rPr>
        <w:t>كأحد أبرز التحديات التي تواجه المشاريع الكبرى في السعودية</w:t>
      </w:r>
      <w:r w:rsidRPr="006E13D4">
        <w:rPr>
          <w:rFonts w:ascii="Traditional Arabic" w:eastAsia="Sakkal Majalla" w:hAnsi="Traditional Arabic" w:cs="Traditional Arabic" w:hint="cs"/>
          <w:sz w:val="28"/>
          <w:szCs w:val="28"/>
        </w:rPr>
        <w:t>.</w:t>
      </w:r>
    </w:p>
    <w:p w14:paraId="0847D9A2" w14:textId="77777777" w:rsidR="00CD0F1F" w:rsidRPr="006E13D4" w:rsidRDefault="00CD0F1F" w:rsidP="00CD0F1F">
      <w:pPr>
        <w:spacing w:line="360" w:lineRule="auto"/>
        <w:rPr>
          <w:rFonts w:ascii="Traditional Arabic" w:eastAsia="Sakkal Majalla" w:hAnsi="Traditional Arabic" w:cs="Traditional Arabic" w:hint="cs"/>
          <w:b/>
          <w:bCs/>
          <w:sz w:val="28"/>
          <w:szCs w:val="28"/>
        </w:rPr>
      </w:pPr>
      <w:r w:rsidRPr="006E13D4">
        <w:rPr>
          <w:rFonts w:ascii="Traditional Arabic" w:eastAsia="Sakkal Majalla" w:hAnsi="Traditional Arabic" w:cs="Traditional Arabic" w:hint="cs"/>
          <w:b/>
          <w:bCs/>
          <w:sz w:val="28"/>
          <w:szCs w:val="28"/>
          <w:rtl/>
        </w:rPr>
        <w:t>الواقع السعودي والتحديات المحلية</w:t>
      </w:r>
    </w:p>
    <w:p w14:paraId="4774C1B1"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إن الواقع السعودي يُعد بيئة مثالية لدمج ممارسات الاستدامة في المشاريع الإنشائية، خصوصًا في ظل التوجهات الطموحة لرؤية السعودية 2030 التي تهدف إلى تحويل المملكة إلى نموذج عالمي في التنمية المستدامة. تتبنى هذه الرؤية استراتيجيات عمرانية طموحة تتجسد في مشاريع كبرى مثل </w:t>
      </w:r>
      <w:proofErr w:type="spellStart"/>
      <w:r w:rsidRPr="006E13D4">
        <w:rPr>
          <w:rFonts w:ascii="Traditional Arabic" w:eastAsia="Sakkal Majalla" w:hAnsi="Traditional Arabic" w:cs="Traditional Arabic" w:hint="cs"/>
          <w:sz w:val="28"/>
          <w:szCs w:val="28"/>
          <w:rtl/>
        </w:rPr>
        <w:t>نيوم</w:t>
      </w:r>
      <w:proofErr w:type="spellEnd"/>
      <w:r w:rsidRPr="006E13D4">
        <w:rPr>
          <w:rFonts w:ascii="Traditional Arabic" w:eastAsia="Sakkal Majalla" w:hAnsi="Traditional Arabic" w:cs="Traditional Arabic" w:hint="cs"/>
          <w:sz w:val="28"/>
          <w:szCs w:val="28"/>
          <w:rtl/>
        </w:rPr>
        <w:t xml:space="preserve"> وذا لاين والرياض الخضراء، وهي مشاريع لا تركز فقط على البنية التحتية، بل تهدف إلى خلق مدن ذكية تعتمد على الطاقة النظيفة، والتقنيات الحديثة، ونماذج الإدارة المستدامة. وقد أشار</w:t>
      </w:r>
      <w:r w:rsidRPr="006E13D4">
        <w:rPr>
          <w:rFonts w:ascii="Traditional Arabic" w:eastAsia="Sakkal Majalla" w:hAnsi="Traditional Arabic" w:cs="Traditional Arabic" w:hint="cs"/>
          <w:sz w:val="28"/>
          <w:szCs w:val="28"/>
        </w:rPr>
        <w:t xml:space="preserve"> </w:t>
      </w:r>
      <w:proofErr w:type="spellStart"/>
      <w:r w:rsidRPr="006E13D4">
        <w:rPr>
          <w:rFonts w:ascii="Traditional Arabic" w:eastAsia="Sakkal Majalla" w:hAnsi="Traditional Arabic" w:cs="Traditional Arabic" w:hint="cs"/>
          <w:sz w:val="28"/>
          <w:szCs w:val="28"/>
        </w:rPr>
        <w:t>Aloshan</w:t>
      </w:r>
      <w:proofErr w:type="spellEnd"/>
      <w:r w:rsidRPr="006E13D4">
        <w:rPr>
          <w:rFonts w:ascii="Traditional Arabic" w:eastAsia="Sakkal Majalla" w:hAnsi="Traditional Arabic" w:cs="Traditional Arabic" w:hint="cs"/>
          <w:sz w:val="28"/>
          <w:szCs w:val="28"/>
        </w:rPr>
        <w:t xml:space="preserve"> (2024) </w:t>
      </w:r>
      <w:r w:rsidRPr="006E13D4">
        <w:rPr>
          <w:rFonts w:ascii="Traditional Arabic" w:eastAsia="Sakkal Majalla" w:hAnsi="Traditional Arabic" w:cs="Traditional Arabic" w:hint="cs"/>
          <w:sz w:val="28"/>
          <w:szCs w:val="28"/>
          <w:rtl/>
        </w:rPr>
        <w:t>إلى أن هذا التحول انعكس حتى على التعليم المعماري في الجامعات السعودية، حيث بدأت المناهج تضم مفاهيم التصميم المستدام بهدف إعداد جيل من المعماريين القادرين على الاستجابة لمتطلبات المرحلة الجديدة</w:t>
      </w:r>
      <w:r w:rsidRPr="006E13D4">
        <w:rPr>
          <w:rFonts w:ascii="Traditional Arabic" w:eastAsia="Sakkal Majalla" w:hAnsi="Traditional Arabic" w:cs="Traditional Arabic" w:hint="cs"/>
          <w:sz w:val="28"/>
          <w:szCs w:val="28"/>
        </w:rPr>
        <w:t>.</w:t>
      </w:r>
    </w:p>
    <w:p w14:paraId="653772B9"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ولتوفير الإطار القانوني الداعم لهذا التحول، عملت المملكة على تطوير منظومة من التشريعات والسياسات التي تشجع على تطبيق مبادئ الاستدامة. من ذلك ما قامت به الهيئة السعودية للمواصفات والمقاييس من إصدار معايير لتصنيف المباني الخضراء، كما تم تعديل كود البناء السعودي ليشمل اشتراطات تتعلق بالكفاءة الطاقية، ومعايير السلامة البيئية. وتُعد هيئة المحتوى المحلي والمشتريات </w:t>
      </w:r>
      <w:r w:rsidRPr="006E13D4">
        <w:rPr>
          <w:rFonts w:ascii="Traditional Arabic" w:eastAsia="Sakkal Majalla" w:hAnsi="Traditional Arabic" w:cs="Traditional Arabic" w:hint="cs"/>
          <w:sz w:val="28"/>
          <w:szCs w:val="28"/>
          <w:rtl/>
        </w:rPr>
        <w:lastRenderedPageBreak/>
        <w:t>الحكومية إحدى الجهات الفاعلة في هذا المجال، حيث أصبحت تُلزم الجهات المتقدمة للمناقصات بتقديم خطط واضحة تتضمن معايير بيئية واجتماعية، مما خلق بيئة تنافسية تدفع نحو مزيد من الامتثال للممارسات المستدامة</w:t>
      </w:r>
      <w:r w:rsidRPr="006E13D4">
        <w:rPr>
          <w:rFonts w:ascii="Traditional Arabic" w:eastAsia="Sakkal Majalla" w:hAnsi="Traditional Arabic" w:cs="Traditional Arabic" w:hint="cs"/>
          <w:sz w:val="28"/>
          <w:szCs w:val="28"/>
        </w:rPr>
        <w:t>.</w:t>
      </w:r>
    </w:p>
    <w:p w14:paraId="1B3911BB"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 xml:space="preserve">وتعتبر المشاريع الكبرى في السعودية، مثل مشروع </w:t>
      </w:r>
      <w:proofErr w:type="spellStart"/>
      <w:r w:rsidRPr="006E13D4">
        <w:rPr>
          <w:rFonts w:ascii="Traditional Arabic" w:eastAsia="Sakkal Majalla" w:hAnsi="Traditional Arabic" w:cs="Traditional Arabic" w:hint="cs"/>
          <w:sz w:val="28"/>
          <w:szCs w:val="28"/>
          <w:rtl/>
        </w:rPr>
        <w:t>نيوم</w:t>
      </w:r>
      <w:proofErr w:type="spellEnd"/>
      <w:r w:rsidRPr="006E13D4">
        <w:rPr>
          <w:rFonts w:ascii="Traditional Arabic" w:eastAsia="Sakkal Majalla" w:hAnsi="Traditional Arabic" w:cs="Traditional Arabic" w:hint="cs"/>
          <w:sz w:val="28"/>
          <w:szCs w:val="28"/>
          <w:rtl/>
        </w:rPr>
        <w:t xml:space="preserve"> وذا لاين والبحر الأحمر، منصات حقيقية لتطبيق مفاهيم الاستدامة. فمشروع "ذا لاين" يطمح إلى القضاء التام على الانبعاثات الكربونية من خلال استبدال وسائل النقل التقليدية بتقنيات تنقل كهربائية ومخطط عمراني يحقق الاكتفاء الذاتي. أما مشروع البحر الأحمر، فقد تم تصميمه وفقًا لآليات تحافظ على التنوع البيولوجي وتراعي الظروف البيئية البحرية والبرية، بينما يشكل مشروع "</w:t>
      </w:r>
      <w:proofErr w:type="spellStart"/>
      <w:r w:rsidRPr="006E13D4">
        <w:rPr>
          <w:rFonts w:ascii="Traditional Arabic" w:eastAsia="Sakkal Majalla" w:hAnsi="Traditional Arabic" w:cs="Traditional Arabic" w:hint="cs"/>
          <w:sz w:val="28"/>
          <w:szCs w:val="28"/>
          <w:rtl/>
        </w:rPr>
        <w:t>نيوم</w:t>
      </w:r>
      <w:proofErr w:type="spellEnd"/>
      <w:r w:rsidRPr="006E13D4">
        <w:rPr>
          <w:rFonts w:ascii="Traditional Arabic" w:eastAsia="Sakkal Majalla" w:hAnsi="Traditional Arabic" w:cs="Traditional Arabic" w:hint="cs"/>
          <w:sz w:val="28"/>
          <w:szCs w:val="28"/>
          <w:rtl/>
        </w:rPr>
        <w:t>" نموذجًا متقدمًا لدمج تقنيات الذكاء الاصطناعي والإدارة البيئية في بنية حضرية متكاملة، ما يُظهر قدرة المملكة على قيادة مشهد الاستدامة العالمي</w:t>
      </w:r>
      <w:r w:rsidRPr="006E13D4">
        <w:rPr>
          <w:rFonts w:ascii="Traditional Arabic" w:eastAsia="Sakkal Majalla" w:hAnsi="Traditional Arabic" w:cs="Traditional Arabic" w:hint="cs"/>
          <w:sz w:val="28"/>
          <w:szCs w:val="28"/>
        </w:rPr>
        <w:t>.</w:t>
      </w:r>
    </w:p>
    <w:p w14:paraId="7769E356"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ورغم كل ما سبق، فإن تحديات دمج الاستدامة في السعودية لا تزال قائمة. لعل أبرز هذه التحديات يتمثل في تفاوت الوعي بين مختلف الجهات المنفذة للمشاريع، حيث لا يزال هناك من ينظر إلى الاستدامة كعنصر تجميلي وليس كأولوية استراتيجية. كما أن ضعف التنسيق بين الجهات الرقابية والتنفيذية يؤدي أحيانًا إلى تداخل في المسؤوليات وغياب التكامل. ويُعد نقص الكفاءات المتخصصة في مجالات التصميم المستدام وإدارة المشاريع البيئية من أبرز التحديات التشغيلية، وهو ما يجعل الحاجة ماسة إلى الاستثمار في التعليم والتدريب. كذلك، فإن الضغوط الزمنية الكبيرة التي تواجه المشاريع العملاقة قد تؤدي إلى تقليص الاعتبارات البيئية لصالح سرعة الإنجاز، وهو ما أشار إليه</w:t>
      </w:r>
      <w:r w:rsidRPr="006E13D4">
        <w:rPr>
          <w:rFonts w:ascii="Traditional Arabic" w:eastAsia="Sakkal Majalla" w:hAnsi="Traditional Arabic" w:cs="Traditional Arabic" w:hint="cs"/>
          <w:sz w:val="28"/>
          <w:szCs w:val="28"/>
        </w:rPr>
        <w:t xml:space="preserve"> Alshahrani (2020) </w:t>
      </w:r>
      <w:r w:rsidRPr="006E13D4">
        <w:rPr>
          <w:rFonts w:ascii="Traditional Arabic" w:eastAsia="Sakkal Majalla" w:hAnsi="Traditional Arabic" w:cs="Traditional Arabic" w:hint="cs"/>
          <w:sz w:val="28"/>
          <w:szCs w:val="28"/>
          <w:rtl/>
        </w:rPr>
        <w:t>في تحليله لصعوبات تبني نماذج الأعمال المستدامة في قطاع الإسكان، خصوصًا فيما يتعلق بالتمويل والتسويق</w:t>
      </w:r>
      <w:r w:rsidRPr="006E13D4">
        <w:rPr>
          <w:rFonts w:ascii="Traditional Arabic" w:eastAsia="Sakkal Majalla" w:hAnsi="Traditional Arabic" w:cs="Traditional Arabic" w:hint="cs"/>
          <w:sz w:val="28"/>
          <w:szCs w:val="28"/>
        </w:rPr>
        <w:t>.</w:t>
      </w:r>
    </w:p>
    <w:p w14:paraId="3443411F" w14:textId="77777777" w:rsidR="00CD0F1F" w:rsidRPr="006E13D4" w:rsidRDefault="00CD0F1F" w:rsidP="00CD0F1F">
      <w:pPr>
        <w:spacing w:line="360" w:lineRule="auto"/>
        <w:rPr>
          <w:rFonts w:ascii="Traditional Arabic" w:eastAsia="Sakkal Majalla" w:hAnsi="Traditional Arabic" w:cs="Traditional Arabic" w:hint="cs"/>
          <w:sz w:val="28"/>
          <w:szCs w:val="28"/>
        </w:rPr>
      </w:pPr>
      <w:r w:rsidRPr="006E13D4">
        <w:rPr>
          <w:rFonts w:ascii="Traditional Arabic" w:eastAsia="Sakkal Majalla" w:hAnsi="Traditional Arabic" w:cs="Traditional Arabic" w:hint="cs"/>
          <w:sz w:val="28"/>
          <w:szCs w:val="28"/>
          <w:rtl/>
        </w:rPr>
        <w:t>ورغم هذه التحديات، فإن الفرص المتاحة للمملكة لتحسين واقع الدمج لا تزال كثيرة وواعدة. إذ يُمكن من خلال تعزيز الاستثمار في التعليم والتدريب خلق جيل جديد من المهندسين والمديرين القادرين على قيادة مشاريع مستدامة. كما أن التوسع في الشراكات الدولية من شأنه أن يُسهم في نقل الخبرات والتقنيات، خاصة تلك المتعلقة بالبناء الأخضر والطاقة المتجددة. ومن خلال دعم الابتكار المحلي، يمكن تطوير حلول بيئية مبتكرة تتناسب مع الخصوصية الجغرافية والثقافية للمملكة. ولعل أهم ما يُمكن فعله هو تعزيز التكامل بين مخرجات البحوث الأكاديمية وصناع القرار، بحيث تتحول المعرفة إلى سياسات فعالة تُطبق على أرض الواقع. إن النجاح في هذا المسار لا يعني فقط تحقيق أهداف رؤية 2030، بل أيضًا تمكين المملكة من أن تكون مركزًا عالميًا رائدًا في التخطيط الحضري المستدام</w:t>
      </w:r>
      <w:r w:rsidRPr="006E13D4">
        <w:rPr>
          <w:rFonts w:ascii="Traditional Arabic" w:eastAsia="Sakkal Majalla" w:hAnsi="Traditional Arabic" w:cs="Traditional Arabic" w:hint="cs"/>
          <w:sz w:val="28"/>
          <w:szCs w:val="28"/>
        </w:rPr>
        <w:t>.</w:t>
      </w:r>
    </w:p>
    <w:p w14:paraId="132604E0" w14:textId="77777777" w:rsidR="00CD0F1F" w:rsidRPr="006E13D4" w:rsidRDefault="00CD0F1F" w:rsidP="00CD0F1F">
      <w:pPr>
        <w:spacing w:line="360" w:lineRule="auto"/>
        <w:rPr>
          <w:rFonts w:ascii="Traditional Arabic" w:eastAsia="MS Mincho" w:hAnsi="Traditional Arabic" w:cs="Traditional Arabic" w:hint="cs"/>
          <w:sz w:val="28"/>
          <w:szCs w:val="28"/>
          <w:rtl/>
        </w:rPr>
      </w:pPr>
    </w:p>
    <w:p w14:paraId="3495CB36" w14:textId="77777777" w:rsidR="00CD0F1F" w:rsidRPr="006E13D4" w:rsidRDefault="00CD0F1F" w:rsidP="00CD0F1F">
      <w:pPr>
        <w:spacing w:line="360" w:lineRule="auto"/>
        <w:rPr>
          <w:rFonts w:ascii="Traditional Arabic" w:eastAsia="MS Mincho" w:hAnsi="Traditional Arabic" w:cs="Traditional Arabic" w:hint="cs"/>
          <w:sz w:val="28"/>
          <w:szCs w:val="28"/>
          <w:rtl/>
        </w:rPr>
      </w:pPr>
    </w:p>
    <w:p w14:paraId="71A1952E" w14:textId="77777777" w:rsidR="00CD0F1F" w:rsidRPr="006E13D4" w:rsidRDefault="00CD0F1F" w:rsidP="00CD0F1F">
      <w:pPr>
        <w:spacing w:line="360" w:lineRule="auto"/>
        <w:outlineLvl w:val="1"/>
        <w:rPr>
          <w:rFonts w:ascii="Traditional Arabic" w:eastAsia="Sakkal Majalla" w:hAnsi="Traditional Arabic" w:cs="Traditional Arabic" w:hint="cs"/>
          <w:b/>
          <w:bCs/>
          <w:sz w:val="28"/>
          <w:szCs w:val="28"/>
          <w:u w:val="single"/>
          <w:rtl/>
        </w:rPr>
      </w:pPr>
    </w:p>
    <w:p w14:paraId="5EE4F940"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113AE9B0"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1C23CBD2"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244F0AB0"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0759BBC9"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1885CA31"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5FAA67CE"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275D37E8"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3E36929A"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4EA2F72F" w14:textId="77777777" w:rsidR="00CD0F1F" w:rsidRPr="006E13D4" w:rsidRDefault="00CD0F1F" w:rsidP="00CD0F1F">
      <w:pPr>
        <w:spacing w:line="360" w:lineRule="auto"/>
        <w:jc w:val="center"/>
        <w:outlineLvl w:val="1"/>
        <w:rPr>
          <w:rFonts w:ascii="Traditional Arabic" w:eastAsia="Sakkal Majalla" w:hAnsi="Traditional Arabic" w:cs="Traditional Arabic" w:hint="cs"/>
          <w:b/>
          <w:bCs/>
          <w:sz w:val="28"/>
          <w:szCs w:val="28"/>
          <w:u w:val="single"/>
          <w:rtl/>
        </w:rPr>
      </w:pPr>
    </w:p>
    <w:p w14:paraId="5BCD0FF7" w14:textId="77777777" w:rsidR="00CD0F1F" w:rsidRDefault="00CD0F1F" w:rsidP="00CD0F1F"/>
    <w:sectPr w:rsidR="00CD0F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CF2"/>
    <w:multiLevelType w:val="multilevel"/>
    <w:tmpl w:val="ADBA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C2F0E"/>
    <w:multiLevelType w:val="multilevel"/>
    <w:tmpl w:val="CE1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04FD6"/>
    <w:multiLevelType w:val="multilevel"/>
    <w:tmpl w:val="332A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27594"/>
    <w:multiLevelType w:val="multilevel"/>
    <w:tmpl w:val="200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70CC2"/>
    <w:multiLevelType w:val="multilevel"/>
    <w:tmpl w:val="3C887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8339E3"/>
    <w:multiLevelType w:val="multilevel"/>
    <w:tmpl w:val="F752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923A1"/>
    <w:multiLevelType w:val="hybridMultilevel"/>
    <w:tmpl w:val="4578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BC27AD"/>
    <w:multiLevelType w:val="multilevel"/>
    <w:tmpl w:val="BF6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7D164B"/>
    <w:multiLevelType w:val="multilevel"/>
    <w:tmpl w:val="C19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13A47"/>
    <w:multiLevelType w:val="multilevel"/>
    <w:tmpl w:val="09F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C4F16"/>
    <w:multiLevelType w:val="multilevel"/>
    <w:tmpl w:val="75C2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305CC9"/>
    <w:multiLevelType w:val="multilevel"/>
    <w:tmpl w:val="C404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F2DC1"/>
    <w:multiLevelType w:val="multilevel"/>
    <w:tmpl w:val="23D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EC0D63"/>
    <w:multiLevelType w:val="multilevel"/>
    <w:tmpl w:val="9CB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32068D"/>
    <w:multiLevelType w:val="multilevel"/>
    <w:tmpl w:val="F0CC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231AE"/>
    <w:multiLevelType w:val="multilevel"/>
    <w:tmpl w:val="1738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8E0F19"/>
    <w:multiLevelType w:val="multilevel"/>
    <w:tmpl w:val="CAF0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C30385"/>
    <w:multiLevelType w:val="multilevel"/>
    <w:tmpl w:val="85B8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F06DEE"/>
    <w:multiLevelType w:val="hybridMultilevel"/>
    <w:tmpl w:val="63DE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8F4971"/>
    <w:multiLevelType w:val="multilevel"/>
    <w:tmpl w:val="4FBC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0B55D4"/>
    <w:multiLevelType w:val="multilevel"/>
    <w:tmpl w:val="C1A6A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8455C0"/>
    <w:multiLevelType w:val="multilevel"/>
    <w:tmpl w:val="C5560C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632EF0"/>
    <w:multiLevelType w:val="multilevel"/>
    <w:tmpl w:val="C58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0C7284"/>
    <w:multiLevelType w:val="multilevel"/>
    <w:tmpl w:val="17044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5940BF"/>
    <w:multiLevelType w:val="multilevel"/>
    <w:tmpl w:val="214C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93112E"/>
    <w:multiLevelType w:val="multilevel"/>
    <w:tmpl w:val="87206E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B31A98"/>
    <w:multiLevelType w:val="multilevel"/>
    <w:tmpl w:val="E95C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252835"/>
    <w:multiLevelType w:val="multilevel"/>
    <w:tmpl w:val="5BF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C33184"/>
    <w:multiLevelType w:val="multilevel"/>
    <w:tmpl w:val="B1FE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0C70AD"/>
    <w:multiLevelType w:val="multilevel"/>
    <w:tmpl w:val="F5B25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5201B7"/>
    <w:multiLevelType w:val="multilevel"/>
    <w:tmpl w:val="D604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9E3AD8"/>
    <w:multiLevelType w:val="multilevel"/>
    <w:tmpl w:val="82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7B641C"/>
    <w:multiLevelType w:val="multilevel"/>
    <w:tmpl w:val="A40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E4587F"/>
    <w:multiLevelType w:val="multilevel"/>
    <w:tmpl w:val="7064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F44B44"/>
    <w:multiLevelType w:val="multilevel"/>
    <w:tmpl w:val="5F42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1358A3"/>
    <w:multiLevelType w:val="multilevel"/>
    <w:tmpl w:val="5F06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8564CD"/>
    <w:multiLevelType w:val="multilevel"/>
    <w:tmpl w:val="B7282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FC56F36"/>
    <w:multiLevelType w:val="multilevel"/>
    <w:tmpl w:val="5A7C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EF2708"/>
    <w:multiLevelType w:val="multilevel"/>
    <w:tmpl w:val="539E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502B51"/>
    <w:multiLevelType w:val="multilevel"/>
    <w:tmpl w:val="D750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F97672"/>
    <w:multiLevelType w:val="multilevel"/>
    <w:tmpl w:val="9CC8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A43374"/>
    <w:multiLevelType w:val="multilevel"/>
    <w:tmpl w:val="2E9A299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2E31D7F"/>
    <w:multiLevelType w:val="multilevel"/>
    <w:tmpl w:val="ACF0F1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3D098C"/>
    <w:multiLevelType w:val="multilevel"/>
    <w:tmpl w:val="CA1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FC6F6A"/>
    <w:multiLevelType w:val="multilevel"/>
    <w:tmpl w:val="EEA6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11740F"/>
    <w:multiLevelType w:val="multilevel"/>
    <w:tmpl w:val="86062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8F755E8"/>
    <w:multiLevelType w:val="multilevel"/>
    <w:tmpl w:val="6D3E7E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989191B"/>
    <w:multiLevelType w:val="multilevel"/>
    <w:tmpl w:val="CC94D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AD31B12"/>
    <w:multiLevelType w:val="multilevel"/>
    <w:tmpl w:val="940E4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B714480"/>
    <w:multiLevelType w:val="multilevel"/>
    <w:tmpl w:val="6C86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CAD1200"/>
    <w:multiLevelType w:val="multilevel"/>
    <w:tmpl w:val="8D9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107FDE"/>
    <w:multiLevelType w:val="multilevel"/>
    <w:tmpl w:val="9648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2057B5"/>
    <w:multiLevelType w:val="multilevel"/>
    <w:tmpl w:val="F834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EC20F38"/>
    <w:multiLevelType w:val="multilevel"/>
    <w:tmpl w:val="2D74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EEA71E6"/>
    <w:multiLevelType w:val="multilevel"/>
    <w:tmpl w:val="9CD4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2C7790"/>
    <w:multiLevelType w:val="multilevel"/>
    <w:tmpl w:val="3D6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FE518C9"/>
    <w:multiLevelType w:val="multilevel"/>
    <w:tmpl w:val="F6BAC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17519CD"/>
    <w:multiLevelType w:val="multilevel"/>
    <w:tmpl w:val="06E8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1AA752C"/>
    <w:multiLevelType w:val="multilevel"/>
    <w:tmpl w:val="CA7C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B65DE7"/>
    <w:multiLevelType w:val="multilevel"/>
    <w:tmpl w:val="3F0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BF620A"/>
    <w:multiLevelType w:val="multilevel"/>
    <w:tmpl w:val="AE82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2C4C45"/>
    <w:multiLevelType w:val="multilevel"/>
    <w:tmpl w:val="5026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5272DB"/>
    <w:multiLevelType w:val="multilevel"/>
    <w:tmpl w:val="28D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047C2C"/>
    <w:multiLevelType w:val="multilevel"/>
    <w:tmpl w:val="0472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616276B"/>
    <w:multiLevelType w:val="multilevel"/>
    <w:tmpl w:val="CD6AD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C83B2D"/>
    <w:multiLevelType w:val="multilevel"/>
    <w:tmpl w:val="C9EC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BC29E8"/>
    <w:multiLevelType w:val="hybridMultilevel"/>
    <w:tmpl w:val="AD4816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8" w15:restartNumberingAfterBreak="0">
    <w:nsid w:val="3AAC05B8"/>
    <w:multiLevelType w:val="multilevel"/>
    <w:tmpl w:val="06367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B1B3100"/>
    <w:multiLevelType w:val="multilevel"/>
    <w:tmpl w:val="02BAE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B1D14CA"/>
    <w:multiLevelType w:val="multilevel"/>
    <w:tmpl w:val="7730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C40270"/>
    <w:multiLevelType w:val="multilevel"/>
    <w:tmpl w:val="753CF3E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D5E01DC"/>
    <w:multiLevelType w:val="multilevel"/>
    <w:tmpl w:val="E6A85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FC23267"/>
    <w:multiLevelType w:val="multilevel"/>
    <w:tmpl w:val="8D0699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3B5802"/>
    <w:multiLevelType w:val="multilevel"/>
    <w:tmpl w:val="FC7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2A6337"/>
    <w:multiLevelType w:val="multilevel"/>
    <w:tmpl w:val="DF72B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43A668B2"/>
    <w:multiLevelType w:val="multilevel"/>
    <w:tmpl w:val="8664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54E75AB"/>
    <w:multiLevelType w:val="multilevel"/>
    <w:tmpl w:val="D15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5B569C9"/>
    <w:multiLevelType w:val="multilevel"/>
    <w:tmpl w:val="1094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2F3B49"/>
    <w:multiLevelType w:val="multilevel"/>
    <w:tmpl w:val="435C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697BC8"/>
    <w:multiLevelType w:val="multilevel"/>
    <w:tmpl w:val="E01E75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96749AA"/>
    <w:multiLevelType w:val="multilevel"/>
    <w:tmpl w:val="9AC4F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A1A1062"/>
    <w:multiLevelType w:val="multilevel"/>
    <w:tmpl w:val="65DC1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A724111"/>
    <w:multiLevelType w:val="multilevel"/>
    <w:tmpl w:val="F1F4E2D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A887538"/>
    <w:multiLevelType w:val="multilevel"/>
    <w:tmpl w:val="899A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5074D4"/>
    <w:multiLevelType w:val="multilevel"/>
    <w:tmpl w:val="63922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B582CB0"/>
    <w:multiLevelType w:val="multilevel"/>
    <w:tmpl w:val="1A12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D366252"/>
    <w:multiLevelType w:val="multilevel"/>
    <w:tmpl w:val="842C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4A2C56"/>
    <w:multiLevelType w:val="multilevel"/>
    <w:tmpl w:val="16CE4F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EDC0270"/>
    <w:multiLevelType w:val="multilevel"/>
    <w:tmpl w:val="5A4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EFD78EF"/>
    <w:multiLevelType w:val="multilevel"/>
    <w:tmpl w:val="599A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0AF15A2"/>
    <w:multiLevelType w:val="multilevel"/>
    <w:tmpl w:val="54E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5B95054"/>
    <w:multiLevelType w:val="multilevel"/>
    <w:tmpl w:val="D574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B931CC"/>
    <w:multiLevelType w:val="hybridMultilevel"/>
    <w:tmpl w:val="E696A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73272D9"/>
    <w:multiLevelType w:val="multilevel"/>
    <w:tmpl w:val="9816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C82962"/>
    <w:multiLevelType w:val="multilevel"/>
    <w:tmpl w:val="971A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9305C1A"/>
    <w:multiLevelType w:val="multilevel"/>
    <w:tmpl w:val="47DE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9BE14B9"/>
    <w:multiLevelType w:val="multilevel"/>
    <w:tmpl w:val="7B5E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AD60B9B"/>
    <w:multiLevelType w:val="multilevel"/>
    <w:tmpl w:val="C5E4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D86252"/>
    <w:multiLevelType w:val="multilevel"/>
    <w:tmpl w:val="73E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E00D31"/>
    <w:multiLevelType w:val="hybridMultilevel"/>
    <w:tmpl w:val="7C728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CAB6059"/>
    <w:multiLevelType w:val="multilevel"/>
    <w:tmpl w:val="129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E064714"/>
    <w:multiLevelType w:val="multilevel"/>
    <w:tmpl w:val="00C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E214F99"/>
    <w:multiLevelType w:val="multilevel"/>
    <w:tmpl w:val="D038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141C9F"/>
    <w:multiLevelType w:val="multilevel"/>
    <w:tmpl w:val="696A77A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04206B4"/>
    <w:multiLevelType w:val="multilevel"/>
    <w:tmpl w:val="B722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04B7912"/>
    <w:multiLevelType w:val="multilevel"/>
    <w:tmpl w:val="13DC4A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08B7E89"/>
    <w:multiLevelType w:val="multilevel"/>
    <w:tmpl w:val="3028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B34B71"/>
    <w:multiLevelType w:val="multilevel"/>
    <w:tmpl w:val="CCC2B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9" w15:restartNumberingAfterBreak="0">
    <w:nsid w:val="62441352"/>
    <w:multiLevelType w:val="multilevel"/>
    <w:tmpl w:val="EB1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2941AF7"/>
    <w:multiLevelType w:val="multilevel"/>
    <w:tmpl w:val="4A3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6A47AEA"/>
    <w:multiLevelType w:val="multilevel"/>
    <w:tmpl w:val="84CE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7F73224"/>
    <w:multiLevelType w:val="multilevel"/>
    <w:tmpl w:val="76C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9AA722F"/>
    <w:multiLevelType w:val="hybridMultilevel"/>
    <w:tmpl w:val="71A8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A161EFC"/>
    <w:multiLevelType w:val="multilevel"/>
    <w:tmpl w:val="D95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A1F796F"/>
    <w:multiLevelType w:val="multilevel"/>
    <w:tmpl w:val="CFC6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BA3B7E"/>
    <w:multiLevelType w:val="multilevel"/>
    <w:tmpl w:val="335CB8C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B864DDD"/>
    <w:multiLevelType w:val="multilevel"/>
    <w:tmpl w:val="C420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C147A4A"/>
    <w:multiLevelType w:val="multilevel"/>
    <w:tmpl w:val="8B3CF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DBC0291"/>
    <w:multiLevelType w:val="multilevel"/>
    <w:tmpl w:val="399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E0037D9"/>
    <w:multiLevelType w:val="hybridMultilevel"/>
    <w:tmpl w:val="5C06E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E0F74FB"/>
    <w:multiLevelType w:val="multilevel"/>
    <w:tmpl w:val="0A92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EFF0296"/>
    <w:multiLevelType w:val="multilevel"/>
    <w:tmpl w:val="CBB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F71230A"/>
    <w:multiLevelType w:val="hybridMultilevel"/>
    <w:tmpl w:val="CBB2F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03A2DEC"/>
    <w:multiLevelType w:val="multilevel"/>
    <w:tmpl w:val="C4A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0B8255E"/>
    <w:multiLevelType w:val="multilevel"/>
    <w:tmpl w:val="893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68468B"/>
    <w:multiLevelType w:val="multilevel"/>
    <w:tmpl w:val="1DC8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3100A26"/>
    <w:multiLevelType w:val="multilevel"/>
    <w:tmpl w:val="9A8C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D7415E"/>
    <w:multiLevelType w:val="multilevel"/>
    <w:tmpl w:val="D0F2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965CF4"/>
    <w:multiLevelType w:val="multilevel"/>
    <w:tmpl w:val="0F9C3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5A57E8F"/>
    <w:multiLevelType w:val="multilevel"/>
    <w:tmpl w:val="2FA6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62D76CF"/>
    <w:multiLevelType w:val="hybridMultilevel"/>
    <w:tmpl w:val="7FF0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78C09FB"/>
    <w:multiLevelType w:val="multilevel"/>
    <w:tmpl w:val="0FFE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8BA3D36"/>
    <w:multiLevelType w:val="multilevel"/>
    <w:tmpl w:val="27BA9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9DF33D3"/>
    <w:multiLevelType w:val="multilevel"/>
    <w:tmpl w:val="FEF49E5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A531449"/>
    <w:multiLevelType w:val="multilevel"/>
    <w:tmpl w:val="B2F63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AA27446"/>
    <w:multiLevelType w:val="multilevel"/>
    <w:tmpl w:val="EAFA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AF970D1"/>
    <w:multiLevelType w:val="multilevel"/>
    <w:tmpl w:val="9694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BA538A4"/>
    <w:multiLevelType w:val="multilevel"/>
    <w:tmpl w:val="7530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C809BB"/>
    <w:multiLevelType w:val="multilevel"/>
    <w:tmpl w:val="D7988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E6C5474"/>
    <w:multiLevelType w:val="multilevel"/>
    <w:tmpl w:val="47585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EAC6D5C"/>
    <w:multiLevelType w:val="multilevel"/>
    <w:tmpl w:val="83A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568563">
    <w:abstractNumId w:val="2"/>
  </w:num>
  <w:num w:numId="2" w16cid:durableId="1910191598">
    <w:abstractNumId w:val="77"/>
  </w:num>
  <w:num w:numId="3" w16cid:durableId="65760451">
    <w:abstractNumId w:val="96"/>
  </w:num>
  <w:num w:numId="4" w16cid:durableId="1835602445">
    <w:abstractNumId w:val="46"/>
  </w:num>
  <w:num w:numId="5" w16cid:durableId="1430783116">
    <w:abstractNumId w:val="72"/>
  </w:num>
  <w:num w:numId="6" w16cid:durableId="159540523">
    <w:abstractNumId w:val="81"/>
  </w:num>
  <w:num w:numId="7" w16cid:durableId="1434398540">
    <w:abstractNumId w:val="118"/>
  </w:num>
  <w:num w:numId="8" w16cid:durableId="913320955">
    <w:abstractNumId w:val="30"/>
  </w:num>
  <w:num w:numId="9" w16cid:durableId="1946229785">
    <w:abstractNumId w:val="68"/>
  </w:num>
  <w:num w:numId="10" w16cid:durableId="1984307882">
    <w:abstractNumId w:val="57"/>
  </w:num>
  <w:num w:numId="11" w16cid:durableId="1696541637">
    <w:abstractNumId w:val="47"/>
  </w:num>
  <w:num w:numId="12" w16cid:durableId="1498686415">
    <w:abstractNumId w:val="123"/>
  </w:num>
  <w:num w:numId="13" w16cid:durableId="1516922451">
    <w:abstractNumId w:val="29"/>
  </w:num>
  <w:num w:numId="14" w16cid:durableId="1371685723">
    <w:abstractNumId w:val="73"/>
  </w:num>
  <w:num w:numId="15" w16cid:durableId="1030910022">
    <w:abstractNumId w:val="79"/>
  </w:num>
  <w:num w:numId="16" w16cid:durableId="738556678">
    <w:abstractNumId w:val="131"/>
  </w:num>
  <w:num w:numId="17" w16cid:durableId="2070372548">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0863696">
    <w:abstractNumId w:val="7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0281523">
    <w:abstractNumId w:val="67"/>
  </w:num>
  <w:num w:numId="20" w16cid:durableId="1808280944">
    <w:abstractNumId w:val="133"/>
  </w:num>
  <w:num w:numId="21" w16cid:durableId="1310668402">
    <w:abstractNumId w:val="132"/>
  </w:num>
  <w:num w:numId="22" w16cid:durableId="1216964110">
    <w:abstractNumId w:val="63"/>
  </w:num>
  <w:num w:numId="23" w16cid:durableId="1499074708">
    <w:abstractNumId w:val="121"/>
  </w:num>
  <w:num w:numId="24" w16cid:durableId="1638341852">
    <w:abstractNumId w:val="141"/>
  </w:num>
  <w:num w:numId="25" w16cid:durableId="1088118523">
    <w:abstractNumId w:val="92"/>
  </w:num>
  <w:num w:numId="26" w16cid:durableId="58211808">
    <w:abstractNumId w:val="20"/>
  </w:num>
  <w:num w:numId="27" w16cid:durableId="421414874">
    <w:abstractNumId w:val="136"/>
  </w:num>
  <w:num w:numId="28" w16cid:durableId="1616643692">
    <w:abstractNumId w:val="86"/>
  </w:num>
  <w:num w:numId="29" w16cid:durableId="105389958">
    <w:abstractNumId w:val="139"/>
  </w:num>
  <w:num w:numId="30" w16cid:durableId="1731146392">
    <w:abstractNumId w:val="40"/>
  </w:num>
  <w:num w:numId="31" w16cid:durableId="406997141">
    <w:abstractNumId w:val="105"/>
  </w:num>
  <w:num w:numId="32" w16cid:durableId="1145781977">
    <w:abstractNumId w:val="91"/>
  </w:num>
  <w:num w:numId="33" w16cid:durableId="1209731042">
    <w:abstractNumId w:val="89"/>
  </w:num>
  <w:num w:numId="34" w16cid:durableId="193003846">
    <w:abstractNumId w:val="28"/>
  </w:num>
  <w:num w:numId="35" w16cid:durableId="1600528988">
    <w:abstractNumId w:val="11"/>
  </w:num>
  <w:num w:numId="36" w16cid:durableId="1304118266">
    <w:abstractNumId w:val="97"/>
  </w:num>
  <w:num w:numId="37" w16cid:durableId="439687287">
    <w:abstractNumId w:val="16"/>
  </w:num>
  <w:num w:numId="38" w16cid:durableId="1295454038">
    <w:abstractNumId w:val="0"/>
  </w:num>
  <w:num w:numId="39" w16cid:durableId="926772996">
    <w:abstractNumId w:val="135"/>
  </w:num>
  <w:num w:numId="40" w16cid:durableId="1060861437">
    <w:abstractNumId w:val="54"/>
  </w:num>
  <w:num w:numId="41" w16cid:durableId="1656912568">
    <w:abstractNumId w:val="48"/>
  </w:num>
  <w:num w:numId="42" w16cid:durableId="864249515">
    <w:abstractNumId w:val="15"/>
  </w:num>
  <w:num w:numId="43" w16cid:durableId="2031106119">
    <w:abstractNumId w:val="127"/>
  </w:num>
  <w:num w:numId="44" w16cid:durableId="881405998">
    <w:abstractNumId w:val="58"/>
  </w:num>
  <w:num w:numId="45" w16cid:durableId="1584023032">
    <w:abstractNumId w:val="10"/>
  </w:num>
  <w:num w:numId="46" w16cid:durableId="1561282942">
    <w:abstractNumId w:val="13"/>
  </w:num>
  <w:num w:numId="47" w16cid:durableId="898590517">
    <w:abstractNumId w:val="18"/>
  </w:num>
  <w:num w:numId="48" w16cid:durableId="136148856">
    <w:abstractNumId w:val="7"/>
  </w:num>
  <w:num w:numId="49" w16cid:durableId="1391341144">
    <w:abstractNumId w:val="1"/>
  </w:num>
  <w:num w:numId="50" w16cid:durableId="1387100522">
    <w:abstractNumId w:val="51"/>
  </w:num>
  <w:num w:numId="51" w16cid:durableId="1722435562">
    <w:abstractNumId w:val="44"/>
  </w:num>
  <w:num w:numId="52" w16cid:durableId="1643849983">
    <w:abstractNumId w:val="60"/>
  </w:num>
  <w:num w:numId="53" w16cid:durableId="1242565996">
    <w:abstractNumId w:val="128"/>
  </w:num>
  <w:num w:numId="54" w16cid:durableId="396123688">
    <w:abstractNumId w:val="12"/>
  </w:num>
  <w:num w:numId="55" w16cid:durableId="1391491465">
    <w:abstractNumId w:val="122"/>
  </w:num>
  <w:num w:numId="56" w16cid:durableId="1789737992">
    <w:abstractNumId w:val="23"/>
  </w:num>
  <w:num w:numId="57" w16cid:durableId="398329009">
    <w:abstractNumId w:val="41"/>
  </w:num>
  <w:num w:numId="58" w16cid:durableId="1977484860">
    <w:abstractNumId w:val="32"/>
  </w:num>
  <w:num w:numId="59" w16cid:durableId="1407340933">
    <w:abstractNumId w:val="115"/>
  </w:num>
  <w:num w:numId="60" w16cid:durableId="1055619319">
    <w:abstractNumId w:val="27"/>
  </w:num>
  <w:num w:numId="61" w16cid:durableId="1397970388">
    <w:abstractNumId w:val="102"/>
  </w:num>
  <w:num w:numId="62" w16cid:durableId="1941913535">
    <w:abstractNumId w:val="134"/>
  </w:num>
  <w:num w:numId="63" w16cid:durableId="522061019">
    <w:abstractNumId w:val="112"/>
  </w:num>
  <w:num w:numId="64" w16cid:durableId="434911630">
    <w:abstractNumId w:val="78"/>
  </w:num>
  <w:num w:numId="65" w16cid:durableId="974800278">
    <w:abstractNumId w:val="87"/>
  </w:num>
  <w:num w:numId="66" w16cid:durableId="144930600">
    <w:abstractNumId w:val="6"/>
  </w:num>
  <w:num w:numId="67" w16cid:durableId="1208879123">
    <w:abstractNumId w:val="90"/>
  </w:num>
  <w:num w:numId="68" w16cid:durableId="1040979962">
    <w:abstractNumId w:val="53"/>
  </w:num>
  <w:num w:numId="69" w16cid:durableId="1954286541">
    <w:abstractNumId w:val="140"/>
  </w:num>
  <w:num w:numId="70" w16cid:durableId="224146534">
    <w:abstractNumId w:val="110"/>
  </w:num>
  <w:num w:numId="71" w16cid:durableId="1662781017">
    <w:abstractNumId w:val="38"/>
  </w:num>
  <w:num w:numId="72" w16cid:durableId="1805734005">
    <w:abstractNumId w:val="76"/>
  </w:num>
  <w:num w:numId="73" w16cid:durableId="285742445">
    <w:abstractNumId w:val="85"/>
  </w:num>
  <w:num w:numId="74" w16cid:durableId="497770854">
    <w:abstractNumId w:val="56"/>
  </w:num>
  <w:num w:numId="75" w16cid:durableId="1968704637">
    <w:abstractNumId w:val="64"/>
  </w:num>
  <w:num w:numId="76" w16cid:durableId="1319380395">
    <w:abstractNumId w:val="109"/>
  </w:num>
  <w:num w:numId="77" w16cid:durableId="42171619">
    <w:abstractNumId w:val="50"/>
  </w:num>
  <w:num w:numId="78" w16cid:durableId="1662583753">
    <w:abstractNumId w:val="119"/>
  </w:num>
  <w:num w:numId="79" w16cid:durableId="111900484">
    <w:abstractNumId w:val="5"/>
  </w:num>
  <w:num w:numId="80" w16cid:durableId="240917247">
    <w:abstractNumId w:val="82"/>
  </w:num>
  <w:num w:numId="81" w16cid:durableId="1394616740">
    <w:abstractNumId w:val="106"/>
  </w:num>
  <w:num w:numId="82" w16cid:durableId="1320621556">
    <w:abstractNumId w:val="71"/>
  </w:num>
  <w:num w:numId="83" w16cid:durableId="905073450">
    <w:abstractNumId w:val="126"/>
  </w:num>
  <w:num w:numId="84" w16cid:durableId="1246107784">
    <w:abstractNumId w:val="80"/>
  </w:num>
  <w:num w:numId="85" w16cid:durableId="1493183160">
    <w:abstractNumId w:val="99"/>
  </w:num>
  <w:num w:numId="86" w16cid:durableId="1309898396">
    <w:abstractNumId w:val="25"/>
  </w:num>
  <w:num w:numId="87" w16cid:durableId="2086829306">
    <w:abstractNumId w:val="9"/>
  </w:num>
  <w:num w:numId="88" w16cid:durableId="1308440518">
    <w:abstractNumId w:val="104"/>
  </w:num>
  <w:num w:numId="89" w16cid:durableId="1563328345">
    <w:abstractNumId w:val="130"/>
  </w:num>
  <w:num w:numId="90" w16cid:durableId="1795103248">
    <w:abstractNumId w:val="88"/>
  </w:num>
  <w:num w:numId="91" w16cid:durableId="287661653">
    <w:abstractNumId w:val="33"/>
  </w:num>
  <w:num w:numId="92" w16cid:durableId="501314839">
    <w:abstractNumId w:val="43"/>
  </w:num>
  <w:num w:numId="93" w16cid:durableId="2070110184">
    <w:abstractNumId w:val="59"/>
  </w:num>
  <w:num w:numId="94" w16cid:durableId="1314263521">
    <w:abstractNumId w:val="21"/>
  </w:num>
  <w:num w:numId="95" w16cid:durableId="1166751601">
    <w:abstractNumId w:val="35"/>
  </w:num>
  <w:num w:numId="96" w16cid:durableId="1201632086">
    <w:abstractNumId w:val="37"/>
  </w:num>
  <w:num w:numId="97" w16cid:durableId="1373771438">
    <w:abstractNumId w:val="17"/>
  </w:num>
  <w:num w:numId="98" w16cid:durableId="2061514307">
    <w:abstractNumId w:val="83"/>
  </w:num>
  <w:num w:numId="99" w16cid:durableId="990714842">
    <w:abstractNumId w:val="95"/>
  </w:num>
  <w:num w:numId="100" w16cid:durableId="1325235894">
    <w:abstractNumId w:val="42"/>
  </w:num>
  <w:num w:numId="101" w16cid:durableId="473838777">
    <w:abstractNumId w:val="116"/>
  </w:num>
  <w:num w:numId="102" w16cid:durableId="433864393">
    <w:abstractNumId w:val="100"/>
  </w:num>
  <w:num w:numId="103" w16cid:durableId="984624634">
    <w:abstractNumId w:val="34"/>
  </w:num>
  <w:num w:numId="104" w16cid:durableId="637221419">
    <w:abstractNumId w:val="8"/>
  </w:num>
  <w:num w:numId="105" w16cid:durableId="297496997">
    <w:abstractNumId w:val="61"/>
  </w:num>
  <w:num w:numId="106" w16cid:durableId="1585798717">
    <w:abstractNumId w:val="26"/>
  </w:num>
  <w:num w:numId="107" w16cid:durableId="314379133">
    <w:abstractNumId w:val="39"/>
  </w:num>
  <w:num w:numId="108" w16cid:durableId="1613901976">
    <w:abstractNumId w:val="125"/>
  </w:num>
  <w:num w:numId="109" w16cid:durableId="1417555008">
    <w:abstractNumId w:val="3"/>
  </w:num>
  <w:num w:numId="110" w16cid:durableId="970212840">
    <w:abstractNumId w:val="94"/>
  </w:num>
  <w:num w:numId="111" w16cid:durableId="1402026555">
    <w:abstractNumId w:val="45"/>
  </w:num>
  <w:num w:numId="112" w16cid:durableId="1313023677">
    <w:abstractNumId w:val="52"/>
  </w:num>
  <w:num w:numId="113" w16cid:durableId="825248331">
    <w:abstractNumId w:val="114"/>
  </w:num>
  <w:num w:numId="114" w16cid:durableId="746269146">
    <w:abstractNumId w:val="138"/>
  </w:num>
  <w:num w:numId="115" w16cid:durableId="280654987">
    <w:abstractNumId w:val="69"/>
  </w:num>
  <w:num w:numId="116" w16cid:durableId="1936208927">
    <w:abstractNumId w:val="66"/>
  </w:num>
  <w:num w:numId="117" w16cid:durableId="1341353511">
    <w:abstractNumId w:val="62"/>
  </w:num>
  <w:num w:numId="118" w16cid:durableId="399712851">
    <w:abstractNumId w:val="22"/>
  </w:num>
  <w:num w:numId="119" w16cid:durableId="557204801">
    <w:abstractNumId w:val="137"/>
  </w:num>
  <w:num w:numId="120" w16cid:durableId="2070610105">
    <w:abstractNumId w:val="14"/>
  </w:num>
  <w:num w:numId="121" w16cid:durableId="1918009005">
    <w:abstractNumId w:val="117"/>
  </w:num>
  <w:num w:numId="122" w16cid:durableId="259416516">
    <w:abstractNumId w:val="129"/>
  </w:num>
  <w:num w:numId="123" w16cid:durableId="910237034">
    <w:abstractNumId w:val="101"/>
  </w:num>
  <w:num w:numId="124" w16cid:durableId="1420172424">
    <w:abstractNumId w:val="93"/>
  </w:num>
  <w:num w:numId="125" w16cid:durableId="809321835">
    <w:abstractNumId w:val="120"/>
  </w:num>
  <w:num w:numId="126" w16cid:durableId="551235634">
    <w:abstractNumId w:val="4"/>
  </w:num>
  <w:num w:numId="127" w16cid:durableId="41026710">
    <w:abstractNumId w:val="49"/>
  </w:num>
  <w:num w:numId="128" w16cid:durableId="587424196">
    <w:abstractNumId w:val="55"/>
  </w:num>
  <w:num w:numId="129" w16cid:durableId="593712906">
    <w:abstractNumId w:val="98"/>
  </w:num>
  <w:num w:numId="130" w16cid:durableId="1074427747">
    <w:abstractNumId w:val="31"/>
  </w:num>
  <w:num w:numId="131" w16cid:durableId="610015373">
    <w:abstractNumId w:val="103"/>
  </w:num>
  <w:num w:numId="132" w16cid:durableId="843939209">
    <w:abstractNumId w:val="24"/>
  </w:num>
  <w:num w:numId="133" w16cid:durableId="1048646847">
    <w:abstractNumId w:val="70"/>
  </w:num>
  <w:num w:numId="134" w16cid:durableId="1351567033">
    <w:abstractNumId w:val="19"/>
  </w:num>
  <w:num w:numId="135" w16cid:durableId="1851682341">
    <w:abstractNumId w:val="107"/>
  </w:num>
  <w:num w:numId="136" w16cid:durableId="47732605">
    <w:abstractNumId w:val="74"/>
  </w:num>
  <w:num w:numId="137" w16cid:durableId="935021736">
    <w:abstractNumId w:val="111"/>
  </w:num>
  <w:num w:numId="138" w16cid:durableId="654648908">
    <w:abstractNumId w:val="113"/>
  </w:num>
  <w:num w:numId="139" w16cid:durableId="720903838">
    <w:abstractNumId w:val="36"/>
  </w:num>
  <w:num w:numId="140" w16cid:durableId="834955340">
    <w:abstractNumId w:val="84"/>
  </w:num>
  <w:num w:numId="141" w16cid:durableId="1621178619">
    <w:abstractNumId w:val="124"/>
  </w:num>
  <w:num w:numId="142" w16cid:durableId="895238780">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F1F"/>
    <w:rsid w:val="009C3A99"/>
    <w:rsid w:val="00CD0F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DB46D"/>
  <w15:chartTrackingRefBased/>
  <w15:docId w15:val="{59532E8D-4913-4307-8B60-AB1EE317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F1F"/>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CD0F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0F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0F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0F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0F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0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F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0F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0F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0F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0F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0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F1F"/>
    <w:rPr>
      <w:rFonts w:eastAsiaTheme="majorEastAsia" w:cstheme="majorBidi"/>
      <w:color w:val="272727" w:themeColor="text1" w:themeTint="D8"/>
    </w:rPr>
  </w:style>
  <w:style w:type="paragraph" w:styleId="Title">
    <w:name w:val="Title"/>
    <w:basedOn w:val="Normal"/>
    <w:next w:val="Normal"/>
    <w:link w:val="TitleChar"/>
    <w:uiPriority w:val="10"/>
    <w:qFormat/>
    <w:rsid w:val="00CD0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F1F"/>
    <w:pPr>
      <w:spacing w:before="160"/>
      <w:jc w:val="center"/>
    </w:pPr>
    <w:rPr>
      <w:i/>
      <w:iCs/>
      <w:color w:val="404040" w:themeColor="text1" w:themeTint="BF"/>
    </w:rPr>
  </w:style>
  <w:style w:type="character" w:customStyle="1" w:styleId="QuoteChar">
    <w:name w:val="Quote Char"/>
    <w:basedOn w:val="DefaultParagraphFont"/>
    <w:link w:val="Quote"/>
    <w:uiPriority w:val="29"/>
    <w:rsid w:val="00CD0F1F"/>
    <w:rPr>
      <w:i/>
      <w:iCs/>
      <w:color w:val="404040" w:themeColor="text1" w:themeTint="BF"/>
    </w:rPr>
  </w:style>
  <w:style w:type="paragraph" w:styleId="ListParagraph">
    <w:name w:val="List Paragraph"/>
    <w:basedOn w:val="Normal"/>
    <w:uiPriority w:val="34"/>
    <w:qFormat/>
    <w:rsid w:val="00CD0F1F"/>
    <w:pPr>
      <w:ind w:left="720"/>
      <w:contextualSpacing/>
    </w:pPr>
  </w:style>
  <w:style w:type="character" w:styleId="IntenseEmphasis">
    <w:name w:val="Intense Emphasis"/>
    <w:basedOn w:val="DefaultParagraphFont"/>
    <w:uiPriority w:val="21"/>
    <w:qFormat/>
    <w:rsid w:val="00CD0F1F"/>
    <w:rPr>
      <w:i/>
      <w:iCs/>
      <w:color w:val="2F5496" w:themeColor="accent1" w:themeShade="BF"/>
    </w:rPr>
  </w:style>
  <w:style w:type="paragraph" w:styleId="IntenseQuote">
    <w:name w:val="Intense Quote"/>
    <w:basedOn w:val="Normal"/>
    <w:next w:val="Normal"/>
    <w:link w:val="IntenseQuoteChar"/>
    <w:uiPriority w:val="30"/>
    <w:qFormat/>
    <w:rsid w:val="00CD0F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0F1F"/>
    <w:rPr>
      <w:i/>
      <w:iCs/>
      <w:color w:val="2F5496" w:themeColor="accent1" w:themeShade="BF"/>
    </w:rPr>
  </w:style>
  <w:style w:type="character" w:styleId="IntenseReference">
    <w:name w:val="Intense Reference"/>
    <w:basedOn w:val="DefaultParagraphFont"/>
    <w:uiPriority w:val="32"/>
    <w:qFormat/>
    <w:rsid w:val="00CD0F1F"/>
    <w:rPr>
      <w:b/>
      <w:bCs/>
      <w:smallCaps/>
      <w:color w:val="2F5496" w:themeColor="accent1" w:themeShade="BF"/>
      <w:spacing w:val="5"/>
    </w:rPr>
  </w:style>
  <w:style w:type="paragraph" w:styleId="Header">
    <w:name w:val="header"/>
    <w:basedOn w:val="Normal"/>
    <w:link w:val="HeaderChar"/>
    <w:uiPriority w:val="99"/>
    <w:unhideWhenUsed/>
    <w:rsid w:val="00CD0F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F1F"/>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CD0F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F1F"/>
    <w:rPr>
      <w:rFonts w:ascii="Calibri" w:eastAsia="Calibri" w:hAnsi="Calibri" w:cs="Calibri"/>
      <w:kern w:val="0"/>
      <w:sz w:val="22"/>
      <w:szCs w:val="22"/>
      <w14:ligatures w14:val="none"/>
    </w:rPr>
  </w:style>
  <w:style w:type="table" w:styleId="TableGrid">
    <w:name w:val="Table Grid"/>
    <w:basedOn w:val="TableNormal"/>
    <w:uiPriority w:val="39"/>
    <w:rsid w:val="00CD0F1F"/>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D0F1F"/>
    <w:pPr>
      <w:spacing w:after="200" w:line="240" w:lineRule="auto"/>
    </w:pPr>
    <w:rPr>
      <w:i/>
      <w:iCs/>
      <w:color w:val="44546A" w:themeColor="text2"/>
      <w:sz w:val="18"/>
      <w:szCs w:val="18"/>
    </w:rPr>
  </w:style>
  <w:style w:type="table" w:styleId="PlainTable1">
    <w:name w:val="Plain Table 1"/>
    <w:basedOn w:val="TableNormal"/>
    <w:uiPriority w:val="41"/>
    <w:rsid w:val="00CD0F1F"/>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CD0F1F"/>
    <w:pPr>
      <w:spacing w:before="240" w:after="0"/>
      <w:outlineLvl w:val="9"/>
    </w:pPr>
    <w:rPr>
      <w:sz w:val="32"/>
      <w:szCs w:val="32"/>
    </w:rPr>
  </w:style>
  <w:style w:type="paragraph" w:styleId="TOC1">
    <w:name w:val="toc 1"/>
    <w:basedOn w:val="Normal"/>
    <w:next w:val="Normal"/>
    <w:autoRedefine/>
    <w:uiPriority w:val="39"/>
    <w:unhideWhenUsed/>
    <w:rsid w:val="00CD0F1F"/>
    <w:pPr>
      <w:spacing w:after="100"/>
    </w:pPr>
  </w:style>
  <w:style w:type="paragraph" w:styleId="TOC3">
    <w:name w:val="toc 3"/>
    <w:basedOn w:val="Normal"/>
    <w:next w:val="Normal"/>
    <w:autoRedefine/>
    <w:uiPriority w:val="39"/>
    <w:unhideWhenUsed/>
    <w:rsid w:val="00CD0F1F"/>
    <w:pPr>
      <w:spacing w:after="100"/>
      <w:ind w:left="440"/>
    </w:pPr>
  </w:style>
  <w:style w:type="paragraph" w:styleId="TOC2">
    <w:name w:val="toc 2"/>
    <w:basedOn w:val="Normal"/>
    <w:next w:val="Normal"/>
    <w:autoRedefine/>
    <w:uiPriority w:val="39"/>
    <w:unhideWhenUsed/>
    <w:rsid w:val="00CD0F1F"/>
    <w:pPr>
      <w:spacing w:after="100"/>
      <w:ind w:left="220"/>
    </w:pPr>
  </w:style>
  <w:style w:type="character" w:styleId="Hyperlink">
    <w:name w:val="Hyperlink"/>
    <w:basedOn w:val="DefaultParagraphFont"/>
    <w:uiPriority w:val="99"/>
    <w:unhideWhenUsed/>
    <w:rsid w:val="00CD0F1F"/>
    <w:rPr>
      <w:color w:val="0563C1" w:themeColor="hyperlink"/>
      <w:u w:val="single"/>
    </w:rPr>
  </w:style>
  <w:style w:type="paragraph" w:styleId="TableofFigures">
    <w:name w:val="table of figures"/>
    <w:basedOn w:val="Normal"/>
    <w:next w:val="Normal"/>
    <w:uiPriority w:val="99"/>
    <w:unhideWhenUsed/>
    <w:rsid w:val="00CD0F1F"/>
    <w:pPr>
      <w:spacing w:after="0"/>
    </w:pPr>
  </w:style>
  <w:style w:type="paragraph" w:styleId="FootnoteText">
    <w:name w:val="footnote text"/>
    <w:basedOn w:val="Normal"/>
    <w:link w:val="FootnoteTextChar"/>
    <w:uiPriority w:val="99"/>
    <w:semiHidden/>
    <w:unhideWhenUsed/>
    <w:rsid w:val="00CD0F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0F1F"/>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CD0F1F"/>
    <w:rPr>
      <w:vertAlign w:val="superscript"/>
    </w:rPr>
  </w:style>
  <w:style w:type="character" w:styleId="UnresolvedMention">
    <w:name w:val="Unresolved Mention"/>
    <w:basedOn w:val="DefaultParagraphFont"/>
    <w:uiPriority w:val="99"/>
    <w:semiHidden/>
    <w:unhideWhenUsed/>
    <w:rsid w:val="00CD0F1F"/>
    <w:rPr>
      <w:color w:val="605E5C"/>
      <w:shd w:val="clear" w:color="auto" w:fill="E1DFDD"/>
    </w:rPr>
  </w:style>
  <w:style w:type="paragraph" w:styleId="NormalWeb">
    <w:name w:val="Normal (Web)"/>
    <w:basedOn w:val="Normal"/>
    <w:uiPriority w:val="99"/>
    <w:semiHidden/>
    <w:unhideWhenUsed/>
    <w:rsid w:val="00CD0F1F"/>
    <w:rPr>
      <w:rFonts w:ascii="Times New Roman" w:hAnsi="Times New Roman" w:cs="Times New Roman"/>
      <w:sz w:val="24"/>
      <w:szCs w:val="24"/>
    </w:rPr>
  </w:style>
  <w:style w:type="table" w:styleId="TableGridLight">
    <w:name w:val="Grid Table Light"/>
    <w:basedOn w:val="TableNormal"/>
    <w:uiPriority w:val="40"/>
    <w:rsid w:val="00CD0F1F"/>
    <w:pPr>
      <w:bidi/>
      <w:spacing w:after="0" w:line="240" w:lineRule="auto"/>
    </w:pPr>
    <w:rPr>
      <w:rFonts w:ascii="Calibri" w:eastAsia="Calibri" w:hAnsi="Calibri" w:cs="Calibr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CD0F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8409</Words>
  <Characters>47937</Characters>
  <Application>Microsoft Office Word</Application>
  <DocSecurity>0</DocSecurity>
  <Lines>399</Lines>
  <Paragraphs>112</Paragraphs>
  <ScaleCrop>false</ScaleCrop>
  <Company/>
  <LinksUpToDate>false</LinksUpToDate>
  <CharactersWithSpaces>56234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2025-07-17T17:17:00Z</dcterms:created>
  <dcterms:modified xsi:type="dcterms:W3CDTF">2025-07-17T17:20:00Z</dcterms:modified>
</cp:coreProperties>
</file>