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DB76C" w14:textId="77777777" w:rsidR="00D659C1" w:rsidRPr="00D659C1" w:rsidRDefault="00D659C1" w:rsidP="00D659C1">
      <w:pPr>
        <w:pStyle w:val="Heading3"/>
        <w:bidi/>
        <w:spacing w:line="360" w:lineRule="auto"/>
        <w:jc w:val="both"/>
        <w:rPr>
          <w:rFonts w:asciiTheme="majorBidi" w:eastAsia="Times New Roman" w:hAnsiTheme="majorBidi"/>
          <w:b/>
          <w:bCs/>
          <w:color w:val="000000"/>
          <w:sz w:val="24"/>
          <w:szCs w:val="24"/>
        </w:rPr>
      </w:pPr>
      <w:r w:rsidRPr="00D659C1">
        <w:rPr>
          <w:rFonts w:asciiTheme="majorBidi" w:eastAsia="Times New Roman" w:hAnsiTheme="majorBidi"/>
          <w:b/>
          <w:bCs/>
          <w:color w:val="000000"/>
          <w:sz w:val="24"/>
          <w:szCs w:val="24"/>
          <w:rtl/>
        </w:rPr>
        <w:t>أولاً: نواقص النموذج والمنهجية</w:t>
      </w:r>
    </w:p>
    <w:p w14:paraId="4B7B6C28" w14:textId="77777777" w:rsidR="00D659C1" w:rsidRDefault="00D659C1" w:rsidP="00D659C1">
      <w:pPr>
        <w:pStyle w:val="NormalWeb"/>
        <w:bidi/>
        <w:spacing w:line="360" w:lineRule="auto"/>
        <w:jc w:val="both"/>
        <w:rPr>
          <w:rStyle w:val="Strong"/>
          <w:rFonts w:asciiTheme="majorBidi" w:hAnsiTheme="majorBidi" w:cstheme="majorBidi"/>
          <w:color w:val="000000"/>
        </w:rPr>
      </w:pPr>
      <w:r w:rsidRPr="00D659C1">
        <w:rPr>
          <w:rStyle w:val="Strong"/>
          <w:rFonts w:asciiTheme="majorBidi" w:hAnsiTheme="majorBidi" w:cstheme="majorBidi"/>
          <w:color w:val="000000"/>
          <w:rtl/>
        </w:rPr>
        <w:t>الأولى: عدم توظيف رؤية المملكة 2030 بصورة فعلية</w:t>
      </w:r>
    </w:p>
    <w:p w14:paraId="18C28C78" w14:textId="58F1199D" w:rsidR="00D659C1" w:rsidRPr="00D659C1" w:rsidRDefault="00D659C1" w:rsidP="00D659C1">
      <w:pPr>
        <w:pStyle w:val="NormalWeb"/>
        <w:bidi/>
        <w:spacing w:line="360" w:lineRule="auto"/>
        <w:jc w:val="both"/>
        <w:rPr>
          <w:rFonts w:asciiTheme="majorBidi" w:hAnsiTheme="majorBidi" w:cstheme="majorBidi"/>
          <w:b/>
          <w:bCs/>
          <w:color w:val="000000"/>
        </w:rPr>
      </w:pPr>
      <w:r w:rsidRPr="00D659C1">
        <w:rPr>
          <w:rFonts w:asciiTheme="majorBidi" w:hAnsiTheme="majorBidi" w:cstheme="majorBidi"/>
          <w:color w:val="000000"/>
          <w:rtl/>
        </w:rPr>
        <w:t>وردت عبارة «في ضوء رؤية 2030» في عنوان الدراسة، لكنها لم تظهر كمتغير أو بُعد واضح في النموذج، ولم تُقاس إلا بصورة محدودة في فقرة واحدة من الاستبانة. يجب إما إدراج بُعد واضح للمواءمة مع رؤية 2030، أو حذف العبارة من العنوان</w:t>
      </w:r>
      <w:r w:rsidRPr="00D659C1">
        <w:rPr>
          <w:rFonts w:asciiTheme="majorBidi" w:hAnsiTheme="majorBidi" w:cstheme="majorBidi"/>
          <w:color w:val="000000"/>
        </w:rPr>
        <w:t>.</w:t>
      </w:r>
    </w:p>
    <w:p w14:paraId="533678F5" w14:textId="77777777" w:rsidR="00D659C1" w:rsidRDefault="00D659C1" w:rsidP="00D659C1">
      <w:pPr>
        <w:pStyle w:val="NormalWeb"/>
        <w:bidi/>
        <w:spacing w:line="360" w:lineRule="auto"/>
        <w:jc w:val="both"/>
        <w:rPr>
          <w:rStyle w:val="Strong"/>
          <w:rFonts w:asciiTheme="majorBidi" w:hAnsiTheme="majorBidi" w:cstheme="majorBidi"/>
          <w:color w:val="000000"/>
        </w:rPr>
      </w:pPr>
      <w:r w:rsidRPr="00D659C1">
        <w:rPr>
          <w:rStyle w:val="Strong"/>
          <w:rFonts w:asciiTheme="majorBidi" w:hAnsiTheme="majorBidi" w:cstheme="majorBidi"/>
          <w:color w:val="000000"/>
          <w:rtl/>
        </w:rPr>
        <w:t>الثانية: وجود خلل في تصنيف المتغير المستقل</w:t>
      </w:r>
    </w:p>
    <w:p w14:paraId="7A939016" w14:textId="6FAACCF1" w:rsidR="00D659C1" w:rsidRPr="00D659C1" w:rsidRDefault="00D659C1" w:rsidP="00D659C1">
      <w:pPr>
        <w:pStyle w:val="NormalWeb"/>
        <w:bidi/>
        <w:spacing w:line="360" w:lineRule="auto"/>
        <w:jc w:val="both"/>
        <w:rPr>
          <w:rFonts w:asciiTheme="majorBidi" w:hAnsiTheme="majorBidi" w:cstheme="majorBidi"/>
          <w:b/>
          <w:bCs/>
          <w:color w:val="000000"/>
        </w:rPr>
      </w:pPr>
      <w:r w:rsidRPr="00D659C1">
        <w:rPr>
          <w:rFonts w:asciiTheme="majorBidi" w:hAnsiTheme="majorBidi" w:cstheme="majorBidi"/>
          <w:color w:val="000000"/>
          <w:rtl/>
        </w:rPr>
        <w:t>تم اعتبار درجة التبني، والعوامل التنظيمية، والعوامل التقنية، والعوامل القيادية والبشرية أبعاداً لمتغير واحد هو تبني الذكاء الاصطناعي. إلا أن العوامل التنظيمية والتقنية والبشرية تمثل غالباً</w:t>
      </w:r>
      <w:r w:rsidRPr="00D659C1">
        <w:rPr>
          <w:rtl/>
        </w:rPr>
        <w:t> محددات أو عوامل سابقة للتبني </w:t>
      </w:r>
      <w:r w:rsidRPr="00D659C1">
        <w:rPr>
          <w:rFonts w:asciiTheme="majorBidi" w:hAnsiTheme="majorBidi" w:cstheme="majorBidi"/>
          <w:color w:val="000000"/>
          <w:rtl/>
        </w:rPr>
        <w:t>وليست أبعاداً تعكس مستوى التبني نفسه. يجب إعادة بناء النموذج وتحديد ما إذا كانت هذه العوامل متغيرات مستقلة منفصلة أم مكونات لمتغير من الدرجة الثانية</w:t>
      </w:r>
      <w:r w:rsidRPr="00D659C1">
        <w:rPr>
          <w:rFonts w:asciiTheme="majorBidi" w:hAnsiTheme="majorBidi" w:cstheme="majorBidi"/>
          <w:color w:val="000000"/>
        </w:rPr>
        <w:t>.</w:t>
      </w:r>
    </w:p>
    <w:p w14:paraId="5C49A2CF"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الثالثة: النموذج البنائي غير موضح بدقة</w:t>
      </w:r>
    </w:p>
    <w:p w14:paraId="0A0B9A8D" w14:textId="0FF7C7A7"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لا يوجد توضيح كامل للمسارات بين المتغيرات، خاصة العلاقة بين الأبعاد الأربعة والمتغير الوسيط والتابع. يجب إضافة شكل للنموذج يوضح جميع المسارات المباشرة وغير المباشرة</w:t>
      </w:r>
      <w:r w:rsidRPr="00D659C1">
        <w:rPr>
          <w:rFonts w:asciiTheme="majorBidi" w:hAnsiTheme="majorBidi" w:cstheme="majorBidi"/>
          <w:color w:val="000000"/>
        </w:rPr>
        <w:t>.</w:t>
      </w:r>
    </w:p>
    <w:p w14:paraId="0309E069"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الرابعة: الفرضية الوسيطة غير محددة بصورة صحيحة</w:t>
      </w:r>
    </w:p>
    <w:p w14:paraId="7A34BEC1" w14:textId="2CF2C056"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تمت الإشارة إلى فرضية وسيطة واحدة</w:t>
      </w:r>
      <w:r w:rsidRPr="00D659C1">
        <w:rPr>
          <w:rFonts w:asciiTheme="majorBidi" w:hAnsiTheme="majorBidi" w:cstheme="majorBidi"/>
          <w:color w:val="000000"/>
        </w:rPr>
        <w:t xml:space="preserve"> H5</w:t>
      </w:r>
      <w:r w:rsidRPr="00D659C1">
        <w:rPr>
          <w:rFonts w:asciiTheme="majorBidi" w:hAnsiTheme="majorBidi" w:cstheme="majorBidi"/>
          <w:color w:val="000000"/>
          <w:rtl/>
        </w:rPr>
        <w:t>، في حين أن وجود أربعة متغيرات أو أبعاد مستقلة ينتج عنه أربع علاقات وسيطة محتملة. يجب صياغة فرضية وساطة مستقلة لكل مسار</w:t>
      </w:r>
      <w:r w:rsidRPr="00D659C1">
        <w:rPr>
          <w:rFonts w:asciiTheme="majorBidi" w:hAnsiTheme="majorBidi" w:cstheme="majorBidi"/>
          <w:color w:val="000000"/>
        </w:rPr>
        <w:t>.</w:t>
      </w:r>
    </w:p>
    <w:p w14:paraId="0646A906"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الخامسة: استخدام لغة سببية غير مناسبة</w:t>
      </w:r>
    </w:p>
    <w:p w14:paraId="5486E068" w14:textId="5FCF10A3"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الدراسة مقطعية وتعتمد على استبانة في نقطة زمنية واحدة، ولذلك لا يمكن الجزم بالعلاقات السببية. يجب استبدال عبارات مثل «تحليل العلاقات السببية» بعبارات مثل «تحليل العلاقات والتأثيرات الإحصائية</w:t>
      </w:r>
      <w:r w:rsidRPr="00D659C1">
        <w:rPr>
          <w:rFonts w:asciiTheme="majorBidi" w:hAnsiTheme="majorBidi" w:cstheme="majorBidi"/>
          <w:color w:val="000000"/>
        </w:rPr>
        <w:t>».</w:t>
      </w:r>
    </w:p>
    <w:p w14:paraId="555BDE01" w14:textId="77777777" w:rsidR="00D659C1" w:rsidRPr="00D659C1" w:rsidRDefault="00D659C1" w:rsidP="00D659C1">
      <w:pPr>
        <w:pStyle w:val="Heading3"/>
        <w:bidi/>
        <w:spacing w:line="360" w:lineRule="auto"/>
        <w:jc w:val="center"/>
        <w:rPr>
          <w:rFonts w:asciiTheme="majorBidi" w:eastAsia="Times New Roman" w:hAnsiTheme="majorBidi"/>
          <w:b/>
          <w:bCs/>
          <w:color w:val="000000"/>
          <w:sz w:val="24"/>
          <w:szCs w:val="24"/>
        </w:rPr>
      </w:pPr>
      <w:r w:rsidRPr="00D659C1">
        <w:rPr>
          <w:rFonts w:asciiTheme="majorBidi" w:eastAsia="Times New Roman" w:hAnsiTheme="majorBidi"/>
          <w:b/>
          <w:bCs/>
          <w:color w:val="000000"/>
          <w:sz w:val="24"/>
          <w:szCs w:val="24"/>
          <w:rtl/>
        </w:rPr>
        <w:t>ثانياً: مجتمع الدراسة والعينة</w:t>
      </w:r>
    </w:p>
    <w:p w14:paraId="0AB7CC8B"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السادسة: تقدير مجتمع الدراسة غير قائم على إطار رسمي دقيق</w:t>
      </w:r>
    </w:p>
    <w:p w14:paraId="4060BF9A" w14:textId="482EA58C"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تم تقدير المجتمع بنحو 500 تنفيذي بالاعتماد على نسبة افتراضية تتراوح بين 8% و10% ومتوسط خمسة تنفيذيين لكل شركة. هذا التقدير لا يستند إلى قائمة فعلية بالشركات أو التنفيذيين، ولذلك يحتاج إلى توثيق أقوى أو عرضه بوضوح باعتباره تقديراً تقريبياً</w:t>
      </w:r>
      <w:r w:rsidRPr="00D659C1">
        <w:rPr>
          <w:rFonts w:asciiTheme="majorBidi" w:hAnsiTheme="majorBidi" w:cstheme="majorBidi"/>
          <w:color w:val="000000"/>
        </w:rPr>
        <w:t>.</w:t>
      </w:r>
    </w:p>
    <w:p w14:paraId="310FD015"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السابعة: عدم صلاحية رقم المصانع لتقدير جميع القطاعات</w:t>
      </w:r>
    </w:p>
    <w:p w14:paraId="5AA35EB8" w14:textId="46AE8BB9"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lastRenderedPageBreak/>
        <w:t>رقم 1023 يتعلق بمصانع الأغذية، بينما مجتمع الدراسة يشمل أيضاً شركات التوزيع والتجزئة والمطاعم. لا يصح تعميم عدد المصانع على جميع هذه القطاعات. يجب إعداد إطار منفصل لكل قطاع أو حصر الدراسة في شركات التصنيع الغذائي فقط</w:t>
      </w:r>
      <w:r w:rsidRPr="00D659C1">
        <w:rPr>
          <w:rFonts w:asciiTheme="majorBidi" w:hAnsiTheme="majorBidi" w:cstheme="majorBidi"/>
          <w:color w:val="000000"/>
        </w:rPr>
        <w:t>.</w:t>
      </w:r>
    </w:p>
    <w:p w14:paraId="0D961B90"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الثامنة: ادعاء استخدام العينة العشوائية الطبقية غير مثبت</w:t>
      </w:r>
    </w:p>
    <w:p w14:paraId="4875A8A3" w14:textId="52AC1ECE"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لا توجد قائمة شاملة بأفراد المجتمع، ولا توجد أعداد الطبقات، ولا طريقة توزيع العينة على قطاعات الإنتاج والتوزيع والتجزئة. في غياب إطار معاينة رسمي، قد تكون العينة الفعلية قصدية أو ميسرة وليست عشوائية طبقية</w:t>
      </w:r>
      <w:r w:rsidRPr="00D659C1">
        <w:rPr>
          <w:rFonts w:asciiTheme="majorBidi" w:hAnsiTheme="majorBidi" w:cstheme="majorBidi"/>
          <w:color w:val="000000"/>
        </w:rPr>
        <w:t>.</w:t>
      </w:r>
    </w:p>
    <w:p w14:paraId="55E9D5C6"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التاسعة: تناقض حجم العينة</w:t>
      </w:r>
    </w:p>
    <w:p w14:paraId="64D34F5A" w14:textId="06BB033F"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ذُكر أن العينة النهائية تبلغ 200 مشارك، بينما جدول</w:t>
      </w:r>
      <w:r w:rsidRPr="00D659C1">
        <w:rPr>
          <w:rFonts w:asciiTheme="majorBidi" w:hAnsiTheme="majorBidi" w:cstheme="majorBidi"/>
          <w:color w:val="000000"/>
        </w:rPr>
        <w:t xml:space="preserve"> </w:t>
      </w:r>
      <w:proofErr w:type="spellStart"/>
      <w:r w:rsidRPr="00D659C1">
        <w:rPr>
          <w:rFonts w:asciiTheme="majorBidi" w:hAnsiTheme="majorBidi" w:cstheme="majorBidi"/>
          <w:color w:val="000000"/>
        </w:rPr>
        <w:t>Krejcie</w:t>
      </w:r>
      <w:proofErr w:type="spellEnd"/>
      <w:r w:rsidRPr="00D659C1">
        <w:rPr>
          <w:rFonts w:asciiTheme="majorBidi" w:hAnsiTheme="majorBidi" w:cstheme="majorBidi"/>
          <w:color w:val="000000"/>
        </w:rPr>
        <w:t xml:space="preserve"> and Morgan </w:t>
      </w:r>
      <w:r w:rsidRPr="00D659C1">
        <w:rPr>
          <w:rFonts w:asciiTheme="majorBidi" w:hAnsiTheme="majorBidi" w:cstheme="majorBidi"/>
          <w:color w:val="000000"/>
          <w:rtl/>
        </w:rPr>
        <w:t>يتطلب 217 مشاركاً لمجتمع حجمه 500. لا يكفي القول إن 200 «قريبة» من 217. يجب اعتماد حد أدنى لا يقل عن 217 استجابة صالحة، أو عدم استخدام جدول</w:t>
      </w:r>
      <w:r w:rsidRPr="00D659C1">
        <w:rPr>
          <w:rFonts w:asciiTheme="majorBidi" w:hAnsiTheme="majorBidi" w:cstheme="majorBidi"/>
          <w:color w:val="000000"/>
        </w:rPr>
        <w:t xml:space="preserve"> </w:t>
      </w:r>
      <w:proofErr w:type="spellStart"/>
      <w:r w:rsidRPr="00D659C1">
        <w:rPr>
          <w:rFonts w:asciiTheme="majorBidi" w:hAnsiTheme="majorBidi" w:cstheme="majorBidi"/>
          <w:color w:val="000000"/>
        </w:rPr>
        <w:t>Krejcie</w:t>
      </w:r>
      <w:proofErr w:type="spellEnd"/>
      <w:r w:rsidRPr="00D659C1">
        <w:rPr>
          <w:rFonts w:asciiTheme="majorBidi" w:hAnsiTheme="majorBidi" w:cstheme="majorBidi"/>
          <w:color w:val="000000"/>
        </w:rPr>
        <w:t xml:space="preserve"> and Morgan </w:t>
      </w:r>
      <w:r w:rsidRPr="00D659C1">
        <w:rPr>
          <w:rFonts w:asciiTheme="majorBidi" w:hAnsiTheme="majorBidi" w:cstheme="majorBidi"/>
          <w:color w:val="000000"/>
          <w:rtl/>
        </w:rPr>
        <w:t>مبرراً رئيسياً</w:t>
      </w:r>
      <w:r w:rsidRPr="00D659C1">
        <w:rPr>
          <w:rFonts w:asciiTheme="majorBidi" w:hAnsiTheme="majorBidi" w:cstheme="majorBidi"/>
          <w:color w:val="000000"/>
        </w:rPr>
        <w:t>.</w:t>
      </w:r>
    </w:p>
    <w:p w14:paraId="51735D00"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العاشرة: عدم دقة تحليل القوة الإحصائية</w:t>
      </w:r>
    </w:p>
    <w:p w14:paraId="19981D3E" w14:textId="51C3B280"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ذُكر أن النموذج يحتوي على أربعة متنبئات، ثم أُشير إلى وجود خمسة مسارات داخلة إلى المتغير التابع. يجب تنفيذ تحليل</w:t>
      </w:r>
      <w:r w:rsidRPr="00D659C1">
        <w:rPr>
          <w:rFonts w:asciiTheme="majorBidi" w:hAnsiTheme="majorBidi" w:cstheme="majorBidi"/>
          <w:color w:val="000000"/>
        </w:rPr>
        <w:t xml:space="preserve"> G*Power </w:t>
      </w:r>
      <w:r w:rsidRPr="00D659C1">
        <w:rPr>
          <w:rFonts w:asciiTheme="majorBidi" w:hAnsiTheme="majorBidi" w:cstheme="majorBidi"/>
          <w:color w:val="000000"/>
          <w:rtl/>
        </w:rPr>
        <w:t>وفق العدد الفعلي للمتنبئات، مع عرض حجم التأثير والقوة ومستوى الدلالة والعدد النهائي الناتج بصورة محددة، وليس على شكل نطاق تقريبي</w:t>
      </w:r>
      <w:r w:rsidRPr="00D659C1">
        <w:rPr>
          <w:rFonts w:asciiTheme="majorBidi" w:hAnsiTheme="majorBidi" w:cstheme="majorBidi"/>
          <w:color w:val="000000"/>
        </w:rPr>
        <w:t>.</w:t>
      </w:r>
    </w:p>
    <w:p w14:paraId="308D95D5"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الحادية عشرة: الخلط بين الزمن الماضي والمستقبل</w:t>
      </w:r>
    </w:p>
    <w:p w14:paraId="7BA69C6D" w14:textId="42B9DC2D"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وردت عبارات مثل «بلغ حجم العينة النهائية 200»، ثم عبارات مثل «سيوزع الباحث» و«سيتم الحصول». بما أن الوثيقة بحث تسجيل أو مقترح، يجب استخدام صيغة المستقبل، إلا إذا كانت البيانات قد جُمعت فعلاً، وفي هذه الحالة يجب توضيح ذلك بالكامل</w:t>
      </w:r>
      <w:r w:rsidRPr="00D659C1">
        <w:rPr>
          <w:rFonts w:asciiTheme="majorBidi" w:hAnsiTheme="majorBidi" w:cstheme="majorBidi"/>
          <w:color w:val="000000"/>
        </w:rPr>
        <w:t>.</w:t>
      </w:r>
    </w:p>
    <w:p w14:paraId="1BAE397F"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الثانية عشرة: عدم تحديد وحدة التحليل</w:t>
      </w:r>
    </w:p>
    <w:p w14:paraId="41CBF7AF" w14:textId="05E07F9A"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بعض الفقرات تقيس خصائص الشركة، بينما وحدة الاستجابة هي التنفيذي. وإذا شارك أكثر من تنفيذي من الشركة نفسها، تصبح البيانات متداخلة داخل الشركات. يجب تحديد هل وحدة التحليل هي الشركة أم التنفيذي، وكيف ستُعالج الاستجابات المتعددة من الشركة الواحدة</w:t>
      </w:r>
      <w:r w:rsidRPr="00D659C1">
        <w:rPr>
          <w:rFonts w:asciiTheme="majorBidi" w:hAnsiTheme="majorBidi" w:cstheme="majorBidi"/>
          <w:color w:val="000000"/>
        </w:rPr>
        <w:t>.</w:t>
      </w:r>
    </w:p>
    <w:p w14:paraId="63569B46"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الثالثة عشرة: غياب معايير الاشتمال والاستبعاد</w:t>
      </w:r>
    </w:p>
    <w:p w14:paraId="48E9D89A" w14:textId="0C8FBF39"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يجب تحديد شروط مشاركة التنفيذي، مثل مستوى المنصب، وعدد سنوات الخبرة، ومعرفته الفعلية بتطبيقات الذكاء الاصطناعي، وعمل الشركة في القطاع الغذائي، وعدد موظفي الشركة</w:t>
      </w:r>
      <w:r w:rsidRPr="00D659C1">
        <w:rPr>
          <w:rFonts w:asciiTheme="majorBidi" w:hAnsiTheme="majorBidi" w:cstheme="majorBidi"/>
          <w:color w:val="000000"/>
        </w:rPr>
        <w:t>.</w:t>
      </w:r>
    </w:p>
    <w:p w14:paraId="4E277897" w14:textId="77777777" w:rsidR="00D659C1" w:rsidRPr="00D659C1" w:rsidRDefault="00D659C1" w:rsidP="00D659C1">
      <w:pPr>
        <w:pStyle w:val="Heading3"/>
        <w:bidi/>
        <w:spacing w:line="360" w:lineRule="auto"/>
        <w:jc w:val="center"/>
        <w:rPr>
          <w:rFonts w:asciiTheme="majorBidi" w:eastAsia="Times New Roman" w:hAnsiTheme="majorBidi"/>
          <w:b/>
          <w:bCs/>
          <w:color w:val="000000"/>
          <w:sz w:val="24"/>
          <w:szCs w:val="24"/>
        </w:rPr>
      </w:pPr>
      <w:r w:rsidRPr="00D659C1">
        <w:rPr>
          <w:rFonts w:asciiTheme="majorBidi" w:eastAsia="Times New Roman" w:hAnsiTheme="majorBidi"/>
          <w:b/>
          <w:bCs/>
          <w:color w:val="000000"/>
          <w:sz w:val="24"/>
          <w:szCs w:val="24"/>
          <w:rtl/>
        </w:rPr>
        <w:t>ثالثاً: أداة الدراسة والصدق والثبات</w:t>
      </w:r>
    </w:p>
    <w:p w14:paraId="1871C7A5"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الرابعة عشرة: خطأ واضح في مقدمة الاستبانة</w:t>
      </w:r>
    </w:p>
    <w:p w14:paraId="5B4A213B" w14:textId="6004B678"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lastRenderedPageBreak/>
        <w:t>وردت العبارة</w:t>
      </w:r>
      <w:r w:rsidRPr="00D659C1">
        <w:rPr>
          <w:rFonts w:asciiTheme="majorBidi" w:hAnsiTheme="majorBidi" w:cstheme="majorBidi"/>
          <w:color w:val="000000"/>
        </w:rPr>
        <w:t>:</w:t>
      </w:r>
      <w:r w:rsidRPr="00D659C1">
        <w:rPr>
          <w:rStyle w:val="apple-converted-space"/>
          <w:rFonts w:asciiTheme="majorBidi" w:hAnsiTheme="majorBidi" w:cstheme="majorBidi"/>
          <w:color w:val="000000"/>
        </w:rPr>
        <w:t> </w:t>
      </w:r>
      <w:r w:rsidRPr="00D659C1">
        <w:rPr>
          <w:rStyle w:val="Strong"/>
          <w:rFonts w:asciiTheme="majorBidi" w:hAnsiTheme="majorBidi" w:cstheme="majorBidi"/>
          <w:color w:val="000000"/>
        </w:rPr>
        <w:t>«</w:t>
      </w:r>
      <w:r w:rsidRPr="00D659C1">
        <w:rPr>
          <w:rStyle w:val="Strong"/>
          <w:rFonts w:asciiTheme="majorBidi" w:hAnsiTheme="majorBidi" w:cstheme="majorBidi"/>
          <w:color w:val="000000"/>
          <w:rtl/>
        </w:rPr>
        <w:t>وتقتصر الدراسة على عينة من مديرات المدارس</w:t>
      </w:r>
      <w:r w:rsidRPr="00D659C1">
        <w:rPr>
          <w:rStyle w:val="Strong"/>
          <w:rFonts w:asciiTheme="majorBidi" w:hAnsiTheme="majorBidi" w:cstheme="majorBidi"/>
          <w:color w:val="000000"/>
        </w:rPr>
        <w:t>»</w:t>
      </w:r>
      <w:r w:rsidRPr="00D659C1">
        <w:rPr>
          <w:rFonts w:asciiTheme="majorBidi" w:hAnsiTheme="majorBidi" w:cstheme="majorBidi"/>
          <w:color w:val="000000"/>
          <w:rtl/>
        </w:rPr>
        <w:t>، وهي عبارة غير مرتبطة تماماً بالدراسة الحالية، وتدل على نقل من دراسة أخرى. كما أن الخطاب موجه إلى «الأستاذة الفاضلة»، رغم أن المجتمع يشمل الذكور والإناث من التنفيذيين. يجب حذف هذا النص وإعادة صياغة المقدمة بالكامل</w:t>
      </w:r>
      <w:r w:rsidRPr="00D659C1">
        <w:rPr>
          <w:rFonts w:asciiTheme="majorBidi" w:hAnsiTheme="majorBidi" w:cstheme="majorBidi"/>
          <w:color w:val="000000"/>
        </w:rPr>
        <w:t>.</w:t>
      </w:r>
    </w:p>
    <w:p w14:paraId="3317D2D7"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الخامسة عشرة: عدم الاتساق في البيانات الديموغرافية</w:t>
      </w:r>
    </w:p>
    <w:p w14:paraId="45E9AF3F" w14:textId="340056B3"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قسم التحليل الإحصائي ذكر تحليل النوع والعمر، بينما الاستبانة لا تحتوي على متغيري النوع والعمر. يجب إما إضافتهما إلى الاستبانة أو حذفهما من خطة التحليل</w:t>
      </w:r>
      <w:r w:rsidRPr="00D659C1">
        <w:rPr>
          <w:rFonts w:asciiTheme="majorBidi" w:hAnsiTheme="majorBidi" w:cstheme="majorBidi"/>
          <w:color w:val="000000"/>
        </w:rPr>
        <w:t>.</w:t>
      </w:r>
    </w:p>
    <w:p w14:paraId="1A4B738A"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السادسة عشرة: قياس ثبات المتغير المستقل بصورة كلية غير كافٍ</w:t>
      </w:r>
    </w:p>
    <w:p w14:paraId="30F4E36C" w14:textId="5B9C2922"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 xml:space="preserve">تم حساب ألفا </w:t>
      </w:r>
      <w:proofErr w:type="spellStart"/>
      <w:r w:rsidRPr="00D659C1">
        <w:rPr>
          <w:rFonts w:asciiTheme="majorBidi" w:hAnsiTheme="majorBidi" w:cstheme="majorBidi"/>
          <w:color w:val="000000"/>
          <w:rtl/>
        </w:rPr>
        <w:t>كرونباخ</w:t>
      </w:r>
      <w:proofErr w:type="spellEnd"/>
      <w:r w:rsidRPr="00D659C1">
        <w:rPr>
          <w:rFonts w:asciiTheme="majorBidi" w:hAnsiTheme="majorBidi" w:cstheme="majorBidi"/>
          <w:color w:val="000000"/>
          <w:rtl/>
        </w:rPr>
        <w:t xml:space="preserve"> </w:t>
      </w:r>
      <w:proofErr w:type="gramStart"/>
      <w:r w:rsidRPr="00D659C1">
        <w:rPr>
          <w:rFonts w:asciiTheme="majorBidi" w:hAnsiTheme="majorBidi" w:cstheme="majorBidi"/>
          <w:color w:val="000000"/>
          <w:rtl/>
        </w:rPr>
        <w:t>لـ20</w:t>
      </w:r>
      <w:proofErr w:type="gramEnd"/>
      <w:r w:rsidRPr="00D659C1">
        <w:rPr>
          <w:rFonts w:asciiTheme="majorBidi" w:hAnsiTheme="majorBidi" w:cstheme="majorBidi"/>
          <w:color w:val="000000"/>
          <w:rtl/>
        </w:rPr>
        <w:t xml:space="preserve"> فقرة مجتمعة، رغم أنها موزعة على أربعة أبعاد. يجب حساب ألفا </w:t>
      </w:r>
      <w:proofErr w:type="spellStart"/>
      <w:r w:rsidRPr="00D659C1">
        <w:rPr>
          <w:rFonts w:asciiTheme="majorBidi" w:hAnsiTheme="majorBidi" w:cstheme="majorBidi"/>
          <w:color w:val="000000"/>
          <w:rtl/>
        </w:rPr>
        <w:t>كرونباخ</w:t>
      </w:r>
      <w:proofErr w:type="spellEnd"/>
      <w:r w:rsidRPr="00D659C1">
        <w:rPr>
          <w:rFonts w:asciiTheme="majorBidi" w:hAnsiTheme="majorBidi" w:cstheme="majorBidi"/>
          <w:color w:val="000000"/>
          <w:rtl/>
        </w:rPr>
        <w:t xml:space="preserve"> والثبات المركب لكل بُعد على حدة، لأن القيمة الكلية قد تخفي ضعف أحد الأبعاد</w:t>
      </w:r>
      <w:r w:rsidRPr="00D659C1">
        <w:rPr>
          <w:rFonts w:asciiTheme="majorBidi" w:hAnsiTheme="majorBidi" w:cstheme="majorBidi"/>
          <w:color w:val="000000"/>
        </w:rPr>
        <w:t>.</w:t>
      </w:r>
    </w:p>
    <w:p w14:paraId="69BC8097" w14:textId="77777777" w:rsidR="00D659C1" w:rsidRDefault="00D659C1" w:rsidP="00D659C1">
      <w:pPr>
        <w:pStyle w:val="pdq2pgselectionanchorcontainer"/>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السابعة عشرة: صدق الاتساق الداخلي لم يُحسب لكل بُعد</w:t>
      </w:r>
    </w:p>
    <w:p w14:paraId="3DC5706A" w14:textId="7F9E1810" w:rsidR="00D659C1" w:rsidRPr="00D659C1" w:rsidRDefault="00D659C1" w:rsidP="00D659C1">
      <w:pPr>
        <w:pStyle w:val="pdq2pgselectionanchorcontainer"/>
        <w:bidi/>
        <w:spacing w:line="360" w:lineRule="auto"/>
        <w:jc w:val="both"/>
        <w:rPr>
          <w:rFonts w:asciiTheme="majorBidi" w:hAnsiTheme="majorBidi" w:cstheme="majorBidi"/>
          <w:color w:val="000000"/>
        </w:rPr>
      </w:pPr>
      <w:r w:rsidRPr="00D659C1">
        <w:rPr>
          <w:rFonts w:asciiTheme="majorBidi" w:hAnsiTheme="majorBidi" w:cstheme="majorBidi"/>
          <w:color w:val="000000"/>
          <w:rtl/>
        </w:rPr>
        <w:t>تم ربط فقرات الأبعاد الأربعة بالدرجة الكلية لمحور تبني الذكاء الاصطناعي. الأفضل حساب معامل الارتباط المصحح لكل فقرة مع الدرجة الكلية للبُعد الذي تنتمي إليه، وليس مع مجموع الأبعاد المختلفة</w:t>
      </w:r>
      <w:r w:rsidRPr="00D659C1">
        <w:rPr>
          <w:rFonts w:asciiTheme="majorBidi" w:hAnsiTheme="majorBidi" w:cstheme="majorBidi"/>
          <w:color w:val="000000"/>
        </w:rPr>
        <w:t>.</w:t>
      </w:r>
    </w:p>
    <w:p w14:paraId="0B93F1ED"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الثامنة عشرة: استخدام مصطلح صدق البناء بصورة غير دقيقة</w:t>
      </w:r>
    </w:p>
    <w:p w14:paraId="5A76659A" w14:textId="45B4C061"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 xml:space="preserve">ارتباط الفقرة بالمجموع الكلي يثبت الاتساق الداخلي بصورة أولية، لكنه لا يكفي وحده لإثبات صدق البناء. صدق البناء يتطلب تقييم </w:t>
      </w:r>
      <w:proofErr w:type="spellStart"/>
      <w:r w:rsidRPr="00D659C1">
        <w:rPr>
          <w:rFonts w:asciiTheme="majorBidi" w:hAnsiTheme="majorBidi" w:cstheme="majorBidi"/>
          <w:color w:val="000000"/>
          <w:rtl/>
        </w:rPr>
        <w:t>التحميلات</w:t>
      </w:r>
      <w:proofErr w:type="spellEnd"/>
      <w:r w:rsidRPr="00D659C1">
        <w:rPr>
          <w:rFonts w:asciiTheme="majorBidi" w:hAnsiTheme="majorBidi" w:cstheme="majorBidi"/>
          <w:color w:val="000000"/>
          <w:rtl/>
        </w:rPr>
        <w:t xml:space="preserve"> </w:t>
      </w:r>
      <w:proofErr w:type="spellStart"/>
      <w:r w:rsidRPr="00D659C1">
        <w:rPr>
          <w:rFonts w:asciiTheme="majorBidi" w:hAnsiTheme="majorBidi" w:cstheme="majorBidi"/>
          <w:color w:val="000000"/>
          <w:rtl/>
        </w:rPr>
        <w:t>العاملية</w:t>
      </w:r>
      <w:proofErr w:type="spellEnd"/>
      <w:r w:rsidRPr="00D659C1">
        <w:rPr>
          <w:rFonts w:asciiTheme="majorBidi" w:hAnsiTheme="majorBidi" w:cstheme="majorBidi"/>
          <w:color w:val="000000"/>
          <w:rtl/>
        </w:rPr>
        <w:t xml:space="preserve"> والصدق </w:t>
      </w:r>
      <w:proofErr w:type="spellStart"/>
      <w:r w:rsidRPr="00D659C1">
        <w:rPr>
          <w:rFonts w:asciiTheme="majorBidi" w:hAnsiTheme="majorBidi" w:cstheme="majorBidi"/>
          <w:color w:val="000000"/>
          <w:rtl/>
        </w:rPr>
        <w:t>التقاربي</w:t>
      </w:r>
      <w:proofErr w:type="spellEnd"/>
      <w:r w:rsidRPr="00D659C1">
        <w:rPr>
          <w:rFonts w:asciiTheme="majorBidi" w:hAnsiTheme="majorBidi" w:cstheme="majorBidi"/>
          <w:color w:val="000000"/>
          <w:rtl/>
        </w:rPr>
        <w:t xml:space="preserve"> </w:t>
      </w:r>
      <w:proofErr w:type="spellStart"/>
      <w:r w:rsidRPr="00D659C1">
        <w:rPr>
          <w:rFonts w:asciiTheme="majorBidi" w:hAnsiTheme="majorBidi" w:cstheme="majorBidi"/>
          <w:color w:val="000000"/>
          <w:rtl/>
        </w:rPr>
        <w:t>والتمايزي</w:t>
      </w:r>
      <w:proofErr w:type="spellEnd"/>
      <w:r w:rsidRPr="00D659C1">
        <w:rPr>
          <w:rFonts w:asciiTheme="majorBidi" w:hAnsiTheme="majorBidi" w:cstheme="majorBidi"/>
          <w:color w:val="000000"/>
          <w:rtl/>
        </w:rPr>
        <w:t xml:space="preserve"> ضمن نموذج القياس</w:t>
      </w:r>
      <w:r w:rsidRPr="00D659C1">
        <w:rPr>
          <w:rFonts w:asciiTheme="majorBidi" w:hAnsiTheme="majorBidi" w:cstheme="majorBidi"/>
          <w:color w:val="000000"/>
        </w:rPr>
        <w:t>.</w:t>
      </w:r>
    </w:p>
    <w:p w14:paraId="6F294169"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التاسعة عشرة: التحليل العاملي الاستكشافي غير مكتمل</w:t>
      </w:r>
    </w:p>
    <w:p w14:paraId="0B24AFA6" w14:textId="1CBF5F1E"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ذُكر استخدام</w:t>
      </w:r>
      <w:r w:rsidRPr="00D659C1">
        <w:rPr>
          <w:rFonts w:asciiTheme="majorBidi" w:hAnsiTheme="majorBidi" w:cstheme="majorBidi"/>
          <w:color w:val="000000"/>
        </w:rPr>
        <w:t xml:space="preserve"> EFA</w:t>
      </w:r>
      <w:r w:rsidRPr="00D659C1">
        <w:rPr>
          <w:rFonts w:asciiTheme="majorBidi" w:hAnsiTheme="majorBidi" w:cstheme="majorBidi"/>
          <w:color w:val="000000"/>
          <w:rtl/>
        </w:rPr>
        <w:t>، لكن لم تُحدد شروطه مثل</w:t>
      </w:r>
      <w:r w:rsidRPr="00D659C1">
        <w:rPr>
          <w:rFonts w:asciiTheme="majorBidi" w:hAnsiTheme="majorBidi" w:cstheme="majorBidi"/>
          <w:color w:val="000000"/>
        </w:rPr>
        <w:t xml:space="preserve"> KMO</w:t>
      </w:r>
      <w:r w:rsidRPr="00D659C1">
        <w:rPr>
          <w:rFonts w:asciiTheme="majorBidi" w:hAnsiTheme="majorBidi" w:cstheme="majorBidi"/>
          <w:color w:val="000000"/>
          <w:rtl/>
        </w:rPr>
        <w:t>، واختبار</w:t>
      </w:r>
      <w:r w:rsidRPr="00D659C1">
        <w:rPr>
          <w:rFonts w:asciiTheme="majorBidi" w:hAnsiTheme="majorBidi" w:cstheme="majorBidi"/>
          <w:color w:val="000000"/>
        </w:rPr>
        <w:t xml:space="preserve"> Bartlett</w:t>
      </w:r>
      <w:r w:rsidRPr="00D659C1">
        <w:rPr>
          <w:rFonts w:asciiTheme="majorBidi" w:hAnsiTheme="majorBidi" w:cstheme="majorBidi"/>
          <w:color w:val="000000"/>
          <w:rtl/>
        </w:rPr>
        <w:t xml:space="preserve">، وطريقة الاستخراج، والتدوير، ومعايير الاحتفاظ بالعوامل. كما أن عينة استطلاعية من 30 مشاركاً غير كافية لإجراء تحليل عاملي استكشافي موثوق </w:t>
      </w:r>
      <w:proofErr w:type="gramStart"/>
      <w:r w:rsidRPr="00D659C1">
        <w:rPr>
          <w:rFonts w:asciiTheme="majorBidi" w:hAnsiTheme="majorBidi" w:cstheme="majorBidi"/>
          <w:color w:val="000000"/>
          <w:rtl/>
        </w:rPr>
        <w:t>لـ30</w:t>
      </w:r>
      <w:proofErr w:type="gramEnd"/>
      <w:r w:rsidRPr="00D659C1">
        <w:rPr>
          <w:rFonts w:asciiTheme="majorBidi" w:hAnsiTheme="majorBidi" w:cstheme="majorBidi"/>
          <w:color w:val="000000"/>
          <w:rtl/>
        </w:rPr>
        <w:t xml:space="preserve"> فقرة</w:t>
      </w:r>
      <w:r w:rsidRPr="00D659C1">
        <w:rPr>
          <w:rFonts w:asciiTheme="majorBidi" w:hAnsiTheme="majorBidi" w:cstheme="majorBidi"/>
          <w:color w:val="000000"/>
        </w:rPr>
        <w:t>.</w:t>
      </w:r>
    </w:p>
    <w:p w14:paraId="3E9D4256"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العشرون: تداخل كبير بين المتغيرات</w:t>
      </w:r>
    </w:p>
    <w:p w14:paraId="19731999" w14:textId="3206A21A"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الفقرات 16 و20 تقيس معرفة التنفيذيين وتفسيرهم لمخرجات الذكاء الاصطناعي، وهي قريبة جداً من فقرات المتغير الوسيط، خصوصاً الفقرات 22–25. هذا التداخل قد يؤدي إلى ارتفاع</w:t>
      </w:r>
      <w:r w:rsidRPr="00D659C1">
        <w:rPr>
          <w:rFonts w:asciiTheme="majorBidi" w:hAnsiTheme="majorBidi" w:cstheme="majorBidi"/>
          <w:color w:val="000000"/>
        </w:rPr>
        <w:t xml:space="preserve"> HTMT </w:t>
      </w:r>
      <w:r w:rsidRPr="00D659C1">
        <w:rPr>
          <w:rFonts w:asciiTheme="majorBidi" w:hAnsiTheme="majorBidi" w:cstheme="majorBidi"/>
          <w:color w:val="000000"/>
          <w:rtl/>
        </w:rPr>
        <w:t xml:space="preserve">وضعف الصدق </w:t>
      </w:r>
      <w:proofErr w:type="spellStart"/>
      <w:r w:rsidRPr="00D659C1">
        <w:rPr>
          <w:rFonts w:asciiTheme="majorBidi" w:hAnsiTheme="majorBidi" w:cstheme="majorBidi"/>
          <w:color w:val="000000"/>
          <w:rtl/>
        </w:rPr>
        <w:t>التمايزي</w:t>
      </w:r>
      <w:proofErr w:type="spellEnd"/>
      <w:r w:rsidRPr="00D659C1">
        <w:rPr>
          <w:rFonts w:asciiTheme="majorBidi" w:hAnsiTheme="majorBidi" w:cstheme="majorBidi"/>
          <w:color w:val="000000"/>
        </w:rPr>
        <w:t>.</w:t>
      </w:r>
    </w:p>
    <w:p w14:paraId="76EBFBF9"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الحادية والعشرون: بعض الفقرات لا تقيس المتغير المقصود مباشرة</w:t>
      </w:r>
    </w:p>
    <w:p w14:paraId="6FA9AF16" w14:textId="562E7E3C"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الفقرة 21 تقيس الاعتماد على الذكاء الاصطناعي أكثر من قياس الكفاءة، والفقرة 28 تقيس الأداء التنظيمي والربحية وليس فاعلية القرار مباشرة، والفقرة 30 تقيس تبرير القرار أو قابليته للتفسير. يجب مراجعة تعريف كل متغير وربط كل فقرة به بدقة</w:t>
      </w:r>
      <w:r w:rsidRPr="00D659C1">
        <w:rPr>
          <w:rFonts w:asciiTheme="majorBidi" w:hAnsiTheme="majorBidi" w:cstheme="majorBidi"/>
          <w:color w:val="000000"/>
        </w:rPr>
        <w:t>.</w:t>
      </w:r>
    </w:p>
    <w:p w14:paraId="3173B1A5"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lastRenderedPageBreak/>
        <w:t>الثانية والعشرون: غياب سؤال تصفية للمشاركين</w:t>
      </w:r>
    </w:p>
    <w:p w14:paraId="5BAEDB26" w14:textId="3E72CE0C"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يجب إضافة سؤال في بداية الاستبانة للتحقق من أن المشارك استخدم فعلياً أدوات أو أنظمة ذكاء اصطناعي في اتخاذ القرارات الاستراتيجية، وإلا فقد يجيب بعض المشاركين عن ممارسات لا يعرفونها</w:t>
      </w:r>
      <w:r w:rsidRPr="00D659C1">
        <w:rPr>
          <w:rFonts w:asciiTheme="majorBidi" w:hAnsiTheme="majorBidi" w:cstheme="majorBidi"/>
          <w:color w:val="000000"/>
        </w:rPr>
        <w:t>.</w:t>
      </w:r>
    </w:p>
    <w:p w14:paraId="1A6F493E"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الثالثة والعشرون: فئات حجم الشركة غير متوافقة مع تعريف الشركة الكبيرة</w:t>
      </w:r>
    </w:p>
    <w:p w14:paraId="5E1A19E5" w14:textId="3A598CD1"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تم تعريف المنشأة الكبيرة بأنها التي يزيد عدد العاملين فيها على 249 موظفاً، بينما أول خيار في الاستبانة هو «أقل من 500 موظف»، وقد يشمل شركات يقل عدد العاملين فيها عن 250. يجب أن يكون الخيار الأول مثلاً: «من 250 إلى 499 موظفاً</w:t>
      </w:r>
      <w:r w:rsidRPr="00D659C1">
        <w:rPr>
          <w:rFonts w:asciiTheme="majorBidi" w:hAnsiTheme="majorBidi" w:cstheme="majorBidi"/>
          <w:color w:val="000000"/>
        </w:rPr>
        <w:t>».</w:t>
      </w:r>
    </w:p>
    <w:p w14:paraId="2A603EE8" w14:textId="77777777" w:rsidR="00D659C1" w:rsidRPr="00D659C1" w:rsidRDefault="00D659C1" w:rsidP="00D659C1">
      <w:pPr>
        <w:pStyle w:val="Heading3"/>
        <w:bidi/>
        <w:spacing w:line="360" w:lineRule="auto"/>
        <w:jc w:val="both"/>
        <w:rPr>
          <w:rFonts w:asciiTheme="majorBidi" w:eastAsia="Times New Roman" w:hAnsiTheme="majorBidi"/>
          <w:color w:val="000000"/>
          <w:sz w:val="24"/>
          <w:szCs w:val="24"/>
        </w:rPr>
      </w:pPr>
      <w:r w:rsidRPr="00D659C1">
        <w:rPr>
          <w:rFonts w:asciiTheme="majorBidi" w:eastAsia="Times New Roman" w:hAnsiTheme="majorBidi"/>
          <w:color w:val="000000"/>
          <w:sz w:val="24"/>
          <w:szCs w:val="24"/>
          <w:rtl/>
        </w:rPr>
        <w:t>رابعاً: التحليل الإحصائي والأخلاقيات</w:t>
      </w:r>
    </w:p>
    <w:p w14:paraId="66DB978C"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الرابعة والعشرون: معايير تقييم</w:t>
      </w:r>
      <w:r w:rsidRPr="00D659C1">
        <w:rPr>
          <w:rStyle w:val="Strong"/>
          <w:rFonts w:asciiTheme="majorBidi" w:hAnsiTheme="majorBidi" w:cstheme="majorBidi"/>
          <w:color w:val="000000"/>
        </w:rPr>
        <w:t xml:space="preserve"> PLS-SEM </w:t>
      </w:r>
      <w:r w:rsidRPr="00D659C1">
        <w:rPr>
          <w:rStyle w:val="Strong"/>
          <w:rFonts w:asciiTheme="majorBidi" w:hAnsiTheme="majorBidi" w:cstheme="majorBidi"/>
          <w:color w:val="000000"/>
          <w:rtl/>
        </w:rPr>
        <w:t>غير مكتملة</w:t>
      </w:r>
    </w:p>
    <w:p w14:paraId="495A2685" w14:textId="1151D52A"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 xml:space="preserve">يجب إضافة </w:t>
      </w:r>
      <w:proofErr w:type="spellStart"/>
      <w:r w:rsidRPr="00D659C1">
        <w:rPr>
          <w:rFonts w:asciiTheme="majorBidi" w:hAnsiTheme="majorBidi" w:cstheme="majorBidi"/>
          <w:color w:val="000000"/>
          <w:rtl/>
        </w:rPr>
        <w:t>التحميلات</w:t>
      </w:r>
      <w:proofErr w:type="spellEnd"/>
      <w:r w:rsidRPr="00D659C1">
        <w:rPr>
          <w:rFonts w:asciiTheme="majorBidi" w:hAnsiTheme="majorBidi" w:cstheme="majorBidi"/>
          <w:color w:val="000000"/>
          <w:rtl/>
        </w:rPr>
        <w:t xml:space="preserve"> الخارجية، و</w:t>
      </w:r>
      <w:r w:rsidRPr="00D659C1">
        <w:rPr>
          <w:rFonts w:asciiTheme="majorBidi" w:hAnsiTheme="majorBidi" w:cstheme="majorBidi"/>
          <w:color w:val="000000"/>
        </w:rPr>
        <w:t>Cronbach’s Alpha</w:t>
      </w:r>
      <w:r w:rsidRPr="00D659C1">
        <w:rPr>
          <w:rFonts w:asciiTheme="majorBidi" w:hAnsiTheme="majorBidi" w:cstheme="majorBidi"/>
          <w:color w:val="000000"/>
          <w:rtl/>
        </w:rPr>
        <w:t>، و</w:t>
      </w:r>
      <w:proofErr w:type="spellStart"/>
      <w:r w:rsidRPr="00D659C1">
        <w:rPr>
          <w:rFonts w:asciiTheme="majorBidi" w:hAnsiTheme="majorBidi" w:cstheme="majorBidi"/>
          <w:color w:val="000000"/>
        </w:rPr>
        <w:t>rho_A</w:t>
      </w:r>
      <w:proofErr w:type="spellEnd"/>
      <w:r w:rsidRPr="00D659C1">
        <w:rPr>
          <w:rFonts w:asciiTheme="majorBidi" w:hAnsiTheme="majorBidi" w:cstheme="majorBidi"/>
          <w:color w:val="000000"/>
          <w:rtl/>
        </w:rPr>
        <w:t>، والثبات المركب، و</w:t>
      </w:r>
      <w:r w:rsidRPr="00D659C1">
        <w:rPr>
          <w:rFonts w:asciiTheme="majorBidi" w:hAnsiTheme="majorBidi" w:cstheme="majorBidi"/>
          <w:color w:val="000000"/>
        </w:rPr>
        <w:t>AVE</w:t>
      </w:r>
      <w:r w:rsidRPr="00D659C1">
        <w:rPr>
          <w:rFonts w:asciiTheme="majorBidi" w:hAnsiTheme="majorBidi" w:cstheme="majorBidi"/>
          <w:color w:val="000000"/>
          <w:rtl/>
        </w:rPr>
        <w:t>، و</w:t>
      </w:r>
      <w:r w:rsidRPr="00D659C1">
        <w:rPr>
          <w:rFonts w:asciiTheme="majorBidi" w:hAnsiTheme="majorBidi" w:cstheme="majorBidi"/>
          <w:color w:val="000000"/>
        </w:rPr>
        <w:t>HTMT</w:t>
      </w:r>
      <w:r w:rsidRPr="00D659C1">
        <w:rPr>
          <w:rFonts w:asciiTheme="majorBidi" w:hAnsiTheme="majorBidi" w:cstheme="majorBidi"/>
          <w:color w:val="000000"/>
          <w:rtl/>
        </w:rPr>
        <w:t>، و</w:t>
      </w:r>
      <w:r w:rsidRPr="00D659C1">
        <w:rPr>
          <w:rFonts w:asciiTheme="majorBidi" w:hAnsiTheme="majorBidi" w:cstheme="majorBidi"/>
          <w:color w:val="000000"/>
        </w:rPr>
        <w:t>VIF</w:t>
      </w:r>
      <w:r w:rsidRPr="00D659C1">
        <w:rPr>
          <w:rFonts w:asciiTheme="majorBidi" w:hAnsiTheme="majorBidi" w:cstheme="majorBidi"/>
          <w:color w:val="000000"/>
          <w:rtl/>
        </w:rPr>
        <w:t>، و</w:t>
      </w:r>
      <w:r w:rsidRPr="00D659C1">
        <w:rPr>
          <w:rFonts w:asciiTheme="majorBidi" w:hAnsiTheme="majorBidi" w:cstheme="majorBidi"/>
          <w:color w:val="000000"/>
        </w:rPr>
        <w:t>R²</w:t>
      </w:r>
      <w:r w:rsidRPr="00D659C1">
        <w:rPr>
          <w:rFonts w:asciiTheme="majorBidi" w:hAnsiTheme="majorBidi" w:cstheme="majorBidi"/>
          <w:color w:val="000000"/>
          <w:rtl/>
        </w:rPr>
        <w:t>، و</w:t>
      </w:r>
      <w:r w:rsidRPr="00D659C1">
        <w:rPr>
          <w:rFonts w:asciiTheme="majorBidi" w:hAnsiTheme="majorBidi" w:cstheme="majorBidi"/>
          <w:color w:val="000000"/>
        </w:rPr>
        <w:t>f²</w:t>
      </w:r>
      <w:r w:rsidRPr="00D659C1">
        <w:rPr>
          <w:rFonts w:asciiTheme="majorBidi" w:hAnsiTheme="majorBidi" w:cstheme="majorBidi"/>
          <w:color w:val="000000"/>
          <w:rtl/>
        </w:rPr>
        <w:t>، و</w:t>
      </w:r>
      <w:r w:rsidRPr="00D659C1">
        <w:rPr>
          <w:rFonts w:asciiTheme="majorBidi" w:hAnsiTheme="majorBidi" w:cstheme="majorBidi"/>
          <w:color w:val="000000"/>
        </w:rPr>
        <w:t>Q²</w:t>
      </w:r>
      <w:r w:rsidRPr="00D659C1">
        <w:rPr>
          <w:rFonts w:asciiTheme="majorBidi" w:hAnsiTheme="majorBidi" w:cstheme="majorBidi"/>
          <w:color w:val="000000"/>
          <w:rtl/>
        </w:rPr>
        <w:t xml:space="preserve">، وفترات الثقة، والتحليل </w:t>
      </w:r>
      <w:proofErr w:type="spellStart"/>
      <w:r w:rsidRPr="00D659C1">
        <w:rPr>
          <w:rFonts w:asciiTheme="majorBidi" w:hAnsiTheme="majorBidi" w:cstheme="majorBidi"/>
          <w:color w:val="000000"/>
          <w:rtl/>
        </w:rPr>
        <w:t>التنبؤي</w:t>
      </w:r>
      <w:proofErr w:type="spellEnd"/>
      <w:r w:rsidRPr="00D659C1">
        <w:rPr>
          <w:rFonts w:asciiTheme="majorBidi" w:hAnsiTheme="majorBidi" w:cstheme="majorBidi"/>
          <w:color w:val="000000"/>
          <w:rtl/>
        </w:rPr>
        <w:t xml:space="preserve"> عند الحاجة</w:t>
      </w:r>
      <w:r w:rsidRPr="00D659C1">
        <w:rPr>
          <w:rFonts w:asciiTheme="majorBidi" w:hAnsiTheme="majorBidi" w:cstheme="majorBidi"/>
          <w:color w:val="000000"/>
        </w:rPr>
        <w:t>.</w:t>
      </w:r>
    </w:p>
    <w:p w14:paraId="34C278C0"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الخامسة والعشرون: وصف</w:t>
      </w:r>
      <w:r w:rsidRPr="00D659C1">
        <w:rPr>
          <w:rStyle w:val="Strong"/>
          <w:rFonts w:asciiTheme="majorBidi" w:hAnsiTheme="majorBidi" w:cstheme="majorBidi"/>
          <w:color w:val="000000"/>
        </w:rPr>
        <w:t xml:space="preserve"> CFA </w:t>
      </w:r>
      <w:r w:rsidRPr="00D659C1">
        <w:rPr>
          <w:rStyle w:val="Strong"/>
          <w:rFonts w:asciiTheme="majorBidi" w:hAnsiTheme="majorBidi" w:cstheme="majorBidi"/>
          <w:color w:val="000000"/>
          <w:rtl/>
        </w:rPr>
        <w:t>في</w:t>
      </w:r>
      <w:r w:rsidRPr="00D659C1">
        <w:rPr>
          <w:rStyle w:val="Strong"/>
          <w:rFonts w:asciiTheme="majorBidi" w:hAnsiTheme="majorBidi" w:cstheme="majorBidi"/>
          <w:color w:val="000000"/>
        </w:rPr>
        <w:t xml:space="preserve"> </w:t>
      </w:r>
      <w:proofErr w:type="spellStart"/>
      <w:r w:rsidRPr="00D659C1">
        <w:rPr>
          <w:rStyle w:val="Strong"/>
          <w:rFonts w:asciiTheme="majorBidi" w:hAnsiTheme="majorBidi" w:cstheme="majorBidi"/>
          <w:color w:val="000000"/>
        </w:rPr>
        <w:t>SmartPLS</w:t>
      </w:r>
      <w:proofErr w:type="spellEnd"/>
      <w:r w:rsidRPr="00D659C1">
        <w:rPr>
          <w:rStyle w:val="Strong"/>
          <w:rFonts w:asciiTheme="majorBidi" w:hAnsiTheme="majorBidi" w:cstheme="majorBidi"/>
          <w:color w:val="000000"/>
        </w:rPr>
        <w:t xml:space="preserve"> </w:t>
      </w:r>
      <w:r w:rsidRPr="00D659C1">
        <w:rPr>
          <w:rStyle w:val="Strong"/>
          <w:rFonts w:asciiTheme="majorBidi" w:hAnsiTheme="majorBidi" w:cstheme="majorBidi"/>
          <w:color w:val="000000"/>
          <w:rtl/>
        </w:rPr>
        <w:t>يحتاج إلى تعديل</w:t>
      </w:r>
    </w:p>
    <w:p w14:paraId="228486CC" w14:textId="239F277B"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الأدق استخدام مصطلح «تقييم نموذج القياس» أو «التحليل التأكيدي للمركبات»، بدلاً من التعامل مع</w:t>
      </w:r>
      <w:r w:rsidRPr="00D659C1">
        <w:rPr>
          <w:rFonts w:asciiTheme="majorBidi" w:hAnsiTheme="majorBidi" w:cstheme="majorBidi"/>
          <w:color w:val="000000"/>
        </w:rPr>
        <w:t xml:space="preserve"> </w:t>
      </w:r>
      <w:proofErr w:type="spellStart"/>
      <w:r w:rsidRPr="00D659C1">
        <w:rPr>
          <w:rFonts w:asciiTheme="majorBidi" w:hAnsiTheme="majorBidi" w:cstheme="majorBidi"/>
          <w:color w:val="000000"/>
        </w:rPr>
        <w:t>SmartPLS</w:t>
      </w:r>
      <w:proofErr w:type="spellEnd"/>
      <w:r w:rsidRPr="00D659C1">
        <w:rPr>
          <w:rFonts w:asciiTheme="majorBidi" w:hAnsiTheme="majorBidi" w:cstheme="majorBidi"/>
          <w:color w:val="000000"/>
        </w:rPr>
        <w:t xml:space="preserve"> </w:t>
      </w:r>
      <w:r w:rsidRPr="00D659C1">
        <w:rPr>
          <w:rFonts w:asciiTheme="majorBidi" w:hAnsiTheme="majorBidi" w:cstheme="majorBidi"/>
          <w:color w:val="000000"/>
          <w:rtl/>
        </w:rPr>
        <w:t>باعتباره ينفذ</w:t>
      </w:r>
      <w:r w:rsidRPr="00D659C1">
        <w:rPr>
          <w:rFonts w:asciiTheme="majorBidi" w:hAnsiTheme="majorBidi" w:cstheme="majorBidi"/>
          <w:color w:val="000000"/>
        </w:rPr>
        <w:t xml:space="preserve"> CFA </w:t>
      </w:r>
      <w:r w:rsidRPr="00D659C1">
        <w:rPr>
          <w:rFonts w:asciiTheme="majorBidi" w:hAnsiTheme="majorBidi" w:cstheme="majorBidi"/>
          <w:color w:val="000000"/>
          <w:rtl/>
        </w:rPr>
        <w:t xml:space="preserve">التقليدي بالطريقة نفسها المستخدمة في </w:t>
      </w:r>
      <w:proofErr w:type="spellStart"/>
      <w:r w:rsidRPr="00D659C1">
        <w:rPr>
          <w:rFonts w:asciiTheme="majorBidi" w:hAnsiTheme="majorBidi" w:cstheme="majorBidi"/>
          <w:color w:val="000000"/>
          <w:rtl/>
        </w:rPr>
        <w:t>نمذجة</w:t>
      </w:r>
      <w:proofErr w:type="spellEnd"/>
      <w:r w:rsidRPr="00D659C1">
        <w:rPr>
          <w:rFonts w:asciiTheme="majorBidi" w:hAnsiTheme="majorBidi" w:cstheme="majorBidi"/>
          <w:color w:val="000000"/>
          <w:rtl/>
        </w:rPr>
        <w:t xml:space="preserve"> المعادلات الهيكلية القائمة على التباين المشترك</w:t>
      </w:r>
      <w:r w:rsidRPr="00D659C1">
        <w:rPr>
          <w:rFonts w:asciiTheme="majorBidi" w:hAnsiTheme="majorBidi" w:cstheme="majorBidi"/>
          <w:color w:val="000000"/>
        </w:rPr>
        <w:t>.</w:t>
      </w:r>
    </w:p>
    <w:p w14:paraId="2967BEF1"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السادسة والعشرون: اختبار تحيز الطريقة المشتركة غير واضح</w:t>
      </w:r>
    </w:p>
    <w:p w14:paraId="513408B7" w14:textId="0C14EDF5"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اختبار</w:t>
      </w:r>
      <w:r w:rsidRPr="00D659C1">
        <w:rPr>
          <w:rFonts w:asciiTheme="majorBidi" w:hAnsiTheme="majorBidi" w:cstheme="majorBidi"/>
          <w:color w:val="000000"/>
        </w:rPr>
        <w:t xml:space="preserve"> Harman </w:t>
      </w:r>
      <w:r w:rsidRPr="00D659C1">
        <w:rPr>
          <w:rFonts w:asciiTheme="majorBidi" w:hAnsiTheme="majorBidi" w:cstheme="majorBidi"/>
          <w:color w:val="000000"/>
          <w:rtl/>
        </w:rPr>
        <w:t>وحده غير كافٍ، كما أن طريقة العامل الكامن غير المقاس لم تُشرح. يجب تضمين إجراءات وقائية عند تصميم الاستبانة، واستخدام مؤشرات مثل</w:t>
      </w:r>
      <w:r w:rsidRPr="00D659C1">
        <w:rPr>
          <w:rFonts w:asciiTheme="majorBidi" w:hAnsiTheme="majorBidi" w:cstheme="majorBidi"/>
          <w:color w:val="000000"/>
        </w:rPr>
        <w:t xml:space="preserve"> Full Collinearity VIF </w:t>
      </w:r>
      <w:r w:rsidRPr="00D659C1">
        <w:rPr>
          <w:rFonts w:asciiTheme="majorBidi" w:hAnsiTheme="majorBidi" w:cstheme="majorBidi"/>
          <w:color w:val="000000"/>
          <w:rtl/>
        </w:rPr>
        <w:t>أو</w:t>
      </w:r>
      <w:r w:rsidRPr="00D659C1">
        <w:rPr>
          <w:rFonts w:asciiTheme="majorBidi" w:hAnsiTheme="majorBidi" w:cstheme="majorBidi"/>
          <w:color w:val="000000"/>
        </w:rPr>
        <w:t xml:space="preserve"> Marker Variable </w:t>
      </w:r>
      <w:r w:rsidRPr="00D659C1">
        <w:rPr>
          <w:rFonts w:asciiTheme="majorBidi" w:hAnsiTheme="majorBidi" w:cstheme="majorBidi"/>
          <w:color w:val="000000"/>
          <w:rtl/>
        </w:rPr>
        <w:t>عند توافرها</w:t>
      </w:r>
      <w:r w:rsidRPr="00D659C1">
        <w:rPr>
          <w:rFonts w:asciiTheme="majorBidi" w:hAnsiTheme="majorBidi" w:cstheme="majorBidi"/>
          <w:color w:val="000000"/>
        </w:rPr>
        <w:t>.</w:t>
      </w:r>
    </w:p>
    <w:p w14:paraId="16551EEA"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السابعة والعشرون: الهدف المتعلق بالفروق الديموغرافية غير مغطى إحصائياً</w:t>
      </w:r>
    </w:p>
    <w:p w14:paraId="543F2EB1" w14:textId="5A8FC4C8"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t>الهدف الرابع يتناول اختلاف فاعلية القرارات وفق خصائص التنفيذيين، بينما خطة التحليل لا تتضمن اختبار</w:t>
      </w:r>
      <w:r w:rsidRPr="00D659C1">
        <w:rPr>
          <w:rFonts w:asciiTheme="majorBidi" w:hAnsiTheme="majorBidi" w:cstheme="majorBidi"/>
          <w:color w:val="000000"/>
        </w:rPr>
        <w:t xml:space="preserve"> t </w:t>
      </w:r>
      <w:r w:rsidRPr="00D659C1">
        <w:rPr>
          <w:rFonts w:asciiTheme="majorBidi" w:hAnsiTheme="majorBidi" w:cstheme="majorBidi"/>
          <w:color w:val="000000"/>
          <w:rtl/>
        </w:rPr>
        <w:t>أو</w:t>
      </w:r>
      <w:r w:rsidRPr="00D659C1">
        <w:rPr>
          <w:rFonts w:asciiTheme="majorBidi" w:hAnsiTheme="majorBidi" w:cstheme="majorBidi"/>
          <w:color w:val="000000"/>
        </w:rPr>
        <w:t xml:space="preserve"> ANOVA </w:t>
      </w:r>
      <w:r w:rsidRPr="00D659C1">
        <w:rPr>
          <w:rFonts w:asciiTheme="majorBidi" w:hAnsiTheme="majorBidi" w:cstheme="majorBidi"/>
          <w:color w:val="000000"/>
          <w:rtl/>
        </w:rPr>
        <w:t>أو التحليل متعدد المجموعات. يجب إما إضافة الاختبارات المناسبة أو حذف الهدف</w:t>
      </w:r>
      <w:r w:rsidRPr="00D659C1">
        <w:rPr>
          <w:rFonts w:asciiTheme="majorBidi" w:hAnsiTheme="majorBidi" w:cstheme="majorBidi"/>
          <w:color w:val="000000"/>
        </w:rPr>
        <w:t>.</w:t>
      </w:r>
    </w:p>
    <w:p w14:paraId="528E23DB" w14:textId="77777777" w:rsidR="00D659C1" w:rsidRDefault="00D659C1" w:rsidP="00D659C1">
      <w:pPr>
        <w:bidi/>
        <w:spacing w:before="100" w:beforeAutospacing="1" w:after="100" w:afterAutospacing="1" w:line="360" w:lineRule="auto"/>
        <w:jc w:val="both"/>
        <w:rPr>
          <w:rFonts w:asciiTheme="majorBidi" w:hAnsiTheme="majorBidi" w:cstheme="majorBidi"/>
          <w:color w:val="000000"/>
          <w:sz w:val="24"/>
          <w:szCs w:val="24"/>
        </w:rPr>
      </w:pPr>
      <w:r w:rsidRPr="00D659C1">
        <w:rPr>
          <w:rStyle w:val="Strong"/>
          <w:rFonts w:asciiTheme="majorBidi" w:hAnsiTheme="majorBidi" w:cstheme="majorBidi"/>
          <w:color w:val="000000"/>
          <w:sz w:val="24"/>
          <w:szCs w:val="24"/>
          <w:rtl/>
        </w:rPr>
        <w:t>الثامنة والعشرون: الجوانب الأخلاقية غير مكتملة</w:t>
      </w:r>
    </w:p>
    <w:p w14:paraId="16EF30D1" w14:textId="32026732" w:rsidR="00D659C1" w:rsidRPr="00D659C1" w:rsidRDefault="00D659C1" w:rsidP="00D659C1">
      <w:pPr>
        <w:bidi/>
        <w:spacing w:before="100" w:beforeAutospacing="1" w:after="100" w:afterAutospacing="1" w:line="360" w:lineRule="auto"/>
        <w:jc w:val="both"/>
        <w:rPr>
          <w:rFonts w:asciiTheme="majorBidi" w:hAnsiTheme="majorBidi" w:cstheme="majorBidi"/>
          <w:color w:val="000000"/>
          <w:sz w:val="24"/>
          <w:szCs w:val="24"/>
        </w:rPr>
      </w:pPr>
      <w:r w:rsidRPr="00D659C1">
        <w:rPr>
          <w:rFonts w:asciiTheme="majorBidi" w:hAnsiTheme="majorBidi" w:cstheme="majorBidi"/>
          <w:color w:val="000000"/>
          <w:sz w:val="24"/>
          <w:szCs w:val="24"/>
          <w:rtl/>
        </w:rPr>
        <w:t>ذُكرت الموافقة الطوعية والسرية، لكن لم يُذكر اسم لجنة الأخلاقيات أو رقم الموافقة، وطريقة حفظ البيانات، ومدة الاحتفاظ بها، ومن يحق له الوصول إليها، وما إذا كانت العينة الاستطلاعية ستُستبعد من العينة النهائية</w:t>
      </w:r>
      <w:r w:rsidRPr="00D659C1">
        <w:rPr>
          <w:rFonts w:asciiTheme="majorBidi" w:hAnsiTheme="majorBidi" w:cstheme="majorBidi"/>
          <w:color w:val="000000"/>
          <w:sz w:val="24"/>
          <w:szCs w:val="24"/>
        </w:rPr>
        <w:t>.</w:t>
      </w:r>
    </w:p>
    <w:p w14:paraId="713086B5" w14:textId="77777777" w:rsidR="00D659C1" w:rsidRPr="00D659C1" w:rsidRDefault="00D659C1" w:rsidP="00D659C1">
      <w:pPr>
        <w:pStyle w:val="Heading3"/>
        <w:bidi/>
        <w:spacing w:line="360" w:lineRule="auto"/>
        <w:jc w:val="center"/>
        <w:rPr>
          <w:rFonts w:asciiTheme="majorBidi" w:eastAsia="Times New Roman" w:hAnsiTheme="majorBidi"/>
          <w:b/>
          <w:bCs/>
          <w:color w:val="000000"/>
          <w:sz w:val="24"/>
          <w:szCs w:val="24"/>
        </w:rPr>
      </w:pPr>
      <w:bookmarkStart w:id="0" w:name="_GoBack"/>
      <w:r w:rsidRPr="00D659C1">
        <w:rPr>
          <w:rFonts w:asciiTheme="majorBidi" w:eastAsia="Times New Roman" w:hAnsiTheme="majorBidi"/>
          <w:b/>
          <w:bCs/>
          <w:color w:val="000000"/>
          <w:sz w:val="24"/>
          <w:szCs w:val="24"/>
          <w:rtl/>
        </w:rPr>
        <w:t>خامساً: التوثيق والصياغة</w:t>
      </w:r>
    </w:p>
    <w:bookmarkEnd w:id="0"/>
    <w:p w14:paraId="378A0EFC" w14:textId="77777777" w:rsidR="00D659C1" w:rsidRDefault="00D659C1" w:rsidP="00D659C1">
      <w:pPr>
        <w:pStyle w:val="NormalWeb"/>
        <w:bidi/>
        <w:spacing w:line="360" w:lineRule="auto"/>
        <w:jc w:val="both"/>
        <w:rPr>
          <w:rFonts w:asciiTheme="majorBidi" w:hAnsiTheme="majorBidi" w:cstheme="majorBidi"/>
          <w:color w:val="000000"/>
        </w:rPr>
      </w:pPr>
      <w:r w:rsidRPr="00D659C1">
        <w:rPr>
          <w:rStyle w:val="Strong"/>
          <w:rFonts w:asciiTheme="majorBidi" w:hAnsiTheme="majorBidi" w:cstheme="majorBidi"/>
          <w:color w:val="000000"/>
          <w:rtl/>
        </w:rPr>
        <w:t>التاسعة والعشرون: أخطاء في المراجع والتوثيق</w:t>
      </w:r>
    </w:p>
    <w:p w14:paraId="6DACC437" w14:textId="466D98F0" w:rsidR="00D659C1" w:rsidRPr="00D659C1" w:rsidRDefault="00D659C1" w:rsidP="00D659C1">
      <w:pPr>
        <w:pStyle w:val="NormalWeb"/>
        <w:bidi/>
        <w:spacing w:line="360" w:lineRule="auto"/>
        <w:jc w:val="both"/>
        <w:rPr>
          <w:rFonts w:asciiTheme="majorBidi" w:hAnsiTheme="majorBidi" w:cstheme="majorBidi"/>
          <w:color w:val="000000"/>
        </w:rPr>
      </w:pPr>
      <w:r w:rsidRPr="00D659C1">
        <w:rPr>
          <w:rFonts w:asciiTheme="majorBidi" w:hAnsiTheme="majorBidi" w:cstheme="majorBidi"/>
          <w:color w:val="000000"/>
          <w:rtl/>
        </w:rPr>
        <w:lastRenderedPageBreak/>
        <w:t>يوجد عدم اتساق بين الإحالات وقائمة المراجع، مثل ترتيب اسمي</w:t>
      </w:r>
      <w:r w:rsidRPr="00D659C1">
        <w:rPr>
          <w:rFonts w:asciiTheme="majorBidi" w:hAnsiTheme="majorBidi" w:cstheme="majorBidi"/>
          <w:color w:val="000000"/>
        </w:rPr>
        <w:t xml:space="preserve"> </w:t>
      </w:r>
      <w:proofErr w:type="spellStart"/>
      <w:r w:rsidRPr="00D659C1">
        <w:rPr>
          <w:rFonts w:asciiTheme="majorBidi" w:hAnsiTheme="majorBidi" w:cstheme="majorBidi"/>
          <w:color w:val="000000"/>
        </w:rPr>
        <w:t>Etikan</w:t>
      </w:r>
      <w:proofErr w:type="spellEnd"/>
      <w:r w:rsidRPr="00D659C1">
        <w:rPr>
          <w:rFonts w:asciiTheme="majorBidi" w:hAnsiTheme="majorBidi" w:cstheme="majorBidi"/>
          <w:color w:val="000000"/>
        </w:rPr>
        <w:t xml:space="preserve"> </w:t>
      </w:r>
      <w:r w:rsidRPr="00D659C1">
        <w:rPr>
          <w:rFonts w:asciiTheme="majorBidi" w:hAnsiTheme="majorBidi" w:cstheme="majorBidi"/>
          <w:color w:val="000000"/>
          <w:rtl/>
        </w:rPr>
        <w:t>و</w:t>
      </w:r>
      <w:proofErr w:type="spellStart"/>
      <w:r w:rsidRPr="00D659C1">
        <w:rPr>
          <w:rFonts w:asciiTheme="majorBidi" w:hAnsiTheme="majorBidi" w:cstheme="majorBidi"/>
          <w:color w:val="000000"/>
        </w:rPr>
        <w:t>Bala</w:t>
      </w:r>
      <w:proofErr w:type="spellEnd"/>
      <w:r w:rsidRPr="00D659C1">
        <w:rPr>
          <w:rFonts w:asciiTheme="majorBidi" w:hAnsiTheme="majorBidi" w:cstheme="majorBidi"/>
          <w:color w:val="000000"/>
          <w:rtl/>
        </w:rPr>
        <w:t>، وذكر</w:t>
      </w:r>
      <w:r w:rsidRPr="00D659C1">
        <w:rPr>
          <w:rFonts w:asciiTheme="majorBidi" w:hAnsiTheme="majorBidi" w:cstheme="majorBidi"/>
          <w:color w:val="000000"/>
        </w:rPr>
        <w:t xml:space="preserve"> </w:t>
      </w:r>
      <w:proofErr w:type="spellStart"/>
      <w:r w:rsidRPr="00D659C1">
        <w:rPr>
          <w:rFonts w:asciiTheme="majorBidi" w:hAnsiTheme="majorBidi" w:cstheme="majorBidi"/>
          <w:color w:val="000000"/>
        </w:rPr>
        <w:t>Bougie</w:t>
      </w:r>
      <w:proofErr w:type="spellEnd"/>
      <w:r w:rsidRPr="00D659C1">
        <w:rPr>
          <w:rFonts w:asciiTheme="majorBidi" w:hAnsiTheme="majorBidi" w:cstheme="majorBidi"/>
          <w:color w:val="000000"/>
        </w:rPr>
        <w:t xml:space="preserve"> </w:t>
      </w:r>
      <w:r w:rsidRPr="00D659C1">
        <w:rPr>
          <w:rFonts w:asciiTheme="majorBidi" w:hAnsiTheme="majorBidi" w:cstheme="majorBidi"/>
          <w:color w:val="000000"/>
          <w:rtl/>
        </w:rPr>
        <w:t>في المتن وعدم ظهورها بوضوح في المرجع، إضافة إلى وجود روابط مشوهة وعدم توحيد طريقة كتابة أسماء المجلات والمجلدات والصفحات</w:t>
      </w:r>
      <w:r w:rsidRPr="00D659C1">
        <w:rPr>
          <w:rFonts w:asciiTheme="majorBidi" w:hAnsiTheme="majorBidi" w:cstheme="majorBidi"/>
          <w:color w:val="000000"/>
        </w:rPr>
        <w:t>.</w:t>
      </w:r>
    </w:p>
    <w:p w14:paraId="64CA793F" w14:textId="3C00AD7A" w:rsidR="0090259A" w:rsidRPr="00D659C1" w:rsidRDefault="0090259A" w:rsidP="00D659C1">
      <w:pPr>
        <w:bidi/>
        <w:spacing w:line="360" w:lineRule="auto"/>
        <w:jc w:val="both"/>
        <w:rPr>
          <w:rFonts w:asciiTheme="majorBidi" w:hAnsiTheme="majorBidi" w:cstheme="majorBidi"/>
          <w:sz w:val="24"/>
          <w:szCs w:val="24"/>
          <w:rtl/>
        </w:rPr>
      </w:pPr>
    </w:p>
    <w:sectPr w:rsidR="0090259A" w:rsidRPr="00D659C1" w:rsidSect="0048751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C088AB" w14:textId="77777777" w:rsidR="00EE0D1B" w:rsidRDefault="00EE0D1B">
      <w:pPr>
        <w:spacing w:after="0" w:line="240" w:lineRule="auto"/>
      </w:pPr>
      <w:r>
        <w:separator/>
      </w:r>
    </w:p>
  </w:endnote>
  <w:endnote w:type="continuationSeparator" w:id="0">
    <w:p w14:paraId="582E572D" w14:textId="77777777" w:rsidR="00EE0D1B" w:rsidRDefault="00EE0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73601"/>
      <w:docPartObj>
        <w:docPartGallery w:val="Page Numbers (Bottom of Page)"/>
        <w:docPartUnique/>
      </w:docPartObj>
    </w:sdtPr>
    <w:sdtEndPr>
      <w:rPr>
        <w:noProof/>
      </w:rPr>
    </w:sdtEndPr>
    <w:sdtContent>
      <w:p w14:paraId="7450E616" w14:textId="77777777" w:rsidR="006A2E70" w:rsidRDefault="006A2E70">
        <w:pPr>
          <w:pStyle w:val="Footer"/>
          <w:jc w:val="center"/>
        </w:pPr>
        <w:r>
          <w:fldChar w:fldCharType="begin"/>
        </w:r>
        <w:r>
          <w:instrText xml:space="preserve"> PAGE   \* MERGEFORMAT </w:instrText>
        </w:r>
        <w:r>
          <w:fldChar w:fldCharType="separate"/>
        </w:r>
        <w:r w:rsidR="00D659C1">
          <w:rPr>
            <w:noProof/>
          </w:rPr>
          <w:t>4</w:t>
        </w:r>
        <w:r>
          <w:rPr>
            <w:noProof/>
          </w:rPr>
          <w:fldChar w:fldCharType="end"/>
        </w:r>
      </w:p>
    </w:sdtContent>
  </w:sdt>
  <w:p w14:paraId="5E97C30A" w14:textId="77777777" w:rsidR="006A2E70" w:rsidRDefault="006A2E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DFFAD" w14:textId="77777777" w:rsidR="00EE0D1B" w:rsidRDefault="00EE0D1B">
      <w:pPr>
        <w:spacing w:after="0" w:line="240" w:lineRule="auto"/>
      </w:pPr>
      <w:r>
        <w:separator/>
      </w:r>
    </w:p>
  </w:footnote>
  <w:footnote w:type="continuationSeparator" w:id="0">
    <w:p w14:paraId="0C9DC033" w14:textId="77777777" w:rsidR="00EE0D1B" w:rsidRDefault="00EE0D1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050003"/>
    <w:multiLevelType w:val="multilevel"/>
    <w:tmpl w:val="650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224B66"/>
    <w:multiLevelType w:val="hybridMultilevel"/>
    <w:tmpl w:val="0E78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6A43CC"/>
    <w:multiLevelType w:val="multilevel"/>
    <w:tmpl w:val="477000B2"/>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D76466"/>
    <w:multiLevelType w:val="hybridMultilevel"/>
    <w:tmpl w:val="F24E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2"/>
  </w:num>
  <w:num w:numId="4">
    <w:abstractNumId w:val="19"/>
  </w:num>
  <w:num w:numId="5">
    <w:abstractNumId w:val="2"/>
  </w:num>
  <w:num w:numId="6">
    <w:abstractNumId w:val="9"/>
  </w:num>
  <w:num w:numId="7">
    <w:abstractNumId w:val="5"/>
  </w:num>
  <w:num w:numId="8">
    <w:abstractNumId w:val="24"/>
  </w:num>
  <w:num w:numId="9">
    <w:abstractNumId w:val="12"/>
  </w:num>
  <w:num w:numId="10">
    <w:abstractNumId w:val="0"/>
  </w:num>
  <w:num w:numId="11">
    <w:abstractNumId w:val="4"/>
  </w:num>
  <w:num w:numId="12">
    <w:abstractNumId w:val="21"/>
  </w:num>
  <w:num w:numId="13">
    <w:abstractNumId w:val="8"/>
  </w:num>
  <w:num w:numId="14">
    <w:abstractNumId w:val="23"/>
  </w:num>
  <w:num w:numId="15">
    <w:abstractNumId w:val="18"/>
  </w:num>
  <w:num w:numId="16">
    <w:abstractNumId w:val="1"/>
  </w:num>
  <w:num w:numId="17">
    <w:abstractNumId w:val="17"/>
  </w:num>
  <w:num w:numId="18">
    <w:abstractNumId w:val="11"/>
  </w:num>
  <w:num w:numId="19">
    <w:abstractNumId w:val="20"/>
  </w:num>
  <w:num w:numId="20">
    <w:abstractNumId w:val="10"/>
  </w:num>
  <w:num w:numId="21">
    <w:abstractNumId w:val="13"/>
  </w:num>
  <w:num w:numId="22">
    <w:abstractNumId w:val="15"/>
  </w:num>
  <w:num w:numId="23">
    <w:abstractNumId w:val="14"/>
  </w:num>
  <w:num w:numId="24">
    <w:abstractNumId w:val="25"/>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84B"/>
    <w:rsid w:val="000259C3"/>
    <w:rsid w:val="000406E1"/>
    <w:rsid w:val="00057224"/>
    <w:rsid w:val="00057390"/>
    <w:rsid w:val="00063A93"/>
    <w:rsid w:val="00094A15"/>
    <w:rsid w:val="000E5679"/>
    <w:rsid w:val="000E72B9"/>
    <w:rsid w:val="00117B84"/>
    <w:rsid w:val="0013066F"/>
    <w:rsid w:val="00130FC6"/>
    <w:rsid w:val="00137B3B"/>
    <w:rsid w:val="00144CC4"/>
    <w:rsid w:val="00197228"/>
    <w:rsid w:val="001A7D68"/>
    <w:rsid w:val="001B3155"/>
    <w:rsid w:val="00202AFD"/>
    <w:rsid w:val="00206B3F"/>
    <w:rsid w:val="002265B2"/>
    <w:rsid w:val="00235F9B"/>
    <w:rsid w:val="002450AC"/>
    <w:rsid w:val="00252082"/>
    <w:rsid w:val="00267FE8"/>
    <w:rsid w:val="00286260"/>
    <w:rsid w:val="002A6A74"/>
    <w:rsid w:val="002A6F9E"/>
    <w:rsid w:val="002B1E31"/>
    <w:rsid w:val="002E2988"/>
    <w:rsid w:val="002F31E0"/>
    <w:rsid w:val="002F4DFE"/>
    <w:rsid w:val="003570B0"/>
    <w:rsid w:val="00372133"/>
    <w:rsid w:val="0038473F"/>
    <w:rsid w:val="003C64B0"/>
    <w:rsid w:val="003F0047"/>
    <w:rsid w:val="0042670A"/>
    <w:rsid w:val="004553F9"/>
    <w:rsid w:val="0046623A"/>
    <w:rsid w:val="0048751C"/>
    <w:rsid w:val="004A0A2E"/>
    <w:rsid w:val="004C33C9"/>
    <w:rsid w:val="004E0C0B"/>
    <w:rsid w:val="005050B7"/>
    <w:rsid w:val="005617FB"/>
    <w:rsid w:val="00581D0A"/>
    <w:rsid w:val="005B7750"/>
    <w:rsid w:val="005D684B"/>
    <w:rsid w:val="005E2ABD"/>
    <w:rsid w:val="005E3FCF"/>
    <w:rsid w:val="00602942"/>
    <w:rsid w:val="0061595F"/>
    <w:rsid w:val="00694ED8"/>
    <w:rsid w:val="006A2E70"/>
    <w:rsid w:val="006F48BF"/>
    <w:rsid w:val="006F5668"/>
    <w:rsid w:val="00720953"/>
    <w:rsid w:val="00727588"/>
    <w:rsid w:val="007330D8"/>
    <w:rsid w:val="00742030"/>
    <w:rsid w:val="0076156D"/>
    <w:rsid w:val="00791C39"/>
    <w:rsid w:val="007A6BF5"/>
    <w:rsid w:val="00801D40"/>
    <w:rsid w:val="00812129"/>
    <w:rsid w:val="00830050"/>
    <w:rsid w:val="0088508C"/>
    <w:rsid w:val="00887924"/>
    <w:rsid w:val="008F3D67"/>
    <w:rsid w:val="008F69CF"/>
    <w:rsid w:val="0090127F"/>
    <w:rsid w:val="0090259A"/>
    <w:rsid w:val="00907458"/>
    <w:rsid w:val="00917B5A"/>
    <w:rsid w:val="0094457A"/>
    <w:rsid w:val="009450E4"/>
    <w:rsid w:val="00950260"/>
    <w:rsid w:val="0099716B"/>
    <w:rsid w:val="009B4B26"/>
    <w:rsid w:val="009F4125"/>
    <w:rsid w:val="009F7331"/>
    <w:rsid w:val="00A0386E"/>
    <w:rsid w:val="00A1165D"/>
    <w:rsid w:val="00A71409"/>
    <w:rsid w:val="00A85296"/>
    <w:rsid w:val="00A933EF"/>
    <w:rsid w:val="00AC2C89"/>
    <w:rsid w:val="00AE394B"/>
    <w:rsid w:val="00AF505F"/>
    <w:rsid w:val="00AF6B65"/>
    <w:rsid w:val="00B52242"/>
    <w:rsid w:val="00B663D4"/>
    <w:rsid w:val="00B804CF"/>
    <w:rsid w:val="00B94435"/>
    <w:rsid w:val="00BB70EF"/>
    <w:rsid w:val="00BE5127"/>
    <w:rsid w:val="00C26D6C"/>
    <w:rsid w:val="00C337D7"/>
    <w:rsid w:val="00C448D9"/>
    <w:rsid w:val="00C80DAC"/>
    <w:rsid w:val="00CB2159"/>
    <w:rsid w:val="00CE066D"/>
    <w:rsid w:val="00CE7982"/>
    <w:rsid w:val="00D30C19"/>
    <w:rsid w:val="00D321AB"/>
    <w:rsid w:val="00D42C46"/>
    <w:rsid w:val="00D45C4B"/>
    <w:rsid w:val="00D6132D"/>
    <w:rsid w:val="00D659C1"/>
    <w:rsid w:val="00D74D18"/>
    <w:rsid w:val="00D81CB0"/>
    <w:rsid w:val="00D849B5"/>
    <w:rsid w:val="00DD440A"/>
    <w:rsid w:val="00DE2F71"/>
    <w:rsid w:val="00E27801"/>
    <w:rsid w:val="00E27D71"/>
    <w:rsid w:val="00E461E3"/>
    <w:rsid w:val="00E50E11"/>
    <w:rsid w:val="00E70164"/>
    <w:rsid w:val="00E70EFC"/>
    <w:rsid w:val="00E77D96"/>
    <w:rsid w:val="00EA1603"/>
    <w:rsid w:val="00EB35F4"/>
    <w:rsid w:val="00EC5F97"/>
    <w:rsid w:val="00ED3557"/>
    <w:rsid w:val="00EE0D1B"/>
    <w:rsid w:val="00F324FA"/>
    <w:rsid w:val="00F62D1F"/>
    <w:rsid w:val="00F703B7"/>
    <w:rsid w:val="00F93775"/>
    <w:rsid w:val="00FD6D47"/>
    <w:rsid w:val="00FF3A2A"/>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51C"/>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8751C"/>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8751C"/>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8751C"/>
    <w:pPr>
      <w:keepNext/>
      <w:keepLines/>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8751C"/>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8751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8751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8751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8751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988"/>
    <w:pPr>
      <w:ind w:left="720"/>
      <w:contextualSpacing/>
    </w:pPr>
  </w:style>
  <w:style w:type="paragraph" w:styleId="NormalWeb">
    <w:name w:val="Normal (Web)"/>
    <w:basedOn w:val="Normal"/>
    <w:uiPriority w:val="99"/>
    <w:semiHidden/>
    <w:unhideWhenUsed/>
    <w:rsid w:val="00E27D71"/>
    <w:rPr>
      <w:rFonts w:ascii="Times New Roman" w:hAnsi="Times New Roman" w:cs="Times New Roman"/>
      <w:sz w:val="24"/>
      <w:szCs w:val="24"/>
    </w:rPr>
  </w:style>
  <w:style w:type="paragraph" w:styleId="Footer">
    <w:name w:val="footer"/>
    <w:basedOn w:val="Normal"/>
    <w:link w:val="Footer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6A2E70"/>
    <w:rPr>
      <w:kern w:val="2"/>
      <w:sz w:val="24"/>
      <w:szCs w:val="24"/>
      <w14:ligatures w14:val="standardContextual"/>
    </w:rPr>
  </w:style>
  <w:style w:type="table" w:styleId="PlainTable1">
    <w:name w:val="Plain Table 1"/>
    <w:basedOn w:val="TableNormal"/>
    <w:uiPriority w:val="41"/>
    <w:rsid w:val="00AF505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F5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F505F"/>
    <w:rPr>
      <w:color w:val="0563C1" w:themeColor="hyperlink"/>
      <w:u w:val="single"/>
    </w:rPr>
  </w:style>
  <w:style w:type="character" w:customStyle="1" w:styleId="Heading1Char">
    <w:name w:val="Heading 1 Char"/>
    <w:basedOn w:val="DefaultParagraphFont"/>
    <w:link w:val="Heading1"/>
    <w:uiPriority w:val="9"/>
    <w:rsid w:val="0048751C"/>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8751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48751C"/>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8751C"/>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48751C"/>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48751C"/>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48751C"/>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48751C"/>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48751C"/>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48751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8751C"/>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8751C"/>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8751C"/>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8751C"/>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8751C"/>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48751C"/>
    <w:rPr>
      <w:i/>
      <w:iCs/>
      <w:color w:val="2E74B5" w:themeColor="accent1" w:themeShade="BF"/>
    </w:rPr>
  </w:style>
  <w:style w:type="paragraph" w:styleId="IntenseQuote">
    <w:name w:val="Intense Quote"/>
    <w:basedOn w:val="Normal"/>
    <w:next w:val="Normal"/>
    <w:link w:val="IntenseQuoteChar"/>
    <w:uiPriority w:val="30"/>
    <w:qFormat/>
    <w:rsid w:val="0048751C"/>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8751C"/>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48751C"/>
    <w:rPr>
      <w:b/>
      <w:bCs/>
      <w:smallCaps/>
      <w:color w:val="2E74B5" w:themeColor="accent1" w:themeShade="BF"/>
      <w:spacing w:val="5"/>
    </w:rPr>
  </w:style>
  <w:style w:type="character" w:customStyle="1" w:styleId="UnresolvedMention">
    <w:name w:val="Unresolved Mention"/>
    <w:basedOn w:val="DefaultParagraphFont"/>
    <w:uiPriority w:val="99"/>
    <w:semiHidden/>
    <w:unhideWhenUsed/>
    <w:rsid w:val="0048751C"/>
    <w:rPr>
      <w:color w:val="605E5C"/>
      <w:shd w:val="clear" w:color="auto" w:fill="E1DFDD"/>
    </w:rPr>
  </w:style>
  <w:style w:type="character" w:styleId="FollowedHyperlink">
    <w:name w:val="FollowedHyperlink"/>
    <w:basedOn w:val="DefaultParagraphFont"/>
    <w:uiPriority w:val="99"/>
    <w:semiHidden/>
    <w:unhideWhenUsed/>
    <w:rsid w:val="0048751C"/>
    <w:rPr>
      <w:color w:val="954F72" w:themeColor="followedHyperlink"/>
      <w:u w:val="single"/>
    </w:rPr>
  </w:style>
  <w:style w:type="character" w:styleId="Strong">
    <w:name w:val="Strong"/>
    <w:basedOn w:val="DefaultParagraphFont"/>
    <w:uiPriority w:val="22"/>
    <w:qFormat/>
    <w:rsid w:val="00D659C1"/>
    <w:rPr>
      <w:b/>
      <w:bCs/>
    </w:rPr>
  </w:style>
  <w:style w:type="character" w:customStyle="1" w:styleId="apple-converted-space">
    <w:name w:val="apple-converted-space"/>
    <w:basedOn w:val="DefaultParagraphFont"/>
    <w:rsid w:val="00D659C1"/>
  </w:style>
  <w:style w:type="paragraph" w:customStyle="1" w:styleId="pdq2pgselectionanchorcontainer">
    <w:name w:val="pdq2pg_selectionanchorcontainer"/>
    <w:basedOn w:val="Normal"/>
    <w:rsid w:val="00D659C1"/>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527067131">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1141</Words>
  <Characters>6510</Characters>
  <Application>Microsoft Macintosh Word</Application>
  <DocSecurity>0</DocSecurity>
  <Lines>54</Lines>
  <Paragraphs>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Microsoft Office User</cp:lastModifiedBy>
  <cp:revision>3</cp:revision>
  <cp:lastPrinted>2026-03-01T01:42:00Z</cp:lastPrinted>
  <dcterms:created xsi:type="dcterms:W3CDTF">2026-07-25T09:01:00Z</dcterms:created>
  <dcterms:modified xsi:type="dcterms:W3CDTF">2026-07-29T09:34:00Z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