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63" w:beforeAutospacing="0" w:after="0" w:afterAutospacing="0" w:line="240" w:lineRule="auto"/>
        <w:ind w:left="3884" w:right="0" w:firstLine="0"/>
        <w:contextualSpacing w:val="0"/>
        <w:jc w:val="right"/>
        <w:textAlignment w:val="auto"/>
        <w:outlineLvl w:val="9"/>
        <w:rPr>
          <w:rFonts w:ascii="DejaVu Math TeX Gyre" w:eastAsia="DejaVu Math TeX Gyre" w:hAnsi="DejaVu Math TeX Gyre"/>
          <w:caps w:val="0"/>
          <w:smallCaps w:val="0"/>
          <w:snapToGrid/>
          <w:vanish w:val="0"/>
          <w:color w:val="auto"/>
          <w:sz w:val="28"/>
          <w:szCs w:val="28"/>
          <w:vertAlign w:val="baseline"/>
        </w:rPr>
      </w:pPr>
      <w:r>
        <w:rPr>
          <w:snapToGrid/>
          <w:vanish w:val="0"/>
        </w:rPr>
        <w:drawing>
          <wp:inline distT="0" distB="0" distL="114298" distR="114298">
            <wp:extent cx="1542028" cy="1429828"/>
            <wp:effectExtent l="0" t="0" r="0" b="0"/>
            <wp:docPr id="1" name="الصور 1"/>
            <wp:cNvGraphicFramePr>
              <a:graphicFrameLocks noChangeAspect="1"/>
            </wp:cNvGraphicFramePr>
            <a:graphic>
              <a:graphicData uri="http://schemas.openxmlformats.org/drawingml/2006/picture">
                <pic:pic>
                  <pic:nvPicPr>
                    <pic:cNvPr id="3" name="الصور 3"/>
                    <pic:cNvPicPr/>
                  </pic:nvPicPr>
                  <pic:blipFill>
                    <a:blip r:embed="rId2"/>
                    <a:stretch>
                      <a:fillRect/>
                    </a:stretch>
                  </pic:blipFill>
                  <pic:spPr>
                    <a:xfrm rot="0">
                      <a:off x="0" y="0"/>
                      <a:ext cx="1542028" cy="1429828"/>
                    </a:xfrm>
                    <a:prstGeom prst="rect"/>
                    <a:noFill/>
                    <a:ln w="12700" cmpd="sng" cap="flat">
                      <a:noFill/>
                      <a:prstDash val="solid"/>
                      <a:miter/>
                    </a:ln>
                  </pic:spPr>
                </pic:pic>
              </a:graphicData>
            </a:graphic>
          </wp:inline>
        </w:drawing>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85" w:beforeAutospacing="0" w:after="0" w:afterAutospacing="0" w:line="360" w:lineRule="auto"/>
        <w:ind w:left="2073" w:right="3091"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r>
        <w:rPr>
          <w:rFonts w:ascii="DejaVu Math TeX Gyre" w:eastAsia="DejaVu Math TeX Gyre" w:hAnsi="DejaVu Math TeX Gyre"/>
          <w:caps w:val="0"/>
          <w:smallCaps w:val="0"/>
          <w:snapToGrid/>
          <w:vanish w:val="0"/>
          <w:color w:val="auto"/>
          <w:sz w:val="28"/>
          <w:szCs w:val="28"/>
          <w:vertAlign w:val="baseline"/>
        </w:rPr>
        <w:t xml:space="preserve">University of Midocean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85" w:beforeAutospacing="0" w:after="0" w:afterAutospacing="0" w:line="360" w:lineRule="auto"/>
        <w:ind w:left="2073" w:right="3091"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r>
        <w:rPr>
          <w:rFonts w:ascii="DejaVu Math TeX Gyre" w:eastAsia="DejaVu Math TeX Gyre" w:hAnsi="DejaVu Math TeX Gyre"/>
          <w:caps w:val="0"/>
          <w:smallCaps w:val="0"/>
          <w:snapToGrid/>
          <w:vanish w:val="0"/>
          <w:color w:val="auto"/>
          <w:sz w:val="28"/>
          <w:szCs w:val="28"/>
          <w:vertAlign w:val="baseline"/>
        </w:rPr>
        <w:t>Faculty of Administration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4" w:beforeAutospacing="0" w:after="0" w:afterAutospacing="0" w:line="360" w:lineRule="auto"/>
        <w:ind w:left="0" w:right="139" w:firstLine="0"/>
        <w:contextualSpacing w:val="0"/>
        <w:jc w:val="center"/>
        <w:textAlignment w:val="auto"/>
        <w:outlineLvl w:val="9"/>
        <w:rPr>
          <w:rFonts w:ascii="DejaVu Math TeX Gyre" w:eastAsia="DejaVu Math TeX Gyre" w:hAnsi="DejaVu Math TeX Gyre"/>
          <w:caps w:val="0"/>
          <w:smallCaps w:val="0"/>
          <w:snapToGrid/>
          <w:vanish w:val="0"/>
          <w:color w:val="auto"/>
          <w:sz w:val="28"/>
          <w:szCs w:val="28"/>
          <w:vertAlign w:val="baseline"/>
        </w:rPr>
      </w:pPr>
      <w:r>
        <w:rPr>
          <w:rFonts w:ascii="DejaVu Math TeX Gyre" w:eastAsia="DejaVu Math TeX Gyre" w:hAnsi="DejaVu Math TeX Gyre"/>
          <w:caps w:val="0"/>
          <w:smallCaps w:val="0"/>
          <w:snapToGrid/>
          <w:vanish w:val="0"/>
          <w:color w:val="auto"/>
          <w:sz w:val="28"/>
          <w:szCs w:val="28"/>
          <w:vertAlign w:val="baseline"/>
        </w:rPr>
        <w:t>Department of Health Administration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4" w:beforeAutospacing="0" w:after="0" w:afterAutospacing="0" w:line="360" w:lineRule="auto"/>
        <w:ind w:left="0" w:right="139"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218"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0"/>
          <w:szCs w:val="20"/>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0"/>
          <w:szCs w:val="20"/>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both"/>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caps w:val="0"/>
          <w:smallCaps w:val="0"/>
          <w:snapToGrid/>
          <w:vanish w:val="0"/>
          <w:color w:val="auto"/>
          <w:sz w:val="30"/>
          <w:szCs w:val="30"/>
          <w:vertAlign w:val="baseline"/>
        </w:rPr>
      </w:pPr>
      <w:r>
        <w:rPr>
          <w:rFonts w:ascii="DejaVu Math TeX Gyre" w:eastAsia="DejaVu Math TeX Gyre" w:hAnsi="DejaVu Math TeX Gyre"/>
          <w:caps w:val="0"/>
          <w:smallCaps w:val="0"/>
          <w:snapToGrid/>
          <w:vanish w:val="0"/>
          <w:color w:val="auto"/>
          <w:sz w:val="30"/>
          <w:szCs w:val="30"/>
          <w:vertAlign w:val="baseline"/>
        </w:rPr>
        <w:t>Research title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0"/>
          <w:szCs w:val="20"/>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Chars="350" w:firstLine="1400"/>
        <w:contextualSpacing w:val="0"/>
        <w:jc w:val="center"/>
        <w:textAlignment w:val="auto"/>
        <w:outlineLvl w:val="9"/>
        <w:rPr>
          <w:rFonts w:ascii="DejaVu Math TeX Gyre" w:eastAsia="DejaVu Math TeX Gyre" w:hAnsi="DejaVu Math TeX Gyre"/>
          <w:b/>
          <w:bCs/>
          <w:caps w:val="0"/>
          <w:smallCaps w:val="0"/>
          <w:snapToGrid/>
          <w:vanish w:val="0"/>
          <w:color w:val="000000"/>
          <w:sz w:val="40"/>
          <w:szCs w:val="40"/>
          <w:u w:val="single"/>
          <w:vertAlign w:val="baseline"/>
        </w:rPr>
      </w:pPr>
      <w:r>
        <w:rPr>
          <w:rFonts w:ascii="DejaVu Math TeX Gyre" w:eastAsia="DejaVu Math TeX Gyre" w:hAnsi="DejaVu Math TeX Gyre"/>
          <w:b/>
          <w:bCs/>
          <w:caps w:val="0"/>
          <w:smallCaps w:val="0"/>
          <w:snapToGrid/>
          <w:vanish w:val="0"/>
          <w:color w:val="000000"/>
          <w:sz w:val="40"/>
          <w:szCs w:val="40"/>
          <w:vertAlign w:val="baseline"/>
        </w:rPr>
        <w:t xml:space="preserve">             </w:t>
      </w:r>
      <w:r>
        <w:rPr>
          <w:rFonts w:ascii="DejaVu Math TeX Gyre" w:eastAsia="DejaVu Math TeX Gyre" w:hAnsi="DejaVu Math TeX Gyre"/>
          <w:b/>
          <w:bCs/>
          <w:caps w:val="0"/>
          <w:smallCaps w:val="0"/>
          <w:snapToGrid/>
          <w:vanish w:val="0"/>
          <w:color w:val="000000"/>
          <w:sz w:val="40"/>
          <w:szCs w:val="40"/>
          <w:u w:val="single"/>
          <w:vertAlign w:val="baseline"/>
        </w:rPr>
        <w:t>Knowledge, Attitudes, and Barriers toward Implementing CBAHI standards among  Dental Practitioners in Saudi Arabia</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000000"/>
          <w:sz w:val="40"/>
          <w:szCs w:val="40"/>
          <w:u w:val="single"/>
          <w:vertAlign w:val="baseline"/>
        </w:rPr>
      </w:pPr>
      <w:r>
        <w:rPr>
          <w:rFonts w:ascii="DejaVu Math TeX Gyre" w:eastAsia="DejaVu Math TeX Gyre" w:hAnsi="DejaVu Math TeX Gyre"/>
          <w:b/>
          <w:bCs/>
          <w:caps w:val="0"/>
          <w:smallCaps w:val="0"/>
          <w:snapToGrid/>
          <w:vanish w:val="0"/>
          <w:color w:val="000000"/>
          <w:sz w:val="40"/>
          <w:szCs w:val="40"/>
          <w:vertAlign w:val="baseline"/>
        </w:rPr>
        <w:t xml:space="preserve">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125"/>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139" w:firstLine="0"/>
        <w:contextualSpacing w:val="0"/>
        <w:jc w:val="center"/>
        <w:textAlignment w:val="auto"/>
        <w:outlineLvl w:val="3"/>
        <w:rPr>
          <w:rFonts w:ascii="DejaVu Math TeX Gyre" w:eastAsia="DejaVu Math TeX Gyre" w:hAnsi="DejaVu Math TeX Gyre"/>
          <w:b w:val="0"/>
          <w:bCs w:val="0"/>
          <w:caps w:val="0"/>
          <w:smallCaps w:val="0"/>
          <w:snapToGrid/>
          <w:vanish w:val="0"/>
          <w:color w:val="auto"/>
          <w:spacing w:val="-5"/>
          <w:sz w:val="30"/>
          <w:szCs w:val="30"/>
          <w:vertAlign w:val="baseline"/>
        </w:rPr>
      </w:pPr>
      <w:r>
        <w:rPr>
          <w:rFonts w:ascii="DejaVu Math TeX Gyre" w:eastAsia="DejaVu Math TeX Gyre" w:hAnsi="DejaVu Math TeX Gyre"/>
          <w:b w:val="0"/>
          <w:bCs w:val="0"/>
          <w:caps w:val="0"/>
          <w:smallCaps w:val="0"/>
          <w:snapToGrid/>
          <w:vanish w:val="0"/>
          <w:color w:val="auto"/>
          <w:spacing w:val="-5"/>
          <w:sz w:val="30"/>
          <w:szCs w:val="30"/>
          <w:vertAlign w:val="baseline"/>
        </w:rPr>
        <w:t>By the student :</w:t>
      </w:r>
    </w:p>
    <w:p>
      <w:pPr>
        <w:pStyle w:val="125"/>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139" w:firstLine="0"/>
        <w:contextualSpacing w:val="0"/>
        <w:jc w:val="center"/>
        <w:textAlignment w:val="auto"/>
        <w:outlineLvl w:val="3"/>
        <w:rPr>
          <w:rFonts w:ascii="DejaVu Math TeX Gyre" w:eastAsia="DejaVu Math TeX Gyre" w:hAnsi="DejaVu Math TeX Gyre"/>
          <w:b w:val="0"/>
          <w:bCs w:val="0"/>
          <w:caps w:val="0"/>
          <w:smallCaps w:val="0"/>
          <w:snapToGrid/>
          <w:vanish w:val="0"/>
          <w:color w:val="auto"/>
          <w:spacing w:val="-5"/>
          <w:sz w:val="30"/>
          <w:szCs w:val="30"/>
          <w:vertAlign w:val="baseline"/>
        </w:rPr>
      </w:pPr>
    </w:p>
    <w:p>
      <w:pPr>
        <w:pStyle w:val="125"/>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139" w:firstLine="0"/>
        <w:contextualSpacing w:val="0"/>
        <w:jc w:val="center"/>
        <w:textAlignment w:val="auto"/>
        <w:outlineLvl w:val="3"/>
        <w:rPr>
          <w:rFonts w:ascii="DejaVu Math TeX Gyre" w:eastAsia="DejaVu Math TeX Gyre" w:hAnsi="DejaVu Math TeX Gyre"/>
          <w:caps w:val="0"/>
          <w:smallCaps w:val="0"/>
          <w:snapToGrid/>
          <w:vanish w:val="0"/>
          <w:color w:val="auto"/>
          <w:sz w:val="40"/>
          <w:szCs w:val="40"/>
          <w:vertAlign w:val="baseline"/>
        </w:rPr>
      </w:pPr>
      <w:r>
        <w:rPr>
          <w:rFonts w:ascii="DejaVu Math TeX Gyre" w:eastAsia="DejaVu Math TeX Gyre" w:hAnsi="DejaVu Math TeX Gyre"/>
          <w:caps w:val="0"/>
          <w:smallCaps w:val="0"/>
          <w:snapToGrid/>
          <w:vanish w:val="0"/>
          <w:color w:val="auto"/>
          <w:spacing w:val="-5"/>
          <w:sz w:val="40"/>
          <w:szCs w:val="40"/>
          <w:vertAlign w:val="baseline"/>
        </w:rPr>
        <w:t>E</w:t>
      </w:r>
      <w:r>
        <w:rPr>
          <w:rFonts w:ascii="DejaVu Math TeX Gyre" w:eastAsia="DejaVu Math TeX Gyre" w:hAnsi="DejaVu Math TeX Gyre"/>
          <w:b/>
          <w:bCs/>
          <w:caps w:val="0"/>
          <w:smallCaps w:val="0"/>
          <w:snapToGrid/>
          <w:vanish w:val="0"/>
          <w:color w:val="auto"/>
          <w:sz w:val="40"/>
          <w:szCs w:val="40"/>
          <w:vertAlign w:val="baseline"/>
        </w:rPr>
        <w:t>LAF MOHAMMAD SALIH AHMED</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8" w:lineRule="auto"/>
        <w:ind w:left="1968" w:right="2112" w:firstLine="0"/>
        <w:contextualSpacing w:val="0"/>
        <w:jc w:val="center"/>
        <w:textAlignment w:val="auto"/>
        <w:outlineLvl w:val="9"/>
        <w:rPr>
          <w:rFonts w:ascii="DejaVu Math TeX Gyre" w:eastAsia="DejaVu Math TeX Gyre" w:hAnsi="DejaVu Math TeX Gyre"/>
          <w:b/>
          <w:bCs/>
          <w:caps w:val="0"/>
          <w:smallCaps w:val="0"/>
          <w:snapToGrid/>
          <w:vanish w:val="0"/>
          <w:color w:val="000000"/>
          <w:sz w:val="24"/>
          <w:szCs w:val="24"/>
          <w:u w:val="single"/>
          <w:vertAlign w:val="baseline"/>
        </w:rPr>
      </w:pPr>
      <w:r>
        <w:rPr>
          <w:rFonts w:ascii="DejaVu Math TeX Gyre" w:eastAsia="DejaVu Math TeX Gyre" w:hAnsi="DejaVu Math TeX Gyre"/>
          <w:b/>
          <w:bCs/>
          <w:caps w:val="0"/>
          <w:smallCaps w:val="0"/>
          <w:snapToGrid/>
          <w:vanish w:val="0"/>
          <w:color w:val="auto"/>
          <w:sz w:val="30"/>
          <w:szCs w:val="30"/>
          <w:vertAlign w:val="baseline"/>
        </w:rPr>
        <w:t xml:space="preserve"> </w:t>
      </w:r>
      <w:r>
        <w:rPr>
          <w:rFonts w:ascii="DejaVu Math TeX Gyre" w:eastAsia="DejaVu Math TeX Gyre" w:hAnsi="DejaVu Math TeX Gyre"/>
          <w:b/>
          <w:bCs/>
          <w:caps w:val="0"/>
          <w:smallCaps w:val="0"/>
          <w:snapToGrid/>
          <w:vanish w:val="0"/>
          <w:color w:val="000000"/>
          <w:sz w:val="30"/>
          <w:szCs w:val="30"/>
          <w:vertAlign w:val="baseline"/>
        </w:rPr>
        <w:t>ID number</w:t>
      </w:r>
      <w:r>
        <w:rPr>
          <w:rFonts w:ascii="DejaVu Math TeX Gyre" w:eastAsia="DejaVu Math TeX Gyre" w:hAnsi="DejaVu Math TeX Gyre"/>
          <w:b/>
          <w:bCs/>
          <w:caps w:val="0"/>
          <w:smallCaps w:val="0"/>
          <w:snapToGrid/>
          <w:vanish w:val="0"/>
          <w:color w:val="000000"/>
          <w:sz w:val="24"/>
          <w:szCs w:val="24"/>
          <w:vertAlign w:val="baseline"/>
        </w:rPr>
        <w:t xml:space="preserve">: </w:t>
      </w:r>
      <w:r>
        <w:rPr>
          <w:rFonts w:ascii="DejaVu Math TeX Gyre" w:eastAsia="DejaVu Math TeX Gyre" w:hAnsi="DejaVu Math TeX Gyre"/>
          <w:b/>
          <w:bCs/>
          <w:caps w:val="0"/>
          <w:smallCaps w:val="0"/>
          <w:snapToGrid/>
          <w:vanish w:val="0"/>
          <w:color w:val="auto"/>
          <w:sz w:val="24"/>
          <w:szCs w:val="24"/>
          <w:vertAlign w:val="baseline"/>
        </w:rPr>
        <w:t xml:space="preserve">251002213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92"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125"/>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2953" w:right="3093" w:firstLine="0"/>
        <w:contextualSpacing w:val="0"/>
        <w:jc w:val="center"/>
        <w:textAlignment w:val="auto"/>
        <w:outlineLvl w:val="3"/>
        <w:rPr>
          <w:rFonts w:ascii="DejaVu Math TeX Gyre" w:eastAsia="DejaVu Math TeX Gyre" w:hAnsi="DejaVu Math TeX Gyre"/>
          <w:caps w:val="0"/>
          <w:smallCaps w:val="0"/>
          <w:snapToGrid/>
          <w:vanish w:val="0"/>
          <w:color w:val="auto"/>
          <w:spacing w:val="-2"/>
          <w:sz w:val="24"/>
          <w:szCs w:val="24"/>
          <w:vertAlign w:val="baseline"/>
        </w:rPr>
      </w:pPr>
      <w:r>
        <w:rPr>
          <w:rFonts w:ascii="DejaVu Math TeX Gyre" w:eastAsia="DejaVu Math TeX Gyre" w:hAnsi="DejaVu Math TeX Gyre"/>
          <w:b w:val="0"/>
          <w:bCs w:val="0"/>
          <w:caps w:val="0"/>
          <w:smallCaps w:val="0"/>
          <w:snapToGrid/>
          <w:vanish w:val="0"/>
          <w:color w:val="auto"/>
          <w:spacing w:val="-2"/>
          <w:sz w:val="30"/>
          <w:szCs w:val="30"/>
          <w:vertAlign w:val="baseline"/>
        </w:rPr>
        <w:t>Supervisors</w:t>
      </w:r>
      <w:r>
        <w:rPr>
          <w:rFonts w:ascii="DejaVu Math TeX Gyre" w:eastAsia="DejaVu Math TeX Gyre" w:hAnsi="DejaVu Math TeX Gyre"/>
          <w:caps w:val="0"/>
          <w:smallCaps w:val="0"/>
          <w:snapToGrid/>
          <w:vanish w:val="0"/>
          <w:color w:val="auto"/>
          <w:spacing w:val="-2"/>
          <w:sz w:val="24"/>
          <w:szCs w:val="24"/>
          <w:vertAlign w:val="baseline"/>
        </w:rPr>
        <w:t>:</w:t>
      </w:r>
    </w:p>
    <w:p>
      <w:pPr>
        <w:pStyle w:val="125"/>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2953" w:right="3093" w:firstLine="0"/>
        <w:contextualSpacing w:val="0"/>
        <w:jc w:val="center"/>
        <w:textAlignment w:val="auto"/>
        <w:outlineLvl w:val="3"/>
        <w:rPr>
          <w:rFonts w:ascii="DejaVu Math TeX Gyre" w:eastAsia="DejaVu Math TeX Gyre" w:hAnsi="DejaVu Math TeX Gyre"/>
          <w:caps w:val="0"/>
          <w:smallCaps w:val="0"/>
          <w:snapToGrid/>
          <w:vanish w:val="0"/>
          <w:color w:val="auto"/>
          <w:spacing w:val="-2"/>
          <w:sz w:val="28"/>
          <w:szCs w:val="28"/>
          <w:vertAlign w:val="baseline"/>
        </w:rPr>
      </w:pPr>
      <w:r>
        <w:rPr>
          <w:rFonts w:ascii="DejaVu Math TeX Gyre" w:eastAsia="DejaVu Math TeX Gyre" w:hAnsi="DejaVu Math TeX Gyre"/>
          <w:caps w:val="0"/>
          <w:smallCaps w:val="0"/>
          <w:snapToGrid/>
          <w:vanish w:val="0"/>
          <w:color w:val="auto"/>
          <w:spacing w:val="-2"/>
          <w:sz w:val="28"/>
          <w:szCs w:val="28"/>
          <w:vertAlign w:val="baseline"/>
        </w:rPr>
        <w:t>Dr.Alfaysal Abdalhamed</w:t>
      </w:r>
    </w:p>
    <w:p>
      <w:pPr>
        <w:pStyle w:val="125"/>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2953" w:right="3093" w:firstLine="0"/>
        <w:contextualSpacing w:val="0"/>
        <w:jc w:val="center"/>
        <w:textAlignment w:val="auto"/>
        <w:outlineLvl w:val="3"/>
        <w:rPr>
          <w:rFonts w:ascii="DejaVu Math TeX Gyre" w:eastAsia="DejaVu Math TeX Gyre" w:hAnsi="DejaVu Math TeX Gyre"/>
          <w:caps w:val="0"/>
          <w:smallCaps w:val="0"/>
          <w:snapToGrid/>
          <w:vanish w:val="0"/>
          <w:color w:val="auto"/>
          <w:spacing w:val="-2"/>
          <w:sz w:val="28"/>
          <w:szCs w:val="28"/>
          <w:vertAlign w:val="baseline"/>
        </w:rPr>
      </w:pPr>
      <w:r>
        <w:rPr>
          <w:rFonts w:ascii="DejaVu Math TeX Gyre" w:eastAsia="DejaVu Math TeX Gyre" w:hAnsi="DejaVu Math TeX Gyre"/>
          <w:caps w:val="0"/>
          <w:smallCaps w:val="0"/>
          <w:snapToGrid/>
          <w:vanish w:val="0"/>
          <w:color w:val="auto"/>
          <w:spacing w:val="-2"/>
          <w:sz w:val="28"/>
          <w:szCs w:val="28"/>
          <w:vertAlign w:val="baseline"/>
        </w:rPr>
        <w:t xml:space="preserve">Dr. Fayez Jarad </w:t>
      </w:r>
    </w:p>
    <w:p>
      <w:pPr>
        <w:pStyle w:val="125"/>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2953" w:right="3093" w:firstLine="0"/>
        <w:contextualSpacing w:val="0"/>
        <w:jc w:val="center"/>
        <w:textAlignment w:val="auto"/>
        <w:outlineLvl w:val="3"/>
        <w:rPr>
          <w:rFonts w:ascii="DejaVu Math TeX Gyre" w:eastAsia="DejaVu Math TeX Gyre" w:hAnsi="DejaVu Math TeX Gyre"/>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2026</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Chars="50" w:firstLine="110"/>
        <w:contextualSpacing w:val="0"/>
        <w:jc w:val="left"/>
        <w:textAlignment w:val="auto"/>
        <w:outlineLvl w:val="9"/>
        <w:rPr>
          <w:rFonts w:ascii="DejaVu Math TeX Gyre" w:eastAsia="DejaVu Math TeX Gyre" w:hAnsi="DejaVu Math TeX Gyre"/>
          <w:caps w:val="0"/>
          <w:smallCaps w:val="0"/>
          <w:snapToGrid/>
          <w:vanish w:val="0"/>
          <w:color w:val="auto"/>
          <w:sz w:val="22"/>
          <w:szCs w:val="22"/>
          <w:vertAlign w:val="baseline"/>
        </w:rPr>
      </w:pPr>
      <w:r>
        <w:rPr>
          <w:rFonts w:ascii="DejaVu Math TeX Gyre" w:eastAsia="DejaVu Math TeX Gyre" w:hAnsi="DejaVu Math TeX Gyre"/>
          <w:caps w:val="0"/>
          <w:smallCaps w:val="0"/>
          <w:snapToGrid/>
          <w:vanish w:val="0"/>
          <w:color w:val="auto"/>
          <w:sz w:val="22"/>
          <w:szCs w:val="22"/>
          <w:vertAlign w:val="baseline"/>
        </w:rPr>
        <w:br w:type="page"/>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Chars="50" w:firstLine="110"/>
        <w:contextualSpacing w:val="0"/>
        <w:jc w:val="left"/>
        <w:textAlignment w:val="auto"/>
        <w:outlineLvl w:val="9"/>
        <w:rPr>
          <w:rFonts w:ascii="DejaVu Math TeX Gyre" w:eastAsia="DejaVu Math TeX Gyre" w:hAnsi="DejaVu Math TeX Gyre"/>
          <w:caps w:val="0"/>
          <w:smallCaps w:val="0"/>
          <w:snapToGrid/>
          <w:vanish w:val="0"/>
          <w:color w:val="auto"/>
          <w:sz w:val="22"/>
          <w:szCs w:val="2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Chars="50" w:firstLine="110"/>
        <w:contextualSpacing w:val="0"/>
        <w:jc w:val="left"/>
        <w:textAlignment w:val="auto"/>
        <w:outlineLvl w:val="9"/>
        <w:rPr>
          <w:rFonts w:ascii="DejaVu Math TeX Gyre" w:eastAsia="DejaVu Math TeX Gyre" w:hAnsi="DejaVu Math TeX Gyre"/>
          <w:caps w:val="0"/>
          <w:smallCaps w:val="0"/>
          <w:snapToGrid/>
          <w:vanish w:val="0"/>
          <w:color w:val="auto"/>
          <w:sz w:val="22"/>
          <w:szCs w:val="2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Chars="100" w:firstLine="400"/>
        <w:contextualSpacing w:val="0"/>
        <w:jc w:val="center"/>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Chars="100" w:firstLine="400"/>
        <w:contextualSpacing w:val="0"/>
        <w:jc w:val="center"/>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r>
        <w:rPr>
          <w:rFonts w:ascii="DejaVu Math TeX Gyre" w:eastAsia="DejaVu Math TeX Gyre" w:hAnsi="DejaVu Math TeX Gyre"/>
          <w:b/>
          <w:bCs/>
          <w:i/>
          <w:iCs/>
          <w:caps w:val="0"/>
          <w:smallCaps w:val="0"/>
          <w:snapToGrid/>
          <w:vanish w:val="0"/>
          <w:color w:val="auto"/>
          <w:sz w:val="40"/>
          <w:szCs w:val="40"/>
          <w:u w:val="single"/>
          <w:vertAlign w:val="baseline"/>
        </w:rPr>
        <w:t>Copyright Notice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Chars="100" w:firstLine="400"/>
        <w:contextualSpacing w:val="0"/>
        <w:jc w:val="center"/>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both"/>
        <w:textAlignment w:val="auto"/>
        <w:outlineLvl w:val="9"/>
        <w:rPr>
          <w:rFonts w:ascii="DejaVu Math TeX Gyre" w:eastAsia="DejaVu Math TeX Gyre" w:hAnsi="DejaVu Math TeX Gyre"/>
          <w:caps w:val="0"/>
          <w:smallCaps w:val="0"/>
          <w:snapToGrid/>
          <w:vanish w:val="0"/>
          <w:color w:val="auto"/>
          <w:sz w:val="22"/>
          <w:szCs w:val="22"/>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2026 Midocean University</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All Rights Reserved.</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This thesis entitled </w:t>
      </w:r>
      <w:r>
        <w:rPr>
          <w:rFonts w:ascii="DejaVu Math TeX Gyre" w:hAnsi="DejaVu Math TeX Gyre"/>
          <w:b/>
          <w:bCs/>
          <w:caps w:val="0"/>
          <w:smallCaps w:val="0"/>
          <w:snapToGrid/>
          <w:vanish w:val="0"/>
          <w:color w:val="auto"/>
          <w:sz w:val="28"/>
          <w:szCs w:val="28"/>
          <w:vertAlign w:val="baseline"/>
        </w:rPr>
        <w:t>“</w:t>
      </w:r>
      <w:r>
        <w:rPr>
          <w:rFonts w:ascii="DejaVu Math TeX Gyre" w:eastAsia="DejaVu Math TeX Gyre" w:hAnsi="DejaVu Math TeX Gyre"/>
          <w:b/>
          <w:bCs/>
          <w:caps w:val="0"/>
          <w:smallCaps w:val="0"/>
          <w:snapToGrid/>
          <w:vanish w:val="0"/>
          <w:color w:val="auto"/>
          <w:sz w:val="28"/>
          <w:szCs w:val="28"/>
          <w:vertAlign w:val="baseline"/>
        </w:rPr>
        <w:t>Knowledge, Attitudes, and Barriers toward CBAHI Standards Among Dental Practitioners in Saudi Arabia</w:t>
      </w:r>
      <w:r>
        <w:rPr>
          <w:rFonts w:ascii="DejaVu Math TeX Gyre" w:hAnsi="DejaVu Math TeX Gyre"/>
          <w:b/>
          <w:bCs/>
          <w:caps w:val="0"/>
          <w:smallCaps w:val="0"/>
          <w:snapToGrid/>
          <w:vanish w:val="0"/>
          <w:color w:val="auto"/>
          <w:sz w:val="28"/>
          <w:szCs w:val="28"/>
          <w:vertAlign w:val="baseline"/>
        </w:rPr>
        <w:t>”</w:t>
      </w:r>
      <w:r>
        <w:rPr>
          <w:rFonts w:ascii="DejaVu Math TeX Gyre" w:eastAsia="DejaVu Math TeX Gyre" w:hAnsi="DejaVu Math TeX Gyre"/>
          <w:b/>
          <w:bCs/>
          <w:caps w:val="0"/>
          <w:smallCaps w:val="0"/>
          <w:snapToGrid/>
          <w:vanish w:val="0"/>
          <w:color w:val="auto"/>
          <w:sz w:val="28"/>
          <w:szCs w:val="28"/>
          <w:vertAlign w:val="baseline"/>
        </w:rPr>
        <w:t xml:space="preserve"> is submitted in partial fulfillment of the requirements for the degree of Master of Health Administration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at Midocean University.</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This work is copyrighted by Midocean University. No part of this thesis may be reproduced or used in any form without the prior written consent of Midocean University.</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both"/>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both"/>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i/>
          <w:iCs/>
          <w:caps w:val="0"/>
          <w:smallCaps w:val="0"/>
          <w:snapToGrid/>
          <w:vanish w:val="0"/>
          <w:color w:val="auto"/>
          <w:sz w:val="40"/>
          <w:szCs w:val="40"/>
          <w:u w:val="single"/>
          <w:vertAlign w:val="baseline"/>
        </w:rPr>
        <w:t>Dedication</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This thesis is dedicated with deepest gratitude to my husband,for his support, patience, and encouragement throughout this journey.</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To my precious daughters, Jood and Noor, your love is my constant motivation and the true driving force behind everything I strive to accomplish.</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To my father, for teaching me perseverance and determination, and to my mother, for her boundless love and guidance.</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60" w:lineRule="auto"/>
        <w:ind w:left="1968" w:right="2113"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To my dear siblings and my friends, fort their continuous support encouragement and generosity, which have contributed greatly to the completion of this work.</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both"/>
        <w:textAlignment w:val="auto"/>
        <w:outlineLvl w:val="9"/>
        <w:rPr>
          <w:rFonts w:ascii="DejaVu Math TeX Gyre" w:eastAsia="DejaVu Math TeX Gyre" w:hAnsi="DejaVu Math TeX Gyre"/>
          <w:b w:val="0"/>
          <w:bCs w:val="0"/>
          <w:i w:val="0"/>
          <w:iCs w:val="0"/>
          <w:caps w:val="0"/>
          <w:smallCaps w:val="0"/>
          <w:strike w:val="0"/>
          <w:dstrike w:val="0"/>
          <w:snapToGrid/>
          <w:vanish w:val="0"/>
          <w:color w:val="auto"/>
          <w:sz w:val="40"/>
          <w:szCs w:val="40"/>
          <w:u w:val="none"/>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both"/>
        <w:textAlignment w:val="auto"/>
        <w:outlineLvl w:val="9"/>
        <w:rPr>
          <w:rFonts w:ascii="DejaVu Math TeX Gyre" w:eastAsia="DejaVu Math TeX Gyre" w:hAnsi="DejaVu Math TeX Gyre"/>
          <w:b w:val="0"/>
          <w:bCs w:val="0"/>
          <w:i w:val="0"/>
          <w:iCs w:val="0"/>
          <w:caps w:val="0"/>
          <w:smallCaps w:val="0"/>
          <w:strike w:val="0"/>
          <w:dstrike w:val="0"/>
          <w:snapToGrid/>
          <w:vanish w:val="0"/>
          <w:color w:val="auto"/>
          <w:sz w:val="40"/>
          <w:szCs w:val="40"/>
          <w:u w:val="none"/>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1968" w:right="2113" w:firstLine="0"/>
        <w:contextualSpacing w:val="0"/>
        <w:jc w:val="center"/>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r>
        <w:rPr>
          <w:rFonts w:ascii="DejaVu Math TeX Gyre" w:eastAsia="DejaVu Math TeX Gyre" w:hAnsi="DejaVu Math TeX Gyre"/>
          <w:b/>
          <w:bCs/>
          <w:i/>
          <w:iCs/>
          <w:caps w:val="0"/>
          <w:smallCaps w:val="0"/>
          <w:snapToGrid/>
          <w:vanish w:val="0"/>
          <w:color w:val="auto"/>
          <w:sz w:val="40"/>
          <w:szCs w:val="40"/>
          <w:u w:val="single"/>
          <w:vertAlign w:val="baseline"/>
        </w:rPr>
        <w:t>Acknowledgement</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78" w:beforeAutospacing="0" w:after="0" w:afterAutospacing="0" w:line="396" w:lineRule="auto"/>
        <w:ind w:left="0" w:right="2113" w:firstLine="0"/>
        <w:contextualSpacing w:val="0"/>
        <w:jc w:val="both"/>
        <w:textAlignment w:val="auto"/>
        <w:outlineLvl w:val="9"/>
        <w:rPr>
          <w:rFonts w:ascii="DejaVu Math TeX Gyre" w:eastAsia="DejaVu Math TeX Gyre" w:hAnsi="DejaVu Math TeX Gyre"/>
          <w:b/>
          <w:bCs/>
          <w:caps w:val="0"/>
          <w:smallCaps w:val="0"/>
          <w:snapToGrid/>
          <w:vanish w:val="0"/>
          <w:color w:val="auto"/>
          <w:sz w:val="40"/>
          <w:szCs w:val="40"/>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First and foremost, all gratitude and praise are due to Allah,</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my Creator, for His infinite mercy and continuous blessings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throughout this academic journey.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I sincerely thank my family and friends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for their unwavering support, patience, and encouragement,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which made every challenge surmountable.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My heartfelt appreciation goes to my doctors and mentors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for their invaluable guidance, constructive advice, and support,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which have greatly shaped this research.</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Finally, I am grateful to Midocean University for providing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an enriching academic environment and the resources necessary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 to complete this Master</w:t>
      </w:r>
      <w:r>
        <w:rPr>
          <w:rFonts w:ascii="DejaVu Math TeX Gyre" w:hAnsi="DejaVu Math TeX Gyre"/>
          <w:b/>
          <w:bCs/>
          <w:caps w:val="0"/>
          <w:smallCaps w:val="0"/>
          <w:snapToGrid/>
          <w:vanish w:val="0"/>
          <w:color w:val="auto"/>
          <w:sz w:val="28"/>
          <w:szCs w:val="28"/>
          <w:vertAlign w:val="baseline"/>
        </w:rPr>
        <w:t>’</w:t>
      </w:r>
      <w:r>
        <w:rPr>
          <w:rFonts w:ascii="DejaVu Math TeX Gyre" w:eastAsia="DejaVu Math TeX Gyre" w:hAnsi="DejaVu Math TeX Gyre"/>
          <w:b/>
          <w:bCs/>
          <w:caps w:val="0"/>
          <w:smallCaps w:val="0"/>
          <w:snapToGrid/>
          <w:vanish w:val="0"/>
          <w:color w:val="auto"/>
          <w:sz w:val="28"/>
          <w:szCs w:val="28"/>
          <w:vertAlign w:val="baseline"/>
        </w:rPr>
        <w:t>s thesis.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br w:type="page"/>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r>
        <w:rPr>
          <w:rFonts w:ascii="DejaVu Math TeX Gyre" w:eastAsia="DejaVu Math TeX Gyre" w:hAnsi="DejaVu Math TeX Gyre"/>
          <w:b/>
          <w:bCs/>
          <w:i/>
          <w:iCs/>
          <w:caps w:val="0"/>
          <w:smallCaps w:val="0"/>
          <w:snapToGrid/>
          <w:vanish w:val="0"/>
          <w:color w:val="auto"/>
          <w:sz w:val="40"/>
          <w:szCs w:val="40"/>
          <w:u w:val="single"/>
          <w:vertAlign w:val="baseline"/>
        </w:rPr>
        <w:t>Abstract</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6"/>
          <w:szCs w:val="26"/>
          <w:u w:val="single"/>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Chars="350" w:firstLine="91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r>
        <w:rPr>
          <w:rFonts w:ascii="DejaVu Math TeX Gyre" w:eastAsia="DejaVu Math TeX Gyre" w:hAnsi="DejaVu Math TeX Gyre"/>
          <w:caps w:val="0"/>
          <w:smallCaps w:val="0"/>
          <w:snapToGrid/>
          <w:vanish w:val="0"/>
          <w:color w:val="auto"/>
          <w:sz w:val="26"/>
          <w:szCs w:val="26"/>
          <w:vertAlign w:val="baseline"/>
        </w:rPr>
        <w:t>This study aimed to assess the level of knowledge, attitudes, and perceived barriers toward the Central Board for Accreditation of Healthcare Institutions (CBAHI) standards among dental practitioners in the Kingdom of Saudi Arabia.</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r>
        <w:rPr>
          <w:rFonts w:ascii="DejaVu Math TeX Gyre" w:eastAsia="DejaVu Math TeX Gyre" w:hAnsi="DejaVu Math TeX Gyre"/>
          <w:caps w:val="0"/>
          <w:smallCaps w:val="0"/>
          <w:snapToGrid/>
          <w:vanish w:val="0"/>
          <w:color w:val="auto"/>
          <w:sz w:val="26"/>
          <w:szCs w:val="26"/>
          <w:vertAlign w:val="baseline"/>
        </w:rPr>
        <w:t xml:space="preserve"> The study population consisted of all dental practitioners working in governmental and private sectors across Saudi Arabia .</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r>
        <w:rPr>
          <w:rFonts w:ascii="DejaVu Math TeX Gyre" w:eastAsia="DejaVu Math TeX Gyre" w:hAnsi="DejaVu Math TeX Gyre"/>
          <w:caps w:val="0"/>
          <w:smallCaps w:val="0"/>
          <w:snapToGrid/>
          <w:vanish w:val="0"/>
          <w:color w:val="auto"/>
          <w:sz w:val="26"/>
          <w:szCs w:val="26"/>
          <w:vertAlign w:val="baseline"/>
        </w:rPr>
        <w:t>Data were collected  through a convenience sample of dental practitioners using an electronic questionnaire.</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r>
        <w:rPr>
          <w:rFonts w:ascii="DejaVu Math TeX Gyre" w:eastAsia="DejaVu Math TeX Gyre" w:hAnsi="DejaVu Math TeX Gyre"/>
          <w:caps w:val="0"/>
          <w:smallCaps w:val="0"/>
          <w:snapToGrid/>
          <w:vanish w:val="0"/>
          <w:color w:val="auto"/>
          <w:sz w:val="26"/>
          <w:szCs w:val="26"/>
          <w:vertAlign w:val="baseline"/>
        </w:rPr>
        <w:t>The results revealed a moderate level of knowledge and moderate attitudes toward the implementation of the standards, accompanied by moderate to high perceived barriers.</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r>
        <w:rPr>
          <w:rFonts w:ascii="DejaVu Math TeX Gyre" w:eastAsia="DejaVu Math TeX Gyre" w:hAnsi="DejaVu Math TeX Gyre"/>
          <w:caps w:val="0"/>
          <w:smallCaps w:val="0"/>
          <w:snapToGrid/>
          <w:vanish w:val="0"/>
          <w:color w:val="auto"/>
          <w:sz w:val="26"/>
          <w:szCs w:val="26"/>
          <w:vertAlign w:val="baseline"/>
        </w:rPr>
        <w:t xml:space="preserve"> The study demonstrated a strong positive relationship between knowledge and attitudes, with knowledge emerging as the strongest predictor of attitudes. The findings indicated that years of professional experience had a significant positive effect on the level of knowledge of CBAHI standards, whereas formal training showed no statistically significant impact on knowledge or attitudes, suggesting the need to review the content and delivery methods of current training programs.</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r>
        <w:rPr>
          <w:rFonts w:ascii="DejaVu Math TeX Gyre" w:eastAsia="DejaVu Math TeX Gyre" w:hAnsi="DejaVu Math TeX Gyre"/>
          <w:caps w:val="0"/>
          <w:smallCaps w:val="0"/>
          <w:snapToGrid/>
          <w:vanish w:val="0"/>
          <w:color w:val="auto"/>
          <w:sz w:val="26"/>
          <w:szCs w:val="26"/>
          <w:vertAlign w:val="baseline"/>
        </w:rPr>
        <w:t>The study recommends redesigning training programs to be more practical, strengthening management and leadership support, addressing resource shortages, simplifying the standards and improving communication methods, integrating CBAHI standards into dental school curricula, and implementing change management strategies while involving practitioners in decision-making processes. These steps aim to enhance knowledge levels and more effectively overcome the barriers to implementing the mandatory CBAHI standards.</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r>
        <w:rPr>
          <w:rFonts w:ascii="DejaVu Math TeX Gyre" w:eastAsia="DejaVu Math TeX Gyre" w:hAnsi="DejaVu Math TeX Gyre"/>
          <w:b/>
          <w:bCs/>
          <w:caps w:val="0"/>
          <w:smallCaps w:val="0"/>
          <w:snapToGrid/>
          <w:vanish w:val="0"/>
          <w:color w:val="auto"/>
          <w:sz w:val="26"/>
          <w:szCs w:val="26"/>
          <w:vertAlign w:val="baseline"/>
        </w:rPr>
        <w:t>Keywords</w:t>
      </w:r>
      <w:r>
        <w:rPr>
          <w:rFonts w:ascii="DejaVu Math TeX Gyre" w:eastAsia="DejaVu Math TeX Gyre" w:hAnsi="DejaVu Math TeX Gyre"/>
          <w:caps w:val="0"/>
          <w:smallCaps w:val="0"/>
          <w:snapToGrid/>
          <w:vanish w:val="0"/>
          <w:color w:val="auto"/>
          <w:sz w:val="26"/>
          <w:szCs w:val="26"/>
          <w:vertAlign w:val="baseline"/>
        </w:rPr>
        <w:t>: CBAHI standards, Knowledge, Attitudes, Barriers, Dental practitioners, Healthcare accreditation, Saudi Arabia.</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6"/>
          <w:szCs w:val="26"/>
          <w:u w:val="single"/>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6"/>
          <w:szCs w:val="26"/>
          <w:u w:val="single"/>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40"/>
          <w:szCs w:val="40"/>
          <w:u w:val="single"/>
          <w:vertAlign w:val="baseline"/>
        </w:rPr>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jc w:val="left"/>
      </w:pP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36"/>
          <w:szCs w:val="36"/>
          <w:u w:val="single"/>
          <w:vertAlign w:val="baseline"/>
        </w:rPr>
      </w:pPr>
      <w:r>
        <w:rPr>
          <w:rFonts w:ascii="DejaVu Math TeX Gyre" w:eastAsia="DejaVu Math TeX Gyre" w:hAnsi="DejaVu Math TeX Gyre"/>
          <w:b/>
          <w:bCs/>
          <w:i/>
          <w:iCs/>
          <w:caps w:val="0"/>
          <w:smallCaps w:val="0"/>
          <w:snapToGrid/>
          <w:vanish w:val="0"/>
          <w:color w:val="auto"/>
          <w:sz w:val="36"/>
          <w:szCs w:val="36"/>
          <w:u w:val="single"/>
          <w:vertAlign w:val="baseline"/>
        </w:rPr>
        <w:t>Table of C</w:t>
      </w:r>
      <w:r>
        <w:rPr>
          <w:rFonts w:ascii="DejaVu Math TeX Gyre" w:eastAsia="DejaVu Math TeX Gyre" w:hAnsi="DejaVu Math TeX Gyre"/>
          <w:b/>
          <w:bCs/>
          <w:i/>
          <w:iCs/>
          <w:caps w:val="0"/>
          <w:smallCaps w:val="0"/>
          <w:snapToGrid/>
          <w:vanish w:val="0"/>
          <w:color w:val="auto"/>
          <w:spacing w:val="-2"/>
          <w:sz w:val="36"/>
          <w:szCs w:val="36"/>
          <w:u w:val="single"/>
          <w:vertAlign w:val="baseline"/>
        </w:rPr>
        <w:t>ontents</w:t>
      </w:r>
    </w:p>
    <w:p>
      <w:pPr>
        <w:pStyle w:val="126"/>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4096"/>
        </w:tabs>
        <w:suppressAutoHyphens w:val="0"/>
        <w:kinsoku/>
        <w:wordWrap/>
        <w:overflowPunct/>
        <w:topLinePunct w:val="0"/>
        <w:autoSpaceDE w:val="0"/>
        <w:autoSpaceDN w:val="0"/>
        <w:bidi/>
        <w:adjustRightInd/>
        <w:snapToGrid/>
        <w:spacing w:before="77" w:beforeAutospacing="0" w:after="28"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6"/>
          <w:szCs w:val="26"/>
          <w:u w:val="single"/>
          <w:vertAlign w:val="baseline"/>
        </w:rPr>
      </w:pPr>
    </w:p>
    <w:tbl>
      <w:tblPr>
        <w:jc w:val="right"/>
        <w:tblInd w:w="0" w:type="dxa"/>
        <w:bidiVisual/>
        <w:tblBorders>
          <w:top w:val="single" w:sz="4" w:space="0" w:color="000000"/>
          <w:left w:val="single" w:sz="4" w:space="0" w:color="000000"/>
          <w:bottom w:val="single" w:sz="4" w:space="0" w:color="000000"/>
          <w:right w:val="single" w:sz="4" w:space="0" w:color="000000"/>
          <w:insideH w:val="outset" w:sz="6" w:space="0" w:color="auto"/>
          <w:insideV w:val="outset" w:sz="6" w:space="0" w:color="auto"/>
        </w:tblBorders>
        <w:tblLayout w:type="fixed"/>
        <w:tblCellMar>
          <w:top w:w="0" w:type="dxa"/>
          <w:left w:w="0" w:type="dxa"/>
          <w:bottom w:w="0" w:type="dxa"/>
          <w:right w:w="0" w:type="dxa"/>
        </w:tblCellMar>
      </w:tblPr>
      <w:tblGrid>
        <w:gridCol w:w="7494"/>
        <w:gridCol w:w="1137"/>
      </w:tblGrid>
      <w:tr>
        <w:trPr>
          <w:trHeight w:val="474"/>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4" w:lineRule="exact"/>
              <w:ind w:left="827" w:right="0" w:firstLine="0"/>
              <w:contextualSpacing w:val="0"/>
              <w:jc w:val="left"/>
              <w:textAlignment w:val="auto"/>
              <w:outlineLvl w:val="9"/>
              <w:rPr>
                <w:rFonts w:ascii="DejaVu Math TeX Gyre" w:eastAsia="DejaVu Math TeX Gyre" w:hAnsi="DejaVu Math TeX Gyre"/>
                <w:b/>
                <w:bCs/>
                <w:caps w:val="0"/>
                <w:smallCaps w:val="0"/>
                <w:snapToGrid/>
                <w:vanish w:val="0"/>
                <w:color w:val="000000"/>
                <w:sz w:val="28"/>
                <w:szCs w:val="28"/>
                <w:vertAlign w:val="baseline"/>
              </w:rPr>
            </w:pPr>
            <w:r>
              <w:rPr>
                <w:rFonts w:ascii="DejaVu Math TeX Gyre" w:eastAsia="DejaVu Math TeX Gyre" w:hAnsi="DejaVu Math TeX Gyre"/>
                <w:b/>
                <w:bCs/>
                <w:caps w:val="0"/>
                <w:smallCaps w:val="0"/>
                <w:snapToGrid/>
                <w:vanish w:val="0"/>
                <w:color w:val="000000"/>
                <w:spacing w:val="-2"/>
                <w:sz w:val="28"/>
                <w:szCs w:val="28"/>
                <w:vertAlign w:val="baseline"/>
              </w:rPr>
              <w:t xml:space="preserve">CHAPTER 1 : Introduction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Lines="50" w:before="120" w:beforeAutospacing="0" w:after="0" w:afterAutospacing="0" w:line="240"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6"/>
                <w:szCs w:val="26"/>
                <w:vertAlign w:val="baseline"/>
              </w:rPr>
            </w:pPr>
            <w:r>
              <w:rPr>
                <w:rFonts w:ascii="DejaVu Math TeX Gyre" w:eastAsia="DejaVu Math TeX Gyre" w:hAnsi="DejaVu Math TeX Gyre"/>
                <w:caps w:val="0"/>
                <w:smallCaps w:val="0"/>
                <w:snapToGrid/>
                <w:vanish w:val="0"/>
                <w:color w:val="000000"/>
                <w:sz w:val="26"/>
                <w:szCs w:val="26"/>
                <w:vertAlign w:val="baseline"/>
              </w:rPr>
              <w:t>10</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80" w:right="0" w:firstLineChars="200" w:firstLine="48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 xml:space="preserve">Introduction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11</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80" w:right="0" w:firstLineChars="200" w:firstLine="472"/>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2"/>
                <w:sz w:val="24"/>
                <w:szCs w:val="24"/>
                <w:vertAlign w:val="baseline"/>
              </w:rPr>
              <w:t xml:space="preserve">Problem Statement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14</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80" w:right="0" w:firstLineChars="200" w:firstLine="472"/>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2"/>
                <w:sz w:val="24"/>
                <w:szCs w:val="24"/>
                <w:vertAlign w:val="baseline"/>
              </w:rPr>
              <w:t xml:space="preserve">Study Importance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15</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80" w:right="0" w:firstLineChars="200" w:firstLine="472"/>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2"/>
                <w:sz w:val="24"/>
                <w:szCs w:val="24"/>
                <w:vertAlign w:val="baseline"/>
              </w:rPr>
              <w:t>Objectives</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16</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80" w:right="0" w:firstLineChars="200" w:firstLine="48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 xml:space="preserve">Study Questions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17</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80" w:right="0" w:firstLineChars="200" w:firstLine="48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Hypothesis of Study</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18</w:t>
            </w:r>
          </w:p>
        </w:tc>
      </w:tr>
      <w:tr>
        <w:trPr>
          <w:trHeight w:val="475"/>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4" w:lineRule="exact"/>
              <w:ind w:left="880" w:right="0" w:firstLineChars="200" w:firstLine="48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Study Model</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4"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19</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bCs/>
                <w:caps w:val="0"/>
                <w:smallCaps w:val="0"/>
                <w:snapToGrid/>
                <w:vanish w:val="0"/>
                <w:color w:val="000000"/>
                <w:sz w:val="26"/>
                <w:szCs w:val="26"/>
                <w:vertAlign w:val="baseline"/>
              </w:rPr>
            </w:pPr>
            <w:r>
              <w:rPr>
                <w:rFonts w:ascii="DejaVu Math TeX Gyre" w:eastAsia="DejaVu Math TeX Gyre" w:hAnsi="DejaVu Math TeX Gyre"/>
                <w:b/>
                <w:bCs/>
                <w:caps w:val="0"/>
                <w:smallCaps w:val="0"/>
                <w:snapToGrid/>
                <w:vanish w:val="0"/>
                <w:color w:val="000000"/>
                <w:sz w:val="26"/>
                <w:szCs w:val="26"/>
                <w:vertAlign w:val="baseline"/>
              </w:rPr>
              <w:t xml:space="preserve">CHAPTER 2: Literature Review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20</w:t>
            </w:r>
          </w:p>
        </w:tc>
      </w:tr>
      <w:tr>
        <w:trPr>
          <w:trHeight w:val="474"/>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4" w:lineRule="exact"/>
              <w:ind w:left="827" w:right="0" w:firstLine="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2"/>
                <w:sz w:val="24"/>
                <w:szCs w:val="24"/>
                <w:vertAlign w:val="baseline"/>
              </w:rPr>
              <w:t xml:space="preserve">Introduction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4" w:lineRule="exact"/>
              <w:ind w:left="0"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21</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 xml:space="preserve">Discussion of Literature Review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22</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 xml:space="preserve">Summary of literature Review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0"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32</w:t>
            </w:r>
          </w:p>
        </w:tc>
      </w:tr>
      <w:tr>
        <w:trPr>
          <w:trHeight w:val="474"/>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7"/>
              </w:tabs>
              <w:suppressAutoHyphens w:val="0"/>
              <w:kinsoku/>
              <w:wordWrap/>
              <w:overflowPunct/>
              <w:topLinePunct w:val="0"/>
              <w:autoSpaceDE w:val="0"/>
              <w:autoSpaceDN w:val="0"/>
              <w:bidi/>
              <w:adjustRightInd/>
              <w:snapToGrid/>
              <w:spacing w:beforeLines="50" w:before="120" w:beforeAutospacing="0" w:after="0" w:afterAutospacing="0" w:line="304" w:lineRule="exact"/>
              <w:ind w:left="827" w:right="0" w:firstLine="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Research Gap</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4"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33</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Theoretical Framework of Study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z w:val="24"/>
                <w:szCs w:val="24"/>
                <w:vertAlign w:val="baseline"/>
              </w:rPr>
              <w:t>34</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caps w:val="0"/>
                <w:smallCaps w:val="0"/>
                <w:snapToGrid/>
                <w:vanish w:val="0"/>
                <w:color w:val="000000"/>
                <w:spacing w:val="-2"/>
                <w:sz w:val="24"/>
                <w:szCs w:val="24"/>
                <w:vertAlign w:val="baseline"/>
              </w:rPr>
            </w:pPr>
            <w:r>
              <w:rPr>
                <w:rFonts w:ascii="DejaVu Math TeX Gyre" w:eastAsia="DejaVu Math TeX Gyre" w:hAnsi="DejaVu Math TeX Gyre"/>
                <w:bCs w:val="0"/>
                <w:caps w:val="0"/>
                <w:smallCaps w:val="0"/>
                <w:snapToGrid/>
                <w:vanish w:val="0"/>
                <w:color w:val="000000"/>
                <w:spacing w:val="-2"/>
                <w:sz w:val="24"/>
                <w:szCs w:val="24"/>
                <w:vertAlign w:val="baseline"/>
              </w:rPr>
              <w:t xml:space="preserve">Knowledge and Attitudes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34</w:t>
            </w:r>
          </w:p>
        </w:tc>
      </w:tr>
      <w:tr>
        <w:trPr>
          <w:trHeight w:val="471"/>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Level of Implementation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0" w:right="0" w:firstLine="0"/>
              <w:contextualSpacing w:val="0"/>
              <w:jc w:val="center"/>
              <w:textAlignment w:val="auto"/>
              <w:outlineLvl w:val="9"/>
              <w:rPr>
                <w:rFonts w:ascii="DejaVu Math TeX Gyre" w:eastAsia="DejaVu Math TeX Gyre" w:hAnsi="DejaVu Math TeX Gyre"/>
                <w:caps w:val="0"/>
                <w:smallCaps w:val="0"/>
                <w:snapToGrid/>
                <w:vanish w:val="0"/>
                <w:color w:val="00000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37</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Perceived Barriers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38</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Summary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39</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center"/>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caps w:val="0"/>
                <w:smallCaps w:val="0"/>
                <w:snapToGrid/>
                <w:vanish w:val="0"/>
                <w:color w:val="000000"/>
                <w:sz w:val="26"/>
                <w:szCs w:val="26"/>
                <w:vertAlign w:val="baseline"/>
              </w:rPr>
            </w:pPr>
            <w:r>
              <w:rPr>
                <w:rFonts w:ascii="DejaVu Math TeX Gyre" w:eastAsia="DejaVu Math TeX Gyre" w:hAnsi="DejaVu Math TeX Gyre"/>
                <w:b/>
                <w:bCs/>
                <w:caps w:val="0"/>
                <w:smallCaps w:val="0"/>
                <w:snapToGrid/>
                <w:vanish w:val="0"/>
                <w:color w:val="000000"/>
                <w:sz w:val="26"/>
                <w:szCs w:val="26"/>
                <w:vertAlign w:val="baseline"/>
              </w:rPr>
              <w:t>CHAPTER 3 : Research Methodology</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40</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Introduction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41</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Research Design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41</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Research Community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42</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Sample Characteristics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42</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Data Collection Procedure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44</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Validity and reliability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46</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Study Scope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50</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Subject Boundaries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50</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Spatial Boundaries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50</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Human Boundaries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55</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Time Boundaries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51</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Other Limitations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51</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Statistics Analysis Methods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52</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center"/>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bCs/>
                <w:caps w:val="0"/>
                <w:smallCaps w:val="0"/>
                <w:snapToGrid/>
                <w:vanish w:val="0"/>
                <w:color w:val="000000"/>
                <w:sz w:val="26"/>
                <w:szCs w:val="26"/>
                <w:vertAlign w:val="baseline"/>
              </w:rPr>
            </w:pPr>
            <w:r>
              <w:rPr>
                <w:rFonts w:ascii="DejaVu Math TeX Gyre" w:eastAsia="DejaVu Math TeX Gyre" w:hAnsi="DejaVu Math TeX Gyre"/>
                <w:b/>
                <w:bCs/>
                <w:caps w:val="0"/>
                <w:smallCaps w:val="0"/>
                <w:snapToGrid/>
                <w:vanish w:val="0"/>
                <w:color w:val="000000"/>
                <w:sz w:val="26"/>
                <w:szCs w:val="26"/>
                <w:vertAlign w:val="baseline"/>
              </w:rPr>
              <w:t xml:space="preserve">CHAPTER 4 : Results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53</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Introduction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54</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Sample Characteristics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54</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Gender Distribution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54</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Age Group Distribution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55</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Professional Category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56</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Type of Dental Practice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56</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Knowledge of CBAHI Standards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58</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Attitudes toward CBAHI Standards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60</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Barriers to CBAHI Implementation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61</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Inferential Statistics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65</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Summary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72</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Research Recommendations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73</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References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78</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center"/>
              <w:textAlignment w:val="auto"/>
              <w:outlineLvl w:val="9"/>
              <w:rPr>
                <w:rFonts w:ascii="DejaVu Math TeX Gyre" w:eastAsia="DejaVu Math TeX Gyre" w:hAnsi="DejaVu Math TeX Gyre"/>
                <w:bCs/>
                <w:caps w:val="0"/>
                <w:smallCaps w:val="0"/>
                <w:snapToGrid/>
                <w:vanish w:val="0"/>
                <w:color w:val="000000"/>
                <w:sz w:val="28"/>
                <w:szCs w:val="28"/>
                <w:vertAlign w:val="baseline"/>
              </w:rPr>
            </w:pP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bCs/>
                <w:caps w:val="0"/>
                <w:smallCaps w:val="0"/>
                <w:snapToGrid/>
                <w:vanish w:val="0"/>
                <w:color w:val="000000"/>
                <w:sz w:val="28"/>
                <w:szCs w:val="28"/>
                <w:vertAlign w:val="baseline"/>
              </w:rPr>
            </w:pPr>
            <w:r>
              <w:rPr>
                <w:rFonts w:ascii="DejaVu Math TeX Gyre" w:eastAsia="DejaVu Math TeX Gyre" w:hAnsi="DejaVu Math TeX Gyre"/>
                <w:b/>
                <w:bCs/>
                <w:caps w:val="0"/>
                <w:smallCaps w:val="0"/>
                <w:snapToGrid/>
                <w:vanish w:val="0"/>
                <w:color w:val="000000"/>
                <w:sz w:val="28"/>
                <w:szCs w:val="28"/>
                <w:vertAlign w:val="baseline"/>
              </w:rPr>
              <w:t xml:space="preserve">CHAPTER 6 : Appendix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80</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Questionnaire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81</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 xml:space="preserve">Arabic Abstract </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88</w:t>
            </w:r>
          </w:p>
        </w:tc>
      </w:tr>
      <w:tr>
        <w:trPr>
          <w:trHeight w:val="470"/>
        </w:trPr>
        <w:tc>
          <w:tcPr>
            <w:tcW w:w="7494"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Cs w:val="0"/>
                <w:caps w:val="0"/>
                <w:smallCaps w:val="0"/>
                <w:snapToGrid/>
                <w:vanish w:val="0"/>
                <w:color w:val="000000"/>
                <w:sz w:val="24"/>
                <w:szCs w:val="24"/>
                <w:vertAlign w:val="baseline"/>
              </w:rPr>
            </w:pPr>
            <w:r>
              <w:rPr>
                <w:rFonts w:ascii="DejaVu Math TeX Gyre" w:eastAsia="DejaVu Math TeX Gyre" w:hAnsi="DejaVu Math TeX Gyre"/>
                <w:bCs w:val="0"/>
                <w:caps w:val="0"/>
                <w:smallCaps w:val="0"/>
                <w:snapToGrid/>
                <w:vanish w:val="0"/>
                <w:color w:val="000000"/>
                <w:sz w:val="24"/>
                <w:szCs w:val="24"/>
                <w:vertAlign w:val="baseline"/>
              </w:rPr>
              <w:t>Arabic Cover</w:t>
            </w:r>
          </w:p>
        </w:tc>
        <w:tc>
          <w:tcPr>
            <w:tcW w:w="1137"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000000"/>
                <w:spacing w:val="-10"/>
                <w:sz w:val="24"/>
                <w:szCs w:val="24"/>
                <w:vertAlign w:val="baseline"/>
              </w:rPr>
            </w:pPr>
            <w:r>
              <w:rPr>
                <w:rFonts w:ascii="DejaVu Math TeX Gyre" w:eastAsia="DejaVu Math TeX Gyre" w:hAnsi="DejaVu Math TeX Gyre"/>
                <w:caps w:val="0"/>
                <w:smallCaps w:val="0"/>
                <w:snapToGrid/>
                <w:vanish w:val="0"/>
                <w:color w:val="000000"/>
                <w:spacing w:val="-10"/>
                <w:sz w:val="24"/>
                <w:szCs w:val="24"/>
                <w:vertAlign w:val="baseline"/>
              </w:rPr>
              <w:t>89</w:t>
            </w:r>
          </w:p>
        </w:tc>
      </w:tr>
    </w:tbl>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r>
        <w:rPr>
          <w:rFonts w:ascii="DejaVu Math TeX Gyre" w:eastAsia="DejaVu Math TeX Gyre" w:hAnsi="DejaVu Math TeX Gyre"/>
          <w:b/>
          <w:bCs/>
          <w:i/>
          <w:iCs/>
          <w:caps w:val="0"/>
          <w:smallCaps w:val="0"/>
          <w:snapToGrid/>
          <w:vanish w:val="0"/>
          <w:color w:val="auto"/>
          <w:sz w:val="28"/>
          <w:szCs w:val="28"/>
          <w:vertAlign w:val="baseline"/>
        </w:rPr>
        <w:t xml:space="preserve">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36"/>
          <w:szCs w:val="36"/>
          <w:u w:val="single"/>
          <w:vertAlign w:val="baseline"/>
        </w:rPr>
      </w:pPr>
      <w:r>
        <w:rPr>
          <w:rFonts w:ascii="DejaVu Math TeX Gyre" w:eastAsia="DejaVu Math TeX Gyre" w:hAnsi="DejaVu Math TeX Gyre"/>
          <w:b/>
          <w:bCs/>
          <w:i/>
          <w:iCs/>
          <w:caps w:val="0"/>
          <w:smallCaps w:val="0"/>
          <w:snapToGrid/>
          <w:vanish w:val="0"/>
          <w:color w:val="auto"/>
          <w:sz w:val="36"/>
          <w:szCs w:val="36"/>
          <w:u w:val="single"/>
          <w:vertAlign w:val="baseline"/>
        </w:rPr>
        <w:sym w:font="Wingdings" w:char="F076"/>
      </w:r>
      <w:r>
        <w:rPr>
          <w:rFonts w:ascii="DejaVu Math TeX Gyre" w:eastAsia="DejaVu Math TeX Gyre" w:hAnsi="DejaVu Math TeX Gyre"/>
          <w:b/>
          <w:bCs/>
          <w:i/>
          <w:iCs/>
          <w:caps w:val="0"/>
          <w:smallCaps w:val="0"/>
          <w:snapToGrid/>
          <w:vanish w:val="0"/>
          <w:color w:val="auto"/>
          <w:sz w:val="36"/>
          <w:szCs w:val="36"/>
          <w:u w:val="single"/>
          <w:vertAlign w:val="baseline"/>
        </w:rPr>
        <w:t xml:space="preserve"> List of Tables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32"/>
          <w:szCs w:val="32"/>
          <w:u w:val="single"/>
          <w:vertAlign w:val="baseline"/>
        </w:rPr>
      </w:pPr>
    </w:p>
    <w:tbl>
      <w:tblPr>
        <w:jc w:val="right"/>
        <w:tblInd w:w="0" w:type="dxa"/>
        <w:bidiVisual/>
        <w:tblBorders>
          <w:top w:val="single" w:sz="4" w:space="0" w:color="000000"/>
          <w:left w:val="single" w:sz="4" w:space="0" w:color="000000"/>
          <w:bottom w:val="single" w:sz="4" w:space="0" w:color="000000"/>
          <w:right w:val="single" w:sz="4" w:space="0" w:color="000000"/>
          <w:insideH w:val="outset" w:sz="6" w:space="0" w:color="auto"/>
          <w:insideV w:val="outset" w:sz="6" w:space="0" w:color="auto"/>
        </w:tblBorders>
        <w:tblLayout w:type="fixed"/>
        <w:tblCellMar>
          <w:top w:w="0" w:type="dxa"/>
          <w:left w:w="0" w:type="dxa"/>
          <w:bottom w:w="0" w:type="dxa"/>
          <w:right w:w="0" w:type="dxa"/>
        </w:tblCellMar>
      </w:tblPr>
      <w:tblGrid>
        <w:gridCol w:w="7516"/>
        <w:gridCol w:w="1140"/>
      </w:tblGrid>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1:Total correlation pilot study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47</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2:Cronbach's alpha coefficient pilot study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49</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3 :Gender distribution of study participants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54</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4: Age group distribution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55</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5 : Distribution by professional category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55</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Table 6: Distribution by years of professional experience</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56</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Table7: Distribution by type of dental practice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56</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Table8: CBAHI accreditation status and training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57</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Table9 : Descriptive statistics for knowledge items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58</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Table10 :Awareness of CBAHI accreditation requirement</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59</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11: Descriptive statistics for attitudinal items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60</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Table 12 : Descriptive statistics for barriers to CBAHI</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61</w:t>
            </w:r>
          </w:p>
        </w:tc>
      </w:tr>
      <w:tr>
        <w:trPr>
          <w:trHeight w:val="816"/>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Table13 :Recommended measures for enhancing CBAHI implementation </w:t>
            </w:r>
          </w:p>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62</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Table 14: Independent samples t-Test results by gender</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63</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Lines="50" w:before="12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15 : Independent samples t-Test results by training status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caps w:val="0"/>
                <w:smallCaps w:val="0"/>
                <w:snapToGrid/>
                <w:vanish w:val="0"/>
                <w:color w:val="auto"/>
                <w:spacing w:val="-10"/>
                <w:sz w:val="24"/>
                <w:szCs w:val="24"/>
                <w:vertAlign w:val="baseline"/>
              </w:rPr>
              <w:t>64</w:t>
            </w:r>
          </w:p>
        </w:tc>
      </w:tr>
      <w:tr>
        <w:trPr>
          <w:trHeight w:val="461"/>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16 : Pearson correlation, knowledge attitudes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65</w:t>
            </w:r>
          </w:p>
        </w:tc>
      </w:tr>
      <w:tr>
        <w:trPr>
          <w:trHeight w:val="460"/>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Table17 : effect of professional experience on knowledge score</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66</w:t>
            </w:r>
          </w:p>
        </w:tc>
      </w:tr>
      <w:tr>
        <w:trPr>
          <w:trHeight w:val="460"/>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18: effect of job position on attitude score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67</w:t>
            </w:r>
          </w:p>
        </w:tc>
      </w:tr>
      <w:tr>
        <w:trPr>
          <w:trHeight w:val="460"/>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19: Individual barriers vs. knowledge attitudes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68</w:t>
            </w:r>
          </w:p>
        </w:tc>
      </w:tr>
      <w:tr>
        <w:trPr>
          <w:trHeight w:val="460"/>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Table 20 :Formal training vs. knowledge attitudes</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69</w:t>
            </w:r>
          </w:p>
        </w:tc>
      </w:tr>
      <w:tr>
        <w:trPr>
          <w:trHeight w:val="460"/>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Table 21: Predictors of attitudes toward CBAHI</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70</w:t>
            </w:r>
          </w:p>
        </w:tc>
      </w:tr>
      <w:tr>
        <w:trPr>
          <w:trHeight w:val="460"/>
        </w:trPr>
        <w:tc>
          <w:tcPr>
            <w:tcW w:w="7516"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tabs>
                <w:tab w:val="left" w:pos="826"/>
              </w:tabs>
              <w:suppressAutoHyphens w:val="0"/>
              <w:kinsoku/>
              <w:wordWrap/>
              <w:overflowPunct/>
              <w:topLinePunct w:val="0"/>
              <w:autoSpaceDE w:val="0"/>
              <w:autoSpaceDN w:val="0"/>
              <w:bidi/>
              <w:adjustRightInd/>
              <w:snapToGrid/>
              <w:spacing w:before="0" w:beforeAutospacing="0" w:after="0" w:afterAutospacing="0" w:line="301" w:lineRule="exact"/>
              <w:ind w:left="827" w:right="0" w:firstLine="0"/>
              <w:contextualSpacing w:val="0"/>
              <w:jc w:val="left"/>
              <w:textAlignment w:val="auto"/>
              <w:outlineLvl w:val="9"/>
              <w:rPr>
                <w:rFonts w:ascii="DejaVu Math TeX Gyre" w:eastAsia="DejaVu Math TeX Gyre" w:hAnsi="DejaVu Math TeX Gyre"/>
                <w:b w:val="0"/>
                <w:bCs w:val="0"/>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napToGrid/>
                <w:vanish w:val="0"/>
                <w:color w:val="auto"/>
                <w:sz w:val="24"/>
                <w:szCs w:val="24"/>
                <w:vertAlign w:val="baseline"/>
              </w:rPr>
              <w:t xml:space="preserve">Table 22 : Predictors of perceived barriers </w:t>
            </w:r>
          </w:p>
        </w:tc>
        <w:tc>
          <w:tcPr>
            <w:tcW w:w="1140" w:type="dxa"/>
            <w:tcBorders>
              <w:top w:val="single" w:sz="4" w:space="0" w:color="000000"/>
              <w:left w:val="single" w:sz="4" w:space="0" w:color="000000"/>
              <w:bottom w:val="single" w:sz="4" w:space="0" w:color="000000"/>
              <w:right w:val="single" w:sz="4" w:space="0" w:color="000000"/>
              <w:tl2br w:val="nil"/>
              <w:tr2bl w:val="nil"/>
            </w:tcBorders>
          </w:tcPr>
          <w:p>
            <w:pPr>
              <w:pStyle w:val="127"/>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01" w:lineRule="exact"/>
              <w:ind w:left="5" w:right="0" w:firstLine="0"/>
              <w:contextualSpacing w:val="0"/>
              <w:jc w:val="center"/>
              <w:textAlignment w:val="auto"/>
              <w:outlineLvl w:val="9"/>
              <w:rPr>
                <w:rFonts w:ascii="DejaVu Math TeX Gyre" w:eastAsia="DejaVu Math TeX Gyre" w:hAnsi="DejaVu Math TeX Gyre"/>
                <w:caps w:val="0"/>
                <w:smallCaps w:val="0"/>
                <w:snapToGrid/>
                <w:vanish w:val="0"/>
                <w:color w:val="auto"/>
                <w:spacing w:val="-10"/>
                <w:sz w:val="24"/>
                <w:szCs w:val="24"/>
                <w:vertAlign w:val="baseline"/>
              </w:rPr>
            </w:pPr>
            <w:r>
              <w:rPr>
                <w:rFonts w:ascii="DejaVu Math TeX Gyre" w:eastAsia="DejaVu Math TeX Gyre" w:hAnsi="DejaVu Math TeX Gyre"/>
                <w:b w:val="0"/>
                <w:bCs w:val="0"/>
                <w:caps w:val="0"/>
                <w:smallCaps w:val="0"/>
                <w:snapToGrid/>
                <w:vanish w:val="0"/>
                <w:color w:val="auto"/>
                <w:spacing w:val="-10"/>
                <w:sz w:val="24"/>
                <w:szCs w:val="24"/>
                <w:vertAlign w:val="baseline"/>
              </w:rPr>
              <w:t>71</w:t>
            </w:r>
          </w:p>
        </w:tc>
      </w:tr>
    </w:tbl>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i/>
          <w:iCs/>
          <w:caps w:val="0"/>
          <w:smallCaps w:val="0"/>
          <w:snapToGrid/>
          <w:vanish w:val="0"/>
          <w:color w:val="auto"/>
          <w:sz w:val="28"/>
          <w:szCs w:val="28"/>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i/>
          <w:iCs/>
          <w:caps w:val="0"/>
          <w:smallCaps w:val="0"/>
          <w:snapToGrid/>
          <w:vanish w:val="0"/>
          <w:color w:val="auto"/>
          <w:sz w:val="70"/>
          <w:szCs w:val="70"/>
          <w:u w:val="single"/>
          <w:vertAlign w:val="baseline"/>
        </w:rPr>
      </w:pPr>
      <w:r>
        <w:rPr>
          <w:rFonts w:ascii="DejaVu Math TeX Gyre" w:eastAsia="DejaVu Math TeX Gyre" w:hAnsi="DejaVu Math TeX Gyre"/>
          <w:b/>
          <w:bCs/>
          <w:i/>
          <w:iCs/>
          <w:caps w:val="0"/>
          <w:smallCaps w:val="0"/>
          <w:snapToGrid/>
          <w:vanish w:val="0"/>
          <w:color w:val="auto"/>
          <w:sz w:val="70"/>
          <w:szCs w:val="70"/>
          <w:u w:val="single"/>
          <w:vertAlign w:val="baseline"/>
        </w:rPr>
        <w:t>Chapter 1</w:t>
      </w:r>
    </w:p>
    <w:p>
      <w:pPr>
        <w:pStyle w:val="12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64" w:beforeAutospacing="0" w:after="0" w:afterAutospacing="0" w:line="240" w:lineRule="auto"/>
        <w:ind w:left="0" w:right="139" w:firstLine="0"/>
        <w:contextualSpacing w:val="0"/>
        <w:jc w:val="both"/>
        <w:textAlignment w:val="auto"/>
        <w:outlineLvl w:val="1"/>
        <w:rPr>
          <w:rFonts w:ascii="DejaVu Math TeX Gyre" w:eastAsia="DejaVu Math TeX Gyre" w:hAnsi="DejaVu Math TeX Gyre"/>
          <w:i/>
          <w:iCs/>
          <w:caps w:val="0"/>
          <w:smallCaps w:val="0"/>
          <w:snapToGrid/>
          <w:vanish w:val="0"/>
          <w:color w:val="auto"/>
          <w:sz w:val="70"/>
          <w:szCs w:val="70"/>
          <w:u w:val="single"/>
          <w:vertAlign w:val="baseline"/>
        </w:rPr>
      </w:pPr>
    </w:p>
    <w:p>
      <w:pPr>
        <w:pStyle w:val="12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64" w:beforeAutospacing="0" w:after="0" w:afterAutospacing="0" w:line="240" w:lineRule="auto"/>
        <w:ind w:left="0" w:right="139" w:firstLine="0"/>
        <w:contextualSpacing w:val="0"/>
        <w:jc w:val="center"/>
        <w:textAlignment w:val="auto"/>
        <w:outlineLvl w:val="1"/>
        <w:rPr>
          <w:rFonts w:ascii="DejaVu Math TeX Gyre" w:eastAsia="DejaVu Math TeX Gyre" w:hAnsi="DejaVu Math TeX Gyre"/>
          <w:i/>
          <w:iCs/>
          <w:caps w:val="0"/>
          <w:smallCaps w:val="0"/>
          <w:snapToGrid/>
          <w:vanish w:val="0"/>
          <w:color w:val="auto"/>
          <w:sz w:val="70"/>
          <w:szCs w:val="70"/>
          <w:u w:val="single"/>
          <w:vertAlign w:val="baseline"/>
        </w:rPr>
      </w:pPr>
      <w:r>
        <w:rPr>
          <w:rFonts w:ascii="DejaVu Math TeX Gyre" w:eastAsia="DejaVu Math TeX Gyre" w:hAnsi="DejaVu Math TeX Gyre"/>
          <w:i/>
          <w:iCs/>
          <w:caps w:val="0"/>
          <w:smallCaps w:val="0"/>
          <w:snapToGrid/>
          <w:vanish w:val="0"/>
          <w:color w:val="auto"/>
          <w:sz w:val="70"/>
          <w:szCs w:val="70"/>
          <w:u w:val="single"/>
          <w:vertAlign w:val="baseline"/>
        </w:rPr>
        <w:t xml:space="preserve">Introduction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87" w:beforeAutospacing="0" w:after="0" w:afterAutospacing="0" w:line="240" w:lineRule="auto"/>
        <w:ind w:left="165" w:right="0" w:firstLine="0"/>
        <w:contextualSpacing w:val="0"/>
        <w:jc w:val="center"/>
        <w:textAlignment w:val="auto"/>
        <w:outlineLvl w:val="9"/>
        <w:rPr>
          <w:rFonts w:ascii="DejaVu Math TeX Gyre" w:eastAsia="DejaVu Math TeX Gyre" w:hAnsi="DejaVu Math TeX Gyre"/>
          <w:b/>
          <w:bCs/>
          <w:i/>
          <w:iCs/>
          <w:caps w:val="0"/>
          <w:smallCaps w:val="0"/>
          <w:snapToGrid/>
          <w:vanish w:val="0"/>
          <w:color w:val="auto"/>
          <w:sz w:val="50"/>
          <w:szCs w:val="50"/>
          <w:u w:val="single"/>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156" w:beforeAutospacing="0" w:after="0" w:afterAutospacing="0" w:line="240" w:lineRule="auto"/>
        <w:ind w:left="165" w:right="302"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34"/>
          <w:szCs w:val="34"/>
          <w:vertAlign w:val="baseline"/>
        </w:rPr>
        <w:t xml:space="preserve">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40"/>
          <w:szCs w:val="40"/>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40"/>
          <w:szCs w:val="40"/>
          <w:vertAlign w:val="baseline"/>
        </w:rPr>
      </w:pP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000000"/>
          <w:sz w:val="36"/>
          <w:szCs w:val="36"/>
          <w:u w:val="single"/>
          <w:vertAlign w:val="baseline"/>
        </w:rPr>
      </w:pPr>
      <w:r>
        <w:rPr>
          <w:rFonts w:ascii="DejaVu Math TeX Gyre" w:eastAsia="DejaVu Math TeX Gyre" w:hAnsi="DejaVu Math TeX Gyre"/>
          <w:b/>
          <w:bCs/>
          <w:caps w:val="0"/>
          <w:smallCaps w:val="0"/>
          <w:snapToGrid/>
          <w:vanish w:val="0"/>
          <w:color w:val="000000"/>
          <w:sz w:val="36"/>
          <w:szCs w:val="36"/>
          <w:u w:val="single"/>
          <w:vertAlign w:val="baseline"/>
        </w:rPr>
        <w:t xml:space="preserve">1.1 Introduction </w:t>
      </w:r>
    </w:p>
    <w:p>
      <w:pPr>
        <w:pStyle w:val="68"/>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000000"/>
          <w:sz w:val="38"/>
          <w:szCs w:val="38"/>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Healthcare quality and patient safety are fundamental pillars of modern health systems around the world. Healthcare institutions always work to follow established standards that guide their operations. These standards help them provide medical services that are safe, effective, and patient centered.</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Accreditation programs play a vital role by providing a structured approach to assess whether these standards are being met.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In the Kingdom of Saudi Arabia, the healthcare sector has undergone significant transformation under Vision 2030 and healthcare quality being a top priority while accreditation has become a primary method to ensure that all healthcare facilities meet the same high standards of care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 Saudi Central Board for Accreditation of Healthcare Institutions (CBAHI) is a national governmental body under the Saudi Health Council that aims to ensure the quality and safety of healthcare services in Saudi Arabia. It supports healthcare facilities through developing unified standards, conducting evaluations, and granting accreditation[1].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CBAHI was first introduced in 2001 as a quality improvement initiative in the Makkah region. Due to its success, it was later expanded to cover all healthcare institutions across the Kingdom and became a national accreditation body[1].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In 2013, a Council of Ministers decision officially established CBAHI in its current form and made accreditation mandatory for healthcare institutions to ensure consistent quality of care[1].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CBAHI standards and accreditation have a positive impact on the quality of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healthcare services and patient safety across various medical sectors in Saudi Arabia</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[2]. These programs help make healthcare organizations more accountable, improve their performance, and foster a culture of continuous quality improvement.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Recent research by Alsuhaimi et al. (2025) highlighted that </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the positive impact of CBAHI standards and accreditation requirements has been felt in various Saudi Arabian settings and locations,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emphasizing their role in improving institutional performance [3].</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 dental care sector represents an important and sensitive part of the healthcare system. Dental treatments must be performed carefully and adhere to strict standards for infection control and risk management [4].</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Dental clinics may appear to be low risk environments,yet they involve many procedures that expose both patients and practitioners to blood and aerosols, which increases the risk of infection transmission. So applying quality and safety standards is very important in daily dental practice[5].</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After the COVID-19 pandemic, more attention has been given to infection control, especially in dental settings. However, even with this increased awareness, not all practitioners may apply these standards consistently.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Dental practitioners may face challenges in implementing standards due to factors such as workload, limited time,lack of training or workplace conditions[6].</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Another important point is how practitioners perceive CBAHI standards. Some may see them as a helpful guide to improve patient safety and quality of care, while others may consider them mainly as requirements for accreditation rather than something to follow in everyday practice. This difference in perception can affect how well these standards are applied [7].</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In addition, differences in experience and work settings may also influence practice. For example, younger dentists may be more familiar with updated guidelines, while more experienced practitioners may depend more on their routine. Also, working in private clinics may involve different pressures compared to public clinics[8].</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Although the dental sector plays a major role in healthcare, there are still limited studies that focus on the knowledge, attitudes, and barriers related to the implementation of CBAHI standards among dental practitioners in Saudi Arabia, what they know about CBAHI standards, how they feel about them, and what specific difficulties they face in following them[9].</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 Therefore, this study aims to explore these aspects and provide a clear understanding and provide valuable insights that can help improve compliance and further enhance patient safety within Saudi Arabia's rapidly evolving healthcare landscape and improve the quality of dental care.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u w:val="single"/>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 xml:space="preserve">1.2 Problem Statement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val="0"/>
          <w:bCs w:val="0"/>
          <w:caps w:val="0"/>
          <w:smallCaps w:val="0"/>
          <w:strike w:val="0"/>
          <w:dstrike w:val="0"/>
          <w:snapToGrid/>
          <w:vanish w:val="0"/>
          <w:color w:val="auto"/>
          <w:sz w:val="24"/>
          <w:szCs w:val="24"/>
          <w:u w:val="none"/>
          <w:vertAlign w:val="baseline"/>
        </w:rPr>
        <w:t xml:space="preserv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Dental care environments are uniquely high risk settings within the healthcare system. Unlike many other medical fields, dental procedures frequently involve aerosol generating procedures, the use of sharp instruments, and close face to face proximity between practitioners and patients. Combined with rapid patient turnover, these factors significantly increase the potential for cross-contamination and the transmission of infections. Therefore, strict adherence to the highest standards of infection control and patient safety is not merely a recommendation but an absolute necessity in dentistry.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While Saudi Arabia, under Vision 2030, has implemented CBAHI standards, including specific National Standards for Dental Centers (2022), ensuring consistent and effective compliance within this sensitive sector remains a critical challenge [2, 3, 4].</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Despite the proven positive impact of CBAHI accreditation across general healthcare, a significant knowledge gap persists regarding its specific application in dentistry [3, 4]. Limited empirical evidence exists on how dental practitioners, the frontline implementers perceive these standards, understand them, or the practical barriers they face [4]. This oversight is crucial because any divergence between policy and practice in such a high-risk environment may directly compromise patient safety through potential cross-contamination and healthcare associated infections, thereby affecting the consistent quality of dental services [5].</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Therefore, this study is essential to explore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awareness, attitudes, and perceived challenges regarding CBAHI standards. Its findings will identify areas for improvement, supporting more effective implementation and ultimately enhancing patient safety and quality of care in Saudi Arabia.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1.3 Study Importance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This study has both scientific and practical importance, as it addresses an important aspect of healthcare quality in Saudi Arabia, particularly the implementation of CBAHI standards in dental 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Scientific Significance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This study contributes to enriching knowledge in the field of healthcare quality and accreditation standards, particularly in dental practice.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While several studies have examined the implementation of CBAHI standards in healthcare institutions in general, only a limited number have focused specifically on dental clinics. Most of the available research in dental settings mainly focuses on infection control, while other important aspects of quality and safety receive less attention[6].</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Dental clinics represent unique clinical environments that involve several risks, such as the use of sharp instruments, exposure to radiation from dental imaging, administration of medications and local anesthesia, and close contact between dentists and patients. In addition to infection control, implementing accreditation standards in dental clinics also involves important elements such as patient safety, proper clinical documentation, medication safety, risk management, and emergency preparedness[5].</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Therefore, this study helps fill a gap in the literature by examining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attitudes, and perceived barriers related to the implementation of CBAH standards.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It also contributes to a better theoretical understanding of how healthcare professionals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and attitudes may influence their adherence to quality and safety standards.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vertAlign w:val="baseline"/>
        </w:rPr>
      </w:pPr>
      <w:r>
        <w:rPr>
          <w:rFonts w:ascii="DejaVu Math TeX Gyre" w:eastAsia="DejaVu Math TeX Gyre" w:hAnsi="DejaVu Math TeX Gyre"/>
          <w:b/>
          <w:bCs/>
          <w:caps w:val="0"/>
          <w:smallCaps w:val="0"/>
          <w:snapToGrid/>
          <w:vanish w:val="0"/>
          <w:color w:val="auto"/>
          <w:sz w:val="32"/>
          <w:szCs w:val="32"/>
          <w:vertAlign w:val="baseline"/>
        </w:rPr>
        <w:t>Practical Significance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From a practical standpoint, this study offers direct benefits for improving dental care in Saudi Arabia. The findings can help dental clinics and health institutes understand the real world challenges that dentists face when trying to apply CBAHI standards.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This information is very useful for creating better training programs that are designed specifically for the needs of dental professionals. By identifying the main problems, this study can guide policymakers, like the Ministry of Health and CBAHI, in making more effective rules and support systems. Ultimately, this will lead to safer dental practices, better patient</w:t>
      </w:r>
      <w:r>
        <w:rPr>
          <w:rFonts w:ascii="DejaVu Math TeX Gyre" w:eastAsia="DejaVu Math TeX Gyre" w:hAnsi="DejaVu Math TeX Gyre"/>
          <w:b w:val="0"/>
          <w:bCs w:val="0"/>
          <w:caps w:val="0"/>
          <w:smallCaps w:val="0"/>
          <w:snapToGrid/>
          <w:vanish w:val="0"/>
          <w:color w:val="auto"/>
          <w:sz w:val="24"/>
          <w:szCs w:val="24"/>
          <w:vertAlign w:val="baseline"/>
        </w:rPr>
        <w:t xml:space="preserve">s </w:t>
      </w:r>
      <w:r>
        <w:rPr>
          <w:rFonts w:ascii="DejaVu Math TeX Gyre" w:eastAsia="DejaVu Math TeX Gyre" w:hAnsi="DejaVu Math TeX Gyre"/>
          <w:caps w:val="0"/>
          <w:smallCaps w:val="0"/>
          <w:snapToGrid/>
          <w:vanish w:val="0"/>
          <w:color w:val="auto"/>
          <w:sz w:val="24"/>
          <w:szCs w:val="24"/>
          <w:vertAlign w:val="baseline"/>
        </w:rPr>
        <w:t>outcomes, and a stronger culture of quality and safety in dental care across the Kingdom.</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32"/>
          <w:szCs w:val="32"/>
          <w:vertAlign w:val="baseline"/>
        </w:rPr>
        <w:t xml:space="preserve"> </w:t>
      </w:r>
      <w:r>
        <w:rPr>
          <w:rFonts w:ascii="DejaVu Math TeX Gyre" w:eastAsia="DejaVu Math TeX Gyre" w:hAnsi="DejaVu Math TeX Gyre"/>
          <w:b/>
          <w:bCs/>
          <w:caps w:val="0"/>
          <w:smallCaps w:val="0"/>
          <w:snapToGrid/>
          <w:vanish w:val="0"/>
          <w:color w:val="auto"/>
          <w:sz w:val="32"/>
          <w:szCs w:val="32"/>
          <w:u w:val="single"/>
          <w:vertAlign w:val="baseline"/>
        </w:rPr>
        <w:t>1.4 OBJECTIVES</w:t>
      </w:r>
      <w:r>
        <w:rPr>
          <w:rFonts w:ascii="DejaVu Math TeX Gyre" w:eastAsia="DejaVu Math TeX Gyre" w:hAnsi="DejaVu Math TeX Gyre"/>
          <w:caps w:val="0"/>
          <w:smallCaps w:val="0"/>
          <w:snapToGrid/>
          <w:vanish w:val="0"/>
          <w:color w:val="auto"/>
          <w:sz w:val="24"/>
          <w:szCs w:val="24"/>
          <w:vertAlign w:val="baseline"/>
        </w:rPr>
        <w: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General Objective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 To identify the knowledge, attitude, and barries toward implementing CBAHI standards among dental practitioners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8"/>
          <w:szCs w:val="28"/>
          <w:vertAlign w:val="baseline"/>
        </w:rPr>
        <w:t>Specific Objective</w:t>
      </w:r>
      <w:r>
        <w:rPr>
          <w:rFonts w:ascii="DejaVu Math TeX Gyre" w:eastAsia="DejaVu Math TeX Gyre" w:hAnsi="DejaVu Math TeX Gyre"/>
          <w:b/>
          <w:bCs/>
          <w:caps w:val="0"/>
          <w:smallCaps w:val="0"/>
          <w:snapToGrid/>
          <w:vanish w:val="0"/>
          <w:color w:val="auto"/>
          <w:sz w:val="24"/>
          <w:szCs w:val="24"/>
          <w:vertAlign w:val="baseline"/>
        </w:rPr>
        <w:t xml:space="preserv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1.</w:t>
      </w:r>
      <w:r>
        <w:rPr>
          <w:rFonts w:ascii="DejaVu Math TeX Gyre" w:eastAsia="DejaVu Math TeX Gyre" w:hAnsi="DejaVu Math TeX Gyre"/>
          <w:caps w:val="0"/>
          <w:smallCaps w:val="0"/>
          <w:snapToGrid/>
          <w:vanish w:val="0"/>
          <w:color w:val="auto"/>
          <w:sz w:val="24"/>
          <w:szCs w:val="24"/>
          <w:vertAlign w:val="baseline"/>
        </w:rPr>
        <w:t xml:space="preserve"> To evaluate the level of knowledge among dental practitioners regarding CBAHI accreditation standards.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2.</w:t>
      </w:r>
      <w:r>
        <w:rPr>
          <w:rFonts w:ascii="DejaVu Math TeX Gyre" w:eastAsia="DejaVu Math TeX Gyre" w:hAnsi="DejaVu Math TeX Gyre"/>
          <w:caps w:val="0"/>
          <w:smallCaps w:val="0"/>
          <w:snapToGrid/>
          <w:vanish w:val="0"/>
          <w:color w:val="auto"/>
          <w:sz w:val="24"/>
          <w:szCs w:val="24"/>
          <w:vertAlign w:val="baseline"/>
        </w:rPr>
        <w:t xml:space="preserve"> To assess their attitudes toward implementing these sandards in dental practice.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3</w:t>
      </w:r>
      <w:r>
        <w:rPr>
          <w:rFonts w:ascii="DejaVu Math TeX Gyre" w:eastAsia="DejaVu Math TeX Gyre" w:hAnsi="DejaVu Math TeX Gyre"/>
          <w:caps w:val="0"/>
          <w:smallCaps w:val="0"/>
          <w:snapToGrid/>
          <w:vanish w:val="0"/>
          <w:color w:val="auto"/>
          <w:sz w:val="24"/>
          <w:szCs w:val="24"/>
          <w:vertAlign w:val="baseline"/>
        </w:rPr>
        <w:t>. To assess the barriers that hinder effective implementation of CBAHI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4.</w:t>
      </w:r>
      <w:r>
        <w:rPr>
          <w:rFonts w:ascii="DejaVu Math TeX Gyre" w:eastAsia="DejaVu Math TeX Gyre" w:hAnsi="DejaVu Math TeX Gyre"/>
          <w:caps w:val="0"/>
          <w:smallCaps w:val="0"/>
          <w:snapToGrid/>
          <w:vanish w:val="0"/>
          <w:color w:val="auto"/>
          <w:sz w:val="24"/>
          <w:szCs w:val="24"/>
          <w:vertAlign w:val="baseline"/>
        </w:rPr>
        <w:t xml:space="preserve"> To propose recommendations to improve awareness, compliance, and training with CBAHI standards in dental 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1.5 Study Questuions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 xml:space="preserve">1. </w:t>
      </w:r>
      <w:r>
        <w:rPr>
          <w:rFonts w:ascii="DejaVu Math TeX Gyre" w:eastAsia="DejaVu Math TeX Gyre" w:hAnsi="DejaVu Math TeX Gyre"/>
          <w:caps w:val="0"/>
          <w:smallCaps w:val="0"/>
          <w:snapToGrid/>
          <w:vanish w:val="0"/>
          <w:color w:val="auto"/>
          <w:sz w:val="24"/>
          <w:szCs w:val="24"/>
          <w:vertAlign w:val="baseline"/>
        </w:rPr>
        <w:t>What is the level of knowledge among dental practitioners in Saudi Arabia toward CBAHI standards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2</w:t>
      </w:r>
      <w:r>
        <w:rPr>
          <w:rFonts w:ascii="DejaVu Math TeX Gyre" w:eastAsia="DejaVu Math TeX Gyre" w:hAnsi="DejaVu Math TeX Gyre"/>
          <w:caps w:val="0"/>
          <w:smallCaps w:val="0"/>
          <w:snapToGrid/>
          <w:vanish w:val="0"/>
          <w:color w:val="auto"/>
          <w:sz w:val="24"/>
          <w:szCs w:val="24"/>
          <w:vertAlign w:val="baseline"/>
        </w:rPr>
        <w:t>. What are the attitudes of dental practitioners toward implementing CBAHI standards in the daily pratice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3.</w:t>
      </w:r>
      <w:r>
        <w:rPr>
          <w:rFonts w:ascii="DejaVu Math TeX Gyre" w:eastAsia="DejaVu Math TeX Gyre" w:hAnsi="DejaVu Math TeX Gyre"/>
          <w:caps w:val="0"/>
          <w:smallCaps w:val="0"/>
          <w:snapToGrid/>
          <w:vanish w:val="0"/>
          <w:color w:val="auto"/>
          <w:sz w:val="24"/>
          <w:szCs w:val="24"/>
          <w:vertAlign w:val="baseline"/>
        </w:rPr>
        <w:t xml:space="preserve"> What are the main barriers that faced the dental practitioners in applying CBAHI standards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4</w:t>
      </w:r>
      <w:r>
        <w:rPr>
          <w:rFonts w:ascii="DejaVu Math TeX Gyre" w:eastAsia="DejaVu Math TeX Gyre" w:hAnsi="DejaVu Math TeX Gyre"/>
          <w:caps w:val="0"/>
          <w:smallCaps w:val="0"/>
          <w:snapToGrid/>
          <w:vanish w:val="0"/>
          <w:color w:val="auto"/>
          <w:sz w:val="24"/>
          <w:szCs w:val="24"/>
          <w:vertAlign w:val="baseline"/>
        </w:rPr>
        <w:t>. Are there associations between demographic characteristics like years of expertise, job position and practitioners's kowledge, attitudes, and barriers?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5.</w:t>
      </w:r>
      <w:r>
        <w:rPr>
          <w:rFonts w:ascii="DejaVu Math TeX Gyre" w:eastAsia="DejaVu Math TeX Gyre" w:hAnsi="DejaVu Math TeX Gyre"/>
          <w:caps w:val="0"/>
          <w:smallCaps w:val="0"/>
          <w:snapToGrid/>
          <w:vanish w:val="0"/>
          <w:color w:val="auto"/>
          <w:sz w:val="24"/>
          <w:szCs w:val="24"/>
          <w:vertAlign w:val="baseline"/>
        </w:rPr>
        <w:t xml:space="preserve"> What are the best interventions to improve awareness and compliance with CBAHI standards?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u w:val="single"/>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1.6 Hypotheses of the Study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Main Hypothesis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There is a statistically significant relationship between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and attitudes toward CBAHI standards and the level of implementation of these standards in dental clinics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Null Hypothesis (H0):</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There is no statistically significant relationship between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and attitudes and the implementation of CBAHI standards in dental clinics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Alternative Hypothesis (H1):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There is a statistically significant relationship between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and attitudes and the implementation of CBAHI standards in dental clinics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Sub-Hypotheses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H1</w:t>
      </w:r>
      <w:r>
        <w:rPr>
          <w:rFonts w:ascii="DejaVu Math TeX Gyre" w:eastAsia="DejaVu Math TeX Gyre" w:hAnsi="DejaVu Math TeX Gyre"/>
          <w:caps w:val="0"/>
          <w:smallCaps w:val="0"/>
          <w:snapToGrid/>
          <w:vanish w:val="0"/>
          <w:color w:val="auto"/>
          <w:sz w:val="24"/>
          <w:szCs w:val="24"/>
          <w:vertAlign w:val="baseline"/>
        </w:rPr>
        <w:t>: There is a statistically significant relationship between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of CBAHI standards and their attitudes toward implementing these standards in dental clinics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H2</w:t>
      </w:r>
      <w:r>
        <w:rPr>
          <w:rFonts w:ascii="DejaVu Math TeX Gyre" w:eastAsia="DejaVu Math TeX Gyre" w:hAnsi="DejaVu Math TeX Gyre"/>
          <w:caps w:val="0"/>
          <w:smallCaps w:val="0"/>
          <w:snapToGrid/>
          <w:vanish w:val="0"/>
          <w:color w:val="auto"/>
          <w:sz w:val="24"/>
          <w:szCs w:val="24"/>
          <w:vertAlign w:val="baseline"/>
        </w:rPr>
        <w:t>: There is a statistically significant relationship between years of professional experience and the level of knowledge of CBAHI standards among dental practitioners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H3</w:t>
      </w:r>
      <w:r>
        <w:rPr>
          <w:rFonts w:ascii="DejaVu Math TeX Gyre" w:eastAsia="DejaVu Math TeX Gyre" w:hAnsi="DejaVu Math TeX Gyre"/>
          <w:caps w:val="0"/>
          <w:smallCaps w:val="0"/>
          <w:snapToGrid/>
          <w:vanish w:val="0"/>
          <w:color w:val="auto"/>
          <w:sz w:val="24"/>
          <w:szCs w:val="24"/>
          <w:vertAlign w:val="baseline"/>
        </w:rPr>
        <w:t>: There is a statistically significant relationship between demographic and professional factors (such as job position) and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attitudes toward the implementation of CBAHI standards.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H4</w:t>
      </w:r>
      <w:r>
        <w:rPr>
          <w:rFonts w:ascii="DejaVu Math TeX Gyre" w:eastAsia="DejaVu Math TeX Gyre" w:hAnsi="DejaVu Math TeX Gyre"/>
          <w:caps w:val="0"/>
          <w:smallCaps w:val="0"/>
          <w:snapToGrid/>
          <w:vanish w:val="0"/>
          <w:color w:val="auto"/>
          <w:sz w:val="24"/>
          <w:szCs w:val="24"/>
          <w:vertAlign w:val="baseline"/>
        </w:rPr>
        <w:t>: There is a statistically significant relationship between perceived barriers (such as lack of time and lack of training) and the implementation of CBAHI standards in dental 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H5:</w:t>
      </w:r>
      <w:r>
        <w:rPr>
          <w:rFonts w:ascii="DejaVu Math TeX Gyre" w:eastAsia="DejaVu Math TeX Gyre" w:hAnsi="DejaVu Math TeX Gyre"/>
          <w:caps w:val="0"/>
          <w:smallCaps w:val="0"/>
          <w:snapToGrid/>
          <w:vanish w:val="0"/>
          <w:color w:val="auto"/>
          <w:sz w:val="24"/>
          <w:szCs w:val="24"/>
          <w:vertAlign w:val="baseline"/>
        </w:rPr>
        <w:t xml:space="preserve"> Increasing awareness and training programs is associated with improved implementation of CBAHI standards among dental practitioners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u w:val="single"/>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1.7 Study Model</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This study adopts across-sectional descriptive analytical framework to assess the levels of knowledge, attitudes, and perceived barriers related to the implementation of CBAHI standards among dental practitioners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8"/>
          <w:szCs w:val="28"/>
          <w:vertAlign w:val="baseline"/>
        </w:rPr>
        <w:t>Study Variables</w:t>
      </w:r>
      <w:r>
        <w:rPr>
          <w:rFonts w:ascii="DejaVu Math TeX Gyre" w:eastAsia="DejaVu Math TeX Gyre" w:hAnsi="DejaVu Math TeX Gyre"/>
          <w:b/>
          <w:bCs/>
          <w:caps w:val="0"/>
          <w:smallCaps w:val="0"/>
          <w:snapToGrid/>
          <w:vanish w:val="0"/>
          <w:color w:val="auto"/>
          <w:sz w:val="24"/>
          <w:szCs w:val="24"/>
          <w:vertAlign w:val="baseline"/>
        </w:rPr>
        <w:t xml:space="preserv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of CBAHI standards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Attitudes toward CBAHI standards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Perceived barriers to implementation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Outcome Variable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Level of implementation of CBAHI standards in clinical practice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70"/>
          <w:szCs w:val="70"/>
          <w:u w:val="single"/>
          <w:vertAlign w:val="baseline"/>
        </w:rPr>
      </w:pPr>
      <w:r>
        <w:rPr>
          <w:rFonts w:ascii="DejaVu Math TeX Gyre" w:eastAsia="DejaVu Math TeX Gyre" w:hAnsi="DejaVu Math TeX Gyre"/>
          <w:b/>
          <w:bCs/>
          <w:caps w:val="0"/>
          <w:smallCaps w:val="0"/>
          <w:snapToGrid/>
          <w:vanish w:val="0"/>
          <w:color w:val="auto"/>
          <w:sz w:val="70"/>
          <w:szCs w:val="70"/>
          <w:u w:val="single"/>
          <w:vertAlign w:val="baseline"/>
        </w:rPr>
        <w:t>CHAPTER 2</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70"/>
          <w:szCs w:val="70"/>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center"/>
        <w:textAlignment w:val="auto"/>
        <w:outlineLvl w:val="9"/>
        <w:rPr>
          <w:rFonts w:ascii="DejaVu Math TeX Gyre" w:eastAsia="DejaVu Math TeX Gyre" w:hAnsi="DejaVu Math TeX Gyre"/>
          <w:b/>
          <w:bCs/>
          <w:caps w:val="0"/>
          <w:smallCaps w:val="0"/>
          <w:snapToGrid/>
          <w:vanish w:val="0"/>
          <w:color w:val="auto"/>
          <w:sz w:val="80"/>
          <w:szCs w:val="80"/>
          <w:u w:val="single"/>
          <w:vertAlign w:val="baseline"/>
        </w:rPr>
      </w:pPr>
      <w:r>
        <w:rPr>
          <w:rFonts w:ascii="DejaVu Math TeX Gyre" w:eastAsia="DejaVu Math TeX Gyre" w:hAnsi="DejaVu Math TeX Gyre"/>
          <w:b/>
          <w:bCs/>
          <w:caps w:val="0"/>
          <w:smallCaps w:val="0"/>
          <w:snapToGrid/>
          <w:vanish w:val="0"/>
          <w:color w:val="auto"/>
          <w:sz w:val="70"/>
          <w:szCs w:val="70"/>
          <w:u w:val="single"/>
          <w:vertAlign w:val="baseline"/>
        </w:rPr>
        <w:t>Literature Review</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2.1 Introduction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 Saudi Central Board for Accreditation of Healthcare Institutions (CBAHI) sets mandatory standards to ensure quality and patient safety in all healthcare facilities, including dental clinics. These standards cover key areas like patient safety, infection control, risk management, staff competency, medical records, and quality systems.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Successful implementation depends on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attitudes, and the barriers they face, such as lack of training, limited resources, or heavy workload. Previous studies in Saudi healthcare settings show knowledge and attitudes vary, and practical obstacles often limit compliance[6].</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This chapter reviews the literature on three main topics: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of accreditation standards in dentistry.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Attitudes toward accreditation and quality care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Barriers to applying the standards.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 main research gap is the limited focus on dentists in Saudi Arabia, highlighting the need for this study.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Dependent Variable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b/>
        <w:t xml:space="preserve">Implementation of CBAHI Standards, the extent to which dental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practitioners apply accreditation standards in their daily practice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8"/>
          <w:szCs w:val="28"/>
          <w:vertAlign w:val="baseline"/>
        </w:rPr>
        <w:t>Independent Variables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Knowledge of CBAHI standards among the practitioners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b/>
        <w:t>Attitudes toward accreditation and quality care , their perceptions and opinions about accreditation and quality of care, and Barriers to implementation ,factors that hinder full compliance with the standars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 xml:space="preserve">2.2 Discussion of Literature Review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1. Implementation Impact in Primary Care Dental 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Evaluating the impact of applying infection control standards for CBAHI program in dental clinics in primary healthcare centers, Makkah,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Alghamdi, S., et al. (2021).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assess how CBAHI accreditation affects the quality of infection control in government dental 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A descriptive study using standardized observation checklists across several 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Accreditation significantly improved sterilization and waste management. However, compliance was inconsistent in clinics with high patient turnover.</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This study proves that CBAHI works at a structural level but fails to explain the human element and why practitioners in busy clinics struggle. This research fills in by looking at barriers like workload.</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2. Implementation Impact on Infection Control Practices</w:t>
      </w:r>
      <w:r>
        <w:rPr>
          <w:rFonts w:ascii="DejaVu Math TeX Gyre" w:hAnsi="DejaVu Math TeX Gyre"/>
          <w:b/>
          <w:bCs/>
          <w:caps w:val="0"/>
          <w:smallCaps w:val="0"/>
          <w:snapToGrid/>
          <w:vanish w:val="0"/>
          <w:color w:val="auto"/>
          <w:sz w:val="28"/>
          <w:szCs w:val="28"/>
          <w:vertAlign w:val="baseline"/>
        </w:rPr>
        <w:t xml:space="preserve"> </w:t>
      </w:r>
      <w:r>
        <w:rPr>
          <w:rFonts w:ascii="DejaVu Math TeX Gyre" w:eastAsia="DejaVu Math TeX Gyre" w:hAnsi="DejaVu Math TeX Gyre"/>
          <w:b/>
          <w:bCs/>
          <w:caps w:val="0"/>
          <w:smallCaps w:val="0"/>
          <w:snapToGrid/>
          <w:vanish w:val="0"/>
          <w:color w:val="auto"/>
          <w:sz w:val="28"/>
          <w:szCs w:val="28"/>
          <w:vertAlign w:val="baseline"/>
        </w:rPr>
        <w: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Compliance of Dental Health Care Providers on Infection Control Standard Precautions Guidelines in Primary Health Care Centers, Makkah,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Bandugh, B., et al. (2021)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evaluate adherence to infection control standards (aligned with CBAHI domains) among dental providers in primary care settings.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Cross-sectional survey combined with observational assessment in primary health care centers in Makkah.</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Moderate to good compliance in sterilization and PPE use, but gaps persisted in consistent application due to workload, training variability, and resource shortages.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xml:space="preserve">: This study shows partial success in implementing CBAHI related infection prevention in dentistry but does not address broader attitudes or knowledge gaps.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This research extends the scope by examining knowledge, attitudes, and barriers toward full CBAHI standards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3. Implementation Impact on Patient Safety Dimensions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Impact of the CBAHI accreditation program on the Institute of Medicine</w:t>
      </w:r>
      <w:r>
        <w:rPr>
          <w:rFonts w:ascii="DejaVu Math TeX Gyre" w:hAnsi="DejaVu Math TeX Gyre"/>
          <w:b/>
          <w:bCs/>
          <w:caps w:val="0"/>
          <w:smallCaps w:val="0"/>
          <w:snapToGrid/>
          <w:vanish w:val="0"/>
          <w:color w:val="auto"/>
          <w:sz w:val="28"/>
          <w:szCs w:val="28"/>
          <w:vertAlign w:val="baseline"/>
        </w:rPr>
        <w:t>’</w:t>
      </w:r>
      <w:r>
        <w:rPr>
          <w:rFonts w:ascii="DejaVu Math TeX Gyre" w:eastAsia="DejaVu Math TeX Gyre" w:hAnsi="DejaVu Math TeX Gyre"/>
          <w:b/>
          <w:bCs/>
          <w:caps w:val="0"/>
          <w:smallCaps w:val="0"/>
          <w:snapToGrid/>
          <w:vanish w:val="0"/>
          <w:color w:val="auto"/>
          <w:sz w:val="28"/>
          <w:szCs w:val="28"/>
          <w:vertAlign w:val="baseline"/>
        </w:rPr>
        <w:t>s safety dimensions in Madinah hospitals.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Alsaedi, A., et al. (2023).</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measure the effect of CBAHI accreditation on patient safety indicators and care processes.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Comparative pre and post accreditation analysis using safety metrics and facility audits.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Accreditation improved safety culture, incident reporting, and process adherence; however, sustained improvements were challenged by resource limitations and leadership issues.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The study confirms positive systemic effects of CBAHI on quality and safety, but it remains hospital focused and lacks dentistry specific insights. This research addresses this gap by investigating practitioner level factors in dental settings.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4. Implementation Impact and Provider Perceptions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Perceptions, attitudes, and barriers towards the use of CBAHI standards among Saudi healthcare providers.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 Kabrah, S.M., et al.(2024)</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evaluate healthcare providers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views on the utility of CBAHI standards and the obstacles to their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Cross-sectional survey of 364 providers in 20 CBAHI-accredited governmental hospitals using a validated questionnaire.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High positive perceptions (80.1%) and attitudes (76.4%); standards viewed as quality improvement tools. Major barriers included lack of time, inefficient IT tools, and insufficient management support.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b/>
          <w:bCs/>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This is the most similar study in variables and design, yet dentists formed only a small subgroup. This research builds on it by focusing exclusively on dental practitioners to capture profession specific barriers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5. Implementation Impact and Non-Compliance Factors</w:t>
      </w:r>
      <w:r>
        <w:rPr>
          <w:rFonts w:ascii="DejaVu Math TeX Gyre" w:hAnsi="DejaVu Math TeX Gyre"/>
          <w:b/>
          <w:bCs/>
          <w:caps w:val="0"/>
          <w:smallCaps w:val="0"/>
          <w:snapToGrid/>
          <w:vanish w:val="0"/>
          <w:color w:val="auto"/>
          <w:sz w:val="28"/>
          <w:szCs w:val="28"/>
          <w:vertAlign w:val="baseline"/>
        </w:rPr>
        <w:t xml:space="preserve"> </w:t>
      </w:r>
      <w:r>
        <w:rPr>
          <w:rFonts w:ascii="DejaVu Math TeX Gyre" w:eastAsia="DejaVu Math TeX Gyre" w:hAnsi="DejaVu Math TeX Gyre"/>
          <w:b/>
          <w:bCs/>
          <w:caps w:val="0"/>
          <w:smallCaps w:val="0"/>
          <w:snapToGrid/>
          <w:vanish w:val="0"/>
          <w:color w:val="auto"/>
          <w:sz w:val="28"/>
          <w:szCs w:val="28"/>
          <w:vertAlign w:val="baseline"/>
        </w:rPr>
        <w: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Factors Associated with Non-Compliance with Healthcare Accreditation in Saudi Arabia: A Systematic Review and Meta-Analysis.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Alkhurayji, K.S., et al. (2025)</w:t>
      </w:r>
      <w:r>
        <w:rPr>
          <w:rFonts w:ascii="DejaVu Math TeX Gyre" w:eastAsia="DejaVu Math TeX Gyre" w:hAnsi="DejaVu Math TeX Gyre"/>
          <w:caps w:val="0"/>
          <w:smallCaps w:val="0"/>
          <w:snapToGrid/>
          <w:vanish w:val="0"/>
          <w:color w:val="auto"/>
          <w:sz w:val="28"/>
          <w:szCs w:val="28"/>
          <w:vertAlign w:val="baseline"/>
        </w:rPr>
        <w: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identify the main enablers and barriers affecting compliance with healthcare accreditation standards, including CBAHI.</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Systematic review and meta-analysis of existing studies on accreditation non-compliance factors.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Non-compliance was linked to insufficient training, organizational resistance, poor implementation strategies, and negative attitudes. Compliant settings showed better infection control and sanitation.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6"/>
          <w:szCs w:val="26"/>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This review provides strong evidence of recurring barriers to CBAHI success across settings, but it lacks depth in dentistry. This research fills the gap by targeting knowledge, attitudes, and barriers specifically among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6. An overview of Central Board for the Accreditation of Healthcare Institutions (CBAHI) in Saudi Arabia: A Narrative Review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Reference: Al-Omari, A., et al. (2022).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trace the development of CBAHI standards and their alignment with Vision 2030.</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A narrative review of policy documents and published accreditation outcomes.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6"/>
          <w:szCs w:val="26"/>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CBAHI has become mandatory for all sectors (Public and Private), emphasizing patient safety and risk management.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6"/>
          <w:szCs w:val="26"/>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This provides the Policy Context. While it outlines the rules, it doesn't measure Knowledge or Attitudes of the people on the ground.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7. Knowledge and Perceptions of Patient Safety among Dental Professionals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Reference: Al-Qahtani, A. S., et al. (2022).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A cross-sectional survey of 400+ dentists in Riyadh and Jeddah.</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High knowledge of what to do, but low confidence in  how to report medical errors without facing punishment (Blame Culture).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Directly relates to the Knowledge variable. The "Blame Culture" mentioned is a significant Barrier that this study can investigate specifically within the CBAHI framework.</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8. Professional Attitudes of Saudi Healthcare Providers toward Accreditation Requirements: A Multi-center Study.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Sawahel, M. A., et al. (2023).</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measure the psychological acceptance of the rigorous documentation required by CBAHI.</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Quantitative survey using Likert scales to measure Resistance to Change.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sz w:val="24"/>
          <w:szCs w:val="24"/>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Many providers view accreditation as Paperwork-heavy rather than Quality-heavy, leading to negative attitudes and symbolic compliance.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6"/>
          <w:szCs w:val="26"/>
          <w:vertAlign w:val="baseline"/>
        </w:rPr>
        <w:t xml:space="preserve">: </w:t>
      </w:r>
      <w:r>
        <w:rPr>
          <w:rFonts w:ascii="DejaVu Math TeX Gyre" w:eastAsia="DejaVu Math TeX Gyre" w:hAnsi="DejaVu Math TeX Gyre"/>
          <w:caps w:val="0"/>
          <w:smallCaps w:val="0"/>
          <w:snapToGrid/>
          <w:vanish w:val="0"/>
          <w:color w:val="auto"/>
          <w:sz w:val="24"/>
          <w:szCs w:val="24"/>
          <w:vertAlign w:val="baseline"/>
        </w:rPr>
        <w:t>This is crucial for the Attitudes section. It highlights a gap: Practitioners might value quality but hate the process of CBAHI, this study will check if this is true specifically for dental settings.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9. Teledentistry Knowledge, Practice, and Attitudes of Dental Practitioners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Nassani, M. Z., et al. (2021)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assess knowledge of digital standards in dentistry, a requirement often audited under CBAHI</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s Information Management section.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A nationwide web-based survey.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Positive attitudes toward technology, but limited knowledge regarding legal and data protection standards (CBAHI-specific areas).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CBAHI is moving toward electronic health records. This study shows that Knowledge is fragmented, justifying the need to measure overall CBAHI knowledge beyond just clinical skills.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10</w:t>
      </w:r>
      <w:r>
        <w:rPr>
          <w:rFonts w:ascii="DejaVu Math TeX Gyre" w:eastAsia="DejaVu Math TeX Gyre" w:hAnsi="DejaVu Math TeX Gyre"/>
          <w:caps w:val="0"/>
          <w:smallCaps w:val="0"/>
          <w:snapToGrid/>
          <w:vanish w:val="0"/>
          <w:color w:val="auto"/>
          <w:sz w:val="28"/>
          <w:szCs w:val="28"/>
          <w:vertAlign w:val="baseline"/>
        </w:rPr>
        <w:t xml:space="preserve">. </w:t>
      </w:r>
      <w:r>
        <w:rPr>
          <w:rFonts w:ascii="DejaVu Math TeX Gyre" w:eastAsia="DejaVu Math TeX Gyre" w:hAnsi="DejaVu Math TeX Gyre"/>
          <w:b/>
          <w:bCs/>
          <w:caps w:val="0"/>
          <w:smallCaps w:val="0"/>
          <w:snapToGrid/>
          <w:vanish w:val="0"/>
          <w:color w:val="auto"/>
          <w:sz w:val="28"/>
          <w:szCs w:val="28"/>
          <w:vertAlign w:val="baseline"/>
        </w:rPr>
        <w:t>Knowledge and attitudes of dental students and interns toward infection control.</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Al-Maweri, S. A., et al. (2018).</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see if the educational system prepares future dentists for accreditation standards.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Comparative survey between students and practicing interns.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Interns had better practical knowledge, but students had better theoretical knowledge of international guidelines.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Since CBAHI is a national standard,this study can bridge the gap by seeing if practitioners have moved from "Student-level theory" to "Professional-level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11. Barriers to Accreditation in Saudi Primary Care Centers: A Managerial Perspective.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Al-Dabaan, R., et al. (2017).</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identify why some centers fail CBAHI audit.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Qualitative interviews with center managers and senior dentists.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Key barriers included: Financial constraints (for private), high staff turnover, and lack of "Quality Officers" in dental departments.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It provides a managerial view, while this study adds value by providing the practitioner's view and if the barriers is the same for the dentist as they are for the managers.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 12. The Impact of Quality Management Systems on Dental Clinic Performance in Saudi Arabia.</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Reference: Alrasheedi, M., et al. (2022).</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see if implementing systems like CBAHI actually changes clinic performance metrics.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Longitudinal study comparing pre and post accreditation performance.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6"/>
          <w:szCs w:val="26"/>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Performance improved in patient satatisfaction but declined in staff Satisfaction due to the increased administrative burden.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4"/>
          <w:szCs w:val="24"/>
          <w:vertAlign w:val="baseline"/>
        </w:rPr>
        <w:t>: This study identifies a Trade-off and it's better for patient, worse for staff. This research can explore this staff dissatisfaction as a primary attitude and barrier toward long term CBAHI sustainability.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13. Challenges of meeting CBAHI accreditation standards in private dental polyclinics: A qualitative exploration.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Reference: Al-Harbi, M., et al. (2023).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explore the specific financial and administrative difficulties in private dental clinics when aligning with national accreditation requirements.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A qualitative approach using semi-structured interviews with clinic owners and lead dentists in major Saudi cities.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6"/>
          <w:szCs w:val="26"/>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b/>
          <w:bCs/>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The study identified the high infrastructure renovation costs and the shortage of nurses trained in quality management as the primary barriers. It also noted a significant administrative burden that distracts from clinical time.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to and Critique</w:t>
      </w:r>
      <w:r>
        <w:rPr>
          <w:rFonts w:ascii="DejaVu Math TeX Gyre" w:eastAsia="DejaVu Math TeX Gyre" w:hAnsi="DejaVu Math TeX Gyre"/>
          <w:b/>
          <w:bCs/>
          <w:caps w:val="0"/>
          <w:smallCaps w:val="0"/>
          <w:snapToGrid/>
          <w:vanish w:val="0"/>
          <w:color w:val="auto"/>
          <w:sz w:val="24"/>
          <w:szCs w:val="24"/>
          <w:vertAlign w:val="baseline"/>
        </w:rPr>
        <w:t xml:space="preserve">: </w:t>
      </w:r>
      <w:r>
        <w:rPr>
          <w:rFonts w:ascii="DejaVu Math TeX Gyre" w:eastAsia="DejaVu Math TeX Gyre" w:hAnsi="DejaVu Math TeX Gyre"/>
          <w:caps w:val="0"/>
          <w:smallCaps w:val="0"/>
          <w:snapToGrid/>
          <w:vanish w:val="0"/>
          <w:color w:val="auto"/>
          <w:sz w:val="24"/>
          <w:szCs w:val="24"/>
          <w:vertAlign w:val="baseline"/>
        </w:rPr>
        <w:t>While it provides deep insights for Barries in private sector, its small sample size limits generalizability. This research builds on this by providing quantitative data from a larger, more diverse sample to validate if these barriers are systemic across the Kingdom.</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 14. Dentists' perceptions and readiness toward the transition to electronic health records as per CBAHI requirements.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Reference: Al-Shehri, A. S., et al. (2022).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evaluate the cognitive readiness and perceived technical barriers of dental practitioners regarding digital documentation, a core requirement of CBAHI</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s "Information Management" chapter.</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A cross-sectional descriptive study targeting dental professionals in the Riyadh region.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Practitioners showed positive attitudes toward the clinical benefits of EHR but reported a technical barrier due to inadequate IT support and slow software interfaces within 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caps w:val="0"/>
          <w:smallCaps w:val="0"/>
          <w:snapToGrid/>
          <w:vanish w:val="0"/>
          <w:color w:val="auto"/>
          <w:sz w:val="26"/>
          <w:szCs w:val="26"/>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It links directly to this knowledge and Barriers variables. It highlights that knowledge of the system is not enough if technical barriers exist.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15.The relationship between CBAHI accreditation and patient safety culture in dental settings: A comparative study.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 xml:space="preserve">Reference: Al-Otaibi, H., et al. (2024). </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Objective</w:t>
      </w:r>
      <w:r>
        <w:rPr>
          <w:rFonts w:ascii="DejaVu Math TeX Gyre" w:eastAsia="DejaVu Math TeX Gyre" w:hAnsi="DejaVu Math TeX Gyre"/>
          <w:caps w:val="0"/>
          <w:smallCaps w:val="0"/>
          <w:snapToGrid/>
          <w:vanish w:val="0"/>
          <w:color w:val="auto"/>
          <w:sz w:val="24"/>
          <w:szCs w:val="24"/>
          <w:vertAlign w:val="baseline"/>
        </w:rPr>
        <w:t>: To compare the level of safety culture between CBAHI accredited and non accredited dental facilities.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Methodology</w:t>
      </w:r>
      <w:r>
        <w:rPr>
          <w:rFonts w:ascii="DejaVu Math TeX Gyre" w:eastAsia="DejaVu Math TeX Gyre" w:hAnsi="DejaVu Math TeX Gyre"/>
          <w:caps w:val="0"/>
          <w:smallCaps w:val="0"/>
          <w:snapToGrid/>
          <w:vanish w:val="0"/>
          <w:color w:val="auto"/>
          <w:sz w:val="24"/>
          <w:szCs w:val="24"/>
          <w:vertAlign w:val="baseline"/>
        </w:rPr>
        <w:t>: A comparative analysis using the Hospital Survey on Patient Safety Culture (HSOPSC) adapted for dentistry.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Key Results</w:t>
      </w:r>
      <w:r>
        <w:rPr>
          <w:rFonts w:ascii="DejaVu Math TeX Gyre" w:eastAsia="DejaVu Math TeX Gyre" w:hAnsi="DejaVu Math TeX Gyre"/>
          <w:caps w:val="0"/>
          <w:smallCaps w:val="0"/>
          <w:snapToGrid/>
          <w:vanish w:val="0"/>
          <w:color w:val="auto"/>
          <w:sz w:val="24"/>
          <w:szCs w:val="24"/>
          <w:vertAlign w:val="baseline"/>
        </w:rPr>
        <w:t>: Accredited clinics demonstrated significantly higher scores in teamwork and leadership support. However, both groups scored low in non punitive response to errors, indicating a persistent fear of reporting mistakes.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6"/>
          <w:szCs w:val="26"/>
          <w:vertAlign w:val="baseline"/>
        </w:rPr>
        <w:t>Relationship and Critique</w:t>
      </w:r>
      <w:r>
        <w:rPr>
          <w:rFonts w:ascii="DejaVu Math TeX Gyre" w:eastAsia="DejaVu Math TeX Gyre" w:hAnsi="DejaVu Math TeX Gyre"/>
          <w:b/>
          <w:bCs/>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It addresses the attitudes variable. It reveals a critical psychological barrier: even with CBAHI standards in place,and the blame culture remains. This study can further investigate if this fear of puni</w:t>
      </w:r>
      <w:bookmarkStart w:id="0" w:name="_GoBack"/>
      <w:bookmarkEnd w:id="0"/>
      <w:r>
        <w:rPr>
          <w:rFonts w:ascii="DejaVu Math TeX Gyre" w:eastAsia="DejaVu Math TeX Gyre" w:hAnsi="DejaVu Math TeX Gyre"/>
          <w:caps w:val="0"/>
          <w:smallCaps w:val="0"/>
          <w:snapToGrid/>
          <w:vanish w:val="0"/>
          <w:color w:val="auto"/>
          <w:sz w:val="24"/>
          <w:szCs w:val="24"/>
          <w:vertAlign w:val="baseline"/>
        </w:rPr>
        <w:t>shment is a primary reason for negative attitudes toward the accreditation process.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u w:val="single"/>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2.3 Summary of the Literature Review and Research Gap</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Existing research on CBAHI accreditation in Saudi Arabia shows consistent structural improvements in healthcare quality, especially in infection control, sterilization, waste management, patient safety, and incident reporting, mainly in governmental hospitals and primary care centers.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However, implementation barriers remain common: high workload, time pressure, inefficient IT systems, lack of leadership/administrative support, poor communication, resource shortages, organizational resistance, and insufficient incentives/training.</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In dental and primary care settings, partial compliance exists in infection prevention, but it is often inconsistent in high-volume clinics due to patient turnover and staffing issues.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Key Limitations in the Literature: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Heavy focus on governmental hospitals,  private dental polyclinics (a major part of the Saudi dental market) are rarely studied and face unique financial and operational barriers.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Overemphasis on infection control, other critical CBAHI domains (Leadership, HR, Facility Management,Information Management, Patient Rights) are virtually unstudied in the dental context.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Limited practitioner level perspective; most studies adopt a facility or managerial view, neglecting the holistic experience of frontline dental practitioners.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8"/>
          <w:szCs w:val="28"/>
          <w:vertAlign w:val="baseline"/>
        </w:rPr>
        <w:t>Research Gap</w:t>
      </w:r>
      <w:r>
        <w:rPr>
          <w:rFonts w:ascii="DejaVu Math TeX Gyre" w:eastAsia="DejaVu Math TeX Gyre" w:hAnsi="DejaVu Math TeX Gyre"/>
          <w:b/>
          <w:bCs/>
          <w:caps w:val="0"/>
          <w:smallCaps w:val="0"/>
          <w:snapToGrid/>
          <w:vanish w:val="0"/>
          <w:color w:val="auto"/>
          <w:sz w:val="24"/>
          <w:szCs w:val="24"/>
          <w:vertAlign w:val="baseline"/>
        </w:rPr>
        <w: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 xml:space="preserve"> No study has yet provided a comprehensive assessment of CBAHI implementation across all major domains from the dental practitioner</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s perspective, nor has any compared governmental hospitals with private dental polyclinics.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Contribution of this Study: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b/>
          <w:bCs/>
          <w:caps w:val="0"/>
          <w:smallCaps w:val="0"/>
          <w:snapToGrid/>
          <w:vanish w:val="0"/>
          <w:color w:val="auto"/>
          <w:sz w:val="24"/>
          <w:szCs w:val="24"/>
          <w:vertAlign w:val="baseline"/>
        </w:rPr>
        <w:t xml:space="preserve"> </w:t>
      </w:r>
      <w:r>
        <w:rPr>
          <w:rFonts w:ascii="DejaVu Math TeX Gyre" w:eastAsia="DejaVu Math TeX Gyre" w:hAnsi="DejaVu Math TeX Gyre"/>
          <w:caps w:val="0"/>
          <w:smallCaps w:val="0"/>
          <w:snapToGrid/>
          <w:vanish w:val="0"/>
          <w:color w:val="auto"/>
          <w:sz w:val="24"/>
          <w:szCs w:val="24"/>
          <w:vertAlign w:val="baseline"/>
        </w:rPr>
        <w:t>This research fills the gap by offering the first 360-degree evaluation of CBAHI standards implementation among dental practitioners in both governmental and private sectors in Saudi Arabia, examining knowledge, attitudes, and barriers across the full range of CBAHI domains, not limited to infection control.</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4"/>
          <w:szCs w:val="3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6"/>
          <w:szCs w:val="36"/>
          <w:u w:val="single"/>
          <w:vertAlign w:val="baseline"/>
        </w:rPr>
      </w:pPr>
      <w:r>
        <w:rPr>
          <w:rFonts w:ascii="DejaVu Math TeX Gyre" w:eastAsia="DejaVu Math TeX Gyre" w:hAnsi="DejaVu Math TeX Gyre"/>
          <w:caps w:val="0"/>
          <w:smallCaps w:val="0"/>
          <w:snapToGrid/>
          <w:vanish w:val="0"/>
          <w:color w:val="auto"/>
          <w:sz w:val="36"/>
          <w:szCs w:val="36"/>
          <w:u w:val="single"/>
          <w:vertAlign w:val="baseline"/>
        </w:rPr>
        <w:t>2.4</w:t>
      </w:r>
      <w:r>
        <w:rPr>
          <w:rFonts w:ascii="DejaVu Math TeX Gyre" w:eastAsia="DejaVu Math TeX Gyre" w:hAnsi="DejaVu Math TeX Gyre"/>
          <w:b/>
          <w:bCs/>
          <w:caps w:val="0"/>
          <w:smallCaps w:val="0"/>
          <w:snapToGrid/>
          <w:vanish w:val="0"/>
          <w:color w:val="auto"/>
          <w:sz w:val="36"/>
          <w:szCs w:val="36"/>
          <w:u w:val="single"/>
          <w:vertAlign w:val="baseline"/>
        </w:rPr>
        <w:t xml:space="preserve"> Theoretical framework of the Study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u w:val="single"/>
          <w:vertAlign w:val="baseline"/>
        </w:rPr>
      </w:pPr>
      <w:r>
        <w:rPr>
          <w:rFonts w:ascii="DejaVu Math TeX Gyre" w:eastAsia="DejaVu Math TeX Gyre" w:hAnsi="DejaVu Math TeX Gyre"/>
          <w:b/>
          <w:bCs/>
          <w:caps w:val="0"/>
          <w:smallCaps w:val="0"/>
          <w:snapToGrid/>
          <w:vanish w:val="0"/>
          <w:color w:val="auto"/>
          <w:sz w:val="28"/>
          <w:szCs w:val="28"/>
          <w:u w:val="single"/>
          <w:vertAlign w:val="baseline"/>
        </w:rPr>
        <w:t>2.4.1 First Section: Knowledge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a. Introduction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Knowledge and attitudes are fundamental determinants in the successful implementation of healthcare quality standards. In the context of Saudi Central Board for Accreditation of Healthcare Institutions (CBAHI), dental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of accreditation standards, along with their attitudes toward these standards, plays a critical role in shaping clinical practice and influencing compliance. Previous studies in Saudi Arabia have demonstrated that positive attitudes toward accreditation are associated with improved quality of care and patient safety outcomes [10][11].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b. Concept of Knowledge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Knowledge refers to the level of awareness and understanding that dental practitioners have regarding CBAHI standards, including clinical procedures, infection control, and patient safety protocols. It represents the cognitive component necessary for effective implementation [12].</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Attitudes refer to the beliefs, perceptions, and feelings toward accreditation standards, which influence practitioners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willingness to adopt and apply them in clinical practice. These attitudes are shaped by experience, training, and organizational culture [13][11].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c. Importance of Knowledge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Adequate knowledge enables dental practitioners to correctly apply required standards and improve clinical performance. Studies have shown that insufficient knowledge can negatively affect decision-making and quality of care [12][14].</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Positive attitudes toward accreditation standards enhance compliance, improve adherence to safety measures, and support quality improvement initiatives. Conversely, negative attitudes may lead to resistance and poor implementation [11][15].</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d. Characteristics of Knowledge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Knowledge is dynamic, measurable, and can be improved through continuous education and professional development. Research indicates that ongoing training significantly enhances healthcare providers</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 xml:space="preserve"> knowledge and performance [16].</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Attitudes are subjective and may be positive or negative. They are influenced by organizational support, prior experience, and perceived benefits of accreditation. Importantly, attitudes can be modified through education and exposure to quality improvement programs [17].</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e.</w:t>
      </w:r>
      <w:r>
        <w:rPr>
          <w:rFonts w:ascii="DejaVu Math TeX Gyre" w:eastAsia="DejaVu Math TeX Gyre" w:hAnsi="DejaVu Math TeX Gyre"/>
          <w:caps w:val="0"/>
          <w:smallCaps w:val="0"/>
          <w:snapToGrid/>
          <w:vanish w:val="0"/>
          <w:color w:val="auto"/>
          <w:sz w:val="28"/>
          <w:szCs w:val="28"/>
          <w:vertAlign w:val="baseline"/>
        </w:rPr>
        <w:t xml:space="preserve"> </w:t>
      </w:r>
      <w:r>
        <w:rPr>
          <w:rFonts w:ascii="DejaVu Math TeX Gyre" w:eastAsia="DejaVu Math TeX Gyre" w:hAnsi="DejaVu Math TeX Gyre"/>
          <w:b/>
          <w:bCs/>
          <w:caps w:val="0"/>
          <w:smallCaps w:val="0"/>
          <w:snapToGrid/>
          <w:vanish w:val="0"/>
          <w:color w:val="auto"/>
          <w:sz w:val="28"/>
          <w:szCs w:val="28"/>
          <w:vertAlign w:val="baseline"/>
        </w:rPr>
        <w:t>Dimensions of Knowledge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Knowledge includes awareness of accreditation standards, understanding of clinical protocols, and familiarity with infection control and patient safety measures.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Attitudes include commitment to quality improvement, acceptance of accreditation standards, motivation to comply, and perception of their value in improving healthcare outcomes [11].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f.</w:t>
      </w:r>
      <w:r>
        <w:rPr>
          <w:rFonts w:ascii="DejaVu Math TeX Gyre" w:eastAsia="DejaVu Math TeX Gyre" w:hAnsi="DejaVu Math TeX Gyre"/>
          <w:caps w:val="0"/>
          <w:smallCaps w:val="0"/>
          <w:snapToGrid/>
          <w:vanish w:val="0"/>
          <w:color w:val="auto"/>
          <w:sz w:val="28"/>
          <w:szCs w:val="28"/>
          <w:vertAlign w:val="baseline"/>
        </w:rPr>
        <w:t xml:space="preserve"> </w:t>
      </w:r>
      <w:r>
        <w:rPr>
          <w:rFonts w:ascii="DejaVu Math TeX Gyre" w:eastAsia="DejaVu Math TeX Gyre" w:hAnsi="DejaVu Math TeX Gyre"/>
          <w:b/>
          <w:bCs/>
          <w:caps w:val="0"/>
          <w:smallCaps w:val="0"/>
          <w:snapToGrid/>
          <w:vanish w:val="0"/>
          <w:color w:val="auto"/>
          <w:sz w:val="28"/>
          <w:szCs w:val="28"/>
          <w:vertAlign w:val="baseline"/>
        </w:rPr>
        <w:t>Methods of Measuring Knowledge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Knowledge and attitudes are commonly assessed using structured self-administered questionnaires based on validated tools. These tools often utilize the Likert Scale to quantify responses.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Reliability and validity are typically ensured through pilot testing and statistical measures such as Cronbach</w:t>
      </w:r>
      <w:r>
        <w:rPr>
          <w:rFonts w:ascii="DejaVu Math TeX Gyre" w:hAnsi="DejaVu Math TeX Gyre"/>
          <w:caps w:val="0"/>
          <w:smallCaps w:val="0"/>
          <w:snapToGrid/>
          <w:vanish w:val="0"/>
          <w:color w:val="auto"/>
          <w:sz w:val="24"/>
          <w:szCs w:val="24"/>
          <w:vertAlign w:val="baseline"/>
        </w:rPr>
        <w:t>’</w:t>
      </w:r>
      <w:r>
        <w:rPr>
          <w:rFonts w:ascii="DejaVu Math TeX Gyre" w:eastAsia="DejaVu Math TeX Gyre" w:hAnsi="DejaVu Math TeX Gyre"/>
          <w:caps w:val="0"/>
          <w:smallCaps w:val="0"/>
          <w:snapToGrid/>
          <w:vanish w:val="0"/>
          <w:color w:val="auto"/>
          <w:sz w:val="24"/>
          <w:szCs w:val="24"/>
          <w:vertAlign w:val="baseline"/>
        </w:rPr>
        <w:t>s alpha [18].</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g. Challenges Affecting Knowledge and Attitudes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Several challenges may affect knowledge and attitudes among dental practitioners, including lack of continuous training, limited experience with accreditation systems, and insufficient exposure to standards.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Additionally, workload, time constraints, and lack of organizational support can negatively influence both knowledge and attitudes, thereby hindering effective implementation [11][19].</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u w:val="single"/>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2.4.2 Second Section: Level of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a. Introduction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 implementation of accreditation standards is a critical component of healthcare quality improvement. In Saudi Arabia, CBAHI accreditation is mandatory for healthcare institutions, aiming to enhance patient safety and service quality [11].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b. Concept of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Implementation refers to the extent to which healthcare providers apply accreditation standards in their daily clinical practice. It reflects the translation of knowledge and attitudes into actual behavior [20].</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c. Pillars of Successful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Successful implementation depends on several key factors, including leadership commitment, availability of resources, and continuous professional development.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Strong leadership and organizational support have been identified as critical factors influencing successful adoption of healthcare innovations [15].</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d. Importance of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Effective implementation enhances healthcare quality, improves patient safety, and reduces clinical errors. Accreditation programs are recognized as effective tools for improving healthcare performance [21].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e. Objectives of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 main objectives include ensuring patient safety, improving quality of care, and maintaining compliance with accreditation standards.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Implementation also promotes continuous professional development and fosters a culture of quality within healthcare organizations [22].</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f. Dimensions of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Implementation can be evaluated through adherence to clinical protocols, quality of service delivery, and efficiency in healthcare practice.</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These dimensions reflect how well accreditation standards are integrated into routine clinical workflows [19].</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u w:val="single"/>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u w:val="single"/>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2.4.3 Third Section: Perceived Barriers and Organizational Support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a. Introduction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Despite adequate knowledge and positive attitudes, barriers can limit the effective implementation of accreditation standards. Identifying these barriers is essential for improving compliance and healthcare quality [11].</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8"/>
          <w:szCs w:val="28"/>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b. Concept of Perceived Barriers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Perceived barriers are obstacles that hinder the implementation of standards. These include individual barriers such as lack of experience and motivation, as well as organizational barriers such as limited resources, inadequate support, and heavy workload [19].</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c. Importance of Understanding Barriers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Understanding barriers helps in designing targeted interventions, improving training programs, and enhancing resource allocation.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It also supports decision-makers in improving accreditation processes and ensuring better compliance [17].</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d. Strategies to Address Barriers</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Strategies to overcome barriers include providing continuous training, improving resource availability, and strengthening leadership support.</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These strategies have been shown to improve implementation outcomes and healthcare performance [15].</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28"/>
          <w:szCs w:val="28"/>
          <w:vertAlign w:val="baseline"/>
        </w:rPr>
      </w:pPr>
      <w:r>
        <w:rPr>
          <w:rFonts w:ascii="DejaVu Math TeX Gyre" w:eastAsia="DejaVu Math TeX Gyre" w:hAnsi="DejaVu Math TeX Gyre"/>
          <w:b/>
          <w:bCs/>
          <w:caps w:val="0"/>
          <w:smallCaps w:val="0"/>
          <w:snapToGrid/>
          <w:vanish w:val="0"/>
          <w:color w:val="auto"/>
          <w:sz w:val="28"/>
          <w:szCs w:val="28"/>
          <w:vertAlign w:val="baseline"/>
        </w:rPr>
        <w:t>e. Relationship between Barriers and Implementation</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Barriers negatively affect implementation even when knowledge and attitudes are adequate. Reducing these barriers leads to improved compliance and better healthcare outcomes [19].</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b/>
          <w:bCs/>
          <w:caps w:val="0"/>
          <w:smallCaps w:val="0"/>
          <w:snapToGrid/>
          <w:vanish w:val="0"/>
          <w:color w:val="auto"/>
          <w:sz w:val="32"/>
          <w:szCs w:val="32"/>
          <w:u w:val="single"/>
          <w:vertAlign w:val="baseline"/>
        </w:rPr>
      </w:pPr>
      <w:r>
        <w:rPr>
          <w:rFonts w:ascii="DejaVu Math TeX Gyre" w:eastAsia="DejaVu Math TeX Gyre" w:hAnsi="DejaVu Math TeX Gyre"/>
          <w:b/>
          <w:bCs/>
          <w:caps w:val="0"/>
          <w:smallCaps w:val="0"/>
          <w:snapToGrid/>
          <w:vanish w:val="0"/>
          <w:color w:val="auto"/>
          <w:sz w:val="32"/>
          <w:szCs w:val="32"/>
          <w:u w:val="single"/>
          <w:vertAlign w:val="baseline"/>
        </w:rPr>
        <w:t>2.4.4 Summary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r>
        <w:rPr>
          <w:rFonts w:ascii="DejaVu Math TeX Gyre" w:eastAsia="DejaVu Math TeX Gyre" w:hAnsi="DejaVu Math TeX Gyre"/>
          <w:caps w:val="0"/>
          <w:smallCaps w:val="0"/>
          <w:snapToGrid/>
          <w:vanish w:val="0"/>
          <w:color w:val="auto"/>
          <w:sz w:val="24"/>
          <w:szCs w:val="24"/>
          <w:vertAlign w:val="baseline"/>
        </w:rPr>
        <w:t>Knowledge, attitudes, and perceived barriers are key factors influencing the implementation of CBAHI standards. Adequate knowledge and positive attitudes enhance compliance, while barriers limit effectiveness. Understanding these factors provides a strong foundation for evaluating implementation and improving healthcare quality.</w:t>
      </w: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32"/>
          <w:szCs w:val="32"/>
          <w:vertAlign w:val="baseline"/>
        </w:rPr>
      </w:pPr>
    </w:p>
    <w:p>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uppressAutoHyphens w:val="0"/>
        <w:kinsoku/>
        <w:wordWrap/>
        <w:overflowPunct/>
        <w:topLinePunct w:val="0"/>
        <w:autoSpaceDE w:val="0"/>
        <w:autoSpaceDN w:val="0"/>
        <w:bidi/>
        <w:adjustRightInd/>
        <w:snapToGrid/>
        <w:spacing w:before="0" w:beforeAutospacing="0" w:after="0" w:afterAutospacing="0" w:line="360" w:lineRule="auto"/>
        <w:ind w:left="0" w:right="0" w:firstLine="0"/>
        <w:contextualSpacing w:val="0"/>
        <w:jc w:val="left"/>
        <w:textAlignment w:val="auto"/>
        <w:outlineLvl w:val="9"/>
        <w:rPr>
          <w:rFonts w:ascii="DejaVu Math TeX Gyre" w:eastAsia="DejaVu Math TeX Gyre" w:hAnsi="DejaVu Math TeX Gyre"/>
          <w:caps w:val="0"/>
          <w:smallCaps w:val="0"/>
          <w:snapToGrid/>
          <w:vanish w:val="0"/>
          <w:color w:val="auto"/>
          <w:sz w:val="24"/>
          <w:szCs w:val="24"/>
          <w:vertAlign w:val="baseline"/>
        </w:rPr>
      </w:pPr>
    </w:p>
    <w:p>
      <w:pPr>
        <w:jc w:val="left"/>
      </w:pPr>
    </w:p>
    <w:sectPr>
      <w:pgSz w:w="11910" w:h="16840"/>
      <w:pgMar w:top="720" w:right="1133" w:bottom="1200" w:left="1275" w:header="0" w:footer="989" w:gutter="0"/>
      <w:pgBorders w:offsetFrom="page">
        <w:top w:val="thinThickSmallGap" w:sz="24" w:space="25" w:color="000000"/>
        <w:left w:val="thinThickSmallGap" w:sz="24" w:space="25" w:color="000000"/>
        <w:bottom w:val="thickThinSmallGap" w:sz="24" w:space="25" w:color="000000"/>
        <w:right w:val="thickThinSmallGap" w:sz="24" w:space="25" w:color="000000"/>
      </w:pgBorders>
      <w:docGrid w:linePitch="299" w:charSpace="0"/>
    </w:sectPr>
  </w:body>
</w:document>
</file>

<file path=word/fontTable.xml><?xml version="1.0" encoding="utf-8"?>
<w:fonts xmlns:w="http://schemas.openxmlformats.org/wordprocessingml/2006/main" xmlns:r="http://schemas.openxmlformats.org/officeDocument/2006/relationships">
  <w:font w:name="DejaVu Math TeX Gyre">
    <w:panose1 w:val="00000000000000000000"/>
    <w:charset w:val="00"/>
    <w:family w:val="auto"/>
    <w:pitch w:val="variable"/>
    <w:sig w:usb0="00000000" w:usb1="00000000" w:usb2="00000000" w:usb3="00000000" w:csb0="00000000" w:csb1="00000000"/>
  </w:font>
  <w:font w:name="Wingdings">
    <w:panose1 w:val="00000000000000000000"/>
    <w:charset w:val="00"/>
    <w:family w:val="auto"/>
    <w:pitch w:val="variable"/>
    <w:sig w:usb0="00000000" w:usb1="00000000" w:usb2="00000000" w:usb3="00000000" w:csb0="0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61"/>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ulTrailSpace/>
    <w:doNotExpandShiftReturn/>
    <w:adjustLineHeightInTable/>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pPr>
    <w:rPr>
      <w:rFonts w:ascii="Times New Roman" w:eastAsia="Times New Roman" w:cs="Times New Roman" w:hAnsi="Times New Roman"/>
      <w:b w:val="0"/>
      <w:bCs w:val="0"/>
      <w:i w:val="0"/>
      <w:caps w:val="0"/>
      <w:smallCaps w:val="0"/>
      <w:strike w:val="0"/>
      <w:dstrike w:val="0"/>
      <w:snapToGrid/>
      <w:vanish w:val="0"/>
      <w:color w:val="auto"/>
      <w:spacing w:val="0"/>
      <w:w w:val="100"/>
      <w:kern w:val="0"/>
      <w:position w:val="0"/>
      <w:sz w:val="22"/>
      <w:szCs w:val="22"/>
      <w:u w:val="none" w:color="auto"/>
      <w:shd w:val="clear" w:color="auto" w:fill="auto"/>
      <w:vertAlign w:val="baseline"/>
      <w:em w:val="none"/>
      <w:lang w:val="en-US" w:eastAsia="en-US"/>
    </w:rPr>
  </w:style>
  <w:style w:type="paragraph" w:styleId="1">
    <w:name w:val="heading 1"/>
    <w:basedOn w:val="0"/>
    <w:next w:val="0"/>
    <w:pPr>
      <w:keepNext/>
      <w:keepLines/>
      <w:pageBreakBefore w:val="0"/>
      <w:widowControl w:val="0"/>
      <w:suppressLineNumbers w:val="0"/>
      <w:suppressAutoHyphens w:val="0"/>
      <w:spacing w:before="340" w:after="330" w:line="578" w:lineRule="auto"/>
      <w:outlineLvl w:val="0"/>
    </w:pPr>
    <w:rPr>
      <w:b/>
      <w:bCs/>
      <w:kern w:val="44"/>
      <w:sz w:val="44"/>
      <w:szCs w:val="44"/>
    </w:rPr>
  </w:style>
  <w:style w:type="paragraph" w:styleId="2">
    <w:name w:val="heading 2"/>
    <w:basedOn w:val="0"/>
    <w:next w:val="0"/>
    <w:pPr>
      <w:keepNext/>
      <w:keepLines/>
      <w:pageBreakBefore w:val="0"/>
      <w:widowControl w:val="0"/>
      <w:suppressLineNumbers w:val="0"/>
      <w:suppressAutoHyphens w:val="0"/>
      <w:spacing w:before="260" w:after="260" w:line="415" w:lineRule="auto"/>
      <w:outlineLvl w:val="1"/>
    </w:pPr>
    <w:rPr>
      <w:b/>
      <w:bCs/>
      <w:sz w:val="32"/>
      <w:szCs w:val="32"/>
    </w:rPr>
  </w:style>
  <w:style w:type="paragraph" w:styleId="3">
    <w:name w:val="heading 3"/>
    <w:basedOn w:val="0"/>
    <w:next w:val="0"/>
    <w:pPr>
      <w:keepNext/>
      <w:keepLines/>
      <w:pageBreakBefore w:val="0"/>
      <w:widowControl w:val="0"/>
      <w:suppressLineNumbers w:val="0"/>
      <w:suppressAutoHyphens w:val="0"/>
      <w:spacing w:before="260" w:after="260" w:line="415" w:lineRule="auto"/>
      <w:outlineLvl w:val="2"/>
    </w:pPr>
    <w:rPr>
      <w:b/>
      <w:bCs/>
      <w:sz w:val="32"/>
      <w:szCs w:val="32"/>
    </w:rPr>
  </w:style>
  <w:style w:type="character" w:default="1" w:styleId="10">
    <w:name w:val="Default Paragraph Font"/>
  </w:style>
  <w:style w:type="paragraph" w:customStyle="1" w:styleId="15">
    <w:name w:val="ii"/>
    <w:basedOn w:val="0"/>
    <w:next w:val="0"/>
    <w:rPr>
      <w:sz w:val="28"/>
    </w:rPr>
  </w:style>
  <w:style w:type="paragraph" w:customStyle="1" w:styleId="16">
    <w:name w:val="i"/>
    <w:basedOn w:val="0"/>
    <w:rPr>
      <w:sz w:val="32"/>
    </w:rPr>
  </w:style>
  <w:style w:type="paragraph" w:styleId="19">
    <w:name w:val="index 7"/>
    <w:basedOn w:val="0"/>
    <w:autoRedefine/>
    <w:next w:val="0"/>
    <w:pPr>
      <w:ind w:left="2520"/>
    </w:pPr>
  </w:style>
  <w:style w:type="paragraph" w:styleId="20">
    <w:name w:val="index 8"/>
    <w:basedOn w:val="0"/>
    <w:autoRedefine/>
    <w:next w:val="0"/>
    <w:pPr>
      <w:ind w:left="2940"/>
    </w:pPr>
  </w:style>
  <w:style w:type="paragraph" w:styleId="21">
    <w:name w:val="index 9"/>
    <w:basedOn w:val="0"/>
    <w:autoRedefine/>
    <w:next w:val="0"/>
    <w:pPr>
      <w:ind w:left="3360"/>
    </w:pPr>
  </w:style>
  <w:style w:type="paragraph" w:styleId="24">
    <w:name w:val="toc 3"/>
    <w:basedOn w:val="0"/>
    <w:autoRedefine/>
    <w:next w:val="0"/>
    <w:pPr>
      <w:ind w:left="840"/>
    </w:pPr>
  </w:style>
  <w:style w:type="paragraph" w:styleId="68">
    <w:name w:val="Body Text"/>
    <w:next w:val="15"/>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pPr>
    <w:rPr>
      <w:rFonts w:ascii="Times New Roman" w:eastAsia="Times New Roman" w:cs="Times New Roman" w:hAnsi="Times New Roman"/>
      <w:b w:val="0"/>
      <w:bCs w:val="0"/>
      <w:i w:val="0"/>
      <w:caps w:val="0"/>
      <w:smallCaps w:val="0"/>
      <w:strike w:val="0"/>
      <w:dstrike w:val="0"/>
      <w:snapToGrid/>
      <w:vanish w:val="0"/>
      <w:color w:val="auto"/>
      <w:spacing w:val="0"/>
      <w:w w:val="100"/>
      <w:kern w:val="0"/>
      <w:position w:val="0"/>
      <w:sz w:val="24"/>
      <w:szCs w:val="24"/>
      <w:u w:val="none" w:color="auto"/>
      <w:shd w:val="clear" w:color="auto" w:fill="auto"/>
      <w:vertAlign w:val="baseline"/>
      <w:em w:val="none"/>
      <w:lang w:val="en-US" w:eastAsia="en-US"/>
    </w:rPr>
  </w:style>
  <w:style w:type="paragraph" w:customStyle="1" w:styleId="125">
    <w:name w:val="Heading 3"/>
    <w:next w:val="21"/>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val="0"/>
      <w:autoSpaceDN w:val="0"/>
      <w:bidi/>
      <w:adjustRightInd/>
      <w:snapToGrid/>
      <w:spacing w:before="0" w:beforeAutospacing="0" w:after="0" w:afterAutospacing="0" w:line="240" w:lineRule="auto"/>
      <w:ind w:left="0" w:right="139" w:firstLine="0"/>
      <w:contextualSpacing w:val="0"/>
      <w:jc w:val="center"/>
      <w:textAlignment w:val="auto"/>
      <w:outlineLvl w:val="3"/>
    </w:pPr>
    <w:rPr>
      <w:rFonts w:ascii="Times New Roman" w:eastAsia="Times New Roman" w:cs="Times New Roman" w:hAnsi="Times New Roman"/>
      <w:b/>
      <w:bCs/>
      <w:i w:val="0"/>
      <w:caps w:val="0"/>
      <w:smallCaps w:val="0"/>
      <w:strike w:val="0"/>
      <w:dstrike w:val="0"/>
      <w:snapToGrid/>
      <w:vanish w:val="0"/>
      <w:color w:val="auto"/>
      <w:spacing w:val="0"/>
      <w:w w:val="100"/>
      <w:kern w:val="0"/>
      <w:position w:val="0"/>
      <w:sz w:val="24"/>
      <w:szCs w:val="24"/>
      <w:u w:val="none" w:color="auto"/>
      <w:shd w:val="clear" w:color="auto" w:fill="auto"/>
      <w:vertAlign w:val="baseline"/>
      <w:em w:val="none"/>
      <w:lang w:val="en-US" w:eastAsia="en-US"/>
    </w:rPr>
  </w:style>
  <w:style w:type="paragraph" w:customStyle="1" w:styleId="126">
    <w:name w:val="List Paragraph"/>
    <w:next w:val="20"/>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val="0"/>
      <w:autoSpaceDN w:val="0"/>
      <w:bidi/>
      <w:adjustRightInd/>
      <w:snapToGrid/>
      <w:spacing w:before="21" w:beforeAutospacing="0" w:after="0" w:afterAutospacing="0" w:line="240" w:lineRule="auto"/>
      <w:ind w:left="805" w:right="0" w:hanging="359"/>
      <w:contextualSpacing w:val="0"/>
      <w:jc w:val="left"/>
      <w:textAlignment w:val="auto"/>
      <w:outlineLvl w:val="9"/>
    </w:pPr>
    <w:rPr>
      <w:rFonts w:ascii="Times New Roman" w:eastAsia="Times New Roman" w:cs="Times New Roman" w:hAnsi="Times New Roman"/>
      <w:b w:val="0"/>
      <w:bCs w:val="0"/>
      <w:i w:val="0"/>
      <w:caps w:val="0"/>
      <w:smallCaps w:val="0"/>
      <w:strike w:val="0"/>
      <w:dstrike w:val="0"/>
      <w:snapToGrid/>
      <w:vanish w:val="0"/>
      <w:color w:val="auto"/>
      <w:spacing w:val="0"/>
      <w:w w:val="100"/>
      <w:kern w:val="0"/>
      <w:position w:val="0"/>
      <w:sz w:val="22"/>
      <w:szCs w:val="22"/>
      <w:u w:val="none" w:color="auto"/>
      <w:shd w:val="clear" w:color="auto" w:fill="auto"/>
      <w:vertAlign w:val="baseline"/>
      <w:em w:val="none"/>
      <w:lang w:val="en-US" w:eastAsia="en-US"/>
    </w:rPr>
  </w:style>
  <w:style w:type="paragraph" w:customStyle="1" w:styleId="127">
    <w:name w:val="Table Paragraph"/>
    <w:next w:val="19"/>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val="0"/>
      <w:autoSpaceDN w:val="0"/>
      <w:bidi/>
      <w:adjustRightInd/>
      <w:snapToGrid/>
      <w:spacing w:before="0" w:beforeAutospacing="0" w:after="0" w:afterAutospacing="0" w:line="240" w:lineRule="auto"/>
      <w:ind w:left="0" w:right="0" w:firstLine="0"/>
      <w:contextualSpacing w:val="0"/>
      <w:jc w:val="left"/>
      <w:textAlignment w:val="auto"/>
      <w:outlineLvl w:val="9"/>
    </w:pPr>
    <w:rPr>
      <w:rFonts w:ascii="Times New Roman" w:eastAsia="Times New Roman" w:cs="Times New Roman" w:hAnsi="Times New Roman"/>
      <w:b w:val="0"/>
      <w:bCs w:val="0"/>
      <w:i w:val="0"/>
      <w:caps w:val="0"/>
      <w:smallCaps w:val="0"/>
      <w:strike w:val="0"/>
      <w:dstrike w:val="0"/>
      <w:snapToGrid/>
      <w:vanish w:val="0"/>
      <w:color w:val="auto"/>
      <w:spacing w:val="0"/>
      <w:w w:val="100"/>
      <w:kern w:val="0"/>
      <w:position w:val="0"/>
      <w:sz w:val="22"/>
      <w:szCs w:val="22"/>
      <w:u w:val="none" w:color="auto"/>
      <w:shd w:val="clear" w:color="auto" w:fill="auto"/>
      <w:vertAlign w:val="baseline"/>
      <w:em w:val="none"/>
      <w:lang w:val="en-US" w:eastAsia="en-US"/>
    </w:rPr>
  </w:style>
  <w:style w:type="paragraph" w:customStyle="1" w:styleId="128">
    <w:name w:val="Heading 1"/>
    <w:next w:val="24"/>
    <w:pPr>
      <w:keepNext w:val="0"/>
      <w:keepLines w:val="0"/>
      <w:pageBreakBefore w:val="0"/>
      <w:widowControl w:val="0"/>
      <w:suppressLineNumbers w:val="0"/>
      <w:pBdr>
        <w:top w:val="none" w:sz="0" w:space="0" w:color="auto"/>
        <w:left w:val="none" w:sz="0" w:space="0" w:color="auto"/>
        <w:bottom w:val="none" w:sz="0" w:space="0" w:color="auto"/>
        <w:right w:val="none" w:sz="0" w:space="0" w:color="auto"/>
      </w:pBdr>
      <w:shd w:val="clear" w:color="auto" w:fill="auto"/>
      <w:suppressAutoHyphens w:val="0"/>
      <w:kinsoku/>
      <w:wordWrap/>
      <w:overflowPunct/>
      <w:topLinePunct w:val="0"/>
      <w:autoSpaceDE w:val="0"/>
      <w:autoSpaceDN w:val="0"/>
      <w:bidi/>
      <w:adjustRightInd/>
      <w:snapToGrid/>
      <w:spacing w:before="68" w:beforeAutospacing="0" w:after="0" w:afterAutospacing="0" w:line="240" w:lineRule="auto"/>
      <w:ind w:left="165" w:right="0" w:firstLine="0"/>
      <w:contextualSpacing w:val="0"/>
      <w:jc w:val="left"/>
      <w:textAlignment w:val="auto"/>
      <w:outlineLvl w:val="1"/>
    </w:pPr>
    <w:rPr>
      <w:rFonts w:ascii="Times New Roman" w:eastAsia="Times New Roman" w:cs="Times New Roman" w:hAnsi="Times New Roman"/>
      <w:b/>
      <w:bCs/>
      <w:i w:val="0"/>
      <w:caps w:val="0"/>
      <w:smallCaps w:val="0"/>
      <w:strike w:val="0"/>
      <w:dstrike w:val="0"/>
      <w:snapToGrid/>
      <w:vanish w:val="0"/>
      <w:color w:val="auto"/>
      <w:spacing w:val="0"/>
      <w:w w:val="100"/>
      <w:kern w:val="0"/>
      <w:position w:val="0"/>
      <w:sz w:val="28"/>
      <w:szCs w:val="28"/>
      <w:u w:val="none" w:color="auto"/>
      <w:shd w:val="clear" w:color="auto" w:fill="auto"/>
      <w:vertAlign w:val="baseline"/>
      <w:em w:val="none"/>
      <w:lang w:val="en-US" w:eastAsia="en-US"/>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image" Target="media/2.png"/><Relationship Id="rId3" Type="http://schemas.openxmlformats.org/officeDocument/2006/relationships/styles" Target="styles.xml"/><Relationship Id="rId4" Type="http://schemas.openxmlformats.org/officeDocument/2006/relationships/fontTable" Target="fontTable.xml"/></Relationships>
</file>

<file path=docProps/app.xml><?xml version="1.0" encoding="utf-8"?>
<Properties xmlns="http://schemas.openxmlformats.org/officeDocument/2006/extended-properties">
  <Template>Normal.eit</Template>
  <TotalTime>22</TotalTime>
  <Application>Honor_Office</Application>
  <Pages>40</Pages>
  <Words>5510</Words>
  <Characters>34821</Characters>
  <Lines>1395</Lines>
  <Paragraphs>440</Paragraphs>
  <CharactersWithSpaces>40049</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modified xsi:type="dcterms:W3CDTF">٢٠٢٦-٠٣-٢٧T٠٨:٥٩:٢١Z</dcterms:modified>
</cp:coreProperties>
</file>